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Y="3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ED0C8B" w:rsidTr="00ED0C8B">
        <w:tc>
          <w:tcPr>
            <w:tcW w:w="8720" w:type="dxa"/>
          </w:tcPr>
          <w:p w:rsidR="00ED0C8B" w:rsidRPr="002B0C2E" w:rsidRDefault="00CF3DFE" w:rsidP="003F1EE8">
            <w:pPr>
              <w:pStyle w:val="Title"/>
            </w:pPr>
            <w:r>
              <w:t>Australian regulatory guidelines for complementary m</w:t>
            </w:r>
            <w:r w:rsidR="003F1EE8" w:rsidRPr="003F1EE8">
              <w:t>edicines</w:t>
            </w:r>
          </w:p>
        </w:tc>
      </w:tr>
      <w:tr w:rsidR="00ED0C8B" w:rsidTr="00ED0C8B">
        <w:trPr>
          <w:trHeight w:val="1387"/>
        </w:trPr>
        <w:tc>
          <w:tcPr>
            <w:tcW w:w="8720" w:type="dxa"/>
          </w:tcPr>
          <w:p w:rsidR="00ED0C8B" w:rsidRDefault="003F1EE8" w:rsidP="00CF3DFE">
            <w:pPr>
              <w:pStyle w:val="Subtitle"/>
              <w:ind w:left="0"/>
              <w:rPr>
                <w:lang w:eastAsia="en-AU"/>
              </w:rPr>
            </w:pPr>
            <w:r w:rsidRPr="003F1EE8">
              <w:rPr>
                <w:lang w:eastAsia="en-AU"/>
              </w:rPr>
              <w:t xml:space="preserve">Part A: General </w:t>
            </w:r>
            <w:r w:rsidR="00CF3DFE">
              <w:rPr>
                <w:lang w:eastAsia="en-AU"/>
              </w:rPr>
              <w:t>g</w:t>
            </w:r>
            <w:r w:rsidRPr="003F1EE8">
              <w:rPr>
                <w:lang w:eastAsia="en-AU"/>
              </w:rPr>
              <w:t>uidance</w:t>
            </w:r>
          </w:p>
        </w:tc>
      </w:tr>
      <w:tr w:rsidR="00ED0C8B" w:rsidTr="00ED0C8B">
        <w:tc>
          <w:tcPr>
            <w:tcW w:w="8720" w:type="dxa"/>
          </w:tcPr>
          <w:p w:rsidR="00ED0C8B" w:rsidRDefault="003F1EE8" w:rsidP="00ED0C8B">
            <w:pPr>
              <w:pStyle w:val="Date"/>
              <w:rPr>
                <w:lang w:eastAsia="en-AU"/>
              </w:rPr>
            </w:pPr>
            <w:r w:rsidRPr="003F1EE8">
              <w:rPr>
                <w:lang w:eastAsia="en-AU"/>
              </w:rPr>
              <w:t>Version 5.0, September 2012</w:t>
            </w:r>
          </w:p>
        </w:tc>
      </w:tr>
    </w:tbl>
    <w:p w:rsidR="0054583D" w:rsidRDefault="0054583D" w:rsidP="007C7B5B">
      <w:pPr>
        <w:rPr>
          <w:lang w:eastAsia="en-AU"/>
        </w:rPr>
      </w:pPr>
    </w:p>
    <w:p w:rsidR="0054583D" w:rsidRDefault="0054583D" w:rsidP="0054583D">
      <w:pPr>
        <w:rPr>
          <w:lang w:eastAsia="en-AU"/>
        </w:rPr>
        <w:sectPr w:rsidR="0054583D" w:rsidSect="00FF7B50">
          <w:headerReference w:type="default" r:id="rId8"/>
          <w:footerReference w:type="default" r:id="rId9"/>
          <w:headerReference w:type="first" r:id="rId10"/>
          <w:footerReference w:type="first" r:id="rId11"/>
          <w:type w:val="continuous"/>
          <w:pgSz w:w="11906" w:h="16838" w:code="9"/>
          <w:pgMar w:top="6922" w:right="1701" w:bottom="709" w:left="1701" w:header="996" w:footer="0" w:gutter="0"/>
          <w:cols w:space="708"/>
          <w:titlePg/>
          <w:docGrid w:linePitch="360"/>
        </w:sectPr>
      </w:pPr>
    </w:p>
    <w:p w:rsidR="00B21FC5" w:rsidRPr="00F3529E" w:rsidRDefault="00E32326" w:rsidP="00E32326">
      <w:pPr>
        <w:pStyle w:val="NonTOCHeading2"/>
      </w:pPr>
      <w:r>
        <w:lastRenderedPageBreak/>
        <w:br w:type="page"/>
      </w:r>
      <w:r w:rsidR="00B21FC5" w:rsidRPr="00B21FC5">
        <w:lastRenderedPageBreak/>
        <w:t>About the Therapeutic Goods Administration (TGA)</w:t>
      </w:r>
    </w:p>
    <w:p w:rsidR="00B21FC5" w:rsidRPr="00B21FC5" w:rsidRDefault="00941988" w:rsidP="00B21FC5">
      <w:pPr>
        <w:pStyle w:val="ListBullet"/>
      </w:pPr>
      <w:r>
        <w:t xml:space="preserve">The Therapeutic Goods Administration (TGA) </w:t>
      </w:r>
      <w:r w:rsidRPr="00B21FC5">
        <w:t xml:space="preserve">is </w:t>
      </w:r>
      <w:r>
        <w:t xml:space="preserve">part of </w:t>
      </w:r>
      <w:r w:rsidR="00B21FC5" w:rsidRPr="00B21FC5">
        <w:t>the Australian Government Department of Health and Ageing, and is</w:t>
      </w:r>
      <w:r w:rsidR="00B21FC5">
        <w:t xml:space="preserve"> </w:t>
      </w:r>
      <w:r w:rsidR="00B21FC5" w:rsidRPr="00B21FC5">
        <w:t>responsible for regulating medicines and medical devices.</w:t>
      </w:r>
    </w:p>
    <w:p w:rsidR="00B21FC5" w:rsidRPr="00B21FC5" w:rsidRDefault="00B21FC5" w:rsidP="00B21FC5">
      <w:pPr>
        <w:pStyle w:val="ListBullet"/>
      </w:pPr>
      <w:r w:rsidRPr="00B21FC5">
        <w:t xml:space="preserve"> TGA administers the </w:t>
      </w:r>
      <w:r w:rsidRPr="00B21FC5">
        <w:rPr>
          <w:i/>
          <w:iCs/>
        </w:rPr>
        <w:t xml:space="preserve">Therapeutic Goods Act </w:t>
      </w:r>
      <w:r w:rsidRPr="00B21FC5">
        <w:t>1989 (the Act), applying a risk management</w:t>
      </w:r>
      <w:r>
        <w:t xml:space="preserve"> </w:t>
      </w:r>
      <w:r w:rsidRPr="00B21FC5">
        <w:t>approach designed to ensure therapeutic goods supplied in Australia meet acceptable standards</w:t>
      </w:r>
      <w:r>
        <w:t xml:space="preserve"> </w:t>
      </w:r>
      <w:r w:rsidRPr="00B21FC5">
        <w:t>of quality, safety and efficacy (performance), when necessary.</w:t>
      </w:r>
    </w:p>
    <w:p w:rsidR="00B21FC5" w:rsidRPr="00B21FC5" w:rsidRDefault="00B21FC5" w:rsidP="00B21FC5">
      <w:pPr>
        <w:pStyle w:val="ListBullet"/>
      </w:pPr>
      <w:r w:rsidRPr="00B21FC5">
        <w:t>The work of the TGA is based on applying scientific and clinical expertise to decision-making, to</w:t>
      </w:r>
      <w:r>
        <w:t xml:space="preserve"> </w:t>
      </w:r>
      <w:r w:rsidRPr="00B21FC5">
        <w:t>ensure that the benefits to consumers outweigh any risks associated with the use of medicines</w:t>
      </w:r>
      <w:r>
        <w:t xml:space="preserve"> </w:t>
      </w:r>
      <w:r w:rsidRPr="00B21FC5">
        <w:t>and medical devices.</w:t>
      </w:r>
    </w:p>
    <w:p w:rsidR="00B21FC5" w:rsidRPr="00B21FC5" w:rsidRDefault="00B21FC5" w:rsidP="00B21FC5">
      <w:pPr>
        <w:pStyle w:val="ListBullet"/>
      </w:pPr>
      <w:r w:rsidRPr="00B21FC5">
        <w:t>The TGA relies on the public, healthcare professionals and industry to report problems</w:t>
      </w:r>
      <w:r>
        <w:t xml:space="preserve"> </w:t>
      </w:r>
      <w:r w:rsidRPr="00B21FC5">
        <w:t>with medicines or medical devices. TGA investigates reports received by it to determine any</w:t>
      </w:r>
      <w:r>
        <w:t xml:space="preserve"> </w:t>
      </w:r>
      <w:r w:rsidRPr="00B21FC5">
        <w:t>necessary regulatory action.</w:t>
      </w:r>
    </w:p>
    <w:p w:rsidR="00AC3BD9" w:rsidRDefault="00B21FC5" w:rsidP="00257138">
      <w:pPr>
        <w:pStyle w:val="ListBullet"/>
      </w:pPr>
      <w:r w:rsidRPr="00B21FC5">
        <w:t>To report a problem with a medicine or medical device, please see the information on the TGA</w:t>
      </w:r>
      <w:r>
        <w:t xml:space="preserve"> w</w:t>
      </w:r>
      <w:r w:rsidRPr="00B21FC5">
        <w:t>ebsite</w:t>
      </w:r>
      <w:r w:rsidR="002232C2">
        <w:t xml:space="preserve"> &lt;</w:t>
      </w:r>
      <w:hyperlink r:id="rId12" w:history="1">
        <w:r w:rsidR="002232C2" w:rsidRPr="002232C2">
          <w:rPr>
            <w:rStyle w:val="Hyperlink"/>
          </w:rPr>
          <w:t>www.tga.gov.au</w:t>
        </w:r>
      </w:hyperlink>
      <w:r w:rsidR="002232C2">
        <w:t>&gt;</w:t>
      </w:r>
      <w:r w:rsidRPr="00B21FC5">
        <w:t>.</w:t>
      </w:r>
    </w:p>
    <w:p w:rsidR="00170CED" w:rsidRPr="00170CED" w:rsidRDefault="00170CED" w:rsidP="00611B57">
      <w:pPr>
        <w:pStyle w:val="LegalSubheading"/>
        <w:spacing w:before="4680"/>
      </w:pPr>
      <w:r w:rsidRPr="00170CED">
        <w:t>Copyright</w:t>
      </w:r>
    </w:p>
    <w:p w:rsidR="00611B57" w:rsidRDefault="00EA453A" w:rsidP="00611B57">
      <w:pPr>
        <w:pStyle w:val="LegalCopy"/>
      </w:pPr>
      <w:r w:rsidRPr="00191B3B">
        <w:rPr>
          <w:lang w:val="en-GB"/>
        </w:rPr>
        <w:t>© Comm</w:t>
      </w:r>
      <w:r>
        <w:rPr>
          <w:lang w:val="en-GB"/>
        </w:rPr>
        <w:t>onwealth of Australia 2012</w:t>
      </w:r>
      <w:r w:rsidRPr="00191B3B">
        <w:rPr>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w:t>
      </w:r>
      <w:r w:rsidRPr="004169A8">
        <w:t>any</w:t>
      </w:r>
      <w:r w:rsidRPr="00191B3B">
        <w:rPr>
          <w:lang w:val="en-GB"/>
        </w:rPr>
        <w:t xml:space="preserve">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lang w:val="en-GB"/>
        </w:rPr>
        <w:t>Woden</w:t>
      </w:r>
      <w:proofErr w:type="spellEnd"/>
      <w:r w:rsidRPr="00191B3B">
        <w:rPr>
          <w:lang w:val="en-GB"/>
        </w:rPr>
        <w:t xml:space="preserve"> ACT 2606 or emailed to &lt;</w:t>
      </w:r>
      <w:hyperlink r:id="rId13" w:history="1">
        <w:r w:rsidRPr="00191B3B">
          <w:rPr>
            <w:rStyle w:val="Hyperlink"/>
            <w:rFonts w:cs="Arial"/>
            <w:lang w:val="en-GB"/>
          </w:rPr>
          <w:t>tga.copyright@tga.gov.au</w:t>
        </w:r>
      </w:hyperlink>
      <w:r w:rsidR="004169A8">
        <w:t>&gt;</w:t>
      </w:r>
    </w:p>
    <w:p w:rsidR="008D2B09" w:rsidRPr="00170CED" w:rsidRDefault="008D2B09" w:rsidP="00611B57">
      <w:pPr>
        <w:pStyle w:val="LegalSubheading"/>
      </w:pPr>
      <w:r w:rsidRPr="00170CED">
        <w:t>Confidentiality</w:t>
      </w:r>
    </w:p>
    <w:p w:rsidR="004169A8" w:rsidRDefault="008D2B09" w:rsidP="00EA453A">
      <w:pPr>
        <w:pStyle w:val="LegalCopy"/>
        <w:rPr>
          <w:lang w:eastAsia="en-AU"/>
        </w:rPr>
      </w:pPr>
      <w:r>
        <w:rPr>
          <w:lang w:eastAsia="en-AU"/>
        </w:rPr>
        <w:t>All submissions received will be placed on the TGA’s Internet site, unless marked confidential. Any confidential</w:t>
      </w:r>
      <w:r w:rsidR="00907ACE">
        <w:rPr>
          <w:lang w:eastAsia="en-AU"/>
        </w:rPr>
        <w:t xml:space="preserve"> </w:t>
      </w:r>
      <w:r>
        <w:rPr>
          <w:lang w:eastAsia="en-AU"/>
        </w:rPr>
        <w:t>material contained within your submission should be provided under a separate cover and clearly marked</w:t>
      </w:r>
      <w:r w:rsidR="00907ACE">
        <w:rPr>
          <w:lang w:eastAsia="en-AU"/>
        </w:rPr>
        <w:t xml:space="preserve"> </w:t>
      </w:r>
      <w:r>
        <w:rPr>
          <w:lang w:eastAsia="en-AU"/>
        </w:rPr>
        <w:t>“IN CONFIDENCE”. Reasons for a claim to confidentiality must be included in the space provided on the TGA</w:t>
      </w:r>
      <w:r w:rsidR="00907ACE">
        <w:rPr>
          <w:lang w:eastAsia="en-AU"/>
        </w:rPr>
        <w:t xml:space="preserve"> </w:t>
      </w:r>
      <w:r>
        <w:rPr>
          <w:lang w:eastAsia="en-AU"/>
        </w:rPr>
        <w:t>submission coversheet.</w:t>
      </w:r>
      <w:r w:rsidR="00611B57">
        <w:rPr>
          <w:lang w:eastAsia="en-AU"/>
        </w:rPr>
        <w:t xml:space="preserve"> </w:t>
      </w:r>
      <w:r>
        <w:rPr>
          <w:lang w:eastAsia="en-AU"/>
        </w:rPr>
        <w:t>For submission made by individuals, all personal details, other than your name, will be removed from your</w:t>
      </w:r>
      <w:r w:rsidR="00611B57">
        <w:rPr>
          <w:lang w:eastAsia="en-AU"/>
        </w:rPr>
        <w:t xml:space="preserve"> </w:t>
      </w:r>
      <w:r>
        <w:rPr>
          <w:lang w:eastAsia="en-AU"/>
        </w:rPr>
        <w:t>submission before it is published on the TGA’s Internet site.</w:t>
      </w:r>
      <w:r w:rsidR="00611B57">
        <w:rPr>
          <w:lang w:eastAsia="en-AU"/>
        </w:rPr>
        <w:t xml:space="preserve"> </w:t>
      </w:r>
      <w:r>
        <w:rPr>
          <w:lang w:eastAsia="en-AU"/>
        </w:rPr>
        <w:t>In addition, a list of parties making submissions will be published. If you do not wish to be identified with your</w:t>
      </w:r>
      <w:r w:rsidR="00611B57">
        <w:rPr>
          <w:lang w:eastAsia="en-AU"/>
        </w:rPr>
        <w:t xml:space="preserve"> </w:t>
      </w:r>
      <w:r>
        <w:rPr>
          <w:lang w:eastAsia="en-AU"/>
        </w:rPr>
        <w:t>submission you must specifically request this in the space provided on the submission coversheet</w:t>
      </w:r>
      <w:r w:rsidR="00907ACE">
        <w:rPr>
          <w:lang w:eastAsia="en-AU"/>
        </w:rPr>
        <w:t>.</w:t>
      </w:r>
    </w:p>
    <w:p w:rsidR="00277EF5" w:rsidRDefault="00277EF5" w:rsidP="00277EF5">
      <w:pPr>
        <w:pStyle w:val="NonTOCHeading2"/>
      </w:pPr>
      <w:r>
        <w:lastRenderedPageBreak/>
        <w:t>Version history</w:t>
      </w:r>
    </w:p>
    <w:tbl>
      <w:tblPr>
        <w:tblStyle w:val="TableTGAblack"/>
        <w:tblW w:w="9038" w:type="dxa"/>
        <w:tblLayout w:type="fixed"/>
        <w:tblLook w:val="04A0"/>
      </w:tblPr>
      <w:tblGrid>
        <w:gridCol w:w="1276"/>
        <w:gridCol w:w="3242"/>
        <w:gridCol w:w="2712"/>
        <w:gridCol w:w="1808"/>
      </w:tblGrid>
      <w:tr w:rsidR="009A09AA" w:rsidTr="00870B12">
        <w:trPr>
          <w:cnfStyle w:val="100000000000"/>
          <w:tblHeader/>
        </w:trPr>
        <w:tc>
          <w:tcPr>
            <w:cnfStyle w:val="000000000100"/>
            <w:tcW w:w="1276" w:type="dxa"/>
          </w:tcPr>
          <w:p w:rsidR="00277EF5" w:rsidRDefault="00277EF5" w:rsidP="008D4740">
            <w:r>
              <w:t>Version</w:t>
            </w:r>
          </w:p>
        </w:tc>
        <w:tc>
          <w:tcPr>
            <w:tcW w:w="3242" w:type="dxa"/>
          </w:tcPr>
          <w:p w:rsidR="00277EF5" w:rsidRDefault="00277EF5" w:rsidP="008D4740">
            <w:pPr>
              <w:cnfStyle w:val="100000000000"/>
            </w:pPr>
            <w:r>
              <w:t>Description of change</w:t>
            </w:r>
          </w:p>
        </w:tc>
        <w:tc>
          <w:tcPr>
            <w:tcW w:w="2712" w:type="dxa"/>
          </w:tcPr>
          <w:p w:rsidR="00277EF5" w:rsidRDefault="00277EF5" w:rsidP="008D4740">
            <w:pPr>
              <w:cnfStyle w:val="100000000000"/>
            </w:pPr>
            <w:r>
              <w:t>Author</w:t>
            </w:r>
          </w:p>
        </w:tc>
        <w:tc>
          <w:tcPr>
            <w:tcW w:w="1808" w:type="dxa"/>
          </w:tcPr>
          <w:p w:rsidR="00277EF5" w:rsidRDefault="00277EF5" w:rsidP="008D4740">
            <w:pPr>
              <w:cnfStyle w:val="100000000000"/>
            </w:pPr>
            <w:r>
              <w:t>Effective date</w:t>
            </w:r>
          </w:p>
        </w:tc>
      </w:tr>
      <w:tr w:rsidR="00F14845" w:rsidTr="009A09AA">
        <w:trPr>
          <w:trHeight w:val="1418"/>
        </w:trPr>
        <w:tc>
          <w:tcPr>
            <w:tcW w:w="1276" w:type="dxa"/>
          </w:tcPr>
          <w:p w:rsidR="00F14845" w:rsidRPr="00AA4E83" w:rsidRDefault="00F14845" w:rsidP="001A41DA">
            <w:pPr>
              <w:rPr>
                <w:szCs w:val="21"/>
              </w:rPr>
            </w:pPr>
            <w:r>
              <w:rPr>
                <w:szCs w:val="21"/>
              </w:rPr>
              <w:t>V1</w:t>
            </w:r>
          </w:p>
        </w:tc>
        <w:tc>
          <w:tcPr>
            <w:tcW w:w="3242" w:type="dxa"/>
          </w:tcPr>
          <w:p w:rsidR="00F14845" w:rsidRPr="007C2DA4" w:rsidRDefault="00F14845" w:rsidP="001A41DA">
            <w:r>
              <w:t>Initial document</w:t>
            </w:r>
          </w:p>
        </w:tc>
        <w:tc>
          <w:tcPr>
            <w:tcW w:w="2712" w:type="dxa"/>
          </w:tcPr>
          <w:p w:rsidR="00F14845" w:rsidRDefault="00894202" w:rsidP="008D4740">
            <w:r>
              <w:t>TGA</w:t>
            </w:r>
          </w:p>
        </w:tc>
        <w:tc>
          <w:tcPr>
            <w:tcW w:w="1808" w:type="dxa"/>
          </w:tcPr>
          <w:p w:rsidR="00F14845" w:rsidRPr="006D7D1D" w:rsidRDefault="00F14845" w:rsidP="001A41DA">
            <w:r>
              <w:t>2001</w:t>
            </w:r>
          </w:p>
        </w:tc>
      </w:tr>
      <w:tr w:rsidR="00894202" w:rsidTr="009A09AA">
        <w:trPr>
          <w:trHeight w:val="1418"/>
        </w:trPr>
        <w:tc>
          <w:tcPr>
            <w:tcW w:w="1276" w:type="dxa"/>
          </w:tcPr>
          <w:p w:rsidR="00894202" w:rsidRPr="00AA4E83" w:rsidRDefault="00894202" w:rsidP="001A41DA">
            <w:pPr>
              <w:rPr>
                <w:szCs w:val="21"/>
              </w:rPr>
            </w:pPr>
            <w:r>
              <w:rPr>
                <w:szCs w:val="21"/>
              </w:rPr>
              <w:t>V2 to V3</w:t>
            </w:r>
          </w:p>
        </w:tc>
        <w:tc>
          <w:tcPr>
            <w:tcW w:w="3242" w:type="dxa"/>
          </w:tcPr>
          <w:p w:rsidR="00894202" w:rsidRPr="007C2DA4" w:rsidRDefault="00894202" w:rsidP="00894202">
            <w:r>
              <w:t>Minor revisions</w:t>
            </w:r>
          </w:p>
        </w:tc>
        <w:tc>
          <w:tcPr>
            <w:tcW w:w="2712" w:type="dxa"/>
          </w:tcPr>
          <w:p w:rsidR="00894202" w:rsidRDefault="00894202" w:rsidP="008D4740">
            <w:r>
              <w:t>TGA</w:t>
            </w:r>
          </w:p>
        </w:tc>
        <w:tc>
          <w:tcPr>
            <w:tcW w:w="1808" w:type="dxa"/>
          </w:tcPr>
          <w:p w:rsidR="00894202" w:rsidRPr="006D7D1D" w:rsidRDefault="00894202" w:rsidP="001A41DA">
            <w:r>
              <w:t>2004</w:t>
            </w:r>
          </w:p>
        </w:tc>
      </w:tr>
      <w:tr w:rsidR="003F1EE8" w:rsidTr="009A09AA">
        <w:trPr>
          <w:trHeight w:val="1418"/>
        </w:trPr>
        <w:tc>
          <w:tcPr>
            <w:tcW w:w="1276" w:type="dxa"/>
          </w:tcPr>
          <w:p w:rsidR="00F14845" w:rsidRDefault="003F1EE8" w:rsidP="001A41DA">
            <w:pPr>
              <w:rPr>
                <w:szCs w:val="21"/>
              </w:rPr>
            </w:pPr>
            <w:r w:rsidRPr="00AA4E83">
              <w:rPr>
                <w:szCs w:val="21"/>
              </w:rPr>
              <w:t>V4.0</w:t>
            </w:r>
            <w:r w:rsidR="00F14845" w:rsidRPr="00AA4E83">
              <w:rPr>
                <w:szCs w:val="21"/>
              </w:rPr>
              <w:t xml:space="preserve"> </w:t>
            </w:r>
          </w:p>
          <w:p w:rsidR="003F1EE8" w:rsidRPr="00AA4E83" w:rsidRDefault="003F1EE8" w:rsidP="001A41DA">
            <w:pPr>
              <w:rPr>
                <w:szCs w:val="21"/>
              </w:rPr>
            </w:pPr>
          </w:p>
        </w:tc>
        <w:tc>
          <w:tcPr>
            <w:tcW w:w="3242" w:type="dxa"/>
          </w:tcPr>
          <w:p w:rsidR="003F1EE8" w:rsidRPr="007C2DA4" w:rsidRDefault="003F1EE8" w:rsidP="00894202">
            <w:r w:rsidRPr="007C2DA4">
              <w:t xml:space="preserve">The ARGCM </w:t>
            </w:r>
            <w:r w:rsidR="00894202" w:rsidRPr="007C2DA4">
              <w:t>transferred into the new TGA template</w:t>
            </w:r>
            <w:r w:rsidR="00894202">
              <w:t>. C</w:t>
            </w:r>
            <w:r w:rsidR="00894202" w:rsidRPr="007C2DA4">
              <w:t>orrections of typographic errors</w:t>
            </w:r>
            <w:r w:rsidR="00894202">
              <w:t xml:space="preserve">, definitions </w:t>
            </w:r>
            <w:r w:rsidR="00894202" w:rsidRPr="007C2DA4">
              <w:t xml:space="preserve">and </w:t>
            </w:r>
            <w:r w:rsidR="00894202">
              <w:t>c</w:t>
            </w:r>
            <w:r w:rsidR="00894202" w:rsidRPr="007C2DA4">
              <w:t xml:space="preserve">larification </w:t>
            </w:r>
            <w:r w:rsidR="004F6F37">
              <w:t xml:space="preserve">of </w:t>
            </w:r>
            <w:r w:rsidR="00894202" w:rsidRPr="007C2DA4">
              <w:t>information to reflect internal processes.</w:t>
            </w:r>
          </w:p>
        </w:tc>
        <w:tc>
          <w:tcPr>
            <w:tcW w:w="2712" w:type="dxa"/>
          </w:tcPr>
          <w:p w:rsidR="003F1EE8" w:rsidRDefault="003F1EE8" w:rsidP="008D4740">
            <w:r>
              <w:t>TGA</w:t>
            </w:r>
          </w:p>
        </w:tc>
        <w:tc>
          <w:tcPr>
            <w:tcW w:w="1808" w:type="dxa"/>
          </w:tcPr>
          <w:p w:rsidR="003F1EE8" w:rsidRPr="006D7D1D" w:rsidRDefault="003F1EE8" w:rsidP="001A41DA">
            <w:r w:rsidRPr="006D7D1D">
              <w:t>2011</w:t>
            </w:r>
          </w:p>
        </w:tc>
      </w:tr>
      <w:tr w:rsidR="00894202" w:rsidTr="00894202">
        <w:trPr>
          <w:trHeight w:val="1418"/>
        </w:trPr>
        <w:tc>
          <w:tcPr>
            <w:tcW w:w="1276" w:type="dxa"/>
          </w:tcPr>
          <w:p w:rsidR="00894202" w:rsidRPr="00AA4E83" w:rsidRDefault="00894202" w:rsidP="00894202">
            <w:pPr>
              <w:rPr>
                <w:szCs w:val="21"/>
              </w:rPr>
            </w:pPr>
            <w:r w:rsidRPr="00AA4E83">
              <w:rPr>
                <w:szCs w:val="21"/>
              </w:rPr>
              <w:t>V5.0</w:t>
            </w:r>
          </w:p>
        </w:tc>
        <w:tc>
          <w:tcPr>
            <w:tcW w:w="3242" w:type="dxa"/>
          </w:tcPr>
          <w:p w:rsidR="00894202" w:rsidRPr="007C2DA4" w:rsidRDefault="00894202" w:rsidP="00894202">
            <w:r w:rsidRPr="007C2DA4">
              <w:t>Restructure of ARGCM (from parts 1,2,3,4 &amp; 5 to Pa</w:t>
            </w:r>
            <w:r>
              <w:t>rts A,B,C &amp; D with Attachments) to increase the useability of the guidelines and to ensure the information provided is reflective of current regulatory requirements.</w:t>
            </w:r>
          </w:p>
        </w:tc>
        <w:tc>
          <w:tcPr>
            <w:tcW w:w="2712" w:type="dxa"/>
          </w:tcPr>
          <w:p w:rsidR="00894202" w:rsidRDefault="00894202" w:rsidP="00894202">
            <w:r>
              <w:t>TGA</w:t>
            </w:r>
          </w:p>
        </w:tc>
        <w:tc>
          <w:tcPr>
            <w:tcW w:w="1808" w:type="dxa"/>
          </w:tcPr>
          <w:p w:rsidR="00894202" w:rsidRPr="006D7D1D" w:rsidRDefault="00894202" w:rsidP="00894202">
            <w:r>
              <w:t>September 2012</w:t>
            </w:r>
          </w:p>
        </w:tc>
      </w:tr>
    </w:tbl>
    <w:p w:rsidR="00277EF5" w:rsidRDefault="00277EF5" w:rsidP="00372CF9">
      <w:pPr>
        <w:spacing w:before="0" w:after="0" w:line="240" w:lineRule="auto"/>
      </w:pPr>
      <w:r>
        <w:br w:type="page"/>
      </w:r>
    </w:p>
    <w:bookmarkStart w:id="0" w:name="_Toc323738670" w:displacedByCustomXml="next"/>
    <w:sdt>
      <w:sdtPr>
        <w:rPr>
          <w:rFonts w:ascii="Cambria" w:hAnsi="Cambria"/>
          <w:b w:val="0"/>
          <w:bCs/>
          <w:sz w:val="22"/>
        </w:rPr>
        <w:id w:val="5618011"/>
        <w:docPartObj>
          <w:docPartGallery w:val="Table of Contents"/>
          <w:docPartUnique/>
        </w:docPartObj>
      </w:sdtPr>
      <w:sdtEndPr>
        <w:rPr>
          <w:b/>
          <w:bCs w:val="0"/>
          <w:sz w:val="25"/>
        </w:rPr>
      </w:sdtEndPr>
      <w:sdtContent>
        <w:p w:rsidR="00F8365F" w:rsidRPr="00F8365F" w:rsidRDefault="00F8365F" w:rsidP="00455A6F">
          <w:pPr>
            <w:pStyle w:val="Contents"/>
          </w:pPr>
          <w:r w:rsidRPr="00F8365F">
            <w:t>Contents</w:t>
          </w:r>
        </w:p>
        <w:p w:rsidR="00997619" w:rsidRDefault="0031131E">
          <w:pPr>
            <w:pStyle w:val="TOC1"/>
            <w:rPr>
              <w:rFonts w:asciiTheme="minorHAnsi" w:eastAsiaTheme="minorEastAsia" w:hAnsiTheme="minorHAnsi" w:cstheme="minorBidi"/>
              <w:b w:val="0"/>
              <w:noProof/>
              <w:sz w:val="22"/>
              <w:lang w:eastAsia="en-AU"/>
            </w:rPr>
          </w:pPr>
          <w:r>
            <w:rPr>
              <w:b w:val="0"/>
            </w:rPr>
            <w:fldChar w:fldCharType="begin"/>
          </w:r>
          <w:r w:rsidR="000C5A31">
            <w:rPr>
              <w:b w:val="0"/>
            </w:rPr>
            <w:instrText xml:space="preserve"> TOC \h \z \u \t "Heading 2,1,Heading 3,2,Heading 4,3" </w:instrText>
          </w:r>
          <w:r>
            <w:rPr>
              <w:b w:val="0"/>
            </w:rPr>
            <w:fldChar w:fldCharType="separate"/>
          </w:r>
          <w:hyperlink w:anchor="_Toc337635084" w:history="1">
            <w:r w:rsidR="00997619" w:rsidRPr="00EE7FD9">
              <w:rPr>
                <w:rStyle w:val="Hyperlink"/>
                <w:noProof/>
              </w:rPr>
              <w:t>ARGCM Part A: General guidance</w:t>
            </w:r>
            <w:r w:rsidR="00997619">
              <w:rPr>
                <w:noProof/>
                <w:webHidden/>
              </w:rPr>
              <w:tab/>
            </w:r>
            <w:r>
              <w:rPr>
                <w:noProof/>
                <w:webHidden/>
              </w:rPr>
              <w:fldChar w:fldCharType="begin"/>
            </w:r>
            <w:r w:rsidR="00997619">
              <w:rPr>
                <w:noProof/>
                <w:webHidden/>
              </w:rPr>
              <w:instrText xml:space="preserve"> PAGEREF _Toc337635084 \h </w:instrText>
            </w:r>
            <w:r>
              <w:rPr>
                <w:noProof/>
                <w:webHidden/>
              </w:rPr>
            </w:r>
            <w:r>
              <w:rPr>
                <w:noProof/>
                <w:webHidden/>
              </w:rPr>
              <w:fldChar w:fldCharType="separate"/>
            </w:r>
            <w:r w:rsidR="00997619">
              <w:rPr>
                <w:noProof/>
                <w:webHidden/>
              </w:rPr>
              <w:t>8</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085" w:history="1">
            <w:r w:rsidR="00997619" w:rsidRPr="00EE7FD9">
              <w:rPr>
                <w:rStyle w:val="Hyperlink"/>
                <w:noProof/>
              </w:rPr>
              <w:t>Introduction to the ARGCM</w:t>
            </w:r>
            <w:r w:rsidR="00997619">
              <w:rPr>
                <w:noProof/>
                <w:webHidden/>
              </w:rPr>
              <w:tab/>
            </w:r>
            <w:r>
              <w:rPr>
                <w:noProof/>
                <w:webHidden/>
              </w:rPr>
              <w:fldChar w:fldCharType="begin"/>
            </w:r>
            <w:r w:rsidR="00997619">
              <w:rPr>
                <w:noProof/>
                <w:webHidden/>
              </w:rPr>
              <w:instrText xml:space="preserve"> PAGEREF _Toc337635085 \h </w:instrText>
            </w:r>
            <w:r>
              <w:rPr>
                <w:noProof/>
                <w:webHidden/>
              </w:rPr>
            </w:r>
            <w:r>
              <w:rPr>
                <w:noProof/>
                <w:webHidden/>
              </w:rPr>
              <w:fldChar w:fldCharType="separate"/>
            </w:r>
            <w:r w:rsidR="00997619">
              <w:rPr>
                <w:noProof/>
                <w:webHidden/>
              </w:rPr>
              <w:t>8</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086" w:history="1">
            <w:r w:rsidR="00997619" w:rsidRPr="00EE7FD9">
              <w:rPr>
                <w:rStyle w:val="Hyperlink"/>
                <w:noProof/>
              </w:rPr>
              <w:t>Legislation</w:t>
            </w:r>
            <w:r w:rsidR="00997619">
              <w:rPr>
                <w:noProof/>
                <w:webHidden/>
              </w:rPr>
              <w:tab/>
            </w:r>
            <w:r>
              <w:rPr>
                <w:noProof/>
                <w:webHidden/>
              </w:rPr>
              <w:fldChar w:fldCharType="begin"/>
            </w:r>
            <w:r w:rsidR="00997619">
              <w:rPr>
                <w:noProof/>
                <w:webHidden/>
              </w:rPr>
              <w:instrText xml:space="preserve"> PAGEREF _Toc337635086 \h </w:instrText>
            </w:r>
            <w:r>
              <w:rPr>
                <w:noProof/>
                <w:webHidden/>
              </w:rPr>
            </w:r>
            <w:r>
              <w:rPr>
                <w:noProof/>
                <w:webHidden/>
              </w:rPr>
              <w:fldChar w:fldCharType="separate"/>
            </w:r>
            <w:r w:rsidR="00997619">
              <w:rPr>
                <w:noProof/>
                <w:webHidden/>
              </w:rPr>
              <w:t>8</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87" w:history="1">
            <w:r w:rsidR="00997619" w:rsidRPr="00EE7FD9">
              <w:rPr>
                <w:rStyle w:val="Hyperlink"/>
                <w:noProof/>
              </w:rPr>
              <w:t>Relevant regulatory requirements</w:t>
            </w:r>
            <w:r w:rsidR="00997619">
              <w:rPr>
                <w:noProof/>
                <w:webHidden/>
              </w:rPr>
              <w:tab/>
            </w:r>
            <w:r>
              <w:rPr>
                <w:noProof/>
                <w:webHidden/>
              </w:rPr>
              <w:fldChar w:fldCharType="begin"/>
            </w:r>
            <w:r w:rsidR="00997619">
              <w:rPr>
                <w:noProof/>
                <w:webHidden/>
              </w:rPr>
              <w:instrText xml:space="preserve"> PAGEREF _Toc337635087 \h </w:instrText>
            </w:r>
            <w:r>
              <w:rPr>
                <w:noProof/>
                <w:webHidden/>
              </w:rPr>
            </w:r>
            <w:r>
              <w:rPr>
                <w:noProof/>
                <w:webHidden/>
              </w:rPr>
              <w:fldChar w:fldCharType="separate"/>
            </w:r>
            <w:r w:rsidR="00997619">
              <w:rPr>
                <w:noProof/>
                <w:webHidden/>
              </w:rPr>
              <w:t>8</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88" w:history="1">
            <w:r w:rsidR="00997619" w:rsidRPr="00EE7FD9">
              <w:rPr>
                <w:rStyle w:val="Hyperlink"/>
                <w:noProof/>
              </w:rPr>
              <w:t>Default Standards, compositional guidelines and relevant guidelines</w:t>
            </w:r>
            <w:r w:rsidR="00997619">
              <w:rPr>
                <w:noProof/>
                <w:webHidden/>
              </w:rPr>
              <w:tab/>
            </w:r>
            <w:r>
              <w:rPr>
                <w:noProof/>
                <w:webHidden/>
              </w:rPr>
              <w:fldChar w:fldCharType="begin"/>
            </w:r>
            <w:r w:rsidR="00997619">
              <w:rPr>
                <w:noProof/>
                <w:webHidden/>
              </w:rPr>
              <w:instrText xml:space="preserve"> PAGEREF _Toc337635088 \h </w:instrText>
            </w:r>
            <w:r>
              <w:rPr>
                <w:noProof/>
                <w:webHidden/>
              </w:rPr>
            </w:r>
            <w:r>
              <w:rPr>
                <w:noProof/>
                <w:webHidden/>
              </w:rPr>
              <w:fldChar w:fldCharType="separate"/>
            </w:r>
            <w:r w:rsidR="00997619">
              <w:rPr>
                <w:noProof/>
                <w:webHidden/>
              </w:rPr>
              <w:t>9</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89" w:history="1">
            <w:r w:rsidR="00997619" w:rsidRPr="00EE7FD9">
              <w:rPr>
                <w:rStyle w:val="Hyperlink"/>
                <w:noProof/>
              </w:rPr>
              <w:t>Other legislation and requirements</w:t>
            </w:r>
            <w:r w:rsidR="00997619">
              <w:rPr>
                <w:noProof/>
                <w:webHidden/>
              </w:rPr>
              <w:tab/>
            </w:r>
            <w:r>
              <w:rPr>
                <w:noProof/>
                <w:webHidden/>
              </w:rPr>
              <w:fldChar w:fldCharType="begin"/>
            </w:r>
            <w:r w:rsidR="00997619">
              <w:rPr>
                <w:noProof/>
                <w:webHidden/>
              </w:rPr>
              <w:instrText xml:space="preserve"> PAGEREF _Toc337635089 \h </w:instrText>
            </w:r>
            <w:r>
              <w:rPr>
                <w:noProof/>
                <w:webHidden/>
              </w:rPr>
            </w:r>
            <w:r>
              <w:rPr>
                <w:noProof/>
                <w:webHidden/>
              </w:rPr>
              <w:fldChar w:fldCharType="separate"/>
            </w:r>
            <w:r w:rsidR="00997619">
              <w:rPr>
                <w:noProof/>
                <w:webHidden/>
              </w:rPr>
              <w:t>10</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090" w:history="1">
            <w:r w:rsidR="00997619" w:rsidRPr="00EE7FD9">
              <w:rPr>
                <w:rStyle w:val="Hyperlink"/>
                <w:noProof/>
              </w:rPr>
              <w:t>The regulation of therapeutic goods in Australia</w:t>
            </w:r>
            <w:r w:rsidR="00997619">
              <w:rPr>
                <w:noProof/>
                <w:webHidden/>
              </w:rPr>
              <w:tab/>
            </w:r>
            <w:r>
              <w:rPr>
                <w:noProof/>
                <w:webHidden/>
              </w:rPr>
              <w:fldChar w:fldCharType="begin"/>
            </w:r>
            <w:r w:rsidR="00997619">
              <w:rPr>
                <w:noProof/>
                <w:webHidden/>
              </w:rPr>
              <w:instrText xml:space="preserve"> PAGEREF _Toc337635090 \h </w:instrText>
            </w:r>
            <w:r>
              <w:rPr>
                <w:noProof/>
                <w:webHidden/>
              </w:rPr>
            </w:r>
            <w:r>
              <w:rPr>
                <w:noProof/>
                <w:webHidden/>
              </w:rPr>
              <w:fldChar w:fldCharType="separate"/>
            </w:r>
            <w:r w:rsidR="00997619">
              <w:rPr>
                <w:noProof/>
                <w:webHidden/>
              </w:rPr>
              <w:t>11</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91" w:history="1">
            <w:r w:rsidR="00997619" w:rsidRPr="00EE7FD9">
              <w:rPr>
                <w:rStyle w:val="Hyperlink"/>
                <w:noProof/>
              </w:rPr>
              <w:t>Australian Register of Therapeutic Goods (ARTG)</w:t>
            </w:r>
            <w:r w:rsidR="00997619">
              <w:rPr>
                <w:noProof/>
                <w:webHidden/>
              </w:rPr>
              <w:tab/>
            </w:r>
            <w:r>
              <w:rPr>
                <w:noProof/>
                <w:webHidden/>
              </w:rPr>
              <w:fldChar w:fldCharType="begin"/>
            </w:r>
            <w:r w:rsidR="00997619">
              <w:rPr>
                <w:noProof/>
                <w:webHidden/>
              </w:rPr>
              <w:instrText xml:space="preserve"> PAGEREF _Toc337635091 \h </w:instrText>
            </w:r>
            <w:r>
              <w:rPr>
                <w:noProof/>
                <w:webHidden/>
              </w:rPr>
            </w:r>
            <w:r>
              <w:rPr>
                <w:noProof/>
                <w:webHidden/>
              </w:rPr>
              <w:fldChar w:fldCharType="separate"/>
            </w:r>
            <w:r w:rsidR="00997619">
              <w:rPr>
                <w:noProof/>
                <w:webHidden/>
              </w:rPr>
              <w:t>12</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92" w:history="1">
            <w:r w:rsidR="00997619" w:rsidRPr="00EE7FD9">
              <w:rPr>
                <w:rStyle w:val="Hyperlink"/>
                <w:noProof/>
              </w:rPr>
              <w:t>Registered and listed and medicines</w:t>
            </w:r>
            <w:r w:rsidR="00997619">
              <w:rPr>
                <w:noProof/>
                <w:webHidden/>
              </w:rPr>
              <w:tab/>
            </w:r>
            <w:r>
              <w:rPr>
                <w:noProof/>
                <w:webHidden/>
              </w:rPr>
              <w:fldChar w:fldCharType="begin"/>
            </w:r>
            <w:r w:rsidR="00997619">
              <w:rPr>
                <w:noProof/>
                <w:webHidden/>
              </w:rPr>
              <w:instrText xml:space="preserve"> PAGEREF _Toc337635092 \h </w:instrText>
            </w:r>
            <w:r>
              <w:rPr>
                <w:noProof/>
                <w:webHidden/>
              </w:rPr>
            </w:r>
            <w:r>
              <w:rPr>
                <w:noProof/>
                <w:webHidden/>
              </w:rPr>
              <w:fldChar w:fldCharType="separate"/>
            </w:r>
            <w:r w:rsidR="00997619">
              <w:rPr>
                <w:noProof/>
                <w:webHidden/>
              </w:rPr>
              <w:t>12</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93" w:history="1">
            <w:r w:rsidR="00997619" w:rsidRPr="00EE7FD9">
              <w:rPr>
                <w:rStyle w:val="Hyperlink"/>
                <w:noProof/>
              </w:rPr>
              <w:t>Medicines for export</w:t>
            </w:r>
            <w:r w:rsidR="00997619">
              <w:rPr>
                <w:noProof/>
                <w:webHidden/>
              </w:rPr>
              <w:tab/>
            </w:r>
            <w:r>
              <w:rPr>
                <w:noProof/>
                <w:webHidden/>
              </w:rPr>
              <w:fldChar w:fldCharType="begin"/>
            </w:r>
            <w:r w:rsidR="00997619">
              <w:rPr>
                <w:noProof/>
                <w:webHidden/>
              </w:rPr>
              <w:instrText xml:space="preserve"> PAGEREF _Toc337635093 \h </w:instrText>
            </w:r>
            <w:r>
              <w:rPr>
                <w:noProof/>
                <w:webHidden/>
              </w:rPr>
            </w:r>
            <w:r>
              <w:rPr>
                <w:noProof/>
                <w:webHidden/>
              </w:rPr>
              <w:fldChar w:fldCharType="separate"/>
            </w:r>
            <w:r w:rsidR="00997619">
              <w:rPr>
                <w:noProof/>
                <w:webHidden/>
              </w:rPr>
              <w:t>13</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94" w:history="1">
            <w:r w:rsidR="00997619" w:rsidRPr="00EE7FD9">
              <w:rPr>
                <w:rStyle w:val="Hyperlink"/>
                <w:noProof/>
              </w:rPr>
              <w:t>Route of evaluation</w:t>
            </w:r>
            <w:r w:rsidR="00997619">
              <w:rPr>
                <w:noProof/>
                <w:webHidden/>
              </w:rPr>
              <w:tab/>
            </w:r>
            <w:r>
              <w:rPr>
                <w:noProof/>
                <w:webHidden/>
              </w:rPr>
              <w:fldChar w:fldCharType="begin"/>
            </w:r>
            <w:r w:rsidR="00997619">
              <w:rPr>
                <w:noProof/>
                <w:webHidden/>
              </w:rPr>
              <w:instrText xml:space="preserve"> PAGEREF _Toc337635094 \h </w:instrText>
            </w:r>
            <w:r>
              <w:rPr>
                <w:noProof/>
                <w:webHidden/>
              </w:rPr>
            </w:r>
            <w:r>
              <w:rPr>
                <w:noProof/>
                <w:webHidden/>
              </w:rPr>
              <w:fldChar w:fldCharType="separate"/>
            </w:r>
            <w:r w:rsidR="00997619">
              <w:rPr>
                <w:noProof/>
                <w:webHidden/>
              </w:rPr>
              <w:t>14</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95" w:history="1">
            <w:r w:rsidR="00997619" w:rsidRPr="00EE7FD9">
              <w:rPr>
                <w:rStyle w:val="Hyperlink"/>
                <w:noProof/>
              </w:rPr>
              <w:t>Approved terminology for medicines</w:t>
            </w:r>
            <w:r w:rsidR="00997619">
              <w:rPr>
                <w:noProof/>
                <w:webHidden/>
              </w:rPr>
              <w:tab/>
            </w:r>
            <w:r>
              <w:rPr>
                <w:noProof/>
                <w:webHidden/>
              </w:rPr>
              <w:fldChar w:fldCharType="begin"/>
            </w:r>
            <w:r w:rsidR="00997619">
              <w:rPr>
                <w:noProof/>
                <w:webHidden/>
              </w:rPr>
              <w:instrText xml:space="preserve"> PAGEREF _Toc337635095 \h </w:instrText>
            </w:r>
            <w:r>
              <w:rPr>
                <w:noProof/>
                <w:webHidden/>
              </w:rPr>
            </w:r>
            <w:r>
              <w:rPr>
                <w:noProof/>
                <w:webHidden/>
              </w:rPr>
              <w:fldChar w:fldCharType="separate"/>
            </w:r>
            <w:r w:rsidR="00997619">
              <w:rPr>
                <w:noProof/>
                <w:webHidden/>
              </w:rPr>
              <w:t>14</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96" w:history="1">
            <w:r w:rsidR="00997619" w:rsidRPr="00EE7FD9">
              <w:rPr>
                <w:rStyle w:val="Hyperlink"/>
                <w:noProof/>
              </w:rPr>
              <w:t>Active and excipient ingredients</w:t>
            </w:r>
            <w:r w:rsidR="00997619">
              <w:rPr>
                <w:noProof/>
                <w:webHidden/>
              </w:rPr>
              <w:tab/>
            </w:r>
            <w:r>
              <w:rPr>
                <w:noProof/>
                <w:webHidden/>
              </w:rPr>
              <w:fldChar w:fldCharType="begin"/>
            </w:r>
            <w:r w:rsidR="00997619">
              <w:rPr>
                <w:noProof/>
                <w:webHidden/>
              </w:rPr>
              <w:instrText xml:space="preserve"> PAGEREF _Toc337635096 \h </w:instrText>
            </w:r>
            <w:r>
              <w:rPr>
                <w:noProof/>
                <w:webHidden/>
              </w:rPr>
            </w:r>
            <w:r>
              <w:rPr>
                <w:noProof/>
                <w:webHidden/>
              </w:rPr>
              <w:fldChar w:fldCharType="separate"/>
            </w:r>
            <w:r w:rsidR="00997619">
              <w:rPr>
                <w:noProof/>
                <w:webHidden/>
              </w:rPr>
              <w:t>16</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97" w:history="1">
            <w:r w:rsidR="00997619" w:rsidRPr="00EE7FD9">
              <w:rPr>
                <w:rStyle w:val="Hyperlink"/>
                <w:noProof/>
              </w:rPr>
              <w:t>Incidental minor excipients</w:t>
            </w:r>
            <w:r w:rsidR="00997619">
              <w:rPr>
                <w:noProof/>
                <w:webHidden/>
              </w:rPr>
              <w:tab/>
            </w:r>
            <w:r>
              <w:rPr>
                <w:noProof/>
                <w:webHidden/>
              </w:rPr>
              <w:fldChar w:fldCharType="begin"/>
            </w:r>
            <w:r w:rsidR="00997619">
              <w:rPr>
                <w:noProof/>
                <w:webHidden/>
              </w:rPr>
              <w:instrText xml:space="preserve"> PAGEREF _Toc337635097 \h </w:instrText>
            </w:r>
            <w:r>
              <w:rPr>
                <w:noProof/>
                <w:webHidden/>
              </w:rPr>
            </w:r>
            <w:r>
              <w:rPr>
                <w:noProof/>
                <w:webHidden/>
              </w:rPr>
              <w:fldChar w:fldCharType="separate"/>
            </w:r>
            <w:r w:rsidR="00997619">
              <w:rPr>
                <w:noProof/>
                <w:webHidden/>
              </w:rPr>
              <w:t>16</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98" w:history="1">
            <w:r w:rsidR="00997619" w:rsidRPr="00EE7FD9">
              <w:rPr>
                <w:rStyle w:val="Hyperlink"/>
                <w:noProof/>
              </w:rPr>
              <w:t>Colourings permitted for use in medicines</w:t>
            </w:r>
            <w:r w:rsidR="00997619">
              <w:rPr>
                <w:noProof/>
                <w:webHidden/>
              </w:rPr>
              <w:tab/>
            </w:r>
            <w:r>
              <w:rPr>
                <w:noProof/>
                <w:webHidden/>
              </w:rPr>
              <w:fldChar w:fldCharType="begin"/>
            </w:r>
            <w:r w:rsidR="00997619">
              <w:rPr>
                <w:noProof/>
                <w:webHidden/>
              </w:rPr>
              <w:instrText xml:space="preserve"> PAGEREF _Toc337635098 \h </w:instrText>
            </w:r>
            <w:r>
              <w:rPr>
                <w:noProof/>
                <w:webHidden/>
              </w:rPr>
            </w:r>
            <w:r>
              <w:rPr>
                <w:noProof/>
                <w:webHidden/>
              </w:rPr>
              <w:fldChar w:fldCharType="separate"/>
            </w:r>
            <w:r w:rsidR="00997619">
              <w:rPr>
                <w:noProof/>
                <w:webHidden/>
              </w:rPr>
              <w:t>17</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099" w:history="1">
            <w:r w:rsidR="00997619" w:rsidRPr="00EE7FD9">
              <w:rPr>
                <w:rStyle w:val="Hyperlink"/>
                <w:noProof/>
              </w:rPr>
              <w:t>Proprietary ingredients</w:t>
            </w:r>
            <w:r w:rsidR="00997619">
              <w:rPr>
                <w:noProof/>
                <w:webHidden/>
              </w:rPr>
              <w:tab/>
            </w:r>
            <w:r>
              <w:rPr>
                <w:noProof/>
                <w:webHidden/>
              </w:rPr>
              <w:fldChar w:fldCharType="begin"/>
            </w:r>
            <w:r w:rsidR="00997619">
              <w:rPr>
                <w:noProof/>
                <w:webHidden/>
              </w:rPr>
              <w:instrText xml:space="preserve"> PAGEREF _Toc337635099 \h </w:instrText>
            </w:r>
            <w:r>
              <w:rPr>
                <w:noProof/>
                <w:webHidden/>
              </w:rPr>
            </w:r>
            <w:r>
              <w:rPr>
                <w:noProof/>
                <w:webHidden/>
              </w:rPr>
              <w:fldChar w:fldCharType="separate"/>
            </w:r>
            <w:r w:rsidR="00997619">
              <w:rPr>
                <w:noProof/>
                <w:webHidden/>
              </w:rPr>
              <w:t>17</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00" w:history="1">
            <w:r w:rsidR="00997619" w:rsidRPr="00EE7FD9">
              <w:rPr>
                <w:rStyle w:val="Hyperlink"/>
                <w:noProof/>
              </w:rPr>
              <w:t>Active Herbal Extracts</w:t>
            </w:r>
            <w:r w:rsidR="00997619">
              <w:rPr>
                <w:noProof/>
                <w:webHidden/>
              </w:rPr>
              <w:tab/>
            </w:r>
            <w:r>
              <w:rPr>
                <w:noProof/>
                <w:webHidden/>
              </w:rPr>
              <w:fldChar w:fldCharType="begin"/>
            </w:r>
            <w:r w:rsidR="00997619">
              <w:rPr>
                <w:noProof/>
                <w:webHidden/>
              </w:rPr>
              <w:instrText xml:space="preserve"> PAGEREF _Toc337635100 \h </w:instrText>
            </w:r>
            <w:r>
              <w:rPr>
                <w:noProof/>
                <w:webHidden/>
              </w:rPr>
            </w:r>
            <w:r>
              <w:rPr>
                <w:noProof/>
                <w:webHidden/>
              </w:rPr>
              <w:fldChar w:fldCharType="separate"/>
            </w:r>
            <w:r w:rsidR="00997619">
              <w:rPr>
                <w:noProof/>
                <w:webHidden/>
              </w:rPr>
              <w:t>18</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01" w:history="1">
            <w:r w:rsidR="00997619" w:rsidRPr="00EE7FD9">
              <w:rPr>
                <w:rStyle w:val="Hyperlink"/>
                <w:noProof/>
              </w:rPr>
              <w:t>Composite packs and kits</w:t>
            </w:r>
            <w:r w:rsidR="00997619">
              <w:rPr>
                <w:noProof/>
                <w:webHidden/>
              </w:rPr>
              <w:tab/>
            </w:r>
            <w:r>
              <w:rPr>
                <w:noProof/>
                <w:webHidden/>
              </w:rPr>
              <w:fldChar w:fldCharType="begin"/>
            </w:r>
            <w:r w:rsidR="00997619">
              <w:rPr>
                <w:noProof/>
                <w:webHidden/>
              </w:rPr>
              <w:instrText xml:space="preserve"> PAGEREF _Toc337635101 \h </w:instrText>
            </w:r>
            <w:r>
              <w:rPr>
                <w:noProof/>
                <w:webHidden/>
              </w:rPr>
            </w:r>
            <w:r>
              <w:rPr>
                <w:noProof/>
                <w:webHidden/>
              </w:rPr>
              <w:fldChar w:fldCharType="separate"/>
            </w:r>
            <w:r w:rsidR="00997619">
              <w:rPr>
                <w:noProof/>
                <w:webHidden/>
              </w:rPr>
              <w:t>19</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02" w:history="1">
            <w:r w:rsidR="00997619" w:rsidRPr="00EE7FD9">
              <w:rPr>
                <w:rStyle w:val="Hyperlink"/>
                <w:noProof/>
              </w:rPr>
              <w:t>Medicine presentation/ medicine labels/advertising</w:t>
            </w:r>
            <w:r w:rsidR="00997619">
              <w:rPr>
                <w:noProof/>
                <w:webHidden/>
              </w:rPr>
              <w:tab/>
            </w:r>
            <w:r>
              <w:rPr>
                <w:noProof/>
                <w:webHidden/>
              </w:rPr>
              <w:fldChar w:fldCharType="begin"/>
            </w:r>
            <w:r w:rsidR="00997619">
              <w:rPr>
                <w:noProof/>
                <w:webHidden/>
              </w:rPr>
              <w:instrText xml:space="preserve"> PAGEREF _Toc337635102 \h </w:instrText>
            </w:r>
            <w:r>
              <w:rPr>
                <w:noProof/>
                <w:webHidden/>
              </w:rPr>
            </w:r>
            <w:r>
              <w:rPr>
                <w:noProof/>
                <w:webHidden/>
              </w:rPr>
              <w:fldChar w:fldCharType="separate"/>
            </w:r>
            <w:r w:rsidR="00997619">
              <w:rPr>
                <w:noProof/>
                <w:webHidden/>
              </w:rPr>
              <w:t>20</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03" w:history="1">
            <w:r w:rsidR="00997619" w:rsidRPr="00EE7FD9">
              <w:rPr>
                <w:rStyle w:val="Hyperlink"/>
                <w:noProof/>
              </w:rPr>
              <w:t>Exempt/excluded goods</w:t>
            </w:r>
            <w:r w:rsidR="00997619">
              <w:rPr>
                <w:noProof/>
                <w:webHidden/>
              </w:rPr>
              <w:tab/>
            </w:r>
            <w:r>
              <w:rPr>
                <w:noProof/>
                <w:webHidden/>
              </w:rPr>
              <w:fldChar w:fldCharType="begin"/>
            </w:r>
            <w:r w:rsidR="00997619">
              <w:rPr>
                <w:noProof/>
                <w:webHidden/>
              </w:rPr>
              <w:instrText xml:space="preserve"> PAGEREF _Toc337635103 \h </w:instrText>
            </w:r>
            <w:r>
              <w:rPr>
                <w:noProof/>
                <w:webHidden/>
              </w:rPr>
            </w:r>
            <w:r>
              <w:rPr>
                <w:noProof/>
                <w:webHidden/>
              </w:rPr>
              <w:fldChar w:fldCharType="separate"/>
            </w:r>
            <w:r w:rsidR="00997619">
              <w:rPr>
                <w:noProof/>
                <w:webHidden/>
              </w:rPr>
              <w:t>21</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04" w:history="1">
            <w:r w:rsidR="00997619" w:rsidRPr="00EE7FD9">
              <w:rPr>
                <w:rStyle w:val="Hyperlink"/>
                <w:noProof/>
              </w:rPr>
              <w:t>Interface issues</w:t>
            </w:r>
            <w:r w:rsidR="00997619">
              <w:rPr>
                <w:noProof/>
                <w:webHidden/>
              </w:rPr>
              <w:tab/>
            </w:r>
            <w:r>
              <w:rPr>
                <w:noProof/>
                <w:webHidden/>
              </w:rPr>
              <w:fldChar w:fldCharType="begin"/>
            </w:r>
            <w:r w:rsidR="00997619">
              <w:rPr>
                <w:noProof/>
                <w:webHidden/>
              </w:rPr>
              <w:instrText xml:space="preserve"> PAGEREF _Toc337635104 \h </w:instrText>
            </w:r>
            <w:r>
              <w:rPr>
                <w:noProof/>
                <w:webHidden/>
              </w:rPr>
            </w:r>
            <w:r>
              <w:rPr>
                <w:noProof/>
                <w:webHidden/>
              </w:rPr>
              <w:fldChar w:fldCharType="separate"/>
            </w:r>
            <w:r w:rsidR="00997619">
              <w:rPr>
                <w:noProof/>
                <w:webHidden/>
              </w:rPr>
              <w:t>22</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05" w:history="1">
            <w:r w:rsidR="00997619" w:rsidRPr="00EE7FD9">
              <w:rPr>
                <w:rStyle w:val="Hyperlink"/>
                <w:noProof/>
              </w:rPr>
              <w:t>Appeal mechanisms</w:t>
            </w:r>
            <w:r w:rsidR="00997619">
              <w:rPr>
                <w:noProof/>
                <w:webHidden/>
              </w:rPr>
              <w:tab/>
            </w:r>
            <w:r>
              <w:rPr>
                <w:noProof/>
                <w:webHidden/>
              </w:rPr>
              <w:fldChar w:fldCharType="begin"/>
            </w:r>
            <w:r w:rsidR="00997619">
              <w:rPr>
                <w:noProof/>
                <w:webHidden/>
              </w:rPr>
              <w:instrText xml:space="preserve"> PAGEREF _Toc337635105 \h </w:instrText>
            </w:r>
            <w:r>
              <w:rPr>
                <w:noProof/>
                <w:webHidden/>
              </w:rPr>
            </w:r>
            <w:r>
              <w:rPr>
                <w:noProof/>
                <w:webHidden/>
              </w:rPr>
              <w:fldChar w:fldCharType="separate"/>
            </w:r>
            <w:r w:rsidR="00997619">
              <w:rPr>
                <w:noProof/>
                <w:webHidden/>
              </w:rPr>
              <w:t>25</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106" w:history="1">
            <w:r w:rsidR="00997619" w:rsidRPr="00EE7FD9">
              <w:rPr>
                <w:rStyle w:val="Hyperlink"/>
                <w:noProof/>
              </w:rPr>
              <w:t>The regulation of complementary medicines</w:t>
            </w:r>
            <w:r w:rsidR="00997619">
              <w:rPr>
                <w:noProof/>
                <w:webHidden/>
              </w:rPr>
              <w:tab/>
            </w:r>
            <w:r>
              <w:rPr>
                <w:noProof/>
                <w:webHidden/>
              </w:rPr>
              <w:fldChar w:fldCharType="begin"/>
            </w:r>
            <w:r w:rsidR="00997619">
              <w:rPr>
                <w:noProof/>
                <w:webHidden/>
              </w:rPr>
              <w:instrText xml:space="preserve"> PAGEREF _Toc337635106 \h </w:instrText>
            </w:r>
            <w:r>
              <w:rPr>
                <w:noProof/>
                <w:webHidden/>
              </w:rPr>
            </w:r>
            <w:r>
              <w:rPr>
                <w:noProof/>
                <w:webHidden/>
              </w:rPr>
              <w:fldChar w:fldCharType="separate"/>
            </w:r>
            <w:r w:rsidR="00997619">
              <w:rPr>
                <w:noProof/>
                <w:webHidden/>
              </w:rPr>
              <w:t>27</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07" w:history="1">
            <w:r w:rsidR="00997619" w:rsidRPr="00EE7FD9">
              <w:rPr>
                <w:rStyle w:val="Hyperlink"/>
                <w:noProof/>
              </w:rPr>
              <w:t>Herbal medicines</w:t>
            </w:r>
            <w:r w:rsidR="00997619">
              <w:rPr>
                <w:noProof/>
                <w:webHidden/>
              </w:rPr>
              <w:tab/>
            </w:r>
            <w:r>
              <w:rPr>
                <w:noProof/>
                <w:webHidden/>
              </w:rPr>
              <w:fldChar w:fldCharType="begin"/>
            </w:r>
            <w:r w:rsidR="00997619">
              <w:rPr>
                <w:noProof/>
                <w:webHidden/>
              </w:rPr>
              <w:instrText xml:space="preserve"> PAGEREF _Toc337635107 \h </w:instrText>
            </w:r>
            <w:r>
              <w:rPr>
                <w:noProof/>
                <w:webHidden/>
              </w:rPr>
            </w:r>
            <w:r>
              <w:rPr>
                <w:noProof/>
                <w:webHidden/>
              </w:rPr>
              <w:fldChar w:fldCharType="separate"/>
            </w:r>
            <w:r w:rsidR="00997619">
              <w:rPr>
                <w:noProof/>
                <w:webHidden/>
              </w:rPr>
              <w:t>28</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08" w:history="1">
            <w:r w:rsidR="00997619" w:rsidRPr="00EE7FD9">
              <w:rPr>
                <w:rStyle w:val="Hyperlink"/>
                <w:noProof/>
              </w:rPr>
              <w:t>Traditional medicines</w:t>
            </w:r>
            <w:r w:rsidR="00997619">
              <w:rPr>
                <w:noProof/>
                <w:webHidden/>
              </w:rPr>
              <w:tab/>
            </w:r>
            <w:r>
              <w:rPr>
                <w:noProof/>
                <w:webHidden/>
              </w:rPr>
              <w:fldChar w:fldCharType="begin"/>
            </w:r>
            <w:r w:rsidR="00997619">
              <w:rPr>
                <w:noProof/>
                <w:webHidden/>
              </w:rPr>
              <w:instrText xml:space="preserve"> PAGEREF _Toc337635108 \h </w:instrText>
            </w:r>
            <w:r>
              <w:rPr>
                <w:noProof/>
                <w:webHidden/>
              </w:rPr>
            </w:r>
            <w:r>
              <w:rPr>
                <w:noProof/>
                <w:webHidden/>
              </w:rPr>
              <w:fldChar w:fldCharType="separate"/>
            </w:r>
            <w:r w:rsidR="00997619">
              <w:rPr>
                <w:noProof/>
                <w:webHidden/>
              </w:rPr>
              <w:t>29</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09" w:history="1">
            <w:r w:rsidR="00997619" w:rsidRPr="00EE7FD9">
              <w:rPr>
                <w:rStyle w:val="Hyperlink"/>
                <w:noProof/>
              </w:rPr>
              <w:t>Homoeopathic medicines</w:t>
            </w:r>
            <w:r w:rsidR="00997619">
              <w:rPr>
                <w:noProof/>
                <w:webHidden/>
              </w:rPr>
              <w:tab/>
            </w:r>
            <w:r>
              <w:rPr>
                <w:noProof/>
                <w:webHidden/>
              </w:rPr>
              <w:fldChar w:fldCharType="begin"/>
            </w:r>
            <w:r w:rsidR="00997619">
              <w:rPr>
                <w:noProof/>
                <w:webHidden/>
              </w:rPr>
              <w:instrText xml:space="preserve"> PAGEREF _Toc337635109 \h </w:instrText>
            </w:r>
            <w:r>
              <w:rPr>
                <w:noProof/>
                <w:webHidden/>
              </w:rPr>
            </w:r>
            <w:r>
              <w:rPr>
                <w:noProof/>
                <w:webHidden/>
              </w:rPr>
              <w:fldChar w:fldCharType="separate"/>
            </w:r>
            <w:r w:rsidR="00997619">
              <w:rPr>
                <w:noProof/>
                <w:webHidden/>
              </w:rPr>
              <w:t>30</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10" w:history="1">
            <w:r w:rsidR="00997619" w:rsidRPr="00EE7FD9">
              <w:rPr>
                <w:rStyle w:val="Hyperlink"/>
                <w:noProof/>
              </w:rPr>
              <w:t>Anthroposophic medicines</w:t>
            </w:r>
            <w:r w:rsidR="00997619">
              <w:rPr>
                <w:noProof/>
                <w:webHidden/>
              </w:rPr>
              <w:tab/>
            </w:r>
            <w:r>
              <w:rPr>
                <w:noProof/>
                <w:webHidden/>
              </w:rPr>
              <w:fldChar w:fldCharType="begin"/>
            </w:r>
            <w:r w:rsidR="00997619">
              <w:rPr>
                <w:noProof/>
                <w:webHidden/>
              </w:rPr>
              <w:instrText xml:space="preserve"> PAGEREF _Toc337635110 \h </w:instrText>
            </w:r>
            <w:r>
              <w:rPr>
                <w:noProof/>
                <w:webHidden/>
              </w:rPr>
            </w:r>
            <w:r>
              <w:rPr>
                <w:noProof/>
                <w:webHidden/>
              </w:rPr>
              <w:fldChar w:fldCharType="separate"/>
            </w:r>
            <w:r w:rsidR="00997619">
              <w:rPr>
                <w:noProof/>
                <w:webHidden/>
              </w:rPr>
              <w:t>34</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11" w:history="1">
            <w:r w:rsidR="00997619" w:rsidRPr="00EE7FD9">
              <w:rPr>
                <w:rStyle w:val="Hyperlink"/>
                <w:noProof/>
              </w:rPr>
              <w:t>Essential oils</w:t>
            </w:r>
            <w:r w:rsidR="00997619">
              <w:rPr>
                <w:noProof/>
                <w:webHidden/>
              </w:rPr>
              <w:tab/>
            </w:r>
            <w:r>
              <w:rPr>
                <w:noProof/>
                <w:webHidden/>
              </w:rPr>
              <w:fldChar w:fldCharType="begin"/>
            </w:r>
            <w:r w:rsidR="00997619">
              <w:rPr>
                <w:noProof/>
                <w:webHidden/>
              </w:rPr>
              <w:instrText xml:space="preserve"> PAGEREF _Toc337635111 \h </w:instrText>
            </w:r>
            <w:r>
              <w:rPr>
                <w:noProof/>
                <w:webHidden/>
              </w:rPr>
            </w:r>
            <w:r>
              <w:rPr>
                <w:noProof/>
                <w:webHidden/>
              </w:rPr>
              <w:fldChar w:fldCharType="separate"/>
            </w:r>
            <w:r w:rsidR="00997619">
              <w:rPr>
                <w:noProof/>
                <w:webHidden/>
              </w:rPr>
              <w:t>34</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12" w:history="1">
            <w:r w:rsidR="00997619" w:rsidRPr="00EE7FD9">
              <w:rPr>
                <w:rStyle w:val="Hyperlink"/>
                <w:noProof/>
              </w:rPr>
              <w:t>Vitamins and minerals</w:t>
            </w:r>
            <w:r w:rsidR="00997619">
              <w:rPr>
                <w:noProof/>
                <w:webHidden/>
              </w:rPr>
              <w:tab/>
            </w:r>
            <w:r>
              <w:rPr>
                <w:noProof/>
                <w:webHidden/>
              </w:rPr>
              <w:fldChar w:fldCharType="begin"/>
            </w:r>
            <w:r w:rsidR="00997619">
              <w:rPr>
                <w:noProof/>
                <w:webHidden/>
              </w:rPr>
              <w:instrText xml:space="preserve"> PAGEREF _Toc337635112 \h </w:instrText>
            </w:r>
            <w:r>
              <w:rPr>
                <w:noProof/>
                <w:webHidden/>
              </w:rPr>
            </w:r>
            <w:r>
              <w:rPr>
                <w:noProof/>
                <w:webHidden/>
              </w:rPr>
              <w:fldChar w:fldCharType="separate"/>
            </w:r>
            <w:r w:rsidR="00997619">
              <w:rPr>
                <w:noProof/>
                <w:webHidden/>
              </w:rPr>
              <w:t>35</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13" w:history="1">
            <w:r w:rsidR="00997619" w:rsidRPr="00EE7FD9">
              <w:rPr>
                <w:rStyle w:val="Hyperlink"/>
                <w:noProof/>
              </w:rPr>
              <w:t>Vitamin and mineral supplementation indications</w:t>
            </w:r>
            <w:r w:rsidR="00997619">
              <w:rPr>
                <w:noProof/>
                <w:webHidden/>
              </w:rPr>
              <w:tab/>
            </w:r>
            <w:r>
              <w:rPr>
                <w:noProof/>
                <w:webHidden/>
              </w:rPr>
              <w:fldChar w:fldCharType="begin"/>
            </w:r>
            <w:r w:rsidR="00997619">
              <w:rPr>
                <w:noProof/>
                <w:webHidden/>
              </w:rPr>
              <w:instrText xml:space="preserve"> PAGEREF _Toc337635113 \h </w:instrText>
            </w:r>
            <w:r>
              <w:rPr>
                <w:noProof/>
                <w:webHidden/>
              </w:rPr>
            </w:r>
            <w:r>
              <w:rPr>
                <w:noProof/>
                <w:webHidden/>
              </w:rPr>
              <w:fldChar w:fldCharType="separate"/>
            </w:r>
            <w:r w:rsidR="00997619">
              <w:rPr>
                <w:noProof/>
                <w:webHidden/>
              </w:rPr>
              <w:t>36</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14" w:history="1">
            <w:r w:rsidR="00997619" w:rsidRPr="00EE7FD9">
              <w:rPr>
                <w:rStyle w:val="Hyperlink"/>
                <w:noProof/>
              </w:rPr>
              <w:t>Amino acid chelates</w:t>
            </w:r>
            <w:r w:rsidR="00997619">
              <w:rPr>
                <w:noProof/>
                <w:webHidden/>
              </w:rPr>
              <w:tab/>
            </w:r>
            <w:r>
              <w:rPr>
                <w:noProof/>
                <w:webHidden/>
              </w:rPr>
              <w:fldChar w:fldCharType="begin"/>
            </w:r>
            <w:r w:rsidR="00997619">
              <w:rPr>
                <w:noProof/>
                <w:webHidden/>
              </w:rPr>
              <w:instrText xml:space="preserve"> PAGEREF _Toc337635114 \h </w:instrText>
            </w:r>
            <w:r>
              <w:rPr>
                <w:noProof/>
                <w:webHidden/>
              </w:rPr>
            </w:r>
            <w:r>
              <w:rPr>
                <w:noProof/>
                <w:webHidden/>
              </w:rPr>
              <w:fldChar w:fldCharType="separate"/>
            </w:r>
            <w:r w:rsidR="00997619">
              <w:rPr>
                <w:noProof/>
                <w:webHidden/>
              </w:rPr>
              <w:t>36</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15" w:history="1">
            <w:r w:rsidR="00997619" w:rsidRPr="00EE7FD9">
              <w:rPr>
                <w:rStyle w:val="Hyperlink"/>
                <w:noProof/>
              </w:rPr>
              <w:t>Nutritional substances</w:t>
            </w:r>
            <w:r w:rsidR="00997619">
              <w:rPr>
                <w:noProof/>
                <w:webHidden/>
              </w:rPr>
              <w:tab/>
            </w:r>
            <w:r>
              <w:rPr>
                <w:noProof/>
                <w:webHidden/>
              </w:rPr>
              <w:fldChar w:fldCharType="begin"/>
            </w:r>
            <w:r w:rsidR="00997619">
              <w:rPr>
                <w:noProof/>
                <w:webHidden/>
              </w:rPr>
              <w:instrText xml:space="preserve"> PAGEREF _Toc337635115 \h </w:instrText>
            </w:r>
            <w:r>
              <w:rPr>
                <w:noProof/>
                <w:webHidden/>
              </w:rPr>
            </w:r>
            <w:r>
              <w:rPr>
                <w:noProof/>
                <w:webHidden/>
              </w:rPr>
              <w:fldChar w:fldCharType="separate"/>
            </w:r>
            <w:r w:rsidR="00997619">
              <w:rPr>
                <w:noProof/>
                <w:webHidden/>
              </w:rPr>
              <w:t>36</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16" w:history="1">
            <w:r w:rsidR="00997619" w:rsidRPr="00EE7FD9">
              <w:rPr>
                <w:rStyle w:val="Hyperlink"/>
                <w:noProof/>
              </w:rPr>
              <w:t>Essences (flower, shell, gem/crystal)</w:t>
            </w:r>
            <w:r w:rsidR="00997619">
              <w:rPr>
                <w:noProof/>
                <w:webHidden/>
              </w:rPr>
              <w:tab/>
            </w:r>
            <w:r>
              <w:rPr>
                <w:noProof/>
                <w:webHidden/>
              </w:rPr>
              <w:fldChar w:fldCharType="begin"/>
            </w:r>
            <w:r w:rsidR="00997619">
              <w:rPr>
                <w:noProof/>
                <w:webHidden/>
              </w:rPr>
              <w:instrText xml:space="preserve"> PAGEREF _Toc337635116 \h </w:instrText>
            </w:r>
            <w:r>
              <w:rPr>
                <w:noProof/>
                <w:webHidden/>
              </w:rPr>
            </w:r>
            <w:r>
              <w:rPr>
                <w:noProof/>
                <w:webHidden/>
              </w:rPr>
              <w:fldChar w:fldCharType="separate"/>
            </w:r>
            <w:r w:rsidR="00997619">
              <w:rPr>
                <w:noProof/>
                <w:webHidden/>
              </w:rPr>
              <w:t>36</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17" w:history="1">
            <w:r w:rsidR="00997619" w:rsidRPr="00EE7FD9">
              <w:rPr>
                <w:rStyle w:val="Hyperlink"/>
                <w:noProof/>
              </w:rPr>
              <w:t>Practitioner medicines and exemptions</w:t>
            </w:r>
            <w:r w:rsidR="00997619">
              <w:rPr>
                <w:noProof/>
                <w:webHidden/>
              </w:rPr>
              <w:tab/>
            </w:r>
            <w:r>
              <w:rPr>
                <w:noProof/>
                <w:webHidden/>
              </w:rPr>
              <w:fldChar w:fldCharType="begin"/>
            </w:r>
            <w:r w:rsidR="00997619">
              <w:rPr>
                <w:noProof/>
                <w:webHidden/>
              </w:rPr>
              <w:instrText xml:space="preserve"> PAGEREF _Toc337635117 \h </w:instrText>
            </w:r>
            <w:r>
              <w:rPr>
                <w:noProof/>
                <w:webHidden/>
              </w:rPr>
            </w:r>
            <w:r>
              <w:rPr>
                <w:noProof/>
                <w:webHidden/>
              </w:rPr>
              <w:fldChar w:fldCharType="separate"/>
            </w:r>
            <w:r w:rsidR="00997619">
              <w:rPr>
                <w:noProof/>
                <w:webHidden/>
              </w:rPr>
              <w:t>37</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18" w:history="1">
            <w:r w:rsidR="00997619" w:rsidRPr="00EE7FD9">
              <w:rPr>
                <w:rStyle w:val="Hyperlink"/>
                <w:noProof/>
              </w:rPr>
              <w:t>Australian native and endangered species in therapeutic goods</w:t>
            </w:r>
            <w:r w:rsidR="00997619">
              <w:rPr>
                <w:noProof/>
                <w:webHidden/>
              </w:rPr>
              <w:tab/>
            </w:r>
            <w:r>
              <w:rPr>
                <w:noProof/>
                <w:webHidden/>
              </w:rPr>
              <w:fldChar w:fldCharType="begin"/>
            </w:r>
            <w:r w:rsidR="00997619">
              <w:rPr>
                <w:noProof/>
                <w:webHidden/>
              </w:rPr>
              <w:instrText xml:space="preserve"> PAGEREF _Toc337635118 \h </w:instrText>
            </w:r>
            <w:r>
              <w:rPr>
                <w:noProof/>
                <w:webHidden/>
              </w:rPr>
            </w:r>
            <w:r>
              <w:rPr>
                <w:noProof/>
                <w:webHidden/>
              </w:rPr>
              <w:fldChar w:fldCharType="separate"/>
            </w:r>
            <w:r w:rsidR="00997619">
              <w:rPr>
                <w:noProof/>
                <w:webHidden/>
              </w:rPr>
              <w:t>40</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19" w:history="1">
            <w:r w:rsidR="00997619" w:rsidRPr="00EE7FD9">
              <w:rPr>
                <w:rStyle w:val="Hyperlink"/>
                <w:noProof/>
              </w:rPr>
              <w:t>Therapeutic goods containing Australian native and endangered species</w:t>
            </w:r>
            <w:r w:rsidR="00997619">
              <w:rPr>
                <w:noProof/>
                <w:webHidden/>
              </w:rPr>
              <w:tab/>
            </w:r>
            <w:r>
              <w:rPr>
                <w:noProof/>
                <w:webHidden/>
              </w:rPr>
              <w:fldChar w:fldCharType="begin"/>
            </w:r>
            <w:r w:rsidR="00997619">
              <w:rPr>
                <w:noProof/>
                <w:webHidden/>
              </w:rPr>
              <w:instrText xml:space="preserve"> PAGEREF _Toc337635119 \h </w:instrText>
            </w:r>
            <w:r>
              <w:rPr>
                <w:noProof/>
                <w:webHidden/>
              </w:rPr>
            </w:r>
            <w:r>
              <w:rPr>
                <w:noProof/>
                <w:webHidden/>
              </w:rPr>
              <w:fldChar w:fldCharType="separate"/>
            </w:r>
            <w:r w:rsidR="00997619">
              <w:rPr>
                <w:noProof/>
                <w:webHidden/>
              </w:rPr>
              <w:t>40</w:t>
            </w:r>
            <w:r>
              <w:rPr>
                <w:noProof/>
                <w:webHidden/>
              </w:rPr>
              <w:fldChar w:fldCharType="end"/>
            </w:r>
          </w:hyperlink>
        </w:p>
        <w:p w:rsidR="00997619" w:rsidRDefault="0031131E">
          <w:pPr>
            <w:pStyle w:val="TOC3"/>
            <w:rPr>
              <w:rFonts w:asciiTheme="minorHAnsi" w:eastAsiaTheme="minorEastAsia" w:hAnsiTheme="minorHAnsi" w:cstheme="minorBidi"/>
              <w:noProof/>
              <w:sz w:val="22"/>
              <w:lang w:eastAsia="en-AU"/>
            </w:rPr>
          </w:pPr>
          <w:hyperlink w:anchor="_Toc337635120" w:history="1">
            <w:r w:rsidR="00997619" w:rsidRPr="00EE7FD9">
              <w:rPr>
                <w:rStyle w:val="Hyperlink"/>
                <w:noProof/>
              </w:rPr>
              <w:t>Post listing compliance for complementary medicines</w:t>
            </w:r>
            <w:r w:rsidR="00997619">
              <w:rPr>
                <w:noProof/>
                <w:webHidden/>
              </w:rPr>
              <w:tab/>
            </w:r>
            <w:r>
              <w:rPr>
                <w:noProof/>
                <w:webHidden/>
              </w:rPr>
              <w:fldChar w:fldCharType="begin"/>
            </w:r>
            <w:r w:rsidR="00997619">
              <w:rPr>
                <w:noProof/>
                <w:webHidden/>
              </w:rPr>
              <w:instrText xml:space="preserve"> PAGEREF _Toc337635120 \h </w:instrText>
            </w:r>
            <w:r>
              <w:rPr>
                <w:noProof/>
                <w:webHidden/>
              </w:rPr>
            </w:r>
            <w:r>
              <w:rPr>
                <w:noProof/>
                <w:webHidden/>
              </w:rPr>
              <w:fldChar w:fldCharType="separate"/>
            </w:r>
            <w:r w:rsidR="00997619">
              <w:rPr>
                <w:noProof/>
                <w:webHidden/>
              </w:rPr>
              <w:t>42</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121" w:history="1">
            <w:r w:rsidR="00997619" w:rsidRPr="00EE7FD9">
              <w:rPr>
                <w:rStyle w:val="Hyperlink"/>
                <w:noProof/>
              </w:rPr>
              <w:t>Attachment 1: Compositional guidelines for complementary medicine substances</w:t>
            </w:r>
            <w:r w:rsidR="00997619">
              <w:rPr>
                <w:noProof/>
                <w:webHidden/>
              </w:rPr>
              <w:tab/>
            </w:r>
            <w:r>
              <w:rPr>
                <w:noProof/>
                <w:webHidden/>
              </w:rPr>
              <w:fldChar w:fldCharType="begin"/>
            </w:r>
            <w:r w:rsidR="00997619">
              <w:rPr>
                <w:noProof/>
                <w:webHidden/>
              </w:rPr>
              <w:instrText xml:space="preserve"> PAGEREF _Toc337635121 \h </w:instrText>
            </w:r>
            <w:r>
              <w:rPr>
                <w:noProof/>
                <w:webHidden/>
              </w:rPr>
            </w:r>
            <w:r>
              <w:rPr>
                <w:noProof/>
                <w:webHidden/>
              </w:rPr>
              <w:fldChar w:fldCharType="separate"/>
            </w:r>
            <w:r w:rsidR="00997619">
              <w:rPr>
                <w:noProof/>
                <w:webHidden/>
              </w:rPr>
              <w:t>43</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122" w:history="1">
            <w:r w:rsidR="00997619" w:rsidRPr="00EE7FD9">
              <w:rPr>
                <w:rStyle w:val="Hyperlink"/>
                <w:noProof/>
              </w:rPr>
              <w:t>Attachment 2: Data requirements for proprietary ingredients</w:t>
            </w:r>
            <w:r w:rsidR="00997619">
              <w:rPr>
                <w:noProof/>
                <w:webHidden/>
              </w:rPr>
              <w:tab/>
            </w:r>
            <w:r>
              <w:rPr>
                <w:noProof/>
                <w:webHidden/>
              </w:rPr>
              <w:fldChar w:fldCharType="begin"/>
            </w:r>
            <w:r w:rsidR="00997619">
              <w:rPr>
                <w:noProof/>
                <w:webHidden/>
              </w:rPr>
              <w:instrText xml:space="preserve"> PAGEREF _Toc337635122 \h </w:instrText>
            </w:r>
            <w:r>
              <w:rPr>
                <w:noProof/>
                <w:webHidden/>
              </w:rPr>
            </w:r>
            <w:r>
              <w:rPr>
                <w:noProof/>
                <w:webHidden/>
              </w:rPr>
              <w:fldChar w:fldCharType="separate"/>
            </w:r>
            <w:r w:rsidR="00997619">
              <w:rPr>
                <w:noProof/>
                <w:webHidden/>
              </w:rPr>
              <w:t>44</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123" w:history="1">
            <w:r w:rsidR="00997619" w:rsidRPr="00EE7FD9">
              <w:rPr>
                <w:rStyle w:val="Hyperlink"/>
                <w:noProof/>
              </w:rPr>
              <w:t>Attachment 3: Data requirements for herbal materials</w:t>
            </w:r>
            <w:r w:rsidR="00997619">
              <w:rPr>
                <w:noProof/>
                <w:webHidden/>
              </w:rPr>
              <w:tab/>
            </w:r>
            <w:r>
              <w:rPr>
                <w:noProof/>
                <w:webHidden/>
              </w:rPr>
              <w:fldChar w:fldCharType="begin"/>
            </w:r>
            <w:r w:rsidR="00997619">
              <w:rPr>
                <w:noProof/>
                <w:webHidden/>
              </w:rPr>
              <w:instrText xml:space="preserve"> PAGEREF _Toc337635123 \h </w:instrText>
            </w:r>
            <w:r>
              <w:rPr>
                <w:noProof/>
                <w:webHidden/>
              </w:rPr>
            </w:r>
            <w:r>
              <w:rPr>
                <w:noProof/>
                <w:webHidden/>
              </w:rPr>
              <w:fldChar w:fldCharType="separate"/>
            </w:r>
            <w:r w:rsidR="00997619">
              <w:rPr>
                <w:noProof/>
                <w:webHidden/>
              </w:rPr>
              <w:t>46</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124" w:history="1">
            <w:r w:rsidR="00997619" w:rsidRPr="00EE7FD9">
              <w:rPr>
                <w:rStyle w:val="Hyperlink"/>
                <w:noProof/>
              </w:rPr>
              <w:t>Attachment 4: Identification of herbal materials and extracts Q &amp; A</w:t>
            </w:r>
            <w:r w:rsidR="00997619">
              <w:rPr>
                <w:noProof/>
                <w:webHidden/>
              </w:rPr>
              <w:tab/>
            </w:r>
            <w:r>
              <w:rPr>
                <w:noProof/>
                <w:webHidden/>
              </w:rPr>
              <w:fldChar w:fldCharType="begin"/>
            </w:r>
            <w:r w:rsidR="00997619">
              <w:rPr>
                <w:noProof/>
                <w:webHidden/>
              </w:rPr>
              <w:instrText xml:space="preserve"> PAGEREF _Toc337635124 \h </w:instrText>
            </w:r>
            <w:r>
              <w:rPr>
                <w:noProof/>
                <w:webHidden/>
              </w:rPr>
            </w:r>
            <w:r>
              <w:rPr>
                <w:noProof/>
                <w:webHidden/>
              </w:rPr>
              <w:fldChar w:fldCharType="separate"/>
            </w:r>
            <w:r w:rsidR="00997619">
              <w:rPr>
                <w:noProof/>
                <w:webHidden/>
              </w:rPr>
              <w:t>47</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125" w:history="1">
            <w:r w:rsidR="00997619" w:rsidRPr="00EE7FD9">
              <w:rPr>
                <w:rStyle w:val="Hyperlink"/>
                <w:noProof/>
              </w:rPr>
              <w:t>Attachment 5: Guidance on equivalence of herbal extracts in complementary medicines</w:t>
            </w:r>
            <w:r w:rsidR="00997619">
              <w:rPr>
                <w:noProof/>
                <w:webHidden/>
              </w:rPr>
              <w:tab/>
            </w:r>
            <w:r>
              <w:rPr>
                <w:noProof/>
                <w:webHidden/>
              </w:rPr>
              <w:fldChar w:fldCharType="begin"/>
            </w:r>
            <w:r w:rsidR="00997619">
              <w:rPr>
                <w:noProof/>
                <w:webHidden/>
              </w:rPr>
              <w:instrText xml:space="preserve"> PAGEREF _Toc337635125 \h </w:instrText>
            </w:r>
            <w:r>
              <w:rPr>
                <w:noProof/>
                <w:webHidden/>
              </w:rPr>
            </w:r>
            <w:r>
              <w:rPr>
                <w:noProof/>
                <w:webHidden/>
              </w:rPr>
              <w:fldChar w:fldCharType="separate"/>
            </w:r>
            <w:r w:rsidR="00997619">
              <w:rPr>
                <w:noProof/>
                <w:webHidden/>
              </w:rPr>
              <w:t>48</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126" w:history="1">
            <w:r w:rsidR="00997619" w:rsidRPr="00EE7FD9">
              <w:rPr>
                <w:rStyle w:val="Hyperlink"/>
                <w:noProof/>
              </w:rPr>
              <w:t>Attachment 6:  Guidance on the use of modified unprocessed herbal materials in complementary medicines</w:t>
            </w:r>
            <w:r w:rsidR="00997619">
              <w:rPr>
                <w:noProof/>
                <w:webHidden/>
              </w:rPr>
              <w:tab/>
            </w:r>
            <w:r>
              <w:rPr>
                <w:noProof/>
                <w:webHidden/>
              </w:rPr>
              <w:fldChar w:fldCharType="begin"/>
            </w:r>
            <w:r w:rsidR="00997619">
              <w:rPr>
                <w:noProof/>
                <w:webHidden/>
              </w:rPr>
              <w:instrText xml:space="preserve"> PAGEREF _Toc337635126 \h </w:instrText>
            </w:r>
            <w:r>
              <w:rPr>
                <w:noProof/>
                <w:webHidden/>
              </w:rPr>
            </w:r>
            <w:r>
              <w:rPr>
                <w:noProof/>
                <w:webHidden/>
              </w:rPr>
              <w:fldChar w:fldCharType="separate"/>
            </w:r>
            <w:r w:rsidR="00997619">
              <w:rPr>
                <w:noProof/>
                <w:webHidden/>
              </w:rPr>
              <w:t>49</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127" w:history="1">
            <w:r w:rsidR="00997619" w:rsidRPr="00EE7FD9">
              <w:rPr>
                <w:rStyle w:val="Hyperlink"/>
                <w:noProof/>
              </w:rPr>
              <w:t>Attachment 7: Certificates of analysis – product</w:t>
            </w:r>
            <w:r w:rsidR="00997619">
              <w:rPr>
                <w:noProof/>
                <w:webHidden/>
              </w:rPr>
              <w:tab/>
            </w:r>
            <w:r>
              <w:rPr>
                <w:noProof/>
                <w:webHidden/>
              </w:rPr>
              <w:fldChar w:fldCharType="begin"/>
            </w:r>
            <w:r w:rsidR="00997619">
              <w:rPr>
                <w:noProof/>
                <w:webHidden/>
              </w:rPr>
              <w:instrText xml:space="preserve"> PAGEREF _Toc337635127 \h </w:instrText>
            </w:r>
            <w:r>
              <w:rPr>
                <w:noProof/>
                <w:webHidden/>
              </w:rPr>
            </w:r>
            <w:r>
              <w:rPr>
                <w:noProof/>
                <w:webHidden/>
              </w:rPr>
              <w:fldChar w:fldCharType="separate"/>
            </w:r>
            <w:r w:rsidR="00997619">
              <w:rPr>
                <w:noProof/>
                <w:webHidden/>
              </w:rPr>
              <w:t>50</w:t>
            </w:r>
            <w:r>
              <w:rPr>
                <w:noProof/>
                <w:webHidden/>
              </w:rPr>
              <w:fldChar w:fldCharType="end"/>
            </w:r>
          </w:hyperlink>
        </w:p>
        <w:p w:rsidR="00997619" w:rsidRDefault="0031131E">
          <w:pPr>
            <w:pStyle w:val="TOC2"/>
            <w:rPr>
              <w:rFonts w:asciiTheme="minorHAnsi" w:eastAsiaTheme="minorEastAsia" w:hAnsiTheme="minorHAnsi" w:cstheme="minorBidi"/>
              <w:b w:val="0"/>
              <w:noProof/>
              <w:sz w:val="22"/>
              <w:lang w:eastAsia="en-AU"/>
            </w:rPr>
          </w:pPr>
          <w:hyperlink w:anchor="_Toc337635128" w:history="1">
            <w:r w:rsidR="00997619" w:rsidRPr="00EE7FD9">
              <w:rPr>
                <w:rStyle w:val="Hyperlink"/>
                <w:noProof/>
              </w:rPr>
              <w:t>Attachment 8: Product specifications</w:t>
            </w:r>
            <w:r w:rsidR="00997619">
              <w:rPr>
                <w:noProof/>
                <w:webHidden/>
              </w:rPr>
              <w:tab/>
            </w:r>
            <w:r>
              <w:rPr>
                <w:noProof/>
                <w:webHidden/>
              </w:rPr>
              <w:fldChar w:fldCharType="begin"/>
            </w:r>
            <w:r w:rsidR="00997619">
              <w:rPr>
                <w:noProof/>
                <w:webHidden/>
              </w:rPr>
              <w:instrText xml:space="preserve"> PAGEREF _Toc337635128 \h </w:instrText>
            </w:r>
            <w:r>
              <w:rPr>
                <w:noProof/>
                <w:webHidden/>
              </w:rPr>
            </w:r>
            <w:r>
              <w:rPr>
                <w:noProof/>
                <w:webHidden/>
              </w:rPr>
              <w:fldChar w:fldCharType="separate"/>
            </w:r>
            <w:r w:rsidR="00997619">
              <w:rPr>
                <w:noProof/>
                <w:webHidden/>
              </w:rPr>
              <w:t>51</w:t>
            </w:r>
            <w:r>
              <w:rPr>
                <w:noProof/>
                <w:webHidden/>
              </w:rPr>
              <w:fldChar w:fldCharType="end"/>
            </w:r>
          </w:hyperlink>
        </w:p>
        <w:p w:rsidR="00F8365F" w:rsidRPr="00B25FE0" w:rsidRDefault="0031131E" w:rsidP="00B25FE0">
          <w:pPr>
            <w:pStyle w:val="TOC2"/>
            <w:rPr>
              <w:rFonts w:ascii="Arial" w:hAnsi="Arial"/>
              <w:b w:val="0"/>
              <w:sz w:val="32"/>
            </w:rPr>
          </w:pPr>
          <w:r>
            <w:rPr>
              <w:rFonts w:ascii="Arial" w:hAnsi="Arial"/>
              <w:b w:val="0"/>
              <w:sz w:val="32"/>
            </w:rPr>
            <w:fldChar w:fldCharType="end"/>
          </w:r>
        </w:p>
      </w:sdtContent>
    </w:sdt>
    <w:bookmarkEnd w:id="0"/>
    <w:p w:rsidR="00CC0D2C" w:rsidRDefault="00CC0D2C">
      <w:pPr>
        <w:spacing w:before="0" w:after="0" w:line="240" w:lineRule="auto"/>
      </w:pPr>
      <w:r>
        <w:br w:type="page"/>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379"/>
      </w:tblGrid>
      <w:tr w:rsidR="00907D9C" w:rsidTr="0093306E">
        <w:trPr>
          <w:tblHeader/>
        </w:trPr>
        <w:tc>
          <w:tcPr>
            <w:tcW w:w="8897" w:type="dxa"/>
            <w:gridSpan w:val="2"/>
          </w:tcPr>
          <w:p w:rsidR="00907D9C" w:rsidRPr="00907D9C" w:rsidRDefault="00907D9C" w:rsidP="00DC2485">
            <w:pPr>
              <w:spacing w:before="40" w:after="40"/>
              <w:rPr>
                <w:b/>
              </w:rPr>
            </w:pPr>
            <w:r w:rsidRPr="00907D9C">
              <w:rPr>
                <w:b/>
              </w:rPr>
              <w:lastRenderedPageBreak/>
              <w:t>Glossary</w:t>
            </w:r>
          </w:p>
        </w:tc>
      </w:tr>
      <w:tr w:rsidR="00DC2485" w:rsidRPr="00D74AEC" w:rsidTr="0093306E">
        <w:tc>
          <w:tcPr>
            <w:tcW w:w="2518" w:type="dxa"/>
          </w:tcPr>
          <w:p w:rsidR="00DC2485" w:rsidRPr="00D74AEC" w:rsidRDefault="00DC2485" w:rsidP="00DC2485">
            <w:pPr>
              <w:spacing w:before="40" w:after="40"/>
            </w:pPr>
            <w:r w:rsidRPr="00D74AEC">
              <w:t>AAN</w:t>
            </w:r>
          </w:p>
        </w:tc>
        <w:tc>
          <w:tcPr>
            <w:tcW w:w="6379" w:type="dxa"/>
          </w:tcPr>
          <w:p w:rsidR="00DC2485" w:rsidRPr="00D74AEC" w:rsidRDefault="00DC2485" w:rsidP="00DC2485">
            <w:pPr>
              <w:spacing w:before="40" w:after="40"/>
            </w:pPr>
            <w:r w:rsidRPr="00D74AEC">
              <w:t>Australian Approved Name (chemical)</w:t>
            </w:r>
          </w:p>
        </w:tc>
      </w:tr>
      <w:tr w:rsidR="00DC2485" w:rsidRPr="00D74AEC" w:rsidTr="0093306E">
        <w:tc>
          <w:tcPr>
            <w:tcW w:w="2518" w:type="dxa"/>
          </w:tcPr>
          <w:p w:rsidR="00DC2485" w:rsidRPr="00D74AEC" w:rsidRDefault="00DC2485" w:rsidP="00DC2485">
            <w:pPr>
              <w:spacing w:before="40" w:after="40"/>
            </w:pPr>
            <w:r w:rsidRPr="00D74AEC">
              <w:t>ABN</w:t>
            </w:r>
          </w:p>
        </w:tc>
        <w:tc>
          <w:tcPr>
            <w:tcW w:w="6379" w:type="dxa"/>
          </w:tcPr>
          <w:p w:rsidR="00DC2485" w:rsidRPr="00D74AEC" w:rsidRDefault="00DC2485" w:rsidP="00DC2485">
            <w:pPr>
              <w:spacing w:before="40" w:after="40"/>
            </w:pPr>
            <w:r>
              <w:t>Australian Biological Name</w:t>
            </w:r>
          </w:p>
        </w:tc>
      </w:tr>
      <w:tr w:rsidR="00DC2485" w:rsidRPr="00D74AEC" w:rsidTr="0093306E">
        <w:tc>
          <w:tcPr>
            <w:tcW w:w="2518" w:type="dxa"/>
          </w:tcPr>
          <w:p w:rsidR="00DC2485" w:rsidRPr="00D74AEC" w:rsidRDefault="00DC2485" w:rsidP="00DC2485">
            <w:pPr>
              <w:spacing w:before="40" w:after="40"/>
            </w:pPr>
            <w:r w:rsidRPr="00D74AEC">
              <w:t>ACCC</w:t>
            </w:r>
          </w:p>
        </w:tc>
        <w:tc>
          <w:tcPr>
            <w:tcW w:w="6379" w:type="dxa"/>
          </w:tcPr>
          <w:p w:rsidR="00DC2485" w:rsidRPr="00D74AEC" w:rsidRDefault="00DC2485" w:rsidP="00DC2485">
            <w:pPr>
              <w:spacing w:before="40" w:after="40"/>
            </w:pPr>
            <w:r w:rsidRPr="00D74AEC">
              <w:t>Australian Comp</w:t>
            </w:r>
            <w:r>
              <w:t>etition and Consumer Commission</w:t>
            </w:r>
          </w:p>
        </w:tc>
      </w:tr>
      <w:tr w:rsidR="00DC2485" w:rsidRPr="00D74AEC" w:rsidTr="0093306E">
        <w:tc>
          <w:tcPr>
            <w:tcW w:w="2518" w:type="dxa"/>
          </w:tcPr>
          <w:p w:rsidR="00DC2485" w:rsidRPr="00D74AEC" w:rsidRDefault="00DC2485" w:rsidP="00DC2485">
            <w:pPr>
              <w:spacing w:before="40" w:after="40"/>
            </w:pPr>
            <w:r w:rsidRPr="00D74AEC">
              <w:t>AFN</w:t>
            </w:r>
          </w:p>
        </w:tc>
        <w:tc>
          <w:tcPr>
            <w:tcW w:w="6379" w:type="dxa"/>
          </w:tcPr>
          <w:p w:rsidR="00DC2485" w:rsidRPr="00D74AEC" w:rsidRDefault="00DC2485" w:rsidP="00DC2485">
            <w:pPr>
              <w:spacing w:before="40" w:after="40"/>
            </w:pPr>
            <w:r>
              <w:t>Australian Food Name</w:t>
            </w:r>
          </w:p>
        </w:tc>
      </w:tr>
      <w:tr w:rsidR="00DC2485" w:rsidRPr="00D74AEC" w:rsidTr="0093306E">
        <w:tc>
          <w:tcPr>
            <w:tcW w:w="2518" w:type="dxa"/>
          </w:tcPr>
          <w:p w:rsidR="00DC2485" w:rsidRPr="00D74AEC" w:rsidRDefault="00DC2485" w:rsidP="00DC2485">
            <w:pPr>
              <w:spacing w:before="40" w:after="40"/>
            </w:pPr>
            <w:r w:rsidRPr="00D74AEC">
              <w:t>AHN</w:t>
            </w:r>
          </w:p>
        </w:tc>
        <w:tc>
          <w:tcPr>
            <w:tcW w:w="6379" w:type="dxa"/>
          </w:tcPr>
          <w:p w:rsidR="00DC2485" w:rsidRPr="00D74AEC" w:rsidRDefault="00DC2485" w:rsidP="00DC2485">
            <w:pPr>
              <w:spacing w:before="40" w:after="40"/>
            </w:pPr>
            <w:r>
              <w:t>Approved Herbal Name</w:t>
            </w:r>
          </w:p>
        </w:tc>
      </w:tr>
      <w:tr w:rsidR="00DC2485" w:rsidRPr="00D74AEC" w:rsidTr="0093306E">
        <w:tc>
          <w:tcPr>
            <w:tcW w:w="2518" w:type="dxa"/>
          </w:tcPr>
          <w:p w:rsidR="00DC2485" w:rsidRPr="00D74AEC" w:rsidRDefault="00DC2485" w:rsidP="00DC2485">
            <w:pPr>
              <w:spacing w:before="40" w:after="40"/>
            </w:pPr>
            <w:r w:rsidRPr="00D74AEC">
              <w:t>AHS</w:t>
            </w:r>
          </w:p>
        </w:tc>
        <w:tc>
          <w:tcPr>
            <w:tcW w:w="6379" w:type="dxa"/>
          </w:tcPr>
          <w:p w:rsidR="00DC2485" w:rsidRPr="00D74AEC" w:rsidRDefault="00DC2485" w:rsidP="00DC2485">
            <w:pPr>
              <w:spacing w:before="40" w:after="40"/>
            </w:pPr>
            <w:r>
              <w:t>Australian Herbal Substance</w:t>
            </w:r>
          </w:p>
        </w:tc>
      </w:tr>
      <w:tr w:rsidR="00DC2485" w:rsidRPr="00D74AEC" w:rsidTr="0093306E">
        <w:tc>
          <w:tcPr>
            <w:tcW w:w="2518" w:type="dxa"/>
          </w:tcPr>
          <w:p w:rsidR="00DC2485" w:rsidRPr="00D74AEC" w:rsidRDefault="00DC2485" w:rsidP="00DC2485">
            <w:pPr>
              <w:spacing w:before="40" w:after="40"/>
            </w:pPr>
            <w:r w:rsidRPr="00D74AEC">
              <w:t>AAT</w:t>
            </w:r>
          </w:p>
        </w:tc>
        <w:tc>
          <w:tcPr>
            <w:tcW w:w="6379" w:type="dxa"/>
          </w:tcPr>
          <w:p w:rsidR="00DC2485" w:rsidRPr="00D74AEC" w:rsidRDefault="00DC2485" w:rsidP="00DC2485">
            <w:pPr>
              <w:spacing w:before="40" w:after="40"/>
            </w:pPr>
            <w:r>
              <w:t>Administrative Appeals Tribunal</w:t>
            </w:r>
          </w:p>
        </w:tc>
      </w:tr>
      <w:tr w:rsidR="00DC2485" w:rsidRPr="00D74AEC" w:rsidTr="0093306E">
        <w:tc>
          <w:tcPr>
            <w:tcW w:w="2518" w:type="dxa"/>
          </w:tcPr>
          <w:p w:rsidR="00DC2485" w:rsidRPr="00D74AEC" w:rsidRDefault="00DC2485" w:rsidP="00DC2485">
            <w:pPr>
              <w:spacing w:before="40" w:after="40"/>
            </w:pPr>
            <w:r w:rsidRPr="00D74AEC">
              <w:t>AQIS</w:t>
            </w:r>
          </w:p>
        </w:tc>
        <w:tc>
          <w:tcPr>
            <w:tcW w:w="6379" w:type="dxa"/>
          </w:tcPr>
          <w:p w:rsidR="00DC2485" w:rsidRPr="00D74AEC" w:rsidRDefault="00DC2485" w:rsidP="00DC2485">
            <w:pPr>
              <w:spacing w:before="40" w:after="40"/>
            </w:pPr>
            <w:r w:rsidRPr="00D74AEC">
              <w:t>Australia</w:t>
            </w:r>
            <w:r>
              <w:t>n Quarantine Inspection Service</w:t>
            </w:r>
          </w:p>
        </w:tc>
      </w:tr>
      <w:tr w:rsidR="00DC2485" w:rsidRPr="00D74AEC" w:rsidTr="0093306E">
        <w:tc>
          <w:tcPr>
            <w:tcW w:w="2518" w:type="dxa"/>
          </w:tcPr>
          <w:p w:rsidR="00DC2485" w:rsidRPr="00D74AEC" w:rsidRDefault="00DC2485" w:rsidP="00DC2485">
            <w:pPr>
              <w:spacing w:before="40" w:after="40"/>
            </w:pPr>
            <w:r w:rsidRPr="00D74AEC">
              <w:t>ARGB</w:t>
            </w:r>
          </w:p>
        </w:tc>
        <w:tc>
          <w:tcPr>
            <w:tcW w:w="6379" w:type="dxa"/>
          </w:tcPr>
          <w:p w:rsidR="00DC2485" w:rsidRPr="00D74AEC" w:rsidRDefault="00DC2485" w:rsidP="00DC2485">
            <w:pPr>
              <w:spacing w:before="40" w:after="40"/>
            </w:pPr>
            <w:r w:rsidRPr="00D74AEC">
              <w:t>Australian Regula</w:t>
            </w:r>
            <w:r>
              <w:t xml:space="preserve">tory Guidelines For </w:t>
            </w:r>
            <w:proofErr w:type="spellStart"/>
            <w:r>
              <w:t>Biologicals</w:t>
            </w:r>
            <w:proofErr w:type="spellEnd"/>
          </w:p>
        </w:tc>
      </w:tr>
      <w:tr w:rsidR="00DC2485" w:rsidRPr="00D74AEC" w:rsidTr="0093306E">
        <w:tc>
          <w:tcPr>
            <w:tcW w:w="2518" w:type="dxa"/>
          </w:tcPr>
          <w:p w:rsidR="00DC2485" w:rsidRPr="00D74AEC" w:rsidRDefault="00DC2485" w:rsidP="00DC2485">
            <w:pPr>
              <w:spacing w:before="40" w:after="40"/>
            </w:pPr>
            <w:r w:rsidRPr="00D74AEC">
              <w:t>ARGCM</w:t>
            </w:r>
          </w:p>
        </w:tc>
        <w:tc>
          <w:tcPr>
            <w:tcW w:w="6379" w:type="dxa"/>
          </w:tcPr>
          <w:p w:rsidR="00DC2485" w:rsidRPr="00D74AEC" w:rsidRDefault="00DC2485" w:rsidP="00DC2485">
            <w:pPr>
              <w:spacing w:before="40" w:after="40"/>
            </w:pPr>
            <w:r w:rsidRPr="00D74AEC">
              <w:t>Australian Regulatory Guidelines for Complementary Medicines</w:t>
            </w:r>
          </w:p>
        </w:tc>
      </w:tr>
      <w:tr w:rsidR="00DC2485" w:rsidRPr="00D74AEC" w:rsidTr="0093306E">
        <w:tc>
          <w:tcPr>
            <w:tcW w:w="2518" w:type="dxa"/>
          </w:tcPr>
          <w:p w:rsidR="00DC2485" w:rsidRPr="00D74AEC" w:rsidRDefault="00DC2485" w:rsidP="00DC2485">
            <w:pPr>
              <w:spacing w:before="40" w:after="40"/>
            </w:pPr>
            <w:r w:rsidRPr="00D74AEC">
              <w:t>ARGMD</w:t>
            </w:r>
          </w:p>
        </w:tc>
        <w:tc>
          <w:tcPr>
            <w:tcW w:w="6379" w:type="dxa"/>
          </w:tcPr>
          <w:p w:rsidR="00DC2485" w:rsidRPr="00D74AEC" w:rsidRDefault="00DC2485" w:rsidP="00DC2485">
            <w:pPr>
              <w:spacing w:before="40" w:after="40"/>
            </w:pPr>
            <w:r w:rsidRPr="00D74AEC">
              <w:t>Australian Regulatory Guidelines for Medical Devices</w:t>
            </w:r>
          </w:p>
        </w:tc>
      </w:tr>
      <w:tr w:rsidR="00DC2485" w:rsidRPr="00D74AEC" w:rsidTr="0093306E">
        <w:tc>
          <w:tcPr>
            <w:tcW w:w="2518" w:type="dxa"/>
          </w:tcPr>
          <w:p w:rsidR="00DC2485" w:rsidRPr="00D74AEC" w:rsidRDefault="00DC2485" w:rsidP="00DC2485">
            <w:pPr>
              <w:spacing w:before="40" w:after="40"/>
            </w:pPr>
            <w:r w:rsidRPr="00D74AEC">
              <w:t>ARGOM</w:t>
            </w:r>
          </w:p>
        </w:tc>
        <w:tc>
          <w:tcPr>
            <w:tcW w:w="6379" w:type="dxa"/>
          </w:tcPr>
          <w:p w:rsidR="00DC2485" w:rsidRPr="00D74AEC" w:rsidRDefault="00DC2485" w:rsidP="00DC2485">
            <w:pPr>
              <w:spacing w:before="40" w:after="40"/>
            </w:pPr>
            <w:r w:rsidRPr="00D74AEC">
              <w:t>Australian Regulatory Guidelines for Over-the-Counter Medicines</w:t>
            </w:r>
          </w:p>
        </w:tc>
      </w:tr>
      <w:tr w:rsidR="00DC2485" w:rsidRPr="00D74AEC" w:rsidTr="0093306E">
        <w:tc>
          <w:tcPr>
            <w:tcW w:w="2518" w:type="dxa"/>
          </w:tcPr>
          <w:p w:rsidR="00DC2485" w:rsidRPr="00D74AEC" w:rsidRDefault="00DC2485" w:rsidP="00DC2485">
            <w:pPr>
              <w:spacing w:before="40" w:after="40"/>
            </w:pPr>
            <w:r w:rsidRPr="00D74AEC">
              <w:t>ARGPM</w:t>
            </w:r>
          </w:p>
        </w:tc>
        <w:tc>
          <w:tcPr>
            <w:tcW w:w="6379" w:type="dxa"/>
          </w:tcPr>
          <w:p w:rsidR="00DC2485" w:rsidRPr="00D74AEC" w:rsidRDefault="00DC2485" w:rsidP="00DC2485">
            <w:pPr>
              <w:spacing w:before="40" w:after="40"/>
            </w:pPr>
            <w:r w:rsidRPr="00D74AEC">
              <w:t>Australian Regulatory Guidel</w:t>
            </w:r>
            <w:r>
              <w:t>ines for Prescription Medicines</w:t>
            </w:r>
          </w:p>
        </w:tc>
      </w:tr>
      <w:tr w:rsidR="00DC2485" w:rsidRPr="00D74AEC" w:rsidTr="0093306E">
        <w:tc>
          <w:tcPr>
            <w:tcW w:w="2518" w:type="dxa"/>
          </w:tcPr>
          <w:p w:rsidR="00DC2485" w:rsidRPr="00D74AEC" w:rsidRDefault="00DC2485" w:rsidP="00DC2485">
            <w:pPr>
              <w:spacing w:before="40" w:after="40"/>
            </w:pPr>
            <w:r w:rsidRPr="00D74AEC">
              <w:t>ARTG</w:t>
            </w:r>
          </w:p>
        </w:tc>
        <w:tc>
          <w:tcPr>
            <w:tcW w:w="6379" w:type="dxa"/>
          </w:tcPr>
          <w:p w:rsidR="00DC2485" w:rsidRPr="00D74AEC" w:rsidRDefault="00DC2485" w:rsidP="00DC2485">
            <w:pPr>
              <w:spacing w:before="40" w:after="40"/>
            </w:pPr>
            <w:r w:rsidRPr="00D74AEC">
              <w:t>Australia</w:t>
            </w:r>
            <w:r>
              <w:t>n Register of Therapeutic Goods</w:t>
            </w:r>
          </w:p>
        </w:tc>
      </w:tr>
      <w:tr w:rsidR="00DC2485" w:rsidRPr="00D74AEC" w:rsidTr="0093306E">
        <w:tc>
          <w:tcPr>
            <w:tcW w:w="2518" w:type="dxa"/>
          </w:tcPr>
          <w:p w:rsidR="00DC2485" w:rsidRPr="00D74AEC" w:rsidRDefault="00DC2485" w:rsidP="00DC2485">
            <w:pPr>
              <w:spacing w:before="40" w:after="40"/>
            </w:pPr>
            <w:r w:rsidRPr="00D74AEC">
              <w:t>AUST L</w:t>
            </w:r>
          </w:p>
        </w:tc>
        <w:tc>
          <w:tcPr>
            <w:tcW w:w="6379" w:type="dxa"/>
          </w:tcPr>
          <w:p w:rsidR="00DC2485" w:rsidRPr="00D74AEC" w:rsidRDefault="00DC2485" w:rsidP="00DC2485">
            <w:pPr>
              <w:spacing w:before="40" w:after="40"/>
            </w:pPr>
            <w:r w:rsidRPr="00D74AEC">
              <w:t>A unique number assigned</w:t>
            </w:r>
            <w:r>
              <w:t xml:space="preserve"> to products listed on the ARTG</w:t>
            </w:r>
          </w:p>
        </w:tc>
      </w:tr>
      <w:tr w:rsidR="00DC2485" w:rsidRPr="00D74AEC" w:rsidTr="0093306E">
        <w:tc>
          <w:tcPr>
            <w:tcW w:w="2518" w:type="dxa"/>
          </w:tcPr>
          <w:p w:rsidR="00DC2485" w:rsidRPr="00D74AEC" w:rsidRDefault="00DC2485" w:rsidP="00DC2485">
            <w:pPr>
              <w:spacing w:before="40" w:after="40"/>
            </w:pPr>
            <w:r w:rsidRPr="00D74AEC">
              <w:t>AUST R</w:t>
            </w:r>
          </w:p>
        </w:tc>
        <w:tc>
          <w:tcPr>
            <w:tcW w:w="6379" w:type="dxa"/>
          </w:tcPr>
          <w:p w:rsidR="00DC2485" w:rsidRPr="00D74AEC" w:rsidRDefault="00DC2485" w:rsidP="00DC2485">
            <w:pPr>
              <w:spacing w:before="40" w:after="40"/>
            </w:pPr>
            <w:r w:rsidRPr="00D74AEC">
              <w:t xml:space="preserve">A unique number assigned to </w:t>
            </w:r>
            <w:r>
              <w:t>products registered on the ARTG</w:t>
            </w:r>
          </w:p>
        </w:tc>
      </w:tr>
      <w:tr w:rsidR="00DC2485" w:rsidRPr="00D74AEC" w:rsidTr="0093306E">
        <w:tc>
          <w:tcPr>
            <w:tcW w:w="2518" w:type="dxa"/>
          </w:tcPr>
          <w:p w:rsidR="00DC2485" w:rsidRPr="00D74AEC" w:rsidRDefault="00DC2485" w:rsidP="00DC2485">
            <w:pPr>
              <w:spacing w:before="40" w:after="40"/>
            </w:pPr>
            <w:r>
              <w:t>BP</w:t>
            </w:r>
          </w:p>
        </w:tc>
        <w:tc>
          <w:tcPr>
            <w:tcW w:w="6379" w:type="dxa"/>
          </w:tcPr>
          <w:p w:rsidR="00DC2485" w:rsidRPr="00D74AEC" w:rsidRDefault="00DC2485" w:rsidP="00DC2485">
            <w:pPr>
              <w:spacing w:before="40" w:after="40"/>
            </w:pPr>
            <w:r>
              <w:t>British Pharmacopoeia</w:t>
            </w:r>
          </w:p>
        </w:tc>
      </w:tr>
      <w:tr w:rsidR="00DC2485" w:rsidRPr="00D74AEC" w:rsidTr="0093306E">
        <w:tc>
          <w:tcPr>
            <w:tcW w:w="2518" w:type="dxa"/>
          </w:tcPr>
          <w:p w:rsidR="00DC2485" w:rsidRPr="00D74AEC" w:rsidRDefault="00DC2485" w:rsidP="00DC2485">
            <w:pPr>
              <w:spacing w:before="40" w:after="40"/>
            </w:pPr>
            <w:r>
              <w:t>CHMP</w:t>
            </w:r>
          </w:p>
        </w:tc>
        <w:tc>
          <w:tcPr>
            <w:tcW w:w="6379" w:type="dxa"/>
          </w:tcPr>
          <w:p w:rsidR="00DC2485" w:rsidRPr="00D74AEC" w:rsidRDefault="00DC2485" w:rsidP="00DC2485">
            <w:pPr>
              <w:spacing w:before="40" w:after="40"/>
            </w:pPr>
            <w:r w:rsidRPr="00D74AEC">
              <w:t>Committee for M</w:t>
            </w:r>
            <w:r>
              <w:t>edicinal Products for Human Use</w:t>
            </w:r>
          </w:p>
        </w:tc>
      </w:tr>
      <w:tr w:rsidR="00DC2485" w:rsidRPr="00D74AEC" w:rsidTr="0093306E">
        <w:tc>
          <w:tcPr>
            <w:tcW w:w="2518" w:type="dxa"/>
          </w:tcPr>
          <w:p w:rsidR="00DC2485" w:rsidRPr="00D74AEC" w:rsidRDefault="00DC2485" w:rsidP="00DC2485">
            <w:pPr>
              <w:spacing w:before="40" w:after="40"/>
            </w:pPr>
            <w:r>
              <w:t>CITES</w:t>
            </w:r>
          </w:p>
        </w:tc>
        <w:tc>
          <w:tcPr>
            <w:tcW w:w="6379" w:type="dxa"/>
          </w:tcPr>
          <w:p w:rsidR="00DC2485" w:rsidRPr="00D74AEC" w:rsidRDefault="00DC2485" w:rsidP="00DC2485">
            <w:pPr>
              <w:spacing w:before="40" w:after="40"/>
            </w:pPr>
            <w:r w:rsidRPr="00D74AEC">
              <w:t xml:space="preserve">Convention on International Trade in Endangered </w:t>
            </w:r>
            <w:r>
              <w:t>Species of Wild Fauna and Flora</w:t>
            </w:r>
          </w:p>
        </w:tc>
      </w:tr>
      <w:tr w:rsidR="00DC2485" w:rsidRPr="00D74AEC" w:rsidTr="0093306E">
        <w:tc>
          <w:tcPr>
            <w:tcW w:w="2518" w:type="dxa"/>
          </w:tcPr>
          <w:p w:rsidR="00DC2485" w:rsidRDefault="00DC2485" w:rsidP="00DC2485">
            <w:pPr>
              <w:spacing w:before="40" w:after="40"/>
            </w:pPr>
            <w:r>
              <w:t>CG</w:t>
            </w:r>
          </w:p>
        </w:tc>
        <w:tc>
          <w:tcPr>
            <w:tcW w:w="6379" w:type="dxa"/>
          </w:tcPr>
          <w:p w:rsidR="00DC2485" w:rsidRDefault="00DC2485" w:rsidP="00DC2485">
            <w:pPr>
              <w:spacing w:before="40" w:after="40"/>
            </w:pPr>
            <w:r>
              <w:t>Compositional guidelines</w:t>
            </w:r>
          </w:p>
        </w:tc>
      </w:tr>
      <w:tr w:rsidR="00DC2485" w:rsidRPr="00D74AEC" w:rsidTr="0093306E">
        <w:tc>
          <w:tcPr>
            <w:tcW w:w="2518" w:type="dxa"/>
          </w:tcPr>
          <w:p w:rsidR="00DC2485" w:rsidRDefault="00DC2485" w:rsidP="00DC2485">
            <w:pPr>
              <w:spacing w:before="40" w:after="40"/>
            </w:pPr>
            <w:r>
              <w:t>EMA</w:t>
            </w:r>
          </w:p>
        </w:tc>
        <w:tc>
          <w:tcPr>
            <w:tcW w:w="6379" w:type="dxa"/>
          </w:tcPr>
          <w:p w:rsidR="00DC2485" w:rsidRDefault="00DC2485" w:rsidP="00DC2485">
            <w:pPr>
              <w:spacing w:before="40" w:after="40"/>
            </w:pPr>
            <w:r>
              <w:t>European Medicines Agency</w:t>
            </w:r>
          </w:p>
        </w:tc>
      </w:tr>
      <w:tr w:rsidR="00DC2485" w:rsidRPr="00D74AEC" w:rsidTr="0093306E">
        <w:tc>
          <w:tcPr>
            <w:tcW w:w="2518" w:type="dxa"/>
          </w:tcPr>
          <w:p w:rsidR="00DC2485" w:rsidRDefault="00DC2485" w:rsidP="00DC2485">
            <w:pPr>
              <w:spacing w:before="40" w:after="40"/>
            </w:pPr>
            <w:r w:rsidRPr="00D74AEC">
              <w:t>EP</w:t>
            </w:r>
          </w:p>
        </w:tc>
        <w:tc>
          <w:tcPr>
            <w:tcW w:w="6379" w:type="dxa"/>
          </w:tcPr>
          <w:p w:rsidR="00DC2485" w:rsidRDefault="00DC2485" w:rsidP="00DC2485">
            <w:pPr>
              <w:spacing w:before="40" w:after="40"/>
            </w:pPr>
            <w:r>
              <w:t>European Pharmacopoeia</w:t>
            </w:r>
          </w:p>
        </w:tc>
      </w:tr>
      <w:tr w:rsidR="00DC2485" w:rsidRPr="00D74AEC" w:rsidTr="0093306E">
        <w:tc>
          <w:tcPr>
            <w:tcW w:w="2518" w:type="dxa"/>
          </w:tcPr>
          <w:p w:rsidR="00DC2485" w:rsidRDefault="00DC2485" w:rsidP="00DC2485">
            <w:pPr>
              <w:spacing w:before="40" w:after="40"/>
            </w:pPr>
            <w:r w:rsidRPr="00D74AEC">
              <w:t>EPBC</w:t>
            </w:r>
          </w:p>
        </w:tc>
        <w:tc>
          <w:tcPr>
            <w:tcW w:w="6379" w:type="dxa"/>
          </w:tcPr>
          <w:p w:rsidR="00DC2485" w:rsidRDefault="00DC2485" w:rsidP="00DC2485">
            <w:pPr>
              <w:spacing w:before="40" w:after="40"/>
            </w:pPr>
            <w:r w:rsidRPr="00D74AEC">
              <w:t>Environment Protectio</w:t>
            </w:r>
            <w:r>
              <w:t>n and Biodiversity Conservation</w:t>
            </w:r>
          </w:p>
        </w:tc>
      </w:tr>
      <w:tr w:rsidR="00DC2485" w:rsidRPr="00D74AEC" w:rsidTr="0093306E">
        <w:tc>
          <w:tcPr>
            <w:tcW w:w="2518" w:type="dxa"/>
          </w:tcPr>
          <w:p w:rsidR="00DC2485" w:rsidRDefault="00DC2485" w:rsidP="00DC2485">
            <w:pPr>
              <w:spacing w:before="40" w:after="40"/>
            </w:pPr>
            <w:r w:rsidRPr="00D74AEC">
              <w:t>EU</w:t>
            </w:r>
          </w:p>
        </w:tc>
        <w:tc>
          <w:tcPr>
            <w:tcW w:w="6379" w:type="dxa"/>
          </w:tcPr>
          <w:p w:rsidR="00DC2485" w:rsidRDefault="00DC2485" w:rsidP="00DC2485">
            <w:pPr>
              <w:spacing w:before="40" w:after="40"/>
            </w:pPr>
            <w:r w:rsidRPr="00D74AEC">
              <w:t>Europe</w:t>
            </w:r>
            <w:r>
              <w:t>an Union</w:t>
            </w:r>
          </w:p>
        </w:tc>
      </w:tr>
      <w:tr w:rsidR="00DC2485" w:rsidRPr="00D74AEC" w:rsidTr="0093306E">
        <w:tc>
          <w:tcPr>
            <w:tcW w:w="2518" w:type="dxa"/>
          </w:tcPr>
          <w:p w:rsidR="00DC2485" w:rsidRDefault="00DC2485" w:rsidP="00DC2485">
            <w:pPr>
              <w:spacing w:before="40" w:after="40"/>
            </w:pPr>
            <w:r w:rsidRPr="00D74AEC">
              <w:t>Evidence Requirements</w:t>
            </w:r>
          </w:p>
        </w:tc>
        <w:tc>
          <w:tcPr>
            <w:tcW w:w="6379" w:type="dxa"/>
          </w:tcPr>
          <w:p w:rsidR="00DC2485" w:rsidRDefault="00DC2485" w:rsidP="00DC2485">
            <w:pPr>
              <w:spacing w:before="40" w:after="40"/>
            </w:pPr>
            <w:r w:rsidRPr="00D74AEC">
              <w:t>Evidence required to support indications for listed medicines (excluding sunscreens and disinfectants)</w:t>
            </w:r>
          </w:p>
        </w:tc>
      </w:tr>
      <w:tr w:rsidR="00DC2485" w:rsidRPr="00D74AEC" w:rsidTr="0093306E">
        <w:tc>
          <w:tcPr>
            <w:tcW w:w="2518" w:type="dxa"/>
          </w:tcPr>
          <w:p w:rsidR="00DC2485" w:rsidRDefault="00DC2485" w:rsidP="00DC2485">
            <w:pPr>
              <w:spacing w:before="40" w:after="40"/>
            </w:pPr>
            <w:r>
              <w:t>The Food Standards Code</w:t>
            </w:r>
          </w:p>
        </w:tc>
        <w:tc>
          <w:tcPr>
            <w:tcW w:w="6379" w:type="dxa"/>
          </w:tcPr>
          <w:p w:rsidR="00DC2485" w:rsidRDefault="00DC2485" w:rsidP="00DC2485">
            <w:pPr>
              <w:spacing w:before="40" w:after="40"/>
            </w:pPr>
            <w:r w:rsidRPr="00D74AEC">
              <w:t>Australia New Zealand Food Standards Code</w:t>
            </w:r>
          </w:p>
        </w:tc>
      </w:tr>
      <w:tr w:rsidR="00DC2485" w:rsidRPr="00D74AEC" w:rsidTr="0093306E">
        <w:tc>
          <w:tcPr>
            <w:tcW w:w="2518" w:type="dxa"/>
          </w:tcPr>
          <w:p w:rsidR="00DC2485" w:rsidRDefault="00DC2485" w:rsidP="00DC2485">
            <w:pPr>
              <w:spacing w:before="40" w:after="40"/>
            </w:pPr>
            <w:r w:rsidRPr="00D74AEC">
              <w:t>FSANZ</w:t>
            </w:r>
          </w:p>
        </w:tc>
        <w:tc>
          <w:tcPr>
            <w:tcW w:w="6379" w:type="dxa"/>
          </w:tcPr>
          <w:p w:rsidR="00DC2485" w:rsidRDefault="00DC2485" w:rsidP="00DC2485">
            <w:pPr>
              <w:spacing w:before="40" w:after="40"/>
            </w:pPr>
            <w:r w:rsidRPr="00D74AEC">
              <w:t xml:space="preserve">Food </w:t>
            </w:r>
            <w:r>
              <w:t>Standards Australia New Zealand</w:t>
            </w:r>
          </w:p>
        </w:tc>
      </w:tr>
      <w:tr w:rsidR="00DC2485" w:rsidRPr="00D74AEC" w:rsidTr="0093306E">
        <w:tc>
          <w:tcPr>
            <w:tcW w:w="2518" w:type="dxa"/>
          </w:tcPr>
          <w:p w:rsidR="00DC2485" w:rsidRDefault="00DC2485" w:rsidP="00DC2485">
            <w:pPr>
              <w:spacing w:before="40" w:after="40"/>
            </w:pPr>
            <w:r>
              <w:t>GM</w:t>
            </w:r>
          </w:p>
        </w:tc>
        <w:tc>
          <w:tcPr>
            <w:tcW w:w="6379" w:type="dxa"/>
          </w:tcPr>
          <w:p w:rsidR="00DC2485" w:rsidRDefault="00DC2485" w:rsidP="00DC2485">
            <w:pPr>
              <w:spacing w:before="40" w:after="40"/>
            </w:pPr>
            <w:r>
              <w:t>Genetically modified</w:t>
            </w:r>
          </w:p>
        </w:tc>
      </w:tr>
      <w:tr w:rsidR="00DC2485" w:rsidRPr="00D74AEC" w:rsidTr="0093306E">
        <w:tc>
          <w:tcPr>
            <w:tcW w:w="2518" w:type="dxa"/>
          </w:tcPr>
          <w:p w:rsidR="00DC2485" w:rsidRDefault="00DC2485" w:rsidP="00DC2485">
            <w:pPr>
              <w:spacing w:before="40" w:after="40"/>
            </w:pPr>
            <w:r>
              <w:t>GMO</w:t>
            </w:r>
          </w:p>
        </w:tc>
        <w:tc>
          <w:tcPr>
            <w:tcW w:w="6379" w:type="dxa"/>
          </w:tcPr>
          <w:p w:rsidR="00DC2485" w:rsidRDefault="00DC2485" w:rsidP="00DC2485">
            <w:pPr>
              <w:spacing w:before="40" w:after="40"/>
            </w:pPr>
            <w:r>
              <w:t>Genetically modified organisms</w:t>
            </w:r>
          </w:p>
        </w:tc>
      </w:tr>
      <w:tr w:rsidR="00DC2485" w:rsidRPr="00D74AEC" w:rsidTr="0093306E">
        <w:tc>
          <w:tcPr>
            <w:tcW w:w="2518" w:type="dxa"/>
          </w:tcPr>
          <w:p w:rsidR="00DC2485" w:rsidRDefault="00DC2485" w:rsidP="00DC2485">
            <w:pPr>
              <w:spacing w:before="40" w:after="40"/>
            </w:pPr>
            <w:r>
              <w:t>GMP</w:t>
            </w:r>
          </w:p>
        </w:tc>
        <w:tc>
          <w:tcPr>
            <w:tcW w:w="6379" w:type="dxa"/>
          </w:tcPr>
          <w:p w:rsidR="00DC2485" w:rsidRDefault="00DC2485" w:rsidP="00DC2485">
            <w:pPr>
              <w:spacing w:before="40" w:after="40"/>
            </w:pPr>
            <w:r>
              <w:t>Good Manufacturing Practice</w:t>
            </w:r>
          </w:p>
        </w:tc>
      </w:tr>
      <w:tr w:rsidR="00DC2485" w:rsidRPr="00D74AEC" w:rsidTr="0093306E">
        <w:tc>
          <w:tcPr>
            <w:tcW w:w="2518" w:type="dxa"/>
          </w:tcPr>
          <w:p w:rsidR="00DC2485" w:rsidRDefault="00DC2485" w:rsidP="00DC2485">
            <w:pPr>
              <w:spacing w:before="40" w:after="40"/>
            </w:pPr>
            <w:r>
              <w:t>GT</w:t>
            </w:r>
          </w:p>
        </w:tc>
        <w:tc>
          <w:tcPr>
            <w:tcW w:w="6379" w:type="dxa"/>
          </w:tcPr>
          <w:p w:rsidR="00DC2485" w:rsidRDefault="00DC2485" w:rsidP="00DC2485">
            <w:pPr>
              <w:spacing w:before="40" w:after="40"/>
            </w:pPr>
            <w:r>
              <w:t>Gene Technology</w:t>
            </w:r>
          </w:p>
        </w:tc>
      </w:tr>
      <w:tr w:rsidR="00DC2485" w:rsidRPr="00D74AEC" w:rsidTr="0093306E">
        <w:tc>
          <w:tcPr>
            <w:tcW w:w="2518" w:type="dxa"/>
          </w:tcPr>
          <w:p w:rsidR="00DC2485" w:rsidRDefault="00DC2485" w:rsidP="00DC2485">
            <w:pPr>
              <w:spacing w:before="40" w:after="40"/>
            </w:pPr>
            <w:r>
              <w:t>The GT Act</w:t>
            </w:r>
          </w:p>
        </w:tc>
        <w:tc>
          <w:tcPr>
            <w:tcW w:w="6379" w:type="dxa"/>
          </w:tcPr>
          <w:p w:rsidR="00DC2485" w:rsidRDefault="00DC2485" w:rsidP="00DC2485">
            <w:pPr>
              <w:spacing w:before="40" w:after="40"/>
            </w:pPr>
            <w:r w:rsidRPr="00907D9C">
              <w:rPr>
                <w:i/>
              </w:rPr>
              <w:t>Gene Technology Act 2000</w:t>
            </w:r>
          </w:p>
        </w:tc>
      </w:tr>
      <w:tr w:rsidR="00DC2485" w:rsidRPr="00D74AEC" w:rsidTr="0093306E">
        <w:tc>
          <w:tcPr>
            <w:tcW w:w="2518" w:type="dxa"/>
          </w:tcPr>
          <w:p w:rsidR="00DC2485" w:rsidRDefault="00DC2485" w:rsidP="00DC2485">
            <w:pPr>
              <w:spacing w:before="40" w:after="40"/>
            </w:pPr>
            <w:r>
              <w:t>HCN</w:t>
            </w:r>
          </w:p>
        </w:tc>
        <w:tc>
          <w:tcPr>
            <w:tcW w:w="6379" w:type="dxa"/>
          </w:tcPr>
          <w:p w:rsidR="00DC2485" w:rsidRDefault="00DC2485" w:rsidP="00DC2485">
            <w:pPr>
              <w:spacing w:before="40" w:after="40"/>
            </w:pPr>
            <w:r w:rsidRPr="00D74AEC">
              <w:t>Australian (App</w:t>
            </w:r>
            <w:r>
              <w:t>roved) Herbal Component Name</w:t>
            </w:r>
          </w:p>
        </w:tc>
      </w:tr>
      <w:tr w:rsidR="00DC2485" w:rsidRPr="00D74AEC" w:rsidTr="0093306E">
        <w:tc>
          <w:tcPr>
            <w:tcW w:w="2518" w:type="dxa"/>
          </w:tcPr>
          <w:p w:rsidR="00DC2485" w:rsidRDefault="00DC2485" w:rsidP="00DC2485">
            <w:pPr>
              <w:spacing w:before="40" w:after="40"/>
            </w:pPr>
            <w:r>
              <w:t>HINC</w:t>
            </w:r>
          </w:p>
        </w:tc>
        <w:tc>
          <w:tcPr>
            <w:tcW w:w="6379" w:type="dxa"/>
          </w:tcPr>
          <w:p w:rsidR="00DC2485" w:rsidRDefault="00DC2485" w:rsidP="00DC2485">
            <w:pPr>
              <w:spacing w:before="40" w:after="40"/>
            </w:pPr>
            <w:r w:rsidRPr="00D74AEC">
              <w:t>Her</w:t>
            </w:r>
            <w:r>
              <w:t>bal Ingredient Naming Committee</w:t>
            </w:r>
          </w:p>
        </w:tc>
      </w:tr>
      <w:tr w:rsidR="00DC2485" w:rsidRPr="00D74AEC" w:rsidTr="0093306E">
        <w:tc>
          <w:tcPr>
            <w:tcW w:w="2518" w:type="dxa"/>
          </w:tcPr>
          <w:p w:rsidR="00DC2485" w:rsidRDefault="00DC2485" w:rsidP="00DC2485">
            <w:pPr>
              <w:spacing w:before="40" w:after="40"/>
            </w:pPr>
            <w:r>
              <w:t>NICNAS</w:t>
            </w:r>
          </w:p>
        </w:tc>
        <w:tc>
          <w:tcPr>
            <w:tcW w:w="6379" w:type="dxa"/>
          </w:tcPr>
          <w:p w:rsidR="00DC2485" w:rsidRDefault="00DC2485" w:rsidP="00DC2485">
            <w:pPr>
              <w:spacing w:before="40" w:after="40"/>
            </w:pPr>
            <w:r w:rsidRPr="00D74AEC">
              <w:t>National Industrial Chemicals Not</w:t>
            </w:r>
            <w:r>
              <w:t>ification and Assessment Scheme</w:t>
            </w:r>
          </w:p>
        </w:tc>
      </w:tr>
      <w:tr w:rsidR="00DC2485" w:rsidRPr="00D74AEC" w:rsidTr="0093306E">
        <w:tc>
          <w:tcPr>
            <w:tcW w:w="2518" w:type="dxa"/>
          </w:tcPr>
          <w:p w:rsidR="00DC2485" w:rsidRDefault="00DC2485" w:rsidP="00DC2485">
            <w:pPr>
              <w:spacing w:before="40" w:after="40"/>
            </w:pPr>
            <w:r>
              <w:t>OGTR</w:t>
            </w:r>
          </w:p>
        </w:tc>
        <w:tc>
          <w:tcPr>
            <w:tcW w:w="6379" w:type="dxa"/>
          </w:tcPr>
          <w:p w:rsidR="00DC2485" w:rsidRDefault="00DC2485" w:rsidP="00DC2485">
            <w:pPr>
              <w:spacing w:before="40" w:after="40"/>
            </w:pPr>
            <w:r w:rsidRPr="00D74AEC">
              <w:t>Office o</w:t>
            </w:r>
            <w:r>
              <w:t>f the Gene Technology Regulator</w:t>
            </w:r>
          </w:p>
        </w:tc>
      </w:tr>
      <w:tr w:rsidR="00DC2485" w:rsidRPr="00D74AEC" w:rsidTr="0093306E">
        <w:tc>
          <w:tcPr>
            <w:tcW w:w="2518" w:type="dxa"/>
          </w:tcPr>
          <w:p w:rsidR="00DC2485" w:rsidRDefault="00DC2485" w:rsidP="00DC2485">
            <w:pPr>
              <w:spacing w:before="40" w:after="40"/>
            </w:pPr>
            <w:r>
              <w:t>OTC</w:t>
            </w:r>
          </w:p>
        </w:tc>
        <w:tc>
          <w:tcPr>
            <w:tcW w:w="6379" w:type="dxa"/>
          </w:tcPr>
          <w:p w:rsidR="00DC2485" w:rsidRPr="00D74AEC" w:rsidRDefault="00DC2485" w:rsidP="00DC2485">
            <w:pPr>
              <w:spacing w:before="40" w:after="40"/>
            </w:pPr>
            <w:r>
              <w:t>Over-The-Counter</w:t>
            </w:r>
          </w:p>
        </w:tc>
      </w:tr>
      <w:tr w:rsidR="00DC2485" w:rsidRPr="00D74AEC" w:rsidTr="0093306E">
        <w:tc>
          <w:tcPr>
            <w:tcW w:w="2518" w:type="dxa"/>
          </w:tcPr>
          <w:p w:rsidR="00DC2485" w:rsidRDefault="00DD3D80" w:rsidP="00DD3D80">
            <w:pPr>
              <w:spacing w:before="40" w:after="40"/>
            </w:pPr>
            <w:r>
              <w:lastRenderedPageBreak/>
              <w:t>Proprietary ingredient</w:t>
            </w:r>
          </w:p>
        </w:tc>
        <w:tc>
          <w:tcPr>
            <w:tcW w:w="6379" w:type="dxa"/>
          </w:tcPr>
          <w:p w:rsidR="00DC2485" w:rsidRPr="00D74AEC" w:rsidRDefault="00DD3D80" w:rsidP="00DC2485">
            <w:pPr>
              <w:spacing w:before="40" w:after="40"/>
            </w:pPr>
            <w:r>
              <w:t>A</w:t>
            </w:r>
            <w:r w:rsidRPr="00DD3D80">
              <w:t xml:space="preserve"> confidential formulation about which information is not in the public domain</w:t>
            </w:r>
          </w:p>
        </w:tc>
      </w:tr>
      <w:tr w:rsidR="00DC2485" w:rsidRPr="00D74AEC" w:rsidTr="0093306E">
        <w:tc>
          <w:tcPr>
            <w:tcW w:w="2518" w:type="dxa"/>
          </w:tcPr>
          <w:p w:rsidR="00DC2485" w:rsidRDefault="00DC2485" w:rsidP="00DC2485">
            <w:pPr>
              <w:spacing w:before="40" w:after="40"/>
            </w:pPr>
            <w:r>
              <w:t>RASML</w:t>
            </w:r>
          </w:p>
        </w:tc>
        <w:tc>
          <w:tcPr>
            <w:tcW w:w="6379" w:type="dxa"/>
          </w:tcPr>
          <w:p w:rsidR="00DC2485" w:rsidRPr="00D74AEC" w:rsidRDefault="00DC2485" w:rsidP="00DC2485">
            <w:pPr>
              <w:spacing w:before="40" w:after="40"/>
            </w:pPr>
            <w:r w:rsidRPr="00D74AEC">
              <w:t>Required Advisory Statements for Medicine Label</w:t>
            </w:r>
            <w:r>
              <w:t>s</w:t>
            </w:r>
          </w:p>
        </w:tc>
      </w:tr>
      <w:tr w:rsidR="00DC2485" w:rsidRPr="00D74AEC" w:rsidTr="0093306E">
        <w:tc>
          <w:tcPr>
            <w:tcW w:w="2518" w:type="dxa"/>
          </w:tcPr>
          <w:p w:rsidR="00DC2485" w:rsidRDefault="00DC2485" w:rsidP="00DC2485">
            <w:pPr>
              <w:spacing w:before="40" w:after="40"/>
            </w:pPr>
            <w:r>
              <w:t>RDI</w:t>
            </w:r>
          </w:p>
        </w:tc>
        <w:tc>
          <w:tcPr>
            <w:tcW w:w="6379" w:type="dxa"/>
          </w:tcPr>
          <w:p w:rsidR="00DC2485" w:rsidRPr="00D74AEC" w:rsidRDefault="00DC2485" w:rsidP="00DC2485">
            <w:pPr>
              <w:spacing w:before="40" w:after="40"/>
            </w:pPr>
            <w:r>
              <w:t>Recommended Dietary Intake</w:t>
            </w:r>
          </w:p>
        </w:tc>
      </w:tr>
      <w:tr w:rsidR="00DC2485" w:rsidRPr="00D74AEC" w:rsidTr="0093306E">
        <w:tc>
          <w:tcPr>
            <w:tcW w:w="2518" w:type="dxa"/>
          </w:tcPr>
          <w:p w:rsidR="00DC2485" w:rsidRDefault="00DC2485" w:rsidP="00DC2485">
            <w:pPr>
              <w:spacing w:before="40" w:after="40"/>
            </w:pPr>
            <w:r>
              <w:t>SUSMP</w:t>
            </w:r>
          </w:p>
        </w:tc>
        <w:tc>
          <w:tcPr>
            <w:tcW w:w="6379" w:type="dxa"/>
          </w:tcPr>
          <w:p w:rsidR="00DC2485" w:rsidRPr="00D74AEC" w:rsidRDefault="00DC2485" w:rsidP="00DC2485">
            <w:pPr>
              <w:spacing w:before="40" w:after="40"/>
            </w:pPr>
            <w:r w:rsidRPr="00D74AEC">
              <w:t>Standard for the Uniform Sche</w:t>
            </w:r>
            <w:r>
              <w:t>duling of Medicines and Poisons</w:t>
            </w:r>
          </w:p>
        </w:tc>
      </w:tr>
      <w:tr w:rsidR="00DC2485" w:rsidRPr="00D74AEC" w:rsidTr="0093306E">
        <w:tc>
          <w:tcPr>
            <w:tcW w:w="2518" w:type="dxa"/>
          </w:tcPr>
          <w:p w:rsidR="00DC2485" w:rsidRDefault="00DC2485" w:rsidP="00DC2485">
            <w:pPr>
              <w:spacing w:before="40" w:after="40"/>
            </w:pPr>
            <w:r>
              <w:t>The Act</w:t>
            </w:r>
          </w:p>
        </w:tc>
        <w:tc>
          <w:tcPr>
            <w:tcW w:w="6379" w:type="dxa"/>
          </w:tcPr>
          <w:p w:rsidR="00DC2485" w:rsidRPr="00D74AEC" w:rsidRDefault="00DC2485" w:rsidP="00DC2485">
            <w:pPr>
              <w:spacing w:before="40" w:after="40"/>
            </w:pPr>
            <w:r w:rsidRPr="00907D9C">
              <w:rPr>
                <w:i/>
              </w:rPr>
              <w:t>Therapeutic Goods Act 1989</w:t>
            </w:r>
          </w:p>
        </w:tc>
      </w:tr>
      <w:tr w:rsidR="00DC2485" w:rsidRPr="00D74AEC" w:rsidTr="0093306E">
        <w:tc>
          <w:tcPr>
            <w:tcW w:w="2518" w:type="dxa"/>
          </w:tcPr>
          <w:p w:rsidR="00DC2485" w:rsidRDefault="00DC2485" w:rsidP="00DC2485">
            <w:pPr>
              <w:spacing w:before="40" w:after="40"/>
            </w:pPr>
            <w:r>
              <w:t>The Regulations</w:t>
            </w:r>
          </w:p>
        </w:tc>
        <w:tc>
          <w:tcPr>
            <w:tcW w:w="6379" w:type="dxa"/>
          </w:tcPr>
          <w:p w:rsidR="00DC2485" w:rsidRPr="00D74AEC" w:rsidRDefault="00DC2485" w:rsidP="00DC2485">
            <w:pPr>
              <w:spacing w:before="40" w:after="40"/>
            </w:pPr>
            <w:r w:rsidRPr="00D74AEC">
              <w:t>Ther</w:t>
            </w:r>
            <w:r>
              <w:t>apeutic Goods Regulations 1990</w:t>
            </w:r>
          </w:p>
        </w:tc>
      </w:tr>
      <w:tr w:rsidR="00DC2485" w:rsidRPr="00D74AEC" w:rsidTr="0093306E">
        <w:tc>
          <w:tcPr>
            <w:tcW w:w="2518" w:type="dxa"/>
          </w:tcPr>
          <w:p w:rsidR="00DC2485" w:rsidRDefault="00DC2485" w:rsidP="00DC2485">
            <w:pPr>
              <w:spacing w:before="40" w:after="40"/>
            </w:pPr>
            <w:r w:rsidRPr="00D74AEC">
              <w:t>TGA</w:t>
            </w:r>
          </w:p>
        </w:tc>
        <w:tc>
          <w:tcPr>
            <w:tcW w:w="6379" w:type="dxa"/>
          </w:tcPr>
          <w:p w:rsidR="00DC2485" w:rsidRPr="00D74AEC" w:rsidRDefault="00DC2485" w:rsidP="00DC2485">
            <w:pPr>
              <w:spacing w:before="40" w:after="40"/>
            </w:pPr>
            <w:r w:rsidRPr="00D74AEC">
              <w:t>T</w:t>
            </w:r>
            <w:r>
              <w:t>herapeutic Goods Administration</w:t>
            </w:r>
          </w:p>
        </w:tc>
      </w:tr>
      <w:tr w:rsidR="00DC2485" w:rsidRPr="00D74AEC" w:rsidTr="0093306E">
        <w:tc>
          <w:tcPr>
            <w:tcW w:w="2518" w:type="dxa"/>
          </w:tcPr>
          <w:p w:rsidR="00DC2485" w:rsidRDefault="00DC2485" w:rsidP="00DC2485">
            <w:pPr>
              <w:spacing w:before="40" w:after="40"/>
            </w:pPr>
            <w:r w:rsidRPr="00D74AEC">
              <w:t>TGAC</w:t>
            </w:r>
          </w:p>
        </w:tc>
        <w:tc>
          <w:tcPr>
            <w:tcW w:w="6379" w:type="dxa"/>
          </w:tcPr>
          <w:p w:rsidR="00DC2485" w:rsidRPr="00D74AEC" w:rsidRDefault="00DC2485" w:rsidP="00DC2485">
            <w:pPr>
              <w:spacing w:before="40" w:after="40"/>
            </w:pPr>
            <w:r w:rsidRPr="00D74AEC">
              <w:t>Therapeu</w:t>
            </w:r>
            <w:r>
              <w:t>tic Goods Advertising Code 2007</w:t>
            </w:r>
          </w:p>
        </w:tc>
      </w:tr>
      <w:tr w:rsidR="00DC2485" w:rsidRPr="00D74AEC" w:rsidTr="0093306E">
        <w:tc>
          <w:tcPr>
            <w:tcW w:w="2518" w:type="dxa"/>
          </w:tcPr>
          <w:p w:rsidR="00DC2485" w:rsidRDefault="00DC2485" w:rsidP="00DC2485">
            <w:pPr>
              <w:spacing w:before="40" w:after="40"/>
            </w:pPr>
            <w:r w:rsidRPr="00D74AEC">
              <w:t>TGOs</w:t>
            </w:r>
          </w:p>
        </w:tc>
        <w:tc>
          <w:tcPr>
            <w:tcW w:w="6379" w:type="dxa"/>
          </w:tcPr>
          <w:p w:rsidR="00DC2485" w:rsidRPr="00D74AEC" w:rsidRDefault="00DC2485" w:rsidP="00DC2485">
            <w:pPr>
              <w:spacing w:before="40" w:after="40"/>
            </w:pPr>
            <w:r>
              <w:t>Therapeutic Goods Orders</w:t>
            </w:r>
          </w:p>
        </w:tc>
      </w:tr>
      <w:tr w:rsidR="00DC2485" w:rsidRPr="00D74AEC" w:rsidTr="0093306E">
        <w:tc>
          <w:tcPr>
            <w:tcW w:w="2518" w:type="dxa"/>
          </w:tcPr>
          <w:p w:rsidR="00DC2485" w:rsidRDefault="00DC2485" w:rsidP="00DC2485">
            <w:pPr>
              <w:spacing w:before="40" w:after="40"/>
            </w:pPr>
            <w:r w:rsidRPr="00D74AEC">
              <w:t>TGO 69</w:t>
            </w:r>
          </w:p>
        </w:tc>
        <w:tc>
          <w:tcPr>
            <w:tcW w:w="6379" w:type="dxa"/>
          </w:tcPr>
          <w:p w:rsidR="00DC2485" w:rsidRPr="00D74AEC" w:rsidRDefault="00DC2485" w:rsidP="00DC2485">
            <w:pPr>
              <w:spacing w:before="40" w:after="40"/>
            </w:pPr>
            <w:r w:rsidRPr="00D74AEC">
              <w:t>Therapeutic Goods Order No. 69 – General requirements for labels for medicines</w:t>
            </w:r>
          </w:p>
        </w:tc>
      </w:tr>
      <w:tr w:rsidR="00DC2485" w:rsidRPr="00D74AEC" w:rsidTr="0093306E">
        <w:tc>
          <w:tcPr>
            <w:tcW w:w="2518" w:type="dxa"/>
          </w:tcPr>
          <w:p w:rsidR="00DC2485" w:rsidRDefault="00DC2485" w:rsidP="00DC2485">
            <w:pPr>
              <w:spacing w:before="40" w:after="40"/>
            </w:pPr>
            <w:r>
              <w:t>TGO 77</w:t>
            </w:r>
          </w:p>
        </w:tc>
        <w:tc>
          <w:tcPr>
            <w:tcW w:w="6379" w:type="dxa"/>
          </w:tcPr>
          <w:p w:rsidR="00DC2485" w:rsidRDefault="00DC2485" w:rsidP="00DC2485">
            <w:pPr>
              <w:spacing w:before="40" w:after="40"/>
            </w:pPr>
            <w:r w:rsidRPr="00D74AEC">
              <w:t>Therapeutic Goods Order No. 77 – Microbio</w:t>
            </w:r>
            <w:r>
              <w:t>logical Standards for Medicines</w:t>
            </w:r>
          </w:p>
        </w:tc>
      </w:tr>
      <w:tr w:rsidR="00DC2485" w:rsidRPr="00D74AEC" w:rsidTr="0093306E">
        <w:tc>
          <w:tcPr>
            <w:tcW w:w="2518" w:type="dxa"/>
          </w:tcPr>
          <w:p w:rsidR="00DC2485" w:rsidRDefault="00DC2485" w:rsidP="00DC2485">
            <w:pPr>
              <w:spacing w:before="40" w:after="40"/>
            </w:pPr>
            <w:r>
              <w:t>TGO 78</w:t>
            </w:r>
          </w:p>
        </w:tc>
        <w:tc>
          <w:tcPr>
            <w:tcW w:w="6379" w:type="dxa"/>
          </w:tcPr>
          <w:p w:rsidR="00DC2485" w:rsidRDefault="00DC2485" w:rsidP="00DC2485">
            <w:pPr>
              <w:spacing w:before="40" w:after="40"/>
            </w:pPr>
            <w:r w:rsidRPr="00D74AEC">
              <w:t>Therapeutic Goods Order No. 78 – Sta</w:t>
            </w:r>
            <w:r>
              <w:t>ndards for Tablets and Capsules</w:t>
            </w:r>
          </w:p>
        </w:tc>
      </w:tr>
      <w:tr w:rsidR="00DC2485" w:rsidRPr="00D74AEC" w:rsidTr="0093306E">
        <w:tc>
          <w:tcPr>
            <w:tcW w:w="2518" w:type="dxa"/>
          </w:tcPr>
          <w:p w:rsidR="00DC2485" w:rsidRDefault="00DC2485" w:rsidP="00DC2485">
            <w:pPr>
              <w:spacing w:before="40" w:after="40"/>
            </w:pPr>
            <w:r>
              <w:t>TGO 80</w:t>
            </w:r>
          </w:p>
        </w:tc>
        <w:tc>
          <w:tcPr>
            <w:tcW w:w="6379" w:type="dxa"/>
          </w:tcPr>
          <w:p w:rsidR="00DC2485" w:rsidRDefault="00DC2485" w:rsidP="00DC2485">
            <w:pPr>
              <w:spacing w:before="40" w:after="40"/>
            </w:pPr>
            <w:r w:rsidRPr="00D74AEC">
              <w:t>Therapeutic Goods Order No. 80 – Child-resistant Packa</w:t>
            </w:r>
            <w:r>
              <w:t>ging Requirements for Medicines</w:t>
            </w:r>
          </w:p>
        </w:tc>
      </w:tr>
      <w:tr w:rsidR="00DC2485" w:rsidRPr="00D74AEC" w:rsidTr="0093306E">
        <w:tc>
          <w:tcPr>
            <w:tcW w:w="2518" w:type="dxa"/>
          </w:tcPr>
          <w:p w:rsidR="00DC2485" w:rsidRDefault="00DC2485" w:rsidP="00DC2485">
            <w:pPr>
              <w:spacing w:before="40" w:after="40"/>
            </w:pPr>
            <w:r>
              <w:t>TSE</w:t>
            </w:r>
          </w:p>
        </w:tc>
        <w:tc>
          <w:tcPr>
            <w:tcW w:w="6379" w:type="dxa"/>
          </w:tcPr>
          <w:p w:rsidR="00DC2485" w:rsidRDefault="00DC2485" w:rsidP="00DC2485">
            <w:pPr>
              <w:spacing w:before="40" w:after="40"/>
            </w:pPr>
            <w:r w:rsidRPr="00D74AEC">
              <w:t>Transmis</w:t>
            </w:r>
            <w:r>
              <w:t>sible Spongiform Encephalopathy</w:t>
            </w:r>
          </w:p>
        </w:tc>
      </w:tr>
      <w:tr w:rsidR="00DC2485" w:rsidRPr="00D74AEC" w:rsidTr="0093306E">
        <w:tc>
          <w:tcPr>
            <w:tcW w:w="2518" w:type="dxa"/>
          </w:tcPr>
          <w:p w:rsidR="00DC2485" w:rsidRDefault="00DC2485" w:rsidP="00DC2485">
            <w:pPr>
              <w:spacing w:before="40" w:after="40"/>
            </w:pPr>
            <w:r>
              <w:t>URPTG</w:t>
            </w:r>
          </w:p>
        </w:tc>
        <w:tc>
          <w:tcPr>
            <w:tcW w:w="6379" w:type="dxa"/>
          </w:tcPr>
          <w:p w:rsidR="00DC2485" w:rsidRPr="00D74AEC" w:rsidRDefault="00DC2485" w:rsidP="00DC2485">
            <w:pPr>
              <w:spacing w:before="40" w:after="40"/>
            </w:pPr>
            <w:r w:rsidRPr="00D74AEC">
              <w:t xml:space="preserve">Uniform Recall </w:t>
            </w:r>
            <w:r>
              <w:t>Procedure for Therapeutic Goods</w:t>
            </w:r>
          </w:p>
        </w:tc>
      </w:tr>
      <w:tr w:rsidR="00DC2485" w:rsidRPr="00D74AEC" w:rsidTr="0093306E">
        <w:tc>
          <w:tcPr>
            <w:tcW w:w="2518" w:type="dxa"/>
          </w:tcPr>
          <w:p w:rsidR="00DC2485" w:rsidRDefault="00DC2485" w:rsidP="00DC2485">
            <w:pPr>
              <w:spacing w:before="40" w:after="40"/>
            </w:pPr>
            <w:r>
              <w:t>USP</w:t>
            </w:r>
          </w:p>
        </w:tc>
        <w:tc>
          <w:tcPr>
            <w:tcW w:w="6379" w:type="dxa"/>
          </w:tcPr>
          <w:p w:rsidR="00DC2485" w:rsidRPr="00D74AEC" w:rsidRDefault="00DC2485" w:rsidP="00DC2485">
            <w:pPr>
              <w:spacing w:before="40" w:after="40"/>
            </w:pPr>
            <w:r w:rsidRPr="00D74AEC">
              <w:t>United States Pha</w:t>
            </w:r>
            <w:r>
              <w:t>rmacopoeia – National Formulary</w:t>
            </w:r>
          </w:p>
        </w:tc>
      </w:tr>
      <w:tr w:rsidR="00DC2485" w:rsidRPr="00D74AEC" w:rsidTr="0093306E">
        <w:tc>
          <w:tcPr>
            <w:tcW w:w="2518" w:type="dxa"/>
          </w:tcPr>
          <w:p w:rsidR="00DC2485" w:rsidRDefault="00DC2485" w:rsidP="00DC2485">
            <w:pPr>
              <w:spacing w:before="40" w:after="40"/>
            </w:pPr>
            <w:r w:rsidRPr="00D74AEC">
              <w:t>WHO</w:t>
            </w:r>
          </w:p>
        </w:tc>
        <w:tc>
          <w:tcPr>
            <w:tcW w:w="6379" w:type="dxa"/>
          </w:tcPr>
          <w:p w:rsidR="00DC2485" w:rsidRPr="00D74AEC" w:rsidRDefault="002B4777" w:rsidP="00DC2485">
            <w:pPr>
              <w:spacing w:before="40" w:after="40"/>
            </w:pPr>
            <w:r>
              <w:t>World Health Organiz</w:t>
            </w:r>
            <w:r w:rsidR="00DC2485" w:rsidRPr="00D74AEC">
              <w:t>ation</w:t>
            </w:r>
          </w:p>
        </w:tc>
      </w:tr>
    </w:tbl>
    <w:p w:rsidR="00CC0D2C" w:rsidRDefault="00CC0D2C" w:rsidP="003B4FD1">
      <w:pPr>
        <w:spacing w:before="0" w:after="0" w:line="240" w:lineRule="auto"/>
      </w:pPr>
    </w:p>
    <w:p w:rsidR="003B4FD1" w:rsidRPr="003B4FD1" w:rsidRDefault="003B4FD1" w:rsidP="003B4FD1">
      <w:pPr>
        <w:spacing w:before="0" w:after="0" w:line="240" w:lineRule="auto"/>
      </w:pPr>
      <w:r>
        <w:br w:type="page"/>
      </w:r>
    </w:p>
    <w:p w:rsidR="001525B4" w:rsidRPr="000C5A31" w:rsidRDefault="00A55C1B" w:rsidP="000C5A31">
      <w:pPr>
        <w:pStyle w:val="Heading2"/>
      </w:pPr>
      <w:bookmarkStart w:id="1" w:name="_Toc337635084"/>
      <w:r w:rsidRPr="00A55C1B">
        <w:lastRenderedPageBreak/>
        <w:t>ARGCM Part A: General guidance</w:t>
      </w:r>
      <w:bookmarkEnd w:id="1"/>
    </w:p>
    <w:p w:rsidR="001525B4" w:rsidRPr="002B0C2E" w:rsidRDefault="00A55C1B" w:rsidP="000C5A31">
      <w:pPr>
        <w:pStyle w:val="Heading3"/>
      </w:pPr>
      <w:bookmarkStart w:id="2" w:name="_Toc337635085"/>
      <w:r w:rsidRPr="00A55C1B">
        <w:t>Introduction to the ARGCM</w:t>
      </w:r>
      <w:bookmarkEnd w:id="2"/>
    </w:p>
    <w:p w:rsidR="00A55C1B" w:rsidRDefault="00A55C1B" w:rsidP="00A55C1B">
      <w:r>
        <w:t xml:space="preserve">The Australian </w:t>
      </w:r>
      <w:r w:rsidR="00CF3DFE">
        <w:t xml:space="preserve">regulatory guidelines for complementary medicines </w:t>
      </w:r>
      <w:r>
        <w:t xml:space="preserve">(ARGCM) provide information for manufacturers, sponsors, healthcare professionals and the general public on the legal arrangements for the supply and use of complementary medicines in Australia. </w:t>
      </w:r>
    </w:p>
    <w:p w:rsidR="00A55C1B" w:rsidRDefault="00A55C1B" w:rsidP="00A55C1B">
      <w:r>
        <w:t xml:space="preserve">Individuals who wish to supply a complementary medicine in Australia but are unfamiliar with the regulation of therapeutic goods are advised to seek assistance from a regulatory affairs consultant. A list of consultants is provided by the </w:t>
      </w:r>
      <w:hyperlink r:id="rId14" w:history="1">
        <w:r w:rsidRPr="001A41DA">
          <w:rPr>
            <w:rStyle w:val="Hyperlink"/>
          </w:rPr>
          <w:t>Complementary Healthcare Council,</w:t>
        </w:r>
      </w:hyperlink>
      <w:r>
        <w:t xml:space="preserve"> the </w:t>
      </w:r>
      <w:hyperlink r:id="rId15" w:history="1">
        <w:r w:rsidRPr="001A41DA">
          <w:rPr>
            <w:rStyle w:val="Hyperlink"/>
          </w:rPr>
          <w:t>Australian Self Medication Industry</w:t>
        </w:r>
      </w:hyperlink>
      <w:r>
        <w:t xml:space="preserve"> and the </w:t>
      </w:r>
      <w:hyperlink r:id="rId16" w:history="1">
        <w:r w:rsidRPr="001A41DA">
          <w:rPr>
            <w:rStyle w:val="Hyperlink"/>
          </w:rPr>
          <w:t>Association of Therapeutic Goods Consultants</w:t>
        </w:r>
      </w:hyperlink>
      <w:r>
        <w:t>.</w:t>
      </w:r>
    </w:p>
    <w:p w:rsidR="00A55C1B" w:rsidRDefault="00A55C1B" w:rsidP="00A55C1B">
      <w:r>
        <w:t>The ARGCM was first published in 2001. ARGCM revision 5 (2012) is a restructure of the original document in order to increase the useability of the guidelines and to ensure the information provided is reflective of current regulatory requirements. The revised ARGCM comprises four parts with technical information provided in Attachments.</w:t>
      </w:r>
    </w:p>
    <w:p w:rsidR="00A55C1B" w:rsidRDefault="00A55C1B" w:rsidP="00A55C1B">
      <w:r w:rsidRPr="001A41DA">
        <w:rPr>
          <w:b/>
        </w:rPr>
        <w:t>Part A</w:t>
      </w:r>
      <w:r>
        <w:t>:</w:t>
      </w:r>
      <w:r>
        <w:tab/>
        <w:t xml:space="preserve">Provides an overview of the regulatory framework for therapeutic goods in Australia. Information is provided on: the regulation of different types of complementary medicines; active and </w:t>
      </w:r>
      <w:proofErr w:type="spellStart"/>
      <w:r>
        <w:t>excipient</w:t>
      </w:r>
      <w:proofErr w:type="spellEnd"/>
      <w:r>
        <w:t xml:space="preserve"> ingredients, medicine terminology; exempt medicines, practitioner products; and medicine/ food interface issues.</w:t>
      </w:r>
    </w:p>
    <w:p w:rsidR="00A55C1B" w:rsidRDefault="00A55C1B" w:rsidP="00A55C1B">
      <w:r w:rsidRPr="001A41DA">
        <w:rPr>
          <w:b/>
        </w:rPr>
        <w:t>Part B</w:t>
      </w:r>
      <w:r>
        <w:t>:</w:t>
      </w:r>
      <w:r>
        <w:tab/>
        <w:t>Provides guidance on the regulatory framework for listed ‘low risk’ complementary medicines.</w:t>
      </w:r>
    </w:p>
    <w:p w:rsidR="00A55C1B" w:rsidRDefault="00A55C1B" w:rsidP="00A55C1B">
      <w:r w:rsidRPr="001A41DA">
        <w:rPr>
          <w:b/>
        </w:rPr>
        <w:t>Part C</w:t>
      </w:r>
      <w:r>
        <w:t>:</w:t>
      </w:r>
      <w:r>
        <w:tab/>
        <w:t>Provides guidance on the evaluation process for a new complementary substance to be approved for use in listed medicines.</w:t>
      </w:r>
    </w:p>
    <w:p w:rsidR="00A55C1B" w:rsidRDefault="00A55C1B" w:rsidP="00A55C1B">
      <w:r w:rsidRPr="001A41DA">
        <w:rPr>
          <w:b/>
        </w:rPr>
        <w:t>Part D</w:t>
      </w:r>
      <w:r>
        <w:t>:</w:t>
      </w:r>
      <w:r>
        <w:tab/>
        <w:t>Provides guidance on the registration process for complementary medicines.</w:t>
      </w:r>
    </w:p>
    <w:p w:rsidR="001525B4" w:rsidRPr="001525B4" w:rsidRDefault="00A55C1B" w:rsidP="00A55C1B">
      <w:r>
        <w:t>Attachments: Provide technical details and requirements relevant to the procedural information provided in the main body of the document.</w:t>
      </w:r>
    </w:p>
    <w:p w:rsidR="00A55C1B" w:rsidRDefault="00A55C1B" w:rsidP="00A55C1B">
      <w:pPr>
        <w:pStyle w:val="Heading3"/>
      </w:pPr>
      <w:bookmarkStart w:id="3" w:name="_Toc337635086"/>
      <w:bookmarkStart w:id="4" w:name="_Toc323738672"/>
      <w:r w:rsidRPr="00A55C1B">
        <w:t>Legislation</w:t>
      </w:r>
      <w:bookmarkEnd w:id="3"/>
    </w:p>
    <w:p w:rsidR="00A55C1B" w:rsidRDefault="00A55C1B" w:rsidP="002538AE">
      <w:pPr>
        <w:pStyle w:val="Heading4"/>
      </w:pPr>
      <w:bookmarkStart w:id="5" w:name="_Toc337635087"/>
      <w:bookmarkEnd w:id="4"/>
      <w:r w:rsidRPr="00A55C1B">
        <w:t>Relevant regulatory requirements</w:t>
      </w:r>
      <w:bookmarkEnd w:id="5"/>
    </w:p>
    <w:p w:rsidR="00A55C1B" w:rsidRPr="00292F1E" w:rsidRDefault="00A55C1B" w:rsidP="00A55C1B">
      <w:r w:rsidRPr="00292F1E">
        <w:t xml:space="preserve">The </w:t>
      </w:r>
      <w:hyperlink r:id="rId17" w:history="1">
        <w:r w:rsidRPr="001B6180">
          <w:rPr>
            <w:i/>
            <w:color w:val="0000FF"/>
            <w:u w:val="single"/>
          </w:rPr>
          <w:t>Therapeutic Goods Act 1989</w:t>
        </w:r>
      </w:hyperlink>
      <w:r w:rsidRPr="00292F1E">
        <w:rPr>
          <w:color w:val="0000FF"/>
          <w:u w:val="single"/>
        </w:rPr>
        <w:t xml:space="preserve"> </w:t>
      </w:r>
      <w:r w:rsidRPr="001B6180">
        <w:t>(the Act)</w:t>
      </w:r>
      <w:r w:rsidRPr="00292F1E">
        <w:t xml:space="preserve"> provides a uniform national framework for import, export, manufacture and supply of therapeutic goods</w:t>
      </w:r>
      <w:r>
        <w:t xml:space="preserve"> in Australia</w:t>
      </w:r>
      <w:r w:rsidRPr="00292F1E">
        <w:t xml:space="preserve">. The Act establishes the authority of the </w:t>
      </w:r>
      <w:r>
        <w:t>Therapeutic Goods Administration (</w:t>
      </w:r>
      <w:r w:rsidRPr="00292F1E">
        <w:t>TGA</w:t>
      </w:r>
      <w:r>
        <w:t>)</w:t>
      </w:r>
      <w:r w:rsidRPr="00292F1E">
        <w:t xml:space="preserve"> to</w:t>
      </w:r>
      <w:r>
        <w:t>:</w:t>
      </w:r>
      <w:r w:rsidRPr="00292F1E">
        <w:t xml:space="preserve"> </w:t>
      </w:r>
      <w:r>
        <w:t>include, suspend or cancel therapeutic goods from the Australian Register of Therapeutic Goods (ARTG);</w:t>
      </w:r>
      <w:r w:rsidRPr="00292F1E">
        <w:t xml:space="preserve"> impose standards</w:t>
      </w:r>
      <w:r>
        <w:t>; and request information from sponsors.</w:t>
      </w:r>
      <w:r w:rsidRPr="00292F1E">
        <w:t xml:space="preserve"> The Act also defines the circumstances in which sponsors may appeal decisions made </w:t>
      </w:r>
      <w:r>
        <w:t xml:space="preserve">under provisions in the Act e.g. </w:t>
      </w:r>
      <w:r w:rsidRPr="00292F1E">
        <w:t>decisions not to accept a product for registration</w:t>
      </w:r>
      <w:r>
        <w:t xml:space="preserve"> in the ARTG.</w:t>
      </w:r>
    </w:p>
    <w:p w:rsidR="00A55C1B" w:rsidRPr="00292F1E" w:rsidRDefault="00A55C1B" w:rsidP="00A55C1B">
      <w:r w:rsidRPr="00292F1E">
        <w:lastRenderedPageBreak/>
        <w:t xml:space="preserve">The </w:t>
      </w:r>
      <w:hyperlink r:id="rId18" w:history="1">
        <w:r w:rsidRPr="001B6180">
          <w:rPr>
            <w:color w:val="0000FF"/>
            <w:u w:val="single"/>
          </w:rPr>
          <w:t>Therapeutic Goods Regulations 1990</w:t>
        </w:r>
      </w:hyperlink>
      <w:r w:rsidRPr="00292F1E">
        <w:t xml:space="preserve"> (</w:t>
      </w:r>
      <w:r w:rsidRPr="001B6180">
        <w:t xml:space="preserve">the Regulations) </w:t>
      </w:r>
      <w:r>
        <w:t>support and provide</w:t>
      </w:r>
      <w:r w:rsidRPr="00292F1E">
        <w:t xml:space="preserve"> details</w:t>
      </w:r>
      <w:r>
        <w:t xml:space="preserve"> relevant to the Act</w:t>
      </w:r>
      <w:r w:rsidRPr="00292F1E">
        <w:t xml:space="preserve">. </w:t>
      </w:r>
    </w:p>
    <w:p w:rsidR="00A55C1B" w:rsidRPr="00292F1E" w:rsidRDefault="00A55C1B" w:rsidP="00A55C1B">
      <w:r w:rsidRPr="00292F1E">
        <w:t xml:space="preserve">The </w:t>
      </w:r>
      <w:hyperlink r:id="rId19" w:history="1">
        <w:r w:rsidRPr="000B11B7">
          <w:rPr>
            <w:color w:val="0000FF"/>
            <w:u w:val="single"/>
          </w:rPr>
          <w:t>Standard for the Uniform Scheduling of Medicines and Poisons</w:t>
        </w:r>
      </w:hyperlink>
      <w:r w:rsidRPr="001B6180">
        <w:rPr>
          <w:color w:val="0000FF"/>
          <w:u w:val="single"/>
        </w:rPr>
        <w:t xml:space="preserve"> </w:t>
      </w:r>
      <w:r w:rsidRPr="0072434A">
        <w:t>(SUSMP)</w:t>
      </w:r>
      <w:r>
        <w:t xml:space="preserve"> consists of decisions regarding the classification of medicines and poisons into Schedules for inclusion in the relevant legislation of the States and Territories. The SUSMP also includes model provisions about containers and labels, a list of products recommended to be exempt from these provisions, and recommendations about other controls on drugs and poisons.</w:t>
      </w:r>
    </w:p>
    <w:p w:rsidR="00A55C1B" w:rsidRDefault="0031131E" w:rsidP="00A55C1B">
      <w:hyperlink r:id="rId20" w:history="1">
        <w:r w:rsidR="00A55C1B" w:rsidRPr="000B11B7">
          <w:rPr>
            <w:color w:val="0000FF"/>
            <w:u w:val="single"/>
          </w:rPr>
          <w:t>Therapeutic Goods Orders</w:t>
        </w:r>
      </w:hyperlink>
      <w:r w:rsidR="00A55C1B" w:rsidRPr="0072434A">
        <w:rPr>
          <w:color w:val="0000FF"/>
          <w:u w:val="single"/>
        </w:rPr>
        <w:t xml:space="preserve"> </w:t>
      </w:r>
      <w:r w:rsidR="00A55C1B" w:rsidRPr="0072434A">
        <w:t>(TGOs)</w:t>
      </w:r>
      <w:r w:rsidR="00A55C1B" w:rsidRPr="00292F1E">
        <w:t xml:space="preserve"> </w:t>
      </w:r>
      <w:r w:rsidR="00A55C1B">
        <w:t>are Australian standards (where there is no accepted international standard) that specify particular labelling, packaging or other requirements for therapeutic goods</w:t>
      </w:r>
      <w:r w:rsidR="00A55C1B" w:rsidRPr="00292F1E">
        <w:t xml:space="preserve">. Of particular relevance </w:t>
      </w:r>
      <w:r w:rsidR="00A55C1B">
        <w:t>for complementary medicines are:</w:t>
      </w:r>
    </w:p>
    <w:p w:rsidR="00A55C1B" w:rsidRDefault="00A55C1B" w:rsidP="00A55C1B">
      <w:pPr>
        <w:pStyle w:val="ListBullet"/>
      </w:pPr>
      <w:r>
        <w:t>TGO 69 – General requirements for labels for medicines</w:t>
      </w:r>
    </w:p>
    <w:p w:rsidR="00A55C1B" w:rsidRDefault="00A55C1B" w:rsidP="00A55C1B">
      <w:pPr>
        <w:pStyle w:val="ListBullet"/>
      </w:pPr>
      <w:r>
        <w:t>TGO 77 – Microbiological standards for medicines</w:t>
      </w:r>
    </w:p>
    <w:p w:rsidR="00A55C1B" w:rsidRDefault="00A55C1B" w:rsidP="00A55C1B">
      <w:pPr>
        <w:pStyle w:val="ListBullet"/>
      </w:pPr>
      <w:r>
        <w:t>TGO 78 – Standard for tablets and capsules</w:t>
      </w:r>
    </w:p>
    <w:p w:rsidR="00A55C1B" w:rsidRDefault="00A55C1B" w:rsidP="00A55C1B">
      <w:pPr>
        <w:pStyle w:val="ListBullet"/>
      </w:pPr>
      <w:r>
        <w:t>TGO 80 – Child-resistant packaging requirements for medicines</w:t>
      </w:r>
    </w:p>
    <w:p w:rsidR="001A41DA" w:rsidRPr="00730297" w:rsidRDefault="001A41DA" w:rsidP="001A41DA">
      <w:r w:rsidRPr="00730297">
        <w:t xml:space="preserve">The </w:t>
      </w:r>
      <w:hyperlink r:id="rId21" w:history="1">
        <w:r w:rsidRPr="00730297">
          <w:rPr>
            <w:rStyle w:val="Hyperlink"/>
          </w:rPr>
          <w:t>Therapeutic Goods Advertising Code 2007</w:t>
        </w:r>
      </w:hyperlink>
      <w:r w:rsidRPr="00730297">
        <w:t xml:space="preserve"> (TGAC) establishes the general requirements for advertising claims for therapeutic goods. </w:t>
      </w:r>
      <w:r w:rsidR="00721AF3">
        <w:t xml:space="preserve">Information on the medicine’s </w:t>
      </w:r>
      <w:r w:rsidRPr="00730297">
        <w:t xml:space="preserve">label </w:t>
      </w:r>
      <w:r w:rsidR="00721AF3">
        <w:t>is</w:t>
      </w:r>
      <w:r w:rsidRPr="00730297">
        <w:t xml:space="preserve"> considered to form part of the advertising material for the medicine. The TGAC defines the diseases/disorders/conditions that cannot be referred to in advertisements for therapeutic goods.</w:t>
      </w:r>
    </w:p>
    <w:p w:rsidR="001A41DA" w:rsidRDefault="001A41DA" w:rsidP="001A41DA">
      <w:r w:rsidRPr="00730297">
        <w:t xml:space="preserve">TGO 69 makes it mandatory for labels of all medicines supplied in Australia to include any label advisory statements specified in the </w:t>
      </w:r>
      <w:hyperlink r:id="rId22" w:history="1">
        <w:r w:rsidRPr="00730297">
          <w:rPr>
            <w:rStyle w:val="Hyperlink"/>
          </w:rPr>
          <w:t>Required Advisory Statements for Medicine Labels</w:t>
        </w:r>
      </w:hyperlink>
      <w:r w:rsidRPr="00730297">
        <w:t xml:space="preserve"> (RASML). </w:t>
      </w:r>
    </w:p>
    <w:p w:rsidR="00A55C1B" w:rsidRDefault="00A55C1B" w:rsidP="00A55C1B">
      <w:pPr>
        <w:pStyle w:val="Heading4"/>
      </w:pPr>
      <w:bookmarkStart w:id="6" w:name="_Toc337635088"/>
      <w:r w:rsidRPr="00A55C1B">
        <w:t>Default Standards, compositional guidelines and relevant guidelines</w:t>
      </w:r>
      <w:bookmarkEnd w:id="6"/>
    </w:p>
    <w:p w:rsidR="00A55C1B" w:rsidRDefault="00A55C1B" w:rsidP="000703DF">
      <w:r>
        <w:t xml:space="preserve">All therapeutic goods must comply with certain standards before they can be entered on the ARTG. The </w:t>
      </w:r>
      <w:r w:rsidRPr="001A41DA">
        <w:rPr>
          <w:i/>
        </w:rPr>
        <w:t xml:space="preserve">British Pharmacopoeia </w:t>
      </w:r>
      <w:r>
        <w:t xml:space="preserve">(BP), </w:t>
      </w:r>
      <w:r w:rsidRPr="001A41DA">
        <w:rPr>
          <w:i/>
        </w:rPr>
        <w:t>European Pharmacopoeia</w:t>
      </w:r>
      <w:r>
        <w:t xml:space="preserve"> (Ph Eur) and </w:t>
      </w:r>
      <w:r w:rsidRPr="001A41DA">
        <w:rPr>
          <w:i/>
        </w:rPr>
        <w:t xml:space="preserve">United States Pharmacopoeia-National Formulary </w:t>
      </w:r>
      <w:r>
        <w:t>(USP) are the official default standards for regulatory purposes in Australia. These pharmacopoeias provide a number of general standards for medicines and specific standards for some active ingredients and finished products. The three standards have regulatory force in Australia, unless there is a specific TGO that overrides their requirements. In some cases a minister may, by legislative instrument, specify an alternative 'ministerial standard', whether or not a default one exists.</w:t>
      </w:r>
    </w:p>
    <w:p w:rsidR="00A55C1B" w:rsidRDefault="00A55C1B" w:rsidP="000703DF">
      <w:r>
        <w:t xml:space="preserve">Where there is no monograph for an ingredient available in a default standard, the TGA has developed </w:t>
      </w:r>
      <w:hyperlink r:id="rId23" w:history="1">
        <w:r w:rsidRPr="001A41DA">
          <w:rPr>
            <w:rStyle w:val="Hyperlink"/>
          </w:rPr>
          <w:t>compositional guidelines</w:t>
        </w:r>
      </w:hyperlink>
      <w:r>
        <w:t>. A compositional guideline links formal descriptions and specifications with the Australian approved ingredient name for a substance approved for use in listed medicines. These guidelines assist sponsors to determine if the material they intend for use in a listed medicine conforms to TGA's definition and specifications for that substance. Refer to Attachment 1 (in development)</w:t>
      </w:r>
      <w:r w:rsidR="00721AF3">
        <w:t xml:space="preserve"> </w:t>
      </w:r>
      <w:r>
        <w:t>for more information on compositional guidelines for complementary medicine substances.</w:t>
      </w:r>
    </w:p>
    <w:p w:rsidR="00A55C1B" w:rsidRDefault="00A55C1B" w:rsidP="000703DF">
      <w:r>
        <w:t xml:space="preserve">The TGA has also adopted a number of European Medicines Agency (EMA) guidance documents covering a range of therapeutic classes, and sponsors should be aware of any guidelines that may be relevant to their product. The EMA/European Union guidelines adopted by the TGA are available on the TGA web page </w:t>
      </w:r>
      <w:hyperlink r:id="rId24" w:history="1">
        <w:r w:rsidRPr="001A41DA">
          <w:rPr>
            <w:rStyle w:val="Hyperlink"/>
          </w:rPr>
          <w:t xml:space="preserve">European Union Guidelines </w:t>
        </w:r>
        <w:r w:rsidRPr="001A41DA">
          <w:rPr>
            <w:rStyle w:val="Hyperlink"/>
          </w:rPr>
          <w:lastRenderedPageBreak/>
          <w:t>Adopted in Australia</w:t>
        </w:r>
      </w:hyperlink>
      <w:r>
        <w:t xml:space="preserve">. The EMA website also contains detailed information about medicine evaluation, including guidelines on the evaluation of herbal medicines. </w:t>
      </w:r>
    </w:p>
    <w:p w:rsidR="00A55C1B" w:rsidRDefault="00A55C1B" w:rsidP="000703DF">
      <w:r>
        <w:t xml:space="preserve">The TGA’s (draft) document </w:t>
      </w:r>
      <w:hyperlink r:id="rId25" w:history="1">
        <w:r w:rsidRPr="001A41DA">
          <w:rPr>
            <w:rStyle w:val="Hyperlink"/>
          </w:rPr>
          <w:t>Evidence required to support indications for listed medicines (excluding sunscreens and disinfectants)</w:t>
        </w:r>
      </w:hyperlink>
      <w:r>
        <w:t xml:space="preserve"> (the Evidence requirement</w:t>
      </w:r>
      <w:r w:rsidR="00894202">
        <w:t xml:space="preserve">s) </w:t>
      </w:r>
      <w:r>
        <w:t>provides information on the evidence required to support the indications or claims for listed medicines. When finalised, the TGA intends to embed the document within the legislative framework for regulation of therapeutic goods in Australia.</w:t>
      </w:r>
    </w:p>
    <w:p w:rsidR="00A55C1B" w:rsidRDefault="00A55C1B" w:rsidP="000703DF">
      <w:r>
        <w:t xml:space="preserve">The </w:t>
      </w:r>
      <w:hyperlink r:id="rId26" w:history="1">
        <w:r w:rsidRPr="001A41DA">
          <w:rPr>
            <w:rStyle w:val="Hyperlink"/>
          </w:rPr>
          <w:t>Australian Regulatory Guidelines for Prescription Medicines</w:t>
        </w:r>
      </w:hyperlink>
      <w:r>
        <w:t xml:space="preserve"> (ARGPM) assist sponsors to prepare applications to register new prescription or other high-risk medicines for human use in Australia, or to vary existing medicine registrations.</w:t>
      </w:r>
    </w:p>
    <w:p w:rsidR="00A55C1B" w:rsidRDefault="00A55C1B" w:rsidP="000703DF">
      <w:r>
        <w:t xml:space="preserve">The </w:t>
      </w:r>
      <w:hyperlink r:id="rId27" w:history="1">
        <w:r w:rsidRPr="001A41DA">
          <w:rPr>
            <w:rStyle w:val="Hyperlink"/>
          </w:rPr>
          <w:t>Australian Regulatory Guidelines for OTC Medicines</w:t>
        </w:r>
      </w:hyperlink>
      <w:r>
        <w:t xml:space="preserve"> (ARGOM) describe the information to be supplied with an application for registration of OTC (over-the-counter) medicines on the ARTG.</w:t>
      </w:r>
    </w:p>
    <w:p w:rsidR="00A55C1B" w:rsidRDefault="00A55C1B" w:rsidP="000703DF">
      <w:r>
        <w:t xml:space="preserve">The </w:t>
      </w:r>
      <w:hyperlink r:id="rId28" w:history="1">
        <w:r w:rsidRPr="001A41DA">
          <w:rPr>
            <w:rStyle w:val="Hyperlink"/>
          </w:rPr>
          <w:t>Australian Regulatory Guidelines for Medical Devices</w:t>
        </w:r>
      </w:hyperlink>
      <w:r>
        <w:t xml:space="preserve"> (ARGMD) assist sponsors and manufacturers understand the regulatory requirements for medical devices in Australia.</w:t>
      </w:r>
    </w:p>
    <w:p w:rsidR="00A55C1B" w:rsidRDefault="00A55C1B" w:rsidP="000703DF">
      <w:r>
        <w:t xml:space="preserve">The </w:t>
      </w:r>
      <w:hyperlink r:id="rId29" w:history="1">
        <w:r w:rsidRPr="001A41DA">
          <w:rPr>
            <w:rStyle w:val="Hyperlink"/>
          </w:rPr>
          <w:t xml:space="preserve">Australian Regulatory Guidelines for </w:t>
        </w:r>
        <w:proofErr w:type="spellStart"/>
        <w:r w:rsidRPr="001A41DA">
          <w:rPr>
            <w:rStyle w:val="Hyperlink"/>
          </w:rPr>
          <w:t>Biologicals</w:t>
        </w:r>
        <w:proofErr w:type="spellEnd"/>
      </w:hyperlink>
      <w:r>
        <w:t xml:space="preserve"> (ARGB) provide information for manufacturers, sponsors, health professionals and the general public on the legal arrangements in Australia for the supply and use of human cell and tissue-based therapeutic goods (collectively defined as '</w:t>
      </w:r>
      <w:proofErr w:type="spellStart"/>
      <w:r>
        <w:t>biologicals</w:t>
      </w:r>
      <w:proofErr w:type="spellEnd"/>
      <w:r>
        <w:t>').</w:t>
      </w:r>
    </w:p>
    <w:p w:rsidR="00A55C1B" w:rsidRDefault="00A55C1B" w:rsidP="004B41AF">
      <w:pPr>
        <w:pStyle w:val="Heading4"/>
      </w:pPr>
      <w:bookmarkStart w:id="7" w:name="_Toc337635089"/>
      <w:r w:rsidRPr="00A55C1B">
        <w:t>Other legislation and requirements</w:t>
      </w:r>
      <w:bookmarkEnd w:id="7"/>
    </w:p>
    <w:p w:rsidR="004B41AF" w:rsidRDefault="004B41AF" w:rsidP="00A55C1B">
      <w:pPr>
        <w:pStyle w:val="ListBullet"/>
        <w:numPr>
          <w:ilvl w:val="0"/>
          <w:numId w:val="0"/>
        </w:numPr>
      </w:pPr>
      <w:r w:rsidRPr="004B41AF">
        <w:t>Sponsors developing therapeutic goods for supply in Australia should be aware of the:</w:t>
      </w:r>
    </w:p>
    <w:p w:rsidR="004B41AF" w:rsidRPr="001A41DA" w:rsidRDefault="004B41AF" w:rsidP="004B41AF">
      <w:pPr>
        <w:pStyle w:val="ListBullet"/>
        <w:rPr>
          <w:i/>
        </w:rPr>
      </w:pPr>
      <w:r w:rsidRPr="001A41DA">
        <w:rPr>
          <w:i/>
        </w:rPr>
        <w:t xml:space="preserve">Environment Protection and Biodiversity Conservation Act 1990 </w:t>
      </w:r>
    </w:p>
    <w:p w:rsidR="004B41AF" w:rsidRPr="001A41DA" w:rsidRDefault="004B41AF" w:rsidP="004B41AF">
      <w:pPr>
        <w:pStyle w:val="ListBullet"/>
        <w:rPr>
          <w:i/>
        </w:rPr>
      </w:pPr>
      <w:r w:rsidRPr="001A41DA">
        <w:rPr>
          <w:i/>
        </w:rPr>
        <w:t>Food Standards Australia New Zealand Act 1991</w:t>
      </w:r>
    </w:p>
    <w:p w:rsidR="004B41AF" w:rsidRDefault="004B41AF" w:rsidP="004B41AF">
      <w:pPr>
        <w:pStyle w:val="ListBullet"/>
      </w:pPr>
      <w:r w:rsidRPr="001A41DA">
        <w:rPr>
          <w:i/>
        </w:rPr>
        <w:t>Customs Act 1901</w:t>
      </w:r>
      <w:r>
        <w:t xml:space="preserve"> and the Customs (Prohibited Imports) Regulations 1951</w:t>
      </w:r>
    </w:p>
    <w:p w:rsidR="004B41AF" w:rsidRDefault="004B41AF" w:rsidP="004B41AF">
      <w:pPr>
        <w:pStyle w:val="ListBullet"/>
      </w:pPr>
      <w:r w:rsidRPr="001A41DA">
        <w:rPr>
          <w:i/>
        </w:rPr>
        <w:t>Industrial Chemicals (Notification and Assessment) Act 1989</w:t>
      </w:r>
      <w:r>
        <w:t xml:space="preserve"> and the National Industrial Chemicals Notification and Assessment Scheme –NICNAS</w:t>
      </w:r>
    </w:p>
    <w:p w:rsidR="004B41AF" w:rsidRDefault="004B41AF" w:rsidP="004B41AF">
      <w:pPr>
        <w:pStyle w:val="ListBullet"/>
      </w:pPr>
      <w:r>
        <w:t>Gene Technology Act 2000 the Gene Technology Regulations 2001</w:t>
      </w:r>
    </w:p>
    <w:p w:rsidR="004B41AF" w:rsidRPr="001A41DA" w:rsidRDefault="004B41AF" w:rsidP="004B41AF">
      <w:pPr>
        <w:pStyle w:val="ListBullet"/>
        <w:rPr>
          <w:i/>
        </w:rPr>
      </w:pPr>
      <w:r w:rsidRPr="001A41DA">
        <w:rPr>
          <w:i/>
        </w:rPr>
        <w:t>Competition and Consumer Act 2010</w:t>
      </w:r>
    </w:p>
    <w:p w:rsidR="004B41AF" w:rsidRDefault="004B41AF" w:rsidP="00A55C1B">
      <w:pPr>
        <w:pStyle w:val="ListBullet"/>
        <w:numPr>
          <w:ilvl w:val="0"/>
          <w:numId w:val="0"/>
        </w:numPr>
      </w:pPr>
      <w:r w:rsidRPr="004B41AF">
        <w:t>Sponsors should also be aware of the requirements applicable under other Australian State and Territory legislation such as those concerning:</w:t>
      </w:r>
    </w:p>
    <w:p w:rsidR="004B41AF" w:rsidRDefault="004B41AF" w:rsidP="004B41AF">
      <w:pPr>
        <w:pStyle w:val="ListBullet"/>
      </w:pPr>
      <w:r>
        <w:t>trade practices</w:t>
      </w:r>
    </w:p>
    <w:p w:rsidR="004B41AF" w:rsidRDefault="004B41AF" w:rsidP="004B41AF">
      <w:pPr>
        <w:pStyle w:val="ListBullet"/>
      </w:pPr>
      <w:r>
        <w:t>weights and measures</w:t>
      </w:r>
    </w:p>
    <w:p w:rsidR="004B41AF" w:rsidRDefault="004B41AF" w:rsidP="004B41AF">
      <w:pPr>
        <w:pStyle w:val="ListBullet"/>
      </w:pPr>
      <w:r>
        <w:t>deceptive packaging</w:t>
      </w:r>
    </w:p>
    <w:p w:rsidR="004B41AF" w:rsidRDefault="004B41AF" w:rsidP="004B41AF">
      <w:pPr>
        <w:pStyle w:val="ListBullet"/>
      </w:pPr>
      <w:r>
        <w:t>quarantine</w:t>
      </w:r>
    </w:p>
    <w:p w:rsidR="004B41AF" w:rsidRDefault="004B41AF" w:rsidP="004B41AF">
      <w:pPr>
        <w:pStyle w:val="ListBullet"/>
      </w:pPr>
      <w:r>
        <w:t>state / territory therapeutic goods legislation</w:t>
      </w:r>
    </w:p>
    <w:p w:rsidR="004B41AF" w:rsidRDefault="004B41AF" w:rsidP="004B41AF">
      <w:pPr>
        <w:pStyle w:val="ListBullet"/>
      </w:pPr>
      <w:r>
        <w:t>state / territory drugs and poisons scheduling</w:t>
      </w:r>
    </w:p>
    <w:p w:rsidR="004B41AF" w:rsidRDefault="004B41AF" w:rsidP="004B41AF">
      <w:pPr>
        <w:pStyle w:val="ListBullet"/>
      </w:pPr>
      <w:r>
        <w:t>advertising; and</w:t>
      </w:r>
    </w:p>
    <w:p w:rsidR="004B41AF" w:rsidRDefault="004B41AF" w:rsidP="004B41AF">
      <w:pPr>
        <w:pStyle w:val="ListBullet"/>
      </w:pPr>
      <w:r>
        <w:t>genetically modified organisms or genetically modified products.</w:t>
      </w:r>
    </w:p>
    <w:p w:rsidR="004B41AF" w:rsidRDefault="004B41AF" w:rsidP="004B41AF">
      <w:pPr>
        <w:pStyle w:val="Heading3"/>
      </w:pPr>
      <w:bookmarkStart w:id="8" w:name="_Toc337635090"/>
      <w:r w:rsidRPr="004B41AF">
        <w:lastRenderedPageBreak/>
        <w:t>The regulation of therapeutic goods in Australia</w:t>
      </w:r>
      <w:bookmarkEnd w:id="8"/>
    </w:p>
    <w:p w:rsidR="004B41AF" w:rsidRDefault="004B41AF" w:rsidP="000703DF">
      <w:r>
        <w:t xml:space="preserve">In Australia, the Act provides a uniform national framework for import, export, manufacture and supply of therapeutic goods. The Act is supported by the Regulations and various orders and determinations, which provide details relevant to the various provisions in the Act. The TGA administers the Act. </w:t>
      </w:r>
    </w:p>
    <w:p w:rsidR="00752497" w:rsidRDefault="004B41AF">
      <w:r>
        <w:t xml:space="preserve">Therapeutic goods are any products that are used in healthcare for therapeutic use (to treat, prevent or diagnose diseases, ailments, defects or injuries). </w:t>
      </w:r>
      <w:r w:rsidR="0073584A" w:rsidRPr="0073584A">
        <w:t>Chapter 1(3)(1) of the Act</w:t>
      </w:r>
      <w:r w:rsidR="00721AF3" w:rsidRPr="00721AF3">
        <w:t xml:space="preserve"> </w:t>
      </w:r>
      <w:r w:rsidR="00721AF3">
        <w:t>provides the following definitions:</w:t>
      </w:r>
    </w:p>
    <w:p w:rsidR="00752497" w:rsidRDefault="004B41AF">
      <w:pPr>
        <w:ind w:left="720"/>
        <w:rPr>
          <w:i/>
        </w:rPr>
      </w:pPr>
      <w:r w:rsidRPr="004B41AF">
        <w:rPr>
          <w:i/>
        </w:rPr>
        <w:t>"</w:t>
      </w:r>
      <w:r w:rsidRPr="004B41AF">
        <w:rPr>
          <w:b/>
          <w:i/>
        </w:rPr>
        <w:t>therapeutic goods</w:t>
      </w:r>
      <w:r w:rsidRPr="004B41AF">
        <w:rPr>
          <w:i/>
        </w:rPr>
        <w:t xml:space="preserve">" means goods: </w:t>
      </w:r>
    </w:p>
    <w:p w:rsidR="00752497" w:rsidRDefault="0073584A">
      <w:pPr>
        <w:ind w:left="720"/>
      </w:pPr>
      <w:r>
        <w:t xml:space="preserve">(a) that are represented in any way to be, or that are, whether because of the way in which the goods are presented or for any other reason, likely to be taken to be: </w:t>
      </w:r>
    </w:p>
    <w:p w:rsidR="00752497" w:rsidRDefault="0073584A">
      <w:pPr>
        <w:ind w:left="1440"/>
        <w:rPr>
          <w:i/>
        </w:rPr>
      </w:pPr>
      <w:r w:rsidRPr="0073584A">
        <w:rPr>
          <w:i/>
        </w:rPr>
        <w:t>(</w:t>
      </w:r>
      <w:proofErr w:type="spellStart"/>
      <w:r w:rsidRPr="0073584A">
        <w:rPr>
          <w:i/>
        </w:rPr>
        <w:t>i</w:t>
      </w:r>
      <w:proofErr w:type="spellEnd"/>
      <w:r w:rsidRPr="0073584A">
        <w:rPr>
          <w:i/>
        </w:rPr>
        <w:t xml:space="preserve">) for therapeutic use; or </w:t>
      </w:r>
    </w:p>
    <w:p w:rsidR="00752497" w:rsidRDefault="0073584A">
      <w:pPr>
        <w:ind w:left="1440"/>
        <w:rPr>
          <w:i/>
        </w:rPr>
      </w:pPr>
      <w:r w:rsidRPr="0073584A">
        <w:rPr>
          <w:i/>
        </w:rPr>
        <w:t xml:space="preserve">(ii) for use as an ingredient or component in the manufacture of therapeutic goods; or </w:t>
      </w:r>
    </w:p>
    <w:p w:rsidR="00752497" w:rsidRDefault="0073584A">
      <w:pPr>
        <w:ind w:left="1440"/>
        <w:rPr>
          <w:i/>
        </w:rPr>
      </w:pPr>
      <w:r w:rsidRPr="0073584A">
        <w:rPr>
          <w:i/>
        </w:rPr>
        <w:t>(iii) for use as a container or part of a container for goods of the kind referred to in subparagraph (</w:t>
      </w:r>
      <w:proofErr w:type="spellStart"/>
      <w:r w:rsidRPr="0073584A">
        <w:rPr>
          <w:i/>
        </w:rPr>
        <w:t>i</w:t>
      </w:r>
      <w:proofErr w:type="spellEnd"/>
      <w:r w:rsidRPr="0073584A">
        <w:rPr>
          <w:i/>
        </w:rPr>
        <w:t xml:space="preserve">) or (ii); or </w:t>
      </w:r>
    </w:p>
    <w:p w:rsidR="00752497" w:rsidRDefault="0073584A">
      <w:pPr>
        <w:ind w:left="720"/>
        <w:rPr>
          <w:i/>
        </w:rPr>
      </w:pPr>
      <w:r w:rsidRPr="0073584A">
        <w:rPr>
          <w:i/>
        </w:rPr>
        <w:t xml:space="preserve">(b) included in a class of goods the sole or principal use of which is, or ordinarily is, a therapeutic use or a use of a kind referred to in subparagraph (a)(ii) or (iii); and includes </w:t>
      </w:r>
      <w:proofErr w:type="spellStart"/>
      <w:r w:rsidRPr="0073584A">
        <w:rPr>
          <w:i/>
        </w:rPr>
        <w:t>biologicals</w:t>
      </w:r>
      <w:proofErr w:type="spellEnd"/>
      <w:r w:rsidRPr="0073584A">
        <w:rPr>
          <w:i/>
        </w:rPr>
        <w:t xml:space="preserve">, medical devices and goods declared to be therapeutic goods under an order in force under section 7, but does not include: </w:t>
      </w:r>
    </w:p>
    <w:p w:rsidR="00752497" w:rsidRDefault="0073584A">
      <w:pPr>
        <w:ind w:left="720"/>
        <w:rPr>
          <w:i/>
        </w:rPr>
      </w:pPr>
      <w:r w:rsidRPr="0073584A">
        <w:rPr>
          <w:i/>
        </w:rPr>
        <w:t xml:space="preserve">(c) goods declared not to be therapeutic goods under an order in force under section 7; or </w:t>
      </w:r>
    </w:p>
    <w:p w:rsidR="00752497" w:rsidRDefault="0073584A">
      <w:pPr>
        <w:ind w:left="720"/>
        <w:rPr>
          <w:i/>
        </w:rPr>
      </w:pPr>
      <w:r w:rsidRPr="0073584A">
        <w:rPr>
          <w:i/>
        </w:rPr>
        <w:t xml:space="preserve">(d) goods in respect of which such an order is in force, being an order that declares the goods not to be therapeutic goods when used, advertised, or presented for supply in the way specified in the order where the goods are used, advertised, or presented for supply in that way; or </w:t>
      </w:r>
    </w:p>
    <w:p w:rsidR="00752497" w:rsidRDefault="0073584A">
      <w:pPr>
        <w:ind w:left="720"/>
        <w:rPr>
          <w:i/>
        </w:rPr>
      </w:pPr>
      <w:r w:rsidRPr="0073584A">
        <w:rPr>
          <w:i/>
        </w:rPr>
        <w:t xml:space="preserve">(e) goods (other than goods declared to be therapeutic goods under an order in force under section 7) for which there is a standard (within the meaning of subsection 4(1) of the Food Standards Australia New Zealand Act 1991 ); or </w:t>
      </w:r>
    </w:p>
    <w:p w:rsidR="00752497" w:rsidRDefault="0073584A">
      <w:pPr>
        <w:ind w:left="720"/>
        <w:rPr>
          <w:i/>
        </w:rPr>
      </w:pPr>
      <w:r w:rsidRPr="0073584A">
        <w:rPr>
          <w:i/>
        </w:rPr>
        <w:t>(f) goods (other than goods declared to be therapeutic goods under an order in force under section 7) which, in Australia or New Zealand, have a tradition of use as foods for humans in the form in which they are presented</w:t>
      </w:r>
    </w:p>
    <w:p w:rsidR="00752497" w:rsidRDefault="0073584A">
      <w:pPr>
        <w:ind w:left="720"/>
        <w:rPr>
          <w:i/>
        </w:rPr>
      </w:pPr>
      <w:r w:rsidRPr="0073584A">
        <w:rPr>
          <w:i/>
        </w:rPr>
        <w:t>"</w:t>
      </w:r>
      <w:r w:rsidRPr="0073584A">
        <w:rPr>
          <w:b/>
          <w:i/>
        </w:rPr>
        <w:t>therapeutic use</w:t>
      </w:r>
      <w:r w:rsidRPr="0073584A">
        <w:rPr>
          <w:i/>
        </w:rPr>
        <w:t xml:space="preserve">" means use in or in connection with: </w:t>
      </w:r>
    </w:p>
    <w:p w:rsidR="00752497" w:rsidRDefault="0073584A">
      <w:pPr>
        <w:ind w:left="720"/>
        <w:rPr>
          <w:i/>
        </w:rPr>
      </w:pPr>
      <w:r w:rsidRPr="0073584A">
        <w:rPr>
          <w:i/>
        </w:rPr>
        <w:t xml:space="preserve">(a) preventing, diagnosing, curing or alleviating a disease, ailment, defect or injury in persons; or </w:t>
      </w:r>
    </w:p>
    <w:p w:rsidR="00752497" w:rsidRDefault="0073584A">
      <w:pPr>
        <w:ind w:left="720"/>
        <w:rPr>
          <w:i/>
        </w:rPr>
      </w:pPr>
      <w:r w:rsidRPr="0073584A">
        <w:rPr>
          <w:i/>
        </w:rPr>
        <w:t xml:space="preserve">(b) influencing, inhibiting or modifying a physiological process in persons; or </w:t>
      </w:r>
    </w:p>
    <w:p w:rsidR="00752497" w:rsidRDefault="0073584A">
      <w:pPr>
        <w:ind w:left="720"/>
        <w:rPr>
          <w:i/>
        </w:rPr>
      </w:pPr>
      <w:r w:rsidRPr="0073584A">
        <w:rPr>
          <w:i/>
        </w:rPr>
        <w:t xml:space="preserve">(c) testing the susceptibility of persons to a disease or ailment; or </w:t>
      </w:r>
    </w:p>
    <w:p w:rsidR="00752497" w:rsidRDefault="0073584A">
      <w:pPr>
        <w:ind w:left="720"/>
        <w:rPr>
          <w:i/>
        </w:rPr>
      </w:pPr>
      <w:r w:rsidRPr="0073584A">
        <w:rPr>
          <w:i/>
        </w:rPr>
        <w:t xml:space="preserve">(d) influencing, controlling or preventing conception in persons; or </w:t>
      </w:r>
    </w:p>
    <w:p w:rsidR="00752497" w:rsidRDefault="0073584A">
      <w:pPr>
        <w:ind w:left="720"/>
        <w:rPr>
          <w:i/>
        </w:rPr>
      </w:pPr>
      <w:r w:rsidRPr="0073584A">
        <w:rPr>
          <w:i/>
        </w:rPr>
        <w:t xml:space="preserve">(e) testing for pregnancy in persons; or </w:t>
      </w:r>
    </w:p>
    <w:p w:rsidR="00752497" w:rsidRDefault="0073584A">
      <w:pPr>
        <w:ind w:left="720"/>
        <w:rPr>
          <w:i/>
        </w:rPr>
      </w:pPr>
      <w:r w:rsidRPr="0073584A">
        <w:rPr>
          <w:i/>
        </w:rPr>
        <w:t xml:space="preserve">(f) the replacement or modification of parts of the anatomy in persons. </w:t>
      </w:r>
    </w:p>
    <w:p w:rsidR="004B41AF" w:rsidRDefault="004B41AF" w:rsidP="000703DF">
      <w:r w:rsidRPr="004B41AF">
        <w:lastRenderedPageBreak/>
        <w:t xml:space="preserve">Therapeutic goods include a wide range of medicines for treating and preventing health conditions, as well as medical devices, diagnostic tests and </w:t>
      </w:r>
      <w:proofErr w:type="spellStart"/>
      <w:r w:rsidRPr="004B41AF">
        <w:t>biologicals</w:t>
      </w:r>
      <w:proofErr w:type="spellEnd"/>
      <w:r w:rsidRPr="004B41AF">
        <w:t>.</w:t>
      </w:r>
    </w:p>
    <w:p w:rsidR="004B41AF" w:rsidRDefault="004B41AF" w:rsidP="004B41AF">
      <w:pPr>
        <w:pStyle w:val="TableTitle"/>
      </w:pPr>
      <w:r w:rsidRPr="004B41AF">
        <w:t>Types of therapeutic goods</w:t>
      </w:r>
    </w:p>
    <w:p w:rsidR="000703DF" w:rsidRDefault="0031131E" w:rsidP="000703DF">
      <w:r>
        <w:pict>
          <v:group id="_x0000_s1045" editas="canvas" alt="Types of therapeutic goods:&#10;Medicines&#10;Medical devices&#10;Biologicals" style="width:451.45pt;height:279.95pt;mso-position-horizontal-relative:char;mso-position-vertical-relative:line" coordorigin="1703,3173" coordsize="9029,559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1703;top:3173;width:9029;height:5599"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47" type="#_x0000_t202" style="position:absolute;left:4101;top:3540;width:3990;height:661" fillcolor="#006da7">
              <v:textbox style="mso-next-textbox:#_x0000_s1047">
                <w:txbxContent>
                  <w:p w:rsidR="00F77D89" w:rsidRDefault="00F77D89" w:rsidP="000015F3">
                    <w:pPr>
                      <w:pStyle w:val="FlowChartWhiteText"/>
                    </w:pPr>
                    <w:r>
                      <w:t>Therapeutic goods</w:t>
                    </w:r>
                  </w:p>
                </w:txbxContent>
              </v:textbox>
            </v:shape>
            <v:shape id="_x0000_s1054" type="#_x0000_t202" style="position:absolute;left:1910;top:7440;width:1932;height:828" filled="f" fillcolor="#c6d4e9">
              <v:textbox style="mso-next-textbox:#_x0000_s1054">
                <w:txbxContent>
                  <w:p w:rsidR="00F77D89" w:rsidRDefault="00F77D89">
                    <w:pPr>
                      <w:pStyle w:val="FlowchartText"/>
                    </w:pPr>
                    <w:r>
                      <w:t>Medicines</w:t>
                    </w:r>
                  </w:p>
                </w:txbxContent>
              </v:textbox>
            </v:shape>
            <v:shapetype id="_x0000_t32" coordsize="21600,21600" o:spt="32" o:oned="t" path="m,l21600,21600e" filled="f">
              <v:path arrowok="t" fillok="f" o:connecttype="none"/>
              <o:lock v:ext="edit" shapetype="t"/>
            </v:shapetype>
            <v:shape id="_x0000_s1056" type="#_x0000_t32" style="position:absolute;left:6045;top:4128;width:1;height:818"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8" type="#_x0000_t34" style="position:absolute;left:6049;top:1929;width:1;height:6034;rotation:270;flip:y" o:connectortype="elbow" adj="-7776000,-38253,62100000"/>
            <v:shape id="_x0000_s1059" type="#_x0000_t32" style="position:absolute;left:2875;top:7010;width:1;height:430" o:connectortype="straight"/>
            <v:shape id="_x0000_s1062" type="#_x0000_t202" style="position:absolute;left:8355;top:7066;width:1653;height:1088" filled="f" fillcolor="#c6d4e9">
              <v:textbox style="mso-next-textbox:#_x0000_s1062">
                <w:txbxContent>
                  <w:p w:rsidR="00F77D89" w:rsidRDefault="00F77D89">
                    <w:pPr>
                      <w:pStyle w:val="FlowchartText"/>
                    </w:pPr>
                    <w:proofErr w:type="spellStart"/>
                    <w:r>
                      <w:t>Biologicals</w:t>
                    </w:r>
                    <w:proofErr w:type="spellEnd"/>
                  </w:p>
                </w:txbxContent>
              </v:textbox>
            </v:shape>
            <v:shape id="_x0000_s1063" type="#_x0000_t202" style="position:absolute;left:5234;top:7824;width:2208;height:660" filled="f" fillcolor="#c6d4e9">
              <v:textbox style="mso-next-textbox:#_x0000_s1063">
                <w:txbxContent>
                  <w:p w:rsidR="00F77D89" w:rsidRDefault="00F77D89">
                    <w:pPr>
                      <w:pStyle w:val="FlowchartText"/>
                    </w:pPr>
                    <w:r>
                      <w:t>Medical devices</w:t>
                    </w:r>
                  </w:p>
                </w:txbxContent>
              </v:textbox>
            </v:shape>
            <v:shape id="_x0000_s1064" type="#_x0000_t202" style="position:absolute;left:4838;top:4945;width:2928;height:2435" fillcolor="#c6d4e9">
              <v:textbox style="mso-next-textbox:#_x0000_s1064">
                <w:txbxContent>
                  <w:p w:rsidR="00F77D89" w:rsidRDefault="00F77D89">
                    <w:pPr>
                      <w:pStyle w:val="FlowchartText"/>
                      <w:jc w:val="left"/>
                    </w:pPr>
                    <w:r w:rsidRPr="0073584A">
                      <w:rPr>
                        <w:sz w:val="20"/>
                        <w:szCs w:val="20"/>
                      </w:rPr>
                      <w:t xml:space="preserve">Instruments, apparatus, </w:t>
                    </w:r>
                    <w:r>
                      <w:rPr>
                        <w:sz w:val="20"/>
                        <w:szCs w:val="20"/>
                      </w:rPr>
                      <w:t>appliances</w:t>
                    </w:r>
                    <w:r w:rsidRPr="0073584A">
                      <w:rPr>
                        <w:sz w:val="20"/>
                        <w:szCs w:val="20"/>
                      </w:rPr>
                      <w:t xml:space="preserve"> or other articles that do not achieve their intended action in or on the body by pharmaceutical, chem</w:t>
                    </w:r>
                    <w:r>
                      <w:rPr>
                        <w:sz w:val="20"/>
                        <w:szCs w:val="20"/>
                      </w:rPr>
                      <w:t>ical, i</w:t>
                    </w:r>
                    <w:r w:rsidRPr="0073584A">
                      <w:rPr>
                        <w:sz w:val="20"/>
                        <w:szCs w:val="20"/>
                      </w:rPr>
                      <w:t>mmunological or metabolic means</w:t>
                    </w:r>
                  </w:p>
                </w:txbxContent>
              </v:textbox>
            </v:shape>
            <v:shape id="_x0000_s1065" type="#_x0000_t202" style="position:absolute;left:1802;top:4946;width:2101;height:2064" fillcolor="#c6d4e9">
              <v:textbox style="mso-next-textbox:#_x0000_s1065">
                <w:txbxContent>
                  <w:p w:rsidR="00F77D89" w:rsidRDefault="00F77D89">
                    <w:pPr>
                      <w:pStyle w:val="FlowchartText"/>
                      <w:jc w:val="left"/>
                    </w:pPr>
                    <w:r>
                      <w:rPr>
                        <w:sz w:val="20"/>
                        <w:szCs w:val="20"/>
                      </w:rPr>
                      <w:t>Products that act by pharmaceutical, chemical, immunological or metabolic means</w:t>
                    </w:r>
                  </w:p>
                </w:txbxContent>
              </v:textbox>
            </v:shape>
            <v:shape id="_x0000_s1050" type="#_x0000_t202" style="position:absolute;left:8091;top:4946;width:2123;height:1690" fillcolor="#c6d4e9">
              <v:textbox style="mso-next-textbox:#_x0000_s1050">
                <w:txbxContent>
                  <w:p w:rsidR="00F77D89" w:rsidRDefault="00F77D89">
                    <w:pPr>
                      <w:pStyle w:val="FlowchartText"/>
                      <w:jc w:val="left"/>
                    </w:pPr>
                    <w:r>
                      <w:rPr>
                        <w:sz w:val="20"/>
                        <w:szCs w:val="20"/>
                      </w:rPr>
                      <w:t>Products made from or containing human cells or human tissues (or otherwise specified)</w:t>
                    </w:r>
                  </w:p>
                </w:txbxContent>
              </v:textbox>
            </v:shape>
            <v:shape id="_x0000_s1066" type="#_x0000_t32" style="position:absolute;left:9146;top:6636;width:1;height:430" o:connectortype="straight"/>
            <v:shape id="_x0000_s1067" type="#_x0000_t32" style="position:absolute;left:6158;top:7394;width:1;height:430" o:connectortype="straight"/>
            <w10:wrap type="none"/>
            <w10:anchorlock/>
          </v:group>
        </w:pict>
      </w:r>
      <w:r w:rsidR="000703DF">
        <w:t>The TGA regulatory framework is based on a risk-management approach. It is designed to ensure public health and safety while reducing the administrative burden and cost to industry of the regulatory process. This approach also contributes to the continued viability of industry by creating confidence in, and acceptance of, Australian therapeutic goods, both at home and overseas.</w:t>
      </w:r>
    </w:p>
    <w:p w:rsidR="000703DF" w:rsidRDefault="000703DF" w:rsidP="000703DF">
      <w:pPr>
        <w:pStyle w:val="Heading4"/>
      </w:pPr>
      <w:bookmarkStart w:id="9" w:name="_Toc337635091"/>
      <w:r>
        <w:t>Australian Register of Therapeutic Goods (ARTG)</w:t>
      </w:r>
      <w:bookmarkEnd w:id="9"/>
    </w:p>
    <w:p w:rsidR="000703DF" w:rsidRDefault="000703DF" w:rsidP="000703DF">
      <w:r>
        <w:t xml:space="preserve">Unless exempt (refer to ‘exempt goods’ below), any product for which therapeutic indications are made by the sponsor must be entered on the ARTG before it can be legally imported, exported or supplied for use in Australia. </w:t>
      </w:r>
    </w:p>
    <w:p w:rsidR="000703DF" w:rsidRDefault="000703DF" w:rsidP="000703DF">
      <w:r>
        <w:t xml:space="preserve">Sponsors of medicines must pay an initial application fee, followed by an annual fee to maintain the inclusion of their product on the ARTG - refer to the </w:t>
      </w:r>
      <w:r w:rsidRPr="00630EE2">
        <w:t>TGA website</w:t>
      </w:r>
      <w:r>
        <w:t xml:space="preserve"> for a </w:t>
      </w:r>
      <w:hyperlink r:id="rId30" w:history="1">
        <w:r w:rsidRPr="00630EE2">
          <w:rPr>
            <w:rStyle w:val="Hyperlink"/>
          </w:rPr>
          <w:t>schedule of fees and charges</w:t>
        </w:r>
      </w:hyperlink>
      <w:r>
        <w:t>.</w:t>
      </w:r>
    </w:p>
    <w:p w:rsidR="000703DF" w:rsidRDefault="000703DF" w:rsidP="000703DF">
      <w:pPr>
        <w:pStyle w:val="Heading4"/>
      </w:pPr>
      <w:bookmarkStart w:id="10" w:name="_Toc337635092"/>
      <w:r>
        <w:t xml:space="preserve">Registered </w:t>
      </w:r>
      <w:r w:rsidR="00372CF9">
        <w:t xml:space="preserve">and </w:t>
      </w:r>
      <w:r>
        <w:t>listed and medicines</w:t>
      </w:r>
      <w:bookmarkEnd w:id="10"/>
    </w:p>
    <w:p w:rsidR="000703DF" w:rsidRDefault="000703DF" w:rsidP="000703DF">
      <w:r>
        <w:t>Within the regulatory framework, medicines are classified as either registered or listed depending on their ingredients and the indications made for the medicine. ARGCM Part B provides information on the eligibility of complementary medicine substances for inclusion on the ARTG.</w:t>
      </w:r>
    </w:p>
    <w:p w:rsidR="00752497" w:rsidRDefault="000703DF">
      <w:pPr>
        <w:pStyle w:val="Heading5"/>
      </w:pPr>
      <w:r w:rsidRPr="000703DF">
        <w:t>Registered medicines</w:t>
      </w:r>
    </w:p>
    <w:p w:rsidR="000703DF" w:rsidRDefault="000703DF" w:rsidP="000703DF">
      <w:pPr>
        <w:pStyle w:val="ListBullet"/>
      </w:pPr>
      <w:r>
        <w:t>Registered medicines are of relatively higher risk and are individually evaluated by the TGA for quality, safety and effectiveness prior to market entry.</w:t>
      </w:r>
    </w:p>
    <w:p w:rsidR="000703DF" w:rsidRDefault="000703DF" w:rsidP="000703DF">
      <w:pPr>
        <w:pStyle w:val="ListBullet"/>
      </w:pPr>
      <w:r>
        <w:t xml:space="preserve">All prescription medicines are registered. </w:t>
      </w:r>
    </w:p>
    <w:p w:rsidR="000703DF" w:rsidRDefault="000703DF" w:rsidP="000703DF">
      <w:pPr>
        <w:pStyle w:val="ListBullet"/>
      </w:pPr>
      <w:r>
        <w:lastRenderedPageBreak/>
        <w:t>Some complementary medicines are registered.</w:t>
      </w:r>
    </w:p>
    <w:p w:rsidR="000703DF" w:rsidRDefault="000703DF" w:rsidP="000703DF">
      <w:pPr>
        <w:pStyle w:val="ListBullet"/>
      </w:pPr>
      <w:r>
        <w:t>Medicines registered on the ARTG are assigned a unique AUST R number, which must be displayed on the medicine label.</w:t>
      </w:r>
    </w:p>
    <w:p w:rsidR="004B41AF" w:rsidRDefault="000703DF" w:rsidP="000703DF">
      <w:pPr>
        <w:pStyle w:val="Heading5"/>
      </w:pPr>
      <w:r w:rsidRPr="000703DF">
        <w:t>Listed medicines</w:t>
      </w:r>
    </w:p>
    <w:p w:rsidR="000703DF" w:rsidRDefault="000703DF" w:rsidP="000703DF">
      <w:pPr>
        <w:pStyle w:val="ListBullet"/>
      </w:pPr>
      <w:r>
        <w:t xml:space="preserve">Listed medicines are considered ‘low risk’ medicines as they may only include ingredients that are permitted for use in listed medicines. A searchable database of all ingredients is accessible via the </w:t>
      </w:r>
      <w:hyperlink r:id="rId31" w:history="1">
        <w:r w:rsidRPr="0085447C">
          <w:rPr>
            <w:rStyle w:val="Hyperlink"/>
          </w:rPr>
          <w:t xml:space="preserve">TGA </w:t>
        </w:r>
        <w:proofErr w:type="spellStart"/>
        <w:r w:rsidRPr="0085447C">
          <w:rPr>
            <w:rStyle w:val="Hyperlink"/>
          </w:rPr>
          <w:t>eBusiness</w:t>
        </w:r>
        <w:proofErr w:type="spellEnd"/>
        <w:r w:rsidRPr="0085447C">
          <w:rPr>
            <w:rStyle w:val="Hyperlink"/>
          </w:rPr>
          <w:t xml:space="preserve"> Services</w:t>
        </w:r>
      </w:hyperlink>
      <w:r>
        <w:t xml:space="preserve"> (</w:t>
      </w:r>
      <w:proofErr w:type="spellStart"/>
      <w:r>
        <w:t>eBS</w:t>
      </w:r>
      <w:proofErr w:type="spellEnd"/>
      <w:r>
        <w:t>) website.</w:t>
      </w:r>
    </w:p>
    <w:p w:rsidR="000703DF" w:rsidRDefault="000703DF" w:rsidP="000703DF">
      <w:pPr>
        <w:pStyle w:val="ListBullet"/>
      </w:pPr>
      <w:r>
        <w:t>Indications (describing the specific therapeutic use(s) of the goods) for listed medicines must not refer to serious forms of disease, disorders or conditions and, generally, must not indicate that they are for the treatment, cure, management or prevention of any disease, disorder or condition.</w:t>
      </w:r>
    </w:p>
    <w:p w:rsidR="000703DF" w:rsidRDefault="000703DF" w:rsidP="000703DF">
      <w:pPr>
        <w:pStyle w:val="ListBullet"/>
      </w:pPr>
      <w:r>
        <w:t>Listed medicines are required to meet certain criteria in relation to safety and quality manufacture, but the TGA does not evaluate their effectiveness prior to inclusion on the ARTG. However, sponsors of such medicines are required to hold evidence to support the indications made for their product and to make such evidence available to the TGA if requested.</w:t>
      </w:r>
    </w:p>
    <w:p w:rsidR="000703DF" w:rsidRDefault="000703DF" w:rsidP="000703DF">
      <w:pPr>
        <w:pStyle w:val="ListBullet"/>
      </w:pPr>
      <w:r>
        <w:t>Most, but not all, complementary medicines are listed medicines. Listed complementary medicines may be subject to post listing compliance review (refer to ARGCM Part B).</w:t>
      </w:r>
    </w:p>
    <w:p w:rsidR="000703DF" w:rsidRDefault="00721AF3" w:rsidP="000703DF">
      <w:pPr>
        <w:pStyle w:val="ListBullet"/>
      </w:pPr>
      <w:r>
        <w:t>’E</w:t>
      </w:r>
      <w:r w:rsidR="000703DF">
        <w:t>xport only’ medicines (refer to section below) and sunscreens (refer to the ARGOM for information relating to the regulation of sunscreens)</w:t>
      </w:r>
      <w:r>
        <w:t xml:space="preserve"> are listed</w:t>
      </w:r>
      <w:r w:rsidR="000703DF">
        <w:t xml:space="preserve">. </w:t>
      </w:r>
    </w:p>
    <w:p w:rsidR="004B41AF" w:rsidRDefault="000703DF" w:rsidP="000703DF">
      <w:pPr>
        <w:pStyle w:val="ListBullet"/>
      </w:pPr>
      <w:r>
        <w:t>Medicines listed on the ARTG are assigned a unique AUST L number, which must be displayed on the medicine label.</w:t>
      </w:r>
    </w:p>
    <w:p w:rsidR="000703DF" w:rsidRDefault="000703DF" w:rsidP="000703DF">
      <w:pPr>
        <w:pStyle w:val="Heading4"/>
      </w:pPr>
      <w:bookmarkStart w:id="11" w:name="_Toc337635093"/>
      <w:r w:rsidRPr="000703DF">
        <w:t>Medicines for export</w:t>
      </w:r>
      <w:bookmarkEnd w:id="11"/>
    </w:p>
    <w:p w:rsidR="000703DF" w:rsidRDefault="00721AF3" w:rsidP="000703DF">
      <w:r>
        <w:t>M</w:t>
      </w:r>
      <w:r w:rsidR="000703DF">
        <w:t>edicines</w:t>
      </w:r>
      <w:r>
        <w:t xml:space="preserve"> exported</w:t>
      </w:r>
      <w:r w:rsidR="000703DF">
        <w:t xml:space="preserve"> from Australia </w:t>
      </w:r>
      <w:r>
        <w:t xml:space="preserve">are </w:t>
      </w:r>
      <w:r w:rsidR="000703DF">
        <w:t>regulated by the TGA in order to protect health and safety by ensuring that exported medicines are of a similar quality and safety standard to those supplied domestically.</w:t>
      </w:r>
    </w:p>
    <w:p w:rsidR="000703DF" w:rsidRDefault="000703DF" w:rsidP="000703DF">
      <w:r>
        <w:t>Generally, any medicine which is being exported for commercial purposes must be either:</w:t>
      </w:r>
    </w:p>
    <w:p w:rsidR="000703DF" w:rsidRDefault="000703DF" w:rsidP="000703DF">
      <w:pPr>
        <w:pStyle w:val="ListBullet"/>
      </w:pPr>
      <w:r>
        <w:t xml:space="preserve">listed or registered in the ARTG for supply in Australia </w:t>
      </w:r>
    </w:p>
    <w:p w:rsidR="000703DF" w:rsidRDefault="000703DF" w:rsidP="000703DF">
      <w:pPr>
        <w:pStyle w:val="ListBullet"/>
      </w:pPr>
      <w:r>
        <w:t>listed in the ARTG for export only; or</w:t>
      </w:r>
    </w:p>
    <w:p w:rsidR="000703DF" w:rsidRDefault="000703DF" w:rsidP="000703DF">
      <w:pPr>
        <w:pStyle w:val="ListBullet"/>
      </w:pPr>
      <w:r>
        <w:t>have been granted an exemption by the TGA from the need to be in the ARTG under Section 19 of the Act, for example, goods for experimental uses.</w:t>
      </w:r>
    </w:p>
    <w:p w:rsidR="000703DF" w:rsidRDefault="000703DF" w:rsidP="000703DF">
      <w:r>
        <w:t>Medicines, including complementary medicines, approved for supply in Australia are also automatically approved for export by the sponsor or their agent, providing they are compliant with other applicable export legislation.</w:t>
      </w:r>
    </w:p>
    <w:p w:rsidR="000703DF" w:rsidRDefault="000703DF" w:rsidP="000703DF">
      <w:r>
        <w:t>Medicines intended solely for the purpose of export are required to be listed (not registered) on the ARTG before export is commenced. Broadly, these medicines must:</w:t>
      </w:r>
    </w:p>
    <w:p w:rsidR="000703DF" w:rsidRDefault="000703DF" w:rsidP="000703DF">
      <w:pPr>
        <w:pStyle w:val="ListBullet"/>
      </w:pPr>
      <w:r>
        <w:t>be safe for their intended purpose of use</w:t>
      </w:r>
    </w:p>
    <w:p w:rsidR="000703DF" w:rsidRDefault="000703DF" w:rsidP="000703DF">
      <w:pPr>
        <w:pStyle w:val="ListBullet"/>
      </w:pPr>
      <w:r>
        <w:t>be manufactured under Good Manufacturing Practice (GMP)</w:t>
      </w:r>
    </w:p>
    <w:p w:rsidR="000703DF" w:rsidRDefault="000703DF" w:rsidP="000703DF">
      <w:pPr>
        <w:pStyle w:val="ListBullet"/>
      </w:pPr>
      <w:r>
        <w:t>meet any standards applicable; and</w:t>
      </w:r>
    </w:p>
    <w:p w:rsidR="000703DF" w:rsidRDefault="000703DF" w:rsidP="000703DF">
      <w:pPr>
        <w:pStyle w:val="ListBullet"/>
      </w:pPr>
      <w:r>
        <w:lastRenderedPageBreak/>
        <w:t>not be of an unacceptable presentation.</w:t>
      </w:r>
    </w:p>
    <w:p w:rsidR="000703DF" w:rsidRDefault="000703DF" w:rsidP="000703DF">
      <w:r>
        <w:t>The following documents on the TGA website provide more information relating to the export of medicines from Australia:</w:t>
      </w:r>
    </w:p>
    <w:p w:rsidR="000703DF" w:rsidRDefault="0031131E" w:rsidP="00630EE2">
      <w:pPr>
        <w:pStyle w:val="ListBullet"/>
      </w:pPr>
      <w:hyperlink r:id="rId32" w:history="1">
        <w:r w:rsidR="000703DF" w:rsidRPr="0085447C">
          <w:rPr>
            <w:rStyle w:val="Hyperlink"/>
          </w:rPr>
          <w:t>Therapeutic Goods Administration (TGA) Policy for the Export of Medicines from Australia</w:t>
        </w:r>
      </w:hyperlink>
    </w:p>
    <w:p w:rsidR="000703DF" w:rsidRDefault="0031131E" w:rsidP="00630EE2">
      <w:pPr>
        <w:pStyle w:val="ListBullet"/>
      </w:pPr>
      <w:hyperlink r:id="rId33" w:history="1">
        <w:r w:rsidR="000703DF" w:rsidRPr="0085447C">
          <w:rPr>
            <w:rStyle w:val="Hyperlink"/>
          </w:rPr>
          <w:t>Exporting Medicines from Australia – Operational Guidelines</w:t>
        </w:r>
      </w:hyperlink>
    </w:p>
    <w:p w:rsidR="000703DF" w:rsidRDefault="000703DF" w:rsidP="000703DF">
      <w:r>
        <w:t>Exporters should ensure they meet any State or Federal laws regarding the procurement and storage of medicines e.g. State poisons legislation and other relevant legislation such as Trademarks, Patents, Wildlife Protection, Customs and Quarantine.</w:t>
      </w:r>
    </w:p>
    <w:p w:rsidR="00373926" w:rsidRDefault="00373926" w:rsidP="00373926">
      <w:pPr>
        <w:pStyle w:val="Heading4"/>
      </w:pPr>
      <w:bookmarkStart w:id="12" w:name="_Toc337635094"/>
      <w:r w:rsidRPr="00373926">
        <w:t>Route of evaluation</w:t>
      </w:r>
      <w:bookmarkEnd w:id="12"/>
    </w:p>
    <w:tbl>
      <w:tblPr>
        <w:tblW w:w="9038" w:type="dxa"/>
        <w:tblLayout w:type="fixed"/>
        <w:tblCellMar>
          <w:left w:w="0" w:type="dxa"/>
          <w:right w:w="0" w:type="dxa"/>
        </w:tblCellMar>
        <w:tblLook w:val="04A0"/>
      </w:tblPr>
      <w:tblGrid>
        <w:gridCol w:w="1276"/>
        <w:gridCol w:w="7762"/>
      </w:tblGrid>
      <w:tr w:rsidR="00373926" w:rsidRPr="001525B4" w:rsidTr="001A41DA">
        <w:trPr>
          <w:trHeight w:val="1206"/>
        </w:trPr>
        <w:tc>
          <w:tcPr>
            <w:tcW w:w="1276" w:type="dxa"/>
            <w:vAlign w:val="center"/>
          </w:tcPr>
          <w:p w:rsidR="00373926" w:rsidRPr="001525B4" w:rsidRDefault="00373926" w:rsidP="001A41DA">
            <w:pPr>
              <w:spacing w:before="0"/>
              <w:rPr>
                <w:sz w:val="20"/>
              </w:rPr>
            </w:pPr>
            <w:r w:rsidRPr="001525B4">
              <w:rPr>
                <w:noProof/>
                <w:sz w:val="20"/>
                <w:lang w:eastAsia="en-AU"/>
              </w:rPr>
              <w:drawing>
                <wp:inline distT="0" distB="0" distL="0" distR="0">
                  <wp:extent cx="487681" cy="487681"/>
                  <wp:effectExtent l="19050" t="0" r="7619" b="0"/>
                  <wp:docPr id="4" name="Picture 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373926" w:rsidRPr="001525B4" w:rsidRDefault="00373926" w:rsidP="001A41DA">
            <w:r w:rsidRPr="00373926">
              <w:t>TGA note: A TGA wide document is being developed to provide guidance on the route of evaluation for all therapeutic goods. Therefore, detailed information has not been provided in the section</w:t>
            </w:r>
          </w:p>
        </w:tc>
      </w:tr>
    </w:tbl>
    <w:p w:rsidR="00373926" w:rsidRDefault="00373926" w:rsidP="00373926">
      <w:r>
        <w:t>Within the TGA, the criteria for determining which regulatory unit evaluates an application for a medicine is set out in Schedule 10 to the Regulations.</w:t>
      </w:r>
    </w:p>
    <w:p w:rsidR="00752497" w:rsidRDefault="00373926">
      <w:pPr>
        <w:ind w:left="720"/>
      </w:pPr>
      <w:r>
        <w:t>Part 1: Relates to prescription and other medicines that contain a substance mentioned in Schedule 4, 8 or 9 of the SUSMP, or meets the criteria for mention in any of those Schedules.</w:t>
      </w:r>
    </w:p>
    <w:p w:rsidR="00752497" w:rsidRDefault="00373926">
      <w:pPr>
        <w:ind w:left="720"/>
      </w:pPr>
      <w:r>
        <w:t xml:space="preserve">Part 2: Relates to complementary medicines that do not contain substances in Schedule 4, 8 and 9 of SUSMP. </w:t>
      </w:r>
    </w:p>
    <w:p w:rsidR="00752497" w:rsidRDefault="00373926">
      <w:pPr>
        <w:ind w:left="720"/>
      </w:pPr>
      <w:r>
        <w:t>Part 3: Relates to non-prescription and other medicines other than those covered by Parts 1 and 2 and that do not contain a substance in Schedule 4, 8, and 9 of the SUSMP.</w:t>
      </w:r>
    </w:p>
    <w:p w:rsidR="00373926" w:rsidRDefault="00721AF3" w:rsidP="00373926">
      <w:r>
        <w:t>L</w:t>
      </w:r>
      <w:r w:rsidR="00373926">
        <w:t>egislative provisions, regulatory guidelines, data requirements, fees and the timelines associated with the application process</w:t>
      </w:r>
      <w:r>
        <w:t xml:space="preserve"> may be determined by the route of evaluation</w:t>
      </w:r>
      <w:r w:rsidR="00373926">
        <w:t>. Schedule 10 to the Regulations also provides for decisions to be made to refer medicine applications to alternative evaluation routes.</w:t>
      </w:r>
    </w:p>
    <w:p w:rsidR="00373926" w:rsidRDefault="00373926" w:rsidP="00373926">
      <w:pPr>
        <w:pStyle w:val="Heading4"/>
      </w:pPr>
      <w:bookmarkStart w:id="13" w:name="_Toc337635095"/>
      <w:r w:rsidRPr="00373926">
        <w:t>Approved terminology for medicines</w:t>
      </w:r>
      <w:bookmarkEnd w:id="13"/>
    </w:p>
    <w:p w:rsidR="00373926" w:rsidRDefault="00373926" w:rsidP="00373926">
      <w:r>
        <w:t xml:space="preserve">The TGA maintains a list of Australian approved terminology for medicines to ensure accuracy and consistency in the information included on the ARTG and available to consumers. The publication </w:t>
      </w:r>
      <w:hyperlink r:id="rId35" w:history="1">
        <w:r w:rsidRPr="0085447C">
          <w:rPr>
            <w:rStyle w:val="Hyperlink"/>
          </w:rPr>
          <w:t>TGA Approved Terminology for Medicines</w:t>
        </w:r>
      </w:hyperlink>
      <w:r>
        <w:t xml:space="preserve"> provides approved terminology for substances (active ingredients and </w:t>
      </w:r>
      <w:proofErr w:type="spellStart"/>
      <w:r>
        <w:t>excipients</w:t>
      </w:r>
      <w:proofErr w:type="spellEnd"/>
      <w:r>
        <w:t xml:space="preserve">), containers, dosage forms, routes of administration and units of measurement. </w:t>
      </w:r>
    </w:p>
    <w:p w:rsidR="00373926" w:rsidRDefault="00373926" w:rsidP="00373926">
      <w:r>
        <w:t>Different types of approved ingredient names include:</w:t>
      </w:r>
    </w:p>
    <w:p w:rsidR="00373926" w:rsidRDefault="00373926" w:rsidP="00533ED0">
      <w:pPr>
        <w:pStyle w:val="ListBullet"/>
      </w:pPr>
      <w:r>
        <w:t>Australian Approved Name (chemical) (AAN)</w:t>
      </w:r>
    </w:p>
    <w:p w:rsidR="00373926" w:rsidRDefault="00373926" w:rsidP="00533ED0">
      <w:pPr>
        <w:pStyle w:val="ListBullet"/>
      </w:pPr>
      <w:r>
        <w:t>Australian Biological Name (ABN)</w:t>
      </w:r>
    </w:p>
    <w:p w:rsidR="00373926" w:rsidRDefault="00373926" w:rsidP="00373926">
      <w:pPr>
        <w:pStyle w:val="ListBullet"/>
      </w:pPr>
      <w:r>
        <w:t>Approved Herbal Name (AHN) (which is the Latin binomial of an herbal species).</w:t>
      </w:r>
    </w:p>
    <w:tbl>
      <w:tblPr>
        <w:tblW w:w="8505" w:type="dxa"/>
        <w:tblLayout w:type="fixed"/>
        <w:tblCellMar>
          <w:left w:w="0" w:type="dxa"/>
          <w:right w:w="0" w:type="dxa"/>
        </w:tblCellMar>
        <w:tblLook w:val="04A0"/>
      </w:tblPr>
      <w:tblGrid>
        <w:gridCol w:w="284"/>
        <w:gridCol w:w="8221"/>
      </w:tblGrid>
      <w:tr w:rsidR="00B8394C" w:rsidRPr="001525B4" w:rsidTr="00F0535A">
        <w:trPr>
          <w:trHeight w:val="1014"/>
        </w:trPr>
        <w:tc>
          <w:tcPr>
            <w:tcW w:w="284" w:type="dxa"/>
            <w:vAlign w:val="center"/>
          </w:tcPr>
          <w:p w:rsidR="00B8394C" w:rsidRPr="001525B4" w:rsidRDefault="00B8394C" w:rsidP="00B8394C">
            <w:pPr>
              <w:spacing w:before="0"/>
              <w:rPr>
                <w:noProof/>
                <w:sz w:val="20"/>
                <w:lang w:eastAsia="en-AU"/>
              </w:rPr>
            </w:pPr>
          </w:p>
        </w:tc>
        <w:tc>
          <w:tcPr>
            <w:tcW w:w="8221" w:type="dxa"/>
            <w:shd w:val="clear" w:color="auto" w:fill="EAEAEA"/>
            <w:tcMar>
              <w:top w:w="170" w:type="dxa"/>
              <w:left w:w="170" w:type="dxa"/>
              <w:bottom w:w="170" w:type="dxa"/>
              <w:right w:w="170" w:type="dxa"/>
            </w:tcMar>
          </w:tcPr>
          <w:p w:rsidR="00B8394C" w:rsidRPr="001525B4" w:rsidRDefault="00B8394C" w:rsidP="00B8394C">
            <w:pPr>
              <w:spacing w:before="0"/>
            </w:pPr>
            <w:r w:rsidRPr="00373926">
              <w:t xml:space="preserve">A complete herbal ingredient name, to be used in ARTG applications and on medicine labels consists of 3 components: the </w:t>
            </w:r>
            <w:r w:rsidRPr="00B8394C">
              <w:t xml:space="preserve">AHN </w:t>
            </w:r>
            <w:r w:rsidRPr="00373926">
              <w:t xml:space="preserve">(identifies the herb species) plus the </w:t>
            </w:r>
            <w:r w:rsidRPr="00B8394C">
              <w:t>plant part</w:t>
            </w:r>
            <w:r w:rsidRPr="00373926">
              <w:t xml:space="preserve">(s) plus the plant </w:t>
            </w:r>
            <w:r w:rsidRPr="00B8394C">
              <w:t>preparation</w:t>
            </w:r>
            <w:r w:rsidRPr="00373926">
              <w:t>.</w:t>
            </w:r>
          </w:p>
        </w:tc>
      </w:tr>
    </w:tbl>
    <w:p w:rsidR="00373926" w:rsidRDefault="00373926" w:rsidP="00373926">
      <w:pPr>
        <w:pStyle w:val="ListBullet"/>
      </w:pPr>
      <w:r>
        <w:t xml:space="preserve">Australian Herbal Substance Name (AHS): An AHS is used for herbal materials described in a </w:t>
      </w:r>
      <w:proofErr w:type="spellStart"/>
      <w:r>
        <w:t>pharmacopoeial</w:t>
      </w:r>
      <w:proofErr w:type="spellEnd"/>
      <w:r>
        <w:t xml:space="preserve"> monograph. An AHS name is considered a complete name, as the plant part and preparation are described in the monograph reference.</w:t>
      </w:r>
    </w:p>
    <w:p w:rsidR="00373926" w:rsidRDefault="00373926" w:rsidP="00373926">
      <w:pPr>
        <w:pStyle w:val="ListBullet"/>
      </w:pPr>
      <w:r>
        <w:t xml:space="preserve">Herbal Component Name (HCN): HCNs are names for classes of constituents that are found in herbal ingredients. The need for an HCN most often arises when a herbal extract is standardised to a particular class of constituents, or where particular classes of constituents are restricted (e.g. </w:t>
      </w:r>
      <w:proofErr w:type="spellStart"/>
      <w:r>
        <w:t>hydroxyanthracene</w:t>
      </w:r>
      <w:proofErr w:type="spellEnd"/>
      <w:r>
        <w:t xml:space="preserve"> derivatives). An HCN will only be approved as a component or group of components of an herbal species if it is either a therapeutic marker (where the component has known therapeutic activity) or a quality marker (a chemical marker used for quality control). Generally, an HCN will not be approved for ubiquitous non-</w:t>
      </w:r>
      <w:proofErr w:type="spellStart"/>
      <w:r>
        <w:t>phytochemical</w:t>
      </w:r>
      <w:proofErr w:type="spellEnd"/>
      <w:r>
        <w:t xml:space="preserve"> components of herbal species, for example minerals that commonly occur in plant materials.</w:t>
      </w:r>
    </w:p>
    <w:tbl>
      <w:tblPr>
        <w:tblW w:w="8505" w:type="dxa"/>
        <w:tblLayout w:type="fixed"/>
        <w:tblCellMar>
          <w:left w:w="0" w:type="dxa"/>
          <w:right w:w="0" w:type="dxa"/>
        </w:tblCellMar>
        <w:tblLook w:val="04A0"/>
      </w:tblPr>
      <w:tblGrid>
        <w:gridCol w:w="284"/>
        <w:gridCol w:w="8221"/>
      </w:tblGrid>
      <w:tr w:rsidR="00F0535A" w:rsidRPr="001525B4" w:rsidTr="00283281">
        <w:trPr>
          <w:trHeight w:val="816"/>
        </w:trPr>
        <w:tc>
          <w:tcPr>
            <w:tcW w:w="284" w:type="dxa"/>
            <w:vAlign w:val="center"/>
          </w:tcPr>
          <w:p w:rsidR="00F0535A" w:rsidRPr="001525B4" w:rsidRDefault="00F0535A" w:rsidP="00F0535A">
            <w:pPr>
              <w:spacing w:before="0"/>
              <w:rPr>
                <w:noProof/>
                <w:sz w:val="20"/>
                <w:lang w:eastAsia="en-AU"/>
              </w:rPr>
            </w:pPr>
          </w:p>
        </w:tc>
        <w:tc>
          <w:tcPr>
            <w:tcW w:w="8221" w:type="dxa"/>
            <w:shd w:val="clear" w:color="auto" w:fill="EAEAEA"/>
            <w:tcMar>
              <w:top w:w="170" w:type="dxa"/>
              <w:left w:w="170" w:type="dxa"/>
              <w:bottom w:w="170" w:type="dxa"/>
              <w:right w:w="170" w:type="dxa"/>
            </w:tcMar>
          </w:tcPr>
          <w:p w:rsidR="00F0535A" w:rsidRPr="001525B4" w:rsidRDefault="00F0535A" w:rsidP="00F0535A">
            <w:r w:rsidRPr="00373926">
              <w:t>An HCN is not a stand-alone name and should only be used when expressing the herbal component equivalence within an herbal substance (an AHN or an AHS).</w:t>
            </w:r>
          </w:p>
        </w:tc>
      </w:tr>
    </w:tbl>
    <w:p w:rsidR="00373926" w:rsidRDefault="00373926" w:rsidP="00373926">
      <w:pPr>
        <w:pStyle w:val="ListBullet"/>
      </w:pPr>
      <w:r w:rsidRPr="00373926">
        <w:t xml:space="preserve">Australian Food Name (AFN): AFNs are allocated to substances that are food grade e.g. blackberry. AFNs can only be used as </w:t>
      </w:r>
      <w:proofErr w:type="spellStart"/>
      <w:r w:rsidRPr="00373926">
        <w:t>excipient</w:t>
      </w:r>
      <w:proofErr w:type="spellEnd"/>
      <w:r w:rsidRPr="00373926">
        <w:t xml:space="preserve"> ingredients in therapeutic goods. If the substance is to be included as an active ingredient in a product, the name of the ingredient should be expressed in AHN format (e.g. </w:t>
      </w:r>
      <w:proofErr w:type="spellStart"/>
      <w:r w:rsidRPr="0085447C">
        <w:rPr>
          <w:i/>
        </w:rPr>
        <w:t>Rubus</w:t>
      </w:r>
      <w:proofErr w:type="spellEnd"/>
      <w:r w:rsidRPr="0085447C">
        <w:rPr>
          <w:i/>
        </w:rPr>
        <w:t xml:space="preserve"> </w:t>
      </w:r>
      <w:proofErr w:type="spellStart"/>
      <w:r w:rsidRPr="0085447C">
        <w:rPr>
          <w:i/>
        </w:rPr>
        <w:t>fruticosus</w:t>
      </w:r>
      <w:proofErr w:type="spellEnd"/>
      <w:r w:rsidRPr="00373926">
        <w:t xml:space="preserve"> fruit + preparation).</w:t>
      </w:r>
    </w:p>
    <w:tbl>
      <w:tblPr>
        <w:tblW w:w="8505" w:type="dxa"/>
        <w:tblLayout w:type="fixed"/>
        <w:tblCellMar>
          <w:left w:w="0" w:type="dxa"/>
          <w:right w:w="0" w:type="dxa"/>
        </w:tblCellMar>
        <w:tblLook w:val="04A0"/>
      </w:tblPr>
      <w:tblGrid>
        <w:gridCol w:w="284"/>
        <w:gridCol w:w="8221"/>
      </w:tblGrid>
      <w:tr w:rsidR="00283281" w:rsidRPr="001525B4" w:rsidTr="00283281">
        <w:trPr>
          <w:trHeight w:val="876"/>
        </w:trPr>
        <w:tc>
          <w:tcPr>
            <w:tcW w:w="284" w:type="dxa"/>
            <w:vAlign w:val="center"/>
          </w:tcPr>
          <w:p w:rsidR="00283281" w:rsidRPr="001525B4" w:rsidRDefault="00283281" w:rsidP="00283281">
            <w:pPr>
              <w:spacing w:before="0"/>
              <w:rPr>
                <w:noProof/>
                <w:sz w:val="20"/>
                <w:lang w:eastAsia="en-AU"/>
              </w:rPr>
            </w:pPr>
          </w:p>
        </w:tc>
        <w:tc>
          <w:tcPr>
            <w:tcW w:w="8221" w:type="dxa"/>
            <w:shd w:val="clear" w:color="auto" w:fill="EAEAEA"/>
            <w:tcMar>
              <w:top w:w="170" w:type="dxa"/>
              <w:left w:w="170" w:type="dxa"/>
              <w:bottom w:w="170" w:type="dxa"/>
              <w:right w:w="170" w:type="dxa"/>
            </w:tcMar>
          </w:tcPr>
          <w:p w:rsidR="00283281" w:rsidRPr="001525B4" w:rsidRDefault="00283281" w:rsidP="00283281">
            <w:r>
              <w:t xml:space="preserve">While existing AFNs can still be used to name </w:t>
            </w:r>
            <w:proofErr w:type="spellStart"/>
            <w:r>
              <w:t>excipient</w:t>
            </w:r>
            <w:proofErr w:type="spellEnd"/>
            <w:r>
              <w:t xml:space="preserve"> ingredients, it is unlikely that new AFNs will be created.</w:t>
            </w:r>
          </w:p>
        </w:tc>
      </w:tr>
    </w:tbl>
    <w:p w:rsidR="00373926" w:rsidRDefault="00373926" w:rsidP="00373926">
      <w:r w:rsidRPr="00373926">
        <w:t xml:space="preserve">A searchable database of all Australian approved names is accessible via the </w:t>
      </w:r>
      <w:hyperlink r:id="rId36" w:history="1">
        <w:r w:rsidRPr="00621EBE">
          <w:rPr>
            <w:rStyle w:val="Hyperlink"/>
          </w:rPr>
          <w:t xml:space="preserve">TGA </w:t>
        </w:r>
        <w:proofErr w:type="spellStart"/>
        <w:r w:rsidRPr="00621EBE">
          <w:rPr>
            <w:rStyle w:val="Hyperlink"/>
          </w:rPr>
          <w:t>eBusiness</w:t>
        </w:r>
        <w:proofErr w:type="spellEnd"/>
        <w:r w:rsidRPr="00621EBE">
          <w:rPr>
            <w:rStyle w:val="Hyperlink"/>
          </w:rPr>
          <w:t xml:space="preserve"> Services</w:t>
        </w:r>
      </w:hyperlink>
      <w:r w:rsidRPr="00373926">
        <w:t xml:space="preserve"> (</w:t>
      </w:r>
      <w:proofErr w:type="spellStart"/>
      <w:r w:rsidRPr="00373926">
        <w:t>eBS</w:t>
      </w:r>
      <w:proofErr w:type="spellEnd"/>
      <w:r w:rsidRPr="00373926">
        <w:t>) website.</w:t>
      </w:r>
    </w:p>
    <w:p w:rsidR="00752497" w:rsidRDefault="00373926">
      <w:pPr>
        <w:pStyle w:val="Heading5"/>
      </w:pPr>
      <w:r w:rsidRPr="00373926">
        <w:t>Approved terminology should be used:</w:t>
      </w:r>
    </w:p>
    <w:p w:rsidR="00373926" w:rsidRPr="00905640" w:rsidRDefault="00373926" w:rsidP="00373926">
      <w:pPr>
        <w:pStyle w:val="ListBullet"/>
      </w:pPr>
      <w:r w:rsidRPr="00905640">
        <w:t>when sponsors submit applications for registration, listing and export of medicines, and notification of proprietary ingredients</w:t>
      </w:r>
    </w:p>
    <w:p w:rsidR="00373926" w:rsidRPr="00905640" w:rsidRDefault="00373926" w:rsidP="00373926">
      <w:pPr>
        <w:pStyle w:val="ListBullet"/>
      </w:pPr>
      <w:r w:rsidRPr="00905640">
        <w:t>in records of medicine formulations included on the ARTG</w:t>
      </w:r>
    </w:p>
    <w:p w:rsidR="00373926" w:rsidRPr="00905640" w:rsidRDefault="00373926" w:rsidP="00373926">
      <w:pPr>
        <w:pStyle w:val="ListBullet"/>
      </w:pPr>
      <w:r w:rsidRPr="00905640">
        <w:t xml:space="preserve">on labels, in accordance with the requirements of </w:t>
      </w:r>
      <w:hyperlink r:id="rId37" w:history="1">
        <w:r w:rsidRPr="00373926">
          <w:t>TGO 69</w:t>
        </w:r>
      </w:hyperlink>
      <w:r w:rsidRPr="00905640">
        <w:t>: and</w:t>
      </w:r>
    </w:p>
    <w:p w:rsidR="00373926" w:rsidRPr="00905640" w:rsidRDefault="00373926" w:rsidP="00373926">
      <w:pPr>
        <w:pStyle w:val="ListBullet"/>
      </w:pPr>
      <w:r w:rsidRPr="00905640">
        <w:t>in product information, consumer medicine information and other promotional literature.</w:t>
      </w:r>
    </w:p>
    <w:p w:rsidR="00373926" w:rsidRDefault="00373926" w:rsidP="00372CF9">
      <w:pPr>
        <w:pStyle w:val="Heading5"/>
      </w:pPr>
      <w:r w:rsidRPr="00373926">
        <w:t>Substances that do not have an Australian approved name</w:t>
      </w:r>
    </w:p>
    <w:p w:rsidR="00373926" w:rsidRDefault="00373926" w:rsidP="00373926">
      <w:r>
        <w:t xml:space="preserve">When submitting an application for evaluation of a complementary medicine substance, (including a new substance in a registrable complementary medicine) that does not have </w:t>
      </w:r>
      <w:r>
        <w:lastRenderedPageBreak/>
        <w:t xml:space="preserve">an approved name, sponsors should submit a proposal for a new name with their application. The </w:t>
      </w:r>
      <w:hyperlink r:id="rId38" w:anchor="forms" w:history="1">
        <w:r w:rsidRPr="00621EBE">
          <w:rPr>
            <w:rStyle w:val="Hyperlink"/>
          </w:rPr>
          <w:t>various forms for this purpose</w:t>
        </w:r>
      </w:hyperlink>
      <w:r>
        <w:t xml:space="preserve"> are available on the </w:t>
      </w:r>
      <w:r w:rsidRPr="00621EBE">
        <w:t>TGA’s website</w:t>
      </w:r>
      <w:r>
        <w:t>.</w:t>
      </w:r>
    </w:p>
    <w:p w:rsidR="00373926" w:rsidRDefault="00373926" w:rsidP="00373926">
      <w:r>
        <w:t>The TGA has three internal committees to review applications for proposed new names. These committees are: the Australian Approved Names (AAN) Committee; the Australian Biological Names (ABN) Committee; and the Herbal Ingredient Names Committee (HINC).</w:t>
      </w:r>
    </w:p>
    <w:tbl>
      <w:tblPr>
        <w:tblW w:w="9038" w:type="dxa"/>
        <w:tblLayout w:type="fixed"/>
        <w:tblCellMar>
          <w:left w:w="0" w:type="dxa"/>
          <w:right w:w="0" w:type="dxa"/>
        </w:tblCellMar>
        <w:tblLook w:val="04A0"/>
      </w:tblPr>
      <w:tblGrid>
        <w:gridCol w:w="1276"/>
        <w:gridCol w:w="7762"/>
      </w:tblGrid>
      <w:tr w:rsidR="00373926" w:rsidRPr="001525B4" w:rsidTr="001A41DA">
        <w:trPr>
          <w:trHeight w:val="1206"/>
        </w:trPr>
        <w:tc>
          <w:tcPr>
            <w:tcW w:w="1276" w:type="dxa"/>
            <w:vAlign w:val="center"/>
          </w:tcPr>
          <w:p w:rsidR="00373926" w:rsidRPr="001525B4" w:rsidRDefault="00373926" w:rsidP="001A41DA">
            <w:pPr>
              <w:spacing w:before="0"/>
              <w:rPr>
                <w:sz w:val="20"/>
              </w:rPr>
            </w:pPr>
            <w:r w:rsidRPr="001525B4">
              <w:rPr>
                <w:noProof/>
                <w:sz w:val="20"/>
                <w:lang w:eastAsia="en-AU"/>
              </w:rPr>
              <w:drawing>
                <wp:inline distT="0" distB="0" distL="0" distR="0">
                  <wp:extent cx="487681" cy="487681"/>
                  <wp:effectExtent l="19050" t="0" r="7619" b="0"/>
                  <wp:docPr id="9" name="Picture 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373926" w:rsidRPr="001525B4" w:rsidRDefault="00373926" w:rsidP="001A41DA">
            <w:r w:rsidRPr="00373926">
              <w:t>Note: Approval of a name by the TGA does not imply any recommendation for the use of the substance. That is, approval of a name does not mean that the ingredient has been approved for use in therapeutic goods.</w:t>
            </w:r>
          </w:p>
        </w:tc>
      </w:tr>
    </w:tbl>
    <w:p w:rsidR="00373926" w:rsidRDefault="00373926" w:rsidP="00373926">
      <w:pPr>
        <w:pStyle w:val="Heading4"/>
      </w:pPr>
      <w:bookmarkStart w:id="14" w:name="_Toc337635096"/>
      <w:r w:rsidRPr="00373926">
        <w:t xml:space="preserve">Active and </w:t>
      </w:r>
      <w:proofErr w:type="spellStart"/>
      <w:r w:rsidRPr="00373926">
        <w:t>excipient</w:t>
      </w:r>
      <w:proofErr w:type="spellEnd"/>
      <w:r w:rsidRPr="00373926">
        <w:t xml:space="preserve"> ingredients</w:t>
      </w:r>
      <w:bookmarkEnd w:id="14"/>
    </w:p>
    <w:p w:rsidR="00373926" w:rsidRDefault="00373926" w:rsidP="00373926">
      <w:pPr>
        <w:pStyle w:val="Heading5"/>
      </w:pPr>
      <w:r w:rsidRPr="00373926">
        <w:t>Active ingredients</w:t>
      </w:r>
    </w:p>
    <w:p w:rsidR="00373926" w:rsidRDefault="00373926" w:rsidP="00373926">
      <w:r>
        <w:t>The definition of an active ingredient is included in the Regulations</w:t>
      </w:r>
      <w:r w:rsidR="0085447C">
        <w:t xml:space="preserve"> Part 1(2):</w:t>
      </w:r>
    </w:p>
    <w:p w:rsidR="00373926" w:rsidRPr="0085447C" w:rsidRDefault="00373926" w:rsidP="00752497">
      <w:pPr>
        <w:ind w:left="720"/>
        <w:rPr>
          <w:i/>
        </w:rPr>
      </w:pPr>
      <w:r w:rsidRPr="0085447C">
        <w:rPr>
          <w:i/>
        </w:rPr>
        <w:t>‘</w:t>
      </w:r>
      <w:r w:rsidRPr="0085447C">
        <w:rPr>
          <w:b/>
          <w:i/>
        </w:rPr>
        <w:t>active ingredient’</w:t>
      </w:r>
      <w:r w:rsidRPr="0085447C">
        <w:rPr>
          <w:i/>
        </w:rPr>
        <w:t>, for a medicine, means a therapeutically active component in the medicine’s final formulation that is responsible for its physiological or pharmacological action.</w:t>
      </w:r>
    </w:p>
    <w:p w:rsidR="00373926" w:rsidRDefault="00373926" w:rsidP="00373926">
      <w:pPr>
        <w:pStyle w:val="Heading5"/>
      </w:pPr>
      <w:proofErr w:type="spellStart"/>
      <w:r>
        <w:t>Excipient</w:t>
      </w:r>
      <w:proofErr w:type="spellEnd"/>
      <w:r>
        <w:t xml:space="preserve"> ingredients</w:t>
      </w:r>
    </w:p>
    <w:p w:rsidR="00373926" w:rsidRDefault="00373926" w:rsidP="00373926">
      <w:r>
        <w:t xml:space="preserve">TGO 69 includes a definition of an </w:t>
      </w:r>
      <w:proofErr w:type="spellStart"/>
      <w:r>
        <w:t>excipient</w:t>
      </w:r>
      <w:proofErr w:type="spellEnd"/>
      <w:r>
        <w:t xml:space="preserve"> ingredient</w:t>
      </w:r>
      <w:r w:rsidR="0085447C">
        <w:t>:</w:t>
      </w:r>
    </w:p>
    <w:p w:rsidR="00373926" w:rsidRPr="0085447C" w:rsidRDefault="00373926" w:rsidP="00373926">
      <w:pPr>
        <w:ind w:left="720"/>
        <w:rPr>
          <w:i/>
        </w:rPr>
      </w:pPr>
      <w:r>
        <w:t>‘</w:t>
      </w:r>
      <w:proofErr w:type="spellStart"/>
      <w:r w:rsidRPr="0085447C">
        <w:rPr>
          <w:b/>
          <w:i/>
        </w:rPr>
        <w:t>excipient</w:t>
      </w:r>
      <w:proofErr w:type="spellEnd"/>
      <w:r w:rsidRPr="0085447C">
        <w:rPr>
          <w:i/>
        </w:rPr>
        <w:t>’ means an ingredient of a medicine other than an active ingredient</w:t>
      </w:r>
    </w:p>
    <w:p w:rsidR="00373926" w:rsidRDefault="00373926" w:rsidP="00373926">
      <w:r>
        <w:t xml:space="preserve">An </w:t>
      </w:r>
      <w:proofErr w:type="spellStart"/>
      <w:r>
        <w:t>excipient</w:t>
      </w:r>
      <w:proofErr w:type="spellEnd"/>
      <w:r>
        <w:t xml:space="preserve"> ingredient is not therapeutically active and does not contribute to the physiological or pharmacological action within the medicine’s final formulation. Types of </w:t>
      </w:r>
      <w:proofErr w:type="spellStart"/>
      <w:r>
        <w:t>excipient</w:t>
      </w:r>
      <w:proofErr w:type="spellEnd"/>
      <w:r>
        <w:t xml:space="preserve"> ingredients include: a fragrance, flavour, preservative, printing ink, antioxidant, coating, binding agent, filler or an </w:t>
      </w:r>
      <w:proofErr w:type="spellStart"/>
      <w:r>
        <w:t>anticaking</w:t>
      </w:r>
      <w:proofErr w:type="spellEnd"/>
      <w:r>
        <w:t xml:space="preserve"> agent. </w:t>
      </w:r>
    </w:p>
    <w:p w:rsidR="00373926" w:rsidRDefault="00373926" w:rsidP="00373926">
      <w:r>
        <w:t xml:space="preserve">Sponsors should ensure that the role of an </w:t>
      </w:r>
      <w:proofErr w:type="spellStart"/>
      <w:r>
        <w:t>excipient</w:t>
      </w:r>
      <w:proofErr w:type="spellEnd"/>
      <w:r>
        <w:t xml:space="preserve"> ingredient is justified and in an appropriate quantity for this purpose within the product formulation. Therapeutic indications cannot be made for </w:t>
      </w:r>
      <w:proofErr w:type="spellStart"/>
      <w:r>
        <w:t>excipient</w:t>
      </w:r>
      <w:proofErr w:type="spellEnd"/>
      <w:r>
        <w:t xml:space="preserve"> ingredients.</w:t>
      </w:r>
    </w:p>
    <w:p w:rsidR="00373926" w:rsidRDefault="00373926" w:rsidP="00373926">
      <w:r>
        <w:t xml:space="preserve">An </w:t>
      </w:r>
      <w:proofErr w:type="spellStart"/>
      <w:r>
        <w:t>excipient</w:t>
      </w:r>
      <w:proofErr w:type="spellEnd"/>
      <w:r>
        <w:t xml:space="preserve"> ingredient must be included in a medicine formulation on the ARTG, but the same level of detail expected for an active ingredient is generally not required. An </w:t>
      </w:r>
      <w:proofErr w:type="spellStart"/>
      <w:r>
        <w:t>excipient</w:t>
      </w:r>
      <w:proofErr w:type="spellEnd"/>
      <w:r>
        <w:t xml:space="preserve"> ingredient need not be nominated on a medicine label, unless it is a restricted ingredient e.g. included in the SUSMP; or included in the First </w:t>
      </w:r>
      <w:r w:rsidR="00721AF3">
        <w:t>s</w:t>
      </w:r>
      <w:r>
        <w:t xml:space="preserve">chedule of TGO 69 (which lists </w:t>
      </w:r>
      <w:proofErr w:type="spellStart"/>
      <w:r>
        <w:t>excipient</w:t>
      </w:r>
      <w:proofErr w:type="spellEnd"/>
      <w:r>
        <w:t xml:space="preserve"> ingredients required to be mandatorily declared on medicine labels).</w:t>
      </w:r>
    </w:p>
    <w:p w:rsidR="00373926" w:rsidRDefault="00373926" w:rsidP="00373926">
      <w:r>
        <w:t xml:space="preserve">Where a sponsor chooses to disclose a (non-mandatory) </w:t>
      </w:r>
      <w:proofErr w:type="spellStart"/>
      <w:r>
        <w:t>excipient</w:t>
      </w:r>
      <w:proofErr w:type="spellEnd"/>
      <w:r>
        <w:t xml:space="preserve"> on a medicine label, then all </w:t>
      </w:r>
      <w:proofErr w:type="spellStart"/>
      <w:r>
        <w:t>excipients</w:t>
      </w:r>
      <w:proofErr w:type="spellEnd"/>
      <w:r>
        <w:t xml:space="preserve"> must be disclosed i.e. declaration of </w:t>
      </w:r>
      <w:proofErr w:type="spellStart"/>
      <w:r>
        <w:t>excipients</w:t>
      </w:r>
      <w:proofErr w:type="spellEnd"/>
      <w:r>
        <w:t xml:space="preserve"> cannot be selective. </w:t>
      </w:r>
    </w:p>
    <w:p w:rsidR="00373926" w:rsidRDefault="00373926" w:rsidP="00373926">
      <w:pPr>
        <w:pStyle w:val="Heading4"/>
      </w:pPr>
      <w:bookmarkStart w:id="15" w:name="_Toc337635097"/>
      <w:r>
        <w:t xml:space="preserve">Incidental minor </w:t>
      </w:r>
      <w:proofErr w:type="spellStart"/>
      <w:r>
        <w:t>excipients</w:t>
      </w:r>
      <w:bookmarkEnd w:id="15"/>
      <w:proofErr w:type="spellEnd"/>
    </w:p>
    <w:p w:rsidR="00373926" w:rsidRDefault="00372CF9" w:rsidP="00373926">
      <w:r>
        <w:t xml:space="preserve">Incidental minor </w:t>
      </w:r>
      <w:proofErr w:type="spellStart"/>
      <w:r>
        <w:t>excipients</w:t>
      </w:r>
      <w:proofErr w:type="spellEnd"/>
      <w:r>
        <w:t xml:space="preserve"> (</w:t>
      </w:r>
      <w:r w:rsidR="00373926">
        <w:t>IME</w:t>
      </w:r>
      <w:r>
        <w:t>)</w:t>
      </w:r>
      <w:r w:rsidR="00373926">
        <w:t xml:space="preserve"> are substances </w:t>
      </w:r>
      <w:r w:rsidR="00721AF3">
        <w:t xml:space="preserve">that </w:t>
      </w:r>
      <w:r w:rsidR="00373926">
        <w:t>are added to certain raw material ingredients during the manufacture of that ingredient, for the purpose of increasing its stability or extending shelf-life. IME are themselves substances that are approved for use in listed medicines and are present in the raw material at levels such that their concentration in the finished medicine is insignificant.</w:t>
      </w:r>
    </w:p>
    <w:tbl>
      <w:tblPr>
        <w:tblW w:w="9038" w:type="dxa"/>
        <w:tblLayout w:type="fixed"/>
        <w:tblCellMar>
          <w:left w:w="0" w:type="dxa"/>
          <w:right w:w="0" w:type="dxa"/>
        </w:tblCellMar>
        <w:tblLook w:val="04A0"/>
      </w:tblPr>
      <w:tblGrid>
        <w:gridCol w:w="1276"/>
        <w:gridCol w:w="7762"/>
      </w:tblGrid>
      <w:tr w:rsidR="00373926" w:rsidRPr="001525B4" w:rsidTr="00283281">
        <w:trPr>
          <w:trHeight w:val="1037"/>
        </w:trPr>
        <w:tc>
          <w:tcPr>
            <w:tcW w:w="1276" w:type="dxa"/>
            <w:vAlign w:val="center"/>
          </w:tcPr>
          <w:p w:rsidR="00373926" w:rsidRPr="001525B4" w:rsidRDefault="00373926" w:rsidP="001A41DA">
            <w:pPr>
              <w:spacing w:before="0"/>
              <w:rPr>
                <w:sz w:val="20"/>
              </w:rPr>
            </w:pPr>
            <w:r w:rsidRPr="001525B4">
              <w:rPr>
                <w:noProof/>
                <w:sz w:val="20"/>
                <w:lang w:eastAsia="en-AU"/>
              </w:rPr>
              <w:lastRenderedPageBreak/>
              <w:drawing>
                <wp:inline distT="0" distB="0" distL="0" distR="0">
                  <wp:extent cx="487681" cy="487681"/>
                  <wp:effectExtent l="19050" t="0" r="7619" b="0"/>
                  <wp:docPr id="10" name="Picture 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373926" w:rsidRPr="001525B4" w:rsidRDefault="00373926" w:rsidP="001A41DA">
            <w:r>
              <w:t>Note a</w:t>
            </w:r>
            <w:r w:rsidRPr="00292F1E">
              <w:t>n ingredient that</w:t>
            </w:r>
            <w:r>
              <w:t xml:space="preserve"> is subject to any restriction or is required to be declared</w:t>
            </w:r>
            <w:r w:rsidRPr="00292F1E">
              <w:t xml:space="preserve"> cannot be considered as an </w:t>
            </w:r>
            <w:r>
              <w:t xml:space="preserve">incidental minor </w:t>
            </w:r>
            <w:proofErr w:type="spellStart"/>
            <w:r>
              <w:t>excipient</w:t>
            </w:r>
            <w:proofErr w:type="spellEnd"/>
            <w:r>
              <w:t>.</w:t>
            </w:r>
          </w:p>
        </w:tc>
      </w:tr>
    </w:tbl>
    <w:p w:rsidR="00373926" w:rsidRDefault="00373926" w:rsidP="00373926">
      <w:r w:rsidRPr="00292F1E">
        <w:t xml:space="preserve">The TGA currently recognises two specific instances where the </w:t>
      </w:r>
      <w:r>
        <w:t>amount of</w:t>
      </w:r>
      <w:r w:rsidRPr="00292F1E">
        <w:t xml:space="preserve"> IME</w:t>
      </w:r>
      <w:r>
        <w:t xml:space="preserve"> included in a final product varies</w:t>
      </w:r>
      <w:r w:rsidRPr="00292F1E">
        <w:t xml:space="preserve"> </w:t>
      </w:r>
      <w:r>
        <w:t>due to minor variations required in manufacturing processes:</w:t>
      </w:r>
    </w:p>
    <w:p w:rsidR="00373926" w:rsidRDefault="00373926" w:rsidP="00373926">
      <w:pPr>
        <w:pStyle w:val="ListBullet"/>
      </w:pPr>
      <w:r>
        <w:t xml:space="preserve">minor changes required to the type of anti-oxidant used in the manufacture of different batches of some oil raw material ingredients, such as fish oil, and </w:t>
      </w:r>
    </w:p>
    <w:p w:rsidR="00373926" w:rsidRDefault="00373926" w:rsidP="00373926">
      <w:pPr>
        <w:pStyle w:val="ListBullet"/>
      </w:pPr>
      <w:r>
        <w:t>the possible presence of silicon dioxide when used as an anti-caking agent in some ingredients.</w:t>
      </w:r>
    </w:p>
    <w:p w:rsidR="00373926" w:rsidRPr="00292F1E" w:rsidRDefault="00373926" w:rsidP="00373926">
      <w:r w:rsidRPr="00373926">
        <w:t>In the above cases, the anti-oxidant or silicon dioxide ingredients are considered to be IME and applicants are not required to disclose details of these substances (used in the manufacture of an ingredient) in the listing application (for a medicine whose formulation includes that ingredient).</w:t>
      </w:r>
    </w:p>
    <w:p w:rsidR="00373926" w:rsidRDefault="00373926" w:rsidP="00373926">
      <w:pPr>
        <w:pStyle w:val="Heading4"/>
      </w:pPr>
      <w:bookmarkStart w:id="16" w:name="_Toc337635098"/>
      <w:r>
        <w:t>Colourings permitted for use in medicines</w:t>
      </w:r>
      <w:bookmarkEnd w:id="16"/>
    </w:p>
    <w:p w:rsidR="00373926" w:rsidRDefault="0031131E" w:rsidP="00373926">
      <w:hyperlink r:id="rId39" w:history="1">
        <w:r w:rsidR="00373926" w:rsidRPr="00621EBE">
          <w:rPr>
            <w:rStyle w:val="Hyperlink"/>
          </w:rPr>
          <w:t>A list of colourings</w:t>
        </w:r>
      </w:hyperlink>
      <w:r w:rsidR="00373926">
        <w:t xml:space="preserve"> permitted in complementary, over-the-counter and prescription medicines for oral use, and indicative data requirements for the evaluation of new colours (for inclusion in medicines for oral use) is available on the </w:t>
      </w:r>
      <w:r w:rsidR="00373926" w:rsidRPr="00621EBE">
        <w:t>TGA website</w:t>
      </w:r>
      <w:r w:rsidR="00373926">
        <w:t xml:space="preserve">. </w:t>
      </w:r>
    </w:p>
    <w:p w:rsidR="00373926" w:rsidRDefault="00373926" w:rsidP="00373926">
      <w:pPr>
        <w:pStyle w:val="Heading4"/>
      </w:pPr>
      <w:bookmarkStart w:id="17" w:name="_Toc337635099"/>
      <w:r>
        <w:t>Proprietary ingredients</w:t>
      </w:r>
      <w:bookmarkEnd w:id="17"/>
    </w:p>
    <w:p w:rsidR="00373926" w:rsidRDefault="00373926" w:rsidP="00373926">
      <w:r>
        <w:t xml:space="preserve">The term ‘proprietary ingredient’ means a confidential formulation about which information is not in the public domain. </w:t>
      </w:r>
      <w:r w:rsidR="00DD3D80">
        <w:t>proprietary ingredient</w:t>
      </w:r>
      <w:r>
        <w:t xml:space="preserve">s include fragrances, flavours, colouring ingredients, trans-dermal patch adhesives and printing inks. Note where an active ingredient is used in a </w:t>
      </w:r>
      <w:r w:rsidR="00DD3D80">
        <w:t>proprietary ingredient</w:t>
      </w:r>
      <w:r>
        <w:t xml:space="preserve"> formulation the active ingredient must be disclosed.</w:t>
      </w:r>
    </w:p>
    <w:p w:rsidR="00373926" w:rsidRDefault="00373926" w:rsidP="00373926">
      <w:r>
        <w:t xml:space="preserve">Information supplied to the TGA in relation to the inclusion of </w:t>
      </w:r>
      <w:r w:rsidR="00DD3D80">
        <w:t>proprietary ingredient</w:t>
      </w:r>
      <w:r>
        <w:t>s on the ARTG is treated as 'commercial-in-confidence'.</w:t>
      </w:r>
    </w:p>
    <w:p w:rsidR="00373926" w:rsidRDefault="00373926" w:rsidP="00373926">
      <w:r>
        <w:t xml:space="preserve">There is no assessment or evaluation of </w:t>
      </w:r>
      <w:r w:rsidR="00DD3D80">
        <w:t>proprietary ingredient</w:t>
      </w:r>
      <w:r>
        <w:t xml:space="preserve"> formulations, or their ingredients, at the time of application unless toxicological data is required to be evaluated for specific </w:t>
      </w:r>
      <w:r w:rsidR="00DD3D80">
        <w:t>proprietary ingredient</w:t>
      </w:r>
      <w:r>
        <w:t>s. For</w:t>
      </w:r>
      <w:r w:rsidRPr="00373926">
        <w:t xml:space="preserve"> </w:t>
      </w:r>
      <w:r>
        <w:t xml:space="preserve">colouring </w:t>
      </w:r>
      <w:r w:rsidR="00DD3D80">
        <w:t>proprietary ingredient</w:t>
      </w:r>
      <w:r>
        <w:t xml:space="preserve">s, the colour must be one that is approved for ingestion if the ingredient is to be used in an oral product. During the evaluation or assessment of a finished product which contains a </w:t>
      </w:r>
      <w:r w:rsidR="00DD3D80">
        <w:t>proprietary ingredient</w:t>
      </w:r>
      <w:r>
        <w:t xml:space="preserve">, the TGA may request additional information on the </w:t>
      </w:r>
      <w:r w:rsidR="00DD3D80">
        <w:t>proprietary ingredient</w:t>
      </w:r>
      <w:r>
        <w:t xml:space="preserve">, given that the formulation details for a </w:t>
      </w:r>
      <w:r w:rsidR="00DD3D80">
        <w:t>proprietary ingredient</w:t>
      </w:r>
      <w:r>
        <w:t xml:space="preserve"> are supplied in isolation of the finished product formulation.</w:t>
      </w:r>
    </w:p>
    <w:p w:rsidR="00373926" w:rsidRDefault="00373926" w:rsidP="00373926">
      <w:r>
        <w:t xml:space="preserve">Before a </w:t>
      </w:r>
      <w:r w:rsidR="008A5563">
        <w:t>proprietary ingredient</w:t>
      </w:r>
      <w:r>
        <w:t xml:space="preserve"> is included in a product, the sponsor should ensure that:</w:t>
      </w:r>
    </w:p>
    <w:p w:rsidR="00373926" w:rsidRDefault="00373926" w:rsidP="00373926">
      <w:pPr>
        <w:pStyle w:val="ListBullet"/>
      </w:pPr>
      <w:r>
        <w:t xml:space="preserve">the formulation and/or processing details have already been disclosed to the TGA (the sponsor should provide the number allocated to the </w:t>
      </w:r>
      <w:r w:rsidR="00DD3D80">
        <w:t>proprietary ingredient</w:t>
      </w:r>
      <w:r>
        <w:t xml:space="preserve"> in the application form); OR</w:t>
      </w:r>
    </w:p>
    <w:p w:rsidR="00373926" w:rsidRDefault="00373926" w:rsidP="00373926">
      <w:pPr>
        <w:pStyle w:val="ListBullet"/>
      </w:pPr>
      <w:r>
        <w:t xml:space="preserve">the manufacturer of the </w:t>
      </w:r>
      <w:r w:rsidR="00DD3D80">
        <w:t>proprietary ingredient</w:t>
      </w:r>
      <w:r>
        <w:t xml:space="preserve"> has been asked to provide the TGA with details of the formulation on a Notification of a Proprietary Ingredient form, and has obtained the </w:t>
      </w:r>
      <w:r w:rsidR="00DD3D80">
        <w:t>proprietary ingredient</w:t>
      </w:r>
      <w:r>
        <w:t xml:space="preserve"> number to include in the application form.</w:t>
      </w:r>
    </w:p>
    <w:p w:rsidR="00373926" w:rsidRPr="00292F1E" w:rsidRDefault="00373926" w:rsidP="00283281">
      <w:pPr>
        <w:pStyle w:val="Heading5"/>
      </w:pPr>
      <w:bookmarkStart w:id="18" w:name="_Toc334026281"/>
      <w:bookmarkStart w:id="19" w:name="_Toc334026437"/>
      <w:r w:rsidRPr="00292F1E">
        <w:lastRenderedPageBreak/>
        <w:t>Classification system for proprietary ingredients for use in listed medicines</w:t>
      </w:r>
      <w:bookmarkEnd w:id="18"/>
      <w:bookmarkEnd w:id="19"/>
    </w:p>
    <w:p w:rsidR="00373926" w:rsidRDefault="00373926" w:rsidP="00283281">
      <w:pPr>
        <w:keepNext/>
        <w:keepLines/>
      </w:pPr>
      <w:r w:rsidRPr="00373926">
        <w:t xml:space="preserve">New </w:t>
      </w:r>
      <w:r w:rsidR="00DD3D80">
        <w:t>proprietary ingredient</w:t>
      </w:r>
      <w:r w:rsidRPr="00373926">
        <w:t>s for use in listed medicines are categorised into five types based on the risk profile of ingredients within them:</w:t>
      </w:r>
    </w:p>
    <w:tbl>
      <w:tblPr>
        <w:tblStyle w:val="TableTGAblue"/>
        <w:tblW w:w="0" w:type="auto"/>
        <w:tblLook w:val="04A0"/>
      </w:tblPr>
      <w:tblGrid>
        <w:gridCol w:w="1809"/>
        <w:gridCol w:w="6911"/>
      </w:tblGrid>
      <w:tr w:rsidR="00373926" w:rsidTr="00621EBE">
        <w:trPr>
          <w:cnfStyle w:val="100000000000"/>
          <w:tblHeader/>
        </w:trPr>
        <w:tc>
          <w:tcPr>
            <w:tcW w:w="1809" w:type="dxa"/>
          </w:tcPr>
          <w:p w:rsidR="00752497" w:rsidRDefault="008A5563" w:rsidP="00621EBE">
            <w:pPr>
              <w:rPr>
                <w:b w:val="0"/>
                <w:color w:val="auto"/>
              </w:rPr>
            </w:pPr>
            <w:r>
              <w:t>Proprietary ingredient</w:t>
            </w:r>
            <w:r w:rsidR="00283281">
              <w:t xml:space="preserve"> type</w:t>
            </w:r>
          </w:p>
        </w:tc>
        <w:tc>
          <w:tcPr>
            <w:tcW w:w="6911" w:type="dxa"/>
          </w:tcPr>
          <w:p w:rsidR="00752497" w:rsidRDefault="00373926" w:rsidP="00621EBE">
            <w:pPr>
              <w:rPr>
                <w:b w:val="0"/>
                <w:color w:val="auto"/>
              </w:rPr>
            </w:pPr>
            <w:r>
              <w:t>Ingredients</w:t>
            </w:r>
          </w:p>
        </w:tc>
      </w:tr>
      <w:tr w:rsidR="00373926" w:rsidTr="00B8394C">
        <w:tc>
          <w:tcPr>
            <w:tcW w:w="1809" w:type="dxa"/>
          </w:tcPr>
          <w:p w:rsidR="00373926" w:rsidRPr="004F28D4" w:rsidRDefault="00373926" w:rsidP="00373926">
            <w:pPr>
              <w:keepNext w:val="0"/>
            </w:pPr>
            <w:r w:rsidRPr="004F28D4">
              <w:t>Type 1a:</w:t>
            </w:r>
          </w:p>
        </w:tc>
        <w:tc>
          <w:tcPr>
            <w:tcW w:w="6911" w:type="dxa"/>
          </w:tcPr>
          <w:p w:rsidR="00373926" w:rsidRPr="004F28D4" w:rsidRDefault="00373926" w:rsidP="00373926">
            <w:pPr>
              <w:keepNext w:val="0"/>
            </w:pPr>
            <w:r w:rsidRPr="004F28D4">
              <w:t>Colours – low risk, often long history of use, generally small quantities in finished products.</w:t>
            </w:r>
          </w:p>
        </w:tc>
      </w:tr>
      <w:tr w:rsidR="00373926" w:rsidTr="00B8394C">
        <w:tc>
          <w:tcPr>
            <w:tcW w:w="1809" w:type="dxa"/>
          </w:tcPr>
          <w:p w:rsidR="00373926" w:rsidRPr="004F28D4" w:rsidRDefault="00373926" w:rsidP="00373926">
            <w:pPr>
              <w:keepNext w:val="0"/>
            </w:pPr>
            <w:r w:rsidRPr="004F28D4">
              <w:t>Type 1b:</w:t>
            </w:r>
          </w:p>
        </w:tc>
        <w:tc>
          <w:tcPr>
            <w:tcW w:w="6911" w:type="dxa"/>
          </w:tcPr>
          <w:p w:rsidR="00373926" w:rsidRPr="004F28D4" w:rsidRDefault="00373926" w:rsidP="00373926">
            <w:pPr>
              <w:keepNext w:val="0"/>
            </w:pPr>
            <w:r w:rsidRPr="004F28D4">
              <w:t>Fragrances, flavours and printing inks – low risk, often long history of use, generally very small quantities in finished products.</w:t>
            </w:r>
          </w:p>
        </w:tc>
      </w:tr>
      <w:tr w:rsidR="00373926" w:rsidTr="00B8394C">
        <w:tc>
          <w:tcPr>
            <w:tcW w:w="1809" w:type="dxa"/>
          </w:tcPr>
          <w:p w:rsidR="00373926" w:rsidRPr="004F28D4" w:rsidRDefault="00373926" w:rsidP="00373926">
            <w:pPr>
              <w:keepNext w:val="0"/>
            </w:pPr>
            <w:r w:rsidRPr="004F28D4">
              <w:t>Type 2:</w:t>
            </w:r>
          </w:p>
        </w:tc>
        <w:tc>
          <w:tcPr>
            <w:tcW w:w="6911" w:type="dxa"/>
          </w:tcPr>
          <w:p w:rsidR="00373926" w:rsidRPr="004F28D4" w:rsidRDefault="00373926" w:rsidP="00373926">
            <w:pPr>
              <w:keepNext w:val="0"/>
            </w:pPr>
            <w:r w:rsidRPr="004F28D4">
              <w:t>Active intermediate formulations (active pre-mixes) – relatively high risk as they contain therapeutically active substances.</w:t>
            </w:r>
          </w:p>
        </w:tc>
      </w:tr>
      <w:tr w:rsidR="00373926" w:rsidTr="00B8394C">
        <w:tc>
          <w:tcPr>
            <w:tcW w:w="1809" w:type="dxa"/>
          </w:tcPr>
          <w:p w:rsidR="00373926" w:rsidRPr="004F28D4" w:rsidRDefault="00373926" w:rsidP="00373926">
            <w:pPr>
              <w:keepNext w:val="0"/>
            </w:pPr>
            <w:r w:rsidRPr="004F28D4">
              <w:t>Type 3:</w:t>
            </w:r>
          </w:p>
        </w:tc>
        <w:tc>
          <w:tcPr>
            <w:tcW w:w="6911" w:type="dxa"/>
          </w:tcPr>
          <w:p w:rsidR="00373926" w:rsidRPr="004F28D4" w:rsidRDefault="00373926" w:rsidP="00373926">
            <w:pPr>
              <w:keepNext w:val="0"/>
            </w:pPr>
            <w:r w:rsidRPr="004F28D4">
              <w:t>Vehicles and coating materials (such as cream, ointment bases and capsule shells) – low risk, often long history of use.</w:t>
            </w:r>
          </w:p>
        </w:tc>
      </w:tr>
      <w:tr w:rsidR="00373926" w:rsidTr="00B8394C">
        <w:tc>
          <w:tcPr>
            <w:tcW w:w="1809" w:type="dxa"/>
          </w:tcPr>
          <w:p w:rsidR="00373926" w:rsidRPr="004F28D4" w:rsidRDefault="00373926" w:rsidP="00373926">
            <w:pPr>
              <w:keepNext w:val="0"/>
            </w:pPr>
            <w:r w:rsidRPr="004F28D4">
              <w:t>Type 4:</w:t>
            </w:r>
          </w:p>
        </w:tc>
        <w:tc>
          <w:tcPr>
            <w:tcW w:w="6911" w:type="dxa"/>
          </w:tcPr>
          <w:p w:rsidR="00373926" w:rsidRPr="004F28D4" w:rsidRDefault="00373926" w:rsidP="00373926">
            <w:pPr>
              <w:keepNext w:val="0"/>
            </w:pPr>
            <w:r w:rsidRPr="004F28D4">
              <w:t>Pre-formulated mixes of preservatives – medium risk, as some individuals are sensitive to some preservatives.</w:t>
            </w:r>
          </w:p>
        </w:tc>
      </w:tr>
    </w:tbl>
    <w:p w:rsidR="00373926" w:rsidRDefault="00373926" w:rsidP="00372CF9">
      <w:pPr>
        <w:pStyle w:val="Heading5"/>
      </w:pPr>
      <w:r w:rsidRPr="00373926">
        <w:t>Labelling associated with proprietary ingredients</w:t>
      </w:r>
    </w:p>
    <w:p w:rsidR="00373926" w:rsidRDefault="00373926" w:rsidP="00373926">
      <w:r>
        <w:t xml:space="preserve">Where it is appropriate, proprietary ingredients may be described as ‘natural’, ‘nature-identical’ or ‘artificial’. If the medicine label includes a negative disclosure statement (e.g. ‘sugar free’), sponsors should ensure that the substance referred to in the negative disclosure statement is not contained in any </w:t>
      </w:r>
      <w:r w:rsidR="008A5563">
        <w:t>proprietary ingredient</w:t>
      </w:r>
      <w:r>
        <w:t xml:space="preserve"> in the product formulation.</w:t>
      </w:r>
    </w:p>
    <w:p w:rsidR="00373926" w:rsidRDefault="00373926" w:rsidP="00373926">
      <w:r>
        <w:t xml:space="preserve">Refer to Attachment 2 for data requirements for </w:t>
      </w:r>
      <w:r w:rsidR="008A5563">
        <w:t>proprietary ingredient</w:t>
      </w:r>
      <w:r>
        <w:t xml:space="preserve"> applications and the </w:t>
      </w:r>
      <w:r w:rsidRPr="00621EBE">
        <w:t>TGA website</w:t>
      </w:r>
      <w:r>
        <w:t xml:space="preserve"> for the </w:t>
      </w:r>
      <w:hyperlink r:id="rId40" w:history="1">
        <w:r w:rsidRPr="00621EBE">
          <w:rPr>
            <w:rStyle w:val="Hyperlink"/>
          </w:rPr>
          <w:t xml:space="preserve">form to apply for a new </w:t>
        </w:r>
        <w:r w:rsidR="00DD3D80">
          <w:rPr>
            <w:rStyle w:val="Hyperlink"/>
          </w:rPr>
          <w:t>proprietary ingredient</w:t>
        </w:r>
      </w:hyperlink>
      <w:r>
        <w:t>.</w:t>
      </w:r>
    </w:p>
    <w:p w:rsidR="00372CF9" w:rsidRDefault="00372CF9" w:rsidP="00372CF9">
      <w:pPr>
        <w:pStyle w:val="Heading4"/>
      </w:pPr>
      <w:bookmarkStart w:id="20" w:name="_Toc337635100"/>
      <w:r w:rsidRPr="00372CF9">
        <w:t>Active Herbal Extracts</w:t>
      </w:r>
      <w:bookmarkEnd w:id="20"/>
    </w:p>
    <w:tbl>
      <w:tblPr>
        <w:tblW w:w="9038" w:type="dxa"/>
        <w:tblLayout w:type="fixed"/>
        <w:tblCellMar>
          <w:left w:w="0" w:type="dxa"/>
          <w:right w:w="0" w:type="dxa"/>
        </w:tblCellMar>
        <w:tblLook w:val="04A0"/>
      </w:tblPr>
      <w:tblGrid>
        <w:gridCol w:w="1276"/>
        <w:gridCol w:w="7762"/>
      </w:tblGrid>
      <w:tr w:rsidR="00373926" w:rsidRPr="001525B4" w:rsidTr="001A41DA">
        <w:trPr>
          <w:trHeight w:val="1206"/>
        </w:trPr>
        <w:tc>
          <w:tcPr>
            <w:tcW w:w="1276" w:type="dxa"/>
            <w:vAlign w:val="center"/>
          </w:tcPr>
          <w:p w:rsidR="00373926" w:rsidRPr="001525B4" w:rsidRDefault="00373926" w:rsidP="001A41DA">
            <w:pPr>
              <w:spacing w:before="0"/>
              <w:rPr>
                <w:sz w:val="20"/>
              </w:rPr>
            </w:pPr>
            <w:r w:rsidRPr="001525B4">
              <w:rPr>
                <w:noProof/>
                <w:sz w:val="20"/>
                <w:lang w:eastAsia="en-AU"/>
              </w:rPr>
              <w:drawing>
                <wp:inline distT="0" distB="0" distL="0" distR="0">
                  <wp:extent cx="487681" cy="487681"/>
                  <wp:effectExtent l="19050" t="0" r="7619" b="0"/>
                  <wp:docPr id="11" name="Picture 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373926" w:rsidRPr="001525B4" w:rsidRDefault="00373926" w:rsidP="00621EBE">
            <w:r>
              <w:t xml:space="preserve">TGA </w:t>
            </w:r>
            <w:r w:rsidR="00621EBE">
              <w:t>n</w:t>
            </w:r>
            <w:r>
              <w:t>ote: Processes relating to Active Herbal Extracts are currently being reviewed by the TGA and the information below is only current at time of publishing</w:t>
            </w:r>
          </w:p>
        </w:tc>
      </w:tr>
    </w:tbl>
    <w:p w:rsidR="00373926" w:rsidRDefault="00373926" w:rsidP="00373926">
      <w:r w:rsidRPr="00373926">
        <w:t xml:space="preserve">An ‘Active Herbal Extract’ is an herbal extract or concentrate for which a supplier intends specific commercial in confidence information on the extraction method, steps and/or solvent details, to remain confidential from sponsors who include the extract as an active ingredient in a therapeutic product. The formulation may contain only one active herbal ingredient, but may also contain </w:t>
      </w:r>
      <w:proofErr w:type="spellStart"/>
      <w:r w:rsidRPr="00373926">
        <w:t>excipient</w:t>
      </w:r>
      <w:proofErr w:type="spellEnd"/>
      <w:r w:rsidRPr="00373926">
        <w:t>/s. The herbal ingredient and manufacturing process must comply with the definition of an herbal substance (as defined in Regulation 2 of the Regulations).</w:t>
      </w:r>
    </w:p>
    <w:tbl>
      <w:tblPr>
        <w:tblW w:w="9038" w:type="dxa"/>
        <w:tblLayout w:type="fixed"/>
        <w:tblCellMar>
          <w:left w:w="0" w:type="dxa"/>
          <w:right w:w="0" w:type="dxa"/>
        </w:tblCellMar>
        <w:tblLook w:val="04A0"/>
      </w:tblPr>
      <w:tblGrid>
        <w:gridCol w:w="1276"/>
        <w:gridCol w:w="7762"/>
      </w:tblGrid>
      <w:tr w:rsidR="00373926" w:rsidRPr="001525B4" w:rsidTr="001A41DA">
        <w:trPr>
          <w:trHeight w:val="1206"/>
        </w:trPr>
        <w:tc>
          <w:tcPr>
            <w:tcW w:w="1276" w:type="dxa"/>
            <w:vAlign w:val="center"/>
          </w:tcPr>
          <w:p w:rsidR="00373926" w:rsidRPr="001525B4" w:rsidRDefault="00373926" w:rsidP="001A41DA">
            <w:pPr>
              <w:spacing w:before="0"/>
              <w:rPr>
                <w:sz w:val="20"/>
              </w:rPr>
            </w:pPr>
            <w:r w:rsidRPr="001525B4">
              <w:rPr>
                <w:noProof/>
                <w:sz w:val="20"/>
                <w:lang w:eastAsia="en-AU"/>
              </w:rPr>
              <w:lastRenderedPageBreak/>
              <w:drawing>
                <wp:inline distT="0" distB="0" distL="0" distR="0">
                  <wp:extent cx="487681" cy="487681"/>
                  <wp:effectExtent l="19050" t="0" r="7619" b="0"/>
                  <wp:docPr id="12" name="Picture 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373926" w:rsidRDefault="00373926" w:rsidP="00373926">
            <w:r>
              <w:t xml:space="preserve">It is the responsibility of the supplier of the Active Herbal Extract to </w:t>
            </w:r>
          </w:p>
          <w:p w:rsidR="00373926" w:rsidRDefault="00373926" w:rsidP="00373926">
            <w:pPr>
              <w:pStyle w:val="ListBullet"/>
            </w:pPr>
            <w:r>
              <w:t>provide complete and accurate formulation details for their Active Herbal Extract; and</w:t>
            </w:r>
          </w:p>
          <w:p w:rsidR="00373926" w:rsidRPr="001525B4" w:rsidRDefault="00373926" w:rsidP="00373926">
            <w:pPr>
              <w:pStyle w:val="ListBullet"/>
            </w:pPr>
            <w:r>
              <w:t>advise the TGA, and sponsor(s) using their Active Herbal Extract, of any change in formulation, Active Herbal Extract name, supplier or supplier details.</w:t>
            </w:r>
          </w:p>
        </w:tc>
      </w:tr>
    </w:tbl>
    <w:p w:rsidR="00283281" w:rsidRDefault="00283281" w:rsidP="00373926"/>
    <w:tbl>
      <w:tblPr>
        <w:tblW w:w="9038" w:type="dxa"/>
        <w:tblLayout w:type="fixed"/>
        <w:tblCellMar>
          <w:left w:w="0" w:type="dxa"/>
          <w:right w:w="0" w:type="dxa"/>
        </w:tblCellMar>
        <w:tblLook w:val="04A0"/>
      </w:tblPr>
      <w:tblGrid>
        <w:gridCol w:w="1276"/>
        <w:gridCol w:w="7762"/>
      </w:tblGrid>
      <w:tr w:rsidR="00283281" w:rsidRPr="001525B4" w:rsidTr="00283281">
        <w:trPr>
          <w:trHeight w:val="1206"/>
        </w:trPr>
        <w:tc>
          <w:tcPr>
            <w:tcW w:w="1276" w:type="dxa"/>
            <w:vAlign w:val="center"/>
          </w:tcPr>
          <w:p w:rsidR="00283281" w:rsidRPr="001525B4" w:rsidRDefault="00283281" w:rsidP="00283281">
            <w:pPr>
              <w:rPr>
                <w:noProof/>
                <w:sz w:val="20"/>
                <w:lang w:eastAsia="en-AU"/>
              </w:rPr>
            </w:pPr>
            <w:r w:rsidRPr="001525B4">
              <w:rPr>
                <w:noProof/>
                <w:sz w:val="20"/>
                <w:lang w:eastAsia="en-AU"/>
              </w:rPr>
              <w:drawing>
                <wp:inline distT="0" distB="0" distL="0" distR="0">
                  <wp:extent cx="487681" cy="487681"/>
                  <wp:effectExtent l="19050" t="0" r="7619" b="0"/>
                  <wp:docPr id="19" name="Picture 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283281" w:rsidRPr="001525B4" w:rsidRDefault="00283281" w:rsidP="00283281">
            <w:r w:rsidRPr="00373926">
              <w:t>It is the sponsor’s responsibility to ensure that the ARTG entry for their product displays correct Active Herbal Extract details.</w:t>
            </w:r>
          </w:p>
        </w:tc>
      </w:tr>
    </w:tbl>
    <w:p w:rsidR="00373926" w:rsidRDefault="00373926" w:rsidP="00373926">
      <w:r>
        <w:t xml:space="preserve">Refer to the </w:t>
      </w:r>
      <w:r w:rsidRPr="00621EBE">
        <w:t>TGA website</w:t>
      </w:r>
      <w:r>
        <w:t xml:space="preserve"> for the </w:t>
      </w:r>
      <w:hyperlink r:id="rId41" w:history="1">
        <w:r w:rsidRPr="00621EBE">
          <w:rPr>
            <w:rStyle w:val="Hyperlink"/>
          </w:rPr>
          <w:t>form to apply for a new Active Herbal Extract</w:t>
        </w:r>
      </w:hyperlink>
      <w:r>
        <w:t>.</w:t>
      </w:r>
    </w:p>
    <w:p w:rsidR="00373926" w:rsidRDefault="00373926" w:rsidP="00373926">
      <w:pPr>
        <w:pStyle w:val="Heading4"/>
      </w:pPr>
      <w:bookmarkStart w:id="21" w:name="_Toc337635101"/>
      <w:r>
        <w:t>Composite packs and kits</w:t>
      </w:r>
      <w:bookmarkEnd w:id="21"/>
    </w:p>
    <w:p w:rsidR="00373926" w:rsidRDefault="00373926" w:rsidP="00373926">
      <w:r>
        <w:t>Some medicines are presented grouped together in a kit or composite pack. The definitions of these as per 7B of the Act are provided below:</w:t>
      </w:r>
    </w:p>
    <w:p w:rsidR="00373926" w:rsidRPr="00E7565E" w:rsidRDefault="00373926" w:rsidP="00752497">
      <w:pPr>
        <w:ind w:left="720"/>
        <w:rPr>
          <w:i/>
        </w:rPr>
      </w:pPr>
      <w:r w:rsidRPr="00E7565E">
        <w:rPr>
          <w:i/>
        </w:rPr>
        <w:t>(1) A package and therapeutic goods in the package together constitute a kit for the purposes of this Act if:</w:t>
      </w:r>
    </w:p>
    <w:p w:rsidR="00373926" w:rsidRPr="00E7565E" w:rsidRDefault="00373926" w:rsidP="00621EBE">
      <w:pPr>
        <w:ind w:left="993"/>
        <w:rPr>
          <w:i/>
        </w:rPr>
      </w:pPr>
      <w:r w:rsidRPr="00E7565E">
        <w:rPr>
          <w:i/>
        </w:rPr>
        <w:t>(a) the package and the therapeutic goods are for use as a unit; and</w:t>
      </w:r>
    </w:p>
    <w:p w:rsidR="00373926" w:rsidRPr="00E7565E" w:rsidRDefault="00373926" w:rsidP="00621EBE">
      <w:pPr>
        <w:ind w:left="993"/>
        <w:rPr>
          <w:i/>
        </w:rPr>
      </w:pPr>
      <w:r w:rsidRPr="00E7565E">
        <w:rPr>
          <w:i/>
        </w:rPr>
        <w:t>(b)each item of the therapeutic go</w:t>
      </w:r>
      <w:r>
        <w:rPr>
          <w:i/>
        </w:rPr>
        <w:t xml:space="preserve">ods consists of goods that are </w:t>
      </w:r>
      <w:r w:rsidRPr="00E7565E">
        <w:rPr>
          <w:i/>
        </w:rPr>
        <w:t>registered or listed, are exempt good</w:t>
      </w:r>
      <w:r>
        <w:rPr>
          <w:i/>
        </w:rPr>
        <w:t>s in relation to Part 3</w:t>
      </w:r>
      <w:r>
        <w:rPr>
          <w:i/>
        </w:rPr>
        <w:noBreakHyphen/>
        <w:t xml:space="preserve">2, are </w:t>
      </w:r>
      <w:r w:rsidRPr="00E7565E">
        <w:rPr>
          <w:i/>
        </w:rPr>
        <w:t>included in the Register under</w:t>
      </w:r>
      <w:r>
        <w:rPr>
          <w:i/>
        </w:rPr>
        <w:t xml:space="preserve"> Part 3</w:t>
      </w:r>
      <w:r>
        <w:rPr>
          <w:i/>
        </w:rPr>
        <w:noBreakHyphen/>
        <w:t xml:space="preserve">2A or are exempt under </w:t>
      </w:r>
      <w:r w:rsidRPr="00E7565E">
        <w:rPr>
          <w:i/>
        </w:rPr>
        <w:t xml:space="preserve">subsection 32CA(2) or section 32CB; </w:t>
      </w:r>
      <w:r w:rsidRPr="00E7565E">
        <w:rPr>
          <w:i/>
        </w:rPr>
        <w:tab/>
        <w:t>and</w:t>
      </w:r>
    </w:p>
    <w:p w:rsidR="00373926" w:rsidRPr="00E7565E" w:rsidRDefault="00373926" w:rsidP="00621EBE">
      <w:pPr>
        <w:ind w:left="993"/>
        <w:rPr>
          <w:i/>
        </w:rPr>
      </w:pPr>
      <w:r w:rsidRPr="00E7565E">
        <w:rPr>
          <w:i/>
        </w:rPr>
        <w:t xml:space="preserve">(c)the package and therapeutic goods do not constitute a composite </w:t>
      </w:r>
      <w:r w:rsidRPr="00E7565E">
        <w:rPr>
          <w:i/>
        </w:rPr>
        <w:tab/>
        <w:t>pack or a system or procedure pack.</w:t>
      </w:r>
    </w:p>
    <w:p w:rsidR="00373926" w:rsidRPr="00E7565E" w:rsidRDefault="00373926" w:rsidP="00373926">
      <w:pPr>
        <w:ind w:left="720"/>
        <w:rPr>
          <w:i/>
        </w:rPr>
      </w:pPr>
      <w:r w:rsidRPr="00E7565E">
        <w:rPr>
          <w:i/>
        </w:rPr>
        <w:t>(2) A package and therapeutic goods in the package together constitute a composite pack if:</w:t>
      </w:r>
    </w:p>
    <w:p w:rsidR="00373926" w:rsidRPr="00E7565E" w:rsidRDefault="00373926" w:rsidP="00621EBE">
      <w:pPr>
        <w:ind w:left="993"/>
        <w:rPr>
          <w:i/>
        </w:rPr>
      </w:pPr>
      <w:r w:rsidRPr="00E7565E">
        <w:rPr>
          <w:i/>
        </w:rPr>
        <w:t>(a) the therapeutic goods are of 2 or more kinds; and</w:t>
      </w:r>
    </w:p>
    <w:p w:rsidR="00373926" w:rsidRPr="00E7565E" w:rsidRDefault="00373926" w:rsidP="00621EBE">
      <w:pPr>
        <w:ind w:left="993"/>
        <w:rPr>
          <w:i/>
        </w:rPr>
      </w:pPr>
      <w:r w:rsidRPr="00E7565E">
        <w:rPr>
          <w:i/>
        </w:rPr>
        <w:t xml:space="preserve">(b) the package does not contain any </w:t>
      </w:r>
      <w:r w:rsidR="00621EBE">
        <w:rPr>
          <w:i/>
        </w:rPr>
        <w:t xml:space="preserve">medical devices or therapeutic </w:t>
      </w:r>
      <w:r w:rsidRPr="00E7565E">
        <w:rPr>
          <w:i/>
        </w:rPr>
        <w:t>devices; and</w:t>
      </w:r>
    </w:p>
    <w:p w:rsidR="00373926" w:rsidRPr="00E7565E" w:rsidRDefault="00373926" w:rsidP="00621EBE">
      <w:pPr>
        <w:ind w:left="993"/>
        <w:rPr>
          <w:i/>
        </w:rPr>
      </w:pPr>
      <w:r w:rsidRPr="00E7565E">
        <w:rPr>
          <w:i/>
        </w:rPr>
        <w:t>(c)</w:t>
      </w:r>
      <w:r>
        <w:rPr>
          <w:i/>
        </w:rPr>
        <w:t xml:space="preserve"> </w:t>
      </w:r>
      <w:r w:rsidRPr="00E7565E">
        <w:rPr>
          <w:i/>
        </w:rPr>
        <w:t>the therapeutic goods are for administr</w:t>
      </w:r>
      <w:r>
        <w:rPr>
          <w:i/>
        </w:rPr>
        <w:t xml:space="preserve">ation as a single treatment or </w:t>
      </w:r>
      <w:r w:rsidRPr="00E7565E">
        <w:rPr>
          <w:i/>
        </w:rPr>
        <w:t>as a single course of treatment; and</w:t>
      </w:r>
    </w:p>
    <w:p w:rsidR="00373926" w:rsidRPr="00E7565E" w:rsidRDefault="00373926" w:rsidP="00621EBE">
      <w:pPr>
        <w:ind w:left="993"/>
        <w:rPr>
          <w:i/>
        </w:rPr>
      </w:pPr>
      <w:r w:rsidRPr="00E7565E">
        <w:rPr>
          <w:i/>
        </w:rPr>
        <w:t>(d) it is necessary that the therap</w:t>
      </w:r>
      <w:r>
        <w:rPr>
          <w:i/>
        </w:rPr>
        <w:t xml:space="preserve">eutic goods be combined before </w:t>
      </w:r>
      <w:r w:rsidRPr="00E7565E">
        <w:rPr>
          <w:i/>
        </w:rPr>
        <w:t>administration or that they be administered in a particular sequence.</w:t>
      </w:r>
    </w:p>
    <w:p w:rsidR="00373926" w:rsidRPr="00292F1E" w:rsidRDefault="00373926" w:rsidP="00373926">
      <w:pPr>
        <w:ind w:left="720"/>
      </w:pPr>
      <w:r>
        <w:rPr>
          <w:i/>
        </w:rPr>
        <w:t xml:space="preserve">(3) </w:t>
      </w:r>
      <w:r w:rsidRPr="00E7565E">
        <w:rPr>
          <w:i/>
        </w:rPr>
        <w:t>To avoid doubt, it is declared that a kit constitutes therapeutic goods.</w:t>
      </w:r>
    </w:p>
    <w:p w:rsidR="00373926" w:rsidRDefault="00373926" w:rsidP="00373926">
      <w:pPr>
        <w:tabs>
          <w:tab w:val="left" w:pos="900"/>
        </w:tabs>
      </w:pPr>
      <w:r>
        <w:t xml:space="preserve">Kits are where two or more (listed or registered) therapeutic goods are supplied in a single packaged product, but the individual items are separate and do not need to be combined or administered in a sequence for the product’s therapeutic purpose e.g. a sunscreen lotion and lip balm (containing a sunscreen) presented in a single package. </w:t>
      </w:r>
    </w:p>
    <w:p w:rsidR="00373926" w:rsidRDefault="00373926" w:rsidP="00373926">
      <w:pPr>
        <w:tabs>
          <w:tab w:val="left" w:pos="900"/>
        </w:tabs>
      </w:pPr>
      <w:r>
        <w:lastRenderedPageBreak/>
        <w:t>Individual therapeutic goods in a kit must be listed (or registered) on the ARTG separately and the packaged kit must also be listed on the ARTG. Kits are all listed and thus not evaluated. As the components of a kit are already on the ARTG with a separate AUST L or AUST R, they are regulated individually. As AUST R medicines have already been evaluated, there is no need to evaluate a kit containing an AUST R medicine.</w:t>
      </w:r>
    </w:p>
    <w:p w:rsidR="00373926" w:rsidRDefault="00373926" w:rsidP="00373926">
      <w:pPr>
        <w:tabs>
          <w:tab w:val="left" w:pos="900"/>
        </w:tabs>
      </w:pPr>
      <w:r>
        <w:t xml:space="preserve">Where a kit contains a device and a medicine (e.g. hair lice kits with a comb) it is regulated as a device. </w:t>
      </w:r>
    </w:p>
    <w:p w:rsidR="00373926" w:rsidRDefault="00373926" w:rsidP="00373926">
      <w:pPr>
        <w:tabs>
          <w:tab w:val="left" w:pos="900"/>
        </w:tabs>
      </w:pPr>
      <w:r>
        <w:t>In a composite pack it is necessary for the therapeutic goods to be combined or used in a particular sequence for the product’s therapeutic purpose. An example of this sort of product is the oral contraceptive, which consists of active tablets and inert tablets that are required to be taken in a particular order. A composite pack is required to be listed (or registered) on the ARTG, but the individual components do not require individual listing or (registering) on the ARTG. The primary pack must comply with all of the labelling requirements for containers / primary packs under TGO 69.</w:t>
      </w:r>
    </w:p>
    <w:p w:rsidR="00373926" w:rsidRDefault="00373926" w:rsidP="00373926">
      <w:pPr>
        <w:pStyle w:val="Heading4"/>
      </w:pPr>
      <w:bookmarkStart w:id="22" w:name="_Toc337635102"/>
      <w:r w:rsidRPr="00373926">
        <w:t>Medicine presentation/ medicine labels/advertising</w:t>
      </w:r>
      <w:bookmarkEnd w:id="22"/>
    </w:p>
    <w:p w:rsidR="0085447C" w:rsidRDefault="0085447C" w:rsidP="00373926">
      <w:pPr>
        <w:tabs>
          <w:tab w:val="left" w:pos="900"/>
        </w:tabs>
      </w:pPr>
      <w:r w:rsidRPr="0085447C">
        <w:t xml:space="preserve">Section 3(1) of the Act provides the following definition of the presentation of a therapeutic good </w:t>
      </w:r>
    </w:p>
    <w:p w:rsidR="00373926" w:rsidRDefault="00373926" w:rsidP="00752497">
      <w:pPr>
        <w:tabs>
          <w:tab w:val="left" w:pos="900"/>
        </w:tabs>
        <w:ind w:left="720"/>
      </w:pPr>
      <w:r>
        <w:t>‘</w:t>
      </w:r>
      <w:r w:rsidRPr="0085447C">
        <w:rPr>
          <w:b/>
          <w:i/>
        </w:rPr>
        <w:t>Presentation</w:t>
      </w:r>
      <w:r w:rsidRPr="0085447C">
        <w:rPr>
          <w:i/>
        </w:rPr>
        <w:t>' in relation to therapeutic goods, means the way in which the goods are presented for supply, and includes matters relating to the name of the goods, the labelling and packaging of the goods and any advertising or other informational material associated with the goods</w:t>
      </w:r>
    </w:p>
    <w:p w:rsidR="0085447C" w:rsidRDefault="0085447C" w:rsidP="0085447C">
      <w:pPr>
        <w:tabs>
          <w:tab w:val="left" w:pos="900"/>
        </w:tabs>
      </w:pPr>
      <w:r>
        <w:t>S</w:t>
      </w:r>
      <w:r w:rsidRPr="0085447C">
        <w:t>ection 3(5) of the Act and 3(A) of the Regulations state when the presentation of a good is considered unacceptable.</w:t>
      </w:r>
    </w:p>
    <w:p w:rsidR="00373926" w:rsidRDefault="00373926" w:rsidP="00283281">
      <w:pPr>
        <w:tabs>
          <w:tab w:val="left" w:pos="900"/>
        </w:tabs>
        <w:ind w:left="720"/>
      </w:pPr>
      <w:r>
        <w:t>Section 3(5) of the Act</w:t>
      </w:r>
    </w:p>
    <w:p w:rsidR="00373926" w:rsidRPr="00777250" w:rsidRDefault="00373926" w:rsidP="00373926">
      <w:pPr>
        <w:tabs>
          <w:tab w:val="left" w:pos="900"/>
        </w:tabs>
        <w:ind w:left="720"/>
        <w:rPr>
          <w:i/>
        </w:rPr>
      </w:pPr>
      <w:r w:rsidRPr="00777250">
        <w:rPr>
          <w:i/>
        </w:rPr>
        <w:t>For the purposes of this Act, the presentation of therapeutic goods is unacceptable if it is capable of being misleading or confusing as to the content or proper use or identification of the goods and, without limiting the previous words in this subsection, the presentation of therapeutic goods is unacceptable:</w:t>
      </w:r>
    </w:p>
    <w:p w:rsidR="00373926" w:rsidRPr="00777250" w:rsidRDefault="00373926" w:rsidP="00373926">
      <w:pPr>
        <w:tabs>
          <w:tab w:val="left" w:pos="900"/>
        </w:tabs>
        <w:ind w:left="720"/>
        <w:rPr>
          <w:i/>
        </w:rPr>
      </w:pPr>
      <w:r w:rsidRPr="00777250">
        <w:rPr>
          <w:i/>
        </w:rPr>
        <w:t xml:space="preserve">a) if it states or suggests that the goods have ingredients, components or characteristics that they do not have; or </w:t>
      </w:r>
    </w:p>
    <w:p w:rsidR="00373926" w:rsidRPr="00777250" w:rsidRDefault="00373926" w:rsidP="00373926">
      <w:pPr>
        <w:tabs>
          <w:tab w:val="left" w:pos="900"/>
        </w:tabs>
        <w:ind w:left="720"/>
        <w:rPr>
          <w:i/>
        </w:rPr>
      </w:pPr>
      <w:r w:rsidRPr="00777250">
        <w:rPr>
          <w:i/>
        </w:rPr>
        <w:t xml:space="preserve">b) if a name applied to the goods is the same as the name applied to other therapeutic goods that are supplied in Australia where those other goods contain additional or different therapeutically active ingredients; or </w:t>
      </w:r>
    </w:p>
    <w:p w:rsidR="00373926" w:rsidRPr="00777250" w:rsidRDefault="00373926" w:rsidP="00373926">
      <w:pPr>
        <w:tabs>
          <w:tab w:val="left" w:pos="900"/>
        </w:tabs>
        <w:ind w:left="720"/>
        <w:rPr>
          <w:i/>
        </w:rPr>
      </w:pPr>
      <w:r w:rsidRPr="00777250">
        <w:rPr>
          <w:i/>
        </w:rPr>
        <w:t xml:space="preserve">c) if the label of the goods does not declare the presence of a therapeutically active ingredient; or (ca) if the therapeutic goods are medicine included in a class of medicine prescribed by the regulations for the purposes of this paragraph—if the medicine’s label does not contain the advisory statements specified under subsection (5A) in relation to the medicine; or </w:t>
      </w:r>
    </w:p>
    <w:p w:rsidR="00373926" w:rsidRPr="00777250" w:rsidRDefault="00373926" w:rsidP="00373926">
      <w:pPr>
        <w:tabs>
          <w:tab w:val="left" w:pos="900"/>
        </w:tabs>
        <w:ind w:left="720"/>
        <w:rPr>
          <w:i/>
        </w:rPr>
      </w:pPr>
      <w:r w:rsidRPr="00777250">
        <w:rPr>
          <w:i/>
        </w:rPr>
        <w:t xml:space="preserve">d)  if a form of presentation of the goods may lead to unsafe use of the goods or suggests a purpose that is not in accordance with conditions applicable to the supply of the goods in Australia; or </w:t>
      </w:r>
    </w:p>
    <w:p w:rsidR="00373926" w:rsidRPr="00777250" w:rsidRDefault="00373926" w:rsidP="00373926">
      <w:pPr>
        <w:tabs>
          <w:tab w:val="left" w:pos="900"/>
        </w:tabs>
        <w:ind w:left="720"/>
        <w:rPr>
          <w:i/>
        </w:rPr>
      </w:pPr>
      <w:r w:rsidRPr="00777250">
        <w:rPr>
          <w:i/>
        </w:rPr>
        <w:t>e) in prescribed cases.</w:t>
      </w:r>
    </w:p>
    <w:p w:rsidR="00373926" w:rsidRDefault="00373926" w:rsidP="00373926">
      <w:pPr>
        <w:tabs>
          <w:tab w:val="left" w:pos="900"/>
        </w:tabs>
        <w:ind w:left="720"/>
      </w:pPr>
      <w:r>
        <w:t>Regulation 3A of the Regulations: Unacceptable presentations</w:t>
      </w:r>
    </w:p>
    <w:p w:rsidR="00373926" w:rsidRPr="00777250" w:rsidRDefault="00373926" w:rsidP="00373926">
      <w:pPr>
        <w:tabs>
          <w:tab w:val="left" w:pos="900"/>
        </w:tabs>
        <w:ind w:left="720"/>
        <w:rPr>
          <w:i/>
        </w:rPr>
      </w:pPr>
      <w:r w:rsidRPr="00777250">
        <w:rPr>
          <w:i/>
        </w:rPr>
        <w:lastRenderedPageBreak/>
        <w:t>(1) For paragraph 3 (5) (e) of the Act, any labelling, packaging or presentation of therapeutic goods (including novelty dosage forms in the shape of animals, robots, cartoon characters or other similar objects) that is likely to result in those goods being mistaken for or confused with confectionery or toys is an unacceptable presentation of the goods.</w:t>
      </w:r>
    </w:p>
    <w:p w:rsidR="00373926" w:rsidRPr="00777250" w:rsidRDefault="00373926" w:rsidP="00373926">
      <w:pPr>
        <w:tabs>
          <w:tab w:val="left" w:pos="900"/>
        </w:tabs>
        <w:ind w:left="720"/>
        <w:rPr>
          <w:i/>
        </w:rPr>
      </w:pPr>
      <w:r w:rsidRPr="00777250">
        <w:rPr>
          <w:i/>
        </w:rPr>
        <w:t>(2) For paragraph 3 (5) (e) of the Act, the presentation of therapeutic goods is unacceptable if the name applied to the goods is not sufficiently distinctive to allow for the identification of the goods for the purposes of recovery.</w:t>
      </w:r>
    </w:p>
    <w:p w:rsidR="00373926" w:rsidRDefault="00373926" w:rsidP="00373926">
      <w:pPr>
        <w:tabs>
          <w:tab w:val="left" w:pos="900"/>
        </w:tabs>
      </w:pPr>
      <w:r>
        <w:t>Sponsors should be aware that the overall ‘presentation’ of a medicine includes such things as (but is not limited to): medicine name, medicine label, packaging, promotional/advertising material, graphics, dosage form and indications.</w:t>
      </w:r>
    </w:p>
    <w:p w:rsidR="00373926" w:rsidRDefault="00373926" w:rsidP="00373926">
      <w:pPr>
        <w:tabs>
          <w:tab w:val="left" w:pos="900"/>
        </w:tabs>
      </w:pPr>
      <w:r>
        <w:t>For more details on label requirements refer to TGO 69.</w:t>
      </w:r>
    </w:p>
    <w:p w:rsidR="00373926" w:rsidRDefault="00373926" w:rsidP="00373926">
      <w:pPr>
        <w:tabs>
          <w:tab w:val="left" w:pos="900"/>
        </w:tabs>
      </w:pPr>
      <w:r>
        <w:t xml:space="preserve">Sponsors of therapeutic goods must ensure that the marketing and advertising of therapeutic goods to consumers is conducted in a manner that promotes the quality use of therapeutic goods and does not mislead or deceive the consumer. The advertising of therapeutic goods in Australia to consumers and health practitioners is controlled by a combination of statutory measures administered by the TGA and self-regulation through Codes of Practice administered by the relevant therapeutic goods industry associations. Advertisements for therapeutic goods are subject to the requirements of the Act and the Regulations, the </w:t>
      </w:r>
      <w:r w:rsidRPr="00777250">
        <w:rPr>
          <w:i/>
        </w:rPr>
        <w:t>Competition and Consumer Act 2010</w:t>
      </w:r>
      <w:r>
        <w:t xml:space="preserve"> and other relevant laws. Advertisements for therapeutic goods directed to consumers must also comply with the TGAC.</w:t>
      </w:r>
    </w:p>
    <w:p w:rsidR="00373926" w:rsidRDefault="00373926" w:rsidP="00373926">
      <w:pPr>
        <w:tabs>
          <w:tab w:val="left" w:pos="900"/>
        </w:tabs>
      </w:pPr>
      <w:r>
        <w:t xml:space="preserve">Further information on Australia's co-regulatory system of advertising for therapeutic goods, including details of the </w:t>
      </w:r>
      <w:hyperlink r:id="rId42" w:history="1">
        <w:r w:rsidRPr="00621EBE">
          <w:rPr>
            <w:rStyle w:val="Hyperlink"/>
          </w:rPr>
          <w:t>Therapeutic Goods Advertising Code Council</w:t>
        </w:r>
      </w:hyperlink>
      <w:r>
        <w:t xml:space="preserve"> (TGACC), the </w:t>
      </w:r>
      <w:hyperlink r:id="rId43" w:history="1">
        <w:r w:rsidRPr="00777250">
          <w:rPr>
            <w:rStyle w:val="Hyperlink"/>
          </w:rPr>
          <w:t>Complaints Resolution Panel</w:t>
        </w:r>
      </w:hyperlink>
      <w:r>
        <w:t xml:space="preserve"> and the Complaints Register, may be obtained from the TGACC Internet site</w:t>
      </w:r>
      <w:r w:rsidR="00621EBE">
        <w:t>.</w:t>
      </w:r>
    </w:p>
    <w:p w:rsidR="00373926" w:rsidRDefault="00373926" w:rsidP="00373926">
      <w:pPr>
        <w:pStyle w:val="Heading4"/>
      </w:pPr>
      <w:bookmarkStart w:id="23" w:name="_Toc337635103"/>
      <w:r w:rsidRPr="00373926">
        <w:t>Exempt/excluded goods</w:t>
      </w:r>
      <w:bookmarkEnd w:id="23"/>
    </w:p>
    <w:p w:rsidR="00373926" w:rsidRPr="00292F1E" w:rsidRDefault="00373926" w:rsidP="00373926">
      <w:r w:rsidRPr="00292F1E">
        <w:t xml:space="preserve">All medicines manufactured for supply in Australia must be listed or registered </w:t>
      </w:r>
      <w:r>
        <w:t>on the ARTG</w:t>
      </w:r>
      <w:r w:rsidRPr="00292F1E">
        <w:t xml:space="preserve"> unless they a</w:t>
      </w:r>
      <w:r>
        <w:t xml:space="preserve">re exempt or excluded under </w:t>
      </w:r>
      <w:r w:rsidRPr="00292F1E">
        <w:t>the Act.</w:t>
      </w:r>
    </w:p>
    <w:p w:rsidR="00373926" w:rsidRDefault="00373926" w:rsidP="00372CF9">
      <w:pPr>
        <w:pStyle w:val="Heading5"/>
      </w:pPr>
      <w:r w:rsidRPr="00373926">
        <w:t>Excluded goods</w:t>
      </w:r>
    </w:p>
    <w:p w:rsidR="00373926" w:rsidRDefault="00373926" w:rsidP="00373926">
      <w:r>
        <w:t xml:space="preserve">Some products are unintentionally covered by the definition of a ‘therapeutic good’. Section 7 of the Act excludes specific products from all requirements of the Act. A consolidated list of excluded goods is provided in </w:t>
      </w:r>
      <w:hyperlink r:id="rId44" w:history="1">
        <w:r w:rsidRPr="00777250">
          <w:rPr>
            <w:rStyle w:val="Hyperlink"/>
          </w:rPr>
          <w:t>Therapeutic Goods (Excluded Goods) Order No. 1 of 2011</w:t>
        </w:r>
      </w:hyperlink>
      <w:r>
        <w:t>.</w:t>
      </w:r>
    </w:p>
    <w:p w:rsidR="00373926" w:rsidRDefault="00373926" w:rsidP="00373926">
      <w:r>
        <w:t>Most cosmetic products are classified as excluded goods, unless they make particular therapeutic indications. For example, anti-acne skin care products (including spot treatments, cleansers, face scrubs and masks) are excluded goods, provided they are presented as controlling or preventing acne only through cleansing, moisturizing, exfoliating or drying the skin.</w:t>
      </w:r>
    </w:p>
    <w:p w:rsidR="00752497" w:rsidRDefault="007E11E5">
      <w:pPr>
        <w:pStyle w:val="Heading5"/>
        <w:keepNext w:val="0"/>
        <w:keepLines w:val="0"/>
      </w:pPr>
      <w:r>
        <w:t>Exempt goods</w:t>
      </w:r>
    </w:p>
    <w:p w:rsidR="00752497" w:rsidRDefault="007E11E5">
      <w:r>
        <w:t xml:space="preserve">Some medicines do not need to be registered or listed on the ARTG as a result of a specific exemption or determination under the Act. Section 18 of the Act and Schedules 5 and 5A of the Regulations indicate the goods that are exempt from the need to be included on the ARTG. These include, for example, medicines (other than those used for gene therapy) that are dispensed or extemporaneously compounded for a particular person for therapeutic </w:t>
      </w:r>
      <w:r>
        <w:lastRenderedPageBreak/>
        <w:t>application to that person; certain homoeopathic preparations; and certain shampoos for the treatment / prevention of dandruff. While exempt from inclusion on the ARTG, it is important to note that all other applicable requirements under the Act and the Regulations (e.g. default standards, TGOs and the TGAC) must be complied with.</w:t>
      </w:r>
    </w:p>
    <w:p w:rsidR="00373926" w:rsidRDefault="007E11E5" w:rsidP="007E11E5">
      <w:r>
        <w:t>Some medicines or persons are exempt from the manufacturing requirements set out in Part 3-3 of the Act. The criteria for these exemptions are indicated in Section 34 of the Act, together with Schedule 7 (exempt medicines) and Schedule 8 (exempt persons) of the Regulations.</w:t>
      </w:r>
    </w:p>
    <w:p w:rsidR="007E11E5" w:rsidRDefault="007E11E5" w:rsidP="007E11E5">
      <w:pPr>
        <w:pStyle w:val="Heading4"/>
      </w:pPr>
      <w:bookmarkStart w:id="24" w:name="_Toc337635104"/>
      <w:r>
        <w:t>Interface issues</w:t>
      </w:r>
      <w:bookmarkEnd w:id="24"/>
    </w:p>
    <w:p w:rsidR="007E11E5" w:rsidRDefault="007E11E5" w:rsidP="007E11E5">
      <w:r>
        <w:t xml:space="preserve">If the product is not excluded from being a therapeutic good under the Act or the Excluded Goods Order (see below) the purpose of the product supplied determines which agency regulates it. That is, if the product is a food (which makes only nutritional claims), then the product is regulated by the </w:t>
      </w:r>
      <w:hyperlink r:id="rId45" w:history="1">
        <w:r w:rsidRPr="00777250">
          <w:rPr>
            <w:rStyle w:val="Hyperlink"/>
          </w:rPr>
          <w:t>Food Standards Australian New Zealand</w:t>
        </w:r>
      </w:hyperlink>
      <w:r>
        <w:t xml:space="preserve"> (FSANZ). If the products is a cosmetic (making only cosmetic claims) this is regulated by the (NICNAS). If a product makes therapeutic indications, then it would be classified as a medicine and is regulated by the TGA. </w:t>
      </w:r>
    </w:p>
    <w:p w:rsidR="007E11E5" w:rsidRDefault="007E11E5" w:rsidP="007E11E5">
      <w:r>
        <w:t>It is recognised that there can be a legislative ‘interface’, or overlap, between foods, medicines, devices and cosmetics.</w:t>
      </w:r>
    </w:p>
    <w:p w:rsidR="007E11E5" w:rsidRDefault="007E11E5" w:rsidP="00372CF9">
      <w:pPr>
        <w:pStyle w:val="Heading5"/>
      </w:pPr>
      <w:r>
        <w:t>Medicine/device interface</w:t>
      </w:r>
    </w:p>
    <w:p w:rsidR="007E11E5" w:rsidRDefault="007E11E5" w:rsidP="007E11E5">
      <w:r>
        <w:t xml:space="preserve">A ‘medical device’ is defined in Section 41BD of the </w:t>
      </w:r>
      <w:r w:rsidRPr="00613B97">
        <w:rPr>
          <w:i/>
        </w:rPr>
        <w:t>Therapeutic Goods Act 1989</w:t>
      </w:r>
      <w:r>
        <w:t xml:space="preserve"> (the Act) The </w:t>
      </w:r>
      <w:hyperlink r:id="rId46" w:history="1">
        <w:r w:rsidRPr="00777250">
          <w:rPr>
            <w:rStyle w:val="Hyperlink"/>
          </w:rPr>
          <w:t>ARGMD</w:t>
        </w:r>
      </w:hyperlink>
      <w:r>
        <w:t xml:space="preserve"> provides information on the regulatory system for medical devices.</w:t>
      </w:r>
    </w:p>
    <w:p w:rsidR="007E11E5" w:rsidRDefault="007E11E5" w:rsidP="007E11E5">
      <w:r>
        <w:t xml:space="preserve">The </w:t>
      </w:r>
      <w:hyperlink r:id="rId47" w:history="1">
        <w:r w:rsidRPr="00777250">
          <w:rPr>
            <w:rStyle w:val="Hyperlink"/>
          </w:rPr>
          <w:t>Medical Devices Guideline No 35 – Device-medicine boundary products</w:t>
        </w:r>
      </w:hyperlink>
      <w:r>
        <w:t xml:space="preserve"> assists sponsors in determining the status of therapeutic goods that are not readily identified as medicines or devices e.g. a medicine impregnated dressing or barrier </w:t>
      </w:r>
      <w:proofErr w:type="spellStart"/>
      <w:r>
        <w:t>protectants</w:t>
      </w:r>
      <w:proofErr w:type="spellEnd"/>
      <w:r>
        <w:t xml:space="preserve">. In developing the list, the status of each product as determined by the USA FDA and European Union was considered with the desire that 'internationally' recognised distinctions be adopted as far as possible. </w:t>
      </w:r>
    </w:p>
    <w:p w:rsidR="007E11E5" w:rsidRDefault="0031131E" w:rsidP="007E11E5">
      <w:hyperlink r:id="rId48" w:history="1">
        <w:r w:rsidR="007E11E5" w:rsidRPr="00777250">
          <w:rPr>
            <w:rStyle w:val="Hyperlink"/>
          </w:rPr>
          <w:t>Therapeutic Goods (Articles that are not Medical Devices) Order No. 1 of 2010</w:t>
        </w:r>
      </w:hyperlink>
      <w:r w:rsidR="007E11E5">
        <w:t xml:space="preserve"> provides a number of articles deemed to not be devices.</w:t>
      </w:r>
    </w:p>
    <w:p w:rsidR="007E11E5" w:rsidRDefault="007E11E5" w:rsidP="00372CF9">
      <w:pPr>
        <w:pStyle w:val="Heading5"/>
      </w:pPr>
      <w:r>
        <w:t>Cosmetic/medicine interface</w:t>
      </w:r>
    </w:p>
    <w:p w:rsidR="00373926" w:rsidRDefault="007E11E5" w:rsidP="007E11E5">
      <w:r>
        <w:t>‘Cosmetic products’, are usually substances or preparations intended for placement in contact with any external part of the human body, including the mucous membrane of the oral cavity, and the teeth, with a view to achieving one or more of the following:</w:t>
      </w:r>
    </w:p>
    <w:p w:rsidR="007E11E5" w:rsidRDefault="007E11E5" w:rsidP="007E11E5">
      <w:pPr>
        <w:pStyle w:val="ListBullet"/>
      </w:pPr>
      <w:r>
        <w:t>altering the odours of the body</w:t>
      </w:r>
    </w:p>
    <w:p w:rsidR="007E11E5" w:rsidRDefault="007E11E5" w:rsidP="007E11E5">
      <w:pPr>
        <w:pStyle w:val="ListBullet"/>
      </w:pPr>
      <w:r>
        <w:t>changing appearance</w:t>
      </w:r>
    </w:p>
    <w:p w:rsidR="007E11E5" w:rsidRDefault="007E11E5" w:rsidP="007E11E5">
      <w:pPr>
        <w:pStyle w:val="ListBullet"/>
      </w:pPr>
      <w:r>
        <w:t xml:space="preserve">cleansing </w:t>
      </w:r>
    </w:p>
    <w:p w:rsidR="007E11E5" w:rsidRDefault="007E11E5" w:rsidP="007E11E5">
      <w:pPr>
        <w:pStyle w:val="ListBullet"/>
      </w:pPr>
      <w:r>
        <w:t>maintaining in good condition</w:t>
      </w:r>
    </w:p>
    <w:p w:rsidR="007E11E5" w:rsidRDefault="007E11E5" w:rsidP="007E11E5">
      <w:pPr>
        <w:pStyle w:val="ListBullet"/>
      </w:pPr>
      <w:r>
        <w:t>perfuming; and/or</w:t>
      </w:r>
    </w:p>
    <w:p w:rsidR="007E11E5" w:rsidRDefault="007E11E5" w:rsidP="007E11E5">
      <w:pPr>
        <w:pStyle w:val="ListBullet"/>
      </w:pPr>
      <w:r>
        <w:t>protecting.</w:t>
      </w:r>
    </w:p>
    <w:p w:rsidR="007E11E5" w:rsidRDefault="007E11E5" w:rsidP="007E11E5">
      <w:r>
        <w:t>Most cosmetic products are excluded from being therapeutic goods and are not regulated by the TGA</w:t>
      </w:r>
      <w:r w:rsidR="009823B9" w:rsidRPr="009823B9">
        <w:t xml:space="preserve"> </w:t>
      </w:r>
      <w:r w:rsidR="009823B9">
        <w:t>(unless they make particular claims)</w:t>
      </w:r>
      <w:r>
        <w:t xml:space="preserve">. </w:t>
      </w:r>
      <w:hyperlink r:id="rId49" w:history="1">
        <w:r w:rsidRPr="00777250">
          <w:rPr>
            <w:rStyle w:val="Hyperlink"/>
          </w:rPr>
          <w:t xml:space="preserve">Therapeutic Goods (Excluded Goods) </w:t>
        </w:r>
        <w:r w:rsidRPr="00777250">
          <w:rPr>
            <w:rStyle w:val="Hyperlink"/>
          </w:rPr>
          <w:lastRenderedPageBreak/>
          <w:t>Order No. 1 of 2011</w:t>
        </w:r>
      </w:hyperlink>
      <w:r>
        <w:t xml:space="preserve"> outlines those goods that are excluded goods for the purposes of the Act.</w:t>
      </w:r>
    </w:p>
    <w:p w:rsidR="007E11E5" w:rsidRDefault="007E11E5" w:rsidP="007E11E5">
      <w:r>
        <w:t xml:space="preserve">The ingredients used in cosmetics are regulated by the (NICNAS) and claims for cosmetics are regulated by the </w:t>
      </w:r>
      <w:hyperlink r:id="rId50" w:history="1">
        <w:r w:rsidRPr="00777250">
          <w:rPr>
            <w:rStyle w:val="Hyperlink"/>
          </w:rPr>
          <w:t>Australian Competition and Consumer Commission</w:t>
        </w:r>
      </w:hyperlink>
      <w:r>
        <w:t xml:space="preserve">. Further information on the </w:t>
      </w:r>
      <w:hyperlink r:id="rId51" w:history="1">
        <w:r w:rsidRPr="00613B97">
          <w:rPr>
            <w:rStyle w:val="Hyperlink"/>
          </w:rPr>
          <w:t>regulation of cosmetics</w:t>
        </w:r>
      </w:hyperlink>
      <w:r>
        <w:t xml:space="preserve"> is available on the </w:t>
      </w:r>
      <w:r w:rsidRPr="00613B97">
        <w:t>NICNAS web site</w:t>
      </w:r>
      <w:r>
        <w:t>.</w:t>
      </w:r>
    </w:p>
    <w:p w:rsidR="007E11E5" w:rsidRDefault="007E11E5" w:rsidP="007E11E5">
      <w:r>
        <w:t xml:space="preserve">Even if a product is intended for marketing as a cosmetic, it may still be classified as a medicine, depending on its ingredients or if therapeutic claims are made on its label or in advertising. The </w:t>
      </w:r>
      <w:hyperlink r:id="rId52" w:history="1">
        <w:r w:rsidRPr="00777250">
          <w:rPr>
            <w:rStyle w:val="Hyperlink"/>
          </w:rPr>
          <w:t>Cosmetics Claims Guidelines</w:t>
        </w:r>
      </w:hyperlink>
      <w:r>
        <w:t xml:space="preserve"> provides assistance in understanding what constitutes a indications for products on a therapeutic goods interface.</w:t>
      </w:r>
    </w:p>
    <w:p w:rsidR="007E11E5" w:rsidRDefault="007E11E5" w:rsidP="007E11E5">
      <w:r>
        <w:t>Examples of cosmetics that can make limited therapeutic claims include the following:</w:t>
      </w:r>
    </w:p>
    <w:p w:rsidR="007E11E5" w:rsidRDefault="007E11E5" w:rsidP="007E11E5">
      <w:pPr>
        <w:pStyle w:val="ListBullet"/>
      </w:pPr>
      <w:r>
        <w:t>moisturising products with sunscreen that make anti-wrinkle, anti-ageing and/or skin whitening claims</w:t>
      </w:r>
    </w:p>
    <w:p w:rsidR="007E11E5" w:rsidRDefault="007E11E5" w:rsidP="007E11E5">
      <w:pPr>
        <w:pStyle w:val="ListBullet"/>
      </w:pPr>
      <w:r>
        <w:t>sunbathing products with a sun protection factor of at least 4 and not more than 15, when making claims about pre-mature ageing linked to sun-exposure</w:t>
      </w:r>
    </w:p>
    <w:p w:rsidR="007E11E5" w:rsidRDefault="007E11E5" w:rsidP="007E11E5">
      <w:pPr>
        <w:pStyle w:val="ListBullet"/>
      </w:pPr>
      <w:r>
        <w:t>acne skin care products, when presented as controlling or preventing acne only through cleansing, moisturizing, exfoliating or drying the skin</w:t>
      </w:r>
    </w:p>
    <w:p w:rsidR="007E11E5" w:rsidRDefault="007E11E5" w:rsidP="007E11E5">
      <w:pPr>
        <w:pStyle w:val="ListBullet"/>
      </w:pPr>
      <w:r>
        <w:t>anti-dandruff hair care products, when presented as controlling or preventing dandruff only through cleansing, moisturizing, exfoliating or drying the scalp; and</w:t>
      </w:r>
    </w:p>
    <w:p w:rsidR="007E11E5" w:rsidRDefault="007E11E5" w:rsidP="007E11E5">
      <w:pPr>
        <w:pStyle w:val="ListBullet"/>
      </w:pPr>
      <w:r>
        <w:t>oral hygiene products (e.g. mouth washes and breath fresheners), when the only benefits claimed are directly related to improvements to oral hygiene, including for the prevention of tooth decay.</w:t>
      </w:r>
    </w:p>
    <w:p w:rsidR="007E11E5" w:rsidRDefault="007E11E5" w:rsidP="00372CF9">
      <w:pPr>
        <w:pStyle w:val="Heading5"/>
      </w:pPr>
      <w:r w:rsidRPr="007E11E5">
        <w:t>Food/medicine interface</w:t>
      </w:r>
    </w:p>
    <w:tbl>
      <w:tblPr>
        <w:tblW w:w="9038" w:type="dxa"/>
        <w:tblLayout w:type="fixed"/>
        <w:tblCellMar>
          <w:left w:w="0" w:type="dxa"/>
          <w:right w:w="0" w:type="dxa"/>
        </w:tblCellMar>
        <w:tblLook w:val="04A0"/>
      </w:tblPr>
      <w:tblGrid>
        <w:gridCol w:w="1276"/>
        <w:gridCol w:w="7762"/>
      </w:tblGrid>
      <w:tr w:rsidR="007E11E5" w:rsidRPr="001525B4" w:rsidTr="001A41DA">
        <w:trPr>
          <w:trHeight w:val="1206"/>
        </w:trPr>
        <w:tc>
          <w:tcPr>
            <w:tcW w:w="1276" w:type="dxa"/>
            <w:vAlign w:val="center"/>
          </w:tcPr>
          <w:p w:rsidR="007E11E5" w:rsidRPr="001525B4" w:rsidRDefault="007E11E5" w:rsidP="001A41DA">
            <w:pPr>
              <w:spacing w:before="0"/>
              <w:rPr>
                <w:sz w:val="20"/>
              </w:rPr>
            </w:pPr>
            <w:r w:rsidRPr="001525B4">
              <w:rPr>
                <w:noProof/>
                <w:sz w:val="20"/>
                <w:lang w:eastAsia="en-AU"/>
              </w:rPr>
              <w:drawing>
                <wp:inline distT="0" distB="0" distL="0" distR="0">
                  <wp:extent cx="487681" cy="487681"/>
                  <wp:effectExtent l="19050" t="0" r="7619" b="0"/>
                  <wp:docPr id="14" name="Picture 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7E11E5" w:rsidRPr="001525B4" w:rsidRDefault="007E11E5" w:rsidP="001A41DA">
            <w:r w:rsidRPr="007E11E5">
              <w:t>TGA note: there is currently ongoing work in the food/ medicine interface, including a review of health claims and guidance tools.</w:t>
            </w:r>
          </w:p>
        </w:tc>
      </w:tr>
    </w:tbl>
    <w:p w:rsidR="007E11E5" w:rsidRDefault="007E11E5" w:rsidP="007E11E5">
      <w:r>
        <w:t>As the food and complementary medicine sectors have evolved over recent years, a ‘grey area’ has unintentionally developed at this food-medicine interface. The confusion is due to certain areas of food legislation and therapeutic goods legislation overlapping in such a way that makes it difficult to determine which legislation applies.</w:t>
      </w:r>
    </w:p>
    <w:p w:rsidR="007E11E5" w:rsidRDefault="007E11E5" w:rsidP="007E11E5">
      <w:r>
        <w:t>The definition of a therapeutic good specifically excludes:</w:t>
      </w:r>
    </w:p>
    <w:p w:rsidR="007E11E5" w:rsidRDefault="007E11E5" w:rsidP="007E11E5">
      <w:pPr>
        <w:pStyle w:val="ListBullet"/>
      </w:pPr>
      <w:r>
        <w:t>goods declared not to be therapeutic goods (under section7 of the Act- see below)</w:t>
      </w:r>
    </w:p>
    <w:p w:rsidR="007E11E5" w:rsidRDefault="007E11E5" w:rsidP="007E11E5">
      <w:pPr>
        <w:pStyle w:val="ListBullet"/>
      </w:pPr>
      <w:r>
        <w:t>goods (other than goods declared to be therapeutic goods) for which there is a prescribed standard in the Food Standards Code; and / or</w:t>
      </w:r>
    </w:p>
    <w:p w:rsidR="007E11E5" w:rsidRDefault="007E11E5" w:rsidP="007E11E5">
      <w:pPr>
        <w:pStyle w:val="ListBullet"/>
      </w:pPr>
      <w:r>
        <w:t>goods (other than goods declared to be therapeutic goods) which, in Australia or New Zealand, have a tradition of use as foods in the form in which they are presented.</w:t>
      </w:r>
    </w:p>
    <w:p w:rsidR="007E11E5" w:rsidRDefault="007E11E5" w:rsidP="007E11E5">
      <w:r>
        <w:t xml:space="preserve">FSANZ is a statutory authority operating under the </w:t>
      </w:r>
      <w:r w:rsidR="0073584A" w:rsidRPr="0073584A">
        <w:rPr>
          <w:i/>
        </w:rPr>
        <w:t>Food Standards Australia New Zealand Act 1991</w:t>
      </w:r>
      <w:r>
        <w:t xml:space="preserve"> (the FSANZ Act). The sale and supply of ‘food’ is regulated by State and Territory food legislation with the import of food regulated by national legislation. These sets of legislation uniformly adopt the </w:t>
      </w:r>
      <w:hyperlink r:id="rId53" w:history="1">
        <w:r w:rsidRPr="00777250">
          <w:rPr>
            <w:rStyle w:val="Hyperlink"/>
          </w:rPr>
          <w:t>Australia New Zealand Food Standards Code</w:t>
        </w:r>
      </w:hyperlink>
      <w:r>
        <w:t xml:space="preserve"> (the Food </w:t>
      </w:r>
      <w:r>
        <w:lastRenderedPageBreak/>
        <w:t>Standards Code), but apply additional requirements and restraints over and above those stipulated in the Food Standards Code.</w:t>
      </w:r>
    </w:p>
    <w:p w:rsidR="007E11E5" w:rsidRDefault="007E11E5" w:rsidP="007E11E5">
      <w:r>
        <w:t>Foods include:</w:t>
      </w:r>
    </w:p>
    <w:p w:rsidR="007E11E5" w:rsidRDefault="007E11E5" w:rsidP="007E11E5">
      <w:pPr>
        <w:pStyle w:val="ListBullet"/>
      </w:pPr>
      <w:r>
        <w:t>any substance used for human consumption, including live animals and plants</w:t>
      </w:r>
    </w:p>
    <w:p w:rsidR="007E11E5" w:rsidRDefault="007E11E5" w:rsidP="007E11E5">
      <w:pPr>
        <w:pStyle w:val="ListBullet"/>
      </w:pPr>
      <w:r>
        <w:t xml:space="preserve">any substance used as an ingredient or additive in a food </w:t>
      </w:r>
    </w:p>
    <w:p w:rsidR="007E11E5" w:rsidRDefault="007E11E5" w:rsidP="007E11E5">
      <w:pPr>
        <w:pStyle w:val="ListBullet"/>
      </w:pPr>
      <w:r>
        <w:t>any substance used in preparing a food</w:t>
      </w:r>
    </w:p>
    <w:p w:rsidR="007E11E5" w:rsidRDefault="007E11E5" w:rsidP="007E11E5">
      <w:pPr>
        <w:pStyle w:val="ListBullet"/>
      </w:pPr>
      <w:r>
        <w:t>chewing gum or an ingredient or additive in chewing gum, although there are medicated chewing gums which are therapeutic goods; and</w:t>
      </w:r>
    </w:p>
    <w:p w:rsidR="007E11E5" w:rsidRDefault="007E11E5" w:rsidP="007E11E5">
      <w:pPr>
        <w:pStyle w:val="ListBullet"/>
      </w:pPr>
      <w:r>
        <w:t>any substance or thing declared to be a food.</w:t>
      </w:r>
    </w:p>
    <w:p w:rsidR="007E11E5" w:rsidRDefault="007E11E5" w:rsidP="00372CF9">
      <w:pPr>
        <w:pStyle w:val="Heading5"/>
      </w:pPr>
      <w:r w:rsidRPr="007E11E5">
        <w:t>Differentiation between therapeutic goods and foods</w:t>
      </w:r>
    </w:p>
    <w:p w:rsidR="007E11E5" w:rsidRDefault="007E11E5" w:rsidP="007E11E5">
      <w:r>
        <w:t>Differentiation between food and medicines occurs through the Act and the FSANZ Act. Where necessary, both Acts enable the regulators to declare a product as either a ‘therapeutic good’ or a ‘food’, to maintain clarity at the food / medicine interface.</w:t>
      </w:r>
    </w:p>
    <w:p w:rsidR="007E11E5" w:rsidRDefault="007E11E5" w:rsidP="007E11E5">
      <w:r>
        <w:t>If a product complies with the requirements of a Food Standard, or has a tradition of use as a food in the form in which it is presented, it is not a therapeutic good. For example, there is a Food Standard related to “formulated supplementary sports foods”. However, this Standard states that these types of foods may only contain certain ingredients, primarily being vitamins, minerals and amino acids, must contain specific label warning statements and must not include a representation that relates to any property or proposed use of the food to enhance athletic performance or beneficial physiological effects, unless specifically permitted.</w:t>
      </w:r>
    </w:p>
    <w:p w:rsidR="007E11E5" w:rsidRDefault="007E11E5" w:rsidP="007E11E5">
      <w:r>
        <w:t>Key considerations in determining when a substance or product is considered a food or therapeutic good include:</w:t>
      </w:r>
    </w:p>
    <w:p w:rsidR="007E11E5" w:rsidRDefault="007E11E5" w:rsidP="007E11E5">
      <w:pPr>
        <w:pStyle w:val="ListBullet"/>
      </w:pPr>
      <w:r>
        <w:t>whether the product is specifically excluded from being a therapeutic good under the Act</w:t>
      </w:r>
    </w:p>
    <w:p w:rsidR="007E11E5" w:rsidRDefault="007E11E5" w:rsidP="007E11E5">
      <w:pPr>
        <w:pStyle w:val="ListBullet"/>
      </w:pPr>
      <w:r>
        <w:t>the composition or nature of the substance or product</w:t>
      </w:r>
    </w:p>
    <w:p w:rsidR="007E11E5" w:rsidRDefault="007E11E5" w:rsidP="007E11E5">
      <w:pPr>
        <w:pStyle w:val="ListBullet"/>
      </w:pPr>
      <w:r>
        <w:t>any indications</w:t>
      </w:r>
    </w:p>
    <w:p w:rsidR="007E11E5" w:rsidRDefault="007E11E5" w:rsidP="007E11E5">
      <w:pPr>
        <w:pStyle w:val="ListBullet"/>
      </w:pPr>
      <w:r>
        <w:t>the presentation of the substance or product, including any representations in labels or advertising and marketing</w:t>
      </w:r>
    </w:p>
    <w:p w:rsidR="007E11E5" w:rsidRDefault="007E11E5" w:rsidP="007E11E5">
      <w:pPr>
        <w:pStyle w:val="ListBullet"/>
      </w:pPr>
      <w:r>
        <w:t>the intended use or purpose for the substance  or product, including any tradition of use</w:t>
      </w:r>
    </w:p>
    <w:p w:rsidR="007E11E5" w:rsidRDefault="007E11E5" w:rsidP="007E11E5">
      <w:pPr>
        <w:pStyle w:val="ListBullet"/>
      </w:pPr>
      <w:r>
        <w:t>whether or not the product is likely to be consumed as a therapeutic good or as a food</w:t>
      </w:r>
    </w:p>
    <w:p w:rsidR="007E11E5" w:rsidRDefault="007E11E5" w:rsidP="007E11E5">
      <w:pPr>
        <w:pStyle w:val="ListBullet"/>
      </w:pPr>
      <w:r>
        <w:t>the physical form, i.e. liquid, capsule, powder, bar or other food form; and</w:t>
      </w:r>
    </w:p>
    <w:p w:rsidR="007E11E5" w:rsidRDefault="007E11E5" w:rsidP="007E11E5">
      <w:pPr>
        <w:pStyle w:val="ListBullet"/>
      </w:pPr>
      <w:r>
        <w:t>the suggested directions for use and/or prescribed dosage regime.</w:t>
      </w:r>
    </w:p>
    <w:p w:rsidR="007E11E5" w:rsidRDefault="007E11E5" w:rsidP="007E11E5">
      <w:r w:rsidRPr="007E11E5">
        <w:t>In considering whether a substance or product is a food or a therapeutic good, it should be noted that food labels and advertising must not:</w:t>
      </w:r>
    </w:p>
    <w:p w:rsidR="007E11E5" w:rsidRDefault="007E11E5" w:rsidP="007E11E5">
      <w:pPr>
        <w:pStyle w:val="ListBullet"/>
      </w:pPr>
      <w:r>
        <w:t>include an indication for therapeutic or prophylactic action</w:t>
      </w:r>
    </w:p>
    <w:p w:rsidR="007E11E5" w:rsidRDefault="007E11E5" w:rsidP="007E11E5">
      <w:pPr>
        <w:pStyle w:val="ListBullet"/>
      </w:pPr>
      <w:r>
        <w:t>include the word ‘health’ as a part of the name of the food</w:t>
      </w:r>
    </w:p>
    <w:p w:rsidR="007E11E5" w:rsidRDefault="007E11E5" w:rsidP="007E11E5">
      <w:pPr>
        <w:pStyle w:val="ListBullet"/>
      </w:pPr>
      <w:r>
        <w:lastRenderedPageBreak/>
        <w:t>contain any advice of a medical nature from any person; and</w:t>
      </w:r>
    </w:p>
    <w:p w:rsidR="007E11E5" w:rsidRDefault="007E11E5" w:rsidP="007E11E5">
      <w:pPr>
        <w:pStyle w:val="ListBullet"/>
      </w:pPr>
      <w:r>
        <w:t>include the name of, or a reference to, any disease or physiological condition.</w:t>
      </w:r>
    </w:p>
    <w:p w:rsidR="007E11E5" w:rsidRDefault="007E11E5" w:rsidP="007E11E5">
      <w:r>
        <w:t>It should be noted that the Food Standard Code states that an advertisement for food should not contain a claim or statement that the food is a slimming food or has intrinsic weight reducing properties and that any advertisement for food shall not include a claim for therapeutic action or prophylactic action.</w:t>
      </w:r>
    </w:p>
    <w:p w:rsidR="007E11E5" w:rsidRDefault="007E11E5" w:rsidP="007E11E5">
      <w:r>
        <w:t>If the product is not excluded from being a therapeutic good under the Act, then the following questions about the product would be considered:</w:t>
      </w:r>
    </w:p>
    <w:p w:rsidR="007E11E5" w:rsidRDefault="007E11E5" w:rsidP="007E11E5">
      <w:pPr>
        <w:pStyle w:val="Numberbullet0"/>
      </w:pPr>
      <w:r>
        <w:t>Does it carry therapeutic claims (that is, claims relating to therapeutic use)?</w:t>
      </w:r>
    </w:p>
    <w:p w:rsidR="007E11E5" w:rsidRDefault="007E11E5" w:rsidP="007E11E5">
      <w:pPr>
        <w:pStyle w:val="Numberbullet0"/>
      </w:pPr>
      <w:r>
        <w:t>Does it have medicine dosage instructions (rather than a food serving suggestion)?</w:t>
      </w:r>
    </w:p>
    <w:p w:rsidR="007E11E5" w:rsidRDefault="007E11E5" w:rsidP="007E11E5">
      <w:pPr>
        <w:pStyle w:val="Numberbullet0"/>
      </w:pPr>
      <w:r>
        <w:t>Is it in a pharmaceutical dosage form?</w:t>
      </w:r>
    </w:p>
    <w:p w:rsidR="007E11E5" w:rsidRDefault="007E11E5" w:rsidP="007E11E5">
      <w:pPr>
        <w:pStyle w:val="Numberbullet0"/>
      </w:pPr>
      <w:r>
        <w:t>Does the product have a traditional or otherwise well established therapeutic use (that is, it is primarily for therapeutic use)?</w:t>
      </w:r>
    </w:p>
    <w:p w:rsidR="007E11E5" w:rsidRDefault="007E11E5" w:rsidP="007E11E5">
      <w:r>
        <w:t xml:space="preserve">If the answer is ‘Yes’ to none or only one of questions 1, 2 and 3, the appropriate regulatory coverage for the product is usually under food legislation. If the answer is ‘Yes’ to more than one of questions 1, 2 and 3, the appropriate regulatory coverage for the product is usually under the therapeutic product legislation. </w:t>
      </w:r>
      <w:r w:rsidR="009823B9">
        <w:t>W</w:t>
      </w:r>
      <w:r>
        <w:t xml:space="preserve">here the answer to question 4 demonstrates that the product has a clearly established use within Australian and/or New Zealand communities as a therapeutic product. </w:t>
      </w:r>
      <w:r w:rsidR="009823B9">
        <w:t>T</w:t>
      </w:r>
      <w:r>
        <w:t>he appropriate regulatory coverage would be under the therapeutic product legislation.</w:t>
      </w:r>
    </w:p>
    <w:p w:rsidR="007E11E5" w:rsidRDefault="007E11E5" w:rsidP="00372CF9">
      <w:pPr>
        <w:pStyle w:val="Heading5"/>
      </w:pPr>
      <w:r>
        <w:t>Declarations made under Section 7 of the Act</w:t>
      </w:r>
    </w:p>
    <w:p w:rsidR="007E11E5" w:rsidRDefault="007E11E5" w:rsidP="007E11E5">
      <w:r>
        <w:t>Section 7 of the Act enables the Secretary of the Department of Health and Ageing to declare that particular goods or classes of goods are or are not therapeutic goods. Goods or classes of goods that are declared to be therapeutic goods via a Section 7 declaration must be included on the ARTG.</w:t>
      </w:r>
    </w:p>
    <w:p w:rsidR="007E11E5" w:rsidRDefault="007E11E5" w:rsidP="007E11E5">
      <w:r>
        <w:t xml:space="preserve">The intention of ‘Section 7 declarations’ is to provide greater clarity for consumers, the food and medicine industries and regulators in determining whether a product is a food or a therapeutic good. A </w:t>
      </w:r>
      <w:hyperlink r:id="rId54" w:history="1">
        <w:r w:rsidRPr="00613B97">
          <w:rPr>
            <w:rStyle w:val="Hyperlink"/>
          </w:rPr>
          <w:t>full list of declarations made under Section 7 of the Act</w:t>
        </w:r>
      </w:hyperlink>
      <w:r>
        <w:t xml:space="preserve"> is available on the </w:t>
      </w:r>
      <w:r w:rsidRPr="00613B97">
        <w:t>TGA website</w:t>
      </w:r>
      <w:r>
        <w:t>.</w:t>
      </w:r>
    </w:p>
    <w:p w:rsidR="007E11E5" w:rsidRDefault="007E11E5" w:rsidP="007E11E5">
      <w:r>
        <w:t>A declaration does not necessarily mean that a product, or class of products, is approved for supply in Australia. It is the responsibility of sponsors to make an application to have particular products included on the ARTG if they have not already done so.</w:t>
      </w:r>
    </w:p>
    <w:p w:rsidR="007E11E5" w:rsidRDefault="007E11E5" w:rsidP="007E11E5">
      <w:pPr>
        <w:pStyle w:val="Heading4"/>
      </w:pPr>
      <w:bookmarkStart w:id="25" w:name="_Toc337635105"/>
      <w:r>
        <w:t>Appeal mechanisms</w:t>
      </w:r>
      <w:bookmarkEnd w:id="25"/>
      <w:r>
        <w:t xml:space="preserve"> </w:t>
      </w:r>
    </w:p>
    <w:p w:rsidR="007E11E5" w:rsidRDefault="007E11E5" w:rsidP="007E11E5">
      <w:r>
        <w:t>If there is disagreement with a decision made by the delegate of the Secretary under a provision of the Act, a review may be sought. Several procedures are available:</w:t>
      </w:r>
    </w:p>
    <w:p w:rsidR="007E11E5" w:rsidRDefault="007E11E5" w:rsidP="007E11E5">
      <w:pPr>
        <w:pStyle w:val="Heading5"/>
      </w:pPr>
      <w:r>
        <w:t>Section 60 appeals</w:t>
      </w:r>
    </w:p>
    <w:p w:rsidR="007E11E5" w:rsidRDefault="007E11E5" w:rsidP="007E11E5">
      <w:r>
        <w:t>Decisions by the Secretary of the Department of Health and Ageing, or a delegate of the Secretary, that are subject to review following a request for reconsideration may be appealed under Section 60 of the Act. Examples include:</w:t>
      </w:r>
    </w:p>
    <w:p w:rsidR="00777250" w:rsidRDefault="00777250" w:rsidP="00777250">
      <w:pPr>
        <w:pStyle w:val="ListBullet"/>
      </w:pPr>
      <w:r>
        <w:t>a refusal to register or list goods on the ARTG</w:t>
      </w:r>
    </w:p>
    <w:p w:rsidR="00777250" w:rsidRDefault="00777250" w:rsidP="00777250">
      <w:pPr>
        <w:pStyle w:val="ListBullet"/>
      </w:pPr>
      <w:r>
        <w:lastRenderedPageBreak/>
        <w:t>the variation or addition of conditions applying to a registration or listing</w:t>
      </w:r>
    </w:p>
    <w:p w:rsidR="00777250" w:rsidRDefault="00777250" w:rsidP="00777250">
      <w:pPr>
        <w:pStyle w:val="ListBullet"/>
      </w:pPr>
      <w:r>
        <w:t>cancellation of a registration or a listing; and</w:t>
      </w:r>
    </w:p>
    <w:p w:rsidR="00777250" w:rsidRDefault="00777250" w:rsidP="00777250">
      <w:pPr>
        <w:pStyle w:val="ListBullet"/>
      </w:pPr>
      <w:r>
        <w:t>revocation or suspension of a manufacturing licence.</w:t>
      </w:r>
    </w:p>
    <w:p w:rsidR="007E11E5" w:rsidRDefault="007E11E5" w:rsidP="007E11E5">
      <w:r>
        <w:t xml:space="preserve">If a decision can be appealed, details of the appeal rights will usually accompany the decision. Appeals must be lodged within 90 days of decisions. </w:t>
      </w:r>
    </w:p>
    <w:p w:rsidR="007E11E5" w:rsidRDefault="007E11E5" w:rsidP="007E11E5">
      <w:r>
        <w:t>An appeal letter should be clearly marked ‘Appeal under Section 60 of the Therapeutic Goods Act 1989’ and sent to:</w:t>
      </w:r>
    </w:p>
    <w:p w:rsidR="007E11E5" w:rsidRDefault="007E11E5" w:rsidP="007E11E5">
      <w:pPr>
        <w:ind w:left="720"/>
      </w:pPr>
      <w:r>
        <w:t>The Parliamentary Secretary to the Minister for Health and Ageing</w:t>
      </w:r>
      <w:r w:rsidR="00C74705">
        <w:br/>
      </w:r>
      <w:r>
        <w:t>Parliament House</w:t>
      </w:r>
      <w:r w:rsidR="00C74705">
        <w:br/>
      </w:r>
      <w:r>
        <w:t>CANBERRA ACT 2600</w:t>
      </w:r>
    </w:p>
    <w:p w:rsidR="007E11E5" w:rsidRDefault="007E11E5" w:rsidP="007E11E5">
      <w:r>
        <w:t>An appeal letter may be accompanied by supporting information. However, if such information is submitted after the appeal letter, it will not be considered. It assists early consideration of the request for reconsideration if a copy of the letter is also sent to the TGA National Manager.</w:t>
      </w:r>
    </w:p>
    <w:p w:rsidR="007E11E5" w:rsidRDefault="007E11E5" w:rsidP="007E11E5">
      <w:r>
        <w:t>The Minister, or the Minister’s delegate for this purpose, may confirm or revoke the initial decision or substitute a new decision.</w:t>
      </w:r>
    </w:p>
    <w:p w:rsidR="007E11E5" w:rsidRDefault="007E11E5" w:rsidP="007E11E5">
      <w:pPr>
        <w:pStyle w:val="Heading5"/>
      </w:pPr>
      <w:r>
        <w:t>The Administrative Appeals Tribunal (AAT)</w:t>
      </w:r>
    </w:p>
    <w:p w:rsidR="007E11E5" w:rsidRDefault="007E11E5" w:rsidP="007E11E5">
      <w:r>
        <w:t>If not satisfied with the outcome of a Section 60 appeal, an application may be made to the Administrative Appeals Tribunal (AAT) for review. Applications to the AAT must be made within 28 calendar days of the Minister’s decision regarding a Section 60 appeal.</w:t>
      </w:r>
    </w:p>
    <w:p w:rsidR="007E11E5" w:rsidRDefault="007E11E5" w:rsidP="007E11E5">
      <w:r>
        <w:t>The AAT may affirm the decision, vary it or set it aside, substitute a new decision, or refer the decision back to the original decision maker.</w:t>
      </w:r>
    </w:p>
    <w:p w:rsidR="007E11E5" w:rsidRDefault="007E11E5" w:rsidP="007E11E5">
      <w:pPr>
        <w:pStyle w:val="Heading5"/>
      </w:pPr>
      <w:r>
        <w:t>Federal Court</w:t>
      </w:r>
    </w:p>
    <w:p w:rsidR="007E11E5" w:rsidRDefault="007E11E5" w:rsidP="007E11E5">
      <w:r>
        <w:t>Whereas the AAT provides a merit review process, affected parties may appeal at any time to the Federal Court, on the grounds of the legality of a decision.</w:t>
      </w:r>
    </w:p>
    <w:p w:rsidR="00F0535A" w:rsidRDefault="00F0535A">
      <w:pPr>
        <w:spacing w:before="0" w:after="0" w:line="240" w:lineRule="auto"/>
        <w:rPr>
          <w:rFonts w:ascii="Arial" w:eastAsia="Times New Roman" w:hAnsi="Arial"/>
          <w:b/>
          <w:bCs/>
          <w:sz w:val="32"/>
          <w:szCs w:val="64"/>
        </w:rPr>
      </w:pPr>
      <w:r>
        <w:br w:type="page"/>
      </w:r>
    </w:p>
    <w:p w:rsidR="00752497" w:rsidRDefault="00E911E4">
      <w:pPr>
        <w:pStyle w:val="Heading3"/>
      </w:pPr>
      <w:bookmarkStart w:id="26" w:name="_Toc337635106"/>
      <w:r w:rsidRPr="00E911E4">
        <w:lastRenderedPageBreak/>
        <w:t>The regulation of complementary medicines</w:t>
      </w:r>
      <w:bookmarkEnd w:id="26"/>
    </w:p>
    <w:p w:rsidR="00752497" w:rsidRDefault="00E911E4">
      <w:pPr>
        <w:keepNext/>
        <w:keepLines/>
      </w:pPr>
      <w:r>
        <w:t xml:space="preserve">In Australia, medicinal products containing such ingredients as herbs, vitamins, minerals, and nutritional supplements, homoeopathic medicines and certain aromatherapy products are referred to as 'complementary medicines' and are regulated as medicines under the Act. </w:t>
      </w:r>
    </w:p>
    <w:p w:rsidR="00752497" w:rsidRDefault="00E911E4">
      <w:pPr>
        <w:keepNext/>
        <w:keepLines/>
      </w:pPr>
      <w:r>
        <w:t>Part 1(2) of the Regulations provides the following definition for complementary medicine:</w:t>
      </w:r>
    </w:p>
    <w:p w:rsidR="00752497" w:rsidRPr="00752497" w:rsidRDefault="00E911E4" w:rsidP="00752497">
      <w:pPr>
        <w:ind w:left="720"/>
        <w:rPr>
          <w:i/>
        </w:rPr>
      </w:pPr>
      <w:r w:rsidRPr="00752497">
        <w:rPr>
          <w:i/>
        </w:rPr>
        <w:t>Complementary medicine means a therapeutic good consisting wholly or principally of 1 or more designated active ingredients, each of which has a clearly established identity and a traditional use.</w:t>
      </w:r>
    </w:p>
    <w:p w:rsidR="00752497" w:rsidRDefault="00E911E4" w:rsidP="00752497">
      <w:pPr>
        <w:ind w:left="720"/>
        <w:rPr>
          <w:i/>
        </w:rPr>
      </w:pPr>
      <w:r w:rsidRPr="00777250">
        <w:rPr>
          <w:i/>
        </w:rPr>
        <w:t>Designated active ingredients, for a complementary medicine, means an active ingredient, or a kind of active ingredient, mentioned in Schedule 14 (to the Regulations).</w:t>
      </w:r>
    </w:p>
    <w:p w:rsidR="00752497" w:rsidRDefault="00E911E4" w:rsidP="00752497">
      <w:pPr>
        <w:keepNext/>
        <w:keepLines/>
      </w:pPr>
      <w:r>
        <w:t>Schedule 14 to the Regulations</w:t>
      </w:r>
      <w:r w:rsidR="00777250">
        <w:t xml:space="preserve"> provides a list of designated active ingredients:</w:t>
      </w:r>
    </w:p>
    <w:p w:rsidR="00752497" w:rsidRDefault="00E911E4" w:rsidP="00752497">
      <w:pPr>
        <w:keepNext/>
        <w:keepLines/>
        <w:ind w:left="720"/>
        <w:rPr>
          <w:i/>
        </w:rPr>
      </w:pPr>
      <w:r w:rsidRPr="00777250">
        <w:rPr>
          <w:i/>
        </w:rPr>
        <w:t>Designated active ingredients</w:t>
      </w:r>
    </w:p>
    <w:p w:rsidR="00752497" w:rsidRPr="00752497" w:rsidRDefault="00C74705" w:rsidP="00752497">
      <w:pPr>
        <w:pStyle w:val="Numberbullet0"/>
        <w:numPr>
          <w:ilvl w:val="0"/>
          <w:numId w:val="17"/>
        </w:numPr>
        <w:rPr>
          <w:i/>
        </w:rPr>
      </w:pPr>
      <w:r w:rsidRPr="00752497">
        <w:rPr>
          <w:i/>
        </w:rPr>
        <w:t>a</w:t>
      </w:r>
      <w:r w:rsidR="00E911E4" w:rsidRPr="00752497">
        <w:rPr>
          <w:i/>
        </w:rPr>
        <w:t>n amino acid</w:t>
      </w:r>
    </w:p>
    <w:p w:rsidR="00752497" w:rsidRPr="00752497" w:rsidRDefault="00E911E4" w:rsidP="00752497">
      <w:pPr>
        <w:pStyle w:val="Numberbullet0"/>
        <w:numPr>
          <w:ilvl w:val="0"/>
          <w:numId w:val="17"/>
        </w:numPr>
        <w:rPr>
          <w:i/>
        </w:rPr>
      </w:pPr>
      <w:r w:rsidRPr="00752497">
        <w:rPr>
          <w:i/>
        </w:rPr>
        <w:t>charcoal</w:t>
      </w:r>
    </w:p>
    <w:p w:rsidR="00752497" w:rsidRPr="00752497" w:rsidRDefault="00E911E4" w:rsidP="00752497">
      <w:pPr>
        <w:pStyle w:val="Numberbullet0"/>
        <w:numPr>
          <w:ilvl w:val="0"/>
          <w:numId w:val="17"/>
        </w:numPr>
        <w:rPr>
          <w:i/>
        </w:rPr>
      </w:pPr>
      <w:r w:rsidRPr="00752497">
        <w:rPr>
          <w:i/>
        </w:rPr>
        <w:t xml:space="preserve">a </w:t>
      </w:r>
      <w:proofErr w:type="spellStart"/>
      <w:r w:rsidRPr="00752497">
        <w:rPr>
          <w:i/>
        </w:rPr>
        <w:t>choline</w:t>
      </w:r>
      <w:proofErr w:type="spellEnd"/>
      <w:r w:rsidRPr="00752497">
        <w:rPr>
          <w:i/>
        </w:rPr>
        <w:t xml:space="preserve"> salt</w:t>
      </w:r>
    </w:p>
    <w:p w:rsidR="00752497" w:rsidRPr="00752497" w:rsidRDefault="00E911E4" w:rsidP="00752497">
      <w:pPr>
        <w:pStyle w:val="Numberbullet0"/>
        <w:numPr>
          <w:ilvl w:val="0"/>
          <w:numId w:val="17"/>
        </w:numPr>
        <w:rPr>
          <w:i/>
        </w:rPr>
      </w:pPr>
      <w:r w:rsidRPr="00752497">
        <w:rPr>
          <w:i/>
        </w:rPr>
        <w:t>an essential oil</w:t>
      </w:r>
    </w:p>
    <w:p w:rsidR="00752497" w:rsidRPr="00752497" w:rsidRDefault="00E911E4" w:rsidP="00752497">
      <w:pPr>
        <w:pStyle w:val="Numberbullet0"/>
        <w:numPr>
          <w:ilvl w:val="0"/>
          <w:numId w:val="17"/>
        </w:numPr>
        <w:rPr>
          <w:i/>
        </w:rPr>
      </w:pPr>
      <w:r w:rsidRPr="00752497">
        <w:rPr>
          <w:i/>
        </w:rPr>
        <w:t xml:space="preserve">plant or herbal material (or a synthetically produced substitute for </w:t>
      </w:r>
      <w:r w:rsidRPr="00752497">
        <w:rPr>
          <w:i/>
        </w:rPr>
        <w:tab/>
        <w:t xml:space="preserve">material of that kind), including plant fibres, enzymes, algae, fungi, </w:t>
      </w:r>
      <w:r w:rsidRPr="00752497">
        <w:rPr>
          <w:i/>
        </w:rPr>
        <w:tab/>
        <w:t>cellulose and derivatives of cellulose and chlorophyll</w:t>
      </w:r>
    </w:p>
    <w:p w:rsidR="00752497" w:rsidRPr="00752497" w:rsidRDefault="00E911E4" w:rsidP="00752497">
      <w:pPr>
        <w:pStyle w:val="Numberbullet0"/>
        <w:numPr>
          <w:ilvl w:val="0"/>
          <w:numId w:val="17"/>
        </w:numPr>
        <w:rPr>
          <w:i/>
        </w:rPr>
      </w:pPr>
      <w:r w:rsidRPr="00752497">
        <w:rPr>
          <w:i/>
        </w:rPr>
        <w:t xml:space="preserve">a homeopathic preparation </w:t>
      </w:r>
    </w:p>
    <w:p w:rsidR="00752497" w:rsidRPr="00752497" w:rsidRDefault="00E911E4" w:rsidP="00752497">
      <w:pPr>
        <w:pStyle w:val="Numberbullet0"/>
        <w:numPr>
          <w:ilvl w:val="0"/>
          <w:numId w:val="17"/>
        </w:numPr>
        <w:rPr>
          <w:i/>
        </w:rPr>
      </w:pPr>
      <w:r w:rsidRPr="00752497">
        <w:rPr>
          <w:i/>
        </w:rPr>
        <w:t>a microorganism, whole or extracted, except a vaccine</w:t>
      </w:r>
    </w:p>
    <w:p w:rsidR="00752497" w:rsidRPr="00752497" w:rsidRDefault="00E911E4" w:rsidP="00752497">
      <w:pPr>
        <w:pStyle w:val="Numberbullet0"/>
        <w:numPr>
          <w:ilvl w:val="0"/>
          <w:numId w:val="17"/>
        </w:numPr>
        <w:rPr>
          <w:i/>
        </w:rPr>
      </w:pPr>
      <w:r w:rsidRPr="00752497">
        <w:rPr>
          <w:i/>
        </w:rPr>
        <w:t xml:space="preserve">a mineral including a mineral salt and a naturally occurring mineral </w:t>
      </w:r>
    </w:p>
    <w:p w:rsidR="00752497" w:rsidRPr="00752497" w:rsidRDefault="00E911E4" w:rsidP="00752497">
      <w:pPr>
        <w:pStyle w:val="Numberbullet0"/>
        <w:numPr>
          <w:ilvl w:val="0"/>
          <w:numId w:val="17"/>
        </w:numPr>
        <w:rPr>
          <w:i/>
        </w:rPr>
      </w:pPr>
      <w:r w:rsidRPr="00752497">
        <w:rPr>
          <w:i/>
        </w:rPr>
        <w:t xml:space="preserve">a </w:t>
      </w:r>
      <w:proofErr w:type="spellStart"/>
      <w:r w:rsidRPr="00752497">
        <w:rPr>
          <w:i/>
        </w:rPr>
        <w:t>mucopolysaccharide</w:t>
      </w:r>
      <w:proofErr w:type="spellEnd"/>
    </w:p>
    <w:p w:rsidR="00752497" w:rsidRPr="00752497" w:rsidRDefault="00E911E4" w:rsidP="00752497">
      <w:pPr>
        <w:pStyle w:val="Numberbullet0"/>
        <w:numPr>
          <w:ilvl w:val="0"/>
          <w:numId w:val="17"/>
        </w:numPr>
        <w:rPr>
          <w:i/>
        </w:rPr>
      </w:pPr>
      <w:r w:rsidRPr="00752497">
        <w:rPr>
          <w:i/>
        </w:rPr>
        <w:t xml:space="preserve">non human animal material (or a synthetically produced substitute for </w:t>
      </w:r>
      <w:r w:rsidRPr="00752497">
        <w:rPr>
          <w:i/>
        </w:rPr>
        <w:tab/>
        <w:t xml:space="preserve">material of that kind) including dried material, bone and cartilage, fats </w:t>
      </w:r>
      <w:r w:rsidRPr="00752497">
        <w:rPr>
          <w:i/>
        </w:rPr>
        <w:tab/>
        <w:t>and oils and other extracts or concentrates</w:t>
      </w:r>
    </w:p>
    <w:p w:rsidR="00752497" w:rsidRPr="00752497" w:rsidRDefault="00E911E4" w:rsidP="00752497">
      <w:pPr>
        <w:pStyle w:val="Numberbullet0"/>
        <w:numPr>
          <w:ilvl w:val="0"/>
          <w:numId w:val="17"/>
        </w:numPr>
        <w:rPr>
          <w:i/>
        </w:rPr>
      </w:pPr>
      <w:r w:rsidRPr="00752497">
        <w:rPr>
          <w:i/>
        </w:rPr>
        <w:t xml:space="preserve">a lipid, including an essential fatty acid or </w:t>
      </w:r>
      <w:proofErr w:type="spellStart"/>
      <w:r w:rsidRPr="00752497">
        <w:rPr>
          <w:i/>
        </w:rPr>
        <w:t>phospholipid</w:t>
      </w:r>
      <w:proofErr w:type="spellEnd"/>
    </w:p>
    <w:p w:rsidR="00752497" w:rsidRPr="00752497" w:rsidRDefault="00E911E4" w:rsidP="00752497">
      <w:pPr>
        <w:pStyle w:val="Numberbullet0"/>
        <w:numPr>
          <w:ilvl w:val="0"/>
          <w:numId w:val="17"/>
        </w:numPr>
        <w:rPr>
          <w:i/>
        </w:rPr>
      </w:pPr>
      <w:r w:rsidRPr="00752497">
        <w:rPr>
          <w:i/>
        </w:rPr>
        <w:t xml:space="preserve">a substance produced by or obtained from bees, including royal jelly, bee </w:t>
      </w:r>
      <w:r w:rsidRPr="00752497">
        <w:rPr>
          <w:i/>
        </w:rPr>
        <w:tab/>
        <w:t xml:space="preserve">pollen and </w:t>
      </w:r>
      <w:proofErr w:type="spellStart"/>
      <w:r w:rsidRPr="00752497">
        <w:rPr>
          <w:i/>
        </w:rPr>
        <w:t>propolis</w:t>
      </w:r>
      <w:proofErr w:type="spellEnd"/>
      <w:r w:rsidRPr="00752497">
        <w:rPr>
          <w:i/>
        </w:rPr>
        <w:t xml:space="preserve"> </w:t>
      </w:r>
    </w:p>
    <w:p w:rsidR="00752497" w:rsidRPr="00752497" w:rsidRDefault="00E911E4" w:rsidP="00752497">
      <w:pPr>
        <w:pStyle w:val="Numberbullet0"/>
        <w:numPr>
          <w:ilvl w:val="0"/>
          <w:numId w:val="17"/>
        </w:numPr>
        <w:rPr>
          <w:i/>
        </w:rPr>
      </w:pPr>
      <w:r w:rsidRPr="00752497">
        <w:rPr>
          <w:i/>
        </w:rPr>
        <w:t xml:space="preserve">a sugar, polysaccharide or carbohydrate </w:t>
      </w:r>
    </w:p>
    <w:p w:rsidR="00752497" w:rsidRPr="00752497" w:rsidRDefault="00E911E4" w:rsidP="00752497">
      <w:pPr>
        <w:pStyle w:val="Numberbullet0"/>
        <w:numPr>
          <w:ilvl w:val="0"/>
          <w:numId w:val="17"/>
        </w:numPr>
        <w:rPr>
          <w:i/>
        </w:rPr>
      </w:pPr>
      <w:r w:rsidRPr="00752497">
        <w:rPr>
          <w:i/>
        </w:rPr>
        <w:t xml:space="preserve">a vitamin or </w:t>
      </w:r>
      <w:proofErr w:type="spellStart"/>
      <w:r w:rsidRPr="00752497">
        <w:rPr>
          <w:i/>
        </w:rPr>
        <w:t>provitamin</w:t>
      </w:r>
      <w:proofErr w:type="spellEnd"/>
    </w:p>
    <w:p w:rsidR="00752497" w:rsidRDefault="00E911E4">
      <w:pPr>
        <w:pStyle w:val="TableTitle"/>
      </w:pPr>
      <w:r w:rsidRPr="00E911E4">
        <w:lastRenderedPageBreak/>
        <w:t>Figure 1: Types of complementary medicines</w:t>
      </w:r>
    </w:p>
    <w:p w:rsidR="00752497" w:rsidRDefault="0031131E">
      <w:pPr>
        <w:pStyle w:val="TableTitle"/>
      </w:pPr>
      <w:r>
        <w:pict>
          <v:group id="_x0000_s1028" editas="canvas" alt="Types of complementary medicines:&#10;Herbal medicines&#10;Traditional medicines&#10;Homoeopathic medicines&#10;Anthroposophic preparations&#10;Aromatherapy medicines&#10;Vitamins and minerals&#10;Other" style="width:451.45pt;height:280.3pt;mso-position-horizontal-relative:char;mso-position-vertical-relative:line" coordorigin="1703,3173" coordsize="9029,5606">
            <o:lock v:ext="edit" aspectratio="t"/>
            <v:shape id="_x0000_s1029" type="#_x0000_t75" style="position:absolute;left:1703;top:3173;width:9029;height:5606" o:preferrelative="f">
              <v:fill o:detectmouseclick="t"/>
              <v:path o:extrusionok="t" o:connecttype="none"/>
              <o:lock v:ext="edit" text="t"/>
            </v:shape>
            <v:shape id="_x0000_s1030" type="#_x0000_t202" style="position:absolute;left:4035;top:3539;width:3990;height:661" fillcolor="#006da7">
              <v:textbox style="mso-next-textbox:#_x0000_s1030">
                <w:txbxContent>
                  <w:p w:rsidR="00F77D89" w:rsidRDefault="00F77D89" w:rsidP="00AA37CC">
                    <w:pPr>
                      <w:pStyle w:val="FlowChartWhiteText"/>
                    </w:pPr>
                    <w:r>
                      <w:t>Types of complementary medicines</w:t>
                    </w:r>
                  </w:p>
                </w:txbxContent>
              </v:textbox>
            </v:shape>
            <v:shape id="_x0000_s1031" type="#_x0000_t202" style="position:absolute;left:2055;top:4957;width:1388;height:938" fillcolor="#c6d4e9">
              <v:textbox style="mso-next-textbox:#_x0000_s1031">
                <w:txbxContent>
                  <w:p w:rsidR="00F77D89" w:rsidRPr="00283281" w:rsidRDefault="00F77D89" w:rsidP="00752497">
                    <w:pPr>
                      <w:pStyle w:val="FlowchartText"/>
                      <w:jc w:val="left"/>
                      <w:rPr>
                        <w:sz w:val="20"/>
                        <w:szCs w:val="20"/>
                      </w:rPr>
                    </w:pPr>
                    <w:r w:rsidRPr="00283281">
                      <w:rPr>
                        <w:sz w:val="20"/>
                        <w:szCs w:val="20"/>
                      </w:rPr>
                      <w:t>Herbal medicines</w:t>
                    </w:r>
                  </w:p>
                </w:txbxContent>
              </v:textbox>
            </v:shape>
            <v:shape id="_x0000_s1032" type="#_x0000_t202" style="position:absolute;left:3746;top:4957;width:1824;height:938" fillcolor="#c6d4e9">
              <v:textbox style="mso-next-textbox:#_x0000_s1032">
                <w:txbxContent>
                  <w:p w:rsidR="00F77D89" w:rsidRPr="00283281" w:rsidRDefault="00F77D89" w:rsidP="00752497">
                    <w:pPr>
                      <w:pStyle w:val="FlowchartText"/>
                      <w:jc w:val="left"/>
                      <w:rPr>
                        <w:sz w:val="20"/>
                        <w:szCs w:val="20"/>
                      </w:rPr>
                    </w:pPr>
                    <w:r w:rsidRPr="00283281">
                      <w:rPr>
                        <w:sz w:val="20"/>
                        <w:szCs w:val="20"/>
                      </w:rPr>
                      <w:t>Homoeopathic medicines</w:t>
                    </w:r>
                  </w:p>
                  <w:p w:rsidR="00F77D89" w:rsidRPr="000B7738" w:rsidRDefault="00F77D89" w:rsidP="00AA37CC"/>
                </w:txbxContent>
              </v:textbox>
            </v:shape>
            <v:shape id="_x0000_s1033" type="#_x0000_t202" style="position:absolute;left:6142;top:4956;width:1704;height:1031" fillcolor="#c6d4e9">
              <v:textbox style="mso-next-textbox:#_x0000_s1033">
                <w:txbxContent>
                  <w:p w:rsidR="00F77D89" w:rsidRPr="00283281" w:rsidRDefault="00F77D89" w:rsidP="00752497">
                    <w:pPr>
                      <w:pStyle w:val="FlowchartText"/>
                      <w:jc w:val="left"/>
                      <w:rPr>
                        <w:sz w:val="20"/>
                        <w:szCs w:val="20"/>
                      </w:rPr>
                    </w:pPr>
                    <w:r w:rsidRPr="00283281">
                      <w:rPr>
                        <w:sz w:val="20"/>
                        <w:szCs w:val="20"/>
                      </w:rPr>
                      <w:t>Aromatherapy medicines</w:t>
                    </w:r>
                  </w:p>
                  <w:p w:rsidR="00F77D89" w:rsidRPr="000B7738" w:rsidRDefault="00F77D89" w:rsidP="00AA37CC"/>
                </w:txbxContent>
              </v:textbox>
            </v:shape>
            <v:shape id="_x0000_s1034" type="#_x0000_t202" style="position:absolute;left:8372;top:4957;width:2330;height:1015" fillcolor="#c6d4e9">
              <v:textbox style="mso-next-textbox:#_x0000_s1034">
                <w:txbxContent>
                  <w:p w:rsidR="00F77D89" w:rsidRPr="00283281" w:rsidRDefault="00F77D89" w:rsidP="00283281">
                    <w:pPr>
                      <w:pStyle w:val="FlowchartText"/>
                      <w:jc w:val="left"/>
                      <w:rPr>
                        <w:sz w:val="20"/>
                        <w:szCs w:val="20"/>
                      </w:rPr>
                    </w:pPr>
                    <w:r>
                      <w:rPr>
                        <w:sz w:val="20"/>
                        <w:szCs w:val="20"/>
                      </w:rPr>
                      <w:t xml:space="preserve">Other e.g. </w:t>
                    </w:r>
                    <w:r>
                      <w:rPr>
                        <w:sz w:val="20"/>
                        <w:szCs w:val="20"/>
                      </w:rPr>
                      <w:br/>
                      <w:t>nutritional substances</w:t>
                    </w:r>
                  </w:p>
                  <w:p w:rsidR="00F77D89" w:rsidRPr="000B7738" w:rsidRDefault="00F77D89" w:rsidP="00AA37CC"/>
                </w:txbxContent>
              </v:textbox>
            </v:shape>
            <v:shape id="_x0000_s1035" type="#_x0000_t202" style="position:absolute;left:2030;top:7040;width:5196;height:1488" fillcolor="#c6d4e9">
              <v:textbox style="mso-next-textbox:#_x0000_s1035">
                <w:txbxContent>
                  <w:p w:rsidR="00F77D89" w:rsidRPr="00283281" w:rsidRDefault="00F77D89" w:rsidP="00F0535A">
                    <w:pPr>
                      <w:pStyle w:val="FlowchartText"/>
                      <w:jc w:val="left"/>
                      <w:rPr>
                        <w:sz w:val="20"/>
                        <w:szCs w:val="20"/>
                      </w:rPr>
                    </w:pPr>
                    <w:r w:rsidRPr="00283281">
                      <w:rPr>
                        <w:sz w:val="20"/>
                        <w:szCs w:val="20"/>
                      </w:rPr>
                      <w:t>Traditional medicines e.g.</w:t>
                    </w:r>
                    <w:r w:rsidRPr="00283281">
                      <w:rPr>
                        <w:sz w:val="20"/>
                        <w:szCs w:val="20"/>
                      </w:rPr>
                      <w:br/>
                      <w:t>-Traditional Chinese me</w:t>
                    </w:r>
                    <w:r w:rsidR="00D758FF">
                      <w:rPr>
                        <w:sz w:val="20"/>
                        <w:szCs w:val="20"/>
                      </w:rPr>
                      <w:t>dicine</w:t>
                    </w:r>
                    <w:r w:rsidR="00D758FF">
                      <w:rPr>
                        <w:sz w:val="20"/>
                        <w:szCs w:val="20"/>
                      </w:rPr>
                      <w:br/>
                      <w:t>-</w:t>
                    </w:r>
                    <w:proofErr w:type="spellStart"/>
                    <w:r w:rsidR="00D758FF">
                      <w:rPr>
                        <w:sz w:val="20"/>
                        <w:szCs w:val="20"/>
                      </w:rPr>
                      <w:t>Ayurvedic</w:t>
                    </w:r>
                    <w:proofErr w:type="spellEnd"/>
                    <w:r w:rsidR="00D758FF">
                      <w:rPr>
                        <w:sz w:val="20"/>
                        <w:szCs w:val="20"/>
                      </w:rPr>
                      <w:t xml:space="preserve"> medicine</w:t>
                    </w:r>
                    <w:r w:rsidR="00D758FF">
                      <w:rPr>
                        <w:sz w:val="20"/>
                        <w:szCs w:val="20"/>
                      </w:rPr>
                      <w:br/>
                      <w:t>-Abor</w:t>
                    </w:r>
                    <w:r w:rsidRPr="00283281">
                      <w:rPr>
                        <w:sz w:val="20"/>
                        <w:szCs w:val="20"/>
                      </w:rPr>
                      <w:t>iginal and Torres Strait Isl</w:t>
                    </w:r>
                    <w:r w:rsidR="00D758FF">
                      <w:rPr>
                        <w:sz w:val="20"/>
                        <w:szCs w:val="20"/>
                      </w:rPr>
                      <w:t>a</w:t>
                    </w:r>
                    <w:r w:rsidRPr="00283281">
                      <w:rPr>
                        <w:sz w:val="20"/>
                        <w:szCs w:val="20"/>
                      </w:rPr>
                      <w:t>nder medicine</w:t>
                    </w:r>
                  </w:p>
                  <w:p w:rsidR="00F77D89" w:rsidRDefault="00F77D89" w:rsidP="00F0535A">
                    <w:pPr>
                      <w:pStyle w:val="FlowchartText"/>
                      <w:jc w:val="left"/>
                    </w:pPr>
                  </w:p>
                </w:txbxContent>
              </v:textbox>
            </v:shape>
            <v:shape id="_x0000_s1036" type="#_x0000_t202" style="position:absolute;left:4965;top:6055;width:1836;height:889" fillcolor="#c6d4e9">
              <v:textbox style="mso-next-textbox:#_x0000_s1036">
                <w:txbxContent>
                  <w:p w:rsidR="00F77D89" w:rsidRDefault="00F77D89" w:rsidP="00752497">
                    <w:pPr>
                      <w:pStyle w:val="FlowchartText"/>
                      <w:jc w:val="left"/>
                    </w:pPr>
                    <w:proofErr w:type="spellStart"/>
                    <w:r w:rsidRPr="00283281">
                      <w:rPr>
                        <w:sz w:val="20"/>
                        <w:szCs w:val="20"/>
                      </w:rPr>
                      <w:t>Anthroposophic</w:t>
                    </w:r>
                    <w:proofErr w:type="spellEnd"/>
                    <w:r w:rsidRPr="00283281">
                      <w:rPr>
                        <w:sz w:val="20"/>
                        <w:szCs w:val="20"/>
                      </w:rPr>
                      <w:t xml:space="preserve"> medicines</w:t>
                    </w:r>
                  </w:p>
                </w:txbxContent>
              </v:textbox>
            </v:shape>
            <v:shape id="_x0000_s1037" type="#_x0000_t202" style="position:absolute;left:7226;top:6055;width:2520;height:840" fillcolor="#c6d4e9">
              <v:textbox style="mso-next-textbox:#_x0000_s1037">
                <w:txbxContent>
                  <w:p w:rsidR="00F77D89" w:rsidRDefault="00F77D89" w:rsidP="00752497">
                    <w:pPr>
                      <w:pStyle w:val="FlowchartText"/>
                      <w:jc w:val="left"/>
                    </w:pPr>
                    <w:r w:rsidRPr="00283281">
                      <w:rPr>
                        <w:sz w:val="20"/>
                        <w:szCs w:val="20"/>
                      </w:rPr>
                      <w:t>Vitamins and minerals</w:t>
                    </w:r>
                  </w:p>
                </w:txbxContent>
              </v:textbox>
            </v:shape>
            <v:shape id="_x0000_s1038" type="#_x0000_t32" style="position:absolute;left:8233;top:4599;width:1;height:1456" o:connectortype="straight"/>
            <v:shape id="_x0000_s1040" type="#_x0000_t32" style="position:absolute;left:3574;top:4599;width:1;height:2441" o:connectortype="straight"/>
            <v:shape id="_x0000_s1041" type="#_x0000_t34" style="position:absolute;left:5899;top:1825;width:1;height:6263;rotation:270;flip:y" o:connectortype="elbow" adj="-7776000,-33919,57153600"/>
            <v:shape id="_x0000_s1042" type="#_x0000_t32" style="position:absolute;left:5856;top:4200;width:27;height:1855" o:connectortype="straight"/>
            <v:shape id="_x0000_s1043" type="#_x0000_t32" style="position:absolute;left:6886;top:4599;width:1;height:373;flip:y" o:connectortype="straight"/>
            <v:shape id="_x0000_s1044" type="#_x0000_t32" style="position:absolute;left:4682;top:4599;width:2;height:358;flip:y" o:connectortype="straight"/>
            <w10:wrap type="none"/>
            <w10:anchorlock/>
          </v:group>
        </w:pict>
      </w:r>
    </w:p>
    <w:p w:rsidR="00752497" w:rsidRDefault="0073584A">
      <w:pPr>
        <w:pStyle w:val="Heading4"/>
      </w:pPr>
      <w:bookmarkStart w:id="27" w:name="_Toc337635107"/>
      <w:r>
        <w:t>Herbal medicines</w:t>
      </w:r>
      <w:bookmarkEnd w:id="27"/>
    </w:p>
    <w:p w:rsidR="00E911E4" w:rsidRDefault="00E911E4" w:rsidP="00777250">
      <w:pPr>
        <w:pStyle w:val="Heading5"/>
      </w:pPr>
      <w:r>
        <w:t xml:space="preserve">Definition of herbal substance </w:t>
      </w:r>
    </w:p>
    <w:p w:rsidR="00E911E4" w:rsidRDefault="00E911E4" w:rsidP="00E911E4">
      <w:r>
        <w:t>In Australia, herbal substances are regulated as ingredients in complementary medicines. These medicines may be either listed (low risk) or registered (higher risk) on the ARTG. The eligibility of specific ingredients, including herbs, for use in listed medicines is determined by the TGA (refer Attachment 2). Herbal ingredients used in registered medicines are evaluated as part of the application for approval of the medicine.</w:t>
      </w:r>
    </w:p>
    <w:p w:rsidR="00E911E4" w:rsidRDefault="00E911E4" w:rsidP="00E911E4">
      <w:r>
        <w:t xml:space="preserve">Herbal medicines are therapeutic goods that are, or contain as the major active ingredient(s), herbal substances. Herbal substances are preparations of plants, and other organisms that are treated as plants in the International Code of Botanical Nomenclature, such as fungi, algae and yeast. </w:t>
      </w:r>
    </w:p>
    <w:p w:rsidR="00E911E4" w:rsidRDefault="00E911E4" w:rsidP="00E911E4">
      <w:r>
        <w:t>A definition for herbal substances is provided in Re</w:t>
      </w:r>
      <w:r w:rsidR="00777250">
        <w:t>gulation 2 of the Regulations:</w:t>
      </w:r>
    </w:p>
    <w:p w:rsidR="00E911E4" w:rsidRPr="00777250" w:rsidRDefault="00E911E4" w:rsidP="00E911E4">
      <w:pPr>
        <w:ind w:left="720"/>
        <w:rPr>
          <w:i/>
        </w:rPr>
      </w:pPr>
      <w:r w:rsidRPr="00777250">
        <w:rPr>
          <w:i/>
        </w:rPr>
        <w:t>herbal substance means all or part of a plant or substance (other than a pure chemical or a substance of bacterial origin):</w:t>
      </w:r>
    </w:p>
    <w:p w:rsidR="00E911E4" w:rsidRPr="00777250" w:rsidRDefault="00E911E4" w:rsidP="00E911E4">
      <w:pPr>
        <w:ind w:left="720"/>
        <w:rPr>
          <w:i/>
        </w:rPr>
      </w:pPr>
      <w:r w:rsidRPr="00777250">
        <w:rPr>
          <w:i/>
        </w:rPr>
        <w:t xml:space="preserve">(a) that is obtained only by drying, crushing, distilling, extracting, expressing, </w:t>
      </w:r>
      <w:proofErr w:type="spellStart"/>
      <w:r w:rsidRPr="00777250">
        <w:rPr>
          <w:i/>
        </w:rPr>
        <w:t>comminuting</w:t>
      </w:r>
      <w:proofErr w:type="spellEnd"/>
      <w:r w:rsidRPr="00777250">
        <w:rPr>
          <w:i/>
        </w:rPr>
        <w:t xml:space="preserve">, mixing with an inert </w:t>
      </w:r>
      <w:proofErr w:type="spellStart"/>
      <w:r w:rsidRPr="00777250">
        <w:rPr>
          <w:i/>
        </w:rPr>
        <w:t>diluent</w:t>
      </w:r>
      <w:proofErr w:type="spellEnd"/>
      <w:r w:rsidRPr="00777250">
        <w:rPr>
          <w:i/>
        </w:rPr>
        <w:t xml:space="preserve"> substance or another herbal substance or mixing with water, ethanol, glycerol or aqueous ethanol; and </w:t>
      </w:r>
    </w:p>
    <w:p w:rsidR="00E911E4" w:rsidRPr="00777250" w:rsidRDefault="00E911E4" w:rsidP="00E911E4">
      <w:pPr>
        <w:ind w:left="720"/>
        <w:rPr>
          <w:i/>
        </w:rPr>
      </w:pPr>
      <w:r w:rsidRPr="00777250">
        <w:rPr>
          <w:i/>
        </w:rPr>
        <w:t>(b) that is not subjected to any other treatment or process other than a treatment or process that is necessary for its presentation in a pharmaceutical form]</w:t>
      </w:r>
    </w:p>
    <w:p w:rsidR="00E911E4" w:rsidRDefault="00E911E4" w:rsidP="00E911E4">
      <w:r>
        <w:t xml:space="preserve">The current regulatory system provides for listed medicines to contain a wide range of herbal substances provided that it can be adequately demonstrated that the herbal substance is safe and the product is low risk. Meeting the requirements of an herbal substance (above) is an important step for supporting the safety of the substance. The </w:t>
      </w:r>
      <w:r>
        <w:lastRenderedPageBreak/>
        <w:t>definition describes the types of herbal substances that are eligible to be included in listed medicines on the ARTG without further evaluation by the TGA.</w:t>
      </w:r>
    </w:p>
    <w:p w:rsidR="00E911E4" w:rsidRDefault="00E911E4" w:rsidP="00E911E4">
      <w:r>
        <w:t xml:space="preserve">Herbal ingredients differ from pharmaceutical ingredients in that </w:t>
      </w:r>
      <w:r w:rsidR="00283281">
        <w:t xml:space="preserve">they </w:t>
      </w:r>
      <w:r w:rsidR="009823B9">
        <w:t>may be</w:t>
      </w:r>
      <w:r>
        <w:t xml:space="preserve"> complex multi-component substances. It is important to note that significant changes in the chemical composition of herbal substances, as a result of natural variation or selective breeding / modification, may affect the safety of the originally approved material. Some manufacturing processes result in materials that do not meet the current definition of an herbal substance. These materials cannot be assumed to have the same safety profile of the herbal ingredient on which their safety was based. Ingredients that do not meet the definition are regarded as new substances and, as such, are not eligible for inclusion in listed medicines, unless they are evaluated and their safety demonstrated.</w:t>
      </w:r>
    </w:p>
    <w:p w:rsidR="00E911E4" w:rsidRDefault="00E911E4" w:rsidP="00E911E4">
      <w:r>
        <w:t>Refer Attachments 3 to 6 for more information on herbal substances.</w:t>
      </w:r>
    </w:p>
    <w:p w:rsidR="00E911E4" w:rsidRDefault="00E911E4" w:rsidP="00DF0CB8">
      <w:pPr>
        <w:pStyle w:val="Heading5"/>
      </w:pPr>
      <w:r w:rsidRPr="00E911E4">
        <w:t>Multi-ingredient products</w:t>
      </w:r>
    </w:p>
    <w:p w:rsidR="00E911E4" w:rsidRDefault="00E911E4" w:rsidP="00E911E4">
      <w:r>
        <w:t xml:space="preserve">Many herbal products consist of a combination of herbal ingredients, with the assumption that the ingredients contribute an undefined range and balance of pharmacologically active components to their overall therapeutic use. </w:t>
      </w:r>
    </w:p>
    <w:p w:rsidR="00E911E4" w:rsidRDefault="00E911E4" w:rsidP="00E911E4">
      <w:r>
        <w:t>Sponsors of multi-ingredient formulations should give consideration to the following:</w:t>
      </w:r>
    </w:p>
    <w:p w:rsidR="00E911E4" w:rsidRDefault="00E911E4" w:rsidP="00E911E4">
      <w:pPr>
        <w:pStyle w:val="ListBullet"/>
      </w:pPr>
      <w:r>
        <w:t>each active herbal ingredient and any claimed active component(s) should contribute toward the intended therapeutic purpose (see the (draft) Evidence Requirements)</w:t>
      </w:r>
    </w:p>
    <w:p w:rsidR="00E911E4" w:rsidRDefault="00E911E4" w:rsidP="00E911E4">
      <w:pPr>
        <w:pStyle w:val="ListBullet"/>
      </w:pPr>
      <w:r>
        <w:t>the ingredients should be chemically, pharmacologically and therapeutically compatible and are in appropriate and effective dosages</w:t>
      </w:r>
    </w:p>
    <w:p w:rsidR="00E911E4" w:rsidRDefault="00E911E4" w:rsidP="00E911E4">
      <w:pPr>
        <w:pStyle w:val="ListBullet"/>
      </w:pPr>
      <w:r>
        <w:t>no component should adversely affect the safety of the product to the point where the risk / benefit ratio is unacceptable; and</w:t>
      </w:r>
    </w:p>
    <w:p w:rsidR="00E911E4" w:rsidRDefault="00E911E4" w:rsidP="00E911E4">
      <w:pPr>
        <w:pStyle w:val="ListBullet"/>
      </w:pPr>
      <w:r>
        <w:t>the logic of the formulation in terms of the duration of effect of the active components in the body in relation, for instance, to the dosage regime, should be considered.</w:t>
      </w:r>
    </w:p>
    <w:p w:rsidR="00752497" w:rsidRDefault="00DF0CB8">
      <w:pPr>
        <w:keepNext/>
        <w:keepLines/>
        <w:rPr>
          <w:rStyle w:val="Heading4Char"/>
          <w:b w:val="0"/>
          <w:bCs w:val="0"/>
        </w:rPr>
      </w:pPr>
      <w:bookmarkStart w:id="28" w:name="_Toc337635108"/>
      <w:r w:rsidRPr="00DF0CB8">
        <w:rPr>
          <w:rStyle w:val="Heading4Char"/>
        </w:rPr>
        <w:t>Traditional medicines</w:t>
      </w:r>
      <w:bookmarkEnd w:id="28"/>
    </w:p>
    <w:p w:rsidR="00DF0CB8" w:rsidRDefault="00DF0CB8" w:rsidP="00E911E4">
      <w:r w:rsidRPr="00DF0CB8">
        <w:t xml:space="preserve">Traditional medicine includes a diverse range of health practices, approaches, knowledge and beliefs incorporating medicines of plant, animal and/or mineral origin. Traditional complementary medicines include: Chinese medicine, </w:t>
      </w:r>
      <w:proofErr w:type="spellStart"/>
      <w:r w:rsidRPr="00DF0CB8">
        <w:t>Ayurvedic</w:t>
      </w:r>
      <w:proofErr w:type="spellEnd"/>
      <w:r w:rsidRPr="00DF0CB8">
        <w:t xml:space="preserve"> medicine, Aboriginal and Torres Strait Islander medicine and other indigenous medicine paradigms.</w:t>
      </w:r>
    </w:p>
    <w:p w:rsidR="00E911E4" w:rsidRDefault="00E911E4" w:rsidP="00E911E4">
      <w:r>
        <w:t xml:space="preserve">Traditional use is defined in </w:t>
      </w:r>
      <w:r w:rsidR="00DF0CB8">
        <w:t xml:space="preserve">Part 1(2) of </w:t>
      </w:r>
      <w:r>
        <w:t xml:space="preserve">the Regulations </w:t>
      </w:r>
    </w:p>
    <w:p w:rsidR="00E911E4" w:rsidRPr="00DF0CB8" w:rsidRDefault="00E911E4" w:rsidP="00E911E4">
      <w:pPr>
        <w:ind w:left="720"/>
        <w:rPr>
          <w:i/>
        </w:rPr>
      </w:pPr>
      <w:r w:rsidRPr="00DF0CB8">
        <w:rPr>
          <w:b/>
          <w:i/>
        </w:rPr>
        <w:t>traditional use</w:t>
      </w:r>
      <w:r w:rsidRPr="00DF0CB8">
        <w:rPr>
          <w:i/>
        </w:rPr>
        <w:t>, for a designated active ingredient, means use of the designated active ingredient that:</w:t>
      </w:r>
    </w:p>
    <w:p w:rsidR="00E911E4" w:rsidRPr="00DF0CB8" w:rsidRDefault="00E911E4" w:rsidP="00E911E4">
      <w:pPr>
        <w:ind w:left="720"/>
        <w:rPr>
          <w:i/>
        </w:rPr>
      </w:pPr>
      <w:r w:rsidRPr="00DF0CB8">
        <w:rPr>
          <w:i/>
        </w:rPr>
        <w:t>a) is well documented, or otherwise established, according to the accumulated experience of many traditional health care practitioners over an extended period of time; and</w:t>
      </w:r>
    </w:p>
    <w:p w:rsidR="00E911E4" w:rsidRPr="00DF0CB8" w:rsidRDefault="00E911E4" w:rsidP="00E911E4">
      <w:pPr>
        <w:ind w:left="720"/>
        <w:rPr>
          <w:i/>
        </w:rPr>
      </w:pPr>
      <w:r w:rsidRPr="00DF0CB8">
        <w:rPr>
          <w:i/>
        </w:rPr>
        <w:t>(b) accords with well-established procedures of preparation, application and dosage</w:t>
      </w:r>
    </w:p>
    <w:p w:rsidR="00E911E4" w:rsidRDefault="00E911E4" w:rsidP="00E911E4">
      <w:r>
        <w:t>According to the (draft) Evidence Requirements an established tradition of use is considered to be 3 generations of human use, equating to not less than 75 years. Refer to these guidelines for the evidence required and the types of indications permitted for traditional medicines.</w:t>
      </w:r>
    </w:p>
    <w:p w:rsidR="00E911E4" w:rsidRDefault="00E911E4" w:rsidP="00F0535A">
      <w:pPr>
        <w:pStyle w:val="Heading4"/>
        <w:keepNext/>
        <w:keepLines/>
      </w:pPr>
      <w:bookmarkStart w:id="29" w:name="_Toc337635109"/>
      <w:r>
        <w:lastRenderedPageBreak/>
        <w:t>Homoeopathic medicines</w:t>
      </w:r>
      <w:bookmarkEnd w:id="29"/>
      <w:r>
        <w:t xml:space="preserve"> </w:t>
      </w:r>
    </w:p>
    <w:p w:rsidR="00E911E4" w:rsidRDefault="00E911E4" w:rsidP="00F0535A">
      <w:pPr>
        <w:keepNext/>
        <w:keepLines/>
      </w:pPr>
      <w:r>
        <w:t>In Australia, homoeopathic medicines are considered to be low risk medicines as they consist of highly diluted preparations which contain little to no amount of the starting material. This is reflected in the level of regulation that applies to homoeopathic medicines.</w:t>
      </w:r>
    </w:p>
    <w:p w:rsidR="00E911E4" w:rsidRDefault="00E911E4" w:rsidP="00E911E4">
      <w:r>
        <w:t>Homoeopathic medicines are derived from a wide variety of natural source materials, mostly plants and minerals. Some of these source materials are poisonous (e.g.</w:t>
      </w:r>
      <w:r w:rsidRPr="00DF0CB8">
        <w:rPr>
          <w:i/>
        </w:rPr>
        <w:t xml:space="preserve"> </w:t>
      </w:r>
      <w:proofErr w:type="spellStart"/>
      <w:r w:rsidRPr="00DF0CB8">
        <w:rPr>
          <w:i/>
        </w:rPr>
        <w:t>Atropa</w:t>
      </w:r>
      <w:proofErr w:type="spellEnd"/>
      <w:r w:rsidRPr="00DF0CB8">
        <w:rPr>
          <w:i/>
        </w:rPr>
        <w:t xml:space="preserve"> belladonna</w:t>
      </w:r>
      <w:r>
        <w:t>), hence the importance of ensuring starting materials are processed appropriately. The highly diluted nature of homoeopathic preparations (refer to section on potency below) renders starting materials non-toxic and therefore safe for therapeutic use.</w:t>
      </w:r>
    </w:p>
    <w:p w:rsidR="00E911E4" w:rsidRDefault="00DF0CB8" w:rsidP="00E911E4">
      <w:r>
        <w:t>Part 1(2) of the</w:t>
      </w:r>
      <w:r w:rsidR="00E911E4">
        <w:t xml:space="preserve"> Regulations provides a definition of ‘homoeopathic preparation’, as well as inclusion and exemption criteria relating to homoeopathic medicines</w:t>
      </w:r>
      <w:r>
        <w:t>:</w:t>
      </w:r>
    </w:p>
    <w:p w:rsidR="00E911E4" w:rsidRPr="00DF0CB8" w:rsidRDefault="00E911E4" w:rsidP="00E911E4">
      <w:pPr>
        <w:ind w:left="720"/>
        <w:rPr>
          <w:i/>
        </w:rPr>
      </w:pPr>
      <w:r w:rsidRPr="00DF0CB8">
        <w:rPr>
          <w:b/>
          <w:i/>
        </w:rPr>
        <w:t>homoeopathic preparation</w:t>
      </w:r>
      <w:r w:rsidRPr="00DF0CB8">
        <w:rPr>
          <w:i/>
        </w:rPr>
        <w:t xml:space="preserve"> means a preparation:</w:t>
      </w:r>
    </w:p>
    <w:p w:rsidR="00E911E4" w:rsidRPr="00DF0CB8" w:rsidRDefault="00E911E4" w:rsidP="00E911E4">
      <w:pPr>
        <w:ind w:left="720"/>
        <w:rPr>
          <w:i/>
        </w:rPr>
      </w:pPr>
      <w:r w:rsidRPr="00DF0CB8">
        <w:rPr>
          <w:i/>
        </w:rPr>
        <w:t>a) formulated for use on the principle that it is capable of producing in a healthy person symptoms similar to those which it is administered to alleviate; and</w:t>
      </w:r>
    </w:p>
    <w:p w:rsidR="00E911E4" w:rsidRPr="00DF0CB8" w:rsidRDefault="00E911E4" w:rsidP="00FA1F51">
      <w:pPr>
        <w:ind w:left="1440"/>
        <w:rPr>
          <w:i/>
        </w:rPr>
      </w:pPr>
      <w:r w:rsidRPr="00DF0CB8">
        <w:rPr>
          <w:i/>
        </w:rPr>
        <w:t>b) prepared according to the practices of homoeopathic pharmacy using the methods of:</w:t>
      </w:r>
      <w:r w:rsidR="00FA1F51">
        <w:rPr>
          <w:i/>
        </w:rPr>
        <w:br/>
      </w:r>
      <w:proofErr w:type="spellStart"/>
      <w:r w:rsidRPr="00DF0CB8">
        <w:rPr>
          <w:i/>
        </w:rPr>
        <w:t>i</w:t>
      </w:r>
      <w:proofErr w:type="spellEnd"/>
      <w:r w:rsidRPr="00DF0CB8">
        <w:rPr>
          <w:i/>
        </w:rPr>
        <w:t>) serial dilution and succussion of a mother tincture in water, ethanol, aqueous ethanol or glycerol; or</w:t>
      </w:r>
      <w:r w:rsidR="00FA1F51">
        <w:rPr>
          <w:i/>
        </w:rPr>
        <w:br/>
      </w:r>
      <w:r w:rsidRPr="00DF0CB8">
        <w:rPr>
          <w:i/>
        </w:rPr>
        <w:t xml:space="preserve">ii) serial </w:t>
      </w:r>
      <w:proofErr w:type="spellStart"/>
      <w:r w:rsidRPr="00DF0CB8">
        <w:rPr>
          <w:i/>
        </w:rPr>
        <w:t>trituration</w:t>
      </w:r>
      <w:proofErr w:type="spellEnd"/>
      <w:r w:rsidRPr="00DF0CB8">
        <w:rPr>
          <w:i/>
        </w:rPr>
        <w:t xml:space="preserve"> in lactose</w:t>
      </w:r>
    </w:p>
    <w:p w:rsidR="00E911E4" w:rsidRDefault="00E911E4" w:rsidP="00E911E4">
      <w:r>
        <w:t xml:space="preserve">As of July 2011, a new definition of ‘homoeopathic preparation’ was incorporated into the </w:t>
      </w:r>
      <w:r w:rsidR="00DF0CB8">
        <w:t>Chapter 1, Section 3AA of the Act:</w:t>
      </w:r>
    </w:p>
    <w:p w:rsidR="00E911E4" w:rsidRPr="00DF0CB8" w:rsidRDefault="00E911E4" w:rsidP="00E911E4">
      <w:pPr>
        <w:ind w:left="720"/>
        <w:rPr>
          <w:i/>
        </w:rPr>
      </w:pPr>
      <w:r w:rsidRPr="00DF0CB8">
        <w:rPr>
          <w:b/>
          <w:i/>
        </w:rPr>
        <w:t>homoeopathic preparation</w:t>
      </w:r>
      <w:r w:rsidRPr="00DF0CB8">
        <w:rPr>
          <w:i/>
        </w:rPr>
        <w:t xml:space="preserve"> means a preparation:</w:t>
      </w:r>
    </w:p>
    <w:p w:rsidR="00E911E4" w:rsidRPr="00DF0CB8" w:rsidRDefault="00E911E4" w:rsidP="00E911E4">
      <w:pPr>
        <w:ind w:left="720"/>
        <w:rPr>
          <w:i/>
        </w:rPr>
      </w:pPr>
      <w:r w:rsidRPr="00DF0CB8">
        <w:rPr>
          <w:i/>
        </w:rPr>
        <w:t>a) manufactured from a mother substance; and</w:t>
      </w:r>
    </w:p>
    <w:p w:rsidR="00E911E4" w:rsidRPr="00DF0CB8" w:rsidRDefault="00E911E4" w:rsidP="00E911E4">
      <w:pPr>
        <w:ind w:left="720"/>
        <w:rPr>
          <w:i/>
        </w:rPr>
      </w:pPr>
      <w:r w:rsidRPr="00DF0CB8">
        <w:rPr>
          <w:i/>
        </w:rPr>
        <w:t>b) manufactured in accordance with a manufacturing procedure described in a homoeopathic pharmacopoeia.</w:t>
      </w:r>
    </w:p>
    <w:tbl>
      <w:tblPr>
        <w:tblW w:w="9038" w:type="dxa"/>
        <w:tblLayout w:type="fixed"/>
        <w:tblCellMar>
          <w:left w:w="0" w:type="dxa"/>
          <w:right w:w="0" w:type="dxa"/>
        </w:tblCellMar>
        <w:tblLook w:val="04A0"/>
      </w:tblPr>
      <w:tblGrid>
        <w:gridCol w:w="1276"/>
        <w:gridCol w:w="7762"/>
      </w:tblGrid>
      <w:tr w:rsidR="00E911E4" w:rsidRPr="001525B4" w:rsidTr="001A41DA">
        <w:trPr>
          <w:trHeight w:val="1206"/>
        </w:trPr>
        <w:tc>
          <w:tcPr>
            <w:tcW w:w="1276" w:type="dxa"/>
            <w:vAlign w:val="center"/>
          </w:tcPr>
          <w:p w:rsidR="00E911E4" w:rsidRPr="001525B4" w:rsidRDefault="00E911E4" w:rsidP="001A41DA">
            <w:pPr>
              <w:spacing w:before="0"/>
              <w:rPr>
                <w:sz w:val="20"/>
              </w:rPr>
            </w:pPr>
            <w:r w:rsidRPr="001525B4">
              <w:rPr>
                <w:noProof/>
                <w:sz w:val="20"/>
                <w:lang w:eastAsia="en-AU"/>
              </w:rPr>
              <w:drawing>
                <wp:inline distT="0" distB="0" distL="0" distR="0">
                  <wp:extent cx="487681" cy="487681"/>
                  <wp:effectExtent l="19050" t="0" r="7619" b="0"/>
                  <wp:docPr id="15" name="Picture 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911E4" w:rsidRPr="001525B4" w:rsidRDefault="00E911E4" w:rsidP="001A41DA">
            <w:r w:rsidRPr="00E911E4">
              <w:t>TGA note: Until changes are made to subordinate legislation to reflect the new definition in the Act, the existing definition of ‘homoeopathic preparation’ in the Regulations will continue to apply.</w:t>
            </w:r>
          </w:p>
        </w:tc>
      </w:tr>
    </w:tbl>
    <w:p w:rsidR="00E911E4" w:rsidRDefault="00E911E4" w:rsidP="00D05DE7">
      <w:pPr>
        <w:pStyle w:val="Heading5"/>
      </w:pPr>
      <w:r>
        <w:t>Homoeopathic potency</w:t>
      </w:r>
    </w:p>
    <w:p w:rsidR="00E911E4" w:rsidRDefault="00E911E4" w:rsidP="00E911E4">
      <w:r>
        <w:t xml:space="preserve">Homoeopathic medicines are manufactured to different medicinal strengths or ‘potencies’ according to manufacturing standards described in homoeopathic Pharmacopoeias e.g. the </w:t>
      </w:r>
      <w:r w:rsidRPr="00DF0CB8">
        <w:rPr>
          <w:i/>
        </w:rPr>
        <w:t>German Homoeopathic Pharmacopoeia</w:t>
      </w:r>
      <w:r>
        <w:t xml:space="preserve">; the </w:t>
      </w:r>
      <w:r w:rsidRPr="00DF0CB8">
        <w:rPr>
          <w:i/>
        </w:rPr>
        <w:t>Homoeopathic Pharmacopoeia of the United States</w:t>
      </w:r>
      <w:r>
        <w:t xml:space="preserve">; the </w:t>
      </w:r>
      <w:r w:rsidRPr="00DF0CB8">
        <w:rPr>
          <w:i/>
        </w:rPr>
        <w:t>French Pharmacopoeia</w:t>
      </w:r>
      <w:r>
        <w:t xml:space="preserve">, the </w:t>
      </w:r>
      <w:r w:rsidRPr="00DF0CB8">
        <w:rPr>
          <w:i/>
        </w:rPr>
        <w:t>British Pharmacopoeia</w:t>
      </w:r>
      <w:r>
        <w:t xml:space="preserve"> and the </w:t>
      </w:r>
      <w:r w:rsidRPr="00DF0CB8">
        <w:rPr>
          <w:i/>
        </w:rPr>
        <w:t>European Pharmacopoeia</w:t>
      </w:r>
      <w:r>
        <w:t>.</w:t>
      </w:r>
    </w:p>
    <w:p w:rsidR="00E911E4" w:rsidRDefault="00E911E4" w:rsidP="00F0535A">
      <w:pPr>
        <w:keepNext/>
        <w:keepLines/>
      </w:pPr>
      <w:r>
        <w:lastRenderedPageBreak/>
        <w:t>Clause 2 of TGO 69 provides a definition for ‘homoeopathic potency’:</w:t>
      </w:r>
    </w:p>
    <w:p w:rsidR="00E911E4" w:rsidRPr="00DF0CB8" w:rsidRDefault="00E911E4" w:rsidP="00F0535A">
      <w:pPr>
        <w:keepNext/>
        <w:keepLines/>
        <w:ind w:left="720"/>
        <w:rPr>
          <w:i/>
        </w:rPr>
      </w:pPr>
      <w:r w:rsidRPr="00DF0CB8">
        <w:rPr>
          <w:i/>
        </w:rPr>
        <w:t>‘</w:t>
      </w:r>
      <w:r w:rsidRPr="00DF0CB8">
        <w:rPr>
          <w:b/>
          <w:i/>
        </w:rPr>
        <w:t>homoeopathic potency’</w:t>
      </w:r>
      <w:r w:rsidRPr="00DF0CB8">
        <w:rPr>
          <w:i/>
        </w:rPr>
        <w:t xml:space="preserve"> means the dilution factor expressed as:</w:t>
      </w:r>
    </w:p>
    <w:p w:rsidR="00E911E4" w:rsidRPr="00DF0CB8" w:rsidRDefault="00E911E4" w:rsidP="00F0535A">
      <w:pPr>
        <w:keepNext/>
        <w:keepLines/>
        <w:ind w:left="720"/>
        <w:rPr>
          <w:i/>
        </w:rPr>
      </w:pPr>
      <w:r w:rsidRPr="00DF0CB8">
        <w:rPr>
          <w:i/>
        </w:rPr>
        <w:t>(a) ‘</w:t>
      </w:r>
      <w:proofErr w:type="spellStart"/>
      <w:r w:rsidRPr="00DF0CB8">
        <w:rPr>
          <w:i/>
        </w:rPr>
        <w:t>nX</w:t>
      </w:r>
      <w:proofErr w:type="spellEnd"/>
      <w:r w:rsidRPr="00DF0CB8">
        <w:rPr>
          <w:i/>
        </w:rPr>
        <w:t xml:space="preserve">’, where each dilution is a decimal or tenfold dilution and ‘n’ is the number of dilutions such that the total dilution is 10n; or </w:t>
      </w:r>
    </w:p>
    <w:p w:rsidR="00E911E4" w:rsidRPr="00DF0CB8" w:rsidRDefault="00E911E4" w:rsidP="00F0535A">
      <w:pPr>
        <w:keepNext/>
        <w:keepLines/>
        <w:ind w:left="720"/>
        <w:rPr>
          <w:i/>
        </w:rPr>
      </w:pPr>
      <w:r w:rsidRPr="00DF0CB8">
        <w:rPr>
          <w:i/>
        </w:rPr>
        <w:t>(b) ‘</w:t>
      </w:r>
      <w:proofErr w:type="spellStart"/>
      <w:r w:rsidRPr="00DF0CB8">
        <w:rPr>
          <w:i/>
        </w:rPr>
        <w:t>nC</w:t>
      </w:r>
      <w:proofErr w:type="spellEnd"/>
      <w:r w:rsidRPr="00DF0CB8">
        <w:rPr>
          <w:i/>
        </w:rPr>
        <w:t>’, where each dilution is a centesimal or hundred fold dilution and ‘n’ is the number of dilutions such that the total dilution is 100n.</w:t>
      </w:r>
    </w:p>
    <w:p w:rsidR="00E911E4" w:rsidRDefault="00E911E4" w:rsidP="00E911E4">
      <w:r>
        <w:t>Expression of homeopathic potencies:</w:t>
      </w:r>
    </w:p>
    <w:p w:rsidR="00E911E4" w:rsidRDefault="00E911E4" w:rsidP="00E911E4">
      <w:pPr>
        <w:pStyle w:val="ListBullet"/>
      </w:pPr>
      <w:r>
        <w:t xml:space="preserve">An ‘X’ (or ‘D’) potency in homoeopathic terms means that a preparation is diluted 10-fold at each </w:t>
      </w:r>
      <w:proofErr w:type="spellStart"/>
      <w:r>
        <w:t>potentisation</w:t>
      </w:r>
      <w:proofErr w:type="spellEnd"/>
      <w:r>
        <w:t xml:space="preserve"> step (the ‘decimal’ scale). A 1X potency represents a 1:10 dilution; 2X a 1:100 dilution; 3X a 1:1,000 dilution; 5X a 1:100,000 dilution etc.</w:t>
      </w:r>
    </w:p>
    <w:p w:rsidR="00E911E4" w:rsidRDefault="00E911E4" w:rsidP="00E911E4">
      <w:pPr>
        <w:pStyle w:val="ListBullet"/>
      </w:pPr>
      <w:r>
        <w:t xml:space="preserve">A ‘C’ denotes a 100-fold dilution at each </w:t>
      </w:r>
      <w:proofErr w:type="spellStart"/>
      <w:r>
        <w:t>potentisation</w:t>
      </w:r>
      <w:proofErr w:type="spellEnd"/>
      <w:r>
        <w:t xml:space="preserve"> step (the ‘centesimal’ scale). A 1C potency represents a 1:100 dilution; 2C a 1:10,000 dilution; 3C a 1:1,000,000 dilution etc.</w:t>
      </w:r>
    </w:p>
    <w:p w:rsidR="00E911E4" w:rsidRDefault="00E911E4" w:rsidP="00E911E4">
      <w:pPr>
        <w:pStyle w:val="ListBullet"/>
      </w:pPr>
      <w:r>
        <w:t xml:space="preserve">‘M’ is the abbreviation used for a 1,000C potency; it refers to a homoeopathic preparation that has undergone 1,000 </w:t>
      </w:r>
      <w:proofErr w:type="spellStart"/>
      <w:r>
        <w:t>potentisation</w:t>
      </w:r>
      <w:proofErr w:type="spellEnd"/>
      <w:r>
        <w:t xml:space="preserve"> steps in the centesimal scale.</w:t>
      </w:r>
    </w:p>
    <w:p w:rsidR="00E911E4" w:rsidRDefault="00E911E4" w:rsidP="00E911E4">
      <w:pPr>
        <w:pStyle w:val="ListBullet"/>
      </w:pPr>
      <w:r>
        <w:t xml:space="preserve">‘LM’ (or ‘Q’) refers to preparations that are diluted 1:50,000 from material first </w:t>
      </w:r>
      <w:proofErr w:type="spellStart"/>
      <w:r>
        <w:t>potentised</w:t>
      </w:r>
      <w:proofErr w:type="spellEnd"/>
      <w:r>
        <w:t xml:space="preserve"> to 3C (the ‘</w:t>
      </w:r>
      <w:proofErr w:type="spellStart"/>
      <w:r>
        <w:t>quinquagintamillesimal</w:t>
      </w:r>
      <w:proofErr w:type="spellEnd"/>
      <w:r>
        <w:t>’ scale. A LM/01 (or Q/01) potency represents a 1:50,000 dilution from a 3C starting potency; LM/02 a 1:50,000 dilution from a LM/01 potency; LM/03 a 1:50,000 dilution from a LM/02 potency etc.</w:t>
      </w:r>
    </w:p>
    <w:p w:rsidR="00E911E4" w:rsidRDefault="00E911E4" w:rsidP="00D05DE7">
      <w:pPr>
        <w:pStyle w:val="Heading5"/>
      </w:pPr>
      <w:r>
        <w:t>Homoeopathic preparations required to be listed on the ARTG</w:t>
      </w:r>
    </w:p>
    <w:p w:rsidR="00E911E4" w:rsidRDefault="00E911E4" w:rsidP="00E911E4">
      <w:r>
        <w:t>Schedule 4</w:t>
      </w:r>
      <w:r w:rsidR="00DF0CB8">
        <w:t>A</w:t>
      </w:r>
      <w:r>
        <w:t xml:space="preserve"> of the Regulations outlines those therapeutic goods that can be included in the part of the ARTG for listed goods:</w:t>
      </w:r>
    </w:p>
    <w:p w:rsidR="00E911E4" w:rsidRPr="00DF0CB8" w:rsidRDefault="00E911E4" w:rsidP="0048672F">
      <w:pPr>
        <w:ind w:left="720"/>
        <w:rPr>
          <w:i/>
        </w:rPr>
      </w:pPr>
      <w:r w:rsidRPr="00DF0CB8">
        <w:rPr>
          <w:i/>
        </w:rPr>
        <w:t>homoeopathic preparations that:</w:t>
      </w:r>
    </w:p>
    <w:p w:rsidR="00E911E4" w:rsidRPr="00DF0CB8" w:rsidRDefault="00DF0CB8" w:rsidP="0048672F">
      <w:pPr>
        <w:ind w:left="720"/>
        <w:rPr>
          <w:i/>
        </w:rPr>
      </w:pPr>
      <w:r>
        <w:rPr>
          <w:i/>
        </w:rPr>
        <w:t xml:space="preserve">a) </w:t>
      </w:r>
      <w:r w:rsidR="00E911E4" w:rsidRPr="00DF0CB8">
        <w:rPr>
          <w:i/>
        </w:rPr>
        <w:t>consist of, or contain a dilution of, mother tincture that:</w:t>
      </w:r>
    </w:p>
    <w:p w:rsidR="00E911E4" w:rsidRPr="00DF0CB8" w:rsidRDefault="00DF0CB8" w:rsidP="00DF0CB8">
      <w:pPr>
        <w:ind w:left="1440"/>
        <w:rPr>
          <w:i/>
        </w:rPr>
      </w:pPr>
      <w:proofErr w:type="spellStart"/>
      <w:r>
        <w:rPr>
          <w:i/>
        </w:rPr>
        <w:t>i</w:t>
      </w:r>
      <w:proofErr w:type="spellEnd"/>
      <w:r>
        <w:rPr>
          <w:i/>
        </w:rPr>
        <w:t xml:space="preserve">) </w:t>
      </w:r>
      <w:r w:rsidR="00E911E4" w:rsidRPr="00DF0CB8">
        <w:rPr>
          <w:i/>
        </w:rPr>
        <w:t>is a 1,000 fold dilution, or a lesser dilution, of that mother tincture; and</w:t>
      </w:r>
    </w:p>
    <w:p w:rsidR="00E911E4" w:rsidRPr="00DF0CB8" w:rsidRDefault="00DF0CB8" w:rsidP="00DF0CB8">
      <w:pPr>
        <w:ind w:left="720" w:firstLine="720"/>
        <w:rPr>
          <w:i/>
        </w:rPr>
      </w:pPr>
      <w:r>
        <w:rPr>
          <w:i/>
        </w:rPr>
        <w:t xml:space="preserve">ii) </w:t>
      </w:r>
      <w:r w:rsidR="00E911E4" w:rsidRPr="00DF0CB8">
        <w:rPr>
          <w:i/>
        </w:rPr>
        <w:t>is not required to be sterile; and</w:t>
      </w:r>
    </w:p>
    <w:p w:rsidR="00E911E4" w:rsidRPr="00DF0CB8" w:rsidRDefault="00DF0CB8" w:rsidP="00D05BD5">
      <w:pPr>
        <w:ind w:left="1440"/>
        <w:rPr>
          <w:i/>
        </w:rPr>
      </w:pPr>
      <w:r>
        <w:rPr>
          <w:i/>
        </w:rPr>
        <w:t xml:space="preserve">iii) </w:t>
      </w:r>
      <w:r w:rsidR="00E911E4" w:rsidRPr="00DF0CB8">
        <w:rPr>
          <w:i/>
        </w:rPr>
        <w:t>is not included in a Schedule to the Poisons Standard or Appendix C of the Poisons Standard otherwise than because of a component that is more than a 1,000 fold dilution of a mother tincture; and</w:t>
      </w:r>
    </w:p>
    <w:p w:rsidR="00E911E4" w:rsidRPr="00DF0CB8" w:rsidRDefault="00DF0CB8" w:rsidP="0048672F">
      <w:pPr>
        <w:ind w:left="720"/>
        <w:rPr>
          <w:i/>
        </w:rPr>
      </w:pPr>
      <w:r>
        <w:rPr>
          <w:i/>
        </w:rPr>
        <w:t xml:space="preserve">b) </w:t>
      </w:r>
      <w:r w:rsidR="00E911E4" w:rsidRPr="00DF0CB8">
        <w:rPr>
          <w:i/>
        </w:rPr>
        <w:t>do not consist of, or contain as a component, a preparation of a herb specified in Part 4 of this Schedule as a 1,000 fold dilution, or a lesser dilution, of a mother tincture.</w:t>
      </w:r>
    </w:p>
    <w:p w:rsidR="00E911E4" w:rsidRPr="00DF0CB8" w:rsidRDefault="00E911E4" w:rsidP="0048672F">
      <w:pPr>
        <w:ind w:left="720"/>
        <w:rPr>
          <w:i/>
        </w:rPr>
      </w:pPr>
      <w:r w:rsidRPr="00DF0CB8">
        <w:rPr>
          <w:i/>
        </w:rPr>
        <w:t>homoeopathic preparations (where each dilution is more dilute than a one thousand fold dilution of a mother tincture), each of which:</w:t>
      </w:r>
    </w:p>
    <w:p w:rsidR="00E911E4" w:rsidRPr="00DF0CB8" w:rsidRDefault="00DF0CB8" w:rsidP="00DF0CB8">
      <w:pPr>
        <w:ind w:left="720" w:firstLine="720"/>
        <w:rPr>
          <w:i/>
        </w:rPr>
      </w:pPr>
      <w:r>
        <w:rPr>
          <w:i/>
        </w:rPr>
        <w:t xml:space="preserve">a) </w:t>
      </w:r>
      <w:r w:rsidR="00E911E4" w:rsidRPr="00DF0CB8">
        <w:rPr>
          <w:i/>
        </w:rPr>
        <w:t>is not required to be sterile; and</w:t>
      </w:r>
    </w:p>
    <w:p w:rsidR="00E911E4" w:rsidRPr="00DF0CB8" w:rsidRDefault="00DF0CB8" w:rsidP="00DF0CB8">
      <w:pPr>
        <w:ind w:left="1440"/>
        <w:rPr>
          <w:i/>
        </w:rPr>
      </w:pPr>
      <w:r>
        <w:rPr>
          <w:i/>
        </w:rPr>
        <w:t xml:space="preserve">b) </w:t>
      </w:r>
      <w:r w:rsidR="00E911E4" w:rsidRPr="00DF0CB8">
        <w:rPr>
          <w:i/>
        </w:rPr>
        <w:t>according to the indications proposed by the sponsor of the preparation, is for the treatment of a disease, condition, ailment or defect specified in Part 1 or 2 of Appendix 6 to the Therapeutic Goods Advertising Code</w:t>
      </w:r>
    </w:p>
    <w:p w:rsidR="00E911E4" w:rsidRDefault="00E911E4" w:rsidP="00D05DE7">
      <w:pPr>
        <w:pStyle w:val="Heading5"/>
      </w:pPr>
      <w:r>
        <w:lastRenderedPageBreak/>
        <w:t>Homoeopathic preparations exempt from listing on the ARTG</w:t>
      </w:r>
    </w:p>
    <w:p w:rsidR="00E911E4" w:rsidRDefault="00E911E4" w:rsidP="00E911E4">
      <w:r>
        <w:t>For the purposes of therapeutic goods regulation, it is considered that a homoeopathic preparation consisting of a one thousand fold (3X) or greater dilution of a mother tincture poses no safety risk</w:t>
      </w:r>
      <w:r w:rsidR="00651795">
        <w:t xml:space="preserve"> (where the starting material is not </w:t>
      </w:r>
      <w:r w:rsidR="00FA1F51">
        <w:t xml:space="preserve">subject to a restriction </w:t>
      </w:r>
      <w:r w:rsidR="00651795">
        <w:t>in a schedule of the SUSMP)</w:t>
      </w:r>
      <w:r>
        <w:t xml:space="preserve">. </w:t>
      </w:r>
      <w:r w:rsidR="00FA1F51">
        <w:t>W</w:t>
      </w:r>
      <w:r>
        <w:t>here an ingredient meets the definition of ‘homoeopathic preparation’ and meets the conditions set out under Schedule 5, Item 8 of the Regulations (provided in box below), it may be exempt from being listed on the ARTG and, in some cases, may not need to be manufactured under Good Manufacturing Practice (GMP). Note that this does not apply where the homoeopathic preparation is part of a product containing other ingredients requiring inclusion on the ARTG.</w:t>
      </w:r>
    </w:p>
    <w:p w:rsidR="00E911E4" w:rsidRDefault="00E911E4" w:rsidP="00E911E4">
      <w:r>
        <w:t>Homoeopathic medicines prepared by practitioners specifically for an individual patient after consultation with that patient do not need to be entered on the ARTG, as outlined in Schedule 5, Item 6 of the Regulations.</w:t>
      </w:r>
    </w:p>
    <w:p w:rsidR="00E911E4" w:rsidRPr="00DF0CB8" w:rsidRDefault="00E911E4" w:rsidP="0048672F">
      <w:pPr>
        <w:ind w:left="720"/>
        <w:rPr>
          <w:i/>
        </w:rPr>
      </w:pPr>
      <w:r w:rsidRPr="00DF0CB8">
        <w:rPr>
          <w:i/>
        </w:rPr>
        <w:t>Therapeutic goods exempt from the operation of Parts 3-2 and 3-2A of the Act (sub regulation 12 (1)):</w:t>
      </w:r>
    </w:p>
    <w:p w:rsidR="00E911E4" w:rsidRPr="00DF0CB8" w:rsidRDefault="00E911E4" w:rsidP="0048672F">
      <w:pPr>
        <w:ind w:left="720"/>
        <w:rPr>
          <w:i/>
        </w:rPr>
      </w:pPr>
      <w:r w:rsidRPr="00DF0CB8">
        <w:rPr>
          <w:i/>
        </w:rPr>
        <w:t>Item 6</w:t>
      </w:r>
      <w:r w:rsidR="00FA1F51">
        <w:rPr>
          <w:i/>
        </w:rPr>
        <w:br/>
      </w:r>
      <w:r w:rsidRPr="00DF0CB8">
        <w:rPr>
          <w:i/>
        </w:rPr>
        <w:t>medicines (other than medicines used for gene therapy) that are dispensed, or extemporaneously compounded, for a particular person for therapeutic application to that person</w:t>
      </w:r>
    </w:p>
    <w:p w:rsidR="00E911E4" w:rsidRPr="00DF0CB8" w:rsidRDefault="00E911E4" w:rsidP="0048672F">
      <w:pPr>
        <w:ind w:left="720"/>
        <w:rPr>
          <w:i/>
        </w:rPr>
      </w:pPr>
      <w:r w:rsidRPr="00DF0CB8">
        <w:rPr>
          <w:i/>
        </w:rPr>
        <w:t xml:space="preserve">Item 8 </w:t>
      </w:r>
      <w:r w:rsidR="00FA1F51">
        <w:rPr>
          <w:i/>
        </w:rPr>
        <w:br/>
      </w:r>
      <w:r w:rsidRPr="00DF0CB8">
        <w:rPr>
          <w:i/>
        </w:rPr>
        <w:t>the following medicines unless the indications proposed by the sponsor are in the treatment of a disease, condition, ailment or defect specified in Part 1 or 2 of Appendix 6 to the Therapeutic Goods Advertising Code (TGAC) Therapeutic Goods Advertising Code:</w:t>
      </w:r>
    </w:p>
    <w:p w:rsidR="00E911E4" w:rsidRPr="00DF0CB8" w:rsidRDefault="00DF0CB8" w:rsidP="0048672F">
      <w:pPr>
        <w:ind w:left="720"/>
        <w:rPr>
          <w:i/>
        </w:rPr>
      </w:pPr>
      <w:r w:rsidRPr="00DF0CB8">
        <w:rPr>
          <w:i/>
        </w:rPr>
        <w:t xml:space="preserve">a) </w:t>
      </w:r>
      <w:r w:rsidR="00E911E4" w:rsidRPr="00DF0CB8">
        <w:rPr>
          <w:i/>
        </w:rPr>
        <w:t xml:space="preserve">homoeopathic preparations more dilute than a one thousand fold dilution of a mother tincture and which are not required to be sterile and which do not include an ingredient of: </w:t>
      </w:r>
    </w:p>
    <w:p w:rsidR="00E911E4" w:rsidRPr="00DF0CB8" w:rsidRDefault="00DF0CB8" w:rsidP="0048672F">
      <w:pPr>
        <w:ind w:left="1440"/>
        <w:rPr>
          <w:i/>
        </w:rPr>
      </w:pPr>
      <w:proofErr w:type="spellStart"/>
      <w:r w:rsidRPr="00DF0CB8">
        <w:rPr>
          <w:i/>
        </w:rPr>
        <w:t>i</w:t>
      </w:r>
      <w:proofErr w:type="spellEnd"/>
      <w:r w:rsidRPr="00DF0CB8">
        <w:rPr>
          <w:i/>
        </w:rPr>
        <w:t xml:space="preserve">) </w:t>
      </w:r>
      <w:r w:rsidR="00E911E4" w:rsidRPr="00DF0CB8">
        <w:rPr>
          <w:i/>
        </w:rPr>
        <w:t>human origin; or</w:t>
      </w:r>
      <w:r w:rsidR="00FA1F51">
        <w:rPr>
          <w:i/>
        </w:rPr>
        <w:br/>
      </w:r>
      <w:r w:rsidRPr="00DF0CB8">
        <w:rPr>
          <w:i/>
        </w:rPr>
        <w:t xml:space="preserve">ii) </w:t>
      </w:r>
      <w:r w:rsidR="00E911E4" w:rsidRPr="00DF0CB8">
        <w:rPr>
          <w:i/>
        </w:rPr>
        <w:t>animal origin, if the ingredient consists of, or is derived from, any of the following parts of cattle, sheep, goats or mule deer</w:t>
      </w:r>
    </w:p>
    <w:p w:rsidR="00E911E4" w:rsidRPr="00DF0CB8" w:rsidRDefault="00DF0CB8" w:rsidP="0048672F">
      <w:pPr>
        <w:ind w:left="2160"/>
        <w:rPr>
          <w:i/>
        </w:rPr>
      </w:pPr>
      <w:r w:rsidRPr="00DF0CB8">
        <w:rPr>
          <w:i/>
        </w:rPr>
        <w:t xml:space="preserve">A) </w:t>
      </w:r>
      <w:r w:rsidR="00E911E4" w:rsidRPr="00DF0CB8">
        <w:rPr>
          <w:i/>
        </w:rPr>
        <w:t>adrenal</w:t>
      </w:r>
      <w:r w:rsidR="00FA1F51">
        <w:rPr>
          <w:i/>
        </w:rPr>
        <w:br/>
      </w:r>
      <w:r w:rsidRPr="00DF0CB8">
        <w:rPr>
          <w:i/>
        </w:rPr>
        <w:t xml:space="preserve">B) </w:t>
      </w:r>
      <w:r w:rsidR="00E911E4" w:rsidRPr="00DF0CB8">
        <w:rPr>
          <w:i/>
        </w:rPr>
        <w:t>brain</w:t>
      </w:r>
      <w:r w:rsidR="00FA1F51">
        <w:rPr>
          <w:i/>
        </w:rPr>
        <w:br/>
      </w:r>
      <w:r w:rsidRPr="00DF0CB8">
        <w:rPr>
          <w:i/>
        </w:rPr>
        <w:t xml:space="preserve">C) </w:t>
      </w:r>
      <w:r w:rsidR="00E911E4" w:rsidRPr="00DF0CB8">
        <w:rPr>
          <w:i/>
        </w:rPr>
        <w:t>cerebrospinal fluid</w:t>
      </w:r>
      <w:r w:rsidR="00FA1F51">
        <w:rPr>
          <w:i/>
        </w:rPr>
        <w:br/>
      </w:r>
      <w:r w:rsidRPr="00DF0CB8">
        <w:rPr>
          <w:i/>
        </w:rPr>
        <w:t xml:space="preserve">D) </w:t>
      </w:r>
      <w:proofErr w:type="spellStart"/>
      <w:r w:rsidRPr="00DF0CB8">
        <w:rPr>
          <w:i/>
        </w:rPr>
        <w:t>dura</w:t>
      </w:r>
      <w:proofErr w:type="spellEnd"/>
      <w:r w:rsidRPr="00DF0CB8">
        <w:rPr>
          <w:i/>
        </w:rPr>
        <w:t xml:space="preserve"> mater</w:t>
      </w:r>
      <w:r w:rsidR="00FA1F51">
        <w:rPr>
          <w:i/>
        </w:rPr>
        <w:br/>
      </w:r>
      <w:r w:rsidRPr="00DF0CB8">
        <w:rPr>
          <w:i/>
        </w:rPr>
        <w:t xml:space="preserve">E) </w:t>
      </w:r>
      <w:r w:rsidR="00E911E4" w:rsidRPr="00DF0CB8">
        <w:rPr>
          <w:i/>
        </w:rPr>
        <w:t>eye</w:t>
      </w:r>
      <w:r w:rsidR="00FA1F51">
        <w:rPr>
          <w:i/>
        </w:rPr>
        <w:br/>
      </w:r>
      <w:r w:rsidRPr="00DF0CB8">
        <w:rPr>
          <w:i/>
        </w:rPr>
        <w:t xml:space="preserve">F) </w:t>
      </w:r>
      <w:r w:rsidR="00E911E4" w:rsidRPr="00DF0CB8">
        <w:rPr>
          <w:i/>
        </w:rPr>
        <w:t>ileum</w:t>
      </w:r>
      <w:r w:rsidR="00FA1F51">
        <w:rPr>
          <w:i/>
        </w:rPr>
        <w:br/>
      </w:r>
      <w:r w:rsidRPr="00DF0CB8">
        <w:rPr>
          <w:i/>
        </w:rPr>
        <w:t xml:space="preserve">G) </w:t>
      </w:r>
      <w:r w:rsidR="00E911E4" w:rsidRPr="00DF0CB8">
        <w:rPr>
          <w:i/>
        </w:rPr>
        <w:t xml:space="preserve">lymph </w:t>
      </w:r>
      <w:r w:rsidR="00FA1F51">
        <w:rPr>
          <w:i/>
        </w:rPr>
        <w:t>n</w:t>
      </w:r>
      <w:r w:rsidR="00E911E4" w:rsidRPr="00DF0CB8">
        <w:rPr>
          <w:i/>
        </w:rPr>
        <w:t>odes</w:t>
      </w:r>
      <w:r w:rsidR="00FA1F51">
        <w:rPr>
          <w:i/>
        </w:rPr>
        <w:br/>
      </w:r>
      <w:r w:rsidRPr="00DF0CB8">
        <w:rPr>
          <w:i/>
        </w:rPr>
        <w:t xml:space="preserve">H) </w:t>
      </w:r>
      <w:r w:rsidR="00E911E4" w:rsidRPr="00DF0CB8">
        <w:rPr>
          <w:i/>
        </w:rPr>
        <w:t>pineal gland</w:t>
      </w:r>
      <w:r w:rsidR="00FA1F51">
        <w:rPr>
          <w:i/>
        </w:rPr>
        <w:br/>
      </w:r>
      <w:r w:rsidRPr="00DF0CB8">
        <w:rPr>
          <w:i/>
        </w:rPr>
        <w:t xml:space="preserve">I) </w:t>
      </w:r>
      <w:r w:rsidR="00E911E4" w:rsidRPr="00DF0CB8">
        <w:rPr>
          <w:i/>
        </w:rPr>
        <w:t>pituitary</w:t>
      </w:r>
      <w:r w:rsidR="00FA1F51">
        <w:rPr>
          <w:i/>
        </w:rPr>
        <w:br/>
      </w:r>
      <w:r w:rsidRPr="00DF0CB8">
        <w:rPr>
          <w:i/>
        </w:rPr>
        <w:t xml:space="preserve">J) </w:t>
      </w:r>
      <w:r w:rsidR="00E911E4" w:rsidRPr="00DF0CB8">
        <w:rPr>
          <w:i/>
        </w:rPr>
        <w:t>placenta</w:t>
      </w:r>
      <w:r w:rsidR="00FA1F51">
        <w:rPr>
          <w:i/>
        </w:rPr>
        <w:br/>
      </w:r>
      <w:r w:rsidRPr="00DF0CB8">
        <w:rPr>
          <w:i/>
        </w:rPr>
        <w:t xml:space="preserve">K) </w:t>
      </w:r>
      <w:r w:rsidR="00E911E4" w:rsidRPr="00DF0CB8">
        <w:rPr>
          <w:i/>
        </w:rPr>
        <w:t>proximal colon</w:t>
      </w:r>
      <w:r w:rsidR="00FA1F51">
        <w:rPr>
          <w:i/>
        </w:rPr>
        <w:br/>
      </w:r>
      <w:r w:rsidRPr="00DF0CB8">
        <w:rPr>
          <w:i/>
        </w:rPr>
        <w:t xml:space="preserve">L) </w:t>
      </w:r>
      <w:r w:rsidR="00E911E4" w:rsidRPr="00DF0CB8">
        <w:rPr>
          <w:i/>
        </w:rPr>
        <w:t>spinal cord</w:t>
      </w:r>
      <w:r w:rsidR="00FA1F51">
        <w:rPr>
          <w:i/>
        </w:rPr>
        <w:br/>
      </w:r>
      <w:r w:rsidRPr="00DF0CB8">
        <w:rPr>
          <w:i/>
        </w:rPr>
        <w:t xml:space="preserve">M) </w:t>
      </w:r>
      <w:proofErr w:type="spellStart"/>
      <w:r w:rsidR="00E911E4" w:rsidRPr="00DF0CB8">
        <w:rPr>
          <w:i/>
        </w:rPr>
        <w:t>spleen;and</w:t>
      </w:r>
      <w:proofErr w:type="spellEnd"/>
      <w:r w:rsidR="00FA1F51">
        <w:rPr>
          <w:i/>
        </w:rPr>
        <w:br/>
      </w:r>
      <w:r w:rsidRPr="00DF0CB8">
        <w:rPr>
          <w:i/>
        </w:rPr>
        <w:t xml:space="preserve">N) </w:t>
      </w:r>
      <w:r w:rsidR="00E911E4" w:rsidRPr="00DF0CB8">
        <w:rPr>
          <w:i/>
        </w:rPr>
        <w:t>tonsil</w:t>
      </w:r>
    </w:p>
    <w:p w:rsidR="00FA1F51" w:rsidRDefault="00FA1F51" w:rsidP="00FA1F51">
      <w:pPr>
        <w:pStyle w:val="Heading5"/>
      </w:pPr>
      <w:r>
        <w:lastRenderedPageBreak/>
        <w:t>Poisons scheduling</w:t>
      </w:r>
    </w:p>
    <w:p w:rsidR="00FA1F51" w:rsidRDefault="00FA1F51" w:rsidP="00FA1F51">
      <w:pPr>
        <w:keepNext/>
        <w:keepLines/>
      </w:pPr>
      <w:r>
        <w:t xml:space="preserve">Part 1 of the </w:t>
      </w:r>
      <w:hyperlink r:id="rId55" w:history="1">
        <w:r w:rsidRPr="00DF0CB8">
          <w:rPr>
            <w:rStyle w:val="Hyperlink"/>
          </w:rPr>
          <w:t>SUSMP</w:t>
        </w:r>
      </w:hyperlink>
      <w:r>
        <w:t xml:space="preserve"> provides a list of products recommended to be exempt from the SUMP provisions: </w:t>
      </w:r>
    </w:p>
    <w:p w:rsidR="00FA1F51" w:rsidRPr="00D05DE7" w:rsidRDefault="00FA1F51" w:rsidP="00FA1F51">
      <w:pPr>
        <w:keepNext/>
        <w:keepLines/>
        <w:ind w:left="720"/>
        <w:rPr>
          <w:i/>
        </w:rPr>
      </w:pPr>
      <w:r w:rsidRPr="00D05DE7">
        <w:rPr>
          <w:i/>
        </w:rPr>
        <w:t>(2) Unless the contrary intention appears a reference to a substance in a Schedule or an Appendix to this Standard........... does not include:</w:t>
      </w:r>
    </w:p>
    <w:p w:rsidR="00FA1F51" w:rsidRPr="00D05DE7" w:rsidRDefault="00FA1F51" w:rsidP="00FA1F51">
      <w:pPr>
        <w:ind w:left="720"/>
        <w:rPr>
          <w:i/>
        </w:rPr>
      </w:pPr>
      <w:r w:rsidRPr="00D05DE7">
        <w:rPr>
          <w:i/>
        </w:rPr>
        <w:t>(h) a preparation or product included in Appendix A, or a substance and the reason for its entry in Appendix B; or</w:t>
      </w:r>
    </w:p>
    <w:p w:rsidR="00FA1F51" w:rsidRPr="00D05DE7" w:rsidRDefault="00FA1F51" w:rsidP="00FA1F51">
      <w:pPr>
        <w:ind w:left="720"/>
        <w:rPr>
          <w:i/>
        </w:rPr>
      </w:pPr>
      <w:r w:rsidRPr="00D05DE7">
        <w:rPr>
          <w:i/>
        </w:rPr>
        <w:t>(</w:t>
      </w:r>
      <w:proofErr w:type="spellStart"/>
      <w:r w:rsidRPr="00D05DE7">
        <w:rPr>
          <w:i/>
        </w:rPr>
        <w:t>i</w:t>
      </w:r>
      <w:proofErr w:type="spellEnd"/>
      <w:r w:rsidRPr="00D05DE7">
        <w:rPr>
          <w:i/>
        </w:rPr>
        <w:t>) a substance included in Appendix G at a concentration not exceeding the concentration specified in column 2 of that Appendix in respect of that substance; or</w:t>
      </w:r>
    </w:p>
    <w:p w:rsidR="00FA1F51" w:rsidRPr="00D05DE7" w:rsidRDefault="00FA1F51" w:rsidP="00FA1F51">
      <w:pPr>
        <w:ind w:left="720"/>
        <w:rPr>
          <w:i/>
        </w:rPr>
      </w:pPr>
      <w:r w:rsidRPr="00D05DE7">
        <w:rPr>
          <w:i/>
        </w:rPr>
        <w:t>(j) any other substance included in Schedules 1 to 6, at a concentration not exceeding 10 mg per litre or 10 mg per kilogram, unless that substance is also included in Schedule 7 or 8</w:t>
      </w:r>
    </w:p>
    <w:p w:rsidR="00FA1F51" w:rsidRDefault="00FA1F51" w:rsidP="00FA1F51">
      <w:r>
        <w:t xml:space="preserve">Appendix A (general exemptions), Appendix B (substances considered not to require control by scheduling) and Appendix G (‘dilute preparations’) provide a list of products recommended to be exempt from the provisions of the SUSMP. In addition, some homoeopathic substances (refer (2)(j) above) are excluded from the requirements of Schedules 1 to 6 of the SUSMP if the ingredient is a very low concentration i.e. where the scheduled herbal substance or component is in a concentration equal to or less than 10 micrograms of the substance per gram or millilitre of the product (i.e. 10 mg per kg or L), which is equivalent to, or more dilute than, a 5X homoeopathic potency (measured according to the </w:t>
      </w:r>
      <w:r w:rsidRPr="00D05DE7">
        <w:rPr>
          <w:i/>
        </w:rPr>
        <w:t>Homoeopathic Pharmacopoeia of the United States</w:t>
      </w:r>
      <w:r>
        <w:t>).</w:t>
      </w:r>
    </w:p>
    <w:p w:rsidR="00E911E4" w:rsidRDefault="00E911E4" w:rsidP="00D05DE7">
      <w:pPr>
        <w:pStyle w:val="Heading5"/>
      </w:pPr>
      <w:r>
        <w:t xml:space="preserve">Guidance on </w:t>
      </w:r>
      <w:r w:rsidR="004A1F51">
        <w:t xml:space="preserve">indications </w:t>
      </w:r>
      <w:r>
        <w:t>for homoeopathic medicines</w:t>
      </w:r>
    </w:p>
    <w:p w:rsidR="00FA1F51" w:rsidRDefault="00FA1F51" w:rsidP="00E911E4">
      <w:r>
        <w:t xml:space="preserve">The (draft) Evidence </w:t>
      </w:r>
      <w:r w:rsidR="004A1F51">
        <w:t>requirements</w:t>
      </w:r>
      <w:r>
        <w:t xml:space="preserve"> detail the requirements for making therapeutic indications for homoeopathic medicines.</w:t>
      </w:r>
    </w:p>
    <w:p w:rsidR="00E911E4" w:rsidRDefault="00FA1F51" w:rsidP="00E911E4">
      <w:r>
        <w:t>Where</w:t>
      </w:r>
      <w:r w:rsidR="00E911E4">
        <w:t xml:space="preserve"> therapeutic indications </w:t>
      </w:r>
      <w:r>
        <w:t xml:space="preserve">are included </w:t>
      </w:r>
      <w:r w:rsidR="00E911E4">
        <w:t>on the labels of homoeopathic products, the products must be listed on the ARTG and must be manufactured under GMP. The sponsor should therefore ensure that the manufacturer of the product, if manufactured in Australia, has a current GMP licence. Overseas manufacturers are expected to comply with the equivalent standard of GMP as required for an Australian manufacturer.</w:t>
      </w:r>
    </w:p>
    <w:p w:rsidR="00E911E4" w:rsidRDefault="00E911E4" w:rsidP="00E911E4">
      <w:r>
        <w:t>A homoeopathic product can carry claims specified in Part 1 or 2 of Appendix 6 of the TGAC and still be listed on the ARTG, provided it is not displayed or advertised to the general public for purposes outside those permitted by the TGAC and the Regulations, whether or not those indications are listed on the ARTG (i.e. for use by a practitioner). However, the label on the container and on the primary pack must include a statement to indicate that the indications have not been ‘approved’ by the TGA. Such a statement would be: ‘Homoeopathic product without approved therapeutic indications’.</w:t>
      </w:r>
    </w:p>
    <w:p w:rsidR="004A1F51" w:rsidRDefault="004A1F51" w:rsidP="004A1F51">
      <w:pPr>
        <w:pStyle w:val="Heading5"/>
      </w:pPr>
      <w:r>
        <w:t>Specific labelling requirements for homoeopathic preparations</w:t>
      </w:r>
    </w:p>
    <w:p w:rsidR="004A1F51" w:rsidRDefault="0031131E" w:rsidP="004A1F51">
      <w:hyperlink r:id="rId56" w:history="1">
        <w:r w:rsidR="004A1F51" w:rsidRPr="00DF0CB8">
          <w:rPr>
            <w:rStyle w:val="Hyperlink"/>
          </w:rPr>
          <w:t>TGO 69</w:t>
        </w:r>
      </w:hyperlink>
      <w:r w:rsidR="004A1F51">
        <w:t xml:space="preserve"> includes some special requirements for homoeopathic preparations. Note homoeopathic goods exempt from inclusion on the ARTG must still comply with TGO 69.</w:t>
      </w:r>
    </w:p>
    <w:p w:rsidR="0048672F" w:rsidRDefault="0048672F" w:rsidP="00D05DE7">
      <w:pPr>
        <w:pStyle w:val="Heading5"/>
      </w:pPr>
      <w:r>
        <w:t>Manufacture of homoeopathic preparations</w:t>
      </w:r>
    </w:p>
    <w:p w:rsidR="0048672F" w:rsidRDefault="0048672F" w:rsidP="0048672F">
      <w:r>
        <w:t>Concentrated homoeopathic preparations less than or equal to a one thousand-fold dilution (3X) of the mother tincture must be manufactured by a TGA-licensed manufacturer, if manufactured in Australia. Those preparations more dilute than a one thousand-fold dilution of the mother tincture are exempt from this requirement provided they are not preparations of a kind required to be sterile.</w:t>
      </w:r>
    </w:p>
    <w:p w:rsidR="0048672F" w:rsidRDefault="0048672F" w:rsidP="0048672F">
      <w:r>
        <w:lastRenderedPageBreak/>
        <w:t xml:space="preserve">If imported products are of a type whose manufacturer in Australia would need to be licensed, evidence of an acceptable standard of overseas manufacture must be provided and cleared before lodgement of the listing application. An explanation of how this evidence can be obtained is given in the document </w:t>
      </w:r>
      <w:hyperlink r:id="rId57" w:history="1">
        <w:r w:rsidRPr="004A1F51">
          <w:rPr>
            <w:rStyle w:val="Hyperlink"/>
          </w:rPr>
          <w:t>Guidelines on Standard of Overseas Manufacturers</w:t>
        </w:r>
      </w:hyperlink>
      <w:r>
        <w:t>.</w:t>
      </w:r>
    </w:p>
    <w:p w:rsidR="00E911E4" w:rsidRDefault="0048672F" w:rsidP="0048672F">
      <w:r>
        <w:t>Listed homoeopathic preparations and mother tinctures must:</w:t>
      </w:r>
    </w:p>
    <w:p w:rsidR="0048672F" w:rsidRDefault="0048672F" w:rsidP="0048672F">
      <w:pPr>
        <w:pStyle w:val="ListBullet"/>
      </w:pPr>
      <w:r>
        <w:t>if manufactured in Australia, be manufactured by a TGA-licensed manufacturer</w:t>
      </w:r>
    </w:p>
    <w:p w:rsidR="0048672F" w:rsidRDefault="0048672F" w:rsidP="0048672F">
      <w:pPr>
        <w:pStyle w:val="ListBullet"/>
      </w:pPr>
      <w:r>
        <w:t>if manufactured overseas, be supported by evidence to demonstrate that the overseas manufacture is of a standard equivalent to that required in Australia</w:t>
      </w:r>
    </w:p>
    <w:p w:rsidR="0048672F" w:rsidRDefault="0048672F" w:rsidP="0048672F">
      <w:pPr>
        <w:pStyle w:val="ListBullet"/>
      </w:pPr>
      <w:r>
        <w:t>be labelled in compliance with the general requirements for labels for medicinal products as current and in force (currently TGO 69 and 69C), and any other applicable official standards</w:t>
      </w:r>
    </w:p>
    <w:p w:rsidR="0048672F" w:rsidRDefault="0048672F" w:rsidP="0048672F">
      <w:pPr>
        <w:pStyle w:val="ListBullet"/>
      </w:pPr>
      <w:r>
        <w:t>comply with advertising requirements set out in Schedule 2 of the Regulations; and</w:t>
      </w:r>
    </w:p>
    <w:p w:rsidR="0048672F" w:rsidRDefault="0048672F" w:rsidP="0048672F">
      <w:pPr>
        <w:pStyle w:val="ListBullet"/>
      </w:pPr>
      <w:r>
        <w:t>comply with any quality or safety criteria prescribed in the Regulations.</w:t>
      </w:r>
    </w:p>
    <w:p w:rsidR="0048672F" w:rsidRDefault="0048672F" w:rsidP="0048672F">
      <w:pPr>
        <w:pStyle w:val="Heading4"/>
      </w:pPr>
      <w:bookmarkStart w:id="30" w:name="_Toc337635110"/>
      <w:proofErr w:type="spellStart"/>
      <w:r>
        <w:t>Anthroposophic</w:t>
      </w:r>
      <w:proofErr w:type="spellEnd"/>
      <w:r>
        <w:t xml:space="preserve"> medicines</w:t>
      </w:r>
      <w:bookmarkEnd w:id="30"/>
    </w:p>
    <w:p w:rsidR="0048672F" w:rsidRDefault="0048672F" w:rsidP="0048672F">
      <w:proofErr w:type="spellStart"/>
      <w:r>
        <w:t>Anthroposophic</w:t>
      </w:r>
      <w:proofErr w:type="spellEnd"/>
      <w:r>
        <w:t xml:space="preserve"> practitioners use a range of interventions including conventional therapies, remedies based upon homoeopathic principles, herbal medicine and external therapies.</w:t>
      </w:r>
    </w:p>
    <w:p w:rsidR="0048672F" w:rsidRDefault="0048672F" w:rsidP="0048672F">
      <w:r>
        <w:t xml:space="preserve">Section 3AB of the Act provides the following definition of </w:t>
      </w:r>
      <w:proofErr w:type="spellStart"/>
      <w:r>
        <w:t>anthroposophic</w:t>
      </w:r>
      <w:proofErr w:type="spellEnd"/>
      <w:r>
        <w:t xml:space="preserve"> preparations:</w:t>
      </w:r>
    </w:p>
    <w:p w:rsidR="0048672F" w:rsidRPr="00D05DE7" w:rsidRDefault="0048672F" w:rsidP="0048672F">
      <w:pPr>
        <w:ind w:left="720"/>
        <w:rPr>
          <w:i/>
        </w:rPr>
      </w:pPr>
      <w:r w:rsidRPr="00D05DE7">
        <w:rPr>
          <w:i/>
        </w:rPr>
        <w:t xml:space="preserve">(1) For the purposes of this Act, an </w:t>
      </w:r>
      <w:proofErr w:type="spellStart"/>
      <w:r w:rsidRPr="00D05DE7">
        <w:rPr>
          <w:i/>
        </w:rPr>
        <w:t>anthroposophic</w:t>
      </w:r>
      <w:proofErr w:type="spellEnd"/>
      <w:r w:rsidRPr="00D05DE7">
        <w:rPr>
          <w:i/>
        </w:rPr>
        <w:t xml:space="preserve"> preparation is a preparation:</w:t>
      </w:r>
    </w:p>
    <w:p w:rsidR="0048672F" w:rsidRPr="00D05DE7" w:rsidRDefault="0048672F" w:rsidP="0048672F">
      <w:pPr>
        <w:ind w:left="720"/>
        <w:rPr>
          <w:i/>
        </w:rPr>
      </w:pPr>
      <w:r w:rsidRPr="00D05DE7">
        <w:rPr>
          <w:i/>
        </w:rPr>
        <w:t>(a) manufactured from a mother substance; and</w:t>
      </w:r>
    </w:p>
    <w:p w:rsidR="0048672F" w:rsidRPr="00D05DE7" w:rsidRDefault="0048672F" w:rsidP="0048672F">
      <w:pPr>
        <w:ind w:left="720"/>
        <w:rPr>
          <w:i/>
        </w:rPr>
      </w:pPr>
      <w:r w:rsidRPr="00D05DE7">
        <w:rPr>
          <w:i/>
        </w:rPr>
        <w:t xml:space="preserve">(b) manufactured in accordance with a manufacturing procedure described in an </w:t>
      </w:r>
      <w:proofErr w:type="spellStart"/>
      <w:r w:rsidRPr="00D05DE7">
        <w:rPr>
          <w:i/>
        </w:rPr>
        <w:t>anthroposophic</w:t>
      </w:r>
      <w:proofErr w:type="spellEnd"/>
      <w:r w:rsidRPr="00D05DE7">
        <w:rPr>
          <w:i/>
        </w:rPr>
        <w:t xml:space="preserve"> pharmacopoeia</w:t>
      </w:r>
    </w:p>
    <w:p w:rsidR="0048672F" w:rsidRDefault="0048672F" w:rsidP="00721AF3">
      <w:pPr>
        <w:pStyle w:val="Heading4"/>
      </w:pPr>
      <w:bookmarkStart w:id="31" w:name="_Toc337635111"/>
      <w:r>
        <w:t xml:space="preserve">Essential </w:t>
      </w:r>
      <w:r w:rsidRPr="00721AF3">
        <w:t>oils</w:t>
      </w:r>
      <w:bookmarkEnd w:id="31"/>
    </w:p>
    <w:p w:rsidR="0048672F" w:rsidRPr="00721AF3" w:rsidRDefault="0048672F" w:rsidP="00721AF3">
      <w:pPr>
        <w:pStyle w:val="Heading5"/>
      </w:pPr>
      <w:r>
        <w:t>Essential oils considered to be therapeutic goods</w:t>
      </w:r>
    </w:p>
    <w:p w:rsidR="0048672F" w:rsidRDefault="0048672F" w:rsidP="0048672F">
      <w:r>
        <w:t xml:space="preserve">It is necessary for a sponsor to distinguish the purpose of the product containing an essential oil as this determines which agency regulates it. That is, if the product makes only cosmetic claims it is considered a cosmetic, but if the product makes a therapeutic claims it would be considered a medicine. The </w:t>
      </w:r>
      <w:hyperlink r:id="rId58" w:history="1">
        <w:r w:rsidRPr="00D05DE7">
          <w:rPr>
            <w:rStyle w:val="Hyperlink"/>
          </w:rPr>
          <w:t>Cosmetics Claims Guidelines</w:t>
        </w:r>
      </w:hyperlink>
      <w:r>
        <w:t xml:space="preserve"> may assist sponsors in understanding what constitutes a claim for products on a therapeutic goods interface. Cosmetics come under the purview of </w:t>
      </w:r>
      <w:hyperlink r:id="rId59" w:history="1">
        <w:r w:rsidRPr="00D05DE7">
          <w:rPr>
            <w:rStyle w:val="Hyperlink"/>
          </w:rPr>
          <w:t>NICNAS.</w:t>
        </w:r>
      </w:hyperlink>
    </w:p>
    <w:p w:rsidR="0048672F" w:rsidRDefault="0048672F" w:rsidP="0048672F">
      <w:r>
        <w:t>If the product makes therapeutic indications (e.g. ‘relief of pre-menstrual symptoms’ or ‘relief of sleeplessness’) then it would be classified as a therapeutic good, and required to be included on the ARTG prior to supply in Australia. Sponsors of products making therapeutic indications are required to hold evidence to support the claim at the time of listing on the ARTG.</w:t>
      </w:r>
    </w:p>
    <w:p w:rsidR="0048672F" w:rsidRDefault="0048672F" w:rsidP="0048672F">
      <w:r>
        <w:t>In addition to the requirements of the Act and the Regulations for listed / registered medicines, sponsors of products containing essential oil(s), which are considered to be therapeutic goods must also comply with other applicable standards such as: the default standards, the SUSMP; TGO No. 69; and TGO 80 – Child Resistant Packaging Requirements for Medicines.</w:t>
      </w:r>
    </w:p>
    <w:p w:rsidR="0048672F" w:rsidRDefault="0048672F" w:rsidP="0048672F">
      <w:r>
        <w:lastRenderedPageBreak/>
        <w:t xml:space="preserve">Essential oils that are not considered therapeutic goods are still required to comply with the SUSMP. However, these are not regulated by the TGA. Contact </w:t>
      </w:r>
      <w:hyperlink r:id="rId60" w:history="1">
        <w:r w:rsidRPr="00D05DE7">
          <w:rPr>
            <w:rStyle w:val="Hyperlink"/>
          </w:rPr>
          <w:t>NICNAS</w:t>
        </w:r>
      </w:hyperlink>
      <w:r>
        <w:t xml:space="preserve"> for more information on these goods.</w:t>
      </w:r>
    </w:p>
    <w:p w:rsidR="0048672F" w:rsidRDefault="0048672F" w:rsidP="00721AF3">
      <w:pPr>
        <w:pStyle w:val="Heading5"/>
      </w:pPr>
      <w:r>
        <w:t>Essential oils supplied solely as starting materials to practitioners</w:t>
      </w:r>
    </w:p>
    <w:p w:rsidR="0048672F" w:rsidRDefault="0048672F" w:rsidP="0048672F">
      <w:r>
        <w:t>Essential oils that are supplied solely as starting materials to practitioners are generally exempt from the requirement to be included on the ARTG before supply. This means that these oils can be supplied only for the purpose of being subsequently dispensed or extemporaneously compounded by a health professional for a particular person.</w:t>
      </w:r>
    </w:p>
    <w:p w:rsidR="0048672F" w:rsidRDefault="0048672F" w:rsidP="0048672F">
      <w:r>
        <w:t>Essential oils used in the manufacture of therapeutic goods</w:t>
      </w:r>
    </w:p>
    <w:p w:rsidR="0048672F" w:rsidRDefault="0048672F" w:rsidP="0048672F">
      <w:r>
        <w:t>Schedule 5 to the Regulations provides therapeutic goods exempt from the operation of Parts 3-2 and 3-2A of the Act</w:t>
      </w:r>
    </w:p>
    <w:p w:rsidR="0048672F" w:rsidRPr="00D05DE7" w:rsidRDefault="0048672F" w:rsidP="00F0535A">
      <w:pPr>
        <w:ind w:left="720"/>
        <w:rPr>
          <w:i/>
        </w:rPr>
      </w:pPr>
      <w:r w:rsidRPr="00D05DE7">
        <w:rPr>
          <w:i/>
        </w:rPr>
        <w:t xml:space="preserve">Medicines or </w:t>
      </w:r>
      <w:proofErr w:type="spellStart"/>
      <w:r w:rsidRPr="00D05DE7">
        <w:rPr>
          <w:i/>
        </w:rPr>
        <w:t>biologicals</w:t>
      </w:r>
      <w:proofErr w:type="spellEnd"/>
      <w:r w:rsidRPr="00D05DE7">
        <w:rPr>
          <w:i/>
        </w:rPr>
        <w:t xml:space="preserve"> that are starting materials used in the manufacture of therapeutic goods, except when:</w:t>
      </w:r>
    </w:p>
    <w:p w:rsidR="0048672F" w:rsidRPr="00D05DE7" w:rsidRDefault="0048672F" w:rsidP="0048672F">
      <w:pPr>
        <w:ind w:left="720"/>
        <w:rPr>
          <w:i/>
        </w:rPr>
      </w:pPr>
      <w:r w:rsidRPr="00D05DE7">
        <w:rPr>
          <w:i/>
        </w:rPr>
        <w:t xml:space="preserve">(a) </w:t>
      </w:r>
      <w:proofErr w:type="spellStart"/>
      <w:r w:rsidRPr="00D05DE7">
        <w:rPr>
          <w:i/>
        </w:rPr>
        <w:t>prepackaged</w:t>
      </w:r>
      <w:proofErr w:type="spellEnd"/>
      <w:r w:rsidRPr="00D05DE7">
        <w:rPr>
          <w:i/>
        </w:rPr>
        <w:t xml:space="preserve"> for supply for other therapeutic purposes; or</w:t>
      </w:r>
    </w:p>
    <w:p w:rsidR="0048672F" w:rsidRPr="00D05DE7" w:rsidRDefault="0048672F" w:rsidP="0048672F">
      <w:pPr>
        <w:ind w:left="720"/>
        <w:rPr>
          <w:i/>
        </w:rPr>
      </w:pPr>
      <w:r w:rsidRPr="00D05DE7">
        <w:rPr>
          <w:i/>
        </w:rPr>
        <w:t>b) formulated as a dosage form</w:t>
      </w:r>
    </w:p>
    <w:p w:rsidR="0048672F" w:rsidRDefault="0048672F" w:rsidP="0048672F">
      <w:r>
        <w:t xml:space="preserve">The production of essential oils that are to be used as starting materials in the manufacture of therapeutic goods is exempt from the requirement to be manufactured under conditions of GMP. For example, the manufacturer of the ‘bulk’ essential oil (e.g. the farmer extracting lavender oil from lavender plants) does not need to be licensed for GMP. However, the manufacturer and those who undertake steps in the manufacture of the finished dosage form (after the initial production of the oil as a starting material), such as filling, blending, labelling, release for supply, testing etc. are currently required to hold an appropriate </w:t>
      </w:r>
      <w:hyperlink r:id="rId61" w:history="1">
        <w:r w:rsidRPr="004A1F51">
          <w:rPr>
            <w:rStyle w:val="Hyperlink"/>
          </w:rPr>
          <w:t>GMP</w:t>
        </w:r>
      </w:hyperlink>
      <w:r>
        <w:t xml:space="preserve"> licence.</w:t>
      </w:r>
    </w:p>
    <w:p w:rsidR="0048672F" w:rsidRDefault="0048672F" w:rsidP="0048672F">
      <w:pPr>
        <w:pStyle w:val="Heading4"/>
      </w:pPr>
      <w:bookmarkStart w:id="32" w:name="_Toc337635112"/>
      <w:r>
        <w:t>Vitamins and minerals</w:t>
      </w:r>
      <w:bookmarkEnd w:id="32"/>
    </w:p>
    <w:p w:rsidR="0048672F" w:rsidRDefault="0048672F" w:rsidP="0048672F">
      <w:r>
        <w:t xml:space="preserve">Schedule 4, Parts 1, 2 and 3 of the Regulations and </w:t>
      </w:r>
      <w:hyperlink r:id="rId62" w:history="1">
        <w:r w:rsidRPr="00D05DE7">
          <w:rPr>
            <w:rStyle w:val="Hyperlink"/>
          </w:rPr>
          <w:t>Therapeutic Goods Listing Notices</w:t>
        </w:r>
      </w:hyperlink>
      <w:r>
        <w:t xml:space="preserve"> provide the vitamins and minerals and their salts that are eligible for inclusion in listed medicines on the ARTG.</w:t>
      </w:r>
    </w:p>
    <w:p w:rsidR="0048672F" w:rsidRDefault="0048672F" w:rsidP="0048672F">
      <w:r>
        <w:t>Schedule 4 , Part 1 of the Regulations</w:t>
      </w:r>
    </w:p>
    <w:p w:rsidR="0048672F" w:rsidRPr="00D05DE7" w:rsidRDefault="0048672F" w:rsidP="00F0535A">
      <w:pPr>
        <w:ind w:left="720"/>
        <w:rPr>
          <w:i/>
        </w:rPr>
      </w:pPr>
      <w:r w:rsidRPr="00D05DE7">
        <w:rPr>
          <w:i/>
        </w:rPr>
        <w:t>3) preparations containing as their therapeutically active ingredients only vitamins, minerals, herbal substances, a substance mentioned in Part 5 of this Schedule or a combination of those substances where:</w:t>
      </w:r>
    </w:p>
    <w:p w:rsidR="0048672F" w:rsidRPr="00D05DE7" w:rsidRDefault="0048672F" w:rsidP="0048672F">
      <w:pPr>
        <w:ind w:left="720"/>
        <w:rPr>
          <w:i/>
        </w:rPr>
      </w:pPr>
      <w:r w:rsidRPr="00D05DE7">
        <w:rPr>
          <w:i/>
        </w:rPr>
        <w:t>(a) the preparation:</w:t>
      </w:r>
    </w:p>
    <w:p w:rsidR="0048672F" w:rsidRPr="00D05DE7" w:rsidRDefault="0048672F" w:rsidP="0048672F">
      <w:pPr>
        <w:ind w:left="720"/>
        <w:rPr>
          <w:i/>
        </w:rPr>
      </w:pPr>
      <w:r w:rsidRPr="00D05DE7">
        <w:rPr>
          <w:i/>
        </w:rPr>
        <w:t>is not included in a Schedule to the Poisons Standard or Appendix C of the Poisons Standard; and</w:t>
      </w:r>
    </w:p>
    <w:p w:rsidR="0048672F" w:rsidRPr="00D05DE7" w:rsidRDefault="0048672F" w:rsidP="0048672F">
      <w:pPr>
        <w:ind w:left="720"/>
        <w:rPr>
          <w:i/>
        </w:rPr>
      </w:pPr>
      <w:r w:rsidRPr="00D05DE7">
        <w:rPr>
          <w:i/>
        </w:rPr>
        <w:t>is not of a kind required to be sterile; and</w:t>
      </w:r>
    </w:p>
    <w:p w:rsidR="0048672F" w:rsidRPr="00D05DE7" w:rsidRDefault="0048672F" w:rsidP="0048672F">
      <w:pPr>
        <w:ind w:left="720"/>
        <w:rPr>
          <w:i/>
        </w:rPr>
      </w:pPr>
      <w:r w:rsidRPr="00D05DE7">
        <w:rPr>
          <w:i/>
        </w:rPr>
        <w:t>(b) the vitamins consist only of vitamins or their salts specified in Part 2 of this Schedule; and</w:t>
      </w:r>
    </w:p>
    <w:p w:rsidR="0048672F" w:rsidRPr="00D05DE7" w:rsidRDefault="0048672F" w:rsidP="0048672F">
      <w:pPr>
        <w:ind w:left="720"/>
        <w:rPr>
          <w:i/>
        </w:rPr>
      </w:pPr>
      <w:r w:rsidRPr="00D05DE7">
        <w:rPr>
          <w:i/>
        </w:rPr>
        <w:t>(c) the minerals consist only of minerals or their salts specified in Part 3 of this Schedule;.....</w:t>
      </w:r>
    </w:p>
    <w:p w:rsidR="0048672F" w:rsidRDefault="0048672F" w:rsidP="0048672F">
      <w:r>
        <w:t xml:space="preserve">As with all complementary medicines, there are various legislative requirements which must be addressed in relation to vitamins and minerals in order for them to be included on </w:t>
      </w:r>
      <w:r>
        <w:lastRenderedPageBreak/>
        <w:t>the ARTG. For example, the TGAC states that an advertisement for vitamins must not imply that vitamin supplements are a substitute for good nutrition or a balanced diet. Other relevant legislative documents include: TGO 69, TGO 78</w:t>
      </w:r>
      <w:r w:rsidR="00D05DE7">
        <w:t xml:space="preserve"> and RASML.</w:t>
      </w:r>
    </w:p>
    <w:p w:rsidR="0048672F" w:rsidRDefault="0048672F" w:rsidP="0048672F">
      <w:r>
        <w:t>Many vitamins and minerals are scheduled in the SUSMP, and, in accordance with this scheduling, quantity, container size, container closure, etc may be limited.</w:t>
      </w:r>
    </w:p>
    <w:p w:rsidR="0048672F" w:rsidRDefault="0048672F" w:rsidP="0048672F">
      <w:pPr>
        <w:pStyle w:val="Heading4"/>
      </w:pPr>
      <w:bookmarkStart w:id="33" w:name="_Toc337635113"/>
      <w:r>
        <w:t>Vitamin and mineral supplementation indications</w:t>
      </w:r>
      <w:bookmarkEnd w:id="33"/>
    </w:p>
    <w:p w:rsidR="0048672F" w:rsidRDefault="0048672F" w:rsidP="0048672F">
      <w:r>
        <w:t xml:space="preserve">The (draft) Evidence </w:t>
      </w:r>
      <w:r w:rsidR="004A1F51">
        <w:t xml:space="preserve">requirements </w:t>
      </w:r>
      <w:r>
        <w:t xml:space="preserve">detail the requirements for making indications for vitamins and minerals. Vitamin or mineral supplementation claims are only permitted where the recommended daily dose of the product provides at least 25% of the Australian Recommended Dietary Intake (RDI) for that vitamin or mineral. If there is no Australian RDI for a vitamin or mineral, an RDI from another country may be used. Indications should not refer to the presence of vitamins or minerals unless they are present in the recommended daily dose of the product to at least the level of 10% of the RDI, unless there is evidence to support a therapeutic effect below this level. The dose must be consistent with the evidence to support the indication being made. </w:t>
      </w:r>
    </w:p>
    <w:p w:rsidR="0048672F" w:rsidRDefault="0048672F" w:rsidP="0048672F">
      <w:pPr>
        <w:pStyle w:val="Heading4"/>
      </w:pPr>
      <w:bookmarkStart w:id="34" w:name="_Toc337635114"/>
      <w:r>
        <w:t xml:space="preserve">Amino acid </w:t>
      </w:r>
      <w:proofErr w:type="spellStart"/>
      <w:r>
        <w:t>chela</w:t>
      </w:r>
      <w:r w:rsidRPr="0048672F">
        <w:t>t</w:t>
      </w:r>
      <w:r>
        <w:t>es</w:t>
      </w:r>
      <w:bookmarkEnd w:id="34"/>
      <w:proofErr w:type="spellEnd"/>
    </w:p>
    <w:p w:rsidR="0048672F" w:rsidRDefault="0048672F" w:rsidP="0048672F">
      <w:r>
        <w:t xml:space="preserve">The TGA defines a metal amino acid </w:t>
      </w:r>
      <w:proofErr w:type="spellStart"/>
      <w:r>
        <w:t>chelate</w:t>
      </w:r>
      <w:proofErr w:type="spellEnd"/>
      <w:r>
        <w:t xml:space="preserve"> as a complex consisting of a metal ion with one or more </w:t>
      </w:r>
      <w:proofErr w:type="spellStart"/>
      <w:r>
        <w:t>proteinogenic</w:t>
      </w:r>
      <w:proofErr w:type="spellEnd"/>
      <w:r>
        <w:t xml:space="preserve"> amino acid </w:t>
      </w:r>
      <w:proofErr w:type="spellStart"/>
      <w:r>
        <w:t>ligands</w:t>
      </w:r>
      <w:proofErr w:type="spellEnd"/>
      <w:r>
        <w:t xml:space="preserve"> bound to it in such a way that the metal ion is part of a ring within the molecule.</w:t>
      </w:r>
    </w:p>
    <w:p w:rsidR="0048672F" w:rsidRDefault="0048672F" w:rsidP="0048672F">
      <w:r>
        <w:t xml:space="preserve">Currently a number of metal amino acid </w:t>
      </w:r>
      <w:proofErr w:type="spellStart"/>
      <w:r>
        <w:t>chelates</w:t>
      </w:r>
      <w:proofErr w:type="spellEnd"/>
      <w:r>
        <w:t xml:space="preserve"> are included in Part 3 of Schedule 4 to the Regulations and therefore eligible for inclusion in medicines listed on the ARTG. However these ingredients are not fully characterised with respect to the amino acid moiety, e.g. ‘Manganese amino acid </w:t>
      </w:r>
      <w:proofErr w:type="spellStart"/>
      <w:r>
        <w:t>chelate</w:t>
      </w:r>
      <w:proofErr w:type="spellEnd"/>
      <w:r>
        <w:t xml:space="preserve">’, which has resulted in a lack of clarity for both consumers and industry stakeholders. </w:t>
      </w:r>
    </w:p>
    <w:p w:rsidR="0048672F" w:rsidRDefault="0048672F" w:rsidP="0048672F">
      <w:r>
        <w:t xml:space="preserve">Recognising the naming and characterisation ambiguities associated with metal amino acid </w:t>
      </w:r>
      <w:proofErr w:type="spellStart"/>
      <w:r>
        <w:t>chelates</w:t>
      </w:r>
      <w:proofErr w:type="spellEnd"/>
      <w:r>
        <w:t xml:space="preserve">, the TGA has determined specific names for </w:t>
      </w:r>
      <w:hyperlink r:id="rId63" w:history="1">
        <w:r w:rsidRPr="00D05DE7">
          <w:rPr>
            <w:rStyle w:val="Hyperlink"/>
          </w:rPr>
          <w:t xml:space="preserve">metal amino acid </w:t>
        </w:r>
        <w:proofErr w:type="spellStart"/>
        <w:r w:rsidRPr="00D05DE7">
          <w:rPr>
            <w:rStyle w:val="Hyperlink"/>
          </w:rPr>
          <w:t>chelates</w:t>
        </w:r>
        <w:proofErr w:type="spellEnd"/>
      </w:hyperlink>
      <w:r>
        <w:t xml:space="preserve"> (refer to the TGA website) to enable sponsors to identify ingredients accurately.</w:t>
      </w:r>
    </w:p>
    <w:p w:rsidR="0048672F" w:rsidRDefault="0048672F" w:rsidP="0048672F">
      <w:r>
        <w:t xml:space="preserve">The availability of specific names for metal amino acid </w:t>
      </w:r>
      <w:proofErr w:type="spellStart"/>
      <w:r>
        <w:t>chelates</w:t>
      </w:r>
      <w:proofErr w:type="spellEnd"/>
      <w:r>
        <w:t xml:space="preserve"> for use in listing a medicine on the ARTG is not an approval of new ingredients for use in listed medicines. These ingredient names are based on metal and amino acid components that are themselves already eligible and available for use in listed medicines. </w:t>
      </w:r>
    </w:p>
    <w:p w:rsidR="0048672F" w:rsidRDefault="0048672F" w:rsidP="0048672F">
      <w:r>
        <w:t xml:space="preserve">Consistent with Part 3 of Schedule 4 to the Regulations, the relevant mineral is a mandatory component and the purpose for use for all metal amino acid </w:t>
      </w:r>
      <w:proofErr w:type="spellStart"/>
      <w:r>
        <w:t>chelates</w:t>
      </w:r>
      <w:proofErr w:type="spellEnd"/>
      <w:r>
        <w:t xml:space="preserve"> is restricted to mineral supplementation. </w:t>
      </w:r>
    </w:p>
    <w:p w:rsidR="0048672F" w:rsidRDefault="0048672F" w:rsidP="00F0535A">
      <w:pPr>
        <w:pStyle w:val="Heading4"/>
        <w:keepNext/>
        <w:keepLines/>
      </w:pPr>
      <w:bookmarkStart w:id="35" w:name="_Toc337635115"/>
      <w:r>
        <w:t>Nutritional substances</w:t>
      </w:r>
      <w:bookmarkEnd w:id="35"/>
    </w:p>
    <w:p w:rsidR="0048672F" w:rsidRDefault="0048672F" w:rsidP="00F0535A">
      <w:pPr>
        <w:keepNext/>
        <w:keepLines/>
      </w:pPr>
      <w:r>
        <w:t>Examples of nutritional substances considered to be complementary medicines include fish oils, shark cartilage and krill oil.</w:t>
      </w:r>
    </w:p>
    <w:p w:rsidR="0048672F" w:rsidRDefault="0048672F" w:rsidP="0048672F">
      <w:pPr>
        <w:pStyle w:val="Heading4"/>
      </w:pPr>
      <w:bookmarkStart w:id="36" w:name="_Toc337635116"/>
      <w:r>
        <w:t>Essences (flower, shell, gem/crystal)</w:t>
      </w:r>
      <w:bookmarkEnd w:id="36"/>
    </w:p>
    <w:p w:rsidR="0048672F" w:rsidRDefault="0048672F" w:rsidP="0048672F">
      <w:r>
        <w:t>Essences (e.g. flower, shell, gem/crystal) are not generally regulated as medicines in Australia, unless they have therapeutic indications. In general, indications in relation to general emotional states (apart from those that state or imply depression or other mental illness) are not considered therapeutic indications.</w:t>
      </w:r>
    </w:p>
    <w:p w:rsidR="0048672F" w:rsidRDefault="0048672F" w:rsidP="0048672F">
      <w:r>
        <w:lastRenderedPageBreak/>
        <w:t xml:space="preserve">Unless exempt, any product for which therapeutic indications are made by the sponsor must be entered on the ARTG before it can be legally imported, exported or supplied for use in Australia. </w:t>
      </w:r>
    </w:p>
    <w:p w:rsidR="004A1F51" w:rsidRDefault="004A1F51" w:rsidP="0048672F">
      <w:r>
        <w:t xml:space="preserve">The (draft) Evidence requirements detail the requirements for making therapeutic indications for listed medicines. </w:t>
      </w:r>
    </w:p>
    <w:p w:rsidR="0048672F" w:rsidRDefault="0048672F" w:rsidP="0048672F">
      <w:pPr>
        <w:pStyle w:val="Heading4"/>
      </w:pPr>
      <w:bookmarkStart w:id="37" w:name="_Toc337635117"/>
      <w:r>
        <w:t>Practitioner medicines and exemptions</w:t>
      </w:r>
      <w:bookmarkEnd w:id="37"/>
    </w:p>
    <w:p w:rsidR="0048672F" w:rsidRDefault="0048672F" w:rsidP="0048672F">
      <w:r>
        <w:t xml:space="preserve">The TGA does not regulate health professionals, it regulates therapeutic products. The </w:t>
      </w:r>
      <w:hyperlink r:id="rId64" w:history="1">
        <w:r w:rsidRPr="00D05DE7">
          <w:rPr>
            <w:rStyle w:val="Hyperlink"/>
          </w:rPr>
          <w:t>Australian Health Practitioner Regulation Agency</w:t>
        </w:r>
      </w:hyperlink>
      <w:r>
        <w:t xml:space="preserve"> (AHPRA) is the organisation responsible for the implementation of the National Registration and Accreditation Scheme across Australia. </w:t>
      </w:r>
    </w:p>
    <w:p w:rsidR="0048672F" w:rsidRDefault="0048672F" w:rsidP="0048672F">
      <w:r>
        <w:t>There are a number of specific provisions in the Act exempting healthcare professionals from the operation of certain parts of the Act e.g. the requirement for therapeutic goods to be included in the ARTG, therapeutic goods to be manufactured under GMP as well as advertising exemptions.</w:t>
      </w:r>
    </w:p>
    <w:p w:rsidR="0048672F" w:rsidRDefault="0048672F" w:rsidP="00D05DE7">
      <w:pPr>
        <w:pStyle w:val="Heading5"/>
      </w:pPr>
      <w:r>
        <w:t>Exemptions for advertising directed to practitioners</w:t>
      </w:r>
    </w:p>
    <w:p w:rsidR="0048672F" w:rsidRDefault="0048672F" w:rsidP="0048672F">
      <w:r>
        <w:t>Section42AA of the Act provides for health professionals to receive advertising material that is exempt from complying with the advertising requirements in the Act and the Regulations.</w:t>
      </w:r>
    </w:p>
    <w:p w:rsidR="0048672F" w:rsidRPr="00D05DE7" w:rsidRDefault="0048672F" w:rsidP="0048672F">
      <w:pPr>
        <w:ind w:left="720"/>
        <w:rPr>
          <w:i/>
        </w:rPr>
      </w:pPr>
      <w:r w:rsidRPr="00D05DE7">
        <w:rPr>
          <w:i/>
        </w:rPr>
        <w:t>(1) This Part does not apply to advertisements directed exclusively to:</w:t>
      </w:r>
    </w:p>
    <w:p w:rsidR="0048672F" w:rsidRPr="00D05DE7" w:rsidRDefault="0048672F" w:rsidP="0048672F">
      <w:pPr>
        <w:ind w:left="720"/>
        <w:rPr>
          <w:i/>
        </w:rPr>
      </w:pPr>
      <w:r w:rsidRPr="00D05DE7">
        <w:rPr>
          <w:i/>
        </w:rPr>
        <w:t xml:space="preserve">(a) medical practitioners, psychologists, dentists, pharmacists, optometrists, chiropractors, physiotherapists, nurses, midwives, dental hygienists, dental </w:t>
      </w:r>
      <w:proofErr w:type="spellStart"/>
      <w:r w:rsidRPr="00D05DE7">
        <w:rPr>
          <w:i/>
        </w:rPr>
        <w:t>prosthetists</w:t>
      </w:r>
      <w:proofErr w:type="spellEnd"/>
      <w:r w:rsidRPr="00D05DE7">
        <w:rPr>
          <w:i/>
        </w:rPr>
        <w:t>, dental therapists or osteopaths; or</w:t>
      </w:r>
    </w:p>
    <w:p w:rsidR="0048672F" w:rsidRPr="00D05DE7" w:rsidRDefault="0048672F" w:rsidP="0048672F">
      <w:pPr>
        <w:ind w:left="720"/>
        <w:rPr>
          <w:i/>
        </w:rPr>
      </w:pPr>
      <w:r w:rsidRPr="00D05DE7">
        <w:rPr>
          <w:i/>
        </w:rPr>
        <w:t xml:space="preserve">(b) persons who are: </w:t>
      </w:r>
    </w:p>
    <w:p w:rsidR="0048672F" w:rsidRPr="00D05DE7" w:rsidRDefault="0048672F" w:rsidP="0048672F">
      <w:pPr>
        <w:ind w:left="720"/>
        <w:rPr>
          <w:i/>
        </w:rPr>
      </w:pPr>
      <w:r w:rsidRPr="00D05DE7">
        <w:rPr>
          <w:i/>
        </w:rPr>
        <w:tab/>
        <w:t>(</w:t>
      </w:r>
      <w:proofErr w:type="spellStart"/>
      <w:r w:rsidRPr="00D05DE7">
        <w:rPr>
          <w:i/>
        </w:rPr>
        <w:t>i</w:t>
      </w:r>
      <w:proofErr w:type="spellEnd"/>
      <w:r w:rsidRPr="00D05DE7">
        <w:rPr>
          <w:i/>
        </w:rPr>
        <w:t>) engaged in the business of wholesaling therapeutic goods; or</w:t>
      </w:r>
    </w:p>
    <w:p w:rsidR="0048672F" w:rsidRPr="00D05DE7" w:rsidRDefault="0048672F" w:rsidP="0048672F">
      <w:pPr>
        <w:ind w:left="720"/>
        <w:rPr>
          <w:i/>
        </w:rPr>
      </w:pPr>
      <w:r w:rsidRPr="00D05DE7">
        <w:rPr>
          <w:i/>
        </w:rPr>
        <w:tab/>
        <w:t>(ii) purchasing officers in hospitals; or</w:t>
      </w:r>
    </w:p>
    <w:p w:rsidR="0048672F" w:rsidRPr="00D05DE7" w:rsidRDefault="0048672F" w:rsidP="0048672F">
      <w:pPr>
        <w:ind w:left="720"/>
        <w:rPr>
          <w:i/>
        </w:rPr>
      </w:pPr>
      <w:r w:rsidRPr="00D05DE7">
        <w:rPr>
          <w:i/>
        </w:rPr>
        <w:t>(c) herbalists, homoeopathic practitioners, naturopaths, nutritionists, practitioners of traditional Chinese medicine or podiatrists registered under a law of a State or Territory; or</w:t>
      </w:r>
    </w:p>
    <w:p w:rsidR="0048672F" w:rsidRPr="00D05DE7" w:rsidRDefault="0048672F" w:rsidP="0048672F">
      <w:pPr>
        <w:ind w:left="720"/>
        <w:rPr>
          <w:i/>
        </w:rPr>
      </w:pPr>
      <w:r w:rsidRPr="00D05DE7">
        <w:rPr>
          <w:i/>
        </w:rPr>
        <w:t>(d) a class of persons specified under subsection (1A).</w:t>
      </w:r>
    </w:p>
    <w:p w:rsidR="0048672F" w:rsidRPr="00D05DE7" w:rsidRDefault="0048672F" w:rsidP="0048672F">
      <w:pPr>
        <w:ind w:left="720"/>
        <w:rPr>
          <w:i/>
        </w:rPr>
      </w:pPr>
      <w:r w:rsidRPr="00D05DE7">
        <w:rPr>
          <w:i/>
        </w:rPr>
        <w:t>(1A) The Minister may, by legislative instrument, specify a class of persons for the purposes of paragraph (1)(d).</w:t>
      </w:r>
    </w:p>
    <w:p w:rsidR="0048672F" w:rsidRPr="00D05DE7" w:rsidRDefault="0048672F" w:rsidP="0048672F">
      <w:pPr>
        <w:ind w:left="720"/>
        <w:rPr>
          <w:i/>
        </w:rPr>
      </w:pPr>
      <w:r w:rsidRPr="00D05DE7">
        <w:rPr>
          <w:i/>
        </w:rPr>
        <w:t>(2) This Part does not apply to advertisements directed exclusively to persons who are members of an Australian branch (however described) of one of the bodies prescribed for the purposes of this subsection.</w:t>
      </w:r>
    </w:p>
    <w:p w:rsidR="0048672F" w:rsidRPr="00D05DE7" w:rsidRDefault="0048672F" w:rsidP="0048672F">
      <w:pPr>
        <w:ind w:left="720"/>
        <w:rPr>
          <w:i/>
        </w:rPr>
      </w:pPr>
      <w:r w:rsidRPr="00D05DE7">
        <w:rPr>
          <w:i/>
        </w:rPr>
        <w:t>(3) For the purposes of subsection (2), a person is taken to be a member of an Australian branch of one of those bodies if, and only if, the person has the qualifications and training that are necessary or appropriate for membership of the relevant body.</w:t>
      </w:r>
    </w:p>
    <w:p w:rsidR="0048672F" w:rsidRPr="00D05DE7" w:rsidRDefault="0048672F" w:rsidP="0048672F">
      <w:pPr>
        <w:ind w:left="720"/>
        <w:rPr>
          <w:i/>
        </w:rPr>
      </w:pPr>
      <w:r w:rsidRPr="00D05DE7">
        <w:rPr>
          <w:i/>
        </w:rPr>
        <w:t>(4) This Part does not apply to advice or information given directly to a patient by a person referred to in paragraph (1)(a) or (c) or subsection (2) in the course of treatment of that patient</w:t>
      </w:r>
    </w:p>
    <w:tbl>
      <w:tblPr>
        <w:tblW w:w="9038" w:type="dxa"/>
        <w:tblLayout w:type="fixed"/>
        <w:tblCellMar>
          <w:left w:w="0" w:type="dxa"/>
          <w:right w:w="0" w:type="dxa"/>
        </w:tblCellMar>
        <w:tblLook w:val="04A0"/>
      </w:tblPr>
      <w:tblGrid>
        <w:gridCol w:w="1276"/>
        <w:gridCol w:w="7762"/>
      </w:tblGrid>
      <w:tr w:rsidR="0048672F" w:rsidRPr="001525B4" w:rsidTr="00D05DE7">
        <w:trPr>
          <w:trHeight w:val="612"/>
        </w:trPr>
        <w:tc>
          <w:tcPr>
            <w:tcW w:w="1276" w:type="dxa"/>
            <w:vAlign w:val="center"/>
          </w:tcPr>
          <w:p w:rsidR="0048672F" w:rsidRPr="001525B4" w:rsidRDefault="0048672F" w:rsidP="001A41DA">
            <w:pPr>
              <w:spacing w:before="0"/>
              <w:rPr>
                <w:sz w:val="20"/>
              </w:rPr>
            </w:pPr>
            <w:r w:rsidRPr="001525B4">
              <w:rPr>
                <w:noProof/>
                <w:sz w:val="20"/>
                <w:lang w:eastAsia="en-AU"/>
              </w:rPr>
              <w:lastRenderedPageBreak/>
              <w:drawing>
                <wp:inline distT="0" distB="0" distL="0" distR="0">
                  <wp:extent cx="487681" cy="487681"/>
                  <wp:effectExtent l="19050" t="0" r="7619" b="0"/>
                  <wp:docPr id="16" name="Picture 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48672F" w:rsidRPr="001525B4" w:rsidRDefault="0048672F" w:rsidP="00D05DE7">
            <w:r w:rsidRPr="0048672F">
              <w:t>Th</w:t>
            </w:r>
            <w:r w:rsidR="00D05DE7">
              <w:t>e TGA is aware that some health professional</w:t>
            </w:r>
            <w:r w:rsidRPr="0048672F">
              <w:t xml:space="preserve"> associations provide their members with ‘Therapeutic Goods Advertising certificates’, advis</w:t>
            </w:r>
            <w:r w:rsidR="00D05DE7">
              <w:t>ing</w:t>
            </w:r>
            <w:r w:rsidRPr="0048672F">
              <w:t xml:space="preserve"> the member they </w:t>
            </w:r>
            <w:r w:rsidR="00D05DE7">
              <w:t>may</w:t>
            </w:r>
            <w:r w:rsidRPr="0048672F">
              <w:t xml:space="preserve"> receive advertising material exempt from complying with usual TGA advertising requirements. Such certificates are NOT issued by the TGA and are not related to the supply of ‘Practitioner Only Medicines’.</w:t>
            </w:r>
          </w:p>
        </w:tc>
      </w:tr>
    </w:tbl>
    <w:p w:rsidR="0048672F" w:rsidRDefault="0048672F" w:rsidP="00D05DE7">
      <w:pPr>
        <w:pStyle w:val="Heading5"/>
      </w:pPr>
      <w:r>
        <w:t>Extemporaneously compounded and dispensed medicines</w:t>
      </w:r>
    </w:p>
    <w:p w:rsidR="0048672F" w:rsidRDefault="0048672F" w:rsidP="0048672F">
      <w:r>
        <w:t>Schedule 5, Item 6 of the Regulations provides the following exemption from inclusion on the ARTG:</w:t>
      </w:r>
    </w:p>
    <w:p w:rsidR="0048672F" w:rsidRPr="00D05DE7" w:rsidRDefault="0048672F" w:rsidP="00F0535A">
      <w:pPr>
        <w:ind w:left="720"/>
        <w:rPr>
          <w:i/>
        </w:rPr>
      </w:pPr>
      <w:r w:rsidRPr="00D05DE7">
        <w:rPr>
          <w:i/>
        </w:rPr>
        <w:t>Medicines that are dispensed, or extemporaneously compounded, for a particular person for therapeutic application to that person.</w:t>
      </w:r>
    </w:p>
    <w:p w:rsidR="0048672F" w:rsidRDefault="0048672F" w:rsidP="0048672F">
      <w:r>
        <w:t xml:space="preserve">Extemporaneous compounding and dispensing is intended to be where a health professional prepares a medicine for an individual patient in response to an identified need of that patient. The exemptions recognised the one-off nature of such medicines and the professional training of the health professional to prepare a medicine for the specific needs of an individual patient. This allows health professionals, such as pharmacists, herbalists and homoeopaths, to prepare medicines for individual patients that do not need to be assessed or evaluated by the TGA for quality, safety or efficacy. </w:t>
      </w:r>
    </w:p>
    <w:p w:rsidR="0048672F" w:rsidRDefault="0048672F" w:rsidP="0048672F">
      <w:r>
        <w:t>This exemption applies to medicines prepared for individual patients, either following consultation with that particular patient, or to fill a prescription for that particular patient. The exemption does not cover situations where the health professional makes up medicines in advance, in anticipation of patients who may come onto the premises and ask for that medicine. Ingredients that are formulated as a dosage form are subject to TGA assessment for quality, safety and efficacy as appropriate, and are required to be included on the ARTG and, medicines included on the ARTG need to be prepared by a person with a manufacturing licence, in accordance with GMP.</w:t>
      </w:r>
    </w:p>
    <w:p w:rsidR="0048672F" w:rsidRDefault="0048672F" w:rsidP="0048672F">
      <w:r>
        <w:t xml:space="preserve">Access to some medicinal ingredients is restricted by State and Territory drug and poisons legislation. Depending on the level of access control, some ingredients are not available for dispensing or extemporaneous compounding by health professionals. For example, ingredients included in Schedule 4 of the SUSMP are available only on prescription from a medical practitioner registered under a law of a State or Territory. </w:t>
      </w:r>
    </w:p>
    <w:p w:rsidR="0048672F" w:rsidRDefault="0048672F" w:rsidP="00D05DE7">
      <w:r>
        <w:t>Schedule 8(</w:t>
      </w:r>
      <w:r w:rsidR="0039077B">
        <w:t>4</w:t>
      </w:r>
      <w:r>
        <w:t>) of the Regulations provides the following health professional exemption from the operation of Part 3-3 of the Act (Manufacturing of therapeutic goods) and therefore the requirement to manufacture certain medicines under GMP:</w:t>
      </w:r>
    </w:p>
    <w:p w:rsidR="0048672F" w:rsidRPr="00D05DE7" w:rsidRDefault="0048672F" w:rsidP="00F0535A">
      <w:pPr>
        <w:ind w:left="720"/>
        <w:rPr>
          <w:i/>
        </w:rPr>
      </w:pPr>
      <w:r w:rsidRPr="00D05DE7">
        <w:rPr>
          <w:i/>
        </w:rPr>
        <w:t>where the preparation is for use in the course of his or her business and:</w:t>
      </w:r>
    </w:p>
    <w:p w:rsidR="0048672F" w:rsidRPr="00D05DE7" w:rsidRDefault="0048672F" w:rsidP="0048672F">
      <w:pPr>
        <w:ind w:left="720"/>
        <w:rPr>
          <w:i/>
        </w:rPr>
      </w:pPr>
      <w:r w:rsidRPr="00D05DE7">
        <w:rPr>
          <w:i/>
        </w:rPr>
        <w:t>a) the preparations are manufactured on premises that the person carrying on the business occupies and that he or she is able to close so as to exclude the public; and</w:t>
      </w:r>
    </w:p>
    <w:p w:rsidR="0048672F" w:rsidRPr="00D05DE7" w:rsidRDefault="0048672F" w:rsidP="0048672F">
      <w:pPr>
        <w:ind w:left="720"/>
        <w:rPr>
          <w:i/>
        </w:rPr>
      </w:pPr>
      <w:r w:rsidRPr="00D05DE7">
        <w:rPr>
          <w:i/>
        </w:rPr>
        <w:t>b) the person carrying on the business:</w:t>
      </w:r>
    </w:p>
    <w:p w:rsidR="0048672F" w:rsidRPr="00D05DE7" w:rsidRDefault="0048672F" w:rsidP="0048672F">
      <w:pPr>
        <w:ind w:left="1440"/>
        <w:rPr>
          <w:i/>
        </w:rPr>
      </w:pPr>
      <w:proofErr w:type="spellStart"/>
      <w:r w:rsidRPr="00D05DE7">
        <w:rPr>
          <w:i/>
        </w:rPr>
        <w:t>i</w:t>
      </w:r>
      <w:proofErr w:type="spellEnd"/>
      <w:r w:rsidRPr="00D05DE7">
        <w:rPr>
          <w:i/>
        </w:rPr>
        <w:t>) supplies the preparation for administration to a particular person after consulting with that person; and</w:t>
      </w:r>
    </w:p>
    <w:p w:rsidR="0048672F" w:rsidRPr="00D05DE7" w:rsidRDefault="0048672F" w:rsidP="0048672F">
      <w:pPr>
        <w:ind w:left="720" w:firstLine="720"/>
        <w:rPr>
          <w:i/>
        </w:rPr>
      </w:pPr>
      <w:r w:rsidRPr="00D05DE7">
        <w:rPr>
          <w:i/>
        </w:rPr>
        <w:t>ii) uses his or her judgement as to the treatment required.</w:t>
      </w:r>
    </w:p>
    <w:p w:rsidR="0048672F" w:rsidRDefault="0048672F" w:rsidP="00D05DE7">
      <w:pPr>
        <w:pStyle w:val="Heading5"/>
      </w:pPr>
      <w:r>
        <w:lastRenderedPageBreak/>
        <w:t>Pre-packaged (manufactured) medicines</w:t>
      </w:r>
    </w:p>
    <w:p w:rsidR="0048672F" w:rsidRDefault="0048672F" w:rsidP="0048672F">
      <w:r>
        <w:t>Most herbal ingredients are not subject to restricted access and may be used for preparing medicines that are dispensed or extemporaneously compounded. However, some ingredients used by health professionals in dispensing or extemporaneous compounding of medicines for patients are subject to TGA legislation. Ingredients that are either pre-packaged for other therapeutic purposes, or formulated as a dosage form (such as medicines ‘For Practitioner Dispensing Only’ – see below), are subject to TGA assessment for quality, safety and efficacy as appropriate, and are to be included on the ARTG.</w:t>
      </w:r>
    </w:p>
    <w:p w:rsidR="0048672F" w:rsidRDefault="0048672F" w:rsidP="00D05DE7">
      <w:pPr>
        <w:pStyle w:val="Heading5"/>
      </w:pPr>
      <w:r>
        <w:t>‘For practitioner dispensing only’ products</w:t>
      </w:r>
    </w:p>
    <w:p w:rsidR="0048672F" w:rsidRDefault="0048672F" w:rsidP="0048672F">
      <w:r>
        <w:t xml:space="preserve">Sponsors may choose to supply their products in a dispensing pack to healthcare professionals with the words ‘for practitioner dispensing only’ included on the label. Medicines labelled ‘for practitioner dispensing only’ must meet the same statutory requirements relating to entry on the ARTG, labelling (apart from indications) and advertising as required for other listed or registered complementary medicines. </w:t>
      </w:r>
    </w:p>
    <w:p w:rsidR="0048672F" w:rsidRDefault="0048672F" w:rsidP="0048672F">
      <w:r>
        <w:t xml:space="preserve">The regulation of complementary medicines ‘for practitioner dispensing only’ is specifically addressed in the TGO 69. A dispensing pack is defined in TGO 69 as: </w:t>
      </w:r>
    </w:p>
    <w:p w:rsidR="0048672F" w:rsidRPr="00D05DE7" w:rsidRDefault="0048672F" w:rsidP="00F0535A">
      <w:pPr>
        <w:ind w:left="720"/>
        <w:rPr>
          <w:b/>
          <w:i/>
        </w:rPr>
      </w:pPr>
      <w:r w:rsidRPr="00D05DE7">
        <w:rPr>
          <w:b/>
          <w:i/>
        </w:rPr>
        <w:t xml:space="preserve">dispensing pack </w:t>
      </w:r>
    </w:p>
    <w:p w:rsidR="0048672F" w:rsidRPr="00D05DE7" w:rsidRDefault="0048672F" w:rsidP="0048672F">
      <w:pPr>
        <w:ind w:left="720"/>
        <w:rPr>
          <w:i/>
        </w:rPr>
      </w:pPr>
      <w:r w:rsidRPr="00D05DE7">
        <w:rPr>
          <w:i/>
        </w:rPr>
        <w:t>‘in relation to complementary healthcare, [dispensing pack] means a pack which is to be supplied solely to complementary healthcare practitioners for supply to a person after affixing an instruction label following a consultation with that person.’</w:t>
      </w:r>
    </w:p>
    <w:p w:rsidR="0048672F" w:rsidRDefault="0048672F" w:rsidP="0048672F">
      <w:r>
        <w:t xml:space="preserve">The difference between ‘for practitioner dispensing only’ products and other listed or registered complementary medicines is that the former do not need to include a statement of their purpose on the label, while other medicines must include therapeutic indications on the label. Subsection (m) of Section 3(2) TGO 69 advises that, as long as goods are supplied in a dispensing pack to a healthcare professional with the words ‘for practitioner dispensing only’ included on the label, the product does not require a statement of the purpose or purposes for which it is intended that the goods be used. </w:t>
      </w:r>
    </w:p>
    <w:p w:rsidR="0048672F" w:rsidRDefault="0048672F" w:rsidP="00F0535A">
      <w:pPr>
        <w:ind w:left="720"/>
      </w:pPr>
      <w:r>
        <w:t>Section 3(2) TGO 69</w:t>
      </w:r>
    </w:p>
    <w:p w:rsidR="0048672F" w:rsidRPr="00D05DE7" w:rsidRDefault="0048672F" w:rsidP="0048672F">
      <w:pPr>
        <w:ind w:left="720"/>
        <w:rPr>
          <w:i/>
        </w:rPr>
      </w:pPr>
      <w:r w:rsidRPr="00D05DE7">
        <w:rPr>
          <w:i/>
        </w:rPr>
        <w:t xml:space="preserve">(m) a statement of the purpose or purposes for which it is intended that the goods be used, except: </w:t>
      </w:r>
    </w:p>
    <w:p w:rsidR="0048672F" w:rsidRPr="00D05DE7" w:rsidRDefault="0048672F" w:rsidP="0048672F">
      <w:pPr>
        <w:ind w:left="720"/>
        <w:rPr>
          <w:i/>
        </w:rPr>
      </w:pPr>
      <w:r w:rsidRPr="00D05DE7">
        <w:rPr>
          <w:i/>
        </w:rPr>
        <w:t>(</w:t>
      </w:r>
      <w:proofErr w:type="spellStart"/>
      <w:r w:rsidRPr="00D05DE7">
        <w:rPr>
          <w:i/>
        </w:rPr>
        <w:t>i</w:t>
      </w:r>
      <w:proofErr w:type="spellEnd"/>
      <w:r w:rsidRPr="00D05DE7">
        <w:rPr>
          <w:i/>
        </w:rPr>
        <w:t xml:space="preserve">) where the goods are specified in Schedule 4 or Schedule 8 of the Poisons Standard; or </w:t>
      </w:r>
    </w:p>
    <w:p w:rsidR="0048672F" w:rsidRPr="00D05DE7" w:rsidRDefault="0048672F" w:rsidP="0048672F">
      <w:pPr>
        <w:ind w:left="720"/>
        <w:rPr>
          <w:i/>
        </w:rPr>
      </w:pPr>
      <w:r w:rsidRPr="00D05DE7">
        <w:rPr>
          <w:i/>
        </w:rPr>
        <w:t>(ii) where the goods are a dispensing pack supplied solely to a complementary healthcare practitioner, and include on the label the words ‘For Practitioner Dispensing Only’...</w:t>
      </w:r>
    </w:p>
    <w:p w:rsidR="0048672F" w:rsidRDefault="0048672F" w:rsidP="0048672F">
      <w:r>
        <w:t>Therapeutic goods labelled ‘for practitioner dispensing only' should only be supplied to an individual after consultation with a healthcare professional, at which time, the healthcare professional provides instructions for use. However, regardless of whether the label includes the statement, 'for practitioner dispensing only', all other information on the label must meet the requirements of the TGO 69 and the TGAC unless the appropriate exemption or approval to do otherwise has been granted by the TGA.</w:t>
      </w:r>
    </w:p>
    <w:tbl>
      <w:tblPr>
        <w:tblW w:w="9038" w:type="dxa"/>
        <w:tblLayout w:type="fixed"/>
        <w:tblCellMar>
          <w:left w:w="0" w:type="dxa"/>
          <w:right w:w="0" w:type="dxa"/>
        </w:tblCellMar>
        <w:tblLook w:val="04A0"/>
      </w:tblPr>
      <w:tblGrid>
        <w:gridCol w:w="1276"/>
        <w:gridCol w:w="7762"/>
      </w:tblGrid>
      <w:tr w:rsidR="0048672F" w:rsidRPr="001525B4" w:rsidTr="001A41DA">
        <w:trPr>
          <w:trHeight w:val="1206"/>
        </w:trPr>
        <w:tc>
          <w:tcPr>
            <w:tcW w:w="1276" w:type="dxa"/>
            <w:vAlign w:val="center"/>
          </w:tcPr>
          <w:p w:rsidR="0048672F" w:rsidRPr="001525B4" w:rsidRDefault="0048672F" w:rsidP="001A41DA">
            <w:pPr>
              <w:spacing w:before="0"/>
              <w:rPr>
                <w:sz w:val="20"/>
              </w:rPr>
            </w:pPr>
            <w:r w:rsidRPr="001525B4">
              <w:rPr>
                <w:noProof/>
                <w:sz w:val="20"/>
                <w:lang w:eastAsia="en-AU"/>
              </w:rPr>
              <w:lastRenderedPageBreak/>
              <w:drawing>
                <wp:inline distT="0" distB="0" distL="0" distR="0">
                  <wp:extent cx="487681" cy="487681"/>
                  <wp:effectExtent l="19050" t="0" r="7619" b="0"/>
                  <wp:docPr id="17" name="Picture 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48672F" w:rsidRPr="001525B4" w:rsidRDefault="0048672F" w:rsidP="001A41DA">
            <w:r w:rsidRPr="0048672F">
              <w:t>The TGA is aware that some suppliers of ‘for practitioner dispensing only’ medicines may request ‘TGA certificates’ or ‘TGA exemptions’ from healthcare professionals. Note that the TGA does not issue any such certificate or exemption to complementary healthcare practitioners.</w:t>
            </w:r>
          </w:p>
        </w:tc>
      </w:tr>
    </w:tbl>
    <w:p w:rsidR="0048672F" w:rsidRDefault="0048672F" w:rsidP="0048672F">
      <w:pPr>
        <w:pStyle w:val="Heading4"/>
      </w:pPr>
      <w:bookmarkStart w:id="38" w:name="_Toc337635118"/>
      <w:r w:rsidRPr="0048672F">
        <w:t>Australian native and endangered species in therapeutic goods</w:t>
      </w:r>
      <w:bookmarkEnd w:id="38"/>
    </w:p>
    <w:p w:rsidR="00D05DE7" w:rsidRDefault="00D05DE7" w:rsidP="00D05DE7">
      <w:r>
        <w:t xml:space="preserve">Australia’s unique plants and animals are known throughout the world and are a part of our natural heritage. The Australian Government recognises the value of our native species and the need to ensure their continued survival. Regulation of international movement (exports and imports) of wildlife and wildlife products is acknowledged internationally as an important element of effective nature conservation. In addition to protecting native species, the Australian Government reinforces the efforts of other countries to protect their wildlife by regulating trade in those species identified under </w:t>
      </w:r>
      <w:hyperlink r:id="rId65" w:history="1">
        <w:r w:rsidRPr="00D05DE7">
          <w:rPr>
            <w:rStyle w:val="Hyperlink"/>
          </w:rPr>
          <w:t>Convention on International Trade in Endangered Species</w:t>
        </w:r>
      </w:hyperlink>
      <w:r>
        <w:t xml:space="preserve"> (CITES). These controls, as well as contributing to the international cooperative conservation effort, also complement the wildlife conservation efforts of Australian States and Territories.</w:t>
      </w:r>
    </w:p>
    <w:p w:rsidR="0048672F" w:rsidRDefault="00D05DE7" w:rsidP="00D05DE7">
      <w:r>
        <w:t xml:space="preserve">For all wildlife except cetaceans (whales, dolphins etc.), international movement of wildlife and wildlife products is regulated under the </w:t>
      </w:r>
      <w:hyperlink r:id="rId66" w:history="1">
        <w:r w:rsidRPr="00D05DE7">
          <w:rPr>
            <w:rStyle w:val="Hyperlink"/>
            <w:i/>
          </w:rPr>
          <w:t>Environment Protection and Biodiversity Conservation Act 1999</w:t>
        </w:r>
      </w:hyperlink>
      <w:r>
        <w:t xml:space="preserve"> (the EPBC Act).</w:t>
      </w:r>
    </w:p>
    <w:p w:rsidR="0048672F" w:rsidRDefault="00D05DE7" w:rsidP="0048672F">
      <w:r w:rsidRPr="00D05DE7">
        <w:t>The EPBC Act regulates the:</w:t>
      </w:r>
    </w:p>
    <w:p w:rsidR="00D05DE7" w:rsidRDefault="00D05DE7" w:rsidP="00D05DE7">
      <w:pPr>
        <w:pStyle w:val="ListBullet"/>
      </w:pPr>
      <w:r>
        <w:t>export and import of Australian native species other than those identified as exempt under the EPBC Act</w:t>
      </w:r>
    </w:p>
    <w:p w:rsidR="00D05DE7" w:rsidRDefault="00D05DE7" w:rsidP="00D05DE7">
      <w:pPr>
        <w:pStyle w:val="ListBullet"/>
      </w:pPr>
      <w:r>
        <w:t>export and import of all species that are recognised internationally as endangered or likely to become so if trade is not strictly regulated</w:t>
      </w:r>
    </w:p>
    <w:p w:rsidR="00D05DE7" w:rsidRDefault="00D05DE7" w:rsidP="00D05DE7">
      <w:pPr>
        <w:pStyle w:val="ListBullet"/>
      </w:pPr>
      <w:r>
        <w:t>importation of species identified by other CITES member countries as requiring international cooperation to regulate their trade; and</w:t>
      </w:r>
    </w:p>
    <w:p w:rsidR="00D05DE7" w:rsidRDefault="00D05DE7" w:rsidP="00D05DE7">
      <w:pPr>
        <w:pStyle w:val="ListBullet"/>
      </w:pPr>
      <w:r>
        <w:t>importation of live plants and animals that, if they became established in Australia, could adversely affect Australian native species or their habitats.</w:t>
      </w:r>
    </w:p>
    <w:p w:rsidR="00D05DE7" w:rsidRDefault="00D05DE7" w:rsidP="00D05DE7">
      <w:r>
        <w:t xml:space="preserve">Commercial export of regulated Australian native products may occur only where the specimens are accompanied by an appropriate export permit and the specimens have been derived from a source that has been approved under the EPBC Act (e.g. a captive breeding program, an artificial propagation program, an aquaculture program, a wildlife trade management operation, or a wildlife management plan). </w:t>
      </w:r>
    </w:p>
    <w:p w:rsidR="0048672F" w:rsidRDefault="00D05DE7" w:rsidP="00D05DE7">
      <w:r>
        <w:t>The importation of CITES listed specimens for commercial purposes must be from an approved commercial import program or approved captive source, and is subject to specific conditions described in the particular appendix on which the specimen is listed. Specific conditions also apply to the commercial export of CITES-listed species.</w:t>
      </w:r>
    </w:p>
    <w:p w:rsidR="00D05DE7" w:rsidRDefault="00D05DE7" w:rsidP="00D05DE7">
      <w:pPr>
        <w:pStyle w:val="Heading4"/>
      </w:pPr>
      <w:bookmarkStart w:id="39" w:name="_Toc337635119"/>
      <w:r>
        <w:t>Therapeutic goods containing Australian native and endangered species</w:t>
      </w:r>
      <w:bookmarkEnd w:id="39"/>
    </w:p>
    <w:p w:rsidR="00D05DE7" w:rsidRDefault="00D05DE7" w:rsidP="00D05DE7">
      <w:r>
        <w:t xml:space="preserve">The TGA does not have the legislative power to reject listing or registration applications on the grounds that they contain a substance derived from a species that is subject to State or Australian Government environmental regulation. This may result in the situation where therapeutic goods that are listed or registered on the ARTG may be seized at Customs if they are exported or imported. Therefore, it is the responsibility of sponsors of </w:t>
      </w:r>
      <w:r>
        <w:lastRenderedPageBreak/>
        <w:t>therapeutic goods containing substances that are derived from Australian native or endangered species to:</w:t>
      </w:r>
    </w:p>
    <w:p w:rsidR="00D05DE7" w:rsidRDefault="00D05DE7" w:rsidP="00D05DE7">
      <w:pPr>
        <w:pStyle w:val="ListBullet"/>
      </w:pPr>
      <w:r>
        <w:t>be aware that controls on the trade of these goods may exist; and</w:t>
      </w:r>
    </w:p>
    <w:p w:rsidR="00D05DE7" w:rsidRDefault="00D05DE7" w:rsidP="00D05DE7">
      <w:pPr>
        <w:pStyle w:val="ListBullet"/>
      </w:pPr>
      <w:r>
        <w:t>take appropriate steps to avoid action by enforcers of the Department of Sustainability, Environment, Water, Population and Communities or by Customs officers.</w:t>
      </w:r>
    </w:p>
    <w:p w:rsidR="00D05DE7" w:rsidRDefault="00D05DE7" w:rsidP="00D05DE7">
      <w:r>
        <w:t>While the TGA does not play a role in the administration or enforcement of Australian national environment law, the TGA is obligated to take reasonable steps to prevent the illegal trade of endangered and Australian native species (including products). In order to meet these obligations, the TGA will release to the Department of Sustainability, Environment, Water, Population and Communities information about therapeutic goods that contain substances derived from endangered or Australian native species.</w:t>
      </w:r>
    </w:p>
    <w:p w:rsidR="00D05DE7" w:rsidRDefault="00D05DE7" w:rsidP="00D05DE7">
      <w:r>
        <w:t>While the TGA will continue to treat commercial-in-confidence information in accordance with legislated requirements, Section 61(6) of the Act allows the release of therapeutic goods information. Regulation 46 of the Regulations describes the kinds of therapeutic goods information that the Secretary may release. As described in Regulations this information may include:</w:t>
      </w:r>
    </w:p>
    <w:p w:rsidR="00D05DE7" w:rsidRDefault="00D05DE7" w:rsidP="00D05DE7">
      <w:pPr>
        <w:pStyle w:val="ListBullet"/>
      </w:pPr>
      <w:r>
        <w:t>the name of the therapeutic goods</w:t>
      </w:r>
    </w:p>
    <w:p w:rsidR="00D05DE7" w:rsidRDefault="00D05DE7" w:rsidP="00D05DE7">
      <w:pPr>
        <w:pStyle w:val="ListBullet"/>
      </w:pPr>
      <w:r>
        <w:t>the name and address of the sponsor of the goods</w:t>
      </w:r>
    </w:p>
    <w:p w:rsidR="00D05DE7" w:rsidRDefault="00D05DE7" w:rsidP="00D05DE7">
      <w:pPr>
        <w:pStyle w:val="ListBullet"/>
      </w:pPr>
      <w:r>
        <w:t>the names and quantities of therapeutically active substances in the goods; and</w:t>
      </w:r>
    </w:p>
    <w:p w:rsidR="00D05DE7" w:rsidRDefault="00D05DE7" w:rsidP="00D05DE7">
      <w:pPr>
        <w:pStyle w:val="ListBullet"/>
      </w:pPr>
      <w:r>
        <w:t xml:space="preserve">the presence or absence of any specific </w:t>
      </w:r>
      <w:proofErr w:type="spellStart"/>
      <w:r>
        <w:t>excipient</w:t>
      </w:r>
      <w:proofErr w:type="spellEnd"/>
      <w:r>
        <w:t xml:space="preserve"> in the goods.</w:t>
      </w:r>
    </w:p>
    <w:p w:rsidR="00D05DE7" w:rsidRDefault="00D05DE7" w:rsidP="00B06A7F">
      <w:pPr>
        <w:pStyle w:val="Heading5"/>
      </w:pPr>
      <w:r>
        <w:t>More information on Australian native and endangered species</w:t>
      </w:r>
    </w:p>
    <w:p w:rsidR="00D05DE7" w:rsidRDefault="00D05DE7" w:rsidP="00D05DE7">
      <w:r>
        <w:t>For further information on how to comply with Regulations controlling the trade of Australian native or endangered species, and products derived from them, within Australia, sponsors should contact the Environmental Protection Authority in their State.</w:t>
      </w:r>
    </w:p>
    <w:p w:rsidR="00D05DE7" w:rsidRDefault="00D05DE7" w:rsidP="00D05DE7">
      <w:r>
        <w:t>For queries regarding the importation of restricted/endangered species and the general importation of plant material, please refer to the following authorities:</w:t>
      </w:r>
    </w:p>
    <w:p w:rsidR="00B06A7F" w:rsidRDefault="0031131E" w:rsidP="00B06A7F">
      <w:pPr>
        <w:pStyle w:val="ListBullet"/>
      </w:pPr>
      <w:hyperlink r:id="rId67" w:history="1">
        <w:r w:rsidR="00B06A7F" w:rsidRPr="00B06A7F">
          <w:rPr>
            <w:rStyle w:val="Hyperlink"/>
          </w:rPr>
          <w:t>Australian Customs and Border Protection Service</w:t>
        </w:r>
      </w:hyperlink>
    </w:p>
    <w:p w:rsidR="00B06A7F" w:rsidRDefault="0031131E" w:rsidP="00B06A7F">
      <w:pPr>
        <w:pStyle w:val="ListBullet"/>
      </w:pPr>
      <w:hyperlink r:id="rId68" w:history="1">
        <w:r w:rsidR="00B06A7F" w:rsidRPr="00B06A7F">
          <w:rPr>
            <w:rStyle w:val="Hyperlink"/>
          </w:rPr>
          <w:t>Australian Quarantine and Inspection Service</w:t>
        </w:r>
      </w:hyperlink>
    </w:p>
    <w:p w:rsidR="00B06A7F" w:rsidRDefault="0031131E" w:rsidP="00B06A7F">
      <w:pPr>
        <w:pStyle w:val="ListBullet"/>
      </w:pPr>
      <w:hyperlink r:id="rId69" w:history="1">
        <w:r w:rsidR="00B06A7F" w:rsidRPr="00B06A7F">
          <w:rPr>
            <w:rStyle w:val="Hyperlink"/>
          </w:rPr>
          <w:t>CITES</w:t>
        </w:r>
      </w:hyperlink>
    </w:p>
    <w:p w:rsidR="00D05DE7" w:rsidRDefault="0031131E" w:rsidP="00B06A7F">
      <w:pPr>
        <w:pStyle w:val="ListBullet"/>
      </w:pPr>
      <w:hyperlink r:id="rId70" w:history="1">
        <w:r w:rsidR="00B06A7F" w:rsidRPr="00B06A7F">
          <w:rPr>
            <w:rStyle w:val="Hyperlink"/>
          </w:rPr>
          <w:t>Department of Sustainability, Environment, Water, Population and Communities</w:t>
        </w:r>
      </w:hyperlink>
    </w:p>
    <w:tbl>
      <w:tblPr>
        <w:tblW w:w="9038" w:type="dxa"/>
        <w:tblLayout w:type="fixed"/>
        <w:tblCellMar>
          <w:left w:w="0" w:type="dxa"/>
          <w:right w:w="0" w:type="dxa"/>
        </w:tblCellMar>
        <w:tblLook w:val="04A0"/>
      </w:tblPr>
      <w:tblGrid>
        <w:gridCol w:w="1276"/>
        <w:gridCol w:w="7762"/>
      </w:tblGrid>
      <w:tr w:rsidR="00B06A7F" w:rsidRPr="001525B4" w:rsidTr="003B4FD1">
        <w:trPr>
          <w:trHeight w:val="1206"/>
        </w:trPr>
        <w:tc>
          <w:tcPr>
            <w:tcW w:w="1276" w:type="dxa"/>
            <w:vAlign w:val="center"/>
          </w:tcPr>
          <w:p w:rsidR="00B06A7F" w:rsidRPr="001525B4" w:rsidRDefault="00B06A7F" w:rsidP="003B4FD1">
            <w:pPr>
              <w:spacing w:before="0"/>
              <w:rPr>
                <w:sz w:val="20"/>
              </w:rPr>
            </w:pPr>
            <w:r w:rsidRPr="001525B4">
              <w:rPr>
                <w:noProof/>
                <w:sz w:val="20"/>
                <w:lang w:eastAsia="en-AU"/>
              </w:rPr>
              <w:drawing>
                <wp:inline distT="0" distB="0" distL="0" distR="0">
                  <wp:extent cx="487681" cy="487681"/>
                  <wp:effectExtent l="19050" t="0" r="7619" b="0"/>
                  <wp:docPr id="18" name="Picture 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B06A7F" w:rsidRPr="001525B4" w:rsidRDefault="00B06A7F" w:rsidP="003B4FD1">
            <w:r w:rsidRPr="00B06A7F">
              <w:t>Listing of a product in the ARTG does not absolve it or its sponsor from the provisions of other relevant legislation.</w:t>
            </w:r>
          </w:p>
        </w:tc>
      </w:tr>
    </w:tbl>
    <w:p w:rsidR="00B06A7F" w:rsidRDefault="00B06A7F" w:rsidP="00F0535A">
      <w:pPr>
        <w:pStyle w:val="Heading4"/>
        <w:keepNext/>
        <w:keepLines/>
      </w:pPr>
      <w:bookmarkStart w:id="40" w:name="_Toc337635120"/>
      <w:r>
        <w:lastRenderedPageBreak/>
        <w:t>Post listing compliance for complementary medicines</w:t>
      </w:r>
      <w:bookmarkEnd w:id="40"/>
    </w:p>
    <w:p w:rsidR="00B06A7F" w:rsidRDefault="00B06A7F" w:rsidP="00F0535A">
      <w:pPr>
        <w:keepNext/>
        <w:keepLines/>
      </w:pPr>
      <w:r>
        <w:t xml:space="preserve">Once a therapeutic product is approved, the TGA continues to monitor the product in the market through therapeutic product vigilance activities. Refer to the </w:t>
      </w:r>
      <w:r w:rsidRPr="001E19CA">
        <w:t>TGA’s website</w:t>
      </w:r>
      <w:r>
        <w:t xml:space="preserve"> for an </w:t>
      </w:r>
      <w:hyperlink r:id="rId71" w:history="1">
        <w:r w:rsidRPr="001E19CA">
          <w:rPr>
            <w:rStyle w:val="Hyperlink"/>
          </w:rPr>
          <w:t>outline of Australia's therapeutic product vigilance processes</w:t>
        </w:r>
      </w:hyperlink>
      <w:r>
        <w:t>.</w:t>
      </w:r>
    </w:p>
    <w:p w:rsidR="00B06A7F" w:rsidRDefault="00B06A7F" w:rsidP="00B06A7F">
      <w:r>
        <w:t>Under the listing process, medicines are listed on the ARTG on the basis of sponsors’ provision of information and a declaration that the products are eligible for listing and comply with all listing requirements (as provided in Section 26A of the Act). More information on the listing process is provided in ARGCM Part B: Listed complementary medicines.</w:t>
      </w:r>
    </w:p>
    <w:p w:rsidR="00B06A7F" w:rsidRDefault="00B06A7F" w:rsidP="00B06A7F">
      <w:r>
        <w:t>The regulation of complementary medicines in the listed medicine system allows for early market access for low-risk complementary medicines. In facilitating early market access, there is reliance on a comprehensive risk-based system of post market monitoring.</w:t>
      </w:r>
    </w:p>
    <w:p w:rsidR="00B06A7F" w:rsidRDefault="00B06A7F" w:rsidP="00B06A7F">
      <w:r>
        <w:t xml:space="preserve">A proportion of listed complementary medicines are reviewed by the TGA following their listing for compliance with the regulatory requirements. More information on the </w:t>
      </w:r>
      <w:hyperlink r:id="rId72" w:history="1">
        <w:r w:rsidRPr="001E19CA">
          <w:rPr>
            <w:rStyle w:val="Hyperlink"/>
          </w:rPr>
          <w:t>TGA’s compliance review framework and approach to managing compliance risk</w:t>
        </w:r>
      </w:hyperlink>
      <w:r>
        <w:t xml:space="preserve"> is on the</w:t>
      </w:r>
      <w:r w:rsidRPr="001E19CA">
        <w:t xml:space="preserve"> TGA website</w:t>
      </w:r>
      <w:r>
        <w:t xml:space="preserve"> and ARGCM Part B.</w:t>
      </w:r>
    </w:p>
    <w:p w:rsidR="00B06A7F" w:rsidRDefault="00B06A7F">
      <w:pPr>
        <w:spacing w:before="0" w:after="0" w:line="240" w:lineRule="auto"/>
      </w:pPr>
      <w:r>
        <w:br w:type="page"/>
      </w:r>
    </w:p>
    <w:p w:rsidR="00B06A7F" w:rsidRDefault="00B06A7F" w:rsidP="00494374">
      <w:pPr>
        <w:pStyle w:val="Heading3"/>
      </w:pPr>
      <w:bookmarkStart w:id="41" w:name="_Toc337635121"/>
      <w:r>
        <w:lastRenderedPageBreak/>
        <w:t>Attachment 1: Compositional guidelines for complementary medicine substances</w:t>
      </w:r>
      <w:bookmarkEnd w:id="41"/>
      <w:r>
        <w:t xml:space="preserve"> </w:t>
      </w:r>
    </w:p>
    <w:p w:rsidR="00B06A7F" w:rsidRDefault="00B06A7F" w:rsidP="00B06A7F">
      <w:r>
        <w:t>Guidance on compositional guidelines for complementary substances is being developed by the TGA and will be released as part of the consultation process for ‘ARGCM Part C: Evaluation of complementary medicine substances’.</w:t>
      </w:r>
    </w:p>
    <w:p w:rsidR="00B06A7F" w:rsidRDefault="00B06A7F">
      <w:pPr>
        <w:spacing w:before="0" w:after="0" w:line="240" w:lineRule="auto"/>
      </w:pPr>
      <w:r>
        <w:br w:type="page"/>
      </w:r>
    </w:p>
    <w:p w:rsidR="00B06A7F" w:rsidRDefault="00B06A7F" w:rsidP="00494374">
      <w:pPr>
        <w:pStyle w:val="Heading3"/>
      </w:pPr>
      <w:bookmarkStart w:id="42" w:name="_Toc337635122"/>
      <w:r>
        <w:lastRenderedPageBreak/>
        <w:t>Attachment 2: Data requirements for proprietary ingredients</w:t>
      </w:r>
      <w:bookmarkEnd w:id="42"/>
      <w:r>
        <w:t xml:space="preserve"> </w:t>
      </w:r>
    </w:p>
    <w:p w:rsidR="00B06A7F" w:rsidRDefault="00B06A7F" w:rsidP="00B06A7F">
      <w:r>
        <w:t xml:space="preserve">The following information is required when an application for a new </w:t>
      </w:r>
      <w:r w:rsidR="003E3491">
        <w:t>proprietary ingredient</w:t>
      </w:r>
      <w:r>
        <w:t xml:space="preserve"> for use in listed medicines is lodged:</w:t>
      </w:r>
    </w:p>
    <w:p w:rsidR="00B06A7F" w:rsidRDefault="00B06A7F" w:rsidP="00B06A7F">
      <w:pPr>
        <w:pStyle w:val="ListBullet"/>
      </w:pPr>
      <w:r>
        <w:t xml:space="preserve">The type of </w:t>
      </w:r>
      <w:r w:rsidR="003E3491">
        <w:t>proprietary ingredient</w:t>
      </w:r>
      <w:r>
        <w:t>.</w:t>
      </w:r>
    </w:p>
    <w:p w:rsidR="00B06A7F" w:rsidRDefault="00B06A7F" w:rsidP="00B06A7F">
      <w:pPr>
        <w:pStyle w:val="ListBullet"/>
      </w:pPr>
      <w:r>
        <w:t>The names of all ingredients, as approved names consistent with the Australian Approved Terminology for Medicines (i.e. AAN, ABN, AHN, or AHS).</w:t>
      </w:r>
    </w:p>
    <w:p w:rsidR="00B06A7F" w:rsidRDefault="00B06A7F" w:rsidP="00B06A7F">
      <w:pPr>
        <w:pStyle w:val="ListBullet"/>
      </w:pPr>
      <w:r>
        <w:t xml:space="preserve">Quantitative composition (as a concentration of the total </w:t>
      </w:r>
      <w:r w:rsidR="003E3491">
        <w:t>proprietary ingredient</w:t>
      </w:r>
      <w:r>
        <w:t>) of all ingredients.</w:t>
      </w:r>
    </w:p>
    <w:p w:rsidR="00B06A7F" w:rsidRDefault="00B06A7F" w:rsidP="00B06A7F">
      <w:r>
        <w:t xml:space="preserve">The only exceptions to points 2 and 3 above will be for Type 1b </w:t>
      </w:r>
      <w:r w:rsidR="003E3491">
        <w:t>proprietary ingredient</w:t>
      </w:r>
      <w:r>
        <w:t>s, i.e. fragrances, flavours and printing inks where the declaration of quantitative composition and use of Australian Approved Terminology is not mandatory, although it is preferable.</w:t>
      </w:r>
    </w:p>
    <w:p w:rsidR="00B06A7F" w:rsidRPr="004F6F37" w:rsidRDefault="00B06A7F" w:rsidP="00B06A7F">
      <w:pPr>
        <w:rPr>
          <w:b/>
        </w:rPr>
      </w:pPr>
      <w:r w:rsidRPr="004F6F37">
        <w:rPr>
          <w:b/>
        </w:rPr>
        <w:t>Specific requirements for proprietary ingredients in listed medicines</w:t>
      </w:r>
    </w:p>
    <w:p w:rsidR="00B06A7F" w:rsidRDefault="00B06A7F" w:rsidP="00B06A7F">
      <w:pPr>
        <w:pStyle w:val="Heading5"/>
      </w:pPr>
      <w:r>
        <w:t>Type 1a: colours</w:t>
      </w:r>
    </w:p>
    <w:p w:rsidR="00B06A7F" w:rsidRDefault="00B06A7F" w:rsidP="00B06A7F">
      <w:r>
        <w:t xml:space="preserve">Only those </w:t>
      </w:r>
      <w:r w:rsidR="003E3491">
        <w:t>proprietary ingredient</w:t>
      </w:r>
      <w:r>
        <w:t xml:space="preserve">s that are colours currently approved for pharmaceutical ingestion will be allowed in listed medicines. </w:t>
      </w:r>
      <w:r w:rsidR="003E3491">
        <w:t>proprietary ingredient</w:t>
      </w:r>
      <w:r>
        <w:t>s that are colours require:</w:t>
      </w:r>
    </w:p>
    <w:p w:rsidR="00B06A7F" w:rsidRDefault="00B06A7F" w:rsidP="00B06A7F">
      <w:pPr>
        <w:pStyle w:val="ListBullet"/>
      </w:pPr>
      <w:r>
        <w:t xml:space="preserve">Classification of the </w:t>
      </w:r>
      <w:r w:rsidR="003E3491">
        <w:t>proprietary ingredient</w:t>
      </w:r>
      <w:r>
        <w:t xml:space="preserve"> type</w:t>
      </w:r>
      <w:r w:rsidR="004F6F37">
        <w:t>.</w:t>
      </w:r>
    </w:p>
    <w:p w:rsidR="00B06A7F" w:rsidRDefault="00B06A7F" w:rsidP="00B06A7F">
      <w:pPr>
        <w:pStyle w:val="ListBullet"/>
      </w:pPr>
      <w:r>
        <w:t>All ingredients to be in approved names consistent with the Australian Approved Terminology for Medicines (i.e. AAN, ABN, or AHN).</w:t>
      </w:r>
    </w:p>
    <w:p w:rsidR="00B06A7F" w:rsidRDefault="00B06A7F" w:rsidP="00B06A7F">
      <w:pPr>
        <w:pStyle w:val="ListBullet"/>
      </w:pPr>
      <w:r>
        <w:t xml:space="preserve">Quantitative composition (concentration) for all ingredients. </w:t>
      </w:r>
    </w:p>
    <w:p w:rsidR="00B06A7F" w:rsidRDefault="00B06A7F" w:rsidP="00B06A7F">
      <w:pPr>
        <w:pStyle w:val="Heading5"/>
      </w:pPr>
      <w:r>
        <w:t>Type 1b: flavours, fragrances and inks</w:t>
      </w:r>
    </w:p>
    <w:tbl>
      <w:tblPr>
        <w:tblStyle w:val="TableTGAblue"/>
        <w:tblW w:w="3696" w:type="pct"/>
        <w:tblLook w:val="04A0"/>
      </w:tblPr>
      <w:tblGrid>
        <w:gridCol w:w="2682"/>
        <w:gridCol w:w="3764"/>
      </w:tblGrid>
      <w:tr w:rsidR="00B06A7F" w:rsidTr="00B06A7F">
        <w:trPr>
          <w:cnfStyle w:val="100000000000"/>
          <w:tblHeader/>
        </w:trPr>
        <w:tc>
          <w:tcPr>
            <w:tcW w:w="2080" w:type="pct"/>
          </w:tcPr>
          <w:p w:rsidR="00752497" w:rsidRDefault="00B06A7F" w:rsidP="001E19CA">
            <w:pPr>
              <w:rPr>
                <w:b w:val="0"/>
                <w:color w:val="auto"/>
              </w:rPr>
            </w:pPr>
            <w:r w:rsidRPr="0067070F">
              <w:t>Type 1b:</w:t>
            </w:r>
          </w:p>
        </w:tc>
        <w:tc>
          <w:tcPr>
            <w:tcW w:w="2920" w:type="pct"/>
          </w:tcPr>
          <w:p w:rsidR="00752497" w:rsidRDefault="00B06A7F" w:rsidP="001E19CA">
            <w:pPr>
              <w:rPr>
                <w:b w:val="0"/>
                <w:color w:val="auto"/>
              </w:rPr>
            </w:pPr>
            <w:r w:rsidRPr="0067070F">
              <w:t>Maximum concentration allowed in the final product</w:t>
            </w:r>
          </w:p>
        </w:tc>
      </w:tr>
      <w:tr w:rsidR="00B06A7F" w:rsidTr="00B06A7F">
        <w:tc>
          <w:tcPr>
            <w:tcW w:w="2080" w:type="pct"/>
          </w:tcPr>
          <w:p w:rsidR="00B06A7F" w:rsidRPr="00F82695" w:rsidRDefault="00B06A7F" w:rsidP="003B4FD1">
            <w:r w:rsidRPr="00F82695">
              <w:t>Flavours</w:t>
            </w:r>
          </w:p>
        </w:tc>
        <w:tc>
          <w:tcPr>
            <w:tcW w:w="2920" w:type="pct"/>
          </w:tcPr>
          <w:p w:rsidR="00B06A7F" w:rsidRPr="00F82695" w:rsidRDefault="00B06A7F" w:rsidP="003B4FD1">
            <w:r w:rsidRPr="00F82695">
              <w:t>5%</w:t>
            </w:r>
          </w:p>
        </w:tc>
      </w:tr>
      <w:tr w:rsidR="00B06A7F" w:rsidTr="00B06A7F">
        <w:tc>
          <w:tcPr>
            <w:tcW w:w="2080" w:type="pct"/>
          </w:tcPr>
          <w:p w:rsidR="00B06A7F" w:rsidRPr="00F82695" w:rsidRDefault="00B06A7F" w:rsidP="003B4FD1">
            <w:r w:rsidRPr="00F82695">
              <w:t>Fragrances</w:t>
            </w:r>
          </w:p>
        </w:tc>
        <w:tc>
          <w:tcPr>
            <w:tcW w:w="2920" w:type="pct"/>
          </w:tcPr>
          <w:p w:rsidR="00B06A7F" w:rsidRPr="00F82695" w:rsidRDefault="00B06A7F" w:rsidP="003B4FD1">
            <w:r w:rsidRPr="00F82695">
              <w:t>1%</w:t>
            </w:r>
          </w:p>
        </w:tc>
      </w:tr>
      <w:tr w:rsidR="00B06A7F" w:rsidTr="00B06A7F">
        <w:tc>
          <w:tcPr>
            <w:tcW w:w="2080" w:type="pct"/>
          </w:tcPr>
          <w:p w:rsidR="00B06A7F" w:rsidRPr="00F82695" w:rsidRDefault="00B06A7F" w:rsidP="003B4FD1">
            <w:r w:rsidRPr="00F82695">
              <w:t>Inks</w:t>
            </w:r>
          </w:p>
        </w:tc>
        <w:tc>
          <w:tcPr>
            <w:tcW w:w="2920" w:type="pct"/>
          </w:tcPr>
          <w:p w:rsidR="00B06A7F" w:rsidRDefault="00B06A7F" w:rsidP="003B4FD1">
            <w:r w:rsidRPr="00F82695">
              <w:t>0.1%</w:t>
            </w:r>
          </w:p>
        </w:tc>
      </w:tr>
    </w:tbl>
    <w:p w:rsidR="00B06A7F" w:rsidRDefault="00B06A7F" w:rsidP="00B06A7F">
      <w:r w:rsidRPr="00B06A7F">
        <w:t xml:space="preserve">Classification of the </w:t>
      </w:r>
      <w:r w:rsidR="003E3491">
        <w:t>proprietary ingredient</w:t>
      </w:r>
      <w:r w:rsidRPr="00B06A7F">
        <w:t xml:space="preserve"> type is the only mandatory requirement. The qualitative formulation of the </w:t>
      </w:r>
      <w:r w:rsidR="003E3491">
        <w:t>proprietary ingredient</w:t>
      </w:r>
      <w:r w:rsidRPr="00B06A7F">
        <w:t xml:space="preserve"> is required, but it is not necessary that this be in Australian Approved Terminology format, although that is preferred if possible.</w:t>
      </w:r>
    </w:p>
    <w:p w:rsidR="00B06A7F" w:rsidRDefault="00B06A7F" w:rsidP="00B06A7F">
      <w:pPr>
        <w:pStyle w:val="Heading5"/>
      </w:pPr>
      <w:r>
        <w:lastRenderedPageBreak/>
        <w:t>Type 2: active intermediate formulations (active pre-mixes), Type 3: vehicles (cream and ointment bases, capsule shells) and Type 4: pre-formulated mixes of preservatives</w:t>
      </w:r>
    </w:p>
    <w:p w:rsidR="00B06A7F" w:rsidRDefault="008A5563" w:rsidP="004F6F37">
      <w:pPr>
        <w:keepNext/>
        <w:keepLines/>
      </w:pPr>
      <w:r>
        <w:t>Proprietary ingredient</w:t>
      </w:r>
      <w:r w:rsidR="00B06A7F">
        <w:t xml:space="preserve">s that are classified as active pre-mixes must contain at least one active ingredient. All of these </w:t>
      </w:r>
      <w:r>
        <w:t>proprietary ingredient</w:t>
      </w:r>
      <w:r w:rsidR="00B06A7F">
        <w:t xml:space="preserve"> types require:</w:t>
      </w:r>
    </w:p>
    <w:p w:rsidR="00B06A7F" w:rsidRDefault="00B06A7F" w:rsidP="004F6F37">
      <w:pPr>
        <w:pStyle w:val="ListBullet"/>
        <w:keepNext/>
        <w:keepLines/>
      </w:pPr>
      <w:r>
        <w:t xml:space="preserve">Classification of the </w:t>
      </w:r>
      <w:r w:rsidR="008A5563">
        <w:t>proprietary ingredient</w:t>
      </w:r>
      <w:r>
        <w:t xml:space="preserve"> type.</w:t>
      </w:r>
    </w:p>
    <w:p w:rsidR="00B06A7F" w:rsidRDefault="00B06A7F" w:rsidP="004F6F37">
      <w:pPr>
        <w:pStyle w:val="ListBullet"/>
        <w:keepNext/>
        <w:keepLines/>
      </w:pPr>
      <w:r>
        <w:t>All ingredients to be expressed using approved names consistent with the Australian Approved Terminology for Medicines (i.e. AAN, ABN or AHN).</w:t>
      </w:r>
    </w:p>
    <w:p w:rsidR="00B06A7F" w:rsidRDefault="00B06A7F" w:rsidP="00B06A7F">
      <w:pPr>
        <w:pStyle w:val="ListBullet"/>
      </w:pPr>
      <w:r>
        <w:t>Quantitative composition (concentration) for all ingredients.</w:t>
      </w:r>
    </w:p>
    <w:p w:rsidR="00B06A7F" w:rsidRDefault="00B06A7F" w:rsidP="00B06A7F">
      <w:pPr>
        <w:pStyle w:val="ListBullet"/>
      </w:pPr>
      <w:r>
        <w:t xml:space="preserve">If the </w:t>
      </w:r>
      <w:r w:rsidR="008A5563">
        <w:t>proprietary ingredient</w:t>
      </w:r>
      <w:r>
        <w:t xml:space="preserve"> is an active pre-mix, that the active ingredient be a permitted </w:t>
      </w:r>
      <w:proofErr w:type="spellStart"/>
      <w:r>
        <w:t>listable</w:t>
      </w:r>
      <w:proofErr w:type="spellEnd"/>
      <w:r>
        <w:t xml:space="preserve"> ingredient as allowed by Schedule 4 of the Regulations.</w:t>
      </w:r>
    </w:p>
    <w:p w:rsidR="00B06A7F" w:rsidRDefault="00B06A7F" w:rsidP="00B06A7F">
      <w:pPr>
        <w:pStyle w:val="ListBullet"/>
      </w:pPr>
      <w:r>
        <w:t xml:space="preserve">All </w:t>
      </w:r>
      <w:proofErr w:type="spellStart"/>
      <w:r>
        <w:t>excipient</w:t>
      </w:r>
      <w:proofErr w:type="spellEnd"/>
      <w:r>
        <w:t xml:space="preserve"> ingredients within the </w:t>
      </w:r>
      <w:r w:rsidR="008A5563">
        <w:t>proprietary ingredient</w:t>
      </w:r>
      <w:r>
        <w:t>s must be eligible for inclusion in listed medicines.</w:t>
      </w:r>
    </w:p>
    <w:p w:rsidR="00B06A7F" w:rsidRDefault="00B06A7F">
      <w:pPr>
        <w:spacing w:before="0" w:after="0" w:line="240" w:lineRule="auto"/>
      </w:pPr>
      <w:r>
        <w:br w:type="page"/>
      </w:r>
    </w:p>
    <w:p w:rsidR="00B06A7F" w:rsidRDefault="00B06A7F" w:rsidP="00494374">
      <w:pPr>
        <w:pStyle w:val="Heading3"/>
      </w:pPr>
      <w:bookmarkStart w:id="43" w:name="_Toc337635123"/>
      <w:r>
        <w:lastRenderedPageBreak/>
        <w:t>Attachment 3: Data requirements for herbal materials</w:t>
      </w:r>
      <w:bookmarkEnd w:id="43"/>
    </w:p>
    <w:p w:rsidR="00B06A7F" w:rsidRDefault="00B06A7F" w:rsidP="00B06A7F">
      <w:r>
        <w:t>Guidance on data requirements for herbal medicines is being developed by the TGA and will be released as part of the consultation process for ‘ARGCM Part C: Evaluation of complementary medicine substances’.</w:t>
      </w:r>
    </w:p>
    <w:p w:rsidR="00B06A7F" w:rsidRDefault="00B06A7F">
      <w:pPr>
        <w:spacing w:before="0" w:after="0" w:line="240" w:lineRule="auto"/>
      </w:pPr>
      <w:r>
        <w:br w:type="page"/>
      </w:r>
    </w:p>
    <w:p w:rsidR="00B06A7F" w:rsidRDefault="00B06A7F" w:rsidP="00494374">
      <w:pPr>
        <w:pStyle w:val="Heading3"/>
      </w:pPr>
      <w:bookmarkStart w:id="44" w:name="_Toc337635124"/>
      <w:r>
        <w:lastRenderedPageBreak/>
        <w:t>Attachment 4: Identification of herbal materials and extracts Q &amp; A</w:t>
      </w:r>
      <w:bookmarkEnd w:id="44"/>
    </w:p>
    <w:p w:rsidR="00874772" w:rsidRDefault="001E19CA" w:rsidP="00B06A7F">
      <w:r>
        <w:t>&lt;</w:t>
      </w:r>
      <w:hyperlink r:id="rId73" w:history="1">
        <w:r w:rsidR="00874772" w:rsidRPr="00CB0488">
          <w:rPr>
            <w:rStyle w:val="Hyperlink"/>
          </w:rPr>
          <w:t>http://www.tga.gov.au/industry/cm-identification-herbal-extracts.htm</w:t>
        </w:r>
      </w:hyperlink>
      <w:r>
        <w:t>&gt;</w:t>
      </w:r>
    </w:p>
    <w:p w:rsidR="00874772" w:rsidRDefault="00874772">
      <w:pPr>
        <w:spacing w:before="0" w:after="0" w:line="240" w:lineRule="auto"/>
      </w:pPr>
      <w:r>
        <w:br w:type="page"/>
      </w:r>
    </w:p>
    <w:p w:rsidR="00874772" w:rsidRDefault="00874772" w:rsidP="00494374">
      <w:pPr>
        <w:pStyle w:val="Heading3"/>
      </w:pPr>
      <w:bookmarkStart w:id="45" w:name="_Toc337635125"/>
      <w:r>
        <w:lastRenderedPageBreak/>
        <w:t>Attachment 5: Guidance on equivalence of herbal extracts in complementary medicines</w:t>
      </w:r>
      <w:bookmarkEnd w:id="45"/>
    </w:p>
    <w:p w:rsidR="00874772" w:rsidRDefault="001E19CA" w:rsidP="00874772">
      <w:r>
        <w:t>&lt;</w:t>
      </w:r>
      <w:hyperlink r:id="rId74" w:history="1">
        <w:r w:rsidR="00874772" w:rsidRPr="00CB0488">
          <w:rPr>
            <w:rStyle w:val="Hyperlink"/>
          </w:rPr>
          <w:t>http://www.tga.gov.au/industry/cm-herbal-extracts-equivalence.htm</w:t>
        </w:r>
      </w:hyperlink>
      <w:r>
        <w:t>&gt;</w:t>
      </w:r>
    </w:p>
    <w:p w:rsidR="00874772" w:rsidRDefault="00874772">
      <w:pPr>
        <w:spacing w:before="0" w:after="0" w:line="240" w:lineRule="auto"/>
      </w:pPr>
      <w:r>
        <w:br w:type="page"/>
      </w:r>
    </w:p>
    <w:p w:rsidR="00874772" w:rsidRDefault="00874772" w:rsidP="00494374">
      <w:pPr>
        <w:pStyle w:val="Heading3"/>
      </w:pPr>
      <w:bookmarkStart w:id="46" w:name="_Toc337635126"/>
      <w:r>
        <w:lastRenderedPageBreak/>
        <w:t>Attachment 6:  Guidance on the use of modified unprocessed herbal materials in complementary medicines</w:t>
      </w:r>
      <w:bookmarkEnd w:id="46"/>
    </w:p>
    <w:p w:rsidR="00874772" w:rsidRDefault="001E19CA" w:rsidP="00874772">
      <w:r>
        <w:t>&lt;</w:t>
      </w:r>
      <w:hyperlink r:id="rId75" w:history="1">
        <w:r w:rsidR="00874772" w:rsidRPr="00CB0488">
          <w:rPr>
            <w:rStyle w:val="Hyperlink"/>
          </w:rPr>
          <w:t>http://www.tga.gov.au/industry/cm-herbal-modified-unprocessed.htm</w:t>
        </w:r>
      </w:hyperlink>
      <w:r>
        <w:t>&gt;</w:t>
      </w:r>
    </w:p>
    <w:p w:rsidR="00874772" w:rsidRDefault="00874772">
      <w:pPr>
        <w:spacing w:before="0" w:after="0" w:line="240" w:lineRule="auto"/>
      </w:pPr>
      <w:r>
        <w:br w:type="page"/>
      </w:r>
    </w:p>
    <w:p w:rsidR="00874772" w:rsidRDefault="00874772" w:rsidP="00494374">
      <w:pPr>
        <w:pStyle w:val="Heading3"/>
      </w:pPr>
      <w:bookmarkStart w:id="47" w:name="_Toc337635127"/>
      <w:r>
        <w:lastRenderedPageBreak/>
        <w:t>Attachment 7: Certificates of analysis – product</w:t>
      </w:r>
      <w:bookmarkEnd w:id="47"/>
    </w:p>
    <w:p w:rsidR="00874772" w:rsidRDefault="00874772" w:rsidP="00874772">
      <w:r>
        <w:t>Guidance on certificates of analysis is being developed by the TGA and will be released as part of the consultation process for ‘ARGCM Part B: Listed Complementary Medicines.</w:t>
      </w:r>
    </w:p>
    <w:p w:rsidR="00874772" w:rsidRDefault="00874772">
      <w:pPr>
        <w:spacing w:before="0" w:after="0" w:line="240" w:lineRule="auto"/>
      </w:pPr>
      <w:r>
        <w:br w:type="page"/>
      </w:r>
    </w:p>
    <w:p w:rsidR="00874772" w:rsidRDefault="00874772" w:rsidP="00494374">
      <w:pPr>
        <w:pStyle w:val="Heading3"/>
      </w:pPr>
      <w:bookmarkStart w:id="48" w:name="_Toc337635128"/>
      <w:r>
        <w:lastRenderedPageBreak/>
        <w:t>Attachment 8: Product specifications</w:t>
      </w:r>
      <w:bookmarkEnd w:id="48"/>
    </w:p>
    <w:p w:rsidR="00874772" w:rsidRDefault="00874772" w:rsidP="00874772">
      <w:r>
        <w:t>Guidance on product specifications is being developed by the TGA and will be released as part of the consultation process for ‘ARGCM Part B: Listed Complementary Medicines</w:t>
      </w:r>
    </w:p>
    <w:p w:rsidR="00874772" w:rsidRDefault="0031131E" w:rsidP="009F445F">
      <w:pPr>
        <w:spacing w:before="0" w:after="0" w:line="240" w:lineRule="auto"/>
      </w:pPr>
      <w:hyperlink r:id="rId76" w:anchor="qwp282000en" w:history="1">
        <w:r w:rsidR="009F445F" w:rsidRPr="009F445F">
          <w:rPr>
            <w:rStyle w:val="Hyperlink"/>
          </w:rPr>
          <w:t>Note For Guidance on Specifications: Test Procedures and Acceptance Criteria for Herbal Drugs, Herbal Drug Preparations and Herbal Medicinal Products</w:t>
        </w:r>
      </w:hyperlink>
    </w:p>
    <w:p w:rsidR="00D5616E" w:rsidRPr="0042636E" w:rsidRDefault="00D5616E" w:rsidP="00455A6F">
      <w:pPr>
        <w:pStyle w:val="TableDescription"/>
      </w:pPr>
    </w:p>
    <w:p w:rsidR="001525B4" w:rsidRDefault="001525B4" w:rsidP="00D5616E">
      <w:r>
        <w:br w:type="page"/>
      </w:r>
    </w:p>
    <w:p w:rsidR="003E3D34" w:rsidRDefault="003E3D34" w:rsidP="00D5616E">
      <w:pPr>
        <w:sectPr w:rsidR="003E3D34" w:rsidSect="00AE0320">
          <w:headerReference w:type="default" r:id="rId77"/>
          <w:footerReference w:type="default" r:id="rId78"/>
          <w:headerReference w:type="first" r:id="rId79"/>
          <w:type w:val="continuous"/>
          <w:pgSz w:w="11906" w:h="16838" w:code="9"/>
          <w:pgMar w:top="1677" w:right="1701" w:bottom="709" w:left="1701" w:header="996" w:footer="0" w:gutter="0"/>
          <w:cols w:space="708"/>
          <w:titlePg/>
          <w:docGrid w:linePitch="360"/>
        </w:sectPr>
      </w:pPr>
    </w:p>
    <w:tbl>
      <w:tblPr>
        <w:tblW w:w="9145" w:type="dxa"/>
        <w:tblInd w:w="-284" w:type="dxa"/>
        <w:tblLayout w:type="fixed"/>
        <w:tblCellMar>
          <w:left w:w="0" w:type="dxa"/>
          <w:right w:w="0" w:type="dxa"/>
        </w:tblCellMar>
        <w:tblLook w:val="04A0"/>
      </w:tblPr>
      <w:tblGrid>
        <w:gridCol w:w="9145"/>
      </w:tblGrid>
      <w:tr w:rsidR="0084580B" w:rsidRPr="00487162" w:rsidTr="007C7A6D">
        <w:trPr>
          <w:trHeight w:hRule="exact" w:val="563"/>
        </w:trPr>
        <w:tc>
          <w:tcPr>
            <w:tcW w:w="9145" w:type="dxa"/>
          </w:tcPr>
          <w:p w:rsidR="0084580B" w:rsidRPr="00487162" w:rsidRDefault="0084580B" w:rsidP="007C7A6D">
            <w:pPr>
              <w:pStyle w:val="TGASignoff"/>
            </w:pPr>
            <w:r w:rsidRPr="00487162">
              <w:lastRenderedPageBreak/>
              <w:t>Therapeutic Goods Administration</w:t>
            </w:r>
          </w:p>
        </w:tc>
      </w:tr>
      <w:tr w:rsidR="0084580B" w:rsidRPr="00487162" w:rsidTr="007C7A6D">
        <w:trPr>
          <w:trHeight w:val="1284"/>
        </w:trPr>
        <w:tc>
          <w:tcPr>
            <w:tcW w:w="9145" w:type="dxa"/>
            <w:tcMar>
              <w:top w:w="28" w:type="dxa"/>
            </w:tcMar>
          </w:tcPr>
          <w:p w:rsidR="0084580B" w:rsidRPr="00140FE3" w:rsidRDefault="0084580B" w:rsidP="007C7A6D">
            <w:pPr>
              <w:pStyle w:val="Address"/>
              <w:jc w:val="center"/>
            </w:pPr>
            <w:r w:rsidRPr="00140FE3">
              <w:t>PO Box 100 Woden ACT 2606 Australia</w:t>
            </w:r>
          </w:p>
          <w:p w:rsidR="0084580B" w:rsidRPr="00140FE3" w:rsidRDefault="0084580B" w:rsidP="007C7A6D">
            <w:pPr>
              <w:pStyle w:val="Address"/>
              <w:jc w:val="center"/>
            </w:pPr>
            <w:r w:rsidRPr="00140FE3">
              <w:t>Email: info@tga.gov.au  Phone: 1800 020 653  Fax: 02 6232 8605</w:t>
            </w:r>
          </w:p>
          <w:p w:rsidR="0084580B" w:rsidRPr="002232C2" w:rsidRDefault="0031131E" w:rsidP="007C7A6D">
            <w:pPr>
              <w:pStyle w:val="Address"/>
              <w:spacing w:line="260" w:lineRule="atLeast"/>
              <w:jc w:val="center"/>
              <w:rPr>
                <w:rStyle w:val="Hyperlink"/>
                <w:b/>
              </w:rPr>
            </w:pPr>
            <w:hyperlink r:id="rId80" w:history="1">
              <w:r w:rsidR="0084580B" w:rsidRPr="002232C2">
                <w:rPr>
                  <w:rStyle w:val="Hyperlink"/>
                  <w:b/>
                </w:rPr>
                <w:t>www.tga.gov.au</w:t>
              </w:r>
            </w:hyperlink>
          </w:p>
          <w:p w:rsidR="0084580B" w:rsidRPr="00487162" w:rsidRDefault="00874772" w:rsidP="007C7A6D">
            <w:pPr>
              <w:pStyle w:val="Reference"/>
              <w:jc w:val="center"/>
            </w:pPr>
            <w:r>
              <w:t xml:space="preserve">Draft ARGCM Part A </w:t>
            </w:r>
            <w:r w:rsidR="00494374" w:rsidRPr="00494374">
              <w:t>R12/1027476</w:t>
            </w:r>
          </w:p>
        </w:tc>
      </w:tr>
    </w:tbl>
    <w:p w:rsidR="0084580B" w:rsidRDefault="0084580B" w:rsidP="00907ACE">
      <w:pPr>
        <w:pStyle w:val="Footer"/>
      </w:pPr>
    </w:p>
    <w:sectPr w:rsidR="0084580B" w:rsidSect="0084580B">
      <w:headerReference w:type="first" r:id="rId81"/>
      <w:footerReference w:type="first" r:id="rId82"/>
      <w:type w:val="continuous"/>
      <w:pgSz w:w="11906" w:h="16838" w:code="9"/>
      <w:pgMar w:top="14001" w:right="1701" w:bottom="709" w:left="1701" w:header="1134" w:footer="27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D89" w:rsidRDefault="00F77D89" w:rsidP="00C40A36">
      <w:pPr>
        <w:spacing w:after="0"/>
      </w:pPr>
      <w:r>
        <w:separator/>
      </w:r>
    </w:p>
  </w:endnote>
  <w:endnote w:type="continuationSeparator" w:id="0">
    <w:p w:rsidR="00F77D89" w:rsidRDefault="00F77D8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D89" w:rsidRDefault="00F77D89" w:rsidP="00A3654F">
    <w:pPr>
      <w:pStyle w:val="Footer"/>
      <w:tabs>
        <w:tab w:val="left" w:pos="7620"/>
        <w:tab w:val="right" w:pos="8504"/>
      </w:tabs>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60"/>
    </w:tblGrid>
    <w:tr w:rsidR="00F77D89" w:rsidRPr="00257138" w:rsidTr="00A3654F">
      <w:trPr>
        <w:trHeight w:val="423"/>
      </w:trPr>
      <w:tc>
        <w:tcPr>
          <w:tcW w:w="4360" w:type="dxa"/>
          <w:tcBorders>
            <w:top w:val="single" w:sz="4" w:space="0" w:color="auto"/>
          </w:tcBorders>
        </w:tcPr>
        <w:p w:rsidR="00F77D89" w:rsidRDefault="00F77D89" w:rsidP="008D4740">
          <w:pPr>
            <w:pStyle w:val="Footer"/>
          </w:pPr>
        </w:p>
        <w:p w:rsidR="00F77D89" w:rsidRPr="00257138" w:rsidRDefault="00F77D89" w:rsidP="009B15F1">
          <w:pPr>
            <w:pStyle w:val="Footer"/>
          </w:pPr>
          <w:r>
            <w:t>Document title</w:t>
          </w:r>
        </w:p>
      </w:tc>
      <w:tc>
        <w:tcPr>
          <w:tcW w:w="4360" w:type="dxa"/>
          <w:tcBorders>
            <w:top w:val="single" w:sz="4" w:space="0" w:color="auto"/>
          </w:tcBorders>
        </w:tcPr>
        <w:sdt>
          <w:sdtPr>
            <w:id w:val="9210425"/>
            <w:docPartObj>
              <w:docPartGallery w:val="Page Numbers (Top of Page)"/>
              <w:docPartUnique/>
            </w:docPartObj>
          </w:sdtPr>
          <w:sdtContent>
            <w:p w:rsidR="00F77D89" w:rsidRDefault="00F77D89" w:rsidP="008D4740">
              <w:pPr>
                <w:pStyle w:val="Footer"/>
                <w:jc w:val="right"/>
              </w:pPr>
            </w:p>
            <w:p w:rsidR="00F77D89" w:rsidRPr="00257138" w:rsidRDefault="00F77D89" w:rsidP="008D4740">
              <w:pPr>
                <w:pStyle w:val="Footer"/>
                <w:jc w:val="right"/>
              </w:pPr>
              <w:r w:rsidRPr="00257138">
                <w:t xml:space="preserve">Page </w:t>
              </w:r>
              <w:fldSimple w:instr=" PAGE ">
                <w:r>
                  <w:rPr>
                    <w:noProof/>
                  </w:rPr>
                  <w:t>425</w:t>
                </w:r>
              </w:fldSimple>
              <w:r w:rsidRPr="00257138">
                <w:t xml:space="preserve"> of </w:t>
              </w:r>
              <w:fldSimple w:instr=" NUMPAGES  ">
                <w:r>
                  <w:rPr>
                    <w:noProof/>
                  </w:rPr>
                  <w:t>52</w:t>
                </w:r>
              </w:fldSimple>
            </w:p>
          </w:sdtContent>
        </w:sdt>
      </w:tc>
    </w:tr>
    <w:tr w:rsidR="00F77D89" w:rsidRPr="00257138" w:rsidTr="00A3654F">
      <w:trPr>
        <w:trHeight w:val="263"/>
      </w:trPr>
      <w:tc>
        <w:tcPr>
          <w:tcW w:w="4360" w:type="dxa"/>
        </w:tcPr>
        <w:p w:rsidR="00F77D89" w:rsidRPr="00257138" w:rsidRDefault="00F77D89" w:rsidP="008D4740">
          <w:pPr>
            <w:pStyle w:val="Footer"/>
          </w:pPr>
          <w:r w:rsidRPr="00257138">
            <w:t xml:space="preserve">V1.0 </w:t>
          </w:r>
          <w:r>
            <w:t>Month</w:t>
          </w:r>
          <w:r w:rsidRPr="00257138">
            <w:t xml:space="preserve"> 201</w:t>
          </w:r>
          <w:r>
            <w:t>2</w:t>
          </w:r>
        </w:p>
      </w:tc>
      <w:tc>
        <w:tcPr>
          <w:tcW w:w="4360" w:type="dxa"/>
        </w:tcPr>
        <w:p w:rsidR="00F77D89" w:rsidRPr="00257138" w:rsidRDefault="00F77D89" w:rsidP="008D4740">
          <w:pPr>
            <w:pStyle w:val="Footer"/>
            <w:jc w:val="right"/>
          </w:pPr>
        </w:p>
      </w:tc>
    </w:tr>
  </w:tbl>
  <w:p w:rsidR="00F77D89" w:rsidRPr="00826007" w:rsidRDefault="00F77D89" w:rsidP="00A3654F">
    <w:pPr>
      <w:pStyle w:val="Footer"/>
      <w:tabs>
        <w:tab w:val="left" w:pos="7620"/>
        <w:tab w:val="right" w:pos="8504"/>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D89" w:rsidRDefault="00F77D89" w:rsidP="00FF7B50">
    <w:pPr>
      <w:pStyle w:val="Footer"/>
      <w:ind w:left="-1757" w:right="-22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60"/>
    </w:tblGrid>
    <w:tr w:rsidR="00F77D89" w:rsidRPr="00257138" w:rsidTr="00A3654F">
      <w:trPr>
        <w:trHeight w:val="423"/>
      </w:trPr>
      <w:tc>
        <w:tcPr>
          <w:tcW w:w="4360" w:type="dxa"/>
          <w:tcBorders>
            <w:top w:val="single" w:sz="4" w:space="0" w:color="auto"/>
          </w:tcBorders>
        </w:tcPr>
        <w:p w:rsidR="00F77D89" w:rsidRDefault="00F77D89" w:rsidP="008D4740">
          <w:pPr>
            <w:pStyle w:val="Footer"/>
          </w:pPr>
        </w:p>
        <w:p w:rsidR="00F77D89" w:rsidRPr="00257138" w:rsidRDefault="00F77D89" w:rsidP="003F1EE8">
          <w:pPr>
            <w:pStyle w:val="Footer"/>
          </w:pPr>
          <w:r w:rsidRPr="003F1EE8">
            <w:t xml:space="preserve">ARGCM Part A </w:t>
          </w:r>
        </w:p>
      </w:tc>
      <w:tc>
        <w:tcPr>
          <w:tcW w:w="4360" w:type="dxa"/>
          <w:tcBorders>
            <w:top w:val="single" w:sz="4" w:space="0" w:color="auto"/>
          </w:tcBorders>
        </w:tcPr>
        <w:sdt>
          <w:sdtPr>
            <w:id w:val="6398241"/>
            <w:docPartObj>
              <w:docPartGallery w:val="Page Numbers (Top of Page)"/>
              <w:docPartUnique/>
            </w:docPartObj>
          </w:sdtPr>
          <w:sdtContent>
            <w:p w:rsidR="00F77D89" w:rsidRDefault="00F77D89" w:rsidP="008D4740">
              <w:pPr>
                <w:pStyle w:val="Footer"/>
                <w:jc w:val="right"/>
              </w:pPr>
            </w:p>
            <w:p w:rsidR="00F77D89" w:rsidRPr="00257138" w:rsidRDefault="00F77D89" w:rsidP="008D4740">
              <w:pPr>
                <w:pStyle w:val="Footer"/>
                <w:jc w:val="right"/>
              </w:pPr>
              <w:r w:rsidRPr="00257138">
                <w:t xml:space="preserve">Page </w:t>
              </w:r>
              <w:fldSimple w:instr=" PAGE ">
                <w:r w:rsidR="00D758FF">
                  <w:rPr>
                    <w:noProof/>
                  </w:rPr>
                  <w:t>28</w:t>
                </w:r>
              </w:fldSimple>
              <w:r w:rsidRPr="00257138">
                <w:t xml:space="preserve"> of </w:t>
              </w:r>
              <w:fldSimple w:instr=" NUMPAGES  ">
                <w:r w:rsidR="00D758FF">
                  <w:rPr>
                    <w:noProof/>
                  </w:rPr>
                  <w:t>52</w:t>
                </w:r>
              </w:fldSimple>
            </w:p>
          </w:sdtContent>
        </w:sdt>
      </w:tc>
    </w:tr>
    <w:tr w:rsidR="00F77D89" w:rsidRPr="00257138" w:rsidTr="00A3654F">
      <w:trPr>
        <w:trHeight w:val="263"/>
      </w:trPr>
      <w:tc>
        <w:tcPr>
          <w:tcW w:w="4360" w:type="dxa"/>
        </w:tcPr>
        <w:p w:rsidR="00F77D89" w:rsidRPr="00257138" w:rsidRDefault="00F77D89" w:rsidP="000A63A9">
          <w:pPr>
            <w:pStyle w:val="Footer"/>
          </w:pPr>
          <w:r w:rsidRPr="003F1EE8">
            <w:t xml:space="preserve">V5.0 September 2012 </w:t>
          </w:r>
        </w:p>
      </w:tc>
      <w:tc>
        <w:tcPr>
          <w:tcW w:w="4360" w:type="dxa"/>
        </w:tcPr>
        <w:p w:rsidR="00F77D89" w:rsidRPr="00257138" w:rsidRDefault="00F77D89" w:rsidP="008D4740">
          <w:pPr>
            <w:pStyle w:val="Footer"/>
            <w:jc w:val="right"/>
          </w:pPr>
        </w:p>
      </w:tc>
    </w:tr>
  </w:tbl>
  <w:p w:rsidR="00F77D89" w:rsidRPr="00826007" w:rsidRDefault="00F77D89" w:rsidP="00455A6F">
    <w:pPr>
      <w:pStyle w:val="Footer"/>
      <w:tabs>
        <w:tab w:val="left" w:pos="7620"/>
        <w:tab w:val="right" w:pos="8504"/>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D89" w:rsidRDefault="00F77D89" w:rsidP="0054583D">
    <w:pPr>
      <w:pStyle w:val="Footer"/>
      <w:ind w:left="-170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D89" w:rsidRDefault="00F77D89" w:rsidP="00C40A36">
      <w:pPr>
        <w:spacing w:after="0"/>
      </w:pPr>
      <w:r>
        <w:separator/>
      </w:r>
    </w:p>
  </w:footnote>
  <w:footnote w:type="continuationSeparator" w:id="0">
    <w:p w:rsidR="00F77D89" w:rsidRDefault="00F77D89"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D89" w:rsidRPr="00920FF4" w:rsidRDefault="00F77D89" w:rsidP="00920FF4">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D89" w:rsidRPr="00E32326" w:rsidRDefault="00F77D89" w:rsidP="00E32326">
    <w:pPr>
      <w:pStyle w:val="Header"/>
      <w:pBdr>
        <w:bottom w:val="none" w:sz="0" w:space="0" w:color="auto"/>
      </w:pBdr>
      <w:jc w:val="left"/>
    </w:pPr>
    <w:r w:rsidRPr="00E32326">
      <w:rPr>
        <w:noProof/>
        <w:lang w:eastAsia="en-AU"/>
      </w:rPr>
      <w:drawing>
        <wp:inline distT="0" distB="0" distL="0" distR="0">
          <wp:extent cx="3171825" cy="790575"/>
          <wp:effectExtent l="19050" t="0" r="9525" b="0"/>
          <wp:docPr id="3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H&amp;A_logo_Inline_black.jpg"/>
                  <pic:cNvPicPr>
                    <a:picLocks noChangeAspect="1" noChangeArrowheads="1"/>
                  </pic:cNvPicPr>
                </pic:nvPicPr>
                <pic:blipFill>
                  <a:blip r:embed="rId1"/>
                  <a:srcRect/>
                  <a:stretch>
                    <a:fillRect/>
                  </a:stretch>
                </pic:blipFill>
                <pic:spPr bwMode="auto">
                  <a:xfrm>
                    <a:off x="0" y="0"/>
                    <a:ext cx="3171825" cy="790575"/>
                  </a:xfrm>
                  <a:prstGeom prst="rect">
                    <a:avLst/>
                  </a:prstGeom>
                  <a:noFill/>
                  <a:ln w="9525">
                    <a:noFill/>
                    <a:miter lim="800000"/>
                    <a:headEnd/>
                    <a:tailEnd/>
                  </a:ln>
                </pic:spPr>
              </pic:pic>
            </a:graphicData>
          </a:graphic>
        </wp:inline>
      </w:drawing>
    </w:r>
  </w:p>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64"/>
    </w:tblGrid>
    <w:tr w:rsidR="00F77D89" w:rsidRPr="00FF7B50" w:rsidTr="001A41DA">
      <w:trPr>
        <w:trHeight w:hRule="exact" w:val="8845"/>
      </w:trPr>
      <w:tc>
        <w:tcPr>
          <w:tcW w:w="11964" w:type="dxa"/>
        </w:tcPr>
        <w:p w:rsidR="00F77D89" w:rsidRPr="00FF7B50" w:rsidRDefault="0031131E" w:rsidP="00AE0320">
          <w:pPr>
            <w:pStyle w:val="Header"/>
            <w:ind w:left="-57"/>
            <w:jc w:val="left"/>
            <w:rPr>
              <w:noProof/>
              <w:lang w:eastAsia="en-AU"/>
            </w:rP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3503" type="#_x0000_t136" style="position:absolute;left:0;text-align:left;margin-left:-18.4pt;margin-top:62.2pt;width:535.5pt;height:202.5pt;rotation:315;z-index:251665920;mso-position-horizontal-relative:margin;mso-position-vertical-relative:margin" o:allowincell="f" fillcolor="#4a8485" stroked="f">
                <v:fill opacity=".5"/>
                <v:textpath style="font-family:&quot;Arial Black&quot;;font-size:2in" string="DRAFT"/>
                <w10:wrap anchorx="margin" anchory="margin"/>
              </v:shape>
            </w:pict>
          </w:r>
          <w:sdt>
            <w:sdtPr>
              <w:rPr>
                <w:noProof/>
                <w:lang w:eastAsia="en-AU"/>
              </w:rPr>
              <w:id w:val="8652892"/>
              <w:picture/>
            </w:sdtPr>
            <w:sdtContent>
              <w:r w:rsidR="00F77D89" w:rsidRPr="00FF7B50">
                <w:rPr>
                  <w:noProof/>
                  <w:lang w:eastAsia="en-AU"/>
                </w:rPr>
                <w:drawing>
                  <wp:inline distT="0" distB="0" distL="0" distR="0">
                    <wp:extent cx="7610475" cy="5069167"/>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tretch>
                              <a:fillRect/>
                            </a:stretch>
                          </pic:blipFill>
                          <pic:spPr bwMode="auto">
                            <a:xfrm>
                              <a:off x="0" y="0"/>
                              <a:ext cx="7610475" cy="5069167"/>
                            </a:xfrm>
                            <a:prstGeom prst="rect">
                              <a:avLst/>
                            </a:prstGeom>
                            <a:noFill/>
                            <a:ln w="9525">
                              <a:noFill/>
                              <a:miter lim="800000"/>
                              <a:headEnd/>
                              <a:tailEnd/>
                            </a:ln>
                          </pic:spPr>
                        </pic:pic>
                      </a:graphicData>
                    </a:graphic>
                  </wp:inline>
                </w:drawing>
              </w:r>
            </w:sdtContent>
          </w:sdt>
        </w:p>
      </w:tc>
    </w:tr>
  </w:tbl>
  <w:p w:rsidR="00F77D89" w:rsidRPr="00E32326" w:rsidRDefault="00F77D89" w:rsidP="00E32326">
    <w:pPr>
      <w:pStyle w:val="Header"/>
      <w:pBdr>
        <w:bottom w:val="none" w:sz="0" w:space="0" w:color="auto"/>
      </w:pBdr>
      <w:jc w:val="left"/>
    </w:pPr>
    <w:r>
      <w:rPr>
        <w:noProof/>
        <w:lang w:eastAsia="en-AU"/>
      </w:rPr>
      <w:drawing>
        <wp:anchor distT="0" distB="0" distL="114300" distR="114300" simplePos="0" relativeHeight="251661824" behindDoc="0" locked="0" layoutInCell="0" allowOverlap="1">
          <wp:simplePos x="0" y="0"/>
          <wp:positionH relativeFrom="column">
            <wp:posOffset>-1099185</wp:posOffset>
          </wp:positionH>
          <wp:positionV relativeFrom="page">
            <wp:posOffset>4171950</wp:posOffset>
          </wp:positionV>
          <wp:extent cx="7600950" cy="2457450"/>
          <wp:effectExtent l="19050" t="0" r="0" b="0"/>
          <wp:wrapNone/>
          <wp:docPr id="2" name="Picture 8"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etct\Desktop\TGA-Swoosh-w-Wordmark-Green-CMYK.gif"/>
                  <pic:cNvPicPr>
                    <a:picLocks noChangeAspect="1" noChangeArrowheads="1"/>
                  </pic:cNvPicPr>
                </pic:nvPicPr>
                <pic:blipFill>
                  <a:blip r:embed="rId3" cstate="print"/>
                  <a:srcRect/>
                  <a:stretch>
                    <a:fillRect/>
                  </a:stretch>
                </pic:blipFill>
                <pic:spPr bwMode="auto">
                  <a:xfrm>
                    <a:off x="0" y="0"/>
                    <a:ext cx="7600950" cy="245745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D89" w:rsidRPr="00920FF4" w:rsidRDefault="0031131E" w:rsidP="00920FF4">
    <w:pPr>
      <w:pStyle w:val="Header"/>
    </w:pPr>
    <w:sdt>
      <w:sdtPr>
        <w:id w:val="9210426"/>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3497" type="#_x0000_t136" style="position:absolute;left:0;text-align:left;margin-left:0;margin-top:0;width:535.5pt;height:202.5pt;rotation:315;z-index:-251658752;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F77D89">
      <w:t>Therapeutic Goods Administration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D89" w:rsidRPr="00E32326" w:rsidRDefault="00F77D89" w:rsidP="00E32326">
    <w:pPr>
      <w:pStyle w:val="Heade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D89" w:rsidRPr="002B0C2E" w:rsidRDefault="00F77D89" w:rsidP="002B0C2E">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F11"/>
    <w:multiLevelType w:val="multilevel"/>
    <w:tmpl w:val="575CEDBE"/>
    <w:styleLink w:val="NumberBullet"/>
    <w:lvl w:ilvl="0">
      <w:start w:val="1"/>
      <w:numFmt w:val="decimal"/>
      <w:pStyle w:val="Numberbullet0"/>
      <w:lvlText w:val="%1."/>
      <w:lvlJc w:val="left"/>
      <w:pPr>
        <w:ind w:left="1134" w:hanging="425"/>
      </w:pPr>
      <w:rPr>
        <w:rFonts w:ascii="Cambria" w:hAnsi="Cambria" w:hint="default"/>
      </w:rPr>
    </w:lvl>
    <w:lvl w:ilvl="1">
      <w:start w:val="1"/>
      <w:numFmt w:val="lowerLetter"/>
      <w:pStyle w:val="Numberbullet2"/>
      <w:lvlText w:val="%2."/>
      <w:lvlJc w:val="left"/>
      <w:pPr>
        <w:ind w:left="1560" w:hanging="426"/>
      </w:pPr>
      <w:rPr>
        <w:rFonts w:hint="default"/>
      </w:rPr>
    </w:lvl>
    <w:lvl w:ilvl="2">
      <w:start w:val="1"/>
      <w:numFmt w:val="lowerRoman"/>
      <w:pStyle w:val="Numberbullet3"/>
      <w:lvlText w:val="%3."/>
      <w:lvlJc w:val="left"/>
      <w:pPr>
        <w:ind w:left="1985" w:hanging="425"/>
      </w:pPr>
      <w:rPr>
        <w:rFonts w:hint="default"/>
      </w:rPr>
    </w:lvl>
    <w:lvl w:ilvl="3">
      <w:start w:val="1"/>
      <w:numFmt w:val="none"/>
      <w:lvlText w:val=""/>
      <w:lvlJc w:val="left"/>
      <w:pPr>
        <w:ind w:left="1985" w:hanging="425"/>
      </w:pPr>
      <w:rPr>
        <w:rFonts w:hint="default"/>
      </w:rPr>
    </w:lvl>
    <w:lvl w:ilvl="4">
      <w:start w:val="1"/>
      <w:numFmt w:val="none"/>
      <w:lvlText w:val=""/>
      <w:lvlJc w:val="left"/>
      <w:pPr>
        <w:ind w:left="1985" w:hanging="425"/>
      </w:pPr>
      <w:rPr>
        <w:rFonts w:hint="default"/>
      </w:rPr>
    </w:lvl>
    <w:lvl w:ilvl="5">
      <w:start w:val="1"/>
      <w:numFmt w:val="none"/>
      <w:lvlText w:val=""/>
      <w:lvlJc w:val="left"/>
      <w:pPr>
        <w:ind w:left="1985" w:hanging="425"/>
      </w:pPr>
      <w:rPr>
        <w:rFonts w:hint="default"/>
      </w:rPr>
    </w:lvl>
    <w:lvl w:ilvl="6">
      <w:start w:val="1"/>
      <w:numFmt w:val="none"/>
      <w:lvlText w:val="%7"/>
      <w:lvlJc w:val="left"/>
      <w:pPr>
        <w:ind w:left="1985" w:hanging="425"/>
      </w:pPr>
      <w:rPr>
        <w:rFonts w:hint="default"/>
      </w:rPr>
    </w:lvl>
    <w:lvl w:ilvl="7">
      <w:start w:val="1"/>
      <w:numFmt w:val="none"/>
      <w:lvlText w:val=""/>
      <w:lvlJc w:val="left"/>
      <w:pPr>
        <w:ind w:left="1985" w:hanging="425"/>
      </w:pPr>
      <w:rPr>
        <w:rFonts w:hint="default"/>
      </w:rPr>
    </w:lvl>
    <w:lvl w:ilvl="8">
      <w:start w:val="1"/>
      <w:numFmt w:val="none"/>
      <w:lvlText w:val=""/>
      <w:lvlJc w:val="left"/>
      <w:pPr>
        <w:ind w:left="1985"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1"/>
  </w:num>
  <w:num w:numId="2">
    <w:abstractNumId w:val="0"/>
  </w:num>
  <w:num w:numId="3">
    <w:abstractNumId w:val="1"/>
  </w:num>
  <w:num w:numId="4">
    <w:abstractNumId w:val="0"/>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63504">
      <o:colormenu v:ext="edit" fillcolor="none [3206]"/>
    </o:shapedefaults>
    <o:shapelayout v:ext="edit">
      <o:idmap v:ext="edit" data="62"/>
    </o:shapelayout>
  </w:hdrShapeDefaults>
  <w:footnotePr>
    <w:footnote w:id="-1"/>
    <w:footnote w:id="0"/>
  </w:footnotePr>
  <w:endnotePr>
    <w:endnote w:id="-1"/>
    <w:endnote w:id="0"/>
  </w:endnotePr>
  <w:compat/>
  <w:rsids>
    <w:rsidRoot w:val="00A55C1B"/>
    <w:rsid w:val="000015F3"/>
    <w:rsid w:val="00002031"/>
    <w:rsid w:val="00004734"/>
    <w:rsid w:val="00006B22"/>
    <w:rsid w:val="0001276A"/>
    <w:rsid w:val="000246AE"/>
    <w:rsid w:val="00025C67"/>
    <w:rsid w:val="0003306D"/>
    <w:rsid w:val="00055129"/>
    <w:rsid w:val="0005559E"/>
    <w:rsid w:val="00061E51"/>
    <w:rsid w:val="00063028"/>
    <w:rsid w:val="000703DF"/>
    <w:rsid w:val="00077775"/>
    <w:rsid w:val="00090471"/>
    <w:rsid w:val="000A63A9"/>
    <w:rsid w:val="000A7132"/>
    <w:rsid w:val="000B3532"/>
    <w:rsid w:val="000B3A75"/>
    <w:rsid w:val="000B7084"/>
    <w:rsid w:val="000C5A31"/>
    <w:rsid w:val="000D391B"/>
    <w:rsid w:val="000D3D6D"/>
    <w:rsid w:val="000D4FC7"/>
    <w:rsid w:val="000F4869"/>
    <w:rsid w:val="000F5B42"/>
    <w:rsid w:val="000F6E6F"/>
    <w:rsid w:val="001003F2"/>
    <w:rsid w:val="0010601F"/>
    <w:rsid w:val="00110EA5"/>
    <w:rsid w:val="001119DF"/>
    <w:rsid w:val="00115240"/>
    <w:rsid w:val="00125091"/>
    <w:rsid w:val="00125318"/>
    <w:rsid w:val="0012719E"/>
    <w:rsid w:val="001305A2"/>
    <w:rsid w:val="00133238"/>
    <w:rsid w:val="00140FE3"/>
    <w:rsid w:val="0014197B"/>
    <w:rsid w:val="001447CD"/>
    <w:rsid w:val="001516B1"/>
    <w:rsid w:val="001525B4"/>
    <w:rsid w:val="00156316"/>
    <w:rsid w:val="00160006"/>
    <w:rsid w:val="00165389"/>
    <w:rsid w:val="00170977"/>
    <w:rsid w:val="00170CED"/>
    <w:rsid w:val="0017693F"/>
    <w:rsid w:val="0018110E"/>
    <w:rsid w:val="00181684"/>
    <w:rsid w:val="001843C6"/>
    <w:rsid w:val="001850E0"/>
    <w:rsid w:val="0018693C"/>
    <w:rsid w:val="0019255A"/>
    <w:rsid w:val="001A41DA"/>
    <w:rsid w:val="001A525F"/>
    <w:rsid w:val="001A69AB"/>
    <w:rsid w:val="001B09F9"/>
    <w:rsid w:val="001B6448"/>
    <w:rsid w:val="001E07CF"/>
    <w:rsid w:val="001E19CA"/>
    <w:rsid w:val="001E59F1"/>
    <w:rsid w:val="001F49EB"/>
    <w:rsid w:val="001F5B8F"/>
    <w:rsid w:val="001F6CBA"/>
    <w:rsid w:val="001F78B9"/>
    <w:rsid w:val="00201D4E"/>
    <w:rsid w:val="00207515"/>
    <w:rsid w:val="00211C7B"/>
    <w:rsid w:val="00220B8A"/>
    <w:rsid w:val="002232C2"/>
    <w:rsid w:val="002257F3"/>
    <w:rsid w:val="002302EC"/>
    <w:rsid w:val="00233456"/>
    <w:rsid w:val="002339A5"/>
    <w:rsid w:val="002452E7"/>
    <w:rsid w:val="00245F98"/>
    <w:rsid w:val="00246194"/>
    <w:rsid w:val="002538AE"/>
    <w:rsid w:val="002541E7"/>
    <w:rsid w:val="00257138"/>
    <w:rsid w:val="00257848"/>
    <w:rsid w:val="0027084A"/>
    <w:rsid w:val="00271109"/>
    <w:rsid w:val="002723AD"/>
    <w:rsid w:val="00277EF5"/>
    <w:rsid w:val="002823A0"/>
    <w:rsid w:val="00283281"/>
    <w:rsid w:val="00286434"/>
    <w:rsid w:val="00286C59"/>
    <w:rsid w:val="002942D1"/>
    <w:rsid w:val="002A0556"/>
    <w:rsid w:val="002B0C2E"/>
    <w:rsid w:val="002B1638"/>
    <w:rsid w:val="002B4777"/>
    <w:rsid w:val="002D1EDF"/>
    <w:rsid w:val="002E4C9A"/>
    <w:rsid w:val="002E7C24"/>
    <w:rsid w:val="002F11F8"/>
    <w:rsid w:val="002F3F56"/>
    <w:rsid w:val="002F44B5"/>
    <w:rsid w:val="0031131E"/>
    <w:rsid w:val="00311AC0"/>
    <w:rsid w:val="00331DBB"/>
    <w:rsid w:val="00332680"/>
    <w:rsid w:val="003521E8"/>
    <w:rsid w:val="00365A0A"/>
    <w:rsid w:val="003664BF"/>
    <w:rsid w:val="003728F3"/>
    <w:rsid w:val="00372CF9"/>
    <w:rsid w:val="00373926"/>
    <w:rsid w:val="0039077B"/>
    <w:rsid w:val="00390900"/>
    <w:rsid w:val="003A35BD"/>
    <w:rsid w:val="003A56F9"/>
    <w:rsid w:val="003B00C5"/>
    <w:rsid w:val="003B4FD1"/>
    <w:rsid w:val="003B7E39"/>
    <w:rsid w:val="003C58DC"/>
    <w:rsid w:val="003D0CD9"/>
    <w:rsid w:val="003E3208"/>
    <w:rsid w:val="003E3491"/>
    <w:rsid w:val="003E3D34"/>
    <w:rsid w:val="003E7EAA"/>
    <w:rsid w:val="003F0B04"/>
    <w:rsid w:val="003F1EE8"/>
    <w:rsid w:val="0040134E"/>
    <w:rsid w:val="00410839"/>
    <w:rsid w:val="0041452B"/>
    <w:rsid w:val="004169A8"/>
    <w:rsid w:val="00440A2D"/>
    <w:rsid w:val="00442664"/>
    <w:rsid w:val="00455A6F"/>
    <w:rsid w:val="004564A7"/>
    <w:rsid w:val="004617BF"/>
    <w:rsid w:val="00465E90"/>
    <w:rsid w:val="00477BB1"/>
    <w:rsid w:val="0048672F"/>
    <w:rsid w:val="004923FF"/>
    <w:rsid w:val="00494374"/>
    <w:rsid w:val="00494E60"/>
    <w:rsid w:val="00496BAC"/>
    <w:rsid w:val="004A1F51"/>
    <w:rsid w:val="004B41AF"/>
    <w:rsid w:val="004B7B76"/>
    <w:rsid w:val="004C0070"/>
    <w:rsid w:val="004C1F4B"/>
    <w:rsid w:val="004D51A6"/>
    <w:rsid w:val="004F0F38"/>
    <w:rsid w:val="004F1A46"/>
    <w:rsid w:val="004F6F37"/>
    <w:rsid w:val="00501921"/>
    <w:rsid w:val="00511904"/>
    <w:rsid w:val="00530354"/>
    <w:rsid w:val="00531B11"/>
    <w:rsid w:val="00533ED0"/>
    <w:rsid w:val="005434C6"/>
    <w:rsid w:val="00543B39"/>
    <w:rsid w:val="0054583D"/>
    <w:rsid w:val="005477E7"/>
    <w:rsid w:val="00550096"/>
    <w:rsid w:val="00557FF9"/>
    <w:rsid w:val="00576378"/>
    <w:rsid w:val="00577279"/>
    <w:rsid w:val="00577E38"/>
    <w:rsid w:val="00585322"/>
    <w:rsid w:val="005865A1"/>
    <w:rsid w:val="00593AD1"/>
    <w:rsid w:val="00597877"/>
    <w:rsid w:val="005A1131"/>
    <w:rsid w:val="005A61CE"/>
    <w:rsid w:val="005C5570"/>
    <w:rsid w:val="005C79A4"/>
    <w:rsid w:val="005D5442"/>
    <w:rsid w:val="005E6592"/>
    <w:rsid w:val="005F5D6A"/>
    <w:rsid w:val="0060533C"/>
    <w:rsid w:val="00611B57"/>
    <w:rsid w:val="00613B97"/>
    <w:rsid w:val="00617EAC"/>
    <w:rsid w:val="00621EBE"/>
    <w:rsid w:val="006239CD"/>
    <w:rsid w:val="00630EE2"/>
    <w:rsid w:val="00640190"/>
    <w:rsid w:val="00640FC3"/>
    <w:rsid w:val="00642020"/>
    <w:rsid w:val="00651795"/>
    <w:rsid w:val="00651C87"/>
    <w:rsid w:val="0065337B"/>
    <w:rsid w:val="0065419D"/>
    <w:rsid w:val="006604D8"/>
    <w:rsid w:val="00664A5B"/>
    <w:rsid w:val="00665F8C"/>
    <w:rsid w:val="0066667B"/>
    <w:rsid w:val="00667942"/>
    <w:rsid w:val="00680C08"/>
    <w:rsid w:val="0068741A"/>
    <w:rsid w:val="006931B1"/>
    <w:rsid w:val="006A15C0"/>
    <w:rsid w:val="006B188D"/>
    <w:rsid w:val="006C1F3B"/>
    <w:rsid w:val="006C3E2A"/>
    <w:rsid w:val="006C642F"/>
    <w:rsid w:val="006D039E"/>
    <w:rsid w:val="006D03E5"/>
    <w:rsid w:val="006D0C3B"/>
    <w:rsid w:val="006D5D3E"/>
    <w:rsid w:val="006E08B3"/>
    <w:rsid w:val="006F572E"/>
    <w:rsid w:val="007046D6"/>
    <w:rsid w:val="00705DB0"/>
    <w:rsid w:val="00706AFE"/>
    <w:rsid w:val="00721AF3"/>
    <w:rsid w:val="00725A8B"/>
    <w:rsid w:val="0073584A"/>
    <w:rsid w:val="0074253D"/>
    <w:rsid w:val="0074429B"/>
    <w:rsid w:val="007477F8"/>
    <w:rsid w:val="00752497"/>
    <w:rsid w:val="007615BC"/>
    <w:rsid w:val="00762F05"/>
    <w:rsid w:val="007652FF"/>
    <w:rsid w:val="00766F39"/>
    <w:rsid w:val="00771329"/>
    <w:rsid w:val="00773EF7"/>
    <w:rsid w:val="00774E1D"/>
    <w:rsid w:val="0077675A"/>
    <w:rsid w:val="00777250"/>
    <w:rsid w:val="00780355"/>
    <w:rsid w:val="00785721"/>
    <w:rsid w:val="00793A59"/>
    <w:rsid w:val="007A2162"/>
    <w:rsid w:val="007B43ED"/>
    <w:rsid w:val="007C0F3D"/>
    <w:rsid w:val="007C1AF7"/>
    <w:rsid w:val="007C22FD"/>
    <w:rsid w:val="007C7A6D"/>
    <w:rsid w:val="007C7B5B"/>
    <w:rsid w:val="007E11E5"/>
    <w:rsid w:val="007E7BF8"/>
    <w:rsid w:val="00810598"/>
    <w:rsid w:val="00811166"/>
    <w:rsid w:val="00821776"/>
    <w:rsid w:val="00826007"/>
    <w:rsid w:val="008321F5"/>
    <w:rsid w:val="00832369"/>
    <w:rsid w:val="00834660"/>
    <w:rsid w:val="00836BC2"/>
    <w:rsid w:val="0084580B"/>
    <w:rsid w:val="0085447C"/>
    <w:rsid w:val="0085641B"/>
    <w:rsid w:val="00857136"/>
    <w:rsid w:val="00870B12"/>
    <w:rsid w:val="008722A1"/>
    <w:rsid w:val="00874772"/>
    <w:rsid w:val="008821AA"/>
    <w:rsid w:val="008855B8"/>
    <w:rsid w:val="00894202"/>
    <w:rsid w:val="00896018"/>
    <w:rsid w:val="008A2B9D"/>
    <w:rsid w:val="008A5563"/>
    <w:rsid w:val="008A5E0B"/>
    <w:rsid w:val="008A6D59"/>
    <w:rsid w:val="008B4B03"/>
    <w:rsid w:val="008B596F"/>
    <w:rsid w:val="008C159F"/>
    <w:rsid w:val="008C1623"/>
    <w:rsid w:val="008C51A9"/>
    <w:rsid w:val="008C56D9"/>
    <w:rsid w:val="008D2B09"/>
    <w:rsid w:val="008D4740"/>
    <w:rsid w:val="008E65EA"/>
    <w:rsid w:val="008F1CCC"/>
    <w:rsid w:val="008F2967"/>
    <w:rsid w:val="0090354E"/>
    <w:rsid w:val="00907ACE"/>
    <w:rsid w:val="00907D9C"/>
    <w:rsid w:val="00920330"/>
    <w:rsid w:val="00920FF4"/>
    <w:rsid w:val="009219D7"/>
    <w:rsid w:val="00922D53"/>
    <w:rsid w:val="00923B70"/>
    <w:rsid w:val="00925DC5"/>
    <w:rsid w:val="0092600B"/>
    <w:rsid w:val="00930237"/>
    <w:rsid w:val="0093306E"/>
    <w:rsid w:val="00940F44"/>
    <w:rsid w:val="00941988"/>
    <w:rsid w:val="00952562"/>
    <w:rsid w:val="00963C08"/>
    <w:rsid w:val="00964C7D"/>
    <w:rsid w:val="009823B9"/>
    <w:rsid w:val="00997619"/>
    <w:rsid w:val="009A09AA"/>
    <w:rsid w:val="009A474D"/>
    <w:rsid w:val="009A4CED"/>
    <w:rsid w:val="009B15F1"/>
    <w:rsid w:val="009B1D12"/>
    <w:rsid w:val="009B416B"/>
    <w:rsid w:val="009C4BD5"/>
    <w:rsid w:val="009D2E04"/>
    <w:rsid w:val="009D7B77"/>
    <w:rsid w:val="009E0BB0"/>
    <w:rsid w:val="009E3FBB"/>
    <w:rsid w:val="009F018D"/>
    <w:rsid w:val="009F445F"/>
    <w:rsid w:val="00A052B5"/>
    <w:rsid w:val="00A1235B"/>
    <w:rsid w:val="00A14DF7"/>
    <w:rsid w:val="00A3246D"/>
    <w:rsid w:val="00A3654F"/>
    <w:rsid w:val="00A36FA7"/>
    <w:rsid w:val="00A46F9C"/>
    <w:rsid w:val="00A475B7"/>
    <w:rsid w:val="00A47AF7"/>
    <w:rsid w:val="00A47C3E"/>
    <w:rsid w:val="00A50226"/>
    <w:rsid w:val="00A55B7B"/>
    <w:rsid w:val="00A55C1B"/>
    <w:rsid w:val="00A56488"/>
    <w:rsid w:val="00A60BAD"/>
    <w:rsid w:val="00A73A8D"/>
    <w:rsid w:val="00A84503"/>
    <w:rsid w:val="00A87334"/>
    <w:rsid w:val="00AA37CC"/>
    <w:rsid w:val="00AB6F47"/>
    <w:rsid w:val="00AC2B40"/>
    <w:rsid w:val="00AC2BB2"/>
    <w:rsid w:val="00AC2C3C"/>
    <w:rsid w:val="00AC3BD9"/>
    <w:rsid w:val="00AC7EB0"/>
    <w:rsid w:val="00AD4B7A"/>
    <w:rsid w:val="00AD680B"/>
    <w:rsid w:val="00AE0320"/>
    <w:rsid w:val="00AE218F"/>
    <w:rsid w:val="00AE65EB"/>
    <w:rsid w:val="00AF1D94"/>
    <w:rsid w:val="00AF60C5"/>
    <w:rsid w:val="00B009C6"/>
    <w:rsid w:val="00B01548"/>
    <w:rsid w:val="00B06A7F"/>
    <w:rsid w:val="00B21D29"/>
    <w:rsid w:val="00B21FC5"/>
    <w:rsid w:val="00B21FEE"/>
    <w:rsid w:val="00B25034"/>
    <w:rsid w:val="00B25FE0"/>
    <w:rsid w:val="00B33863"/>
    <w:rsid w:val="00B37D17"/>
    <w:rsid w:val="00B4175E"/>
    <w:rsid w:val="00B510E1"/>
    <w:rsid w:val="00B54C25"/>
    <w:rsid w:val="00B600DA"/>
    <w:rsid w:val="00B64F68"/>
    <w:rsid w:val="00B76B91"/>
    <w:rsid w:val="00B8394C"/>
    <w:rsid w:val="00BB0909"/>
    <w:rsid w:val="00BB6529"/>
    <w:rsid w:val="00BC1CAB"/>
    <w:rsid w:val="00BC622A"/>
    <w:rsid w:val="00BD6F8A"/>
    <w:rsid w:val="00BE0A78"/>
    <w:rsid w:val="00BE79F0"/>
    <w:rsid w:val="00BF046D"/>
    <w:rsid w:val="00BF5D04"/>
    <w:rsid w:val="00C05AD8"/>
    <w:rsid w:val="00C13563"/>
    <w:rsid w:val="00C15824"/>
    <w:rsid w:val="00C404A6"/>
    <w:rsid w:val="00C40A36"/>
    <w:rsid w:val="00C44419"/>
    <w:rsid w:val="00C45E7B"/>
    <w:rsid w:val="00C471B1"/>
    <w:rsid w:val="00C52BEE"/>
    <w:rsid w:val="00C6316B"/>
    <w:rsid w:val="00C634A9"/>
    <w:rsid w:val="00C74705"/>
    <w:rsid w:val="00C772FF"/>
    <w:rsid w:val="00C77BC8"/>
    <w:rsid w:val="00C801AF"/>
    <w:rsid w:val="00C80256"/>
    <w:rsid w:val="00C875EB"/>
    <w:rsid w:val="00CB6BC0"/>
    <w:rsid w:val="00CC0D2C"/>
    <w:rsid w:val="00CC1B7C"/>
    <w:rsid w:val="00CC727F"/>
    <w:rsid w:val="00CD2699"/>
    <w:rsid w:val="00CD7871"/>
    <w:rsid w:val="00CE5BB0"/>
    <w:rsid w:val="00CF15C3"/>
    <w:rsid w:val="00CF2B6F"/>
    <w:rsid w:val="00CF3DFE"/>
    <w:rsid w:val="00D017ED"/>
    <w:rsid w:val="00D05BD5"/>
    <w:rsid w:val="00D05DE7"/>
    <w:rsid w:val="00D153B1"/>
    <w:rsid w:val="00D224FE"/>
    <w:rsid w:val="00D229BA"/>
    <w:rsid w:val="00D26B84"/>
    <w:rsid w:val="00D34929"/>
    <w:rsid w:val="00D5616E"/>
    <w:rsid w:val="00D634FE"/>
    <w:rsid w:val="00D6493E"/>
    <w:rsid w:val="00D758FF"/>
    <w:rsid w:val="00DA1124"/>
    <w:rsid w:val="00DA1DEF"/>
    <w:rsid w:val="00DA3043"/>
    <w:rsid w:val="00DB1BC7"/>
    <w:rsid w:val="00DB5882"/>
    <w:rsid w:val="00DC2485"/>
    <w:rsid w:val="00DD062A"/>
    <w:rsid w:val="00DD3D80"/>
    <w:rsid w:val="00DD75A3"/>
    <w:rsid w:val="00DD7A91"/>
    <w:rsid w:val="00DE02AE"/>
    <w:rsid w:val="00DE6A0C"/>
    <w:rsid w:val="00DE6C04"/>
    <w:rsid w:val="00DE75AC"/>
    <w:rsid w:val="00DF0CB8"/>
    <w:rsid w:val="00DF1D7F"/>
    <w:rsid w:val="00E02FB4"/>
    <w:rsid w:val="00E1340C"/>
    <w:rsid w:val="00E20571"/>
    <w:rsid w:val="00E21651"/>
    <w:rsid w:val="00E235F7"/>
    <w:rsid w:val="00E239D4"/>
    <w:rsid w:val="00E32326"/>
    <w:rsid w:val="00E40B22"/>
    <w:rsid w:val="00E4588F"/>
    <w:rsid w:val="00E46DA3"/>
    <w:rsid w:val="00E51164"/>
    <w:rsid w:val="00E8120B"/>
    <w:rsid w:val="00E911E4"/>
    <w:rsid w:val="00EA16DE"/>
    <w:rsid w:val="00EA406B"/>
    <w:rsid w:val="00EA453A"/>
    <w:rsid w:val="00EB0798"/>
    <w:rsid w:val="00EB19F8"/>
    <w:rsid w:val="00EB40AD"/>
    <w:rsid w:val="00EB586E"/>
    <w:rsid w:val="00EB5FC8"/>
    <w:rsid w:val="00EC1271"/>
    <w:rsid w:val="00ED0C8B"/>
    <w:rsid w:val="00ED5A41"/>
    <w:rsid w:val="00EE255A"/>
    <w:rsid w:val="00EF578B"/>
    <w:rsid w:val="00F033EC"/>
    <w:rsid w:val="00F048A5"/>
    <w:rsid w:val="00F04F68"/>
    <w:rsid w:val="00F0535A"/>
    <w:rsid w:val="00F12670"/>
    <w:rsid w:val="00F14845"/>
    <w:rsid w:val="00F14B27"/>
    <w:rsid w:val="00F3148D"/>
    <w:rsid w:val="00F33847"/>
    <w:rsid w:val="00F35298"/>
    <w:rsid w:val="00F3529E"/>
    <w:rsid w:val="00F36C32"/>
    <w:rsid w:val="00F40F73"/>
    <w:rsid w:val="00F467A6"/>
    <w:rsid w:val="00F47E37"/>
    <w:rsid w:val="00F56D26"/>
    <w:rsid w:val="00F640B6"/>
    <w:rsid w:val="00F739D1"/>
    <w:rsid w:val="00F77D89"/>
    <w:rsid w:val="00F80E40"/>
    <w:rsid w:val="00F8365F"/>
    <w:rsid w:val="00FA1F51"/>
    <w:rsid w:val="00FA4D6D"/>
    <w:rsid w:val="00FA5B82"/>
    <w:rsid w:val="00FA639E"/>
    <w:rsid w:val="00FC03C8"/>
    <w:rsid w:val="00FC25E4"/>
    <w:rsid w:val="00FC4EF7"/>
    <w:rsid w:val="00FE1DEE"/>
    <w:rsid w:val="00FF2126"/>
    <w:rsid w:val="00FF69BE"/>
    <w:rsid w:val="00FF7B50"/>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504">
      <o:colormenu v:ext="edit" fillcolor="none [3206]"/>
    </o:shapedefaults>
    <o:shapelayout v:ext="edit">
      <o:idmap v:ext="edit" data="1"/>
      <o:rules v:ext="edit">
        <o:r id="V:Rule12" type="connector" idref="#_x0000_s1040"/>
        <o:r id="V:Rule13" type="connector" idref="#_x0000_s1043"/>
        <o:r id="V:Rule14" type="connector" idref="#_x0000_s1066"/>
        <o:r id="V:Rule15" type="connector" idref="#_x0000_s1044"/>
        <o:r id="V:Rule16" type="connector" idref="#_x0000_s1042">
          <o:proxy end="" idref="#_x0000_s1036" connectloc="0"/>
        </o:r>
        <o:r id="V:Rule17" type="connector" idref="#_x0000_s1041"/>
        <o:r id="V:Rule18" type="connector" idref="#_x0000_s1038"/>
        <o:r id="V:Rule19" type="connector" idref="#_x0000_s1067"/>
        <o:r id="V:Rule20" type="connector" idref="#_x0000_s1059">
          <o:proxy end="" idref="#_x0000_s1054" connectloc="0"/>
        </o:r>
        <o:r id="V:Rule21" type="connector" idref="#_x0000_s1058"/>
        <o:r id="V:Rule22" type="connector" idref="#_x0000_s105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D4740"/>
    <w:pPr>
      <w:spacing w:before="180" w:after="180" w:line="240" w:lineRule="atLeast"/>
    </w:pPr>
    <w:rPr>
      <w:sz w:val="22"/>
      <w:szCs w:val="22"/>
      <w:lang w:eastAsia="en-US"/>
    </w:rPr>
  </w:style>
  <w:style w:type="paragraph" w:styleId="Heading1">
    <w:name w:val="heading 1"/>
    <w:basedOn w:val="Title"/>
    <w:next w:val="Normal"/>
    <w:link w:val="Heading1Char"/>
    <w:qFormat/>
    <w:rsid w:val="002B0C2E"/>
    <w:pPr>
      <w:outlineLvl w:val="0"/>
    </w:pPr>
    <w:rPr>
      <w:lang w:eastAsia="en-AU"/>
    </w:rPr>
  </w:style>
  <w:style w:type="paragraph" w:styleId="Heading2">
    <w:name w:val="heading 2"/>
    <w:basedOn w:val="Normal"/>
    <w:next w:val="Normal"/>
    <w:link w:val="Heading2Char"/>
    <w:qFormat/>
    <w:rsid w:val="000C5A31"/>
    <w:pPr>
      <w:keepNext/>
      <w:keepLines/>
      <w:spacing w:before="480" w:after="360"/>
      <w:outlineLvl w:val="1"/>
    </w:pPr>
    <w:rPr>
      <w:rFonts w:ascii="Arial" w:eastAsia="Times New Roman" w:hAnsi="Arial"/>
      <w:b/>
      <w:bCs/>
      <w:sz w:val="64"/>
      <w:szCs w:val="64"/>
    </w:rPr>
  </w:style>
  <w:style w:type="paragraph" w:styleId="Heading3">
    <w:name w:val="heading 3"/>
    <w:basedOn w:val="Heading2"/>
    <w:next w:val="Normal"/>
    <w:link w:val="Heading3Char"/>
    <w:qFormat/>
    <w:rsid w:val="0019255A"/>
    <w:pPr>
      <w:outlineLvl w:val="2"/>
    </w:pPr>
    <w:rPr>
      <w:sz w:val="32"/>
    </w:rPr>
  </w:style>
  <w:style w:type="paragraph" w:styleId="Heading4">
    <w:name w:val="heading 4"/>
    <w:basedOn w:val="Normal"/>
    <w:next w:val="Normal"/>
    <w:link w:val="Heading4Char"/>
    <w:qFormat/>
    <w:rsid w:val="0041452B"/>
    <w:pPr>
      <w:spacing w:before="360" w:after="0" w:line="220" w:lineRule="atLeast"/>
      <w:outlineLvl w:val="3"/>
    </w:pPr>
    <w:rPr>
      <w:b/>
      <w:bCs/>
      <w:szCs w:val="21"/>
    </w:rPr>
  </w:style>
  <w:style w:type="paragraph" w:styleId="Heading5">
    <w:name w:val="heading 5"/>
    <w:basedOn w:val="Normal"/>
    <w:next w:val="Normal"/>
    <w:link w:val="Heading5Char"/>
    <w:uiPriority w:val="9"/>
    <w:qFormat/>
    <w:rsid w:val="0019255A"/>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19255A"/>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19255A"/>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C2E"/>
    <w:rPr>
      <w:rFonts w:ascii="Arial" w:eastAsia="Times New Roman" w:hAnsi="Arial"/>
      <w:color w:val="002C47"/>
      <w:spacing w:val="5"/>
      <w:kern w:val="28"/>
      <w:sz w:val="52"/>
      <w:szCs w:val="52"/>
    </w:rPr>
  </w:style>
  <w:style w:type="character" w:customStyle="1" w:styleId="Heading2Char">
    <w:name w:val="Heading 2 Char"/>
    <w:basedOn w:val="DefaultParagraphFont"/>
    <w:link w:val="Heading2"/>
    <w:rsid w:val="000C5A31"/>
    <w:rPr>
      <w:rFonts w:ascii="Arial" w:eastAsia="Times New Roman" w:hAnsi="Arial"/>
      <w:b/>
      <w:bCs/>
      <w:sz w:val="64"/>
      <w:szCs w:val="64"/>
      <w:lang w:eastAsia="en-US"/>
    </w:rPr>
  </w:style>
  <w:style w:type="character" w:customStyle="1" w:styleId="Heading3Char">
    <w:name w:val="Heading 3 Char"/>
    <w:basedOn w:val="DefaultParagraphFont"/>
    <w:link w:val="Heading3"/>
    <w:rsid w:val="002B0C2E"/>
    <w:rPr>
      <w:rFonts w:ascii="Arial" w:eastAsia="Times New Roman" w:hAnsi="Arial"/>
      <w:b/>
      <w:bCs/>
      <w:sz w:val="32"/>
      <w:szCs w:val="26"/>
      <w:lang w:eastAsia="en-US"/>
    </w:rPr>
  </w:style>
  <w:style w:type="paragraph" w:customStyle="1" w:styleId="Address">
    <w:name w:val="Address"/>
    <w:basedOn w:val="Normal"/>
    <w:qFormat/>
    <w:rsid w:val="00140FE3"/>
    <w:pPr>
      <w:spacing w:before="0" w:after="0" w:line="240" w:lineRule="auto"/>
    </w:pPr>
    <w:rPr>
      <w:sz w:val="21"/>
    </w:r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455A6F"/>
    <w:pPr>
      <w:spacing w:before="120" w:after="120"/>
    </w:pPr>
    <w:rPr>
      <w:sz w:val="19"/>
      <w:szCs w:val="18"/>
    </w:rPr>
  </w:style>
  <w:style w:type="paragraph" w:customStyle="1" w:styleId="Contents">
    <w:name w:val="Contents"/>
    <w:basedOn w:val="Normal"/>
    <w:rsid w:val="008A5E0B"/>
    <w:pPr>
      <w:spacing w:before="0" w:after="360"/>
    </w:pPr>
    <w:rPr>
      <w:rFonts w:ascii="Arial" w:hAnsi="Arial"/>
      <w:b/>
      <w:sz w:val="64"/>
    </w:rPr>
  </w:style>
  <w:style w:type="paragraph" w:styleId="Date">
    <w:name w:val="Date"/>
    <w:basedOn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paragraph" w:customStyle="1" w:styleId="FigureDescription">
    <w:name w:val="Figure Description"/>
    <w:basedOn w:val="Normal"/>
    <w:qFormat/>
    <w:rsid w:val="001A69AB"/>
    <w:pPr>
      <w:keepNext/>
      <w:spacing w:before="120" w:after="0"/>
    </w:pPr>
    <w:rPr>
      <w:sz w:val="19"/>
    </w:rPr>
  </w:style>
  <w:style w:type="paragraph" w:customStyle="1" w:styleId="FigureTitle">
    <w:name w:val="Figure Title"/>
    <w:basedOn w:val="Normal"/>
    <w:qFormat/>
    <w:rsid w:val="00531B11"/>
    <w:pPr>
      <w:keepNext/>
      <w:spacing w:line="220" w:lineRule="atLeast"/>
    </w:pPr>
    <w:rPr>
      <w:b/>
      <w:sz w:val="20"/>
    </w:rPr>
  </w:style>
  <w:style w:type="character" w:customStyle="1" w:styleId="Heading4Char">
    <w:name w:val="Heading 4 Char"/>
    <w:basedOn w:val="DefaultParagraphFont"/>
    <w:link w:val="Heading4"/>
    <w:rsid w:val="0041452B"/>
    <w:rPr>
      <w:b/>
      <w:bCs/>
      <w:sz w:val="22"/>
      <w:szCs w:val="21"/>
      <w:lang w:eastAsia="en-US"/>
    </w:rPr>
  </w:style>
  <w:style w:type="paragraph" w:customStyle="1" w:styleId="FlowChartWhiteHeading">
    <w:name w:val="Flow Chart White Heading"/>
    <w:basedOn w:val="Normal"/>
    <w:rsid w:val="00810598"/>
    <w:pPr>
      <w:spacing w:before="120"/>
      <w:jc w:val="center"/>
    </w:pPr>
    <w:rPr>
      <w:rFonts w:ascii="Arial" w:hAnsi="Arial"/>
      <w:b/>
      <w:color w:val="FFFFFF"/>
    </w:rPr>
  </w:style>
  <w:style w:type="paragraph" w:customStyle="1" w:styleId="FlowChartBlackHeading">
    <w:name w:val="Flow Chart Black Heading"/>
    <w:basedOn w:val="FlowChartWhiteHeading"/>
    <w:rsid w:val="00810598"/>
    <w:rPr>
      <w:color w:val="auto"/>
    </w:rPr>
  </w:style>
  <w:style w:type="paragraph" w:customStyle="1" w:styleId="FlowChartWhiteText">
    <w:name w:val="Flow Chart White Text"/>
    <w:basedOn w:val="Normal"/>
    <w:rsid w:val="007C7A6D"/>
    <w:pPr>
      <w:spacing w:after="0"/>
      <w:jc w:val="center"/>
    </w:pPr>
    <w:rPr>
      <w:rFonts w:asciiTheme="majorHAnsi" w:hAnsiTheme="majorHAnsi" w:cstheme="majorHAnsi"/>
      <w:color w:val="FFFFFF"/>
    </w:rPr>
  </w:style>
  <w:style w:type="paragraph" w:customStyle="1" w:styleId="FlowchartText">
    <w:name w:val="Flowchart Text"/>
    <w:basedOn w:val="Normal"/>
    <w:rsid w:val="00A3654F"/>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257138"/>
    <w:pPr>
      <w:tabs>
        <w:tab w:val="center" w:pos="4513"/>
        <w:tab w:val="right" w:pos="9026"/>
      </w:tabs>
      <w:spacing w:before="0" w:after="0" w:line="240" w:lineRule="auto"/>
      <w:contextualSpacing/>
    </w:pPr>
    <w:rPr>
      <w:sz w:val="17"/>
    </w:rPr>
  </w:style>
  <w:style w:type="character" w:customStyle="1" w:styleId="FooterChar">
    <w:name w:val="Footer Char"/>
    <w:basedOn w:val="DefaultParagraphFont"/>
    <w:link w:val="Footer"/>
    <w:uiPriority w:val="99"/>
    <w:rsid w:val="00257138"/>
    <w:rPr>
      <w:sz w:val="17"/>
      <w:szCs w:val="22"/>
      <w:lang w:eastAsia="en-US"/>
    </w:rPr>
  </w:style>
  <w:style w:type="paragraph" w:styleId="Header">
    <w:name w:val="header"/>
    <w:basedOn w:val="Normal"/>
    <w:link w:val="HeaderChar"/>
    <w:uiPriority w:val="99"/>
    <w:rsid w:val="006C1F3B"/>
    <w:pPr>
      <w:pBdr>
        <w:bottom w:val="single" w:sz="4" w:space="3" w:color="auto"/>
      </w:pBdr>
      <w:tabs>
        <w:tab w:val="center" w:pos="4513"/>
        <w:tab w:val="right" w:pos="9026"/>
      </w:tabs>
      <w:spacing w:before="0" w:after="480" w:line="240" w:lineRule="auto"/>
      <w:jc w:val="right"/>
    </w:pPr>
    <w:rPr>
      <w:sz w:val="17"/>
    </w:rPr>
  </w:style>
  <w:style w:type="character" w:customStyle="1" w:styleId="HeaderChar">
    <w:name w:val="Header Char"/>
    <w:basedOn w:val="DefaultParagraphFont"/>
    <w:link w:val="Header"/>
    <w:uiPriority w:val="99"/>
    <w:rsid w:val="00F3148D"/>
    <w:rPr>
      <w:rFonts w:ascii="Cambria" w:eastAsia="Cambria" w:hAnsi="Cambria" w:cs="Times New Roman"/>
      <w:sz w:val="17"/>
    </w:rPr>
  </w:style>
  <w:style w:type="paragraph" w:customStyle="1" w:styleId="HeaderNoLine">
    <w:name w:val="Header No Line"/>
    <w:basedOn w:val="Header"/>
    <w:rsid w:val="002B0C2E"/>
    <w:pPr>
      <w:pBdr>
        <w:bottom w:val="none" w:sz="0" w:space="0" w:color="auto"/>
      </w:pBdr>
    </w:pPr>
  </w:style>
  <w:style w:type="character" w:customStyle="1" w:styleId="Heading5Char">
    <w:name w:val="Heading 5 Char"/>
    <w:basedOn w:val="DefaultParagraphFont"/>
    <w:link w:val="Heading5"/>
    <w:uiPriority w:val="9"/>
    <w:rsid w:val="00FA639E"/>
    <w:rPr>
      <w:rFonts w:eastAsia="Times New Roman"/>
      <w:b/>
      <w:bCs/>
      <w:i/>
      <w:color w:val="001523"/>
      <w:sz w:val="22"/>
      <w:szCs w:val="21"/>
      <w:lang w:eastAsia="en-US"/>
    </w:rPr>
  </w:style>
  <w:style w:type="character" w:customStyle="1" w:styleId="Heading6Char">
    <w:name w:val="Heading 6 Char"/>
    <w:basedOn w:val="DefaultParagraphFont"/>
    <w:link w:val="Heading6"/>
    <w:uiPriority w:val="9"/>
    <w:rsid w:val="00F3148D"/>
    <w:rPr>
      <w:rFonts w:eastAsia="Times New Roman"/>
      <w:bCs/>
      <w:i/>
      <w:sz w:val="22"/>
      <w:szCs w:val="21"/>
      <w:lang w:eastAsia="en-US"/>
    </w:rPr>
  </w:style>
  <w:style w:type="character" w:customStyle="1" w:styleId="Heading7Char">
    <w:name w:val="Heading 7 Char"/>
    <w:basedOn w:val="DefaultParagraphFont"/>
    <w:link w:val="Heading7"/>
    <w:uiPriority w:val="9"/>
    <w:rsid w:val="00F3148D"/>
    <w:rPr>
      <w:rFonts w:eastAsia="Times New Roman"/>
      <w:bCs/>
      <w:sz w:val="18"/>
      <w:szCs w:val="24"/>
      <w:lang w:eastAsia="en-US"/>
    </w:rPr>
  </w:style>
  <w:style w:type="character" w:styleId="Hyperlink">
    <w:name w:val="Hyperlink"/>
    <w:basedOn w:val="DefaultParagraphFont"/>
    <w:uiPriority w:val="99"/>
    <w:unhideWhenUsed/>
    <w:rsid w:val="00A3654F"/>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8855B8"/>
    <w:pPr>
      <w:spacing w:after="180"/>
    </w:pPr>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A3654F"/>
    <w:pPr>
      <w:numPr>
        <w:numId w:val="3"/>
      </w:numPr>
    </w:pPr>
  </w:style>
  <w:style w:type="paragraph" w:styleId="ListBullet2">
    <w:name w:val="List Bullet 2"/>
    <w:basedOn w:val="Normal"/>
    <w:uiPriority w:val="99"/>
    <w:qFormat/>
    <w:rsid w:val="00A3654F"/>
    <w:pPr>
      <w:numPr>
        <w:ilvl w:val="1"/>
        <w:numId w:val="3"/>
      </w:numPr>
    </w:pPr>
  </w:style>
  <w:style w:type="paragraph" w:styleId="ListBullet3">
    <w:name w:val="List Bullet 3"/>
    <w:basedOn w:val="Normal"/>
    <w:uiPriority w:val="99"/>
    <w:qFormat/>
    <w:rsid w:val="00A3654F"/>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11B57"/>
    <w:pPr>
      <w:keepNext/>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A3654F"/>
    <w:pPr>
      <w:numPr>
        <w:numId w:val="4"/>
      </w:numPr>
    </w:pPr>
  </w:style>
  <w:style w:type="paragraph" w:customStyle="1" w:styleId="Numberbullet2">
    <w:name w:val="Number bullet 2"/>
    <w:basedOn w:val="ListBullet2"/>
    <w:qFormat/>
    <w:rsid w:val="00A3654F"/>
    <w:pPr>
      <w:numPr>
        <w:numId w:val="4"/>
      </w:numPr>
    </w:pPr>
  </w:style>
  <w:style w:type="paragraph" w:customStyle="1" w:styleId="Numberbullet3">
    <w:name w:val="Number bullet 3"/>
    <w:basedOn w:val="ListBullet3"/>
    <w:qFormat/>
    <w:rsid w:val="00A3654F"/>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link w:val="SubtitleChar"/>
    <w:uiPriority w:val="11"/>
    <w:qFormat/>
    <w:rsid w:val="0054583D"/>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54583D"/>
    <w:rPr>
      <w:rFonts w:ascii="Arial" w:eastAsia="Times New Roman" w:hAnsi="Arial"/>
      <w:bCs/>
      <w:iCs/>
      <w:color w:val="006DA7"/>
      <w:sz w:val="40"/>
      <w:szCs w:val="24"/>
      <w:lang w:eastAsia="en-US"/>
    </w:rPr>
  </w:style>
  <w:style w:type="paragraph" w:styleId="EndnoteText">
    <w:name w:val="endnote text"/>
    <w:basedOn w:val="Normal"/>
    <w:link w:val="EndnoteTextChar"/>
    <w:uiPriority w:val="99"/>
    <w:semiHidden/>
    <w:unhideWhenUsed/>
    <w:rsid w:val="0084580B"/>
    <w:pPr>
      <w:spacing w:before="0" w:after="0" w:line="240" w:lineRule="auto"/>
    </w:pPr>
    <w:rPr>
      <w:sz w:val="20"/>
      <w:szCs w:val="20"/>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BB0909"/>
    <w:pPr>
      <w:keepNext/>
    </w:pPr>
    <w:rPr>
      <w:color w:val="000000"/>
      <w:sz w:val="22"/>
      <w:szCs w:val="21"/>
    </w:rPr>
    <w:tblPr>
      <w:tblInd w:w="0" w:type="dxa"/>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style>
  <w:style w:type="table" w:customStyle="1" w:styleId="TableTGAblack">
    <w:name w:val="Table TGA black"/>
    <w:basedOn w:val="TableNormal"/>
    <w:uiPriority w:val="99"/>
    <w:rsid w:val="00952562"/>
    <w:pPr>
      <w:keepNext/>
      <w:spacing w:before="60"/>
    </w:pPr>
    <w:rPr>
      <w:color w:val="000000"/>
      <w:sz w:val="22"/>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4F1A46"/>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link w:val="TitleChar"/>
    <w:uiPriority w:val="10"/>
    <w:qFormat/>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1525B4"/>
    <w:pPr>
      <w:tabs>
        <w:tab w:val="right" w:leader="underscore" w:pos="8505"/>
      </w:tabs>
      <w:spacing w:after="100"/>
      <w:ind w:left="1021"/>
    </w:pPr>
    <w:rPr>
      <w:sz w:val="21"/>
    </w:r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paragraph" w:customStyle="1" w:styleId="Subject">
    <w:name w:val="Subject"/>
    <w:basedOn w:val="Normal"/>
    <w:qFormat/>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semiHidden/>
    <w:unhideWhenUsed/>
    <w:rsid w:val="001525B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Footnote">
    <w:name w:val="Footnote"/>
    <w:basedOn w:val="FootnoteText"/>
    <w:qFormat/>
    <w:rsid w:val="001525B4"/>
    <w:pPr>
      <w:spacing w:after="240"/>
    </w:pPr>
  </w:style>
  <w:style w:type="paragraph" w:customStyle="1" w:styleId="TableDescription">
    <w:name w:val="Table Description"/>
    <w:basedOn w:val="FigureDescription"/>
    <w:qFormat/>
    <w:rsid w:val="001A69AB"/>
    <w:pPr>
      <w:spacing w:after="240"/>
    </w:pPr>
  </w:style>
  <w:style w:type="character" w:customStyle="1" w:styleId="EndnoteTextChar">
    <w:name w:val="Endnote Text Char"/>
    <w:basedOn w:val="DefaultParagraphFont"/>
    <w:link w:val="EndnoteText"/>
    <w:uiPriority w:val="99"/>
    <w:semiHidden/>
    <w:rsid w:val="0084580B"/>
    <w:rPr>
      <w:lang w:eastAsia="en-US"/>
    </w:rPr>
  </w:style>
  <w:style w:type="character" w:styleId="EndnoteReference">
    <w:name w:val="endnote reference"/>
    <w:basedOn w:val="DefaultParagraphFont"/>
    <w:uiPriority w:val="99"/>
    <w:semiHidden/>
    <w:unhideWhenUsed/>
    <w:rsid w:val="0084580B"/>
    <w:rPr>
      <w:vertAlign w:val="superscript"/>
    </w:rPr>
  </w:style>
  <w:style w:type="table" w:customStyle="1" w:styleId="LightShading1">
    <w:name w:val="Light Shading1"/>
    <w:basedOn w:val="TableNormal"/>
    <w:uiPriority w:val="60"/>
    <w:rsid w:val="0054583D"/>
    <w:rPr>
      <w:color w:val="002035" w:themeColor="text1" w:themeShade="BF"/>
    </w:rPr>
    <w:tblPr>
      <w:tblStyleRowBandSize w:val="1"/>
      <w:tblStyleColBandSize w:val="1"/>
      <w:tblInd w:w="0" w:type="dxa"/>
      <w:tblBorders>
        <w:top w:val="single" w:sz="8" w:space="0" w:color="002C47" w:themeColor="text1"/>
        <w:bottom w:val="single" w:sz="8" w:space="0" w:color="002C47"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la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text1" w:themeFillTint="3F"/>
      </w:tcPr>
    </w:tblStylePr>
    <w:tblStylePr w:type="band1Horz">
      <w:tblPr/>
      <w:tcPr>
        <w:tcBorders>
          <w:left w:val="nil"/>
          <w:right w:val="nil"/>
          <w:insideH w:val="nil"/>
          <w:insideV w:val="nil"/>
        </w:tcBorders>
        <w:shd w:val="clear" w:color="auto" w:fill="92D5FF" w:themeFill="text1" w:themeFillTint="3F"/>
      </w:tcPr>
    </w:tblStylePr>
  </w:style>
  <w:style w:type="paragraph" w:styleId="NoSpacing">
    <w:name w:val="No Spacing"/>
    <w:uiPriority w:val="1"/>
    <w:rsid w:val="00E911E4"/>
    <w:rPr>
      <w:rFonts w:eastAsia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yperlink" Target="http://www.comlaw.gov.au/Series/F1996B00406" TargetMode="External"/><Relationship Id="rId26" Type="http://schemas.openxmlformats.org/officeDocument/2006/relationships/hyperlink" Target="http://www.tga.gov.au/industry/pm-argpm.htm" TargetMode="External"/><Relationship Id="rId39" Type="http://schemas.openxmlformats.org/officeDocument/2006/relationships/hyperlink" Target="http://www.tga.gov.au/industry/cm-colourings-oral-use.htm" TargetMode="External"/><Relationship Id="rId21" Type="http://schemas.openxmlformats.org/officeDocument/2006/relationships/hyperlink" Target="http://www.tga.gov.au/industry/legislation-tgac.htm" TargetMode="External"/><Relationship Id="rId34" Type="http://schemas.openxmlformats.org/officeDocument/2006/relationships/image" Target="media/image4.png"/><Relationship Id="rId42" Type="http://schemas.openxmlformats.org/officeDocument/2006/relationships/hyperlink" Target="http://www.tgacc.com.au/" TargetMode="External"/><Relationship Id="rId47" Type="http://schemas.openxmlformats.org/officeDocument/2006/relationships/hyperlink" Target="http://www.tga.gov.au/industry/devices-guidelines-35.htm" TargetMode="External"/><Relationship Id="rId50" Type="http://schemas.openxmlformats.org/officeDocument/2006/relationships/hyperlink" Target="http://www.accc.gov.au/content/index.phtml/itemId/142" TargetMode="External"/><Relationship Id="rId55" Type="http://schemas.openxmlformats.org/officeDocument/2006/relationships/hyperlink" Target="http://www.comlaw.gov.au/Details/F2010L02386" TargetMode="External"/><Relationship Id="rId63" Type="http://schemas.openxmlformats.org/officeDocument/2006/relationships/hyperlink" Target="http://www.tga.gov.au/industry/cm-notices-metal-amino-acid-chelates.htm" TargetMode="External"/><Relationship Id="rId68" Type="http://schemas.openxmlformats.org/officeDocument/2006/relationships/hyperlink" Target="http://www.daff.gov.au/aqis" TargetMode="External"/><Relationship Id="rId76" Type="http://schemas.openxmlformats.org/officeDocument/2006/relationships/hyperlink" Target="http://www.tga.gov.au/industry/pm-euguidelines-adopted-ocm.htm"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tga.gov.au/safety/tga-therapeutic-product-vigilance.htm" TargetMode="External"/><Relationship Id="rId2" Type="http://schemas.openxmlformats.org/officeDocument/2006/relationships/numbering" Target="numbering.xml"/><Relationship Id="rId16" Type="http://schemas.openxmlformats.org/officeDocument/2006/relationships/hyperlink" Target="http://www.atgc.com.au/" TargetMode="External"/><Relationship Id="rId29" Type="http://schemas.openxmlformats.org/officeDocument/2006/relationships/hyperlink" Target="http://www.tga.gov.au/industry/biologicals-argb.htm" TargetMode="External"/><Relationship Id="rId11" Type="http://schemas.openxmlformats.org/officeDocument/2006/relationships/footer" Target="footer2.xml"/><Relationship Id="rId24" Type="http://schemas.openxmlformats.org/officeDocument/2006/relationships/hyperlink" Target="http://www.tga.gov.au/industry/pm-euguidelines-adopted.htm" TargetMode="External"/><Relationship Id="rId32" Type="http://schemas.openxmlformats.org/officeDocument/2006/relationships/hyperlink" Target="http://www.tga.gov.au/industry/export-medicines-policy.htm" TargetMode="External"/><Relationship Id="rId37" Type="http://schemas.openxmlformats.org/officeDocument/2006/relationships/hyperlink" Target="http://www.comlaw.gov.au/Details/F2009C00264" TargetMode="External"/><Relationship Id="rId40" Type="http://schemas.openxmlformats.org/officeDocument/2006/relationships/hyperlink" Target="http://www.tga.gov.au/about/forms.htm" TargetMode="External"/><Relationship Id="rId45" Type="http://schemas.openxmlformats.org/officeDocument/2006/relationships/hyperlink" Target="http://www.foodstandards.gov.au/" TargetMode="External"/><Relationship Id="rId53" Type="http://schemas.openxmlformats.org/officeDocument/2006/relationships/hyperlink" Target="http://www.foodstandards.gov.au/foodstandards/foodstandardscode.cfm" TargetMode="External"/><Relationship Id="rId58" Type="http://schemas.openxmlformats.org/officeDocument/2006/relationships/hyperlink" Target="http://www.tga.gov.au/archive/cosmetic-claims-guidelines.htm" TargetMode="External"/><Relationship Id="rId66" Type="http://schemas.openxmlformats.org/officeDocument/2006/relationships/hyperlink" Target="http://www.comlaw.gov.au/Series/C2004A00485" TargetMode="External"/><Relationship Id="rId74" Type="http://schemas.openxmlformats.org/officeDocument/2006/relationships/hyperlink" Target="http://www.tga.gov.au/industry/cm-herbal-extracts-equivalence.htm" TargetMode="Externa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www.tga.gov.au/industry/manuf-gmp-tg.htm" TargetMode="External"/><Relationship Id="rId82"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tga.gov.au/industry/scheduling-poisons-standard.htm" TargetMode="External"/><Relationship Id="rId31" Type="http://schemas.openxmlformats.org/officeDocument/2006/relationships/hyperlink" Target="http://www.ebs.tga.gov.au/" TargetMode="External"/><Relationship Id="rId44" Type="http://schemas.openxmlformats.org/officeDocument/2006/relationships/hyperlink" Target="http://www.tga.gov.au/industry/legislation-excluded-goods-order-1101.htm" TargetMode="External"/><Relationship Id="rId52" Type="http://schemas.openxmlformats.org/officeDocument/2006/relationships/hyperlink" Target="http://www.tga.gov.au/archive/cosmetic-claims-guidelines.htm" TargetMode="External"/><Relationship Id="rId60" Type="http://schemas.openxmlformats.org/officeDocument/2006/relationships/hyperlink" Target="http://www.nicnas.gov.au/" TargetMode="External"/><Relationship Id="rId65" Type="http://schemas.openxmlformats.org/officeDocument/2006/relationships/hyperlink" Target="http://www.cites.org/" TargetMode="External"/><Relationship Id="rId73" Type="http://schemas.openxmlformats.org/officeDocument/2006/relationships/hyperlink" Target="http://www.tga.gov.au/industry/cm-identification-herbal-extracts.htm" TargetMode="External"/><Relationship Id="rId78" Type="http://schemas.openxmlformats.org/officeDocument/2006/relationships/footer" Target="footer3.xml"/><Relationship Id="rId8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hc.org.au/" TargetMode="External"/><Relationship Id="rId22" Type="http://schemas.openxmlformats.org/officeDocument/2006/relationships/hyperlink" Target="http://www.tga.gov.au/industry/labelling-rasml.htm" TargetMode="External"/><Relationship Id="rId27" Type="http://schemas.openxmlformats.org/officeDocument/2006/relationships/hyperlink" Target="http://www.tga.gov.au/industry/otc-argom.htm" TargetMode="External"/><Relationship Id="rId30" Type="http://schemas.openxmlformats.org/officeDocument/2006/relationships/hyperlink" Target="http://www.tga.gov.au/about/fees.htm" TargetMode="External"/><Relationship Id="rId35" Type="http://schemas.openxmlformats.org/officeDocument/2006/relationships/hyperlink" Target="http://www.tga.gov.au/industry/medicines-approved-terminology.htm" TargetMode="External"/><Relationship Id="rId43" Type="http://schemas.openxmlformats.org/officeDocument/2006/relationships/hyperlink" Target="http://www.tgacrp.com.au/" TargetMode="External"/><Relationship Id="rId48" Type="http://schemas.openxmlformats.org/officeDocument/2006/relationships/hyperlink" Target="http://www.tga.gov.au/industry/legislation-devices-tgo-2010-01.htm" TargetMode="External"/><Relationship Id="rId56" Type="http://schemas.openxmlformats.org/officeDocument/2006/relationships/hyperlink" Target="http://www.comlaw.gov.au/Details/F2009C00264" TargetMode="External"/><Relationship Id="rId64" Type="http://schemas.openxmlformats.org/officeDocument/2006/relationships/hyperlink" Target="http://www.ahpra.gov.au/" TargetMode="External"/><Relationship Id="rId69" Type="http://schemas.openxmlformats.org/officeDocument/2006/relationships/hyperlink" Target="http://www.cites.org/" TargetMode="External"/><Relationship Id="rId77"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www.nicnas.gov.au/Current_Issues/Cosmetics.asp" TargetMode="External"/><Relationship Id="rId72" Type="http://schemas.openxmlformats.org/officeDocument/2006/relationships/hyperlink" Target="http://www.tga.gov.au/about/tga-regulatory-framework.htm" TargetMode="External"/><Relationship Id="rId80" Type="http://schemas.openxmlformats.org/officeDocument/2006/relationships/hyperlink" Target="http://www.tga.gov.au" TargetMode="External"/><Relationship Id="rId3" Type="http://schemas.openxmlformats.org/officeDocument/2006/relationships/styles" Target="styles.xml"/><Relationship Id="rId12" Type="http://schemas.openxmlformats.org/officeDocument/2006/relationships/hyperlink" Target="http://www.tga.gov.au" TargetMode="External"/><Relationship Id="rId17" Type="http://schemas.openxmlformats.org/officeDocument/2006/relationships/hyperlink" Target="http://www.comlaw.gov.au/Series/C2004A03952" TargetMode="External"/><Relationship Id="rId25" Type="http://schemas.openxmlformats.org/officeDocument/2006/relationships/hyperlink" Target="http://www.tga.gov.au/industry/cm.htm" TargetMode="External"/><Relationship Id="rId33" Type="http://schemas.openxmlformats.org/officeDocument/2006/relationships/hyperlink" Target="http://www.tga.gov.au/industry/export-medicines-guidelines.htm" TargetMode="External"/><Relationship Id="rId38" Type="http://schemas.openxmlformats.org/officeDocument/2006/relationships/hyperlink" Target="http://www.tga.gov.au/industry/medicines-approved-terminology.htm" TargetMode="External"/><Relationship Id="rId46" Type="http://schemas.openxmlformats.org/officeDocument/2006/relationships/hyperlink" Target="http://www.tga.gov.au/industry/devices-argmd.htm" TargetMode="External"/><Relationship Id="rId59" Type="http://schemas.openxmlformats.org/officeDocument/2006/relationships/hyperlink" Target="http://www.nicnas.gov.au/" TargetMode="External"/><Relationship Id="rId67" Type="http://schemas.openxmlformats.org/officeDocument/2006/relationships/hyperlink" Target="http://www.customs.gov.au/site/page4222.asp" TargetMode="External"/><Relationship Id="rId20" Type="http://schemas.openxmlformats.org/officeDocument/2006/relationships/hyperlink" Target="http://www.tga.gov.au/industry/legislation-tgo.htm" TargetMode="External"/><Relationship Id="rId41" Type="http://schemas.openxmlformats.org/officeDocument/2006/relationships/hyperlink" Target="http://www.tga.gov.au/about/forms.htm" TargetMode="External"/><Relationship Id="rId54" Type="http://schemas.openxmlformats.org/officeDocument/2006/relationships/hyperlink" Target="http://www.tga.gov.au/industry/cm-section7.htm" TargetMode="External"/><Relationship Id="rId62" Type="http://schemas.openxmlformats.org/officeDocument/2006/relationships/hyperlink" Target="http://www.tga.gov.au/industry/legislation-listing.htm" TargetMode="External"/><Relationship Id="rId70" Type="http://schemas.openxmlformats.org/officeDocument/2006/relationships/hyperlink" Target="http://www.environment.gov.au/" TargetMode="External"/><Relationship Id="rId75" Type="http://schemas.openxmlformats.org/officeDocument/2006/relationships/hyperlink" Target="http://www.tga.gov.au/industry/cm-herbal-modified-unprocessed.ht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smi.com.au/" TargetMode="External"/><Relationship Id="rId23" Type="http://schemas.openxmlformats.org/officeDocument/2006/relationships/hyperlink" Target="http://www.tga.gov.au/industry/cm-cg-qa.htm" TargetMode="External"/><Relationship Id="rId28" Type="http://schemas.openxmlformats.org/officeDocument/2006/relationships/hyperlink" Target="http://www.tga.gov.au/industry/devices-argmd.htm" TargetMode="External"/><Relationship Id="rId36" Type="http://schemas.openxmlformats.org/officeDocument/2006/relationships/hyperlink" Target="http://www.ebs.tga.gov.au/" TargetMode="External"/><Relationship Id="rId49" Type="http://schemas.openxmlformats.org/officeDocument/2006/relationships/hyperlink" Target="http://www.tga.gov.au/industry/legislation-excluded-goods-order-1101.htm" TargetMode="External"/><Relationship Id="rId57" Type="http://schemas.openxmlformats.org/officeDocument/2006/relationships/hyperlink" Target="http://www.tga.gov.au/industry/manuf-overseas-medicines-gmp-clearance.ht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Departmental%20Templates\TGA\TGA%20Consultation%20Paper%20Template.dotx" TargetMode="External"/></Relationships>
</file>

<file path=word/theme/theme1.xml><?xml version="1.0" encoding="utf-8"?>
<a:theme xmlns:a="http://schemas.openxmlformats.org/drawingml/2006/main" name="TGA">
  <a:themeElements>
    <a:clrScheme name="TGA colours">
      <a:dk1>
        <a:srgbClr val="002C47"/>
      </a:dk1>
      <a:lt1>
        <a:srgbClr val="B3C960"/>
      </a:lt1>
      <a:dk2>
        <a:srgbClr val="4D2779"/>
      </a:dk2>
      <a:lt2>
        <a:srgbClr val="006DA7"/>
      </a:lt2>
      <a:accent1>
        <a:srgbClr val="25451C"/>
      </a:accent1>
      <a:accent2>
        <a:srgbClr val="50555C"/>
      </a:accent2>
      <a:accent3>
        <a:srgbClr val="002C47"/>
      </a:accent3>
      <a:accent4>
        <a:srgbClr val="B3C960"/>
      </a:accent4>
      <a:accent5>
        <a:srgbClr val="006DA7"/>
      </a:accent5>
      <a:accent6>
        <a:srgbClr val="006664"/>
      </a:accent6>
      <a:hlink>
        <a:srgbClr val="4D2779"/>
      </a:hlink>
      <a:folHlink>
        <a:srgbClr val="25451C"/>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9A44F-11C9-40E1-AF3F-F36371F66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TGA Consultation Paper Template.dotx</Template>
  <TotalTime>720</TotalTime>
  <Pages>52</Pages>
  <Words>16097</Words>
  <Characters>91757</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Australian regulatory guidelines for complementary medicines: Part A: General guidance</vt:lpstr>
    </vt:vector>
  </TitlesOfParts>
  <Company>TGA</Company>
  <LinksUpToDate>false</LinksUpToDate>
  <CharactersWithSpaces>107639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regulatory guidelines for complementary medicines: Part A: General guidance</dc:title>
  <dc:subject>complementary medicines regulation</dc:subject>
  <dc:creator>Therapeutic Goods Administration</dc:creator>
  <cp:keywords>complementary, medicine, regulation, australia</cp:keywords>
  <cp:lastModifiedBy>Bird, Gail</cp:lastModifiedBy>
  <cp:revision>29</cp:revision>
  <cp:lastPrinted>2012-10-02T00:19:00Z</cp:lastPrinted>
  <dcterms:created xsi:type="dcterms:W3CDTF">2012-09-17T00:27:00Z</dcterms:created>
  <dcterms:modified xsi:type="dcterms:W3CDTF">2012-10-14T23:49:00Z</dcterms:modified>
</cp:coreProperties>
</file>