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CC" w:rsidRPr="008B43CC" w:rsidRDefault="008B43CC" w:rsidP="00387968">
      <w:pPr>
        <w:pStyle w:val="Heading1"/>
      </w:pPr>
      <w:r w:rsidRPr="008B43CC">
        <w:t xml:space="preserve">Draft </w:t>
      </w:r>
      <w:r w:rsidRPr="00387968">
        <w:t>Compositional</w:t>
      </w:r>
      <w:r w:rsidRPr="008B43CC">
        <w:t xml:space="preserve"> Guideline for </w:t>
      </w:r>
      <w:r w:rsidR="0092336D">
        <w:t>XXXX</w:t>
      </w:r>
      <w:r w:rsidR="007620DE">
        <w:t xml:space="preserve"> proposed by applicant</w:t>
      </w:r>
    </w:p>
    <w:p w:rsidR="008B43CC" w:rsidRPr="001B1D32" w:rsidRDefault="008B43CC" w:rsidP="001B1D32">
      <w:pPr>
        <w:pStyle w:val="Heading2"/>
      </w:pPr>
      <w:r w:rsidRPr="001B1D32">
        <w:t>Name of the ingredient</w:t>
      </w:r>
    </w:p>
    <w:p w:rsidR="001F7BF8" w:rsidRDefault="006E04CE" w:rsidP="008B43CC">
      <w:r w:rsidRPr="008377B4">
        <w:t>XXXX (AAN) (</w:t>
      </w:r>
      <w:r w:rsidRPr="00472F1D">
        <w:rPr>
          <w:i/>
        </w:rPr>
        <w:t>check the ARTG permitted ingredients list for the correct name and type of substance</w:t>
      </w:r>
      <w:r w:rsidRPr="008377B4">
        <w:t>)</w:t>
      </w:r>
    </w:p>
    <w:p w:rsidR="001B1D32" w:rsidRPr="008B43CC" w:rsidRDefault="001B1D32" w:rsidP="001B1D32">
      <w:pPr>
        <w:pStyle w:val="Heading2"/>
      </w:pPr>
      <w:r w:rsidRPr="001B1D32">
        <w:t>Definition of the ingredient</w:t>
      </w:r>
    </w:p>
    <w:p w:rsidR="001B1D32" w:rsidRPr="006E04CE" w:rsidRDefault="006E04CE" w:rsidP="006E04CE">
      <w:pPr>
        <w:rPr>
          <w:i/>
        </w:rPr>
      </w:pPr>
      <w:r w:rsidRPr="006E04CE">
        <w:rPr>
          <w:i/>
        </w:rPr>
        <w:t>The substance should be defined as to its origin (for example: genus, species, part of the organism, geographical location of harvest, time of harvest) and method of manufacture (for example: cultivated or wild, extracted, dried, distilled</w:t>
      </w:r>
      <w:r w:rsidR="008A7808">
        <w:rPr>
          <w:i/>
        </w:rPr>
        <w:t>,</w:t>
      </w:r>
      <w:r w:rsidRPr="006E04CE">
        <w:rPr>
          <w:i/>
        </w:rPr>
        <w:t xml:space="preserve"> purified by ion-exchange chromatography). This must be the same as the process against which the safety/toxicology data was evaluated by the TGA.</w:t>
      </w:r>
    </w:p>
    <w:p w:rsidR="001B1D32" w:rsidRPr="00037C55" w:rsidRDefault="001B1D32" w:rsidP="001B1D32">
      <w:r w:rsidRPr="001B1D32">
        <w:t>Molecular formula</w:t>
      </w:r>
      <w:r w:rsidRPr="001B1D32">
        <w:rPr>
          <w:i/>
        </w:rPr>
        <w:t xml:space="preserve"> (if applicable):</w:t>
      </w:r>
      <w:r w:rsidR="00DD7ACB">
        <w:rPr>
          <w:i/>
        </w:rPr>
        <w:t xml:space="preserve"> </w:t>
      </w:r>
    </w:p>
    <w:p w:rsidR="001F7BF8" w:rsidRPr="00DD7ACB" w:rsidRDefault="001B1D32" w:rsidP="001B1D32">
      <w:r w:rsidRPr="001B1D32">
        <w:t>CAS Number</w:t>
      </w:r>
      <w:r w:rsidRPr="001B1D32">
        <w:rPr>
          <w:i/>
        </w:rPr>
        <w:t xml:space="preserve"> (if applicable):</w:t>
      </w:r>
      <w:r w:rsidR="00DD7ACB">
        <w:rPr>
          <w:i/>
        </w:rPr>
        <w:t xml:space="preserve"> </w:t>
      </w:r>
    </w:p>
    <w:p w:rsidR="001B1D32" w:rsidRPr="001B1D32" w:rsidRDefault="001B1D32" w:rsidP="001B1D32">
      <w:pPr>
        <w:pStyle w:val="TableTitle"/>
      </w:pPr>
      <w:proofErr w:type="gramStart"/>
      <w:r>
        <w:t>Table 1.</w:t>
      </w:r>
      <w:proofErr w:type="gramEnd"/>
      <w:r>
        <w:tab/>
      </w:r>
      <w:r w:rsidRPr="001B1D32">
        <w:t>Ingredient specific requirements</w:t>
      </w:r>
    </w:p>
    <w:tbl>
      <w:tblPr>
        <w:tblStyle w:val="TableTGAblue"/>
        <w:tblW w:w="0" w:type="auto"/>
        <w:tblLook w:val="04A0" w:firstRow="1" w:lastRow="0" w:firstColumn="1" w:lastColumn="0" w:noHBand="0" w:noVBand="1"/>
      </w:tblPr>
      <w:tblGrid>
        <w:gridCol w:w="2906"/>
        <w:gridCol w:w="2907"/>
        <w:gridCol w:w="2907"/>
      </w:tblGrid>
      <w:tr w:rsidR="001B1D32" w:rsidTr="00911D86">
        <w:trPr>
          <w:cnfStyle w:val="100000000000" w:firstRow="1" w:lastRow="0" w:firstColumn="0" w:lastColumn="0" w:oddVBand="0" w:evenVBand="0" w:oddHBand="0" w:evenHBand="0" w:firstRowFirstColumn="0" w:firstRowLastColumn="0" w:lastRowFirstColumn="0" w:lastRowLastColumn="0"/>
        </w:trPr>
        <w:tc>
          <w:tcPr>
            <w:tcW w:w="2906" w:type="dxa"/>
          </w:tcPr>
          <w:p w:rsidR="001B1D32" w:rsidRDefault="00BD7388" w:rsidP="008B43CC">
            <w:r>
              <w:t>Test</w:t>
            </w:r>
          </w:p>
        </w:tc>
        <w:tc>
          <w:tcPr>
            <w:tcW w:w="2907" w:type="dxa"/>
          </w:tcPr>
          <w:p w:rsidR="001B1D32" w:rsidRDefault="00BD7388" w:rsidP="008B43CC">
            <w:r>
              <w:t>Method reference</w:t>
            </w:r>
          </w:p>
        </w:tc>
        <w:tc>
          <w:tcPr>
            <w:tcW w:w="2907" w:type="dxa"/>
          </w:tcPr>
          <w:p w:rsidR="001B1D32" w:rsidRDefault="00BD7388" w:rsidP="008B43CC">
            <w:r>
              <w:t>Acceptance criteria</w:t>
            </w:r>
          </w:p>
        </w:tc>
      </w:tr>
      <w:tr w:rsidR="00BD7388" w:rsidTr="00911D86">
        <w:tc>
          <w:tcPr>
            <w:tcW w:w="8720" w:type="dxa"/>
            <w:gridSpan w:val="3"/>
            <w:shd w:val="clear" w:color="auto" w:fill="7FB6D3"/>
          </w:tcPr>
          <w:p w:rsidR="00BD7388" w:rsidRPr="00BD7388" w:rsidRDefault="00BD7388" w:rsidP="008B43CC">
            <w:pPr>
              <w:rPr>
                <w:b/>
              </w:rPr>
            </w:pPr>
            <w:r w:rsidRPr="00BD7388">
              <w:rPr>
                <w:b/>
              </w:rPr>
              <w:t>Description</w:t>
            </w:r>
          </w:p>
        </w:tc>
      </w:tr>
      <w:tr w:rsidR="001B1D32" w:rsidTr="00911D86">
        <w:tc>
          <w:tcPr>
            <w:tcW w:w="2906" w:type="dxa"/>
            <w:tcBorders>
              <w:bottom w:val="single" w:sz="8" w:space="0" w:color="002C47" w:themeColor="text1"/>
            </w:tcBorders>
          </w:tcPr>
          <w:p w:rsidR="001B1D32" w:rsidRDefault="006E04CE" w:rsidP="006E04CE">
            <w:pPr>
              <w:rPr>
                <w:i/>
              </w:rPr>
            </w:pPr>
            <w:r w:rsidRPr="006E04CE">
              <w:rPr>
                <w:i/>
                <w:lang w:eastAsia="en-US"/>
              </w:rPr>
              <w:t xml:space="preserve">This should include all physical properties, such as appearance, colour, </w:t>
            </w:r>
            <w:proofErr w:type="gramStart"/>
            <w:r w:rsidRPr="006E04CE">
              <w:rPr>
                <w:i/>
                <w:lang w:eastAsia="en-US"/>
              </w:rPr>
              <w:t>odour</w:t>
            </w:r>
            <w:proofErr w:type="gramEnd"/>
            <w:r w:rsidR="00BD7388" w:rsidRPr="006E04CE">
              <w:rPr>
                <w:i/>
              </w:rPr>
              <w:t>.</w:t>
            </w:r>
            <w:r w:rsidR="00B30EF6">
              <w:rPr>
                <w:i/>
              </w:rPr>
              <w:t xml:space="preserve"> </w:t>
            </w:r>
          </w:p>
          <w:p w:rsidR="00B30EF6" w:rsidRPr="006E04CE" w:rsidRDefault="00B30EF6" w:rsidP="006E04CE">
            <w:pPr>
              <w:rPr>
                <w:i/>
                <w:lang w:eastAsia="en-US"/>
              </w:rPr>
            </w:pPr>
            <w:r>
              <w:rPr>
                <w:i/>
              </w:rPr>
              <w:t>Add rows as necessary.</w:t>
            </w:r>
          </w:p>
        </w:tc>
        <w:tc>
          <w:tcPr>
            <w:tcW w:w="2907" w:type="dxa"/>
            <w:tcBorders>
              <w:bottom w:val="single" w:sz="8" w:space="0" w:color="002C47" w:themeColor="text1"/>
            </w:tcBorders>
          </w:tcPr>
          <w:p w:rsidR="001B1D32" w:rsidRPr="006E04CE" w:rsidRDefault="006E04CE" w:rsidP="00AC6BDB">
            <w:pPr>
              <w:rPr>
                <w:i/>
              </w:rPr>
            </w:pPr>
            <w:r w:rsidRPr="006E04CE">
              <w:rPr>
                <w:i/>
              </w:rPr>
              <w:t>Where there is no formal testing regime required</w:t>
            </w:r>
            <w:r w:rsidR="00AC6BDB">
              <w:rPr>
                <w:i/>
              </w:rPr>
              <w:t>, for example:</w:t>
            </w:r>
            <w:r w:rsidRPr="006E04CE">
              <w:rPr>
                <w:i/>
              </w:rPr>
              <w:t xml:space="preserve"> appearance or odour, a description such as ‘visual’ or ‘organoleptic’ is satisfactory.</w:t>
            </w:r>
          </w:p>
        </w:tc>
        <w:tc>
          <w:tcPr>
            <w:tcW w:w="2907" w:type="dxa"/>
            <w:tcBorders>
              <w:bottom w:val="single" w:sz="8" w:space="0" w:color="002C47" w:themeColor="text1"/>
            </w:tcBorders>
          </w:tcPr>
          <w:p w:rsidR="001B1D32" w:rsidRPr="006E04CE" w:rsidRDefault="006E04CE" w:rsidP="006E04CE">
            <w:pPr>
              <w:rPr>
                <w:i/>
              </w:rPr>
            </w:pPr>
            <w:r w:rsidRPr="006E04CE">
              <w:rPr>
                <w:i/>
              </w:rPr>
              <w:t>Complies</w:t>
            </w:r>
          </w:p>
        </w:tc>
      </w:tr>
      <w:tr w:rsidR="00BD7388" w:rsidTr="00FD3E3E">
        <w:tc>
          <w:tcPr>
            <w:tcW w:w="8720" w:type="dxa"/>
            <w:gridSpan w:val="3"/>
            <w:shd w:val="clear" w:color="auto" w:fill="7FB6D3"/>
          </w:tcPr>
          <w:p w:rsidR="00BD7388" w:rsidRPr="00BD7388" w:rsidRDefault="00BD7388" w:rsidP="008B43CC">
            <w:pPr>
              <w:rPr>
                <w:b/>
              </w:rPr>
            </w:pPr>
            <w:r w:rsidRPr="00BD7388">
              <w:rPr>
                <w:b/>
              </w:rPr>
              <w:t>Characteristics</w:t>
            </w:r>
          </w:p>
        </w:tc>
      </w:tr>
      <w:tr w:rsidR="001B1D32" w:rsidTr="00FD3E3E">
        <w:tc>
          <w:tcPr>
            <w:tcW w:w="2906" w:type="dxa"/>
            <w:tcBorders>
              <w:bottom w:val="single" w:sz="8" w:space="0" w:color="002C47" w:themeColor="text1"/>
            </w:tcBorders>
          </w:tcPr>
          <w:p w:rsidR="00D123BD" w:rsidRDefault="006E04CE" w:rsidP="00392AA6">
            <w:pPr>
              <w:rPr>
                <w:i/>
              </w:rPr>
            </w:pPr>
            <w:r>
              <w:rPr>
                <w:i/>
              </w:rPr>
              <w:t>Properties of the substance that ensure its quality. Pharmacopoeial tests and limits for comparable substances should be considered when determining what to include. Some examples include:</w:t>
            </w:r>
            <w:r w:rsidR="00AC6BDB">
              <w:rPr>
                <w:i/>
              </w:rPr>
              <w:t xml:space="preserve"> l</w:t>
            </w:r>
            <w:r w:rsidR="00D123BD">
              <w:rPr>
                <w:i/>
              </w:rPr>
              <w:t>oss on drying</w:t>
            </w:r>
            <w:r w:rsidR="00AC6BDB">
              <w:rPr>
                <w:i/>
              </w:rPr>
              <w:t>, r</w:t>
            </w:r>
            <w:r w:rsidR="00D123BD">
              <w:rPr>
                <w:i/>
              </w:rPr>
              <w:t>esidue on ignition</w:t>
            </w:r>
            <w:r w:rsidR="00AC6BDB">
              <w:rPr>
                <w:i/>
              </w:rPr>
              <w:t xml:space="preserve">*, </w:t>
            </w:r>
            <w:proofErr w:type="spellStart"/>
            <w:r w:rsidR="00AC6BDB">
              <w:rPr>
                <w:i/>
              </w:rPr>
              <w:t>s</w:t>
            </w:r>
            <w:r w:rsidR="00D123BD">
              <w:rPr>
                <w:i/>
              </w:rPr>
              <w:t>ulfated</w:t>
            </w:r>
            <w:proofErr w:type="spellEnd"/>
            <w:r w:rsidR="00D123BD">
              <w:rPr>
                <w:i/>
              </w:rPr>
              <w:t xml:space="preserve"> ash</w:t>
            </w:r>
            <w:r w:rsidR="00AC6BDB">
              <w:rPr>
                <w:i/>
              </w:rPr>
              <w:t>*, s</w:t>
            </w:r>
            <w:r w:rsidR="00D123BD">
              <w:rPr>
                <w:i/>
              </w:rPr>
              <w:t>olubility</w:t>
            </w:r>
            <w:r w:rsidR="00AC6BDB">
              <w:rPr>
                <w:i/>
              </w:rPr>
              <w:t>, m</w:t>
            </w:r>
            <w:r w:rsidR="00D123BD">
              <w:rPr>
                <w:i/>
              </w:rPr>
              <w:t>elting point</w:t>
            </w:r>
            <w:r w:rsidR="00AC6BDB">
              <w:rPr>
                <w:i/>
              </w:rPr>
              <w:t xml:space="preserve">, </w:t>
            </w:r>
            <w:r w:rsidR="00D123BD">
              <w:rPr>
                <w:i/>
              </w:rPr>
              <w:t>pH of solution</w:t>
            </w:r>
            <w:r w:rsidR="00AC6BDB">
              <w:rPr>
                <w:i/>
              </w:rPr>
              <w:t>.</w:t>
            </w:r>
          </w:p>
          <w:p w:rsidR="00D123BD" w:rsidRPr="002A1EEC" w:rsidRDefault="00D123BD" w:rsidP="00392AA6">
            <w:pPr>
              <w:rPr>
                <w:i/>
              </w:rPr>
            </w:pPr>
            <w:r>
              <w:rPr>
                <w:i/>
              </w:rPr>
              <w:t>Add rows as necessary.</w:t>
            </w:r>
          </w:p>
        </w:tc>
        <w:tc>
          <w:tcPr>
            <w:tcW w:w="2907" w:type="dxa"/>
            <w:tcBorders>
              <w:bottom w:val="single" w:sz="8" w:space="0" w:color="002C47" w:themeColor="text1"/>
            </w:tcBorders>
          </w:tcPr>
          <w:p w:rsidR="001B1D32" w:rsidRDefault="006E04CE" w:rsidP="008B43CC">
            <w:r>
              <w:rPr>
                <w:i/>
              </w:rPr>
              <w:t>List</w:t>
            </w:r>
            <w:r w:rsidRPr="000044AC">
              <w:rPr>
                <w:i/>
              </w:rPr>
              <w:t xml:space="preserve"> pharmacopoeial methods (attach details of proprietary methods).</w:t>
            </w:r>
          </w:p>
        </w:tc>
        <w:tc>
          <w:tcPr>
            <w:tcW w:w="2907" w:type="dxa"/>
            <w:tcBorders>
              <w:bottom w:val="single" w:sz="8" w:space="0" w:color="002C47" w:themeColor="text1"/>
            </w:tcBorders>
          </w:tcPr>
          <w:p w:rsidR="006E04CE" w:rsidRPr="006E04CE" w:rsidRDefault="00AC6BDB" w:rsidP="006E04CE">
            <w:pPr>
              <w:rPr>
                <w:i/>
                <w:lang w:eastAsia="en-US"/>
              </w:rPr>
            </w:pPr>
            <w:r>
              <w:rPr>
                <w:i/>
                <w:lang w:eastAsia="en-US"/>
              </w:rPr>
              <w:t>For loss on drying, residue on ignition, sulphated ash, a</w:t>
            </w:r>
            <w:r w:rsidR="006E04CE" w:rsidRPr="006E04CE">
              <w:rPr>
                <w:i/>
                <w:lang w:eastAsia="en-US"/>
              </w:rPr>
              <w:t>mounts should be declared as a percentage, for example:  &lt;1.0 % w/w.</w:t>
            </w:r>
          </w:p>
          <w:p w:rsidR="00BD7388" w:rsidRPr="006E04CE" w:rsidRDefault="00AC6BDB" w:rsidP="00AC6BDB">
            <w:pPr>
              <w:rPr>
                <w:i/>
              </w:rPr>
            </w:pPr>
            <w:r>
              <w:rPr>
                <w:i/>
                <w:color w:val="auto"/>
                <w:lang w:eastAsia="en-US"/>
              </w:rPr>
              <w:t>For solubility, melting point, pH of solution, r</w:t>
            </w:r>
            <w:r w:rsidR="006E04CE" w:rsidRPr="006E04CE">
              <w:rPr>
                <w:i/>
                <w:color w:val="auto"/>
                <w:lang w:eastAsia="en-US"/>
              </w:rPr>
              <w:t>anges should be stated rather than single values. Consideration should be given to the number of significant figures, for example:  pH 3.5–4.5 is preferable to pH 4, in line with pharmacopoeial practice.</w:t>
            </w:r>
          </w:p>
        </w:tc>
      </w:tr>
      <w:tr w:rsidR="00392AA6" w:rsidTr="00911D86">
        <w:tc>
          <w:tcPr>
            <w:tcW w:w="8720" w:type="dxa"/>
            <w:gridSpan w:val="3"/>
            <w:shd w:val="clear" w:color="auto" w:fill="7FB6D3"/>
          </w:tcPr>
          <w:p w:rsidR="00392AA6" w:rsidRDefault="00392AA6" w:rsidP="008B43CC">
            <w:r w:rsidRPr="00BD7388">
              <w:rPr>
                <w:b/>
              </w:rPr>
              <w:lastRenderedPageBreak/>
              <w:t>Identification</w:t>
            </w:r>
          </w:p>
        </w:tc>
      </w:tr>
      <w:tr w:rsidR="00392AA6" w:rsidTr="00911D86">
        <w:tc>
          <w:tcPr>
            <w:tcW w:w="2906" w:type="dxa"/>
            <w:tcBorders>
              <w:bottom w:val="single" w:sz="8" w:space="0" w:color="002C47" w:themeColor="text1"/>
            </w:tcBorders>
          </w:tcPr>
          <w:p w:rsidR="00392AA6" w:rsidRDefault="00392AA6" w:rsidP="006E04CE">
            <w:pPr>
              <w:rPr>
                <w:i/>
              </w:rPr>
            </w:pPr>
            <w:r w:rsidRPr="006E04CE">
              <w:rPr>
                <w:i/>
              </w:rPr>
              <w:t xml:space="preserve">The identification test(s) </w:t>
            </w:r>
            <w:r w:rsidRPr="006E04CE">
              <w:rPr>
                <w:i/>
                <w:u w:val="single"/>
              </w:rPr>
              <w:t>must</w:t>
            </w:r>
            <w:r w:rsidRPr="006E04CE">
              <w:rPr>
                <w:i/>
              </w:rPr>
              <w:t xml:space="preserve"> be able to unambiguously distinguish the substance from any other substance, and may include ‘fingerprint’ tests such as TLC, HPLC or IR which must be compared to an authenticated reference material. More than one test may be appropriate. For pure substances, chromatographic retention time alone is generally considered inadequate as a method of identification.</w:t>
            </w:r>
          </w:p>
          <w:p w:rsidR="00B30EF6" w:rsidRPr="006E04CE" w:rsidRDefault="00B30EF6" w:rsidP="006E04CE">
            <w:pPr>
              <w:rPr>
                <w:i/>
              </w:rPr>
            </w:pPr>
            <w:r>
              <w:rPr>
                <w:i/>
              </w:rPr>
              <w:t>Add rows as necessary.</w:t>
            </w:r>
          </w:p>
        </w:tc>
        <w:tc>
          <w:tcPr>
            <w:tcW w:w="2907" w:type="dxa"/>
            <w:tcBorders>
              <w:bottom w:val="single" w:sz="8" w:space="0" w:color="002C47" w:themeColor="text1"/>
            </w:tcBorders>
          </w:tcPr>
          <w:p w:rsidR="00392AA6" w:rsidRPr="006E04CE" w:rsidRDefault="00392AA6" w:rsidP="006E04CE">
            <w:pPr>
              <w:rPr>
                <w:i/>
              </w:rPr>
            </w:pPr>
            <w:r w:rsidRPr="006E04CE">
              <w:rPr>
                <w:i/>
              </w:rPr>
              <w:t>List methods of identification. Refer to pharmacopoeial methods where possible (attach details of proprietary methods).</w:t>
            </w:r>
          </w:p>
        </w:tc>
        <w:tc>
          <w:tcPr>
            <w:tcW w:w="2907" w:type="dxa"/>
            <w:tcBorders>
              <w:bottom w:val="single" w:sz="8" w:space="0" w:color="002C47" w:themeColor="text1"/>
            </w:tcBorders>
          </w:tcPr>
          <w:p w:rsidR="00392AA6" w:rsidRPr="006E04CE" w:rsidRDefault="00392AA6" w:rsidP="006E04CE">
            <w:pPr>
              <w:rPr>
                <w:i/>
              </w:rPr>
            </w:pPr>
            <w:r w:rsidRPr="007577B2">
              <w:t>Complies</w:t>
            </w:r>
            <w:r w:rsidRPr="006E04CE">
              <w:rPr>
                <w:i/>
              </w:rPr>
              <w:t xml:space="preserve">, for example: </w:t>
            </w:r>
            <w:r w:rsidRPr="007577B2">
              <w:rPr>
                <w:i/>
              </w:rPr>
              <w:t>matches</w:t>
            </w:r>
            <w:r w:rsidRPr="006E04CE">
              <w:rPr>
                <w:i/>
              </w:rPr>
              <w:t xml:space="preserve"> spectrum of authenticated reference material.</w:t>
            </w:r>
          </w:p>
        </w:tc>
      </w:tr>
      <w:tr w:rsidR="00392AA6" w:rsidTr="00911D86">
        <w:tc>
          <w:tcPr>
            <w:tcW w:w="8720" w:type="dxa"/>
            <w:gridSpan w:val="3"/>
            <w:shd w:val="clear" w:color="auto" w:fill="7FB6D3"/>
          </w:tcPr>
          <w:p w:rsidR="00392AA6" w:rsidRPr="00BD7388" w:rsidRDefault="00392AA6" w:rsidP="008B43CC">
            <w:pPr>
              <w:rPr>
                <w:b/>
              </w:rPr>
            </w:pPr>
            <w:r w:rsidRPr="00BD7388">
              <w:rPr>
                <w:b/>
              </w:rPr>
              <w:t>Assay</w:t>
            </w:r>
          </w:p>
        </w:tc>
      </w:tr>
      <w:tr w:rsidR="00392AA6" w:rsidTr="00911D86">
        <w:tc>
          <w:tcPr>
            <w:tcW w:w="2906" w:type="dxa"/>
            <w:tcBorders>
              <w:bottom w:val="single" w:sz="8" w:space="0" w:color="002C47" w:themeColor="text1"/>
            </w:tcBorders>
          </w:tcPr>
          <w:p w:rsidR="00392AA6" w:rsidRDefault="00392AA6" w:rsidP="006E04CE">
            <w:pPr>
              <w:rPr>
                <w:i/>
              </w:rPr>
            </w:pPr>
            <w:r w:rsidRPr="006E04CE">
              <w:rPr>
                <w:i/>
              </w:rPr>
              <w:t>Describe test</w:t>
            </w:r>
            <w:r w:rsidR="00B30EF6">
              <w:rPr>
                <w:i/>
              </w:rPr>
              <w:t>(</w:t>
            </w:r>
            <w:r w:rsidRPr="006E04CE">
              <w:rPr>
                <w:i/>
              </w:rPr>
              <w:t>s</w:t>
            </w:r>
            <w:r w:rsidR="00B30EF6">
              <w:rPr>
                <w:i/>
              </w:rPr>
              <w:t>)</w:t>
            </w:r>
            <w:r w:rsidRPr="006E04CE">
              <w:rPr>
                <w:i/>
              </w:rPr>
              <w:t xml:space="preserve"> that determine the presence and quantity of a specific substance. In case of herbal materials, preparations, or other complex mixtures (for example: herbal extracts), appropriate marker compounds may be assayed.</w:t>
            </w:r>
          </w:p>
          <w:p w:rsidR="00B30EF6" w:rsidRPr="006E04CE" w:rsidRDefault="00B30EF6" w:rsidP="006E04CE">
            <w:pPr>
              <w:rPr>
                <w:i/>
              </w:rPr>
            </w:pPr>
            <w:r>
              <w:rPr>
                <w:i/>
              </w:rPr>
              <w:t>Add rows as necessary.</w:t>
            </w:r>
          </w:p>
        </w:tc>
        <w:tc>
          <w:tcPr>
            <w:tcW w:w="2907" w:type="dxa"/>
            <w:tcBorders>
              <w:bottom w:val="single" w:sz="8" w:space="0" w:color="002C47" w:themeColor="text1"/>
            </w:tcBorders>
          </w:tcPr>
          <w:p w:rsidR="00392AA6" w:rsidRPr="006E04CE" w:rsidRDefault="00392AA6" w:rsidP="006E04CE">
            <w:pPr>
              <w:rPr>
                <w:i/>
              </w:rPr>
            </w:pPr>
            <w:r w:rsidRPr="006E04CE">
              <w:rPr>
                <w:i/>
                <w:lang w:eastAsia="en-US"/>
              </w:rPr>
              <w:t>State and if necessary describe methods of assay or provide brief details.</w:t>
            </w:r>
          </w:p>
        </w:tc>
        <w:tc>
          <w:tcPr>
            <w:tcW w:w="2907" w:type="dxa"/>
            <w:tcBorders>
              <w:bottom w:val="single" w:sz="8" w:space="0" w:color="002C47" w:themeColor="text1"/>
            </w:tcBorders>
          </w:tcPr>
          <w:p w:rsidR="00392AA6" w:rsidRPr="006E04CE" w:rsidRDefault="00392AA6" w:rsidP="006E04CE">
            <w:pPr>
              <w:rPr>
                <w:i/>
              </w:rPr>
            </w:pPr>
            <w:r w:rsidRPr="006E04CE">
              <w:rPr>
                <w:i/>
              </w:rPr>
              <w:t>Limits for assay(s) taking into account practical but reasonable biological, physical and chemical variation.</w:t>
            </w:r>
          </w:p>
        </w:tc>
      </w:tr>
      <w:tr w:rsidR="00392AA6" w:rsidTr="00911D86">
        <w:tc>
          <w:tcPr>
            <w:tcW w:w="8720" w:type="dxa"/>
            <w:gridSpan w:val="3"/>
            <w:shd w:val="clear" w:color="auto" w:fill="7FB6D3"/>
          </w:tcPr>
          <w:p w:rsidR="00392AA6" w:rsidRPr="00EF0C33" w:rsidRDefault="00392AA6" w:rsidP="008B43CC">
            <w:pPr>
              <w:rPr>
                <w:b/>
              </w:rPr>
            </w:pPr>
            <w:r w:rsidRPr="00EF0C33">
              <w:rPr>
                <w:b/>
              </w:rPr>
              <w:t>Notes</w:t>
            </w:r>
          </w:p>
        </w:tc>
      </w:tr>
      <w:tr w:rsidR="00392AA6" w:rsidTr="009415C4">
        <w:tc>
          <w:tcPr>
            <w:tcW w:w="8720" w:type="dxa"/>
            <w:gridSpan w:val="3"/>
          </w:tcPr>
          <w:p w:rsidR="00392AA6" w:rsidRPr="00911D86" w:rsidRDefault="00392AA6" w:rsidP="00392AA6"/>
        </w:tc>
      </w:tr>
    </w:tbl>
    <w:p w:rsidR="00392AA6" w:rsidRPr="00392AA6" w:rsidRDefault="00D123BD" w:rsidP="00392AA6">
      <w:pPr>
        <w:rPr>
          <w:i/>
          <w:lang w:eastAsia="en-US"/>
        </w:rPr>
      </w:pPr>
      <w:r>
        <w:rPr>
          <w:i/>
          <w:lang w:eastAsia="en-US"/>
        </w:rPr>
        <w:t>* The residue on ignition test and sulphated ash test</w:t>
      </w:r>
      <w:r w:rsidR="00392AA6" w:rsidRPr="00392AA6">
        <w:rPr>
          <w:i/>
          <w:lang w:eastAsia="en-US"/>
        </w:rPr>
        <w:t xml:space="preserve"> </w:t>
      </w:r>
      <w:r>
        <w:rPr>
          <w:i/>
          <w:lang w:eastAsia="en-US"/>
        </w:rPr>
        <w:t>are</w:t>
      </w:r>
      <w:r w:rsidR="00392AA6" w:rsidRPr="00392AA6">
        <w:rPr>
          <w:i/>
          <w:lang w:eastAsia="en-US"/>
        </w:rPr>
        <w:t xml:space="preserve"> appropriate </w:t>
      </w:r>
      <w:r w:rsidR="00AC6BDB">
        <w:rPr>
          <w:i/>
          <w:lang w:eastAsia="en-US"/>
        </w:rPr>
        <w:t xml:space="preserve">as characteristics </w:t>
      </w:r>
      <w:r w:rsidR="00392AA6" w:rsidRPr="00392AA6">
        <w:rPr>
          <w:i/>
          <w:lang w:eastAsia="en-US"/>
        </w:rPr>
        <w:t>when performed on inorganic material. For organic substances, the test should be included under “Other organic or inorganic impurities or toxins”.</w:t>
      </w:r>
    </w:p>
    <w:p w:rsidR="002A1EEC" w:rsidRDefault="002A1EEC" w:rsidP="002A1EEC">
      <w:pPr>
        <w:pStyle w:val="TableTitle"/>
      </w:pPr>
      <w:proofErr w:type="gramStart"/>
      <w:r>
        <w:t>Table 2.</w:t>
      </w:r>
      <w:proofErr w:type="gramEnd"/>
      <w:r>
        <w:t xml:space="preserve"> </w:t>
      </w:r>
      <w:r w:rsidR="00AC6BDB">
        <w:tab/>
      </w:r>
      <w:r>
        <w:t>Incidental constituents</w:t>
      </w:r>
    </w:p>
    <w:p w:rsidR="00932F5F" w:rsidRPr="00392AA6" w:rsidRDefault="00392AA6" w:rsidP="006E04CE">
      <w:pPr>
        <w:rPr>
          <w:i/>
          <w:lang w:eastAsia="en-US"/>
        </w:rPr>
      </w:pPr>
      <w:r w:rsidRPr="00392AA6">
        <w:rPr>
          <w:i/>
          <w:lang w:eastAsia="en-US"/>
        </w:rPr>
        <w:t>Where justified, certain tests for incidental constituents may be excluded based on the origin and processing of the substance, for example: a dried leaf, otherwise unprocessed, may be exempted from residual solvent testing. Other incidentals, such as scheduled contaminants (for example: bromides, ephedrine) or radioactivity should be included where appropriate.</w:t>
      </w:r>
    </w:p>
    <w:tbl>
      <w:tblPr>
        <w:tblStyle w:val="TableTGAblue"/>
        <w:tblW w:w="0" w:type="auto"/>
        <w:tblLook w:val="04A0" w:firstRow="1" w:lastRow="0" w:firstColumn="1" w:lastColumn="0" w:noHBand="0" w:noVBand="1"/>
      </w:tblPr>
      <w:tblGrid>
        <w:gridCol w:w="2906"/>
        <w:gridCol w:w="2907"/>
        <w:gridCol w:w="2907"/>
      </w:tblGrid>
      <w:tr w:rsidR="002A1EEC" w:rsidTr="00932F5F">
        <w:trPr>
          <w:cnfStyle w:val="100000000000" w:firstRow="1" w:lastRow="0" w:firstColumn="0" w:lastColumn="0" w:oddVBand="0" w:evenVBand="0" w:oddHBand="0" w:evenHBand="0" w:firstRowFirstColumn="0" w:firstRowLastColumn="0" w:lastRowFirstColumn="0" w:lastRowLastColumn="0"/>
        </w:trPr>
        <w:tc>
          <w:tcPr>
            <w:tcW w:w="2906" w:type="dxa"/>
          </w:tcPr>
          <w:p w:rsidR="002A1EEC" w:rsidRDefault="002A1EEC" w:rsidP="002A1EEC">
            <w:r>
              <w:lastRenderedPageBreak/>
              <w:t>Test</w:t>
            </w:r>
          </w:p>
        </w:tc>
        <w:tc>
          <w:tcPr>
            <w:tcW w:w="2907" w:type="dxa"/>
          </w:tcPr>
          <w:p w:rsidR="002A1EEC" w:rsidRDefault="002A1EEC" w:rsidP="002A1EEC">
            <w:r>
              <w:t>Method reference</w:t>
            </w:r>
          </w:p>
        </w:tc>
        <w:tc>
          <w:tcPr>
            <w:tcW w:w="2907" w:type="dxa"/>
          </w:tcPr>
          <w:p w:rsidR="002A1EEC" w:rsidRDefault="002A1EEC" w:rsidP="002A1EEC">
            <w:r>
              <w:t>Acceptance criteria</w:t>
            </w:r>
          </w:p>
        </w:tc>
      </w:tr>
      <w:tr w:rsidR="002A1EEC" w:rsidTr="00932F5F">
        <w:tc>
          <w:tcPr>
            <w:tcW w:w="8720" w:type="dxa"/>
            <w:gridSpan w:val="3"/>
            <w:shd w:val="clear" w:color="auto" w:fill="7FB6D3"/>
          </w:tcPr>
          <w:p w:rsidR="002A1EEC" w:rsidRPr="002A1EEC" w:rsidRDefault="009415C4" w:rsidP="009415C4">
            <w:pPr>
              <w:rPr>
                <w:b/>
              </w:rPr>
            </w:pPr>
            <w:r>
              <w:rPr>
                <w:b/>
              </w:rPr>
              <w:t xml:space="preserve">Residual </w:t>
            </w:r>
            <w:r w:rsidR="002A1EEC" w:rsidRPr="002A1EEC">
              <w:rPr>
                <w:b/>
              </w:rPr>
              <w:t>Solvent</w:t>
            </w:r>
            <w:r>
              <w:rPr>
                <w:b/>
              </w:rPr>
              <w:t>s</w:t>
            </w:r>
            <w:r w:rsidR="002A1EEC" w:rsidRPr="002A1EEC">
              <w:rPr>
                <w:b/>
              </w:rPr>
              <w:t xml:space="preserve"> </w:t>
            </w:r>
          </w:p>
        </w:tc>
      </w:tr>
      <w:tr w:rsidR="002A1EEC" w:rsidTr="00932F5F">
        <w:tc>
          <w:tcPr>
            <w:tcW w:w="2906" w:type="dxa"/>
            <w:tcBorders>
              <w:bottom w:val="single" w:sz="8" w:space="0" w:color="002C47" w:themeColor="text1"/>
            </w:tcBorders>
          </w:tcPr>
          <w:p w:rsidR="009415C4" w:rsidRPr="009415C4" w:rsidRDefault="009415C4" w:rsidP="009415C4">
            <w:pPr>
              <w:rPr>
                <w:i/>
                <w:lang w:eastAsia="en-US"/>
              </w:rPr>
            </w:pPr>
            <w:r w:rsidRPr="009415C4">
              <w:rPr>
                <w:i/>
                <w:lang w:eastAsia="en-US"/>
              </w:rPr>
              <w:t>Specifically address solvents that are included in the BP Appendix VIII L.</w:t>
            </w:r>
          </w:p>
          <w:p w:rsidR="002A1EEC" w:rsidRDefault="009415C4" w:rsidP="009415C4">
            <w:pPr>
              <w:rPr>
                <w:i/>
                <w:color w:val="auto"/>
                <w:lang w:eastAsia="en-US"/>
              </w:rPr>
            </w:pPr>
            <w:r w:rsidRPr="009415C4">
              <w:rPr>
                <w:i/>
                <w:color w:val="auto"/>
                <w:lang w:eastAsia="en-US"/>
              </w:rPr>
              <w:t>Address any additional solvents that may be used in the production, preparation, manufacturing or formulation.</w:t>
            </w:r>
          </w:p>
          <w:p w:rsidR="00B30EF6" w:rsidRPr="009415C4" w:rsidRDefault="00B30EF6" w:rsidP="009415C4">
            <w:pPr>
              <w:rPr>
                <w:i/>
                <w:lang w:eastAsia="en-US"/>
              </w:rPr>
            </w:pPr>
            <w:r>
              <w:rPr>
                <w:i/>
                <w:color w:val="auto"/>
                <w:lang w:eastAsia="en-US"/>
              </w:rPr>
              <w:t>Add rows as necessary.</w:t>
            </w:r>
          </w:p>
        </w:tc>
        <w:tc>
          <w:tcPr>
            <w:tcW w:w="2907" w:type="dxa"/>
            <w:tcBorders>
              <w:bottom w:val="single" w:sz="8" w:space="0" w:color="002C47" w:themeColor="text1"/>
            </w:tcBorders>
          </w:tcPr>
          <w:p w:rsidR="002A1EEC" w:rsidRPr="009415C4" w:rsidRDefault="009415C4" w:rsidP="009415C4">
            <w:pPr>
              <w:rPr>
                <w:i/>
              </w:rPr>
            </w:pPr>
            <w:r w:rsidRPr="009415C4">
              <w:rPr>
                <w:i/>
              </w:rPr>
              <w:t>List methods of assay, for example: BP 2011 (Appendix VIII L, Residual solvents; Ph Eur method 2.4.24).</w:t>
            </w:r>
          </w:p>
        </w:tc>
        <w:tc>
          <w:tcPr>
            <w:tcW w:w="2907" w:type="dxa"/>
            <w:tcBorders>
              <w:bottom w:val="single" w:sz="8" w:space="0" w:color="002C47" w:themeColor="text1"/>
            </w:tcBorders>
          </w:tcPr>
          <w:p w:rsidR="009415C4" w:rsidRPr="009415C4" w:rsidRDefault="009415C4" w:rsidP="009415C4">
            <w:pPr>
              <w:rPr>
                <w:i/>
                <w:lang w:eastAsia="en-US"/>
              </w:rPr>
            </w:pPr>
            <w:r w:rsidRPr="009415C4">
              <w:rPr>
                <w:i/>
                <w:lang w:eastAsia="en-US"/>
              </w:rPr>
              <w:t>Complies, but where limits exceed recommendations of pharmacopoeia monograph, limits should be specified.</w:t>
            </w:r>
          </w:p>
          <w:p w:rsidR="002A1EEC" w:rsidRDefault="009415C4" w:rsidP="009415C4">
            <w:r w:rsidRPr="009415C4">
              <w:rPr>
                <w:i/>
                <w:color w:val="auto"/>
                <w:shd w:val="clear" w:color="auto" w:fill="FFFFFF"/>
                <w:lang w:eastAsia="en-US"/>
              </w:rPr>
              <w:t>Solvent specific limits of any solvents not specified in BP 2011 (Appendix VIII L)</w:t>
            </w:r>
          </w:p>
        </w:tc>
      </w:tr>
      <w:tr w:rsidR="002A1EEC" w:rsidTr="00932F5F">
        <w:tc>
          <w:tcPr>
            <w:tcW w:w="8720" w:type="dxa"/>
            <w:gridSpan w:val="3"/>
            <w:shd w:val="clear" w:color="auto" w:fill="7FB6D3"/>
          </w:tcPr>
          <w:p w:rsidR="002A1EEC" w:rsidRPr="002A1EEC" w:rsidRDefault="002A1EEC" w:rsidP="002A1EEC">
            <w:pPr>
              <w:rPr>
                <w:b/>
              </w:rPr>
            </w:pPr>
            <w:r w:rsidRPr="002A1EEC">
              <w:rPr>
                <w:b/>
              </w:rPr>
              <w:t>Incidental metals and non-metals</w:t>
            </w:r>
          </w:p>
        </w:tc>
      </w:tr>
      <w:tr w:rsidR="002A1EEC" w:rsidTr="00392AA6">
        <w:trPr>
          <w:cantSplit/>
        </w:trPr>
        <w:tc>
          <w:tcPr>
            <w:tcW w:w="2906" w:type="dxa"/>
          </w:tcPr>
          <w:p w:rsidR="009415C4" w:rsidRPr="009415C4" w:rsidRDefault="009415C4" w:rsidP="009415C4">
            <w:pPr>
              <w:rPr>
                <w:i/>
                <w:lang w:eastAsia="en-US"/>
              </w:rPr>
            </w:pPr>
            <w:r w:rsidRPr="009415C4">
              <w:rPr>
                <w:i/>
                <w:lang w:eastAsia="en-US"/>
              </w:rPr>
              <w:t>Specifically address the metals in the current BP or other default standard (Ph Eur, USP) limit test</w:t>
            </w:r>
            <w:r>
              <w:rPr>
                <w:i/>
                <w:lang w:eastAsia="en-US"/>
              </w:rPr>
              <w:t xml:space="preserve"> for heavy metals. </w:t>
            </w:r>
          </w:p>
          <w:p w:rsidR="002A1EEC" w:rsidRDefault="009415C4" w:rsidP="009415C4">
            <w:pPr>
              <w:rPr>
                <w:i/>
                <w:color w:val="auto"/>
                <w:lang w:eastAsia="en-US"/>
              </w:rPr>
            </w:pPr>
            <w:r w:rsidRPr="009415C4">
              <w:rPr>
                <w:i/>
                <w:color w:val="auto"/>
                <w:lang w:eastAsia="en-US"/>
              </w:rPr>
              <w:t xml:space="preserve">Include </w:t>
            </w:r>
            <w:r w:rsidR="00AC6BDB">
              <w:rPr>
                <w:i/>
                <w:color w:val="auto"/>
                <w:lang w:eastAsia="en-US"/>
              </w:rPr>
              <w:t xml:space="preserve">total heavy metals and/or </w:t>
            </w:r>
            <w:r w:rsidRPr="009415C4">
              <w:rPr>
                <w:i/>
                <w:color w:val="auto"/>
                <w:lang w:eastAsia="en-US"/>
              </w:rPr>
              <w:t>any limits for specific metals or non-metals, for example: lead, cadmium, mercury, arsenic, cyanide</w:t>
            </w:r>
          </w:p>
          <w:p w:rsidR="00FD4B4D" w:rsidRPr="003C130B" w:rsidRDefault="00FD4B4D" w:rsidP="009415C4">
            <w:pPr>
              <w:rPr>
                <w:i/>
                <w:color w:val="auto"/>
                <w:lang w:eastAsia="en-US"/>
              </w:rPr>
            </w:pPr>
            <w:r>
              <w:rPr>
                <w:i/>
                <w:color w:val="auto"/>
                <w:lang w:eastAsia="en-US"/>
              </w:rPr>
              <w:t>Add rows as necessary</w:t>
            </w:r>
            <w:r w:rsidR="00AC6BDB">
              <w:rPr>
                <w:i/>
                <w:color w:val="auto"/>
                <w:lang w:eastAsia="en-US"/>
              </w:rPr>
              <w:t>.</w:t>
            </w:r>
          </w:p>
        </w:tc>
        <w:tc>
          <w:tcPr>
            <w:tcW w:w="2907" w:type="dxa"/>
          </w:tcPr>
          <w:p w:rsidR="002A1EEC" w:rsidRPr="009415C4" w:rsidRDefault="009415C4" w:rsidP="002A1EEC">
            <w:pPr>
              <w:rPr>
                <w:i/>
                <w:lang w:eastAsia="en-AU"/>
              </w:rPr>
            </w:pPr>
            <w:r w:rsidRPr="009415C4">
              <w:rPr>
                <w:i/>
                <w:lang w:eastAsia="en-AU"/>
              </w:rPr>
              <w:t>List methods of assay, for example:  BP 2011 (Appendix VII); Ph Eur method 2.4.8 or in-house.</w:t>
            </w:r>
          </w:p>
        </w:tc>
        <w:tc>
          <w:tcPr>
            <w:tcW w:w="2907" w:type="dxa"/>
          </w:tcPr>
          <w:p w:rsidR="009415C4" w:rsidRPr="009415C4" w:rsidRDefault="009415C4" w:rsidP="009415C4">
            <w:pPr>
              <w:rPr>
                <w:i/>
                <w:lang w:eastAsia="en-US"/>
              </w:rPr>
            </w:pPr>
            <w:r w:rsidRPr="009415C4">
              <w:rPr>
                <w:i/>
                <w:lang w:eastAsia="en-US"/>
              </w:rPr>
              <w:t>Limits of total heavy metals</w:t>
            </w:r>
          </w:p>
          <w:p w:rsidR="002A1EEC" w:rsidRDefault="009415C4" w:rsidP="009415C4">
            <w:r w:rsidRPr="009415C4">
              <w:rPr>
                <w:i/>
              </w:rPr>
              <w:t>Metal specific limits</w:t>
            </w:r>
          </w:p>
        </w:tc>
      </w:tr>
      <w:tr w:rsidR="003C130B" w:rsidTr="00932F5F">
        <w:tc>
          <w:tcPr>
            <w:tcW w:w="8720" w:type="dxa"/>
            <w:gridSpan w:val="3"/>
            <w:shd w:val="clear" w:color="auto" w:fill="7FB6D3"/>
          </w:tcPr>
          <w:p w:rsidR="003C130B" w:rsidRPr="00932F5F" w:rsidRDefault="003C130B" w:rsidP="002A1EEC">
            <w:pPr>
              <w:rPr>
                <w:b/>
              </w:rPr>
            </w:pPr>
            <w:r w:rsidRPr="00932F5F">
              <w:rPr>
                <w:b/>
              </w:rPr>
              <w:t>Pesticide residues and environmental contaminants:</w:t>
            </w:r>
            <w:r>
              <w:rPr>
                <w:b/>
              </w:rPr>
              <w:t xml:space="preserve"> </w:t>
            </w:r>
            <w:r w:rsidRPr="00932F5F">
              <w:t>(including agricultural and veterinary substances)</w:t>
            </w:r>
          </w:p>
        </w:tc>
      </w:tr>
      <w:tr w:rsidR="003C130B" w:rsidTr="00932F5F">
        <w:tc>
          <w:tcPr>
            <w:tcW w:w="2906" w:type="dxa"/>
            <w:tcBorders>
              <w:bottom w:val="single" w:sz="8" w:space="0" w:color="002C47" w:themeColor="text1"/>
            </w:tcBorders>
          </w:tcPr>
          <w:p w:rsidR="003C130B" w:rsidRDefault="003C130B" w:rsidP="002A1EEC">
            <w:pPr>
              <w:rPr>
                <w:i/>
                <w:lang w:eastAsia="en-US"/>
              </w:rPr>
            </w:pPr>
            <w:r w:rsidRPr="007577B2">
              <w:rPr>
                <w:i/>
                <w:lang w:eastAsia="en-US"/>
              </w:rPr>
              <w:t>Specifically address the limits stipulated in the current BP (or Ph Eur, USP), and whether the product would comply with these limits. In addition, state any additional residue limits that may be relevant.</w:t>
            </w:r>
          </w:p>
          <w:p w:rsidR="00AC6BDB" w:rsidRPr="007577B2" w:rsidRDefault="00AC6BDB" w:rsidP="002A1EEC">
            <w:pPr>
              <w:rPr>
                <w:i/>
                <w:lang w:eastAsia="en-US"/>
              </w:rPr>
            </w:pPr>
            <w:r>
              <w:rPr>
                <w:i/>
                <w:lang w:eastAsia="en-US"/>
              </w:rPr>
              <w:t>Add rows as necessary.</w:t>
            </w:r>
          </w:p>
        </w:tc>
        <w:tc>
          <w:tcPr>
            <w:tcW w:w="2907" w:type="dxa"/>
            <w:tcBorders>
              <w:bottom w:val="single" w:sz="8" w:space="0" w:color="002C47" w:themeColor="text1"/>
            </w:tcBorders>
          </w:tcPr>
          <w:p w:rsidR="003C130B" w:rsidRPr="007577B2" w:rsidRDefault="003C130B" w:rsidP="007577B2">
            <w:pPr>
              <w:rPr>
                <w:i/>
              </w:rPr>
            </w:pPr>
            <w:r w:rsidRPr="007577B2">
              <w:rPr>
                <w:i/>
              </w:rPr>
              <w:t>List methods of assay, for example: BP 2011(Appendix XI L, Pesticide residues; Ph Eur method 2.8.13).</w:t>
            </w:r>
          </w:p>
        </w:tc>
        <w:tc>
          <w:tcPr>
            <w:tcW w:w="2907" w:type="dxa"/>
            <w:tcBorders>
              <w:bottom w:val="single" w:sz="8" w:space="0" w:color="002C47" w:themeColor="text1"/>
            </w:tcBorders>
          </w:tcPr>
          <w:p w:rsidR="003C130B" w:rsidRDefault="003C130B" w:rsidP="002A1EEC">
            <w:r>
              <w:t>C</w:t>
            </w:r>
            <w:r w:rsidRPr="00932F5F">
              <w:t>omplies</w:t>
            </w:r>
          </w:p>
        </w:tc>
      </w:tr>
      <w:tr w:rsidR="003C130B" w:rsidTr="007577B2">
        <w:tc>
          <w:tcPr>
            <w:tcW w:w="8720" w:type="dxa"/>
            <w:gridSpan w:val="3"/>
            <w:shd w:val="clear" w:color="auto" w:fill="7FB6D3"/>
          </w:tcPr>
          <w:p w:rsidR="003C130B" w:rsidRPr="007577B2" w:rsidRDefault="003C130B" w:rsidP="007577B2">
            <w:pPr>
              <w:rPr>
                <w:b/>
              </w:rPr>
            </w:pPr>
            <w:r w:rsidRPr="007577B2">
              <w:rPr>
                <w:b/>
                <w:lang w:val="fr-FR" w:eastAsia="en-US"/>
              </w:rPr>
              <w:t>Other organic or inorganic  impurities or toxins</w:t>
            </w:r>
          </w:p>
        </w:tc>
      </w:tr>
      <w:tr w:rsidR="003C130B" w:rsidTr="00932F5F">
        <w:tc>
          <w:tcPr>
            <w:tcW w:w="2906" w:type="dxa"/>
            <w:tcBorders>
              <w:bottom w:val="single" w:sz="8" w:space="0" w:color="002C47" w:themeColor="text1"/>
            </w:tcBorders>
          </w:tcPr>
          <w:p w:rsidR="003C130B" w:rsidRDefault="003C130B" w:rsidP="007577B2">
            <w:pPr>
              <w:rPr>
                <w:i/>
                <w:lang w:val="fr-FR" w:eastAsia="en-US"/>
              </w:rPr>
            </w:pPr>
            <w:r w:rsidRPr="007577B2">
              <w:rPr>
                <w:i/>
                <w:lang w:val="fr-FR" w:eastAsia="en-US"/>
              </w:rPr>
              <w:t xml:space="preserve">Include other substances that may pose a safety risk, or may be of therapeutic </w:t>
            </w:r>
            <w:r w:rsidRPr="007577B2">
              <w:rPr>
                <w:i/>
                <w:lang w:val="fr-FR" w:eastAsia="en-US"/>
              </w:rPr>
              <w:lastRenderedPageBreak/>
              <w:t>significance.</w:t>
            </w:r>
          </w:p>
          <w:p w:rsidR="003C130B" w:rsidRDefault="003C130B" w:rsidP="007577B2">
            <w:pPr>
              <w:rPr>
                <w:i/>
                <w:lang w:val="fr-FR" w:eastAsia="en-US"/>
              </w:rPr>
            </w:pPr>
            <w:r w:rsidRPr="007577B2">
              <w:rPr>
                <w:i/>
                <w:lang w:val="fr-FR" w:eastAsia="en-US"/>
              </w:rPr>
              <w:t>What specific substance are assayed, for example : dioxins, PCBs, mycotoxins</w:t>
            </w:r>
            <w:r w:rsidR="00AC6BDB">
              <w:rPr>
                <w:i/>
                <w:lang w:val="fr-FR" w:eastAsia="en-US"/>
              </w:rPr>
              <w:t>.</w:t>
            </w:r>
          </w:p>
          <w:p w:rsidR="00AC6BDB" w:rsidRPr="007577B2" w:rsidRDefault="00AC6BDB" w:rsidP="007577B2">
            <w:pPr>
              <w:rPr>
                <w:i/>
                <w:lang w:val="fr-FR" w:eastAsia="en-US"/>
              </w:rPr>
            </w:pPr>
            <w:r>
              <w:rPr>
                <w:i/>
                <w:lang w:eastAsia="en-US"/>
              </w:rPr>
              <w:t>Add rows as necessary.</w:t>
            </w:r>
          </w:p>
        </w:tc>
        <w:tc>
          <w:tcPr>
            <w:tcW w:w="2907" w:type="dxa"/>
            <w:tcBorders>
              <w:bottom w:val="single" w:sz="8" w:space="0" w:color="002C47" w:themeColor="text1"/>
            </w:tcBorders>
          </w:tcPr>
          <w:p w:rsidR="003C130B" w:rsidRPr="007577B2" w:rsidRDefault="00FD4B4D" w:rsidP="007577B2">
            <w:pPr>
              <w:rPr>
                <w:i/>
              </w:rPr>
            </w:pPr>
            <w:r w:rsidRPr="007577B2">
              <w:rPr>
                <w:i/>
                <w:lang w:eastAsia="en-US"/>
              </w:rPr>
              <w:lastRenderedPageBreak/>
              <w:t xml:space="preserve">List methods of </w:t>
            </w:r>
            <w:proofErr w:type="gramStart"/>
            <w:r w:rsidRPr="007577B2">
              <w:rPr>
                <w:i/>
                <w:lang w:eastAsia="en-US"/>
              </w:rPr>
              <w:t>assay,</w:t>
            </w:r>
            <w:proofErr w:type="gramEnd"/>
            <w:r w:rsidRPr="007577B2">
              <w:rPr>
                <w:i/>
                <w:lang w:eastAsia="en-US"/>
              </w:rPr>
              <w:t xml:space="preserve"> refer to pharmacopoeial methods where possible, for example: </w:t>
            </w:r>
            <w:r w:rsidRPr="007577B2">
              <w:rPr>
                <w:i/>
                <w:lang w:eastAsia="en-US"/>
              </w:rPr>
              <w:lastRenderedPageBreak/>
              <w:t>BP, Ph Eur, USP.</w:t>
            </w:r>
          </w:p>
        </w:tc>
        <w:tc>
          <w:tcPr>
            <w:tcW w:w="2907" w:type="dxa"/>
            <w:tcBorders>
              <w:bottom w:val="single" w:sz="8" w:space="0" w:color="002C47" w:themeColor="text1"/>
            </w:tcBorders>
          </w:tcPr>
          <w:p w:rsidR="003C130B" w:rsidRPr="007577B2" w:rsidRDefault="003C130B" w:rsidP="007577B2">
            <w:pPr>
              <w:rPr>
                <w:i/>
                <w:lang w:eastAsia="en-US"/>
              </w:rPr>
            </w:pPr>
            <w:r w:rsidRPr="007577B2">
              <w:rPr>
                <w:i/>
                <w:lang w:eastAsia="en-US"/>
              </w:rPr>
              <w:lastRenderedPageBreak/>
              <w:t>Limits of total impurities in substance</w:t>
            </w:r>
          </w:p>
          <w:p w:rsidR="003C130B" w:rsidRPr="007577B2" w:rsidRDefault="003C130B" w:rsidP="007577B2">
            <w:pPr>
              <w:rPr>
                <w:i/>
              </w:rPr>
            </w:pPr>
            <w:r w:rsidRPr="007577B2">
              <w:rPr>
                <w:i/>
                <w:lang w:eastAsia="en-US"/>
              </w:rPr>
              <w:lastRenderedPageBreak/>
              <w:t>Impurity specific limits</w:t>
            </w:r>
          </w:p>
        </w:tc>
      </w:tr>
      <w:tr w:rsidR="003C130B" w:rsidTr="00932F5F">
        <w:tc>
          <w:tcPr>
            <w:tcW w:w="2906" w:type="dxa"/>
            <w:tcBorders>
              <w:bottom w:val="single" w:sz="8" w:space="0" w:color="002C47" w:themeColor="text1"/>
            </w:tcBorders>
          </w:tcPr>
          <w:p w:rsidR="003C130B" w:rsidRDefault="003C130B" w:rsidP="007577B2">
            <w:pPr>
              <w:rPr>
                <w:i/>
                <w:lang w:val="fr-FR" w:eastAsia="en-US"/>
              </w:rPr>
            </w:pPr>
            <w:r w:rsidRPr="007577B2">
              <w:rPr>
                <w:i/>
                <w:lang w:val="fr-FR" w:eastAsia="en-US"/>
              </w:rPr>
              <w:lastRenderedPageBreak/>
              <w:t>Give consideration to related substances such as by-products, co-extracted substances, inactive isomers and degradation products</w:t>
            </w:r>
            <w:r w:rsidR="00FD4B4D">
              <w:rPr>
                <w:i/>
                <w:lang w:val="fr-FR" w:eastAsia="en-US"/>
              </w:rPr>
              <w:t xml:space="preserve">. For example, ash, residue by ignition, sulfated ash, peroxide value. </w:t>
            </w:r>
          </w:p>
          <w:p w:rsidR="00FD4B4D" w:rsidRPr="007577B2" w:rsidRDefault="00FD4B4D" w:rsidP="007577B2">
            <w:pPr>
              <w:rPr>
                <w:i/>
                <w:lang w:val="fr-FR" w:eastAsia="en-US"/>
              </w:rPr>
            </w:pPr>
            <w:r>
              <w:rPr>
                <w:i/>
                <w:lang w:val="fr-FR" w:eastAsia="en-US"/>
              </w:rPr>
              <w:t>Add rows as necessary</w:t>
            </w:r>
            <w:r w:rsidR="00D040AB">
              <w:rPr>
                <w:i/>
                <w:lang w:val="fr-FR" w:eastAsia="en-US"/>
              </w:rPr>
              <w:t>.</w:t>
            </w:r>
          </w:p>
        </w:tc>
        <w:tc>
          <w:tcPr>
            <w:tcW w:w="2907" w:type="dxa"/>
            <w:tcBorders>
              <w:bottom w:val="single" w:sz="8" w:space="0" w:color="002C47" w:themeColor="text1"/>
            </w:tcBorders>
          </w:tcPr>
          <w:p w:rsidR="003C130B" w:rsidRPr="007577B2" w:rsidRDefault="00FD4B4D" w:rsidP="007577B2">
            <w:pPr>
              <w:rPr>
                <w:i/>
              </w:rPr>
            </w:pPr>
            <w:r w:rsidRPr="007577B2">
              <w:rPr>
                <w:i/>
                <w:lang w:eastAsia="en-US"/>
              </w:rPr>
              <w:t xml:space="preserve">List methods of </w:t>
            </w:r>
            <w:proofErr w:type="gramStart"/>
            <w:r w:rsidRPr="007577B2">
              <w:rPr>
                <w:i/>
                <w:lang w:eastAsia="en-US"/>
              </w:rPr>
              <w:t>assay,</w:t>
            </w:r>
            <w:proofErr w:type="gramEnd"/>
            <w:r w:rsidRPr="007577B2">
              <w:rPr>
                <w:i/>
                <w:lang w:eastAsia="en-US"/>
              </w:rPr>
              <w:t xml:space="preserve"> refer to pharmacopoeial methods where possible, for example: BP, Ph Eur, USP.</w:t>
            </w:r>
          </w:p>
        </w:tc>
        <w:tc>
          <w:tcPr>
            <w:tcW w:w="2907" w:type="dxa"/>
            <w:tcBorders>
              <w:bottom w:val="single" w:sz="8" w:space="0" w:color="002C47" w:themeColor="text1"/>
            </w:tcBorders>
          </w:tcPr>
          <w:p w:rsidR="003C130B" w:rsidRPr="007577B2" w:rsidRDefault="00FD4B4D" w:rsidP="00FD4B4D">
            <w:pPr>
              <w:rPr>
                <w:i/>
                <w:lang w:eastAsia="en-US"/>
              </w:rPr>
            </w:pPr>
            <w:r>
              <w:rPr>
                <w:i/>
                <w:lang w:eastAsia="en-US"/>
              </w:rPr>
              <w:t xml:space="preserve">For </w:t>
            </w:r>
            <w:r>
              <w:rPr>
                <w:i/>
                <w:lang w:val="fr-FR" w:eastAsia="en-US"/>
              </w:rPr>
              <w:t xml:space="preserve">ash, residue </w:t>
            </w:r>
            <w:r w:rsidR="00AC6BDB">
              <w:rPr>
                <w:i/>
                <w:lang w:val="fr-FR" w:eastAsia="en-US"/>
              </w:rPr>
              <w:t>by ignition and sulfated ash, am</w:t>
            </w:r>
            <w:r>
              <w:rPr>
                <w:i/>
                <w:lang w:val="fr-FR" w:eastAsia="en-US"/>
              </w:rPr>
              <w:t>ounts should be declared as a percentage, for example : &lt;1.0%</w:t>
            </w:r>
            <w:r w:rsidR="00B30EF6">
              <w:rPr>
                <w:i/>
                <w:lang w:val="fr-FR" w:eastAsia="en-US"/>
              </w:rPr>
              <w:t xml:space="preserve"> w/w</w:t>
            </w:r>
          </w:p>
        </w:tc>
      </w:tr>
      <w:tr w:rsidR="003C130B" w:rsidTr="00932F5F">
        <w:tc>
          <w:tcPr>
            <w:tcW w:w="8720" w:type="dxa"/>
            <w:gridSpan w:val="3"/>
            <w:shd w:val="clear" w:color="auto" w:fill="7FB6D3"/>
          </w:tcPr>
          <w:p w:rsidR="003C130B" w:rsidRPr="00932F5F" w:rsidRDefault="003C130B" w:rsidP="002A1EEC">
            <w:pPr>
              <w:rPr>
                <w:b/>
              </w:rPr>
            </w:pPr>
            <w:r w:rsidRPr="00932F5F">
              <w:rPr>
                <w:b/>
              </w:rPr>
              <w:t>Microbiology</w:t>
            </w:r>
          </w:p>
        </w:tc>
      </w:tr>
      <w:tr w:rsidR="003C130B" w:rsidTr="00932F5F">
        <w:tc>
          <w:tcPr>
            <w:tcW w:w="8720" w:type="dxa"/>
            <w:gridSpan w:val="3"/>
            <w:tcBorders>
              <w:bottom w:val="single" w:sz="8" w:space="0" w:color="002C47" w:themeColor="text1"/>
            </w:tcBorders>
          </w:tcPr>
          <w:p w:rsidR="003C130B" w:rsidRPr="00EA06E9" w:rsidRDefault="003C130B" w:rsidP="003C130B">
            <w:r w:rsidRPr="00EA06E9">
              <w:t>While substance manufacturers are encouraged to include limits for objectionable microorganisms, it is the product into which those substances are formulated that is subject</w:t>
            </w:r>
            <w:r>
              <w:t xml:space="preserve"> </w:t>
            </w:r>
            <w:r w:rsidRPr="00EA06E9">
              <w:t xml:space="preserve">to a legally binding set of criteria. The Therapeutic Goods Order No. 77 </w:t>
            </w:r>
            <w:r w:rsidRPr="001230E3">
              <w:rPr>
                <w:i/>
              </w:rPr>
              <w:t>‘Microbiological Standards for Medicines’</w:t>
            </w:r>
            <w:r w:rsidRPr="00EA06E9">
              <w:t xml:space="preserve"> mandates that any finished product </w:t>
            </w:r>
            <w:r>
              <w:t>that</w:t>
            </w:r>
            <w:r w:rsidRPr="00EA06E9">
              <w:t xml:space="preserve"> contains the ingredient, alone or in </w:t>
            </w:r>
            <w:r w:rsidRPr="001B1688">
              <w:t xml:space="preserve">combination with other ingredients, </w:t>
            </w:r>
            <w:r w:rsidRPr="00EA06E9">
              <w:t>must comply with the microbial acceptance criteria set by Clause 9 of</w:t>
            </w:r>
            <w:r w:rsidRPr="00EA06E9">
              <w:rPr>
                <w:rFonts w:cs="Helv"/>
              </w:rPr>
              <w:t xml:space="preserve"> </w:t>
            </w:r>
            <w:r w:rsidRPr="00EA06E9">
              <w:t>the Order.</w:t>
            </w:r>
          </w:p>
        </w:tc>
      </w:tr>
      <w:tr w:rsidR="003C130B" w:rsidTr="00932F5F">
        <w:tc>
          <w:tcPr>
            <w:tcW w:w="8720" w:type="dxa"/>
            <w:gridSpan w:val="3"/>
            <w:shd w:val="clear" w:color="auto" w:fill="7FB6D3"/>
          </w:tcPr>
          <w:p w:rsidR="003C130B" w:rsidRPr="00932F5F" w:rsidRDefault="003C130B" w:rsidP="002A1EEC">
            <w:pPr>
              <w:rPr>
                <w:b/>
              </w:rPr>
            </w:pPr>
            <w:r w:rsidRPr="00932F5F">
              <w:rPr>
                <w:b/>
              </w:rPr>
              <w:t>Notes</w:t>
            </w:r>
          </w:p>
        </w:tc>
      </w:tr>
      <w:tr w:rsidR="003C130B" w:rsidTr="009415C4">
        <w:tc>
          <w:tcPr>
            <w:tcW w:w="8720" w:type="dxa"/>
            <w:gridSpan w:val="3"/>
          </w:tcPr>
          <w:p w:rsidR="003C130B" w:rsidRDefault="003C130B" w:rsidP="002A1EEC"/>
        </w:tc>
      </w:tr>
    </w:tbl>
    <w:p w:rsidR="007577B2" w:rsidRPr="007577B2" w:rsidRDefault="007577B2" w:rsidP="007577B2">
      <w:pPr>
        <w:pStyle w:val="Heading2"/>
        <w:rPr>
          <w:lang w:eastAsia="en-US"/>
        </w:rPr>
      </w:pPr>
      <w:r w:rsidRPr="007577B2">
        <w:rPr>
          <w:lang w:eastAsia="en-US"/>
        </w:rPr>
        <w:t>Key to abbreviations: - insert or delete as required</w:t>
      </w:r>
    </w:p>
    <w:p w:rsidR="0043644B" w:rsidRPr="0043644B" w:rsidRDefault="0043644B" w:rsidP="0043644B">
      <w:pPr>
        <w:rPr>
          <w:lang w:eastAsia="en-US"/>
        </w:rPr>
      </w:pPr>
      <w:r w:rsidRPr="0043644B">
        <w:rPr>
          <w:lang w:eastAsia="en-US"/>
        </w:rPr>
        <w:t>BP = British Pharmacopoeia</w:t>
      </w:r>
    </w:p>
    <w:p w:rsidR="0043644B" w:rsidRPr="0043644B" w:rsidRDefault="0043644B" w:rsidP="0043644B">
      <w:pPr>
        <w:rPr>
          <w:lang w:eastAsia="en-US"/>
        </w:rPr>
      </w:pPr>
      <w:r w:rsidRPr="0043644B">
        <w:rPr>
          <w:lang w:eastAsia="en-US"/>
        </w:rPr>
        <w:t>HPLC = High-pressure liquid chromatography</w:t>
      </w:r>
    </w:p>
    <w:p w:rsidR="0043644B" w:rsidRPr="0043644B" w:rsidRDefault="0043644B" w:rsidP="0043644B">
      <w:pPr>
        <w:rPr>
          <w:lang w:eastAsia="en-US"/>
        </w:rPr>
      </w:pPr>
      <w:r w:rsidRPr="0043644B">
        <w:rPr>
          <w:lang w:eastAsia="en-US"/>
        </w:rPr>
        <w:t>IR = Infrared spectrophotometry</w:t>
      </w:r>
    </w:p>
    <w:p w:rsidR="0043644B" w:rsidRPr="0043644B" w:rsidRDefault="0043644B" w:rsidP="0043644B">
      <w:pPr>
        <w:rPr>
          <w:lang w:eastAsia="en-US"/>
        </w:rPr>
      </w:pPr>
      <w:r w:rsidRPr="0043644B">
        <w:rPr>
          <w:lang w:eastAsia="en-US"/>
        </w:rPr>
        <w:t>PCBs = Polychlorinated biphenyls</w:t>
      </w:r>
    </w:p>
    <w:p w:rsidR="0043644B" w:rsidRPr="0043644B" w:rsidRDefault="0043644B" w:rsidP="0043644B">
      <w:pPr>
        <w:rPr>
          <w:lang w:eastAsia="en-US"/>
        </w:rPr>
      </w:pPr>
      <w:r w:rsidRPr="0043644B">
        <w:rPr>
          <w:lang w:eastAsia="en-US"/>
        </w:rPr>
        <w:t>Ph Eur = European Pharmacopoeia</w:t>
      </w:r>
    </w:p>
    <w:p w:rsidR="0043644B" w:rsidRPr="0043644B" w:rsidRDefault="0043644B" w:rsidP="0043644B">
      <w:pPr>
        <w:rPr>
          <w:lang w:eastAsia="en-US"/>
        </w:rPr>
      </w:pPr>
      <w:r w:rsidRPr="0043644B">
        <w:rPr>
          <w:lang w:eastAsia="en-US"/>
        </w:rPr>
        <w:t>TLC = Thin layer chromatography</w:t>
      </w:r>
    </w:p>
    <w:p w:rsidR="00D62853" w:rsidRPr="0043644B" w:rsidRDefault="0043644B" w:rsidP="0043644B">
      <w:pPr>
        <w:rPr>
          <w:lang w:eastAsia="en-US"/>
        </w:rPr>
      </w:pPr>
      <w:r w:rsidRPr="0043644B">
        <w:rPr>
          <w:lang w:eastAsia="en-US"/>
        </w:rPr>
        <w:t>USP = United States Pharmacopoeia</w:t>
      </w:r>
    </w:p>
    <w:sectPr w:rsidR="00D62853" w:rsidRPr="0043644B" w:rsidSect="00EB5EFF">
      <w:headerReference w:type="even" r:id="rId9"/>
      <w:headerReference w:type="default" r:id="rId10"/>
      <w:footerReference w:type="even" r:id="rId11"/>
      <w:footerReference w:type="default" r:id="rId12"/>
      <w:headerReference w:type="first" r:id="rId13"/>
      <w:footerReference w:type="first" r:id="rId14"/>
      <w:pgSz w:w="11906" w:h="16838" w:code="9"/>
      <w:pgMar w:top="851" w:right="1701" w:bottom="1701" w:left="1701"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94" w:rsidRDefault="00F51F94" w:rsidP="008B43CC">
      <w:r>
        <w:separator/>
      </w:r>
    </w:p>
  </w:endnote>
  <w:endnote w:type="continuationSeparator" w:id="0">
    <w:p w:rsidR="00F51F94" w:rsidRDefault="00F51F94" w:rsidP="008B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A" w:rsidRDefault="00C00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7" w:type="dxa"/>
      <w:tblLayout w:type="fixed"/>
      <w:tblCellMar>
        <w:left w:w="0" w:type="dxa"/>
        <w:right w:w="0" w:type="dxa"/>
      </w:tblCellMar>
      <w:tblLook w:val="01E0" w:firstRow="1" w:lastRow="1" w:firstColumn="1" w:lastColumn="1" w:noHBand="0" w:noVBand="0"/>
    </w:tblPr>
    <w:tblGrid>
      <w:gridCol w:w="7938"/>
      <w:gridCol w:w="1139"/>
    </w:tblGrid>
    <w:tr w:rsidR="00F51F94" w:rsidRPr="009A6687" w:rsidTr="002C517A">
      <w:trPr>
        <w:trHeight w:hRule="exact" w:val="569"/>
      </w:trPr>
      <w:tc>
        <w:tcPr>
          <w:tcW w:w="7938" w:type="dxa"/>
          <w:shd w:val="clear" w:color="auto" w:fill="auto"/>
        </w:tcPr>
        <w:p w:rsidR="00F51F94" w:rsidRPr="001B1D32" w:rsidRDefault="00CB1104" w:rsidP="003C130B">
          <w:pPr>
            <w:pStyle w:val="Footer"/>
          </w:pPr>
          <w:fldSimple w:instr=" STYLEREF  &quot;Heading 1&quot;  \* MERGEFORMAT ">
            <w:r w:rsidR="00C000CA">
              <w:rPr>
                <w:noProof/>
              </w:rPr>
              <w:t>Draft Compositional Guideline for XXXX proposed by applicant</w:t>
            </w:r>
          </w:fldSimple>
        </w:p>
      </w:tc>
      <w:tc>
        <w:tcPr>
          <w:tcW w:w="1139" w:type="dxa"/>
          <w:shd w:val="clear" w:color="auto" w:fill="auto"/>
        </w:tcPr>
        <w:sdt>
          <w:sdtPr>
            <w:id w:val="6701270"/>
            <w:docPartObj>
              <w:docPartGallery w:val="Page Numbers (Top of Page)"/>
              <w:docPartUnique/>
            </w:docPartObj>
          </w:sdtPr>
          <w:sdtEndPr/>
          <w:sdtContent>
            <w:p w:rsidR="00F51F94" w:rsidRDefault="00F51F94" w:rsidP="001B1D32">
              <w:pPr>
                <w:jc w:val="right"/>
              </w:pPr>
              <w:r>
                <w:t xml:space="preserve">Page </w:t>
              </w:r>
              <w:r w:rsidR="00636D66">
                <w:fldChar w:fldCharType="begin"/>
              </w:r>
              <w:r w:rsidR="00636D66">
                <w:instrText xml:space="preserve"> PAGE </w:instrText>
              </w:r>
              <w:r w:rsidR="00636D66">
                <w:fldChar w:fldCharType="separate"/>
              </w:r>
              <w:r w:rsidR="00C000CA">
                <w:rPr>
                  <w:noProof/>
                </w:rPr>
                <w:t>2</w:t>
              </w:r>
              <w:r w:rsidR="00636D66">
                <w:rPr>
                  <w:noProof/>
                </w:rPr>
                <w:fldChar w:fldCharType="end"/>
              </w:r>
              <w:r>
                <w:t xml:space="preserve"> of </w:t>
              </w:r>
              <w:r w:rsidR="00C000CA">
                <w:fldChar w:fldCharType="begin"/>
              </w:r>
              <w:r w:rsidR="00C000CA">
                <w:instrText xml:space="preserve"> NUMPAGES  </w:instrText>
              </w:r>
              <w:r w:rsidR="00C000CA">
                <w:fldChar w:fldCharType="separate"/>
              </w:r>
              <w:r w:rsidR="00C000CA">
                <w:rPr>
                  <w:noProof/>
                </w:rPr>
                <w:t>4</w:t>
              </w:r>
              <w:r w:rsidR="00C000CA">
                <w:rPr>
                  <w:noProof/>
                </w:rPr>
                <w:fldChar w:fldCharType="end"/>
              </w:r>
            </w:p>
          </w:sdtContent>
        </w:sdt>
        <w:p w:rsidR="00F51F94" w:rsidRPr="009A6687" w:rsidRDefault="00F51F94" w:rsidP="001B1D32"/>
      </w:tc>
    </w:tr>
  </w:tbl>
  <w:p w:rsidR="00F51F94" w:rsidRPr="008B43CC" w:rsidRDefault="00F51F94" w:rsidP="00C000CA">
    <w:pPr>
      <w:pStyle w:val="Footer"/>
      <w:rPr>
        <w:rFonts w:asciiTheme="minorHAnsi" w:hAnsiTheme="minorHAnsi"/>
        <w:sz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551"/>
    </w:tblGrid>
    <w:tr w:rsidR="00F51F94" w:rsidTr="004B172F">
      <w:tc>
        <w:tcPr>
          <w:tcW w:w="6629" w:type="dxa"/>
        </w:tcPr>
        <w:p w:rsidR="00F51F94" w:rsidRPr="001B1D32" w:rsidRDefault="00CB1104" w:rsidP="00EB5EFF">
          <w:pPr>
            <w:spacing w:before="60" w:after="60"/>
          </w:pPr>
          <w:fldSimple w:instr=" STYLEREF  &quot;Heading 1&quot;  \* MERGEFORMAT ">
            <w:r w:rsidR="00C000CA">
              <w:rPr>
                <w:noProof/>
              </w:rPr>
              <w:t>Draft Compositional Guideline for XXXX proposed by applicant</w:t>
            </w:r>
          </w:fldSimple>
        </w:p>
      </w:tc>
      <w:tc>
        <w:tcPr>
          <w:tcW w:w="2551" w:type="dxa"/>
        </w:tcPr>
        <w:sdt>
          <w:sdtPr>
            <w:id w:val="184418862"/>
            <w:docPartObj>
              <w:docPartGallery w:val="Page Numbers (Top of Page)"/>
              <w:docPartUnique/>
            </w:docPartObj>
          </w:sdtPr>
          <w:sdtEndPr/>
          <w:sdtContent>
            <w:p w:rsidR="00F51F94" w:rsidRPr="009A6687" w:rsidRDefault="00F51F94" w:rsidP="00EB5EFF">
              <w:pPr>
                <w:spacing w:before="60" w:after="60"/>
                <w:jc w:val="right"/>
              </w:pPr>
              <w:r>
                <w:t xml:space="preserve">Page </w:t>
              </w:r>
              <w:r w:rsidR="00636D66">
                <w:fldChar w:fldCharType="begin"/>
              </w:r>
              <w:r w:rsidR="00636D66">
                <w:instrText xml:space="preserve"> PAGE </w:instrText>
              </w:r>
              <w:r w:rsidR="00636D66">
                <w:fldChar w:fldCharType="separate"/>
              </w:r>
              <w:r w:rsidR="00C000CA">
                <w:rPr>
                  <w:noProof/>
                </w:rPr>
                <w:t>1</w:t>
              </w:r>
              <w:r w:rsidR="00636D66">
                <w:rPr>
                  <w:noProof/>
                </w:rPr>
                <w:fldChar w:fldCharType="end"/>
              </w:r>
              <w:r>
                <w:t xml:space="preserve"> of </w:t>
              </w:r>
              <w:r w:rsidR="00C000CA">
                <w:fldChar w:fldCharType="begin"/>
              </w:r>
              <w:r w:rsidR="00C000CA">
                <w:instrText xml:space="preserve"> NUMPAGES  </w:instrText>
              </w:r>
              <w:r w:rsidR="00C000CA">
                <w:fldChar w:fldCharType="separate"/>
              </w:r>
              <w:r w:rsidR="00C000CA">
                <w:rPr>
                  <w:noProof/>
                </w:rPr>
                <w:t>4</w:t>
              </w:r>
              <w:r w:rsidR="00C000CA">
                <w:rPr>
                  <w:noProof/>
                </w:rPr>
                <w:fldChar w:fldCharType="end"/>
              </w:r>
            </w:p>
          </w:sdtContent>
        </w:sdt>
      </w:tc>
    </w:tr>
  </w:tbl>
  <w:p w:rsidR="00F51F94" w:rsidRPr="0068201D" w:rsidRDefault="00F51F94" w:rsidP="00EB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94" w:rsidRDefault="00F51F94" w:rsidP="008B43CC">
      <w:r>
        <w:separator/>
      </w:r>
    </w:p>
  </w:footnote>
  <w:footnote w:type="continuationSeparator" w:id="0">
    <w:p w:rsidR="00F51F94" w:rsidRDefault="00F51F94" w:rsidP="008B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A" w:rsidRDefault="00C000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A" w:rsidRDefault="00C000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A" w:rsidRDefault="00C00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E3B4F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6181DE3"/>
    <w:multiLevelType w:val="hybridMultilevel"/>
    <w:tmpl w:val="768A2558"/>
    <w:lvl w:ilvl="0" w:tplc="F03CB3F6">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2641">
      <o:colormenu v:ext="edit" fillcolor="none [32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8D"/>
    <w:rsid w:val="00002031"/>
    <w:rsid w:val="00004734"/>
    <w:rsid w:val="00006B22"/>
    <w:rsid w:val="0001276A"/>
    <w:rsid w:val="00024299"/>
    <w:rsid w:val="000246AE"/>
    <w:rsid w:val="00025C67"/>
    <w:rsid w:val="00037C55"/>
    <w:rsid w:val="0004518D"/>
    <w:rsid w:val="0005559E"/>
    <w:rsid w:val="00077775"/>
    <w:rsid w:val="0008308F"/>
    <w:rsid w:val="00090471"/>
    <w:rsid w:val="00090B54"/>
    <w:rsid w:val="000B2651"/>
    <w:rsid w:val="000B3532"/>
    <w:rsid w:val="000B3A75"/>
    <w:rsid w:val="000B7084"/>
    <w:rsid w:val="000C1BBB"/>
    <w:rsid w:val="000C3C09"/>
    <w:rsid w:val="000D391B"/>
    <w:rsid w:val="000D3D6D"/>
    <w:rsid w:val="000D4FC7"/>
    <w:rsid w:val="000F4869"/>
    <w:rsid w:val="000F5B42"/>
    <w:rsid w:val="000F6E6F"/>
    <w:rsid w:val="001003F2"/>
    <w:rsid w:val="0010601F"/>
    <w:rsid w:val="00110EA5"/>
    <w:rsid w:val="00115240"/>
    <w:rsid w:val="00125318"/>
    <w:rsid w:val="001305A2"/>
    <w:rsid w:val="00133238"/>
    <w:rsid w:val="0014197B"/>
    <w:rsid w:val="001447CD"/>
    <w:rsid w:val="001516B1"/>
    <w:rsid w:val="00156316"/>
    <w:rsid w:val="00161908"/>
    <w:rsid w:val="00165389"/>
    <w:rsid w:val="001727E7"/>
    <w:rsid w:val="0017526B"/>
    <w:rsid w:val="0017693F"/>
    <w:rsid w:val="0018110E"/>
    <w:rsid w:val="00181684"/>
    <w:rsid w:val="001843C6"/>
    <w:rsid w:val="00184488"/>
    <w:rsid w:val="001850E0"/>
    <w:rsid w:val="001A525F"/>
    <w:rsid w:val="001B09F9"/>
    <w:rsid w:val="001B1D32"/>
    <w:rsid w:val="001B6448"/>
    <w:rsid w:val="001E07CF"/>
    <w:rsid w:val="001E5810"/>
    <w:rsid w:val="001E59F1"/>
    <w:rsid w:val="001F49EB"/>
    <w:rsid w:val="001F6CBA"/>
    <w:rsid w:val="001F7BF8"/>
    <w:rsid w:val="00201D4E"/>
    <w:rsid w:val="00207AE6"/>
    <w:rsid w:val="00220B8A"/>
    <w:rsid w:val="0022194D"/>
    <w:rsid w:val="002257F3"/>
    <w:rsid w:val="002316FE"/>
    <w:rsid w:val="00233456"/>
    <w:rsid w:val="002339A5"/>
    <w:rsid w:val="00234E6A"/>
    <w:rsid w:val="00257848"/>
    <w:rsid w:val="0027084A"/>
    <w:rsid w:val="00286434"/>
    <w:rsid w:val="00286C59"/>
    <w:rsid w:val="002942D1"/>
    <w:rsid w:val="00294A24"/>
    <w:rsid w:val="002A0556"/>
    <w:rsid w:val="002A1EEC"/>
    <w:rsid w:val="002B1638"/>
    <w:rsid w:val="002C517A"/>
    <w:rsid w:val="002E4C9A"/>
    <w:rsid w:val="002F11F8"/>
    <w:rsid w:val="002F3F56"/>
    <w:rsid w:val="002F44B5"/>
    <w:rsid w:val="002F76FF"/>
    <w:rsid w:val="00311AC0"/>
    <w:rsid w:val="003521E8"/>
    <w:rsid w:val="003664BF"/>
    <w:rsid w:val="003728F3"/>
    <w:rsid w:val="003778AD"/>
    <w:rsid w:val="00387968"/>
    <w:rsid w:val="00387DD0"/>
    <w:rsid w:val="00390900"/>
    <w:rsid w:val="00392AA6"/>
    <w:rsid w:val="003B7E39"/>
    <w:rsid w:val="003C130B"/>
    <w:rsid w:val="003C58DC"/>
    <w:rsid w:val="003D4A72"/>
    <w:rsid w:val="003E3208"/>
    <w:rsid w:val="003E37DF"/>
    <w:rsid w:val="003F0B04"/>
    <w:rsid w:val="003F63AE"/>
    <w:rsid w:val="0040134E"/>
    <w:rsid w:val="00420853"/>
    <w:rsid w:val="00432436"/>
    <w:rsid w:val="0043644B"/>
    <w:rsid w:val="00440A2D"/>
    <w:rsid w:val="0044337B"/>
    <w:rsid w:val="00443C32"/>
    <w:rsid w:val="004564A7"/>
    <w:rsid w:val="004617BF"/>
    <w:rsid w:val="00472657"/>
    <w:rsid w:val="00494E60"/>
    <w:rsid w:val="004A1EF8"/>
    <w:rsid w:val="004B172F"/>
    <w:rsid w:val="004B7B76"/>
    <w:rsid w:val="004C5ABB"/>
    <w:rsid w:val="004D4103"/>
    <w:rsid w:val="004D61CD"/>
    <w:rsid w:val="004F0F38"/>
    <w:rsid w:val="00501921"/>
    <w:rsid w:val="00501A05"/>
    <w:rsid w:val="005060C8"/>
    <w:rsid w:val="005156F6"/>
    <w:rsid w:val="00517ED9"/>
    <w:rsid w:val="00530354"/>
    <w:rsid w:val="005352CF"/>
    <w:rsid w:val="005434C6"/>
    <w:rsid w:val="00543B39"/>
    <w:rsid w:val="00550096"/>
    <w:rsid w:val="00557FF9"/>
    <w:rsid w:val="00565F89"/>
    <w:rsid w:val="00571DA2"/>
    <w:rsid w:val="00576378"/>
    <w:rsid w:val="00577E38"/>
    <w:rsid w:val="0058201A"/>
    <w:rsid w:val="00585322"/>
    <w:rsid w:val="00593AD1"/>
    <w:rsid w:val="00594C2B"/>
    <w:rsid w:val="005A1131"/>
    <w:rsid w:val="005C5570"/>
    <w:rsid w:val="005C5E62"/>
    <w:rsid w:val="005C79A4"/>
    <w:rsid w:val="005D5442"/>
    <w:rsid w:val="00613E0C"/>
    <w:rsid w:val="00636D66"/>
    <w:rsid w:val="00640FC3"/>
    <w:rsid w:val="00642020"/>
    <w:rsid w:val="0064475A"/>
    <w:rsid w:val="0065337B"/>
    <w:rsid w:val="0065419D"/>
    <w:rsid w:val="006604D8"/>
    <w:rsid w:val="00664A5B"/>
    <w:rsid w:val="00680C08"/>
    <w:rsid w:val="0068201D"/>
    <w:rsid w:val="0068741A"/>
    <w:rsid w:val="006931B1"/>
    <w:rsid w:val="006A15C0"/>
    <w:rsid w:val="006C1F3B"/>
    <w:rsid w:val="006C3E2A"/>
    <w:rsid w:val="006C642F"/>
    <w:rsid w:val="006D03E5"/>
    <w:rsid w:val="006D4786"/>
    <w:rsid w:val="006D5D3E"/>
    <w:rsid w:val="006E04CE"/>
    <w:rsid w:val="006E08B3"/>
    <w:rsid w:val="006E1F61"/>
    <w:rsid w:val="006F572E"/>
    <w:rsid w:val="00703FCD"/>
    <w:rsid w:val="007046D6"/>
    <w:rsid w:val="00705DB0"/>
    <w:rsid w:val="00706AFE"/>
    <w:rsid w:val="0074253D"/>
    <w:rsid w:val="0074429B"/>
    <w:rsid w:val="00745886"/>
    <w:rsid w:val="007477F8"/>
    <w:rsid w:val="007577B2"/>
    <w:rsid w:val="007615BC"/>
    <w:rsid w:val="007620DE"/>
    <w:rsid w:val="00762F05"/>
    <w:rsid w:val="007652FF"/>
    <w:rsid w:val="0077104D"/>
    <w:rsid w:val="00771329"/>
    <w:rsid w:val="007723B6"/>
    <w:rsid w:val="00773EF7"/>
    <w:rsid w:val="00774E1D"/>
    <w:rsid w:val="0077675A"/>
    <w:rsid w:val="00776EDE"/>
    <w:rsid w:val="00780355"/>
    <w:rsid w:val="0078393F"/>
    <w:rsid w:val="00785721"/>
    <w:rsid w:val="00793A59"/>
    <w:rsid w:val="007A2162"/>
    <w:rsid w:val="007C0F3D"/>
    <w:rsid w:val="007C1AF7"/>
    <w:rsid w:val="007C1CB8"/>
    <w:rsid w:val="007E0BD6"/>
    <w:rsid w:val="0080633A"/>
    <w:rsid w:val="00821776"/>
    <w:rsid w:val="00826007"/>
    <w:rsid w:val="008321F5"/>
    <w:rsid w:val="00832369"/>
    <w:rsid w:val="00834660"/>
    <w:rsid w:val="008361A3"/>
    <w:rsid w:val="00836BC2"/>
    <w:rsid w:val="00855221"/>
    <w:rsid w:val="0085641B"/>
    <w:rsid w:val="00857136"/>
    <w:rsid w:val="008831B7"/>
    <w:rsid w:val="0089465C"/>
    <w:rsid w:val="0089563E"/>
    <w:rsid w:val="00896018"/>
    <w:rsid w:val="008A2B9D"/>
    <w:rsid w:val="008A5E0B"/>
    <w:rsid w:val="008A6D59"/>
    <w:rsid w:val="008A7808"/>
    <w:rsid w:val="008B43CC"/>
    <w:rsid w:val="008B4B03"/>
    <w:rsid w:val="008B596F"/>
    <w:rsid w:val="008C159F"/>
    <w:rsid w:val="008C1623"/>
    <w:rsid w:val="008C51A9"/>
    <w:rsid w:val="008F1CCC"/>
    <w:rsid w:val="008F2967"/>
    <w:rsid w:val="008F382A"/>
    <w:rsid w:val="009032D7"/>
    <w:rsid w:val="00911D86"/>
    <w:rsid w:val="00920330"/>
    <w:rsid w:val="009219D7"/>
    <w:rsid w:val="00922D53"/>
    <w:rsid w:val="0092336D"/>
    <w:rsid w:val="00923B70"/>
    <w:rsid w:val="00925E84"/>
    <w:rsid w:val="00930237"/>
    <w:rsid w:val="00932F5F"/>
    <w:rsid w:val="009415C4"/>
    <w:rsid w:val="0094448F"/>
    <w:rsid w:val="00963C08"/>
    <w:rsid w:val="009857B4"/>
    <w:rsid w:val="009A3BBD"/>
    <w:rsid w:val="009A4CED"/>
    <w:rsid w:val="009B1D12"/>
    <w:rsid w:val="009B416B"/>
    <w:rsid w:val="009C2765"/>
    <w:rsid w:val="009C4BD5"/>
    <w:rsid w:val="009D7B77"/>
    <w:rsid w:val="009E0BB0"/>
    <w:rsid w:val="009E3FBB"/>
    <w:rsid w:val="00A14DF7"/>
    <w:rsid w:val="00A3246D"/>
    <w:rsid w:val="00A36FA7"/>
    <w:rsid w:val="00A475B7"/>
    <w:rsid w:val="00A47AF7"/>
    <w:rsid w:val="00A47C3E"/>
    <w:rsid w:val="00A50226"/>
    <w:rsid w:val="00A60BAD"/>
    <w:rsid w:val="00A63D1D"/>
    <w:rsid w:val="00A73A8D"/>
    <w:rsid w:val="00A9547F"/>
    <w:rsid w:val="00AA2D7E"/>
    <w:rsid w:val="00AC2B40"/>
    <w:rsid w:val="00AC2BB2"/>
    <w:rsid w:val="00AC2C3C"/>
    <w:rsid w:val="00AC6BDB"/>
    <w:rsid w:val="00AE65EB"/>
    <w:rsid w:val="00AF1D94"/>
    <w:rsid w:val="00AF60C5"/>
    <w:rsid w:val="00B009C6"/>
    <w:rsid w:val="00B01548"/>
    <w:rsid w:val="00B21D29"/>
    <w:rsid w:val="00B25034"/>
    <w:rsid w:val="00B30EF6"/>
    <w:rsid w:val="00B33863"/>
    <w:rsid w:val="00B37D17"/>
    <w:rsid w:val="00B4175E"/>
    <w:rsid w:val="00B4475A"/>
    <w:rsid w:val="00B472F6"/>
    <w:rsid w:val="00B54C25"/>
    <w:rsid w:val="00B67271"/>
    <w:rsid w:val="00B76B91"/>
    <w:rsid w:val="00B830CA"/>
    <w:rsid w:val="00BC10A6"/>
    <w:rsid w:val="00BC5B75"/>
    <w:rsid w:val="00BC622A"/>
    <w:rsid w:val="00BD7388"/>
    <w:rsid w:val="00BE0A78"/>
    <w:rsid w:val="00BE51A6"/>
    <w:rsid w:val="00BE79F0"/>
    <w:rsid w:val="00BF046D"/>
    <w:rsid w:val="00BF5D04"/>
    <w:rsid w:val="00C000CA"/>
    <w:rsid w:val="00C128E8"/>
    <w:rsid w:val="00C13563"/>
    <w:rsid w:val="00C26248"/>
    <w:rsid w:val="00C404A6"/>
    <w:rsid w:val="00C40A36"/>
    <w:rsid w:val="00C44419"/>
    <w:rsid w:val="00C45E7B"/>
    <w:rsid w:val="00C471B1"/>
    <w:rsid w:val="00C53A95"/>
    <w:rsid w:val="00C6316B"/>
    <w:rsid w:val="00C634A9"/>
    <w:rsid w:val="00C772FF"/>
    <w:rsid w:val="00C801AF"/>
    <w:rsid w:val="00C80256"/>
    <w:rsid w:val="00C80E18"/>
    <w:rsid w:val="00CB1104"/>
    <w:rsid w:val="00CB6BC0"/>
    <w:rsid w:val="00CC1B7C"/>
    <w:rsid w:val="00CC727F"/>
    <w:rsid w:val="00CE5BB0"/>
    <w:rsid w:val="00CF15C3"/>
    <w:rsid w:val="00CF2B6F"/>
    <w:rsid w:val="00CF7C91"/>
    <w:rsid w:val="00D017ED"/>
    <w:rsid w:val="00D040AB"/>
    <w:rsid w:val="00D123BD"/>
    <w:rsid w:val="00D13405"/>
    <w:rsid w:val="00D153B1"/>
    <w:rsid w:val="00D224FE"/>
    <w:rsid w:val="00D31162"/>
    <w:rsid w:val="00D62853"/>
    <w:rsid w:val="00D6493E"/>
    <w:rsid w:val="00D65168"/>
    <w:rsid w:val="00D97C6B"/>
    <w:rsid w:val="00DA1124"/>
    <w:rsid w:val="00DB7B83"/>
    <w:rsid w:val="00DC3AA6"/>
    <w:rsid w:val="00DD75A3"/>
    <w:rsid w:val="00DD7ACB"/>
    <w:rsid w:val="00DE02AE"/>
    <w:rsid w:val="00DE092B"/>
    <w:rsid w:val="00DE6A0C"/>
    <w:rsid w:val="00DF1D7F"/>
    <w:rsid w:val="00E02FB4"/>
    <w:rsid w:val="00E20571"/>
    <w:rsid w:val="00E21651"/>
    <w:rsid w:val="00E235F7"/>
    <w:rsid w:val="00E239D4"/>
    <w:rsid w:val="00E40B22"/>
    <w:rsid w:val="00E4588F"/>
    <w:rsid w:val="00E46449"/>
    <w:rsid w:val="00E46DA3"/>
    <w:rsid w:val="00EA406B"/>
    <w:rsid w:val="00EB0798"/>
    <w:rsid w:val="00EB40AD"/>
    <w:rsid w:val="00EB586E"/>
    <w:rsid w:val="00EB5EFF"/>
    <w:rsid w:val="00EB5FC8"/>
    <w:rsid w:val="00ED5A41"/>
    <w:rsid w:val="00EF0C33"/>
    <w:rsid w:val="00EF1509"/>
    <w:rsid w:val="00EF5602"/>
    <w:rsid w:val="00F033EC"/>
    <w:rsid w:val="00F04F68"/>
    <w:rsid w:val="00F12670"/>
    <w:rsid w:val="00F13A8C"/>
    <w:rsid w:val="00F14B27"/>
    <w:rsid w:val="00F2410C"/>
    <w:rsid w:val="00F3148D"/>
    <w:rsid w:val="00F35298"/>
    <w:rsid w:val="00F36B0D"/>
    <w:rsid w:val="00F46D8F"/>
    <w:rsid w:val="00F47E37"/>
    <w:rsid w:val="00F51F94"/>
    <w:rsid w:val="00F640B6"/>
    <w:rsid w:val="00F80E40"/>
    <w:rsid w:val="00FA5B82"/>
    <w:rsid w:val="00FA639E"/>
    <w:rsid w:val="00FA6F28"/>
    <w:rsid w:val="00FB6B94"/>
    <w:rsid w:val="00FC25E4"/>
    <w:rsid w:val="00FC4EF7"/>
    <w:rsid w:val="00FD3E3E"/>
    <w:rsid w:val="00FD4B4D"/>
    <w:rsid w:val="00FE1DEE"/>
    <w:rsid w:val="00FF2126"/>
    <w:rsid w:val="00FF2F32"/>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30CA"/>
    <w:pPr>
      <w:keepNext/>
      <w:adjustRightInd w:val="0"/>
      <w:snapToGrid w:val="0"/>
      <w:spacing w:before="180" w:after="180" w:line="240" w:lineRule="atLeast"/>
    </w:pPr>
    <w:rPr>
      <w:rFonts w:ascii="Cambria" w:eastAsia="MS Mincho" w:hAnsi="Cambria" w:cs="Times New Roman"/>
      <w:szCs w:val="20"/>
      <w:lang w:eastAsia="ja-JP"/>
    </w:rPr>
  </w:style>
  <w:style w:type="paragraph" w:styleId="Heading1">
    <w:name w:val="heading 1"/>
    <w:basedOn w:val="Normal"/>
    <w:next w:val="Normal"/>
    <w:link w:val="Heading1Char"/>
    <w:qFormat/>
    <w:rsid w:val="008B43CC"/>
    <w:pPr>
      <w:keepLines/>
      <w:spacing w:after="360"/>
      <w:jc w:val="center"/>
      <w:outlineLvl w:val="0"/>
    </w:pPr>
    <w:rPr>
      <w:rFonts w:ascii="Arial" w:eastAsia="Times New Roman" w:hAnsi="Arial"/>
      <w:b/>
      <w:bCs/>
      <w:sz w:val="28"/>
      <w:szCs w:val="28"/>
    </w:rPr>
  </w:style>
  <w:style w:type="paragraph" w:styleId="Heading2">
    <w:name w:val="heading 2"/>
    <w:basedOn w:val="Normal"/>
    <w:next w:val="Normal"/>
    <w:link w:val="Heading2Char"/>
    <w:qFormat/>
    <w:rsid w:val="0043644B"/>
    <w:pPr>
      <w:spacing w:before="360" w:after="120"/>
      <w:outlineLvl w:val="1"/>
    </w:pPr>
    <w:rPr>
      <w:b/>
      <w:szCs w:val="22"/>
    </w:rPr>
  </w:style>
  <w:style w:type="paragraph" w:styleId="Heading3">
    <w:name w:val="heading 3"/>
    <w:basedOn w:val="Normal"/>
    <w:next w:val="Normal"/>
    <w:link w:val="Heading3Char"/>
    <w:qFormat/>
    <w:rsid w:val="00F3148D"/>
    <w:pPr>
      <w:keepLines/>
      <w:spacing w:before="40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F3148D"/>
    <w:pPr>
      <w:spacing w:line="220" w:lineRule="atLeast"/>
      <w:outlineLvl w:val="3"/>
    </w:pPr>
    <w:rPr>
      <w:b/>
      <w:bCs/>
      <w:szCs w:val="21"/>
    </w:rPr>
  </w:style>
  <w:style w:type="paragraph" w:styleId="Heading5">
    <w:name w:val="heading 5"/>
    <w:basedOn w:val="Normal"/>
    <w:next w:val="Normal"/>
    <w:link w:val="Heading5Char"/>
    <w:uiPriority w:val="9"/>
    <w:qFormat/>
    <w:rsid w:val="00F3148D"/>
    <w:pPr>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F3148D"/>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C2C3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3CC"/>
    <w:rPr>
      <w:rFonts w:ascii="Arial" w:eastAsia="Times New Roman" w:hAnsi="Arial" w:cs="Times New Roman"/>
      <w:b/>
      <w:bCs/>
      <w:sz w:val="28"/>
      <w:szCs w:val="28"/>
      <w:lang w:eastAsia="ja-JP"/>
    </w:rPr>
  </w:style>
  <w:style w:type="character" w:customStyle="1" w:styleId="Heading2Char">
    <w:name w:val="Heading 2 Char"/>
    <w:basedOn w:val="DefaultParagraphFont"/>
    <w:link w:val="Heading2"/>
    <w:rsid w:val="0043644B"/>
    <w:rPr>
      <w:rFonts w:ascii="Cambria" w:eastAsia="MS Mincho" w:hAnsi="Cambria" w:cs="Times New Roman"/>
      <w:b/>
      <w:lang w:eastAsia="ja-JP"/>
    </w:rPr>
  </w:style>
  <w:style w:type="character" w:customStyle="1" w:styleId="Heading3Char">
    <w:name w:val="Heading 3 Char"/>
    <w:basedOn w:val="DefaultParagraphFont"/>
    <w:link w:val="Heading3"/>
    <w:rsid w:val="00025C67"/>
    <w:rPr>
      <w:rFonts w:ascii="Arial" w:eastAsia="Times New Roman" w:hAnsi="Arial" w:cs="Times New Roman"/>
      <w:b/>
      <w:bCs/>
      <w:sz w:val="21"/>
      <w:szCs w:val="21"/>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qFormat/>
    <w:rsid w:val="00F3148D"/>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FF2126"/>
    <w:rPr>
      <w:rFonts w:ascii="Cambria" w:hAnsi="Cambria" w:cs="Times New Roman"/>
      <w:b/>
      <w:bCs/>
      <w:sz w:val="21"/>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C130B"/>
    <w:pPr>
      <w:tabs>
        <w:tab w:val="center" w:pos="4513"/>
        <w:tab w:val="right" w:pos="9026"/>
      </w:tabs>
      <w:spacing w:before="120" w:line="240" w:lineRule="auto"/>
    </w:pPr>
  </w:style>
  <w:style w:type="character" w:customStyle="1" w:styleId="FooterChar">
    <w:name w:val="Footer Char"/>
    <w:basedOn w:val="DefaultParagraphFont"/>
    <w:link w:val="Footer"/>
    <w:uiPriority w:val="99"/>
    <w:rsid w:val="003C130B"/>
    <w:rPr>
      <w:rFonts w:ascii="Cambria" w:eastAsia="MS Mincho" w:hAnsi="Cambria" w:cs="Times New Roman"/>
      <w:szCs w:val="20"/>
      <w:lang w:eastAsia="ja-JP"/>
    </w:r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 w:val="21"/>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 w:val="21"/>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rsid w:val="00F3148D"/>
    <w:rPr>
      <w:color w:val="006DA7"/>
      <w:u w:val="single"/>
      <w:bdr w:val="none" w:sz="0" w:space="0" w:color="auto"/>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3148D"/>
    <w:pPr>
      <w:numPr>
        <w:numId w:val="7"/>
      </w:numPr>
      <w:spacing w:after="160"/>
    </w:pPr>
  </w:style>
  <w:style w:type="paragraph" w:styleId="ListBullet2">
    <w:name w:val="List Bullet 2"/>
    <w:basedOn w:val="Normal"/>
    <w:uiPriority w:val="99"/>
    <w:qFormat/>
    <w:rsid w:val="00F3148D"/>
    <w:pPr>
      <w:numPr>
        <w:ilvl w:val="1"/>
        <w:numId w:val="7"/>
      </w:numPr>
      <w:contextualSpacing/>
    </w:pPr>
  </w:style>
  <w:style w:type="paragraph" w:styleId="ListBullet3">
    <w:name w:val="List Bullet 3"/>
    <w:basedOn w:val="Normal"/>
    <w:uiPriority w:val="99"/>
    <w:qFormat/>
    <w:rsid w:val="00F3148D"/>
    <w:pPr>
      <w:numPr>
        <w:ilvl w:val="2"/>
        <w:numId w:val="7"/>
      </w:numPr>
      <w:contextualSpacing/>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TableCaption">
    <w:name w:val="Table Caption"/>
    <w:basedOn w:val="FigureCaption"/>
    <w:qFormat/>
    <w:rsid w:val="00F3148D"/>
    <w:pPr>
      <w:spacing w:after="240"/>
    </w:pPr>
    <w:rPr>
      <w:sz w:val="17"/>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EF0C33"/>
    <w:pPr>
      <w:keepNext/>
      <w:spacing w:before="180" w:after="180" w:line="240" w:lineRule="auto"/>
    </w:pPr>
    <w:rPr>
      <w:rFonts w:ascii="Cambria" w:hAnsi="Cambria" w:cs="Times New Roman"/>
      <w:color w:val="000000"/>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9857B4"/>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A63D1D"/>
    <w:pPr>
      <w:spacing w:before="360"/>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lang w:val="en-US"/>
    </w:rPr>
  </w:style>
  <w:style w:type="paragraph" w:styleId="Header">
    <w:name w:val="header"/>
    <w:basedOn w:val="Normal"/>
    <w:link w:val="HeaderChar"/>
    <w:rsid w:val="00392AA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92AA6"/>
    <w:rPr>
      <w:rFonts w:ascii="Cambria" w:eastAsia="MS Mincho" w:hAnsi="Cambria" w:cs="Times New Roman"/>
      <w:szCs w:val="20"/>
      <w:lang w:eastAsia="ja-JP"/>
    </w:rPr>
  </w:style>
  <w:style w:type="paragraph" w:styleId="ListParagraph">
    <w:name w:val="List Paragraph"/>
    <w:basedOn w:val="Normal"/>
    <w:uiPriority w:val="34"/>
    <w:rsid w:val="00392AA6"/>
    <w:pPr>
      <w:ind w:left="720"/>
      <w:contextualSpacing/>
    </w:pPr>
  </w:style>
  <w:style w:type="paragraph" w:customStyle="1" w:styleId="SubmissionID">
    <w:name w:val="Submission ID"/>
    <w:basedOn w:val="Normal"/>
    <w:qFormat/>
    <w:rsid w:val="00387968"/>
    <w:pPr>
      <w:keepNext w:val="0"/>
    </w:pPr>
    <w:rPr>
      <w:rFonts w:ascii="Arial" w:eastAsia="Cambria" w:hAnsi="Arial" w:cs="Arial"/>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30CA"/>
    <w:pPr>
      <w:keepNext/>
      <w:adjustRightInd w:val="0"/>
      <w:snapToGrid w:val="0"/>
      <w:spacing w:before="180" w:after="180" w:line="240" w:lineRule="atLeast"/>
    </w:pPr>
    <w:rPr>
      <w:rFonts w:ascii="Cambria" w:eastAsia="MS Mincho" w:hAnsi="Cambria" w:cs="Times New Roman"/>
      <w:szCs w:val="20"/>
      <w:lang w:eastAsia="ja-JP"/>
    </w:rPr>
  </w:style>
  <w:style w:type="paragraph" w:styleId="Heading1">
    <w:name w:val="heading 1"/>
    <w:basedOn w:val="Normal"/>
    <w:next w:val="Normal"/>
    <w:link w:val="Heading1Char"/>
    <w:qFormat/>
    <w:rsid w:val="008B43CC"/>
    <w:pPr>
      <w:keepLines/>
      <w:spacing w:after="360"/>
      <w:jc w:val="center"/>
      <w:outlineLvl w:val="0"/>
    </w:pPr>
    <w:rPr>
      <w:rFonts w:ascii="Arial" w:eastAsia="Times New Roman" w:hAnsi="Arial"/>
      <w:b/>
      <w:bCs/>
      <w:sz w:val="28"/>
      <w:szCs w:val="28"/>
    </w:rPr>
  </w:style>
  <w:style w:type="paragraph" w:styleId="Heading2">
    <w:name w:val="heading 2"/>
    <w:basedOn w:val="Normal"/>
    <w:next w:val="Normal"/>
    <w:link w:val="Heading2Char"/>
    <w:qFormat/>
    <w:rsid w:val="0043644B"/>
    <w:pPr>
      <w:spacing w:before="360" w:after="120"/>
      <w:outlineLvl w:val="1"/>
    </w:pPr>
    <w:rPr>
      <w:b/>
      <w:szCs w:val="22"/>
    </w:rPr>
  </w:style>
  <w:style w:type="paragraph" w:styleId="Heading3">
    <w:name w:val="heading 3"/>
    <w:basedOn w:val="Normal"/>
    <w:next w:val="Normal"/>
    <w:link w:val="Heading3Char"/>
    <w:qFormat/>
    <w:rsid w:val="00F3148D"/>
    <w:pPr>
      <w:keepLines/>
      <w:spacing w:before="40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F3148D"/>
    <w:pPr>
      <w:spacing w:line="220" w:lineRule="atLeast"/>
      <w:outlineLvl w:val="3"/>
    </w:pPr>
    <w:rPr>
      <w:b/>
      <w:bCs/>
      <w:szCs w:val="21"/>
    </w:rPr>
  </w:style>
  <w:style w:type="paragraph" w:styleId="Heading5">
    <w:name w:val="heading 5"/>
    <w:basedOn w:val="Normal"/>
    <w:next w:val="Normal"/>
    <w:link w:val="Heading5Char"/>
    <w:uiPriority w:val="9"/>
    <w:qFormat/>
    <w:rsid w:val="00F3148D"/>
    <w:pPr>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F3148D"/>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C2C3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3CC"/>
    <w:rPr>
      <w:rFonts w:ascii="Arial" w:eastAsia="Times New Roman" w:hAnsi="Arial" w:cs="Times New Roman"/>
      <w:b/>
      <w:bCs/>
      <w:sz w:val="28"/>
      <w:szCs w:val="28"/>
      <w:lang w:eastAsia="ja-JP"/>
    </w:rPr>
  </w:style>
  <w:style w:type="character" w:customStyle="1" w:styleId="Heading2Char">
    <w:name w:val="Heading 2 Char"/>
    <w:basedOn w:val="DefaultParagraphFont"/>
    <w:link w:val="Heading2"/>
    <w:rsid w:val="0043644B"/>
    <w:rPr>
      <w:rFonts w:ascii="Cambria" w:eastAsia="MS Mincho" w:hAnsi="Cambria" w:cs="Times New Roman"/>
      <w:b/>
      <w:lang w:eastAsia="ja-JP"/>
    </w:rPr>
  </w:style>
  <w:style w:type="character" w:customStyle="1" w:styleId="Heading3Char">
    <w:name w:val="Heading 3 Char"/>
    <w:basedOn w:val="DefaultParagraphFont"/>
    <w:link w:val="Heading3"/>
    <w:rsid w:val="00025C67"/>
    <w:rPr>
      <w:rFonts w:ascii="Arial" w:eastAsia="Times New Roman" w:hAnsi="Arial" w:cs="Times New Roman"/>
      <w:b/>
      <w:bCs/>
      <w:sz w:val="21"/>
      <w:szCs w:val="21"/>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qFormat/>
    <w:rsid w:val="00F3148D"/>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FF2126"/>
    <w:rPr>
      <w:rFonts w:ascii="Cambria" w:hAnsi="Cambria" w:cs="Times New Roman"/>
      <w:b/>
      <w:bCs/>
      <w:sz w:val="21"/>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C130B"/>
    <w:pPr>
      <w:tabs>
        <w:tab w:val="center" w:pos="4513"/>
        <w:tab w:val="right" w:pos="9026"/>
      </w:tabs>
      <w:spacing w:before="120" w:line="240" w:lineRule="auto"/>
    </w:pPr>
  </w:style>
  <w:style w:type="character" w:customStyle="1" w:styleId="FooterChar">
    <w:name w:val="Footer Char"/>
    <w:basedOn w:val="DefaultParagraphFont"/>
    <w:link w:val="Footer"/>
    <w:uiPriority w:val="99"/>
    <w:rsid w:val="003C130B"/>
    <w:rPr>
      <w:rFonts w:ascii="Cambria" w:eastAsia="MS Mincho" w:hAnsi="Cambria" w:cs="Times New Roman"/>
      <w:szCs w:val="20"/>
      <w:lang w:eastAsia="ja-JP"/>
    </w:r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 w:val="21"/>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 w:val="21"/>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rsid w:val="00F3148D"/>
    <w:rPr>
      <w:color w:val="006DA7"/>
      <w:u w:val="single"/>
      <w:bdr w:val="none" w:sz="0" w:space="0" w:color="auto"/>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3148D"/>
    <w:pPr>
      <w:numPr>
        <w:numId w:val="7"/>
      </w:numPr>
      <w:spacing w:after="160"/>
    </w:pPr>
  </w:style>
  <w:style w:type="paragraph" w:styleId="ListBullet2">
    <w:name w:val="List Bullet 2"/>
    <w:basedOn w:val="Normal"/>
    <w:uiPriority w:val="99"/>
    <w:qFormat/>
    <w:rsid w:val="00F3148D"/>
    <w:pPr>
      <w:numPr>
        <w:ilvl w:val="1"/>
        <w:numId w:val="7"/>
      </w:numPr>
      <w:contextualSpacing/>
    </w:pPr>
  </w:style>
  <w:style w:type="paragraph" w:styleId="ListBullet3">
    <w:name w:val="List Bullet 3"/>
    <w:basedOn w:val="Normal"/>
    <w:uiPriority w:val="99"/>
    <w:qFormat/>
    <w:rsid w:val="00F3148D"/>
    <w:pPr>
      <w:numPr>
        <w:ilvl w:val="2"/>
        <w:numId w:val="7"/>
      </w:numPr>
      <w:contextualSpacing/>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TableCaption">
    <w:name w:val="Table Caption"/>
    <w:basedOn w:val="FigureCaption"/>
    <w:qFormat/>
    <w:rsid w:val="00F3148D"/>
    <w:pPr>
      <w:spacing w:after="240"/>
    </w:pPr>
    <w:rPr>
      <w:sz w:val="17"/>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EF0C33"/>
    <w:pPr>
      <w:keepNext/>
      <w:spacing w:before="180" w:after="180" w:line="240" w:lineRule="auto"/>
    </w:pPr>
    <w:rPr>
      <w:rFonts w:ascii="Cambria" w:hAnsi="Cambria" w:cs="Times New Roman"/>
      <w:color w:val="000000"/>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9857B4"/>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A63D1D"/>
    <w:pPr>
      <w:spacing w:before="360"/>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lang w:val="en-US"/>
    </w:rPr>
  </w:style>
  <w:style w:type="paragraph" w:styleId="Header">
    <w:name w:val="header"/>
    <w:basedOn w:val="Normal"/>
    <w:link w:val="HeaderChar"/>
    <w:rsid w:val="00392AA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92AA6"/>
    <w:rPr>
      <w:rFonts w:ascii="Cambria" w:eastAsia="MS Mincho" w:hAnsi="Cambria" w:cs="Times New Roman"/>
      <w:szCs w:val="20"/>
      <w:lang w:eastAsia="ja-JP"/>
    </w:rPr>
  </w:style>
  <w:style w:type="paragraph" w:styleId="ListParagraph">
    <w:name w:val="List Paragraph"/>
    <w:basedOn w:val="Normal"/>
    <w:uiPriority w:val="34"/>
    <w:rsid w:val="00392AA6"/>
    <w:pPr>
      <w:ind w:left="720"/>
      <w:contextualSpacing/>
    </w:pPr>
  </w:style>
  <w:style w:type="paragraph" w:customStyle="1" w:styleId="SubmissionID">
    <w:name w:val="Submission ID"/>
    <w:basedOn w:val="Normal"/>
    <w:qFormat/>
    <w:rsid w:val="00387968"/>
    <w:pPr>
      <w:keepNext w:val="0"/>
    </w:pPr>
    <w:rPr>
      <w:rFonts w:ascii="Arial" w:eastAsia="Cambria" w:hAnsi="Arial" w:cs="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original%20documents\2012%2009\cm-forms-compositional-guideline-110906.dotx" TargetMode="Externa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25E4-A996-4BC8-AFC9-52A01CA9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cm-forms-compositional-guideline-110906.dotx</Template>
  <TotalTime>2</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Draft compositional guideline</vt:lpstr>
    </vt:vector>
  </TitlesOfParts>
  <Company>Department of Health Therapeutic Goods Administration</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Draft compositional guideline</dc:title>
  <dc:subject>complementary medicines regulation</dc:subject>
  <dc:creator>Therapeutic Goods Administration</dc:creator>
  <cp:keywords>complementary, medicine, compositional, guideline, draft, australia</cp:keywords>
  <cp:lastModifiedBy>Searson, Lisa</cp:lastModifiedBy>
  <cp:revision>3</cp:revision>
  <cp:lastPrinted>2012-09-05T00:39:00Z</cp:lastPrinted>
  <dcterms:created xsi:type="dcterms:W3CDTF">2014-07-21T23:47:00Z</dcterms:created>
  <dcterms:modified xsi:type="dcterms:W3CDTF">2014-07-22T01:17:00Z</dcterms:modified>
</cp:coreProperties>
</file>