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386B1" w14:textId="016FCE63" w:rsidR="009A0291" w:rsidRPr="00B14378" w:rsidRDefault="00342548" w:rsidP="006D09DE">
      <w:pPr>
        <w:pStyle w:val="Heading2"/>
        <w:spacing w:before="0" w:after="240"/>
        <w:rPr>
          <w:rFonts w:cs="Segoe UI Semibold"/>
          <w:bCs/>
          <w:sz w:val="44"/>
          <w:szCs w:val="44"/>
        </w:rPr>
      </w:pPr>
      <w:bookmarkStart w:id="0" w:name="_GoBack"/>
      <w:r w:rsidRPr="00B14378">
        <w:rPr>
          <w:rFonts w:ascii="Segoe UI Semilight" w:hAnsi="Segoe UI Semilight" w:cs="Segoe UI Semilight"/>
          <w:sz w:val="44"/>
          <w:szCs w:val="44"/>
        </w:rPr>
        <w:t>Clinician</w:t>
      </w:r>
      <w:r w:rsidR="00377B65" w:rsidRPr="00B14378">
        <w:rPr>
          <w:rFonts w:ascii="Segoe UI Semilight" w:hAnsi="Segoe UI Semilight" w:cs="Segoe UI Semilight"/>
          <w:sz w:val="44"/>
          <w:szCs w:val="44"/>
        </w:rPr>
        <w:t xml:space="preserve"> information sheet</w:t>
      </w:r>
      <w:r w:rsidRPr="00B14378">
        <w:rPr>
          <w:rFonts w:ascii="Segoe UI Semilight" w:hAnsi="Segoe UI Semilight" w:cs="Segoe UI Semilight"/>
          <w:sz w:val="44"/>
          <w:szCs w:val="44"/>
        </w:rPr>
        <w:t xml:space="preserve"> </w:t>
      </w:r>
      <w:r w:rsidR="006464C6" w:rsidRPr="00B14378">
        <w:rPr>
          <w:rFonts w:ascii="Segoe UI Semilight" w:hAnsi="Segoe UI Semilight" w:cs="Segoe UI Semilight"/>
          <w:sz w:val="44"/>
          <w:szCs w:val="44"/>
        </w:rPr>
        <w:t>on</w:t>
      </w:r>
      <w:r w:rsidRPr="00B14378">
        <w:rPr>
          <w:rFonts w:ascii="Segoe UI Semilight" w:hAnsi="Segoe UI Semilight" w:cs="Segoe UI Semilight"/>
          <w:sz w:val="44"/>
          <w:szCs w:val="44"/>
        </w:rPr>
        <w:t xml:space="preserve"> </w:t>
      </w:r>
      <w:r w:rsidR="00B14378">
        <w:rPr>
          <w:rFonts w:ascii="Segoe UI Semilight" w:hAnsi="Segoe UI Semilight" w:cs="Segoe UI Semilight"/>
          <w:sz w:val="44"/>
          <w:szCs w:val="44"/>
        </w:rPr>
        <w:br/>
      </w:r>
      <w:r w:rsidRPr="00B14378">
        <w:rPr>
          <w:rFonts w:cs="Segoe UI Semibold"/>
          <w:b/>
          <w:sz w:val="44"/>
          <w:szCs w:val="44"/>
        </w:rPr>
        <w:t>o</w:t>
      </w:r>
      <w:r w:rsidR="009A0291" w:rsidRPr="00B14378">
        <w:rPr>
          <w:rFonts w:cs="Segoe UI Semibold"/>
          <w:b/>
          <w:sz w:val="44"/>
          <w:szCs w:val="44"/>
        </w:rPr>
        <w:t>pioid</w:t>
      </w:r>
      <w:r w:rsidR="00BE2D16" w:rsidRPr="00B14378">
        <w:rPr>
          <w:rFonts w:cs="Segoe UI Semibold"/>
          <w:b/>
          <w:sz w:val="44"/>
          <w:szCs w:val="44"/>
        </w:rPr>
        <w:t xml:space="preserve"> analgesic</w:t>
      </w:r>
      <w:r w:rsidR="009A0291" w:rsidRPr="00B14378">
        <w:rPr>
          <w:rFonts w:cs="Segoe UI Semibold"/>
          <w:b/>
          <w:sz w:val="44"/>
          <w:szCs w:val="44"/>
        </w:rPr>
        <w:t xml:space="preserve"> taper</w:t>
      </w:r>
      <w:r w:rsidR="00D126C7" w:rsidRPr="00B14378">
        <w:rPr>
          <w:rFonts w:cs="Segoe UI Semibold"/>
          <w:b/>
          <w:sz w:val="44"/>
          <w:szCs w:val="44"/>
        </w:rPr>
        <w:t>ing</w:t>
      </w:r>
      <w:r w:rsidR="00C50077" w:rsidRPr="00B14378">
        <w:rPr>
          <w:rFonts w:cs="Segoe UI Semibold"/>
          <w:b/>
          <w:sz w:val="44"/>
          <w:szCs w:val="44"/>
        </w:rPr>
        <w:t>:</w:t>
      </w:r>
      <w:r w:rsidR="00C50077" w:rsidRPr="00B14378">
        <w:rPr>
          <w:rFonts w:cs="Segoe UI Semibold"/>
          <w:sz w:val="44"/>
          <w:szCs w:val="44"/>
        </w:rPr>
        <w:t xml:space="preserve"> </w:t>
      </w:r>
      <w:r w:rsidR="00C50077" w:rsidRPr="00B14378">
        <w:rPr>
          <w:rFonts w:cs="Segoe UI Semibold"/>
          <w:b/>
          <w:color w:val="808080" w:themeColor="background1" w:themeShade="80"/>
          <w:sz w:val="44"/>
          <w:szCs w:val="44"/>
        </w:rPr>
        <w:t>summary</w:t>
      </w:r>
      <w:bookmarkEnd w:id="0"/>
    </w:p>
    <w:p w14:paraId="21303340" w14:textId="77777777" w:rsidR="00C50077" w:rsidRPr="005E3E08" w:rsidRDefault="00C50077" w:rsidP="005E3E08">
      <w:pPr>
        <w:pBdr>
          <w:top w:val="single" w:sz="4" w:space="6" w:color="767171" w:themeColor="background2" w:themeShade="80"/>
          <w:left w:val="single" w:sz="4" w:space="6" w:color="767171" w:themeColor="background2" w:themeShade="80"/>
          <w:bottom w:val="single" w:sz="4" w:space="6" w:color="767171" w:themeColor="background2" w:themeShade="80"/>
          <w:right w:val="single" w:sz="4" w:space="6" w:color="767171" w:themeColor="background2" w:themeShade="80"/>
        </w:pBdr>
        <w:shd w:val="clear" w:color="auto" w:fill="DEEAF6" w:themeFill="accent1" w:themeFillTint="33"/>
        <w:rPr>
          <w:sz w:val="21"/>
          <w:szCs w:val="21"/>
        </w:rPr>
      </w:pPr>
      <w:r w:rsidRPr="005E3E08">
        <w:rPr>
          <w:b/>
          <w:sz w:val="21"/>
          <w:szCs w:val="21"/>
        </w:rPr>
        <w:t xml:space="preserve">Opioids </w:t>
      </w:r>
      <w:proofErr w:type="gramStart"/>
      <w:r w:rsidRPr="005E3E08">
        <w:rPr>
          <w:b/>
          <w:sz w:val="21"/>
          <w:szCs w:val="21"/>
        </w:rPr>
        <w:t>are no longer indicated</w:t>
      </w:r>
      <w:proofErr w:type="gramEnd"/>
      <w:r w:rsidRPr="005E3E08">
        <w:rPr>
          <w:b/>
          <w:sz w:val="21"/>
          <w:szCs w:val="21"/>
        </w:rPr>
        <w:t xml:space="preserve"> for Chronic Non Cancer Pain (CNCP)</w:t>
      </w:r>
      <w:r w:rsidRPr="005E3E08">
        <w:rPr>
          <w:sz w:val="21"/>
          <w:szCs w:val="21"/>
        </w:rPr>
        <w:t xml:space="preserve"> other than in exceptional circumstances. This guide is for cases where the prescriber and patient believe they can collaborate to achieve a reduction in opioid dose. </w:t>
      </w:r>
    </w:p>
    <w:p w14:paraId="2F59A103" w14:textId="42D70B8E" w:rsidR="004026AA" w:rsidRPr="00FB7553" w:rsidRDefault="00976D86" w:rsidP="00B14378">
      <w:pPr>
        <w:pStyle w:val="Heading2"/>
      </w:pPr>
      <w:r w:rsidRPr="00FB7553">
        <w:t xml:space="preserve">Goals of intervention </w:t>
      </w:r>
    </w:p>
    <w:p w14:paraId="5EA3B6FD" w14:textId="491E9428" w:rsidR="00274F0F" w:rsidRPr="00B14378" w:rsidRDefault="004026AA" w:rsidP="00B14378">
      <w:pPr>
        <w:pStyle w:val="ListParagraph"/>
      </w:pPr>
      <w:r w:rsidRPr="00B14378">
        <w:rPr>
          <w:b/>
        </w:rPr>
        <w:t xml:space="preserve">Indications for </w:t>
      </w:r>
      <w:r w:rsidR="00BE2D16" w:rsidRPr="00B14378">
        <w:rPr>
          <w:b/>
        </w:rPr>
        <w:t xml:space="preserve">opioid analgesic </w:t>
      </w:r>
      <w:r w:rsidRPr="00B14378">
        <w:rPr>
          <w:b/>
        </w:rPr>
        <w:t>taper</w:t>
      </w:r>
      <w:r w:rsidR="00C81994" w:rsidRPr="00B14378">
        <w:rPr>
          <w:b/>
        </w:rPr>
        <w:t>ing</w:t>
      </w:r>
      <w:r w:rsidRPr="00B14378">
        <w:rPr>
          <w:b/>
        </w:rPr>
        <w:t xml:space="preserve"> include</w:t>
      </w:r>
      <w:r w:rsidRPr="00B14378">
        <w:t xml:space="preserve"> suspected lack of efficacy of opioid</w:t>
      </w:r>
      <w:r w:rsidR="00BE2D16" w:rsidRPr="00B14378">
        <w:t xml:space="preserve"> </w:t>
      </w:r>
      <w:r w:rsidRPr="00B14378">
        <w:t>in pain management</w:t>
      </w:r>
      <w:r w:rsidR="00B91269" w:rsidRPr="00B14378">
        <w:t xml:space="preserve"> (including increased pain sensitivity)</w:t>
      </w:r>
      <w:r w:rsidRPr="00B14378">
        <w:t>, hazardous/harmful use o</w:t>
      </w:r>
      <w:r w:rsidR="007920CF" w:rsidRPr="00B14378">
        <w:t>f</w:t>
      </w:r>
      <w:r w:rsidRPr="00B14378">
        <w:t xml:space="preserve"> opioid</w:t>
      </w:r>
      <w:r w:rsidR="00727C85" w:rsidRPr="00B14378">
        <w:t xml:space="preserve"> analgesics</w:t>
      </w:r>
      <w:r w:rsidRPr="00B14378">
        <w:t>, other adverse events (</w:t>
      </w:r>
      <w:r w:rsidR="005D1525" w:rsidRPr="00B14378">
        <w:t xml:space="preserve">respiratory depression, </w:t>
      </w:r>
      <w:r w:rsidRPr="00B14378">
        <w:t xml:space="preserve">tiredness, constipation, difficulty </w:t>
      </w:r>
      <w:r w:rsidR="00AB4E52" w:rsidRPr="00B14378">
        <w:t xml:space="preserve">in </w:t>
      </w:r>
      <w:r w:rsidRPr="00B14378">
        <w:t>concentrating</w:t>
      </w:r>
      <w:r w:rsidR="00377B65" w:rsidRPr="00B14378">
        <w:t>, difficult to treat depression and/or sexual dysfunction</w:t>
      </w:r>
      <w:r w:rsidRPr="00B14378">
        <w:t>)</w:t>
      </w:r>
      <w:r w:rsidR="00274F0F" w:rsidRPr="00B14378">
        <w:t>.</w:t>
      </w:r>
    </w:p>
    <w:p w14:paraId="49AFE738" w14:textId="3AACF112" w:rsidR="00877813" w:rsidRPr="00B14378" w:rsidRDefault="00976D86" w:rsidP="00B14378">
      <w:pPr>
        <w:pStyle w:val="ListParagraph"/>
      </w:pPr>
      <w:r w:rsidRPr="00B14378">
        <w:t xml:space="preserve">The </w:t>
      </w:r>
      <w:proofErr w:type="spellStart"/>
      <w:r w:rsidRPr="00B14378">
        <w:rPr>
          <w:b/>
        </w:rPr>
        <w:t>oMEDD</w:t>
      </w:r>
      <w:proofErr w:type="spellEnd"/>
      <w:r w:rsidRPr="00B14378">
        <w:t xml:space="preserve"> (oral morphine equivalent daily dose) is a measure of how potent the</w:t>
      </w:r>
      <w:r w:rsidR="00BE2D16" w:rsidRPr="00B14378">
        <w:t xml:space="preserve"> opioid analgesic</w:t>
      </w:r>
      <w:r w:rsidRPr="00B14378">
        <w:t xml:space="preserve"> dose is.  The Faculty of Pain Medicine have a simple dose calculator </w:t>
      </w:r>
      <w:hyperlink r:id="rId8" w:history="1">
        <w:r w:rsidRPr="00B14378">
          <w:rPr>
            <w:rStyle w:val="Hyperlink"/>
            <w:color w:val="000000"/>
            <w:u w:val="none"/>
          </w:rPr>
          <w:t>www.opioidcalculator.com.au</w:t>
        </w:r>
      </w:hyperlink>
      <w:r w:rsidRPr="00B14378">
        <w:t xml:space="preserve"> that is free to download, including as an app. </w:t>
      </w:r>
    </w:p>
    <w:p w14:paraId="2AEBBEA5" w14:textId="2A1028BA" w:rsidR="00950D01" w:rsidRPr="00B14378" w:rsidRDefault="00465DF7" w:rsidP="00B14378">
      <w:pPr>
        <w:pStyle w:val="ListParagraph"/>
      </w:pPr>
      <w:r w:rsidRPr="00B14378">
        <w:rPr>
          <w:b/>
        </w:rPr>
        <w:t xml:space="preserve">In particular, </w:t>
      </w:r>
      <w:r w:rsidR="00976D86" w:rsidRPr="00B14378">
        <w:rPr>
          <w:b/>
        </w:rPr>
        <w:t xml:space="preserve">CNCP patients </w:t>
      </w:r>
      <w:r w:rsidR="00AF207E" w:rsidRPr="00B14378">
        <w:rPr>
          <w:b/>
        </w:rPr>
        <w:t xml:space="preserve">taking </w:t>
      </w:r>
      <w:r w:rsidR="00976D86" w:rsidRPr="00B14378">
        <w:rPr>
          <w:b/>
        </w:rPr>
        <w:t xml:space="preserve">more than 60mg </w:t>
      </w:r>
      <w:proofErr w:type="spellStart"/>
      <w:r w:rsidR="00976D86" w:rsidRPr="00B14378">
        <w:rPr>
          <w:b/>
        </w:rPr>
        <w:t>oMEDD</w:t>
      </w:r>
      <w:proofErr w:type="spellEnd"/>
      <w:r w:rsidR="00976D86" w:rsidRPr="00B14378">
        <w:t xml:space="preserve"> should aim to taper to below this </w:t>
      </w:r>
      <w:r w:rsidR="00763D9C" w:rsidRPr="00B14378">
        <w:t>dose</w:t>
      </w:r>
      <w:r w:rsidR="00976D86" w:rsidRPr="00B14378">
        <w:t xml:space="preserve"> to improve safety outcomes.</w:t>
      </w:r>
      <w:r w:rsidR="004250CB" w:rsidRPr="00B14378">
        <w:t xml:space="preserve"> </w:t>
      </w:r>
      <w:r w:rsidR="008627A2" w:rsidRPr="00B14378">
        <w:t>U</w:t>
      </w:r>
      <w:r w:rsidR="004250CB" w:rsidRPr="00B14378">
        <w:t xml:space="preserve">se of 60 mg or higher </w:t>
      </w:r>
      <w:r w:rsidR="00976D86" w:rsidRPr="00B14378">
        <w:t>likely indicate</w:t>
      </w:r>
      <w:r w:rsidR="004250CB" w:rsidRPr="00B14378">
        <w:t>s</w:t>
      </w:r>
      <w:r w:rsidR="00976D86" w:rsidRPr="00B14378">
        <w:t xml:space="preserve"> pain that is poorly responsive to opioid</w:t>
      </w:r>
      <w:r w:rsidR="00727C85" w:rsidRPr="00B14378">
        <w:t xml:space="preserve"> analgesics</w:t>
      </w:r>
      <w:r w:rsidR="00976D86" w:rsidRPr="00B14378">
        <w:t xml:space="preserve"> and potential for harm.</w:t>
      </w:r>
      <w:r w:rsidR="00B82A00" w:rsidRPr="00B14378">
        <w:t xml:space="preserve"> </w:t>
      </w:r>
      <w:r w:rsidR="00950D01" w:rsidRPr="00B14378">
        <w:rPr>
          <w:b/>
        </w:rPr>
        <w:t xml:space="preserve">Patients with CNCP </w:t>
      </w:r>
      <w:r w:rsidR="00AF207E" w:rsidRPr="00B14378">
        <w:rPr>
          <w:b/>
        </w:rPr>
        <w:t xml:space="preserve">taking </w:t>
      </w:r>
      <w:r w:rsidR="00950D01" w:rsidRPr="00B14378">
        <w:rPr>
          <w:b/>
        </w:rPr>
        <w:t xml:space="preserve">less than 60 mg </w:t>
      </w:r>
      <w:proofErr w:type="spellStart"/>
      <w:r w:rsidR="00950D01" w:rsidRPr="00B14378">
        <w:rPr>
          <w:b/>
        </w:rPr>
        <w:t>oMEDD</w:t>
      </w:r>
      <w:proofErr w:type="spellEnd"/>
      <w:r w:rsidR="00950D01" w:rsidRPr="00B14378">
        <w:t xml:space="preserve"> should have an opioid</w:t>
      </w:r>
      <w:r w:rsidR="001B6F56" w:rsidRPr="00B14378">
        <w:t xml:space="preserve"> </w:t>
      </w:r>
      <w:r w:rsidR="00727C85" w:rsidRPr="00B14378">
        <w:t xml:space="preserve">analgesic </w:t>
      </w:r>
      <w:r w:rsidR="001B6F56" w:rsidRPr="00B14378">
        <w:t>tapering</w:t>
      </w:r>
      <w:r w:rsidR="00950D01" w:rsidRPr="00B14378">
        <w:t xml:space="preserve"> plan developed after discussion of possible tapering. </w:t>
      </w:r>
      <w:r w:rsidR="00C50077" w:rsidRPr="00B14378">
        <w:rPr>
          <w:b/>
        </w:rPr>
        <w:t>For frail or older patients and those prescribed other sedative medicines</w:t>
      </w:r>
      <w:r w:rsidR="00C50077" w:rsidRPr="00B14378">
        <w:t xml:space="preserve"> such as benzodiazepines, </w:t>
      </w:r>
      <w:proofErr w:type="spellStart"/>
      <w:r w:rsidR="00C50077" w:rsidRPr="00B14378">
        <w:t>gabapentinoids</w:t>
      </w:r>
      <w:proofErr w:type="spellEnd"/>
      <w:r w:rsidR="00C50077" w:rsidRPr="00B14378">
        <w:t xml:space="preserve"> or antipsychotics, a better </w:t>
      </w:r>
      <w:proofErr w:type="spellStart"/>
      <w:r w:rsidR="00C50077" w:rsidRPr="00B14378">
        <w:t>oMEDD</w:t>
      </w:r>
      <w:proofErr w:type="spellEnd"/>
      <w:r w:rsidR="00C50077" w:rsidRPr="00B14378">
        <w:t xml:space="preserve"> threshold is lower, at 30 to 40 mg.</w:t>
      </w:r>
    </w:p>
    <w:p w14:paraId="08A30621" w14:textId="77777777" w:rsidR="00F73126" w:rsidRPr="00FB7553" w:rsidRDefault="00920206" w:rsidP="00B14378">
      <w:pPr>
        <w:pStyle w:val="Heading2"/>
      </w:pPr>
      <w:r w:rsidRPr="00FB7553">
        <w:t>Having the</w:t>
      </w:r>
      <w:r w:rsidR="001B6F56" w:rsidRPr="00FB7553">
        <w:t xml:space="preserve"> opioid analgesic</w:t>
      </w:r>
      <w:r w:rsidRPr="00FB7553">
        <w:t xml:space="preserve"> tapering discussion</w:t>
      </w:r>
    </w:p>
    <w:p w14:paraId="712EDBB4" w14:textId="78C1FF38" w:rsidR="00880633" w:rsidRPr="00FB7553" w:rsidRDefault="008627A2" w:rsidP="00B14378">
      <w:pPr>
        <w:rPr>
          <w:i/>
          <w:iCs/>
        </w:rPr>
      </w:pPr>
      <w:r>
        <w:t>E</w:t>
      </w:r>
      <w:r w:rsidR="00880633" w:rsidRPr="00FB7553">
        <w:t>xplain</w:t>
      </w:r>
      <w:r w:rsidR="003227B5" w:rsidRPr="00FB7553">
        <w:t xml:space="preserve"> to the patient</w:t>
      </w:r>
      <w:r w:rsidR="00880633" w:rsidRPr="00FB7553">
        <w:t xml:space="preserve"> that </w:t>
      </w:r>
      <w:r w:rsidR="003227B5" w:rsidRPr="00FB7553">
        <w:t xml:space="preserve">taking </w:t>
      </w:r>
      <w:r w:rsidR="00880633" w:rsidRPr="00FB7553">
        <w:t>opioid</w:t>
      </w:r>
      <w:r w:rsidR="00727C85" w:rsidRPr="00FB7553">
        <w:t xml:space="preserve"> analgesics</w:t>
      </w:r>
      <w:r w:rsidR="00880633" w:rsidRPr="00FB7553">
        <w:t xml:space="preserve"> for long periods</w:t>
      </w:r>
      <w:r w:rsidR="003227B5" w:rsidRPr="00FB7553">
        <w:t xml:space="preserve"> may not be safe or beneficial</w:t>
      </w:r>
      <w:r w:rsidR="00880633" w:rsidRPr="00FB7553">
        <w:t>.</w:t>
      </w:r>
      <w:r w:rsidR="009309B4" w:rsidRPr="00FB7553">
        <w:t xml:space="preserve"> Outline the potential side effects of long-term opioid</w:t>
      </w:r>
      <w:r w:rsidR="001B6F56" w:rsidRPr="00FB7553">
        <w:t xml:space="preserve"> analgesic use</w:t>
      </w:r>
      <w:r w:rsidR="009309B4" w:rsidRPr="00FB7553">
        <w:t>, relating this to the patient, and the benefits of reducing the</w:t>
      </w:r>
      <w:r w:rsidR="00727C85" w:rsidRPr="00FB7553">
        <w:t>ir</w:t>
      </w:r>
      <w:r w:rsidR="009309B4" w:rsidRPr="00FB7553">
        <w:t xml:space="preserve"> dose. </w:t>
      </w:r>
    </w:p>
    <w:p w14:paraId="2DAF7FAE" w14:textId="018AE2F3" w:rsidR="00E156FE" w:rsidRPr="00FB7553" w:rsidRDefault="00DB7B6F" w:rsidP="00B14378">
      <w:r w:rsidRPr="00FB7553">
        <w:t>D</w:t>
      </w:r>
      <w:r w:rsidR="00E156FE" w:rsidRPr="00FB7553">
        <w:t xml:space="preserve">iscussions about future opioid </w:t>
      </w:r>
      <w:r w:rsidR="00727C85" w:rsidRPr="00FB7553">
        <w:t xml:space="preserve">analgesic </w:t>
      </w:r>
      <w:r w:rsidR="00E156FE" w:rsidRPr="00FB7553">
        <w:t>prescribing with patients who have been on opioids for a significant period are challenging</w:t>
      </w:r>
      <w:r w:rsidR="00727C85" w:rsidRPr="00FB7553">
        <w:t>. The discussion</w:t>
      </w:r>
      <w:r w:rsidRPr="00FB7553">
        <w:t xml:space="preserve"> </w:t>
      </w:r>
      <w:r w:rsidR="00E156FE" w:rsidRPr="00FB7553">
        <w:t>should not always start from the view that a lower dose</w:t>
      </w:r>
      <w:r w:rsidR="00727C85" w:rsidRPr="00FB7553">
        <w:t xml:space="preserve"> of opioid analgesic</w:t>
      </w:r>
      <w:r w:rsidR="00E156FE" w:rsidRPr="00FB7553">
        <w:t xml:space="preserve"> is preferable for </w:t>
      </w:r>
      <w:r w:rsidR="00D921C4" w:rsidRPr="00FB7553">
        <w:t xml:space="preserve">each </w:t>
      </w:r>
      <w:r w:rsidR="00E156FE" w:rsidRPr="00FB7553">
        <w:t>patient</w:t>
      </w:r>
      <w:r w:rsidR="00976D86" w:rsidRPr="00FB7553">
        <w:t xml:space="preserve"> who </w:t>
      </w:r>
      <w:r w:rsidR="00D921C4" w:rsidRPr="00FB7553">
        <w:t>is</w:t>
      </w:r>
      <w:r w:rsidR="00976D86" w:rsidRPr="00FB7553">
        <w:t xml:space="preserve"> on less than 60 </w:t>
      </w:r>
      <w:r w:rsidR="00D921C4" w:rsidRPr="00FB7553">
        <w:t xml:space="preserve">mg </w:t>
      </w:r>
      <w:proofErr w:type="spellStart"/>
      <w:r w:rsidR="00D921C4" w:rsidRPr="00FB7553">
        <w:t>oMEDD</w:t>
      </w:r>
      <w:proofErr w:type="spellEnd"/>
      <w:r w:rsidRPr="00FB7553">
        <w:t xml:space="preserve">. </w:t>
      </w:r>
      <w:r w:rsidR="00B82A00" w:rsidRPr="00FB7553">
        <w:t xml:space="preserve">Noting a lower threshold </w:t>
      </w:r>
      <w:proofErr w:type="spellStart"/>
      <w:r w:rsidR="00B82A00" w:rsidRPr="00FB7553">
        <w:t>oMEDD</w:t>
      </w:r>
      <w:proofErr w:type="spellEnd"/>
      <w:r w:rsidR="00B82A00" w:rsidRPr="00FB7553">
        <w:t xml:space="preserve"> of 30 mg in older, frail patients and those prescribed other sedating medicines.</w:t>
      </w:r>
      <w:r w:rsidR="00E156FE" w:rsidRPr="00FB7553">
        <w:t xml:space="preserve"> </w:t>
      </w:r>
      <w:r w:rsidR="00B03DE2" w:rsidRPr="00FB7553">
        <w:t>It is important to reassure the patient that opioid</w:t>
      </w:r>
      <w:r w:rsidR="00727C85" w:rsidRPr="00FB7553">
        <w:t xml:space="preserve"> analgesic</w:t>
      </w:r>
      <w:r w:rsidR="00B03DE2" w:rsidRPr="00FB7553">
        <w:t xml:space="preserve"> </w:t>
      </w:r>
      <w:r w:rsidR="001B6F56" w:rsidRPr="00FB7553">
        <w:t>tapering</w:t>
      </w:r>
      <w:r w:rsidR="00B03DE2" w:rsidRPr="00FB7553">
        <w:t xml:space="preserve"> does not mean that you will abandon them</w:t>
      </w:r>
      <w:r w:rsidR="00727C85" w:rsidRPr="00FB7553">
        <w:t>,</w:t>
      </w:r>
      <w:r w:rsidR="00B03DE2" w:rsidRPr="00FB7553">
        <w:t xml:space="preserve"> and that you will continue to </w:t>
      </w:r>
      <w:r w:rsidR="00175ECE" w:rsidRPr="00FB7553">
        <w:t xml:space="preserve">support them to take </w:t>
      </w:r>
      <w:proofErr w:type="gramStart"/>
      <w:r w:rsidR="00175ECE" w:rsidRPr="00FB7553">
        <w:t>up more efficient strategies they can use in the longer term</w:t>
      </w:r>
      <w:proofErr w:type="gramEnd"/>
      <w:r w:rsidR="00B03DE2" w:rsidRPr="00FB7553">
        <w:t xml:space="preserve">. Transition from opioid </w:t>
      </w:r>
      <w:r w:rsidR="00727C85" w:rsidRPr="00FB7553">
        <w:t xml:space="preserve">analgesic </w:t>
      </w:r>
      <w:r w:rsidR="00B03DE2" w:rsidRPr="00FB7553">
        <w:t xml:space="preserve">treatment to supported self-management </w:t>
      </w:r>
      <w:r w:rsidR="00B82A00" w:rsidRPr="00FB7553">
        <w:t xml:space="preserve">and other pain management strategies </w:t>
      </w:r>
      <w:proofErr w:type="gramStart"/>
      <w:r w:rsidR="00B03DE2" w:rsidRPr="00FB7553">
        <w:t xml:space="preserve">is </w:t>
      </w:r>
      <w:r w:rsidR="00D40EF7" w:rsidRPr="00FB7553">
        <w:t>strongly</w:t>
      </w:r>
      <w:r w:rsidR="007D4168" w:rsidRPr="00FB7553">
        <w:t xml:space="preserve"> </w:t>
      </w:r>
      <w:r w:rsidR="00B03DE2" w:rsidRPr="00FB7553">
        <w:t>supported</w:t>
      </w:r>
      <w:proofErr w:type="gramEnd"/>
      <w:r w:rsidR="00B03DE2" w:rsidRPr="00FB7553">
        <w:t xml:space="preserve"> by evidence.</w:t>
      </w:r>
    </w:p>
    <w:p w14:paraId="0F8BF69A" w14:textId="71E66A9E" w:rsidR="00877813" w:rsidRPr="00FB7553" w:rsidRDefault="00E156FE" w:rsidP="00B14378">
      <w:pPr>
        <w:rPr>
          <w:i/>
          <w:color w:val="000000" w:themeColor="text1"/>
        </w:rPr>
      </w:pPr>
      <w:r w:rsidRPr="00FB7553">
        <w:t>Successful</w:t>
      </w:r>
      <w:r w:rsidR="001B6F56" w:rsidRPr="00FB7553">
        <w:t xml:space="preserve"> opioid analgesic</w:t>
      </w:r>
      <w:r w:rsidRPr="00FB7553">
        <w:t xml:space="preserve"> tapering can take time</w:t>
      </w:r>
      <w:r w:rsidR="00B82A00" w:rsidRPr="00FB7553">
        <w:t xml:space="preserve"> with multiple facilitators, most importantly the patient</w:t>
      </w:r>
      <w:r w:rsidR="00370A87" w:rsidRPr="00FB7553">
        <w:t xml:space="preserve">. </w:t>
      </w:r>
      <w:r w:rsidR="00B82A00" w:rsidRPr="00FB7553">
        <w:t xml:space="preserve">Tapering </w:t>
      </w:r>
      <w:proofErr w:type="gramStart"/>
      <w:r w:rsidR="00B82A00" w:rsidRPr="00FB7553">
        <w:t>is supported</w:t>
      </w:r>
      <w:proofErr w:type="gramEnd"/>
      <w:r w:rsidR="00B82A00" w:rsidRPr="00FB7553">
        <w:t xml:space="preserve"> by</w:t>
      </w:r>
      <w:r w:rsidR="00370A87" w:rsidRPr="00FB7553">
        <w:t xml:space="preserve"> policy and regulation, clinician expertise including holding therapeutic boundaries </w:t>
      </w:r>
      <w:r w:rsidR="00B82A00" w:rsidRPr="00FB7553">
        <w:t xml:space="preserve">with empathy </w:t>
      </w:r>
      <w:r w:rsidR="00370A87" w:rsidRPr="00FB7553">
        <w:t xml:space="preserve">and patient </w:t>
      </w:r>
      <w:r w:rsidR="00B82A00" w:rsidRPr="00FB7553">
        <w:t>empowerment</w:t>
      </w:r>
      <w:r w:rsidR="00370A87" w:rsidRPr="00FB7553">
        <w:t xml:space="preserve">, opportunity and motivation. </w:t>
      </w:r>
      <w:r w:rsidR="001B6F56" w:rsidRPr="00FB7553">
        <w:t>Opioid analgesic t</w:t>
      </w:r>
      <w:r w:rsidR="00370A87" w:rsidRPr="00FB7553">
        <w:t>apering</w:t>
      </w:r>
      <w:r w:rsidRPr="00FB7553">
        <w:t xml:space="preserve"> is </w:t>
      </w:r>
      <w:r w:rsidR="003227B5" w:rsidRPr="00FB7553">
        <w:t>more likely to succeed</w:t>
      </w:r>
      <w:r w:rsidRPr="00FB7553">
        <w:t xml:space="preserve"> when </w:t>
      </w:r>
      <w:r w:rsidR="002F34FF" w:rsidRPr="00FB7553">
        <w:t>there</w:t>
      </w:r>
      <w:r w:rsidR="00E403B8" w:rsidRPr="00FB7553">
        <w:t xml:space="preserve"> </w:t>
      </w:r>
      <w:r w:rsidRPr="00FB7553">
        <w:t xml:space="preserve">is </w:t>
      </w:r>
      <w:r w:rsidR="00E403B8" w:rsidRPr="00FB7553">
        <w:t xml:space="preserve">a </w:t>
      </w:r>
      <w:r w:rsidRPr="00FB7553">
        <w:t>shared decision between the prescriber and patient</w:t>
      </w:r>
      <w:r w:rsidR="00E403B8" w:rsidRPr="00FB7553">
        <w:t>. In particular</w:t>
      </w:r>
      <w:r w:rsidR="0027386D" w:rsidRPr="00FB7553">
        <w:t>,</w:t>
      </w:r>
      <w:r w:rsidR="00E403B8" w:rsidRPr="00FB7553">
        <w:t xml:space="preserve"> be clear when the patient has made an active decision to taper</w:t>
      </w:r>
      <w:r w:rsidR="001B6F56" w:rsidRPr="00FB7553">
        <w:t xml:space="preserve"> their opioid analgesic</w:t>
      </w:r>
      <w:r w:rsidR="003A2BE1" w:rsidRPr="00FB7553">
        <w:t>, and document and agree on the tapering plan</w:t>
      </w:r>
      <w:r w:rsidR="00E403B8" w:rsidRPr="00FB7553">
        <w:t xml:space="preserve">. </w:t>
      </w:r>
      <w:r w:rsidR="008627A2">
        <w:t>R</w:t>
      </w:r>
      <w:r w:rsidR="00E403B8" w:rsidRPr="00FB7553">
        <w:t>ecognise there is variability in</w:t>
      </w:r>
      <w:r w:rsidR="00B82A00" w:rsidRPr="00FB7553">
        <w:t xml:space="preserve"> the</w:t>
      </w:r>
      <w:r w:rsidR="00E403B8" w:rsidRPr="00FB7553">
        <w:t xml:space="preserve"> level of </w:t>
      </w:r>
      <w:r w:rsidR="001B6F56" w:rsidRPr="00FB7553">
        <w:t xml:space="preserve">opioid </w:t>
      </w:r>
      <w:r w:rsidR="00E403B8" w:rsidRPr="00FB7553">
        <w:t>tapering and discomfort patients can or will accept</w:t>
      </w:r>
      <w:r w:rsidR="00D36376" w:rsidRPr="00FB7553">
        <w:t xml:space="preserve"> that will guide the approach</w:t>
      </w:r>
      <w:r w:rsidR="00E403B8" w:rsidRPr="00FB7553">
        <w:t xml:space="preserve">. </w:t>
      </w:r>
    </w:p>
    <w:p w14:paraId="0780383B" w14:textId="5622C144" w:rsidR="004026AA" w:rsidRPr="00FB7553" w:rsidRDefault="001B6F56" w:rsidP="00B14378">
      <w:pPr>
        <w:pStyle w:val="Heading2"/>
      </w:pPr>
      <w:r w:rsidRPr="00FB7553">
        <w:t>Opioid analgesic t</w:t>
      </w:r>
      <w:r w:rsidR="004026AA" w:rsidRPr="00FB7553">
        <w:t>apering protocols</w:t>
      </w:r>
    </w:p>
    <w:p w14:paraId="7BB07D39" w14:textId="53C4DFD0" w:rsidR="00BA256D" w:rsidRPr="00FB7553" w:rsidRDefault="0027386D" w:rsidP="005E3E08">
      <w:r w:rsidRPr="00FB7553">
        <w:t>Whether a fast</w:t>
      </w:r>
      <w:r w:rsidR="0017074C" w:rsidRPr="00FB7553">
        <w:t xml:space="preserve">er </w:t>
      </w:r>
      <w:r w:rsidRPr="00FB7553">
        <w:t>or gradual</w:t>
      </w:r>
      <w:r w:rsidR="001B6F56" w:rsidRPr="00FB7553">
        <w:t xml:space="preserve"> opioid analgesic</w:t>
      </w:r>
      <w:r w:rsidRPr="00FB7553">
        <w:t xml:space="preserve"> taper</w:t>
      </w:r>
      <w:r w:rsidR="00C81994" w:rsidRPr="00FB7553">
        <w:t>ing</w:t>
      </w:r>
      <w:r w:rsidRPr="00FB7553">
        <w:t xml:space="preserve"> is best will depend on the level of </w:t>
      </w:r>
      <w:proofErr w:type="gramStart"/>
      <w:r w:rsidRPr="00FB7553">
        <w:t>patient engagement</w:t>
      </w:r>
      <w:r w:rsidR="0017074C" w:rsidRPr="00FB7553">
        <w:t xml:space="preserve">, </w:t>
      </w:r>
      <w:r w:rsidRPr="00FB7553">
        <w:t xml:space="preserve">and how the patient progresses during </w:t>
      </w:r>
      <w:r w:rsidR="001B6F56" w:rsidRPr="00FB7553">
        <w:t>tapering</w:t>
      </w:r>
      <w:r w:rsidRPr="00FB7553">
        <w:t xml:space="preserve"> (e.g. withdrawal symptoms)</w:t>
      </w:r>
      <w:proofErr w:type="gramEnd"/>
      <w:r w:rsidRPr="00FB7553">
        <w:t>. In general</w:t>
      </w:r>
      <w:r w:rsidR="00402AF3" w:rsidRPr="00FB7553">
        <w:t>,</w:t>
      </w:r>
      <w:r w:rsidR="00AF207E" w:rsidRPr="00FB7553">
        <w:t xml:space="preserve"> switching</w:t>
      </w:r>
      <w:r w:rsidRPr="00FB7553">
        <w:t xml:space="preserve"> between different opioid</w:t>
      </w:r>
      <w:r w:rsidR="00727C85" w:rsidRPr="00FB7553">
        <w:t xml:space="preserve"> analgesics</w:t>
      </w:r>
      <w:r w:rsidRPr="00FB7553">
        <w:t xml:space="preserve"> during tapering may be unsettling to the patient</w:t>
      </w:r>
      <w:r w:rsidR="009F1F1A" w:rsidRPr="00FB7553">
        <w:t>. However</w:t>
      </w:r>
      <w:r w:rsidR="0017074C" w:rsidRPr="00FB7553">
        <w:t>,</w:t>
      </w:r>
      <w:r w:rsidR="009F1F1A" w:rsidRPr="00FB7553">
        <w:t xml:space="preserve"> </w:t>
      </w:r>
      <w:r w:rsidR="00AF207E" w:rsidRPr="00FB7553">
        <w:t>switching</w:t>
      </w:r>
      <w:r w:rsidR="009F1F1A" w:rsidRPr="00FB7553">
        <w:t xml:space="preserve"> from opioid</w:t>
      </w:r>
      <w:r w:rsidR="00727C85" w:rsidRPr="00FB7553">
        <w:t xml:space="preserve"> analgesics</w:t>
      </w:r>
      <w:r w:rsidR="0017074C" w:rsidRPr="00FB7553">
        <w:t>,</w:t>
      </w:r>
      <w:r w:rsidR="009F1F1A" w:rsidRPr="00FB7553">
        <w:t xml:space="preserve"> such as oxycodone to buprenorphine (a partial agonist)</w:t>
      </w:r>
      <w:r w:rsidR="00E615EB" w:rsidRPr="00FB7553">
        <w:t>,</w:t>
      </w:r>
      <w:r w:rsidR="009F1F1A" w:rsidRPr="00FB7553">
        <w:t xml:space="preserve"> may be appropriate for those patients who may be at risk of</w:t>
      </w:r>
      <w:r w:rsidR="00FB7553">
        <w:t xml:space="preserve"> overdose</w:t>
      </w:r>
      <w:r w:rsidR="009F1F1A" w:rsidRPr="00FB7553">
        <w:t xml:space="preserve">. </w:t>
      </w:r>
      <w:r w:rsidR="00C0488A" w:rsidRPr="00FB7553">
        <w:t>Pain management</w:t>
      </w:r>
      <w:r w:rsidR="009F1F1A" w:rsidRPr="00FB7553">
        <w:t xml:space="preserve"> services are usually willing to provide telephone advice to </w:t>
      </w:r>
      <w:r w:rsidR="00C0488A" w:rsidRPr="00FB7553">
        <w:t>prescribers</w:t>
      </w:r>
      <w:r w:rsidR="009F1F1A" w:rsidRPr="00FB7553">
        <w:t xml:space="preserve"> to </w:t>
      </w:r>
      <w:r w:rsidR="00D921C4" w:rsidRPr="00FB7553">
        <w:t xml:space="preserve">support </w:t>
      </w:r>
      <w:r w:rsidR="00C0488A" w:rsidRPr="00FB7553">
        <w:lastRenderedPageBreak/>
        <w:t>replacement of</w:t>
      </w:r>
      <w:r w:rsidR="00D921C4" w:rsidRPr="00FB7553">
        <w:t xml:space="preserve"> poorly performing treatments such as opioid</w:t>
      </w:r>
      <w:r w:rsidR="003A16C2" w:rsidRPr="00FB7553">
        <w:t xml:space="preserve"> analgesics</w:t>
      </w:r>
      <w:r w:rsidR="00D921C4" w:rsidRPr="00FB7553">
        <w:t xml:space="preserve"> with better or safer alternatives</w:t>
      </w:r>
      <w:r w:rsidR="009F1F1A" w:rsidRPr="00FB7553">
        <w:t xml:space="preserve"> for particular patients.</w:t>
      </w:r>
      <w:r w:rsidR="00727C85" w:rsidRPr="00FB7553">
        <w:t xml:space="preserve"> </w:t>
      </w:r>
    </w:p>
    <w:p w14:paraId="457793F8" w14:textId="3E6E098E" w:rsidR="00286D4B" w:rsidRPr="005E3E08" w:rsidRDefault="00BA256D" w:rsidP="005E3E08">
      <w:pPr>
        <w:rPr>
          <w:sz w:val="21"/>
        </w:rPr>
      </w:pPr>
      <w:r w:rsidRPr="00FB7553">
        <w:t>At every consultation, give the patient a</w:t>
      </w:r>
      <w:r w:rsidR="00702F52" w:rsidRPr="00FB7553">
        <w:t xml:space="preserve"> </w:t>
      </w:r>
      <w:r w:rsidRPr="00FB7553">
        <w:t>written tapering plan</w:t>
      </w:r>
      <w:r w:rsidR="00365158" w:rsidRPr="00FB7553">
        <w:t xml:space="preserve">. </w:t>
      </w:r>
      <w:r w:rsidR="00D921C4" w:rsidRPr="00FB7553">
        <w:t>With the patient’s agreement</w:t>
      </w:r>
      <w:r w:rsidRPr="00FB7553">
        <w:t xml:space="preserve">, </w:t>
      </w:r>
      <w:r w:rsidR="00365158" w:rsidRPr="00FB7553">
        <w:t xml:space="preserve">communicate the plans with the patient’s </w:t>
      </w:r>
      <w:r w:rsidRPr="00FB7553">
        <w:t>nominated pharmacy</w:t>
      </w:r>
      <w:r w:rsidR="00365158" w:rsidRPr="00FB7553">
        <w:t xml:space="preserve"> to reinforce the plan</w:t>
      </w:r>
      <w:r w:rsidR="000F3BF8" w:rsidRPr="00FB7553">
        <w:t>.</w:t>
      </w:r>
      <w:r w:rsidR="00365158" w:rsidRPr="00FB7553">
        <w:t xml:space="preserve"> </w:t>
      </w:r>
      <w:r w:rsidR="000F3BF8" w:rsidRPr="00FB7553">
        <w:t>P</w:t>
      </w:r>
      <w:r w:rsidRPr="00FB7553">
        <w:t xml:space="preserve">rescribe only enough of the opioid </w:t>
      </w:r>
      <w:r w:rsidR="00D36376" w:rsidRPr="00FB7553">
        <w:t xml:space="preserve">analgesic </w:t>
      </w:r>
      <w:r w:rsidRPr="00FB7553">
        <w:t xml:space="preserve">until the </w:t>
      </w:r>
      <w:r w:rsidR="00365158" w:rsidRPr="00FB7553">
        <w:t xml:space="preserve">agreed </w:t>
      </w:r>
      <w:r w:rsidR="00D36376" w:rsidRPr="00FB7553">
        <w:t xml:space="preserve">review </w:t>
      </w:r>
      <w:r w:rsidRPr="00FB7553">
        <w:t>date</w:t>
      </w:r>
      <w:r w:rsidR="00D921C4" w:rsidRPr="00FB7553">
        <w:t xml:space="preserve"> and emphasise that “bridging” prescriptions </w:t>
      </w:r>
      <w:proofErr w:type="gramStart"/>
      <w:r w:rsidR="00D921C4" w:rsidRPr="00FB7553">
        <w:t>will not be provided</w:t>
      </w:r>
      <w:proofErr w:type="gramEnd"/>
      <w:r w:rsidRPr="00FB7553">
        <w:t>.</w:t>
      </w:r>
    </w:p>
    <w:p w14:paraId="177478A6" w14:textId="77777777" w:rsidR="004026AA" w:rsidRPr="005E3E08" w:rsidRDefault="004026AA" w:rsidP="005E3E08">
      <w:pPr>
        <w:pStyle w:val="Heading3"/>
      </w:pPr>
      <w:r w:rsidRPr="005E3E08">
        <w:t xml:space="preserve">Gradual taper </w:t>
      </w:r>
    </w:p>
    <w:p w14:paraId="6A452CD4" w14:textId="70CC0B18" w:rsidR="004026AA" w:rsidRPr="005E3E08" w:rsidRDefault="004026AA" w:rsidP="005E3E08">
      <w:pPr>
        <w:pStyle w:val="ListParagraph"/>
      </w:pPr>
      <w:r w:rsidRPr="00FB7553">
        <w:t xml:space="preserve">Rationalise the </w:t>
      </w:r>
      <w:r w:rsidR="009F1F1A" w:rsidRPr="00FB7553">
        <w:t>pati</w:t>
      </w:r>
      <w:r w:rsidR="009F1F1A" w:rsidRPr="005E3E08">
        <w:t xml:space="preserve">ent’s </w:t>
      </w:r>
      <w:r w:rsidRPr="005E3E08">
        <w:t>regimen to a single modified release opioid</w:t>
      </w:r>
      <w:r w:rsidR="0011275F" w:rsidRPr="005E3E08">
        <w:t xml:space="preserve"> analgesic</w:t>
      </w:r>
      <w:r w:rsidRPr="005E3E08">
        <w:t xml:space="preserve">. </w:t>
      </w:r>
      <w:r w:rsidR="00D921C4" w:rsidRPr="005E3E08">
        <w:t xml:space="preserve">However, in patients on higher doses of an immediate release opioid, taper on the same product. </w:t>
      </w:r>
    </w:p>
    <w:p w14:paraId="7AD5A784" w14:textId="651ADF5B" w:rsidR="004026AA" w:rsidRPr="005E3E08" w:rsidRDefault="004026AA" w:rsidP="005E3E08">
      <w:pPr>
        <w:pStyle w:val="ListParagraph"/>
      </w:pPr>
      <w:r w:rsidRPr="005E3E08">
        <w:t xml:space="preserve">When stabilised, the </w:t>
      </w:r>
      <w:r w:rsidR="00702F52" w:rsidRPr="005E3E08">
        <w:t xml:space="preserve">opioid </w:t>
      </w:r>
      <w:r w:rsidRPr="005E3E08">
        <w:t xml:space="preserve">dose </w:t>
      </w:r>
      <w:proofErr w:type="gramStart"/>
      <w:r w:rsidRPr="005E3E08">
        <w:t>should be reduced</w:t>
      </w:r>
      <w:proofErr w:type="gramEnd"/>
      <w:r w:rsidRPr="005E3E08">
        <w:t xml:space="preserve"> slowly by 5</w:t>
      </w:r>
      <w:r w:rsidR="00C81994" w:rsidRPr="005E3E08">
        <w:t xml:space="preserve"> to </w:t>
      </w:r>
      <w:r w:rsidR="00D921C4" w:rsidRPr="005E3E08">
        <w:t>2</w:t>
      </w:r>
      <w:r w:rsidRPr="005E3E08">
        <w:t xml:space="preserve">0% </w:t>
      </w:r>
      <w:proofErr w:type="spellStart"/>
      <w:r w:rsidR="00702F52" w:rsidRPr="005E3E08">
        <w:t>oMEDD</w:t>
      </w:r>
      <w:proofErr w:type="spellEnd"/>
      <w:r w:rsidR="00702F52" w:rsidRPr="005E3E08">
        <w:t xml:space="preserve"> </w:t>
      </w:r>
      <w:r w:rsidRPr="005E3E08">
        <w:rPr>
          <w:b/>
        </w:rPr>
        <w:t>each month</w:t>
      </w:r>
      <w:r w:rsidRPr="005E3E08">
        <w:t xml:space="preserve">.  </w:t>
      </w:r>
      <w:r w:rsidR="00915DC0" w:rsidRPr="005E3E08">
        <w:t>S</w:t>
      </w:r>
      <w:r w:rsidR="00C51BD9" w:rsidRPr="005E3E08">
        <w:t xml:space="preserve">ome symptoms of </w:t>
      </w:r>
      <w:r w:rsidRPr="005E3E08">
        <w:t xml:space="preserve">withdrawal and transient rebound pain </w:t>
      </w:r>
      <w:r w:rsidR="00C51BD9" w:rsidRPr="005E3E08">
        <w:t>may last</w:t>
      </w:r>
      <w:r w:rsidRPr="005E3E08">
        <w:t xml:space="preserve"> </w:t>
      </w:r>
      <w:r w:rsidR="00C0488A" w:rsidRPr="005E3E08">
        <w:t>several</w:t>
      </w:r>
      <w:r w:rsidRPr="005E3E08">
        <w:t xml:space="preserve"> weeks</w:t>
      </w:r>
      <w:r w:rsidR="00402AF3" w:rsidRPr="005E3E08">
        <w:t>.</w:t>
      </w:r>
    </w:p>
    <w:p w14:paraId="71885F5F" w14:textId="264064D5" w:rsidR="004026AA" w:rsidRPr="00FB7553" w:rsidRDefault="004026AA" w:rsidP="005E3E08">
      <w:pPr>
        <w:pStyle w:val="ListParagraph"/>
      </w:pPr>
      <w:r w:rsidRPr="005E3E08">
        <w:t xml:space="preserve">In the case of persisting or recurrent withdrawal symptoms, </w:t>
      </w:r>
      <w:r w:rsidR="00C51BD9" w:rsidRPr="005E3E08">
        <w:t xml:space="preserve">consider </w:t>
      </w:r>
      <w:r w:rsidRPr="005E3E08">
        <w:t>revert</w:t>
      </w:r>
      <w:r w:rsidR="00C51BD9" w:rsidRPr="005E3E08">
        <w:t>ing</w:t>
      </w:r>
      <w:r w:rsidRPr="005E3E08">
        <w:t xml:space="preserve"> to the previous lowest tolerated dose. </w:t>
      </w:r>
      <w:r w:rsidR="00C51BD9" w:rsidRPr="005E3E08">
        <w:t>The</w:t>
      </w:r>
      <w:r w:rsidR="00C51BD9" w:rsidRPr="00FB7553">
        <w:t>n slow the process by r</w:t>
      </w:r>
      <w:r w:rsidRPr="00FB7553">
        <w:t>ecommenc</w:t>
      </w:r>
      <w:r w:rsidR="00C51BD9" w:rsidRPr="00FB7553">
        <w:t>ing</w:t>
      </w:r>
      <w:r w:rsidRPr="00FB7553">
        <w:t xml:space="preserve"> weaning after 6</w:t>
      </w:r>
      <w:r w:rsidR="00C81994" w:rsidRPr="00FB7553">
        <w:t xml:space="preserve"> to </w:t>
      </w:r>
      <w:r w:rsidRPr="00FB7553">
        <w:t xml:space="preserve">12 weeks at lower weaning rate (e.g. </w:t>
      </w:r>
      <w:r w:rsidR="009F1F1A" w:rsidRPr="00FB7553">
        <w:t xml:space="preserve">by </w:t>
      </w:r>
      <w:r w:rsidRPr="00FB7553">
        <w:t>5</w:t>
      </w:r>
      <w:r w:rsidR="00C81994" w:rsidRPr="00FB7553">
        <w:t xml:space="preserve"> to </w:t>
      </w:r>
      <w:r w:rsidRPr="00FB7553">
        <w:t>10</w:t>
      </w:r>
      <w:r w:rsidR="009F1F1A" w:rsidRPr="00FB7553">
        <w:t xml:space="preserve"> </w:t>
      </w:r>
      <w:r w:rsidRPr="00FB7553">
        <w:t xml:space="preserve">% </w:t>
      </w:r>
      <w:proofErr w:type="spellStart"/>
      <w:r w:rsidR="00702F52" w:rsidRPr="00FB7553">
        <w:t>oMEDD</w:t>
      </w:r>
      <w:proofErr w:type="spellEnd"/>
      <w:r w:rsidR="00702F52" w:rsidRPr="00FB7553">
        <w:t xml:space="preserve"> </w:t>
      </w:r>
      <w:r w:rsidRPr="00FB7553">
        <w:t>every 2</w:t>
      </w:r>
      <w:r w:rsidR="00C81994" w:rsidRPr="00FB7553">
        <w:t xml:space="preserve"> to </w:t>
      </w:r>
      <w:r w:rsidRPr="00FB7553">
        <w:t>3 months).   </w:t>
      </w:r>
    </w:p>
    <w:p w14:paraId="17BFB96C" w14:textId="77777777" w:rsidR="004026AA" w:rsidRPr="00FB7553" w:rsidRDefault="004026AA" w:rsidP="005E3E08">
      <w:pPr>
        <w:pStyle w:val="Heading3"/>
      </w:pPr>
      <w:r w:rsidRPr="00FB7553">
        <w:t xml:space="preserve">Faster </w:t>
      </w:r>
      <w:r w:rsidR="00CB55FB" w:rsidRPr="00FB7553">
        <w:t>taper</w:t>
      </w:r>
    </w:p>
    <w:p w14:paraId="31392C18" w14:textId="5D32E2B1" w:rsidR="00F73126" w:rsidRPr="005E3E08" w:rsidRDefault="00702F52" w:rsidP="005E3E08">
      <w:pPr>
        <w:pStyle w:val="ListParagraph"/>
      </w:pPr>
      <w:r w:rsidRPr="00FB7553">
        <w:t xml:space="preserve">If tapering </w:t>
      </w:r>
      <w:r w:rsidRPr="005E3E08">
        <w:t>after a short (&lt; 3 month) period of opioid analgesic treatment or opioid analgesic trial, r</w:t>
      </w:r>
      <w:r w:rsidR="004026AA" w:rsidRPr="005E3E08">
        <w:t>educe</w:t>
      </w:r>
      <w:r w:rsidRPr="005E3E08">
        <w:t xml:space="preserve"> dose </w:t>
      </w:r>
      <w:r w:rsidR="004026AA" w:rsidRPr="005E3E08">
        <w:t>by</w:t>
      </w:r>
      <w:r w:rsidR="00F73126" w:rsidRPr="005E3E08">
        <w:t xml:space="preserve"> </w:t>
      </w:r>
      <w:r w:rsidR="004026AA" w:rsidRPr="005E3E08">
        <w:t>10</w:t>
      </w:r>
      <w:r w:rsidR="00C81994" w:rsidRPr="005E3E08">
        <w:t xml:space="preserve"> to </w:t>
      </w:r>
      <w:r w:rsidR="004026AA" w:rsidRPr="005E3E08">
        <w:t xml:space="preserve">25% </w:t>
      </w:r>
      <w:proofErr w:type="spellStart"/>
      <w:r w:rsidRPr="005E3E08">
        <w:t>o</w:t>
      </w:r>
      <w:r w:rsidR="004026AA" w:rsidRPr="005E3E08">
        <w:t>MEDD</w:t>
      </w:r>
      <w:proofErr w:type="spellEnd"/>
      <w:r w:rsidR="003A598A" w:rsidRPr="005E3E08">
        <w:t xml:space="preserve"> </w:t>
      </w:r>
      <w:r w:rsidR="004026AA" w:rsidRPr="005E3E08">
        <w:rPr>
          <w:b/>
        </w:rPr>
        <w:t>every week</w:t>
      </w:r>
      <w:r w:rsidR="00402AF3" w:rsidRPr="005E3E08">
        <w:t>.</w:t>
      </w:r>
      <w:r w:rsidR="004026AA" w:rsidRPr="005E3E08">
        <w:t xml:space="preserve"> </w:t>
      </w:r>
    </w:p>
    <w:p w14:paraId="795D4F9C" w14:textId="53763547" w:rsidR="009F1F1A" w:rsidRPr="00FB7553" w:rsidRDefault="00702F52" w:rsidP="005E3E08">
      <w:pPr>
        <w:pStyle w:val="ListParagraph"/>
      </w:pPr>
      <w:r w:rsidRPr="005E3E08">
        <w:t>If significan</w:t>
      </w:r>
      <w:r w:rsidRPr="00FB7553">
        <w:t xml:space="preserve">t adverse events or significant risk of harm likely if current opioid analgesic dose </w:t>
      </w:r>
      <w:proofErr w:type="gramStart"/>
      <w:r w:rsidRPr="00FB7553">
        <w:t>is maintained</w:t>
      </w:r>
      <w:proofErr w:type="gramEnd"/>
      <w:r w:rsidRPr="00FB7553">
        <w:t>, r</w:t>
      </w:r>
      <w:r w:rsidR="00F73126" w:rsidRPr="00FB7553">
        <w:t>educe</w:t>
      </w:r>
      <w:r w:rsidRPr="00FB7553">
        <w:t xml:space="preserve"> dose</w:t>
      </w:r>
      <w:r w:rsidR="00F73126" w:rsidRPr="00FB7553">
        <w:t xml:space="preserve"> by </w:t>
      </w:r>
      <w:r w:rsidR="004026AA" w:rsidRPr="00FB7553">
        <w:t>10</w:t>
      </w:r>
      <w:r w:rsidR="00C81994" w:rsidRPr="00FB7553">
        <w:t xml:space="preserve"> to </w:t>
      </w:r>
      <w:r w:rsidR="004026AA" w:rsidRPr="00FB7553">
        <w:t xml:space="preserve">25% </w:t>
      </w:r>
      <w:proofErr w:type="spellStart"/>
      <w:r w:rsidRPr="00FB7553">
        <w:t>o</w:t>
      </w:r>
      <w:r w:rsidR="004026AA" w:rsidRPr="00FB7553">
        <w:t>MEDD</w:t>
      </w:r>
      <w:proofErr w:type="spellEnd"/>
      <w:r w:rsidR="004026AA" w:rsidRPr="00FB7553">
        <w:t xml:space="preserve"> </w:t>
      </w:r>
      <w:r w:rsidR="004026AA" w:rsidRPr="00FB7553">
        <w:rPr>
          <w:b/>
        </w:rPr>
        <w:t>daily</w:t>
      </w:r>
      <w:r w:rsidR="00C0488A" w:rsidRPr="00FB7553">
        <w:t xml:space="preserve"> (may require hospital admission).</w:t>
      </w:r>
    </w:p>
    <w:p w14:paraId="4A2BE2C5" w14:textId="5C26FB32" w:rsidR="00913316" w:rsidRPr="00FB7553" w:rsidRDefault="00804887" w:rsidP="005E3E08">
      <w:pPr>
        <w:pStyle w:val="Heading2"/>
      </w:pPr>
      <w:r w:rsidRPr="00FB7553">
        <w:t>E</w:t>
      </w:r>
      <w:r w:rsidR="004026AA" w:rsidRPr="00FB7553">
        <w:t>nd point</w:t>
      </w:r>
      <w:r w:rsidRPr="00FB7553">
        <w:t xml:space="preserve">s for opioid analgesic </w:t>
      </w:r>
      <w:r w:rsidR="00913316" w:rsidRPr="00FB7553">
        <w:t xml:space="preserve">tapering </w:t>
      </w:r>
    </w:p>
    <w:p w14:paraId="05594BE7" w14:textId="1E98F137" w:rsidR="00A9572F" w:rsidRPr="00FB7553" w:rsidRDefault="00804887" w:rsidP="008627A2">
      <w:pPr>
        <w:rPr>
          <w:rFonts w:ascii="Calibri" w:eastAsia="Times New Roman" w:hAnsi="Calibri" w:cs="Calibri"/>
          <w:sz w:val="22"/>
          <w:szCs w:val="22"/>
        </w:rPr>
      </w:pPr>
      <w:r w:rsidRPr="00FB7553">
        <w:rPr>
          <w:rFonts w:asciiTheme="minorHAnsi" w:hAnsiTheme="minorHAnsi"/>
          <w:sz w:val="22"/>
          <w:szCs w:val="22"/>
        </w:rPr>
        <w:t>T</w:t>
      </w:r>
      <w:r w:rsidR="0097510F" w:rsidRPr="00FB7553">
        <w:rPr>
          <w:rFonts w:asciiTheme="minorHAnsi" w:hAnsiTheme="minorHAnsi"/>
          <w:sz w:val="22"/>
          <w:szCs w:val="22"/>
        </w:rPr>
        <w:t>he timing and rate o</w:t>
      </w:r>
      <w:r w:rsidR="0097510F" w:rsidRPr="005E3E08">
        <w:t xml:space="preserve">f </w:t>
      </w:r>
      <w:r w:rsidRPr="005E3E08">
        <w:t xml:space="preserve">opioid analgesic </w:t>
      </w:r>
      <w:r w:rsidR="0097510F" w:rsidRPr="005E3E08">
        <w:t xml:space="preserve">reduction </w:t>
      </w:r>
      <w:proofErr w:type="gramStart"/>
      <w:r w:rsidR="0097510F" w:rsidRPr="005E3E08">
        <w:t>should always be negotiated</w:t>
      </w:r>
      <w:proofErr w:type="gramEnd"/>
      <w:r w:rsidR="0097510F" w:rsidRPr="005E3E08">
        <w:t>.</w:t>
      </w:r>
      <w:r w:rsidR="009F1F1A" w:rsidRPr="005E3E08">
        <w:t xml:space="preserve"> </w:t>
      </w:r>
      <w:r w:rsidR="0097510F" w:rsidRPr="005E3E08">
        <w:t>I</w:t>
      </w:r>
      <w:r w:rsidR="009439B5" w:rsidRPr="005E3E08">
        <w:t>n</w:t>
      </w:r>
      <w:r w:rsidR="0097510F" w:rsidRPr="005E3E08">
        <w:t xml:space="preserve"> some case</w:t>
      </w:r>
      <w:r w:rsidR="009439B5" w:rsidRPr="005E3E08">
        <w:t>s</w:t>
      </w:r>
      <w:r w:rsidR="0097510F" w:rsidRPr="005E3E08">
        <w:t>,</w:t>
      </w:r>
      <w:r w:rsidR="009439B5" w:rsidRPr="005E3E08">
        <w:t xml:space="preserve"> it may be appropriate to taper to the </w:t>
      </w:r>
      <w:r w:rsidR="004026AA" w:rsidRPr="005E3E08">
        <w:t xml:space="preserve">lowest </w:t>
      </w:r>
      <w:r w:rsidR="00C51BD9" w:rsidRPr="005E3E08">
        <w:t>tolerated</w:t>
      </w:r>
      <w:r w:rsidR="004026AA" w:rsidRPr="005E3E08">
        <w:t xml:space="preserve"> </w:t>
      </w:r>
      <w:r w:rsidRPr="005E3E08">
        <w:t xml:space="preserve">opioid analgesic </w:t>
      </w:r>
      <w:r w:rsidR="004026AA" w:rsidRPr="005E3E08">
        <w:t>dose</w:t>
      </w:r>
      <w:r w:rsidR="009439B5" w:rsidRPr="005E3E08">
        <w:t xml:space="preserve"> rather than </w:t>
      </w:r>
      <w:r w:rsidRPr="005E3E08">
        <w:t>de-prescribing</w:t>
      </w:r>
      <w:r w:rsidR="007C4E17" w:rsidRPr="005E3E08">
        <w:t>,</w:t>
      </w:r>
      <w:r w:rsidR="009439B5" w:rsidRPr="005E3E08">
        <w:t xml:space="preserve"> as some patients will </w:t>
      </w:r>
      <w:r w:rsidR="002427C2" w:rsidRPr="005E3E08">
        <w:t>report</w:t>
      </w:r>
      <w:r w:rsidR="009439B5" w:rsidRPr="005E3E08">
        <w:t xml:space="preserve"> </w:t>
      </w:r>
      <w:r w:rsidR="004026AA" w:rsidRPr="005E3E08">
        <w:t xml:space="preserve">reduced function and increased </w:t>
      </w:r>
      <w:r w:rsidR="002427C2" w:rsidRPr="005E3E08">
        <w:t xml:space="preserve">distress and </w:t>
      </w:r>
      <w:r w:rsidR="009439B5" w:rsidRPr="005E3E08">
        <w:t>pain w</w:t>
      </w:r>
      <w:r w:rsidR="004026AA" w:rsidRPr="005E3E08">
        <w:t xml:space="preserve">ith </w:t>
      </w:r>
      <w:r w:rsidRPr="005E3E08">
        <w:t>opioid analgesic de-prescribing</w:t>
      </w:r>
      <w:r w:rsidR="009439B5" w:rsidRPr="005E3E08">
        <w:t xml:space="preserve">. </w:t>
      </w:r>
      <w:r w:rsidR="008627A2" w:rsidRPr="005E3E08">
        <w:t xml:space="preserve"> </w:t>
      </w:r>
      <w:r w:rsidR="009439B5" w:rsidRPr="005E3E08">
        <w:t xml:space="preserve">In other patients it is appropriate to </w:t>
      </w:r>
      <w:r w:rsidR="004026AA" w:rsidRPr="005E3E08">
        <w:t xml:space="preserve">cease </w:t>
      </w:r>
      <w:r w:rsidR="009439B5" w:rsidRPr="005E3E08">
        <w:t>opioid</w:t>
      </w:r>
      <w:r w:rsidRPr="005E3E08">
        <w:t xml:space="preserve"> analgesics</w:t>
      </w:r>
      <w:r w:rsidR="00A9572F" w:rsidRPr="005E3E08">
        <w:t xml:space="preserve"> altogether</w:t>
      </w:r>
      <w:r w:rsidRPr="005E3E08">
        <w:t>. These patients may</w:t>
      </w:r>
      <w:r w:rsidR="00A9572F" w:rsidRPr="005E3E08">
        <w:t xml:space="preserve"> </w:t>
      </w:r>
      <w:r w:rsidR="00470B25" w:rsidRPr="005E3E08">
        <w:t>continue non-pharmacological pain m</w:t>
      </w:r>
      <w:r w:rsidR="00470B25" w:rsidRPr="00FB7553">
        <w:rPr>
          <w:rFonts w:ascii="Calibri" w:eastAsia="Times New Roman" w:hAnsi="Calibri" w:cs="Calibri"/>
          <w:sz w:val="22"/>
          <w:szCs w:val="22"/>
        </w:rPr>
        <w:t>anagement approaches and</w:t>
      </w:r>
      <w:r w:rsidR="00BC45F1" w:rsidRPr="00FB7553">
        <w:rPr>
          <w:rFonts w:ascii="Calibri" w:eastAsia="Times New Roman" w:hAnsi="Calibri" w:cs="Calibri"/>
          <w:sz w:val="22"/>
          <w:szCs w:val="22"/>
        </w:rPr>
        <w:t xml:space="preserve"> </w:t>
      </w:r>
      <w:r w:rsidR="00A9572F" w:rsidRPr="00FB7553">
        <w:rPr>
          <w:rFonts w:ascii="Calibri" w:eastAsia="Times New Roman" w:hAnsi="Calibri" w:cs="Calibri"/>
          <w:sz w:val="22"/>
          <w:szCs w:val="22"/>
        </w:rPr>
        <w:t xml:space="preserve">use other </w:t>
      </w:r>
      <w:r w:rsidR="0011275F" w:rsidRPr="00FB7553">
        <w:rPr>
          <w:rFonts w:ascii="Calibri" w:eastAsia="Times New Roman" w:hAnsi="Calibri" w:cs="Calibri"/>
          <w:sz w:val="22"/>
          <w:szCs w:val="22"/>
        </w:rPr>
        <w:t>analgesic</w:t>
      </w:r>
      <w:r w:rsidR="00A9572F" w:rsidRPr="00FB7553">
        <w:rPr>
          <w:rFonts w:ascii="Calibri" w:eastAsia="Times New Roman" w:hAnsi="Calibri" w:cs="Calibri"/>
          <w:sz w:val="22"/>
          <w:szCs w:val="22"/>
        </w:rPr>
        <w:t>s</w:t>
      </w:r>
      <w:r w:rsidRPr="00FB7553">
        <w:rPr>
          <w:rFonts w:ascii="Calibri" w:eastAsia="Times New Roman" w:hAnsi="Calibri" w:cs="Calibri"/>
          <w:sz w:val="22"/>
          <w:szCs w:val="22"/>
        </w:rPr>
        <w:t>, such as</w:t>
      </w:r>
      <w:r w:rsidR="00A9572F" w:rsidRPr="00FB7553">
        <w:rPr>
          <w:rFonts w:ascii="Calibri" w:eastAsia="Times New Roman" w:hAnsi="Calibri" w:cs="Calibri"/>
          <w:sz w:val="22"/>
          <w:szCs w:val="22"/>
        </w:rPr>
        <w:t xml:space="preserve"> NSAIDs</w:t>
      </w:r>
      <w:r w:rsidRPr="00FB7553">
        <w:rPr>
          <w:rFonts w:ascii="Calibri" w:eastAsia="Times New Roman" w:hAnsi="Calibri" w:cs="Calibri"/>
          <w:sz w:val="22"/>
          <w:szCs w:val="22"/>
        </w:rPr>
        <w:t>,</w:t>
      </w:r>
      <w:r w:rsidR="00A9572F" w:rsidRPr="00FB7553">
        <w:rPr>
          <w:rFonts w:ascii="Calibri" w:eastAsia="Times New Roman" w:hAnsi="Calibri" w:cs="Calibri"/>
          <w:sz w:val="22"/>
          <w:szCs w:val="22"/>
        </w:rPr>
        <w:t xml:space="preserve"> </w:t>
      </w:r>
      <w:r w:rsidR="00470B25" w:rsidRPr="00FB7553">
        <w:rPr>
          <w:rFonts w:ascii="Calibri" w:eastAsia="Times New Roman" w:hAnsi="Calibri" w:cs="Calibri"/>
          <w:sz w:val="22"/>
          <w:szCs w:val="22"/>
        </w:rPr>
        <w:t xml:space="preserve">if </w:t>
      </w:r>
      <w:proofErr w:type="gramStart"/>
      <w:r w:rsidR="00470B25" w:rsidRPr="00FB7553">
        <w:rPr>
          <w:rFonts w:ascii="Calibri" w:eastAsia="Times New Roman" w:hAnsi="Calibri" w:cs="Calibri"/>
          <w:sz w:val="22"/>
          <w:szCs w:val="22"/>
        </w:rPr>
        <w:t>tolerated</w:t>
      </w:r>
      <w:proofErr w:type="gramEnd"/>
      <w:r w:rsidR="0011275F" w:rsidRPr="00FB7553">
        <w:rPr>
          <w:rFonts w:ascii="Calibri" w:eastAsia="Times New Roman" w:hAnsi="Calibri" w:cs="Calibri"/>
          <w:sz w:val="22"/>
          <w:szCs w:val="22"/>
        </w:rPr>
        <w:t>,</w:t>
      </w:r>
      <w:r w:rsidR="00470B25" w:rsidRPr="00FB7553">
        <w:rPr>
          <w:rFonts w:ascii="Calibri" w:eastAsia="Times New Roman" w:hAnsi="Calibri" w:cs="Calibri"/>
          <w:sz w:val="22"/>
          <w:szCs w:val="22"/>
        </w:rPr>
        <w:t xml:space="preserve"> and not contraindicated.</w:t>
      </w:r>
      <w:r w:rsidR="004C6D7D" w:rsidRPr="00FB7553">
        <w:rPr>
          <w:rFonts w:ascii="Calibri" w:eastAsia="Times New Roman" w:hAnsi="Calibri" w:cs="Calibri"/>
          <w:sz w:val="22"/>
          <w:szCs w:val="22"/>
        </w:rPr>
        <w:t xml:space="preserve"> It is vital that patients </w:t>
      </w:r>
      <w:proofErr w:type="gramStart"/>
      <w:r w:rsidR="004C6D7D" w:rsidRPr="00FB7553">
        <w:rPr>
          <w:rFonts w:ascii="Calibri" w:eastAsia="Times New Roman" w:hAnsi="Calibri" w:cs="Calibri"/>
          <w:sz w:val="22"/>
          <w:szCs w:val="22"/>
        </w:rPr>
        <w:t xml:space="preserve">are closely monitored </w:t>
      </w:r>
      <w:r w:rsidR="00C0488A" w:rsidRPr="00FB7553">
        <w:rPr>
          <w:rFonts w:ascii="Calibri" w:eastAsia="Times New Roman" w:hAnsi="Calibri" w:cs="Calibri"/>
          <w:sz w:val="22"/>
          <w:szCs w:val="22"/>
        </w:rPr>
        <w:t xml:space="preserve">and supported </w:t>
      </w:r>
      <w:r w:rsidR="004C6D7D" w:rsidRPr="00FB7553">
        <w:rPr>
          <w:rFonts w:ascii="Calibri" w:eastAsia="Times New Roman" w:hAnsi="Calibri" w:cs="Calibri"/>
          <w:sz w:val="22"/>
          <w:szCs w:val="22"/>
        </w:rPr>
        <w:t xml:space="preserve">during </w:t>
      </w:r>
      <w:r w:rsidRPr="00FB7553">
        <w:rPr>
          <w:rFonts w:ascii="Calibri" w:eastAsia="Times New Roman" w:hAnsi="Calibri" w:cs="Calibri"/>
          <w:sz w:val="22"/>
          <w:szCs w:val="22"/>
        </w:rPr>
        <w:t>opioid analgesic</w:t>
      </w:r>
      <w:r w:rsidR="004C6D7D" w:rsidRPr="00FB7553">
        <w:rPr>
          <w:rFonts w:ascii="Calibri" w:eastAsia="Times New Roman" w:hAnsi="Calibri" w:cs="Calibri"/>
          <w:sz w:val="22"/>
          <w:szCs w:val="22"/>
        </w:rPr>
        <w:t xml:space="preserve"> taper</w:t>
      </w:r>
      <w:r w:rsidR="0011275F" w:rsidRPr="00FB7553">
        <w:rPr>
          <w:rFonts w:ascii="Calibri" w:eastAsia="Times New Roman" w:hAnsi="Calibri" w:cs="Calibri"/>
          <w:sz w:val="22"/>
          <w:szCs w:val="22"/>
        </w:rPr>
        <w:t>ing</w:t>
      </w:r>
      <w:r w:rsidR="004C6D7D" w:rsidRPr="00FB7553">
        <w:rPr>
          <w:rFonts w:ascii="Calibri" w:eastAsia="Times New Roman" w:hAnsi="Calibri" w:cs="Calibri"/>
          <w:sz w:val="22"/>
          <w:szCs w:val="22"/>
        </w:rPr>
        <w:t xml:space="preserve"> to increase the chance of success</w:t>
      </w:r>
      <w:proofErr w:type="gramEnd"/>
      <w:r w:rsidR="004C6D7D" w:rsidRPr="00FB7553">
        <w:rPr>
          <w:rFonts w:ascii="Calibri" w:eastAsia="Times New Roman" w:hAnsi="Calibri" w:cs="Calibri"/>
          <w:sz w:val="22"/>
          <w:szCs w:val="22"/>
        </w:rPr>
        <w:t>.</w:t>
      </w:r>
    </w:p>
    <w:p w14:paraId="4DC19989" w14:textId="4F4608EA" w:rsidR="00A9572F" w:rsidRPr="00FB7553" w:rsidRDefault="00A9572F" w:rsidP="005E3E08">
      <w:pPr>
        <w:pStyle w:val="Heading2"/>
      </w:pPr>
      <w:r w:rsidRPr="00FB7553">
        <w:t xml:space="preserve">Other </w:t>
      </w:r>
      <w:r w:rsidR="00C50077" w:rsidRPr="00FB7553">
        <w:t xml:space="preserve">practice </w:t>
      </w:r>
      <w:r w:rsidRPr="00FB7553">
        <w:t>points</w:t>
      </w:r>
    </w:p>
    <w:p w14:paraId="172BF497" w14:textId="2ED29C6C" w:rsidR="0027386D" w:rsidRPr="00FB7553" w:rsidRDefault="0027386D" w:rsidP="005E3E08">
      <w:pPr>
        <w:pStyle w:val="ListParagraph"/>
      </w:pPr>
      <w:r w:rsidRPr="00FB7553">
        <w:rPr>
          <w:b/>
        </w:rPr>
        <w:t>Only prescribe enough</w:t>
      </w:r>
      <w:r w:rsidR="00804887" w:rsidRPr="00FB7553">
        <w:rPr>
          <w:b/>
        </w:rPr>
        <w:t xml:space="preserve"> opioid analgesic</w:t>
      </w:r>
      <w:r w:rsidRPr="00FB7553">
        <w:rPr>
          <w:b/>
        </w:rPr>
        <w:t xml:space="preserve"> </w:t>
      </w:r>
      <w:r w:rsidRPr="00FB7553">
        <w:t xml:space="preserve">during the tapering period until </w:t>
      </w:r>
      <w:r w:rsidR="00A9572F" w:rsidRPr="00FB7553">
        <w:t>you</w:t>
      </w:r>
      <w:r w:rsidRPr="00FB7553">
        <w:t xml:space="preserve"> can see the patient again.</w:t>
      </w:r>
      <w:r w:rsidR="00C0488A" w:rsidRPr="00FB7553">
        <w:t xml:space="preserve"> Set up a series of regular appointments with the patient and stage dispensing from the patient</w:t>
      </w:r>
      <w:r w:rsidR="008627A2">
        <w:t>’</w:t>
      </w:r>
      <w:r w:rsidR="00C0488A" w:rsidRPr="00FB7553">
        <w:t>s pharmacy.</w:t>
      </w:r>
    </w:p>
    <w:p w14:paraId="0C52F3D7" w14:textId="2A522A72" w:rsidR="00D40EF7" w:rsidRPr="00FB7553" w:rsidRDefault="00D40EF7" w:rsidP="005E3E08">
      <w:pPr>
        <w:pStyle w:val="ListParagraph"/>
      </w:pPr>
      <w:r w:rsidRPr="00FB7553">
        <w:t>The</w:t>
      </w:r>
      <w:r w:rsidR="00804887" w:rsidRPr="00FB7553">
        <w:t xml:space="preserve"> opioid analgesic</w:t>
      </w:r>
      <w:r w:rsidRPr="00FB7553">
        <w:t xml:space="preserve"> tapering plan should </w:t>
      </w:r>
      <w:r w:rsidRPr="00FB7553">
        <w:rPr>
          <w:b/>
        </w:rPr>
        <w:t>take</w:t>
      </w:r>
      <w:r w:rsidR="00804887" w:rsidRPr="00FB7553">
        <w:rPr>
          <w:b/>
        </w:rPr>
        <w:t xml:space="preserve"> into</w:t>
      </w:r>
      <w:r w:rsidRPr="00FB7553">
        <w:rPr>
          <w:b/>
        </w:rPr>
        <w:t xml:space="preserve"> account the available</w:t>
      </w:r>
      <w:r w:rsidRPr="00FB7553">
        <w:t xml:space="preserve"> </w:t>
      </w:r>
      <w:r w:rsidRPr="00FB7553">
        <w:rPr>
          <w:b/>
        </w:rPr>
        <w:t>formulations</w:t>
      </w:r>
      <w:r w:rsidRPr="00FB7553">
        <w:t xml:space="preserve"> for the chosen opioid </w:t>
      </w:r>
      <w:r w:rsidR="00804887" w:rsidRPr="00FB7553">
        <w:t xml:space="preserve">analgesic, </w:t>
      </w:r>
      <w:r w:rsidRPr="00FB7553">
        <w:t>and ensure</w:t>
      </w:r>
      <w:r w:rsidR="0011275F" w:rsidRPr="00FB7553">
        <w:t xml:space="preserve"> </w:t>
      </w:r>
      <w:r w:rsidRPr="00FB7553">
        <w:t xml:space="preserve">the patient understands the percentage reduction that is practical at each stage. </w:t>
      </w:r>
    </w:p>
    <w:p w14:paraId="27343FFE" w14:textId="7B44A038" w:rsidR="001D0E86" w:rsidRPr="008627A2" w:rsidRDefault="008627A2" w:rsidP="005E3E08">
      <w:pPr>
        <w:pStyle w:val="ListParagraph"/>
        <w:rPr>
          <w:rFonts w:ascii="Calibri Light" w:eastAsia="Times New Roman" w:hAnsi="Calibri Light" w:cs="Calibri Light"/>
          <w:color w:val="2F5496"/>
        </w:rPr>
      </w:pPr>
      <w:r w:rsidRPr="008627A2">
        <w:rPr>
          <w:b/>
        </w:rPr>
        <w:t>S</w:t>
      </w:r>
      <w:r w:rsidR="00A9572F" w:rsidRPr="008627A2">
        <w:rPr>
          <w:b/>
        </w:rPr>
        <w:t>etting a</w:t>
      </w:r>
      <w:r w:rsidR="002D2E07" w:rsidRPr="008627A2">
        <w:rPr>
          <w:b/>
        </w:rPr>
        <w:t xml:space="preserve"> </w:t>
      </w:r>
      <w:r w:rsidR="00A9572F" w:rsidRPr="008627A2">
        <w:rPr>
          <w:b/>
        </w:rPr>
        <w:t>t</w:t>
      </w:r>
      <w:r w:rsidR="004026AA" w:rsidRPr="008627A2">
        <w:rPr>
          <w:b/>
        </w:rPr>
        <w:t>reatment agreement</w:t>
      </w:r>
      <w:r w:rsidR="00A9572F" w:rsidRPr="008627A2">
        <w:rPr>
          <w:b/>
        </w:rPr>
        <w:t xml:space="preserve"> with the patient</w:t>
      </w:r>
      <w:r w:rsidR="00A9572F" w:rsidRPr="008627A2">
        <w:t xml:space="preserve">, </w:t>
      </w:r>
      <w:r w:rsidR="0011275F" w:rsidRPr="008627A2">
        <w:t>including</w:t>
      </w:r>
      <w:r w:rsidR="00A9572F" w:rsidRPr="008627A2">
        <w:t xml:space="preserve"> c</w:t>
      </w:r>
      <w:r w:rsidR="004026AA" w:rsidRPr="008627A2">
        <w:t xml:space="preserve">onditions </w:t>
      </w:r>
      <w:r w:rsidR="00A9572F" w:rsidRPr="008627A2">
        <w:t xml:space="preserve">such as the patient using only a </w:t>
      </w:r>
      <w:r w:rsidR="004026AA" w:rsidRPr="008627A2">
        <w:t>single pharmacy, single prescriber</w:t>
      </w:r>
      <w:r w:rsidR="00470B25" w:rsidRPr="008627A2">
        <w:t xml:space="preserve"> (or a nominated second prescriber from the same practice if the patient’s main GP is not available)</w:t>
      </w:r>
      <w:r w:rsidR="004026AA" w:rsidRPr="008627A2">
        <w:t>, staged supply</w:t>
      </w:r>
      <w:r w:rsidR="00A9572F" w:rsidRPr="008627A2">
        <w:t>,</w:t>
      </w:r>
      <w:r w:rsidR="004026AA" w:rsidRPr="008627A2">
        <w:t xml:space="preserve"> regular review, </w:t>
      </w:r>
      <w:r w:rsidR="00AF207E" w:rsidRPr="008627A2">
        <w:t xml:space="preserve">real time prescription monitoring services (where available) </w:t>
      </w:r>
      <w:r w:rsidR="00832146" w:rsidRPr="008627A2">
        <w:rPr>
          <w:color w:val="000000" w:themeColor="text1"/>
          <w:shd w:val="clear" w:color="auto" w:fill="FFFFFF"/>
        </w:rPr>
        <w:t xml:space="preserve"> and Urine Drug Screen check</w:t>
      </w:r>
      <w:r w:rsidR="004026AA" w:rsidRPr="008627A2">
        <w:rPr>
          <w:color w:val="000000" w:themeColor="text1"/>
        </w:rPr>
        <w:t xml:space="preserve">, </w:t>
      </w:r>
      <w:r w:rsidR="00A9572F" w:rsidRPr="008627A2">
        <w:rPr>
          <w:color w:val="000000" w:themeColor="text1"/>
        </w:rPr>
        <w:t xml:space="preserve">and </w:t>
      </w:r>
      <w:r w:rsidR="004026AA" w:rsidRPr="008627A2">
        <w:rPr>
          <w:color w:val="000000" w:themeColor="text1"/>
        </w:rPr>
        <w:t>agree</w:t>
      </w:r>
      <w:r w:rsidR="00A9572F" w:rsidRPr="008627A2">
        <w:rPr>
          <w:color w:val="000000" w:themeColor="text1"/>
        </w:rPr>
        <w:t xml:space="preserve">ment to </w:t>
      </w:r>
      <w:r w:rsidR="004026AA" w:rsidRPr="008627A2">
        <w:rPr>
          <w:color w:val="000000" w:themeColor="text1"/>
        </w:rPr>
        <w:t>engage with specialist services</w:t>
      </w:r>
      <w:r>
        <w:rPr>
          <w:color w:val="000000" w:themeColor="text1"/>
        </w:rPr>
        <w:t>.</w:t>
      </w:r>
      <w:r w:rsidR="004026AA" w:rsidRPr="008627A2">
        <w:rPr>
          <w:color w:val="000000" w:themeColor="text1"/>
        </w:rPr>
        <w:t xml:space="preserve">  </w:t>
      </w:r>
      <w:r w:rsidR="001D0E86" w:rsidRPr="008627A2">
        <w:rPr>
          <w:rFonts w:eastAsia="Times New Roman"/>
        </w:rPr>
        <w:t xml:space="preserve">For some patients, </w:t>
      </w:r>
      <w:r w:rsidR="0075417A" w:rsidRPr="008627A2">
        <w:rPr>
          <w:rFonts w:eastAsia="Times New Roman"/>
        </w:rPr>
        <w:t xml:space="preserve">if on the advice of an addiction medicine specialist </w:t>
      </w:r>
      <w:r w:rsidR="001D0E86" w:rsidRPr="008627A2">
        <w:rPr>
          <w:rFonts w:eastAsia="Times New Roman"/>
        </w:rPr>
        <w:t xml:space="preserve">opioid use disorder is the primary problem, conversion to opioid </w:t>
      </w:r>
      <w:r w:rsidR="00CA2A17" w:rsidRPr="008627A2">
        <w:rPr>
          <w:rFonts w:eastAsia="Times New Roman"/>
        </w:rPr>
        <w:t xml:space="preserve">substitution </w:t>
      </w:r>
      <w:r w:rsidR="001D0E86" w:rsidRPr="008627A2">
        <w:rPr>
          <w:rFonts w:eastAsia="Times New Roman"/>
        </w:rPr>
        <w:t>treatment</w:t>
      </w:r>
      <w:r w:rsidR="00A53089" w:rsidRPr="008627A2">
        <w:rPr>
          <w:rFonts w:eastAsia="Times New Roman"/>
        </w:rPr>
        <w:t xml:space="preserve"> (for example, buprenorphine)</w:t>
      </w:r>
      <w:r w:rsidR="001D0E86" w:rsidRPr="008627A2">
        <w:rPr>
          <w:rFonts w:eastAsia="Times New Roman"/>
        </w:rPr>
        <w:t xml:space="preserve"> may be appropriate. This can be undertaken either in outpatient or inpatient settings. </w:t>
      </w:r>
    </w:p>
    <w:p w14:paraId="0F167FA7" w14:textId="77777777" w:rsidR="00C50077" w:rsidRPr="005E3E08" w:rsidRDefault="00CD082F" w:rsidP="005E3E08">
      <w:pPr>
        <w:pStyle w:val="ListParagraph"/>
      </w:pPr>
      <w:r w:rsidRPr="00FB7553">
        <w:rPr>
          <w:rFonts w:eastAsia="Times New Roman"/>
          <w:b/>
          <w:bCs/>
          <w:kern w:val="36"/>
        </w:rPr>
        <w:t>Opioid analgesic t</w:t>
      </w:r>
      <w:r w:rsidR="00D57D40" w:rsidRPr="00FB7553">
        <w:rPr>
          <w:rFonts w:eastAsia="Times New Roman"/>
          <w:b/>
          <w:bCs/>
          <w:kern w:val="36"/>
        </w:rPr>
        <w:t>apering requires</w:t>
      </w:r>
      <w:r w:rsidR="00D57D40" w:rsidRPr="00FB7553">
        <w:rPr>
          <w:b/>
        </w:rPr>
        <w:t xml:space="preserve"> special care with p</w:t>
      </w:r>
      <w:r w:rsidR="00AA26AE" w:rsidRPr="00FB7553">
        <w:rPr>
          <w:b/>
        </w:rPr>
        <w:t xml:space="preserve">regnant </w:t>
      </w:r>
      <w:r w:rsidR="00D57D40" w:rsidRPr="00FB7553">
        <w:rPr>
          <w:b/>
        </w:rPr>
        <w:t>patients</w:t>
      </w:r>
      <w:r w:rsidR="00D57D40" w:rsidRPr="00FB7553">
        <w:t xml:space="preserve"> </w:t>
      </w:r>
      <w:r w:rsidR="00AA26AE" w:rsidRPr="00FB7553">
        <w:t>on high dose</w:t>
      </w:r>
      <w:r w:rsidR="0011275F" w:rsidRPr="00FB7553">
        <w:t>s</w:t>
      </w:r>
      <w:r w:rsidR="00D57D40" w:rsidRPr="00FB7553">
        <w:t>,</w:t>
      </w:r>
      <w:r w:rsidR="0075417A" w:rsidRPr="00FB7553">
        <w:t xml:space="preserve"> and should be carried out in conjunction w</w:t>
      </w:r>
      <w:r w:rsidR="0075417A" w:rsidRPr="005E3E08">
        <w:t xml:space="preserve">ith an </w:t>
      </w:r>
      <w:r w:rsidR="00CA2A17" w:rsidRPr="005E3E08">
        <w:t>obstetrician</w:t>
      </w:r>
      <w:r w:rsidR="0075417A" w:rsidRPr="005E3E08">
        <w:t>/</w:t>
      </w:r>
      <w:proofErr w:type="gramStart"/>
      <w:r w:rsidR="0075417A" w:rsidRPr="005E3E08">
        <w:t>neonatologist</w:t>
      </w:r>
      <w:proofErr w:type="gramEnd"/>
      <w:r w:rsidR="00D57D40" w:rsidRPr="005E3E08">
        <w:t xml:space="preserve"> as it is important to a</w:t>
      </w:r>
      <w:r w:rsidR="00AA26AE" w:rsidRPr="005E3E08">
        <w:t xml:space="preserve">void </w:t>
      </w:r>
      <w:r w:rsidR="00920206" w:rsidRPr="005E3E08">
        <w:t xml:space="preserve">precipitating </w:t>
      </w:r>
      <w:r w:rsidR="00AA26AE" w:rsidRPr="005E3E08">
        <w:t>withdrawal - perinatal risk or risk of miscarriage or premature labour</w:t>
      </w:r>
      <w:r w:rsidR="00D57D40" w:rsidRPr="005E3E08">
        <w:t>.</w:t>
      </w:r>
      <w:r w:rsidR="00AA26AE" w:rsidRPr="005E3E08">
        <w:t> </w:t>
      </w:r>
      <w:r w:rsidR="00C50077" w:rsidRPr="005E3E08">
        <w:t xml:space="preserve"> </w:t>
      </w:r>
    </w:p>
    <w:p w14:paraId="181B0472" w14:textId="5797A084" w:rsidR="00B056EE" w:rsidRPr="00C83FA3" w:rsidRDefault="008627A2" w:rsidP="005E3E08">
      <w:pPr>
        <w:pStyle w:val="ListParagraph"/>
      </w:pPr>
      <w:r w:rsidRPr="005E3E08">
        <w:t xml:space="preserve">An </w:t>
      </w:r>
      <w:r w:rsidR="00EA66FB" w:rsidRPr="005E3E08">
        <w:t xml:space="preserve">online directory </w:t>
      </w:r>
      <w:r w:rsidRPr="005E3E08">
        <w:t xml:space="preserve">is available </w:t>
      </w:r>
      <w:r w:rsidR="00EA66FB" w:rsidRPr="005E3E08">
        <w:t>to provide people living with chronic pain—and their health practitioners—with a compr</w:t>
      </w:r>
      <w:r w:rsidR="00EA66FB" w:rsidRPr="00FB7553">
        <w:rPr>
          <w:color w:val="000000" w:themeColor="text1"/>
          <w:shd w:val="clear" w:color="auto" w:fill="FFFFFF"/>
        </w:rPr>
        <w:t xml:space="preserve">ehensive list of available services to help manage their conditions: </w:t>
      </w:r>
      <w:hyperlink r:id="rId9" w:history="1">
        <w:r w:rsidR="00EA66FB" w:rsidRPr="00FB7553">
          <w:rPr>
            <w:rStyle w:val="Hyperlink"/>
            <w:rFonts w:asciiTheme="minorHAnsi" w:hAnsiTheme="minorHAnsi"/>
            <w:color w:val="000000" w:themeColor="text1"/>
            <w:sz w:val="22"/>
            <w:szCs w:val="22"/>
          </w:rPr>
          <w:t>www.painaustralia.org.au/getting-help/pain-directory</w:t>
        </w:r>
      </w:hyperlink>
      <w:r w:rsidR="0075417A" w:rsidRPr="00FB7553">
        <w:rPr>
          <w:rStyle w:val="Hyperlink"/>
          <w:rFonts w:asciiTheme="minorHAnsi" w:hAnsiTheme="minorHAnsi"/>
          <w:color w:val="000000" w:themeColor="text1"/>
          <w:sz w:val="22"/>
          <w:szCs w:val="22"/>
        </w:rPr>
        <w:t>.</w:t>
      </w:r>
      <w:r w:rsidR="00FB7553" w:rsidRPr="00C83FA3">
        <w:t xml:space="preserve"> </w:t>
      </w:r>
    </w:p>
    <w:sectPr w:rsidR="00B056EE" w:rsidRPr="00C83FA3" w:rsidSect="006D09DE">
      <w:headerReference w:type="default" r:id="rId10"/>
      <w:footerReference w:type="default" r:id="rId11"/>
      <w:pgSz w:w="11906" w:h="16838"/>
      <w:pgMar w:top="709" w:right="1021" w:bottom="851" w:left="1021" w:header="708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BD0ED6" w16cid:durableId="23158EAE"/>
  <w16cid:commentId w16cid:paraId="78EEEE19" w16cid:durableId="23158EAF"/>
  <w16cid:commentId w16cid:paraId="554F4070" w16cid:durableId="23158EB1"/>
  <w16cid:commentId w16cid:paraId="5C67F688" w16cid:durableId="23158EB2"/>
  <w16cid:commentId w16cid:paraId="1B69AFA7" w16cid:durableId="23158EB3"/>
  <w16cid:commentId w16cid:paraId="408450E4" w16cid:durableId="23158EB4"/>
  <w16cid:commentId w16cid:paraId="2F200FA6" w16cid:durableId="23158EB5"/>
  <w16cid:commentId w16cid:paraId="7C051E74" w16cid:durableId="23158EB6"/>
  <w16cid:commentId w16cid:paraId="6B6E4F75" w16cid:durableId="23158EB7"/>
  <w16cid:commentId w16cid:paraId="01EB3D82" w16cid:durableId="23158EB8"/>
  <w16cid:commentId w16cid:paraId="38A35D66" w16cid:durableId="23158EB9"/>
  <w16cid:commentId w16cid:paraId="6E42DC3C" w16cid:durableId="23158EBA"/>
  <w16cid:commentId w16cid:paraId="7CA94120" w16cid:durableId="23158EBD"/>
  <w16cid:commentId w16cid:paraId="043461CA" w16cid:durableId="23158E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5FFEF" w14:textId="77777777" w:rsidR="00652F91" w:rsidRDefault="00652F91" w:rsidP="00920206">
      <w:r>
        <w:separator/>
      </w:r>
    </w:p>
  </w:endnote>
  <w:endnote w:type="continuationSeparator" w:id="0">
    <w:p w14:paraId="0535DACA" w14:textId="77777777" w:rsidR="00652F91" w:rsidRDefault="00652F91" w:rsidP="0092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7414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D6A9C0" w14:textId="2D2E307A" w:rsidR="0075417A" w:rsidRDefault="001F1A7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663AEC16" w14:textId="77777777" w:rsidR="0075417A" w:rsidRDefault="00754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823EB" w14:textId="77777777" w:rsidR="00652F91" w:rsidRDefault="00652F91" w:rsidP="00920206">
      <w:r>
        <w:separator/>
      </w:r>
    </w:p>
  </w:footnote>
  <w:footnote w:type="continuationSeparator" w:id="0">
    <w:p w14:paraId="4605CB66" w14:textId="77777777" w:rsidR="00652F91" w:rsidRDefault="00652F91" w:rsidP="00920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2980" w14:textId="73E5C720" w:rsidR="0075417A" w:rsidRDefault="007541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DE4"/>
    <w:multiLevelType w:val="hybridMultilevel"/>
    <w:tmpl w:val="B5AAC3D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026F6"/>
    <w:multiLevelType w:val="hybridMultilevel"/>
    <w:tmpl w:val="1C426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77F0"/>
    <w:multiLevelType w:val="hybridMultilevel"/>
    <w:tmpl w:val="F64676D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3228B4"/>
    <w:multiLevelType w:val="hybridMultilevel"/>
    <w:tmpl w:val="F3B88A0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10DF8"/>
    <w:multiLevelType w:val="hybridMultilevel"/>
    <w:tmpl w:val="22E07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82DD0"/>
    <w:multiLevelType w:val="hybridMultilevel"/>
    <w:tmpl w:val="B92EB822"/>
    <w:lvl w:ilvl="0" w:tplc="9BE2B7E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3"/>
        <w:szCs w:val="23"/>
      </w:rPr>
    </w:lvl>
    <w:lvl w:ilvl="1" w:tplc="9EEEAB38">
      <w:start w:val="1"/>
      <w:numFmt w:val="bullet"/>
      <w:pStyle w:val="Listle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131268"/>
    <w:multiLevelType w:val="hybridMultilevel"/>
    <w:tmpl w:val="F50430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A2931"/>
    <w:multiLevelType w:val="hybridMultilevel"/>
    <w:tmpl w:val="60225B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B60954"/>
    <w:multiLevelType w:val="hybridMultilevel"/>
    <w:tmpl w:val="FB8256BE"/>
    <w:lvl w:ilvl="0" w:tplc="0088A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3"/>
        <w:szCs w:val="23"/>
      </w:rPr>
    </w:lvl>
    <w:lvl w:ilvl="1" w:tplc="09BE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3"/>
        <w:szCs w:val="23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C0379"/>
    <w:multiLevelType w:val="multilevel"/>
    <w:tmpl w:val="B57ABE36"/>
    <w:lvl w:ilvl="0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926"/>
        </w:tabs>
        <w:ind w:left="792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7463B"/>
    <w:multiLevelType w:val="hybridMultilevel"/>
    <w:tmpl w:val="5008D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479A9"/>
    <w:multiLevelType w:val="hybridMultilevel"/>
    <w:tmpl w:val="183C20CC"/>
    <w:lvl w:ilvl="0" w:tplc="3D541FC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335BA7"/>
    <w:multiLevelType w:val="hybridMultilevel"/>
    <w:tmpl w:val="B6E619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8324B"/>
    <w:multiLevelType w:val="multilevel"/>
    <w:tmpl w:val="6EEC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57B00"/>
    <w:multiLevelType w:val="hybridMultilevel"/>
    <w:tmpl w:val="C2EEAE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27DE7"/>
    <w:multiLevelType w:val="hybridMultilevel"/>
    <w:tmpl w:val="9F24D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43C76"/>
    <w:multiLevelType w:val="multilevel"/>
    <w:tmpl w:val="69A2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7B5460"/>
    <w:multiLevelType w:val="multilevel"/>
    <w:tmpl w:val="51CC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E689E"/>
    <w:multiLevelType w:val="hybridMultilevel"/>
    <w:tmpl w:val="A02E8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4"/>
  </w:num>
  <w:num w:numId="8">
    <w:abstractNumId w:val="15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0"/>
  </w:num>
  <w:num w:numId="14">
    <w:abstractNumId w:val="10"/>
  </w:num>
  <w:num w:numId="15">
    <w:abstractNumId w:val="6"/>
  </w:num>
  <w:num w:numId="16">
    <w:abstractNumId w:val="14"/>
  </w:num>
  <w:num w:numId="17">
    <w:abstractNumId w:val="12"/>
  </w:num>
  <w:num w:numId="18">
    <w:abstractNumId w:val="8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1"/>
    <w:rsid w:val="00016C02"/>
    <w:rsid w:val="00037AE3"/>
    <w:rsid w:val="0007057E"/>
    <w:rsid w:val="000F3BF8"/>
    <w:rsid w:val="0011275F"/>
    <w:rsid w:val="00125A6B"/>
    <w:rsid w:val="00143982"/>
    <w:rsid w:val="0014498B"/>
    <w:rsid w:val="00160B45"/>
    <w:rsid w:val="0017074C"/>
    <w:rsid w:val="00175ECE"/>
    <w:rsid w:val="001B6F56"/>
    <w:rsid w:val="001D0E86"/>
    <w:rsid w:val="001E7506"/>
    <w:rsid w:val="001F1A7C"/>
    <w:rsid w:val="00220881"/>
    <w:rsid w:val="0023201C"/>
    <w:rsid w:val="002427C2"/>
    <w:rsid w:val="00254C90"/>
    <w:rsid w:val="0027386D"/>
    <w:rsid w:val="00274F0F"/>
    <w:rsid w:val="00280050"/>
    <w:rsid w:val="00284C89"/>
    <w:rsid w:val="0028622A"/>
    <w:rsid w:val="00286D4B"/>
    <w:rsid w:val="002C08E4"/>
    <w:rsid w:val="002C3405"/>
    <w:rsid w:val="002D1511"/>
    <w:rsid w:val="002D2E07"/>
    <w:rsid w:val="002D6F7C"/>
    <w:rsid w:val="002E5002"/>
    <w:rsid w:val="002F1D97"/>
    <w:rsid w:val="002F34FF"/>
    <w:rsid w:val="002F4ECC"/>
    <w:rsid w:val="00315900"/>
    <w:rsid w:val="003160C3"/>
    <w:rsid w:val="003227B5"/>
    <w:rsid w:val="00330D1F"/>
    <w:rsid w:val="00342548"/>
    <w:rsid w:val="00365158"/>
    <w:rsid w:val="00370A87"/>
    <w:rsid w:val="00373BC7"/>
    <w:rsid w:val="00377B65"/>
    <w:rsid w:val="00383F74"/>
    <w:rsid w:val="003844CE"/>
    <w:rsid w:val="0039544B"/>
    <w:rsid w:val="003A16C2"/>
    <w:rsid w:val="003A2BE1"/>
    <w:rsid w:val="003A598A"/>
    <w:rsid w:val="003A7CA6"/>
    <w:rsid w:val="00401527"/>
    <w:rsid w:val="004026AA"/>
    <w:rsid w:val="00402AF3"/>
    <w:rsid w:val="00417DDF"/>
    <w:rsid w:val="004250CB"/>
    <w:rsid w:val="004252FB"/>
    <w:rsid w:val="00442F78"/>
    <w:rsid w:val="00465DF7"/>
    <w:rsid w:val="00470B25"/>
    <w:rsid w:val="00484D14"/>
    <w:rsid w:val="00493697"/>
    <w:rsid w:val="00497259"/>
    <w:rsid w:val="004A0799"/>
    <w:rsid w:val="004B49D0"/>
    <w:rsid w:val="004B755E"/>
    <w:rsid w:val="004C4BFA"/>
    <w:rsid w:val="004C6D7D"/>
    <w:rsid w:val="004F24AC"/>
    <w:rsid w:val="00502A6C"/>
    <w:rsid w:val="0055714C"/>
    <w:rsid w:val="005854AF"/>
    <w:rsid w:val="005C508E"/>
    <w:rsid w:val="005D1525"/>
    <w:rsid w:val="005D6B54"/>
    <w:rsid w:val="005E3E08"/>
    <w:rsid w:val="00623F1C"/>
    <w:rsid w:val="0063193B"/>
    <w:rsid w:val="00640718"/>
    <w:rsid w:val="006464C6"/>
    <w:rsid w:val="00650FB7"/>
    <w:rsid w:val="00652F91"/>
    <w:rsid w:val="00661CEB"/>
    <w:rsid w:val="006C588B"/>
    <w:rsid w:val="006D09DE"/>
    <w:rsid w:val="006D5EC5"/>
    <w:rsid w:val="006E1F28"/>
    <w:rsid w:val="006E2D30"/>
    <w:rsid w:val="006F464B"/>
    <w:rsid w:val="00702F52"/>
    <w:rsid w:val="007054EE"/>
    <w:rsid w:val="00714A4E"/>
    <w:rsid w:val="00727C85"/>
    <w:rsid w:val="00733C04"/>
    <w:rsid w:val="00745C89"/>
    <w:rsid w:val="007462D4"/>
    <w:rsid w:val="0075417A"/>
    <w:rsid w:val="00757DBD"/>
    <w:rsid w:val="00763D9C"/>
    <w:rsid w:val="00791644"/>
    <w:rsid w:val="007920CF"/>
    <w:rsid w:val="007B6ED8"/>
    <w:rsid w:val="007B7486"/>
    <w:rsid w:val="007C4E17"/>
    <w:rsid w:val="007D4168"/>
    <w:rsid w:val="007E4261"/>
    <w:rsid w:val="008010BB"/>
    <w:rsid w:val="00804887"/>
    <w:rsid w:val="00806C40"/>
    <w:rsid w:val="00813EE6"/>
    <w:rsid w:val="00821733"/>
    <w:rsid w:val="00832146"/>
    <w:rsid w:val="008627A2"/>
    <w:rsid w:val="00877813"/>
    <w:rsid w:val="00880633"/>
    <w:rsid w:val="00882AF5"/>
    <w:rsid w:val="008C4334"/>
    <w:rsid w:val="00913316"/>
    <w:rsid w:val="00915DC0"/>
    <w:rsid w:val="00920206"/>
    <w:rsid w:val="00930724"/>
    <w:rsid w:val="009309B4"/>
    <w:rsid w:val="0094088A"/>
    <w:rsid w:val="009439B5"/>
    <w:rsid w:val="00950D01"/>
    <w:rsid w:val="00966DBD"/>
    <w:rsid w:val="0097510F"/>
    <w:rsid w:val="00976D86"/>
    <w:rsid w:val="00980B56"/>
    <w:rsid w:val="0099011B"/>
    <w:rsid w:val="009A0291"/>
    <w:rsid w:val="009A1202"/>
    <w:rsid w:val="009B713D"/>
    <w:rsid w:val="009D2EE3"/>
    <w:rsid w:val="009D4ACC"/>
    <w:rsid w:val="009E02DC"/>
    <w:rsid w:val="009F1F1A"/>
    <w:rsid w:val="009F5837"/>
    <w:rsid w:val="00A15850"/>
    <w:rsid w:val="00A31EEF"/>
    <w:rsid w:val="00A4443B"/>
    <w:rsid w:val="00A46E29"/>
    <w:rsid w:val="00A53089"/>
    <w:rsid w:val="00A80E8E"/>
    <w:rsid w:val="00A815A3"/>
    <w:rsid w:val="00A86679"/>
    <w:rsid w:val="00A9031F"/>
    <w:rsid w:val="00A9572F"/>
    <w:rsid w:val="00AA1F21"/>
    <w:rsid w:val="00AA26AE"/>
    <w:rsid w:val="00AA2F0C"/>
    <w:rsid w:val="00AA5897"/>
    <w:rsid w:val="00AB2505"/>
    <w:rsid w:val="00AB4E52"/>
    <w:rsid w:val="00AC07B3"/>
    <w:rsid w:val="00AD323F"/>
    <w:rsid w:val="00AF207E"/>
    <w:rsid w:val="00B03DE2"/>
    <w:rsid w:val="00B056EE"/>
    <w:rsid w:val="00B14378"/>
    <w:rsid w:val="00B1610B"/>
    <w:rsid w:val="00B2259F"/>
    <w:rsid w:val="00B27365"/>
    <w:rsid w:val="00B35C87"/>
    <w:rsid w:val="00B4115D"/>
    <w:rsid w:val="00B82A00"/>
    <w:rsid w:val="00B91269"/>
    <w:rsid w:val="00BA256D"/>
    <w:rsid w:val="00BC45F1"/>
    <w:rsid w:val="00BE150B"/>
    <w:rsid w:val="00BE2D16"/>
    <w:rsid w:val="00BF41B4"/>
    <w:rsid w:val="00C0488A"/>
    <w:rsid w:val="00C04D34"/>
    <w:rsid w:val="00C325DD"/>
    <w:rsid w:val="00C462B2"/>
    <w:rsid w:val="00C50077"/>
    <w:rsid w:val="00C51BD9"/>
    <w:rsid w:val="00C81994"/>
    <w:rsid w:val="00C826F3"/>
    <w:rsid w:val="00C83FA3"/>
    <w:rsid w:val="00C873D7"/>
    <w:rsid w:val="00C9706D"/>
    <w:rsid w:val="00C97B4E"/>
    <w:rsid w:val="00CA2A17"/>
    <w:rsid w:val="00CA7D05"/>
    <w:rsid w:val="00CB55FB"/>
    <w:rsid w:val="00CC4044"/>
    <w:rsid w:val="00CD082F"/>
    <w:rsid w:val="00CD3338"/>
    <w:rsid w:val="00CD5B6A"/>
    <w:rsid w:val="00CE4726"/>
    <w:rsid w:val="00CE689F"/>
    <w:rsid w:val="00CF1EF3"/>
    <w:rsid w:val="00D045D2"/>
    <w:rsid w:val="00D126C7"/>
    <w:rsid w:val="00D20E03"/>
    <w:rsid w:val="00D2387A"/>
    <w:rsid w:val="00D244A5"/>
    <w:rsid w:val="00D36376"/>
    <w:rsid w:val="00D40EF7"/>
    <w:rsid w:val="00D47015"/>
    <w:rsid w:val="00D52DFF"/>
    <w:rsid w:val="00D54CD3"/>
    <w:rsid w:val="00D57D40"/>
    <w:rsid w:val="00D8772B"/>
    <w:rsid w:val="00D87B46"/>
    <w:rsid w:val="00D90959"/>
    <w:rsid w:val="00D921C4"/>
    <w:rsid w:val="00DA7CEF"/>
    <w:rsid w:val="00DB7B6F"/>
    <w:rsid w:val="00E156FE"/>
    <w:rsid w:val="00E403B8"/>
    <w:rsid w:val="00E4454A"/>
    <w:rsid w:val="00E44722"/>
    <w:rsid w:val="00E615EB"/>
    <w:rsid w:val="00E82AA7"/>
    <w:rsid w:val="00E9356E"/>
    <w:rsid w:val="00E96596"/>
    <w:rsid w:val="00EA66FB"/>
    <w:rsid w:val="00EA7D49"/>
    <w:rsid w:val="00EB1FC1"/>
    <w:rsid w:val="00EB6123"/>
    <w:rsid w:val="00EC24D8"/>
    <w:rsid w:val="00EE352D"/>
    <w:rsid w:val="00EE5879"/>
    <w:rsid w:val="00EF4D51"/>
    <w:rsid w:val="00F040A7"/>
    <w:rsid w:val="00F14D6C"/>
    <w:rsid w:val="00F36B25"/>
    <w:rsid w:val="00F62165"/>
    <w:rsid w:val="00F73126"/>
    <w:rsid w:val="00FA7F78"/>
    <w:rsid w:val="00FB00E9"/>
    <w:rsid w:val="00FB1EA4"/>
    <w:rsid w:val="00FB7553"/>
    <w:rsid w:val="00FC2C01"/>
    <w:rsid w:val="00FC7A0A"/>
    <w:rsid w:val="00FD4E4E"/>
    <w:rsid w:val="00FE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EF17A9"/>
  <w15:docId w15:val="{EB897FEF-52E7-8841-9DC4-289565D9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08"/>
    <w:pPr>
      <w:spacing w:after="180" w:line="240" w:lineRule="auto"/>
    </w:pPr>
    <w:rPr>
      <w:rFonts w:ascii="Segoe UI Semilight" w:hAnsi="Segoe UI Semilight" w:cstheme="minorHAnsi"/>
      <w:color w:val="000000"/>
      <w:sz w:val="20"/>
      <w:szCs w:val="23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B14378"/>
    <w:pPr>
      <w:keepNext/>
      <w:spacing w:before="240" w:after="240"/>
      <w:outlineLvl w:val="0"/>
    </w:pPr>
    <w:rPr>
      <w:rFonts w:ascii="Segoe UI Semibold" w:eastAsia="Times New Roman" w:hAnsi="Segoe UI Semibold" w:cs="Calibri Light"/>
      <w:b/>
      <w:color w:val="3B3838" w:themeColor="background2" w:themeShade="40"/>
      <w:kern w:val="36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378"/>
    <w:pPr>
      <w:keepNext/>
      <w:keepLines/>
      <w:spacing w:before="240" w:after="120"/>
      <w:outlineLvl w:val="1"/>
    </w:pPr>
    <w:rPr>
      <w:rFonts w:ascii="Segoe UI Semibold" w:hAnsi="Segoe UI Semibold"/>
      <w:color w:val="3B3838" w:themeColor="background2" w:themeShade="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3E08"/>
    <w:pPr>
      <w:keepNext/>
      <w:keepLines/>
      <w:spacing w:before="120" w:after="60"/>
      <w:outlineLvl w:val="2"/>
    </w:pPr>
    <w:rPr>
      <w:rFonts w:ascii="Segoe UI Semibold" w:eastAsiaTheme="majorEastAsia" w:hAnsi="Segoe UI Semibold" w:cs="Segoe UI Semibold"/>
      <w:color w:val="3B3838" w:themeColor="background2" w:themeShade="4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378"/>
    <w:rPr>
      <w:rFonts w:ascii="Segoe UI Semibold" w:eastAsia="Times New Roman" w:hAnsi="Segoe UI Semibold" w:cs="Calibri Light"/>
      <w:b/>
      <w:color w:val="3B3838" w:themeColor="background2" w:themeShade="40"/>
      <w:kern w:val="36"/>
      <w:sz w:val="44"/>
      <w:szCs w:val="40"/>
      <w:lang w:eastAsia="en-AU"/>
    </w:rPr>
  </w:style>
  <w:style w:type="paragraph" w:styleId="ListParagraph">
    <w:name w:val="List Paragraph"/>
    <w:basedOn w:val="Normal"/>
    <w:uiPriority w:val="34"/>
    <w:qFormat/>
    <w:rsid w:val="005E3E08"/>
    <w:pPr>
      <w:numPr>
        <w:numId w:val="20"/>
      </w:numPr>
      <w:spacing w:before="60" w:after="60"/>
      <w:ind w:left="794" w:hanging="397"/>
    </w:pPr>
    <w:rPr>
      <w:sz w:val="21"/>
    </w:rPr>
  </w:style>
  <w:style w:type="character" w:styleId="Hyperlink">
    <w:name w:val="Hyperlink"/>
    <w:basedOn w:val="DefaultParagraphFont"/>
    <w:uiPriority w:val="99"/>
    <w:unhideWhenUsed/>
    <w:rsid w:val="003A59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0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206"/>
    <w:rPr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20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206"/>
    <w:rPr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7510F"/>
  </w:style>
  <w:style w:type="character" w:styleId="CommentReference">
    <w:name w:val="annotation reference"/>
    <w:basedOn w:val="DefaultParagraphFont"/>
    <w:uiPriority w:val="99"/>
    <w:semiHidden/>
    <w:unhideWhenUsed/>
    <w:rsid w:val="00037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AE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AE3"/>
    <w:rPr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AE3"/>
    <w:rPr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A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E3"/>
    <w:rPr>
      <w:rFonts w:ascii="Segoe UI" w:hAnsi="Segoe UI" w:cs="Segoe UI"/>
      <w:sz w:val="18"/>
      <w:szCs w:val="18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C6D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610B"/>
    <w:pPr>
      <w:spacing w:after="0" w:line="240" w:lineRule="auto"/>
    </w:pPr>
    <w:rPr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F2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199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14378"/>
    <w:rPr>
      <w:rFonts w:ascii="Segoe UI Semibold" w:hAnsi="Segoe UI Semibold" w:cstheme="minorHAnsi"/>
      <w:color w:val="3B3838" w:themeColor="background2" w:themeShade="40"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E3E08"/>
    <w:rPr>
      <w:rFonts w:ascii="Segoe UI Semibold" w:eastAsiaTheme="majorEastAsia" w:hAnsi="Segoe UI Semibold" w:cs="Segoe UI Semibold"/>
      <w:color w:val="3B3838" w:themeColor="background2" w:themeShade="40"/>
      <w:sz w:val="23"/>
      <w:szCs w:val="23"/>
      <w:lang w:eastAsia="en-AU"/>
    </w:rPr>
  </w:style>
  <w:style w:type="paragraph" w:customStyle="1" w:styleId="Listlevel2">
    <w:name w:val="List level 2"/>
    <w:basedOn w:val="ListParagraph"/>
    <w:qFormat/>
    <w:rsid w:val="00B14378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ioidcalculator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4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painaustralia.org.au/getting-help/pain-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5BF4-66A5-4CE7-A556-04A24CEF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1158</Words>
  <Characters>6580</Characters>
  <Application>Microsoft Office Word</Application>
  <DocSecurity>0</DocSecurity>
  <Lines>90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Clinician information sheet on opioid analgesic tapering</vt:lpstr>
    </vt:vector>
  </TitlesOfParts>
  <Company>Department of Health</Company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Clinician information sheet on opioid analgesic tapering</dc:title>
  <dc:subject>prescription medicine - opioids</dc:subject>
  <dc:creator>Therapeutic Goods Administration</dc:creator>
  <cp:keywords>opioids</cp:keywords>
  <cp:lastModifiedBy>Cox, Jennifer</cp:lastModifiedBy>
  <cp:revision>3</cp:revision>
  <cp:lastPrinted>2020-09-17T00:49:00Z</cp:lastPrinted>
  <dcterms:created xsi:type="dcterms:W3CDTF">2020-10-02T02:21:00Z</dcterms:created>
  <dcterms:modified xsi:type="dcterms:W3CDTF">2020-10-02T02:23:00Z</dcterms:modified>
  <cp:category>prescription medicines, medicine safety</cp:category>
</cp:coreProperties>
</file>