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2BDA" w14:textId="60BF1B76" w:rsidR="00D40EF7" w:rsidRPr="0058239A" w:rsidRDefault="00D40B4B" w:rsidP="0058239A">
      <w:pPr>
        <w:pStyle w:val="Heading1"/>
        <w:spacing w:before="0" w:after="120" w:line="216" w:lineRule="auto"/>
        <w:rPr>
          <w:bCs/>
          <w:sz w:val="52"/>
          <w:szCs w:val="52"/>
        </w:rPr>
      </w:pPr>
      <w:r w:rsidRPr="0058239A">
        <w:rPr>
          <w:rFonts w:ascii="Segoe UI Semilight" w:hAnsi="Segoe UI Semilight" w:cs="Segoe UI Semilight"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8655EA" wp14:editId="7D050C27">
                <wp:simplePos x="0" y="0"/>
                <wp:positionH relativeFrom="page">
                  <wp:posOffset>647700</wp:posOffset>
                </wp:positionH>
                <wp:positionV relativeFrom="paragraph">
                  <wp:posOffset>869315</wp:posOffset>
                </wp:positionV>
                <wp:extent cx="6286500" cy="26352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6500" cy="2635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D762D" w14:textId="77777777" w:rsidR="00037C6C" w:rsidRPr="00D40B4B" w:rsidRDefault="00037C6C" w:rsidP="00F713BD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  <w:r w:rsidRPr="00D40B4B">
                              <w:rPr>
                                <w:b/>
                              </w:rPr>
                              <w:t>This information sheet aims to:</w:t>
                            </w:r>
                          </w:p>
                          <w:p w14:paraId="20DB58E4" w14:textId="14874C60" w:rsidR="00037C6C" w:rsidRPr="007A30FC" w:rsidRDefault="00037C6C" w:rsidP="00D40B4B">
                            <w:pPr>
                              <w:pStyle w:val="ListParagraph"/>
                            </w:pPr>
                            <w:r w:rsidRPr="00E403E8">
                              <w:t>Summarise</w:t>
                            </w:r>
                            <w:r w:rsidRPr="007A30FC">
                              <w:t xml:space="preserve"> agreed principles and highlight some key points of, and signpost to, a number of Australian guidelines</w:t>
                            </w:r>
                          </w:p>
                          <w:p w14:paraId="0ECD8B42" w14:textId="3EFC4802" w:rsidR="00037C6C" w:rsidRPr="007A30FC" w:rsidRDefault="00037C6C" w:rsidP="00D40B4B">
                            <w:pPr>
                              <w:pStyle w:val="ListParagraph"/>
                            </w:pPr>
                            <w:r w:rsidRPr="007A30FC">
                              <w:t>Recommend language that guides and supports patients</w:t>
                            </w:r>
                          </w:p>
                          <w:p w14:paraId="7E642A9B" w14:textId="6F633CE1" w:rsidR="00037C6C" w:rsidRPr="007A30FC" w:rsidRDefault="00037C6C" w:rsidP="00D40B4B">
                            <w:pPr>
                              <w:pStyle w:val="ListParagraph"/>
                            </w:pPr>
                            <w:r w:rsidRPr="007A30FC">
                              <w:t xml:space="preserve">Support opioid analgesic tapering for patients with complex problems, noting that in these cases referral to a specialist service may be required, but there will likely be a waiting period before these services can be accessed </w:t>
                            </w:r>
                          </w:p>
                          <w:p w14:paraId="63C36F06" w14:textId="03F930CC" w:rsidR="00037C6C" w:rsidRPr="007A30FC" w:rsidRDefault="00037C6C" w:rsidP="00D40B4B">
                            <w:pPr>
                              <w:pStyle w:val="ListParagraph"/>
                            </w:pPr>
                            <w:r w:rsidRPr="007A30FC">
                              <w:t>Support taper in situations where the patient may not fully cooperate, but the prescriber feels the current dose is causing harm thus is unable to continue current prescribing</w:t>
                            </w:r>
                          </w:p>
                          <w:p w14:paraId="541D4736" w14:textId="1F09F69B" w:rsidR="00037C6C" w:rsidRPr="00E403E8" w:rsidRDefault="00037C6C" w:rsidP="00D40B4B">
                            <w:pPr>
                              <w:pStyle w:val="ListParagraph"/>
                            </w:pPr>
                            <w:r w:rsidRPr="007A30FC">
                              <w:t>Emphasise that every practitioner attempting a taper must create a patient-specific plan to ensure ongoing m</w:t>
                            </w:r>
                            <w:r w:rsidRPr="00E403E8">
                              <w:t>onitoring and support to avoid serious withdrawal symptoms, worsening of pain or psychological distress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655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68.45pt;width:495pt;height:20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" fillcolor="#deeaf6 [660]" strokecolor="#747070 [1614]" strokeweight=".5pt">
                <v:path arrowok="t"/>
                <v:textbox>
                  <w:txbxContent>
                    <w:p w14:paraId="30ED762D" w14:textId="77777777" w:rsidR="00037C6C" w:rsidRPr="00D40B4B" w:rsidRDefault="00037C6C" w:rsidP="00F713BD">
                      <w:pPr>
                        <w:spacing w:before="120" w:after="120"/>
                        <w:rPr>
                          <w:b/>
                        </w:rPr>
                      </w:pPr>
                      <w:r w:rsidRPr="00D40B4B">
                        <w:rPr>
                          <w:b/>
                        </w:rPr>
                        <w:t>This information sheet aims to:</w:t>
                      </w:r>
                    </w:p>
                    <w:p w14:paraId="20DB58E4" w14:textId="14874C60" w:rsidR="00037C6C" w:rsidRPr="007A30FC" w:rsidRDefault="00037C6C" w:rsidP="00D40B4B">
                      <w:pPr>
                        <w:pStyle w:val="ListParagraph"/>
                      </w:pPr>
                      <w:r w:rsidRPr="00E403E8">
                        <w:t>Summarise</w:t>
                      </w:r>
                      <w:r w:rsidRPr="007A30FC">
                        <w:t xml:space="preserve"> agreed principles and highlight some key points of, and signpost to, a number of Australian guidelines</w:t>
                      </w:r>
                    </w:p>
                    <w:p w14:paraId="0ECD8B42" w14:textId="3EFC4802" w:rsidR="00037C6C" w:rsidRPr="007A30FC" w:rsidRDefault="00037C6C" w:rsidP="00D40B4B">
                      <w:pPr>
                        <w:pStyle w:val="ListParagraph"/>
                      </w:pPr>
                      <w:r w:rsidRPr="007A30FC">
                        <w:t>Recommend language that guides and supports patients</w:t>
                      </w:r>
                    </w:p>
                    <w:p w14:paraId="7E642A9B" w14:textId="6F633CE1" w:rsidR="00037C6C" w:rsidRPr="007A30FC" w:rsidRDefault="00037C6C" w:rsidP="00D40B4B">
                      <w:pPr>
                        <w:pStyle w:val="ListParagraph"/>
                      </w:pPr>
                      <w:r w:rsidRPr="007A30FC">
                        <w:t xml:space="preserve">Support opioid analgesic tapering for patients with complex problems, noting that in these cases referral to a specialist service may be required, but there will likely be a waiting period before these services can be accessed </w:t>
                      </w:r>
                    </w:p>
                    <w:p w14:paraId="63C36F06" w14:textId="03F930CC" w:rsidR="00037C6C" w:rsidRPr="007A30FC" w:rsidRDefault="00037C6C" w:rsidP="00D40B4B">
                      <w:pPr>
                        <w:pStyle w:val="ListParagraph"/>
                      </w:pPr>
                      <w:r w:rsidRPr="007A30FC">
                        <w:t>Support taper in situations where the patient may not fully cooperate, but the prescriber feels the current dose is causing harm thus is unable to continue current prescribing</w:t>
                      </w:r>
                    </w:p>
                    <w:p w14:paraId="541D4736" w14:textId="1F09F69B" w:rsidR="00037C6C" w:rsidRPr="00E403E8" w:rsidRDefault="00037C6C" w:rsidP="00D40B4B">
                      <w:pPr>
                        <w:pStyle w:val="ListParagraph"/>
                      </w:pPr>
                      <w:r w:rsidRPr="007A30FC">
                        <w:t>Emphasise that every practitioner attempting a taper must create a patient-specific plan to ensure ongoing m</w:t>
                      </w:r>
                      <w:r w:rsidRPr="00E403E8">
                        <w:t>onitoring and support to avoid serious withdrawal symptoms, worsening of pain or psychological distress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42548" w:rsidRPr="0058239A">
        <w:rPr>
          <w:rFonts w:ascii="Segoe UI Semilight" w:hAnsi="Segoe UI Semilight" w:cs="Segoe UI Semilight"/>
        </w:rPr>
        <w:t>Clinician</w:t>
      </w:r>
      <w:r w:rsidR="00377B65" w:rsidRPr="0058239A">
        <w:rPr>
          <w:rFonts w:ascii="Segoe UI Semilight" w:hAnsi="Segoe UI Semilight" w:cs="Segoe UI Semilight"/>
        </w:rPr>
        <w:t xml:space="preserve"> information sheet</w:t>
      </w:r>
      <w:r w:rsidR="00342548" w:rsidRPr="0058239A">
        <w:rPr>
          <w:rFonts w:ascii="Segoe UI Semilight" w:hAnsi="Segoe UI Semilight" w:cs="Segoe UI Semilight"/>
        </w:rPr>
        <w:t xml:space="preserve"> </w:t>
      </w:r>
      <w:r w:rsidR="006464C6" w:rsidRPr="0058239A">
        <w:rPr>
          <w:rFonts w:ascii="Segoe UI Semilight" w:hAnsi="Segoe UI Semilight" w:cs="Segoe UI Semilight"/>
        </w:rPr>
        <w:t>on</w:t>
      </w:r>
      <w:r w:rsidR="00342548" w:rsidRPr="00591962">
        <w:rPr>
          <w:sz w:val="48"/>
          <w:szCs w:val="48"/>
        </w:rPr>
        <w:t xml:space="preserve"> </w:t>
      </w:r>
      <w:r w:rsidR="00342548" w:rsidRPr="0058239A">
        <w:rPr>
          <w:sz w:val="52"/>
          <w:szCs w:val="52"/>
        </w:rPr>
        <w:t>o</w:t>
      </w:r>
      <w:r w:rsidR="009A0291" w:rsidRPr="0058239A">
        <w:rPr>
          <w:sz w:val="52"/>
          <w:szCs w:val="52"/>
        </w:rPr>
        <w:t>pioid</w:t>
      </w:r>
      <w:r w:rsidR="00BE2D16" w:rsidRPr="0058239A">
        <w:rPr>
          <w:sz w:val="52"/>
          <w:szCs w:val="52"/>
        </w:rPr>
        <w:t xml:space="preserve"> analgesic</w:t>
      </w:r>
      <w:r w:rsidR="009A0291" w:rsidRPr="0058239A">
        <w:rPr>
          <w:sz w:val="52"/>
          <w:szCs w:val="52"/>
        </w:rPr>
        <w:t xml:space="preserve"> taper</w:t>
      </w:r>
      <w:r w:rsidR="00D126C7" w:rsidRPr="0058239A">
        <w:rPr>
          <w:sz w:val="52"/>
          <w:szCs w:val="52"/>
        </w:rPr>
        <w:t>ing</w:t>
      </w:r>
    </w:p>
    <w:p w14:paraId="3A8709E3" w14:textId="695098AB" w:rsidR="007054EE" w:rsidRDefault="007054EE" w:rsidP="008F7887">
      <w:pPr>
        <w:pStyle w:val="Heading2"/>
      </w:pPr>
      <w:r>
        <w:t>Treatment indication: opioid</w:t>
      </w:r>
      <w:r w:rsidR="00B27365">
        <w:t xml:space="preserve"> analgesics</w:t>
      </w:r>
      <w:r>
        <w:t xml:space="preserve"> and C</w:t>
      </w:r>
      <w:r w:rsidR="00377B65">
        <w:t>hro</w:t>
      </w:r>
      <w:r w:rsidR="00377B65" w:rsidRPr="007A30FC">
        <w:rPr>
          <w:rStyle w:val="Heading2Char"/>
        </w:rPr>
        <w:t>ni</w:t>
      </w:r>
      <w:r w:rsidR="00377B65">
        <w:t xml:space="preserve">c </w:t>
      </w:r>
      <w:r>
        <w:t>N</w:t>
      </w:r>
      <w:r w:rsidR="00377B65">
        <w:t xml:space="preserve">on </w:t>
      </w:r>
      <w:r>
        <w:t>C</w:t>
      </w:r>
      <w:r w:rsidR="00377B65">
        <w:t xml:space="preserve">ancer </w:t>
      </w:r>
      <w:r>
        <w:t>P</w:t>
      </w:r>
      <w:r w:rsidR="00377B65">
        <w:t>ain (CNCP)</w:t>
      </w:r>
    </w:p>
    <w:p w14:paraId="49432119" w14:textId="02E9DF33" w:rsidR="007054EE" w:rsidRPr="00D40EF7" w:rsidRDefault="007054EE" w:rsidP="00D40B4B">
      <w:r w:rsidRPr="00274F0F">
        <w:t>Opioid</w:t>
      </w:r>
      <w:r w:rsidR="00BE2D16">
        <w:t xml:space="preserve"> analgesics</w:t>
      </w:r>
      <w:r w:rsidRPr="00274F0F">
        <w:t xml:space="preserve"> are no longer indicated for CNCP other than in exceptional circumstances</w:t>
      </w:r>
      <w:r w:rsidR="00175ECE">
        <w:t xml:space="preserve"> following changes to the TGA registered indications and PBS reimbursement criteria in 2020</w:t>
      </w:r>
      <w:r w:rsidRPr="00274F0F">
        <w:t>.</w:t>
      </w:r>
    </w:p>
    <w:p w14:paraId="2F59A103" w14:textId="77777777" w:rsidR="004026AA" w:rsidRPr="00E4454A" w:rsidRDefault="00976D86" w:rsidP="00C27323">
      <w:pPr>
        <w:pStyle w:val="Heading2"/>
      </w:pPr>
      <w:r>
        <w:t>Goals of intervention and t</w:t>
      </w:r>
      <w:r w:rsidR="00D126C7" w:rsidRPr="00E4454A">
        <w:t xml:space="preserve">arget </w:t>
      </w:r>
      <w:r w:rsidR="00E4454A">
        <w:t>patient groups</w:t>
      </w:r>
      <w:r w:rsidR="00D126C7" w:rsidRPr="00E4454A">
        <w:t xml:space="preserve"> </w:t>
      </w:r>
    </w:p>
    <w:p w14:paraId="1C82BD45" w14:textId="06D72F02" w:rsidR="00D126C7" w:rsidRPr="00806C40" w:rsidRDefault="00D126C7" w:rsidP="00D40B4B">
      <w:pPr>
        <w:pStyle w:val="ListParagraph"/>
        <w:numPr>
          <w:ilvl w:val="0"/>
          <w:numId w:val="14"/>
        </w:numPr>
      </w:pPr>
      <w:r w:rsidRPr="00806C40">
        <w:rPr>
          <w:b/>
        </w:rPr>
        <w:t>Chronic N</w:t>
      </w:r>
      <w:r w:rsidR="004026AA" w:rsidRPr="00806C40">
        <w:rPr>
          <w:b/>
        </w:rPr>
        <w:t xml:space="preserve">on-Cancer Pain </w:t>
      </w:r>
      <w:r w:rsidRPr="00806C40">
        <w:rPr>
          <w:b/>
        </w:rPr>
        <w:t>patient</w:t>
      </w:r>
      <w:r w:rsidR="00E4454A" w:rsidRPr="00806C40">
        <w:rPr>
          <w:b/>
        </w:rPr>
        <w:t>s</w:t>
      </w:r>
      <w:r w:rsidRPr="00806C40">
        <w:rPr>
          <w:b/>
        </w:rPr>
        <w:t xml:space="preserve"> on opioid</w:t>
      </w:r>
      <w:r w:rsidR="00727C85">
        <w:rPr>
          <w:b/>
        </w:rPr>
        <w:t xml:space="preserve"> analgesics</w:t>
      </w:r>
      <w:r w:rsidRPr="00806C40">
        <w:t xml:space="preserve">, for whom the prescriber </w:t>
      </w:r>
      <w:r w:rsidR="00C81994">
        <w:t xml:space="preserve">considers </w:t>
      </w:r>
      <w:r w:rsidRPr="00806C40">
        <w:t>does not meet the criterion of exceptional circumstances</w:t>
      </w:r>
      <w:r w:rsidR="00AD323F">
        <w:t>,</w:t>
      </w:r>
      <w:r w:rsidRPr="00806C40">
        <w:t xml:space="preserve"> and </w:t>
      </w:r>
      <w:r w:rsidR="002C3405" w:rsidRPr="00806C40">
        <w:t xml:space="preserve">where </w:t>
      </w:r>
      <w:r w:rsidRPr="00806C40">
        <w:t>the prescriber</w:t>
      </w:r>
      <w:r w:rsidR="002C3405" w:rsidRPr="00806C40">
        <w:t xml:space="preserve"> </w:t>
      </w:r>
      <w:r w:rsidRPr="00806C40">
        <w:t>and patient</w:t>
      </w:r>
      <w:r w:rsidR="002C3405" w:rsidRPr="00806C40">
        <w:t xml:space="preserve"> believe they can collaborate to achieve </w:t>
      </w:r>
      <w:r w:rsidRPr="00806C40">
        <w:t>a reduction in opioid</w:t>
      </w:r>
      <w:r w:rsidR="00727C85">
        <w:t xml:space="preserve"> analgesic</w:t>
      </w:r>
      <w:r w:rsidRPr="00806C40">
        <w:t xml:space="preserve"> dose</w:t>
      </w:r>
      <w:r w:rsidR="00E156FE" w:rsidRPr="00806C40">
        <w:t>.</w:t>
      </w:r>
      <w:r w:rsidRPr="00806C40">
        <w:t> </w:t>
      </w:r>
    </w:p>
    <w:p w14:paraId="5EA3B6FD" w14:textId="70BDED80" w:rsidR="00274F0F" w:rsidRDefault="004026AA" w:rsidP="00D40B4B">
      <w:pPr>
        <w:pStyle w:val="ListParagraph"/>
        <w:numPr>
          <w:ilvl w:val="0"/>
          <w:numId w:val="14"/>
        </w:numPr>
      </w:pPr>
      <w:r w:rsidRPr="00AA1F21">
        <w:rPr>
          <w:b/>
        </w:rPr>
        <w:t xml:space="preserve">Indications for </w:t>
      </w:r>
      <w:r w:rsidR="00BE2D16">
        <w:rPr>
          <w:b/>
        </w:rPr>
        <w:t xml:space="preserve">opioid analgesic </w:t>
      </w:r>
      <w:r w:rsidRPr="00AA1F21">
        <w:rPr>
          <w:b/>
        </w:rPr>
        <w:t>taper</w:t>
      </w:r>
      <w:r w:rsidR="00C81994">
        <w:rPr>
          <w:b/>
        </w:rPr>
        <w:t>ing</w:t>
      </w:r>
      <w:r w:rsidRPr="00AA1F21">
        <w:rPr>
          <w:b/>
        </w:rPr>
        <w:t xml:space="preserve"> include</w:t>
      </w:r>
      <w:r w:rsidRPr="00AA1F21">
        <w:t xml:space="preserve"> suspected lack of efficacy of opioid</w:t>
      </w:r>
      <w:r w:rsidR="00BE2D16">
        <w:t xml:space="preserve"> analgesic</w:t>
      </w:r>
      <w:r w:rsidRPr="00AA1F21">
        <w:t xml:space="preserve"> in pain management</w:t>
      </w:r>
      <w:r w:rsidR="00B91269">
        <w:t xml:space="preserve"> (including increased pain sensitivity)</w:t>
      </w:r>
      <w:r w:rsidRPr="00AA1F21">
        <w:t>, hazardous/harmful use o</w:t>
      </w:r>
      <w:r w:rsidR="007920CF">
        <w:t>f</w:t>
      </w:r>
      <w:r w:rsidRPr="00AA1F21">
        <w:t xml:space="preserve"> opioid</w:t>
      </w:r>
      <w:r w:rsidR="00727C85">
        <w:t xml:space="preserve"> analgesics</w:t>
      </w:r>
      <w:r w:rsidRPr="00AA1F21">
        <w:t>, other adverse events (</w:t>
      </w:r>
      <w:r w:rsidR="005D1525">
        <w:t xml:space="preserve">respiratory depression, </w:t>
      </w:r>
      <w:r w:rsidRPr="00AA1F21">
        <w:t xml:space="preserve">tiredness, constipation, difficulty </w:t>
      </w:r>
      <w:r w:rsidR="00AB4E52">
        <w:t xml:space="preserve">in </w:t>
      </w:r>
      <w:r w:rsidRPr="00AA1F21">
        <w:t>concentrating</w:t>
      </w:r>
      <w:r w:rsidR="00377B65">
        <w:t>, difficult to treat depression and/or sexual dysfunction</w:t>
      </w:r>
      <w:r w:rsidRPr="00AA1F21">
        <w:t>)</w:t>
      </w:r>
      <w:r w:rsidR="00274F0F">
        <w:t>.</w:t>
      </w:r>
    </w:p>
    <w:p w14:paraId="49AFE738" w14:textId="702DBD76" w:rsidR="00877813" w:rsidRPr="00877813" w:rsidRDefault="00976D86" w:rsidP="00D40B4B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877813">
        <w:rPr>
          <w:rFonts w:ascii="Calibri" w:hAnsi="Calibri" w:cs="Calibri"/>
        </w:rPr>
        <w:t>The</w:t>
      </w:r>
      <w:r w:rsidRPr="00877813">
        <w:rPr>
          <w:rFonts w:ascii="Calibri" w:hAnsi="Calibri" w:cs="Calibri"/>
          <w:b/>
        </w:rPr>
        <w:t xml:space="preserve"> </w:t>
      </w:r>
      <w:proofErr w:type="spellStart"/>
      <w:r w:rsidRPr="00877813">
        <w:rPr>
          <w:rFonts w:ascii="Calibri" w:hAnsi="Calibri" w:cs="Calibri"/>
          <w:b/>
        </w:rPr>
        <w:t>oMEDD</w:t>
      </w:r>
      <w:proofErr w:type="spellEnd"/>
      <w:r w:rsidRPr="00877813">
        <w:rPr>
          <w:rFonts w:ascii="Calibri" w:hAnsi="Calibri" w:cs="Calibri"/>
          <w:b/>
        </w:rPr>
        <w:t xml:space="preserve"> </w:t>
      </w:r>
      <w:r w:rsidRPr="00877813">
        <w:rPr>
          <w:rFonts w:ascii="Calibri" w:hAnsi="Calibri" w:cs="Calibri"/>
        </w:rPr>
        <w:t xml:space="preserve">(oral morphine </w:t>
      </w:r>
      <w:r w:rsidRPr="00877813">
        <w:t>equivalent daily dose) is a measure of how potent the</w:t>
      </w:r>
      <w:r w:rsidR="00BE2D16">
        <w:t xml:space="preserve"> opioid analgesic</w:t>
      </w:r>
      <w:r w:rsidRPr="00877813">
        <w:t xml:space="preserve"> dose is.  The Faculty of Pain Medicine have a simple dose calculator </w:t>
      </w:r>
      <w:hyperlink r:id="rId8" w:history="1">
        <w:r w:rsidRPr="00877813">
          <w:rPr>
            <w:rStyle w:val="Hyperlink"/>
            <w:rFonts w:asciiTheme="minorHAnsi" w:hAnsiTheme="minorHAnsi"/>
            <w:sz w:val="23"/>
          </w:rPr>
          <w:t>www.opioidcalculator.com.au</w:t>
        </w:r>
      </w:hyperlink>
      <w:r w:rsidRPr="00877813">
        <w:t xml:space="preserve"> that is free to download, including as an app. </w:t>
      </w:r>
      <w:r w:rsidR="00470B25" w:rsidRPr="00877813">
        <w:t>The ‘traffic light’ system on the app is also a useful, visual tool when discussing concerns with</w:t>
      </w:r>
      <w:r w:rsidR="00BE2D16">
        <w:t xml:space="preserve"> patients taking</w:t>
      </w:r>
      <w:r w:rsidR="00470B25" w:rsidRPr="00877813">
        <w:t xml:space="preserve"> high doses of opioid</w:t>
      </w:r>
      <w:r w:rsidR="00BE2D16">
        <w:t xml:space="preserve"> analgesics</w:t>
      </w:r>
      <w:r w:rsidR="00470B25" w:rsidRPr="00877813">
        <w:t>.</w:t>
      </w:r>
      <w:r w:rsidRPr="00877813">
        <w:t xml:space="preserve"> (Note the ratios for conversion of morphine and other full agonist opioids to buprenorphine </w:t>
      </w:r>
      <w:r w:rsidR="004250CB">
        <w:t>do</w:t>
      </w:r>
      <w:r w:rsidRPr="00877813">
        <w:t xml:space="preserve"> not appl</w:t>
      </w:r>
      <w:r w:rsidR="004250CB">
        <w:t>y</w:t>
      </w:r>
      <w:r w:rsidRPr="00877813">
        <w:t xml:space="preserve"> at high doses).</w:t>
      </w:r>
    </w:p>
    <w:p w14:paraId="7C462AFA" w14:textId="28AAAD08" w:rsidR="00465DF7" w:rsidRPr="00465DF7" w:rsidRDefault="00465DF7" w:rsidP="00D40B4B">
      <w:pPr>
        <w:pStyle w:val="ListParagraph"/>
        <w:numPr>
          <w:ilvl w:val="0"/>
          <w:numId w:val="14"/>
        </w:numPr>
      </w:pPr>
      <w:r>
        <w:rPr>
          <w:b/>
        </w:rPr>
        <w:t xml:space="preserve">In particular, </w:t>
      </w:r>
      <w:r w:rsidR="00976D86" w:rsidRPr="00D40EF7">
        <w:rPr>
          <w:b/>
        </w:rPr>
        <w:t xml:space="preserve">CNCP patients </w:t>
      </w:r>
      <w:r w:rsidR="00AF207E">
        <w:rPr>
          <w:b/>
        </w:rPr>
        <w:t>taking</w:t>
      </w:r>
      <w:r w:rsidR="00AF207E" w:rsidRPr="00D40EF7">
        <w:rPr>
          <w:b/>
        </w:rPr>
        <w:t xml:space="preserve"> </w:t>
      </w:r>
      <w:r w:rsidR="00976D86" w:rsidRPr="00D40EF7">
        <w:rPr>
          <w:b/>
        </w:rPr>
        <w:t xml:space="preserve">more than 60mg </w:t>
      </w:r>
      <w:proofErr w:type="spellStart"/>
      <w:r w:rsidR="00976D86" w:rsidRPr="00D40EF7">
        <w:rPr>
          <w:b/>
        </w:rPr>
        <w:t>oMEDD</w:t>
      </w:r>
      <w:proofErr w:type="spellEnd"/>
      <w:r w:rsidR="00976D86" w:rsidRPr="00D40EF7">
        <w:t xml:space="preserve"> should aim to taper to below this </w:t>
      </w:r>
      <w:r w:rsidR="00763D9C">
        <w:t>dose</w:t>
      </w:r>
      <w:r w:rsidR="00976D86" w:rsidRPr="00D40EF7">
        <w:t xml:space="preserve"> to improve safety outcomes. </w:t>
      </w:r>
      <w:r w:rsidR="004250CB">
        <w:t xml:space="preserve">While the 60 mg </w:t>
      </w:r>
      <w:proofErr w:type="spellStart"/>
      <w:r w:rsidR="004250CB">
        <w:t>oMEDD</w:t>
      </w:r>
      <w:proofErr w:type="spellEnd"/>
      <w:r w:rsidR="004250CB">
        <w:t xml:space="preserve"> figure is based on expert opinion only, use of 60 mg or higher </w:t>
      </w:r>
      <w:r w:rsidR="00976D86" w:rsidRPr="00D40EF7">
        <w:t>likely indicate</w:t>
      </w:r>
      <w:r w:rsidR="004250CB">
        <w:t>s</w:t>
      </w:r>
      <w:r w:rsidR="00976D86" w:rsidRPr="00D40EF7">
        <w:t xml:space="preserve"> pain that is poorly responsive to opioid</w:t>
      </w:r>
      <w:r w:rsidR="00727C85">
        <w:t xml:space="preserve"> analgesics</w:t>
      </w:r>
      <w:r w:rsidR="00976D86" w:rsidRPr="00D40EF7">
        <w:t xml:space="preserve"> and </w:t>
      </w:r>
      <w:r w:rsidR="00727C85">
        <w:t xml:space="preserve">that </w:t>
      </w:r>
      <w:r w:rsidR="00976D86" w:rsidRPr="00D40EF7">
        <w:t>the analgesic response is not justified by the potential for harm.</w:t>
      </w:r>
      <w:r w:rsidR="00B82A00" w:rsidRPr="00B82A00">
        <w:rPr>
          <w:b/>
        </w:rPr>
        <w:t xml:space="preserve"> </w:t>
      </w:r>
      <w:r w:rsidR="00B82A00" w:rsidRPr="00465DF7">
        <w:rPr>
          <w:b/>
        </w:rPr>
        <w:t>For frail or older patients and those prescribed other sedative medicines</w:t>
      </w:r>
      <w:r w:rsidR="00B82A00" w:rsidRPr="00465DF7">
        <w:t xml:space="preserve"> such as benzodiazepines, </w:t>
      </w:r>
      <w:proofErr w:type="spellStart"/>
      <w:r w:rsidR="00B82A00" w:rsidRPr="00465DF7">
        <w:t>gabapentinoids</w:t>
      </w:r>
      <w:proofErr w:type="spellEnd"/>
      <w:r w:rsidR="00B82A00" w:rsidRPr="00465DF7">
        <w:t xml:space="preserve"> or antipsychotics, </w:t>
      </w:r>
      <w:r w:rsidR="004250CB">
        <w:t>a better</w:t>
      </w:r>
      <w:r w:rsidR="00B82A00">
        <w:t xml:space="preserve"> </w:t>
      </w:r>
      <w:proofErr w:type="spellStart"/>
      <w:r w:rsidR="00B82A00">
        <w:t>oMEDD</w:t>
      </w:r>
      <w:proofErr w:type="spellEnd"/>
      <w:r w:rsidR="00B82A00">
        <w:t xml:space="preserve"> threshold is lower, at</w:t>
      </w:r>
      <w:r w:rsidR="00B82A00" w:rsidRPr="00465DF7">
        <w:t xml:space="preserve"> 30</w:t>
      </w:r>
      <w:r w:rsidR="00B82A00">
        <w:t xml:space="preserve"> to </w:t>
      </w:r>
      <w:r w:rsidR="00B82A00" w:rsidRPr="00465DF7">
        <w:t>40 mg.</w:t>
      </w:r>
      <w:r w:rsidR="00B82A00">
        <w:t xml:space="preserve"> </w:t>
      </w:r>
    </w:p>
    <w:p w14:paraId="2AEBBEA5" w14:textId="571F9755" w:rsidR="00950D01" w:rsidRPr="00465DF7" w:rsidRDefault="00950D01" w:rsidP="00D40B4B">
      <w:pPr>
        <w:pStyle w:val="ListParagraph"/>
        <w:numPr>
          <w:ilvl w:val="0"/>
          <w:numId w:val="14"/>
        </w:numPr>
      </w:pPr>
      <w:r w:rsidRPr="00465DF7">
        <w:rPr>
          <w:b/>
        </w:rPr>
        <w:t xml:space="preserve">Patients with CNCP </w:t>
      </w:r>
      <w:r w:rsidR="00AF207E">
        <w:rPr>
          <w:b/>
        </w:rPr>
        <w:t>taking</w:t>
      </w:r>
      <w:r w:rsidR="00AF207E" w:rsidRPr="00465DF7">
        <w:rPr>
          <w:b/>
        </w:rPr>
        <w:t xml:space="preserve"> </w:t>
      </w:r>
      <w:r w:rsidRPr="00465DF7">
        <w:rPr>
          <w:b/>
        </w:rPr>
        <w:t xml:space="preserve">less than 60 mg </w:t>
      </w:r>
      <w:proofErr w:type="spellStart"/>
      <w:r w:rsidRPr="00465DF7">
        <w:rPr>
          <w:b/>
        </w:rPr>
        <w:t>oMEDD</w:t>
      </w:r>
      <w:proofErr w:type="spellEnd"/>
      <w:r w:rsidRPr="00465DF7">
        <w:t xml:space="preserve"> should have an opioid</w:t>
      </w:r>
      <w:r w:rsidR="001B6F56">
        <w:t xml:space="preserve"> </w:t>
      </w:r>
      <w:r w:rsidR="00727C85">
        <w:t xml:space="preserve">analgesic </w:t>
      </w:r>
      <w:r w:rsidR="001B6F56">
        <w:t>tapering</w:t>
      </w:r>
      <w:r w:rsidRPr="00465DF7">
        <w:t xml:space="preserve"> plan developed after discussion of possible tapering.</w:t>
      </w:r>
      <w:r>
        <w:t xml:space="preserve"> </w:t>
      </w:r>
    </w:p>
    <w:p w14:paraId="08A30621" w14:textId="77777777" w:rsidR="00F73126" w:rsidRPr="00E403B8" w:rsidRDefault="00920206" w:rsidP="00C27323">
      <w:pPr>
        <w:pStyle w:val="Heading2"/>
      </w:pPr>
      <w:r w:rsidRPr="00E403B8">
        <w:lastRenderedPageBreak/>
        <w:t>Having the</w:t>
      </w:r>
      <w:r w:rsidR="001B6F56">
        <w:t xml:space="preserve"> opioid analgesic</w:t>
      </w:r>
      <w:r w:rsidRPr="00E403B8">
        <w:t xml:space="preserve"> tapering discussion</w:t>
      </w:r>
    </w:p>
    <w:p w14:paraId="712EDBB4" w14:textId="5E6B7C50" w:rsidR="00880633" w:rsidRPr="00274F0F" w:rsidRDefault="00976D86" w:rsidP="00D40B4B">
      <w:pPr>
        <w:rPr>
          <w:i/>
          <w:iCs/>
        </w:rPr>
      </w:pPr>
      <w:r w:rsidRPr="00274F0F">
        <w:t>The patient may have commenced, maintained and increased opioid</w:t>
      </w:r>
      <w:r w:rsidR="001B6F56">
        <w:t xml:space="preserve"> analgesics</w:t>
      </w:r>
      <w:r w:rsidRPr="00274F0F">
        <w:t xml:space="preserve"> on advice from their doctor. </w:t>
      </w:r>
      <w:r w:rsidR="00880633" w:rsidRPr="00976D86">
        <w:t xml:space="preserve">A number of patients may not be aware that the </w:t>
      </w:r>
      <w:r w:rsidR="001B6F56">
        <w:t>analgesic</w:t>
      </w:r>
      <w:r w:rsidR="00880633" w:rsidRPr="00976D86">
        <w:t>s they have been taking are opioids</w:t>
      </w:r>
      <w:r w:rsidR="00175ECE">
        <w:t>, and that little benefit may be expected from long term opioids.</w:t>
      </w:r>
      <w:r w:rsidR="00880633" w:rsidRPr="00976D86">
        <w:t xml:space="preserve"> </w:t>
      </w:r>
      <w:r w:rsidR="003227B5" w:rsidRPr="00976D86">
        <w:t xml:space="preserve">It may be helpful </w:t>
      </w:r>
      <w:r w:rsidR="00880633" w:rsidRPr="00976D86">
        <w:t>to explain</w:t>
      </w:r>
      <w:r w:rsidR="003227B5" w:rsidRPr="00976D86">
        <w:t xml:space="preserve"> to the patient</w:t>
      </w:r>
      <w:r w:rsidR="00880633" w:rsidRPr="00976D86">
        <w:t xml:space="preserve"> that </w:t>
      </w:r>
      <w:r w:rsidR="00B82A00">
        <w:t>evidence shows</w:t>
      </w:r>
      <w:r w:rsidR="00880633" w:rsidRPr="00976D86">
        <w:t xml:space="preserve"> </w:t>
      </w:r>
      <w:r w:rsidR="003227B5" w:rsidRPr="00976D86">
        <w:t xml:space="preserve">taking </w:t>
      </w:r>
      <w:r w:rsidR="00880633" w:rsidRPr="00976D86">
        <w:t>opioid</w:t>
      </w:r>
      <w:r w:rsidR="00727C85">
        <w:t xml:space="preserve"> analgesics</w:t>
      </w:r>
      <w:r w:rsidR="00880633" w:rsidRPr="00976D86">
        <w:t xml:space="preserve"> for long periods</w:t>
      </w:r>
      <w:r w:rsidR="003227B5" w:rsidRPr="00976D86">
        <w:t xml:space="preserve"> may not be safe or beneficial</w:t>
      </w:r>
      <w:r w:rsidR="00880633">
        <w:t>.</w:t>
      </w:r>
      <w:r w:rsidR="009309B4">
        <w:t xml:space="preserve"> Outline the potential side effects of long-term opioid</w:t>
      </w:r>
      <w:r w:rsidR="001B6F56">
        <w:t xml:space="preserve"> analgesic use</w:t>
      </w:r>
      <w:r w:rsidR="009309B4">
        <w:t>, relating this to the patient, and the benefits of reducing the</w:t>
      </w:r>
      <w:r w:rsidR="00727C85">
        <w:t>ir</w:t>
      </w:r>
      <w:r w:rsidR="009309B4">
        <w:t xml:space="preserve"> dose. </w:t>
      </w:r>
    </w:p>
    <w:p w14:paraId="2DAF7FAE" w14:textId="3DBD9DC8" w:rsidR="00E156FE" w:rsidRDefault="00DB7B6F" w:rsidP="00D40B4B">
      <w:r>
        <w:t>D</w:t>
      </w:r>
      <w:r w:rsidR="00E156FE" w:rsidRPr="00E156FE">
        <w:t>iscussion</w:t>
      </w:r>
      <w:r w:rsidR="00E156FE">
        <w:t>s</w:t>
      </w:r>
      <w:r w:rsidR="00E156FE" w:rsidRPr="00E156FE">
        <w:t xml:space="preserve"> about </w:t>
      </w:r>
      <w:r w:rsidR="00E156FE">
        <w:t xml:space="preserve">future </w:t>
      </w:r>
      <w:r w:rsidR="00E156FE" w:rsidRPr="00E156FE">
        <w:t xml:space="preserve">opioid </w:t>
      </w:r>
      <w:r w:rsidR="00727C85">
        <w:t xml:space="preserve">analgesic </w:t>
      </w:r>
      <w:r w:rsidR="00E156FE" w:rsidRPr="00E156FE">
        <w:t>prescribing with patient</w:t>
      </w:r>
      <w:r w:rsidR="00E156FE">
        <w:t>s</w:t>
      </w:r>
      <w:r w:rsidR="00E156FE" w:rsidRPr="00E156FE">
        <w:t xml:space="preserve"> </w:t>
      </w:r>
      <w:r w:rsidR="00E156FE">
        <w:t>who have been on opioids for a significant period are challenging</w:t>
      </w:r>
      <w:r w:rsidR="00727C85">
        <w:t>. The discussion</w:t>
      </w:r>
      <w:r>
        <w:t xml:space="preserve"> </w:t>
      </w:r>
      <w:r w:rsidR="00E156FE">
        <w:t>should not always start from the view that a lower dose</w:t>
      </w:r>
      <w:r w:rsidR="00727C85">
        <w:t xml:space="preserve"> of opioid analgesic</w:t>
      </w:r>
      <w:r w:rsidR="00E156FE">
        <w:t xml:space="preserve"> is preferable for </w:t>
      </w:r>
      <w:r w:rsidR="00D921C4">
        <w:t xml:space="preserve">each </w:t>
      </w:r>
      <w:r w:rsidR="00E156FE">
        <w:t>patient</w:t>
      </w:r>
      <w:r w:rsidR="00976D86">
        <w:t xml:space="preserve"> who </w:t>
      </w:r>
      <w:r w:rsidR="00D921C4">
        <w:t>is</w:t>
      </w:r>
      <w:r w:rsidR="00976D86">
        <w:t xml:space="preserve"> on less than 60 </w:t>
      </w:r>
      <w:r w:rsidR="00D921C4">
        <w:t xml:space="preserve">mg </w:t>
      </w:r>
      <w:proofErr w:type="spellStart"/>
      <w:r w:rsidR="00D921C4">
        <w:t>oMEDD</w:t>
      </w:r>
      <w:proofErr w:type="spellEnd"/>
      <w:r>
        <w:t xml:space="preserve">. </w:t>
      </w:r>
      <w:r w:rsidR="00B82A00">
        <w:t xml:space="preserve">Noting a lower threshold </w:t>
      </w:r>
      <w:proofErr w:type="spellStart"/>
      <w:r w:rsidR="00B82A00">
        <w:t>oMEDD</w:t>
      </w:r>
      <w:proofErr w:type="spellEnd"/>
      <w:r w:rsidR="00B82A00">
        <w:t xml:space="preserve"> of 30 mg in older, frail patients and those prescribed other sedating medicines.</w:t>
      </w:r>
      <w:r w:rsidR="00E156FE">
        <w:t xml:space="preserve"> </w:t>
      </w:r>
      <w:r w:rsidR="00B03DE2">
        <w:t>It is important to reassure the patient that opioid</w:t>
      </w:r>
      <w:r w:rsidR="00727C85">
        <w:t xml:space="preserve"> analgesic</w:t>
      </w:r>
      <w:r w:rsidR="00B03DE2">
        <w:t xml:space="preserve"> </w:t>
      </w:r>
      <w:r w:rsidR="001B6F56">
        <w:t>tapering</w:t>
      </w:r>
      <w:r w:rsidR="00B03DE2">
        <w:t xml:space="preserve"> does not mean that you will abandon them</w:t>
      </w:r>
      <w:r w:rsidR="00727C85">
        <w:t>,</w:t>
      </w:r>
      <w:r w:rsidR="00B03DE2">
        <w:t xml:space="preserve"> and that you will continue to </w:t>
      </w:r>
      <w:r w:rsidR="00175ECE">
        <w:t>support them to take up more efficient strategies they can use in the longer term</w:t>
      </w:r>
      <w:r w:rsidR="00B03DE2">
        <w:t xml:space="preserve">. The transition from opioid </w:t>
      </w:r>
      <w:r w:rsidR="00727C85">
        <w:t xml:space="preserve">analgesic </w:t>
      </w:r>
      <w:r w:rsidR="00B03DE2">
        <w:t xml:space="preserve">treatment to supported self-management </w:t>
      </w:r>
      <w:r w:rsidR="00B82A00">
        <w:t xml:space="preserve">and other pain management strategies </w:t>
      </w:r>
      <w:r w:rsidR="00B03DE2">
        <w:t xml:space="preserve">is </w:t>
      </w:r>
      <w:r w:rsidR="00D40EF7">
        <w:t>strongly</w:t>
      </w:r>
      <w:r w:rsidR="007D4168">
        <w:t xml:space="preserve"> </w:t>
      </w:r>
      <w:r w:rsidR="00B03DE2">
        <w:t>supported by scientific evidence.</w:t>
      </w:r>
    </w:p>
    <w:p w14:paraId="40C1F048" w14:textId="27BF05C8" w:rsidR="00E403B8" w:rsidRDefault="00E156FE" w:rsidP="00D40B4B">
      <w:r>
        <w:t>Successful</w:t>
      </w:r>
      <w:r w:rsidR="001B6F56">
        <w:t xml:space="preserve"> opioid analgesic</w:t>
      </w:r>
      <w:r>
        <w:t xml:space="preserve"> tapering can take time</w:t>
      </w:r>
      <w:r w:rsidR="00B82A00">
        <w:t xml:space="preserve"> with multiple facilitators, most importantly the patient</w:t>
      </w:r>
      <w:r w:rsidR="00370A87">
        <w:t xml:space="preserve">. </w:t>
      </w:r>
      <w:r w:rsidR="00B82A00">
        <w:t>Tapering is supported by</w:t>
      </w:r>
      <w:r w:rsidR="00370A87">
        <w:t xml:space="preserve"> policy and regulation, clinician expertise including holding therapeutic boundaries </w:t>
      </w:r>
      <w:r w:rsidR="00B82A00">
        <w:t xml:space="preserve">with empathy </w:t>
      </w:r>
      <w:r w:rsidR="00370A87">
        <w:t xml:space="preserve">and patient </w:t>
      </w:r>
      <w:r w:rsidR="00B82A00">
        <w:t>empowerment</w:t>
      </w:r>
      <w:r w:rsidR="00370A87">
        <w:t xml:space="preserve">, opportunity and motivation. </w:t>
      </w:r>
      <w:r w:rsidR="001B6F56">
        <w:t>Opioid analgesic t</w:t>
      </w:r>
      <w:r w:rsidR="00370A87">
        <w:t>apering</w:t>
      </w:r>
      <w:r>
        <w:t xml:space="preserve"> is </w:t>
      </w:r>
      <w:r w:rsidR="003227B5">
        <w:t>more likely to succeed</w:t>
      </w:r>
      <w:r>
        <w:t xml:space="preserve"> when </w:t>
      </w:r>
      <w:r w:rsidR="002F34FF">
        <w:t>there</w:t>
      </w:r>
      <w:r w:rsidR="00E403B8">
        <w:t xml:space="preserve"> </w:t>
      </w:r>
      <w:r>
        <w:t>i</w:t>
      </w:r>
      <w:r w:rsidRPr="00AA1F21">
        <w:t xml:space="preserve">s </w:t>
      </w:r>
      <w:r w:rsidR="00E403B8">
        <w:t xml:space="preserve">a </w:t>
      </w:r>
      <w:r w:rsidRPr="00AA1F21">
        <w:t xml:space="preserve">shared decision </w:t>
      </w:r>
      <w:r>
        <w:t>between the prescriber and patient</w:t>
      </w:r>
      <w:r w:rsidR="00E403B8">
        <w:t>. In particular</w:t>
      </w:r>
      <w:r w:rsidR="0027386D">
        <w:t>,</w:t>
      </w:r>
      <w:r w:rsidR="00E403B8">
        <w:t xml:space="preserve"> </w:t>
      </w:r>
      <w:r w:rsidR="00E403B8" w:rsidRPr="00AA1F21">
        <w:t>be clear when the patient has made an active decision to taper</w:t>
      </w:r>
      <w:r w:rsidR="001B6F56">
        <w:t xml:space="preserve"> their opioid analgesic</w:t>
      </w:r>
      <w:r w:rsidR="003A2BE1">
        <w:t>, and document and agree on the tapering plan</w:t>
      </w:r>
      <w:r w:rsidR="00E403B8" w:rsidRPr="00AA1F21">
        <w:t xml:space="preserve">. </w:t>
      </w:r>
      <w:r w:rsidR="00E403B8">
        <w:t>Also</w:t>
      </w:r>
      <w:r w:rsidR="003227B5">
        <w:t>,</w:t>
      </w:r>
      <w:r w:rsidR="00E403B8">
        <w:t xml:space="preserve"> r</w:t>
      </w:r>
      <w:r w:rsidR="00E403B8" w:rsidRPr="00AA1F21">
        <w:t>ecogni</w:t>
      </w:r>
      <w:r w:rsidR="00E403B8">
        <w:t>se</w:t>
      </w:r>
      <w:r w:rsidR="00E403B8" w:rsidRPr="00AA1F21">
        <w:t xml:space="preserve"> there is variability in</w:t>
      </w:r>
      <w:r w:rsidR="00B82A00">
        <w:t xml:space="preserve"> the</w:t>
      </w:r>
      <w:r w:rsidR="00E403B8" w:rsidRPr="00AA1F21">
        <w:t xml:space="preserve"> level of </w:t>
      </w:r>
      <w:r w:rsidR="001B6F56">
        <w:t xml:space="preserve">opioid analgesic </w:t>
      </w:r>
      <w:r w:rsidR="00E403B8" w:rsidRPr="00AA1F21">
        <w:t>tapering and discomfort patients can or will accept</w:t>
      </w:r>
      <w:r w:rsidR="00D36376">
        <w:t xml:space="preserve"> that will guide the approach</w:t>
      </w:r>
      <w:r w:rsidR="00E403B8">
        <w:t>.</w:t>
      </w:r>
      <w:r w:rsidR="00E403B8" w:rsidRPr="00AA1F21">
        <w:t xml:space="preserve"> </w:t>
      </w:r>
    </w:p>
    <w:p w14:paraId="6B2BCB3A" w14:textId="50979712" w:rsidR="007462D4" w:rsidRPr="00282127" w:rsidRDefault="007462D4" w:rsidP="00FD18BC">
      <w:pPr>
        <w:pStyle w:val="boxheading"/>
        <w:pBdr>
          <w:top w:val="single" w:sz="4" w:space="6" w:color="3B3838" w:themeColor="background2" w:themeShade="40"/>
          <w:left w:val="single" w:sz="4" w:space="6" w:color="3B3838" w:themeColor="background2" w:themeShade="40"/>
          <w:bottom w:val="single" w:sz="4" w:space="6" w:color="3B3838" w:themeColor="background2" w:themeShade="40"/>
          <w:right w:val="single" w:sz="4" w:space="6" w:color="3B3838" w:themeColor="background2" w:themeShade="40"/>
        </w:pBdr>
        <w:shd w:val="clear" w:color="auto" w:fill="F2F2F2" w:themeFill="background1" w:themeFillShade="F2"/>
      </w:pPr>
      <w:r w:rsidRPr="00282127">
        <w:t xml:space="preserve">Some resources </w:t>
      </w:r>
      <w:r w:rsidR="00920206" w:rsidRPr="00282127">
        <w:t>t</w:t>
      </w:r>
      <w:r w:rsidRPr="00282127">
        <w:t>o</w:t>
      </w:r>
      <w:r w:rsidR="00920206" w:rsidRPr="00282127">
        <w:t xml:space="preserve"> support GPs in </w:t>
      </w:r>
      <w:r w:rsidR="00C81994" w:rsidRPr="00282127">
        <w:t xml:space="preserve">opioid analgesic </w:t>
      </w:r>
      <w:r w:rsidR="00920206" w:rsidRPr="00282127">
        <w:t>t</w:t>
      </w:r>
      <w:r w:rsidRPr="00282127">
        <w:t>apering</w:t>
      </w:r>
      <w:r w:rsidR="00920206" w:rsidRPr="00282127">
        <w:t xml:space="preserve"> discussions with patients</w:t>
      </w:r>
    </w:p>
    <w:p w14:paraId="0A205E71" w14:textId="758BF1C2" w:rsidR="007462D4" w:rsidRPr="00955AB8" w:rsidRDefault="00E403B8" w:rsidP="00FD18BC">
      <w:pPr>
        <w:pBdr>
          <w:top w:val="single" w:sz="4" w:space="6" w:color="3B3838" w:themeColor="background2" w:themeShade="40"/>
          <w:left w:val="single" w:sz="4" w:space="6" w:color="3B3838" w:themeColor="background2" w:themeShade="40"/>
          <w:bottom w:val="single" w:sz="4" w:space="6" w:color="3B3838" w:themeColor="background2" w:themeShade="40"/>
          <w:right w:val="single" w:sz="4" w:space="6" w:color="3B3838" w:themeColor="background2" w:themeShade="40"/>
        </w:pBdr>
        <w:shd w:val="clear" w:color="auto" w:fill="F2F2F2" w:themeFill="background1" w:themeFillShade="F2"/>
        <w:spacing w:before="120" w:after="120"/>
        <w:ind w:left="113" w:right="113"/>
        <w:rPr>
          <w:sz w:val="20"/>
          <w:szCs w:val="20"/>
        </w:rPr>
      </w:pPr>
      <w:r w:rsidRPr="00037C6C">
        <w:rPr>
          <w:b/>
          <w:sz w:val="20"/>
          <w:szCs w:val="20"/>
        </w:rPr>
        <w:t>Communication techniques for tapering conversations (Univ</w:t>
      </w:r>
      <w:r w:rsidR="006464C6" w:rsidRPr="00037C6C">
        <w:rPr>
          <w:b/>
          <w:sz w:val="20"/>
          <w:szCs w:val="20"/>
        </w:rPr>
        <w:t>ersity of</w:t>
      </w:r>
      <w:r w:rsidRPr="00037C6C">
        <w:rPr>
          <w:b/>
          <w:sz w:val="20"/>
          <w:szCs w:val="20"/>
        </w:rPr>
        <w:t xml:space="preserve"> Sydney, Aug 2020)</w:t>
      </w:r>
      <w:r w:rsidR="00037C6C">
        <w:rPr>
          <w:sz w:val="20"/>
          <w:szCs w:val="20"/>
        </w:rPr>
        <w:t xml:space="preserve">: </w:t>
      </w:r>
      <w:hyperlink r:id="rId9" w:history="1">
        <w:r w:rsidR="00037C6C" w:rsidRPr="00821C12">
          <w:rPr>
            <w:rStyle w:val="Hyperlink"/>
            <w:sz w:val="20"/>
            <w:szCs w:val="20"/>
          </w:rPr>
          <w:t>https://imh.org.au/research/back-pain-and-musculoskeletal-conditions/research-projects-in-improving-clinical-care/</w:t>
        </w:r>
      </w:hyperlink>
    </w:p>
    <w:p w14:paraId="16D3DDF5" w14:textId="77777777" w:rsidR="00877813" w:rsidRPr="00955AB8" w:rsidRDefault="00E403B8" w:rsidP="004900E0">
      <w:pPr>
        <w:pBdr>
          <w:top w:val="single" w:sz="4" w:space="6" w:color="3B3838" w:themeColor="background2" w:themeShade="40"/>
          <w:left w:val="single" w:sz="4" w:space="6" w:color="3B3838" w:themeColor="background2" w:themeShade="40"/>
          <w:bottom w:val="single" w:sz="4" w:space="6" w:color="3B3838" w:themeColor="background2" w:themeShade="40"/>
          <w:right w:val="single" w:sz="4" w:space="6" w:color="3B3838" w:themeColor="background2" w:themeShade="40"/>
        </w:pBdr>
        <w:shd w:val="clear" w:color="auto" w:fill="F2F2F2" w:themeFill="background1" w:themeFillShade="F2"/>
        <w:spacing w:before="120" w:after="120"/>
        <w:ind w:left="113" w:right="113"/>
        <w:rPr>
          <w:rFonts w:cs="Segoe UI Semilight"/>
          <w:color w:val="000000" w:themeColor="text1"/>
          <w:sz w:val="20"/>
          <w:szCs w:val="20"/>
        </w:rPr>
      </w:pPr>
      <w:r w:rsidRPr="00955AB8">
        <w:rPr>
          <w:rFonts w:cs="Segoe UI Semilight"/>
          <w:b/>
          <w:sz w:val="20"/>
          <w:szCs w:val="20"/>
        </w:rPr>
        <w:t>NPS MedicineWise</w:t>
      </w:r>
      <w:r w:rsidR="00402AF3" w:rsidRPr="00955AB8">
        <w:rPr>
          <w:rFonts w:cs="Segoe UI Semilight"/>
          <w:b/>
          <w:sz w:val="20"/>
          <w:szCs w:val="20"/>
        </w:rPr>
        <w:t>:</w:t>
      </w:r>
      <w:r w:rsidR="0027386D" w:rsidRPr="00955AB8">
        <w:rPr>
          <w:rFonts w:cs="Segoe UI Semilight"/>
          <w:color w:val="000000" w:themeColor="text1"/>
          <w:sz w:val="20"/>
          <w:szCs w:val="20"/>
        </w:rPr>
        <w:t xml:space="preserve"> </w:t>
      </w:r>
      <w:hyperlink r:id="rId10" w:history="1">
        <w:r w:rsidR="00EE352D" w:rsidRPr="00955AB8">
          <w:rPr>
            <w:rStyle w:val="Hyperlink"/>
            <w:sz w:val="20"/>
            <w:szCs w:val="20"/>
          </w:rPr>
          <w:t>www.nps.org.au/professionals/opioids-chronic-pain/starting-a-conversation</w:t>
        </w:r>
      </w:hyperlink>
      <w:r w:rsidR="00D921C4" w:rsidRPr="002A0C85">
        <w:rPr>
          <w:sz w:val="20"/>
          <w:szCs w:val="20"/>
        </w:rPr>
        <w:t xml:space="preserve"> and</w:t>
      </w:r>
      <w:r w:rsidR="00D921C4" w:rsidRPr="00955AB8">
        <w:rPr>
          <w:rStyle w:val="Hyperlink"/>
          <w:sz w:val="20"/>
          <w:szCs w:val="20"/>
        </w:rPr>
        <w:t xml:space="preserve"> </w:t>
      </w:r>
      <w:hyperlink r:id="rId11" w:history="1">
        <w:r w:rsidR="00D40EF7" w:rsidRPr="00955AB8">
          <w:rPr>
            <w:rStyle w:val="Hyperlink"/>
            <w:sz w:val="20"/>
            <w:szCs w:val="20"/>
          </w:rPr>
          <w:t>www.nps.org.au/cpd/activities/real-time-prescription-monitoring-safe-script</w:t>
        </w:r>
      </w:hyperlink>
      <w:r w:rsidR="00D40EF7" w:rsidRPr="00955AB8">
        <w:rPr>
          <w:rFonts w:cs="Segoe UI Semilight"/>
          <w:color w:val="000000" w:themeColor="text1"/>
          <w:sz w:val="20"/>
          <w:szCs w:val="20"/>
        </w:rPr>
        <w:t xml:space="preserve"> </w:t>
      </w:r>
    </w:p>
    <w:p w14:paraId="58F6CFBA" w14:textId="305E10ED" w:rsidR="00D52DFF" w:rsidRPr="00955AB8" w:rsidRDefault="00D52DFF" w:rsidP="00FD18BC">
      <w:pPr>
        <w:pBdr>
          <w:top w:val="single" w:sz="4" w:space="6" w:color="3B3838" w:themeColor="background2" w:themeShade="40"/>
          <w:left w:val="single" w:sz="4" w:space="6" w:color="3B3838" w:themeColor="background2" w:themeShade="40"/>
          <w:bottom w:val="single" w:sz="4" w:space="6" w:color="3B3838" w:themeColor="background2" w:themeShade="40"/>
          <w:right w:val="single" w:sz="4" w:space="6" w:color="3B3838" w:themeColor="background2" w:themeShade="40"/>
        </w:pBdr>
        <w:shd w:val="clear" w:color="auto" w:fill="F2F2F2" w:themeFill="background1" w:themeFillShade="F2"/>
        <w:spacing w:before="120" w:after="120"/>
        <w:ind w:left="113" w:right="113"/>
        <w:rPr>
          <w:rFonts w:cs="Segoe UI Semilight"/>
          <w:sz w:val="20"/>
          <w:szCs w:val="20"/>
        </w:rPr>
      </w:pPr>
      <w:r w:rsidRPr="00955AB8">
        <w:rPr>
          <w:rFonts w:cs="Segoe UI Semilight"/>
          <w:b/>
          <w:sz w:val="20"/>
          <w:szCs w:val="20"/>
        </w:rPr>
        <w:t>Internal Med</w:t>
      </w:r>
      <w:r w:rsidR="004900E0" w:rsidRPr="00955AB8">
        <w:rPr>
          <w:rFonts w:cs="Segoe UI Semilight"/>
          <w:b/>
          <w:sz w:val="20"/>
          <w:szCs w:val="20"/>
        </w:rPr>
        <w:t>icine Society of Australia/ NZ:</w:t>
      </w:r>
      <w:r w:rsidR="004900E0" w:rsidRPr="00955AB8">
        <w:rPr>
          <w:rFonts w:cs="Segoe UI Semilight"/>
          <w:sz w:val="20"/>
          <w:szCs w:val="20"/>
        </w:rPr>
        <w:t xml:space="preserve"> </w:t>
      </w:r>
      <w:hyperlink r:id="rId12" w:history="1">
        <w:r w:rsidR="002A0C85" w:rsidRPr="002A0C85">
          <w:rPr>
            <w:rStyle w:val="Hyperlink"/>
            <w:rFonts w:cs="Segoe UI Semilight"/>
            <w:sz w:val="20"/>
            <w:szCs w:val="20"/>
          </w:rPr>
          <w:t>https://www.imsanz.org.au/sb_cache/associationnews/id/643/f/PSA%20Opioid%20Medicine%20Fact%20Sheet%20_FINAL.pdf</w:t>
        </w:r>
      </w:hyperlink>
    </w:p>
    <w:p w14:paraId="0F8BF69A" w14:textId="77777777" w:rsidR="00877813" w:rsidRPr="00955AB8" w:rsidRDefault="00E66C70" w:rsidP="00FD18BC">
      <w:pPr>
        <w:pBdr>
          <w:top w:val="single" w:sz="4" w:space="6" w:color="3B3838" w:themeColor="background2" w:themeShade="40"/>
          <w:left w:val="single" w:sz="4" w:space="6" w:color="3B3838" w:themeColor="background2" w:themeShade="40"/>
          <w:bottom w:val="single" w:sz="4" w:space="6" w:color="3B3838" w:themeColor="background2" w:themeShade="40"/>
          <w:right w:val="single" w:sz="4" w:space="6" w:color="3B3838" w:themeColor="background2" w:themeShade="40"/>
        </w:pBdr>
        <w:shd w:val="clear" w:color="auto" w:fill="F2F2F2" w:themeFill="background1" w:themeFillShade="F2"/>
        <w:spacing w:before="120" w:after="120"/>
        <w:ind w:left="113" w:right="113"/>
        <w:rPr>
          <w:rStyle w:val="Hyperlink"/>
          <w:sz w:val="20"/>
          <w:szCs w:val="20"/>
        </w:rPr>
      </w:pPr>
      <w:hyperlink r:id="rId13" w:history="1">
        <w:r w:rsidR="00D40EF7" w:rsidRPr="00955AB8">
          <w:rPr>
            <w:rStyle w:val="Hyperlink"/>
            <w:sz w:val="20"/>
            <w:szCs w:val="20"/>
          </w:rPr>
          <w:t>www.researchgate.net/publication/51070630_The_Behaviour_Change_Wheel_a_new_method_for_characterising_and_designing_behaviour_change_interventions</w:t>
        </w:r>
      </w:hyperlink>
    </w:p>
    <w:p w14:paraId="0780383B" w14:textId="5622C144" w:rsidR="004026AA" w:rsidRPr="009F1F1A" w:rsidRDefault="001B6F56" w:rsidP="00C27323">
      <w:pPr>
        <w:pStyle w:val="Heading2"/>
      </w:pPr>
      <w:r>
        <w:t>Opioid analgesic t</w:t>
      </w:r>
      <w:r w:rsidR="004026AA" w:rsidRPr="009F1F1A">
        <w:t>apering protocols</w:t>
      </w:r>
    </w:p>
    <w:p w14:paraId="7BB07D39" w14:textId="5915C830" w:rsidR="00BA256D" w:rsidRDefault="0027386D" w:rsidP="00D40B4B">
      <w:r w:rsidRPr="0027386D">
        <w:t>Whether a fast</w:t>
      </w:r>
      <w:r w:rsidR="0017074C">
        <w:t xml:space="preserve">er </w:t>
      </w:r>
      <w:r w:rsidRPr="0027386D">
        <w:t>or gradual</w:t>
      </w:r>
      <w:r w:rsidR="001B6F56">
        <w:t xml:space="preserve"> opioid analgesic</w:t>
      </w:r>
      <w:r w:rsidRPr="0027386D">
        <w:t xml:space="preserve"> taper</w:t>
      </w:r>
      <w:r w:rsidR="00C81994">
        <w:t>ing</w:t>
      </w:r>
      <w:r w:rsidRPr="0027386D">
        <w:t xml:space="preserve"> is best will depend on the level of patient engagement</w:t>
      </w:r>
      <w:r w:rsidR="0017074C">
        <w:t xml:space="preserve">, </w:t>
      </w:r>
      <w:r w:rsidRPr="0027386D">
        <w:t>and how the patient progresse</w:t>
      </w:r>
      <w:r>
        <w:t>s</w:t>
      </w:r>
      <w:r w:rsidRPr="0027386D">
        <w:t xml:space="preserve"> during </w:t>
      </w:r>
      <w:r w:rsidR="001B6F56">
        <w:t>tapering</w:t>
      </w:r>
      <w:r w:rsidRPr="0027386D">
        <w:t xml:space="preserve"> (e.g. withdrawal symptoms). </w:t>
      </w:r>
      <w:r>
        <w:t>In general</w:t>
      </w:r>
      <w:r w:rsidR="00402AF3">
        <w:t>,</w:t>
      </w:r>
      <w:r w:rsidR="00AF207E">
        <w:t xml:space="preserve"> switching</w:t>
      </w:r>
      <w:r>
        <w:t xml:space="preserve"> between different opioid</w:t>
      </w:r>
      <w:r w:rsidR="00727C85">
        <w:t xml:space="preserve"> analgesics</w:t>
      </w:r>
      <w:r>
        <w:t xml:space="preserve"> during tapering may be unsettling to the patient</w:t>
      </w:r>
      <w:r w:rsidR="009F1F1A">
        <w:t>. However</w:t>
      </w:r>
      <w:r w:rsidR="0017074C">
        <w:t>,</w:t>
      </w:r>
      <w:r w:rsidR="009F1F1A">
        <w:t xml:space="preserve"> </w:t>
      </w:r>
      <w:r w:rsidR="00AF207E">
        <w:t>switching</w:t>
      </w:r>
      <w:r w:rsidR="009F1F1A">
        <w:t xml:space="preserve"> from opioid</w:t>
      </w:r>
      <w:r w:rsidR="00727C85">
        <w:t xml:space="preserve"> analgesics</w:t>
      </w:r>
      <w:r w:rsidR="0017074C">
        <w:t>,</w:t>
      </w:r>
      <w:r w:rsidR="009F1F1A">
        <w:t xml:space="preserve"> such as oxycodone to buprenorphine (a partial agonist)</w:t>
      </w:r>
      <w:r w:rsidR="00E615EB">
        <w:t>,</w:t>
      </w:r>
      <w:r w:rsidR="009F1F1A">
        <w:t xml:space="preserve"> may be appropriate for those patients who may be at risk of overdose through seeking illicit opioids during tapering. </w:t>
      </w:r>
      <w:r w:rsidR="00C0488A">
        <w:t>Pain management</w:t>
      </w:r>
      <w:r w:rsidR="009F1F1A">
        <w:t xml:space="preserve"> services are </w:t>
      </w:r>
      <w:r w:rsidR="009F1F1A" w:rsidRPr="00D921C4">
        <w:t xml:space="preserve">usually willing to provide telephone advice to </w:t>
      </w:r>
      <w:r w:rsidR="00C0488A">
        <w:t>prescribers</w:t>
      </w:r>
      <w:r w:rsidR="009F1F1A" w:rsidRPr="00D921C4">
        <w:t xml:space="preserve"> to </w:t>
      </w:r>
      <w:r w:rsidR="00D921C4" w:rsidRPr="00D921C4">
        <w:t xml:space="preserve">support </w:t>
      </w:r>
      <w:r w:rsidR="00C0488A">
        <w:t>replacement of</w:t>
      </w:r>
      <w:r w:rsidR="00D921C4" w:rsidRPr="00274F0F">
        <w:t xml:space="preserve"> poorly performing treatments such as opioid</w:t>
      </w:r>
      <w:r w:rsidR="003A16C2">
        <w:t xml:space="preserve"> analgesics</w:t>
      </w:r>
      <w:r w:rsidR="00D921C4" w:rsidRPr="00274F0F">
        <w:t xml:space="preserve"> with better or safer alternatives</w:t>
      </w:r>
      <w:r w:rsidR="009F1F1A" w:rsidRPr="00D921C4">
        <w:t xml:space="preserve"> for particular patients.</w:t>
      </w:r>
      <w:r w:rsidR="00727C85">
        <w:t xml:space="preserve"> </w:t>
      </w:r>
      <w:r w:rsidR="00BA256D">
        <w:t xml:space="preserve">In general: </w:t>
      </w:r>
    </w:p>
    <w:p w14:paraId="3CC0F99B" w14:textId="332962EB" w:rsidR="00BA256D" w:rsidRPr="00FD18BC" w:rsidRDefault="00BA256D" w:rsidP="00FD18BC">
      <w:pPr>
        <w:pStyle w:val="ListParagraph"/>
      </w:pPr>
      <w:r w:rsidRPr="00274F0F">
        <w:t>At every consultation, give</w:t>
      </w:r>
      <w:r w:rsidRPr="00FD18BC">
        <w:t xml:space="preserve"> the patient a </w:t>
      </w:r>
      <w:r w:rsidR="007F606E" w:rsidRPr="00FD18BC">
        <w:t xml:space="preserve">written </w:t>
      </w:r>
      <w:r w:rsidR="00702F52" w:rsidRPr="00FD18BC">
        <w:t xml:space="preserve">opioid analgesic </w:t>
      </w:r>
      <w:r w:rsidRPr="00FD18BC">
        <w:t>tapering plan</w:t>
      </w:r>
      <w:r w:rsidR="00365158" w:rsidRPr="00FD18BC">
        <w:t xml:space="preserve">. </w:t>
      </w:r>
      <w:r w:rsidR="00D921C4" w:rsidRPr="00FD18BC">
        <w:t>With the patient’s agreement</w:t>
      </w:r>
      <w:r w:rsidRPr="00FD18BC">
        <w:t xml:space="preserve">, </w:t>
      </w:r>
      <w:r w:rsidR="00365158" w:rsidRPr="00FD18BC">
        <w:t xml:space="preserve">communicate the plans with the patient’s </w:t>
      </w:r>
      <w:r w:rsidRPr="00FD18BC">
        <w:t>nominated pharmacy</w:t>
      </w:r>
      <w:r w:rsidR="00365158" w:rsidRPr="00FD18BC">
        <w:t xml:space="preserve"> to reinforce the plan</w:t>
      </w:r>
      <w:r w:rsidR="000F3BF8" w:rsidRPr="00FD18BC">
        <w:t>.</w:t>
      </w:r>
      <w:r w:rsidR="00365158" w:rsidRPr="00FD18BC">
        <w:t xml:space="preserve"> </w:t>
      </w:r>
      <w:r w:rsidR="000F3BF8" w:rsidRPr="00FD18BC">
        <w:lastRenderedPageBreak/>
        <w:t>P</w:t>
      </w:r>
      <w:r w:rsidRPr="00FD18BC">
        <w:t xml:space="preserve">rescribe only enough of the opioid </w:t>
      </w:r>
      <w:r w:rsidR="00D36376" w:rsidRPr="00FD18BC">
        <w:t xml:space="preserve">analgesic </w:t>
      </w:r>
      <w:r w:rsidRPr="00FD18BC">
        <w:t xml:space="preserve">until the </w:t>
      </w:r>
      <w:r w:rsidR="00365158" w:rsidRPr="00FD18BC">
        <w:t xml:space="preserve">agreed </w:t>
      </w:r>
      <w:r w:rsidR="00D36376" w:rsidRPr="00FD18BC">
        <w:t xml:space="preserve">review </w:t>
      </w:r>
      <w:r w:rsidRPr="00FD18BC">
        <w:t>date</w:t>
      </w:r>
      <w:r w:rsidR="00D921C4" w:rsidRPr="00FD18BC">
        <w:t xml:space="preserve"> and emphasise that “bridging” prescriptions will not be provided</w:t>
      </w:r>
      <w:r w:rsidRPr="00FD18BC">
        <w:t>.</w:t>
      </w:r>
    </w:p>
    <w:p w14:paraId="52347990" w14:textId="77777777" w:rsidR="00702F52" w:rsidRPr="00FD18BC" w:rsidRDefault="00702F52" w:rsidP="00FD18BC">
      <w:pPr>
        <w:pStyle w:val="ListParagraph"/>
      </w:pPr>
      <w:r w:rsidRPr="00FD18BC">
        <w:t>Consider implementing a staged supply arrangement with the patient’s nominated pharmacy</w:t>
      </w:r>
      <w:r w:rsidR="00727C85" w:rsidRPr="00FD18BC">
        <w:t>.</w:t>
      </w:r>
    </w:p>
    <w:p w14:paraId="457793F8" w14:textId="26ADBE70" w:rsidR="00286D4B" w:rsidRPr="00AF207E" w:rsidRDefault="00B4115D" w:rsidP="00FD18BC">
      <w:pPr>
        <w:pStyle w:val="ListParagraph"/>
      </w:pPr>
      <w:r w:rsidRPr="00FD18BC">
        <w:t>In the case of unequal spli</w:t>
      </w:r>
      <w:r w:rsidRPr="00C81994">
        <w:t>t daily dosing, have the patient participate in deciding which opioid analgesic doses are reduced first.</w:t>
      </w:r>
    </w:p>
    <w:p w14:paraId="177478A6" w14:textId="77777777" w:rsidR="004026AA" w:rsidRPr="00FD18BC" w:rsidRDefault="004026AA" w:rsidP="00FD18BC">
      <w:pPr>
        <w:pStyle w:val="Heading3"/>
      </w:pPr>
      <w:r w:rsidRPr="00FD18BC">
        <w:t xml:space="preserve">Gradual taper </w:t>
      </w:r>
    </w:p>
    <w:p w14:paraId="6A452CD4" w14:textId="77777777" w:rsidR="004026AA" w:rsidRPr="00AA1F21" w:rsidRDefault="004026AA" w:rsidP="00D40B4B">
      <w:pPr>
        <w:pStyle w:val="ListParagraph"/>
        <w:numPr>
          <w:ilvl w:val="0"/>
          <w:numId w:val="7"/>
        </w:numPr>
      </w:pPr>
      <w:r w:rsidRPr="00AA1F21">
        <w:t xml:space="preserve">Rationalise the </w:t>
      </w:r>
      <w:r w:rsidR="009F1F1A">
        <w:t xml:space="preserve">patient’s </w:t>
      </w:r>
      <w:r w:rsidRPr="00AA1F21">
        <w:t>regimen to a single modified release opioid</w:t>
      </w:r>
      <w:r w:rsidR="0011275F">
        <w:t xml:space="preserve"> analgesic</w:t>
      </w:r>
      <w:r w:rsidRPr="00AA1F21">
        <w:t xml:space="preserve">. </w:t>
      </w:r>
      <w:r w:rsidR="00D921C4">
        <w:t>However, in patients on higher doses of an immediate release opioid</w:t>
      </w:r>
      <w:r w:rsidR="0011275F">
        <w:t xml:space="preserve"> analgesic</w:t>
      </w:r>
      <w:r w:rsidR="00D921C4">
        <w:t xml:space="preserve">, taper on the same product. </w:t>
      </w:r>
    </w:p>
    <w:p w14:paraId="7AD5A784" w14:textId="52CEDCA3" w:rsidR="004026AA" w:rsidRPr="00AA1F21" w:rsidRDefault="004026AA" w:rsidP="00D40B4B">
      <w:pPr>
        <w:pStyle w:val="ListParagraph"/>
        <w:numPr>
          <w:ilvl w:val="0"/>
          <w:numId w:val="7"/>
        </w:numPr>
      </w:pPr>
      <w:r w:rsidRPr="00BA256D">
        <w:t xml:space="preserve">When stabilised, the </w:t>
      </w:r>
      <w:r w:rsidR="00702F52">
        <w:t xml:space="preserve">opioid analgesic </w:t>
      </w:r>
      <w:r w:rsidRPr="00BA256D">
        <w:t>dose should be reduced slowly by 5</w:t>
      </w:r>
      <w:r w:rsidR="00C81994">
        <w:t xml:space="preserve"> to </w:t>
      </w:r>
      <w:r w:rsidR="00D921C4">
        <w:t>2</w:t>
      </w:r>
      <w:r w:rsidRPr="00BA256D">
        <w:t>0</w:t>
      </w:r>
      <w:r w:rsidRPr="0099011B">
        <w:t xml:space="preserve">% </w:t>
      </w:r>
      <w:proofErr w:type="spellStart"/>
      <w:r w:rsidR="00702F52">
        <w:t>oMEDD</w:t>
      </w:r>
      <w:proofErr w:type="spellEnd"/>
      <w:r w:rsidR="00702F52">
        <w:t xml:space="preserve"> </w:t>
      </w:r>
      <w:r w:rsidRPr="0099011B">
        <w:rPr>
          <w:b/>
        </w:rPr>
        <w:t>each month</w:t>
      </w:r>
      <w:r w:rsidRPr="00BA256D">
        <w:t>.</w:t>
      </w:r>
      <w:r w:rsidR="004900E0">
        <w:t xml:space="preserve"> </w:t>
      </w:r>
      <w:r w:rsidRPr="00AA1F21">
        <w:t xml:space="preserve">Note that </w:t>
      </w:r>
      <w:r w:rsidR="00C51BD9">
        <w:t xml:space="preserve">some symptoms of </w:t>
      </w:r>
      <w:r w:rsidRPr="00AA1F21">
        <w:t xml:space="preserve">withdrawal and transient rebound pain </w:t>
      </w:r>
      <w:r w:rsidR="00C51BD9">
        <w:t>may last</w:t>
      </w:r>
      <w:r w:rsidRPr="00AA1F21">
        <w:t xml:space="preserve"> </w:t>
      </w:r>
      <w:r w:rsidR="00C0488A">
        <w:t>several</w:t>
      </w:r>
      <w:r w:rsidRPr="00AA1F21">
        <w:t xml:space="preserve"> weeks</w:t>
      </w:r>
      <w:r w:rsidR="00402AF3">
        <w:t>.</w:t>
      </w:r>
    </w:p>
    <w:p w14:paraId="71885F5F" w14:textId="3CD1FB01" w:rsidR="004026AA" w:rsidRPr="00AA1F21" w:rsidRDefault="004026AA" w:rsidP="00D40B4B">
      <w:pPr>
        <w:pStyle w:val="ListParagraph"/>
        <w:numPr>
          <w:ilvl w:val="0"/>
          <w:numId w:val="7"/>
        </w:numPr>
      </w:pPr>
      <w:r w:rsidRPr="00AA1F21">
        <w:t xml:space="preserve">In the case of persisting or recurrent withdrawal symptoms, </w:t>
      </w:r>
      <w:r w:rsidR="00C51BD9">
        <w:t xml:space="preserve">consider </w:t>
      </w:r>
      <w:r w:rsidRPr="00AA1F21">
        <w:t>revert</w:t>
      </w:r>
      <w:r w:rsidR="00C51BD9">
        <w:t>ing</w:t>
      </w:r>
      <w:r w:rsidRPr="00AA1F21">
        <w:t xml:space="preserve"> to the previous lowest tolerated dose. </w:t>
      </w:r>
      <w:r w:rsidR="00C51BD9">
        <w:t>Then slow the process by r</w:t>
      </w:r>
      <w:r w:rsidRPr="00AA1F21">
        <w:t>ecommenc</w:t>
      </w:r>
      <w:r w:rsidR="00C51BD9">
        <w:t>ing</w:t>
      </w:r>
      <w:r w:rsidRPr="00AA1F21">
        <w:t xml:space="preserve"> weaning after 6</w:t>
      </w:r>
      <w:r w:rsidR="00C81994">
        <w:t xml:space="preserve"> to </w:t>
      </w:r>
      <w:r w:rsidRPr="00AA1F21">
        <w:t xml:space="preserve">12 weeks at lower weaning rate (e.g. </w:t>
      </w:r>
      <w:r w:rsidR="009F1F1A">
        <w:t xml:space="preserve">by </w:t>
      </w:r>
      <w:r w:rsidRPr="00AA1F21">
        <w:t>5</w:t>
      </w:r>
      <w:r w:rsidR="00C81994">
        <w:t xml:space="preserve"> to </w:t>
      </w:r>
      <w:r w:rsidRPr="00AA1F21">
        <w:t xml:space="preserve">10% </w:t>
      </w:r>
      <w:proofErr w:type="spellStart"/>
      <w:r w:rsidR="00702F52">
        <w:t>oMEDD</w:t>
      </w:r>
      <w:proofErr w:type="spellEnd"/>
      <w:r w:rsidR="00702F52">
        <w:t xml:space="preserve"> </w:t>
      </w:r>
      <w:r w:rsidRPr="00AA1F21">
        <w:t>every 2</w:t>
      </w:r>
      <w:r w:rsidR="00C81994">
        <w:t xml:space="preserve"> to </w:t>
      </w:r>
      <w:r w:rsidRPr="00AA1F21">
        <w:t>3 months).   </w:t>
      </w:r>
    </w:p>
    <w:p w14:paraId="17BFB96C" w14:textId="77777777" w:rsidR="004026AA" w:rsidRPr="009F1F1A" w:rsidRDefault="004026AA" w:rsidP="00FD18BC">
      <w:pPr>
        <w:pStyle w:val="Heading3"/>
      </w:pPr>
      <w:r w:rsidRPr="009F1F1A">
        <w:t xml:space="preserve">Faster </w:t>
      </w:r>
      <w:r w:rsidR="00CB55FB">
        <w:t>taper</w:t>
      </w:r>
    </w:p>
    <w:p w14:paraId="31392C18" w14:textId="5D32E2B1" w:rsidR="00F73126" w:rsidRPr="009F1F1A" w:rsidRDefault="00702F52" w:rsidP="00D40B4B">
      <w:pPr>
        <w:pStyle w:val="ListParagraph"/>
        <w:numPr>
          <w:ilvl w:val="0"/>
          <w:numId w:val="8"/>
        </w:numPr>
      </w:pPr>
      <w:r>
        <w:t>I</w:t>
      </w:r>
      <w:r w:rsidRPr="009F1F1A">
        <w:t>f tapering after a short (&lt; 3 month) period of opioid</w:t>
      </w:r>
      <w:r>
        <w:t xml:space="preserve"> analgesic</w:t>
      </w:r>
      <w:r w:rsidRPr="009F1F1A">
        <w:t xml:space="preserve"> treatment or opioid</w:t>
      </w:r>
      <w:r>
        <w:t xml:space="preserve"> analgesic</w:t>
      </w:r>
      <w:r w:rsidRPr="009F1F1A">
        <w:t xml:space="preserve"> trial</w:t>
      </w:r>
      <w:r>
        <w:t>, r</w:t>
      </w:r>
      <w:r w:rsidR="004026AA" w:rsidRPr="009F1F1A">
        <w:t>educe</w:t>
      </w:r>
      <w:r>
        <w:t xml:space="preserve"> dose </w:t>
      </w:r>
      <w:r w:rsidR="004026AA" w:rsidRPr="009F1F1A">
        <w:t>by</w:t>
      </w:r>
      <w:r w:rsidR="00F73126" w:rsidRPr="009F1F1A">
        <w:t xml:space="preserve"> </w:t>
      </w:r>
      <w:r w:rsidR="004026AA" w:rsidRPr="009F1F1A">
        <w:t>10</w:t>
      </w:r>
      <w:r w:rsidR="00C81994">
        <w:t xml:space="preserve"> to </w:t>
      </w:r>
      <w:r w:rsidR="004026AA" w:rsidRPr="009F1F1A">
        <w:t xml:space="preserve">25% </w:t>
      </w:r>
      <w:proofErr w:type="spellStart"/>
      <w:r>
        <w:t>o</w:t>
      </w:r>
      <w:r w:rsidR="004026AA" w:rsidRPr="009F1F1A">
        <w:t>MEDD</w:t>
      </w:r>
      <w:proofErr w:type="spellEnd"/>
      <w:r w:rsidR="003A598A" w:rsidRPr="009F1F1A">
        <w:t xml:space="preserve"> </w:t>
      </w:r>
      <w:r w:rsidR="004026AA" w:rsidRPr="00806C40">
        <w:rPr>
          <w:b/>
        </w:rPr>
        <w:t>every week</w:t>
      </w:r>
      <w:r w:rsidR="00402AF3">
        <w:t>.</w:t>
      </w:r>
      <w:r w:rsidR="004026AA" w:rsidRPr="009F1F1A">
        <w:t xml:space="preserve"> </w:t>
      </w:r>
    </w:p>
    <w:p w14:paraId="795D4F9C" w14:textId="22950912" w:rsidR="009F1F1A" w:rsidRDefault="00702F52" w:rsidP="00FD18BC">
      <w:pPr>
        <w:pStyle w:val="ListParagraph"/>
        <w:numPr>
          <w:ilvl w:val="0"/>
          <w:numId w:val="8"/>
        </w:numPr>
        <w:spacing w:after="240"/>
        <w:ind w:left="714" w:hanging="357"/>
      </w:pPr>
      <w:r>
        <w:t>I</w:t>
      </w:r>
      <w:r w:rsidRPr="009F1F1A">
        <w:t xml:space="preserve">f significant adverse events or significant risk of harm </w:t>
      </w:r>
      <w:r>
        <w:t xml:space="preserve">is likely </w:t>
      </w:r>
      <w:r w:rsidRPr="009F1F1A">
        <w:t>if current opioid</w:t>
      </w:r>
      <w:r>
        <w:t xml:space="preserve"> analgesic</w:t>
      </w:r>
      <w:r w:rsidRPr="009F1F1A">
        <w:t xml:space="preserve"> dose is maintained</w:t>
      </w:r>
      <w:r>
        <w:t>, r</w:t>
      </w:r>
      <w:r w:rsidR="00F73126" w:rsidRPr="009F1F1A">
        <w:t>educe</w:t>
      </w:r>
      <w:r>
        <w:t xml:space="preserve"> dose</w:t>
      </w:r>
      <w:r w:rsidR="00F73126" w:rsidRPr="009F1F1A">
        <w:t xml:space="preserve"> by </w:t>
      </w:r>
      <w:r w:rsidR="004026AA" w:rsidRPr="009F1F1A">
        <w:t>10</w:t>
      </w:r>
      <w:r w:rsidR="00C81994">
        <w:t xml:space="preserve"> to </w:t>
      </w:r>
      <w:r w:rsidR="004026AA" w:rsidRPr="009F1F1A">
        <w:t xml:space="preserve">25% </w:t>
      </w:r>
      <w:proofErr w:type="spellStart"/>
      <w:r>
        <w:t>o</w:t>
      </w:r>
      <w:r w:rsidR="004026AA" w:rsidRPr="009F1F1A">
        <w:t>MEDD</w:t>
      </w:r>
      <w:proofErr w:type="spellEnd"/>
      <w:r w:rsidR="004026AA" w:rsidRPr="009F1F1A">
        <w:t xml:space="preserve"> </w:t>
      </w:r>
      <w:r w:rsidR="004026AA" w:rsidRPr="00806C40">
        <w:rPr>
          <w:b/>
        </w:rPr>
        <w:t>daily</w:t>
      </w:r>
      <w:r w:rsidR="00C0488A">
        <w:t xml:space="preserve"> (this may require hospital admission).</w:t>
      </w:r>
    </w:p>
    <w:p w14:paraId="0BC40B09" w14:textId="46BC1B2A" w:rsidR="00286D4B" w:rsidRPr="00AF207E" w:rsidRDefault="00D36376" w:rsidP="00FD18BC">
      <w:r w:rsidRPr="006D0500">
        <w:t xml:space="preserve">Specialist services should be considered for </w:t>
      </w:r>
      <w:r>
        <w:t xml:space="preserve">some </w:t>
      </w:r>
      <w:r w:rsidRPr="006D0500">
        <w:t>patients</w:t>
      </w:r>
      <w:r>
        <w:t>. This includes</w:t>
      </w:r>
      <w:r w:rsidRPr="00D36376">
        <w:t xml:space="preserve"> </w:t>
      </w:r>
      <w:r>
        <w:t xml:space="preserve">patients where </w:t>
      </w:r>
      <w:r w:rsidR="004252FB" w:rsidRPr="00AF207E">
        <w:t>opioid analgesic withdrawal management with short-term clonidine may be required to limit opioid tolerance and hyperalgesia.</w:t>
      </w:r>
    </w:p>
    <w:p w14:paraId="35229886" w14:textId="77777777" w:rsidR="003A598A" w:rsidRPr="00EA7D49" w:rsidRDefault="00A9572F" w:rsidP="00955AB8">
      <w:pPr>
        <w:pBdr>
          <w:top w:val="single" w:sz="4" w:space="6" w:color="3B3838" w:themeColor="background2" w:themeShade="40"/>
          <w:left w:val="single" w:sz="4" w:space="6" w:color="3B3838" w:themeColor="background2" w:themeShade="40"/>
          <w:bottom w:val="single" w:sz="4" w:space="6" w:color="3B3838" w:themeColor="background2" w:themeShade="40"/>
          <w:right w:val="single" w:sz="4" w:space="6" w:color="3B3838" w:themeColor="background2" w:themeShade="40"/>
        </w:pBdr>
        <w:shd w:val="clear" w:color="auto" w:fill="F2F2F2" w:themeFill="background1" w:themeFillShade="F2"/>
        <w:spacing w:after="120"/>
      </w:pPr>
      <w:r w:rsidRPr="00FD18BC">
        <w:rPr>
          <w:rFonts w:ascii="Segoe UI Semibold" w:eastAsiaTheme="majorEastAsia" w:hAnsi="Segoe UI Semibold" w:cs="Segoe UI Semibold"/>
          <w:color w:val="3B3838" w:themeColor="background2" w:themeShade="40"/>
          <w:sz w:val="24"/>
          <w:szCs w:val="24"/>
        </w:rPr>
        <w:t>Some resources to support GPs in choosing tapering protocols</w:t>
      </w:r>
    </w:p>
    <w:p w14:paraId="0B4210F1" w14:textId="66E8FD08" w:rsidR="00AB2505" w:rsidRPr="00955AB8" w:rsidRDefault="00930724" w:rsidP="00875731">
      <w:pPr>
        <w:pBdr>
          <w:top w:val="single" w:sz="4" w:space="6" w:color="3B3838" w:themeColor="background2" w:themeShade="40"/>
          <w:left w:val="single" w:sz="4" w:space="6" w:color="3B3838" w:themeColor="background2" w:themeShade="40"/>
          <w:bottom w:val="single" w:sz="4" w:space="6" w:color="3B3838" w:themeColor="background2" w:themeShade="40"/>
          <w:right w:val="single" w:sz="4" w:space="6" w:color="3B3838" w:themeColor="background2" w:themeShade="40"/>
        </w:pBdr>
        <w:shd w:val="clear" w:color="auto" w:fill="F2F2F2" w:themeFill="background1" w:themeFillShade="F2"/>
        <w:spacing w:after="120"/>
        <w:rPr>
          <w:rFonts w:cs="Segoe UI Semilight"/>
          <w:sz w:val="20"/>
          <w:szCs w:val="20"/>
        </w:rPr>
      </w:pPr>
      <w:r w:rsidRPr="00955AB8">
        <w:rPr>
          <w:rFonts w:ascii="Segoe UI Semibold" w:hAnsi="Segoe UI Semibold" w:cs="Segoe UI Semibold"/>
          <w:sz w:val="20"/>
          <w:szCs w:val="20"/>
        </w:rPr>
        <w:t>NPS Medicine</w:t>
      </w:r>
      <w:r w:rsidR="00FC2C01" w:rsidRPr="00955AB8">
        <w:rPr>
          <w:rFonts w:ascii="Segoe UI Semibold" w:hAnsi="Segoe UI Semibold" w:cs="Segoe UI Semibold"/>
          <w:sz w:val="20"/>
          <w:szCs w:val="20"/>
        </w:rPr>
        <w:t xml:space="preserve">Wise: </w:t>
      </w:r>
      <w:hyperlink r:id="rId14" w:history="1">
        <w:r w:rsidR="004252FB" w:rsidRPr="00955AB8">
          <w:rPr>
            <w:rStyle w:val="Hyperlink"/>
            <w:sz w:val="20"/>
            <w:szCs w:val="20"/>
          </w:rPr>
          <w:t>www.nps.org.au/news/5-steps-to-tapering-opioids</w:t>
        </w:r>
      </w:hyperlink>
    </w:p>
    <w:p w14:paraId="0090B33D" w14:textId="5E561F4C" w:rsidR="00AB2505" w:rsidRPr="00955AB8" w:rsidRDefault="00FC2C01" w:rsidP="00955AB8">
      <w:pPr>
        <w:pBdr>
          <w:top w:val="single" w:sz="4" w:space="6" w:color="3B3838" w:themeColor="background2" w:themeShade="40"/>
          <w:left w:val="single" w:sz="4" w:space="6" w:color="3B3838" w:themeColor="background2" w:themeShade="40"/>
          <w:bottom w:val="single" w:sz="4" w:space="6" w:color="3B3838" w:themeColor="background2" w:themeShade="40"/>
          <w:right w:val="single" w:sz="4" w:space="6" w:color="3B3838" w:themeColor="background2" w:themeShade="40"/>
        </w:pBdr>
        <w:shd w:val="clear" w:color="auto" w:fill="F2F2F2" w:themeFill="background1" w:themeFillShade="F2"/>
        <w:spacing w:after="120"/>
        <w:rPr>
          <w:rFonts w:cs="Segoe UI Semilight"/>
          <w:sz w:val="20"/>
          <w:szCs w:val="20"/>
        </w:rPr>
      </w:pPr>
      <w:r w:rsidRPr="00955AB8">
        <w:rPr>
          <w:rFonts w:ascii="Segoe UI Semibold" w:hAnsi="Segoe UI Semibold" w:cs="Segoe UI Semibold"/>
          <w:sz w:val="20"/>
          <w:szCs w:val="20"/>
        </w:rPr>
        <w:t>NSW Therapeutic Advisory Group:</w:t>
      </w:r>
      <w:r w:rsidRPr="00955AB8">
        <w:rPr>
          <w:rFonts w:cs="Segoe UI Semilight"/>
          <w:sz w:val="20"/>
          <w:szCs w:val="20"/>
        </w:rPr>
        <w:t xml:space="preserve"> </w:t>
      </w:r>
      <w:hyperlink r:id="rId15" w:history="1">
        <w:r w:rsidR="002A0C85">
          <w:rPr>
            <w:rStyle w:val="Hyperlink"/>
            <w:sz w:val="20"/>
            <w:szCs w:val="20"/>
          </w:rPr>
          <w:t>http://www.nswtag.org.au/wp-content/uploads/2018/06/1.8-Deprescribing-Guide-for-Regular-Long-Term-Opioid-Analgesic-Use-in-Older-Adults.pdf</w:t>
        </w:r>
      </w:hyperlink>
    </w:p>
    <w:p w14:paraId="5CDF87DC" w14:textId="7F562A7D" w:rsidR="00955AB8" w:rsidRPr="00955AB8" w:rsidRDefault="00AB2505" w:rsidP="00955AB8">
      <w:pPr>
        <w:pBdr>
          <w:top w:val="single" w:sz="4" w:space="6" w:color="3B3838" w:themeColor="background2" w:themeShade="40"/>
          <w:left w:val="single" w:sz="4" w:space="6" w:color="3B3838" w:themeColor="background2" w:themeShade="40"/>
          <w:bottom w:val="single" w:sz="4" w:space="6" w:color="3B3838" w:themeColor="background2" w:themeShade="40"/>
          <w:right w:val="single" w:sz="4" w:space="6" w:color="3B3838" w:themeColor="background2" w:themeShade="40"/>
        </w:pBdr>
        <w:shd w:val="clear" w:color="auto" w:fill="F2F2F2" w:themeFill="background1" w:themeFillShade="F2"/>
        <w:spacing w:after="120"/>
        <w:rPr>
          <w:rFonts w:cs="Segoe UI Semilight"/>
          <w:sz w:val="20"/>
          <w:szCs w:val="20"/>
        </w:rPr>
      </w:pPr>
      <w:r w:rsidRPr="00955AB8">
        <w:rPr>
          <w:rFonts w:ascii="Segoe UI Semibold" w:hAnsi="Segoe UI Semibold" w:cs="Segoe UI Semibold"/>
          <w:sz w:val="20"/>
          <w:szCs w:val="20"/>
        </w:rPr>
        <w:t>NSW Government guidelines on deprescribing in general practice</w:t>
      </w:r>
      <w:r w:rsidR="00FC2C01" w:rsidRPr="00955AB8">
        <w:rPr>
          <w:rFonts w:ascii="Segoe UI Semibold" w:hAnsi="Segoe UI Semibold" w:cs="Segoe UI Semibold"/>
          <w:sz w:val="20"/>
          <w:szCs w:val="20"/>
        </w:rPr>
        <w:t>:</w:t>
      </w:r>
      <w:r w:rsidR="00955AB8" w:rsidRPr="00955AB8">
        <w:rPr>
          <w:rFonts w:ascii="Segoe UI Semibold" w:hAnsi="Segoe UI Semibold" w:cs="Segoe UI Semibold"/>
          <w:sz w:val="20"/>
          <w:szCs w:val="20"/>
        </w:rPr>
        <w:t xml:space="preserve"> </w:t>
      </w:r>
      <w:hyperlink r:id="rId16" w:history="1">
        <w:r w:rsidR="00955AB8" w:rsidRPr="00955AB8">
          <w:rPr>
            <w:rStyle w:val="Hyperlink"/>
            <w:rFonts w:cs="Segoe UI Semilight"/>
            <w:sz w:val="20"/>
            <w:szCs w:val="20"/>
          </w:rPr>
          <w:t>http://www.aci.health.nsw.gov.au/chronic-pain/health-professionals</w:t>
        </w:r>
      </w:hyperlink>
    </w:p>
    <w:p w14:paraId="746B0F03" w14:textId="017F1039" w:rsidR="007C4E17" w:rsidRPr="00955AB8" w:rsidRDefault="00AB2505" w:rsidP="00955AB8">
      <w:pPr>
        <w:pBdr>
          <w:top w:val="single" w:sz="4" w:space="6" w:color="3B3838" w:themeColor="background2" w:themeShade="40"/>
          <w:left w:val="single" w:sz="4" w:space="6" w:color="3B3838" w:themeColor="background2" w:themeShade="40"/>
          <w:bottom w:val="single" w:sz="4" w:space="6" w:color="3B3838" w:themeColor="background2" w:themeShade="40"/>
          <w:right w:val="single" w:sz="4" w:space="6" w:color="3B3838" w:themeColor="background2" w:themeShade="40"/>
        </w:pBdr>
        <w:shd w:val="clear" w:color="auto" w:fill="F2F2F2" w:themeFill="background1" w:themeFillShade="F2"/>
        <w:spacing w:after="120"/>
        <w:rPr>
          <w:rFonts w:cs="Segoe UI Semilight"/>
          <w:sz w:val="20"/>
          <w:szCs w:val="20"/>
        </w:rPr>
      </w:pPr>
      <w:r w:rsidRPr="00955AB8">
        <w:rPr>
          <w:rFonts w:ascii="Segoe UI Semibold" w:hAnsi="Segoe UI Semibold" w:cs="Segoe UI Semibold"/>
          <w:sz w:val="20"/>
          <w:szCs w:val="20"/>
        </w:rPr>
        <w:t>Note</w:t>
      </w:r>
      <w:r w:rsidR="00955AB8" w:rsidRPr="00955AB8">
        <w:rPr>
          <w:rFonts w:ascii="Segoe UI Semibold" w:hAnsi="Segoe UI Semibold" w:cs="Segoe UI Semibold"/>
          <w:sz w:val="20"/>
          <w:szCs w:val="20"/>
        </w:rPr>
        <w:t>,</w:t>
      </w:r>
      <w:r w:rsidRPr="00955AB8">
        <w:rPr>
          <w:rFonts w:ascii="Segoe UI Semibold" w:hAnsi="Segoe UI Semibold" w:cs="Segoe UI Semibold"/>
          <w:sz w:val="20"/>
          <w:szCs w:val="20"/>
        </w:rPr>
        <w:t xml:space="preserve"> an Australian Clinical Practice guideline is under development with an anticipated completion date of 2022:</w:t>
      </w:r>
      <w:r w:rsidRPr="00955AB8">
        <w:rPr>
          <w:rFonts w:cs="Segoe UI Semilight"/>
          <w:sz w:val="20"/>
          <w:szCs w:val="20"/>
        </w:rPr>
        <w:t xml:space="preserve"> </w:t>
      </w:r>
      <w:hyperlink r:id="rId17" w:history="1">
        <w:r w:rsidRPr="00955AB8">
          <w:rPr>
            <w:rStyle w:val="Hyperlink"/>
            <w:sz w:val="20"/>
            <w:szCs w:val="20"/>
          </w:rPr>
          <w:t>www.clinicalguidelines.gov.au/register/development-evidence-based-opioid-deprescribing-guidelines</w:t>
        </w:r>
      </w:hyperlink>
    </w:p>
    <w:p w14:paraId="4A2BE2C5" w14:textId="5C26FB32" w:rsidR="00913316" w:rsidRPr="004A0799" w:rsidRDefault="00804887" w:rsidP="00955AB8">
      <w:pPr>
        <w:pStyle w:val="Heading2"/>
      </w:pPr>
      <w:r>
        <w:t>E</w:t>
      </w:r>
      <w:r w:rsidR="004026AA" w:rsidRPr="004A0799">
        <w:t>nd point</w:t>
      </w:r>
      <w:r>
        <w:t xml:space="preserve">s for opioid analgesic </w:t>
      </w:r>
      <w:r w:rsidR="00913316" w:rsidRPr="004A0799">
        <w:t xml:space="preserve">tapering </w:t>
      </w:r>
    </w:p>
    <w:p w14:paraId="10A78300" w14:textId="1E4960AA" w:rsidR="00A9572F" w:rsidRDefault="009F1F1A" w:rsidP="00D40B4B">
      <w:r w:rsidRPr="0097510F">
        <w:t>Th</w:t>
      </w:r>
      <w:r w:rsidR="00FC2C01">
        <w:t>e end point for</w:t>
      </w:r>
      <w:r w:rsidR="00804887">
        <w:t xml:space="preserve"> opioid analgesic</w:t>
      </w:r>
      <w:r w:rsidR="00FC2C01">
        <w:t xml:space="preserve"> tapering</w:t>
      </w:r>
      <w:r w:rsidRPr="0097510F">
        <w:t xml:space="preserve"> will depend on the o</w:t>
      </w:r>
      <w:r w:rsidR="0097510F" w:rsidRPr="0097510F">
        <w:t xml:space="preserve">verall </w:t>
      </w:r>
      <w:r w:rsidRPr="0097510F">
        <w:t>a</w:t>
      </w:r>
      <w:r w:rsidR="0097510F" w:rsidRPr="0097510F">
        <w:t>im for the particular patient</w:t>
      </w:r>
      <w:r w:rsidR="00804887">
        <w:t>. T</w:t>
      </w:r>
      <w:r w:rsidR="0097510F" w:rsidRPr="0097510F">
        <w:t xml:space="preserve">he timing and rate of </w:t>
      </w:r>
      <w:r w:rsidR="00804887">
        <w:t xml:space="preserve">opioid analgesic </w:t>
      </w:r>
      <w:r w:rsidR="0097510F" w:rsidRPr="0097510F">
        <w:t>reduction should always be negotiated.</w:t>
      </w:r>
      <w:r w:rsidRPr="0097510F">
        <w:t xml:space="preserve"> </w:t>
      </w:r>
      <w:r w:rsidR="0097510F">
        <w:t>I</w:t>
      </w:r>
      <w:r w:rsidR="009439B5">
        <w:t>n</w:t>
      </w:r>
      <w:r w:rsidR="0097510F">
        <w:t xml:space="preserve"> some case</w:t>
      </w:r>
      <w:r w:rsidR="009439B5">
        <w:t>s</w:t>
      </w:r>
      <w:r w:rsidR="0097510F">
        <w:t>,</w:t>
      </w:r>
      <w:r w:rsidR="009439B5">
        <w:t xml:space="preserve"> it may be appropriate to taper to the </w:t>
      </w:r>
      <w:r w:rsidR="004026AA" w:rsidRPr="00AA1F21">
        <w:t xml:space="preserve">lowest </w:t>
      </w:r>
      <w:r w:rsidR="00C51BD9">
        <w:t>tolerated</w:t>
      </w:r>
      <w:r w:rsidR="004026AA" w:rsidRPr="00AA1F21">
        <w:t xml:space="preserve"> </w:t>
      </w:r>
      <w:r w:rsidR="00804887">
        <w:t xml:space="preserve">opioid analgesic </w:t>
      </w:r>
      <w:r w:rsidR="004026AA" w:rsidRPr="00AA1F21">
        <w:t>dose</w:t>
      </w:r>
      <w:r w:rsidR="009439B5">
        <w:t xml:space="preserve"> rather than </w:t>
      </w:r>
      <w:r w:rsidR="00804887">
        <w:t>de-prescribing</w:t>
      </w:r>
      <w:r w:rsidR="007C4E17">
        <w:t>,</w:t>
      </w:r>
      <w:r w:rsidR="009439B5">
        <w:t xml:space="preserve"> as some patients will </w:t>
      </w:r>
      <w:r w:rsidR="002427C2">
        <w:t>report</w:t>
      </w:r>
      <w:r w:rsidR="009439B5">
        <w:t xml:space="preserve"> </w:t>
      </w:r>
      <w:r w:rsidR="004026AA" w:rsidRPr="00AA1F21">
        <w:t xml:space="preserve">reduced function and increased </w:t>
      </w:r>
      <w:r w:rsidR="002427C2">
        <w:t xml:space="preserve">distress and </w:t>
      </w:r>
      <w:r w:rsidR="009439B5">
        <w:t>pain w</w:t>
      </w:r>
      <w:r w:rsidR="004026AA" w:rsidRPr="00AA1F21">
        <w:t xml:space="preserve">ith </w:t>
      </w:r>
      <w:r w:rsidR="00804887">
        <w:t>opioid analgesic de-prescribing</w:t>
      </w:r>
      <w:r w:rsidR="009439B5">
        <w:t xml:space="preserve">. </w:t>
      </w:r>
    </w:p>
    <w:p w14:paraId="05594BE7" w14:textId="4F672476" w:rsidR="00A9572F" w:rsidRPr="00AA1F21" w:rsidRDefault="009439B5" w:rsidP="00D40B4B">
      <w:r>
        <w:rPr>
          <w:rFonts w:asciiTheme="minorHAnsi" w:hAnsiTheme="minorHAnsi"/>
        </w:rPr>
        <w:t xml:space="preserve">In other patients it is appropriate to </w:t>
      </w:r>
      <w:r w:rsidR="004026AA" w:rsidRPr="00AA1F21">
        <w:rPr>
          <w:rFonts w:asciiTheme="minorHAnsi" w:hAnsiTheme="minorHAnsi"/>
        </w:rPr>
        <w:t xml:space="preserve">cease </w:t>
      </w:r>
      <w:r>
        <w:rPr>
          <w:rFonts w:asciiTheme="minorHAnsi" w:hAnsiTheme="minorHAnsi"/>
        </w:rPr>
        <w:t>opioid</w:t>
      </w:r>
      <w:r w:rsidR="00804887">
        <w:rPr>
          <w:rFonts w:asciiTheme="minorHAnsi" w:hAnsiTheme="minorHAnsi"/>
        </w:rPr>
        <w:t xml:space="preserve"> analgesics</w:t>
      </w:r>
      <w:r w:rsidR="00A9572F">
        <w:rPr>
          <w:rFonts w:asciiTheme="minorHAnsi" w:hAnsiTheme="minorHAnsi"/>
        </w:rPr>
        <w:t xml:space="preserve"> </w:t>
      </w:r>
      <w:r w:rsidR="00A9572F" w:rsidRPr="00AA1F21">
        <w:t>altogether</w:t>
      </w:r>
      <w:r w:rsidR="00804887">
        <w:t>. These patients may</w:t>
      </w:r>
      <w:r w:rsidR="00A9572F" w:rsidRPr="00AA1F21">
        <w:t xml:space="preserve"> </w:t>
      </w:r>
      <w:r w:rsidR="00470B25">
        <w:t xml:space="preserve">continue </w:t>
      </w:r>
      <w:r w:rsidR="00470B25" w:rsidRPr="00AA1F21">
        <w:t>non-pharmacological pain management approaches</w:t>
      </w:r>
      <w:r w:rsidR="00470B25">
        <w:t xml:space="preserve"> and</w:t>
      </w:r>
      <w:r w:rsidR="00BC45F1">
        <w:t xml:space="preserve"> </w:t>
      </w:r>
      <w:r w:rsidR="00A9572F" w:rsidRPr="00AA1F21">
        <w:t xml:space="preserve">use other </w:t>
      </w:r>
      <w:r w:rsidR="0011275F">
        <w:t>analgesic</w:t>
      </w:r>
      <w:r w:rsidR="00A9572F" w:rsidRPr="00AA1F21">
        <w:t>s</w:t>
      </w:r>
      <w:r w:rsidR="00804887">
        <w:t>, such as</w:t>
      </w:r>
      <w:r w:rsidR="00A9572F" w:rsidRPr="00AA1F21">
        <w:t xml:space="preserve"> NSAIDs</w:t>
      </w:r>
      <w:r w:rsidR="00804887">
        <w:t>,</w:t>
      </w:r>
      <w:r w:rsidR="00A9572F" w:rsidRPr="00AA1F21">
        <w:t xml:space="preserve"> </w:t>
      </w:r>
      <w:r w:rsidR="00470B25">
        <w:t>if tolerated</w:t>
      </w:r>
      <w:r w:rsidR="0011275F">
        <w:t>,</w:t>
      </w:r>
      <w:r w:rsidR="00470B25">
        <w:t xml:space="preserve"> and not contraindicated.</w:t>
      </w:r>
      <w:r w:rsidR="004C6D7D">
        <w:t xml:space="preserve"> It is vital that patients are closely monitored </w:t>
      </w:r>
      <w:r w:rsidR="00C0488A">
        <w:t xml:space="preserve">and supported </w:t>
      </w:r>
      <w:r w:rsidR="004C6D7D">
        <w:t xml:space="preserve">during </w:t>
      </w:r>
      <w:r w:rsidR="00804887">
        <w:t>opioid analgesic</w:t>
      </w:r>
      <w:r w:rsidR="004C6D7D">
        <w:t xml:space="preserve"> taper</w:t>
      </w:r>
      <w:r w:rsidR="0011275F">
        <w:t>ing</w:t>
      </w:r>
      <w:r w:rsidR="004C6D7D">
        <w:t xml:space="preserve"> to increase the chance of success.</w:t>
      </w:r>
    </w:p>
    <w:p w14:paraId="4DC19989" w14:textId="77777777" w:rsidR="00A9572F" w:rsidRDefault="00A9572F" w:rsidP="00E17AEA">
      <w:pPr>
        <w:pStyle w:val="Heading3"/>
      </w:pPr>
      <w:r w:rsidRPr="001E7506">
        <w:lastRenderedPageBreak/>
        <w:t>Other points</w:t>
      </w:r>
    </w:p>
    <w:p w14:paraId="172BF497" w14:textId="67FFF1B4" w:rsidR="0027386D" w:rsidRPr="00A9572F" w:rsidRDefault="0027386D" w:rsidP="00D40B4B">
      <w:pPr>
        <w:pStyle w:val="ListParagraph"/>
        <w:numPr>
          <w:ilvl w:val="0"/>
          <w:numId w:val="18"/>
        </w:numPr>
      </w:pPr>
      <w:r w:rsidRPr="00A9572F">
        <w:rPr>
          <w:b/>
        </w:rPr>
        <w:t>Only prescribe enough</w:t>
      </w:r>
      <w:r w:rsidR="00804887">
        <w:rPr>
          <w:b/>
        </w:rPr>
        <w:t xml:space="preserve"> opioid analgesic</w:t>
      </w:r>
      <w:r w:rsidRPr="00A9572F">
        <w:rPr>
          <w:b/>
        </w:rPr>
        <w:t xml:space="preserve"> </w:t>
      </w:r>
      <w:r w:rsidRPr="00A9572F">
        <w:t xml:space="preserve">during the tapering period until </w:t>
      </w:r>
      <w:r w:rsidR="00A9572F" w:rsidRPr="00A9572F">
        <w:t>you</w:t>
      </w:r>
      <w:r w:rsidRPr="00A9572F">
        <w:t xml:space="preserve"> can see the patient again.</w:t>
      </w:r>
      <w:r w:rsidR="00C0488A">
        <w:t xml:space="preserve"> Set up a series of regular appointments with the patient and stage dispensing from the patients pharmacy.</w:t>
      </w:r>
    </w:p>
    <w:p w14:paraId="0C52F3D7" w14:textId="5DC235F1" w:rsidR="00D40EF7" w:rsidRPr="00D2387A" w:rsidRDefault="00D40EF7" w:rsidP="00E17AEA">
      <w:pPr>
        <w:pStyle w:val="ListParagraph"/>
      </w:pPr>
      <w:r w:rsidRPr="00D2387A">
        <w:t>The</w:t>
      </w:r>
      <w:r w:rsidR="00804887">
        <w:t xml:space="preserve"> opioid analgesic</w:t>
      </w:r>
      <w:r w:rsidRPr="00D2387A">
        <w:t xml:space="preserve"> tapering plan should </w:t>
      </w:r>
      <w:r w:rsidRPr="00D2387A">
        <w:rPr>
          <w:b/>
        </w:rPr>
        <w:t>take</w:t>
      </w:r>
      <w:r w:rsidR="00804887">
        <w:rPr>
          <w:b/>
        </w:rPr>
        <w:t xml:space="preserve"> into</w:t>
      </w:r>
      <w:r w:rsidRPr="00D2387A">
        <w:rPr>
          <w:b/>
        </w:rPr>
        <w:t xml:space="preserve"> account the available</w:t>
      </w:r>
      <w:r w:rsidRPr="00D2387A">
        <w:t xml:space="preserve"> </w:t>
      </w:r>
      <w:r w:rsidRPr="00D2387A">
        <w:rPr>
          <w:b/>
        </w:rPr>
        <w:t>formulations</w:t>
      </w:r>
      <w:r w:rsidRPr="00D2387A">
        <w:t xml:space="preserve"> for the chosen opioid </w:t>
      </w:r>
      <w:r w:rsidR="00804887">
        <w:t xml:space="preserve">analgesic, </w:t>
      </w:r>
      <w:r w:rsidRPr="00D2387A">
        <w:t>and ensure</w:t>
      </w:r>
      <w:r w:rsidR="0011275F">
        <w:t xml:space="preserve"> </w:t>
      </w:r>
      <w:r w:rsidRPr="00D2387A">
        <w:t xml:space="preserve">the patient understands the percentage reduction that is practical at each stage. If </w:t>
      </w:r>
      <w:r w:rsidR="00D2387A" w:rsidRPr="00D2387A">
        <w:t>opioid</w:t>
      </w:r>
      <w:r w:rsidR="00804887">
        <w:t xml:space="preserve"> analgesics</w:t>
      </w:r>
      <w:r w:rsidR="00D2387A" w:rsidRPr="00D2387A">
        <w:t xml:space="preserve"> are prescribed </w:t>
      </w:r>
      <w:r w:rsidRPr="00D2387A">
        <w:t>twice a day, agree with the patient which dose is reduced first. If three times a day, it might be the midday dose.</w:t>
      </w:r>
      <w:r w:rsidR="00804887">
        <w:t xml:space="preserve"> </w:t>
      </w:r>
      <w:r w:rsidR="0075417A">
        <w:t xml:space="preserve">When weaning controlled release oxycodone there is no formulation </w:t>
      </w:r>
      <w:r w:rsidRPr="00D2387A">
        <w:t>for less than 10mg, but the oxycodone/naloxone comb</w:t>
      </w:r>
      <w:r w:rsidR="00D2387A" w:rsidRPr="00D2387A">
        <w:t>ination</w:t>
      </w:r>
      <w:r w:rsidRPr="00D2387A">
        <w:t xml:space="preserve"> can </w:t>
      </w:r>
      <w:r w:rsidR="00D2387A" w:rsidRPr="00D2387A">
        <w:t xml:space="preserve">usually </w:t>
      </w:r>
      <w:r w:rsidRPr="00D2387A">
        <w:t>be substituted</w:t>
      </w:r>
      <w:r w:rsidR="0075417A">
        <w:t>.</w:t>
      </w:r>
    </w:p>
    <w:p w14:paraId="65612E4F" w14:textId="4F7CE639" w:rsidR="00F73126" w:rsidRPr="00A9572F" w:rsidRDefault="00F73126" w:rsidP="00E17AEA">
      <w:pPr>
        <w:pStyle w:val="ListParagraph"/>
      </w:pPr>
      <w:r w:rsidRPr="00A9572F">
        <w:rPr>
          <w:b/>
        </w:rPr>
        <w:t>Other support for the patient</w:t>
      </w:r>
      <w:r w:rsidRPr="00A9572F">
        <w:t xml:space="preserve"> </w:t>
      </w:r>
      <w:r w:rsidR="00A9572F">
        <w:t xml:space="preserve">may be </w:t>
      </w:r>
      <w:r w:rsidRPr="00A9572F">
        <w:t xml:space="preserve">needed </w:t>
      </w:r>
      <w:r w:rsidR="00913316" w:rsidRPr="00A9572F">
        <w:t xml:space="preserve">throughout </w:t>
      </w:r>
      <w:r w:rsidR="002D2E07">
        <w:t>opioid analgesic</w:t>
      </w:r>
      <w:r w:rsidR="00913316" w:rsidRPr="00A9572F">
        <w:t xml:space="preserve"> tapering</w:t>
      </w:r>
      <w:r w:rsidR="00EA66FB">
        <w:t xml:space="preserve">, </w:t>
      </w:r>
      <w:r w:rsidR="00A9572F" w:rsidRPr="00A9572F">
        <w:t>includ</w:t>
      </w:r>
      <w:r w:rsidR="00EA66FB">
        <w:t>ing</w:t>
      </w:r>
      <w:r w:rsidR="00A9572F" w:rsidRPr="00A9572F">
        <w:t xml:space="preserve">: </w:t>
      </w:r>
    </w:p>
    <w:p w14:paraId="5C3A772C" w14:textId="348E5700" w:rsidR="00D2387A" w:rsidRPr="00E17AEA" w:rsidRDefault="00EA66FB" w:rsidP="00E17AEA">
      <w:pPr>
        <w:pStyle w:val="Listlevel2"/>
      </w:pPr>
      <w:r>
        <w:t>a</w:t>
      </w:r>
      <w:r w:rsidR="00D2387A" w:rsidRPr="00D2387A">
        <w:t>greeme</w:t>
      </w:r>
      <w:r w:rsidR="00D2387A" w:rsidRPr="00E17AEA">
        <w:t>nt on the goals of therapy</w:t>
      </w:r>
      <w:r w:rsidRPr="00E17AEA">
        <w:t>, and access to self-management services and helplines</w:t>
      </w:r>
    </w:p>
    <w:p w14:paraId="49FAB118" w14:textId="5A0D7A77" w:rsidR="00470B25" w:rsidRPr="00E17AEA" w:rsidRDefault="00EA66FB" w:rsidP="00E17AEA">
      <w:pPr>
        <w:pStyle w:val="Listlevel2"/>
      </w:pPr>
      <w:r w:rsidRPr="00E17AEA">
        <w:t>i</w:t>
      </w:r>
      <w:r w:rsidR="00D2387A" w:rsidRPr="00E17AEA">
        <w:t xml:space="preserve">nformation on </w:t>
      </w:r>
      <w:r w:rsidR="00470B25" w:rsidRPr="00E17AEA">
        <w:t xml:space="preserve">adverse effects </w:t>
      </w:r>
      <w:r w:rsidR="00D2387A" w:rsidRPr="00E17AEA">
        <w:t>of opioid</w:t>
      </w:r>
      <w:r w:rsidR="002D2E07" w:rsidRPr="00E17AEA">
        <w:t xml:space="preserve"> analgesics</w:t>
      </w:r>
      <w:r w:rsidR="00D2387A" w:rsidRPr="00E17AEA">
        <w:t xml:space="preserve"> and of withdrawal</w:t>
      </w:r>
      <w:r w:rsidR="002D2E07" w:rsidRPr="00E17AEA">
        <w:t xml:space="preserve"> symptoms</w:t>
      </w:r>
      <w:r w:rsidRPr="00E17AEA">
        <w:t>,</w:t>
      </w:r>
      <w:r w:rsidR="00D2387A" w:rsidRPr="00E17AEA">
        <w:t xml:space="preserve"> </w:t>
      </w:r>
      <w:r w:rsidR="00470B25" w:rsidRPr="00E17AEA">
        <w:t>and acknowledge</w:t>
      </w:r>
      <w:r w:rsidR="00D2387A" w:rsidRPr="00E17AEA">
        <w:t>ment</w:t>
      </w:r>
      <w:r w:rsidR="00470B25" w:rsidRPr="00E17AEA">
        <w:t xml:space="preserve"> th</w:t>
      </w:r>
      <w:r w:rsidR="00D2387A" w:rsidRPr="00E17AEA">
        <w:t xml:space="preserve">at the patient has been </w:t>
      </w:r>
      <w:r w:rsidRPr="00E17AEA">
        <w:t>alerted to the</w:t>
      </w:r>
      <w:r w:rsidR="002D2E07" w:rsidRPr="00E17AEA">
        <w:t>se</w:t>
      </w:r>
      <w:r w:rsidR="00470B25" w:rsidRPr="00E17AEA">
        <w:t xml:space="preserve"> </w:t>
      </w:r>
    </w:p>
    <w:p w14:paraId="3168C4F4" w14:textId="34BB5456" w:rsidR="004026AA" w:rsidRPr="00EA66FB" w:rsidRDefault="00FC2C01" w:rsidP="00E17AEA">
      <w:pPr>
        <w:pStyle w:val="Listlevel2"/>
      </w:pPr>
      <w:r w:rsidRPr="00E17AEA">
        <w:t>s</w:t>
      </w:r>
      <w:r w:rsidR="00A9572F" w:rsidRPr="00E17AEA">
        <w:t>etting a</w:t>
      </w:r>
      <w:r w:rsidR="002D2E07" w:rsidRPr="00E17AEA">
        <w:t>n opioid analgesic</w:t>
      </w:r>
      <w:r w:rsidR="00A9572F" w:rsidRPr="00E17AEA">
        <w:t xml:space="preserve"> t</w:t>
      </w:r>
      <w:r w:rsidR="004026AA" w:rsidRPr="00E17AEA">
        <w:t>reatment agreement</w:t>
      </w:r>
      <w:r w:rsidR="00A9572F" w:rsidRPr="00E17AEA">
        <w:t xml:space="preserve"> with the patient, </w:t>
      </w:r>
      <w:r w:rsidR="0011275F" w:rsidRPr="00E17AEA">
        <w:t>including</w:t>
      </w:r>
      <w:r w:rsidR="00A9572F" w:rsidRPr="00E17AEA">
        <w:t xml:space="preserve"> c</w:t>
      </w:r>
      <w:r w:rsidR="004026AA" w:rsidRPr="00E17AEA">
        <w:t xml:space="preserve">onditions </w:t>
      </w:r>
      <w:r w:rsidR="00A9572F" w:rsidRPr="00E17AEA">
        <w:t xml:space="preserve">such as the patient using only a </w:t>
      </w:r>
      <w:r w:rsidR="004026AA" w:rsidRPr="00E17AEA">
        <w:t>single pharmacy, single prescriber</w:t>
      </w:r>
      <w:r w:rsidR="00470B25" w:rsidRPr="00E17AEA">
        <w:t xml:space="preserve"> (or a nominated second prescribe</w:t>
      </w:r>
      <w:r w:rsidR="00470B25" w:rsidRPr="00D2387A">
        <w:t>r from the same practice if the patient’s main GP is not available)</w:t>
      </w:r>
      <w:r w:rsidR="004026AA" w:rsidRPr="00D2387A">
        <w:t>, staged supply</w:t>
      </w:r>
      <w:r w:rsidR="00A9572F" w:rsidRPr="00D2387A">
        <w:t>,</w:t>
      </w:r>
      <w:r w:rsidR="004026AA" w:rsidRPr="00D2387A">
        <w:t xml:space="preserve"> regular review, </w:t>
      </w:r>
      <w:r w:rsidR="00AF207E">
        <w:t xml:space="preserve">real time prescription monitoring services (where available) </w:t>
      </w:r>
      <w:r w:rsidR="00832146" w:rsidRPr="00EA66FB">
        <w:rPr>
          <w:color w:val="000000" w:themeColor="text1"/>
          <w:shd w:val="clear" w:color="auto" w:fill="FFFFFF"/>
        </w:rPr>
        <w:t xml:space="preserve"> and Urine Drug Screen check</w:t>
      </w:r>
      <w:r w:rsidR="004026AA" w:rsidRPr="00EA66FB">
        <w:rPr>
          <w:color w:val="000000" w:themeColor="text1"/>
        </w:rPr>
        <w:t xml:space="preserve">, </w:t>
      </w:r>
      <w:r w:rsidR="00A9572F" w:rsidRPr="00EA66FB">
        <w:rPr>
          <w:color w:val="000000" w:themeColor="text1"/>
        </w:rPr>
        <w:t xml:space="preserve">and </w:t>
      </w:r>
      <w:r w:rsidR="004026AA" w:rsidRPr="00EA66FB">
        <w:rPr>
          <w:color w:val="000000" w:themeColor="text1"/>
        </w:rPr>
        <w:t>agree</w:t>
      </w:r>
      <w:r w:rsidR="00A9572F" w:rsidRPr="00EA66FB">
        <w:rPr>
          <w:color w:val="000000" w:themeColor="text1"/>
        </w:rPr>
        <w:t xml:space="preserve">ment to </w:t>
      </w:r>
      <w:r w:rsidR="004026AA" w:rsidRPr="00EA66FB">
        <w:rPr>
          <w:color w:val="000000" w:themeColor="text1"/>
        </w:rPr>
        <w:t>engage with specialist services  </w:t>
      </w:r>
    </w:p>
    <w:p w14:paraId="1B589950" w14:textId="77777777" w:rsidR="00EA66FB" w:rsidRPr="00E17AEA" w:rsidRDefault="00EA66FB" w:rsidP="00E17AEA">
      <w:pPr>
        <w:pStyle w:val="Listlevel2"/>
      </w:pPr>
      <w:r w:rsidRPr="00E17AEA">
        <w:t xml:space="preserve">for those patients who may not fully cooperate during the taper, “nudge” approaches may be appropriate </w:t>
      </w:r>
    </w:p>
    <w:p w14:paraId="082CBAC6" w14:textId="35F30104" w:rsidR="0075417A" w:rsidRPr="00CA2A17" w:rsidRDefault="004026AA" w:rsidP="00E17AEA">
      <w:pPr>
        <w:pStyle w:val="Listlevel2"/>
      </w:pPr>
      <w:r w:rsidRPr="00CA2A17">
        <w:t>take home naloxone</w:t>
      </w:r>
      <w:r w:rsidR="0075417A" w:rsidRPr="00CA2A17">
        <w:t xml:space="preserve"> should be used to support all high and co-morbid use of opioids (see </w:t>
      </w:r>
      <w:hyperlink r:id="rId18" w:history="1">
        <w:r w:rsidR="0075417A" w:rsidRPr="00CA2A17">
          <w:rPr>
            <w:rStyle w:val="Hyperlink"/>
            <w:rFonts w:asciiTheme="minorHAnsi" w:hAnsiTheme="minorHAnsi"/>
            <w:sz w:val="23"/>
          </w:rPr>
          <w:t>www.health.gov.au/initiatives-and-programs/take-home-naloxone-pilot</w:t>
        </w:r>
      </w:hyperlink>
      <w:r w:rsidR="00CA2A17" w:rsidRPr="00CA2A17">
        <w:t xml:space="preserve">; </w:t>
      </w:r>
      <w:hyperlink r:id="rId19" w:history="1">
        <w:r w:rsidR="00CA2A17" w:rsidRPr="00CA2A17">
          <w:rPr>
            <w:rStyle w:val="Hyperlink"/>
            <w:rFonts w:asciiTheme="minorHAnsi" w:hAnsiTheme="minorHAnsi"/>
            <w:sz w:val="23"/>
          </w:rPr>
          <w:t>www.penington.org.au/wp-content/uploads/2019/04/COPE-overdoseresponse-nyxoid.pdf</w:t>
        </w:r>
      </w:hyperlink>
      <w:r w:rsidR="0075417A" w:rsidRPr="00CA2A17">
        <w:t>)</w:t>
      </w:r>
    </w:p>
    <w:p w14:paraId="27343FFE" w14:textId="10676964" w:rsidR="001D0E86" w:rsidRPr="00875731" w:rsidRDefault="001D0E86" w:rsidP="00875731">
      <w:pPr>
        <w:pStyle w:val="ListParagraph"/>
      </w:pPr>
      <w:r w:rsidRPr="00875731">
        <w:t xml:space="preserve">For some patients, </w:t>
      </w:r>
      <w:r w:rsidR="0075417A" w:rsidRPr="00875731">
        <w:t xml:space="preserve">if on the advice of an addiction medicine specialist </w:t>
      </w:r>
      <w:r w:rsidRPr="00875731">
        <w:t xml:space="preserve">opioid use disorder is the primary problem, conversion to opioid </w:t>
      </w:r>
      <w:r w:rsidR="00CA2A17" w:rsidRPr="00875731">
        <w:t xml:space="preserve">substitution </w:t>
      </w:r>
      <w:r w:rsidRPr="00875731">
        <w:t>treatment</w:t>
      </w:r>
      <w:r w:rsidR="00A53089" w:rsidRPr="00875731">
        <w:t xml:space="preserve"> (for example, buprenorphine)</w:t>
      </w:r>
      <w:r w:rsidRPr="00875731">
        <w:t xml:space="preserve"> may be appropriate. This can be undertaken either in outpatient or inpatient settings. </w:t>
      </w:r>
    </w:p>
    <w:p w14:paraId="1A87CE04" w14:textId="466328F0" w:rsidR="00BC45F1" w:rsidRPr="00745C89" w:rsidRDefault="00CD082F" w:rsidP="00CD469F">
      <w:pPr>
        <w:pStyle w:val="ListParagraph"/>
        <w:spacing w:after="240"/>
        <w:rPr>
          <w:rFonts w:ascii="Calibri Light" w:eastAsia="Times New Roman" w:hAnsi="Calibri Light" w:cs="Calibri Light"/>
          <w:b/>
          <w:bCs/>
          <w:color w:val="2F5496"/>
          <w:sz w:val="32"/>
          <w:szCs w:val="32"/>
        </w:rPr>
      </w:pPr>
      <w:r>
        <w:rPr>
          <w:rFonts w:eastAsia="Times New Roman"/>
          <w:b/>
          <w:bCs/>
          <w:kern w:val="36"/>
        </w:rPr>
        <w:t>Opioid analgesic t</w:t>
      </w:r>
      <w:r w:rsidR="00D57D40" w:rsidRPr="00806C40">
        <w:rPr>
          <w:rFonts w:eastAsia="Times New Roman"/>
          <w:b/>
          <w:bCs/>
          <w:kern w:val="36"/>
        </w:rPr>
        <w:t>apering requires</w:t>
      </w:r>
      <w:r w:rsidR="00D57D40" w:rsidRPr="00AB2505">
        <w:rPr>
          <w:b/>
        </w:rPr>
        <w:t xml:space="preserve"> special care with p</w:t>
      </w:r>
      <w:r w:rsidR="00AA26AE" w:rsidRPr="00AB2505">
        <w:rPr>
          <w:b/>
        </w:rPr>
        <w:t xml:space="preserve">regnant </w:t>
      </w:r>
      <w:r w:rsidR="00D57D40" w:rsidRPr="00AB2505">
        <w:rPr>
          <w:b/>
        </w:rPr>
        <w:t>patients</w:t>
      </w:r>
      <w:r w:rsidR="00D57D40" w:rsidRPr="00AB2505">
        <w:t xml:space="preserve"> </w:t>
      </w:r>
      <w:r w:rsidR="00AA26AE" w:rsidRPr="00AB2505">
        <w:t>on high dose</w:t>
      </w:r>
      <w:r w:rsidR="0011275F">
        <w:t>s</w:t>
      </w:r>
      <w:r w:rsidR="00D57D40" w:rsidRPr="00AB2505">
        <w:t>,</w:t>
      </w:r>
      <w:r w:rsidR="0075417A">
        <w:t xml:space="preserve"> and should be carried out in conjunction with an </w:t>
      </w:r>
      <w:r w:rsidR="00CA2A17">
        <w:t>obstetrician</w:t>
      </w:r>
      <w:r w:rsidR="0075417A">
        <w:t>/neonatologist</w:t>
      </w:r>
      <w:r w:rsidR="00D57D40" w:rsidRPr="00AB2505">
        <w:t xml:space="preserve"> as it is important to a</w:t>
      </w:r>
      <w:r w:rsidR="00AA26AE" w:rsidRPr="00AB2505">
        <w:t xml:space="preserve">void </w:t>
      </w:r>
      <w:r w:rsidR="00920206" w:rsidRPr="00AB2505">
        <w:t xml:space="preserve">precipitating </w:t>
      </w:r>
      <w:r w:rsidR="00AA26AE" w:rsidRPr="00AB2505">
        <w:t>withdrawal</w:t>
      </w:r>
      <w:r w:rsidR="00823E43" w:rsidRPr="00875731">
        <w:t>—</w:t>
      </w:r>
      <w:r w:rsidR="00AA26AE" w:rsidRPr="00AB2505">
        <w:t>perinatal risk or risk of miscarriage or premature labour</w:t>
      </w:r>
      <w:r w:rsidR="00D57D40" w:rsidRPr="00AB2505">
        <w:t>.</w:t>
      </w:r>
      <w:r w:rsidR="00AA26AE" w:rsidRPr="00D57D40">
        <w:rPr>
          <w:rFonts w:ascii="Calibri" w:hAnsi="Calibri" w:cs="Calibri"/>
        </w:rPr>
        <w:t> </w:t>
      </w:r>
    </w:p>
    <w:p w14:paraId="31D2F855" w14:textId="77777777" w:rsidR="00BC45F1" w:rsidRPr="00E17AEA" w:rsidRDefault="00BC45F1" w:rsidP="00CD469F">
      <w:pPr>
        <w:pStyle w:val="Heading3"/>
        <w:pBdr>
          <w:top w:val="single" w:sz="4" w:space="6" w:color="3B3838" w:themeColor="background2" w:themeShade="40"/>
          <w:left w:val="single" w:sz="4" w:space="6" w:color="3B3838" w:themeColor="background2" w:themeShade="40"/>
          <w:bottom w:val="single" w:sz="4" w:space="6" w:color="3B3838" w:themeColor="background2" w:themeShade="40"/>
          <w:right w:val="single" w:sz="4" w:space="6" w:color="3B3838" w:themeColor="background2" w:themeShade="40"/>
        </w:pBdr>
        <w:shd w:val="clear" w:color="auto" w:fill="F2F2F2" w:themeFill="background1" w:themeFillShade="F2"/>
        <w:spacing w:before="480" w:after="120"/>
        <w:rPr>
          <w:rFonts w:eastAsia="Times New Roman"/>
        </w:rPr>
      </w:pPr>
      <w:r w:rsidRPr="00E17AEA">
        <w:rPr>
          <w:rFonts w:eastAsia="Times New Roman"/>
        </w:rPr>
        <w:t>Assessing dependence and options for opioid substitution programs</w:t>
      </w:r>
    </w:p>
    <w:p w14:paraId="058DA79B" w14:textId="77777777" w:rsidR="00BC45F1" w:rsidRPr="00E17AEA" w:rsidRDefault="00E66C70" w:rsidP="00875731">
      <w:pPr>
        <w:pBdr>
          <w:top w:val="single" w:sz="4" w:space="6" w:color="3B3838" w:themeColor="background2" w:themeShade="40"/>
          <w:left w:val="single" w:sz="4" w:space="6" w:color="3B3838" w:themeColor="background2" w:themeShade="40"/>
          <w:bottom w:val="single" w:sz="4" w:space="6" w:color="3B3838" w:themeColor="background2" w:themeShade="40"/>
          <w:right w:val="single" w:sz="4" w:space="6" w:color="3B3838" w:themeColor="background2" w:themeShade="40"/>
        </w:pBdr>
        <w:shd w:val="clear" w:color="auto" w:fill="F2F2F2" w:themeFill="background1" w:themeFillShade="F2"/>
        <w:spacing w:after="120"/>
      </w:pPr>
      <w:hyperlink r:id="rId20" w:history="1">
        <w:r w:rsidR="00745C89" w:rsidRPr="00E17AEA">
          <w:rPr>
            <w:rStyle w:val="Hyperlink"/>
          </w:rPr>
          <w:t>www.racp.edu.au/docs/default-source/news-and-events/covid-19/interim-guidance-delivery-of-medication-assisted-treatment-of-opiod-dependence-covid-19.pdf?sfvrsn=e36eeb1a_4</w:t>
        </w:r>
      </w:hyperlink>
    </w:p>
    <w:p w14:paraId="266386CE" w14:textId="77777777" w:rsidR="00BC45F1" w:rsidRPr="00E17AEA" w:rsidRDefault="00E66C70" w:rsidP="00875731">
      <w:pPr>
        <w:pBdr>
          <w:top w:val="single" w:sz="4" w:space="6" w:color="3B3838" w:themeColor="background2" w:themeShade="40"/>
          <w:left w:val="single" w:sz="4" w:space="6" w:color="3B3838" w:themeColor="background2" w:themeShade="40"/>
          <w:bottom w:val="single" w:sz="4" w:space="6" w:color="3B3838" w:themeColor="background2" w:themeShade="40"/>
          <w:right w:val="single" w:sz="4" w:space="6" w:color="3B3838" w:themeColor="background2" w:themeShade="40"/>
        </w:pBdr>
        <w:shd w:val="clear" w:color="auto" w:fill="F2F2F2" w:themeFill="background1" w:themeFillShade="F2"/>
        <w:spacing w:after="120"/>
      </w:pPr>
      <w:hyperlink r:id="rId21" w:history="1">
        <w:r w:rsidR="00BC45F1" w:rsidRPr="00E17AEA">
          <w:rPr>
            <w:rStyle w:val="Hyperlink"/>
          </w:rPr>
          <w:t>www.health.nsw.gov.au/aod/Publications/nsw-clinical-guidelines-opioid.pdf</w:t>
        </w:r>
      </w:hyperlink>
    </w:p>
    <w:p w14:paraId="533747BB" w14:textId="77777777" w:rsidR="00BC45F1" w:rsidRPr="00E17AEA" w:rsidRDefault="00E66C70" w:rsidP="00875731">
      <w:pPr>
        <w:pBdr>
          <w:top w:val="single" w:sz="4" w:space="6" w:color="3B3838" w:themeColor="background2" w:themeShade="40"/>
          <w:left w:val="single" w:sz="4" w:space="6" w:color="3B3838" w:themeColor="background2" w:themeShade="40"/>
          <w:bottom w:val="single" w:sz="4" w:space="6" w:color="3B3838" w:themeColor="background2" w:themeShade="40"/>
          <w:right w:val="single" w:sz="4" w:space="6" w:color="3B3838" w:themeColor="background2" w:themeShade="40"/>
        </w:pBdr>
        <w:shd w:val="clear" w:color="auto" w:fill="F2F2F2" w:themeFill="background1" w:themeFillShade="F2"/>
        <w:spacing w:after="120"/>
      </w:pPr>
      <w:hyperlink r:id="rId22" w:history="1">
        <w:r w:rsidR="00BC45F1" w:rsidRPr="00E17AEA">
          <w:rPr>
            <w:rStyle w:val="Hyperlink"/>
          </w:rPr>
          <w:t>www2.health.vic.gov.au/public-health/drugs-and-poisons/pharmacotherapy/pharmacotherapy-training</w:t>
        </w:r>
      </w:hyperlink>
    </w:p>
    <w:p w14:paraId="0AC7A1EF" w14:textId="77777777" w:rsidR="00BC45F1" w:rsidRPr="00E17AEA" w:rsidRDefault="00E66C70" w:rsidP="00875731">
      <w:pPr>
        <w:pBdr>
          <w:top w:val="single" w:sz="4" w:space="6" w:color="3B3838" w:themeColor="background2" w:themeShade="40"/>
          <w:left w:val="single" w:sz="4" w:space="6" w:color="3B3838" w:themeColor="background2" w:themeShade="40"/>
          <w:bottom w:val="single" w:sz="4" w:space="6" w:color="3B3838" w:themeColor="background2" w:themeShade="40"/>
          <w:right w:val="single" w:sz="4" w:space="6" w:color="3B3838" w:themeColor="background2" w:themeShade="40"/>
        </w:pBdr>
        <w:shd w:val="clear" w:color="auto" w:fill="F2F2F2" w:themeFill="background1" w:themeFillShade="F2"/>
        <w:spacing w:after="120"/>
      </w:pPr>
      <w:hyperlink r:id="rId23" w:history="1">
        <w:r w:rsidR="00BC45F1" w:rsidRPr="00E17AEA">
          <w:rPr>
            <w:rStyle w:val="Hyperlink"/>
          </w:rPr>
          <w:t>www.health.qld.gov.au/__data/assets/pdf_file/0022/444613/qotp-clinical-guidelines.pdf</w:t>
        </w:r>
      </w:hyperlink>
    </w:p>
    <w:p w14:paraId="279C0EDD" w14:textId="77777777" w:rsidR="00BC45F1" w:rsidRPr="00E17AEA" w:rsidRDefault="00E66C70" w:rsidP="00875731">
      <w:pPr>
        <w:pBdr>
          <w:top w:val="single" w:sz="4" w:space="6" w:color="3B3838" w:themeColor="background2" w:themeShade="40"/>
          <w:left w:val="single" w:sz="4" w:space="6" w:color="3B3838" w:themeColor="background2" w:themeShade="40"/>
          <w:bottom w:val="single" w:sz="4" w:space="6" w:color="3B3838" w:themeColor="background2" w:themeShade="40"/>
          <w:right w:val="single" w:sz="4" w:space="6" w:color="3B3838" w:themeColor="background2" w:themeShade="40"/>
        </w:pBdr>
        <w:shd w:val="clear" w:color="auto" w:fill="F2F2F2" w:themeFill="background1" w:themeFillShade="F2"/>
        <w:spacing w:after="120"/>
      </w:pPr>
      <w:hyperlink r:id="rId24" w:history="1">
        <w:r w:rsidR="00BC45F1" w:rsidRPr="00E17AEA">
          <w:rPr>
            <w:rStyle w:val="Hyperlink"/>
          </w:rPr>
          <w:t>www.mhc.wa.gov.au/media/1614/wa-clinical-policies-and-procedures-for-the-use-of-methadone.pdf</w:t>
        </w:r>
      </w:hyperlink>
    </w:p>
    <w:p w14:paraId="28F3013D" w14:textId="77777777" w:rsidR="00BC45F1" w:rsidRPr="00E17AEA" w:rsidRDefault="00E66C70" w:rsidP="00875731">
      <w:pPr>
        <w:pBdr>
          <w:top w:val="single" w:sz="4" w:space="6" w:color="3B3838" w:themeColor="background2" w:themeShade="40"/>
          <w:left w:val="single" w:sz="4" w:space="6" w:color="3B3838" w:themeColor="background2" w:themeShade="40"/>
          <w:bottom w:val="single" w:sz="4" w:space="6" w:color="3B3838" w:themeColor="background2" w:themeShade="40"/>
          <w:right w:val="single" w:sz="4" w:space="6" w:color="3B3838" w:themeColor="background2" w:themeShade="40"/>
        </w:pBdr>
        <w:shd w:val="clear" w:color="auto" w:fill="F2F2F2" w:themeFill="background1" w:themeFillShade="F2"/>
        <w:spacing w:after="120"/>
      </w:pPr>
      <w:hyperlink r:id="rId25" w:history="1">
        <w:r w:rsidR="00BC45F1" w:rsidRPr="00E17AEA">
          <w:rPr>
            <w:rStyle w:val="Hyperlink"/>
          </w:rPr>
          <w:t>www.sahealth.sa.gov.au/wps/wcm/connect/public+content/sa+health+internet/clinical+resources/clinical+programs+and+practice+guidelines/substance+misuse+and+dependence/drug+and+alcohol+programs/gp+program+medication+assisted+treatment+for+opioid+dependence</w:t>
        </w:r>
      </w:hyperlink>
    </w:p>
    <w:p w14:paraId="0D83498B" w14:textId="77777777" w:rsidR="00BC45F1" w:rsidRPr="00E17AEA" w:rsidRDefault="00E66C70" w:rsidP="00875731">
      <w:pPr>
        <w:pBdr>
          <w:top w:val="single" w:sz="4" w:space="6" w:color="3B3838" w:themeColor="background2" w:themeShade="40"/>
          <w:left w:val="single" w:sz="4" w:space="6" w:color="3B3838" w:themeColor="background2" w:themeShade="40"/>
          <w:bottom w:val="single" w:sz="4" w:space="6" w:color="3B3838" w:themeColor="background2" w:themeShade="40"/>
          <w:right w:val="single" w:sz="4" w:space="6" w:color="3B3838" w:themeColor="background2" w:themeShade="40"/>
        </w:pBdr>
        <w:shd w:val="clear" w:color="auto" w:fill="F2F2F2" w:themeFill="background1" w:themeFillShade="F2"/>
        <w:spacing w:after="120"/>
      </w:pPr>
      <w:hyperlink r:id="rId26" w:history="1">
        <w:r w:rsidR="00BC45F1" w:rsidRPr="00E17AEA">
          <w:rPr>
            <w:rStyle w:val="Hyperlink"/>
          </w:rPr>
          <w:t>www.dhhs.tas.gov.au/__data/assets/pdf_file/0018/112527/2012_TOPP_Document.pdf</w:t>
        </w:r>
      </w:hyperlink>
    </w:p>
    <w:p w14:paraId="2DF91399" w14:textId="5DB9579C" w:rsidR="0075417A" w:rsidRPr="00875731" w:rsidRDefault="00E66C70" w:rsidP="00875731">
      <w:pPr>
        <w:pBdr>
          <w:top w:val="single" w:sz="4" w:space="6" w:color="3B3838" w:themeColor="background2" w:themeShade="40"/>
          <w:left w:val="single" w:sz="4" w:space="6" w:color="3B3838" w:themeColor="background2" w:themeShade="40"/>
          <w:bottom w:val="single" w:sz="4" w:space="6" w:color="3B3838" w:themeColor="background2" w:themeShade="40"/>
          <w:right w:val="single" w:sz="4" w:space="6" w:color="3B3838" w:themeColor="background2" w:themeShade="40"/>
        </w:pBdr>
        <w:shd w:val="clear" w:color="auto" w:fill="F2F2F2" w:themeFill="background1" w:themeFillShade="F2"/>
        <w:rPr>
          <w:i/>
          <w:color w:val="000000" w:themeColor="text1"/>
          <w:sz w:val="20"/>
          <w:szCs w:val="20"/>
        </w:rPr>
      </w:pPr>
      <w:hyperlink r:id="rId27" w:history="1">
        <w:r w:rsidR="00BC45F1" w:rsidRPr="00E17AEA">
          <w:rPr>
            <w:rStyle w:val="Hyperlink"/>
          </w:rPr>
          <w:t>www.health.act.gov.au/services-and-programs/alcohol-and-drug-services/opioid-maintenance-treatment</w:t>
        </w:r>
      </w:hyperlink>
    </w:p>
    <w:p w14:paraId="3961035C" w14:textId="52F16431" w:rsidR="00EA66FB" w:rsidRPr="00875731" w:rsidRDefault="00A53089" w:rsidP="00875731">
      <w:r w:rsidRPr="00875731">
        <w:lastRenderedPageBreak/>
        <w:t>Opioid analgesic tapering is a personal experience and should be guided by the prescriber as agreed with the patient. Additional information on support services is available from</w:t>
      </w:r>
      <w:r w:rsidR="0075417A" w:rsidRPr="00875731">
        <w:t xml:space="preserve"> the </w:t>
      </w:r>
      <w:r w:rsidR="00EA66FB" w:rsidRPr="00875731">
        <w:rPr>
          <w:b/>
        </w:rPr>
        <w:t>Na</w:t>
      </w:r>
      <w:r w:rsidR="00930724" w:rsidRPr="00875731">
        <w:rPr>
          <w:b/>
        </w:rPr>
        <w:t xml:space="preserve">tional </w:t>
      </w:r>
      <w:r w:rsidR="0075417A" w:rsidRPr="00875731">
        <w:rPr>
          <w:b/>
        </w:rPr>
        <w:t>P</w:t>
      </w:r>
      <w:r w:rsidR="00930724" w:rsidRPr="00875731">
        <w:rPr>
          <w:b/>
        </w:rPr>
        <w:t xml:space="preserve">ain </w:t>
      </w:r>
      <w:r w:rsidR="0075417A" w:rsidRPr="00875731">
        <w:rPr>
          <w:b/>
        </w:rPr>
        <w:t>S</w:t>
      </w:r>
      <w:r w:rsidR="00930724" w:rsidRPr="00875731">
        <w:rPr>
          <w:b/>
        </w:rPr>
        <w:t xml:space="preserve">ervices </w:t>
      </w:r>
      <w:r w:rsidR="0075417A" w:rsidRPr="00875731">
        <w:rPr>
          <w:b/>
        </w:rPr>
        <w:t>D</w:t>
      </w:r>
      <w:r w:rsidR="00930724" w:rsidRPr="00875731">
        <w:rPr>
          <w:b/>
        </w:rPr>
        <w:t>irectory</w:t>
      </w:r>
      <w:r w:rsidR="00930724" w:rsidRPr="00875731">
        <w:t xml:space="preserve"> </w:t>
      </w:r>
      <w:r w:rsidR="0075417A" w:rsidRPr="00875731">
        <w:t>which is a</w:t>
      </w:r>
      <w:r w:rsidR="00EA66FB" w:rsidRPr="00875731">
        <w:t xml:space="preserve">n online directory to provide people living with chronic pain—and their health practitioners—with a comprehensive list of available services to help manage their conditions: </w:t>
      </w:r>
      <w:hyperlink r:id="rId28" w:history="1">
        <w:r w:rsidR="00EA66FB" w:rsidRPr="00875731">
          <w:rPr>
            <w:rStyle w:val="Hyperlink"/>
          </w:rPr>
          <w:t>www.painaustralia.org.au/getting-help/pain-directory</w:t>
        </w:r>
      </w:hyperlink>
      <w:r w:rsidR="0075417A" w:rsidRPr="00875731">
        <w:t>.</w:t>
      </w:r>
    </w:p>
    <w:p w14:paraId="72F60FAD" w14:textId="77777777" w:rsidR="00E12B1E" w:rsidRDefault="0075417A" w:rsidP="00E12B1E">
      <w:pPr>
        <w:rPr>
          <w:b/>
          <w:bCs/>
        </w:rPr>
      </w:pPr>
      <w:r w:rsidRPr="00875731">
        <w:t xml:space="preserve">The table below describes approaches to opioid tapering </w:t>
      </w:r>
      <w:r w:rsidR="00791644" w:rsidRPr="00875731">
        <w:t>for those requiring different levels of support.  If it emerges that the primary problem is opioid use disorder then a change of approach is required and advice from an addiction medicine specialist considered.</w:t>
      </w:r>
      <w:r w:rsidR="004250CB" w:rsidRPr="00875731">
        <w:t xml:space="preserve"> This may be required if significant aberrant behaviour emerges, risk of overdose through polysubstance abuse or emergence of serious cravings during taper.</w:t>
      </w:r>
    </w:p>
    <w:p w14:paraId="4D75DAC2" w14:textId="026B8C67" w:rsidR="009A0291" w:rsidRPr="00E12B1E" w:rsidRDefault="00E12B1E" w:rsidP="00E12B1E">
      <w:pPr>
        <w:rPr>
          <w:sz w:val="24"/>
          <w:szCs w:val="24"/>
        </w:rPr>
      </w:pPr>
      <w:r w:rsidRPr="00E12B1E">
        <w:rPr>
          <w:b/>
          <w:sz w:val="24"/>
          <w:szCs w:val="24"/>
        </w:rPr>
        <w:t xml:space="preserve"> </w:t>
      </w:r>
      <w:r w:rsidR="009A0291" w:rsidRPr="00E12B1E">
        <w:rPr>
          <w:b/>
          <w:sz w:val="24"/>
          <w:szCs w:val="24"/>
        </w:rPr>
        <w:t xml:space="preserve">Opioid </w:t>
      </w:r>
      <w:r w:rsidR="00FC2C01" w:rsidRPr="00E12B1E">
        <w:rPr>
          <w:b/>
          <w:sz w:val="24"/>
          <w:szCs w:val="24"/>
        </w:rPr>
        <w:t>t</w:t>
      </w:r>
      <w:r w:rsidR="009A0291" w:rsidRPr="00E12B1E">
        <w:rPr>
          <w:b/>
          <w:sz w:val="24"/>
          <w:szCs w:val="24"/>
        </w:rPr>
        <w:t>aper</w:t>
      </w:r>
      <w:r w:rsidR="00AA26AE" w:rsidRPr="00E12B1E">
        <w:rPr>
          <w:b/>
          <w:sz w:val="24"/>
          <w:szCs w:val="24"/>
        </w:rPr>
        <w:t>ing</w:t>
      </w:r>
      <w:r w:rsidR="009A0291" w:rsidRPr="00E12B1E">
        <w:rPr>
          <w:b/>
          <w:sz w:val="24"/>
          <w:szCs w:val="24"/>
        </w:rPr>
        <w:t xml:space="preserve"> </w:t>
      </w:r>
      <w:r w:rsidR="00FC2C01" w:rsidRPr="00E12B1E">
        <w:rPr>
          <w:b/>
          <w:sz w:val="24"/>
          <w:szCs w:val="24"/>
        </w:rPr>
        <w:t>g</w:t>
      </w:r>
      <w:r w:rsidR="009A0291" w:rsidRPr="00E12B1E">
        <w:rPr>
          <w:b/>
          <w:sz w:val="24"/>
          <w:szCs w:val="24"/>
        </w:rPr>
        <w:t>uide</w:t>
      </w:r>
      <w:r w:rsidR="009A0291" w:rsidRPr="00E12B1E">
        <w:rPr>
          <w:sz w:val="24"/>
          <w:szCs w:val="24"/>
        </w:rPr>
        <w:t> </w:t>
      </w:r>
      <w:r w:rsidR="00CF1EF3" w:rsidRPr="00E12B1E">
        <w:rPr>
          <w:szCs w:val="21"/>
        </w:rPr>
        <w:t>(for those prescribed opioids for pain)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972"/>
        <w:gridCol w:w="2977"/>
        <w:gridCol w:w="3827"/>
      </w:tblGrid>
      <w:tr w:rsidR="00A46E29" w14:paraId="646EDAA9" w14:textId="77777777" w:rsidTr="00E12B1E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3B3838" w:themeColor="background2" w:themeShade="40"/>
              <w:right w:val="single" w:sz="4" w:space="0" w:color="auto"/>
            </w:tcBorders>
            <w:shd w:val="clear" w:color="auto" w:fill="BFBFBF" w:themeFill="background1" w:themeFillShade="BF"/>
          </w:tcPr>
          <w:p w14:paraId="305C6A82" w14:textId="44A87EF6" w:rsidR="00A46E29" w:rsidRPr="00AA26AE" w:rsidRDefault="0031691D" w:rsidP="0031691D">
            <w:pPr>
              <w:pStyle w:val="Heading3"/>
              <w:spacing w:before="0"/>
            </w:pPr>
            <w:r w:rsidRPr="001F0DFC">
              <w:rPr>
                <w:color w:val="000000" w:themeColor="text1"/>
              </w:rPr>
              <w:t>Patient characteristics</w:t>
            </w:r>
          </w:p>
        </w:tc>
      </w:tr>
      <w:tr w:rsidR="0031691D" w:rsidRPr="001F0DFC" w14:paraId="3C9B26EA" w14:textId="77777777" w:rsidTr="00E12B1E">
        <w:tc>
          <w:tcPr>
            <w:tcW w:w="2972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doub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660FA0" w14:textId="79AA4A5A" w:rsidR="0031691D" w:rsidRPr="001F0DFC" w:rsidRDefault="0031691D" w:rsidP="001F0DFC">
            <w:pPr>
              <w:spacing w:after="0"/>
              <w:jc w:val="center"/>
              <w:rPr>
                <w:b/>
                <w:szCs w:val="21"/>
              </w:rPr>
            </w:pPr>
            <w:r w:rsidRPr="001F0DFC">
              <w:rPr>
                <w:rFonts w:ascii="Segoe UI Semibold" w:hAnsi="Segoe UI Semibold" w:cs="Segoe UI Semibold"/>
                <w:szCs w:val="21"/>
              </w:rPr>
              <w:t>Low prescribing support</w:t>
            </w:r>
          </w:p>
        </w:tc>
        <w:tc>
          <w:tcPr>
            <w:tcW w:w="2977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doub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64722133" w14:textId="2ED9CE6F" w:rsidR="0031691D" w:rsidRPr="001F0DFC" w:rsidRDefault="0031691D" w:rsidP="001F0DFC">
            <w:pPr>
              <w:spacing w:after="0"/>
              <w:jc w:val="center"/>
              <w:rPr>
                <w:b/>
                <w:szCs w:val="21"/>
              </w:rPr>
            </w:pPr>
            <w:r w:rsidRPr="001F0DFC">
              <w:rPr>
                <w:rFonts w:ascii="Segoe UI Semibold" w:hAnsi="Segoe UI Semibold" w:cs="Segoe UI Semibold"/>
                <w:szCs w:val="21"/>
              </w:rPr>
              <w:t>Moderate prescribing support</w:t>
            </w:r>
          </w:p>
        </w:tc>
        <w:tc>
          <w:tcPr>
            <w:tcW w:w="3827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doub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708496" w14:textId="0C528212" w:rsidR="0031691D" w:rsidRPr="001F0DFC" w:rsidRDefault="0031691D" w:rsidP="001F0DFC">
            <w:pPr>
              <w:spacing w:after="0"/>
              <w:jc w:val="center"/>
              <w:rPr>
                <w:b/>
                <w:szCs w:val="21"/>
              </w:rPr>
            </w:pPr>
            <w:r w:rsidRPr="001F0DFC">
              <w:rPr>
                <w:rFonts w:ascii="Segoe UI Semibold" w:hAnsi="Segoe UI Semibold" w:cs="Segoe UI Semibold"/>
                <w:szCs w:val="21"/>
              </w:rPr>
              <w:t>High prescribing support</w:t>
            </w:r>
          </w:p>
        </w:tc>
      </w:tr>
      <w:tr w:rsidR="00E12B1E" w14:paraId="114EC632" w14:textId="77777777" w:rsidTr="00E12B1E">
        <w:trPr>
          <w:trHeight w:val="5735"/>
        </w:trPr>
        <w:tc>
          <w:tcPr>
            <w:tcW w:w="2972" w:type="dxa"/>
            <w:tcBorders>
              <w:top w:val="double" w:sz="4" w:space="0" w:color="3B3838" w:themeColor="background2" w:themeShade="4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96734" w14:textId="11E87F1B" w:rsidR="00A46E29" w:rsidRPr="00CD469F" w:rsidRDefault="00A46E29" w:rsidP="00C73C16">
            <w:pPr>
              <w:rPr>
                <w:sz w:val="20"/>
                <w:szCs w:val="20"/>
              </w:rPr>
            </w:pPr>
            <w:r w:rsidRPr="00CD469F">
              <w:rPr>
                <w:b/>
                <w:sz w:val="20"/>
                <w:szCs w:val="20"/>
              </w:rPr>
              <w:t>No misuse</w:t>
            </w:r>
            <w:r w:rsidRPr="00CD469F">
              <w:rPr>
                <w:sz w:val="20"/>
                <w:szCs w:val="20"/>
              </w:rPr>
              <w:t xml:space="preserve"> of opioid medication </w:t>
            </w:r>
          </w:p>
          <w:p w14:paraId="036FBF61" w14:textId="2036787E" w:rsidR="00A46E29" w:rsidRPr="00230CE7" w:rsidRDefault="00A46E29" w:rsidP="00C73C16">
            <w:pPr>
              <w:rPr>
                <w:b/>
                <w:sz w:val="20"/>
                <w:szCs w:val="20"/>
              </w:rPr>
            </w:pPr>
            <w:r w:rsidRPr="00230CE7">
              <w:rPr>
                <w:b/>
                <w:sz w:val="20"/>
                <w:szCs w:val="20"/>
              </w:rPr>
              <w:t>No polydrug use  </w:t>
            </w:r>
          </w:p>
          <w:p w14:paraId="70636716" w14:textId="0920821E" w:rsidR="00A46E29" w:rsidRPr="00CD469F" w:rsidRDefault="00A46E29" w:rsidP="00C73C16">
            <w:pPr>
              <w:rPr>
                <w:sz w:val="20"/>
                <w:szCs w:val="20"/>
              </w:rPr>
            </w:pPr>
            <w:r w:rsidRPr="00CD469F">
              <w:rPr>
                <w:b/>
                <w:sz w:val="20"/>
                <w:szCs w:val="20"/>
              </w:rPr>
              <w:t>Patient agrees or volunteers</w:t>
            </w:r>
            <w:r w:rsidRPr="00CD469F">
              <w:rPr>
                <w:sz w:val="20"/>
                <w:szCs w:val="20"/>
              </w:rPr>
              <w:t xml:space="preserve"> with</w:t>
            </w:r>
            <w:r w:rsidR="00CD082F" w:rsidRPr="00CD469F">
              <w:rPr>
                <w:sz w:val="20"/>
                <w:szCs w:val="20"/>
              </w:rPr>
              <w:t xml:space="preserve"> opioid analgesic</w:t>
            </w:r>
            <w:r w:rsidRPr="00CD469F">
              <w:rPr>
                <w:sz w:val="20"/>
                <w:szCs w:val="20"/>
              </w:rPr>
              <w:t xml:space="preserve"> taper</w:t>
            </w:r>
            <w:r w:rsidR="00CD082F" w:rsidRPr="00CD469F">
              <w:rPr>
                <w:sz w:val="20"/>
                <w:szCs w:val="20"/>
              </w:rPr>
              <w:t>ing</w:t>
            </w:r>
            <w:r w:rsidRPr="00CD469F">
              <w:rPr>
                <w:sz w:val="20"/>
                <w:szCs w:val="20"/>
              </w:rPr>
              <w:t> </w:t>
            </w:r>
            <w:r w:rsidR="00813EE6" w:rsidRPr="00CD469F">
              <w:rPr>
                <w:sz w:val="20"/>
                <w:szCs w:val="20"/>
              </w:rPr>
              <w:t>and takes as prescribed</w:t>
            </w:r>
          </w:p>
          <w:p w14:paraId="3076BDB7" w14:textId="20243634" w:rsidR="00A46E29" w:rsidRPr="00CD469F" w:rsidRDefault="00A46E29" w:rsidP="00C73C16">
            <w:pPr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t xml:space="preserve">Stable mental </w:t>
            </w:r>
            <w:r w:rsidR="00CD082F" w:rsidRPr="00CD469F">
              <w:rPr>
                <w:sz w:val="20"/>
                <w:szCs w:val="20"/>
              </w:rPr>
              <w:t>and</w:t>
            </w:r>
            <w:r w:rsidRPr="00CD469F">
              <w:rPr>
                <w:sz w:val="20"/>
                <w:szCs w:val="20"/>
              </w:rPr>
              <w:t xml:space="preserve"> physical health.   </w:t>
            </w:r>
          </w:p>
        </w:tc>
        <w:tc>
          <w:tcPr>
            <w:tcW w:w="2977" w:type="dxa"/>
            <w:tcBorders>
              <w:top w:val="double" w:sz="4" w:space="0" w:color="3B3838" w:themeColor="background2" w:themeShade="4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4FF4FF" w14:textId="0E35A6FE" w:rsidR="00950D01" w:rsidRPr="00CD469F" w:rsidRDefault="00A46E29" w:rsidP="00C73C16">
            <w:pPr>
              <w:rPr>
                <w:sz w:val="20"/>
                <w:szCs w:val="20"/>
              </w:rPr>
            </w:pPr>
            <w:r w:rsidRPr="00CD469F">
              <w:rPr>
                <w:b/>
                <w:sz w:val="20"/>
                <w:szCs w:val="20"/>
              </w:rPr>
              <w:t>Ha</w:t>
            </w:r>
            <w:r w:rsidR="00CD082F" w:rsidRPr="00CD469F">
              <w:rPr>
                <w:b/>
                <w:sz w:val="20"/>
                <w:szCs w:val="20"/>
              </w:rPr>
              <w:t>rmful</w:t>
            </w:r>
            <w:r w:rsidRPr="00CD469F">
              <w:rPr>
                <w:b/>
                <w:sz w:val="20"/>
                <w:szCs w:val="20"/>
              </w:rPr>
              <w:t xml:space="preserve"> use</w:t>
            </w:r>
            <w:r w:rsidRPr="00CD469F">
              <w:rPr>
                <w:sz w:val="20"/>
                <w:szCs w:val="20"/>
              </w:rPr>
              <w:t xml:space="preserve"> with infrequent misuse of opioid medication; no intoxicated presentation  </w:t>
            </w:r>
          </w:p>
          <w:p w14:paraId="09B5C700" w14:textId="3D24473A" w:rsidR="00A46E29" w:rsidRPr="00CD469F" w:rsidRDefault="00950D01" w:rsidP="00C73C16">
            <w:pPr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t>Use of aty</w:t>
            </w:r>
            <w:r w:rsidR="00832146" w:rsidRPr="00CD469F">
              <w:rPr>
                <w:sz w:val="20"/>
                <w:szCs w:val="20"/>
              </w:rPr>
              <w:t>pical opioids (buprenorph</w:t>
            </w:r>
            <w:r w:rsidR="00CA2A17" w:rsidRPr="00CD469F">
              <w:rPr>
                <w:sz w:val="20"/>
                <w:szCs w:val="20"/>
              </w:rPr>
              <w:t>i</w:t>
            </w:r>
            <w:r w:rsidR="00832146" w:rsidRPr="00CD469F">
              <w:rPr>
                <w:sz w:val="20"/>
                <w:szCs w:val="20"/>
              </w:rPr>
              <w:t xml:space="preserve">ne, </w:t>
            </w:r>
            <w:r w:rsidRPr="00CD469F">
              <w:rPr>
                <w:sz w:val="20"/>
                <w:szCs w:val="20"/>
              </w:rPr>
              <w:t>tapentadol, tramadol)</w:t>
            </w:r>
          </w:p>
          <w:p w14:paraId="1F3A1140" w14:textId="1596E339" w:rsidR="00A46E29" w:rsidRPr="00CD469F" w:rsidRDefault="00A46E29" w:rsidP="00C73C16">
            <w:pPr>
              <w:rPr>
                <w:sz w:val="20"/>
                <w:szCs w:val="20"/>
              </w:rPr>
            </w:pPr>
            <w:r w:rsidRPr="00CD469F">
              <w:rPr>
                <w:b/>
                <w:sz w:val="20"/>
                <w:szCs w:val="20"/>
              </w:rPr>
              <w:t>Polypharmacy</w:t>
            </w:r>
            <w:r w:rsidRPr="00CD469F">
              <w:rPr>
                <w:sz w:val="20"/>
                <w:szCs w:val="20"/>
              </w:rPr>
              <w:t xml:space="preserve"> but not high risk; no intoxicated presentation</w:t>
            </w:r>
            <w:r w:rsidR="00813EE6" w:rsidRPr="00CD469F">
              <w:rPr>
                <w:sz w:val="20"/>
                <w:szCs w:val="20"/>
              </w:rPr>
              <w:t>s</w:t>
            </w:r>
            <w:r w:rsidRPr="00CD469F">
              <w:rPr>
                <w:sz w:val="20"/>
                <w:szCs w:val="20"/>
              </w:rPr>
              <w:t> </w:t>
            </w:r>
          </w:p>
          <w:p w14:paraId="57A63B19" w14:textId="2EA2A729" w:rsidR="00A46E29" w:rsidRPr="00CD469F" w:rsidRDefault="00A46E29" w:rsidP="00C73C16">
            <w:pPr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t>Patient contemplative or disagree</w:t>
            </w:r>
            <w:r w:rsidR="00C9706D" w:rsidRPr="00CD469F">
              <w:rPr>
                <w:sz w:val="20"/>
                <w:szCs w:val="20"/>
              </w:rPr>
              <w:t>s</w:t>
            </w:r>
            <w:r w:rsidRPr="00CD469F">
              <w:rPr>
                <w:sz w:val="20"/>
                <w:szCs w:val="20"/>
              </w:rPr>
              <w:t xml:space="preserve"> with</w:t>
            </w:r>
            <w:r w:rsidR="0011275F" w:rsidRPr="00CD469F">
              <w:rPr>
                <w:sz w:val="20"/>
                <w:szCs w:val="20"/>
              </w:rPr>
              <w:t xml:space="preserve"> opioid analgesic</w:t>
            </w:r>
            <w:r w:rsidRPr="00CD469F">
              <w:rPr>
                <w:sz w:val="20"/>
                <w:szCs w:val="20"/>
              </w:rPr>
              <w:t xml:space="preserve"> taper</w:t>
            </w:r>
            <w:r w:rsidR="0011275F" w:rsidRPr="00CD469F">
              <w:rPr>
                <w:sz w:val="20"/>
                <w:szCs w:val="20"/>
              </w:rPr>
              <w:t>ing</w:t>
            </w:r>
            <w:r w:rsidRPr="00CD469F">
              <w:rPr>
                <w:sz w:val="20"/>
                <w:szCs w:val="20"/>
              </w:rPr>
              <w:t xml:space="preserve"> after feedback on hazardous use </w:t>
            </w:r>
          </w:p>
          <w:p w14:paraId="77D1EF48" w14:textId="4B0B5DC8" w:rsidR="00CD082F" w:rsidRPr="00CD469F" w:rsidRDefault="00832146" w:rsidP="00C73C16">
            <w:pPr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t>M</w:t>
            </w:r>
            <w:r w:rsidR="00A46E29" w:rsidRPr="00CD469F">
              <w:rPr>
                <w:sz w:val="20"/>
                <w:szCs w:val="20"/>
              </w:rPr>
              <w:t xml:space="preserve">aladaptive </w:t>
            </w:r>
            <w:r w:rsidRPr="00CD469F">
              <w:rPr>
                <w:sz w:val="20"/>
                <w:szCs w:val="20"/>
              </w:rPr>
              <w:t>pain cognitions and</w:t>
            </w:r>
            <w:r w:rsidR="00813EE6" w:rsidRPr="00CD469F">
              <w:rPr>
                <w:sz w:val="20"/>
                <w:szCs w:val="20"/>
              </w:rPr>
              <w:t>/or</w:t>
            </w:r>
            <w:r w:rsidRPr="00CD469F">
              <w:rPr>
                <w:sz w:val="20"/>
                <w:szCs w:val="20"/>
              </w:rPr>
              <w:t xml:space="preserve"> l</w:t>
            </w:r>
            <w:r w:rsidR="00813EE6" w:rsidRPr="00CD469F">
              <w:rPr>
                <w:sz w:val="20"/>
                <w:szCs w:val="20"/>
              </w:rPr>
              <w:t xml:space="preserve">imited </w:t>
            </w:r>
            <w:r w:rsidR="00A46E29" w:rsidRPr="00CD469F">
              <w:rPr>
                <w:sz w:val="20"/>
                <w:szCs w:val="20"/>
              </w:rPr>
              <w:t>pain coping</w:t>
            </w:r>
            <w:r w:rsidRPr="00CD469F">
              <w:rPr>
                <w:sz w:val="20"/>
                <w:szCs w:val="20"/>
              </w:rPr>
              <w:t xml:space="preserve"> skills</w:t>
            </w:r>
          </w:p>
          <w:p w14:paraId="5B92B4B9" w14:textId="60DE08EE" w:rsidR="00A46E29" w:rsidRPr="00CD469F" w:rsidRDefault="00CD082F" w:rsidP="00C73C16">
            <w:pPr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t>Unstable mental or physical health</w:t>
            </w:r>
          </w:p>
        </w:tc>
        <w:tc>
          <w:tcPr>
            <w:tcW w:w="3827" w:type="dxa"/>
            <w:tcBorders>
              <w:top w:val="double" w:sz="4" w:space="0" w:color="3B3838" w:themeColor="background2" w:themeShade="4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B7E54" w14:textId="3090B351" w:rsidR="00832146" w:rsidRPr="00CD469F" w:rsidRDefault="00832146" w:rsidP="00C73C16">
            <w:pPr>
              <w:rPr>
                <w:sz w:val="20"/>
                <w:szCs w:val="20"/>
              </w:rPr>
            </w:pPr>
            <w:r w:rsidRPr="00CD469F">
              <w:rPr>
                <w:b/>
                <w:sz w:val="20"/>
                <w:szCs w:val="20"/>
              </w:rPr>
              <w:t xml:space="preserve">High dose </w:t>
            </w:r>
            <w:r w:rsidRPr="00CD469F">
              <w:rPr>
                <w:sz w:val="20"/>
                <w:szCs w:val="20"/>
              </w:rPr>
              <w:t xml:space="preserve">(over 100 mg </w:t>
            </w:r>
            <w:proofErr w:type="spellStart"/>
            <w:r w:rsidRPr="00CD469F">
              <w:rPr>
                <w:sz w:val="20"/>
                <w:szCs w:val="20"/>
              </w:rPr>
              <w:t>oMEDD</w:t>
            </w:r>
            <w:proofErr w:type="spellEnd"/>
            <w:r w:rsidRPr="00CD469F">
              <w:rPr>
                <w:sz w:val="20"/>
                <w:szCs w:val="20"/>
              </w:rPr>
              <w:t xml:space="preserve"> daily)</w:t>
            </w:r>
          </w:p>
          <w:p w14:paraId="15B59686" w14:textId="2C019F76" w:rsidR="00A46E29" w:rsidRPr="00CD469F" w:rsidRDefault="00A46E29" w:rsidP="00C73C16">
            <w:pPr>
              <w:rPr>
                <w:sz w:val="20"/>
                <w:szCs w:val="20"/>
              </w:rPr>
            </w:pPr>
            <w:r w:rsidRPr="00CD469F">
              <w:rPr>
                <w:b/>
                <w:sz w:val="20"/>
                <w:szCs w:val="20"/>
              </w:rPr>
              <w:t>Harmful use</w:t>
            </w:r>
            <w:r w:rsidRPr="00CD469F">
              <w:rPr>
                <w:sz w:val="20"/>
                <w:szCs w:val="20"/>
              </w:rPr>
              <w:t xml:space="preserve">, with frequent misuse of opioid </w:t>
            </w:r>
            <w:r w:rsidR="00CD082F" w:rsidRPr="00CD469F">
              <w:rPr>
                <w:sz w:val="20"/>
                <w:szCs w:val="20"/>
              </w:rPr>
              <w:t xml:space="preserve">analgesic </w:t>
            </w:r>
            <w:r w:rsidRPr="00CD469F">
              <w:rPr>
                <w:sz w:val="20"/>
                <w:szCs w:val="20"/>
              </w:rPr>
              <w:t>medication</w:t>
            </w:r>
          </w:p>
          <w:p w14:paraId="725C555D" w14:textId="77777777" w:rsidR="00A46E29" w:rsidRPr="00CD469F" w:rsidRDefault="00A46E29" w:rsidP="00C73C16">
            <w:pPr>
              <w:rPr>
                <w:sz w:val="20"/>
                <w:szCs w:val="20"/>
              </w:rPr>
            </w:pPr>
            <w:r w:rsidRPr="00CD469F">
              <w:rPr>
                <w:b/>
                <w:sz w:val="20"/>
                <w:szCs w:val="20"/>
              </w:rPr>
              <w:t>Significant aberrant behaviour</w:t>
            </w:r>
            <w:r w:rsidRPr="00CD469F">
              <w:rPr>
                <w:sz w:val="20"/>
                <w:szCs w:val="20"/>
              </w:rPr>
              <w:t> (e.g. doctor shopping, forging script/street drug, use for sleep/anxiety, diversion)</w:t>
            </w:r>
          </w:p>
          <w:p w14:paraId="51C12229" w14:textId="20EEC032" w:rsidR="00A46E29" w:rsidRPr="00CD469F" w:rsidRDefault="00A46E29" w:rsidP="00C73C16">
            <w:pPr>
              <w:rPr>
                <w:sz w:val="20"/>
                <w:szCs w:val="20"/>
              </w:rPr>
            </w:pPr>
            <w:r w:rsidRPr="00CD469F">
              <w:rPr>
                <w:b/>
                <w:sz w:val="20"/>
                <w:szCs w:val="20"/>
              </w:rPr>
              <w:t>High risk polydrug use</w:t>
            </w:r>
            <w:r w:rsidRPr="00CD469F">
              <w:rPr>
                <w:sz w:val="20"/>
                <w:szCs w:val="20"/>
              </w:rPr>
              <w:t xml:space="preserve"> (e.g. sedatives) with intoxicated presentation</w:t>
            </w:r>
          </w:p>
          <w:p w14:paraId="66B4DF26" w14:textId="6435190D" w:rsidR="00832146" w:rsidRPr="00CD469F" w:rsidRDefault="00A46E29" w:rsidP="00C73C16">
            <w:pPr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t>Patient disagrees with</w:t>
            </w:r>
            <w:r w:rsidR="0011275F" w:rsidRPr="00CD469F">
              <w:rPr>
                <w:sz w:val="20"/>
                <w:szCs w:val="20"/>
              </w:rPr>
              <w:t xml:space="preserve"> opioid analgesic</w:t>
            </w:r>
            <w:r w:rsidRPr="00CD469F">
              <w:rPr>
                <w:sz w:val="20"/>
                <w:szCs w:val="20"/>
              </w:rPr>
              <w:t xml:space="preserve"> taper</w:t>
            </w:r>
            <w:r w:rsidR="0011275F" w:rsidRPr="00CD469F">
              <w:rPr>
                <w:sz w:val="20"/>
                <w:szCs w:val="20"/>
              </w:rPr>
              <w:t>ing</w:t>
            </w:r>
            <w:r w:rsidRPr="00CD469F">
              <w:rPr>
                <w:sz w:val="20"/>
                <w:szCs w:val="20"/>
              </w:rPr>
              <w:t xml:space="preserve"> despite feedback on harmful use</w:t>
            </w:r>
          </w:p>
          <w:p w14:paraId="4137ECE6" w14:textId="5C7AD14D" w:rsidR="00A46E29" w:rsidRPr="00CD469F" w:rsidRDefault="00832146" w:rsidP="00C73C16">
            <w:pPr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t>Unstable social conditions and unstable prescriber engagement</w:t>
            </w:r>
          </w:p>
          <w:p w14:paraId="1987FF03" w14:textId="5BB498E8" w:rsidR="00A46E29" w:rsidRPr="00CD469F" w:rsidRDefault="00A46E29" w:rsidP="00C73C16">
            <w:pPr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t>Serious unstable mental (e.g. risk of harm to self or others health</w:t>
            </w:r>
            <w:r w:rsidR="00813EE6" w:rsidRPr="00CD469F">
              <w:rPr>
                <w:sz w:val="20"/>
                <w:szCs w:val="20"/>
              </w:rPr>
              <w:t>)</w:t>
            </w:r>
            <w:r w:rsidR="00CD082F" w:rsidRPr="00CD469F">
              <w:rPr>
                <w:sz w:val="20"/>
                <w:szCs w:val="20"/>
              </w:rPr>
              <w:t xml:space="preserve"> or</w:t>
            </w:r>
            <w:r w:rsidRPr="00CD469F">
              <w:rPr>
                <w:sz w:val="20"/>
                <w:szCs w:val="20"/>
              </w:rPr>
              <w:t xml:space="preserve"> physical health concern</w:t>
            </w:r>
            <w:r w:rsidR="00CD082F" w:rsidRPr="00CD469F">
              <w:rPr>
                <w:sz w:val="20"/>
                <w:szCs w:val="20"/>
              </w:rPr>
              <w:t>,</w:t>
            </w:r>
            <w:r w:rsidRPr="00CD469F">
              <w:rPr>
                <w:sz w:val="20"/>
                <w:szCs w:val="20"/>
              </w:rPr>
              <w:t xml:space="preserve"> that require</w:t>
            </w:r>
            <w:r w:rsidR="00CD082F" w:rsidRPr="00CD469F">
              <w:rPr>
                <w:sz w:val="20"/>
                <w:szCs w:val="20"/>
              </w:rPr>
              <w:t>s</w:t>
            </w:r>
            <w:r w:rsidRPr="00CD469F">
              <w:rPr>
                <w:sz w:val="20"/>
                <w:szCs w:val="20"/>
              </w:rPr>
              <w:t xml:space="preserve"> specialist input</w:t>
            </w:r>
          </w:p>
        </w:tc>
      </w:tr>
      <w:tr w:rsidR="001F0DFC" w:rsidRPr="001F0DFC" w14:paraId="14495A50" w14:textId="77777777" w:rsidTr="00E12B1E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4F3FA4" w14:textId="173B39DF" w:rsidR="00714A4E" w:rsidRPr="001F0DFC" w:rsidRDefault="0031691D" w:rsidP="001F0DFC">
            <w:pPr>
              <w:pStyle w:val="Heading3"/>
              <w:spacing w:before="0"/>
              <w:rPr>
                <w:color w:val="000000" w:themeColor="text1"/>
              </w:rPr>
            </w:pPr>
            <w:r w:rsidRPr="001F0DFC">
              <w:rPr>
                <w:color w:val="000000" w:themeColor="text1"/>
              </w:rPr>
              <w:t>Potential tapering intervention for pain</w:t>
            </w:r>
          </w:p>
        </w:tc>
      </w:tr>
      <w:tr w:rsidR="001F0DFC" w:rsidRPr="0031691D" w14:paraId="3B0C5334" w14:textId="77777777" w:rsidTr="00E12B1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33E6D5" w14:textId="77777777" w:rsidR="001F0DFC" w:rsidRPr="00CD469F" w:rsidRDefault="001F0DFC" w:rsidP="00CD469F">
            <w:pPr>
              <w:spacing w:after="0"/>
              <w:jc w:val="center"/>
              <w:rPr>
                <w:rFonts w:ascii="Segoe UI Semibold" w:hAnsi="Segoe UI Semibold" w:cs="Segoe UI Semibold"/>
                <w:szCs w:val="21"/>
              </w:rPr>
            </w:pPr>
            <w:r w:rsidRPr="00CD469F">
              <w:rPr>
                <w:rFonts w:ascii="Segoe UI Semibold" w:hAnsi="Segoe UI Semibold" w:cs="Segoe UI Semibold"/>
                <w:szCs w:val="21"/>
              </w:rPr>
              <w:t>Low prescribing support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32B383E" w14:textId="77777777" w:rsidR="001F0DFC" w:rsidRPr="00CD469F" w:rsidRDefault="001F0DFC" w:rsidP="00CD469F">
            <w:pPr>
              <w:spacing w:after="0"/>
              <w:jc w:val="center"/>
              <w:rPr>
                <w:rFonts w:ascii="Segoe UI Semibold" w:hAnsi="Segoe UI Semibold" w:cs="Segoe UI Semibold"/>
                <w:szCs w:val="21"/>
              </w:rPr>
            </w:pPr>
            <w:r w:rsidRPr="00CD469F">
              <w:rPr>
                <w:rFonts w:ascii="Segoe UI Semibold" w:hAnsi="Segoe UI Semibold" w:cs="Segoe UI Semibold"/>
                <w:szCs w:val="21"/>
              </w:rPr>
              <w:t>Moderate prescribing support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198B93" w14:textId="77777777" w:rsidR="001F0DFC" w:rsidRPr="00CD469F" w:rsidRDefault="001F0DFC" w:rsidP="00CD469F">
            <w:pPr>
              <w:spacing w:after="0"/>
              <w:jc w:val="center"/>
              <w:rPr>
                <w:rFonts w:ascii="Segoe UI Semibold" w:hAnsi="Segoe UI Semibold" w:cs="Segoe UI Semibold"/>
                <w:szCs w:val="21"/>
              </w:rPr>
            </w:pPr>
            <w:r w:rsidRPr="00CD469F">
              <w:rPr>
                <w:rFonts w:ascii="Segoe UI Semibold" w:hAnsi="Segoe UI Semibold" w:cs="Segoe UI Semibold"/>
                <w:szCs w:val="21"/>
              </w:rPr>
              <w:t>High prescribing support</w:t>
            </w:r>
          </w:p>
        </w:tc>
      </w:tr>
      <w:tr w:rsidR="00A46E29" w14:paraId="2DD687A5" w14:textId="77777777" w:rsidTr="00E12B1E">
        <w:tc>
          <w:tcPr>
            <w:tcW w:w="29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A2953" w14:textId="17F53D8B" w:rsidR="004F24AC" w:rsidRPr="00CD469F" w:rsidRDefault="004F24AC" w:rsidP="00C73C16">
            <w:pPr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t xml:space="preserve">Determine whether </w:t>
            </w:r>
            <w:r w:rsidR="00CD082F" w:rsidRPr="00CD469F">
              <w:rPr>
                <w:sz w:val="20"/>
                <w:szCs w:val="20"/>
              </w:rPr>
              <w:t xml:space="preserve">opioid analgesic </w:t>
            </w:r>
            <w:r w:rsidRPr="00CD469F">
              <w:rPr>
                <w:sz w:val="20"/>
                <w:szCs w:val="20"/>
              </w:rPr>
              <w:t>tapering is appropriate</w:t>
            </w:r>
          </w:p>
          <w:p w14:paraId="68A55FF6" w14:textId="16E92FD9" w:rsidR="00A46E29" w:rsidRPr="00CD469F" w:rsidRDefault="00A46E29" w:rsidP="00C73C16">
            <w:pPr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t>Psychoeducation </w:t>
            </w:r>
          </w:p>
          <w:p w14:paraId="030329FE" w14:textId="0D670004" w:rsidR="00A46E29" w:rsidRPr="00CD469F" w:rsidRDefault="00A46E29" w:rsidP="00C73C16">
            <w:pPr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t xml:space="preserve">Gradual </w:t>
            </w:r>
            <w:r w:rsidR="00CD082F" w:rsidRPr="00CD469F">
              <w:rPr>
                <w:sz w:val="20"/>
                <w:szCs w:val="20"/>
              </w:rPr>
              <w:t>opioid analgesic tapering</w:t>
            </w:r>
            <w:r w:rsidRPr="00CD469F">
              <w:rPr>
                <w:sz w:val="20"/>
                <w:szCs w:val="20"/>
              </w:rPr>
              <w:t xml:space="preserve"> under medical supervision  </w:t>
            </w:r>
          </w:p>
          <w:p w14:paraId="5129C9F5" w14:textId="58B0C255" w:rsidR="00A46E29" w:rsidRPr="00CD469F" w:rsidRDefault="00832146" w:rsidP="00C73C16">
            <w:pPr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lastRenderedPageBreak/>
              <w:t>Consider rotation to atypical opioid</w:t>
            </w:r>
          </w:p>
          <w:p w14:paraId="40D462EB" w14:textId="6288E6F6" w:rsidR="00A46E29" w:rsidRPr="00CD469F" w:rsidRDefault="00A46E29" w:rsidP="00CD469F">
            <w:pPr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t>Pain self-management program 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4FBB5B" w14:textId="2DFE3A4C" w:rsidR="00CD469F" w:rsidRPr="00CD469F" w:rsidRDefault="00A46E29" w:rsidP="00C73C16">
            <w:pPr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lastRenderedPageBreak/>
              <w:t>Brief intervention </w:t>
            </w:r>
          </w:p>
          <w:p w14:paraId="2038C7AB" w14:textId="59FBF43B" w:rsidR="00A46E29" w:rsidRPr="00CD469F" w:rsidRDefault="00A46E29" w:rsidP="00CD469F">
            <w:pPr>
              <w:spacing w:after="120"/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t xml:space="preserve">Gradual </w:t>
            </w:r>
            <w:r w:rsidR="00CD082F" w:rsidRPr="00CD469F">
              <w:rPr>
                <w:sz w:val="20"/>
                <w:szCs w:val="20"/>
              </w:rPr>
              <w:t xml:space="preserve">opioid analgesic </w:t>
            </w:r>
            <w:r w:rsidRPr="00CD469F">
              <w:rPr>
                <w:sz w:val="20"/>
                <w:szCs w:val="20"/>
              </w:rPr>
              <w:t>taper</w:t>
            </w:r>
            <w:r w:rsidR="00CD082F" w:rsidRPr="00CD469F">
              <w:rPr>
                <w:sz w:val="20"/>
                <w:szCs w:val="20"/>
              </w:rPr>
              <w:t>ing</w:t>
            </w:r>
            <w:r w:rsidRPr="00CD469F">
              <w:rPr>
                <w:sz w:val="20"/>
                <w:szCs w:val="20"/>
              </w:rPr>
              <w:t xml:space="preserve"> under medical supervision  </w:t>
            </w:r>
          </w:p>
          <w:p w14:paraId="3D509C6D" w14:textId="77777777" w:rsidR="00A46E29" w:rsidRPr="00CD469F" w:rsidRDefault="00A46E29" w:rsidP="00CD469F">
            <w:pPr>
              <w:spacing w:after="120"/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t>Or  </w:t>
            </w:r>
          </w:p>
          <w:p w14:paraId="5265092C" w14:textId="3DFD74CC" w:rsidR="00A46E29" w:rsidRPr="00CD469F" w:rsidRDefault="00A46E29" w:rsidP="00C73C16">
            <w:pPr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t>Containment if unable to further reduce, until specialist review, e.g. weekly staged supply </w:t>
            </w:r>
          </w:p>
          <w:p w14:paraId="7A9E1A28" w14:textId="77777777" w:rsidR="00CD469F" w:rsidRPr="00CD469F" w:rsidRDefault="00A46E29" w:rsidP="00C73C16">
            <w:pPr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lastRenderedPageBreak/>
              <w:t>Harm reduction strategy </w:t>
            </w:r>
          </w:p>
          <w:p w14:paraId="46DF905D" w14:textId="01036749" w:rsidR="00A46E29" w:rsidRPr="00CD469F" w:rsidRDefault="00A46E29" w:rsidP="00C73C16">
            <w:pPr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t>Referral for pain clinic and pain self-management program  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37D031" w14:textId="65FB632C" w:rsidR="00A46E29" w:rsidRPr="00CD469F" w:rsidRDefault="00A46E29" w:rsidP="00C73C16">
            <w:pPr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lastRenderedPageBreak/>
              <w:t>Brief intervention, behaviour management </w:t>
            </w:r>
          </w:p>
          <w:p w14:paraId="6B3A9282" w14:textId="77777777" w:rsidR="00A46E29" w:rsidRPr="00CD469F" w:rsidRDefault="00A46E29" w:rsidP="00CD469F">
            <w:pPr>
              <w:spacing w:after="120"/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t xml:space="preserve">Containment until specialist review, e.g. daily supervised dosing </w:t>
            </w:r>
          </w:p>
          <w:p w14:paraId="41137399" w14:textId="77777777" w:rsidR="00A46E29" w:rsidRPr="00CD469F" w:rsidRDefault="00A46E29" w:rsidP="00CD469F">
            <w:pPr>
              <w:spacing w:after="120"/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t>Or  </w:t>
            </w:r>
          </w:p>
          <w:p w14:paraId="2A7795E3" w14:textId="28CEA1D2" w:rsidR="00EA66FB" w:rsidRPr="00CD469F" w:rsidRDefault="00832146" w:rsidP="00CD469F">
            <w:pPr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t>Partial</w:t>
            </w:r>
            <w:r w:rsidR="00CD082F" w:rsidRPr="00CD469F">
              <w:rPr>
                <w:sz w:val="20"/>
                <w:szCs w:val="20"/>
              </w:rPr>
              <w:t xml:space="preserve"> opioid analgesic</w:t>
            </w:r>
            <w:r w:rsidRPr="00CD469F">
              <w:rPr>
                <w:sz w:val="20"/>
                <w:szCs w:val="20"/>
              </w:rPr>
              <w:t xml:space="preserve"> taper</w:t>
            </w:r>
            <w:r w:rsidR="00CD082F" w:rsidRPr="00CD469F">
              <w:rPr>
                <w:sz w:val="20"/>
                <w:szCs w:val="20"/>
              </w:rPr>
              <w:t>ing</w:t>
            </w:r>
            <w:r w:rsidRPr="00CD469F">
              <w:rPr>
                <w:sz w:val="20"/>
                <w:szCs w:val="20"/>
              </w:rPr>
              <w:t xml:space="preserve"> to safer dose in conjunction with referral to specialist services </w:t>
            </w:r>
          </w:p>
          <w:p w14:paraId="38660E22" w14:textId="6409C9B3" w:rsidR="00A46E29" w:rsidRPr="00CD469F" w:rsidRDefault="00A46E29" w:rsidP="00C73C16">
            <w:pPr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lastRenderedPageBreak/>
              <w:t>Harm reduction strategy  </w:t>
            </w:r>
          </w:p>
          <w:p w14:paraId="3E390DE3" w14:textId="6C375B31" w:rsidR="00A46E29" w:rsidRPr="00CD469F" w:rsidRDefault="00A46E29" w:rsidP="00C73C16">
            <w:pPr>
              <w:rPr>
                <w:sz w:val="20"/>
                <w:szCs w:val="20"/>
              </w:rPr>
            </w:pPr>
            <w:r w:rsidRPr="00CD469F">
              <w:rPr>
                <w:sz w:val="20"/>
                <w:szCs w:val="20"/>
              </w:rPr>
              <w:t xml:space="preserve">Specialist referral for urgent review, e.g. </w:t>
            </w:r>
            <w:r w:rsidR="00E44722" w:rsidRPr="00CD469F">
              <w:rPr>
                <w:sz w:val="20"/>
                <w:szCs w:val="20"/>
              </w:rPr>
              <w:t>drug and alcohol</w:t>
            </w:r>
            <w:r w:rsidRPr="00CD469F">
              <w:rPr>
                <w:sz w:val="20"/>
                <w:szCs w:val="20"/>
              </w:rPr>
              <w:t xml:space="preserve"> </w:t>
            </w:r>
            <w:r w:rsidR="00E44722" w:rsidRPr="00CD469F">
              <w:rPr>
                <w:sz w:val="20"/>
                <w:szCs w:val="20"/>
              </w:rPr>
              <w:t xml:space="preserve"> and/or</w:t>
            </w:r>
            <w:r w:rsidRPr="00CD469F">
              <w:rPr>
                <w:sz w:val="20"/>
                <w:szCs w:val="20"/>
              </w:rPr>
              <w:t xml:space="preserve"> </w:t>
            </w:r>
            <w:r w:rsidR="00E44722" w:rsidRPr="00CD469F">
              <w:rPr>
                <w:sz w:val="20"/>
                <w:szCs w:val="20"/>
              </w:rPr>
              <w:t>p</w:t>
            </w:r>
            <w:r w:rsidRPr="00CD469F">
              <w:rPr>
                <w:sz w:val="20"/>
                <w:szCs w:val="20"/>
              </w:rPr>
              <w:t xml:space="preserve">ain </w:t>
            </w:r>
            <w:r w:rsidR="00813EE6" w:rsidRPr="00CD469F">
              <w:rPr>
                <w:sz w:val="20"/>
                <w:szCs w:val="20"/>
              </w:rPr>
              <w:t xml:space="preserve">management </w:t>
            </w:r>
            <w:r w:rsidRPr="00CD469F">
              <w:rPr>
                <w:sz w:val="20"/>
                <w:szCs w:val="20"/>
              </w:rPr>
              <w:t xml:space="preserve">clinic </w:t>
            </w:r>
            <w:r w:rsidR="00E44722" w:rsidRPr="00CD469F">
              <w:rPr>
                <w:sz w:val="20"/>
                <w:szCs w:val="20"/>
              </w:rPr>
              <w:t>and/or</w:t>
            </w:r>
            <w:r w:rsidRPr="00CD469F">
              <w:rPr>
                <w:sz w:val="20"/>
                <w:szCs w:val="20"/>
              </w:rPr>
              <w:t xml:space="preserve"> psychiatry  </w:t>
            </w:r>
          </w:p>
        </w:tc>
      </w:tr>
    </w:tbl>
    <w:p w14:paraId="22BB7BF8" w14:textId="7E37EB25" w:rsidR="003160C3" w:rsidRPr="00980B56" w:rsidRDefault="001E7506" w:rsidP="008F7887">
      <w:pPr>
        <w:pStyle w:val="Heading2"/>
      </w:pPr>
      <w:r>
        <w:lastRenderedPageBreak/>
        <w:br w:type="page"/>
      </w:r>
      <w:r w:rsidR="00D2387A">
        <w:lastRenderedPageBreak/>
        <w:t xml:space="preserve">Some </w:t>
      </w:r>
      <w:r w:rsidR="00BC45F1">
        <w:t>o</w:t>
      </w:r>
      <w:r w:rsidR="00AA26AE" w:rsidRPr="0039544B">
        <w:t>pioid tapering resources</w:t>
      </w:r>
      <w:r w:rsidR="009A0291" w:rsidRPr="0039544B">
        <w:t> </w:t>
      </w:r>
    </w:p>
    <w:p w14:paraId="5AD66342" w14:textId="7004ACF0" w:rsidR="00330D1F" w:rsidRPr="008F7887" w:rsidRDefault="00E66C70" w:rsidP="008F7887">
      <w:pPr>
        <w:spacing w:after="120"/>
      </w:pPr>
      <w:hyperlink r:id="rId29" w:history="1">
        <w:r w:rsidR="004252FB" w:rsidRPr="008F7887">
          <w:rPr>
            <w:rStyle w:val="Hyperlink"/>
          </w:rPr>
          <w:t>www.racgp.org.au/getmedia/33c608d7-e336-41ea-920f-fa171eb02885/Opioid-reduction-policy-template.docx.aspx</w:t>
        </w:r>
      </w:hyperlink>
      <w:r w:rsidR="003160C3" w:rsidRPr="008F7887">
        <w:t>.</w:t>
      </w:r>
    </w:p>
    <w:p w14:paraId="484C4E95" w14:textId="11F0FE8C" w:rsidR="005C508E" w:rsidRPr="008F7887" w:rsidRDefault="00E66C70" w:rsidP="008F7887">
      <w:pPr>
        <w:spacing w:after="120"/>
      </w:pPr>
      <w:hyperlink r:id="rId30" w:history="1">
        <w:r w:rsidR="003160C3" w:rsidRPr="004A4B2A">
          <w:rPr>
            <w:rStyle w:val="Hyperlink"/>
          </w:rPr>
          <w:t>R</w:t>
        </w:r>
        <w:r w:rsidR="00330D1F" w:rsidRPr="004A4B2A">
          <w:rPr>
            <w:rStyle w:val="Hyperlink"/>
          </w:rPr>
          <w:t>acgp.org.au/FSDEDEV/media/documents/Clinical%20Resources/Guidelines/Drugs%20of%20dependence/Prescribing-drugs-of-dependence-in-general-practice-Part-A.pdf</w:t>
        </w:r>
      </w:hyperlink>
    </w:p>
    <w:p w14:paraId="7847A629" w14:textId="3D626112" w:rsidR="00AF207E" w:rsidRPr="008F7887" w:rsidRDefault="00AF207E" w:rsidP="008F7887">
      <w:pPr>
        <w:rPr>
          <w:rStyle w:val="Hyperlink"/>
        </w:rPr>
      </w:pPr>
      <w:r w:rsidRPr="008F7887">
        <w:fldChar w:fldCharType="begin"/>
      </w:r>
      <w:r w:rsidR="004A4B2A">
        <w:instrText>HYPERLINK "https://www.nps.org.au/professionals/opioids-chronic-pain" \l "resources"</w:instrText>
      </w:r>
      <w:r w:rsidRPr="008F7887">
        <w:fldChar w:fldCharType="separate"/>
      </w:r>
      <w:r w:rsidRPr="008F7887">
        <w:rPr>
          <w:rStyle w:val="Hyperlink"/>
        </w:rPr>
        <w:t>www.nps.org.au/professionals/opioids-chronic-pain#resources</w:t>
      </w:r>
    </w:p>
    <w:p w14:paraId="0C249668" w14:textId="6E590938" w:rsidR="00CD3338" w:rsidRPr="008F7887" w:rsidRDefault="00AF207E" w:rsidP="008F7887">
      <w:pPr>
        <w:pStyle w:val="Heading3"/>
      </w:pPr>
      <w:r w:rsidRPr="008F7887">
        <w:fldChar w:fldCharType="end"/>
      </w:r>
      <w:r w:rsidR="00CD3338" w:rsidRPr="008F7887">
        <w:t>NSW Ministry of Health</w:t>
      </w:r>
    </w:p>
    <w:p w14:paraId="1A9FD830" w14:textId="0F5D591D" w:rsidR="005C508E" w:rsidRPr="008F7887" w:rsidRDefault="00E66C70" w:rsidP="008F7887">
      <w:pPr>
        <w:spacing w:after="120"/>
      </w:pPr>
      <w:hyperlink r:id="rId31" w:history="1">
        <w:r w:rsidR="00D2387A" w:rsidRPr="008F7887">
          <w:rPr>
            <w:rStyle w:val="Hyperlink"/>
          </w:rPr>
          <w:t>www.aci.health.nsw.gov.au/chronic-pain/health-professionals/quick-steps-to-manage-chronic-pain-in-primary-care/how_to_de-prescribe_and_wean_opioids_in_general_practice</w:t>
        </w:r>
      </w:hyperlink>
    </w:p>
    <w:p w14:paraId="7A53AAFC" w14:textId="5E0349EF" w:rsidR="005C508E" w:rsidRPr="008F7887" w:rsidRDefault="00E66C70" w:rsidP="008F7887">
      <w:hyperlink r:id="rId32" w:history="1">
        <w:r w:rsidR="00D2387A" w:rsidRPr="008F7887">
          <w:rPr>
            <w:rStyle w:val="Hyperlink"/>
          </w:rPr>
          <w:t>www.nswtag.org.au/wp-content/uploads/2018/06/1.8-Deprescribing-Guide-for-Regular-Long-Term-Opioid-Analgesic-Use-in-Older-Adults.pdf</w:t>
        </w:r>
      </w:hyperlink>
    </w:p>
    <w:p w14:paraId="76D36C6C" w14:textId="77777777" w:rsidR="00CD3338" w:rsidRPr="008F7887" w:rsidRDefault="00FB00E9" w:rsidP="008F7887">
      <w:pPr>
        <w:pStyle w:val="Heading3"/>
      </w:pPr>
      <w:r w:rsidRPr="008F7887">
        <w:t>QLD Health</w:t>
      </w:r>
    </w:p>
    <w:p w14:paraId="3EAD0D9C" w14:textId="0A4813F1" w:rsidR="00254C90" w:rsidRPr="008F7887" w:rsidRDefault="00E66C70" w:rsidP="008F7887">
      <w:pPr>
        <w:spacing w:after="120"/>
      </w:pPr>
      <w:hyperlink r:id="rId33" w:history="1">
        <w:r w:rsidR="00D2387A" w:rsidRPr="008F7887">
          <w:rPr>
            <w:rStyle w:val="Hyperlink"/>
          </w:rPr>
          <w:t>www.health.qld.gov.au/__data/assets/pdf_file/0021/444432/quick-clinical-guide.pdf</w:t>
        </w:r>
      </w:hyperlink>
    </w:p>
    <w:p w14:paraId="02F35F0D" w14:textId="3F496FFF" w:rsidR="00254C90" w:rsidRPr="008F7887" w:rsidRDefault="00E66C70" w:rsidP="008F7887">
      <w:pPr>
        <w:spacing w:after="120"/>
      </w:pPr>
      <w:hyperlink r:id="rId34" w:history="1">
        <w:r w:rsidR="00254C90" w:rsidRPr="008F7887">
          <w:rPr>
            <w:rStyle w:val="Hyperlink"/>
          </w:rPr>
          <w:t>https://insight.qld.edu.au/shop/withdrawal-management-quick-reference-guide-opioids</w:t>
        </w:r>
      </w:hyperlink>
    </w:p>
    <w:p w14:paraId="32D4C800" w14:textId="135CCCBF" w:rsidR="00254C90" w:rsidRPr="008F7887" w:rsidRDefault="00E66C70" w:rsidP="008F7887">
      <w:hyperlink r:id="rId35" w:history="1">
        <w:r w:rsidR="00254C90" w:rsidRPr="008F7887">
          <w:rPr>
            <w:rStyle w:val="Hyperlink"/>
          </w:rPr>
          <w:t>https://insight.qld.edu.au/training/opioid-related-case-studies/detail</w:t>
        </w:r>
      </w:hyperlink>
    </w:p>
    <w:p w14:paraId="2809661E" w14:textId="77777777" w:rsidR="00CD3338" w:rsidRPr="008F7887" w:rsidRDefault="00CD3338" w:rsidP="008F7887">
      <w:pPr>
        <w:pStyle w:val="Heading3"/>
      </w:pPr>
      <w:r w:rsidRPr="008F7887">
        <w:t xml:space="preserve">Primary Health Tasmania </w:t>
      </w:r>
    </w:p>
    <w:p w14:paraId="0B9F56A2" w14:textId="77777777" w:rsidR="00CD3338" w:rsidRPr="008F7887" w:rsidRDefault="00E66C70" w:rsidP="008F7887">
      <w:hyperlink r:id="rId36" w:history="1">
        <w:r w:rsidR="00D2387A" w:rsidRPr="008F7887">
          <w:rPr>
            <w:rStyle w:val="Hyperlink"/>
          </w:rPr>
          <w:t>www.primaryhealthtas.com.au/wp-content/uploads/2018/09/A-Guide-to-Deprescribing-Opioids.pdf</w:t>
        </w:r>
      </w:hyperlink>
    </w:p>
    <w:p w14:paraId="5D3D89D8" w14:textId="7480BBBC" w:rsidR="00980B56" w:rsidRPr="008F7887" w:rsidRDefault="00980B56" w:rsidP="008F7887">
      <w:pPr>
        <w:pStyle w:val="Heading3"/>
      </w:pPr>
      <w:r w:rsidRPr="008F7887">
        <w:t>S</w:t>
      </w:r>
      <w:r w:rsidR="00A46E29" w:rsidRPr="008F7887">
        <w:t>outh Australia</w:t>
      </w:r>
    </w:p>
    <w:p w14:paraId="0F8180E1" w14:textId="5990E7D2" w:rsidR="00C83FA3" w:rsidRPr="008F7887" w:rsidRDefault="00E66C70" w:rsidP="008F7887">
      <w:pPr>
        <w:spacing w:after="120"/>
        <w:rPr>
          <w:spacing w:val="-4"/>
        </w:rPr>
      </w:pPr>
      <w:hyperlink r:id="rId37" w:history="1">
        <w:r w:rsidR="00980B56" w:rsidRPr="008F7887">
          <w:rPr>
            <w:rStyle w:val="Hyperlink"/>
            <w:spacing w:val="-4"/>
          </w:rPr>
          <w:t>http://nceta.flinders.edu.au/files/8315/4959/9031/Responding_to_pharmaceutical_opioid_related_problems.pdf</w:t>
        </w:r>
      </w:hyperlink>
    </w:p>
    <w:p w14:paraId="7639DFE6" w14:textId="77777777" w:rsidR="00C83FA3" w:rsidRPr="008F7887" w:rsidRDefault="00E66C70" w:rsidP="008F7887">
      <w:hyperlink r:id="rId38" w:history="1">
        <w:r w:rsidR="00C83FA3" w:rsidRPr="008F7887">
          <w:rPr>
            <w:rStyle w:val="Hyperlink"/>
          </w:rPr>
          <w:t>https://reachforthefacts.com.au/for-prescribers/</w:t>
        </w:r>
      </w:hyperlink>
    </w:p>
    <w:p w14:paraId="717660A4" w14:textId="0CA76C50" w:rsidR="00D54CD3" w:rsidRPr="008F7887" w:rsidRDefault="00D54CD3" w:rsidP="008F7887">
      <w:pPr>
        <w:pStyle w:val="Heading3"/>
      </w:pPr>
      <w:r w:rsidRPr="008F7887">
        <w:t>Victoria</w:t>
      </w:r>
    </w:p>
    <w:p w14:paraId="2307D8ED" w14:textId="0AFE441A" w:rsidR="00EA66FB" w:rsidRPr="008F7887" w:rsidRDefault="00E66C70" w:rsidP="008F7887">
      <w:pPr>
        <w:spacing w:after="120"/>
      </w:pPr>
      <w:hyperlink r:id="rId39" w:history="1">
        <w:r w:rsidR="00D54CD3" w:rsidRPr="008F7887">
          <w:rPr>
            <w:rStyle w:val="Hyperlink"/>
          </w:rPr>
          <w:t>www2.health.vic.gov.au/public-health/drugs-and-poisons/safescript/training</w:t>
        </w:r>
      </w:hyperlink>
    </w:p>
    <w:p w14:paraId="181B0472" w14:textId="71078A5B" w:rsidR="00B056EE" w:rsidRPr="00C83FA3" w:rsidRDefault="005D1525" w:rsidP="00F713BD">
      <w:pPr>
        <w:spacing w:after="480"/>
        <w:rPr>
          <w:sz w:val="22"/>
          <w:szCs w:val="22"/>
        </w:rPr>
      </w:pPr>
      <w:r w:rsidRPr="008F7887">
        <w:rPr>
          <w:rStyle w:val="Hyperlink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28D75F" wp14:editId="7A387F9E">
                <wp:simplePos x="0" y="0"/>
                <wp:positionH relativeFrom="page">
                  <wp:posOffset>679450</wp:posOffset>
                </wp:positionH>
                <wp:positionV relativeFrom="paragraph">
                  <wp:posOffset>455930</wp:posOffset>
                </wp:positionV>
                <wp:extent cx="6324600" cy="3213100"/>
                <wp:effectExtent l="0" t="0" r="19050" b="2540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24600" cy="3213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B7247" w14:textId="77777777" w:rsidR="00037C6C" w:rsidRPr="00F713BD" w:rsidRDefault="00037C6C" w:rsidP="00F713BD">
                            <w:pPr>
                              <w:spacing w:after="120"/>
                              <w:rPr>
                                <w:rFonts w:ascii="Segoe UI Semibold" w:hAnsi="Segoe UI Semibold" w:cs="Segoe UI Semibold"/>
                              </w:rPr>
                            </w:pPr>
                            <w:r w:rsidRPr="00F713BD">
                              <w:rPr>
                                <w:rFonts w:ascii="Segoe UI Semibold" w:hAnsi="Segoe UI Semibold" w:cs="Segoe UI Semibold"/>
                              </w:rPr>
                              <w:t>This information sheet was a joint initiative from the following:</w:t>
                            </w:r>
                          </w:p>
                          <w:p w14:paraId="62DC078D" w14:textId="77777777" w:rsidR="00037C6C" w:rsidRPr="008F7887" w:rsidRDefault="00037C6C" w:rsidP="00F713B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0" w:after="30"/>
                              <w:ind w:left="714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8F7887">
                              <w:rPr>
                                <w:sz w:val="20"/>
                                <w:szCs w:val="20"/>
                              </w:rPr>
                              <w:t>Dr Anne Burke, President - Australian Pain Society</w:t>
                            </w:r>
                          </w:p>
                          <w:p w14:paraId="2E1A8C6F" w14:textId="77777777" w:rsidR="00037C6C" w:rsidRPr="008F7887" w:rsidRDefault="00037C6C" w:rsidP="00F713B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30"/>
                              <w:ind w:left="714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8F7887">
                              <w:rPr>
                                <w:sz w:val="20"/>
                                <w:szCs w:val="20"/>
                              </w:rPr>
                              <w:t xml:space="preserve">Dr Michael </w:t>
                            </w:r>
                            <w:proofErr w:type="spellStart"/>
                            <w:r w:rsidRPr="008F7887">
                              <w:rPr>
                                <w:sz w:val="20"/>
                                <w:szCs w:val="20"/>
                              </w:rPr>
                              <w:t>Vagg</w:t>
                            </w:r>
                            <w:proofErr w:type="spellEnd"/>
                            <w:r w:rsidRPr="008F7887">
                              <w:rPr>
                                <w:sz w:val="20"/>
                                <w:szCs w:val="20"/>
                              </w:rPr>
                              <w:t xml:space="preserve">, Board Member - ANZCA Faculty of Pain Medicine </w:t>
                            </w:r>
                          </w:p>
                          <w:p w14:paraId="4B8A3A7E" w14:textId="77777777" w:rsidR="00037C6C" w:rsidRPr="008F7887" w:rsidRDefault="00037C6C" w:rsidP="00F713B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30"/>
                              <w:ind w:left="714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8F7887">
                              <w:rPr>
                                <w:sz w:val="20"/>
                                <w:szCs w:val="20"/>
                              </w:rPr>
                              <w:t xml:space="preserve">Dr Malcolm Hogg, Head of Pain Services - Royal Melbourne Hospital, and Clinical Advisor - </w:t>
                            </w:r>
                            <w:proofErr w:type="spellStart"/>
                            <w:r w:rsidRPr="008F7887">
                              <w:rPr>
                                <w:iCs/>
                                <w:sz w:val="20"/>
                                <w:szCs w:val="20"/>
                              </w:rPr>
                              <w:t>Painaustralia</w:t>
                            </w:r>
                            <w:proofErr w:type="spellEnd"/>
                          </w:p>
                          <w:p w14:paraId="10F2C825" w14:textId="77777777" w:rsidR="00037C6C" w:rsidRPr="008F7887" w:rsidRDefault="00037C6C" w:rsidP="00F713B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30"/>
                              <w:ind w:left="714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8F7887">
                              <w:rPr>
                                <w:sz w:val="20"/>
                                <w:szCs w:val="20"/>
                              </w:rPr>
                              <w:t>Dr Danielle McMullen, NSW President - Australian Medical Association</w:t>
                            </w:r>
                          </w:p>
                          <w:p w14:paraId="4CF4FB26" w14:textId="77777777" w:rsidR="00037C6C" w:rsidRPr="008F7887" w:rsidRDefault="00037C6C" w:rsidP="00F713B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30"/>
                              <w:ind w:left="714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8F7887">
                              <w:rPr>
                                <w:sz w:val="20"/>
                                <w:szCs w:val="20"/>
                              </w:rPr>
                              <w:t>Dr Chris Hayes, Specialist Pain Medicine Physician - Hunter New England Health, NSW</w:t>
                            </w:r>
                          </w:p>
                          <w:p w14:paraId="6D53B41F" w14:textId="77777777" w:rsidR="00037C6C" w:rsidRPr="008F7887" w:rsidRDefault="00037C6C" w:rsidP="00F713B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30"/>
                              <w:ind w:left="714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8F7887">
                              <w:rPr>
                                <w:sz w:val="20"/>
                                <w:szCs w:val="20"/>
                              </w:rPr>
                              <w:t>Dr Adrian Reynolds, Clinical Director - Dept of Health and Human Services, Tasmania</w:t>
                            </w:r>
                          </w:p>
                          <w:p w14:paraId="3F3208DD" w14:textId="77777777" w:rsidR="00037C6C" w:rsidRPr="008F7887" w:rsidRDefault="00037C6C" w:rsidP="00F713B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30"/>
                              <w:ind w:left="714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8F7887">
                              <w:rPr>
                                <w:sz w:val="20"/>
                                <w:szCs w:val="20"/>
                              </w:rPr>
                              <w:t>A/Professor Suzanne Nielsen, Deputy Director - Monash Addiction Research Centre, Monash University</w:t>
                            </w:r>
                          </w:p>
                          <w:p w14:paraId="7D8AED02" w14:textId="77777777" w:rsidR="00037C6C" w:rsidRPr="008F7887" w:rsidRDefault="00037C6C" w:rsidP="00F713B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30"/>
                              <w:ind w:left="714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8F7887">
                              <w:rPr>
                                <w:sz w:val="20"/>
                                <w:szCs w:val="20"/>
                              </w:rPr>
                              <w:t xml:space="preserve">Margaret Jordan, Project Pharmacist - Society of Hospital Pharmacists Australia </w:t>
                            </w:r>
                          </w:p>
                          <w:p w14:paraId="55B3670D" w14:textId="77777777" w:rsidR="00037C6C" w:rsidRPr="008F7887" w:rsidRDefault="00037C6C" w:rsidP="00F713B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30"/>
                              <w:ind w:left="714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8F7887">
                              <w:rPr>
                                <w:sz w:val="20"/>
                                <w:szCs w:val="20"/>
                              </w:rPr>
                              <w:t>Steve Morris, CEO - NPS MedicineWise</w:t>
                            </w:r>
                          </w:p>
                          <w:p w14:paraId="5E854B57" w14:textId="77777777" w:rsidR="00037C6C" w:rsidRPr="008F7887" w:rsidRDefault="00037C6C" w:rsidP="00F713B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30"/>
                              <w:ind w:left="714" w:hanging="357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F7887">
                              <w:rPr>
                                <w:sz w:val="20"/>
                                <w:szCs w:val="20"/>
                              </w:rPr>
                              <w:t>Rawa</w:t>
                            </w:r>
                            <w:proofErr w:type="spellEnd"/>
                            <w:r w:rsidRPr="008F7887">
                              <w:rPr>
                                <w:sz w:val="20"/>
                                <w:szCs w:val="20"/>
                              </w:rPr>
                              <w:t xml:space="preserve"> Osman, Senior Clinical Program Officer - NPS MedicineWise</w:t>
                            </w:r>
                          </w:p>
                          <w:p w14:paraId="3AA83ED8" w14:textId="77777777" w:rsidR="00037C6C" w:rsidRPr="008F7887" w:rsidRDefault="00037C6C" w:rsidP="00F713B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30"/>
                              <w:ind w:left="714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8F7887">
                              <w:rPr>
                                <w:sz w:val="20"/>
                                <w:szCs w:val="20"/>
                              </w:rPr>
                              <w:t>Dr Tim Ho, Rehabilitation and Pain Specialist - Sydney Adventist Hospital</w:t>
                            </w:r>
                          </w:p>
                          <w:p w14:paraId="637FB012" w14:textId="77777777" w:rsidR="00037C6C" w:rsidRPr="008F7887" w:rsidRDefault="00037C6C" w:rsidP="00F713B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30"/>
                              <w:ind w:left="714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8F7887">
                              <w:rPr>
                                <w:sz w:val="20"/>
                                <w:szCs w:val="20"/>
                              </w:rPr>
                              <w:t>Dr Carl Schneider, Senior Lecturer - Faculty of Medicine and Health, University of Sydney</w:t>
                            </w:r>
                          </w:p>
                          <w:p w14:paraId="349286F2" w14:textId="77777777" w:rsidR="00037C6C" w:rsidRPr="00714A4E" w:rsidRDefault="00037C6C" w:rsidP="00F713BD">
                            <w:pPr>
                              <w:spacing w:before="240"/>
                            </w:pPr>
                            <w:r w:rsidRPr="00714A4E">
                              <w:t xml:space="preserve">Reviewed by the Opioids Regulations Communication Committee and coordinated by the Therapeutic Goods Administration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8D75F" id="Text Box 3" o:spid="_x0000_s1027" type="#_x0000_t202" style="position:absolute;margin-left:53.5pt;margin-top:35.9pt;width:498pt;height:25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" fillcolor="#deeaf6 [660]" strokeweight=".5pt">
                <v:path arrowok="t"/>
                <v:textbox>
                  <w:txbxContent>
                    <w:p w14:paraId="687B7247" w14:textId="77777777" w:rsidR="00037C6C" w:rsidRPr="00F713BD" w:rsidRDefault="00037C6C" w:rsidP="00F713BD">
                      <w:pPr>
                        <w:spacing w:after="120"/>
                        <w:rPr>
                          <w:rFonts w:ascii="Segoe UI Semibold" w:hAnsi="Segoe UI Semibold" w:cs="Segoe UI Semibold"/>
                        </w:rPr>
                      </w:pPr>
                      <w:r w:rsidRPr="00F713BD">
                        <w:rPr>
                          <w:rFonts w:ascii="Segoe UI Semibold" w:hAnsi="Segoe UI Semibold" w:cs="Segoe UI Semibold"/>
                        </w:rPr>
                        <w:t>This information sheet was a joint initiative from the following:</w:t>
                      </w:r>
                    </w:p>
                    <w:p w14:paraId="62DC078D" w14:textId="77777777" w:rsidR="00037C6C" w:rsidRPr="008F7887" w:rsidRDefault="00037C6C" w:rsidP="00F713B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0" w:after="30"/>
                        <w:ind w:left="714" w:hanging="357"/>
                        <w:rPr>
                          <w:sz w:val="20"/>
                          <w:szCs w:val="20"/>
                        </w:rPr>
                      </w:pPr>
                      <w:r w:rsidRPr="008F7887">
                        <w:rPr>
                          <w:sz w:val="20"/>
                          <w:szCs w:val="20"/>
                        </w:rPr>
                        <w:t>Dr Anne Burke, President - Australian Pain Society</w:t>
                      </w:r>
                    </w:p>
                    <w:p w14:paraId="2E1A8C6F" w14:textId="77777777" w:rsidR="00037C6C" w:rsidRPr="008F7887" w:rsidRDefault="00037C6C" w:rsidP="00F713B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30"/>
                        <w:ind w:left="714" w:hanging="357"/>
                        <w:rPr>
                          <w:sz w:val="20"/>
                          <w:szCs w:val="20"/>
                        </w:rPr>
                      </w:pPr>
                      <w:r w:rsidRPr="008F7887">
                        <w:rPr>
                          <w:sz w:val="20"/>
                          <w:szCs w:val="20"/>
                        </w:rPr>
                        <w:t xml:space="preserve">Dr Michael </w:t>
                      </w:r>
                      <w:proofErr w:type="spellStart"/>
                      <w:r w:rsidRPr="008F7887">
                        <w:rPr>
                          <w:sz w:val="20"/>
                          <w:szCs w:val="20"/>
                        </w:rPr>
                        <w:t>Vagg</w:t>
                      </w:r>
                      <w:proofErr w:type="spellEnd"/>
                      <w:r w:rsidRPr="008F7887">
                        <w:rPr>
                          <w:sz w:val="20"/>
                          <w:szCs w:val="20"/>
                        </w:rPr>
                        <w:t xml:space="preserve">, Board Member - ANZCA Faculty of Pain Medicine </w:t>
                      </w:r>
                    </w:p>
                    <w:p w14:paraId="4B8A3A7E" w14:textId="77777777" w:rsidR="00037C6C" w:rsidRPr="008F7887" w:rsidRDefault="00037C6C" w:rsidP="00F713B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30"/>
                        <w:ind w:left="714" w:hanging="357"/>
                        <w:rPr>
                          <w:sz w:val="20"/>
                          <w:szCs w:val="20"/>
                        </w:rPr>
                      </w:pPr>
                      <w:r w:rsidRPr="008F7887">
                        <w:rPr>
                          <w:sz w:val="20"/>
                          <w:szCs w:val="20"/>
                        </w:rPr>
                        <w:t xml:space="preserve">Dr Malcolm Hogg, Head of Pain Services - Royal Melbourne Hospital, and Clinical Advisor - </w:t>
                      </w:r>
                      <w:proofErr w:type="spellStart"/>
                      <w:r w:rsidRPr="008F7887">
                        <w:rPr>
                          <w:iCs/>
                          <w:sz w:val="20"/>
                          <w:szCs w:val="20"/>
                        </w:rPr>
                        <w:t>Painaustralia</w:t>
                      </w:r>
                      <w:proofErr w:type="spellEnd"/>
                    </w:p>
                    <w:p w14:paraId="10F2C825" w14:textId="77777777" w:rsidR="00037C6C" w:rsidRPr="008F7887" w:rsidRDefault="00037C6C" w:rsidP="00F713B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30"/>
                        <w:ind w:left="714" w:hanging="357"/>
                        <w:rPr>
                          <w:sz w:val="20"/>
                          <w:szCs w:val="20"/>
                        </w:rPr>
                      </w:pPr>
                      <w:r w:rsidRPr="008F7887">
                        <w:rPr>
                          <w:sz w:val="20"/>
                          <w:szCs w:val="20"/>
                        </w:rPr>
                        <w:t>Dr Danielle McMullen, NSW President - Australian Medical Association</w:t>
                      </w:r>
                    </w:p>
                    <w:p w14:paraId="4CF4FB26" w14:textId="77777777" w:rsidR="00037C6C" w:rsidRPr="008F7887" w:rsidRDefault="00037C6C" w:rsidP="00F713B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30"/>
                        <w:ind w:left="714" w:hanging="357"/>
                        <w:rPr>
                          <w:sz w:val="20"/>
                          <w:szCs w:val="20"/>
                        </w:rPr>
                      </w:pPr>
                      <w:r w:rsidRPr="008F7887">
                        <w:rPr>
                          <w:sz w:val="20"/>
                          <w:szCs w:val="20"/>
                        </w:rPr>
                        <w:t>Dr Chris Hayes, Specialist Pain Medicine Physician - Hunter New England Health, NSW</w:t>
                      </w:r>
                    </w:p>
                    <w:p w14:paraId="6D53B41F" w14:textId="77777777" w:rsidR="00037C6C" w:rsidRPr="008F7887" w:rsidRDefault="00037C6C" w:rsidP="00F713B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30"/>
                        <w:ind w:left="714" w:hanging="357"/>
                        <w:rPr>
                          <w:sz w:val="20"/>
                          <w:szCs w:val="20"/>
                        </w:rPr>
                      </w:pPr>
                      <w:r w:rsidRPr="008F7887">
                        <w:rPr>
                          <w:sz w:val="20"/>
                          <w:szCs w:val="20"/>
                        </w:rPr>
                        <w:t xml:space="preserve">Dr Adrian Reynolds, Clinical Director - </w:t>
                      </w:r>
                      <w:proofErr w:type="spellStart"/>
                      <w:r w:rsidRPr="008F7887">
                        <w:rPr>
                          <w:sz w:val="20"/>
                          <w:szCs w:val="20"/>
                        </w:rPr>
                        <w:t>Dept</w:t>
                      </w:r>
                      <w:proofErr w:type="spellEnd"/>
                      <w:r w:rsidRPr="008F7887">
                        <w:rPr>
                          <w:sz w:val="20"/>
                          <w:szCs w:val="20"/>
                        </w:rPr>
                        <w:t xml:space="preserve"> of Health and Human Services, Tasmania</w:t>
                      </w:r>
                    </w:p>
                    <w:p w14:paraId="3F3208DD" w14:textId="77777777" w:rsidR="00037C6C" w:rsidRPr="008F7887" w:rsidRDefault="00037C6C" w:rsidP="00F713B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30"/>
                        <w:ind w:left="714" w:hanging="357"/>
                        <w:rPr>
                          <w:sz w:val="20"/>
                          <w:szCs w:val="20"/>
                        </w:rPr>
                      </w:pPr>
                      <w:r w:rsidRPr="008F7887">
                        <w:rPr>
                          <w:sz w:val="20"/>
                          <w:szCs w:val="20"/>
                        </w:rPr>
                        <w:t>A/Professor Suzanne Nielsen, Deputy Director - Monash Addiction Research Centre, Monash University</w:t>
                      </w:r>
                    </w:p>
                    <w:p w14:paraId="7D8AED02" w14:textId="77777777" w:rsidR="00037C6C" w:rsidRPr="008F7887" w:rsidRDefault="00037C6C" w:rsidP="00F713B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30"/>
                        <w:ind w:left="714" w:hanging="357"/>
                        <w:rPr>
                          <w:sz w:val="20"/>
                          <w:szCs w:val="20"/>
                        </w:rPr>
                      </w:pPr>
                      <w:r w:rsidRPr="008F7887">
                        <w:rPr>
                          <w:sz w:val="20"/>
                          <w:szCs w:val="20"/>
                        </w:rPr>
                        <w:t xml:space="preserve">Margaret Jordan, Project Pharmacist - Society of Hospital Pharmacists Australia </w:t>
                      </w:r>
                    </w:p>
                    <w:p w14:paraId="55B3670D" w14:textId="77777777" w:rsidR="00037C6C" w:rsidRPr="008F7887" w:rsidRDefault="00037C6C" w:rsidP="00F713B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30"/>
                        <w:ind w:left="714" w:hanging="357"/>
                        <w:rPr>
                          <w:sz w:val="20"/>
                          <w:szCs w:val="20"/>
                        </w:rPr>
                      </w:pPr>
                      <w:r w:rsidRPr="008F7887">
                        <w:rPr>
                          <w:sz w:val="20"/>
                          <w:szCs w:val="20"/>
                        </w:rPr>
                        <w:t>Steve Morris, CEO - NPS MedicineWise</w:t>
                      </w:r>
                    </w:p>
                    <w:p w14:paraId="5E854B57" w14:textId="77777777" w:rsidR="00037C6C" w:rsidRPr="008F7887" w:rsidRDefault="00037C6C" w:rsidP="00F713B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30"/>
                        <w:ind w:left="714" w:hanging="357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F7887">
                        <w:rPr>
                          <w:sz w:val="20"/>
                          <w:szCs w:val="20"/>
                        </w:rPr>
                        <w:t>Rawa</w:t>
                      </w:r>
                      <w:proofErr w:type="spellEnd"/>
                      <w:r w:rsidRPr="008F7887">
                        <w:rPr>
                          <w:sz w:val="20"/>
                          <w:szCs w:val="20"/>
                        </w:rPr>
                        <w:t xml:space="preserve"> Osman, Senior Clinical Program Officer - NPS MedicineWise</w:t>
                      </w:r>
                    </w:p>
                    <w:p w14:paraId="3AA83ED8" w14:textId="77777777" w:rsidR="00037C6C" w:rsidRPr="008F7887" w:rsidRDefault="00037C6C" w:rsidP="00F713B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30"/>
                        <w:ind w:left="714" w:hanging="357"/>
                        <w:rPr>
                          <w:sz w:val="20"/>
                          <w:szCs w:val="20"/>
                        </w:rPr>
                      </w:pPr>
                      <w:r w:rsidRPr="008F7887">
                        <w:rPr>
                          <w:sz w:val="20"/>
                          <w:szCs w:val="20"/>
                        </w:rPr>
                        <w:t xml:space="preserve">Dr Tim </w:t>
                      </w:r>
                      <w:proofErr w:type="spellStart"/>
                      <w:r w:rsidRPr="008F7887">
                        <w:rPr>
                          <w:sz w:val="20"/>
                          <w:szCs w:val="20"/>
                        </w:rPr>
                        <w:t>Ho</w:t>
                      </w:r>
                      <w:proofErr w:type="spellEnd"/>
                      <w:r w:rsidRPr="008F7887">
                        <w:rPr>
                          <w:sz w:val="20"/>
                          <w:szCs w:val="20"/>
                        </w:rPr>
                        <w:t>, Rehabilitation and Pain Specialist - Sydney Adventist Hospital</w:t>
                      </w:r>
                    </w:p>
                    <w:p w14:paraId="637FB012" w14:textId="77777777" w:rsidR="00037C6C" w:rsidRPr="008F7887" w:rsidRDefault="00037C6C" w:rsidP="00F713B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30"/>
                        <w:ind w:left="714" w:hanging="357"/>
                        <w:rPr>
                          <w:sz w:val="20"/>
                          <w:szCs w:val="20"/>
                        </w:rPr>
                      </w:pPr>
                      <w:r w:rsidRPr="008F7887">
                        <w:rPr>
                          <w:sz w:val="20"/>
                          <w:szCs w:val="20"/>
                        </w:rPr>
                        <w:t>Dr Carl Schneider, Senior Lecturer - Faculty of Medicine and Health, University of Sydney</w:t>
                      </w:r>
                    </w:p>
                    <w:p w14:paraId="349286F2" w14:textId="77777777" w:rsidR="00037C6C" w:rsidRPr="00714A4E" w:rsidRDefault="00037C6C" w:rsidP="00F713BD">
                      <w:pPr>
                        <w:spacing w:before="240"/>
                      </w:pPr>
                      <w:r w:rsidRPr="00714A4E">
                        <w:t xml:space="preserve">Reviewed by the Opioids Regulations Communication Committee and coordinated by the Therapeutic Goods Administration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40" w:history="1">
        <w:r w:rsidR="004252FB" w:rsidRPr="008F7887">
          <w:rPr>
            <w:rStyle w:val="Hyperlink"/>
          </w:rPr>
          <w:t>www.turningpoint.org.au/</w:t>
        </w:r>
      </w:hyperlink>
    </w:p>
    <w:sectPr w:rsidR="00B056EE" w:rsidRPr="00C83FA3" w:rsidSect="00C27323">
      <w:footerReference w:type="default" r:id="rId41"/>
      <w:pgSz w:w="11906" w:h="16838"/>
      <w:pgMar w:top="851" w:right="1021" w:bottom="851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D6B42" w14:textId="77777777" w:rsidR="00037C6C" w:rsidRDefault="00037C6C" w:rsidP="00D40B4B">
      <w:r>
        <w:separator/>
      </w:r>
    </w:p>
  </w:endnote>
  <w:endnote w:type="continuationSeparator" w:id="0">
    <w:p w14:paraId="2E03C209" w14:textId="77777777" w:rsidR="00037C6C" w:rsidRDefault="00037C6C" w:rsidP="00D4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7414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63AEC16" w14:textId="7F9F62D9" w:rsidR="00037C6C" w:rsidRPr="00C27323" w:rsidRDefault="00037C6C" w:rsidP="00C27323">
        <w:pPr>
          <w:pStyle w:val="Footer"/>
          <w:spacing w:before="240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DA7" w:rsidRPr="00AE3DA7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E25D" w14:textId="77777777" w:rsidR="00037C6C" w:rsidRDefault="00037C6C" w:rsidP="00D40B4B">
      <w:r>
        <w:separator/>
      </w:r>
    </w:p>
  </w:footnote>
  <w:footnote w:type="continuationSeparator" w:id="0">
    <w:p w14:paraId="4CD498C8" w14:textId="77777777" w:rsidR="00037C6C" w:rsidRDefault="00037C6C" w:rsidP="00D40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0DE4"/>
    <w:multiLevelType w:val="hybridMultilevel"/>
    <w:tmpl w:val="B5AAC3D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026F6"/>
    <w:multiLevelType w:val="hybridMultilevel"/>
    <w:tmpl w:val="1C426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177F0"/>
    <w:multiLevelType w:val="hybridMultilevel"/>
    <w:tmpl w:val="F64676D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3228B4"/>
    <w:multiLevelType w:val="hybridMultilevel"/>
    <w:tmpl w:val="F3B88A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10DF8"/>
    <w:multiLevelType w:val="hybridMultilevel"/>
    <w:tmpl w:val="22E075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82DD0"/>
    <w:multiLevelType w:val="hybridMultilevel"/>
    <w:tmpl w:val="B92EB822"/>
    <w:lvl w:ilvl="0" w:tplc="9BE2B7E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3"/>
        <w:szCs w:val="23"/>
      </w:rPr>
    </w:lvl>
    <w:lvl w:ilvl="1" w:tplc="9EEEAB38">
      <w:start w:val="1"/>
      <w:numFmt w:val="bullet"/>
      <w:pStyle w:val="Listle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131268"/>
    <w:multiLevelType w:val="hybridMultilevel"/>
    <w:tmpl w:val="F50430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23422"/>
    <w:multiLevelType w:val="hybridMultilevel"/>
    <w:tmpl w:val="7228CB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A2931"/>
    <w:multiLevelType w:val="hybridMultilevel"/>
    <w:tmpl w:val="60225B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B60954"/>
    <w:multiLevelType w:val="hybridMultilevel"/>
    <w:tmpl w:val="3B64BC9C"/>
    <w:lvl w:ilvl="0" w:tplc="0088A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3"/>
        <w:szCs w:val="23"/>
      </w:rPr>
    </w:lvl>
    <w:lvl w:ilvl="1" w:tplc="357427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3"/>
        <w:szCs w:val="23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B29EA"/>
    <w:multiLevelType w:val="hybridMultilevel"/>
    <w:tmpl w:val="6AAE275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C0379"/>
    <w:multiLevelType w:val="multilevel"/>
    <w:tmpl w:val="B57ABE36"/>
    <w:lvl w:ilvl="0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26"/>
        </w:tabs>
        <w:ind w:left="792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D7463B"/>
    <w:multiLevelType w:val="hybridMultilevel"/>
    <w:tmpl w:val="5008DA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479A9"/>
    <w:multiLevelType w:val="hybridMultilevel"/>
    <w:tmpl w:val="183C20CC"/>
    <w:lvl w:ilvl="0" w:tplc="3D541FC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335BA7"/>
    <w:multiLevelType w:val="hybridMultilevel"/>
    <w:tmpl w:val="B6E619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3002D"/>
    <w:multiLevelType w:val="hybridMultilevel"/>
    <w:tmpl w:val="FBCA1AF6"/>
    <w:lvl w:ilvl="0" w:tplc="0088A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3"/>
        <w:szCs w:val="2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8324B"/>
    <w:multiLevelType w:val="multilevel"/>
    <w:tmpl w:val="6EEC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657B00"/>
    <w:multiLevelType w:val="hybridMultilevel"/>
    <w:tmpl w:val="C2EEAE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27DE7"/>
    <w:multiLevelType w:val="hybridMultilevel"/>
    <w:tmpl w:val="9F24D0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02F45"/>
    <w:multiLevelType w:val="hybridMultilevel"/>
    <w:tmpl w:val="609A7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43C76"/>
    <w:multiLevelType w:val="multilevel"/>
    <w:tmpl w:val="69A2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7B5460"/>
    <w:multiLevelType w:val="multilevel"/>
    <w:tmpl w:val="51CC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0E689E"/>
    <w:multiLevelType w:val="hybridMultilevel"/>
    <w:tmpl w:val="A02E8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0"/>
  </w:num>
  <w:num w:numId="4">
    <w:abstractNumId w:val="21"/>
  </w:num>
  <w:num w:numId="5">
    <w:abstractNumId w:val="8"/>
  </w:num>
  <w:num w:numId="6">
    <w:abstractNumId w:val="22"/>
  </w:num>
  <w:num w:numId="7">
    <w:abstractNumId w:val="4"/>
  </w:num>
  <w:num w:numId="8">
    <w:abstractNumId w:val="18"/>
  </w:num>
  <w:num w:numId="9">
    <w:abstractNumId w:val="1"/>
  </w:num>
  <w:num w:numId="10">
    <w:abstractNumId w:val="2"/>
  </w:num>
  <w:num w:numId="11">
    <w:abstractNumId w:val="3"/>
  </w:num>
  <w:num w:numId="12">
    <w:abstractNumId w:val="13"/>
  </w:num>
  <w:num w:numId="13">
    <w:abstractNumId w:val="0"/>
  </w:num>
  <w:num w:numId="14">
    <w:abstractNumId w:val="12"/>
  </w:num>
  <w:num w:numId="15">
    <w:abstractNumId w:val="6"/>
  </w:num>
  <w:num w:numId="16">
    <w:abstractNumId w:val="17"/>
  </w:num>
  <w:num w:numId="17">
    <w:abstractNumId w:val="14"/>
  </w:num>
  <w:num w:numId="18">
    <w:abstractNumId w:val="9"/>
  </w:num>
  <w:num w:numId="19">
    <w:abstractNumId w:val="7"/>
  </w:num>
  <w:num w:numId="20">
    <w:abstractNumId w:val="19"/>
  </w:num>
  <w:num w:numId="21">
    <w:abstractNumId w:val="10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291"/>
    <w:rsid w:val="00016C02"/>
    <w:rsid w:val="00037AE3"/>
    <w:rsid w:val="00037C6C"/>
    <w:rsid w:val="00050553"/>
    <w:rsid w:val="00050DBE"/>
    <w:rsid w:val="000D792C"/>
    <w:rsid w:val="000F3BF8"/>
    <w:rsid w:val="0011275F"/>
    <w:rsid w:val="00125A6B"/>
    <w:rsid w:val="00143982"/>
    <w:rsid w:val="0014498B"/>
    <w:rsid w:val="00160B45"/>
    <w:rsid w:val="0017074C"/>
    <w:rsid w:val="00175ECE"/>
    <w:rsid w:val="001B6F56"/>
    <w:rsid w:val="001D0E86"/>
    <w:rsid w:val="001E7506"/>
    <w:rsid w:val="001F0DFC"/>
    <w:rsid w:val="00220881"/>
    <w:rsid w:val="00230CE7"/>
    <w:rsid w:val="0023201C"/>
    <w:rsid w:val="002427C2"/>
    <w:rsid w:val="00254C90"/>
    <w:rsid w:val="0027386D"/>
    <w:rsid w:val="00274F0F"/>
    <w:rsid w:val="00280050"/>
    <w:rsid w:val="00282127"/>
    <w:rsid w:val="00284C89"/>
    <w:rsid w:val="0028622A"/>
    <w:rsid w:val="00286D4B"/>
    <w:rsid w:val="002A0C85"/>
    <w:rsid w:val="002C08E4"/>
    <w:rsid w:val="002C3405"/>
    <w:rsid w:val="002D1511"/>
    <w:rsid w:val="002D2E07"/>
    <w:rsid w:val="002D6F7C"/>
    <w:rsid w:val="002E5002"/>
    <w:rsid w:val="002F1D97"/>
    <w:rsid w:val="002F34FF"/>
    <w:rsid w:val="002F4ECC"/>
    <w:rsid w:val="00315900"/>
    <w:rsid w:val="003160C3"/>
    <w:rsid w:val="0031691D"/>
    <w:rsid w:val="003227B5"/>
    <w:rsid w:val="00330D1F"/>
    <w:rsid w:val="00342548"/>
    <w:rsid w:val="00361536"/>
    <w:rsid w:val="00365158"/>
    <w:rsid w:val="00370A87"/>
    <w:rsid w:val="00373BC7"/>
    <w:rsid w:val="00377B65"/>
    <w:rsid w:val="00383F74"/>
    <w:rsid w:val="003844CE"/>
    <w:rsid w:val="0039544B"/>
    <w:rsid w:val="003A16C2"/>
    <w:rsid w:val="003A2BE1"/>
    <w:rsid w:val="003A598A"/>
    <w:rsid w:val="003A7CA6"/>
    <w:rsid w:val="00401527"/>
    <w:rsid w:val="004026AA"/>
    <w:rsid w:val="00402AF3"/>
    <w:rsid w:val="004142EF"/>
    <w:rsid w:val="00417DDF"/>
    <w:rsid w:val="004250CB"/>
    <w:rsid w:val="004252FB"/>
    <w:rsid w:val="00442F78"/>
    <w:rsid w:val="00465DF7"/>
    <w:rsid w:val="00470B25"/>
    <w:rsid w:val="00484D14"/>
    <w:rsid w:val="004900E0"/>
    <w:rsid w:val="00493697"/>
    <w:rsid w:val="00497259"/>
    <w:rsid w:val="004A0799"/>
    <w:rsid w:val="004A4B2A"/>
    <w:rsid w:val="004A75F4"/>
    <w:rsid w:val="004B49D0"/>
    <w:rsid w:val="004B755E"/>
    <w:rsid w:val="004C4BFA"/>
    <w:rsid w:val="004C6D7D"/>
    <w:rsid w:val="004F24AC"/>
    <w:rsid w:val="00502A6C"/>
    <w:rsid w:val="0055714C"/>
    <w:rsid w:val="0058239A"/>
    <w:rsid w:val="005854AF"/>
    <w:rsid w:val="00591962"/>
    <w:rsid w:val="005B49FA"/>
    <w:rsid w:val="005C508E"/>
    <w:rsid w:val="005D1525"/>
    <w:rsid w:val="005D6B54"/>
    <w:rsid w:val="00623F1C"/>
    <w:rsid w:val="0063193B"/>
    <w:rsid w:val="00640718"/>
    <w:rsid w:val="006464C6"/>
    <w:rsid w:val="00650FB7"/>
    <w:rsid w:val="00661CEB"/>
    <w:rsid w:val="006904A1"/>
    <w:rsid w:val="006C588B"/>
    <w:rsid w:val="006D012B"/>
    <w:rsid w:val="006E1F28"/>
    <w:rsid w:val="006E2D30"/>
    <w:rsid w:val="006F464B"/>
    <w:rsid w:val="00702F52"/>
    <w:rsid w:val="007054EE"/>
    <w:rsid w:val="00714A4E"/>
    <w:rsid w:val="00727C85"/>
    <w:rsid w:val="00733C04"/>
    <w:rsid w:val="00745C89"/>
    <w:rsid w:val="007462D4"/>
    <w:rsid w:val="0075417A"/>
    <w:rsid w:val="00757DBD"/>
    <w:rsid w:val="00763D9C"/>
    <w:rsid w:val="00791644"/>
    <w:rsid w:val="007920CF"/>
    <w:rsid w:val="007A30FC"/>
    <w:rsid w:val="007B6ED8"/>
    <w:rsid w:val="007B7486"/>
    <w:rsid w:val="007C4E17"/>
    <w:rsid w:val="007D4168"/>
    <w:rsid w:val="007E4261"/>
    <w:rsid w:val="007F606E"/>
    <w:rsid w:val="008010BB"/>
    <w:rsid w:val="00804887"/>
    <w:rsid w:val="00806C40"/>
    <w:rsid w:val="00813EE6"/>
    <w:rsid w:val="00821733"/>
    <w:rsid w:val="00823E43"/>
    <w:rsid w:val="00832146"/>
    <w:rsid w:val="00841397"/>
    <w:rsid w:val="00875731"/>
    <w:rsid w:val="00877813"/>
    <w:rsid w:val="00880633"/>
    <w:rsid w:val="00882AF5"/>
    <w:rsid w:val="008C4334"/>
    <w:rsid w:val="008F7887"/>
    <w:rsid w:val="00913316"/>
    <w:rsid w:val="00920206"/>
    <w:rsid w:val="00930724"/>
    <w:rsid w:val="009309B4"/>
    <w:rsid w:val="0094088A"/>
    <w:rsid w:val="009439B5"/>
    <w:rsid w:val="00950D01"/>
    <w:rsid w:val="00955AB8"/>
    <w:rsid w:val="0097510F"/>
    <w:rsid w:val="00976D86"/>
    <w:rsid w:val="00980B56"/>
    <w:rsid w:val="0099011B"/>
    <w:rsid w:val="009A0291"/>
    <w:rsid w:val="009A1202"/>
    <w:rsid w:val="009B713D"/>
    <w:rsid w:val="009D2EE3"/>
    <w:rsid w:val="009D4ACC"/>
    <w:rsid w:val="009E02DC"/>
    <w:rsid w:val="009F1F1A"/>
    <w:rsid w:val="009F5837"/>
    <w:rsid w:val="00A15850"/>
    <w:rsid w:val="00A31EEF"/>
    <w:rsid w:val="00A4443B"/>
    <w:rsid w:val="00A46E29"/>
    <w:rsid w:val="00A53089"/>
    <w:rsid w:val="00A80E8E"/>
    <w:rsid w:val="00A815A3"/>
    <w:rsid w:val="00A86679"/>
    <w:rsid w:val="00A9031F"/>
    <w:rsid w:val="00A9572F"/>
    <w:rsid w:val="00AA1F21"/>
    <w:rsid w:val="00AA26AE"/>
    <w:rsid w:val="00AA2F0C"/>
    <w:rsid w:val="00AA5897"/>
    <w:rsid w:val="00AB2505"/>
    <w:rsid w:val="00AB4E52"/>
    <w:rsid w:val="00AC07B3"/>
    <w:rsid w:val="00AD323F"/>
    <w:rsid w:val="00AE3DA7"/>
    <w:rsid w:val="00AF207E"/>
    <w:rsid w:val="00B02120"/>
    <w:rsid w:val="00B03DE2"/>
    <w:rsid w:val="00B056EE"/>
    <w:rsid w:val="00B1610B"/>
    <w:rsid w:val="00B2259F"/>
    <w:rsid w:val="00B27365"/>
    <w:rsid w:val="00B35C87"/>
    <w:rsid w:val="00B4115D"/>
    <w:rsid w:val="00B82A00"/>
    <w:rsid w:val="00B91269"/>
    <w:rsid w:val="00BA256D"/>
    <w:rsid w:val="00BC45F1"/>
    <w:rsid w:val="00BE150B"/>
    <w:rsid w:val="00BE2D16"/>
    <w:rsid w:val="00BF41B4"/>
    <w:rsid w:val="00C0488A"/>
    <w:rsid w:val="00C04D34"/>
    <w:rsid w:val="00C27323"/>
    <w:rsid w:val="00C325DD"/>
    <w:rsid w:val="00C462B2"/>
    <w:rsid w:val="00C51BD9"/>
    <w:rsid w:val="00C73C16"/>
    <w:rsid w:val="00C81994"/>
    <w:rsid w:val="00C826F3"/>
    <w:rsid w:val="00C83FA3"/>
    <w:rsid w:val="00C9706D"/>
    <w:rsid w:val="00C97B4E"/>
    <w:rsid w:val="00CA2A17"/>
    <w:rsid w:val="00CA7D05"/>
    <w:rsid w:val="00CB55FB"/>
    <w:rsid w:val="00CC4044"/>
    <w:rsid w:val="00CD082F"/>
    <w:rsid w:val="00CD3338"/>
    <w:rsid w:val="00CD469F"/>
    <w:rsid w:val="00CD5B6A"/>
    <w:rsid w:val="00CE4726"/>
    <w:rsid w:val="00CE689F"/>
    <w:rsid w:val="00CF1EF3"/>
    <w:rsid w:val="00D045D2"/>
    <w:rsid w:val="00D126C7"/>
    <w:rsid w:val="00D20E03"/>
    <w:rsid w:val="00D2387A"/>
    <w:rsid w:val="00D244A5"/>
    <w:rsid w:val="00D36376"/>
    <w:rsid w:val="00D40B4B"/>
    <w:rsid w:val="00D40EF7"/>
    <w:rsid w:val="00D47015"/>
    <w:rsid w:val="00D52DFF"/>
    <w:rsid w:val="00D54CD3"/>
    <w:rsid w:val="00D57D40"/>
    <w:rsid w:val="00D8772B"/>
    <w:rsid w:val="00D87B46"/>
    <w:rsid w:val="00D90959"/>
    <w:rsid w:val="00D921C4"/>
    <w:rsid w:val="00DA7CEF"/>
    <w:rsid w:val="00DB7B6F"/>
    <w:rsid w:val="00DE6FCE"/>
    <w:rsid w:val="00E12B1E"/>
    <w:rsid w:val="00E156FE"/>
    <w:rsid w:val="00E17AEA"/>
    <w:rsid w:val="00E403B8"/>
    <w:rsid w:val="00E403E8"/>
    <w:rsid w:val="00E4454A"/>
    <w:rsid w:val="00E44722"/>
    <w:rsid w:val="00E615EB"/>
    <w:rsid w:val="00E66C70"/>
    <w:rsid w:val="00E82AA7"/>
    <w:rsid w:val="00E9356E"/>
    <w:rsid w:val="00EA66FB"/>
    <w:rsid w:val="00EA7D49"/>
    <w:rsid w:val="00EB1FC1"/>
    <w:rsid w:val="00EB6123"/>
    <w:rsid w:val="00EC24D8"/>
    <w:rsid w:val="00EE352D"/>
    <w:rsid w:val="00EE5879"/>
    <w:rsid w:val="00EF4D51"/>
    <w:rsid w:val="00F040A7"/>
    <w:rsid w:val="00F14D6C"/>
    <w:rsid w:val="00F36B25"/>
    <w:rsid w:val="00F62165"/>
    <w:rsid w:val="00F713BD"/>
    <w:rsid w:val="00F73126"/>
    <w:rsid w:val="00F75A38"/>
    <w:rsid w:val="00F91A40"/>
    <w:rsid w:val="00FA7F78"/>
    <w:rsid w:val="00FB00E9"/>
    <w:rsid w:val="00FB1EA4"/>
    <w:rsid w:val="00FC2C01"/>
    <w:rsid w:val="00FC7A0A"/>
    <w:rsid w:val="00FD18BC"/>
    <w:rsid w:val="00FD4E4E"/>
    <w:rsid w:val="00F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EF17A9"/>
  <w15:docId w15:val="{EB897FEF-52E7-8841-9DC4-289565D9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B4B"/>
    <w:pPr>
      <w:spacing w:after="240" w:line="240" w:lineRule="auto"/>
    </w:pPr>
    <w:rPr>
      <w:rFonts w:ascii="Segoe UI Semilight" w:hAnsi="Segoe UI Semilight" w:cstheme="minorHAnsi"/>
      <w:color w:val="000000"/>
      <w:sz w:val="21"/>
      <w:szCs w:val="23"/>
      <w:lang w:eastAsia="en-AU"/>
    </w:rPr>
  </w:style>
  <w:style w:type="paragraph" w:styleId="Heading1">
    <w:name w:val="heading 1"/>
    <w:basedOn w:val="Normal"/>
    <w:link w:val="Heading1Char"/>
    <w:uiPriority w:val="9"/>
    <w:qFormat/>
    <w:rsid w:val="00591962"/>
    <w:pPr>
      <w:keepNext/>
      <w:spacing w:before="240"/>
      <w:outlineLvl w:val="0"/>
    </w:pPr>
    <w:rPr>
      <w:rFonts w:ascii="Segoe UI Semibold" w:eastAsia="Times New Roman" w:hAnsi="Segoe UI Semibold" w:cs="Calibri Light"/>
      <w:b/>
      <w:color w:val="3B3838" w:themeColor="background2" w:themeShade="40"/>
      <w:kern w:val="36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887"/>
    <w:pPr>
      <w:spacing w:before="480" w:after="120"/>
      <w:outlineLvl w:val="1"/>
    </w:pPr>
    <w:rPr>
      <w:rFonts w:ascii="Segoe UI Semibold" w:hAnsi="Segoe UI Semibold"/>
      <w:color w:val="3B3838" w:themeColor="background2" w:themeShade="4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13BD"/>
    <w:pPr>
      <w:keepNext/>
      <w:keepLines/>
      <w:spacing w:before="240" w:after="60"/>
      <w:outlineLvl w:val="2"/>
    </w:pPr>
    <w:rPr>
      <w:rFonts w:ascii="Segoe UI Semibold" w:eastAsiaTheme="majorEastAsia" w:hAnsi="Segoe UI Semibold" w:cs="Segoe UI Semibold"/>
      <w:color w:val="3B3838" w:themeColor="background2" w:themeShade="4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962"/>
    <w:rPr>
      <w:rFonts w:ascii="Segoe UI Semibold" w:eastAsia="Times New Roman" w:hAnsi="Segoe UI Semibold" w:cs="Calibri Light"/>
      <w:b/>
      <w:color w:val="3B3838" w:themeColor="background2" w:themeShade="40"/>
      <w:kern w:val="36"/>
      <w:sz w:val="44"/>
      <w:szCs w:val="40"/>
      <w:lang w:eastAsia="en-AU"/>
    </w:rPr>
  </w:style>
  <w:style w:type="paragraph" w:styleId="ListParagraph">
    <w:name w:val="List Paragraph"/>
    <w:basedOn w:val="Normal"/>
    <w:uiPriority w:val="34"/>
    <w:qFormat/>
    <w:rsid w:val="00D40B4B"/>
    <w:pPr>
      <w:numPr>
        <w:numId w:val="23"/>
      </w:numPr>
      <w:spacing w:before="60" w:after="60"/>
      <w:ind w:left="794" w:hanging="397"/>
    </w:pPr>
  </w:style>
  <w:style w:type="character" w:styleId="Hyperlink">
    <w:name w:val="Hyperlink"/>
    <w:basedOn w:val="DefaultParagraphFont"/>
    <w:uiPriority w:val="99"/>
    <w:unhideWhenUsed/>
    <w:rsid w:val="003A59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02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206"/>
    <w:rPr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202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206"/>
    <w:rPr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7510F"/>
  </w:style>
  <w:style w:type="character" w:styleId="CommentReference">
    <w:name w:val="annotation reference"/>
    <w:basedOn w:val="DefaultParagraphFont"/>
    <w:uiPriority w:val="99"/>
    <w:semiHidden/>
    <w:unhideWhenUsed/>
    <w:rsid w:val="00037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A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AE3"/>
    <w:rPr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AE3"/>
    <w:rPr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A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AE3"/>
    <w:rPr>
      <w:rFonts w:ascii="Segoe UI" w:hAnsi="Segoe UI" w:cs="Segoe UI"/>
      <w:sz w:val="18"/>
      <w:szCs w:val="18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C6D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1610B"/>
    <w:pPr>
      <w:spacing w:after="0" w:line="240" w:lineRule="auto"/>
    </w:pPr>
    <w:rPr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F2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19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F7887"/>
    <w:rPr>
      <w:rFonts w:ascii="Segoe UI Semibold" w:hAnsi="Segoe UI Semibold" w:cstheme="minorHAnsi"/>
      <w:color w:val="3B3838" w:themeColor="background2" w:themeShade="4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713BD"/>
    <w:rPr>
      <w:rFonts w:ascii="Segoe UI Semibold" w:eastAsiaTheme="majorEastAsia" w:hAnsi="Segoe UI Semibold" w:cs="Segoe UI Semibold"/>
      <w:color w:val="3B3838" w:themeColor="background2" w:themeShade="40"/>
      <w:lang w:eastAsia="en-AU"/>
    </w:rPr>
  </w:style>
  <w:style w:type="paragraph" w:customStyle="1" w:styleId="boxheading">
    <w:name w:val="box heading"/>
    <w:basedOn w:val="Heading3"/>
    <w:qFormat/>
    <w:rsid w:val="00FD18BC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pacing w:before="120" w:after="120"/>
      <w:ind w:left="113" w:right="113"/>
    </w:pPr>
  </w:style>
  <w:style w:type="paragraph" w:customStyle="1" w:styleId="Listlevel2">
    <w:name w:val="List level 2"/>
    <w:basedOn w:val="ListParagraph"/>
    <w:qFormat/>
    <w:rsid w:val="00E17AEA"/>
    <w:pPr>
      <w:numPr>
        <w:ilvl w:val="1"/>
      </w:numPr>
      <w:ind w:left="1276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ioidcalculator.com.au" TargetMode="External"/><Relationship Id="rId13" Type="http://schemas.openxmlformats.org/officeDocument/2006/relationships/hyperlink" Target="http://www.researchgate.net/publication/51070630_The_Behaviour_Change_Wheel_a_new_method_for_characterising_and_designing_behaviour_change_interventions" TargetMode="External"/><Relationship Id="rId18" Type="http://schemas.openxmlformats.org/officeDocument/2006/relationships/hyperlink" Target="http://www.health.gov.au/initiatives-and-programs/take-home-naloxone-pilot" TargetMode="External"/><Relationship Id="rId26" Type="http://schemas.openxmlformats.org/officeDocument/2006/relationships/hyperlink" Target="http://www.dhhs.tas.gov.au/__data/assets/pdf_file/0018/112527/2012_TOPP_Document.pdf" TargetMode="External"/><Relationship Id="rId39" Type="http://schemas.openxmlformats.org/officeDocument/2006/relationships/hyperlink" Target="https://www2.health.vic.gov.au/public-health/drugs-and-poisons/safescript/trainin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ealth.nsw.gov.au/aod/Publications/nsw-clinical-guidelines-opioid.pdf" TargetMode="External"/><Relationship Id="rId34" Type="http://schemas.openxmlformats.org/officeDocument/2006/relationships/hyperlink" Target="https://insight.qld.edu.au/shop/withdrawal-management-quick-reference-guide-opioids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msanz.org.au/sb_cache/associationnews/id/643/f/PSA%20Opioid%20Medicine%20Fact%20Sheet%20_FINAL.pdf" TargetMode="External"/><Relationship Id="rId17" Type="http://schemas.openxmlformats.org/officeDocument/2006/relationships/hyperlink" Target="http://www.clinicalguidelines.gov.au/register/development-evidence-based-opioid-deprescribing-guidelines" TargetMode="External"/><Relationship Id="rId25" Type="http://schemas.openxmlformats.org/officeDocument/2006/relationships/hyperlink" Target="http://www.sahealth.sa.gov.au/wps/wcm/connect/public+content/sa+health+internet/clinical+resources/clinical+programs+and+practice+guidelines/substance+misuse+and+dependence/drug+and+alcohol+programs/gp+program+medication+assisted+treatment+for+opioid+dependence" TargetMode="External"/><Relationship Id="rId33" Type="http://schemas.openxmlformats.org/officeDocument/2006/relationships/hyperlink" Target="http://www.health.qld.gov.au/__data/assets/pdf_file/0021/444432/quick-clinical-guide.pdf" TargetMode="External"/><Relationship Id="rId38" Type="http://schemas.openxmlformats.org/officeDocument/2006/relationships/hyperlink" Target="https://reachforthefacts.com.au/for-prescriber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ci.health.nsw.gov.au/chronic-pain/health-professionals" TargetMode="External"/><Relationship Id="rId20" Type="http://schemas.openxmlformats.org/officeDocument/2006/relationships/hyperlink" Target="http://www.racp.edu.au/docs/default-source/news-and-events/covid-19/interim-guidance-delivery-of-medication-assisted-treatment-of-opiod-dependence-covid-19.pdf?sfvrsn=e36eeb1a_4" TargetMode="External"/><Relationship Id="rId29" Type="http://schemas.openxmlformats.org/officeDocument/2006/relationships/hyperlink" Target="http://www.racgp.org.au/getmedia/33c608d7-e336-41ea-920f-fa171eb02885/Opioid-reduction-policy-template.docx.aspx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ps.org.au/cpd/activities/real-time-prescription-monitoring-safe-script" TargetMode="External"/><Relationship Id="rId24" Type="http://schemas.openxmlformats.org/officeDocument/2006/relationships/hyperlink" Target="http://www.mhc.wa.gov.au/media/1614/wa-clinical-policies-and-procedures-for-the-use-of-methadone.pdf" TargetMode="External"/><Relationship Id="rId32" Type="http://schemas.openxmlformats.org/officeDocument/2006/relationships/hyperlink" Target="http://www.nswtag.org.au/wp-content/uploads/2018/06/1.8-Deprescribing-Guide-for-Regular-Long-Term-Opioid-Analgesic-Use-in-Older-Adults.pdf" TargetMode="External"/><Relationship Id="rId37" Type="http://schemas.openxmlformats.org/officeDocument/2006/relationships/hyperlink" Target="http://nceta.flinders.edu.au/files/8315/4959/9031/Responding_to_pharmaceutical_opioid_related_problems.pdf" TargetMode="External"/><Relationship Id="rId40" Type="http://schemas.openxmlformats.org/officeDocument/2006/relationships/hyperlink" Target="http://www.turningpoint.org.a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swtag.org.au/wp-content/uploads/2018/06/1.8-Deprescribing-Guide-for-Regular-Long-Term-Opioid-Analgesic-Use-in-Older-Adults.pdf" TargetMode="External"/><Relationship Id="rId23" Type="http://schemas.openxmlformats.org/officeDocument/2006/relationships/hyperlink" Target="http://www.health.qld.gov.au/__data/assets/pdf_file/0022/444613/qotp-clinical-guidelines.pdf" TargetMode="External"/><Relationship Id="rId28" Type="http://schemas.openxmlformats.org/officeDocument/2006/relationships/hyperlink" Target="http://www.painaustralia.org.au/getting-help/pain-directory" TargetMode="External"/><Relationship Id="rId36" Type="http://schemas.openxmlformats.org/officeDocument/2006/relationships/hyperlink" Target="http://www.primaryhealthtas.com.au/wp-content/uploads/2018/09/A-Guide-to-Deprescribing-Opioids.pdf" TargetMode="External"/><Relationship Id="rId10" Type="http://schemas.openxmlformats.org/officeDocument/2006/relationships/hyperlink" Target="http://www.nps.org.au/professionals/opioids-chronic-pain/starting-a-conversation" TargetMode="External"/><Relationship Id="rId19" Type="http://schemas.openxmlformats.org/officeDocument/2006/relationships/hyperlink" Target="http://www.penington.org.au/wp-content/uploads/2019/04/COPE-overdoseresponse-nyxoid.pdf" TargetMode="External"/><Relationship Id="rId31" Type="http://schemas.openxmlformats.org/officeDocument/2006/relationships/hyperlink" Target="http://www.aci.health.nsw.gov.au/chronic-pain/health-professionals/quick-steps-to-manage-chronic-pain-in-primary-care/how_to_de-prescribe_and_wean_opioids_in_general_practi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mh.org.au/research/back-pain-and-musculoskeletal-conditions/research-projects-in-improving-clinical-care/" TargetMode="External"/><Relationship Id="rId14" Type="http://schemas.openxmlformats.org/officeDocument/2006/relationships/hyperlink" Target="http://www.nps.org.au/news/5-steps-to-tapering-opioids" TargetMode="External"/><Relationship Id="rId22" Type="http://schemas.openxmlformats.org/officeDocument/2006/relationships/hyperlink" Target="https://www2.health.vic.gov.au/public-health/drugs-and-poisons/pharmacotherapy/pharmacotherapy-training" TargetMode="External"/><Relationship Id="rId27" Type="http://schemas.openxmlformats.org/officeDocument/2006/relationships/hyperlink" Target="http://www.health.act.gov.au/services-and-programs/alcohol-and-drug-services/opioid-maintenance-treatment" TargetMode="External"/><Relationship Id="rId30" Type="http://schemas.openxmlformats.org/officeDocument/2006/relationships/hyperlink" Target="https://www.racgp.org.au/FSDEDEV/media/documents/Clinical%20Resources/Guidelines/Drugs%20of%20dependence/Prescribing-drugs-of-dependence-in-general-practice-Part-A.pdf" TargetMode="External"/><Relationship Id="rId35" Type="http://schemas.openxmlformats.org/officeDocument/2006/relationships/hyperlink" Target="https://insight.qld.edu.au/training/opioid-related-case-studies/detai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4804D-F487-4A79-9342-2B9E9744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3119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Clinician information sheet on opioid analgesic tapering</vt:lpstr>
    </vt:vector>
  </TitlesOfParts>
  <Company>Department of Health</Company>
  <LinksUpToDate>false</LinksUpToDate>
  <CharactersWithSpaces>20857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Clinician information sheet on opioid analgesic tapering</dc:title>
  <dc:subject>prescription medicines - opioids</dc:subject>
  <dc:creator>Therapeutic Goods Administration</dc:creator>
  <cp:keywords>opioids</cp:keywords>
  <cp:lastModifiedBy>LUX, Faye</cp:lastModifiedBy>
  <cp:revision>2</cp:revision>
  <cp:lastPrinted>2020-09-17T00:49:00Z</cp:lastPrinted>
  <dcterms:created xsi:type="dcterms:W3CDTF">2023-04-14T02:46:00Z</dcterms:created>
  <dcterms:modified xsi:type="dcterms:W3CDTF">2023-04-14T02:46:00Z</dcterms:modified>
  <cp:category>Prescription medicines, medicine safety</cp:category>
</cp:coreProperties>
</file>