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February 2018&#10;Australian Public Assessment Report for Ceritinib&#10;Proprietary Product Name: Zykadia&#10;Sponsor: Novartis Pharmaceuticals Aust Pty Ltd&#10;"/>
      </w:tblPr>
      <w:tblGrid>
        <w:gridCol w:w="3652"/>
      </w:tblGrid>
      <w:tr w:rsidR="008E7846" w:rsidRPr="00487162" w14:paraId="57AA0342" w14:textId="77777777" w:rsidTr="00BF1190">
        <w:trPr>
          <w:trHeight w:val="1863"/>
        </w:trPr>
        <w:tc>
          <w:tcPr>
            <w:tcW w:w="3652" w:type="dxa"/>
            <w:tcBorders>
              <w:top w:val="nil"/>
              <w:left w:val="nil"/>
              <w:bottom w:val="nil"/>
              <w:right w:val="nil"/>
            </w:tcBorders>
          </w:tcPr>
          <w:p w14:paraId="5C2D79E4" w14:textId="1CC2BF92" w:rsidR="008E7846" w:rsidRPr="00096AA7" w:rsidRDefault="00C24127" w:rsidP="00096AA7">
            <w:pPr>
              <w:rPr>
                <w:rFonts w:ascii="Arial" w:hAnsi="Arial" w:cs="Arial"/>
                <w:b/>
                <w:color w:val="002C47"/>
                <w:sz w:val="36"/>
                <w:szCs w:val="36"/>
              </w:rPr>
            </w:pPr>
            <w:r>
              <w:rPr>
                <w:rFonts w:ascii="Arial" w:hAnsi="Arial" w:cs="Arial"/>
                <w:b/>
                <w:color w:val="002C47"/>
                <w:sz w:val="36"/>
                <w:szCs w:val="36"/>
              </w:rPr>
              <w:t>February 2018</w:t>
            </w:r>
          </w:p>
        </w:tc>
      </w:tr>
    </w:tbl>
    <w:tbl>
      <w:tblPr>
        <w:tblpPr w:leftFromText="180" w:rightFromText="180" w:vertAnchor="page" w:tblpY="3316"/>
        <w:tblW w:w="9079" w:type="dxa"/>
        <w:tblLayout w:type="fixed"/>
        <w:tblLook w:val="04A0" w:firstRow="1" w:lastRow="0" w:firstColumn="1" w:lastColumn="0" w:noHBand="0" w:noVBand="1"/>
        <w:tblDescription w:val="Australian Public Assessment Report for Ceritinib&#10;Proprietary Product Name: Zykadia&#10;Sponsor: Novartis Pharmaceuticals Aust Pty Ltd&#10;"/>
      </w:tblPr>
      <w:tblGrid>
        <w:gridCol w:w="9079"/>
      </w:tblGrid>
      <w:tr w:rsidR="0032583B" w:rsidRPr="00A964D1" w14:paraId="6866C523" w14:textId="77777777" w:rsidTr="0032583B">
        <w:trPr>
          <w:trHeight w:val="868"/>
        </w:trPr>
        <w:tc>
          <w:tcPr>
            <w:tcW w:w="9079" w:type="dxa"/>
          </w:tcPr>
          <w:p w14:paraId="304BD63E" w14:textId="77777777" w:rsidR="0032583B" w:rsidRPr="00A964D1" w:rsidRDefault="0032583B" w:rsidP="00A964D1">
            <w:pPr>
              <w:pStyle w:val="Title"/>
              <w:rPr>
                <w:color w:val="FFFFFF" w:themeColor="background1"/>
              </w:rPr>
            </w:pPr>
            <w:r w:rsidRPr="00A964D1">
              <w:rPr>
                <w:color w:val="FFFFFF" w:themeColor="background1"/>
              </w:rPr>
              <w:t xml:space="preserve">Australian Public Assessment Report </w:t>
            </w:r>
            <w:bookmarkStart w:id="0" w:name="_GoBack"/>
            <w:r w:rsidRPr="00A964D1">
              <w:rPr>
                <w:color w:val="FFFFFF" w:themeColor="background1"/>
              </w:rPr>
              <w:t xml:space="preserve">for </w:t>
            </w:r>
            <w:r w:rsidR="00547DC6">
              <w:rPr>
                <w:color w:val="FFFFFF" w:themeColor="background1"/>
              </w:rPr>
              <w:t>C</w:t>
            </w:r>
            <w:r w:rsidR="00547DC6" w:rsidRPr="00547DC6">
              <w:rPr>
                <w:color w:val="FFFFFF" w:themeColor="background1"/>
              </w:rPr>
              <w:t>eritinib</w:t>
            </w:r>
            <w:bookmarkEnd w:id="0"/>
          </w:p>
        </w:tc>
      </w:tr>
      <w:tr w:rsidR="0032583B" w:rsidRPr="00B64760" w14:paraId="78D89F88" w14:textId="77777777" w:rsidTr="0032583B">
        <w:tc>
          <w:tcPr>
            <w:tcW w:w="9079" w:type="dxa"/>
          </w:tcPr>
          <w:p w14:paraId="49A5CDE5" w14:textId="77777777" w:rsidR="0032583B" w:rsidRPr="008E7846" w:rsidRDefault="0032583B" w:rsidP="00547DC6">
            <w:pPr>
              <w:pStyle w:val="Subtitle"/>
              <w:rPr>
                <w:color w:val="FFFFFF" w:themeColor="background1"/>
              </w:rPr>
            </w:pPr>
            <w:r w:rsidRPr="008E7846">
              <w:rPr>
                <w:color w:val="FFFFFF" w:themeColor="background1"/>
              </w:rPr>
              <w:t xml:space="preserve">Proprietary Product Name: </w:t>
            </w:r>
            <w:r w:rsidR="00547DC6">
              <w:rPr>
                <w:color w:val="FFFFFF" w:themeColor="background1"/>
              </w:rPr>
              <w:t>Zykadia</w:t>
            </w:r>
          </w:p>
        </w:tc>
      </w:tr>
      <w:tr w:rsidR="0032583B" w:rsidRPr="00B64760" w14:paraId="5A7E6DDD" w14:textId="77777777" w:rsidTr="0032583B">
        <w:trPr>
          <w:trHeight w:val="486"/>
        </w:trPr>
        <w:tc>
          <w:tcPr>
            <w:tcW w:w="9079" w:type="dxa"/>
          </w:tcPr>
          <w:p w14:paraId="296D2057" w14:textId="77777777" w:rsidR="0032583B" w:rsidRPr="008E7846" w:rsidRDefault="0032583B" w:rsidP="00547DC6">
            <w:pPr>
              <w:pStyle w:val="Subtitle"/>
              <w:rPr>
                <w:color w:val="FFFFFF" w:themeColor="background1"/>
              </w:rPr>
            </w:pPr>
            <w:r w:rsidRPr="008E7846">
              <w:rPr>
                <w:color w:val="FFFFFF" w:themeColor="background1"/>
              </w:rPr>
              <w:t>Sponsor:</w:t>
            </w:r>
            <w:r w:rsidR="00547DC6">
              <w:rPr>
                <w:color w:val="FFFFFF" w:themeColor="background1"/>
              </w:rPr>
              <w:t xml:space="preserve"> Novartis Pharmaceuticals Aust Pty Ltd</w:t>
            </w:r>
          </w:p>
        </w:tc>
      </w:tr>
    </w:tbl>
    <w:p w14:paraId="3F49A355" w14:textId="77777777" w:rsidR="008E7846" w:rsidRPr="0085156D" w:rsidRDefault="008E7846" w:rsidP="0085156D">
      <w:r w:rsidRPr="0085156D">
        <w:br w:type="page"/>
      </w:r>
    </w:p>
    <w:p w14:paraId="070BCAE0" w14:textId="77777777" w:rsidR="008E7846" w:rsidRPr="001F6CBA" w:rsidRDefault="008E7846" w:rsidP="008E7846">
      <w:pPr>
        <w:pStyle w:val="NonTOCHeading2"/>
      </w:pPr>
      <w:r w:rsidRPr="001F6CBA">
        <w:lastRenderedPageBreak/>
        <w:t>About the Therapeutic Goods Administration (TGA)</w:t>
      </w:r>
    </w:p>
    <w:p w14:paraId="6A72A26D" w14:textId="77777777" w:rsidR="008E7846" w:rsidRDefault="008E7846" w:rsidP="00554D4D">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4ACE327F" w14:textId="77777777" w:rsidR="008E7846" w:rsidRDefault="00C80137" w:rsidP="00554D4D">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6374187D" w14:textId="77777777" w:rsidR="008E7846" w:rsidRDefault="008E7846" w:rsidP="00554D4D">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77DC51E4" w14:textId="77777777" w:rsidR="008E7846" w:rsidRDefault="008E7846" w:rsidP="00554D4D">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5A3E99E7" w14:textId="77777777" w:rsidR="00441C3F" w:rsidRDefault="008E7846" w:rsidP="00554D4D">
      <w:pPr>
        <w:pStyle w:val="ListBullet"/>
        <w:numPr>
          <w:ilvl w:val="0"/>
          <w:numId w:val="1"/>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14:paraId="2EA31959" w14:textId="77777777" w:rsidR="008E7846" w:rsidRDefault="008E7846" w:rsidP="00875A6B">
      <w:pPr>
        <w:pStyle w:val="NonTOCHeading2"/>
      </w:pPr>
      <w:r>
        <w:t>About AusPARs</w:t>
      </w:r>
    </w:p>
    <w:p w14:paraId="42102A6C" w14:textId="77777777" w:rsidR="008E7846" w:rsidRDefault="008E7846" w:rsidP="00554D4D">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013848D4" w14:textId="77777777" w:rsidR="008E7846" w:rsidRDefault="008E7846" w:rsidP="00554D4D">
      <w:pPr>
        <w:pStyle w:val="ListBullet"/>
        <w:numPr>
          <w:ilvl w:val="0"/>
          <w:numId w:val="1"/>
        </w:numPr>
        <w:ind w:left="357" w:hanging="357"/>
      </w:pPr>
      <w:r>
        <w:t>AusPARs are prepared and published by the TGA.</w:t>
      </w:r>
    </w:p>
    <w:p w14:paraId="674EAD74" w14:textId="77777777" w:rsidR="008E7846" w:rsidRDefault="008E7846" w:rsidP="00554D4D">
      <w:pPr>
        <w:pStyle w:val="ListBullet"/>
        <w:numPr>
          <w:ilvl w:val="0"/>
          <w:numId w:val="1"/>
        </w:numPr>
        <w:ind w:left="357" w:hanging="357"/>
      </w:pPr>
      <w:r>
        <w:t>An AusPAR is prepared for submissions that relate to new chemical entities, generic medicines, major variations and extensions of indications.</w:t>
      </w:r>
    </w:p>
    <w:p w14:paraId="50611D13" w14:textId="77777777" w:rsidR="008E7846" w:rsidRDefault="008E7846" w:rsidP="00554D4D">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38A5305A" w14:textId="77777777" w:rsidR="00B452CE" w:rsidRDefault="008E7846" w:rsidP="00554D4D">
      <w:pPr>
        <w:pStyle w:val="ListBullet"/>
        <w:numPr>
          <w:ilvl w:val="0"/>
          <w:numId w:val="1"/>
        </w:numPr>
        <w:ind w:left="357" w:hanging="357"/>
      </w:pPr>
      <w:r>
        <w:t>A new AusPAR will be developed to reflect changes to indications and/or major variations to a prescription medicine subject to evaluation by the TGA.</w:t>
      </w:r>
    </w:p>
    <w:p w14:paraId="343CCD5B" w14:textId="77777777" w:rsidR="00924482" w:rsidRPr="00DF1D7F" w:rsidRDefault="00924482" w:rsidP="00F54B65">
      <w:pPr>
        <w:pStyle w:val="LegalSubheading"/>
        <w:spacing w:before="3120"/>
      </w:pPr>
      <w:r w:rsidRPr="00DF1D7F">
        <w:t>Copyright</w:t>
      </w:r>
    </w:p>
    <w:p w14:paraId="1B9EDBAD" w14:textId="6D1DCD82" w:rsidR="00924482" w:rsidRDefault="00924482" w:rsidP="00924482">
      <w:pPr>
        <w:pStyle w:val="LegalCopy"/>
      </w:pPr>
      <w:r w:rsidRPr="00191B3B">
        <w:rPr>
          <w:rFonts w:cs="Arial"/>
          <w:lang w:val="en-GB"/>
        </w:rPr>
        <w:t>© Comm</w:t>
      </w:r>
      <w:r>
        <w:rPr>
          <w:rFonts w:cs="Arial"/>
          <w:lang w:val="en-GB"/>
        </w:rPr>
        <w:t>onwealth of Australia 201</w:t>
      </w:r>
      <w:r w:rsidR="00493AFB">
        <w:rPr>
          <w:rFonts w:cs="Arial"/>
          <w:lang w:val="en-GB"/>
        </w:rPr>
        <w:t>8</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14:paraId="385E377E" w14:textId="77777777"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sdt>
      <w:sdtPr>
        <w:rPr>
          <w:rFonts w:ascii="Cambria" w:hAnsi="Cambria"/>
          <w:b w:val="0"/>
          <w:bCs/>
          <w:sz w:val="22"/>
        </w:rPr>
        <w:id w:val="5618007"/>
        <w:docPartObj>
          <w:docPartGallery w:val="Table of Contents"/>
          <w:docPartUnique/>
        </w:docPartObj>
      </w:sdtPr>
      <w:sdtEndPr>
        <w:rPr>
          <w:b/>
          <w:bCs w:val="0"/>
          <w:sz w:val="25"/>
        </w:rPr>
      </w:sdtEndPr>
      <w:sdtContent>
        <w:p w14:paraId="1183A6BB" w14:textId="77777777" w:rsidR="0089635C" w:rsidRPr="0089635C" w:rsidRDefault="0089635C" w:rsidP="0010788A">
          <w:pPr>
            <w:pStyle w:val="Contents"/>
          </w:pPr>
          <w:r w:rsidRPr="0010788A">
            <w:t>Contents</w:t>
          </w:r>
        </w:p>
        <w:p w14:paraId="35E9C2AD" w14:textId="77777777" w:rsidR="00FB5E36"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07501090" w:history="1">
            <w:r w:rsidR="00FB5E36" w:rsidRPr="00E9464B">
              <w:rPr>
                <w:rStyle w:val="Hyperlink"/>
                <w:noProof/>
              </w:rPr>
              <w:t>Common abbreviations</w:t>
            </w:r>
            <w:r w:rsidR="00FB5E36">
              <w:rPr>
                <w:noProof/>
                <w:webHidden/>
              </w:rPr>
              <w:tab/>
            </w:r>
            <w:r w:rsidR="00FB5E36">
              <w:rPr>
                <w:noProof/>
                <w:webHidden/>
              </w:rPr>
              <w:fldChar w:fldCharType="begin"/>
            </w:r>
            <w:r w:rsidR="00FB5E36">
              <w:rPr>
                <w:noProof/>
                <w:webHidden/>
              </w:rPr>
              <w:instrText xml:space="preserve"> PAGEREF _Toc507501090 \h </w:instrText>
            </w:r>
            <w:r w:rsidR="00FB5E36">
              <w:rPr>
                <w:noProof/>
                <w:webHidden/>
              </w:rPr>
            </w:r>
            <w:r w:rsidR="00FB5E36">
              <w:rPr>
                <w:noProof/>
                <w:webHidden/>
              </w:rPr>
              <w:fldChar w:fldCharType="separate"/>
            </w:r>
            <w:r w:rsidR="00F94120">
              <w:rPr>
                <w:noProof/>
                <w:webHidden/>
              </w:rPr>
              <w:t>5</w:t>
            </w:r>
            <w:r w:rsidR="00FB5E36">
              <w:rPr>
                <w:noProof/>
                <w:webHidden/>
              </w:rPr>
              <w:fldChar w:fldCharType="end"/>
            </w:r>
          </w:hyperlink>
        </w:p>
        <w:p w14:paraId="63DE47A7" w14:textId="77777777" w:rsidR="00FB5E36" w:rsidRDefault="00493AFB">
          <w:pPr>
            <w:pStyle w:val="TOC2"/>
            <w:rPr>
              <w:rFonts w:asciiTheme="minorHAnsi" w:eastAsiaTheme="minorEastAsia" w:hAnsiTheme="minorHAnsi" w:cstheme="minorBidi"/>
              <w:b w:val="0"/>
              <w:noProof/>
              <w:sz w:val="22"/>
              <w:lang w:eastAsia="en-AU"/>
            </w:rPr>
          </w:pPr>
          <w:hyperlink w:anchor="_Toc507501091" w:history="1">
            <w:r w:rsidR="00FB5E36" w:rsidRPr="00E9464B">
              <w:rPr>
                <w:rStyle w:val="Hyperlink"/>
                <w:noProof/>
              </w:rPr>
              <w:t>I. Introduction to product submission</w:t>
            </w:r>
            <w:r w:rsidR="00FB5E36">
              <w:rPr>
                <w:noProof/>
                <w:webHidden/>
              </w:rPr>
              <w:tab/>
            </w:r>
            <w:r w:rsidR="00FB5E36">
              <w:rPr>
                <w:noProof/>
                <w:webHidden/>
              </w:rPr>
              <w:fldChar w:fldCharType="begin"/>
            </w:r>
            <w:r w:rsidR="00FB5E36">
              <w:rPr>
                <w:noProof/>
                <w:webHidden/>
              </w:rPr>
              <w:instrText xml:space="preserve"> PAGEREF _Toc507501091 \h </w:instrText>
            </w:r>
            <w:r w:rsidR="00FB5E36">
              <w:rPr>
                <w:noProof/>
                <w:webHidden/>
              </w:rPr>
            </w:r>
            <w:r w:rsidR="00FB5E36">
              <w:rPr>
                <w:noProof/>
                <w:webHidden/>
              </w:rPr>
              <w:fldChar w:fldCharType="separate"/>
            </w:r>
            <w:r w:rsidR="00F94120">
              <w:rPr>
                <w:noProof/>
                <w:webHidden/>
              </w:rPr>
              <w:t>10</w:t>
            </w:r>
            <w:r w:rsidR="00FB5E36">
              <w:rPr>
                <w:noProof/>
                <w:webHidden/>
              </w:rPr>
              <w:fldChar w:fldCharType="end"/>
            </w:r>
          </w:hyperlink>
        </w:p>
        <w:p w14:paraId="616FC595" w14:textId="77777777" w:rsidR="00FB5E36" w:rsidRDefault="00493AFB">
          <w:pPr>
            <w:pStyle w:val="TOC3"/>
            <w:rPr>
              <w:rFonts w:asciiTheme="minorHAnsi" w:eastAsiaTheme="minorEastAsia" w:hAnsiTheme="minorHAnsi" w:cstheme="minorBidi"/>
              <w:noProof/>
              <w:lang w:eastAsia="en-AU"/>
            </w:rPr>
          </w:pPr>
          <w:hyperlink w:anchor="_Toc507501092" w:history="1">
            <w:r w:rsidR="00FB5E36" w:rsidRPr="00E9464B">
              <w:rPr>
                <w:rStyle w:val="Hyperlink"/>
                <w:noProof/>
                <w:lang w:eastAsia="en-AU"/>
              </w:rPr>
              <w:t>Submission details</w:t>
            </w:r>
            <w:r w:rsidR="00FB5E36">
              <w:rPr>
                <w:noProof/>
                <w:webHidden/>
              </w:rPr>
              <w:tab/>
            </w:r>
            <w:r w:rsidR="00FB5E36">
              <w:rPr>
                <w:noProof/>
                <w:webHidden/>
              </w:rPr>
              <w:fldChar w:fldCharType="begin"/>
            </w:r>
            <w:r w:rsidR="00FB5E36">
              <w:rPr>
                <w:noProof/>
                <w:webHidden/>
              </w:rPr>
              <w:instrText xml:space="preserve"> PAGEREF _Toc507501092 \h </w:instrText>
            </w:r>
            <w:r w:rsidR="00FB5E36">
              <w:rPr>
                <w:noProof/>
                <w:webHidden/>
              </w:rPr>
            </w:r>
            <w:r w:rsidR="00FB5E36">
              <w:rPr>
                <w:noProof/>
                <w:webHidden/>
              </w:rPr>
              <w:fldChar w:fldCharType="separate"/>
            </w:r>
            <w:r w:rsidR="00F94120">
              <w:rPr>
                <w:noProof/>
                <w:webHidden/>
              </w:rPr>
              <w:t>10</w:t>
            </w:r>
            <w:r w:rsidR="00FB5E36">
              <w:rPr>
                <w:noProof/>
                <w:webHidden/>
              </w:rPr>
              <w:fldChar w:fldCharType="end"/>
            </w:r>
          </w:hyperlink>
        </w:p>
        <w:p w14:paraId="17FBBEE5" w14:textId="77777777" w:rsidR="00FB5E36" w:rsidRDefault="00493AFB">
          <w:pPr>
            <w:pStyle w:val="TOC3"/>
            <w:rPr>
              <w:rFonts w:asciiTheme="minorHAnsi" w:eastAsiaTheme="minorEastAsia" w:hAnsiTheme="minorHAnsi" w:cstheme="minorBidi"/>
              <w:noProof/>
              <w:lang w:eastAsia="en-AU"/>
            </w:rPr>
          </w:pPr>
          <w:hyperlink w:anchor="_Toc507501093" w:history="1">
            <w:r w:rsidR="00FB5E36" w:rsidRPr="00E9464B">
              <w:rPr>
                <w:rStyle w:val="Hyperlink"/>
                <w:noProof/>
              </w:rPr>
              <w:t>Product background</w:t>
            </w:r>
            <w:r w:rsidR="00FB5E36">
              <w:rPr>
                <w:noProof/>
                <w:webHidden/>
              </w:rPr>
              <w:tab/>
            </w:r>
            <w:r w:rsidR="00FB5E36">
              <w:rPr>
                <w:noProof/>
                <w:webHidden/>
              </w:rPr>
              <w:fldChar w:fldCharType="begin"/>
            </w:r>
            <w:r w:rsidR="00FB5E36">
              <w:rPr>
                <w:noProof/>
                <w:webHidden/>
              </w:rPr>
              <w:instrText xml:space="preserve"> PAGEREF _Toc507501093 \h </w:instrText>
            </w:r>
            <w:r w:rsidR="00FB5E36">
              <w:rPr>
                <w:noProof/>
                <w:webHidden/>
              </w:rPr>
            </w:r>
            <w:r w:rsidR="00FB5E36">
              <w:rPr>
                <w:noProof/>
                <w:webHidden/>
              </w:rPr>
              <w:fldChar w:fldCharType="separate"/>
            </w:r>
            <w:r w:rsidR="00F94120">
              <w:rPr>
                <w:noProof/>
                <w:webHidden/>
              </w:rPr>
              <w:t>10</w:t>
            </w:r>
            <w:r w:rsidR="00FB5E36">
              <w:rPr>
                <w:noProof/>
                <w:webHidden/>
              </w:rPr>
              <w:fldChar w:fldCharType="end"/>
            </w:r>
          </w:hyperlink>
        </w:p>
        <w:p w14:paraId="2FD721E5" w14:textId="77777777" w:rsidR="00FB5E36" w:rsidRDefault="00493AFB">
          <w:pPr>
            <w:pStyle w:val="TOC3"/>
            <w:rPr>
              <w:rFonts w:asciiTheme="minorHAnsi" w:eastAsiaTheme="minorEastAsia" w:hAnsiTheme="minorHAnsi" w:cstheme="minorBidi"/>
              <w:noProof/>
              <w:lang w:eastAsia="en-AU"/>
            </w:rPr>
          </w:pPr>
          <w:hyperlink w:anchor="_Toc507501094" w:history="1">
            <w:r w:rsidR="00FB5E36" w:rsidRPr="00E9464B">
              <w:rPr>
                <w:rStyle w:val="Hyperlink"/>
                <w:noProof/>
              </w:rPr>
              <w:t>Regulatory status</w:t>
            </w:r>
            <w:r w:rsidR="00FB5E36">
              <w:rPr>
                <w:noProof/>
                <w:webHidden/>
              </w:rPr>
              <w:tab/>
            </w:r>
            <w:r w:rsidR="00FB5E36">
              <w:rPr>
                <w:noProof/>
                <w:webHidden/>
              </w:rPr>
              <w:fldChar w:fldCharType="begin"/>
            </w:r>
            <w:r w:rsidR="00FB5E36">
              <w:rPr>
                <w:noProof/>
                <w:webHidden/>
              </w:rPr>
              <w:instrText xml:space="preserve"> PAGEREF _Toc507501094 \h </w:instrText>
            </w:r>
            <w:r w:rsidR="00FB5E36">
              <w:rPr>
                <w:noProof/>
                <w:webHidden/>
              </w:rPr>
            </w:r>
            <w:r w:rsidR="00FB5E36">
              <w:rPr>
                <w:noProof/>
                <w:webHidden/>
              </w:rPr>
              <w:fldChar w:fldCharType="separate"/>
            </w:r>
            <w:r w:rsidR="00F94120">
              <w:rPr>
                <w:noProof/>
                <w:webHidden/>
              </w:rPr>
              <w:t>12</w:t>
            </w:r>
            <w:r w:rsidR="00FB5E36">
              <w:rPr>
                <w:noProof/>
                <w:webHidden/>
              </w:rPr>
              <w:fldChar w:fldCharType="end"/>
            </w:r>
          </w:hyperlink>
        </w:p>
        <w:p w14:paraId="6B3C2BB3" w14:textId="77777777" w:rsidR="00FB5E36" w:rsidRDefault="00493AFB">
          <w:pPr>
            <w:pStyle w:val="TOC3"/>
            <w:rPr>
              <w:rFonts w:asciiTheme="minorHAnsi" w:eastAsiaTheme="minorEastAsia" w:hAnsiTheme="minorHAnsi" w:cstheme="minorBidi"/>
              <w:noProof/>
              <w:lang w:eastAsia="en-AU"/>
            </w:rPr>
          </w:pPr>
          <w:hyperlink w:anchor="_Toc507501095" w:history="1">
            <w:r w:rsidR="00FB5E36" w:rsidRPr="00E9464B">
              <w:rPr>
                <w:rStyle w:val="Hyperlink"/>
                <w:noProof/>
              </w:rPr>
              <w:t>Product Information</w:t>
            </w:r>
            <w:r w:rsidR="00FB5E36">
              <w:rPr>
                <w:noProof/>
                <w:webHidden/>
              </w:rPr>
              <w:tab/>
            </w:r>
            <w:r w:rsidR="00FB5E36">
              <w:rPr>
                <w:noProof/>
                <w:webHidden/>
              </w:rPr>
              <w:fldChar w:fldCharType="begin"/>
            </w:r>
            <w:r w:rsidR="00FB5E36">
              <w:rPr>
                <w:noProof/>
                <w:webHidden/>
              </w:rPr>
              <w:instrText xml:space="preserve"> PAGEREF _Toc507501095 \h </w:instrText>
            </w:r>
            <w:r w:rsidR="00FB5E36">
              <w:rPr>
                <w:noProof/>
                <w:webHidden/>
              </w:rPr>
            </w:r>
            <w:r w:rsidR="00FB5E36">
              <w:rPr>
                <w:noProof/>
                <w:webHidden/>
              </w:rPr>
              <w:fldChar w:fldCharType="separate"/>
            </w:r>
            <w:r w:rsidR="00F94120">
              <w:rPr>
                <w:noProof/>
                <w:webHidden/>
              </w:rPr>
              <w:t>13</w:t>
            </w:r>
            <w:r w:rsidR="00FB5E36">
              <w:rPr>
                <w:noProof/>
                <w:webHidden/>
              </w:rPr>
              <w:fldChar w:fldCharType="end"/>
            </w:r>
          </w:hyperlink>
        </w:p>
        <w:p w14:paraId="7E65663D" w14:textId="77777777" w:rsidR="00FB5E36" w:rsidRDefault="00493AFB">
          <w:pPr>
            <w:pStyle w:val="TOC2"/>
            <w:rPr>
              <w:rFonts w:asciiTheme="minorHAnsi" w:eastAsiaTheme="minorEastAsia" w:hAnsiTheme="minorHAnsi" w:cstheme="minorBidi"/>
              <w:b w:val="0"/>
              <w:noProof/>
              <w:sz w:val="22"/>
              <w:lang w:eastAsia="en-AU"/>
            </w:rPr>
          </w:pPr>
          <w:hyperlink w:anchor="_Toc507501096" w:history="1">
            <w:r w:rsidR="00FB5E36" w:rsidRPr="00E9464B">
              <w:rPr>
                <w:rStyle w:val="Hyperlink"/>
                <w:noProof/>
              </w:rPr>
              <w:t>II. Registration timeline</w:t>
            </w:r>
            <w:r w:rsidR="00FB5E36">
              <w:rPr>
                <w:noProof/>
                <w:webHidden/>
              </w:rPr>
              <w:tab/>
            </w:r>
            <w:r w:rsidR="00FB5E36">
              <w:rPr>
                <w:noProof/>
                <w:webHidden/>
              </w:rPr>
              <w:fldChar w:fldCharType="begin"/>
            </w:r>
            <w:r w:rsidR="00FB5E36">
              <w:rPr>
                <w:noProof/>
                <w:webHidden/>
              </w:rPr>
              <w:instrText xml:space="preserve"> PAGEREF _Toc507501096 \h </w:instrText>
            </w:r>
            <w:r w:rsidR="00FB5E36">
              <w:rPr>
                <w:noProof/>
                <w:webHidden/>
              </w:rPr>
            </w:r>
            <w:r w:rsidR="00FB5E36">
              <w:rPr>
                <w:noProof/>
                <w:webHidden/>
              </w:rPr>
              <w:fldChar w:fldCharType="separate"/>
            </w:r>
            <w:r w:rsidR="00F94120">
              <w:rPr>
                <w:noProof/>
                <w:webHidden/>
              </w:rPr>
              <w:t>14</w:t>
            </w:r>
            <w:r w:rsidR="00FB5E36">
              <w:rPr>
                <w:noProof/>
                <w:webHidden/>
              </w:rPr>
              <w:fldChar w:fldCharType="end"/>
            </w:r>
          </w:hyperlink>
        </w:p>
        <w:p w14:paraId="131027E0" w14:textId="77777777" w:rsidR="00FB5E36" w:rsidRDefault="00493AFB">
          <w:pPr>
            <w:pStyle w:val="TOC2"/>
            <w:rPr>
              <w:rFonts w:asciiTheme="minorHAnsi" w:eastAsiaTheme="minorEastAsia" w:hAnsiTheme="minorHAnsi" w:cstheme="minorBidi"/>
              <w:b w:val="0"/>
              <w:noProof/>
              <w:sz w:val="22"/>
              <w:lang w:eastAsia="en-AU"/>
            </w:rPr>
          </w:pPr>
          <w:hyperlink w:anchor="_Toc507501097" w:history="1">
            <w:r w:rsidR="00FB5E36" w:rsidRPr="00E9464B">
              <w:rPr>
                <w:rStyle w:val="Hyperlink"/>
                <w:noProof/>
              </w:rPr>
              <w:t>III. Quality findings</w:t>
            </w:r>
            <w:r w:rsidR="00FB5E36">
              <w:rPr>
                <w:noProof/>
                <w:webHidden/>
              </w:rPr>
              <w:tab/>
            </w:r>
            <w:r w:rsidR="00FB5E36">
              <w:rPr>
                <w:noProof/>
                <w:webHidden/>
              </w:rPr>
              <w:fldChar w:fldCharType="begin"/>
            </w:r>
            <w:r w:rsidR="00FB5E36">
              <w:rPr>
                <w:noProof/>
                <w:webHidden/>
              </w:rPr>
              <w:instrText xml:space="preserve"> PAGEREF _Toc507501097 \h </w:instrText>
            </w:r>
            <w:r w:rsidR="00FB5E36">
              <w:rPr>
                <w:noProof/>
                <w:webHidden/>
              </w:rPr>
            </w:r>
            <w:r w:rsidR="00FB5E36">
              <w:rPr>
                <w:noProof/>
                <w:webHidden/>
              </w:rPr>
              <w:fldChar w:fldCharType="separate"/>
            </w:r>
            <w:r w:rsidR="00F94120">
              <w:rPr>
                <w:noProof/>
                <w:webHidden/>
              </w:rPr>
              <w:t>14</w:t>
            </w:r>
            <w:r w:rsidR="00FB5E36">
              <w:rPr>
                <w:noProof/>
                <w:webHidden/>
              </w:rPr>
              <w:fldChar w:fldCharType="end"/>
            </w:r>
          </w:hyperlink>
        </w:p>
        <w:p w14:paraId="6DD67DA3" w14:textId="77777777" w:rsidR="00FB5E36" w:rsidRDefault="00493AFB">
          <w:pPr>
            <w:pStyle w:val="TOC3"/>
            <w:rPr>
              <w:rFonts w:asciiTheme="minorHAnsi" w:eastAsiaTheme="minorEastAsia" w:hAnsiTheme="minorHAnsi" w:cstheme="minorBidi"/>
              <w:noProof/>
              <w:lang w:eastAsia="en-AU"/>
            </w:rPr>
          </w:pPr>
          <w:hyperlink w:anchor="_Toc507501098" w:history="1">
            <w:r w:rsidR="00FB5E36" w:rsidRPr="00E9464B">
              <w:rPr>
                <w:rStyle w:val="Hyperlink"/>
                <w:noProof/>
              </w:rPr>
              <w:t>Introduction</w:t>
            </w:r>
            <w:r w:rsidR="00FB5E36">
              <w:rPr>
                <w:noProof/>
                <w:webHidden/>
              </w:rPr>
              <w:tab/>
            </w:r>
            <w:r w:rsidR="00FB5E36">
              <w:rPr>
                <w:noProof/>
                <w:webHidden/>
              </w:rPr>
              <w:fldChar w:fldCharType="begin"/>
            </w:r>
            <w:r w:rsidR="00FB5E36">
              <w:rPr>
                <w:noProof/>
                <w:webHidden/>
              </w:rPr>
              <w:instrText xml:space="preserve"> PAGEREF _Toc507501098 \h </w:instrText>
            </w:r>
            <w:r w:rsidR="00FB5E36">
              <w:rPr>
                <w:noProof/>
                <w:webHidden/>
              </w:rPr>
            </w:r>
            <w:r w:rsidR="00FB5E36">
              <w:rPr>
                <w:noProof/>
                <w:webHidden/>
              </w:rPr>
              <w:fldChar w:fldCharType="separate"/>
            </w:r>
            <w:r w:rsidR="00F94120">
              <w:rPr>
                <w:noProof/>
                <w:webHidden/>
              </w:rPr>
              <w:t>14</w:t>
            </w:r>
            <w:r w:rsidR="00FB5E36">
              <w:rPr>
                <w:noProof/>
                <w:webHidden/>
              </w:rPr>
              <w:fldChar w:fldCharType="end"/>
            </w:r>
          </w:hyperlink>
        </w:p>
        <w:p w14:paraId="589EB812" w14:textId="77777777" w:rsidR="00FB5E36" w:rsidRDefault="00493AFB">
          <w:pPr>
            <w:pStyle w:val="TOC3"/>
            <w:rPr>
              <w:rFonts w:asciiTheme="minorHAnsi" w:eastAsiaTheme="minorEastAsia" w:hAnsiTheme="minorHAnsi" w:cstheme="minorBidi"/>
              <w:noProof/>
              <w:lang w:eastAsia="en-AU"/>
            </w:rPr>
          </w:pPr>
          <w:hyperlink w:anchor="_Toc507501099" w:history="1">
            <w:r w:rsidR="00FB5E36" w:rsidRPr="00E9464B">
              <w:rPr>
                <w:rStyle w:val="Hyperlink"/>
                <w:noProof/>
              </w:rPr>
              <w:t>Quality comments and recommendation</w:t>
            </w:r>
            <w:r w:rsidR="00FB5E36">
              <w:rPr>
                <w:noProof/>
                <w:webHidden/>
              </w:rPr>
              <w:tab/>
            </w:r>
            <w:r w:rsidR="00FB5E36">
              <w:rPr>
                <w:noProof/>
                <w:webHidden/>
              </w:rPr>
              <w:fldChar w:fldCharType="begin"/>
            </w:r>
            <w:r w:rsidR="00FB5E36">
              <w:rPr>
                <w:noProof/>
                <w:webHidden/>
              </w:rPr>
              <w:instrText xml:space="preserve"> PAGEREF _Toc507501099 \h </w:instrText>
            </w:r>
            <w:r w:rsidR="00FB5E36">
              <w:rPr>
                <w:noProof/>
                <w:webHidden/>
              </w:rPr>
            </w:r>
            <w:r w:rsidR="00FB5E36">
              <w:rPr>
                <w:noProof/>
                <w:webHidden/>
              </w:rPr>
              <w:fldChar w:fldCharType="separate"/>
            </w:r>
            <w:r w:rsidR="00F94120">
              <w:rPr>
                <w:noProof/>
                <w:webHidden/>
              </w:rPr>
              <w:t>15</w:t>
            </w:r>
            <w:r w:rsidR="00FB5E36">
              <w:rPr>
                <w:noProof/>
                <w:webHidden/>
              </w:rPr>
              <w:fldChar w:fldCharType="end"/>
            </w:r>
          </w:hyperlink>
        </w:p>
        <w:p w14:paraId="5C086CEB" w14:textId="77777777" w:rsidR="00FB5E36" w:rsidRDefault="00493AFB">
          <w:pPr>
            <w:pStyle w:val="TOC2"/>
            <w:rPr>
              <w:rFonts w:asciiTheme="minorHAnsi" w:eastAsiaTheme="minorEastAsia" w:hAnsiTheme="minorHAnsi" w:cstheme="minorBidi"/>
              <w:b w:val="0"/>
              <w:noProof/>
              <w:sz w:val="22"/>
              <w:lang w:eastAsia="en-AU"/>
            </w:rPr>
          </w:pPr>
          <w:hyperlink w:anchor="_Toc507501100" w:history="1">
            <w:r w:rsidR="00FB5E36" w:rsidRPr="00E9464B">
              <w:rPr>
                <w:rStyle w:val="Hyperlink"/>
                <w:noProof/>
              </w:rPr>
              <w:t>IV. Nonclinical findings</w:t>
            </w:r>
            <w:r w:rsidR="00FB5E36">
              <w:rPr>
                <w:noProof/>
                <w:webHidden/>
              </w:rPr>
              <w:tab/>
            </w:r>
            <w:r w:rsidR="00FB5E36">
              <w:rPr>
                <w:noProof/>
                <w:webHidden/>
              </w:rPr>
              <w:fldChar w:fldCharType="begin"/>
            </w:r>
            <w:r w:rsidR="00FB5E36">
              <w:rPr>
                <w:noProof/>
                <w:webHidden/>
              </w:rPr>
              <w:instrText xml:space="preserve"> PAGEREF _Toc507501100 \h </w:instrText>
            </w:r>
            <w:r w:rsidR="00FB5E36">
              <w:rPr>
                <w:noProof/>
                <w:webHidden/>
              </w:rPr>
            </w:r>
            <w:r w:rsidR="00FB5E36">
              <w:rPr>
                <w:noProof/>
                <w:webHidden/>
              </w:rPr>
              <w:fldChar w:fldCharType="separate"/>
            </w:r>
            <w:r w:rsidR="00F94120">
              <w:rPr>
                <w:noProof/>
                <w:webHidden/>
              </w:rPr>
              <w:t>15</w:t>
            </w:r>
            <w:r w:rsidR="00FB5E36">
              <w:rPr>
                <w:noProof/>
                <w:webHidden/>
              </w:rPr>
              <w:fldChar w:fldCharType="end"/>
            </w:r>
          </w:hyperlink>
        </w:p>
        <w:p w14:paraId="4A47602B" w14:textId="77777777" w:rsidR="00FB5E36" w:rsidRDefault="00493AFB">
          <w:pPr>
            <w:pStyle w:val="TOC3"/>
            <w:rPr>
              <w:rFonts w:asciiTheme="minorHAnsi" w:eastAsiaTheme="minorEastAsia" w:hAnsiTheme="minorHAnsi" w:cstheme="minorBidi"/>
              <w:noProof/>
              <w:lang w:eastAsia="en-AU"/>
            </w:rPr>
          </w:pPr>
          <w:hyperlink w:anchor="_Toc507501101" w:history="1">
            <w:r w:rsidR="00FB5E36" w:rsidRPr="00E9464B">
              <w:rPr>
                <w:rStyle w:val="Hyperlink"/>
                <w:noProof/>
              </w:rPr>
              <w:t>Introduction</w:t>
            </w:r>
            <w:r w:rsidR="00FB5E36">
              <w:rPr>
                <w:noProof/>
                <w:webHidden/>
              </w:rPr>
              <w:tab/>
            </w:r>
            <w:r w:rsidR="00FB5E36">
              <w:rPr>
                <w:noProof/>
                <w:webHidden/>
              </w:rPr>
              <w:fldChar w:fldCharType="begin"/>
            </w:r>
            <w:r w:rsidR="00FB5E36">
              <w:rPr>
                <w:noProof/>
                <w:webHidden/>
              </w:rPr>
              <w:instrText xml:space="preserve"> PAGEREF _Toc507501101 \h </w:instrText>
            </w:r>
            <w:r w:rsidR="00FB5E36">
              <w:rPr>
                <w:noProof/>
                <w:webHidden/>
              </w:rPr>
            </w:r>
            <w:r w:rsidR="00FB5E36">
              <w:rPr>
                <w:noProof/>
                <w:webHidden/>
              </w:rPr>
              <w:fldChar w:fldCharType="separate"/>
            </w:r>
            <w:r w:rsidR="00F94120">
              <w:rPr>
                <w:noProof/>
                <w:webHidden/>
              </w:rPr>
              <w:t>15</w:t>
            </w:r>
            <w:r w:rsidR="00FB5E36">
              <w:rPr>
                <w:noProof/>
                <w:webHidden/>
              </w:rPr>
              <w:fldChar w:fldCharType="end"/>
            </w:r>
          </w:hyperlink>
        </w:p>
        <w:p w14:paraId="2F412192" w14:textId="77777777" w:rsidR="00FB5E36" w:rsidRDefault="00493AFB">
          <w:pPr>
            <w:pStyle w:val="TOC3"/>
            <w:rPr>
              <w:rFonts w:asciiTheme="minorHAnsi" w:eastAsiaTheme="minorEastAsia" w:hAnsiTheme="minorHAnsi" w:cstheme="minorBidi"/>
              <w:noProof/>
              <w:lang w:eastAsia="en-AU"/>
            </w:rPr>
          </w:pPr>
          <w:hyperlink w:anchor="_Toc507501102" w:history="1">
            <w:r w:rsidR="00FB5E36" w:rsidRPr="00E9464B">
              <w:rPr>
                <w:rStyle w:val="Hyperlink"/>
                <w:noProof/>
              </w:rPr>
              <w:t>Pharmacology</w:t>
            </w:r>
            <w:r w:rsidR="00FB5E36">
              <w:rPr>
                <w:noProof/>
                <w:webHidden/>
              </w:rPr>
              <w:tab/>
            </w:r>
            <w:r w:rsidR="00FB5E36">
              <w:rPr>
                <w:noProof/>
                <w:webHidden/>
              </w:rPr>
              <w:fldChar w:fldCharType="begin"/>
            </w:r>
            <w:r w:rsidR="00FB5E36">
              <w:rPr>
                <w:noProof/>
                <w:webHidden/>
              </w:rPr>
              <w:instrText xml:space="preserve"> PAGEREF _Toc507501102 \h </w:instrText>
            </w:r>
            <w:r w:rsidR="00FB5E36">
              <w:rPr>
                <w:noProof/>
                <w:webHidden/>
              </w:rPr>
            </w:r>
            <w:r w:rsidR="00FB5E36">
              <w:rPr>
                <w:noProof/>
                <w:webHidden/>
              </w:rPr>
              <w:fldChar w:fldCharType="separate"/>
            </w:r>
            <w:r w:rsidR="00F94120">
              <w:rPr>
                <w:noProof/>
                <w:webHidden/>
              </w:rPr>
              <w:t>15</w:t>
            </w:r>
            <w:r w:rsidR="00FB5E36">
              <w:rPr>
                <w:noProof/>
                <w:webHidden/>
              </w:rPr>
              <w:fldChar w:fldCharType="end"/>
            </w:r>
          </w:hyperlink>
        </w:p>
        <w:p w14:paraId="70B1B09B" w14:textId="77777777" w:rsidR="00FB5E36" w:rsidRDefault="00493AFB">
          <w:pPr>
            <w:pStyle w:val="TOC3"/>
            <w:rPr>
              <w:rFonts w:asciiTheme="minorHAnsi" w:eastAsiaTheme="minorEastAsia" w:hAnsiTheme="minorHAnsi" w:cstheme="minorBidi"/>
              <w:noProof/>
              <w:lang w:eastAsia="en-AU"/>
            </w:rPr>
          </w:pPr>
          <w:hyperlink w:anchor="_Toc507501103" w:history="1">
            <w:r w:rsidR="00FB5E36" w:rsidRPr="00E9464B">
              <w:rPr>
                <w:rStyle w:val="Hyperlink"/>
                <w:noProof/>
              </w:rPr>
              <w:t>Pharmacokinetics</w:t>
            </w:r>
            <w:r w:rsidR="00FB5E36">
              <w:rPr>
                <w:noProof/>
                <w:webHidden/>
              </w:rPr>
              <w:tab/>
            </w:r>
            <w:r w:rsidR="00FB5E36">
              <w:rPr>
                <w:noProof/>
                <w:webHidden/>
              </w:rPr>
              <w:fldChar w:fldCharType="begin"/>
            </w:r>
            <w:r w:rsidR="00FB5E36">
              <w:rPr>
                <w:noProof/>
                <w:webHidden/>
              </w:rPr>
              <w:instrText xml:space="preserve"> PAGEREF _Toc507501103 \h </w:instrText>
            </w:r>
            <w:r w:rsidR="00FB5E36">
              <w:rPr>
                <w:noProof/>
                <w:webHidden/>
              </w:rPr>
            </w:r>
            <w:r w:rsidR="00FB5E36">
              <w:rPr>
                <w:noProof/>
                <w:webHidden/>
              </w:rPr>
              <w:fldChar w:fldCharType="separate"/>
            </w:r>
            <w:r w:rsidR="00F94120">
              <w:rPr>
                <w:noProof/>
                <w:webHidden/>
              </w:rPr>
              <w:t>18</w:t>
            </w:r>
            <w:r w:rsidR="00FB5E36">
              <w:rPr>
                <w:noProof/>
                <w:webHidden/>
              </w:rPr>
              <w:fldChar w:fldCharType="end"/>
            </w:r>
          </w:hyperlink>
        </w:p>
        <w:p w14:paraId="6BD130F4" w14:textId="77777777" w:rsidR="00FB5E36" w:rsidRDefault="00493AFB">
          <w:pPr>
            <w:pStyle w:val="TOC3"/>
            <w:rPr>
              <w:rFonts w:asciiTheme="minorHAnsi" w:eastAsiaTheme="minorEastAsia" w:hAnsiTheme="minorHAnsi" w:cstheme="minorBidi"/>
              <w:noProof/>
              <w:lang w:eastAsia="en-AU"/>
            </w:rPr>
          </w:pPr>
          <w:hyperlink w:anchor="_Toc507501104" w:history="1">
            <w:r w:rsidR="00FB5E36" w:rsidRPr="00E9464B">
              <w:rPr>
                <w:rStyle w:val="Hyperlink"/>
                <w:noProof/>
              </w:rPr>
              <w:t>Toxicology</w:t>
            </w:r>
            <w:r w:rsidR="00FB5E36">
              <w:rPr>
                <w:noProof/>
                <w:webHidden/>
              </w:rPr>
              <w:tab/>
            </w:r>
            <w:r w:rsidR="00FB5E36">
              <w:rPr>
                <w:noProof/>
                <w:webHidden/>
              </w:rPr>
              <w:fldChar w:fldCharType="begin"/>
            </w:r>
            <w:r w:rsidR="00FB5E36">
              <w:rPr>
                <w:noProof/>
                <w:webHidden/>
              </w:rPr>
              <w:instrText xml:space="preserve"> PAGEREF _Toc507501104 \h </w:instrText>
            </w:r>
            <w:r w:rsidR="00FB5E36">
              <w:rPr>
                <w:noProof/>
                <w:webHidden/>
              </w:rPr>
            </w:r>
            <w:r w:rsidR="00FB5E36">
              <w:rPr>
                <w:noProof/>
                <w:webHidden/>
              </w:rPr>
              <w:fldChar w:fldCharType="separate"/>
            </w:r>
            <w:r w:rsidR="00F94120">
              <w:rPr>
                <w:noProof/>
                <w:webHidden/>
              </w:rPr>
              <w:t>20</w:t>
            </w:r>
            <w:r w:rsidR="00FB5E36">
              <w:rPr>
                <w:noProof/>
                <w:webHidden/>
              </w:rPr>
              <w:fldChar w:fldCharType="end"/>
            </w:r>
          </w:hyperlink>
        </w:p>
        <w:p w14:paraId="534FEA37" w14:textId="77777777" w:rsidR="00FB5E36" w:rsidRDefault="00493AFB">
          <w:pPr>
            <w:pStyle w:val="TOC3"/>
            <w:rPr>
              <w:rFonts w:asciiTheme="minorHAnsi" w:eastAsiaTheme="minorEastAsia" w:hAnsiTheme="minorHAnsi" w:cstheme="minorBidi"/>
              <w:noProof/>
              <w:lang w:eastAsia="en-AU"/>
            </w:rPr>
          </w:pPr>
          <w:hyperlink w:anchor="_Toc507501105" w:history="1">
            <w:r w:rsidR="00FB5E36" w:rsidRPr="00E9464B">
              <w:rPr>
                <w:rStyle w:val="Hyperlink"/>
                <w:noProof/>
              </w:rPr>
              <w:t>Nonclinical summary and conclusions</w:t>
            </w:r>
            <w:r w:rsidR="00FB5E36">
              <w:rPr>
                <w:noProof/>
                <w:webHidden/>
              </w:rPr>
              <w:tab/>
            </w:r>
            <w:r w:rsidR="00FB5E36">
              <w:rPr>
                <w:noProof/>
                <w:webHidden/>
              </w:rPr>
              <w:fldChar w:fldCharType="begin"/>
            </w:r>
            <w:r w:rsidR="00FB5E36">
              <w:rPr>
                <w:noProof/>
                <w:webHidden/>
              </w:rPr>
              <w:instrText xml:space="preserve"> PAGEREF _Toc507501105 \h </w:instrText>
            </w:r>
            <w:r w:rsidR="00FB5E36">
              <w:rPr>
                <w:noProof/>
                <w:webHidden/>
              </w:rPr>
            </w:r>
            <w:r w:rsidR="00FB5E36">
              <w:rPr>
                <w:noProof/>
                <w:webHidden/>
              </w:rPr>
              <w:fldChar w:fldCharType="separate"/>
            </w:r>
            <w:r w:rsidR="00F94120">
              <w:rPr>
                <w:noProof/>
                <w:webHidden/>
              </w:rPr>
              <w:t>25</w:t>
            </w:r>
            <w:r w:rsidR="00FB5E36">
              <w:rPr>
                <w:noProof/>
                <w:webHidden/>
              </w:rPr>
              <w:fldChar w:fldCharType="end"/>
            </w:r>
          </w:hyperlink>
        </w:p>
        <w:p w14:paraId="3BD91746" w14:textId="77777777" w:rsidR="00FB5E36" w:rsidRDefault="00493AFB">
          <w:pPr>
            <w:pStyle w:val="TOC3"/>
            <w:rPr>
              <w:rFonts w:asciiTheme="minorHAnsi" w:eastAsiaTheme="minorEastAsia" w:hAnsiTheme="minorHAnsi" w:cstheme="minorBidi"/>
              <w:noProof/>
              <w:lang w:eastAsia="en-AU"/>
            </w:rPr>
          </w:pPr>
          <w:hyperlink w:anchor="_Toc507501106" w:history="1">
            <w:r w:rsidR="00FB5E36" w:rsidRPr="00E9464B">
              <w:rPr>
                <w:rStyle w:val="Hyperlink"/>
                <w:noProof/>
              </w:rPr>
              <w:t>Nonclinical conclusions and recommendation</w:t>
            </w:r>
            <w:r w:rsidR="00FB5E36">
              <w:rPr>
                <w:noProof/>
                <w:webHidden/>
              </w:rPr>
              <w:tab/>
            </w:r>
            <w:r w:rsidR="00FB5E36">
              <w:rPr>
                <w:noProof/>
                <w:webHidden/>
              </w:rPr>
              <w:fldChar w:fldCharType="begin"/>
            </w:r>
            <w:r w:rsidR="00FB5E36">
              <w:rPr>
                <w:noProof/>
                <w:webHidden/>
              </w:rPr>
              <w:instrText xml:space="preserve"> PAGEREF _Toc507501106 \h </w:instrText>
            </w:r>
            <w:r w:rsidR="00FB5E36">
              <w:rPr>
                <w:noProof/>
                <w:webHidden/>
              </w:rPr>
            </w:r>
            <w:r w:rsidR="00FB5E36">
              <w:rPr>
                <w:noProof/>
                <w:webHidden/>
              </w:rPr>
              <w:fldChar w:fldCharType="separate"/>
            </w:r>
            <w:r w:rsidR="00F94120">
              <w:rPr>
                <w:noProof/>
                <w:webHidden/>
              </w:rPr>
              <w:t>27</w:t>
            </w:r>
            <w:r w:rsidR="00FB5E36">
              <w:rPr>
                <w:noProof/>
                <w:webHidden/>
              </w:rPr>
              <w:fldChar w:fldCharType="end"/>
            </w:r>
          </w:hyperlink>
        </w:p>
        <w:p w14:paraId="125EA35C" w14:textId="77777777" w:rsidR="00FB5E36" w:rsidRDefault="00493AFB">
          <w:pPr>
            <w:pStyle w:val="TOC2"/>
            <w:rPr>
              <w:rFonts w:asciiTheme="minorHAnsi" w:eastAsiaTheme="minorEastAsia" w:hAnsiTheme="minorHAnsi" w:cstheme="minorBidi"/>
              <w:b w:val="0"/>
              <w:noProof/>
              <w:sz w:val="22"/>
              <w:lang w:eastAsia="en-AU"/>
            </w:rPr>
          </w:pPr>
          <w:hyperlink w:anchor="_Toc507501107" w:history="1">
            <w:r w:rsidR="00FB5E36" w:rsidRPr="00E9464B">
              <w:rPr>
                <w:rStyle w:val="Hyperlink"/>
                <w:noProof/>
              </w:rPr>
              <w:t>V. Clinical findings</w:t>
            </w:r>
            <w:r w:rsidR="00FB5E36">
              <w:rPr>
                <w:noProof/>
                <w:webHidden/>
              </w:rPr>
              <w:tab/>
            </w:r>
            <w:r w:rsidR="00FB5E36">
              <w:rPr>
                <w:noProof/>
                <w:webHidden/>
              </w:rPr>
              <w:fldChar w:fldCharType="begin"/>
            </w:r>
            <w:r w:rsidR="00FB5E36">
              <w:rPr>
                <w:noProof/>
                <w:webHidden/>
              </w:rPr>
              <w:instrText xml:space="preserve"> PAGEREF _Toc507501107 \h </w:instrText>
            </w:r>
            <w:r w:rsidR="00FB5E36">
              <w:rPr>
                <w:noProof/>
                <w:webHidden/>
              </w:rPr>
            </w:r>
            <w:r w:rsidR="00FB5E36">
              <w:rPr>
                <w:noProof/>
                <w:webHidden/>
              </w:rPr>
              <w:fldChar w:fldCharType="separate"/>
            </w:r>
            <w:r w:rsidR="00F94120">
              <w:rPr>
                <w:noProof/>
                <w:webHidden/>
              </w:rPr>
              <w:t>27</w:t>
            </w:r>
            <w:r w:rsidR="00FB5E36">
              <w:rPr>
                <w:noProof/>
                <w:webHidden/>
              </w:rPr>
              <w:fldChar w:fldCharType="end"/>
            </w:r>
          </w:hyperlink>
        </w:p>
        <w:p w14:paraId="53ADCC79" w14:textId="77777777" w:rsidR="00FB5E36" w:rsidRDefault="00493AFB">
          <w:pPr>
            <w:pStyle w:val="TOC3"/>
            <w:rPr>
              <w:rFonts w:asciiTheme="minorHAnsi" w:eastAsiaTheme="minorEastAsia" w:hAnsiTheme="minorHAnsi" w:cstheme="minorBidi"/>
              <w:noProof/>
              <w:lang w:eastAsia="en-AU"/>
            </w:rPr>
          </w:pPr>
          <w:hyperlink w:anchor="_Toc507501108" w:history="1">
            <w:r w:rsidR="00FB5E36" w:rsidRPr="00E9464B">
              <w:rPr>
                <w:rStyle w:val="Hyperlink"/>
                <w:noProof/>
              </w:rPr>
              <w:t>Introduction</w:t>
            </w:r>
            <w:r w:rsidR="00FB5E36">
              <w:rPr>
                <w:noProof/>
                <w:webHidden/>
              </w:rPr>
              <w:tab/>
            </w:r>
            <w:r w:rsidR="00FB5E36">
              <w:rPr>
                <w:noProof/>
                <w:webHidden/>
              </w:rPr>
              <w:fldChar w:fldCharType="begin"/>
            </w:r>
            <w:r w:rsidR="00FB5E36">
              <w:rPr>
                <w:noProof/>
                <w:webHidden/>
              </w:rPr>
              <w:instrText xml:space="preserve"> PAGEREF _Toc507501108 \h </w:instrText>
            </w:r>
            <w:r w:rsidR="00FB5E36">
              <w:rPr>
                <w:noProof/>
                <w:webHidden/>
              </w:rPr>
            </w:r>
            <w:r w:rsidR="00FB5E36">
              <w:rPr>
                <w:noProof/>
                <w:webHidden/>
              </w:rPr>
              <w:fldChar w:fldCharType="separate"/>
            </w:r>
            <w:r w:rsidR="00F94120">
              <w:rPr>
                <w:noProof/>
                <w:webHidden/>
              </w:rPr>
              <w:t>27</w:t>
            </w:r>
            <w:r w:rsidR="00FB5E36">
              <w:rPr>
                <w:noProof/>
                <w:webHidden/>
              </w:rPr>
              <w:fldChar w:fldCharType="end"/>
            </w:r>
          </w:hyperlink>
        </w:p>
        <w:p w14:paraId="4D8A25CF" w14:textId="77777777" w:rsidR="00FB5E36" w:rsidRDefault="00493AFB">
          <w:pPr>
            <w:pStyle w:val="TOC3"/>
            <w:rPr>
              <w:rFonts w:asciiTheme="minorHAnsi" w:eastAsiaTheme="minorEastAsia" w:hAnsiTheme="minorHAnsi" w:cstheme="minorBidi"/>
              <w:noProof/>
              <w:lang w:eastAsia="en-AU"/>
            </w:rPr>
          </w:pPr>
          <w:hyperlink w:anchor="_Toc507501109" w:history="1">
            <w:r w:rsidR="00FB5E36" w:rsidRPr="00E9464B">
              <w:rPr>
                <w:rStyle w:val="Hyperlink"/>
                <w:noProof/>
              </w:rPr>
              <w:t>Pharmacokinetics</w:t>
            </w:r>
            <w:r w:rsidR="00FB5E36">
              <w:rPr>
                <w:noProof/>
                <w:webHidden/>
              </w:rPr>
              <w:tab/>
            </w:r>
            <w:r w:rsidR="00FB5E36">
              <w:rPr>
                <w:noProof/>
                <w:webHidden/>
              </w:rPr>
              <w:fldChar w:fldCharType="begin"/>
            </w:r>
            <w:r w:rsidR="00FB5E36">
              <w:rPr>
                <w:noProof/>
                <w:webHidden/>
              </w:rPr>
              <w:instrText xml:space="preserve"> PAGEREF _Toc507501109 \h </w:instrText>
            </w:r>
            <w:r w:rsidR="00FB5E36">
              <w:rPr>
                <w:noProof/>
                <w:webHidden/>
              </w:rPr>
            </w:r>
            <w:r w:rsidR="00FB5E36">
              <w:rPr>
                <w:noProof/>
                <w:webHidden/>
              </w:rPr>
              <w:fldChar w:fldCharType="separate"/>
            </w:r>
            <w:r w:rsidR="00F94120">
              <w:rPr>
                <w:noProof/>
                <w:webHidden/>
              </w:rPr>
              <w:t>31</w:t>
            </w:r>
            <w:r w:rsidR="00FB5E36">
              <w:rPr>
                <w:noProof/>
                <w:webHidden/>
              </w:rPr>
              <w:fldChar w:fldCharType="end"/>
            </w:r>
          </w:hyperlink>
        </w:p>
        <w:p w14:paraId="47D94699" w14:textId="77777777" w:rsidR="00FB5E36" w:rsidRDefault="00493AFB">
          <w:pPr>
            <w:pStyle w:val="TOC3"/>
            <w:rPr>
              <w:rFonts w:asciiTheme="minorHAnsi" w:eastAsiaTheme="minorEastAsia" w:hAnsiTheme="minorHAnsi" w:cstheme="minorBidi"/>
              <w:noProof/>
              <w:lang w:eastAsia="en-AU"/>
            </w:rPr>
          </w:pPr>
          <w:hyperlink w:anchor="_Toc507501110" w:history="1">
            <w:r w:rsidR="00FB5E36" w:rsidRPr="00E9464B">
              <w:rPr>
                <w:rStyle w:val="Hyperlink"/>
                <w:noProof/>
              </w:rPr>
              <w:t>Pharmacodynamics</w:t>
            </w:r>
            <w:r w:rsidR="00FB5E36">
              <w:rPr>
                <w:noProof/>
                <w:webHidden/>
              </w:rPr>
              <w:tab/>
            </w:r>
            <w:r w:rsidR="00FB5E36">
              <w:rPr>
                <w:noProof/>
                <w:webHidden/>
              </w:rPr>
              <w:fldChar w:fldCharType="begin"/>
            </w:r>
            <w:r w:rsidR="00FB5E36">
              <w:rPr>
                <w:noProof/>
                <w:webHidden/>
              </w:rPr>
              <w:instrText xml:space="preserve"> PAGEREF _Toc507501110 \h </w:instrText>
            </w:r>
            <w:r w:rsidR="00FB5E36">
              <w:rPr>
                <w:noProof/>
                <w:webHidden/>
              </w:rPr>
            </w:r>
            <w:r w:rsidR="00FB5E36">
              <w:rPr>
                <w:noProof/>
                <w:webHidden/>
              </w:rPr>
              <w:fldChar w:fldCharType="separate"/>
            </w:r>
            <w:r w:rsidR="00F94120">
              <w:rPr>
                <w:noProof/>
                <w:webHidden/>
              </w:rPr>
              <w:t>34</w:t>
            </w:r>
            <w:r w:rsidR="00FB5E36">
              <w:rPr>
                <w:noProof/>
                <w:webHidden/>
              </w:rPr>
              <w:fldChar w:fldCharType="end"/>
            </w:r>
          </w:hyperlink>
        </w:p>
        <w:p w14:paraId="75763199" w14:textId="77777777" w:rsidR="00FB5E36" w:rsidRDefault="00493AFB">
          <w:pPr>
            <w:pStyle w:val="TOC3"/>
            <w:rPr>
              <w:rFonts w:asciiTheme="minorHAnsi" w:eastAsiaTheme="minorEastAsia" w:hAnsiTheme="minorHAnsi" w:cstheme="minorBidi"/>
              <w:noProof/>
              <w:lang w:eastAsia="en-AU"/>
            </w:rPr>
          </w:pPr>
          <w:hyperlink w:anchor="_Toc507501111" w:history="1">
            <w:r w:rsidR="00FB5E36" w:rsidRPr="00E9464B">
              <w:rPr>
                <w:rStyle w:val="Hyperlink"/>
                <w:noProof/>
              </w:rPr>
              <w:t>Dosage selection for the pivotal studies</w:t>
            </w:r>
            <w:r w:rsidR="00FB5E36">
              <w:rPr>
                <w:noProof/>
                <w:webHidden/>
              </w:rPr>
              <w:tab/>
            </w:r>
            <w:r w:rsidR="00FB5E36">
              <w:rPr>
                <w:noProof/>
                <w:webHidden/>
              </w:rPr>
              <w:fldChar w:fldCharType="begin"/>
            </w:r>
            <w:r w:rsidR="00FB5E36">
              <w:rPr>
                <w:noProof/>
                <w:webHidden/>
              </w:rPr>
              <w:instrText xml:space="preserve"> PAGEREF _Toc507501111 \h </w:instrText>
            </w:r>
            <w:r w:rsidR="00FB5E36">
              <w:rPr>
                <w:noProof/>
                <w:webHidden/>
              </w:rPr>
            </w:r>
            <w:r w:rsidR="00FB5E36">
              <w:rPr>
                <w:noProof/>
                <w:webHidden/>
              </w:rPr>
              <w:fldChar w:fldCharType="separate"/>
            </w:r>
            <w:r w:rsidR="00F94120">
              <w:rPr>
                <w:noProof/>
                <w:webHidden/>
              </w:rPr>
              <w:t>35</w:t>
            </w:r>
            <w:r w:rsidR="00FB5E36">
              <w:rPr>
                <w:noProof/>
                <w:webHidden/>
              </w:rPr>
              <w:fldChar w:fldCharType="end"/>
            </w:r>
          </w:hyperlink>
        </w:p>
        <w:p w14:paraId="5259A880" w14:textId="77777777" w:rsidR="00FB5E36" w:rsidRDefault="00493AFB">
          <w:pPr>
            <w:pStyle w:val="TOC3"/>
            <w:rPr>
              <w:rFonts w:asciiTheme="minorHAnsi" w:eastAsiaTheme="minorEastAsia" w:hAnsiTheme="minorHAnsi" w:cstheme="minorBidi"/>
              <w:noProof/>
              <w:lang w:eastAsia="en-AU"/>
            </w:rPr>
          </w:pPr>
          <w:hyperlink w:anchor="_Toc507501112" w:history="1">
            <w:r w:rsidR="00FB5E36" w:rsidRPr="00E9464B">
              <w:rPr>
                <w:rStyle w:val="Hyperlink"/>
                <w:noProof/>
              </w:rPr>
              <w:t>Efficacy</w:t>
            </w:r>
            <w:r w:rsidR="00FB5E36">
              <w:rPr>
                <w:noProof/>
                <w:webHidden/>
              </w:rPr>
              <w:tab/>
            </w:r>
            <w:r w:rsidR="00FB5E36">
              <w:rPr>
                <w:noProof/>
                <w:webHidden/>
              </w:rPr>
              <w:fldChar w:fldCharType="begin"/>
            </w:r>
            <w:r w:rsidR="00FB5E36">
              <w:rPr>
                <w:noProof/>
                <w:webHidden/>
              </w:rPr>
              <w:instrText xml:space="preserve"> PAGEREF _Toc507501112 \h </w:instrText>
            </w:r>
            <w:r w:rsidR="00FB5E36">
              <w:rPr>
                <w:noProof/>
                <w:webHidden/>
              </w:rPr>
            </w:r>
            <w:r w:rsidR="00FB5E36">
              <w:rPr>
                <w:noProof/>
                <w:webHidden/>
              </w:rPr>
              <w:fldChar w:fldCharType="separate"/>
            </w:r>
            <w:r w:rsidR="00F94120">
              <w:rPr>
                <w:noProof/>
                <w:webHidden/>
              </w:rPr>
              <w:t>35</w:t>
            </w:r>
            <w:r w:rsidR="00FB5E36">
              <w:rPr>
                <w:noProof/>
                <w:webHidden/>
              </w:rPr>
              <w:fldChar w:fldCharType="end"/>
            </w:r>
          </w:hyperlink>
        </w:p>
        <w:p w14:paraId="54A22252" w14:textId="77777777" w:rsidR="00FB5E36" w:rsidRDefault="00493AFB">
          <w:pPr>
            <w:pStyle w:val="TOC3"/>
            <w:rPr>
              <w:rFonts w:asciiTheme="minorHAnsi" w:eastAsiaTheme="minorEastAsia" w:hAnsiTheme="minorHAnsi" w:cstheme="minorBidi"/>
              <w:noProof/>
              <w:lang w:eastAsia="en-AU"/>
            </w:rPr>
          </w:pPr>
          <w:hyperlink w:anchor="_Toc507501113" w:history="1">
            <w:r w:rsidR="00FB5E36" w:rsidRPr="00E9464B">
              <w:rPr>
                <w:rStyle w:val="Hyperlink"/>
                <w:noProof/>
              </w:rPr>
              <w:t>Safety</w:t>
            </w:r>
            <w:r w:rsidR="00FB5E36">
              <w:rPr>
                <w:noProof/>
                <w:webHidden/>
              </w:rPr>
              <w:tab/>
            </w:r>
            <w:r w:rsidR="00FB5E36">
              <w:rPr>
                <w:noProof/>
                <w:webHidden/>
              </w:rPr>
              <w:fldChar w:fldCharType="begin"/>
            </w:r>
            <w:r w:rsidR="00FB5E36">
              <w:rPr>
                <w:noProof/>
                <w:webHidden/>
              </w:rPr>
              <w:instrText xml:space="preserve"> PAGEREF _Toc507501113 \h </w:instrText>
            </w:r>
            <w:r w:rsidR="00FB5E36">
              <w:rPr>
                <w:noProof/>
                <w:webHidden/>
              </w:rPr>
            </w:r>
            <w:r w:rsidR="00FB5E36">
              <w:rPr>
                <w:noProof/>
                <w:webHidden/>
              </w:rPr>
              <w:fldChar w:fldCharType="separate"/>
            </w:r>
            <w:r w:rsidR="00F94120">
              <w:rPr>
                <w:noProof/>
                <w:webHidden/>
              </w:rPr>
              <w:t>38</w:t>
            </w:r>
            <w:r w:rsidR="00FB5E36">
              <w:rPr>
                <w:noProof/>
                <w:webHidden/>
              </w:rPr>
              <w:fldChar w:fldCharType="end"/>
            </w:r>
          </w:hyperlink>
        </w:p>
        <w:p w14:paraId="6B0B8C3D" w14:textId="77777777" w:rsidR="00FB5E36" w:rsidRDefault="00493AFB">
          <w:pPr>
            <w:pStyle w:val="TOC3"/>
            <w:rPr>
              <w:rFonts w:asciiTheme="minorHAnsi" w:eastAsiaTheme="minorEastAsia" w:hAnsiTheme="minorHAnsi" w:cstheme="minorBidi"/>
              <w:noProof/>
              <w:lang w:eastAsia="en-AU"/>
            </w:rPr>
          </w:pPr>
          <w:hyperlink w:anchor="_Toc507501114" w:history="1">
            <w:r w:rsidR="00FB5E36" w:rsidRPr="00E9464B">
              <w:rPr>
                <w:rStyle w:val="Hyperlink"/>
                <w:noProof/>
              </w:rPr>
              <w:t>First Round Benefit-Risk Assessment</w:t>
            </w:r>
            <w:r w:rsidR="00FB5E36">
              <w:rPr>
                <w:noProof/>
                <w:webHidden/>
              </w:rPr>
              <w:tab/>
            </w:r>
            <w:r w:rsidR="00FB5E36">
              <w:rPr>
                <w:noProof/>
                <w:webHidden/>
              </w:rPr>
              <w:fldChar w:fldCharType="begin"/>
            </w:r>
            <w:r w:rsidR="00FB5E36">
              <w:rPr>
                <w:noProof/>
                <w:webHidden/>
              </w:rPr>
              <w:instrText xml:space="preserve"> PAGEREF _Toc507501114 \h </w:instrText>
            </w:r>
            <w:r w:rsidR="00FB5E36">
              <w:rPr>
                <w:noProof/>
                <w:webHidden/>
              </w:rPr>
            </w:r>
            <w:r w:rsidR="00FB5E36">
              <w:rPr>
                <w:noProof/>
                <w:webHidden/>
              </w:rPr>
              <w:fldChar w:fldCharType="separate"/>
            </w:r>
            <w:r w:rsidR="00F94120">
              <w:rPr>
                <w:noProof/>
                <w:webHidden/>
              </w:rPr>
              <w:t>41</w:t>
            </w:r>
            <w:r w:rsidR="00FB5E36">
              <w:rPr>
                <w:noProof/>
                <w:webHidden/>
              </w:rPr>
              <w:fldChar w:fldCharType="end"/>
            </w:r>
          </w:hyperlink>
        </w:p>
        <w:p w14:paraId="350FE1F1" w14:textId="77777777" w:rsidR="00FB5E36" w:rsidRDefault="00493AFB">
          <w:pPr>
            <w:pStyle w:val="TOC3"/>
            <w:rPr>
              <w:rFonts w:asciiTheme="minorHAnsi" w:eastAsiaTheme="minorEastAsia" w:hAnsiTheme="minorHAnsi" w:cstheme="minorBidi"/>
              <w:noProof/>
              <w:lang w:eastAsia="en-AU"/>
            </w:rPr>
          </w:pPr>
          <w:hyperlink w:anchor="_Toc507501115" w:history="1">
            <w:r w:rsidR="00FB5E36" w:rsidRPr="00E9464B">
              <w:rPr>
                <w:rStyle w:val="Hyperlink"/>
                <w:noProof/>
              </w:rPr>
              <w:t>First round recommendation regarding authorisation</w:t>
            </w:r>
            <w:r w:rsidR="00FB5E36">
              <w:rPr>
                <w:noProof/>
                <w:webHidden/>
              </w:rPr>
              <w:tab/>
            </w:r>
            <w:r w:rsidR="00FB5E36">
              <w:rPr>
                <w:noProof/>
                <w:webHidden/>
              </w:rPr>
              <w:fldChar w:fldCharType="begin"/>
            </w:r>
            <w:r w:rsidR="00FB5E36">
              <w:rPr>
                <w:noProof/>
                <w:webHidden/>
              </w:rPr>
              <w:instrText xml:space="preserve"> PAGEREF _Toc507501115 \h </w:instrText>
            </w:r>
            <w:r w:rsidR="00FB5E36">
              <w:rPr>
                <w:noProof/>
                <w:webHidden/>
              </w:rPr>
            </w:r>
            <w:r w:rsidR="00FB5E36">
              <w:rPr>
                <w:noProof/>
                <w:webHidden/>
              </w:rPr>
              <w:fldChar w:fldCharType="separate"/>
            </w:r>
            <w:r w:rsidR="00F94120">
              <w:rPr>
                <w:noProof/>
                <w:webHidden/>
              </w:rPr>
              <w:t>42</w:t>
            </w:r>
            <w:r w:rsidR="00FB5E36">
              <w:rPr>
                <w:noProof/>
                <w:webHidden/>
              </w:rPr>
              <w:fldChar w:fldCharType="end"/>
            </w:r>
          </w:hyperlink>
        </w:p>
        <w:p w14:paraId="3D5BB60A" w14:textId="77777777" w:rsidR="00FB5E36" w:rsidRDefault="00493AFB">
          <w:pPr>
            <w:pStyle w:val="TOC3"/>
            <w:rPr>
              <w:rFonts w:asciiTheme="minorHAnsi" w:eastAsiaTheme="minorEastAsia" w:hAnsiTheme="minorHAnsi" w:cstheme="minorBidi"/>
              <w:noProof/>
              <w:lang w:eastAsia="en-AU"/>
            </w:rPr>
          </w:pPr>
          <w:hyperlink w:anchor="_Toc507501116" w:history="1">
            <w:r w:rsidR="00FB5E36" w:rsidRPr="00E9464B">
              <w:rPr>
                <w:rStyle w:val="Hyperlink"/>
                <w:noProof/>
              </w:rPr>
              <w:t>Second Round Evaluation of clinical data submitted in response to questions</w:t>
            </w:r>
            <w:r w:rsidR="00FB5E36">
              <w:rPr>
                <w:noProof/>
                <w:webHidden/>
              </w:rPr>
              <w:tab/>
            </w:r>
            <w:r w:rsidR="00FB5E36">
              <w:rPr>
                <w:noProof/>
                <w:webHidden/>
              </w:rPr>
              <w:fldChar w:fldCharType="begin"/>
            </w:r>
            <w:r w:rsidR="00FB5E36">
              <w:rPr>
                <w:noProof/>
                <w:webHidden/>
              </w:rPr>
              <w:instrText xml:space="preserve"> PAGEREF _Toc507501116 \h </w:instrText>
            </w:r>
            <w:r w:rsidR="00FB5E36">
              <w:rPr>
                <w:noProof/>
                <w:webHidden/>
              </w:rPr>
            </w:r>
            <w:r w:rsidR="00FB5E36">
              <w:rPr>
                <w:noProof/>
                <w:webHidden/>
              </w:rPr>
              <w:fldChar w:fldCharType="separate"/>
            </w:r>
            <w:r w:rsidR="00F94120">
              <w:rPr>
                <w:noProof/>
                <w:webHidden/>
              </w:rPr>
              <w:t>42</w:t>
            </w:r>
            <w:r w:rsidR="00FB5E36">
              <w:rPr>
                <w:noProof/>
                <w:webHidden/>
              </w:rPr>
              <w:fldChar w:fldCharType="end"/>
            </w:r>
          </w:hyperlink>
        </w:p>
        <w:p w14:paraId="02636F29" w14:textId="77777777" w:rsidR="00FB5E36" w:rsidRDefault="00493AFB">
          <w:pPr>
            <w:pStyle w:val="TOC3"/>
            <w:rPr>
              <w:rFonts w:asciiTheme="minorHAnsi" w:eastAsiaTheme="minorEastAsia" w:hAnsiTheme="minorHAnsi" w:cstheme="minorBidi"/>
              <w:noProof/>
              <w:lang w:eastAsia="en-AU"/>
            </w:rPr>
          </w:pPr>
          <w:hyperlink w:anchor="_Toc507501117" w:history="1">
            <w:r w:rsidR="00FB5E36" w:rsidRPr="00E9464B">
              <w:rPr>
                <w:rStyle w:val="Hyperlink"/>
                <w:noProof/>
              </w:rPr>
              <w:t>Second Round Benefit-Risk Assessment</w:t>
            </w:r>
            <w:r w:rsidR="00FB5E36">
              <w:rPr>
                <w:noProof/>
                <w:webHidden/>
              </w:rPr>
              <w:tab/>
            </w:r>
            <w:r w:rsidR="00FB5E36">
              <w:rPr>
                <w:noProof/>
                <w:webHidden/>
              </w:rPr>
              <w:fldChar w:fldCharType="begin"/>
            </w:r>
            <w:r w:rsidR="00FB5E36">
              <w:rPr>
                <w:noProof/>
                <w:webHidden/>
              </w:rPr>
              <w:instrText xml:space="preserve"> PAGEREF _Toc507501117 \h </w:instrText>
            </w:r>
            <w:r w:rsidR="00FB5E36">
              <w:rPr>
                <w:noProof/>
                <w:webHidden/>
              </w:rPr>
            </w:r>
            <w:r w:rsidR="00FB5E36">
              <w:rPr>
                <w:noProof/>
                <w:webHidden/>
              </w:rPr>
              <w:fldChar w:fldCharType="separate"/>
            </w:r>
            <w:r w:rsidR="00F94120">
              <w:rPr>
                <w:noProof/>
                <w:webHidden/>
              </w:rPr>
              <w:t>42</w:t>
            </w:r>
            <w:r w:rsidR="00FB5E36">
              <w:rPr>
                <w:noProof/>
                <w:webHidden/>
              </w:rPr>
              <w:fldChar w:fldCharType="end"/>
            </w:r>
          </w:hyperlink>
        </w:p>
        <w:p w14:paraId="3BAC1CFC" w14:textId="77777777" w:rsidR="00FB5E36" w:rsidRDefault="00493AFB">
          <w:pPr>
            <w:pStyle w:val="TOC3"/>
            <w:rPr>
              <w:rFonts w:asciiTheme="minorHAnsi" w:eastAsiaTheme="minorEastAsia" w:hAnsiTheme="minorHAnsi" w:cstheme="minorBidi"/>
              <w:noProof/>
              <w:lang w:eastAsia="en-AU"/>
            </w:rPr>
          </w:pPr>
          <w:hyperlink w:anchor="_Toc507501118" w:history="1">
            <w:r w:rsidR="00FB5E36" w:rsidRPr="00E9464B">
              <w:rPr>
                <w:rStyle w:val="Hyperlink"/>
                <w:noProof/>
              </w:rPr>
              <w:t>Second round recommendation regarding authorisation</w:t>
            </w:r>
            <w:r w:rsidR="00FB5E36">
              <w:rPr>
                <w:noProof/>
                <w:webHidden/>
              </w:rPr>
              <w:tab/>
            </w:r>
            <w:r w:rsidR="00FB5E36">
              <w:rPr>
                <w:noProof/>
                <w:webHidden/>
              </w:rPr>
              <w:fldChar w:fldCharType="begin"/>
            </w:r>
            <w:r w:rsidR="00FB5E36">
              <w:rPr>
                <w:noProof/>
                <w:webHidden/>
              </w:rPr>
              <w:instrText xml:space="preserve"> PAGEREF _Toc507501118 \h </w:instrText>
            </w:r>
            <w:r w:rsidR="00FB5E36">
              <w:rPr>
                <w:noProof/>
                <w:webHidden/>
              </w:rPr>
            </w:r>
            <w:r w:rsidR="00FB5E36">
              <w:rPr>
                <w:noProof/>
                <w:webHidden/>
              </w:rPr>
              <w:fldChar w:fldCharType="separate"/>
            </w:r>
            <w:r w:rsidR="00F94120">
              <w:rPr>
                <w:noProof/>
                <w:webHidden/>
              </w:rPr>
              <w:t>43</w:t>
            </w:r>
            <w:r w:rsidR="00FB5E36">
              <w:rPr>
                <w:noProof/>
                <w:webHidden/>
              </w:rPr>
              <w:fldChar w:fldCharType="end"/>
            </w:r>
          </w:hyperlink>
        </w:p>
        <w:p w14:paraId="54E0C604" w14:textId="77777777" w:rsidR="00FB5E36" w:rsidRDefault="00493AFB">
          <w:pPr>
            <w:pStyle w:val="TOC2"/>
            <w:rPr>
              <w:rFonts w:asciiTheme="minorHAnsi" w:eastAsiaTheme="minorEastAsia" w:hAnsiTheme="minorHAnsi" w:cstheme="minorBidi"/>
              <w:b w:val="0"/>
              <w:noProof/>
              <w:sz w:val="22"/>
              <w:lang w:eastAsia="en-AU"/>
            </w:rPr>
          </w:pPr>
          <w:hyperlink w:anchor="_Toc507501119" w:history="1">
            <w:r w:rsidR="00FB5E36" w:rsidRPr="00E9464B">
              <w:rPr>
                <w:rStyle w:val="Hyperlink"/>
                <w:noProof/>
              </w:rPr>
              <w:t>VI. Pharmacovigilance findings</w:t>
            </w:r>
            <w:r w:rsidR="00FB5E36">
              <w:rPr>
                <w:noProof/>
                <w:webHidden/>
              </w:rPr>
              <w:tab/>
            </w:r>
            <w:r w:rsidR="00FB5E36">
              <w:rPr>
                <w:noProof/>
                <w:webHidden/>
              </w:rPr>
              <w:fldChar w:fldCharType="begin"/>
            </w:r>
            <w:r w:rsidR="00FB5E36">
              <w:rPr>
                <w:noProof/>
                <w:webHidden/>
              </w:rPr>
              <w:instrText xml:space="preserve"> PAGEREF _Toc507501119 \h </w:instrText>
            </w:r>
            <w:r w:rsidR="00FB5E36">
              <w:rPr>
                <w:noProof/>
                <w:webHidden/>
              </w:rPr>
            </w:r>
            <w:r w:rsidR="00FB5E36">
              <w:rPr>
                <w:noProof/>
                <w:webHidden/>
              </w:rPr>
              <w:fldChar w:fldCharType="separate"/>
            </w:r>
            <w:r w:rsidR="00F94120">
              <w:rPr>
                <w:noProof/>
                <w:webHidden/>
              </w:rPr>
              <w:t>43</w:t>
            </w:r>
            <w:r w:rsidR="00FB5E36">
              <w:rPr>
                <w:noProof/>
                <w:webHidden/>
              </w:rPr>
              <w:fldChar w:fldCharType="end"/>
            </w:r>
          </w:hyperlink>
        </w:p>
        <w:p w14:paraId="4E196975" w14:textId="77777777" w:rsidR="00FB5E36" w:rsidRDefault="00493AFB">
          <w:pPr>
            <w:pStyle w:val="TOC3"/>
            <w:rPr>
              <w:rFonts w:asciiTheme="minorHAnsi" w:eastAsiaTheme="minorEastAsia" w:hAnsiTheme="minorHAnsi" w:cstheme="minorBidi"/>
              <w:noProof/>
              <w:lang w:eastAsia="en-AU"/>
            </w:rPr>
          </w:pPr>
          <w:hyperlink w:anchor="_Toc507501120" w:history="1">
            <w:r w:rsidR="00FB5E36" w:rsidRPr="00E9464B">
              <w:rPr>
                <w:rStyle w:val="Hyperlink"/>
                <w:noProof/>
                <w:lang w:eastAsia="en-AU"/>
              </w:rPr>
              <w:t>Risk management plan</w:t>
            </w:r>
            <w:r w:rsidR="00FB5E36">
              <w:rPr>
                <w:noProof/>
                <w:webHidden/>
              </w:rPr>
              <w:tab/>
            </w:r>
            <w:r w:rsidR="00FB5E36">
              <w:rPr>
                <w:noProof/>
                <w:webHidden/>
              </w:rPr>
              <w:fldChar w:fldCharType="begin"/>
            </w:r>
            <w:r w:rsidR="00FB5E36">
              <w:rPr>
                <w:noProof/>
                <w:webHidden/>
              </w:rPr>
              <w:instrText xml:space="preserve"> PAGEREF _Toc507501120 \h </w:instrText>
            </w:r>
            <w:r w:rsidR="00FB5E36">
              <w:rPr>
                <w:noProof/>
                <w:webHidden/>
              </w:rPr>
            </w:r>
            <w:r w:rsidR="00FB5E36">
              <w:rPr>
                <w:noProof/>
                <w:webHidden/>
              </w:rPr>
              <w:fldChar w:fldCharType="separate"/>
            </w:r>
            <w:r w:rsidR="00F94120">
              <w:rPr>
                <w:noProof/>
                <w:webHidden/>
              </w:rPr>
              <w:t>43</w:t>
            </w:r>
            <w:r w:rsidR="00FB5E36">
              <w:rPr>
                <w:noProof/>
                <w:webHidden/>
              </w:rPr>
              <w:fldChar w:fldCharType="end"/>
            </w:r>
          </w:hyperlink>
        </w:p>
        <w:p w14:paraId="3FEF9DD2" w14:textId="77777777" w:rsidR="00FB5E36" w:rsidRDefault="00493AFB">
          <w:pPr>
            <w:pStyle w:val="TOC2"/>
            <w:rPr>
              <w:rFonts w:asciiTheme="minorHAnsi" w:eastAsiaTheme="minorEastAsia" w:hAnsiTheme="minorHAnsi" w:cstheme="minorBidi"/>
              <w:b w:val="0"/>
              <w:noProof/>
              <w:sz w:val="22"/>
              <w:lang w:eastAsia="en-AU"/>
            </w:rPr>
          </w:pPr>
          <w:hyperlink w:anchor="_Toc507501121" w:history="1">
            <w:r w:rsidR="00FB5E36" w:rsidRPr="00E9464B">
              <w:rPr>
                <w:rStyle w:val="Hyperlink"/>
                <w:noProof/>
              </w:rPr>
              <w:t>VII. Overall conclusion and risk/benefit assessment</w:t>
            </w:r>
            <w:r w:rsidR="00FB5E36">
              <w:rPr>
                <w:noProof/>
                <w:webHidden/>
              </w:rPr>
              <w:tab/>
            </w:r>
            <w:r w:rsidR="00FB5E36">
              <w:rPr>
                <w:noProof/>
                <w:webHidden/>
              </w:rPr>
              <w:fldChar w:fldCharType="begin"/>
            </w:r>
            <w:r w:rsidR="00FB5E36">
              <w:rPr>
                <w:noProof/>
                <w:webHidden/>
              </w:rPr>
              <w:instrText xml:space="preserve"> PAGEREF _Toc507501121 \h </w:instrText>
            </w:r>
            <w:r w:rsidR="00FB5E36">
              <w:rPr>
                <w:noProof/>
                <w:webHidden/>
              </w:rPr>
            </w:r>
            <w:r w:rsidR="00FB5E36">
              <w:rPr>
                <w:noProof/>
                <w:webHidden/>
              </w:rPr>
              <w:fldChar w:fldCharType="separate"/>
            </w:r>
            <w:r w:rsidR="00F94120">
              <w:rPr>
                <w:noProof/>
                <w:webHidden/>
              </w:rPr>
              <w:t>51</w:t>
            </w:r>
            <w:r w:rsidR="00FB5E36">
              <w:rPr>
                <w:noProof/>
                <w:webHidden/>
              </w:rPr>
              <w:fldChar w:fldCharType="end"/>
            </w:r>
          </w:hyperlink>
        </w:p>
        <w:p w14:paraId="668665D7" w14:textId="77777777" w:rsidR="00FB5E36" w:rsidRDefault="00493AFB">
          <w:pPr>
            <w:pStyle w:val="TOC3"/>
            <w:rPr>
              <w:rFonts w:asciiTheme="minorHAnsi" w:eastAsiaTheme="minorEastAsia" w:hAnsiTheme="minorHAnsi" w:cstheme="minorBidi"/>
              <w:noProof/>
              <w:lang w:eastAsia="en-AU"/>
            </w:rPr>
          </w:pPr>
          <w:hyperlink w:anchor="_Toc507501122" w:history="1">
            <w:r w:rsidR="00FB5E36" w:rsidRPr="00E9464B">
              <w:rPr>
                <w:rStyle w:val="Hyperlink"/>
                <w:noProof/>
              </w:rPr>
              <w:t>Quality</w:t>
            </w:r>
            <w:r w:rsidR="00FB5E36">
              <w:rPr>
                <w:noProof/>
                <w:webHidden/>
              </w:rPr>
              <w:tab/>
            </w:r>
            <w:r w:rsidR="00FB5E36">
              <w:rPr>
                <w:noProof/>
                <w:webHidden/>
              </w:rPr>
              <w:fldChar w:fldCharType="begin"/>
            </w:r>
            <w:r w:rsidR="00FB5E36">
              <w:rPr>
                <w:noProof/>
                <w:webHidden/>
              </w:rPr>
              <w:instrText xml:space="preserve"> PAGEREF _Toc507501122 \h </w:instrText>
            </w:r>
            <w:r w:rsidR="00FB5E36">
              <w:rPr>
                <w:noProof/>
                <w:webHidden/>
              </w:rPr>
            </w:r>
            <w:r w:rsidR="00FB5E36">
              <w:rPr>
                <w:noProof/>
                <w:webHidden/>
              </w:rPr>
              <w:fldChar w:fldCharType="separate"/>
            </w:r>
            <w:r w:rsidR="00F94120">
              <w:rPr>
                <w:noProof/>
                <w:webHidden/>
              </w:rPr>
              <w:t>51</w:t>
            </w:r>
            <w:r w:rsidR="00FB5E36">
              <w:rPr>
                <w:noProof/>
                <w:webHidden/>
              </w:rPr>
              <w:fldChar w:fldCharType="end"/>
            </w:r>
          </w:hyperlink>
        </w:p>
        <w:p w14:paraId="4CFDE02B" w14:textId="77777777" w:rsidR="00FB5E36" w:rsidRDefault="00493AFB">
          <w:pPr>
            <w:pStyle w:val="TOC3"/>
            <w:rPr>
              <w:rFonts w:asciiTheme="minorHAnsi" w:eastAsiaTheme="minorEastAsia" w:hAnsiTheme="minorHAnsi" w:cstheme="minorBidi"/>
              <w:noProof/>
              <w:lang w:eastAsia="en-AU"/>
            </w:rPr>
          </w:pPr>
          <w:hyperlink w:anchor="_Toc507501123" w:history="1">
            <w:r w:rsidR="00FB5E36" w:rsidRPr="00E9464B">
              <w:rPr>
                <w:rStyle w:val="Hyperlink"/>
                <w:noProof/>
              </w:rPr>
              <w:t>Nonclinical</w:t>
            </w:r>
            <w:r w:rsidR="00FB5E36">
              <w:rPr>
                <w:noProof/>
                <w:webHidden/>
              </w:rPr>
              <w:tab/>
            </w:r>
            <w:r w:rsidR="00FB5E36">
              <w:rPr>
                <w:noProof/>
                <w:webHidden/>
              </w:rPr>
              <w:fldChar w:fldCharType="begin"/>
            </w:r>
            <w:r w:rsidR="00FB5E36">
              <w:rPr>
                <w:noProof/>
                <w:webHidden/>
              </w:rPr>
              <w:instrText xml:space="preserve"> PAGEREF _Toc507501123 \h </w:instrText>
            </w:r>
            <w:r w:rsidR="00FB5E36">
              <w:rPr>
                <w:noProof/>
                <w:webHidden/>
              </w:rPr>
            </w:r>
            <w:r w:rsidR="00FB5E36">
              <w:rPr>
                <w:noProof/>
                <w:webHidden/>
              </w:rPr>
              <w:fldChar w:fldCharType="separate"/>
            </w:r>
            <w:r w:rsidR="00F94120">
              <w:rPr>
                <w:noProof/>
                <w:webHidden/>
              </w:rPr>
              <w:t>52</w:t>
            </w:r>
            <w:r w:rsidR="00FB5E36">
              <w:rPr>
                <w:noProof/>
                <w:webHidden/>
              </w:rPr>
              <w:fldChar w:fldCharType="end"/>
            </w:r>
          </w:hyperlink>
        </w:p>
        <w:p w14:paraId="428D9D26" w14:textId="77777777" w:rsidR="00FB5E36" w:rsidRDefault="00493AFB">
          <w:pPr>
            <w:pStyle w:val="TOC3"/>
            <w:rPr>
              <w:rFonts w:asciiTheme="minorHAnsi" w:eastAsiaTheme="minorEastAsia" w:hAnsiTheme="minorHAnsi" w:cstheme="minorBidi"/>
              <w:noProof/>
              <w:lang w:eastAsia="en-AU"/>
            </w:rPr>
          </w:pPr>
          <w:hyperlink w:anchor="_Toc507501124" w:history="1">
            <w:r w:rsidR="00FB5E36" w:rsidRPr="00E9464B">
              <w:rPr>
                <w:rStyle w:val="Hyperlink"/>
                <w:noProof/>
              </w:rPr>
              <w:t>Clinical</w:t>
            </w:r>
            <w:r w:rsidR="00FB5E36">
              <w:rPr>
                <w:noProof/>
                <w:webHidden/>
              </w:rPr>
              <w:tab/>
            </w:r>
            <w:r w:rsidR="00FB5E36">
              <w:rPr>
                <w:noProof/>
                <w:webHidden/>
              </w:rPr>
              <w:fldChar w:fldCharType="begin"/>
            </w:r>
            <w:r w:rsidR="00FB5E36">
              <w:rPr>
                <w:noProof/>
                <w:webHidden/>
              </w:rPr>
              <w:instrText xml:space="preserve"> PAGEREF _Toc507501124 \h </w:instrText>
            </w:r>
            <w:r w:rsidR="00FB5E36">
              <w:rPr>
                <w:noProof/>
                <w:webHidden/>
              </w:rPr>
            </w:r>
            <w:r w:rsidR="00FB5E36">
              <w:rPr>
                <w:noProof/>
                <w:webHidden/>
              </w:rPr>
              <w:fldChar w:fldCharType="separate"/>
            </w:r>
            <w:r w:rsidR="00F94120">
              <w:rPr>
                <w:noProof/>
                <w:webHidden/>
              </w:rPr>
              <w:t>53</w:t>
            </w:r>
            <w:r w:rsidR="00FB5E36">
              <w:rPr>
                <w:noProof/>
                <w:webHidden/>
              </w:rPr>
              <w:fldChar w:fldCharType="end"/>
            </w:r>
          </w:hyperlink>
        </w:p>
        <w:p w14:paraId="4DD2983D" w14:textId="77777777" w:rsidR="00FB5E36" w:rsidRDefault="00493AFB">
          <w:pPr>
            <w:pStyle w:val="TOC3"/>
            <w:rPr>
              <w:rFonts w:asciiTheme="minorHAnsi" w:eastAsiaTheme="minorEastAsia" w:hAnsiTheme="minorHAnsi" w:cstheme="minorBidi"/>
              <w:noProof/>
              <w:lang w:eastAsia="en-AU"/>
            </w:rPr>
          </w:pPr>
          <w:hyperlink w:anchor="_Toc507501125" w:history="1">
            <w:r w:rsidR="00FB5E36" w:rsidRPr="00E9464B">
              <w:rPr>
                <w:rStyle w:val="Hyperlink"/>
                <w:noProof/>
                <w:lang w:eastAsia="en-AU"/>
              </w:rPr>
              <w:t>Risk management plan</w:t>
            </w:r>
            <w:r w:rsidR="00FB5E36">
              <w:rPr>
                <w:noProof/>
                <w:webHidden/>
              </w:rPr>
              <w:tab/>
            </w:r>
            <w:r w:rsidR="00FB5E36">
              <w:rPr>
                <w:noProof/>
                <w:webHidden/>
              </w:rPr>
              <w:fldChar w:fldCharType="begin"/>
            </w:r>
            <w:r w:rsidR="00FB5E36">
              <w:rPr>
                <w:noProof/>
                <w:webHidden/>
              </w:rPr>
              <w:instrText xml:space="preserve"> PAGEREF _Toc507501125 \h </w:instrText>
            </w:r>
            <w:r w:rsidR="00FB5E36">
              <w:rPr>
                <w:noProof/>
                <w:webHidden/>
              </w:rPr>
            </w:r>
            <w:r w:rsidR="00FB5E36">
              <w:rPr>
                <w:noProof/>
                <w:webHidden/>
              </w:rPr>
              <w:fldChar w:fldCharType="separate"/>
            </w:r>
            <w:r w:rsidR="00F94120">
              <w:rPr>
                <w:noProof/>
                <w:webHidden/>
              </w:rPr>
              <w:t>68</w:t>
            </w:r>
            <w:r w:rsidR="00FB5E36">
              <w:rPr>
                <w:noProof/>
                <w:webHidden/>
              </w:rPr>
              <w:fldChar w:fldCharType="end"/>
            </w:r>
          </w:hyperlink>
        </w:p>
        <w:p w14:paraId="23274968" w14:textId="77777777" w:rsidR="00FB5E36" w:rsidRDefault="00493AFB">
          <w:pPr>
            <w:pStyle w:val="TOC3"/>
            <w:rPr>
              <w:rFonts w:asciiTheme="minorHAnsi" w:eastAsiaTheme="minorEastAsia" w:hAnsiTheme="minorHAnsi" w:cstheme="minorBidi"/>
              <w:noProof/>
              <w:lang w:eastAsia="en-AU"/>
            </w:rPr>
          </w:pPr>
          <w:hyperlink w:anchor="_Toc507501126" w:history="1">
            <w:r w:rsidR="00FB5E36" w:rsidRPr="00E9464B">
              <w:rPr>
                <w:rStyle w:val="Hyperlink"/>
                <w:noProof/>
              </w:rPr>
              <w:t>Risk-benefit analysis</w:t>
            </w:r>
            <w:r w:rsidR="00FB5E36">
              <w:rPr>
                <w:noProof/>
                <w:webHidden/>
              </w:rPr>
              <w:tab/>
            </w:r>
            <w:r w:rsidR="00FB5E36">
              <w:rPr>
                <w:noProof/>
                <w:webHidden/>
              </w:rPr>
              <w:fldChar w:fldCharType="begin"/>
            </w:r>
            <w:r w:rsidR="00FB5E36">
              <w:rPr>
                <w:noProof/>
                <w:webHidden/>
              </w:rPr>
              <w:instrText xml:space="preserve"> PAGEREF _Toc507501126 \h </w:instrText>
            </w:r>
            <w:r w:rsidR="00FB5E36">
              <w:rPr>
                <w:noProof/>
                <w:webHidden/>
              </w:rPr>
            </w:r>
            <w:r w:rsidR="00FB5E36">
              <w:rPr>
                <w:noProof/>
                <w:webHidden/>
              </w:rPr>
              <w:fldChar w:fldCharType="separate"/>
            </w:r>
            <w:r w:rsidR="00F94120">
              <w:rPr>
                <w:noProof/>
                <w:webHidden/>
              </w:rPr>
              <w:t>69</w:t>
            </w:r>
            <w:r w:rsidR="00FB5E36">
              <w:rPr>
                <w:noProof/>
                <w:webHidden/>
              </w:rPr>
              <w:fldChar w:fldCharType="end"/>
            </w:r>
          </w:hyperlink>
        </w:p>
        <w:p w14:paraId="3537EE2D" w14:textId="77777777" w:rsidR="00FB5E36" w:rsidRDefault="00493AFB">
          <w:pPr>
            <w:pStyle w:val="TOC3"/>
            <w:rPr>
              <w:rFonts w:asciiTheme="minorHAnsi" w:eastAsiaTheme="minorEastAsia" w:hAnsiTheme="minorHAnsi" w:cstheme="minorBidi"/>
              <w:noProof/>
              <w:lang w:eastAsia="en-AU"/>
            </w:rPr>
          </w:pPr>
          <w:hyperlink w:anchor="_Toc507501127" w:history="1">
            <w:r w:rsidR="00FB5E36" w:rsidRPr="00E9464B">
              <w:rPr>
                <w:rStyle w:val="Hyperlink"/>
                <w:noProof/>
              </w:rPr>
              <w:t>Outcome</w:t>
            </w:r>
            <w:r w:rsidR="00FB5E36">
              <w:rPr>
                <w:noProof/>
                <w:webHidden/>
              </w:rPr>
              <w:tab/>
            </w:r>
            <w:r w:rsidR="00FB5E36">
              <w:rPr>
                <w:noProof/>
                <w:webHidden/>
              </w:rPr>
              <w:fldChar w:fldCharType="begin"/>
            </w:r>
            <w:r w:rsidR="00FB5E36">
              <w:rPr>
                <w:noProof/>
                <w:webHidden/>
              </w:rPr>
              <w:instrText xml:space="preserve"> PAGEREF _Toc507501127 \h </w:instrText>
            </w:r>
            <w:r w:rsidR="00FB5E36">
              <w:rPr>
                <w:noProof/>
                <w:webHidden/>
              </w:rPr>
            </w:r>
            <w:r w:rsidR="00FB5E36">
              <w:rPr>
                <w:noProof/>
                <w:webHidden/>
              </w:rPr>
              <w:fldChar w:fldCharType="separate"/>
            </w:r>
            <w:r w:rsidR="00F94120">
              <w:rPr>
                <w:noProof/>
                <w:webHidden/>
              </w:rPr>
              <w:t>75</w:t>
            </w:r>
            <w:r w:rsidR="00FB5E36">
              <w:rPr>
                <w:noProof/>
                <w:webHidden/>
              </w:rPr>
              <w:fldChar w:fldCharType="end"/>
            </w:r>
          </w:hyperlink>
        </w:p>
        <w:p w14:paraId="3DB9148E" w14:textId="77777777" w:rsidR="00FB5E36" w:rsidRDefault="00493AFB">
          <w:pPr>
            <w:pStyle w:val="TOC2"/>
            <w:rPr>
              <w:rFonts w:asciiTheme="minorHAnsi" w:eastAsiaTheme="minorEastAsia" w:hAnsiTheme="minorHAnsi" w:cstheme="minorBidi"/>
              <w:b w:val="0"/>
              <w:noProof/>
              <w:sz w:val="22"/>
              <w:lang w:eastAsia="en-AU"/>
            </w:rPr>
          </w:pPr>
          <w:hyperlink w:anchor="_Toc507501128" w:history="1">
            <w:r w:rsidR="00FB5E36" w:rsidRPr="00E9464B">
              <w:rPr>
                <w:rStyle w:val="Hyperlink"/>
                <w:noProof/>
              </w:rPr>
              <w:t>Attachment 1. Product Information</w:t>
            </w:r>
            <w:r w:rsidR="00FB5E36">
              <w:rPr>
                <w:noProof/>
                <w:webHidden/>
              </w:rPr>
              <w:tab/>
            </w:r>
            <w:r w:rsidR="00FB5E36">
              <w:rPr>
                <w:noProof/>
                <w:webHidden/>
              </w:rPr>
              <w:fldChar w:fldCharType="begin"/>
            </w:r>
            <w:r w:rsidR="00FB5E36">
              <w:rPr>
                <w:noProof/>
                <w:webHidden/>
              </w:rPr>
              <w:instrText xml:space="preserve"> PAGEREF _Toc507501128 \h </w:instrText>
            </w:r>
            <w:r w:rsidR="00FB5E36">
              <w:rPr>
                <w:noProof/>
                <w:webHidden/>
              </w:rPr>
            </w:r>
            <w:r w:rsidR="00FB5E36">
              <w:rPr>
                <w:noProof/>
                <w:webHidden/>
              </w:rPr>
              <w:fldChar w:fldCharType="separate"/>
            </w:r>
            <w:r w:rsidR="00F94120">
              <w:rPr>
                <w:noProof/>
                <w:webHidden/>
              </w:rPr>
              <w:t>76</w:t>
            </w:r>
            <w:r w:rsidR="00FB5E36">
              <w:rPr>
                <w:noProof/>
                <w:webHidden/>
              </w:rPr>
              <w:fldChar w:fldCharType="end"/>
            </w:r>
          </w:hyperlink>
        </w:p>
        <w:p w14:paraId="00566E1F" w14:textId="77777777" w:rsidR="00FB5E36" w:rsidRDefault="00493AFB">
          <w:pPr>
            <w:pStyle w:val="TOC2"/>
            <w:rPr>
              <w:rFonts w:asciiTheme="minorHAnsi" w:eastAsiaTheme="minorEastAsia" w:hAnsiTheme="minorHAnsi" w:cstheme="minorBidi"/>
              <w:b w:val="0"/>
              <w:noProof/>
              <w:sz w:val="22"/>
              <w:lang w:eastAsia="en-AU"/>
            </w:rPr>
          </w:pPr>
          <w:hyperlink w:anchor="_Toc507501129" w:history="1">
            <w:r w:rsidR="00FB5E36" w:rsidRPr="00E9464B">
              <w:rPr>
                <w:rStyle w:val="Hyperlink"/>
                <w:noProof/>
                <w:lang w:eastAsia="en-AU"/>
              </w:rPr>
              <w:t>Attachment 2. Extract from the Clinical Evaluation Report</w:t>
            </w:r>
            <w:r w:rsidR="00FB5E36">
              <w:rPr>
                <w:noProof/>
                <w:webHidden/>
              </w:rPr>
              <w:tab/>
            </w:r>
            <w:r w:rsidR="00FB5E36">
              <w:rPr>
                <w:noProof/>
                <w:webHidden/>
              </w:rPr>
              <w:fldChar w:fldCharType="begin"/>
            </w:r>
            <w:r w:rsidR="00FB5E36">
              <w:rPr>
                <w:noProof/>
                <w:webHidden/>
              </w:rPr>
              <w:instrText xml:space="preserve"> PAGEREF _Toc507501129 \h </w:instrText>
            </w:r>
            <w:r w:rsidR="00FB5E36">
              <w:rPr>
                <w:noProof/>
                <w:webHidden/>
              </w:rPr>
            </w:r>
            <w:r w:rsidR="00FB5E36">
              <w:rPr>
                <w:noProof/>
                <w:webHidden/>
              </w:rPr>
              <w:fldChar w:fldCharType="separate"/>
            </w:r>
            <w:r w:rsidR="00F94120">
              <w:rPr>
                <w:noProof/>
                <w:webHidden/>
              </w:rPr>
              <w:t>76</w:t>
            </w:r>
            <w:r w:rsidR="00FB5E36">
              <w:rPr>
                <w:noProof/>
                <w:webHidden/>
              </w:rPr>
              <w:fldChar w:fldCharType="end"/>
            </w:r>
          </w:hyperlink>
        </w:p>
        <w:p w14:paraId="7325DD4C" w14:textId="2B61DD21" w:rsidR="00FD119B" w:rsidRDefault="00DB6124" w:rsidP="00493AFB">
          <w:pPr>
            <w:pStyle w:val="TOC2"/>
          </w:pPr>
          <w:r>
            <w:fldChar w:fldCharType="end"/>
          </w:r>
        </w:p>
      </w:sdtContent>
    </w:sdt>
    <w:bookmarkStart w:id="1" w:name="_Toc314842482" w:displacedByCustomXml="prev"/>
    <w:p w14:paraId="0EA78F71" w14:textId="77777777" w:rsidR="00FD119B" w:rsidRPr="00FD119B" w:rsidRDefault="00441C3F" w:rsidP="00493AFB">
      <w:pPr>
        <w:pStyle w:val="Heading2"/>
        <w:pageBreakBefore/>
      </w:pPr>
      <w:bookmarkStart w:id="2" w:name="_Toc351716269"/>
      <w:bookmarkStart w:id="3" w:name="_Toc351718881"/>
      <w:bookmarkStart w:id="4" w:name="_Toc355338616"/>
      <w:bookmarkStart w:id="5" w:name="_Toc356306144"/>
      <w:bookmarkStart w:id="6" w:name="_Toc507501090"/>
      <w:r>
        <w:lastRenderedPageBreak/>
        <w:t>Common</w:t>
      </w:r>
      <w:r w:rsidR="00FD119B" w:rsidRPr="00FD119B">
        <w:t xml:space="preserve"> abbreviations</w:t>
      </w:r>
      <w:bookmarkEnd w:id="2"/>
      <w:bookmarkEnd w:id="3"/>
      <w:bookmarkEnd w:id="4"/>
      <w:bookmarkEnd w:id="5"/>
      <w:bookmarkEnd w:id="6"/>
    </w:p>
    <w:tbl>
      <w:tblPr>
        <w:tblStyle w:val="TableTGAblue"/>
        <w:tblW w:w="0" w:type="auto"/>
        <w:tblLook w:val="04A0" w:firstRow="1" w:lastRow="0" w:firstColumn="1" w:lastColumn="0" w:noHBand="0" w:noVBand="1"/>
        <w:tblDescription w:val="Common abbreviations table"/>
      </w:tblPr>
      <w:tblGrid>
        <w:gridCol w:w="1890"/>
        <w:gridCol w:w="6830"/>
      </w:tblGrid>
      <w:tr w:rsidR="00FD119B" w:rsidRPr="00FD119B" w14:paraId="2F51B612" w14:textId="77777777" w:rsidTr="00FD119B">
        <w:trPr>
          <w:cnfStyle w:val="100000000000" w:firstRow="1" w:lastRow="0" w:firstColumn="0" w:lastColumn="0" w:oddVBand="0" w:evenVBand="0" w:oddHBand="0" w:evenHBand="0" w:firstRowFirstColumn="0" w:firstRowLastColumn="0" w:lastRowFirstColumn="0" w:lastRowLastColumn="0"/>
        </w:trPr>
        <w:tc>
          <w:tcPr>
            <w:tcW w:w="1809" w:type="dxa"/>
          </w:tcPr>
          <w:p w14:paraId="4D36AC01" w14:textId="77777777" w:rsidR="00FD119B" w:rsidRPr="00FD119B" w:rsidRDefault="00FD119B" w:rsidP="000C0512">
            <w:pPr>
              <w:rPr>
                <w:lang w:eastAsia="en-US"/>
              </w:rPr>
            </w:pPr>
            <w:r w:rsidRPr="00FD119B">
              <w:rPr>
                <w:lang w:eastAsia="en-US"/>
              </w:rPr>
              <w:t>Abbreviation</w:t>
            </w:r>
          </w:p>
        </w:tc>
        <w:tc>
          <w:tcPr>
            <w:tcW w:w="6911" w:type="dxa"/>
          </w:tcPr>
          <w:p w14:paraId="457186EB" w14:textId="77777777" w:rsidR="00FD119B" w:rsidRPr="00FD119B" w:rsidRDefault="00FD119B" w:rsidP="000C0512">
            <w:pPr>
              <w:rPr>
                <w:lang w:eastAsia="en-US"/>
              </w:rPr>
            </w:pPr>
            <w:r w:rsidRPr="00FD119B">
              <w:rPr>
                <w:lang w:eastAsia="en-US"/>
              </w:rPr>
              <w:t>Meaning</w:t>
            </w:r>
          </w:p>
        </w:tc>
      </w:tr>
      <w:tr w:rsidR="000C0512" w:rsidRPr="000E6608" w14:paraId="2F4BEEFE" w14:textId="77777777" w:rsidTr="000C0512">
        <w:tc>
          <w:tcPr>
            <w:tcW w:w="1809" w:type="dxa"/>
          </w:tcPr>
          <w:p w14:paraId="6CC29C10" w14:textId="77777777" w:rsidR="000C0512" w:rsidRPr="000E6608" w:rsidRDefault="000C0512" w:rsidP="000C0512">
            <w:r w:rsidRPr="000E6608">
              <w:t>ADME</w:t>
            </w:r>
          </w:p>
        </w:tc>
        <w:tc>
          <w:tcPr>
            <w:tcW w:w="6911" w:type="dxa"/>
          </w:tcPr>
          <w:p w14:paraId="00EA159E" w14:textId="77777777" w:rsidR="000C0512" w:rsidRPr="000E6608" w:rsidRDefault="002E1100" w:rsidP="002E1100">
            <w:r w:rsidRPr="000E6608">
              <w:t xml:space="preserve">Absorption, Distribution, Metabolism, </w:t>
            </w:r>
            <w:r>
              <w:t>a</w:t>
            </w:r>
            <w:r w:rsidRPr="000E6608">
              <w:t>nd Excretion</w:t>
            </w:r>
          </w:p>
        </w:tc>
      </w:tr>
      <w:tr w:rsidR="000C0512" w:rsidRPr="000E6608" w14:paraId="725A8E06" w14:textId="77777777" w:rsidTr="000C0512">
        <w:tc>
          <w:tcPr>
            <w:tcW w:w="1809" w:type="dxa"/>
          </w:tcPr>
          <w:p w14:paraId="0F1C60A4" w14:textId="77777777" w:rsidR="000C0512" w:rsidRPr="000E6608" w:rsidRDefault="000C0512" w:rsidP="000C0512">
            <w:r w:rsidRPr="000E6608">
              <w:t>ADR</w:t>
            </w:r>
          </w:p>
        </w:tc>
        <w:tc>
          <w:tcPr>
            <w:tcW w:w="6911" w:type="dxa"/>
          </w:tcPr>
          <w:p w14:paraId="4EB434CD" w14:textId="77777777" w:rsidR="000C0512" w:rsidRPr="000E6608" w:rsidRDefault="002E1100" w:rsidP="000C0512">
            <w:r w:rsidRPr="000E6608">
              <w:t xml:space="preserve">Adverse </w:t>
            </w:r>
            <w:r w:rsidR="000C0512" w:rsidRPr="000E6608">
              <w:t>drug reaction</w:t>
            </w:r>
          </w:p>
        </w:tc>
      </w:tr>
      <w:tr w:rsidR="000C0512" w:rsidRPr="000E6608" w14:paraId="1F05FE65" w14:textId="77777777" w:rsidTr="000C0512">
        <w:tc>
          <w:tcPr>
            <w:tcW w:w="1809" w:type="dxa"/>
          </w:tcPr>
          <w:p w14:paraId="170773C5" w14:textId="77777777" w:rsidR="000C0512" w:rsidRPr="000E6608" w:rsidRDefault="000C0512" w:rsidP="000C0512">
            <w:r w:rsidRPr="000E6608">
              <w:t>AE</w:t>
            </w:r>
          </w:p>
        </w:tc>
        <w:tc>
          <w:tcPr>
            <w:tcW w:w="6911" w:type="dxa"/>
          </w:tcPr>
          <w:p w14:paraId="13F0FC26" w14:textId="77777777" w:rsidR="000C0512" w:rsidRPr="000E6608" w:rsidRDefault="000C0512" w:rsidP="000C0512">
            <w:r w:rsidRPr="000E6608">
              <w:t>Adverse event</w:t>
            </w:r>
          </w:p>
        </w:tc>
      </w:tr>
      <w:tr w:rsidR="000C0512" w:rsidRPr="000E6608" w14:paraId="154E057E" w14:textId="77777777" w:rsidTr="000C0512">
        <w:tc>
          <w:tcPr>
            <w:tcW w:w="1809" w:type="dxa"/>
          </w:tcPr>
          <w:p w14:paraId="43FD3232" w14:textId="77777777" w:rsidR="000C0512" w:rsidRPr="000E6608" w:rsidRDefault="000C0512" w:rsidP="000C0512">
            <w:r w:rsidRPr="000E6608">
              <w:t>AESI</w:t>
            </w:r>
          </w:p>
        </w:tc>
        <w:tc>
          <w:tcPr>
            <w:tcW w:w="6911" w:type="dxa"/>
          </w:tcPr>
          <w:p w14:paraId="637B8945" w14:textId="77777777" w:rsidR="000C0512" w:rsidRPr="000E6608" w:rsidRDefault="002E1100" w:rsidP="000C0512">
            <w:r w:rsidRPr="000E6608">
              <w:t xml:space="preserve">Adverse </w:t>
            </w:r>
            <w:r w:rsidR="000C0512" w:rsidRPr="000E6608">
              <w:t>event of special interest</w:t>
            </w:r>
          </w:p>
        </w:tc>
      </w:tr>
      <w:tr w:rsidR="000C0512" w:rsidRPr="000E6608" w14:paraId="65097361" w14:textId="77777777" w:rsidTr="000C0512">
        <w:tc>
          <w:tcPr>
            <w:tcW w:w="1809" w:type="dxa"/>
          </w:tcPr>
          <w:p w14:paraId="6D357C0D" w14:textId="77777777" w:rsidR="000C0512" w:rsidRPr="000E6608" w:rsidRDefault="000C0512" w:rsidP="000C0512">
            <w:r w:rsidRPr="000E6608">
              <w:t>AJCC</w:t>
            </w:r>
          </w:p>
        </w:tc>
        <w:tc>
          <w:tcPr>
            <w:tcW w:w="6911" w:type="dxa"/>
          </w:tcPr>
          <w:p w14:paraId="37E4F14A" w14:textId="77777777" w:rsidR="000C0512" w:rsidRPr="000E6608" w:rsidRDefault="000C0512" w:rsidP="000C0512">
            <w:r w:rsidRPr="000E6608">
              <w:t>American Joint Committee on Cancer</w:t>
            </w:r>
          </w:p>
        </w:tc>
      </w:tr>
      <w:tr w:rsidR="000C0512" w:rsidRPr="000E6608" w14:paraId="3DECFC3B" w14:textId="77777777" w:rsidTr="000C0512">
        <w:tc>
          <w:tcPr>
            <w:tcW w:w="1809" w:type="dxa"/>
          </w:tcPr>
          <w:p w14:paraId="369C45BA" w14:textId="77777777" w:rsidR="000C0512" w:rsidRPr="000E6608" w:rsidRDefault="000C0512" w:rsidP="000C0512">
            <w:r w:rsidRPr="000E6608">
              <w:t>ALCL</w:t>
            </w:r>
          </w:p>
        </w:tc>
        <w:tc>
          <w:tcPr>
            <w:tcW w:w="6911" w:type="dxa"/>
          </w:tcPr>
          <w:p w14:paraId="242BC338" w14:textId="77777777" w:rsidR="000C0512" w:rsidRPr="000E6608" w:rsidRDefault="002E1100" w:rsidP="000C0512">
            <w:r w:rsidRPr="000E6608">
              <w:t>Anaplastic large cell lymphoma</w:t>
            </w:r>
          </w:p>
        </w:tc>
      </w:tr>
      <w:tr w:rsidR="000C0512" w:rsidRPr="000E6608" w14:paraId="23D40A00" w14:textId="77777777" w:rsidTr="000C0512">
        <w:tc>
          <w:tcPr>
            <w:tcW w:w="1809" w:type="dxa"/>
          </w:tcPr>
          <w:p w14:paraId="479548D0" w14:textId="77777777" w:rsidR="000C0512" w:rsidRPr="000E6608" w:rsidRDefault="000C0512" w:rsidP="000C0512">
            <w:r w:rsidRPr="000E6608">
              <w:t xml:space="preserve">ALK </w:t>
            </w:r>
          </w:p>
        </w:tc>
        <w:tc>
          <w:tcPr>
            <w:tcW w:w="6911" w:type="dxa"/>
          </w:tcPr>
          <w:p w14:paraId="4517242F" w14:textId="77777777" w:rsidR="000C0512" w:rsidRPr="000E6608" w:rsidRDefault="002E1100" w:rsidP="000C0512">
            <w:r w:rsidRPr="000E6608">
              <w:t>Anaplastic lymphoma kinase</w:t>
            </w:r>
          </w:p>
        </w:tc>
      </w:tr>
      <w:tr w:rsidR="000C0512" w:rsidRPr="000E6608" w14:paraId="349D5667" w14:textId="77777777" w:rsidTr="000C0512">
        <w:tc>
          <w:tcPr>
            <w:tcW w:w="1809" w:type="dxa"/>
          </w:tcPr>
          <w:p w14:paraId="18905D32" w14:textId="77777777" w:rsidR="000C0512" w:rsidRPr="000E6608" w:rsidRDefault="000C0512" w:rsidP="000C0512">
            <w:r w:rsidRPr="000E6608">
              <w:t>ALP</w:t>
            </w:r>
          </w:p>
        </w:tc>
        <w:tc>
          <w:tcPr>
            <w:tcW w:w="6911" w:type="dxa"/>
          </w:tcPr>
          <w:p w14:paraId="75540DAB" w14:textId="77777777" w:rsidR="000C0512" w:rsidRPr="000E6608" w:rsidRDefault="002E1100" w:rsidP="000C0512">
            <w:r w:rsidRPr="000E6608">
              <w:t>Alkaline phosphatase</w:t>
            </w:r>
          </w:p>
        </w:tc>
      </w:tr>
      <w:tr w:rsidR="000C0512" w:rsidRPr="000E6608" w14:paraId="4DD19A50" w14:textId="77777777" w:rsidTr="000C0512">
        <w:tc>
          <w:tcPr>
            <w:tcW w:w="1809" w:type="dxa"/>
          </w:tcPr>
          <w:p w14:paraId="13087BDF" w14:textId="77777777" w:rsidR="000C0512" w:rsidRPr="000E6608" w:rsidRDefault="000C0512" w:rsidP="000C0512">
            <w:r w:rsidRPr="000E6608">
              <w:t>ALT</w:t>
            </w:r>
          </w:p>
        </w:tc>
        <w:tc>
          <w:tcPr>
            <w:tcW w:w="6911" w:type="dxa"/>
          </w:tcPr>
          <w:p w14:paraId="4784D44E" w14:textId="77777777" w:rsidR="000C0512" w:rsidRPr="000E6608" w:rsidRDefault="002E1100" w:rsidP="000C0512">
            <w:r w:rsidRPr="000E6608">
              <w:t>Alanine aminotransfe</w:t>
            </w:r>
            <w:r w:rsidR="000C0512" w:rsidRPr="000E6608">
              <w:t>rase</w:t>
            </w:r>
          </w:p>
        </w:tc>
      </w:tr>
      <w:tr w:rsidR="000C0512" w:rsidRPr="000E6608" w14:paraId="73B9EB66" w14:textId="77777777" w:rsidTr="000C0512">
        <w:tc>
          <w:tcPr>
            <w:tcW w:w="1809" w:type="dxa"/>
          </w:tcPr>
          <w:p w14:paraId="7D19D111" w14:textId="77777777" w:rsidR="000C0512" w:rsidRPr="000E6608" w:rsidRDefault="000C0512" w:rsidP="000C0512">
            <w:r w:rsidRPr="000E6608">
              <w:t>ANC</w:t>
            </w:r>
          </w:p>
        </w:tc>
        <w:tc>
          <w:tcPr>
            <w:tcW w:w="6911" w:type="dxa"/>
          </w:tcPr>
          <w:p w14:paraId="6276697E" w14:textId="77777777" w:rsidR="000C0512" w:rsidRPr="000E6608" w:rsidRDefault="002E1100" w:rsidP="000C0512">
            <w:r w:rsidRPr="000E6608">
              <w:t>Absolute neutrophil count</w:t>
            </w:r>
          </w:p>
        </w:tc>
      </w:tr>
      <w:tr w:rsidR="000C0512" w:rsidRPr="000E6608" w14:paraId="28A3239C" w14:textId="77777777" w:rsidTr="000C0512">
        <w:tc>
          <w:tcPr>
            <w:tcW w:w="1809" w:type="dxa"/>
          </w:tcPr>
          <w:p w14:paraId="3E88A616" w14:textId="77777777" w:rsidR="000C0512" w:rsidRPr="000E6608" w:rsidRDefault="000C0512" w:rsidP="000C0512">
            <w:r w:rsidRPr="000E6608">
              <w:t>AST</w:t>
            </w:r>
          </w:p>
        </w:tc>
        <w:tc>
          <w:tcPr>
            <w:tcW w:w="6911" w:type="dxa"/>
          </w:tcPr>
          <w:p w14:paraId="1B58618D" w14:textId="77777777" w:rsidR="000C0512" w:rsidRPr="000E6608" w:rsidRDefault="002E1100" w:rsidP="000C0512">
            <w:r w:rsidRPr="000E6608">
              <w:t>Aspartate aminotransferase</w:t>
            </w:r>
          </w:p>
        </w:tc>
      </w:tr>
      <w:tr w:rsidR="000C0512" w:rsidRPr="000E6608" w14:paraId="15F84C8F" w14:textId="77777777" w:rsidTr="000C0512">
        <w:tc>
          <w:tcPr>
            <w:tcW w:w="1809" w:type="dxa"/>
          </w:tcPr>
          <w:p w14:paraId="1599D2CB" w14:textId="77777777" w:rsidR="000C0512" w:rsidRPr="000E6608" w:rsidRDefault="000C0512" w:rsidP="000C0512">
            <w:r w:rsidRPr="000E6608">
              <w:t>ATP</w:t>
            </w:r>
          </w:p>
        </w:tc>
        <w:tc>
          <w:tcPr>
            <w:tcW w:w="6911" w:type="dxa"/>
          </w:tcPr>
          <w:p w14:paraId="49387549" w14:textId="77777777" w:rsidR="000C0512" w:rsidRPr="000E6608" w:rsidRDefault="002E1100" w:rsidP="000C0512">
            <w:r w:rsidRPr="000E6608">
              <w:t>Adenosine triphosphate</w:t>
            </w:r>
          </w:p>
        </w:tc>
      </w:tr>
      <w:tr w:rsidR="000C0512" w:rsidRPr="000E6608" w14:paraId="607F97B7" w14:textId="77777777" w:rsidTr="000C0512">
        <w:tc>
          <w:tcPr>
            <w:tcW w:w="1809" w:type="dxa"/>
          </w:tcPr>
          <w:p w14:paraId="719DD806" w14:textId="77777777" w:rsidR="000C0512" w:rsidRPr="000E6608" w:rsidRDefault="000C0512" w:rsidP="000C0512">
            <w:r w:rsidRPr="000E6608">
              <w:t>AUCtau</w:t>
            </w:r>
          </w:p>
        </w:tc>
        <w:tc>
          <w:tcPr>
            <w:tcW w:w="6911" w:type="dxa"/>
          </w:tcPr>
          <w:p w14:paraId="4F75425C" w14:textId="77777777" w:rsidR="000C0512" w:rsidRPr="000E6608" w:rsidRDefault="000C0512" w:rsidP="000C0512">
            <w:r w:rsidRPr="000E6608">
              <w:t>Area under the plasma concentration-time curve for each dosing interval (from time</w:t>
            </w:r>
            <w:r w:rsidR="000E3918">
              <w:t xml:space="preserve"> </w:t>
            </w:r>
            <w:r w:rsidRPr="000E6608">
              <w:t>0 to 24 hours sample) determined using the linear trapezoidal rule</w:t>
            </w:r>
          </w:p>
        </w:tc>
      </w:tr>
      <w:tr w:rsidR="000C0512" w:rsidRPr="000E6608" w14:paraId="39B176E8" w14:textId="77777777" w:rsidTr="000C0512">
        <w:tc>
          <w:tcPr>
            <w:tcW w:w="1809" w:type="dxa"/>
          </w:tcPr>
          <w:p w14:paraId="19EC2E96" w14:textId="77777777" w:rsidR="000C0512" w:rsidRPr="000E6608" w:rsidRDefault="00E94BD9" w:rsidP="000C0512">
            <w:r w:rsidRPr="008F067A">
              <w:t>AUC</w:t>
            </w:r>
            <w:r w:rsidRPr="00E94BD9">
              <w:rPr>
                <w:vertAlign w:val="subscript"/>
              </w:rPr>
              <w:t>inf</w:t>
            </w:r>
          </w:p>
        </w:tc>
        <w:tc>
          <w:tcPr>
            <w:tcW w:w="6911" w:type="dxa"/>
          </w:tcPr>
          <w:p w14:paraId="14C3E193" w14:textId="77777777" w:rsidR="000C0512" w:rsidRPr="000E6608" w:rsidRDefault="000C0512" w:rsidP="000C0512">
            <w:r w:rsidRPr="000E6608">
              <w:t>The area under the blood or plasma concentration-time curve from time zero extrapolated to infinity when feasible.</w:t>
            </w:r>
          </w:p>
        </w:tc>
      </w:tr>
      <w:tr w:rsidR="000C0512" w:rsidRPr="000E6608" w14:paraId="4BDF485C" w14:textId="77777777" w:rsidTr="000C0512">
        <w:tc>
          <w:tcPr>
            <w:tcW w:w="1809" w:type="dxa"/>
          </w:tcPr>
          <w:p w14:paraId="682B6617" w14:textId="77777777" w:rsidR="000C0512" w:rsidRPr="000E6608" w:rsidRDefault="00326B43" w:rsidP="000C0512">
            <w:r w:rsidRPr="004933DC">
              <w:t>AUC</w:t>
            </w:r>
            <w:r w:rsidRPr="00326B43">
              <w:rPr>
                <w:vertAlign w:val="subscript"/>
              </w:rPr>
              <w:t>last</w:t>
            </w:r>
          </w:p>
        </w:tc>
        <w:tc>
          <w:tcPr>
            <w:tcW w:w="6911" w:type="dxa"/>
          </w:tcPr>
          <w:p w14:paraId="63F868F4" w14:textId="77777777" w:rsidR="000C0512" w:rsidRPr="000E6608" w:rsidRDefault="000C0512" w:rsidP="000C0512">
            <w:r w:rsidRPr="000E6608">
              <w:t xml:space="preserve">The area under the blood or plasma concentration-time curve from time zero to last sampling time </w:t>
            </w:r>
          </w:p>
        </w:tc>
      </w:tr>
      <w:tr w:rsidR="000C0512" w:rsidRPr="000E6608" w14:paraId="5365CB36" w14:textId="77777777" w:rsidTr="000C0512">
        <w:tc>
          <w:tcPr>
            <w:tcW w:w="1809" w:type="dxa"/>
          </w:tcPr>
          <w:p w14:paraId="4FE7C497" w14:textId="77777777" w:rsidR="000C0512" w:rsidRPr="000E6608" w:rsidRDefault="000C0512" w:rsidP="000C0512">
            <w:r w:rsidRPr="000E6608">
              <w:t>BIRC</w:t>
            </w:r>
          </w:p>
        </w:tc>
        <w:tc>
          <w:tcPr>
            <w:tcW w:w="6911" w:type="dxa"/>
          </w:tcPr>
          <w:p w14:paraId="096DC686" w14:textId="77777777" w:rsidR="000C0512" w:rsidRPr="000E6608" w:rsidRDefault="000C0512" w:rsidP="000C0512">
            <w:r w:rsidRPr="000E6608">
              <w:t>Blinded Independent Review Committee</w:t>
            </w:r>
          </w:p>
        </w:tc>
      </w:tr>
      <w:tr w:rsidR="000C0512" w:rsidRPr="000E6608" w14:paraId="0F35135D" w14:textId="77777777" w:rsidTr="000C0512">
        <w:tc>
          <w:tcPr>
            <w:tcW w:w="1809" w:type="dxa"/>
          </w:tcPr>
          <w:p w14:paraId="0331A9DE" w14:textId="77777777" w:rsidR="000C0512" w:rsidRPr="000E6608" w:rsidRDefault="000C0512" w:rsidP="000C0512">
            <w:r w:rsidRPr="000E6608">
              <w:t>BLRM</w:t>
            </w:r>
          </w:p>
        </w:tc>
        <w:tc>
          <w:tcPr>
            <w:tcW w:w="6911" w:type="dxa"/>
          </w:tcPr>
          <w:p w14:paraId="234E558F" w14:textId="77777777" w:rsidR="000C0512" w:rsidRPr="000E6608" w:rsidRDefault="000C0512" w:rsidP="000C0512">
            <w:r w:rsidRPr="000E6608">
              <w:t>Bayesian Logistic Regression Model</w:t>
            </w:r>
          </w:p>
        </w:tc>
      </w:tr>
      <w:tr w:rsidR="000C0512" w:rsidRPr="000E6608" w14:paraId="4FC239FD" w14:textId="77777777" w:rsidTr="000C0512">
        <w:tc>
          <w:tcPr>
            <w:tcW w:w="1809" w:type="dxa"/>
          </w:tcPr>
          <w:p w14:paraId="02349B0D" w14:textId="77777777" w:rsidR="000C0512" w:rsidRPr="000E6608" w:rsidRDefault="000C0512" w:rsidP="000C0512">
            <w:r w:rsidRPr="000E6608">
              <w:t>BOR</w:t>
            </w:r>
          </w:p>
        </w:tc>
        <w:tc>
          <w:tcPr>
            <w:tcW w:w="6911" w:type="dxa"/>
          </w:tcPr>
          <w:p w14:paraId="372CE10B" w14:textId="77777777" w:rsidR="000C0512" w:rsidRPr="000E6608" w:rsidRDefault="002E1100" w:rsidP="000C0512">
            <w:r w:rsidRPr="000E6608">
              <w:t>Best overall response</w:t>
            </w:r>
          </w:p>
        </w:tc>
      </w:tr>
      <w:tr w:rsidR="000C0512" w:rsidRPr="000E6608" w14:paraId="11FEB083" w14:textId="77777777" w:rsidTr="000C0512">
        <w:tc>
          <w:tcPr>
            <w:tcW w:w="1809" w:type="dxa"/>
          </w:tcPr>
          <w:p w14:paraId="69378B54" w14:textId="77777777" w:rsidR="000C0512" w:rsidRPr="000E6608" w:rsidRDefault="000C0512" w:rsidP="000C0512">
            <w:r w:rsidRPr="000E6608">
              <w:t>bpm</w:t>
            </w:r>
          </w:p>
        </w:tc>
        <w:tc>
          <w:tcPr>
            <w:tcW w:w="6911" w:type="dxa"/>
          </w:tcPr>
          <w:p w14:paraId="12E90F5A" w14:textId="77777777" w:rsidR="000C0512" w:rsidRPr="000E6608" w:rsidRDefault="002E1100" w:rsidP="000C0512">
            <w:r w:rsidRPr="000E6608">
              <w:t>Beats per minute</w:t>
            </w:r>
          </w:p>
        </w:tc>
      </w:tr>
      <w:tr w:rsidR="000C0512" w:rsidRPr="000E6608" w14:paraId="77F48FA0" w14:textId="77777777" w:rsidTr="000C0512">
        <w:tc>
          <w:tcPr>
            <w:tcW w:w="1809" w:type="dxa"/>
          </w:tcPr>
          <w:p w14:paraId="72C649A2" w14:textId="77777777" w:rsidR="000C0512" w:rsidRPr="000E6608" w:rsidRDefault="000C0512" w:rsidP="000C0512">
            <w:r w:rsidRPr="000E6608">
              <w:t>BUN</w:t>
            </w:r>
          </w:p>
        </w:tc>
        <w:tc>
          <w:tcPr>
            <w:tcW w:w="6911" w:type="dxa"/>
          </w:tcPr>
          <w:p w14:paraId="3C03C6F6" w14:textId="77777777" w:rsidR="000C0512" w:rsidRPr="000E6608" w:rsidRDefault="002E1100" w:rsidP="000C0512">
            <w:r w:rsidRPr="000E6608">
              <w:t>Blood urea nitrogen</w:t>
            </w:r>
          </w:p>
        </w:tc>
      </w:tr>
      <w:tr w:rsidR="000C0512" w:rsidRPr="000E6608" w14:paraId="3FE0630E" w14:textId="77777777" w:rsidTr="000C0512">
        <w:tc>
          <w:tcPr>
            <w:tcW w:w="1809" w:type="dxa"/>
          </w:tcPr>
          <w:p w14:paraId="7C36D92B" w14:textId="77777777" w:rsidR="000C0512" w:rsidRPr="000E6608" w:rsidRDefault="000C0512" w:rsidP="000C0512">
            <w:r w:rsidRPr="000E6608">
              <w:t>CHMP</w:t>
            </w:r>
          </w:p>
        </w:tc>
        <w:tc>
          <w:tcPr>
            <w:tcW w:w="6911" w:type="dxa"/>
          </w:tcPr>
          <w:p w14:paraId="5F364420" w14:textId="77777777" w:rsidR="000C0512" w:rsidRPr="000E6608" w:rsidRDefault="000C0512" w:rsidP="000C0512">
            <w:r w:rsidRPr="000E6608">
              <w:t>Committee for Medicinal Products for Human Use</w:t>
            </w:r>
          </w:p>
        </w:tc>
      </w:tr>
      <w:tr w:rsidR="000C0512" w:rsidRPr="000E6608" w14:paraId="52B10CE1" w14:textId="77777777" w:rsidTr="000C0512">
        <w:tc>
          <w:tcPr>
            <w:tcW w:w="1809" w:type="dxa"/>
          </w:tcPr>
          <w:p w14:paraId="1E44EB5A" w14:textId="77777777" w:rsidR="000C0512" w:rsidRPr="000E6608" w:rsidRDefault="000C0512" w:rsidP="000C0512">
            <w:r w:rsidRPr="000E6608">
              <w:t>CI</w:t>
            </w:r>
          </w:p>
        </w:tc>
        <w:tc>
          <w:tcPr>
            <w:tcW w:w="6911" w:type="dxa"/>
          </w:tcPr>
          <w:p w14:paraId="55059850" w14:textId="77777777" w:rsidR="000C0512" w:rsidRPr="000E6608" w:rsidRDefault="002E1100" w:rsidP="000C0512">
            <w:r w:rsidRPr="000E6608">
              <w:t xml:space="preserve">Confidence </w:t>
            </w:r>
            <w:r w:rsidR="000C0512" w:rsidRPr="000E6608">
              <w:t>interval</w:t>
            </w:r>
          </w:p>
        </w:tc>
      </w:tr>
      <w:tr w:rsidR="000C0512" w:rsidRPr="000E6608" w14:paraId="0A9F88CA" w14:textId="77777777" w:rsidTr="000C0512">
        <w:tc>
          <w:tcPr>
            <w:tcW w:w="1809" w:type="dxa"/>
          </w:tcPr>
          <w:p w14:paraId="6D47E914" w14:textId="77777777" w:rsidR="000C0512" w:rsidRPr="000E6608" w:rsidRDefault="000C0512" w:rsidP="000C0512">
            <w:r w:rsidRPr="000E6608">
              <w:lastRenderedPageBreak/>
              <w:t>CL/F</w:t>
            </w:r>
          </w:p>
        </w:tc>
        <w:tc>
          <w:tcPr>
            <w:tcW w:w="6911" w:type="dxa"/>
          </w:tcPr>
          <w:p w14:paraId="7AC5A032" w14:textId="77777777" w:rsidR="000C0512" w:rsidRPr="000E6608" w:rsidRDefault="000C0512" w:rsidP="000C0512">
            <w:r w:rsidRPr="000E6608">
              <w:t>Total body clearance divided by the oral bioavailability</w:t>
            </w:r>
          </w:p>
        </w:tc>
      </w:tr>
      <w:tr w:rsidR="000C0512" w:rsidRPr="000E6608" w14:paraId="66EAF2EE" w14:textId="77777777" w:rsidTr="000C0512">
        <w:tc>
          <w:tcPr>
            <w:tcW w:w="1809" w:type="dxa"/>
          </w:tcPr>
          <w:p w14:paraId="254F7325" w14:textId="77777777" w:rsidR="000C0512" w:rsidRPr="000E6608" w:rsidRDefault="00326B43" w:rsidP="000C0512">
            <w:r w:rsidRPr="004933DC">
              <w:t>C</w:t>
            </w:r>
            <w:r w:rsidRPr="00326B43">
              <w:rPr>
                <w:vertAlign w:val="subscript"/>
              </w:rPr>
              <w:t>max</w:t>
            </w:r>
            <w:r w:rsidRPr="004933DC">
              <w:t xml:space="preserve"> </w:t>
            </w:r>
          </w:p>
        </w:tc>
        <w:tc>
          <w:tcPr>
            <w:tcW w:w="6911" w:type="dxa"/>
          </w:tcPr>
          <w:p w14:paraId="74010A09" w14:textId="77777777" w:rsidR="000C0512" w:rsidRPr="000E6608" w:rsidRDefault="000C0512" w:rsidP="000C0512">
            <w:r w:rsidRPr="000E6608">
              <w:t>The maximum (peak) blood or plasma concentration after single dose administration</w:t>
            </w:r>
          </w:p>
        </w:tc>
      </w:tr>
      <w:tr w:rsidR="000C0512" w:rsidRPr="000E6608" w14:paraId="54405FBD" w14:textId="77777777" w:rsidTr="000C0512">
        <w:tc>
          <w:tcPr>
            <w:tcW w:w="1809" w:type="dxa"/>
          </w:tcPr>
          <w:p w14:paraId="5E767172" w14:textId="77777777" w:rsidR="000C0512" w:rsidRPr="000E6608" w:rsidRDefault="00326B43" w:rsidP="000C0512">
            <w:r w:rsidRPr="004933DC">
              <w:t>C</w:t>
            </w:r>
            <w:r w:rsidRPr="00326B43">
              <w:rPr>
                <w:vertAlign w:val="subscript"/>
              </w:rPr>
              <w:t>trough</w:t>
            </w:r>
          </w:p>
        </w:tc>
        <w:tc>
          <w:tcPr>
            <w:tcW w:w="6911" w:type="dxa"/>
          </w:tcPr>
          <w:p w14:paraId="00EB0C38" w14:textId="77777777" w:rsidR="000C0512" w:rsidRPr="000E6608" w:rsidRDefault="000C0512" w:rsidP="000C0512">
            <w:r w:rsidRPr="000E6608">
              <w:t>trough concentration</w:t>
            </w:r>
          </w:p>
        </w:tc>
      </w:tr>
      <w:tr w:rsidR="000C0512" w:rsidRPr="000E6608" w14:paraId="31D56493" w14:textId="77777777" w:rsidTr="000C0512">
        <w:tc>
          <w:tcPr>
            <w:tcW w:w="1809" w:type="dxa"/>
          </w:tcPr>
          <w:p w14:paraId="44A5B39F" w14:textId="77777777" w:rsidR="000C0512" w:rsidRPr="000E6608" w:rsidRDefault="00326B43" w:rsidP="000C0512">
            <w:r w:rsidRPr="004933DC">
              <w:t>C</w:t>
            </w:r>
            <w:r w:rsidRPr="00326B43">
              <w:rPr>
                <w:vertAlign w:val="subscript"/>
              </w:rPr>
              <w:t>trough</w:t>
            </w:r>
            <w:r w:rsidR="000C0512" w:rsidRPr="000E6608">
              <w:t>,ss</w:t>
            </w:r>
          </w:p>
        </w:tc>
        <w:tc>
          <w:tcPr>
            <w:tcW w:w="6911" w:type="dxa"/>
          </w:tcPr>
          <w:p w14:paraId="23E8B786" w14:textId="77777777" w:rsidR="000C0512" w:rsidRPr="000E6608" w:rsidRDefault="000C0512" w:rsidP="000C0512">
            <w:r w:rsidRPr="000E6608">
              <w:t>steady state trough concentration</w:t>
            </w:r>
          </w:p>
        </w:tc>
      </w:tr>
      <w:tr w:rsidR="000C0512" w:rsidRPr="000E6608" w14:paraId="64BA85D0" w14:textId="77777777" w:rsidTr="000C0512">
        <w:tc>
          <w:tcPr>
            <w:tcW w:w="1809" w:type="dxa"/>
          </w:tcPr>
          <w:p w14:paraId="62802D86" w14:textId="77777777" w:rsidR="000C0512" w:rsidRPr="000E6608" w:rsidRDefault="000C0512" w:rsidP="000C0512">
            <w:r w:rsidRPr="000E6608">
              <w:t>CEAS</w:t>
            </w:r>
          </w:p>
        </w:tc>
        <w:tc>
          <w:tcPr>
            <w:tcW w:w="6911" w:type="dxa"/>
          </w:tcPr>
          <w:p w14:paraId="6A5F4A83" w14:textId="77777777" w:rsidR="000C0512" w:rsidRPr="000E6608" w:rsidRDefault="000C0512" w:rsidP="000C0512">
            <w:r w:rsidRPr="000E6608">
              <w:t>Central Efficacy Analysis Set</w:t>
            </w:r>
          </w:p>
        </w:tc>
      </w:tr>
      <w:tr w:rsidR="000C0512" w:rsidRPr="000E6608" w14:paraId="0225DC0B" w14:textId="77777777" w:rsidTr="000C0512">
        <w:tc>
          <w:tcPr>
            <w:tcW w:w="1809" w:type="dxa"/>
          </w:tcPr>
          <w:p w14:paraId="62AC70ED" w14:textId="77777777" w:rsidR="000C0512" w:rsidRPr="000E6608" w:rsidRDefault="000C0512" w:rsidP="000C0512">
            <w:r w:rsidRPr="000E6608">
              <w:t>CMI</w:t>
            </w:r>
          </w:p>
        </w:tc>
        <w:tc>
          <w:tcPr>
            <w:tcW w:w="6911" w:type="dxa"/>
          </w:tcPr>
          <w:p w14:paraId="0C751150" w14:textId="77777777" w:rsidR="000C0512" w:rsidRPr="000E6608" w:rsidRDefault="000C0512" w:rsidP="000C0512">
            <w:r w:rsidRPr="000E6608">
              <w:t>Consumer Medicines Information</w:t>
            </w:r>
          </w:p>
        </w:tc>
      </w:tr>
      <w:tr w:rsidR="000C0512" w:rsidRPr="000E6608" w14:paraId="44C6323D" w14:textId="77777777" w:rsidTr="000C0512">
        <w:tc>
          <w:tcPr>
            <w:tcW w:w="1809" w:type="dxa"/>
          </w:tcPr>
          <w:p w14:paraId="01774B65" w14:textId="77777777" w:rsidR="000C0512" w:rsidRPr="000E6608" w:rsidRDefault="000C0512" w:rsidP="000C0512">
            <w:r w:rsidRPr="000E6608">
              <w:t>CNS</w:t>
            </w:r>
          </w:p>
        </w:tc>
        <w:tc>
          <w:tcPr>
            <w:tcW w:w="6911" w:type="dxa"/>
          </w:tcPr>
          <w:p w14:paraId="58941A6A" w14:textId="77777777" w:rsidR="000C0512" w:rsidRPr="000E6608" w:rsidRDefault="002E1100" w:rsidP="000C0512">
            <w:r w:rsidRPr="000E6608">
              <w:t>Central nervous system</w:t>
            </w:r>
          </w:p>
        </w:tc>
      </w:tr>
      <w:tr w:rsidR="000C0512" w:rsidRPr="000E6608" w14:paraId="2825B3BF" w14:textId="77777777" w:rsidTr="000C0512">
        <w:tc>
          <w:tcPr>
            <w:tcW w:w="1809" w:type="dxa"/>
          </w:tcPr>
          <w:p w14:paraId="02821DD0" w14:textId="77777777" w:rsidR="000C0512" w:rsidRPr="000E6608" w:rsidRDefault="000C0512" w:rsidP="000C0512">
            <w:r w:rsidRPr="000E6608">
              <w:t>CR</w:t>
            </w:r>
          </w:p>
        </w:tc>
        <w:tc>
          <w:tcPr>
            <w:tcW w:w="6911" w:type="dxa"/>
          </w:tcPr>
          <w:p w14:paraId="54BE6B42" w14:textId="77777777" w:rsidR="000C0512" w:rsidRPr="000E6608" w:rsidRDefault="002E1100" w:rsidP="000C0512">
            <w:r w:rsidRPr="000E6608">
              <w:t>Complete response</w:t>
            </w:r>
          </w:p>
        </w:tc>
      </w:tr>
      <w:tr w:rsidR="000C0512" w:rsidRPr="000E6608" w14:paraId="3D586E2A" w14:textId="77777777" w:rsidTr="000C0512">
        <w:tc>
          <w:tcPr>
            <w:tcW w:w="1809" w:type="dxa"/>
          </w:tcPr>
          <w:p w14:paraId="496D7F07" w14:textId="77777777" w:rsidR="000C0512" w:rsidRPr="000E6608" w:rsidRDefault="000C0512" w:rsidP="000C0512">
            <w:r w:rsidRPr="000E6608">
              <w:t>CrCL</w:t>
            </w:r>
          </w:p>
        </w:tc>
        <w:tc>
          <w:tcPr>
            <w:tcW w:w="6911" w:type="dxa"/>
          </w:tcPr>
          <w:p w14:paraId="08AF04D1" w14:textId="77777777" w:rsidR="000C0512" w:rsidRPr="000E6608" w:rsidRDefault="002E1100" w:rsidP="000C0512">
            <w:r w:rsidRPr="000E6608">
              <w:t>Creatinine clearance</w:t>
            </w:r>
          </w:p>
        </w:tc>
      </w:tr>
      <w:tr w:rsidR="000C0512" w:rsidRPr="000E6608" w14:paraId="1CEE1433" w14:textId="77777777" w:rsidTr="000C0512">
        <w:tc>
          <w:tcPr>
            <w:tcW w:w="1809" w:type="dxa"/>
          </w:tcPr>
          <w:p w14:paraId="0487097E" w14:textId="77777777" w:rsidR="000C0512" w:rsidRPr="000E6608" w:rsidRDefault="000C0512" w:rsidP="000C0512">
            <w:r w:rsidRPr="000E6608">
              <w:t>CSF</w:t>
            </w:r>
          </w:p>
        </w:tc>
        <w:tc>
          <w:tcPr>
            <w:tcW w:w="6911" w:type="dxa"/>
          </w:tcPr>
          <w:p w14:paraId="4B83DE25" w14:textId="77777777" w:rsidR="000C0512" w:rsidRPr="000E6608" w:rsidRDefault="000C0512" w:rsidP="000C0512">
            <w:r w:rsidRPr="000E6608">
              <w:t>Clinical Service Formulation</w:t>
            </w:r>
          </w:p>
        </w:tc>
      </w:tr>
      <w:tr w:rsidR="000C0512" w:rsidRPr="000E6608" w14:paraId="1474FC23" w14:textId="77777777" w:rsidTr="000C0512">
        <w:tc>
          <w:tcPr>
            <w:tcW w:w="1809" w:type="dxa"/>
          </w:tcPr>
          <w:p w14:paraId="7489AB6F" w14:textId="77777777" w:rsidR="000C0512" w:rsidRPr="000E6608" w:rsidRDefault="000C0512" w:rsidP="000C0512">
            <w:r w:rsidRPr="000E6608">
              <w:t>CT</w:t>
            </w:r>
          </w:p>
        </w:tc>
        <w:tc>
          <w:tcPr>
            <w:tcW w:w="6911" w:type="dxa"/>
          </w:tcPr>
          <w:p w14:paraId="6082C964" w14:textId="77777777" w:rsidR="000C0512" w:rsidRPr="000E6608" w:rsidRDefault="000C0512" w:rsidP="000C0512">
            <w:r w:rsidRPr="000E6608">
              <w:t>computed tomography</w:t>
            </w:r>
          </w:p>
        </w:tc>
      </w:tr>
      <w:tr w:rsidR="000C0512" w:rsidRPr="000E6608" w14:paraId="5B49F4A8" w14:textId="77777777" w:rsidTr="000C0512">
        <w:tc>
          <w:tcPr>
            <w:tcW w:w="1809" w:type="dxa"/>
          </w:tcPr>
          <w:p w14:paraId="66F99963" w14:textId="77777777" w:rsidR="000C0512" w:rsidRPr="000E6608" w:rsidRDefault="000C0512" w:rsidP="000C0512">
            <w:r w:rsidRPr="000E6608">
              <w:t>CTCAE</w:t>
            </w:r>
          </w:p>
        </w:tc>
        <w:tc>
          <w:tcPr>
            <w:tcW w:w="6911" w:type="dxa"/>
          </w:tcPr>
          <w:p w14:paraId="107E6088" w14:textId="77777777" w:rsidR="000C0512" w:rsidRPr="000E6608" w:rsidRDefault="000C0512" w:rsidP="000C0512">
            <w:r w:rsidRPr="000E6608">
              <w:t>Common Terminology Criteria for Adverse Events</w:t>
            </w:r>
          </w:p>
        </w:tc>
      </w:tr>
      <w:tr w:rsidR="000C0512" w:rsidRPr="000E6608" w14:paraId="4A50A368" w14:textId="77777777" w:rsidTr="000C0512">
        <w:tc>
          <w:tcPr>
            <w:tcW w:w="1809" w:type="dxa"/>
          </w:tcPr>
          <w:p w14:paraId="3F3BB429" w14:textId="77777777" w:rsidR="000C0512" w:rsidRPr="000E6608" w:rsidRDefault="000C0512" w:rsidP="000C0512">
            <w:r w:rsidRPr="000E6608">
              <w:t>DCR</w:t>
            </w:r>
          </w:p>
        </w:tc>
        <w:tc>
          <w:tcPr>
            <w:tcW w:w="6911" w:type="dxa"/>
          </w:tcPr>
          <w:p w14:paraId="707B6EA5" w14:textId="77777777" w:rsidR="000C0512" w:rsidRPr="000E6608" w:rsidRDefault="000C0512" w:rsidP="000C0512">
            <w:r w:rsidRPr="000E6608">
              <w:t>Disease control rate</w:t>
            </w:r>
          </w:p>
        </w:tc>
      </w:tr>
      <w:tr w:rsidR="000C0512" w:rsidRPr="000E6608" w14:paraId="7B75BBBD" w14:textId="77777777" w:rsidTr="000C0512">
        <w:tc>
          <w:tcPr>
            <w:tcW w:w="1809" w:type="dxa"/>
          </w:tcPr>
          <w:p w14:paraId="1299A32D" w14:textId="77777777" w:rsidR="000C0512" w:rsidRPr="000E6608" w:rsidRDefault="000C0512" w:rsidP="000C0512">
            <w:r w:rsidRPr="000E6608">
              <w:t>DDI</w:t>
            </w:r>
          </w:p>
        </w:tc>
        <w:tc>
          <w:tcPr>
            <w:tcW w:w="6911" w:type="dxa"/>
          </w:tcPr>
          <w:p w14:paraId="2B15B962" w14:textId="77777777" w:rsidR="000C0512" w:rsidRPr="000E6608" w:rsidRDefault="000C0512" w:rsidP="000C0512">
            <w:r w:rsidRPr="000E6608">
              <w:t>Drug-drug interaction</w:t>
            </w:r>
          </w:p>
        </w:tc>
      </w:tr>
      <w:tr w:rsidR="000C0512" w:rsidRPr="000E6608" w14:paraId="08AFB454" w14:textId="77777777" w:rsidTr="000C0512">
        <w:tc>
          <w:tcPr>
            <w:tcW w:w="1809" w:type="dxa"/>
          </w:tcPr>
          <w:p w14:paraId="6EB04B60" w14:textId="77777777" w:rsidR="000C0512" w:rsidRPr="000E6608" w:rsidRDefault="000C0512" w:rsidP="000C0512">
            <w:r w:rsidRPr="000E6608">
              <w:t>DLT</w:t>
            </w:r>
          </w:p>
        </w:tc>
        <w:tc>
          <w:tcPr>
            <w:tcW w:w="6911" w:type="dxa"/>
          </w:tcPr>
          <w:p w14:paraId="7C489CAE" w14:textId="77777777" w:rsidR="000C0512" w:rsidRPr="000E6608" w:rsidRDefault="002E1100" w:rsidP="000C0512">
            <w:r w:rsidRPr="000E6608">
              <w:t xml:space="preserve">Dose-limiting </w:t>
            </w:r>
            <w:r w:rsidR="000C0512" w:rsidRPr="000E6608">
              <w:t>toxicity</w:t>
            </w:r>
          </w:p>
        </w:tc>
      </w:tr>
      <w:tr w:rsidR="000C0512" w:rsidRPr="000E6608" w14:paraId="11ACD48E" w14:textId="77777777" w:rsidTr="000C0512">
        <w:tc>
          <w:tcPr>
            <w:tcW w:w="1809" w:type="dxa"/>
          </w:tcPr>
          <w:p w14:paraId="57A5AA65" w14:textId="77777777" w:rsidR="000C0512" w:rsidRPr="000E6608" w:rsidRDefault="000C0512" w:rsidP="000C0512">
            <w:r w:rsidRPr="000E6608">
              <w:t>DOR</w:t>
            </w:r>
          </w:p>
        </w:tc>
        <w:tc>
          <w:tcPr>
            <w:tcW w:w="6911" w:type="dxa"/>
          </w:tcPr>
          <w:p w14:paraId="0986C128" w14:textId="77777777" w:rsidR="000C0512" w:rsidRPr="000E6608" w:rsidRDefault="002E1100" w:rsidP="000C0512">
            <w:r w:rsidRPr="000E6608">
              <w:t>Duration of response</w:t>
            </w:r>
          </w:p>
        </w:tc>
      </w:tr>
      <w:tr w:rsidR="000C0512" w:rsidRPr="000E6608" w14:paraId="5AFC05A5" w14:textId="77777777" w:rsidTr="000C0512">
        <w:tc>
          <w:tcPr>
            <w:tcW w:w="1809" w:type="dxa"/>
          </w:tcPr>
          <w:p w14:paraId="2E6307D4" w14:textId="77777777" w:rsidR="000C0512" w:rsidRPr="000E6608" w:rsidRDefault="000C0512" w:rsidP="000C0512">
            <w:r w:rsidRPr="000E6608">
              <w:t>DSC</w:t>
            </w:r>
          </w:p>
        </w:tc>
        <w:tc>
          <w:tcPr>
            <w:tcW w:w="6911" w:type="dxa"/>
          </w:tcPr>
          <w:p w14:paraId="28302B5B" w14:textId="77777777" w:rsidR="000C0512" w:rsidRPr="000E6608" w:rsidRDefault="000C0512" w:rsidP="000C0512">
            <w:r w:rsidRPr="000E6608">
              <w:t>Differential Scanning Calorimeter</w:t>
            </w:r>
          </w:p>
        </w:tc>
      </w:tr>
      <w:tr w:rsidR="000C0512" w:rsidRPr="000E6608" w14:paraId="05EE6AE0" w14:textId="77777777" w:rsidTr="000C0512">
        <w:tc>
          <w:tcPr>
            <w:tcW w:w="1809" w:type="dxa"/>
          </w:tcPr>
          <w:p w14:paraId="11715EA4" w14:textId="77777777" w:rsidR="000C0512" w:rsidRPr="000E6608" w:rsidRDefault="000C0512" w:rsidP="000C0512">
            <w:r w:rsidRPr="000E6608">
              <w:t>EAS</w:t>
            </w:r>
          </w:p>
        </w:tc>
        <w:tc>
          <w:tcPr>
            <w:tcW w:w="6911" w:type="dxa"/>
          </w:tcPr>
          <w:p w14:paraId="454868EF" w14:textId="77777777" w:rsidR="000C0512" w:rsidRPr="000E6608" w:rsidRDefault="000C0512" w:rsidP="000C0512">
            <w:r w:rsidRPr="000E6608">
              <w:t xml:space="preserve">Efficacy Analysis Set </w:t>
            </w:r>
          </w:p>
        </w:tc>
      </w:tr>
      <w:tr w:rsidR="000C0512" w:rsidRPr="000E6608" w14:paraId="6087B3D5" w14:textId="77777777" w:rsidTr="000C0512">
        <w:tc>
          <w:tcPr>
            <w:tcW w:w="1809" w:type="dxa"/>
          </w:tcPr>
          <w:p w14:paraId="2686C2E2" w14:textId="77777777" w:rsidR="000C0512" w:rsidRPr="000E6608" w:rsidRDefault="000C0512" w:rsidP="000C0512">
            <w:r w:rsidRPr="000E6608">
              <w:t>ECG</w:t>
            </w:r>
          </w:p>
        </w:tc>
        <w:tc>
          <w:tcPr>
            <w:tcW w:w="6911" w:type="dxa"/>
          </w:tcPr>
          <w:p w14:paraId="1AEF11B9" w14:textId="77777777" w:rsidR="000C0512" w:rsidRPr="000E6608" w:rsidRDefault="002E1100" w:rsidP="000C0512">
            <w:r w:rsidRPr="000E6608">
              <w:t>Electrocardiogram</w:t>
            </w:r>
          </w:p>
        </w:tc>
      </w:tr>
      <w:tr w:rsidR="000C0512" w:rsidRPr="000E6608" w14:paraId="072A4ACA" w14:textId="77777777" w:rsidTr="000C0512">
        <w:tc>
          <w:tcPr>
            <w:tcW w:w="1809" w:type="dxa"/>
          </w:tcPr>
          <w:p w14:paraId="510AD31C" w14:textId="77777777" w:rsidR="000C0512" w:rsidRPr="000E6608" w:rsidRDefault="000C0512" w:rsidP="000C0512">
            <w:r w:rsidRPr="000E6608">
              <w:t>ECOG</w:t>
            </w:r>
          </w:p>
        </w:tc>
        <w:tc>
          <w:tcPr>
            <w:tcW w:w="6911" w:type="dxa"/>
          </w:tcPr>
          <w:p w14:paraId="2751C61F" w14:textId="77777777" w:rsidR="000C0512" w:rsidRPr="000E6608" w:rsidRDefault="002E1100" w:rsidP="000C0512">
            <w:r w:rsidRPr="000E6608">
              <w:t>Eastern cooperative oncology group</w:t>
            </w:r>
          </w:p>
        </w:tc>
      </w:tr>
      <w:tr w:rsidR="000C0512" w:rsidRPr="00CA67B1" w14:paraId="5D243050" w14:textId="77777777" w:rsidTr="000C0512">
        <w:tc>
          <w:tcPr>
            <w:tcW w:w="1809" w:type="dxa"/>
          </w:tcPr>
          <w:p w14:paraId="7C83CB58" w14:textId="77777777" w:rsidR="000C0512" w:rsidRPr="000E6608" w:rsidRDefault="000C0512" w:rsidP="000C0512">
            <w:r w:rsidRPr="000E6608">
              <w:t>EDTA</w:t>
            </w:r>
          </w:p>
        </w:tc>
        <w:tc>
          <w:tcPr>
            <w:tcW w:w="6911" w:type="dxa"/>
          </w:tcPr>
          <w:p w14:paraId="671CF65D" w14:textId="77777777" w:rsidR="000C0512" w:rsidRPr="003F4353" w:rsidRDefault="002E1100" w:rsidP="000C0512">
            <w:pPr>
              <w:rPr>
                <w:lang w:val="it-IT"/>
              </w:rPr>
            </w:pPr>
            <w:r w:rsidRPr="003F4353">
              <w:rPr>
                <w:lang w:val="it-IT"/>
              </w:rPr>
              <w:t>Ethylene diamine tetra acetic acid</w:t>
            </w:r>
          </w:p>
        </w:tc>
      </w:tr>
      <w:tr w:rsidR="000C0512" w:rsidRPr="000E6608" w14:paraId="0E4B5940" w14:textId="77777777" w:rsidTr="000C0512">
        <w:tc>
          <w:tcPr>
            <w:tcW w:w="1809" w:type="dxa"/>
          </w:tcPr>
          <w:p w14:paraId="505E67CB" w14:textId="77777777" w:rsidR="000C0512" w:rsidRPr="000E6608" w:rsidRDefault="000C0512" w:rsidP="000C0512">
            <w:r w:rsidRPr="000E6608">
              <w:t>EGFR</w:t>
            </w:r>
          </w:p>
        </w:tc>
        <w:tc>
          <w:tcPr>
            <w:tcW w:w="6911" w:type="dxa"/>
          </w:tcPr>
          <w:p w14:paraId="50C0C4D1" w14:textId="77777777" w:rsidR="000C0512" w:rsidRPr="000E6608" w:rsidRDefault="002E1100" w:rsidP="000C0512">
            <w:r w:rsidRPr="000E6608">
              <w:t>Epidermal growth factor receptor</w:t>
            </w:r>
          </w:p>
        </w:tc>
      </w:tr>
      <w:tr w:rsidR="000C0512" w:rsidRPr="000E6608" w14:paraId="0013F8F1" w14:textId="77777777" w:rsidTr="000C0512">
        <w:tc>
          <w:tcPr>
            <w:tcW w:w="1809" w:type="dxa"/>
          </w:tcPr>
          <w:p w14:paraId="7BAB9F1F" w14:textId="77777777" w:rsidR="000C0512" w:rsidRPr="000E6608" w:rsidRDefault="000C0512" w:rsidP="000C0512">
            <w:r w:rsidRPr="000E6608">
              <w:t>EU</w:t>
            </w:r>
          </w:p>
        </w:tc>
        <w:tc>
          <w:tcPr>
            <w:tcW w:w="6911" w:type="dxa"/>
          </w:tcPr>
          <w:p w14:paraId="02047548" w14:textId="77777777" w:rsidR="000C0512" w:rsidRPr="000E6608" w:rsidRDefault="000C0512" w:rsidP="000C0512">
            <w:r w:rsidRPr="000E6608">
              <w:t>European Union</w:t>
            </w:r>
          </w:p>
        </w:tc>
      </w:tr>
      <w:tr w:rsidR="000C0512" w:rsidRPr="000E6608" w14:paraId="75D03650" w14:textId="77777777" w:rsidTr="000C0512">
        <w:tc>
          <w:tcPr>
            <w:tcW w:w="1809" w:type="dxa"/>
          </w:tcPr>
          <w:p w14:paraId="1941E85B" w14:textId="77777777" w:rsidR="000C0512" w:rsidRPr="000E6608" w:rsidRDefault="000C0512" w:rsidP="000C0512">
            <w:r w:rsidRPr="000E6608">
              <w:t>EWOC</w:t>
            </w:r>
          </w:p>
        </w:tc>
        <w:tc>
          <w:tcPr>
            <w:tcW w:w="6911" w:type="dxa"/>
          </w:tcPr>
          <w:p w14:paraId="107BBB61" w14:textId="77777777" w:rsidR="000C0512" w:rsidRPr="000E6608" w:rsidRDefault="000C0512" w:rsidP="000C0512">
            <w:r w:rsidRPr="000E6608">
              <w:t xml:space="preserve">Escalation with overdose control </w:t>
            </w:r>
          </w:p>
        </w:tc>
      </w:tr>
      <w:tr w:rsidR="000C0512" w:rsidRPr="000E6608" w14:paraId="73E9D2CC" w14:textId="77777777" w:rsidTr="000C0512">
        <w:tc>
          <w:tcPr>
            <w:tcW w:w="1809" w:type="dxa"/>
          </w:tcPr>
          <w:p w14:paraId="4FC09ADA" w14:textId="77777777" w:rsidR="000C0512" w:rsidRPr="000E6608" w:rsidRDefault="000C0512" w:rsidP="000C0512">
            <w:r w:rsidRPr="000E6608">
              <w:t>FAS</w:t>
            </w:r>
          </w:p>
        </w:tc>
        <w:tc>
          <w:tcPr>
            <w:tcW w:w="6911" w:type="dxa"/>
          </w:tcPr>
          <w:p w14:paraId="2B018220" w14:textId="77777777" w:rsidR="000C0512" w:rsidRPr="000E6608" w:rsidRDefault="000C0512" w:rsidP="000C0512">
            <w:r w:rsidRPr="000E6608">
              <w:t>Full Analysis Set</w:t>
            </w:r>
          </w:p>
        </w:tc>
      </w:tr>
      <w:tr w:rsidR="000C0512" w:rsidRPr="000E6608" w14:paraId="660A7E9A" w14:textId="77777777" w:rsidTr="000C0512">
        <w:tc>
          <w:tcPr>
            <w:tcW w:w="1809" w:type="dxa"/>
          </w:tcPr>
          <w:p w14:paraId="6C48DFC2" w14:textId="77777777" w:rsidR="000C0512" w:rsidRPr="000E6608" w:rsidRDefault="000C0512" w:rsidP="000C0512">
            <w:r w:rsidRPr="000E6608">
              <w:t>FDA</w:t>
            </w:r>
          </w:p>
        </w:tc>
        <w:tc>
          <w:tcPr>
            <w:tcW w:w="6911" w:type="dxa"/>
          </w:tcPr>
          <w:p w14:paraId="42BCF4DC" w14:textId="77777777" w:rsidR="000C0512" w:rsidRPr="000E6608" w:rsidRDefault="000C0512" w:rsidP="000C0512">
            <w:r w:rsidRPr="000E6608">
              <w:t>Food and Drug Administration</w:t>
            </w:r>
          </w:p>
        </w:tc>
      </w:tr>
      <w:tr w:rsidR="000C0512" w:rsidRPr="000E6608" w14:paraId="3947D856" w14:textId="77777777" w:rsidTr="000C0512">
        <w:tc>
          <w:tcPr>
            <w:tcW w:w="1809" w:type="dxa"/>
          </w:tcPr>
          <w:p w14:paraId="3BA7BC40" w14:textId="77777777" w:rsidR="000C0512" w:rsidRPr="000E6608" w:rsidRDefault="000C0512" w:rsidP="000C0512">
            <w:r w:rsidRPr="000E6608">
              <w:lastRenderedPageBreak/>
              <w:t>FISH</w:t>
            </w:r>
          </w:p>
        </w:tc>
        <w:tc>
          <w:tcPr>
            <w:tcW w:w="6911" w:type="dxa"/>
          </w:tcPr>
          <w:p w14:paraId="2CEDC914" w14:textId="77777777" w:rsidR="000C0512" w:rsidRPr="000E6608" w:rsidRDefault="002E1100" w:rsidP="000C0512">
            <w:r w:rsidRPr="000E6608">
              <w:t>Fluorescence In Situ Hybridisation</w:t>
            </w:r>
          </w:p>
        </w:tc>
      </w:tr>
      <w:tr w:rsidR="000C0512" w:rsidRPr="000E6608" w14:paraId="70668A83" w14:textId="77777777" w:rsidTr="000C0512">
        <w:tc>
          <w:tcPr>
            <w:tcW w:w="1809" w:type="dxa"/>
          </w:tcPr>
          <w:p w14:paraId="14432D71" w14:textId="77777777" w:rsidR="000C0512" w:rsidRPr="000E6608" w:rsidRDefault="000C0512" w:rsidP="000C0512">
            <w:r w:rsidRPr="000E6608">
              <w:t>FMI</w:t>
            </w:r>
          </w:p>
        </w:tc>
        <w:tc>
          <w:tcPr>
            <w:tcW w:w="6911" w:type="dxa"/>
          </w:tcPr>
          <w:p w14:paraId="7033057D" w14:textId="77777777" w:rsidR="000C0512" w:rsidRPr="000E6608" w:rsidRDefault="000C0512" w:rsidP="000C0512">
            <w:r w:rsidRPr="000E6608">
              <w:t>Final Market Image</w:t>
            </w:r>
          </w:p>
        </w:tc>
      </w:tr>
      <w:tr w:rsidR="000C0512" w:rsidRPr="000E6608" w14:paraId="796026BF" w14:textId="77777777" w:rsidTr="000C0512">
        <w:tc>
          <w:tcPr>
            <w:tcW w:w="1809" w:type="dxa"/>
          </w:tcPr>
          <w:p w14:paraId="28DCB868" w14:textId="77777777" w:rsidR="000C0512" w:rsidRPr="000E6608" w:rsidRDefault="000C0512" w:rsidP="000C0512">
            <w:r w:rsidRPr="000E6608">
              <w:t>GGT</w:t>
            </w:r>
          </w:p>
        </w:tc>
        <w:tc>
          <w:tcPr>
            <w:tcW w:w="6911" w:type="dxa"/>
          </w:tcPr>
          <w:p w14:paraId="369B2827" w14:textId="77777777" w:rsidR="000C0512" w:rsidRPr="000E6608" w:rsidRDefault="002E1100" w:rsidP="000C0512">
            <w:r w:rsidRPr="000E6608">
              <w:t>Gamma-glutamyl transpeptidase</w:t>
            </w:r>
          </w:p>
        </w:tc>
      </w:tr>
      <w:tr w:rsidR="000C0512" w:rsidRPr="000E6608" w14:paraId="7A6C4978" w14:textId="77777777" w:rsidTr="000C0512">
        <w:tc>
          <w:tcPr>
            <w:tcW w:w="1809" w:type="dxa"/>
          </w:tcPr>
          <w:p w14:paraId="78BB71A2" w14:textId="77777777" w:rsidR="000C0512" w:rsidRPr="000E6608" w:rsidRDefault="000C0512" w:rsidP="000C0512">
            <w:r w:rsidRPr="000E6608">
              <w:t>GI</w:t>
            </w:r>
          </w:p>
        </w:tc>
        <w:tc>
          <w:tcPr>
            <w:tcW w:w="6911" w:type="dxa"/>
          </w:tcPr>
          <w:p w14:paraId="4A03449E" w14:textId="77777777" w:rsidR="000C0512" w:rsidRPr="000E6608" w:rsidRDefault="002E1100" w:rsidP="000C0512">
            <w:r w:rsidRPr="000E6608">
              <w:t>Gastrointestinal</w:t>
            </w:r>
          </w:p>
        </w:tc>
      </w:tr>
      <w:tr w:rsidR="000C0512" w:rsidRPr="000E6608" w14:paraId="6A7C9251" w14:textId="77777777" w:rsidTr="000C0512">
        <w:tc>
          <w:tcPr>
            <w:tcW w:w="1809" w:type="dxa"/>
          </w:tcPr>
          <w:p w14:paraId="274B8C43" w14:textId="77777777" w:rsidR="000C0512" w:rsidRPr="000E6608" w:rsidRDefault="000C0512" w:rsidP="000C0512">
            <w:r w:rsidRPr="000E6608">
              <w:t>HIV</w:t>
            </w:r>
          </w:p>
        </w:tc>
        <w:tc>
          <w:tcPr>
            <w:tcW w:w="6911" w:type="dxa"/>
          </w:tcPr>
          <w:p w14:paraId="1850AFFF" w14:textId="77777777" w:rsidR="000C0512" w:rsidRPr="000E6608" w:rsidRDefault="002E1100" w:rsidP="000C0512">
            <w:r w:rsidRPr="000E6608">
              <w:t>Human immunodeficiency v</w:t>
            </w:r>
            <w:r w:rsidR="000C0512" w:rsidRPr="000E6608">
              <w:t>irus</w:t>
            </w:r>
          </w:p>
        </w:tc>
      </w:tr>
      <w:tr w:rsidR="000C0512" w:rsidRPr="000E6608" w14:paraId="4C9DFE8D" w14:textId="77777777" w:rsidTr="000C0512">
        <w:tc>
          <w:tcPr>
            <w:tcW w:w="1809" w:type="dxa"/>
          </w:tcPr>
          <w:p w14:paraId="48060E9C" w14:textId="77777777" w:rsidR="000C0512" w:rsidRPr="000E6608" w:rsidRDefault="000C0512" w:rsidP="000C0512">
            <w:r w:rsidRPr="000E6608">
              <w:t>HR</w:t>
            </w:r>
          </w:p>
        </w:tc>
        <w:tc>
          <w:tcPr>
            <w:tcW w:w="6911" w:type="dxa"/>
          </w:tcPr>
          <w:p w14:paraId="2B6B40B4" w14:textId="77777777" w:rsidR="000C0512" w:rsidRPr="000E6608" w:rsidRDefault="002E1100" w:rsidP="000C0512">
            <w:r w:rsidRPr="000E6608">
              <w:t>Hazard ratio</w:t>
            </w:r>
          </w:p>
        </w:tc>
      </w:tr>
      <w:tr w:rsidR="000C0512" w:rsidRPr="000E6608" w14:paraId="63A43BC9" w14:textId="77777777" w:rsidTr="000C0512">
        <w:tc>
          <w:tcPr>
            <w:tcW w:w="1809" w:type="dxa"/>
          </w:tcPr>
          <w:p w14:paraId="643B33CC" w14:textId="77777777" w:rsidR="000C0512" w:rsidRPr="000E6608" w:rsidRDefault="000C0512" w:rsidP="000C0512">
            <w:r w:rsidRPr="000E6608">
              <w:t>ILD</w:t>
            </w:r>
          </w:p>
        </w:tc>
        <w:tc>
          <w:tcPr>
            <w:tcW w:w="6911" w:type="dxa"/>
          </w:tcPr>
          <w:p w14:paraId="4E3F0B60" w14:textId="77777777" w:rsidR="000C0512" w:rsidRPr="000E6608" w:rsidRDefault="002E1100" w:rsidP="000C0512">
            <w:r w:rsidRPr="000E6608">
              <w:t>Interstitial lung disease</w:t>
            </w:r>
          </w:p>
        </w:tc>
      </w:tr>
      <w:tr w:rsidR="000C0512" w:rsidRPr="000E6608" w14:paraId="662AAE60" w14:textId="77777777" w:rsidTr="000C0512">
        <w:tc>
          <w:tcPr>
            <w:tcW w:w="1809" w:type="dxa"/>
          </w:tcPr>
          <w:p w14:paraId="2E968D06" w14:textId="77777777" w:rsidR="000C0512" w:rsidRPr="000E6608" w:rsidRDefault="000C0512" w:rsidP="000C0512">
            <w:r w:rsidRPr="000E6608">
              <w:t>Lambda_z</w:t>
            </w:r>
          </w:p>
        </w:tc>
        <w:tc>
          <w:tcPr>
            <w:tcW w:w="6911" w:type="dxa"/>
          </w:tcPr>
          <w:p w14:paraId="60ACF472" w14:textId="77777777" w:rsidR="000C0512" w:rsidRPr="000E6608" w:rsidRDefault="000C0512" w:rsidP="000C0512">
            <w:r w:rsidRPr="000E6608">
              <w:t>Terminal elimination rate constant</w:t>
            </w:r>
          </w:p>
        </w:tc>
      </w:tr>
      <w:tr w:rsidR="000C0512" w:rsidRPr="000E6608" w14:paraId="2C894D46" w14:textId="77777777" w:rsidTr="000C0512">
        <w:tc>
          <w:tcPr>
            <w:tcW w:w="1809" w:type="dxa"/>
          </w:tcPr>
          <w:p w14:paraId="0E708779" w14:textId="77777777" w:rsidR="000C0512" w:rsidRPr="000E6608" w:rsidRDefault="000C0512" w:rsidP="000C0512">
            <w:r w:rsidRPr="000E6608">
              <w:t>LC-MS/MS</w:t>
            </w:r>
          </w:p>
        </w:tc>
        <w:tc>
          <w:tcPr>
            <w:tcW w:w="6911" w:type="dxa"/>
          </w:tcPr>
          <w:p w14:paraId="0E09E455" w14:textId="77777777" w:rsidR="000C0512" w:rsidRPr="000E6608" w:rsidRDefault="002E1100" w:rsidP="000C0512">
            <w:r w:rsidRPr="000E6608">
              <w:t>Liquid Chromatography-Tandem Mass Spectrometry</w:t>
            </w:r>
          </w:p>
        </w:tc>
      </w:tr>
      <w:tr w:rsidR="000C0512" w:rsidRPr="000E6608" w14:paraId="15BCF182" w14:textId="77777777" w:rsidTr="000C0512">
        <w:tc>
          <w:tcPr>
            <w:tcW w:w="1809" w:type="dxa"/>
          </w:tcPr>
          <w:p w14:paraId="2A663958" w14:textId="77777777" w:rsidR="000C0512" w:rsidRPr="000E6608" w:rsidRDefault="000C0512" w:rsidP="000C0512">
            <w:r w:rsidRPr="000E6608">
              <w:t>LDK378</w:t>
            </w:r>
          </w:p>
        </w:tc>
        <w:tc>
          <w:tcPr>
            <w:tcW w:w="6911" w:type="dxa"/>
          </w:tcPr>
          <w:p w14:paraId="2EB2A050" w14:textId="77777777" w:rsidR="000C0512" w:rsidRPr="000E6608" w:rsidRDefault="002E1100" w:rsidP="000C0512">
            <w:r w:rsidRPr="000E6608">
              <w:t>Ceritinib</w:t>
            </w:r>
          </w:p>
        </w:tc>
      </w:tr>
      <w:tr w:rsidR="000C0512" w:rsidRPr="000E6608" w14:paraId="4AB0F783" w14:textId="77777777" w:rsidTr="000C0512">
        <w:tc>
          <w:tcPr>
            <w:tcW w:w="1809" w:type="dxa"/>
          </w:tcPr>
          <w:p w14:paraId="0C89D6E8" w14:textId="77777777" w:rsidR="000C0512" w:rsidRPr="000E6608" w:rsidRDefault="000C0512" w:rsidP="000C0512">
            <w:r w:rsidRPr="000E6608">
              <w:t>LLOQ</w:t>
            </w:r>
          </w:p>
        </w:tc>
        <w:tc>
          <w:tcPr>
            <w:tcW w:w="6911" w:type="dxa"/>
          </w:tcPr>
          <w:p w14:paraId="1F062B1F" w14:textId="77777777" w:rsidR="000C0512" w:rsidRPr="000E6608" w:rsidRDefault="002E1100" w:rsidP="000C0512">
            <w:r w:rsidRPr="000E6608">
              <w:t>Lower Limit Of Quantification</w:t>
            </w:r>
          </w:p>
        </w:tc>
      </w:tr>
      <w:tr w:rsidR="000C0512" w:rsidRPr="000E6608" w14:paraId="100FC9B0" w14:textId="77777777" w:rsidTr="000C0512">
        <w:tc>
          <w:tcPr>
            <w:tcW w:w="1809" w:type="dxa"/>
          </w:tcPr>
          <w:p w14:paraId="02143FB9" w14:textId="77777777" w:rsidR="000C0512" w:rsidRPr="000E6608" w:rsidRDefault="000C0512" w:rsidP="000C0512">
            <w:r w:rsidRPr="000E6608">
              <w:t>LMWH</w:t>
            </w:r>
          </w:p>
        </w:tc>
        <w:tc>
          <w:tcPr>
            <w:tcW w:w="6911" w:type="dxa"/>
          </w:tcPr>
          <w:p w14:paraId="5DDD5B98" w14:textId="77777777" w:rsidR="000C0512" w:rsidRPr="000E6608" w:rsidRDefault="002E1100" w:rsidP="000C0512">
            <w:r w:rsidRPr="000E6608">
              <w:t>Low Molecular Weight Heparin</w:t>
            </w:r>
          </w:p>
        </w:tc>
      </w:tr>
      <w:tr w:rsidR="000C0512" w:rsidRPr="000E6608" w14:paraId="5EC885AC" w14:textId="77777777" w:rsidTr="000C0512">
        <w:tc>
          <w:tcPr>
            <w:tcW w:w="1809" w:type="dxa"/>
          </w:tcPr>
          <w:p w14:paraId="48B92BE5" w14:textId="77777777" w:rsidR="000C0512" w:rsidRPr="000E6608" w:rsidRDefault="000C0512" w:rsidP="000C0512">
            <w:r w:rsidRPr="000E6608">
              <w:t>LSC</w:t>
            </w:r>
          </w:p>
        </w:tc>
        <w:tc>
          <w:tcPr>
            <w:tcW w:w="6911" w:type="dxa"/>
          </w:tcPr>
          <w:p w14:paraId="02D5CA8F" w14:textId="77777777" w:rsidR="000C0512" w:rsidRPr="000E6608" w:rsidRDefault="002E1100" w:rsidP="000C0512">
            <w:r w:rsidRPr="000E6608">
              <w:t>Liquid Scintillation Counting</w:t>
            </w:r>
          </w:p>
        </w:tc>
      </w:tr>
      <w:tr w:rsidR="000C0512" w:rsidRPr="000E6608" w14:paraId="2BFFD31C" w14:textId="77777777" w:rsidTr="000C0512">
        <w:tc>
          <w:tcPr>
            <w:tcW w:w="1809" w:type="dxa"/>
          </w:tcPr>
          <w:p w14:paraId="4DBCFA64" w14:textId="77777777" w:rsidR="000C0512" w:rsidRPr="000E6608" w:rsidRDefault="000C0512" w:rsidP="000C0512">
            <w:r w:rsidRPr="000E6608">
              <w:t>MRI</w:t>
            </w:r>
          </w:p>
        </w:tc>
        <w:tc>
          <w:tcPr>
            <w:tcW w:w="6911" w:type="dxa"/>
          </w:tcPr>
          <w:p w14:paraId="65DEB62D" w14:textId="77777777" w:rsidR="000C0512" w:rsidRPr="000E6608" w:rsidRDefault="002E1100" w:rsidP="000C0512">
            <w:r w:rsidRPr="000E6608">
              <w:t>Magnetic Resonance Imaging</w:t>
            </w:r>
          </w:p>
        </w:tc>
      </w:tr>
      <w:tr w:rsidR="000C0512" w:rsidRPr="000E6608" w14:paraId="5B2238CE" w14:textId="77777777" w:rsidTr="000C0512">
        <w:tc>
          <w:tcPr>
            <w:tcW w:w="1809" w:type="dxa"/>
          </w:tcPr>
          <w:p w14:paraId="1052AF31" w14:textId="77777777" w:rsidR="000C0512" w:rsidRPr="000E6608" w:rsidRDefault="000C0512" w:rsidP="000C0512">
            <w:r w:rsidRPr="000E6608">
              <w:t>MTD</w:t>
            </w:r>
          </w:p>
        </w:tc>
        <w:tc>
          <w:tcPr>
            <w:tcW w:w="6911" w:type="dxa"/>
          </w:tcPr>
          <w:p w14:paraId="4F17B25B" w14:textId="77777777" w:rsidR="000C0512" w:rsidRPr="000E6608" w:rsidRDefault="002E1100" w:rsidP="000C0512">
            <w:r w:rsidRPr="000E6608">
              <w:t>Maximum Tolerated Dose</w:t>
            </w:r>
          </w:p>
        </w:tc>
      </w:tr>
      <w:tr w:rsidR="000C0512" w:rsidRPr="000E6608" w14:paraId="380C8E8E" w14:textId="77777777" w:rsidTr="000C0512">
        <w:tc>
          <w:tcPr>
            <w:tcW w:w="1809" w:type="dxa"/>
          </w:tcPr>
          <w:p w14:paraId="4AEA1851" w14:textId="77777777" w:rsidR="000C0512" w:rsidRPr="000E6608" w:rsidRDefault="000C0512" w:rsidP="000C0512">
            <w:r w:rsidRPr="000E6608">
              <w:t>NE</w:t>
            </w:r>
          </w:p>
        </w:tc>
        <w:tc>
          <w:tcPr>
            <w:tcW w:w="6911" w:type="dxa"/>
          </w:tcPr>
          <w:p w14:paraId="11B3C155" w14:textId="77777777" w:rsidR="000C0512" w:rsidRPr="000E6608" w:rsidRDefault="002E1100" w:rsidP="000C0512">
            <w:r w:rsidRPr="000E6608">
              <w:t>Not Estimable</w:t>
            </w:r>
          </w:p>
        </w:tc>
      </w:tr>
      <w:tr w:rsidR="000C0512" w:rsidRPr="000E6608" w14:paraId="37A1199F" w14:textId="77777777" w:rsidTr="000C0512">
        <w:tc>
          <w:tcPr>
            <w:tcW w:w="1809" w:type="dxa"/>
          </w:tcPr>
          <w:p w14:paraId="54C5ABA9" w14:textId="77777777" w:rsidR="000C0512" w:rsidRPr="000E6608" w:rsidRDefault="000C0512" w:rsidP="000C0512">
            <w:r w:rsidRPr="000E6608">
              <w:t>NSCLC</w:t>
            </w:r>
          </w:p>
        </w:tc>
        <w:tc>
          <w:tcPr>
            <w:tcW w:w="6911" w:type="dxa"/>
          </w:tcPr>
          <w:p w14:paraId="3E575693" w14:textId="77777777" w:rsidR="000C0512" w:rsidRPr="000E6608" w:rsidRDefault="002E1100" w:rsidP="000C0512">
            <w:r w:rsidRPr="000E6608">
              <w:t>Non-Small Cell Lung Cancer</w:t>
            </w:r>
          </w:p>
        </w:tc>
      </w:tr>
      <w:tr w:rsidR="000C0512" w:rsidRPr="000E6608" w14:paraId="7D79C89A" w14:textId="77777777" w:rsidTr="000C0512">
        <w:tc>
          <w:tcPr>
            <w:tcW w:w="1809" w:type="dxa"/>
          </w:tcPr>
          <w:p w14:paraId="3A60C8E5" w14:textId="77777777" w:rsidR="000C0512" w:rsidRPr="000E6608" w:rsidRDefault="000C0512" w:rsidP="000C0512">
            <w:r w:rsidRPr="000E6608">
              <w:t>OIRR</w:t>
            </w:r>
          </w:p>
        </w:tc>
        <w:tc>
          <w:tcPr>
            <w:tcW w:w="6911" w:type="dxa"/>
          </w:tcPr>
          <w:p w14:paraId="2E07D4C1" w14:textId="77777777" w:rsidR="000C0512" w:rsidRPr="000E6608" w:rsidRDefault="000C0512" w:rsidP="000C0512">
            <w:r w:rsidRPr="000E6608">
              <w:t>Overall intracranial response rate</w:t>
            </w:r>
          </w:p>
        </w:tc>
      </w:tr>
      <w:tr w:rsidR="000C0512" w:rsidRPr="000E6608" w14:paraId="181329B8" w14:textId="77777777" w:rsidTr="000C0512">
        <w:tc>
          <w:tcPr>
            <w:tcW w:w="1809" w:type="dxa"/>
          </w:tcPr>
          <w:p w14:paraId="4411A9A4" w14:textId="77777777" w:rsidR="000C0512" w:rsidRPr="000E6608" w:rsidRDefault="000C0512" w:rsidP="000C0512">
            <w:r w:rsidRPr="000E6608">
              <w:t>ORR</w:t>
            </w:r>
          </w:p>
        </w:tc>
        <w:tc>
          <w:tcPr>
            <w:tcW w:w="6911" w:type="dxa"/>
          </w:tcPr>
          <w:p w14:paraId="74A5CF6B" w14:textId="77777777" w:rsidR="000C0512" w:rsidRPr="000E6608" w:rsidRDefault="000C0512" w:rsidP="000C0512">
            <w:r w:rsidRPr="000E6608">
              <w:t>Overall response rate</w:t>
            </w:r>
          </w:p>
        </w:tc>
      </w:tr>
      <w:tr w:rsidR="000C0512" w:rsidRPr="000E6608" w14:paraId="71A95212" w14:textId="77777777" w:rsidTr="000C0512">
        <w:tc>
          <w:tcPr>
            <w:tcW w:w="1809" w:type="dxa"/>
          </w:tcPr>
          <w:p w14:paraId="32343669" w14:textId="77777777" w:rsidR="000C0512" w:rsidRPr="000E6608" w:rsidRDefault="000C0512" w:rsidP="000C0512">
            <w:r w:rsidRPr="000E6608">
              <w:t>OS</w:t>
            </w:r>
          </w:p>
        </w:tc>
        <w:tc>
          <w:tcPr>
            <w:tcW w:w="6911" w:type="dxa"/>
          </w:tcPr>
          <w:p w14:paraId="18182753" w14:textId="77777777" w:rsidR="000C0512" w:rsidRPr="000E6608" w:rsidRDefault="002E1100" w:rsidP="002E1100">
            <w:r w:rsidRPr="000E6608">
              <w:t xml:space="preserve">Overall </w:t>
            </w:r>
            <w:r>
              <w:t>S</w:t>
            </w:r>
            <w:r w:rsidR="000C0512" w:rsidRPr="000E6608">
              <w:t>urvival</w:t>
            </w:r>
          </w:p>
        </w:tc>
      </w:tr>
      <w:tr w:rsidR="000C0512" w:rsidRPr="000E6608" w14:paraId="4652F612" w14:textId="77777777" w:rsidTr="000C0512">
        <w:tc>
          <w:tcPr>
            <w:tcW w:w="1809" w:type="dxa"/>
          </w:tcPr>
          <w:p w14:paraId="07BE8237" w14:textId="77777777" w:rsidR="000C0512" w:rsidRPr="000E6608" w:rsidRDefault="000C0512" w:rsidP="000C0512">
            <w:r w:rsidRPr="000E6608">
              <w:t>PAS</w:t>
            </w:r>
          </w:p>
        </w:tc>
        <w:tc>
          <w:tcPr>
            <w:tcW w:w="6911" w:type="dxa"/>
          </w:tcPr>
          <w:p w14:paraId="32962D41" w14:textId="77777777" w:rsidR="000C0512" w:rsidRPr="000E6608" w:rsidRDefault="000C0512" w:rsidP="000C0512">
            <w:r w:rsidRPr="000E6608">
              <w:t>Pharmacokinetic Analysis Set</w:t>
            </w:r>
          </w:p>
        </w:tc>
      </w:tr>
      <w:tr w:rsidR="000C0512" w:rsidRPr="000E6608" w14:paraId="189E0D13" w14:textId="77777777" w:rsidTr="000C0512">
        <w:tc>
          <w:tcPr>
            <w:tcW w:w="1809" w:type="dxa"/>
          </w:tcPr>
          <w:p w14:paraId="77B6FA1C" w14:textId="77777777" w:rsidR="000C0512" w:rsidRPr="000E6608" w:rsidRDefault="000C0512" w:rsidP="000C0512">
            <w:r w:rsidRPr="000E6608">
              <w:t>PD</w:t>
            </w:r>
          </w:p>
        </w:tc>
        <w:tc>
          <w:tcPr>
            <w:tcW w:w="6911" w:type="dxa"/>
          </w:tcPr>
          <w:p w14:paraId="41A601C0" w14:textId="77777777" w:rsidR="000C0512" w:rsidRPr="000E6608" w:rsidRDefault="002E1100" w:rsidP="000C0512">
            <w:r w:rsidRPr="000E6608">
              <w:t>Progressive Disease</w:t>
            </w:r>
          </w:p>
        </w:tc>
      </w:tr>
      <w:tr w:rsidR="000C0512" w:rsidRPr="000E6608" w14:paraId="58A30F29" w14:textId="77777777" w:rsidTr="000C0512">
        <w:tc>
          <w:tcPr>
            <w:tcW w:w="1809" w:type="dxa"/>
          </w:tcPr>
          <w:p w14:paraId="02686214" w14:textId="77777777" w:rsidR="000C0512" w:rsidRPr="000E6608" w:rsidRDefault="000C0512" w:rsidP="000C0512">
            <w:r w:rsidRPr="000E6608">
              <w:t>PFS</w:t>
            </w:r>
          </w:p>
        </w:tc>
        <w:tc>
          <w:tcPr>
            <w:tcW w:w="6911" w:type="dxa"/>
          </w:tcPr>
          <w:p w14:paraId="79875A60" w14:textId="77777777" w:rsidR="000C0512" w:rsidRPr="000E6608" w:rsidRDefault="000C0512" w:rsidP="000C0512">
            <w:r w:rsidRPr="000E6608">
              <w:t>Progression-free survival</w:t>
            </w:r>
          </w:p>
        </w:tc>
      </w:tr>
      <w:tr w:rsidR="000C0512" w:rsidRPr="000E6608" w14:paraId="717AEB4C" w14:textId="77777777" w:rsidTr="000C0512">
        <w:tc>
          <w:tcPr>
            <w:tcW w:w="1809" w:type="dxa"/>
          </w:tcPr>
          <w:p w14:paraId="0289733C" w14:textId="77777777" w:rsidR="000C0512" w:rsidRPr="000E6608" w:rsidRDefault="000C0512" w:rsidP="000C0512">
            <w:r w:rsidRPr="000E6608">
              <w:t>P-gp</w:t>
            </w:r>
          </w:p>
        </w:tc>
        <w:tc>
          <w:tcPr>
            <w:tcW w:w="6911" w:type="dxa"/>
          </w:tcPr>
          <w:p w14:paraId="6E168861" w14:textId="77777777" w:rsidR="000C0512" w:rsidRPr="000E6608" w:rsidRDefault="000C0512" w:rsidP="000C0512">
            <w:r w:rsidRPr="000E6608">
              <w:t>P-glycoprotein</w:t>
            </w:r>
          </w:p>
        </w:tc>
      </w:tr>
      <w:tr w:rsidR="000C0512" w:rsidRPr="000E6608" w14:paraId="1659667D" w14:textId="77777777" w:rsidTr="000C0512">
        <w:tc>
          <w:tcPr>
            <w:tcW w:w="1809" w:type="dxa"/>
          </w:tcPr>
          <w:p w14:paraId="13A1AF55" w14:textId="77777777" w:rsidR="000C0512" w:rsidRPr="000E6608" w:rsidRDefault="000C0512" w:rsidP="000C0512">
            <w:r w:rsidRPr="000E6608">
              <w:t>PI</w:t>
            </w:r>
          </w:p>
        </w:tc>
        <w:tc>
          <w:tcPr>
            <w:tcW w:w="6911" w:type="dxa"/>
          </w:tcPr>
          <w:p w14:paraId="3CD018EF" w14:textId="77777777" w:rsidR="000C0512" w:rsidRPr="000E6608" w:rsidRDefault="000C0512" w:rsidP="000C0512">
            <w:r w:rsidRPr="000E6608">
              <w:t>Product Information</w:t>
            </w:r>
          </w:p>
        </w:tc>
      </w:tr>
      <w:tr w:rsidR="000C0512" w:rsidRPr="000E6608" w14:paraId="0D52F344" w14:textId="77777777" w:rsidTr="000C0512">
        <w:tc>
          <w:tcPr>
            <w:tcW w:w="1809" w:type="dxa"/>
          </w:tcPr>
          <w:p w14:paraId="7EBD7ED5" w14:textId="77777777" w:rsidR="000C0512" w:rsidRPr="000E6608" w:rsidRDefault="000C0512" w:rsidP="000C0512">
            <w:r w:rsidRPr="000E6608">
              <w:t>PK</w:t>
            </w:r>
          </w:p>
        </w:tc>
        <w:tc>
          <w:tcPr>
            <w:tcW w:w="6911" w:type="dxa"/>
          </w:tcPr>
          <w:p w14:paraId="46B79EC6" w14:textId="77777777" w:rsidR="000C0512" w:rsidRPr="000E6608" w:rsidRDefault="002E1100" w:rsidP="000C0512">
            <w:r>
              <w:t>P</w:t>
            </w:r>
            <w:r w:rsidR="000C0512" w:rsidRPr="000E6608">
              <w:t>harmacokinetics</w:t>
            </w:r>
          </w:p>
        </w:tc>
      </w:tr>
      <w:tr w:rsidR="000C0512" w:rsidRPr="000E6608" w14:paraId="3A2C12BA" w14:textId="77777777" w:rsidTr="000C0512">
        <w:tc>
          <w:tcPr>
            <w:tcW w:w="1809" w:type="dxa"/>
          </w:tcPr>
          <w:p w14:paraId="424B294E" w14:textId="77777777" w:rsidR="000C0512" w:rsidRPr="000E6608" w:rsidRDefault="000C0512" w:rsidP="000C0512">
            <w:r w:rsidRPr="000E6608">
              <w:lastRenderedPageBreak/>
              <w:t>pKa</w:t>
            </w:r>
          </w:p>
        </w:tc>
        <w:tc>
          <w:tcPr>
            <w:tcW w:w="6911" w:type="dxa"/>
          </w:tcPr>
          <w:p w14:paraId="587C789D" w14:textId="77777777" w:rsidR="000C0512" w:rsidRPr="000E6608" w:rsidRDefault="00143EFE" w:rsidP="000C0512">
            <w:r>
              <w:t>D</w:t>
            </w:r>
            <w:r w:rsidR="000C0512" w:rsidRPr="000E6608">
              <w:t>issociation constant</w:t>
            </w:r>
          </w:p>
        </w:tc>
      </w:tr>
      <w:tr w:rsidR="000C0512" w:rsidRPr="000E6608" w14:paraId="65F02DED" w14:textId="77777777" w:rsidTr="000C0512">
        <w:tc>
          <w:tcPr>
            <w:tcW w:w="1809" w:type="dxa"/>
          </w:tcPr>
          <w:p w14:paraId="47D72E6E" w14:textId="77777777" w:rsidR="000C0512" w:rsidRPr="000E6608" w:rsidRDefault="000C0512" w:rsidP="000C0512">
            <w:r w:rsidRPr="000E6608">
              <w:t>PPS</w:t>
            </w:r>
          </w:p>
        </w:tc>
        <w:tc>
          <w:tcPr>
            <w:tcW w:w="6911" w:type="dxa"/>
          </w:tcPr>
          <w:p w14:paraId="251D0908" w14:textId="77777777" w:rsidR="000C0512" w:rsidRPr="000E6608" w:rsidRDefault="000C0512" w:rsidP="000C0512">
            <w:r w:rsidRPr="000E6608">
              <w:t>Per-Protocol Set</w:t>
            </w:r>
          </w:p>
        </w:tc>
      </w:tr>
      <w:tr w:rsidR="000C0512" w:rsidRPr="000E6608" w14:paraId="3FAB4B69" w14:textId="77777777" w:rsidTr="000C0512">
        <w:tc>
          <w:tcPr>
            <w:tcW w:w="1809" w:type="dxa"/>
          </w:tcPr>
          <w:p w14:paraId="4A1EDBE0" w14:textId="77777777" w:rsidR="000C0512" w:rsidRPr="000E6608" w:rsidRDefault="000C0512" w:rsidP="000C0512">
            <w:r w:rsidRPr="000E6608">
              <w:t>PR</w:t>
            </w:r>
          </w:p>
        </w:tc>
        <w:tc>
          <w:tcPr>
            <w:tcW w:w="6911" w:type="dxa"/>
          </w:tcPr>
          <w:p w14:paraId="1CE6071B" w14:textId="77777777" w:rsidR="000C0512" w:rsidRPr="000E6608" w:rsidRDefault="000C0512" w:rsidP="000C0512">
            <w:r w:rsidRPr="000E6608">
              <w:t>partial response</w:t>
            </w:r>
          </w:p>
        </w:tc>
      </w:tr>
      <w:tr w:rsidR="000C0512" w:rsidRPr="000E6608" w14:paraId="3E326A11" w14:textId="77777777" w:rsidTr="000C0512">
        <w:tc>
          <w:tcPr>
            <w:tcW w:w="1809" w:type="dxa"/>
          </w:tcPr>
          <w:p w14:paraId="2978C241" w14:textId="77777777" w:rsidR="000C0512" w:rsidRPr="000E6608" w:rsidRDefault="000C0512" w:rsidP="000C0512">
            <w:r w:rsidRPr="000E6608">
              <w:t>PRO</w:t>
            </w:r>
          </w:p>
        </w:tc>
        <w:tc>
          <w:tcPr>
            <w:tcW w:w="6911" w:type="dxa"/>
          </w:tcPr>
          <w:p w14:paraId="18C0F98E" w14:textId="77777777" w:rsidR="000C0512" w:rsidRPr="000E6608" w:rsidRDefault="00143EFE" w:rsidP="000C0512">
            <w:r w:rsidRPr="000E6608">
              <w:t>Patient reported outcome</w:t>
            </w:r>
          </w:p>
        </w:tc>
      </w:tr>
      <w:tr w:rsidR="000C0512" w:rsidRPr="000E6608" w14:paraId="0A0CDBB2" w14:textId="77777777" w:rsidTr="000C0512">
        <w:tc>
          <w:tcPr>
            <w:tcW w:w="1809" w:type="dxa"/>
          </w:tcPr>
          <w:p w14:paraId="2F1BF1D5" w14:textId="77777777" w:rsidR="000C0512" w:rsidRPr="000E6608" w:rsidRDefault="000C0512" w:rsidP="000C0512">
            <w:r w:rsidRPr="000E6608">
              <w:t>PS</w:t>
            </w:r>
          </w:p>
        </w:tc>
        <w:tc>
          <w:tcPr>
            <w:tcW w:w="6911" w:type="dxa"/>
          </w:tcPr>
          <w:p w14:paraId="5E19422F" w14:textId="77777777" w:rsidR="000C0512" w:rsidRPr="000E6608" w:rsidRDefault="00143EFE" w:rsidP="000C0512">
            <w:r w:rsidRPr="000E6608">
              <w:t>Performance status</w:t>
            </w:r>
          </w:p>
        </w:tc>
      </w:tr>
      <w:tr w:rsidR="000C0512" w:rsidRPr="000E6608" w14:paraId="3BA0ED74" w14:textId="77777777" w:rsidTr="000C0512">
        <w:tc>
          <w:tcPr>
            <w:tcW w:w="1809" w:type="dxa"/>
          </w:tcPr>
          <w:p w14:paraId="2A54EE3E" w14:textId="77777777" w:rsidR="000C0512" w:rsidRPr="000E6608" w:rsidRDefault="000C0512" w:rsidP="000C0512">
            <w:r w:rsidRPr="000E6608">
              <w:t>PXR</w:t>
            </w:r>
          </w:p>
        </w:tc>
        <w:tc>
          <w:tcPr>
            <w:tcW w:w="6911" w:type="dxa"/>
          </w:tcPr>
          <w:p w14:paraId="17448B4E" w14:textId="77777777" w:rsidR="000C0512" w:rsidRPr="000E6608" w:rsidRDefault="000C0512" w:rsidP="000C0512">
            <w:r w:rsidRPr="000E6608">
              <w:t>Pregnane X receptor</w:t>
            </w:r>
          </w:p>
        </w:tc>
      </w:tr>
      <w:tr w:rsidR="000C0512" w:rsidRPr="000E6608" w14:paraId="3748A675" w14:textId="77777777" w:rsidTr="000C0512">
        <w:tc>
          <w:tcPr>
            <w:tcW w:w="1809" w:type="dxa"/>
          </w:tcPr>
          <w:p w14:paraId="27C244DF" w14:textId="77777777" w:rsidR="000C0512" w:rsidRPr="000E6608" w:rsidRDefault="000C0512" w:rsidP="000C0512">
            <w:r w:rsidRPr="000E6608">
              <w:t>QTc</w:t>
            </w:r>
          </w:p>
        </w:tc>
        <w:tc>
          <w:tcPr>
            <w:tcW w:w="6911" w:type="dxa"/>
          </w:tcPr>
          <w:p w14:paraId="62D8EEA9" w14:textId="77777777" w:rsidR="000C0512" w:rsidRPr="000E6608" w:rsidRDefault="00143EFE" w:rsidP="000C0512">
            <w:r w:rsidRPr="000E6608">
              <w:t xml:space="preserve">Corrected </w:t>
            </w:r>
            <w:r w:rsidR="000C0512" w:rsidRPr="000E6608">
              <w:t>QT interval</w:t>
            </w:r>
          </w:p>
        </w:tc>
      </w:tr>
      <w:tr w:rsidR="000C0512" w:rsidRPr="000E6608" w14:paraId="1264C47E" w14:textId="77777777" w:rsidTr="000C0512">
        <w:tc>
          <w:tcPr>
            <w:tcW w:w="1809" w:type="dxa"/>
          </w:tcPr>
          <w:p w14:paraId="7926A0E8" w14:textId="77777777" w:rsidR="000C0512" w:rsidRPr="000E6608" w:rsidRDefault="000C0512" w:rsidP="000C0512">
            <w:r w:rsidRPr="000E6608">
              <w:t>QTcB</w:t>
            </w:r>
          </w:p>
        </w:tc>
        <w:tc>
          <w:tcPr>
            <w:tcW w:w="6911" w:type="dxa"/>
          </w:tcPr>
          <w:p w14:paraId="59F7CC48" w14:textId="77777777" w:rsidR="000C0512" w:rsidRPr="000E6608" w:rsidRDefault="00143EFE" w:rsidP="000C0512">
            <w:r w:rsidRPr="000E6608">
              <w:t xml:space="preserve">Corrected </w:t>
            </w:r>
            <w:r w:rsidR="000C0512" w:rsidRPr="000E6608">
              <w:t>QT interval using Bazett’s formula</w:t>
            </w:r>
          </w:p>
        </w:tc>
      </w:tr>
      <w:tr w:rsidR="000C0512" w:rsidRPr="000E6608" w14:paraId="6133FFBF" w14:textId="77777777" w:rsidTr="000C0512">
        <w:tc>
          <w:tcPr>
            <w:tcW w:w="1809" w:type="dxa"/>
          </w:tcPr>
          <w:p w14:paraId="3ED2E38D" w14:textId="77777777" w:rsidR="000C0512" w:rsidRPr="000E6608" w:rsidRDefault="000C0512" w:rsidP="000C0512">
            <w:r w:rsidRPr="000E6608">
              <w:t>QTcF</w:t>
            </w:r>
          </w:p>
        </w:tc>
        <w:tc>
          <w:tcPr>
            <w:tcW w:w="6911" w:type="dxa"/>
          </w:tcPr>
          <w:p w14:paraId="3B706087" w14:textId="77777777" w:rsidR="000C0512" w:rsidRPr="000E6608" w:rsidRDefault="00143EFE" w:rsidP="000C0512">
            <w:r w:rsidRPr="000E6608">
              <w:t xml:space="preserve">Corrected </w:t>
            </w:r>
            <w:r w:rsidR="000C0512" w:rsidRPr="000E6608">
              <w:t>QT interval using Frederica formula</w:t>
            </w:r>
          </w:p>
        </w:tc>
      </w:tr>
      <w:tr w:rsidR="000C0512" w:rsidRPr="000E6608" w14:paraId="2001016B" w14:textId="77777777" w:rsidTr="000C0512">
        <w:tc>
          <w:tcPr>
            <w:tcW w:w="1809" w:type="dxa"/>
          </w:tcPr>
          <w:p w14:paraId="22E72106" w14:textId="77777777" w:rsidR="000C0512" w:rsidRPr="000E6608" w:rsidRDefault="000C0512" w:rsidP="000C0512">
            <w:r w:rsidRPr="000E6608">
              <w:t>Racc</w:t>
            </w:r>
          </w:p>
        </w:tc>
        <w:tc>
          <w:tcPr>
            <w:tcW w:w="6911" w:type="dxa"/>
          </w:tcPr>
          <w:p w14:paraId="17EAA678" w14:textId="77777777" w:rsidR="000C0512" w:rsidRPr="000E6608" w:rsidRDefault="00143EFE" w:rsidP="000C0512">
            <w:r w:rsidRPr="000E6608">
              <w:t>Accumulation ratio</w:t>
            </w:r>
          </w:p>
        </w:tc>
      </w:tr>
      <w:tr w:rsidR="000C0512" w:rsidRPr="000E6608" w14:paraId="690868B6" w14:textId="77777777" w:rsidTr="000C0512">
        <w:tc>
          <w:tcPr>
            <w:tcW w:w="1809" w:type="dxa"/>
          </w:tcPr>
          <w:p w14:paraId="61A025B5" w14:textId="77777777" w:rsidR="000C0512" w:rsidRPr="000E6608" w:rsidRDefault="000C0512" w:rsidP="000C0512">
            <w:r w:rsidRPr="000E6608">
              <w:t>RD</w:t>
            </w:r>
          </w:p>
        </w:tc>
        <w:tc>
          <w:tcPr>
            <w:tcW w:w="6911" w:type="dxa"/>
          </w:tcPr>
          <w:p w14:paraId="57D387AA" w14:textId="77777777" w:rsidR="000C0512" w:rsidRPr="000E6608" w:rsidRDefault="00143EFE" w:rsidP="000C0512">
            <w:r w:rsidRPr="000E6608">
              <w:t>Recommended dose</w:t>
            </w:r>
          </w:p>
        </w:tc>
      </w:tr>
      <w:tr w:rsidR="000C0512" w:rsidRPr="000E6608" w14:paraId="4E97E7F7" w14:textId="77777777" w:rsidTr="000C0512">
        <w:tc>
          <w:tcPr>
            <w:tcW w:w="1809" w:type="dxa"/>
          </w:tcPr>
          <w:p w14:paraId="02A5F3CD" w14:textId="77777777" w:rsidR="000C0512" w:rsidRPr="000E6608" w:rsidRDefault="000C0512" w:rsidP="000C0512">
            <w:r w:rsidRPr="000E6608">
              <w:t>RECIST</w:t>
            </w:r>
          </w:p>
        </w:tc>
        <w:tc>
          <w:tcPr>
            <w:tcW w:w="6911" w:type="dxa"/>
          </w:tcPr>
          <w:p w14:paraId="33869F3E" w14:textId="77777777" w:rsidR="000C0512" w:rsidRPr="000E6608" w:rsidRDefault="000C0512" w:rsidP="000C0512">
            <w:r w:rsidRPr="000E6608">
              <w:t>Response Evaluation Criteria in Solid Tumours</w:t>
            </w:r>
          </w:p>
        </w:tc>
      </w:tr>
      <w:tr w:rsidR="000C0512" w:rsidRPr="000E6608" w14:paraId="725FE678" w14:textId="77777777" w:rsidTr="000C0512">
        <w:tc>
          <w:tcPr>
            <w:tcW w:w="1809" w:type="dxa"/>
          </w:tcPr>
          <w:p w14:paraId="34AAC26D" w14:textId="77777777" w:rsidR="000C0512" w:rsidRPr="000E6608" w:rsidRDefault="000C0512" w:rsidP="000C0512">
            <w:r w:rsidRPr="000E6608">
              <w:t>SAE</w:t>
            </w:r>
          </w:p>
        </w:tc>
        <w:tc>
          <w:tcPr>
            <w:tcW w:w="6911" w:type="dxa"/>
          </w:tcPr>
          <w:p w14:paraId="15F1A552" w14:textId="77777777" w:rsidR="000C0512" w:rsidRPr="000E6608" w:rsidRDefault="000C0512" w:rsidP="000C0512">
            <w:r w:rsidRPr="000E6608">
              <w:t>Serious adverse event</w:t>
            </w:r>
          </w:p>
        </w:tc>
      </w:tr>
      <w:tr w:rsidR="000C0512" w:rsidRPr="000E6608" w14:paraId="3F432D95" w14:textId="77777777" w:rsidTr="000C0512">
        <w:tc>
          <w:tcPr>
            <w:tcW w:w="1809" w:type="dxa"/>
          </w:tcPr>
          <w:p w14:paraId="641985D3" w14:textId="77777777" w:rsidR="000C0512" w:rsidRPr="000E6608" w:rsidRDefault="000C0512" w:rsidP="000C0512">
            <w:r w:rsidRPr="000E6608">
              <w:t>SD</w:t>
            </w:r>
          </w:p>
        </w:tc>
        <w:tc>
          <w:tcPr>
            <w:tcW w:w="6911" w:type="dxa"/>
          </w:tcPr>
          <w:p w14:paraId="422FCFC9" w14:textId="77777777" w:rsidR="000C0512" w:rsidRPr="000E6608" w:rsidRDefault="002E1100" w:rsidP="000C0512">
            <w:r w:rsidRPr="000E6608">
              <w:t>Standard deviation</w:t>
            </w:r>
          </w:p>
        </w:tc>
      </w:tr>
      <w:tr w:rsidR="000C0512" w:rsidRPr="000E6608" w14:paraId="4EF02B8F" w14:textId="77777777" w:rsidTr="000C0512">
        <w:tc>
          <w:tcPr>
            <w:tcW w:w="1809" w:type="dxa"/>
          </w:tcPr>
          <w:p w14:paraId="0F38859F" w14:textId="77777777" w:rsidR="000C0512" w:rsidRPr="000E6608" w:rsidRDefault="000C0512" w:rsidP="000C0512">
            <w:r w:rsidRPr="000E6608">
              <w:t>SOC</w:t>
            </w:r>
          </w:p>
        </w:tc>
        <w:tc>
          <w:tcPr>
            <w:tcW w:w="6911" w:type="dxa"/>
          </w:tcPr>
          <w:p w14:paraId="066AEC19" w14:textId="77777777" w:rsidR="000C0512" w:rsidRPr="000E6608" w:rsidRDefault="000C0512" w:rsidP="000C0512">
            <w:r w:rsidRPr="000E6608">
              <w:t>System organ classes</w:t>
            </w:r>
          </w:p>
        </w:tc>
      </w:tr>
      <w:tr w:rsidR="000C0512" w:rsidRPr="000E6608" w14:paraId="152E545C" w14:textId="77777777" w:rsidTr="000C0512">
        <w:tc>
          <w:tcPr>
            <w:tcW w:w="1809" w:type="dxa"/>
          </w:tcPr>
          <w:p w14:paraId="6EC3FACB" w14:textId="77777777" w:rsidR="000C0512" w:rsidRPr="000E6608" w:rsidRDefault="000C0512" w:rsidP="000C0512">
            <w:r w:rsidRPr="000E6608">
              <w:t>SOD</w:t>
            </w:r>
          </w:p>
        </w:tc>
        <w:tc>
          <w:tcPr>
            <w:tcW w:w="6911" w:type="dxa"/>
          </w:tcPr>
          <w:p w14:paraId="6F792286" w14:textId="77777777" w:rsidR="000C0512" w:rsidRPr="000E6608" w:rsidRDefault="002E1100" w:rsidP="000C0512">
            <w:r w:rsidRPr="000E6608">
              <w:t>Sum of diameters</w:t>
            </w:r>
          </w:p>
        </w:tc>
      </w:tr>
      <w:tr w:rsidR="000C0512" w:rsidRPr="000E6608" w14:paraId="61BB7820" w14:textId="77777777" w:rsidTr="000C0512">
        <w:tc>
          <w:tcPr>
            <w:tcW w:w="1809" w:type="dxa"/>
          </w:tcPr>
          <w:p w14:paraId="2D6713A2" w14:textId="77777777" w:rsidR="000C0512" w:rsidRPr="000E6608" w:rsidRDefault="000C0512" w:rsidP="000C0512">
            <w:r w:rsidRPr="000E6608">
              <w:t>SPC</w:t>
            </w:r>
          </w:p>
        </w:tc>
        <w:tc>
          <w:tcPr>
            <w:tcW w:w="6911" w:type="dxa"/>
          </w:tcPr>
          <w:p w14:paraId="6668E8E5" w14:textId="77777777" w:rsidR="000C0512" w:rsidRPr="000E6608" w:rsidRDefault="000C0512" w:rsidP="000C0512">
            <w:r w:rsidRPr="000E6608">
              <w:t>Summary of Product Characteristic</w:t>
            </w:r>
          </w:p>
        </w:tc>
      </w:tr>
      <w:tr w:rsidR="000C0512" w:rsidRPr="000E6608" w14:paraId="4092089F" w14:textId="77777777" w:rsidTr="000C0512">
        <w:tc>
          <w:tcPr>
            <w:tcW w:w="1809" w:type="dxa"/>
          </w:tcPr>
          <w:p w14:paraId="6FFC42C8" w14:textId="77777777" w:rsidR="000C0512" w:rsidRPr="000E6608" w:rsidRDefault="000C0512" w:rsidP="000C0512">
            <w:r w:rsidRPr="000E6608">
              <w:t>SS</w:t>
            </w:r>
          </w:p>
        </w:tc>
        <w:tc>
          <w:tcPr>
            <w:tcW w:w="6911" w:type="dxa"/>
          </w:tcPr>
          <w:p w14:paraId="3B9AE6B9" w14:textId="77777777" w:rsidR="000C0512" w:rsidRPr="000E6608" w:rsidRDefault="002E1100" w:rsidP="000C0512">
            <w:r w:rsidRPr="000E6608">
              <w:t>Steady state</w:t>
            </w:r>
          </w:p>
        </w:tc>
      </w:tr>
      <w:tr w:rsidR="000C0512" w:rsidRPr="000E6608" w14:paraId="5C8F1EBB" w14:textId="77777777" w:rsidTr="000C0512">
        <w:tc>
          <w:tcPr>
            <w:tcW w:w="1809" w:type="dxa"/>
          </w:tcPr>
          <w:p w14:paraId="3D618531" w14:textId="77777777" w:rsidR="000C0512" w:rsidRPr="000E6608" w:rsidRDefault="000C0512" w:rsidP="000C0512">
            <w:r w:rsidRPr="000E6608">
              <w:t>T1/2</w:t>
            </w:r>
          </w:p>
        </w:tc>
        <w:tc>
          <w:tcPr>
            <w:tcW w:w="6911" w:type="dxa"/>
          </w:tcPr>
          <w:p w14:paraId="613F82F0" w14:textId="77777777" w:rsidR="000C0512" w:rsidRPr="000E6608" w:rsidRDefault="002E1100" w:rsidP="000C0512">
            <w:r w:rsidRPr="000E6608">
              <w:t>Elimination half-life associated with the terminal slope of a semi logarithmic concentration-time curve</w:t>
            </w:r>
          </w:p>
        </w:tc>
      </w:tr>
      <w:tr w:rsidR="000C0512" w:rsidRPr="000E6608" w14:paraId="33C15011" w14:textId="77777777" w:rsidTr="000C0512">
        <w:tc>
          <w:tcPr>
            <w:tcW w:w="1809" w:type="dxa"/>
          </w:tcPr>
          <w:p w14:paraId="799ADB33" w14:textId="77777777" w:rsidR="000C0512" w:rsidRPr="000E6608" w:rsidRDefault="000C0512" w:rsidP="000C0512">
            <w:r w:rsidRPr="000E6608">
              <w:t>TKI</w:t>
            </w:r>
          </w:p>
        </w:tc>
        <w:tc>
          <w:tcPr>
            <w:tcW w:w="6911" w:type="dxa"/>
          </w:tcPr>
          <w:p w14:paraId="44D8299D" w14:textId="77777777" w:rsidR="000C0512" w:rsidRPr="000E6608" w:rsidRDefault="002E1100" w:rsidP="000C0512">
            <w:r w:rsidRPr="000E6608">
              <w:t>Tyrosine kinase inhibitor</w:t>
            </w:r>
          </w:p>
        </w:tc>
      </w:tr>
      <w:tr w:rsidR="000C0512" w:rsidRPr="000E6608" w14:paraId="2FB5348D" w14:textId="77777777" w:rsidTr="000C0512">
        <w:tc>
          <w:tcPr>
            <w:tcW w:w="1809" w:type="dxa"/>
          </w:tcPr>
          <w:p w14:paraId="1A296276" w14:textId="77777777" w:rsidR="000C0512" w:rsidRPr="000E6608" w:rsidRDefault="000C0512" w:rsidP="000C0512">
            <w:r w:rsidRPr="000E6608">
              <w:t>Tlast</w:t>
            </w:r>
          </w:p>
        </w:tc>
        <w:tc>
          <w:tcPr>
            <w:tcW w:w="6911" w:type="dxa"/>
          </w:tcPr>
          <w:p w14:paraId="40B30AE1" w14:textId="77777777" w:rsidR="000C0512" w:rsidRPr="000E6608" w:rsidRDefault="000C0512" w:rsidP="000C0512">
            <w:r w:rsidRPr="000E6608">
              <w:t>Last sampling time T</w:t>
            </w:r>
          </w:p>
        </w:tc>
      </w:tr>
      <w:tr w:rsidR="000C0512" w:rsidRPr="000E6608" w14:paraId="72DEF020" w14:textId="77777777" w:rsidTr="000C0512">
        <w:tc>
          <w:tcPr>
            <w:tcW w:w="1809" w:type="dxa"/>
          </w:tcPr>
          <w:p w14:paraId="55ADE4C1" w14:textId="77777777" w:rsidR="000C0512" w:rsidRPr="000E6608" w:rsidRDefault="000C0512" w:rsidP="000C0512">
            <w:r w:rsidRPr="000E6608">
              <w:t>Tmax</w:t>
            </w:r>
          </w:p>
        </w:tc>
        <w:tc>
          <w:tcPr>
            <w:tcW w:w="6911" w:type="dxa"/>
          </w:tcPr>
          <w:p w14:paraId="0B2DB0A9" w14:textId="77777777" w:rsidR="000C0512" w:rsidRPr="000E6608" w:rsidRDefault="000C0512" w:rsidP="000C0512">
            <w:r w:rsidRPr="000E6608">
              <w:t>The time to reach maximum blood or plasma concentration following drug administration</w:t>
            </w:r>
          </w:p>
        </w:tc>
      </w:tr>
      <w:tr w:rsidR="000C0512" w:rsidRPr="000E6608" w14:paraId="0A5F13C9" w14:textId="77777777" w:rsidTr="000C0512">
        <w:tc>
          <w:tcPr>
            <w:tcW w:w="1809" w:type="dxa"/>
          </w:tcPr>
          <w:p w14:paraId="6DAEE652" w14:textId="77777777" w:rsidR="000C0512" w:rsidRPr="000E6608" w:rsidRDefault="000C0512" w:rsidP="000C0512">
            <w:r w:rsidRPr="000E6608">
              <w:t>TTR</w:t>
            </w:r>
          </w:p>
        </w:tc>
        <w:tc>
          <w:tcPr>
            <w:tcW w:w="6911" w:type="dxa"/>
          </w:tcPr>
          <w:p w14:paraId="69C6CACD" w14:textId="77777777" w:rsidR="000C0512" w:rsidRPr="000E6608" w:rsidRDefault="002E1100" w:rsidP="000C0512">
            <w:r w:rsidRPr="000E6608">
              <w:t>Time to response</w:t>
            </w:r>
          </w:p>
        </w:tc>
      </w:tr>
      <w:tr w:rsidR="000C0512" w:rsidRPr="000E6608" w14:paraId="400A1666" w14:textId="77777777" w:rsidTr="000C0512">
        <w:tc>
          <w:tcPr>
            <w:tcW w:w="1809" w:type="dxa"/>
          </w:tcPr>
          <w:p w14:paraId="7C86BC6A" w14:textId="77777777" w:rsidR="000C0512" w:rsidRPr="000E6608" w:rsidRDefault="000C0512" w:rsidP="000C0512">
            <w:r w:rsidRPr="000E6608">
              <w:t>ULN</w:t>
            </w:r>
          </w:p>
        </w:tc>
        <w:tc>
          <w:tcPr>
            <w:tcW w:w="6911" w:type="dxa"/>
          </w:tcPr>
          <w:p w14:paraId="57F729C4" w14:textId="77777777" w:rsidR="000C0512" w:rsidRPr="000E6608" w:rsidRDefault="002E1100" w:rsidP="000C0512">
            <w:r w:rsidRPr="000E6608">
              <w:t>Upper limit of normal</w:t>
            </w:r>
          </w:p>
        </w:tc>
      </w:tr>
      <w:tr w:rsidR="000C0512" w:rsidRPr="000E6608" w14:paraId="74817521" w14:textId="77777777" w:rsidTr="000C0512">
        <w:tc>
          <w:tcPr>
            <w:tcW w:w="1809" w:type="dxa"/>
          </w:tcPr>
          <w:p w14:paraId="5E0A2ADC" w14:textId="77777777" w:rsidR="000C0512" w:rsidRPr="000E6608" w:rsidRDefault="000C0512" w:rsidP="000C0512">
            <w:r w:rsidRPr="000E6608">
              <w:t>US</w:t>
            </w:r>
          </w:p>
        </w:tc>
        <w:tc>
          <w:tcPr>
            <w:tcW w:w="6911" w:type="dxa"/>
          </w:tcPr>
          <w:p w14:paraId="471B11AA" w14:textId="77777777" w:rsidR="000C0512" w:rsidRPr="000E6608" w:rsidRDefault="000C0512" w:rsidP="000C0512">
            <w:r w:rsidRPr="000E6608">
              <w:t>United States</w:t>
            </w:r>
          </w:p>
        </w:tc>
      </w:tr>
      <w:tr w:rsidR="000C0512" w:rsidRPr="000E6608" w14:paraId="7AAE376F" w14:textId="77777777" w:rsidTr="000C0512">
        <w:tc>
          <w:tcPr>
            <w:tcW w:w="1809" w:type="dxa"/>
          </w:tcPr>
          <w:p w14:paraId="2577730B" w14:textId="77777777" w:rsidR="000C0512" w:rsidRPr="000E6608" w:rsidRDefault="000C0512" w:rsidP="000C0512">
            <w:r w:rsidRPr="000E6608">
              <w:lastRenderedPageBreak/>
              <w:t>Vz/F</w:t>
            </w:r>
          </w:p>
        </w:tc>
        <w:tc>
          <w:tcPr>
            <w:tcW w:w="6911" w:type="dxa"/>
          </w:tcPr>
          <w:p w14:paraId="728530CE" w14:textId="77777777" w:rsidR="000C0512" w:rsidRPr="000E6608" w:rsidRDefault="000C0512" w:rsidP="000C0512">
            <w:r w:rsidRPr="000E6608">
              <w:t>Volume of distribution divided by the oral bioavailability</w:t>
            </w:r>
          </w:p>
        </w:tc>
      </w:tr>
      <w:tr w:rsidR="000C0512" w14:paraId="77AEC6CB" w14:textId="77777777" w:rsidTr="000C0512">
        <w:tc>
          <w:tcPr>
            <w:tcW w:w="1809" w:type="dxa"/>
          </w:tcPr>
          <w:p w14:paraId="08918D0C" w14:textId="77777777" w:rsidR="000C0512" w:rsidRPr="000E6608" w:rsidRDefault="000C0512" w:rsidP="000C0512">
            <w:r w:rsidRPr="000E6608">
              <w:t>WHO</w:t>
            </w:r>
          </w:p>
        </w:tc>
        <w:tc>
          <w:tcPr>
            <w:tcW w:w="6911" w:type="dxa"/>
          </w:tcPr>
          <w:p w14:paraId="52DCB23E" w14:textId="77777777" w:rsidR="000C0512" w:rsidRDefault="000C0512" w:rsidP="000C0512">
            <w:r w:rsidRPr="000E6608">
              <w:t>World Health Organisation</w:t>
            </w:r>
          </w:p>
        </w:tc>
      </w:tr>
    </w:tbl>
    <w:p w14:paraId="230A7603" w14:textId="77777777" w:rsidR="008E7846" w:rsidRDefault="00F53C07" w:rsidP="00493AFB">
      <w:pPr>
        <w:pStyle w:val="Heading2"/>
        <w:pageBreakBefore/>
      </w:pPr>
      <w:bookmarkStart w:id="7" w:name="_Toc507501091"/>
      <w:r>
        <w:lastRenderedPageBreak/>
        <w:t>I.</w:t>
      </w:r>
      <w:r w:rsidR="008E7846">
        <w:t xml:space="preserve"> Introduction to product submission</w:t>
      </w:r>
      <w:bookmarkEnd w:id="7"/>
      <w:bookmarkEnd w:id="1"/>
    </w:p>
    <w:p w14:paraId="635E26CE" w14:textId="77777777" w:rsidR="008E7846" w:rsidRDefault="008E7846" w:rsidP="008E7846">
      <w:pPr>
        <w:pStyle w:val="Heading3"/>
        <w:rPr>
          <w:lang w:eastAsia="en-AU"/>
        </w:rPr>
      </w:pPr>
      <w:bookmarkStart w:id="8" w:name="_Toc247691502"/>
      <w:bookmarkStart w:id="9" w:name="_Toc314842483"/>
      <w:bookmarkStart w:id="10" w:name="_Toc507501092"/>
      <w:r>
        <w:rPr>
          <w:lang w:eastAsia="en-AU"/>
        </w:rPr>
        <w:t>Submission details</w:t>
      </w:r>
      <w:bookmarkEnd w:id="8"/>
      <w:bookmarkEnd w:id="9"/>
      <w:bookmarkEnd w:id="10"/>
    </w:p>
    <w:tbl>
      <w:tblPr>
        <w:tblW w:w="9497" w:type="dxa"/>
        <w:tblInd w:w="108" w:type="dxa"/>
        <w:tblLook w:val="01E0" w:firstRow="1" w:lastRow="1" w:firstColumn="1" w:lastColumn="1" w:noHBand="0" w:noVBand="0"/>
        <w:tblDescription w:val="Submission details table"/>
      </w:tblPr>
      <w:tblGrid>
        <w:gridCol w:w="2907"/>
        <w:gridCol w:w="6307"/>
        <w:gridCol w:w="283"/>
      </w:tblGrid>
      <w:tr w:rsidR="008E7846" w:rsidRPr="003D1E62" w14:paraId="2D52C719" w14:textId="77777777" w:rsidTr="00493AFB">
        <w:trPr>
          <w:trHeight w:hRule="exact" w:val="454"/>
        </w:trPr>
        <w:tc>
          <w:tcPr>
            <w:tcW w:w="2907" w:type="dxa"/>
          </w:tcPr>
          <w:p w14:paraId="2E03A53F" w14:textId="77777777" w:rsidR="008E7846" w:rsidRPr="003D1E62" w:rsidRDefault="001B5C90" w:rsidP="001B5C90">
            <w:pPr>
              <w:rPr>
                <w:i/>
              </w:rPr>
            </w:pPr>
            <w:r>
              <w:rPr>
                <w:i/>
              </w:rPr>
              <w:t>Type of s</w:t>
            </w:r>
            <w:r w:rsidR="008E7846" w:rsidRPr="003D1E62">
              <w:rPr>
                <w:i/>
              </w:rPr>
              <w:t>ubmission</w:t>
            </w:r>
            <w:r>
              <w:rPr>
                <w:i/>
              </w:rPr>
              <w:t>:</w:t>
            </w:r>
          </w:p>
        </w:tc>
        <w:tc>
          <w:tcPr>
            <w:tcW w:w="6590" w:type="dxa"/>
            <w:gridSpan w:val="2"/>
          </w:tcPr>
          <w:p w14:paraId="5CE737C1" w14:textId="77777777" w:rsidR="008E7846" w:rsidRPr="003D1E62" w:rsidRDefault="008E7846" w:rsidP="00C210BB">
            <w:r w:rsidRPr="003D1E62">
              <w:t xml:space="preserve">New </w:t>
            </w:r>
            <w:r w:rsidR="001B5C90">
              <w:t>c</w:t>
            </w:r>
            <w:r w:rsidRPr="003D1E62">
              <w:t xml:space="preserve">hemical </w:t>
            </w:r>
            <w:r w:rsidR="001B5C90">
              <w:t>e</w:t>
            </w:r>
            <w:r w:rsidR="00C210BB">
              <w:t>ntity</w:t>
            </w:r>
          </w:p>
        </w:tc>
      </w:tr>
      <w:tr w:rsidR="008E7846" w:rsidRPr="003D1E62" w14:paraId="671750FE" w14:textId="77777777" w:rsidTr="00493AFB">
        <w:trPr>
          <w:trHeight w:hRule="exact" w:val="454"/>
        </w:trPr>
        <w:tc>
          <w:tcPr>
            <w:tcW w:w="2907" w:type="dxa"/>
          </w:tcPr>
          <w:p w14:paraId="5BACD7B5" w14:textId="77777777" w:rsidR="008E7846" w:rsidRPr="003D1E62" w:rsidRDefault="008E7846" w:rsidP="003D1E62">
            <w:r w:rsidRPr="003D1E62">
              <w:rPr>
                <w:i/>
              </w:rPr>
              <w:t>Decision</w:t>
            </w:r>
            <w:r w:rsidRPr="003D1E62">
              <w:t>:</w:t>
            </w:r>
          </w:p>
        </w:tc>
        <w:tc>
          <w:tcPr>
            <w:tcW w:w="6590" w:type="dxa"/>
            <w:gridSpan w:val="2"/>
          </w:tcPr>
          <w:p w14:paraId="10DC1B7D" w14:textId="77777777" w:rsidR="008E7846" w:rsidRPr="003D1E62" w:rsidRDefault="00C210BB" w:rsidP="00C210BB">
            <w:r>
              <w:t>Approved</w:t>
            </w:r>
          </w:p>
        </w:tc>
      </w:tr>
      <w:tr w:rsidR="008E7846" w:rsidRPr="003D1E62" w14:paraId="7117ACBD" w14:textId="77777777" w:rsidTr="00493AFB">
        <w:trPr>
          <w:trHeight w:hRule="exact" w:val="454"/>
        </w:trPr>
        <w:tc>
          <w:tcPr>
            <w:tcW w:w="2907" w:type="dxa"/>
          </w:tcPr>
          <w:p w14:paraId="048AFE2A"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gridSpan w:val="2"/>
          </w:tcPr>
          <w:p w14:paraId="63453539" w14:textId="77777777" w:rsidR="008E7846" w:rsidRPr="003D1E62" w:rsidRDefault="00C210BB" w:rsidP="001B5C90">
            <w:r>
              <w:t>29 March 2016</w:t>
            </w:r>
          </w:p>
        </w:tc>
      </w:tr>
      <w:tr w:rsidR="00ED2922" w:rsidRPr="003D1E62" w14:paraId="4400AA8B" w14:textId="77777777" w:rsidTr="00493AFB">
        <w:trPr>
          <w:trHeight w:hRule="exact" w:val="454"/>
        </w:trPr>
        <w:tc>
          <w:tcPr>
            <w:tcW w:w="2907" w:type="dxa"/>
          </w:tcPr>
          <w:p w14:paraId="344AB11E" w14:textId="77777777" w:rsidR="00ED2922" w:rsidRPr="00441C3F" w:rsidRDefault="00ED2922" w:rsidP="001B5C90">
            <w:pPr>
              <w:rPr>
                <w:i/>
              </w:rPr>
            </w:pPr>
            <w:r w:rsidRPr="00441C3F">
              <w:rPr>
                <w:i/>
              </w:rPr>
              <w:t>Date of entry onto ARTG</w:t>
            </w:r>
          </w:p>
        </w:tc>
        <w:tc>
          <w:tcPr>
            <w:tcW w:w="6590" w:type="dxa"/>
            <w:gridSpan w:val="2"/>
          </w:tcPr>
          <w:p w14:paraId="30799973" w14:textId="77777777" w:rsidR="00ED2922" w:rsidRPr="00441C3F" w:rsidRDefault="00C210BB" w:rsidP="00EC463D">
            <w:pPr>
              <w:rPr>
                <w:i/>
              </w:rPr>
            </w:pPr>
            <w:r>
              <w:t>31 March 2016</w:t>
            </w:r>
          </w:p>
        </w:tc>
      </w:tr>
      <w:tr w:rsidR="008E7846" w:rsidRPr="00487162" w14:paraId="55A45452" w14:textId="77777777" w:rsidTr="00493AFB">
        <w:trPr>
          <w:gridAfter w:val="1"/>
          <w:wAfter w:w="283" w:type="dxa"/>
        </w:trPr>
        <w:tc>
          <w:tcPr>
            <w:tcW w:w="2907" w:type="dxa"/>
          </w:tcPr>
          <w:p w14:paraId="2BECBF0A" w14:textId="77777777" w:rsidR="008E7846" w:rsidRPr="00487162" w:rsidRDefault="001B5C90" w:rsidP="00E45619">
            <w:pPr>
              <w:rPr>
                <w:i/>
              </w:rPr>
            </w:pPr>
            <w:r>
              <w:rPr>
                <w:i/>
              </w:rPr>
              <w:t>Active ingredient(s):</w:t>
            </w:r>
          </w:p>
        </w:tc>
        <w:tc>
          <w:tcPr>
            <w:tcW w:w="6307" w:type="dxa"/>
          </w:tcPr>
          <w:p w14:paraId="3469B07C" w14:textId="77777777" w:rsidR="008E7846" w:rsidRPr="00487162" w:rsidRDefault="00C210BB" w:rsidP="00E45619">
            <w:r>
              <w:t>C</w:t>
            </w:r>
            <w:r w:rsidRPr="00C210BB">
              <w:t>eritinib</w:t>
            </w:r>
          </w:p>
        </w:tc>
      </w:tr>
      <w:tr w:rsidR="008E7846" w:rsidRPr="00487162" w14:paraId="74954171" w14:textId="77777777" w:rsidTr="00493AFB">
        <w:trPr>
          <w:gridAfter w:val="1"/>
          <w:wAfter w:w="283" w:type="dxa"/>
        </w:trPr>
        <w:tc>
          <w:tcPr>
            <w:tcW w:w="2907" w:type="dxa"/>
          </w:tcPr>
          <w:p w14:paraId="1C43AE60" w14:textId="77777777" w:rsidR="008E7846" w:rsidRPr="00487162" w:rsidRDefault="008E7846" w:rsidP="001B5C90">
            <w:pPr>
              <w:rPr>
                <w:i/>
              </w:rPr>
            </w:pPr>
            <w:r w:rsidRPr="00487162">
              <w:rPr>
                <w:i/>
              </w:rPr>
              <w:t>Product</w:t>
            </w:r>
            <w:r w:rsidR="001B5C90">
              <w:rPr>
                <w:i/>
              </w:rPr>
              <w:t xml:space="preserve"> name(s):</w:t>
            </w:r>
          </w:p>
        </w:tc>
        <w:tc>
          <w:tcPr>
            <w:tcW w:w="6307" w:type="dxa"/>
          </w:tcPr>
          <w:p w14:paraId="6B855185" w14:textId="77777777" w:rsidR="008E7846" w:rsidRPr="00487162" w:rsidRDefault="00C210BB" w:rsidP="00E45619">
            <w:r>
              <w:t>Zykadia</w:t>
            </w:r>
          </w:p>
        </w:tc>
      </w:tr>
      <w:tr w:rsidR="008E7846" w:rsidRPr="00487162" w14:paraId="00247EF8" w14:textId="77777777" w:rsidTr="00493AFB">
        <w:trPr>
          <w:gridAfter w:val="1"/>
          <w:wAfter w:w="283" w:type="dxa"/>
        </w:trPr>
        <w:tc>
          <w:tcPr>
            <w:tcW w:w="2907" w:type="dxa"/>
          </w:tcPr>
          <w:p w14:paraId="1CFC7C12"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1D30874C" w14:textId="77777777" w:rsidR="008E7846" w:rsidRDefault="00FD070E" w:rsidP="00E45619">
            <w:r w:rsidRPr="00FD070E">
              <w:t>Novartis Pharmaceuticals Aust Pty Ltd</w:t>
            </w:r>
          </w:p>
          <w:p w14:paraId="69C33065" w14:textId="77777777" w:rsidR="00FD070E" w:rsidRPr="00487162" w:rsidRDefault="00FD070E" w:rsidP="00FD070E">
            <w:r w:rsidRPr="00FD070E">
              <w:t>54 Waterloo Road</w:t>
            </w:r>
            <w:r>
              <w:t xml:space="preserve">, </w:t>
            </w:r>
            <w:r w:rsidRPr="00FD070E">
              <w:t>N</w:t>
            </w:r>
            <w:r>
              <w:t>orth</w:t>
            </w:r>
            <w:r w:rsidRPr="00FD070E">
              <w:t xml:space="preserve"> R</w:t>
            </w:r>
            <w:r>
              <w:t>yde</w:t>
            </w:r>
            <w:r w:rsidRPr="00FD070E">
              <w:t xml:space="preserve"> NSW 2113</w:t>
            </w:r>
          </w:p>
        </w:tc>
      </w:tr>
      <w:tr w:rsidR="008E7846" w:rsidRPr="00487162" w14:paraId="4B1ABA81" w14:textId="77777777" w:rsidTr="00493AFB">
        <w:trPr>
          <w:gridAfter w:val="1"/>
          <w:wAfter w:w="283" w:type="dxa"/>
        </w:trPr>
        <w:tc>
          <w:tcPr>
            <w:tcW w:w="2907" w:type="dxa"/>
          </w:tcPr>
          <w:p w14:paraId="13278F44" w14:textId="77777777" w:rsidR="008E7846" w:rsidRPr="00487162" w:rsidRDefault="001B5C90" w:rsidP="00E45619">
            <w:pPr>
              <w:rPr>
                <w:i/>
              </w:rPr>
            </w:pPr>
            <w:r>
              <w:rPr>
                <w:i/>
              </w:rPr>
              <w:t>Dose form(s):</w:t>
            </w:r>
          </w:p>
        </w:tc>
        <w:tc>
          <w:tcPr>
            <w:tcW w:w="6307" w:type="dxa"/>
          </w:tcPr>
          <w:p w14:paraId="6FAFECC2" w14:textId="77777777" w:rsidR="008E7846" w:rsidRPr="00487162" w:rsidRDefault="00C210BB" w:rsidP="00E45619">
            <w:r>
              <w:t>Hard capsule</w:t>
            </w:r>
          </w:p>
        </w:tc>
      </w:tr>
      <w:tr w:rsidR="008E7846" w:rsidRPr="00487162" w14:paraId="3269DEC5" w14:textId="77777777" w:rsidTr="00493AFB">
        <w:trPr>
          <w:gridAfter w:val="1"/>
          <w:wAfter w:w="283" w:type="dxa"/>
        </w:trPr>
        <w:tc>
          <w:tcPr>
            <w:tcW w:w="2907" w:type="dxa"/>
          </w:tcPr>
          <w:p w14:paraId="5B71C5CC" w14:textId="77777777" w:rsidR="008E7846" w:rsidRPr="00487162" w:rsidRDefault="008E7846" w:rsidP="00E45619">
            <w:pPr>
              <w:rPr>
                <w:i/>
              </w:rPr>
            </w:pPr>
            <w:r w:rsidRPr="00487162">
              <w:rPr>
                <w:i/>
              </w:rPr>
              <w:t xml:space="preserve">Strength(s): </w:t>
            </w:r>
          </w:p>
        </w:tc>
        <w:tc>
          <w:tcPr>
            <w:tcW w:w="6307" w:type="dxa"/>
          </w:tcPr>
          <w:p w14:paraId="36BE0245" w14:textId="77777777" w:rsidR="008E7846" w:rsidRPr="00487162" w:rsidRDefault="00FD070E" w:rsidP="00E45619">
            <w:r>
              <w:t>150 mg</w:t>
            </w:r>
          </w:p>
        </w:tc>
      </w:tr>
      <w:tr w:rsidR="008E7846" w:rsidRPr="00487162" w14:paraId="78B15148" w14:textId="77777777" w:rsidTr="00493AFB">
        <w:trPr>
          <w:gridAfter w:val="1"/>
          <w:wAfter w:w="283" w:type="dxa"/>
        </w:trPr>
        <w:tc>
          <w:tcPr>
            <w:tcW w:w="2907" w:type="dxa"/>
          </w:tcPr>
          <w:p w14:paraId="2293ECE8" w14:textId="77777777" w:rsidR="008E7846" w:rsidRPr="00487162" w:rsidRDefault="008E7846" w:rsidP="00E45619">
            <w:pPr>
              <w:rPr>
                <w:i/>
              </w:rPr>
            </w:pPr>
            <w:r w:rsidRPr="00487162">
              <w:rPr>
                <w:i/>
              </w:rPr>
              <w:t>Container(s):</w:t>
            </w:r>
          </w:p>
        </w:tc>
        <w:tc>
          <w:tcPr>
            <w:tcW w:w="6307" w:type="dxa"/>
          </w:tcPr>
          <w:p w14:paraId="1FF442BF" w14:textId="77777777" w:rsidR="008E7846" w:rsidRPr="00487162" w:rsidRDefault="00C210BB" w:rsidP="00E45619">
            <w:r>
              <w:t>Blister pack</w:t>
            </w:r>
          </w:p>
        </w:tc>
      </w:tr>
      <w:tr w:rsidR="008E7846" w:rsidRPr="00487162" w14:paraId="2E70BFC0" w14:textId="77777777" w:rsidTr="00493AFB">
        <w:trPr>
          <w:gridAfter w:val="1"/>
          <w:wAfter w:w="283" w:type="dxa"/>
        </w:trPr>
        <w:tc>
          <w:tcPr>
            <w:tcW w:w="2907" w:type="dxa"/>
          </w:tcPr>
          <w:p w14:paraId="45882454" w14:textId="77777777" w:rsidR="008E7846" w:rsidRPr="00487162" w:rsidRDefault="008E7846" w:rsidP="00E45619">
            <w:pPr>
              <w:rPr>
                <w:i/>
              </w:rPr>
            </w:pPr>
            <w:r w:rsidRPr="00487162">
              <w:rPr>
                <w:i/>
              </w:rPr>
              <w:t>Pack size(s):</w:t>
            </w:r>
          </w:p>
        </w:tc>
        <w:tc>
          <w:tcPr>
            <w:tcW w:w="6307" w:type="dxa"/>
          </w:tcPr>
          <w:p w14:paraId="12E67705" w14:textId="77777777" w:rsidR="008E7846" w:rsidRPr="00487162" w:rsidRDefault="00FD070E" w:rsidP="00FD070E">
            <w:r>
              <w:t>One blister strip contains 10 hard capsules. Multipacks containing 150 (3 packs of 50) hard capsules.</w:t>
            </w:r>
          </w:p>
        </w:tc>
      </w:tr>
      <w:tr w:rsidR="008E7846" w:rsidRPr="00487162" w14:paraId="5FB6CBE7" w14:textId="77777777" w:rsidTr="00493AFB">
        <w:trPr>
          <w:gridAfter w:val="1"/>
          <w:wAfter w:w="283" w:type="dxa"/>
        </w:trPr>
        <w:tc>
          <w:tcPr>
            <w:tcW w:w="2907" w:type="dxa"/>
          </w:tcPr>
          <w:p w14:paraId="367906C9" w14:textId="77777777" w:rsidR="008E7846" w:rsidRPr="00C24127" w:rsidRDefault="008E7846" w:rsidP="001B5C90">
            <w:pPr>
              <w:rPr>
                <w:i/>
              </w:rPr>
            </w:pPr>
            <w:r w:rsidRPr="00C24127">
              <w:rPr>
                <w:i/>
              </w:rPr>
              <w:t xml:space="preserve">Approved </w:t>
            </w:r>
            <w:r w:rsidR="001B5C90" w:rsidRPr="00C24127">
              <w:rPr>
                <w:i/>
              </w:rPr>
              <w:t>t</w:t>
            </w:r>
            <w:r w:rsidRPr="00C24127">
              <w:rPr>
                <w:i/>
              </w:rPr>
              <w:t>herapeutic use:</w:t>
            </w:r>
          </w:p>
        </w:tc>
        <w:tc>
          <w:tcPr>
            <w:tcW w:w="6307" w:type="dxa"/>
          </w:tcPr>
          <w:p w14:paraId="5C062549" w14:textId="77777777" w:rsidR="00C210BB" w:rsidRPr="00FD070E" w:rsidRDefault="00C210BB" w:rsidP="00C210BB">
            <w:pPr>
              <w:rPr>
                <w:i/>
              </w:rPr>
            </w:pPr>
            <w:r w:rsidRPr="00FD070E">
              <w:rPr>
                <w:i/>
              </w:rPr>
              <w:t>Zykadia is indicated as monotherapy for the treatment of adult patients with ALK-positive locally advanced or metastatic non-small cell lung cancer (NSCLC) whose disease has progressed on or who are intolerant of crizotinib.</w:t>
            </w:r>
          </w:p>
          <w:p w14:paraId="72D13A4F" w14:textId="77777777" w:rsidR="008E7846" w:rsidRPr="00487162" w:rsidRDefault="00C210BB" w:rsidP="00C210BB">
            <w:pPr>
              <w:rPr>
                <w:rFonts w:eastAsia="MS Mincho"/>
                <w:lang w:eastAsia="ja-JP"/>
              </w:rPr>
            </w:pPr>
            <w:r w:rsidRPr="00FD070E">
              <w:rPr>
                <w:i/>
              </w:rPr>
              <w:t>Note to the Indication: This indication is approved based on tumour response rate and duration of response. An improvement in survival or disease-related symptoms has not been established.</w:t>
            </w:r>
          </w:p>
        </w:tc>
      </w:tr>
      <w:tr w:rsidR="008E7846" w:rsidRPr="00487162" w14:paraId="68BC01A4" w14:textId="77777777" w:rsidTr="00493AFB">
        <w:trPr>
          <w:gridAfter w:val="1"/>
          <w:wAfter w:w="283" w:type="dxa"/>
        </w:trPr>
        <w:tc>
          <w:tcPr>
            <w:tcW w:w="2907" w:type="dxa"/>
          </w:tcPr>
          <w:p w14:paraId="02B949A5" w14:textId="77777777" w:rsidR="008E7846" w:rsidRPr="00487162" w:rsidRDefault="008E7846" w:rsidP="00E45619">
            <w:pPr>
              <w:rPr>
                <w:i/>
              </w:rPr>
            </w:pPr>
            <w:r w:rsidRPr="00487162">
              <w:rPr>
                <w:i/>
              </w:rPr>
              <w:t>Route(s) of administration:</w:t>
            </w:r>
          </w:p>
        </w:tc>
        <w:tc>
          <w:tcPr>
            <w:tcW w:w="6307" w:type="dxa"/>
          </w:tcPr>
          <w:p w14:paraId="194AE190" w14:textId="77777777" w:rsidR="008E7846" w:rsidRPr="00487162" w:rsidRDefault="00FD070E" w:rsidP="00E45619">
            <w:r>
              <w:t>Oral (PO)</w:t>
            </w:r>
          </w:p>
        </w:tc>
      </w:tr>
      <w:tr w:rsidR="008E7846" w:rsidRPr="00487162" w14:paraId="6400F776" w14:textId="77777777" w:rsidTr="00493AFB">
        <w:trPr>
          <w:gridAfter w:val="1"/>
          <w:wAfter w:w="283" w:type="dxa"/>
        </w:trPr>
        <w:tc>
          <w:tcPr>
            <w:tcW w:w="2907" w:type="dxa"/>
          </w:tcPr>
          <w:p w14:paraId="0F97E77E" w14:textId="77777777" w:rsidR="008E7846" w:rsidRPr="00487162" w:rsidRDefault="008E7846" w:rsidP="00E45619">
            <w:pPr>
              <w:rPr>
                <w:i/>
              </w:rPr>
            </w:pPr>
            <w:r w:rsidRPr="00487162">
              <w:rPr>
                <w:i/>
              </w:rPr>
              <w:t>Dosage:</w:t>
            </w:r>
          </w:p>
        </w:tc>
        <w:tc>
          <w:tcPr>
            <w:tcW w:w="6307" w:type="dxa"/>
          </w:tcPr>
          <w:p w14:paraId="51988A5D" w14:textId="77777777" w:rsidR="008E7846" w:rsidRPr="00487162" w:rsidRDefault="00FD070E" w:rsidP="00B82A73">
            <w:r>
              <w:t xml:space="preserve">The recommended dose of Zykadia is 750 </w:t>
            </w:r>
            <w:r w:rsidR="00B82A73">
              <w:t>m</w:t>
            </w:r>
            <w:r>
              <w:t xml:space="preserve">g taken orally once daily at the same time each day. Continue treatment as long as the patient is deriving clinical benefit from therapy. The maximum recommended dose is 750 </w:t>
            </w:r>
            <w:r w:rsidR="00B82A73">
              <w:t>m</w:t>
            </w:r>
            <w:r>
              <w:t>g daily.</w:t>
            </w:r>
          </w:p>
        </w:tc>
      </w:tr>
      <w:tr w:rsidR="008E7846" w:rsidRPr="00487162" w14:paraId="404055C3" w14:textId="77777777" w:rsidTr="00493AFB">
        <w:trPr>
          <w:gridAfter w:val="1"/>
          <w:wAfter w:w="283" w:type="dxa"/>
        </w:trPr>
        <w:tc>
          <w:tcPr>
            <w:tcW w:w="2907" w:type="dxa"/>
          </w:tcPr>
          <w:p w14:paraId="1422565E" w14:textId="77777777" w:rsidR="008E7846" w:rsidRPr="00487162" w:rsidRDefault="008E7846" w:rsidP="001B5C90">
            <w:pPr>
              <w:rPr>
                <w:i/>
              </w:rPr>
            </w:pPr>
            <w:r w:rsidRPr="00487162">
              <w:rPr>
                <w:i/>
              </w:rPr>
              <w:t xml:space="preserve">ARTG </w:t>
            </w:r>
            <w:r w:rsidR="001B5C90">
              <w:rPr>
                <w:i/>
              </w:rPr>
              <w:t>n</w:t>
            </w:r>
            <w:r w:rsidRPr="00487162">
              <w:rPr>
                <w:i/>
              </w:rPr>
              <w:t>umber (s)</w:t>
            </w:r>
            <w:r w:rsidR="001B5C90">
              <w:rPr>
                <w:i/>
              </w:rPr>
              <w:t>:</w:t>
            </w:r>
          </w:p>
        </w:tc>
        <w:tc>
          <w:tcPr>
            <w:tcW w:w="6307" w:type="dxa"/>
          </w:tcPr>
          <w:p w14:paraId="0458083A" w14:textId="77777777" w:rsidR="008E7846" w:rsidRPr="00487162" w:rsidRDefault="00FD070E" w:rsidP="00E45619">
            <w:r w:rsidRPr="00FD070E">
              <w:t>235737</w:t>
            </w:r>
          </w:p>
        </w:tc>
      </w:tr>
    </w:tbl>
    <w:p w14:paraId="7F26F89F" w14:textId="77777777" w:rsidR="008E7846" w:rsidRDefault="008E7846" w:rsidP="008E7846">
      <w:pPr>
        <w:pStyle w:val="Heading3"/>
      </w:pPr>
      <w:bookmarkStart w:id="11" w:name="_Toc247691503"/>
      <w:bookmarkStart w:id="12" w:name="_Toc314842484"/>
      <w:bookmarkStart w:id="13" w:name="_Toc507501093"/>
      <w:r>
        <w:t>Product background</w:t>
      </w:r>
      <w:bookmarkEnd w:id="11"/>
      <w:bookmarkEnd w:id="12"/>
      <w:bookmarkEnd w:id="13"/>
    </w:p>
    <w:p w14:paraId="151CE35A" w14:textId="77777777" w:rsidR="002343D4" w:rsidRDefault="00940A89" w:rsidP="002343D4">
      <w:r w:rsidRPr="00940A89">
        <w:t xml:space="preserve">This AusPAR describes the application by the sponsor to register </w:t>
      </w:r>
      <w:r w:rsidR="007C62CC">
        <w:t>the new chemical entity C</w:t>
      </w:r>
      <w:r w:rsidR="007C62CC" w:rsidRPr="00C210BB">
        <w:t>eritinib</w:t>
      </w:r>
      <w:r w:rsidR="007C62CC" w:rsidRPr="00940A89">
        <w:t xml:space="preserve"> </w:t>
      </w:r>
      <w:r w:rsidR="007C62CC">
        <w:t xml:space="preserve">as Zykadia </w:t>
      </w:r>
      <w:r w:rsidR="007C62CC" w:rsidRPr="007C62CC">
        <w:rPr>
          <w:i/>
        </w:rPr>
        <w:t xml:space="preserve">for </w:t>
      </w:r>
      <w:r w:rsidR="002343D4" w:rsidRPr="007C62CC">
        <w:rPr>
          <w:i/>
        </w:rPr>
        <w:t>the treatment of adult patients with ALK-positive locally advanced or metastatic non-small cell lung cancer (NSCLC) previously treated with an ALK-inhibitor.</w:t>
      </w:r>
    </w:p>
    <w:p w14:paraId="104AA347" w14:textId="77777777" w:rsidR="002343D4" w:rsidRPr="007C62CC" w:rsidRDefault="002343D4" w:rsidP="007C62CC">
      <w:r w:rsidRPr="007C62CC">
        <w:t>Anaplastic lymphoma kinase</w:t>
      </w:r>
      <w:r w:rsidR="007C62CC">
        <w:t xml:space="preserve"> (ALK)</w:t>
      </w:r>
      <w:r w:rsidRPr="007C62CC">
        <w:t xml:space="preserve">, a receptor tyrosine kinase, was first identified as a fusion protein resulting from chromosomal translocation in the majority of anaplastic </w:t>
      </w:r>
      <w:r w:rsidRPr="007C62CC">
        <w:lastRenderedPageBreak/>
        <w:t>large cell lymphoma (ALCL). When fused to other proteins, ALK becomes constitutively active, leading to increased catalytic kinase function, signal transduction activity, and oncogenic function. ALK gene rearrangement is found in about 5% of patients with NSCLC</w:t>
      </w:r>
      <w:bookmarkStart w:id="14" w:name="_Ref500765120"/>
      <w:r w:rsidR="00F72EC9">
        <w:rPr>
          <w:rStyle w:val="FootnoteReference"/>
        </w:rPr>
        <w:footnoteReference w:id="1"/>
      </w:r>
      <w:bookmarkEnd w:id="14"/>
      <w:r w:rsidRPr="007C62CC">
        <w:t xml:space="preserve"> and is thought to be mutually exclusive with </w:t>
      </w:r>
      <w:r w:rsidR="001D5E6E" w:rsidRPr="001D5E6E">
        <w:t xml:space="preserve">epidermal growth factor receptor </w:t>
      </w:r>
      <w:r w:rsidR="001D5E6E">
        <w:t>(</w:t>
      </w:r>
      <w:r w:rsidRPr="007C62CC">
        <w:t>EGFR</w:t>
      </w:r>
      <w:r w:rsidR="001D5E6E">
        <w:t>)</w:t>
      </w:r>
      <w:r w:rsidRPr="007C62CC">
        <w:t xml:space="preserve"> and KRAS</w:t>
      </w:r>
      <w:r w:rsidR="0060002F">
        <w:rPr>
          <w:rStyle w:val="FootnoteReference"/>
        </w:rPr>
        <w:footnoteReference w:id="2"/>
      </w:r>
      <w:r w:rsidRPr="007C62CC">
        <w:t xml:space="preserve"> mutations</w:t>
      </w:r>
      <w:bookmarkStart w:id="15" w:name="_Ref500766301"/>
      <w:r w:rsidR="00F72EC9">
        <w:rPr>
          <w:rStyle w:val="FootnoteReference"/>
        </w:rPr>
        <w:footnoteReference w:id="3"/>
      </w:r>
      <w:bookmarkEnd w:id="15"/>
      <w:r w:rsidRPr="007C62CC">
        <w:t>. It has been associated with a younger age, non-smoking status and adenocarcinoma histology and a more advanced state at presentation.</w:t>
      </w:r>
      <w:bookmarkStart w:id="16" w:name="_Ref500766436"/>
      <w:r w:rsidR="00F72EC9">
        <w:rPr>
          <w:rStyle w:val="FootnoteReference"/>
        </w:rPr>
        <w:footnoteReference w:id="4"/>
      </w:r>
      <w:bookmarkEnd w:id="16"/>
      <w:r w:rsidRPr="007C62CC">
        <w:t xml:space="preserve"> Thus ALK gene rearrangements define a unique molecular subset of </w:t>
      </w:r>
      <w:r w:rsidR="001D5E6E" w:rsidRPr="001D5E6E">
        <w:t xml:space="preserve">non–small-cell lung cancers </w:t>
      </w:r>
      <w:r w:rsidR="001D5E6E">
        <w:t>(</w:t>
      </w:r>
      <w:r w:rsidRPr="007C62CC">
        <w:t>NSCLC</w:t>
      </w:r>
      <w:r w:rsidR="001D5E6E">
        <w:t>)</w:t>
      </w:r>
      <w:r w:rsidRPr="007C62CC">
        <w:t>.</w:t>
      </w:r>
      <w:r w:rsidR="00F72EC9" w:rsidRPr="00F72EC9">
        <w:rPr>
          <w:vertAlign w:val="superscript"/>
        </w:rPr>
        <w:fldChar w:fldCharType="begin"/>
      </w:r>
      <w:r w:rsidR="00F72EC9" w:rsidRPr="00F72EC9">
        <w:rPr>
          <w:vertAlign w:val="superscript"/>
        </w:rPr>
        <w:instrText xml:space="preserve"> NOTEREF _Ref500765120 \h </w:instrText>
      </w:r>
      <w:r w:rsidR="00F72EC9">
        <w:rPr>
          <w:vertAlign w:val="superscript"/>
        </w:rPr>
        <w:instrText xml:space="preserve"> \* MERGEFORMAT </w:instrText>
      </w:r>
      <w:r w:rsidR="00F72EC9" w:rsidRPr="00F72EC9">
        <w:rPr>
          <w:vertAlign w:val="superscript"/>
        </w:rPr>
      </w:r>
      <w:r w:rsidR="00F72EC9" w:rsidRPr="00F72EC9">
        <w:rPr>
          <w:vertAlign w:val="superscript"/>
        </w:rPr>
        <w:fldChar w:fldCharType="separate"/>
      </w:r>
      <w:r w:rsidR="00951361">
        <w:rPr>
          <w:vertAlign w:val="superscript"/>
        </w:rPr>
        <w:t>1</w:t>
      </w:r>
      <w:r w:rsidR="00F72EC9" w:rsidRPr="00F72EC9">
        <w:rPr>
          <w:vertAlign w:val="superscript"/>
        </w:rPr>
        <w:fldChar w:fldCharType="end"/>
      </w:r>
    </w:p>
    <w:p w14:paraId="1A669B62" w14:textId="77777777" w:rsidR="002343D4" w:rsidRPr="007C62CC" w:rsidRDefault="002343D4" w:rsidP="007C62CC">
      <w:r w:rsidRPr="007C62CC">
        <w:t xml:space="preserve">The prevalence of ALK-positive lung cancer in Australia was estimated by the TGA to be </w:t>
      </w:r>
      <w:r w:rsidR="001762D3">
        <w:t xml:space="preserve">approximately </w:t>
      </w:r>
      <w:r w:rsidRPr="007C62CC">
        <w:t xml:space="preserve">1200 in 2015 with </w:t>
      </w:r>
      <w:r w:rsidR="001D5E6E">
        <w:t>an</w:t>
      </w:r>
      <w:r w:rsidRPr="007C62CC">
        <w:t xml:space="preserve"> estimat</w:t>
      </w:r>
      <w:r w:rsidR="001D5E6E">
        <w:t>ed</w:t>
      </w:r>
      <w:r w:rsidRPr="007C62CC">
        <w:t xml:space="preserve"> annual incidence of 720 in Australia.</w:t>
      </w:r>
    </w:p>
    <w:p w14:paraId="6D63C81B" w14:textId="594933CC" w:rsidR="0060002F" w:rsidRDefault="002343D4" w:rsidP="007C62CC">
      <w:r w:rsidRPr="007C62CC">
        <w:t>ALK gene rearrangements were identified as an oncogenic driver in this subset of NSCLC and this potential target has been confirmed by the improvement in response rates and progression free survival with crizotinib</w:t>
      </w:r>
      <w:r>
        <w:t>.</w:t>
      </w:r>
      <w:r w:rsidRPr="00B62956">
        <w:t xml:space="preserve"> </w:t>
      </w:r>
      <w:r w:rsidR="00C24127" w:rsidRPr="00C24127">
        <w:t>Crizotinib</w:t>
      </w:r>
      <w:r w:rsidR="00C24127">
        <w:t xml:space="preserve"> is a</w:t>
      </w:r>
      <w:r w:rsidRPr="00B62956">
        <w:t xml:space="preserve"> non-specific small molecule ALK</w:t>
      </w:r>
      <w:r>
        <w:t xml:space="preserve">, </w:t>
      </w:r>
      <w:r w:rsidR="001D5E6E" w:rsidRPr="001D5E6E">
        <w:t>Mesenchymal</w:t>
      </w:r>
      <w:r w:rsidR="001D5E6E">
        <w:t xml:space="preserve"> </w:t>
      </w:r>
      <w:r w:rsidR="001D5E6E" w:rsidRPr="001D5E6E">
        <w:t xml:space="preserve">Epithelial Transition Factor </w:t>
      </w:r>
      <w:r w:rsidR="001D5E6E">
        <w:t>(</w:t>
      </w:r>
      <w:r>
        <w:t>cMET</w:t>
      </w:r>
      <w:r w:rsidR="001D5E6E">
        <w:t>)</w:t>
      </w:r>
      <w:r>
        <w:t xml:space="preserve"> and </w:t>
      </w:r>
      <w:r w:rsidR="001D5E6E" w:rsidRPr="001D5E6E">
        <w:t xml:space="preserve">proto-oncogene tyrosine-protein kinase </w:t>
      </w:r>
      <w:r w:rsidR="001D5E6E">
        <w:t>(</w:t>
      </w:r>
      <w:r>
        <w:t>ROS-1</w:t>
      </w:r>
      <w:r w:rsidR="001D5E6E">
        <w:t>)</w:t>
      </w:r>
      <w:r w:rsidRPr="00B62956">
        <w:t xml:space="preserve"> inhibitor </w:t>
      </w:r>
      <w:r w:rsidR="00C24127">
        <w:t>and</w:t>
      </w:r>
      <w:r w:rsidR="00C24127" w:rsidRPr="00B62956">
        <w:t xml:space="preserve"> </w:t>
      </w:r>
      <w:r w:rsidRPr="00B62956">
        <w:t>the only targeted agent currently approved for the treatment of locally advanced or</w:t>
      </w:r>
      <w:r w:rsidR="0060002F">
        <w:t xml:space="preserve"> metastatic ALK-positive NSCLC.</w:t>
      </w:r>
    </w:p>
    <w:p w14:paraId="280094EB" w14:textId="77777777" w:rsidR="0060002F" w:rsidRDefault="002343D4" w:rsidP="007C62CC">
      <w:r>
        <w:t xml:space="preserve">Phase III trials in patients who had received one prior line of chemotherapy demonstrated a </w:t>
      </w:r>
      <w:r w:rsidRPr="006E51FC">
        <w:rPr>
          <w:rFonts w:asciiTheme="minorHAnsi" w:hAnsiTheme="minorHAnsi"/>
        </w:rPr>
        <w:t xml:space="preserve">response rate of 65% (95% CI: 58, 72) for crizotinib compared with </w:t>
      </w:r>
      <w:r>
        <w:rPr>
          <w:rFonts w:asciiTheme="minorHAnsi" w:hAnsiTheme="minorHAnsi"/>
        </w:rPr>
        <w:t>20% (95% CI: 14,</w:t>
      </w:r>
      <w:r w:rsidRPr="006E51FC">
        <w:rPr>
          <w:rFonts w:asciiTheme="minorHAnsi" w:hAnsiTheme="minorHAnsi"/>
        </w:rPr>
        <w:t xml:space="preserve"> 26) with chemotherapy (P&lt;0.001).</w:t>
      </w:r>
      <w:r>
        <w:rPr>
          <w:rFonts w:ascii="OTNEJMQuadraat" w:hAnsi="OTNEJMQuadraat"/>
        </w:rPr>
        <w:t xml:space="preserve"> </w:t>
      </w:r>
      <w:r w:rsidRPr="005F17D5">
        <w:rPr>
          <w:rFonts w:asciiTheme="minorHAnsi" w:hAnsiTheme="minorHAnsi"/>
        </w:rPr>
        <w:t>The median</w:t>
      </w:r>
      <w:r>
        <w:rPr>
          <w:rFonts w:ascii="OTNEJMQuadraat" w:hAnsi="OTNEJMQuadraat"/>
        </w:rPr>
        <w:t xml:space="preserve"> </w:t>
      </w:r>
      <w:r w:rsidR="0060002F">
        <w:rPr>
          <w:rFonts w:ascii="OTNEJMQuadraat" w:hAnsi="OTNEJMQuadraat"/>
        </w:rPr>
        <w:t>progression free survival (</w:t>
      </w:r>
      <w:r w:rsidRPr="00B62956">
        <w:t>PFS</w:t>
      </w:r>
      <w:r w:rsidR="0060002F">
        <w:t>)</w:t>
      </w:r>
      <w:r w:rsidRPr="00B62956">
        <w:t xml:space="preserve"> </w:t>
      </w:r>
      <w:r>
        <w:t>was 7.7 months compared with</w:t>
      </w:r>
      <w:r w:rsidRPr="00B62956">
        <w:t xml:space="preserve"> 3.0 months in patients who received single-agent chemotherapy (Hazard ratio</w:t>
      </w:r>
      <w:r>
        <w:t xml:space="preserve"> </w:t>
      </w:r>
      <w:r w:rsidRPr="00B62956">
        <w:t xml:space="preserve">0.49; 95% </w:t>
      </w:r>
      <w:r>
        <w:t>confidence interval (</w:t>
      </w:r>
      <w:r w:rsidRPr="00B62956">
        <w:t>CI</w:t>
      </w:r>
      <w:r>
        <w:t xml:space="preserve">): 0.37, </w:t>
      </w:r>
      <w:r w:rsidRPr="00B62956">
        <w:t>0.64; p&lt;0.001)</w:t>
      </w:r>
      <w:r>
        <w:t xml:space="preserve">. Improvement in </w:t>
      </w:r>
      <w:r w:rsidR="0060002F">
        <w:t>overall survival (</w:t>
      </w:r>
      <w:r>
        <w:t>OS</w:t>
      </w:r>
      <w:r w:rsidR="0060002F">
        <w:t>)</w:t>
      </w:r>
      <w:r>
        <w:t xml:space="preserve"> was not demonstrated and crossover to crizotinib on progression in the chemotherapy arm is likely to account for this.</w:t>
      </w:r>
      <w:r w:rsidR="000E3918">
        <w:t xml:space="preserve"> </w:t>
      </w:r>
      <w:r w:rsidRPr="006E51FC">
        <w:rPr>
          <w:rFonts w:asciiTheme="minorHAnsi" w:hAnsiTheme="minorHAnsi"/>
        </w:rPr>
        <w:t>This</w:t>
      </w:r>
      <w:r>
        <w:rPr>
          <w:rFonts w:asciiTheme="minorHAnsi" w:hAnsiTheme="minorHAnsi"/>
        </w:rPr>
        <w:t xml:space="preserve"> study also includes one of the first reports of chemotherapy response rates in </w:t>
      </w:r>
      <w:r w:rsidR="0060002F">
        <w:rPr>
          <w:rFonts w:asciiTheme="minorHAnsi" w:hAnsiTheme="minorHAnsi"/>
        </w:rPr>
        <w:t xml:space="preserve">ALK-positive </w:t>
      </w:r>
      <w:r>
        <w:rPr>
          <w:rFonts w:asciiTheme="minorHAnsi" w:hAnsiTheme="minorHAnsi"/>
        </w:rPr>
        <w:t>NSCLC (compared with NSCLC not otherwise specified) which is relevant for this application as the studies presented lack a control arm. This trial followed</w:t>
      </w:r>
      <w:r w:rsidRPr="006E51FC">
        <w:rPr>
          <w:rFonts w:asciiTheme="minorHAnsi" w:hAnsiTheme="minorHAnsi"/>
        </w:rPr>
        <w:t xml:space="preserve"> single-arm trials of crizotinib in patients with ALK-positive NSCLC </w:t>
      </w:r>
      <w:r>
        <w:rPr>
          <w:rFonts w:asciiTheme="minorHAnsi" w:hAnsiTheme="minorHAnsi"/>
        </w:rPr>
        <w:t>where</w:t>
      </w:r>
      <w:r w:rsidRPr="006E51FC">
        <w:rPr>
          <w:rFonts w:asciiTheme="minorHAnsi" w:hAnsiTheme="minorHAnsi"/>
        </w:rPr>
        <w:t xml:space="preserve"> response rates of 50 to 61</w:t>
      </w:r>
      <w:r w:rsidRPr="00B62956">
        <w:t xml:space="preserve">% and duration of response of 6 to 10 months </w:t>
      </w:r>
      <w:r>
        <w:t>were reported</w:t>
      </w:r>
      <w:r w:rsidR="0060002F">
        <w:t>.</w:t>
      </w:r>
      <w:bookmarkStart w:id="17" w:name="_Ref500766322"/>
      <w:r w:rsidR="00F72EC9">
        <w:rPr>
          <w:rStyle w:val="FootnoteReference"/>
        </w:rPr>
        <w:footnoteReference w:id="5"/>
      </w:r>
      <w:bookmarkEnd w:id="17"/>
    </w:p>
    <w:p w14:paraId="395DBE6F" w14:textId="17D88157" w:rsidR="002343D4" w:rsidRPr="006E51FC" w:rsidRDefault="002343D4" w:rsidP="007C62CC">
      <w:pPr>
        <w:rPr>
          <w:rFonts w:asciiTheme="minorHAnsi" w:hAnsiTheme="minorHAnsi"/>
        </w:rPr>
      </w:pPr>
      <w:r>
        <w:t>In a Phase III open label trial in the first line setting, crizotinib resulted in a significantly increased median PFS compared with pemetrexed and platinum doublet chemotherapy;10 months v</w:t>
      </w:r>
      <w:r w:rsidR="0060002F">
        <w:t>ersus</w:t>
      </w:r>
      <w:r>
        <w:t xml:space="preserve"> 7.0 months , HR 0.45; 95% CI:0.35, 0.6, p&lt;0.001. Quality of life and symptom control were also reported to be improved with crizotinib.</w:t>
      </w:r>
      <w:r w:rsidR="00BF3A1A">
        <w:rPr>
          <w:rStyle w:val="FootnoteReference"/>
        </w:rPr>
        <w:footnoteReference w:id="6"/>
      </w:r>
      <w:r>
        <w:t xml:space="preserve"> The OS data are still immature but the trial’s crossover design may well preclude demonstration of an OS benefit. This confirms the </w:t>
      </w:r>
      <w:r w:rsidR="00D41B99">
        <w:t xml:space="preserve">current </w:t>
      </w:r>
      <w:r>
        <w:t xml:space="preserve">standard of care to be crizotinib in patients newly diagnosed with locally advanced or metastatic </w:t>
      </w:r>
      <w:r w:rsidR="006041DD">
        <w:t>ALK-positive</w:t>
      </w:r>
      <w:r>
        <w:t xml:space="preserve"> NSCLC. C</w:t>
      </w:r>
      <w:r w:rsidRPr="00B62956">
        <w:t xml:space="preserve">rizotinib (Xalkori) </w:t>
      </w:r>
      <w:r>
        <w:t xml:space="preserve">is registered by the TGA for the treatment of patients with ALK-positive advanced non-small cell lung cancer </w:t>
      </w:r>
      <w:r w:rsidRPr="00B62956">
        <w:t xml:space="preserve">for the treatment of adults with </w:t>
      </w:r>
      <w:r w:rsidR="0060002F">
        <w:t>S</w:t>
      </w:r>
      <w:r>
        <w:t>tage IIIB or IV non-squamous type of NSCLC harbouring an ALK gene rearrangement in tumour material, defined as 15% (or greater) positive cells by fluorescence in situ hybridisation (FISH) testing.</w:t>
      </w:r>
      <w:r w:rsidRPr="00B62956">
        <w:t xml:space="preserve"> </w:t>
      </w:r>
    </w:p>
    <w:p w14:paraId="5C5F719A" w14:textId="77777777" w:rsidR="002343D4" w:rsidRDefault="002343D4" w:rsidP="007C62CC">
      <w:r>
        <w:t xml:space="preserve">Acquired </w:t>
      </w:r>
      <w:r w:rsidRPr="00B90EE2">
        <w:t xml:space="preserve">drug resistance to crizotinib remains a problem and may result from the </w:t>
      </w:r>
      <w:r w:rsidRPr="00A01A41">
        <w:t xml:space="preserve">development of resistant ALK mutations, ALK amplification and/or activation of alternate </w:t>
      </w:r>
      <w:r w:rsidRPr="00A01A41">
        <w:lastRenderedPageBreak/>
        <w:t>aberrant signalling pathways.</w:t>
      </w:r>
      <w:r w:rsidR="00BF3A1A">
        <w:rPr>
          <w:rStyle w:val="FootnoteReference"/>
        </w:rPr>
        <w:footnoteReference w:id="7"/>
      </w:r>
      <w:r w:rsidRPr="00A01A41">
        <w:t xml:space="preserve"> </w:t>
      </w:r>
      <w:r>
        <w:t>Brain metastases are common in NSCLC and the first site of progression on crizotinib.</w:t>
      </w:r>
      <w:r w:rsidR="00BF3A1A">
        <w:rPr>
          <w:rStyle w:val="FootnoteReference"/>
        </w:rPr>
        <w:footnoteReference w:id="8"/>
      </w:r>
      <w:r>
        <w:t xml:space="preserve"> </w:t>
      </w:r>
      <w:r w:rsidRPr="00A01A41">
        <w:t>Furthermore, not all patients respond to or tolerate crizotinib treatment.</w:t>
      </w:r>
    </w:p>
    <w:p w14:paraId="54961382" w14:textId="77777777" w:rsidR="002343D4" w:rsidRDefault="002343D4" w:rsidP="007C62CC">
      <w:r>
        <w:t xml:space="preserve">Crizotinib has the following significant toxicities: </w:t>
      </w:r>
      <w:r w:rsidRPr="00A01A41">
        <w:t>hepatotoxicity (including fatal cases), pneumonitis (including fatal cases), QT prolongation, bradycardia (usually asymptomatic), and vision disorders</w:t>
      </w:r>
      <w:r>
        <w:t>. It wa</w:t>
      </w:r>
      <w:r w:rsidRPr="00A01A41">
        <w:t>s uncertain as to whether these are a class effect of ALK tyrosine kinase inhibitors.</w:t>
      </w:r>
      <w:r>
        <w:rPr>
          <w:rFonts w:ascii="Times New Roman" w:hAnsi="Times New Roman"/>
          <w:sz w:val="24"/>
          <w:szCs w:val="24"/>
        </w:rPr>
        <w:t xml:space="preserve"> </w:t>
      </w:r>
    </w:p>
    <w:p w14:paraId="1C775804" w14:textId="77777777" w:rsidR="002343D4" w:rsidRPr="002B0DA6" w:rsidRDefault="002343D4" w:rsidP="007C62CC">
      <w:r w:rsidRPr="005B69C3">
        <w:t>Ceritinib is an oral medicine stated in the application to primarily</w:t>
      </w:r>
      <w:r>
        <w:t xml:space="preserve"> be a potent</w:t>
      </w:r>
      <w:r w:rsidRPr="005B69C3">
        <w:t xml:space="preserve"> inhibit</w:t>
      </w:r>
      <w:r>
        <w:t>or of</w:t>
      </w:r>
      <w:r w:rsidRPr="005B69C3">
        <w:t xml:space="preserve"> ALK kinase, with activity against </w:t>
      </w:r>
      <w:r w:rsidR="006041DD">
        <w:t>ALK-positive</w:t>
      </w:r>
      <w:r w:rsidRPr="005B69C3">
        <w:t xml:space="preserve"> NSCLC that has developed resistance to crizotinib. The TGA nonclinical evaluator removed the reference in the PI to it being a highly selective ALK inhibitor, identifying potential activity against the </w:t>
      </w:r>
      <w:r w:rsidR="006041DD">
        <w:t xml:space="preserve">insulin like growth </w:t>
      </w:r>
      <w:r w:rsidR="006041DD" w:rsidRPr="006863FF">
        <w:t>factor 1 (</w:t>
      </w:r>
      <w:r w:rsidRPr="00D052A8">
        <w:t>IGF1</w:t>
      </w:r>
      <w:r w:rsidR="006041DD" w:rsidRPr="002B0DA6">
        <w:t>)</w:t>
      </w:r>
      <w:r w:rsidRPr="002B0DA6">
        <w:t xml:space="preserve"> superfamily, including ROS</w:t>
      </w:r>
      <w:r w:rsidR="006041DD" w:rsidRPr="002B0DA6">
        <w:t>-</w:t>
      </w:r>
      <w:r w:rsidRPr="002B0DA6">
        <w:t>1, INSR, and IGF1R.</w:t>
      </w:r>
    </w:p>
    <w:p w14:paraId="2978599C" w14:textId="20186D82" w:rsidR="002343D4" w:rsidRPr="00665D46" w:rsidRDefault="002343D4" w:rsidP="007C62CC">
      <w:pPr>
        <w:rPr>
          <w:rFonts w:eastAsia="MS Mincho"/>
        </w:rPr>
      </w:pPr>
      <w:r w:rsidRPr="002B0DA6">
        <w:rPr>
          <w:rFonts w:eastAsia="MS Mincho"/>
        </w:rPr>
        <w:t xml:space="preserve">Patients with intolerance of or progression on crizotinib have few remaining effective treatment options and this application seeks to register ceritinib for this population. </w:t>
      </w:r>
      <w:r w:rsidRPr="002B0DA6">
        <w:t xml:space="preserve">It is also being tested in crizotinib-naïve </w:t>
      </w:r>
      <w:r w:rsidR="006041DD" w:rsidRPr="002B0DA6">
        <w:t>ALK-positive</w:t>
      </w:r>
      <w:r w:rsidRPr="002B0DA6">
        <w:t xml:space="preserve"> NSCLC but pursuit of registration in that </w:t>
      </w:r>
      <w:r w:rsidR="00D705CB" w:rsidRPr="006863FF">
        <w:t xml:space="preserve">indicated </w:t>
      </w:r>
      <w:r w:rsidRPr="006863FF">
        <w:t>population was dropped following the presubmission meeting with the TGA following concerns that the study design was not appropriate to support an adequate demonstration of safety and efficacy</w:t>
      </w:r>
      <w:r w:rsidR="00D705CB" w:rsidRPr="006863FF">
        <w:t>.</w:t>
      </w:r>
      <w:r w:rsidRPr="002B0DA6">
        <w:rPr>
          <w:rFonts w:eastAsia="MS Mincho"/>
        </w:rPr>
        <w:t xml:space="preserve"> </w:t>
      </w:r>
    </w:p>
    <w:p w14:paraId="09128C71" w14:textId="77777777" w:rsidR="008E7846" w:rsidRPr="003F31A2" w:rsidRDefault="00386150" w:rsidP="008E7846">
      <w:pPr>
        <w:pStyle w:val="Heading3"/>
      </w:pPr>
      <w:bookmarkStart w:id="18" w:name="_Toc314842485"/>
      <w:bookmarkStart w:id="19" w:name="_Toc247691504"/>
      <w:bookmarkStart w:id="20" w:name="_Toc507501094"/>
      <w:r>
        <w:t>Regulatory s</w:t>
      </w:r>
      <w:r w:rsidR="008E7846">
        <w:t>tatus</w:t>
      </w:r>
      <w:bookmarkEnd w:id="18"/>
      <w:bookmarkEnd w:id="19"/>
      <w:bookmarkEnd w:id="20"/>
    </w:p>
    <w:p w14:paraId="27A28B91" w14:textId="77777777" w:rsidR="00F178D3" w:rsidRDefault="00940A89" w:rsidP="00940A89">
      <w:bookmarkStart w:id="21" w:name="_Toc247691505"/>
      <w:bookmarkStart w:id="22" w:name="_Toc314842486"/>
      <w:r w:rsidRPr="00940A89">
        <w:t xml:space="preserve">The product </w:t>
      </w:r>
      <w:r w:rsidR="00F178D3">
        <w:t xml:space="preserve">is a new chemical entity in Australia and was first registered </w:t>
      </w:r>
      <w:r w:rsidRPr="00940A89">
        <w:t>on the Australian Register of Therapeutic Goods (ARTG) on</w:t>
      </w:r>
      <w:r w:rsidR="00F178D3">
        <w:t xml:space="preserve"> 31 March 2016.</w:t>
      </w:r>
    </w:p>
    <w:p w14:paraId="21D0FC37" w14:textId="77777777" w:rsidR="000C0512" w:rsidRPr="0088547D" w:rsidRDefault="006041DD" w:rsidP="000C0512">
      <w:r>
        <w:t xml:space="preserve">Zykadia </w:t>
      </w:r>
      <w:r w:rsidR="000C0512">
        <w:t>has been designated as an orphan drug, pursuant to subregulation 16J</w:t>
      </w:r>
      <w:r>
        <w:t xml:space="preserve"> </w:t>
      </w:r>
      <w:r w:rsidR="000C0512">
        <w:t xml:space="preserve">(2) of the Therapeutic Goods Regulations 1990. The indication is for the treatment of patients with NSCLC that is ALK-positive. The indication sought in this submission does not differ from </w:t>
      </w:r>
      <w:r w:rsidR="000C0512" w:rsidRPr="0088547D">
        <w:t>the designated orphan indication.</w:t>
      </w:r>
    </w:p>
    <w:p w14:paraId="696888D8" w14:textId="000D6CD4" w:rsidR="00940A89" w:rsidRDefault="00940A89" w:rsidP="00940A89">
      <w:r w:rsidRPr="0088547D">
        <w:t xml:space="preserve">At the time the TGA considered this application, </w:t>
      </w:r>
      <w:proofErr w:type="gramStart"/>
      <w:r w:rsidRPr="0088547D">
        <w:t xml:space="preserve">a similar application had been </w:t>
      </w:r>
      <w:r w:rsidR="00AA3F92">
        <w:t xml:space="preserve">granted accelerated approval </w:t>
      </w:r>
      <w:r w:rsidR="006041DD" w:rsidRPr="0088547D">
        <w:t>in the USA and given conditional marketing authorisation in the European Union (EU) and Canada (see</w:t>
      </w:r>
      <w:proofErr w:type="gramEnd"/>
      <w:r w:rsidR="006041DD" w:rsidRPr="0088547D">
        <w:t xml:space="preserve"> Table 1).</w:t>
      </w:r>
    </w:p>
    <w:p w14:paraId="6A56AF84" w14:textId="77777777" w:rsidR="002343D4" w:rsidRPr="00672ED2" w:rsidRDefault="002343D4" w:rsidP="006041DD">
      <w:pPr>
        <w:pStyle w:val="TableTitle"/>
      </w:pPr>
      <w:r>
        <w:t>Table 1</w:t>
      </w:r>
      <w:r w:rsidR="00773815">
        <w:t>:</w:t>
      </w:r>
      <w:r>
        <w:t xml:space="preserve"> Overseas regulatory submission history for ceritinib </w:t>
      </w:r>
    </w:p>
    <w:tbl>
      <w:tblPr>
        <w:tblStyle w:val="TableTGAblue1"/>
        <w:tblW w:w="0" w:type="auto"/>
        <w:tblLook w:val="04A0" w:firstRow="1" w:lastRow="0" w:firstColumn="1" w:lastColumn="0" w:noHBand="0" w:noVBand="1"/>
        <w:tblDescription w:val="Table 1: Overseas regulatory submission history for ceritinib "/>
      </w:tblPr>
      <w:tblGrid>
        <w:gridCol w:w="2318"/>
        <w:gridCol w:w="1476"/>
        <w:gridCol w:w="4926"/>
      </w:tblGrid>
      <w:tr w:rsidR="002343D4" w14:paraId="2677C01A" w14:textId="77777777" w:rsidTr="006041DD">
        <w:trPr>
          <w:cnfStyle w:val="100000000000" w:firstRow="1" w:lastRow="0" w:firstColumn="0" w:lastColumn="0" w:oddVBand="0" w:evenVBand="0" w:oddHBand="0" w:evenHBand="0" w:firstRowFirstColumn="0" w:firstRowLastColumn="0" w:lastRowFirstColumn="0" w:lastRowLastColumn="0"/>
          <w:cantSplit/>
          <w:tblHeader/>
        </w:trPr>
        <w:tc>
          <w:tcPr>
            <w:tcW w:w="2318" w:type="dxa"/>
          </w:tcPr>
          <w:p w14:paraId="1A984E1F" w14:textId="77777777" w:rsidR="002343D4" w:rsidRPr="006041DD" w:rsidRDefault="002343D4" w:rsidP="00BF3A1A">
            <w:pPr>
              <w:keepNext/>
              <w:rPr>
                <w:sz w:val="20"/>
                <w:szCs w:val="20"/>
              </w:rPr>
            </w:pPr>
            <w:r w:rsidRPr="006041DD">
              <w:rPr>
                <w:sz w:val="20"/>
                <w:szCs w:val="20"/>
              </w:rPr>
              <w:t>Country</w:t>
            </w:r>
          </w:p>
        </w:tc>
        <w:tc>
          <w:tcPr>
            <w:tcW w:w="1476" w:type="dxa"/>
          </w:tcPr>
          <w:p w14:paraId="5FF9B5B4" w14:textId="77777777" w:rsidR="002343D4" w:rsidRPr="006041DD" w:rsidRDefault="002343D4" w:rsidP="00BF3A1A">
            <w:pPr>
              <w:keepNext/>
              <w:rPr>
                <w:sz w:val="20"/>
                <w:szCs w:val="20"/>
              </w:rPr>
            </w:pPr>
            <w:r w:rsidRPr="006041DD">
              <w:rPr>
                <w:sz w:val="20"/>
                <w:szCs w:val="20"/>
              </w:rPr>
              <w:t>Submission Date</w:t>
            </w:r>
          </w:p>
        </w:tc>
        <w:tc>
          <w:tcPr>
            <w:tcW w:w="4926" w:type="dxa"/>
          </w:tcPr>
          <w:p w14:paraId="09BCAE4F" w14:textId="77777777" w:rsidR="002343D4" w:rsidRPr="006041DD" w:rsidRDefault="002343D4" w:rsidP="00BF3A1A">
            <w:pPr>
              <w:keepNext/>
              <w:rPr>
                <w:sz w:val="20"/>
                <w:szCs w:val="20"/>
              </w:rPr>
            </w:pPr>
            <w:r w:rsidRPr="006041DD">
              <w:rPr>
                <w:sz w:val="20"/>
                <w:szCs w:val="20"/>
              </w:rPr>
              <w:t>Outcome</w:t>
            </w:r>
          </w:p>
        </w:tc>
      </w:tr>
      <w:tr w:rsidR="002343D4" w14:paraId="71F59C7C" w14:textId="77777777" w:rsidTr="006041DD">
        <w:tc>
          <w:tcPr>
            <w:tcW w:w="2318" w:type="dxa"/>
          </w:tcPr>
          <w:p w14:paraId="5B117026" w14:textId="77777777" w:rsidR="002343D4" w:rsidRPr="006041DD" w:rsidRDefault="002343D4" w:rsidP="00493AFB">
            <w:r w:rsidRPr="006041DD">
              <w:t>European Union</w:t>
            </w:r>
          </w:p>
          <w:p w14:paraId="47083F51" w14:textId="77777777" w:rsidR="002343D4" w:rsidRPr="006041DD" w:rsidRDefault="002343D4" w:rsidP="006041DD">
            <w:pPr>
              <w:rPr>
                <w:sz w:val="20"/>
                <w:szCs w:val="20"/>
              </w:rPr>
            </w:pPr>
            <w:r w:rsidRPr="006041DD">
              <w:rPr>
                <w:sz w:val="20"/>
                <w:szCs w:val="20"/>
              </w:rPr>
              <w:t>Conditional</w:t>
            </w:r>
          </w:p>
        </w:tc>
        <w:tc>
          <w:tcPr>
            <w:tcW w:w="1476" w:type="dxa"/>
          </w:tcPr>
          <w:p w14:paraId="2271D447" w14:textId="77777777" w:rsidR="002343D4" w:rsidRPr="006041DD" w:rsidRDefault="002343D4" w:rsidP="00493AFB">
            <w:r w:rsidRPr="006041DD">
              <w:t>Positive CHMP opinion on 26 Feb</w:t>
            </w:r>
            <w:r w:rsidR="006041DD">
              <w:t>ruary 2015</w:t>
            </w:r>
          </w:p>
        </w:tc>
        <w:tc>
          <w:tcPr>
            <w:tcW w:w="4926" w:type="dxa"/>
          </w:tcPr>
          <w:p w14:paraId="03E97712" w14:textId="77777777" w:rsidR="002343D4" w:rsidRPr="006041DD" w:rsidRDefault="006041DD" w:rsidP="00493AFB">
            <w:r w:rsidRPr="006041DD">
              <w:t>Cond</w:t>
            </w:r>
            <w:r>
              <w:t>i</w:t>
            </w:r>
            <w:r w:rsidRPr="006041DD">
              <w:t xml:space="preserve">tional Marketing Authorisation </w:t>
            </w:r>
          </w:p>
          <w:p w14:paraId="2E89A7C2" w14:textId="77777777" w:rsidR="002343D4" w:rsidRPr="00773815" w:rsidRDefault="002343D4" w:rsidP="00493AFB">
            <w:pPr>
              <w:rPr>
                <w:i/>
              </w:rPr>
            </w:pPr>
            <w:r w:rsidRPr="00773815">
              <w:rPr>
                <w:i/>
              </w:rPr>
              <w:t>ZYKADIA is indicated for the treatment of adult patients with ALK positive advanced NSCLC pre</w:t>
            </w:r>
            <w:r w:rsidR="006041DD" w:rsidRPr="00773815">
              <w:rPr>
                <w:i/>
              </w:rPr>
              <w:t>viously treated with crizotinib</w:t>
            </w:r>
            <w:r w:rsidRPr="00773815">
              <w:rPr>
                <w:i/>
              </w:rPr>
              <w:t>.</w:t>
            </w:r>
          </w:p>
        </w:tc>
      </w:tr>
      <w:tr w:rsidR="002343D4" w14:paraId="375A9163" w14:textId="77777777" w:rsidTr="006041DD">
        <w:tc>
          <w:tcPr>
            <w:tcW w:w="2318" w:type="dxa"/>
          </w:tcPr>
          <w:p w14:paraId="7681272C" w14:textId="77777777" w:rsidR="002343D4" w:rsidRPr="006041DD" w:rsidRDefault="002343D4" w:rsidP="00493AFB">
            <w:r w:rsidRPr="006041DD">
              <w:t>USA</w:t>
            </w:r>
          </w:p>
          <w:p w14:paraId="53C8B300" w14:textId="77777777" w:rsidR="002343D4" w:rsidRPr="006041DD" w:rsidRDefault="002343D4" w:rsidP="00493AFB">
            <w:r w:rsidRPr="006041DD">
              <w:lastRenderedPageBreak/>
              <w:t>Accelerated approval</w:t>
            </w:r>
          </w:p>
        </w:tc>
        <w:tc>
          <w:tcPr>
            <w:tcW w:w="1476" w:type="dxa"/>
          </w:tcPr>
          <w:p w14:paraId="5587F61E" w14:textId="77777777" w:rsidR="002343D4" w:rsidRPr="006041DD" w:rsidRDefault="002343D4" w:rsidP="00493AFB">
            <w:r w:rsidRPr="006041DD">
              <w:lastRenderedPageBreak/>
              <w:t xml:space="preserve">Approved in </w:t>
            </w:r>
            <w:r w:rsidRPr="006041DD">
              <w:lastRenderedPageBreak/>
              <w:t>Apr</w:t>
            </w:r>
            <w:r w:rsidR="006041DD">
              <w:t>il</w:t>
            </w:r>
            <w:r w:rsidRPr="006041DD">
              <w:t xml:space="preserve"> 2014 </w:t>
            </w:r>
          </w:p>
        </w:tc>
        <w:tc>
          <w:tcPr>
            <w:tcW w:w="4926" w:type="dxa"/>
          </w:tcPr>
          <w:p w14:paraId="5BF9C50C" w14:textId="77777777" w:rsidR="002343D4" w:rsidRPr="006041DD" w:rsidRDefault="006041DD" w:rsidP="00493AFB">
            <w:r>
              <w:lastRenderedPageBreak/>
              <w:t>A</w:t>
            </w:r>
            <w:r w:rsidR="002343D4" w:rsidRPr="006041DD">
              <w:t xml:space="preserve">ccelerated approval for the following (taken </w:t>
            </w:r>
            <w:r w:rsidR="002343D4" w:rsidRPr="006041DD">
              <w:lastRenderedPageBreak/>
              <w:t>from FDA label):</w:t>
            </w:r>
          </w:p>
          <w:p w14:paraId="180949A2" w14:textId="77777777" w:rsidR="002343D4" w:rsidRPr="00773815" w:rsidRDefault="002343D4" w:rsidP="00493AFB">
            <w:pPr>
              <w:rPr>
                <w:i/>
              </w:rPr>
            </w:pPr>
            <w:r w:rsidRPr="00773815">
              <w:rPr>
                <w:i/>
              </w:rPr>
              <w:t>ZYKADIA is indicated for the treatment of patients with ALK-positive metastatic NSCLC who have progressed on or are intolerant to crizotinib. This indication is approved under accelerated approval based on tumor response rate and duration of response. An improvement in survival or disease-related symptoms has not been established.</w:t>
            </w:r>
            <w:r w:rsidRPr="00773815">
              <w:rPr>
                <w:rFonts w:ascii="Times New Roman" w:hAnsi="Times New Roman"/>
                <w:i/>
              </w:rPr>
              <w:t xml:space="preserve"> </w:t>
            </w:r>
            <w:r w:rsidRPr="00773815">
              <w:rPr>
                <w:i/>
              </w:rPr>
              <w:t>Continued approval may be contingent upon verification and description of clinical benefit in confirmatory trials.</w:t>
            </w:r>
          </w:p>
        </w:tc>
      </w:tr>
      <w:tr w:rsidR="002343D4" w14:paraId="104A9CC0" w14:textId="77777777" w:rsidTr="006041DD">
        <w:tc>
          <w:tcPr>
            <w:tcW w:w="2318" w:type="dxa"/>
          </w:tcPr>
          <w:p w14:paraId="28884C06" w14:textId="77777777" w:rsidR="002343D4" w:rsidRPr="006041DD" w:rsidRDefault="002343D4" w:rsidP="00493AFB">
            <w:r w:rsidRPr="006041DD">
              <w:lastRenderedPageBreak/>
              <w:t>Canada</w:t>
            </w:r>
          </w:p>
          <w:p w14:paraId="0FD9397B" w14:textId="77777777" w:rsidR="002343D4" w:rsidRPr="006041DD" w:rsidRDefault="002343D4" w:rsidP="00493AFB">
            <w:r w:rsidRPr="006041DD">
              <w:t>Conditional</w:t>
            </w:r>
          </w:p>
        </w:tc>
        <w:tc>
          <w:tcPr>
            <w:tcW w:w="1476" w:type="dxa"/>
          </w:tcPr>
          <w:p w14:paraId="1B7ED91C" w14:textId="77777777" w:rsidR="002343D4" w:rsidRPr="006041DD" w:rsidRDefault="002343D4" w:rsidP="00493AFB">
            <w:r w:rsidRPr="006041DD">
              <w:t>Approved 27 Mar</w:t>
            </w:r>
            <w:r w:rsidR="006041DD">
              <w:t>ch</w:t>
            </w:r>
            <w:r w:rsidRPr="006041DD">
              <w:t xml:space="preserve"> 2015 </w:t>
            </w:r>
          </w:p>
        </w:tc>
        <w:tc>
          <w:tcPr>
            <w:tcW w:w="4926" w:type="dxa"/>
          </w:tcPr>
          <w:p w14:paraId="6C5BCE34" w14:textId="77777777" w:rsidR="00773815" w:rsidRDefault="002343D4" w:rsidP="00493AFB">
            <w:r w:rsidRPr="00773815">
              <w:rPr>
                <w:i/>
              </w:rPr>
              <w:t>ZYKADIA is indicated as monotherapy for use in patients with ALK-positive locally advanced (not amenable to curative therapy) or metastatic NSCLC who have progressed on or who were intolerant to crizotinib</w:t>
            </w:r>
            <w:r w:rsidRPr="006041DD">
              <w:t>.</w:t>
            </w:r>
          </w:p>
          <w:p w14:paraId="1902823A" w14:textId="77777777" w:rsidR="002343D4" w:rsidRPr="006041DD" w:rsidRDefault="002343D4" w:rsidP="00493AFB">
            <w:r w:rsidRPr="006041DD">
              <w:t>This approval was issued with conditions, pending the results of studies to verify its clinical benefit.</w:t>
            </w:r>
          </w:p>
        </w:tc>
      </w:tr>
    </w:tbl>
    <w:p w14:paraId="196C35A3" w14:textId="4B2DD449" w:rsidR="002343D4" w:rsidRPr="00773815" w:rsidRDefault="002343D4" w:rsidP="00773815">
      <w:r w:rsidRPr="00773815">
        <w:t xml:space="preserve">The </w:t>
      </w:r>
      <w:r w:rsidR="00773815">
        <w:t xml:space="preserve">TGA </w:t>
      </w:r>
      <w:r w:rsidRPr="00773815">
        <w:t xml:space="preserve">Delegate notes the later lodgement of the submission with the TGA compared with other agencies. As the reports and product monographs </w:t>
      </w:r>
      <w:r w:rsidR="00773815">
        <w:t>and so on</w:t>
      </w:r>
      <w:r w:rsidRPr="00773815">
        <w:t xml:space="preserve"> are available from other agencies, these have been used as references by the Delegate. The clarity with which the early dataset and evidence base for the decisions made in the FDA, </w:t>
      </w:r>
      <w:r w:rsidR="00773815">
        <w:t>EU</w:t>
      </w:r>
      <w:r w:rsidRPr="00773815">
        <w:t xml:space="preserve"> and by H</w:t>
      </w:r>
      <w:r w:rsidR="00773815">
        <w:t xml:space="preserve">ealth Canada </w:t>
      </w:r>
      <w:r w:rsidRPr="00773815">
        <w:t xml:space="preserve">are noted as well as prominent discussion of the conditional nature of the registration. </w:t>
      </w:r>
    </w:p>
    <w:p w14:paraId="6752776B" w14:textId="77777777" w:rsidR="002343D4" w:rsidRPr="00773815" w:rsidRDefault="002343D4" w:rsidP="00773815">
      <w:r w:rsidRPr="00773815">
        <w:t>The proposed indication, dosage regimen and patient population for which this TGA approval is being sought in Australia is the same as those approved overseas.</w:t>
      </w:r>
    </w:p>
    <w:p w14:paraId="61BC2F77" w14:textId="77777777" w:rsidR="008E7846" w:rsidRDefault="008E7846" w:rsidP="00940A89">
      <w:pPr>
        <w:pStyle w:val="Heading3"/>
      </w:pPr>
      <w:bookmarkStart w:id="23" w:name="_Toc507501095"/>
      <w:r>
        <w:t>Product Information</w:t>
      </w:r>
      <w:bookmarkEnd w:id="21"/>
      <w:bookmarkEnd w:id="22"/>
      <w:bookmarkEnd w:id="23"/>
    </w:p>
    <w:p w14:paraId="0B75E224" w14:textId="3C7A7799" w:rsidR="00940A89" w:rsidRDefault="006136D7" w:rsidP="00940A89">
      <w:bookmarkStart w:id="24" w:name="_Toc247691506"/>
      <w:bookmarkStart w:id="25" w:name="_Toc314842487"/>
      <w:r w:rsidRPr="00940A89">
        <w:t xml:space="preserve">The </w:t>
      </w:r>
      <w:hyperlink r:id="rId14" w:history="1">
        <w:r w:rsidRPr="00E437C3">
          <w:rPr>
            <w:rStyle w:val="Hyperlink"/>
          </w:rPr>
          <w:t>Product Information (PI)</w:t>
        </w:r>
      </w:hyperlink>
      <w:r w:rsidRPr="00940A89">
        <w:t xml:space="preserve">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r w:rsidR="00441C3F" w:rsidRPr="00E437C3">
        <w:t>https://www.tga.gov.au/product-information-pi</w:t>
      </w:r>
      <w:r w:rsidR="00441C3F">
        <w:t>&gt;</w:t>
      </w:r>
      <w:r w:rsidR="00940A89" w:rsidRPr="00940A89">
        <w:t>.</w:t>
      </w:r>
    </w:p>
    <w:p w14:paraId="7A2E97A7" w14:textId="3AF17D51" w:rsidR="002B0DA6" w:rsidRDefault="002B0DA6" w:rsidP="002A6578">
      <w:pPr>
        <w:pStyle w:val="Heading2"/>
      </w:pPr>
      <w:bookmarkStart w:id="26" w:name="_Toc507501096"/>
      <w:r>
        <w:t>II</w:t>
      </w:r>
      <w:r w:rsidR="00845887">
        <w:t>.</w:t>
      </w:r>
      <w:r>
        <w:t xml:space="preserve"> Registration timeline</w:t>
      </w:r>
      <w:bookmarkEnd w:id="26"/>
    </w:p>
    <w:p w14:paraId="687CE89D" w14:textId="6E6EF1DE" w:rsidR="002B0DA6" w:rsidRDefault="002B0DA6" w:rsidP="002A6578">
      <w:pPr>
        <w:pStyle w:val="Tabletitle0"/>
      </w:pPr>
      <w:r>
        <w:t>Table 2: Registration timeline for Submission PM-2015-00418-1-4</w:t>
      </w:r>
    </w:p>
    <w:tbl>
      <w:tblPr>
        <w:tblStyle w:val="TableTGAblue"/>
        <w:tblW w:w="0" w:type="auto"/>
        <w:tblLook w:val="04A0" w:firstRow="1" w:lastRow="0" w:firstColumn="1" w:lastColumn="0" w:noHBand="0" w:noVBand="1"/>
        <w:tblDescription w:val="Table 2: Registration timeline for Submission PM-2015-00418-1-4"/>
      </w:tblPr>
      <w:tblGrid>
        <w:gridCol w:w="6204"/>
        <w:gridCol w:w="2516"/>
      </w:tblGrid>
      <w:tr w:rsidR="002B0DA6" w:rsidRPr="00C633D6" w14:paraId="26FB7919" w14:textId="77777777" w:rsidTr="007B67F6">
        <w:trPr>
          <w:cnfStyle w:val="100000000000" w:firstRow="1" w:lastRow="0" w:firstColumn="0" w:lastColumn="0" w:oddVBand="0" w:evenVBand="0" w:oddHBand="0" w:evenHBand="0" w:firstRowFirstColumn="0" w:firstRowLastColumn="0" w:lastRowFirstColumn="0" w:lastRowLastColumn="0"/>
        </w:trPr>
        <w:tc>
          <w:tcPr>
            <w:tcW w:w="6204" w:type="dxa"/>
          </w:tcPr>
          <w:p w14:paraId="1AF4AE1F" w14:textId="77777777" w:rsidR="002B0DA6" w:rsidRPr="002A6578" w:rsidRDefault="002B0DA6" w:rsidP="002A6578">
            <w:pPr>
              <w:rPr>
                <w:sz w:val="20"/>
                <w:szCs w:val="20"/>
              </w:rPr>
            </w:pPr>
            <w:r w:rsidRPr="002A6578">
              <w:rPr>
                <w:sz w:val="20"/>
                <w:szCs w:val="20"/>
              </w:rPr>
              <w:t>Description</w:t>
            </w:r>
          </w:p>
        </w:tc>
        <w:tc>
          <w:tcPr>
            <w:tcW w:w="2516" w:type="dxa"/>
          </w:tcPr>
          <w:p w14:paraId="37C8A1FF" w14:textId="77777777" w:rsidR="002B0DA6" w:rsidRPr="002A6578" w:rsidRDefault="002B0DA6" w:rsidP="002A6578">
            <w:pPr>
              <w:rPr>
                <w:sz w:val="20"/>
                <w:szCs w:val="20"/>
              </w:rPr>
            </w:pPr>
            <w:r w:rsidRPr="002A6578">
              <w:rPr>
                <w:sz w:val="20"/>
                <w:szCs w:val="20"/>
              </w:rPr>
              <w:t>Date</w:t>
            </w:r>
          </w:p>
        </w:tc>
      </w:tr>
      <w:tr w:rsidR="002B0DA6" w:rsidRPr="008D5479" w14:paraId="721717D4" w14:textId="77777777" w:rsidTr="007B67F6">
        <w:tc>
          <w:tcPr>
            <w:tcW w:w="6204" w:type="dxa"/>
          </w:tcPr>
          <w:p w14:paraId="1861762C" w14:textId="77777777" w:rsidR="002B0DA6" w:rsidRPr="002A6578" w:rsidRDefault="002B0DA6" w:rsidP="00493AFB">
            <w:r w:rsidRPr="002A6578">
              <w:t>Submission dossier accepted and 1st round evaluation commenced</w:t>
            </w:r>
          </w:p>
        </w:tc>
        <w:tc>
          <w:tcPr>
            <w:tcW w:w="2516" w:type="dxa"/>
          </w:tcPr>
          <w:p w14:paraId="6DFF3166" w14:textId="1E3E7DA2" w:rsidR="002B0DA6" w:rsidRPr="002A6578" w:rsidRDefault="007B67F6" w:rsidP="00493AFB">
            <w:pPr>
              <w:rPr>
                <w:color w:val="auto"/>
              </w:rPr>
            </w:pPr>
            <w:r w:rsidRPr="002A6578">
              <w:rPr>
                <w:color w:val="auto"/>
              </w:rPr>
              <w:t>30 April 2015</w:t>
            </w:r>
          </w:p>
        </w:tc>
      </w:tr>
      <w:tr w:rsidR="002B0DA6" w:rsidRPr="008D5479" w14:paraId="4FAFAF18" w14:textId="77777777" w:rsidTr="007B67F6">
        <w:tc>
          <w:tcPr>
            <w:tcW w:w="6204" w:type="dxa"/>
          </w:tcPr>
          <w:p w14:paraId="7AFA10EE" w14:textId="77777777" w:rsidR="002B0DA6" w:rsidRPr="002A6578" w:rsidRDefault="002B0DA6" w:rsidP="00493AFB">
            <w:r w:rsidRPr="002A6578">
              <w:t>1st round evaluation completed</w:t>
            </w:r>
          </w:p>
        </w:tc>
        <w:tc>
          <w:tcPr>
            <w:tcW w:w="2516" w:type="dxa"/>
          </w:tcPr>
          <w:p w14:paraId="66687079" w14:textId="167BDE77" w:rsidR="002B0DA6" w:rsidRPr="002A6578" w:rsidRDefault="00787DB0" w:rsidP="00493AFB">
            <w:pPr>
              <w:rPr>
                <w:color w:val="auto"/>
              </w:rPr>
            </w:pPr>
            <w:r w:rsidRPr="002A6578">
              <w:rPr>
                <w:color w:val="auto"/>
              </w:rPr>
              <w:t>8 October 2015</w:t>
            </w:r>
          </w:p>
        </w:tc>
      </w:tr>
      <w:tr w:rsidR="002B0DA6" w:rsidRPr="00F0799B" w14:paraId="5D14BF81" w14:textId="77777777" w:rsidTr="007B67F6">
        <w:tc>
          <w:tcPr>
            <w:tcW w:w="6204" w:type="dxa"/>
          </w:tcPr>
          <w:p w14:paraId="21DCFD18" w14:textId="77777777" w:rsidR="002B0DA6" w:rsidRPr="002A6578" w:rsidRDefault="002B0DA6" w:rsidP="00493AFB">
            <w:r w:rsidRPr="002A6578">
              <w:t>Sponsor provides responses on questions raised in 1st round evaluation</w:t>
            </w:r>
          </w:p>
        </w:tc>
        <w:tc>
          <w:tcPr>
            <w:tcW w:w="2516" w:type="dxa"/>
          </w:tcPr>
          <w:p w14:paraId="35E63F3C" w14:textId="5B520536" w:rsidR="002B0DA6" w:rsidRPr="002A6578" w:rsidRDefault="00787DB0" w:rsidP="00493AFB">
            <w:pPr>
              <w:rPr>
                <w:color w:val="auto"/>
              </w:rPr>
            </w:pPr>
            <w:r w:rsidRPr="002A6578">
              <w:rPr>
                <w:color w:val="auto"/>
              </w:rPr>
              <w:t>18 December 2015</w:t>
            </w:r>
          </w:p>
        </w:tc>
      </w:tr>
      <w:tr w:rsidR="002B0DA6" w:rsidRPr="00F0799B" w14:paraId="281D95F7" w14:textId="77777777" w:rsidTr="007B67F6">
        <w:tc>
          <w:tcPr>
            <w:tcW w:w="6204" w:type="dxa"/>
          </w:tcPr>
          <w:p w14:paraId="0003A87C" w14:textId="77777777" w:rsidR="002B0DA6" w:rsidRPr="002A6578" w:rsidRDefault="002B0DA6" w:rsidP="00493AFB">
            <w:r w:rsidRPr="002A6578">
              <w:lastRenderedPageBreak/>
              <w:t>2nd round evaluation completed</w:t>
            </w:r>
          </w:p>
        </w:tc>
        <w:tc>
          <w:tcPr>
            <w:tcW w:w="2516" w:type="dxa"/>
          </w:tcPr>
          <w:p w14:paraId="276350C0" w14:textId="1A4AD030" w:rsidR="002B0DA6" w:rsidRPr="002A6578" w:rsidRDefault="007B67F6" w:rsidP="00493AFB">
            <w:pPr>
              <w:rPr>
                <w:color w:val="auto"/>
              </w:rPr>
            </w:pPr>
            <w:r w:rsidRPr="002A6578">
              <w:rPr>
                <w:color w:val="auto"/>
              </w:rPr>
              <w:t>15 February 2016</w:t>
            </w:r>
          </w:p>
        </w:tc>
      </w:tr>
      <w:tr w:rsidR="002B0DA6" w:rsidRPr="00F0799B" w14:paraId="2F30CD08" w14:textId="77777777" w:rsidTr="007B67F6">
        <w:tc>
          <w:tcPr>
            <w:tcW w:w="6204" w:type="dxa"/>
          </w:tcPr>
          <w:p w14:paraId="120EFF96" w14:textId="0959CA77" w:rsidR="002B0DA6" w:rsidRPr="002A6578" w:rsidRDefault="004260ED" w:rsidP="00493AFB">
            <w:r>
              <w:t>R</w:t>
            </w:r>
            <w:r w:rsidR="002B0DA6" w:rsidRPr="002A6578">
              <w:t>equest for Advisory Committee advice</w:t>
            </w:r>
            <w:r>
              <w:t xml:space="preserve"> and/or Delegate’s Overview</w:t>
            </w:r>
          </w:p>
        </w:tc>
        <w:tc>
          <w:tcPr>
            <w:tcW w:w="2516" w:type="dxa"/>
          </w:tcPr>
          <w:p w14:paraId="646FC6F7" w14:textId="5A3F8788" w:rsidR="002B0DA6" w:rsidRPr="002A6578" w:rsidRDefault="00787DB0" w:rsidP="00493AFB">
            <w:pPr>
              <w:rPr>
                <w:color w:val="auto"/>
              </w:rPr>
            </w:pPr>
            <w:r w:rsidRPr="002A6578">
              <w:rPr>
                <w:color w:val="auto"/>
              </w:rPr>
              <w:t>1 March 2016</w:t>
            </w:r>
          </w:p>
        </w:tc>
      </w:tr>
      <w:tr w:rsidR="002B0DA6" w:rsidRPr="00F0799B" w14:paraId="39F4966D" w14:textId="77777777" w:rsidTr="007B67F6">
        <w:tc>
          <w:tcPr>
            <w:tcW w:w="6204" w:type="dxa"/>
          </w:tcPr>
          <w:p w14:paraId="7E367F39" w14:textId="6021A650" w:rsidR="002B0DA6" w:rsidRPr="002A6578" w:rsidRDefault="002B0DA6" w:rsidP="00493AFB">
            <w:r w:rsidRPr="002A6578">
              <w:t>Sponsor’s response</w:t>
            </w:r>
            <w:r w:rsidR="004260ED">
              <w:t xml:space="preserve"> to Delegate’s Overview</w:t>
            </w:r>
          </w:p>
        </w:tc>
        <w:tc>
          <w:tcPr>
            <w:tcW w:w="2516" w:type="dxa"/>
          </w:tcPr>
          <w:p w14:paraId="0BBBAD50" w14:textId="6D784B66" w:rsidR="002B0DA6" w:rsidRPr="002A6578" w:rsidRDefault="00845887" w:rsidP="00493AFB">
            <w:pPr>
              <w:rPr>
                <w:color w:val="auto"/>
              </w:rPr>
            </w:pPr>
            <w:r>
              <w:rPr>
                <w:color w:val="auto"/>
              </w:rPr>
              <w:t>7 March 2016</w:t>
            </w:r>
          </w:p>
        </w:tc>
      </w:tr>
      <w:tr w:rsidR="002B0DA6" w:rsidRPr="00F0799B" w14:paraId="0F6B9E40" w14:textId="77777777" w:rsidTr="007B67F6">
        <w:trPr>
          <w:trHeight w:val="618"/>
        </w:trPr>
        <w:tc>
          <w:tcPr>
            <w:tcW w:w="6204" w:type="dxa"/>
          </w:tcPr>
          <w:p w14:paraId="773BAE8F" w14:textId="77777777" w:rsidR="002B0DA6" w:rsidRPr="002A6578" w:rsidRDefault="002B0DA6" w:rsidP="00493AFB">
            <w:r w:rsidRPr="002A6578">
              <w:t>Advisory Committee meeting</w:t>
            </w:r>
          </w:p>
        </w:tc>
        <w:tc>
          <w:tcPr>
            <w:tcW w:w="2516" w:type="dxa"/>
          </w:tcPr>
          <w:p w14:paraId="47A4916B" w14:textId="72672D61" w:rsidR="002B0DA6" w:rsidRPr="002A6578" w:rsidRDefault="002A6578" w:rsidP="00493AFB">
            <w:pPr>
              <w:rPr>
                <w:color w:val="auto"/>
              </w:rPr>
            </w:pPr>
            <w:r w:rsidRPr="002A6578">
              <w:rPr>
                <w:color w:val="auto"/>
              </w:rPr>
              <w:t>Not applicable</w:t>
            </w:r>
          </w:p>
        </w:tc>
      </w:tr>
      <w:tr w:rsidR="007B67F6" w:rsidRPr="00F0799B" w14:paraId="2664017E" w14:textId="77777777" w:rsidTr="007B67F6">
        <w:tc>
          <w:tcPr>
            <w:tcW w:w="6204" w:type="dxa"/>
          </w:tcPr>
          <w:p w14:paraId="2EA2B1B4" w14:textId="77777777" w:rsidR="007B67F6" w:rsidRPr="002A6578" w:rsidRDefault="007B67F6" w:rsidP="00493AFB">
            <w:r w:rsidRPr="002A6578">
              <w:t>Registration decision</w:t>
            </w:r>
          </w:p>
        </w:tc>
        <w:tc>
          <w:tcPr>
            <w:tcW w:w="2516" w:type="dxa"/>
          </w:tcPr>
          <w:p w14:paraId="3287FF90" w14:textId="30017763" w:rsidR="007B67F6" w:rsidRPr="002A6578" w:rsidRDefault="007B67F6" w:rsidP="00493AFB">
            <w:pPr>
              <w:rPr>
                <w:color w:val="auto"/>
              </w:rPr>
            </w:pPr>
            <w:r w:rsidRPr="002A6578">
              <w:t>29 March 2016</w:t>
            </w:r>
          </w:p>
        </w:tc>
      </w:tr>
      <w:tr w:rsidR="007B67F6" w:rsidRPr="00F0799B" w14:paraId="095F8EFD" w14:textId="77777777" w:rsidTr="007B67F6">
        <w:tc>
          <w:tcPr>
            <w:tcW w:w="6204" w:type="dxa"/>
          </w:tcPr>
          <w:p w14:paraId="659A11DE" w14:textId="77777777" w:rsidR="007B67F6" w:rsidRPr="002A6578" w:rsidRDefault="007B67F6" w:rsidP="00493AFB">
            <w:r w:rsidRPr="002A6578">
              <w:t>Entry onto ARTG</w:t>
            </w:r>
          </w:p>
        </w:tc>
        <w:tc>
          <w:tcPr>
            <w:tcW w:w="2516" w:type="dxa"/>
          </w:tcPr>
          <w:p w14:paraId="62AC5C58" w14:textId="434DE45C" w:rsidR="007B67F6" w:rsidRPr="002A6578" w:rsidRDefault="007B67F6" w:rsidP="00493AFB">
            <w:pPr>
              <w:rPr>
                <w:color w:val="auto"/>
              </w:rPr>
            </w:pPr>
            <w:r w:rsidRPr="002A6578">
              <w:t>31 March 2016</w:t>
            </w:r>
          </w:p>
        </w:tc>
      </w:tr>
      <w:tr w:rsidR="007B67F6" w:rsidRPr="008D5479" w14:paraId="3ADA84C6" w14:textId="77777777" w:rsidTr="007B67F6">
        <w:tc>
          <w:tcPr>
            <w:tcW w:w="6204" w:type="dxa"/>
          </w:tcPr>
          <w:p w14:paraId="31FD2C6B" w14:textId="281EDBDC" w:rsidR="007B67F6" w:rsidRPr="002A6578" w:rsidRDefault="007B67F6" w:rsidP="00493AFB">
            <w:r w:rsidRPr="002A6578">
              <w:t xml:space="preserve">Number of TGA working days from </w:t>
            </w:r>
            <w:r w:rsidR="004260ED">
              <w:t xml:space="preserve">commencement of evaluation </w:t>
            </w:r>
            <w:r w:rsidRPr="002A6578">
              <w:t xml:space="preserve"> to registration decision *</w:t>
            </w:r>
          </w:p>
        </w:tc>
        <w:tc>
          <w:tcPr>
            <w:tcW w:w="2516" w:type="dxa"/>
          </w:tcPr>
          <w:p w14:paraId="589DDAAA" w14:textId="5943C914" w:rsidR="007B67F6" w:rsidRPr="002A6578" w:rsidRDefault="00217896" w:rsidP="00493AFB">
            <w:pPr>
              <w:rPr>
                <w:color w:val="auto"/>
              </w:rPr>
            </w:pPr>
            <w:r w:rsidRPr="002A6578">
              <w:rPr>
                <w:color w:val="auto"/>
              </w:rPr>
              <w:t>228</w:t>
            </w:r>
          </w:p>
        </w:tc>
      </w:tr>
    </w:tbl>
    <w:p w14:paraId="6C2471AD" w14:textId="42E55705" w:rsidR="002B0DA6" w:rsidRPr="008D5479" w:rsidRDefault="002B0DA6" w:rsidP="002A6578">
      <w:pPr>
        <w:pStyle w:val="TableDescription"/>
        <w:keepNext/>
      </w:pPr>
      <w:r>
        <w:t>* Target timeframe for standard applications: 220 working days</w:t>
      </w:r>
      <w:r w:rsidR="004260ED">
        <w:t>. Statutory timeframe: 255 working days.</w:t>
      </w:r>
    </w:p>
    <w:p w14:paraId="447146DC" w14:textId="5E5F1FAD" w:rsidR="008E7846" w:rsidRPr="003602A9" w:rsidRDefault="008E7846" w:rsidP="008E7846">
      <w:pPr>
        <w:pStyle w:val="Heading2"/>
        <w:ind w:left="-11"/>
      </w:pPr>
      <w:bookmarkStart w:id="27" w:name="_Toc507501097"/>
      <w:r>
        <w:t>II</w:t>
      </w:r>
      <w:r w:rsidR="002B0DA6">
        <w:t>I</w:t>
      </w:r>
      <w:r>
        <w:t>. Quality findings</w:t>
      </w:r>
      <w:bookmarkEnd w:id="24"/>
      <w:bookmarkEnd w:id="25"/>
      <w:bookmarkEnd w:id="27"/>
    </w:p>
    <w:p w14:paraId="48B84036" w14:textId="77777777" w:rsidR="00940A89" w:rsidRPr="00940A89" w:rsidRDefault="00940A89" w:rsidP="00940A89">
      <w:pPr>
        <w:pStyle w:val="Heading3"/>
        <w:rPr>
          <w:rFonts w:ascii="Cambria" w:eastAsia="Cambria" w:hAnsi="Cambria"/>
          <w:b w:val="0"/>
          <w:bCs w:val="0"/>
          <w:i/>
          <w:szCs w:val="22"/>
        </w:rPr>
      </w:pPr>
      <w:bookmarkStart w:id="28" w:name="_Toc507501098"/>
      <w:bookmarkStart w:id="29" w:name="_Toc247691507"/>
      <w:bookmarkStart w:id="30" w:name="_Toc314842488"/>
      <w:r w:rsidRPr="00940A89">
        <w:t>Introduction</w:t>
      </w:r>
      <w:bookmarkEnd w:id="28"/>
    </w:p>
    <w:p w14:paraId="5F842CBC" w14:textId="77777777" w:rsidR="00F178D3" w:rsidRPr="008D5CDD" w:rsidRDefault="00773815" w:rsidP="00773815">
      <w:r>
        <w:t>The sponsor</w:t>
      </w:r>
      <w:r w:rsidR="00F178D3" w:rsidRPr="008D5CDD">
        <w:t xml:space="preserve"> has applied to register the new chemical entity ceritinib 150 mg hard capsules</w:t>
      </w:r>
      <w:r w:rsidR="00F178D3" w:rsidRPr="008D5CDD">
        <w:rPr>
          <w:iCs/>
        </w:rPr>
        <w:t xml:space="preserve"> </w:t>
      </w:r>
      <w:r w:rsidR="00F178D3" w:rsidRPr="008D5CDD">
        <w:t xml:space="preserve">in blister packs of 50 and 150 capsules. </w:t>
      </w:r>
      <w:r>
        <w:t>The chemical structure is shown in Figure 1 below.</w:t>
      </w:r>
    </w:p>
    <w:p w14:paraId="6CB50F52" w14:textId="77777777" w:rsidR="00773815" w:rsidRPr="008D5CDD" w:rsidRDefault="00773815" w:rsidP="00773815">
      <w:pPr>
        <w:pStyle w:val="FigureTitle"/>
      </w:pPr>
      <w:r>
        <w:t>Figure 1: Chemical structure</w:t>
      </w:r>
      <w:r w:rsidRPr="00773815">
        <w:t xml:space="preserve"> </w:t>
      </w:r>
      <w:r>
        <w:t xml:space="preserve">of </w:t>
      </w:r>
      <w:r w:rsidRPr="008D5CDD">
        <w:t>ceritinib</w:t>
      </w:r>
    </w:p>
    <w:p w14:paraId="7919B39F" w14:textId="77777777" w:rsidR="00F178D3" w:rsidRPr="008D5CDD" w:rsidRDefault="00773815" w:rsidP="00F178D3">
      <w:pPr>
        <w:pStyle w:val="A-Head4"/>
        <w:widowControl w:val="0"/>
        <w:spacing w:before="20" w:after="240"/>
        <w:jc w:val="both"/>
        <w:rPr>
          <w:rFonts w:ascii="Times New Roman" w:hAnsi="Times New Roman"/>
          <w:b w:val="0"/>
          <w:sz w:val="24"/>
          <w:szCs w:val="24"/>
        </w:rPr>
      </w:pPr>
      <w:r>
        <w:rPr>
          <w:noProof/>
          <w:lang w:eastAsia="en-AU"/>
        </w:rPr>
        <w:drawing>
          <wp:inline distT="0" distB="0" distL="0" distR="0" wp14:anchorId="2B667991" wp14:editId="15526733">
            <wp:extent cx="2927445" cy="1503874"/>
            <wp:effectExtent l="0" t="0" r="6350" b="1270"/>
            <wp:docPr id="25" name="Picture 25" descr="Figure 1: Chemical structure of ceritin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2926029" cy="1503147"/>
                    </a:xfrm>
                    <a:prstGeom prst="rect">
                      <a:avLst/>
                    </a:prstGeom>
                  </pic:spPr>
                </pic:pic>
              </a:graphicData>
            </a:graphic>
          </wp:inline>
        </w:drawing>
      </w:r>
    </w:p>
    <w:p w14:paraId="6A0CDE42" w14:textId="77777777" w:rsidR="00F178D3" w:rsidRPr="008D5CDD" w:rsidRDefault="00F178D3" w:rsidP="00773815">
      <w:r w:rsidRPr="008D5CDD">
        <w:t>Ceritinib is an achiral, synthetic drug soluble in acid, but much less soluble at higher pH</w:t>
      </w:r>
      <w:r w:rsidR="00773815">
        <w:t>.</w:t>
      </w:r>
    </w:p>
    <w:p w14:paraId="0AB781CA" w14:textId="77777777" w:rsidR="00003B07" w:rsidRDefault="00F178D3" w:rsidP="00773815">
      <w:r w:rsidRPr="008D5CDD">
        <w:t>The proposed drug product is a white opaque hard capsule with a blue cap. The opaque blue cap is marked with black ink</w:t>
      </w:r>
      <w:r w:rsidR="006D4A8C">
        <w:t xml:space="preserve"> ‘</w:t>
      </w:r>
      <w:r w:rsidRPr="008D5CDD">
        <w:t>LDK 15</w:t>
      </w:r>
      <w:r w:rsidR="00326B43">
        <w:t>0 mg</w:t>
      </w:r>
      <w:r w:rsidR="006D4A8C">
        <w:t>’</w:t>
      </w:r>
      <w:r w:rsidRPr="008D5CDD">
        <w:t xml:space="preserve"> and the opaque white</w:t>
      </w:r>
      <w:r w:rsidR="006D4A8C">
        <w:t xml:space="preserve"> body is marked with black ink ‘</w:t>
      </w:r>
      <w:r w:rsidRPr="008D5CDD">
        <w:t>NVR</w:t>
      </w:r>
      <w:r w:rsidR="006D4A8C">
        <w:t>’</w:t>
      </w:r>
      <w:r w:rsidRPr="008D5CDD">
        <w:t xml:space="preserve">. The capsule contains a white to almost white powder. Ceritinib capsules are formulated with standard excipients (microcrystalline cellulose, hydroxypropyl cellulose, sodium starch glycolate type A, magnesium stearate, and silica colloidal anhydrous) in a gelatin capsule shell. </w:t>
      </w:r>
    </w:p>
    <w:p w14:paraId="3CFAE6DE" w14:textId="77777777" w:rsidR="00F178D3" w:rsidRPr="008D5CDD" w:rsidRDefault="00003B07" w:rsidP="00773815">
      <w:r w:rsidRPr="00003B07">
        <w:t xml:space="preserve">Ceritinib is classified as </w:t>
      </w:r>
      <w:r w:rsidR="00AD4570" w:rsidRPr="00AD4570">
        <w:t xml:space="preserve">Biopharmaceutics Classiﬁcation. System (BCS) </w:t>
      </w:r>
      <w:r w:rsidRPr="00003B07">
        <w:t>Class IV (low solubility/low permeability).</w:t>
      </w:r>
      <w:r w:rsidR="00AD4570">
        <w:rPr>
          <w:rStyle w:val="FootnoteReference"/>
        </w:rPr>
        <w:footnoteReference w:id="9"/>
      </w:r>
    </w:p>
    <w:p w14:paraId="0077AD3E" w14:textId="77777777" w:rsidR="006D4A8C" w:rsidRPr="00003B07" w:rsidRDefault="00AD4570" w:rsidP="00AD4570">
      <w:r>
        <w:lastRenderedPageBreak/>
        <w:t>A Food-effect study (#LDK378A2101)</w:t>
      </w:r>
      <w:r w:rsidR="00003B07" w:rsidRPr="00003B07">
        <w:t xml:space="preserve"> was conducted in 28 healthy subjects. </w:t>
      </w:r>
      <w:r w:rsidR="00F178D3" w:rsidRPr="00003B07">
        <w:t>The recommended dose of ceritinib is 750 mg (as 5 x 150 mg capsules) taken orally once daily at the same time each day. The dose shoul</w:t>
      </w:r>
      <w:r>
        <w:t>d be taken on an empty stomach.</w:t>
      </w:r>
    </w:p>
    <w:p w14:paraId="0A3DC7CB" w14:textId="77777777" w:rsidR="004F59A6" w:rsidRPr="008D5CDD" w:rsidRDefault="00003B07" w:rsidP="00003B07">
      <w:pPr>
        <w:pStyle w:val="Heading3"/>
      </w:pPr>
      <w:bookmarkStart w:id="31" w:name="_Toc507501099"/>
      <w:r>
        <w:t>Quality comments and r</w:t>
      </w:r>
      <w:r w:rsidR="004F59A6" w:rsidRPr="008D5CDD">
        <w:t>ecommendation</w:t>
      </w:r>
      <w:bookmarkEnd w:id="31"/>
    </w:p>
    <w:p w14:paraId="7F2666EC" w14:textId="77777777" w:rsidR="004F59A6" w:rsidRPr="008D5CDD" w:rsidRDefault="004F59A6" w:rsidP="004F59A6">
      <w:pPr>
        <w:spacing w:before="0"/>
        <w:rPr>
          <w:szCs w:val="24"/>
        </w:rPr>
      </w:pPr>
      <w:r w:rsidRPr="008D5CDD">
        <w:rPr>
          <w:szCs w:val="24"/>
        </w:rPr>
        <w:t xml:space="preserve">Some </w:t>
      </w:r>
      <w:r>
        <w:rPr>
          <w:szCs w:val="24"/>
        </w:rPr>
        <w:t>changes</w:t>
      </w:r>
      <w:r w:rsidRPr="008D5CDD">
        <w:rPr>
          <w:szCs w:val="24"/>
        </w:rPr>
        <w:t xml:space="preserve"> to the Provisional ARTG Records are requ</w:t>
      </w:r>
      <w:r w:rsidR="00003B07">
        <w:rPr>
          <w:szCs w:val="24"/>
        </w:rPr>
        <w:t>ired (see appended sample PAR).</w:t>
      </w:r>
    </w:p>
    <w:p w14:paraId="7F476F91" w14:textId="77777777" w:rsidR="004F59A6" w:rsidRPr="00003B07" w:rsidRDefault="004F59A6" w:rsidP="004F59A6">
      <w:pPr>
        <w:spacing w:before="0"/>
        <w:rPr>
          <w:szCs w:val="24"/>
        </w:rPr>
      </w:pPr>
      <w:r w:rsidRPr="00003B07">
        <w:rPr>
          <w:szCs w:val="24"/>
        </w:rPr>
        <w:t>Acceptability of the proposed trade name Zykadia is a deci</w:t>
      </w:r>
      <w:r w:rsidR="00003B07" w:rsidRPr="00003B07">
        <w:rPr>
          <w:szCs w:val="24"/>
        </w:rPr>
        <w:t>sion for the clinical D</w:t>
      </w:r>
      <w:r w:rsidRPr="00003B07">
        <w:rPr>
          <w:szCs w:val="24"/>
        </w:rPr>
        <w:t>elegate (</w:t>
      </w:r>
      <w:r w:rsidR="00003B07" w:rsidRPr="00003B07">
        <w:rPr>
          <w:szCs w:val="24"/>
        </w:rPr>
        <w:t>compare to</w:t>
      </w:r>
      <w:r w:rsidRPr="00003B07">
        <w:rPr>
          <w:szCs w:val="24"/>
        </w:rPr>
        <w:t xml:space="preserve"> </w:t>
      </w:r>
      <w:r w:rsidR="00003B07" w:rsidRPr="00003B07">
        <w:rPr>
          <w:szCs w:val="24"/>
        </w:rPr>
        <w:t xml:space="preserve">Zylap </w:t>
      </w:r>
      <w:r w:rsidRPr="00003B07">
        <w:rPr>
          <w:szCs w:val="24"/>
        </w:rPr>
        <w:t xml:space="preserve">olanzapine tablets Aspen Pharma Pty Ltd; </w:t>
      </w:r>
      <w:r w:rsidR="00003B07" w:rsidRPr="00003B07">
        <w:rPr>
          <w:szCs w:val="24"/>
        </w:rPr>
        <w:t xml:space="preserve">Kadian </w:t>
      </w:r>
      <w:r w:rsidRPr="00003B07">
        <w:rPr>
          <w:szCs w:val="24"/>
        </w:rPr>
        <w:t>morphine sulfate sustained release capsule Mayne Pharma are export only).</w:t>
      </w:r>
    </w:p>
    <w:p w14:paraId="7290119F" w14:textId="77777777" w:rsidR="004F59A6" w:rsidRPr="008D5CDD" w:rsidRDefault="004F59A6" w:rsidP="004F59A6">
      <w:pPr>
        <w:spacing w:before="0"/>
        <w:rPr>
          <w:szCs w:val="24"/>
        </w:rPr>
      </w:pPr>
      <w:r w:rsidRPr="00003B07">
        <w:rPr>
          <w:szCs w:val="24"/>
        </w:rPr>
        <w:t>The low solubility except in acid is</w:t>
      </w:r>
      <w:r w:rsidR="00003B07">
        <w:rPr>
          <w:szCs w:val="24"/>
        </w:rPr>
        <w:t xml:space="preserve"> drawn to the attention of the D</w:t>
      </w:r>
      <w:r w:rsidRPr="00003B07">
        <w:rPr>
          <w:szCs w:val="24"/>
        </w:rPr>
        <w:t>elegate</w:t>
      </w:r>
      <w:r w:rsidRPr="008D5CDD">
        <w:rPr>
          <w:szCs w:val="24"/>
        </w:rPr>
        <w:t xml:space="preserve"> (the potential risk of low bioavailability in achlorhydric patients or if dosed with antacids </w:t>
      </w:r>
      <w:r w:rsidR="00003B07">
        <w:rPr>
          <w:szCs w:val="24"/>
        </w:rPr>
        <w:t>and so forth</w:t>
      </w:r>
      <w:r w:rsidRPr="008D5CDD">
        <w:rPr>
          <w:szCs w:val="24"/>
        </w:rPr>
        <w:t>).</w:t>
      </w:r>
    </w:p>
    <w:p w14:paraId="1C00FC05" w14:textId="77777777" w:rsidR="004F59A6" w:rsidRPr="008D5CDD" w:rsidRDefault="004F59A6" w:rsidP="004F59A6">
      <w:pPr>
        <w:spacing w:before="0"/>
        <w:rPr>
          <w:szCs w:val="24"/>
        </w:rPr>
      </w:pPr>
      <w:r w:rsidRPr="008D5CDD">
        <w:rPr>
          <w:szCs w:val="24"/>
        </w:rPr>
        <w:t>The labels require revision.</w:t>
      </w:r>
    </w:p>
    <w:p w14:paraId="6CD11E03" w14:textId="6DB05706" w:rsidR="004F59A6" w:rsidRPr="008D5CDD" w:rsidRDefault="004F59A6" w:rsidP="004F59A6">
      <w:pPr>
        <w:spacing w:before="0"/>
        <w:rPr>
          <w:szCs w:val="24"/>
        </w:rPr>
      </w:pPr>
      <w:r w:rsidRPr="008D5CDD">
        <w:rPr>
          <w:szCs w:val="24"/>
        </w:rPr>
        <w:t>The capsule dissolution limit should be reviewed by Novartis</w:t>
      </w:r>
      <w:r>
        <w:rPr>
          <w:szCs w:val="24"/>
        </w:rPr>
        <w:t xml:space="preserve"> or a tighter limit could be made a condition of registration</w:t>
      </w:r>
      <w:r w:rsidRPr="008D5CDD">
        <w:rPr>
          <w:szCs w:val="24"/>
        </w:rPr>
        <w:t>.</w:t>
      </w:r>
      <w:r w:rsidR="00F3376E">
        <w:rPr>
          <w:rStyle w:val="FootnoteReference"/>
          <w:szCs w:val="24"/>
        </w:rPr>
        <w:footnoteReference w:id="10"/>
      </w:r>
    </w:p>
    <w:p w14:paraId="2D793CE5" w14:textId="77777777" w:rsidR="004F59A6" w:rsidRPr="008D5CDD" w:rsidRDefault="004F59A6" w:rsidP="004F59A6">
      <w:pPr>
        <w:spacing w:before="0"/>
        <w:rPr>
          <w:szCs w:val="24"/>
        </w:rPr>
      </w:pPr>
      <w:r w:rsidRPr="008D5CDD">
        <w:rPr>
          <w:szCs w:val="24"/>
        </w:rPr>
        <w:t xml:space="preserve">Otherwise registration is recommended with respect to </w:t>
      </w:r>
      <w:r w:rsidR="00003B07">
        <w:rPr>
          <w:szCs w:val="24"/>
        </w:rPr>
        <w:t>quality</w:t>
      </w:r>
      <w:r w:rsidRPr="008D5CDD">
        <w:rPr>
          <w:szCs w:val="24"/>
        </w:rPr>
        <w:t xml:space="preserve"> and bioavailability aspects.</w:t>
      </w:r>
    </w:p>
    <w:p w14:paraId="1F21F4EF" w14:textId="6B21D0A8" w:rsidR="008E7846" w:rsidRDefault="002B0DA6" w:rsidP="008E7846">
      <w:pPr>
        <w:pStyle w:val="Heading2"/>
      </w:pPr>
      <w:bookmarkStart w:id="32" w:name="_Toc196046439"/>
      <w:bookmarkStart w:id="33" w:name="_Toc247691510"/>
      <w:bookmarkStart w:id="34" w:name="_Toc314842494"/>
      <w:bookmarkStart w:id="35" w:name="_Toc507501100"/>
      <w:bookmarkEnd w:id="29"/>
      <w:bookmarkEnd w:id="30"/>
      <w:r>
        <w:t>IV</w:t>
      </w:r>
      <w:r w:rsidR="008E7846">
        <w:t>. Nonclinical</w:t>
      </w:r>
      <w:bookmarkEnd w:id="32"/>
      <w:r w:rsidR="008E7846">
        <w:t xml:space="preserve"> findings</w:t>
      </w:r>
      <w:bookmarkEnd w:id="33"/>
      <w:bookmarkEnd w:id="34"/>
      <w:bookmarkEnd w:id="35"/>
    </w:p>
    <w:p w14:paraId="74BE4332" w14:textId="77777777" w:rsidR="008E7846" w:rsidRDefault="008E7846" w:rsidP="00940A89">
      <w:pPr>
        <w:pStyle w:val="Heading3"/>
      </w:pPr>
      <w:bookmarkStart w:id="36" w:name="_Toc247691511"/>
      <w:bookmarkStart w:id="37" w:name="_Toc314842495"/>
      <w:bookmarkStart w:id="38" w:name="_Toc507501101"/>
      <w:r>
        <w:t>Introduction</w:t>
      </w:r>
      <w:bookmarkEnd w:id="36"/>
      <w:bookmarkEnd w:id="37"/>
      <w:bookmarkEnd w:id="38"/>
    </w:p>
    <w:p w14:paraId="4224D537" w14:textId="77777777" w:rsidR="004F59A6" w:rsidRPr="00EB69F1" w:rsidRDefault="004F59A6" w:rsidP="00AD4570">
      <w:pPr>
        <w:pStyle w:val="Heading4"/>
      </w:pPr>
      <w:bookmarkStart w:id="39" w:name="_Toc294861722"/>
      <w:bookmarkStart w:id="40" w:name="_Toc295290864"/>
      <w:bookmarkStart w:id="41" w:name="_Toc437617006"/>
      <w:r w:rsidRPr="00EB69F1">
        <w:t>General comments</w:t>
      </w:r>
      <w:bookmarkEnd w:id="39"/>
      <w:bookmarkEnd w:id="40"/>
      <w:bookmarkEnd w:id="41"/>
    </w:p>
    <w:p w14:paraId="1A148928" w14:textId="77777777" w:rsidR="004F59A6" w:rsidRDefault="00AD4570" w:rsidP="004F59A6">
      <w:pPr>
        <w:autoSpaceDE w:val="0"/>
        <w:autoSpaceDN w:val="0"/>
        <w:adjustRightInd w:val="0"/>
        <w:rPr>
          <w:rStyle w:val="StandardChar"/>
          <w:rFonts w:eastAsia="TimesNewRoman"/>
        </w:rPr>
      </w:pPr>
      <w:r>
        <w:rPr>
          <w:rStyle w:val="StandardChar"/>
          <w:rFonts w:eastAsia="TimesNewRoman"/>
        </w:rPr>
        <w:t>Nonclinical s</w:t>
      </w:r>
      <w:r w:rsidR="004F59A6">
        <w:rPr>
          <w:rStyle w:val="StandardChar"/>
          <w:rFonts w:eastAsia="TimesNewRoman"/>
        </w:rPr>
        <w:t xml:space="preserve">tudies submitted are compliant with the relevant </w:t>
      </w:r>
      <w:r w:rsidRPr="00AD4570">
        <w:rPr>
          <w:rStyle w:val="StandardChar"/>
          <w:rFonts w:eastAsia="TimesNewRoman"/>
        </w:rPr>
        <w:t>International Conference on Harmonisation of Technical Requirements for Registration of Pharmaceuticals for Human Use (ICH)</w:t>
      </w:r>
      <w:r w:rsidR="004F59A6">
        <w:rPr>
          <w:rStyle w:val="StandardChar"/>
          <w:rFonts w:eastAsia="TimesNewRoman"/>
        </w:rPr>
        <w:t xml:space="preserve"> S9 guideline </w:t>
      </w:r>
      <w:r w:rsidR="004F59A6" w:rsidRPr="00AD4570">
        <w:rPr>
          <w:rStyle w:val="StandardChar"/>
          <w:rFonts w:eastAsia="TimesNewRoman"/>
          <w:i/>
        </w:rPr>
        <w:t>Nonclinical Evaluation for Anti-cancer Pharmaceuticals</w:t>
      </w:r>
      <w:r w:rsidR="004F59A6">
        <w:rPr>
          <w:rStyle w:val="StandardChar"/>
          <w:rFonts w:eastAsia="TimesNewRoman"/>
        </w:rPr>
        <w:t xml:space="preserve">. Pivotal toxicity studies were conducted under </w:t>
      </w:r>
      <w:r>
        <w:rPr>
          <w:rStyle w:val="StandardChar"/>
          <w:rFonts w:eastAsia="TimesNewRoman"/>
        </w:rPr>
        <w:t>Good Laboratory Practice (</w:t>
      </w:r>
      <w:r w:rsidR="004F59A6">
        <w:rPr>
          <w:rStyle w:val="StandardChar"/>
          <w:rFonts w:eastAsia="TimesNewRoman"/>
        </w:rPr>
        <w:t>GLP</w:t>
      </w:r>
      <w:r>
        <w:rPr>
          <w:rStyle w:val="StandardChar"/>
          <w:rFonts w:eastAsia="TimesNewRoman"/>
        </w:rPr>
        <w:t>)</w:t>
      </w:r>
      <w:r w:rsidR="004F59A6">
        <w:rPr>
          <w:rStyle w:val="StandardChar"/>
          <w:rFonts w:eastAsia="TimesNewRoman"/>
        </w:rPr>
        <w:t xml:space="preserve"> conditions.</w:t>
      </w:r>
    </w:p>
    <w:p w14:paraId="20DE85C5" w14:textId="77777777" w:rsidR="008E7846" w:rsidRDefault="008E7846" w:rsidP="008E7846">
      <w:pPr>
        <w:pStyle w:val="Heading3"/>
      </w:pPr>
      <w:bookmarkStart w:id="42" w:name="_Toc247691512"/>
      <w:bookmarkStart w:id="43" w:name="_Toc314842496"/>
      <w:bookmarkStart w:id="44" w:name="_Toc507501102"/>
      <w:r w:rsidRPr="00020030">
        <w:t>Pharmacology</w:t>
      </w:r>
      <w:bookmarkEnd w:id="42"/>
      <w:bookmarkEnd w:id="43"/>
      <w:bookmarkEnd w:id="44"/>
    </w:p>
    <w:p w14:paraId="13BE9FED" w14:textId="77777777" w:rsidR="004F59A6" w:rsidRPr="00EB69F1" w:rsidRDefault="004F59A6" w:rsidP="00AD4570">
      <w:pPr>
        <w:pStyle w:val="Heading4"/>
      </w:pPr>
      <w:r w:rsidRPr="00EB69F1">
        <w:t>Primary pharmacology</w:t>
      </w:r>
    </w:p>
    <w:p w14:paraId="1309F3E8" w14:textId="77777777" w:rsidR="004F59A6" w:rsidRPr="00AD4570" w:rsidRDefault="004F59A6" w:rsidP="00AD4570">
      <w:r w:rsidRPr="00AD4570">
        <w:t>The pharmacological activity of ceritinib was investigated in recombinant human kinases and cancer cells in vitro and in animal tumour models in vivo.</w:t>
      </w:r>
    </w:p>
    <w:p w14:paraId="7FDED695" w14:textId="77777777" w:rsidR="004F59A6" w:rsidRPr="00AD4570" w:rsidRDefault="004F59A6" w:rsidP="00AD4570">
      <w:r w:rsidRPr="00AD4570">
        <w:t>In vitro studies demonstrated that ceritinib was most active against ALK among a panel of 36 recombinant human protein kinases. ALK is a receptor tyrosine kinase of the insulin receptor superfamily. The activity of ceritinib against ALK (</w:t>
      </w:r>
      <w:r w:rsidR="00AD4570">
        <w:t>50% inhibitory concentration (</w:t>
      </w:r>
      <w:r w:rsidR="00877F3E">
        <w:t>IC</w:t>
      </w:r>
      <w:r w:rsidR="00877F3E" w:rsidRPr="00877F3E">
        <w:rPr>
          <w:vertAlign w:val="subscript"/>
        </w:rPr>
        <w:t>50</w:t>
      </w:r>
      <w:r w:rsidR="00AD4570">
        <w:t xml:space="preserve">) </w:t>
      </w:r>
      <w:r w:rsidRPr="00AD4570">
        <w:t xml:space="preserve">0.15 nM) was around 50 fold higher than that against two other receptor tyrosine kinases of the insulin receptor superfamily, InsR (insulin receptor, </w:t>
      </w:r>
      <w:r w:rsidR="00877F3E">
        <w:t>IC</w:t>
      </w:r>
      <w:r w:rsidR="00877F3E" w:rsidRPr="00877F3E">
        <w:rPr>
          <w:vertAlign w:val="subscript"/>
        </w:rPr>
        <w:t>50</w:t>
      </w:r>
      <w:r w:rsidRPr="00AD4570">
        <w:t xml:space="preserve"> 7 nM) and IGF-1</w:t>
      </w:r>
      <w:r w:rsidR="00AD4570">
        <w:t xml:space="preserve"> receptor (IGF1R)</w:t>
      </w:r>
      <w:r w:rsidRPr="00AD4570">
        <w:t xml:space="preserve"> </w:t>
      </w:r>
      <w:r w:rsidR="00877F3E">
        <w:t>IC</w:t>
      </w:r>
      <w:r w:rsidR="00877F3E" w:rsidRPr="00877F3E">
        <w:rPr>
          <w:vertAlign w:val="subscript"/>
        </w:rPr>
        <w:t>50</w:t>
      </w:r>
      <w:r w:rsidRPr="00AD4570">
        <w:t xml:space="preserve"> 8 nM), and &gt;730 fold higher than other protein kinases. A parallel study with crizotinib showed that crizotinib is less active against ALK (</w:t>
      </w:r>
      <w:r w:rsidR="00877F3E">
        <w:t>IC</w:t>
      </w:r>
      <w:r w:rsidR="00877F3E" w:rsidRPr="00877F3E">
        <w:rPr>
          <w:vertAlign w:val="subscript"/>
        </w:rPr>
        <w:t>50</w:t>
      </w:r>
      <w:r w:rsidRPr="00AD4570">
        <w:t xml:space="preserve"> 3 nM) than ceritinib and crizotinib also has potent inhibitory activity against Met and cABL (</w:t>
      </w:r>
      <w:r w:rsidR="00877F3E">
        <w:t>IC</w:t>
      </w:r>
      <w:r w:rsidR="00877F3E" w:rsidRPr="00877F3E">
        <w:rPr>
          <w:vertAlign w:val="subscript"/>
        </w:rPr>
        <w:t>50</w:t>
      </w:r>
      <w:r w:rsidRPr="00AD4570">
        <w:t xml:space="preserve"> 8 and 6 nM, respectively).</w:t>
      </w:r>
      <w:r w:rsidR="000E3918">
        <w:t xml:space="preserve"> </w:t>
      </w:r>
    </w:p>
    <w:p w14:paraId="22DB0106" w14:textId="659F0579" w:rsidR="004F59A6" w:rsidRDefault="004F59A6" w:rsidP="000E3918">
      <w:r>
        <w:t xml:space="preserve">In cell proliferation studies using a variety of cancer cells, ceritinib inhibited proliferation of cancer cells transfected with fused </w:t>
      </w:r>
      <w:r w:rsidR="000E3918" w:rsidRPr="000E3918">
        <w:t>nucleophosmin</w:t>
      </w:r>
      <w:r w:rsidR="000E3918">
        <w:t xml:space="preserve"> (</w:t>
      </w:r>
      <w:r>
        <w:t>NPM</w:t>
      </w:r>
      <w:r w:rsidR="000E3918">
        <w:t>)</w:t>
      </w:r>
      <w:r>
        <w:t xml:space="preserve">-ALK or </w:t>
      </w:r>
      <w:r w:rsidR="000E3918" w:rsidRPr="000E3918">
        <w:t>echinoderm microtubule associated protein-like 4</w:t>
      </w:r>
      <w:r w:rsidR="000E3918">
        <w:t xml:space="preserve"> (</w:t>
      </w:r>
      <w:r>
        <w:t>EML4</w:t>
      </w:r>
      <w:r w:rsidR="000E3918">
        <w:t>)</w:t>
      </w:r>
      <w:r>
        <w:t>-ALK or ALK activated by fusion with TEL.</w:t>
      </w:r>
      <w:r w:rsidR="000E3918">
        <w:t xml:space="preserve"> </w:t>
      </w:r>
      <w:r>
        <w:lastRenderedPageBreak/>
        <w:t xml:space="preserve">The </w:t>
      </w:r>
      <w:r w:rsidR="00877F3E">
        <w:t>IC</w:t>
      </w:r>
      <w:r w:rsidR="00877F3E" w:rsidRPr="00877F3E">
        <w:rPr>
          <w:vertAlign w:val="subscript"/>
        </w:rPr>
        <w:t>50</w:t>
      </w:r>
      <w:r>
        <w:t xml:space="preserve"> values (20-60 nM) in the cell proliferation assays were comparable with the unbound clinical </w:t>
      </w:r>
      <w:r w:rsidR="00C51DCA">
        <w:t>peak plasma concentration (</w:t>
      </w:r>
      <w:r w:rsidR="00326B43" w:rsidRPr="004933DC">
        <w:t>C</w:t>
      </w:r>
      <w:r w:rsidR="00326B43" w:rsidRPr="00326B43">
        <w:rPr>
          <w:vertAlign w:val="subscript"/>
        </w:rPr>
        <w:t>max</w:t>
      </w:r>
      <w:r w:rsidR="00C51DCA">
        <w:t xml:space="preserve">; </w:t>
      </w:r>
      <w:r w:rsidR="001762D3">
        <w:t xml:space="preserve">approximately </w:t>
      </w:r>
      <w:r>
        <w:t xml:space="preserve">60 nM) at the proposed dose of 750 mg. </w:t>
      </w:r>
    </w:p>
    <w:p w14:paraId="46C3166D" w14:textId="77777777" w:rsidR="004F59A6" w:rsidRDefault="004F59A6" w:rsidP="000E3918">
      <w:pPr>
        <w:rPr>
          <w:rFonts w:eastAsia="TimesNewRoman"/>
        </w:rPr>
      </w:pPr>
      <w:r>
        <w:rPr>
          <w:rFonts w:eastAsia="TimesNewRoman"/>
        </w:rPr>
        <w:t>In</w:t>
      </w:r>
      <w:r w:rsidRPr="003D7673">
        <w:rPr>
          <w:rFonts w:eastAsia="TimesNewRoman"/>
        </w:rPr>
        <w:t xml:space="preserve"> </w:t>
      </w:r>
      <w:r>
        <w:rPr>
          <w:rFonts w:eastAsia="TimesNewRoman"/>
        </w:rPr>
        <w:t xml:space="preserve">human lung cancer NSCLC cell lines, ceritinib </w:t>
      </w:r>
      <w:r w:rsidRPr="003D7673">
        <w:rPr>
          <w:rFonts w:eastAsia="TimesNewRoman"/>
        </w:rPr>
        <w:t>inhibited proliferation and</w:t>
      </w:r>
      <w:r>
        <w:rPr>
          <w:rFonts w:eastAsia="TimesNewRoman"/>
        </w:rPr>
        <w:t xml:space="preserve"> </w:t>
      </w:r>
      <w:r w:rsidRPr="003D7673">
        <w:rPr>
          <w:rFonts w:eastAsia="TimesNewRoman"/>
        </w:rPr>
        <w:t xml:space="preserve">growth </w:t>
      </w:r>
      <w:r>
        <w:rPr>
          <w:rFonts w:eastAsia="TimesNewRoman"/>
        </w:rPr>
        <w:t xml:space="preserve">of NCI-H2228, which carries the EML4-ALK gene fusion but had no </w:t>
      </w:r>
      <w:r w:rsidRPr="003D7673">
        <w:rPr>
          <w:rFonts w:eastAsia="TimesNewRoman"/>
        </w:rPr>
        <w:t>significant</w:t>
      </w:r>
      <w:r>
        <w:rPr>
          <w:rFonts w:eastAsia="TimesNewRoman"/>
        </w:rPr>
        <w:t xml:space="preserve"> activity against </w:t>
      </w:r>
      <w:r w:rsidRPr="003D7673">
        <w:rPr>
          <w:rFonts w:eastAsia="TimesNewRoman"/>
        </w:rPr>
        <w:t>94</w:t>
      </w:r>
      <w:r>
        <w:rPr>
          <w:rFonts w:eastAsia="TimesNewRoman"/>
        </w:rPr>
        <w:t xml:space="preserve"> </w:t>
      </w:r>
      <w:r w:rsidRPr="003D7673">
        <w:rPr>
          <w:rFonts w:eastAsia="TimesNewRoman"/>
        </w:rPr>
        <w:t>other NSCLC cell lines that do not harbor ALK translocations</w:t>
      </w:r>
      <w:r>
        <w:rPr>
          <w:rFonts w:eastAsia="TimesNewRoman"/>
        </w:rPr>
        <w:t xml:space="preserve"> although the cell lines expressed ALK protein</w:t>
      </w:r>
      <w:r w:rsidRPr="003D7673">
        <w:rPr>
          <w:rFonts w:eastAsia="TimesNewRoman"/>
        </w:rPr>
        <w:t>.</w:t>
      </w:r>
      <w:r>
        <w:rPr>
          <w:rFonts w:eastAsia="TimesNewRoman"/>
        </w:rPr>
        <w:t xml:space="preserve"> Ceritinib also had anti-proliferative activity </w:t>
      </w:r>
      <w:r w:rsidRPr="003D7673">
        <w:rPr>
          <w:rFonts w:eastAsia="TimesNewRoman"/>
        </w:rPr>
        <w:t>in a</w:t>
      </w:r>
      <w:r>
        <w:rPr>
          <w:rFonts w:eastAsia="TimesNewRoman"/>
        </w:rPr>
        <w:t xml:space="preserve"> </w:t>
      </w:r>
      <w:r w:rsidRPr="003D7673">
        <w:rPr>
          <w:rFonts w:eastAsia="TimesNewRoman"/>
        </w:rPr>
        <w:t xml:space="preserve">neuroblastoma cell line </w:t>
      </w:r>
      <w:r>
        <w:rPr>
          <w:rFonts w:eastAsia="TimesNewRoman"/>
        </w:rPr>
        <w:t xml:space="preserve">(NB-1-luc-Blast) </w:t>
      </w:r>
      <w:r w:rsidRPr="003D7673">
        <w:rPr>
          <w:rFonts w:eastAsia="TimesNewRoman"/>
        </w:rPr>
        <w:t>with ALK gene amplification</w:t>
      </w:r>
      <w:r>
        <w:rPr>
          <w:rFonts w:eastAsia="TimesNewRoman"/>
        </w:rPr>
        <w:t xml:space="preserve"> (</w:t>
      </w:r>
      <w:r w:rsidR="00877F3E">
        <w:t>IC</w:t>
      </w:r>
      <w:r w:rsidR="00877F3E" w:rsidRPr="00877F3E">
        <w:rPr>
          <w:vertAlign w:val="subscript"/>
        </w:rPr>
        <w:t>50</w:t>
      </w:r>
      <w:r>
        <w:rPr>
          <w:rFonts w:eastAsia="TimesNewRoman"/>
        </w:rPr>
        <w:t xml:space="preserve"> 24 nM), and the antiproliferative activity correlated with inhibition of ALK phosphorylation and the downstream signalling protein STAT3 (</w:t>
      </w:r>
      <w:r w:rsidR="00877F3E">
        <w:t>IC</w:t>
      </w:r>
      <w:r w:rsidR="00877F3E" w:rsidRPr="00877F3E">
        <w:rPr>
          <w:vertAlign w:val="subscript"/>
        </w:rPr>
        <w:t>50</w:t>
      </w:r>
      <w:r>
        <w:rPr>
          <w:rFonts w:eastAsia="TimesNewRoman"/>
        </w:rPr>
        <w:t xml:space="preserve"> 46 and 150 nM, respectively). </w:t>
      </w:r>
    </w:p>
    <w:p w14:paraId="454025DE" w14:textId="77777777" w:rsidR="004F59A6" w:rsidRDefault="004F59A6" w:rsidP="000E3918">
      <w:pPr>
        <w:rPr>
          <w:rFonts w:eastAsia="TimesNewRoman"/>
        </w:rPr>
      </w:pPr>
      <w:r w:rsidRPr="00C51DCA">
        <w:t>In vivo studies showed that ceritinib administra</w:t>
      </w:r>
      <w:r w:rsidR="00C51DCA">
        <w:t xml:space="preserve">tion in mice resulted in a dose </w:t>
      </w:r>
      <w:r w:rsidRPr="00C51DCA">
        <w:t>dependent inhibitio</w:t>
      </w:r>
      <w:r>
        <w:t>n of H2228 and Karapas299 (expressing EML4-ALK and NPM-ALK, respectively) xenograft growth in SCID mice</w:t>
      </w:r>
      <w:r w:rsidR="00C51DCA">
        <w:rPr>
          <w:rStyle w:val="FootnoteReference"/>
        </w:rPr>
        <w:footnoteReference w:id="11"/>
      </w:r>
      <w:r>
        <w:t xml:space="preserve"> as well as nude rats, with </w:t>
      </w:r>
      <w:r w:rsidRPr="00AD1E17">
        <w:rPr>
          <w:rFonts w:eastAsia="TimesNewRoman"/>
        </w:rPr>
        <w:t>complete or nearly complete tumour regression at well tolerated oral dos</w:t>
      </w:r>
      <w:r>
        <w:rPr>
          <w:rFonts w:eastAsia="TimesNewRoman"/>
        </w:rPr>
        <w:t xml:space="preserve">es of 25-100 mg/kg/day in mice and rats. </w:t>
      </w:r>
      <w:r>
        <w:t xml:space="preserve">In these studies, tumour regression was observed at clinically relevant concentrations. In the tumour models, </w:t>
      </w:r>
      <w:r w:rsidRPr="00AD1E17">
        <w:rPr>
          <w:rFonts w:eastAsia="TimesNewRoman"/>
        </w:rPr>
        <w:t xml:space="preserve">ceritinib </w:t>
      </w:r>
      <w:r>
        <w:rPr>
          <w:rFonts w:eastAsia="TimesNewRoman"/>
        </w:rPr>
        <w:t xml:space="preserve">also </w:t>
      </w:r>
      <w:r w:rsidRPr="00AD1E17">
        <w:rPr>
          <w:rFonts w:eastAsia="TimesNewRoman"/>
        </w:rPr>
        <w:t>exhibited dose</w:t>
      </w:r>
      <w:r w:rsidR="00C51DCA">
        <w:rPr>
          <w:rFonts w:eastAsia="TimesNewRoman"/>
        </w:rPr>
        <w:t xml:space="preserve"> </w:t>
      </w:r>
      <w:r w:rsidRPr="00AD1E17">
        <w:rPr>
          <w:rFonts w:eastAsia="TimesNewRoman"/>
        </w:rPr>
        <w:t>and concentration</w:t>
      </w:r>
      <w:r w:rsidR="00C51DCA">
        <w:rPr>
          <w:rFonts w:eastAsia="TimesNewRoman"/>
        </w:rPr>
        <w:t xml:space="preserve"> </w:t>
      </w:r>
      <w:r w:rsidRPr="00AD1E17">
        <w:rPr>
          <w:rFonts w:eastAsia="TimesNewRoman"/>
        </w:rPr>
        <w:t>dependent inhibit</w:t>
      </w:r>
      <w:r>
        <w:rPr>
          <w:rFonts w:eastAsia="TimesNewRoman"/>
        </w:rPr>
        <w:t xml:space="preserve">ion of </w:t>
      </w:r>
      <w:r w:rsidRPr="00AD1E17">
        <w:rPr>
          <w:rFonts w:eastAsia="TimesNewRoman"/>
        </w:rPr>
        <w:t>the ALK signalling pathway.</w:t>
      </w:r>
      <w:r>
        <w:rPr>
          <w:rFonts w:eastAsia="TimesNewRoman"/>
        </w:rPr>
        <w:t xml:space="preserve"> Phosphorylation of STAT3 in tumour tissues was dose-dependently inhibited by ceritinib in the mouse Karapas299 xenograft model. Ceritinib doses (</w:t>
      </w:r>
      <w:r w:rsidR="00C51DCA">
        <w:rPr>
          <w:rFonts w:eastAsia="TimesNewRoman"/>
        </w:rPr>
        <w:t>≥</w:t>
      </w:r>
      <w:r>
        <w:rPr>
          <w:rFonts w:eastAsia="TimesNewRoman"/>
        </w:rPr>
        <w:t xml:space="preserve"> 25 mg/kg/day) resulting in significant tumour growth regression were associated with 60</w:t>
      </w:r>
      <w:r w:rsidR="00C51DCA">
        <w:rPr>
          <w:rFonts w:eastAsia="TimesNewRoman"/>
        </w:rPr>
        <w:t xml:space="preserve"> to </w:t>
      </w:r>
      <w:r>
        <w:rPr>
          <w:rFonts w:eastAsia="TimesNewRoman"/>
        </w:rPr>
        <w:t xml:space="preserve">80% inhibition of STAT3. </w:t>
      </w:r>
    </w:p>
    <w:p w14:paraId="48F9A06C" w14:textId="7E9D0B32" w:rsidR="004F59A6" w:rsidRDefault="004F59A6" w:rsidP="000E3918">
      <w:pPr>
        <w:rPr>
          <w:rFonts w:eastAsia="TimesNewRoman"/>
        </w:rPr>
      </w:pPr>
      <w:r>
        <w:rPr>
          <w:rFonts w:eastAsia="TimesNewRoman"/>
        </w:rPr>
        <w:t>Ceritinib was more effective than crizotinib in the treatment of crizotinib</w:t>
      </w:r>
      <w:r w:rsidR="00C51DCA">
        <w:rPr>
          <w:rFonts w:eastAsia="TimesNewRoman"/>
        </w:rPr>
        <w:t xml:space="preserve"> </w:t>
      </w:r>
      <w:r>
        <w:rPr>
          <w:rFonts w:eastAsia="TimesNewRoman"/>
        </w:rPr>
        <w:t xml:space="preserve">sensitive tumours in a mouse xenograft model. Treatment </w:t>
      </w:r>
      <w:r w:rsidRPr="000D390F">
        <w:rPr>
          <w:rFonts w:eastAsia="TimesNewRoman"/>
        </w:rPr>
        <w:t>with crizotinib (100 mg/kg/day) and ceritinib (</w:t>
      </w:r>
      <w:r w:rsidR="00DD5AA4">
        <w:rPr>
          <w:rFonts w:eastAsia="TimesNewRoman"/>
        </w:rPr>
        <w:t xml:space="preserve">at </w:t>
      </w:r>
      <w:r w:rsidRPr="000D390F">
        <w:rPr>
          <w:rFonts w:eastAsia="TimesNewRoman"/>
        </w:rPr>
        <w:t>25,</w:t>
      </w:r>
      <w:r>
        <w:rPr>
          <w:rFonts w:eastAsia="TimesNewRoman"/>
        </w:rPr>
        <w:t> </w:t>
      </w:r>
      <w:r w:rsidRPr="000D390F">
        <w:rPr>
          <w:rFonts w:eastAsia="TimesNewRoman"/>
        </w:rPr>
        <w:t>50</w:t>
      </w:r>
      <w:r>
        <w:rPr>
          <w:rFonts w:eastAsia="TimesNewRoman"/>
        </w:rPr>
        <w:t> </w:t>
      </w:r>
      <w:r w:rsidRPr="000D390F">
        <w:rPr>
          <w:rFonts w:eastAsia="TimesNewRoman"/>
        </w:rPr>
        <w:t xml:space="preserve">mg/kg/day) for 14 consecutive days in mice with H2228 xenograft tumours </w:t>
      </w:r>
      <w:r>
        <w:rPr>
          <w:rFonts w:eastAsia="TimesNewRoman"/>
        </w:rPr>
        <w:t xml:space="preserve">resulted in </w:t>
      </w:r>
      <w:r w:rsidRPr="000D390F">
        <w:rPr>
          <w:rFonts w:eastAsia="TimesNewRoman"/>
        </w:rPr>
        <w:t xml:space="preserve">complete tumour regression. </w:t>
      </w:r>
      <w:r>
        <w:rPr>
          <w:rFonts w:eastAsia="TimesNewRoman"/>
        </w:rPr>
        <w:t>R</w:t>
      </w:r>
      <w:r w:rsidRPr="00E9146D">
        <w:rPr>
          <w:rFonts w:eastAsia="TimesNewRoman"/>
        </w:rPr>
        <w:t xml:space="preserve">emission was maintained for </w:t>
      </w:r>
      <w:r w:rsidR="00C51DCA">
        <w:rPr>
          <w:rFonts w:eastAsia="TimesNewRoman"/>
        </w:rPr>
        <w:t xml:space="preserve">≥ </w:t>
      </w:r>
      <w:r w:rsidRPr="00E9146D">
        <w:rPr>
          <w:rFonts w:eastAsia="TimesNewRoman"/>
        </w:rPr>
        <w:t>4 months in 50% of the animals administered 25 mg/kg/day ceritinib and all animals administered 50 mg/kg/day of ceritinib. In comparison</w:t>
      </w:r>
      <w:r>
        <w:rPr>
          <w:rFonts w:eastAsia="TimesNewRoman"/>
        </w:rPr>
        <w:t xml:space="preserve">, </w:t>
      </w:r>
      <w:r w:rsidRPr="00E9146D">
        <w:rPr>
          <w:rFonts w:eastAsia="TimesNewRoman"/>
        </w:rPr>
        <w:t>tumours rapidly recurred within 2 weeks in all animals</w:t>
      </w:r>
      <w:r>
        <w:rPr>
          <w:rFonts w:eastAsia="TimesNewRoman"/>
        </w:rPr>
        <w:t xml:space="preserve"> treated with </w:t>
      </w:r>
      <w:r w:rsidRPr="00E9146D">
        <w:rPr>
          <w:rFonts w:eastAsia="TimesNewRoman"/>
        </w:rPr>
        <w:t>100 mg/kg</w:t>
      </w:r>
      <w:r>
        <w:rPr>
          <w:rFonts w:eastAsia="TimesNewRoman"/>
        </w:rPr>
        <w:t>/day</w:t>
      </w:r>
      <w:r w:rsidRPr="00E9146D">
        <w:rPr>
          <w:rFonts w:eastAsia="TimesNewRoman"/>
        </w:rPr>
        <w:t xml:space="preserve"> of crizotinib.</w:t>
      </w:r>
      <w:r>
        <w:rPr>
          <w:rFonts w:eastAsia="TimesNewRoman"/>
        </w:rPr>
        <w:t xml:space="preserve"> </w:t>
      </w:r>
    </w:p>
    <w:p w14:paraId="2B8C22DB" w14:textId="77777777" w:rsidR="004F59A6" w:rsidRDefault="004F59A6" w:rsidP="000E3918">
      <w:pPr>
        <w:pStyle w:val="Heading5"/>
      </w:pPr>
      <w:r w:rsidRPr="00D11328">
        <w:t>Activity against crizotinib-resistant tumours</w:t>
      </w:r>
    </w:p>
    <w:p w14:paraId="3A21FA4F" w14:textId="77777777" w:rsidR="004F59A6" w:rsidRPr="000022DC" w:rsidRDefault="004F59A6" w:rsidP="007D0F61">
      <w:r>
        <w:t>Ceritinib was active against crizotinib</w:t>
      </w:r>
      <w:r w:rsidR="00C51DCA">
        <w:t xml:space="preserve"> </w:t>
      </w:r>
      <w:r>
        <w:t>resistant tumour cells with a variety of ALK mutations. In Ba/F3 cells transduced with EML4-ALK mutants the antiproliferative activity of ceritinib was 2</w:t>
      </w:r>
      <w:r w:rsidR="00C51DCA">
        <w:t xml:space="preserve"> to </w:t>
      </w:r>
      <w:r>
        <w:t xml:space="preserve">21 fold higher than that of crizotinib, depending on the mutation. Ceritinib </w:t>
      </w:r>
      <w:r w:rsidR="00877F3E">
        <w:t>IC</w:t>
      </w:r>
      <w:r w:rsidR="00877F3E" w:rsidRPr="00877F3E">
        <w:rPr>
          <w:vertAlign w:val="subscript"/>
        </w:rPr>
        <w:t>50</w:t>
      </w:r>
      <w:r>
        <w:t xml:space="preserve"> values ranged from 38 to 940 nM</w:t>
      </w:r>
      <w:r w:rsidR="00C51DCA">
        <w:t xml:space="preserve"> as compared to</w:t>
      </w:r>
      <w:r>
        <w:t xml:space="preserve"> </w:t>
      </w:r>
      <w:r w:rsidR="00877F3E">
        <w:t>IC</w:t>
      </w:r>
      <w:r w:rsidR="00877F3E" w:rsidRPr="00877F3E">
        <w:rPr>
          <w:vertAlign w:val="subscript"/>
        </w:rPr>
        <w:t>50</w:t>
      </w:r>
      <w:r>
        <w:t xml:space="preserve"> values 340 to 2140 nM for crizotinib. </w:t>
      </w:r>
    </w:p>
    <w:p w14:paraId="448C7EDE" w14:textId="77777777" w:rsidR="004F59A6" w:rsidRDefault="004F59A6" w:rsidP="007D0F61">
      <w:pPr>
        <w:rPr>
          <w:rFonts w:eastAsia="TimesNewRoman"/>
        </w:rPr>
      </w:pPr>
      <w:r>
        <w:t>Activity against cri</w:t>
      </w:r>
      <w:r>
        <w:rPr>
          <w:rFonts w:eastAsia="TimesNewRoman"/>
        </w:rPr>
        <w:t>zotinib-resistant tumours was also demonstrated in animal tumour xenograft models. Ceritinib inhibited crizotinib</w:t>
      </w:r>
      <w:r w:rsidR="00C51DCA">
        <w:rPr>
          <w:rFonts w:eastAsia="TimesNewRoman"/>
        </w:rPr>
        <w:t xml:space="preserve"> </w:t>
      </w:r>
      <w:r>
        <w:rPr>
          <w:rFonts w:eastAsia="TimesNewRoman"/>
        </w:rPr>
        <w:t>resistant NSCLC H2228 tumours with ALK-I1171T or ALK</w:t>
      </w:r>
      <w:r w:rsidR="00C51DCA">
        <w:rPr>
          <w:rFonts w:eastAsia="TimesNewRoman"/>
        </w:rPr>
        <w:t xml:space="preserve"> </w:t>
      </w:r>
      <w:r>
        <w:rPr>
          <w:rFonts w:eastAsia="TimesNewRoman"/>
        </w:rPr>
        <w:t>C1156Y mutations or unknown mechanism of resistance in mice. T</w:t>
      </w:r>
      <w:r w:rsidRPr="00EF7883">
        <w:rPr>
          <w:rFonts w:eastAsia="TimesNewRoman"/>
        </w:rPr>
        <w:t>reatment with ceritinib (50</w:t>
      </w:r>
      <w:r>
        <w:rPr>
          <w:rFonts w:eastAsia="TimesNewRoman"/>
        </w:rPr>
        <w:noBreakHyphen/>
      </w:r>
      <w:r w:rsidRPr="00EF7883">
        <w:rPr>
          <w:rFonts w:eastAsia="TimesNewRoman"/>
        </w:rPr>
        <w:t>100 mg/kg/day</w:t>
      </w:r>
      <w:r>
        <w:rPr>
          <w:rFonts w:eastAsia="TimesNewRoman"/>
        </w:rPr>
        <w:t xml:space="preserve">, plasma </w:t>
      </w:r>
      <w:r w:rsidR="00326B43" w:rsidRPr="004933DC">
        <w:t>C</w:t>
      </w:r>
      <w:r w:rsidR="00326B43" w:rsidRPr="00326B43">
        <w:rPr>
          <w:vertAlign w:val="subscript"/>
        </w:rPr>
        <w:t>max</w:t>
      </w:r>
      <w:r w:rsidR="00326B43">
        <w:t xml:space="preserve"> </w:t>
      </w:r>
      <w:r w:rsidR="001762D3">
        <w:rPr>
          <w:rFonts w:eastAsia="TimesNewRoman"/>
        </w:rPr>
        <w:t xml:space="preserve">approximately </w:t>
      </w:r>
      <w:r>
        <w:rPr>
          <w:rFonts w:eastAsia="TimesNewRoman"/>
        </w:rPr>
        <w:t>1.2-</w:t>
      </w:r>
      <w:r w:rsidRPr="00EF7883">
        <w:rPr>
          <w:rFonts w:eastAsia="TimesNewRoman"/>
        </w:rPr>
        <w:t xml:space="preserve">4 fold </w:t>
      </w:r>
      <w:r>
        <w:rPr>
          <w:rFonts w:eastAsia="TimesNewRoman"/>
        </w:rPr>
        <w:t xml:space="preserve">higher than the clinical </w:t>
      </w:r>
      <w:r w:rsidR="00E56C47" w:rsidRPr="004933DC">
        <w:t>C</w:t>
      </w:r>
      <w:r w:rsidR="00E56C47" w:rsidRPr="00326B43">
        <w:rPr>
          <w:vertAlign w:val="subscript"/>
        </w:rPr>
        <w:t>max</w:t>
      </w:r>
      <w:r w:rsidR="00E56C47" w:rsidRPr="004933DC">
        <w:t>)</w:t>
      </w:r>
      <w:r>
        <w:rPr>
          <w:rFonts w:eastAsia="TimesNewRoman"/>
        </w:rPr>
        <w:t xml:space="preserve"> exhibited significant </w:t>
      </w:r>
      <w:r w:rsidRPr="00EF7883">
        <w:rPr>
          <w:rFonts w:eastAsia="TimesNewRoman"/>
        </w:rPr>
        <w:t>anti</w:t>
      </w:r>
      <w:r>
        <w:rPr>
          <w:rFonts w:eastAsia="TimesNewRoman"/>
        </w:rPr>
        <w:noBreakHyphen/>
      </w:r>
      <w:r w:rsidRPr="00EF7883">
        <w:rPr>
          <w:rFonts w:eastAsia="TimesNewRoman"/>
        </w:rPr>
        <w:t>tumour activity.</w:t>
      </w:r>
      <w:r>
        <w:rPr>
          <w:rFonts w:eastAsia="TimesNewRoman"/>
        </w:rPr>
        <w:t xml:space="preserve"> </w:t>
      </w:r>
    </w:p>
    <w:p w14:paraId="5CEBE024" w14:textId="77777777" w:rsidR="004F59A6" w:rsidRDefault="004F59A6" w:rsidP="007D0F61">
      <w:r>
        <w:rPr>
          <w:rFonts w:eastAsia="TimesNewRoman"/>
        </w:rPr>
        <w:t>Overall</w:t>
      </w:r>
      <w:r w:rsidRPr="00C51DCA">
        <w:rPr>
          <w:rFonts w:eastAsia="TimesNewRoman"/>
        </w:rPr>
        <w:t>, in vivo studies</w:t>
      </w:r>
      <w:r>
        <w:rPr>
          <w:rFonts w:eastAsia="TimesNewRoman"/>
        </w:rPr>
        <w:t xml:space="preserve"> demonstrated that treatment with ceritinib in mice and rats </w:t>
      </w:r>
      <w:r>
        <w:t>produced a dose</w:t>
      </w:r>
      <w:r w:rsidR="00C51DCA">
        <w:t xml:space="preserve"> </w:t>
      </w:r>
      <w:r>
        <w:t xml:space="preserve">dependent inhibition of xenograft growth with a more sustained anti-tumour response than crizotinib. Ceritinib also inhibits growth of crizotinib-resistant tumours. </w:t>
      </w:r>
    </w:p>
    <w:p w14:paraId="6002A895" w14:textId="77777777" w:rsidR="004F59A6" w:rsidRDefault="004F59A6" w:rsidP="000E3918">
      <w:pPr>
        <w:pStyle w:val="Heading4"/>
      </w:pPr>
      <w:r w:rsidRPr="00EB69F1">
        <w:t>Seco</w:t>
      </w:r>
      <w:r>
        <w:t>ndary pharmacology</w:t>
      </w:r>
    </w:p>
    <w:p w14:paraId="610A3E5C" w14:textId="77777777" w:rsidR="004F59A6" w:rsidRDefault="004F59A6" w:rsidP="007D0F61">
      <w:r w:rsidRPr="00C51DCA">
        <w:t>In vitro</w:t>
      </w:r>
      <w:r>
        <w:t xml:space="preserve"> assays screening for off-target activity against 139 G protein-coupled receptors (GPCRs), ion channels, nuclear receptors and enzymes showed that ceritinib (10 µM) interacted with 42 (</w:t>
      </w:r>
      <w:r w:rsidR="001762D3">
        <w:t xml:space="preserve">approximately </w:t>
      </w:r>
      <w:r>
        <w:t xml:space="preserve">30%) of the targets with </w:t>
      </w:r>
      <w:r>
        <w:sym w:font="Symbol" w:char="F03E"/>
      </w:r>
      <w:r w:rsidR="00FC3A8B">
        <w:t xml:space="preserve"> </w:t>
      </w:r>
      <w:r>
        <w:t xml:space="preserve">50% inhibition. Targets with </w:t>
      </w:r>
      <w:r w:rsidR="00877F3E">
        <w:lastRenderedPageBreak/>
        <w:t>IC</w:t>
      </w:r>
      <w:r w:rsidR="00877F3E" w:rsidRPr="00877F3E">
        <w:rPr>
          <w:vertAlign w:val="subscript"/>
        </w:rPr>
        <w:t>50</w:t>
      </w:r>
      <w:r>
        <w:t xml:space="preserve"> values &lt; 2 μM included histamine H2 receptor (0.67 μM), opiate kappa receptor</w:t>
      </w:r>
      <w:r w:rsidR="000E3918">
        <w:t xml:space="preserve"> </w:t>
      </w:r>
      <w:r w:rsidRPr="00D5262A">
        <w:t xml:space="preserve">melanocortin 3 receptor (0.67 </w:t>
      </w:r>
      <w:r>
        <w:t>µ</w:t>
      </w:r>
      <w:r w:rsidRPr="00D5262A">
        <w:t>M), melanocortin 4</w:t>
      </w:r>
      <w:r>
        <w:t xml:space="preserve"> </w:t>
      </w:r>
      <w:r w:rsidRPr="00D5262A">
        <w:t>receptor (0.6</w:t>
      </w:r>
      <w:r>
        <w:t> µ</w:t>
      </w:r>
      <w:r w:rsidRPr="00D5262A">
        <w:t xml:space="preserve">M), adenosine 3 receptor (0.73 μM), tachykinin NK1 receptor (0.99 μM), dopamine 2 receptor (long form) (1.2 μM), </w:t>
      </w:r>
      <w:r>
        <w:t xml:space="preserve">and </w:t>
      </w:r>
      <w:r w:rsidRPr="00D5262A">
        <w:t>norepinephrine transporter (1.7 μM).</w:t>
      </w:r>
      <w:r w:rsidR="000E3918">
        <w:t xml:space="preserve"> </w:t>
      </w:r>
      <w:r>
        <w:t>Binding to the following targets was also observed (</w:t>
      </w:r>
      <w:r w:rsidR="00877F3E">
        <w:t>IC</w:t>
      </w:r>
      <w:r w:rsidR="00877F3E" w:rsidRPr="00877F3E">
        <w:rPr>
          <w:vertAlign w:val="subscript"/>
        </w:rPr>
        <w:t>50</w:t>
      </w:r>
      <w:r>
        <w:t xml:space="preserve"> in brackets): transporter monoamine (0.331 μM), potassium channel (0.682 μM), </w:t>
      </w:r>
      <w:proofErr w:type="gramStart"/>
      <w:r>
        <w:t>somatostatin</w:t>
      </w:r>
      <w:proofErr w:type="gramEnd"/>
      <w:r>
        <w:t xml:space="preserve"> SST1 (2.42 μM), SST2 (2.25 μM), SST3 (5.12 μM) and SST4 (1.88 μM). However,</w:t>
      </w:r>
      <w:r w:rsidR="000E3918">
        <w:t xml:space="preserve"> </w:t>
      </w:r>
      <w:r>
        <w:t xml:space="preserve">functional assays of the above targets showed agonist or antagonist activity only at high concentrations </w:t>
      </w:r>
      <w:r w:rsidR="001762D3">
        <w:t xml:space="preserve">approximately </w:t>
      </w:r>
      <w:r>
        <w:t>10 μM or higher</w:t>
      </w:r>
      <w:r w:rsidR="00FC3A8B">
        <w:t xml:space="preserve"> compared to</w:t>
      </w:r>
      <w:r>
        <w:t xml:space="preserve"> the unbound clinical </w:t>
      </w:r>
      <w:r w:rsidR="00326B43" w:rsidRPr="004933DC">
        <w:t>C</w:t>
      </w:r>
      <w:r w:rsidR="00326B43" w:rsidRPr="00326B43">
        <w:rPr>
          <w:vertAlign w:val="subscript"/>
        </w:rPr>
        <w:t>max</w:t>
      </w:r>
      <w:r w:rsidR="00326B43">
        <w:t xml:space="preserve"> </w:t>
      </w:r>
      <w:r>
        <w:t xml:space="preserve">of </w:t>
      </w:r>
      <w:r w:rsidR="001762D3">
        <w:t xml:space="preserve">approximately </w:t>
      </w:r>
      <w:r>
        <w:t>60 nM, suggesting the above off</w:t>
      </w:r>
      <w:r>
        <w:noBreakHyphen/>
        <w:t xml:space="preserve">target binding is unlikely to be clinically relevant. </w:t>
      </w:r>
    </w:p>
    <w:p w14:paraId="61072E48" w14:textId="77777777" w:rsidR="004F59A6" w:rsidRPr="003B6633" w:rsidRDefault="004F59A6" w:rsidP="007D0F61">
      <w:r>
        <w:t>Ceritinib inhibited InsR and IGF-1R kinase activity (discussed above), although the inhibitory activity against these receptor kinases was around 50 fold less than against ALK. Inhibition of InsR and IGF</w:t>
      </w:r>
      <w:r>
        <w:noBreakHyphen/>
        <w:t>1R was also demonstrated in cells transduced with these receptors and ROS-1 (</w:t>
      </w:r>
      <w:r w:rsidR="00877F3E">
        <w:t>IC</w:t>
      </w:r>
      <w:r w:rsidR="00877F3E" w:rsidRPr="00877F3E">
        <w:rPr>
          <w:vertAlign w:val="subscript"/>
        </w:rPr>
        <w:t>50</w:t>
      </w:r>
      <w:r>
        <w:t xml:space="preserve"> 180, 220 and 400 nM against ROS1, IGF-1R and InsR, respectively</w:t>
      </w:r>
      <w:r w:rsidR="00FC3A8B">
        <w:t xml:space="preserve"> as comparted to</w:t>
      </w:r>
      <w:r>
        <w:t xml:space="preserve"> </w:t>
      </w:r>
      <w:r w:rsidR="00877F3E">
        <w:t>IC</w:t>
      </w:r>
      <w:r w:rsidR="00877F3E" w:rsidRPr="00877F3E">
        <w:rPr>
          <w:vertAlign w:val="subscript"/>
        </w:rPr>
        <w:t>50</w:t>
      </w:r>
      <w:r>
        <w:t xml:space="preserve"> 60 nM against cells expressing ALK and unbound clinical </w:t>
      </w:r>
      <w:r w:rsidR="00326B43" w:rsidRPr="004933DC">
        <w:t>C</w:t>
      </w:r>
      <w:r w:rsidR="00326B43" w:rsidRPr="00326B43">
        <w:rPr>
          <w:vertAlign w:val="subscript"/>
        </w:rPr>
        <w:t>max</w:t>
      </w:r>
      <w:r w:rsidR="00326B43">
        <w:t xml:space="preserve"> </w:t>
      </w:r>
      <w:r w:rsidR="001762D3">
        <w:t xml:space="preserve">approximately </w:t>
      </w:r>
      <w:r>
        <w:t>60 nM). Thus, ceritinib is only 3</w:t>
      </w:r>
      <w:r w:rsidR="00FC3A8B">
        <w:t xml:space="preserve"> to </w:t>
      </w:r>
      <w:r>
        <w:t>7 fold more selective for ALK than the three receptor kinases of the insulin receptor superfamily in the cell proliferation assay. Low antiproliferative activity was observed against Ba/F3 cells transduced with other tyrosine kinases of the insulin receptor superfamily (</w:t>
      </w:r>
      <w:r w:rsidR="00877F3E">
        <w:t>IC</w:t>
      </w:r>
      <w:r w:rsidR="00877F3E" w:rsidRPr="00877F3E">
        <w:rPr>
          <w:vertAlign w:val="subscript"/>
        </w:rPr>
        <w:t>50</w:t>
      </w:r>
      <w:r>
        <w:t xml:space="preserve"> &gt;1 μM). Activity against IGF-1R was not seen </w:t>
      </w:r>
      <w:r w:rsidRPr="00FC3A8B">
        <w:t>in vivo</w:t>
      </w:r>
      <w:r>
        <w:t>. A</w:t>
      </w:r>
      <w:r w:rsidRPr="00262B96">
        <w:t xml:space="preserve"> single </w:t>
      </w:r>
      <w:r>
        <w:t xml:space="preserve">oral </w:t>
      </w:r>
      <w:r w:rsidRPr="00262B96">
        <w:t>dose of ceritinib</w:t>
      </w:r>
      <w:r>
        <w:t xml:space="preserve"> at up to 100 mg/kg in nude mice did not inhibit IGF-1R or AKT (IGF-1/AKT pathway) in the NIH3T3 tumour stably expressing human IGF-1R and IGF-2. Nor did ceritinib at up to 100 mg/kg/day (plasma </w:t>
      </w:r>
      <w:r w:rsidR="00326B43" w:rsidRPr="004933DC">
        <w:t>C</w:t>
      </w:r>
      <w:r w:rsidR="00326B43" w:rsidRPr="00326B43">
        <w:rPr>
          <w:vertAlign w:val="subscript"/>
        </w:rPr>
        <w:t>max</w:t>
      </w:r>
      <w:r w:rsidR="00326B43">
        <w:t xml:space="preserve"> </w:t>
      </w:r>
      <w:r w:rsidR="001762D3">
        <w:t xml:space="preserve">approximately </w:t>
      </w:r>
      <w:r>
        <w:t>4</w:t>
      </w:r>
      <w:r w:rsidR="00FC3A8B">
        <w:t xml:space="preserve"> times</w:t>
      </w:r>
      <w:r>
        <w:t xml:space="preserve"> the clinical </w:t>
      </w:r>
      <w:r w:rsidR="00E56C47" w:rsidRPr="004933DC">
        <w:t>C</w:t>
      </w:r>
      <w:r w:rsidR="00E56C47" w:rsidRPr="00326B43">
        <w:rPr>
          <w:vertAlign w:val="subscript"/>
        </w:rPr>
        <w:t>max</w:t>
      </w:r>
      <w:r w:rsidR="00E56C47" w:rsidRPr="004933DC">
        <w:t>)</w:t>
      </w:r>
      <w:r>
        <w:t xml:space="preserve"> for 7 days show off-target effects on glucose metabolism or insulin resistance in mice</w:t>
      </w:r>
      <w:r w:rsidRPr="003B6633">
        <w:t xml:space="preserve">. Off-target inhibition of InsR, IGF-1R and ROS1 is a potential risk in patients at the proposed clinical dose. </w:t>
      </w:r>
    </w:p>
    <w:p w14:paraId="6B875858" w14:textId="77777777" w:rsidR="004F59A6" w:rsidRPr="00262B96" w:rsidRDefault="004F59A6" w:rsidP="007D0F61">
      <w:r w:rsidRPr="003B6633">
        <w:t xml:space="preserve">IGF-1 blockade is associated </w:t>
      </w:r>
      <w:r w:rsidRPr="00E92891">
        <w:t>with hyperglycaemia.</w:t>
      </w:r>
      <w:r w:rsidR="00BF3A1A" w:rsidRPr="00E92891">
        <w:rPr>
          <w:rStyle w:val="FootnoteReference"/>
        </w:rPr>
        <w:footnoteReference w:id="12"/>
      </w:r>
      <w:r w:rsidRPr="00E92891">
        <w:t xml:space="preserve"> Increased plasma glucose levels (hyperglycaemia) were observed in repeat dose toxicity studies (Monkeys</w:t>
      </w:r>
      <w:r w:rsidRPr="003B6633">
        <w:t xml:space="preserve">; 3 month study) and reported in patients treated with ceritinib. </w:t>
      </w:r>
    </w:p>
    <w:p w14:paraId="42552027" w14:textId="77777777" w:rsidR="004F59A6" w:rsidRDefault="004F59A6" w:rsidP="00C51DCA">
      <w:pPr>
        <w:pStyle w:val="Heading4"/>
      </w:pPr>
      <w:r>
        <w:t>S</w:t>
      </w:r>
      <w:r w:rsidRPr="00EB69F1">
        <w:t>afety pharmacology</w:t>
      </w:r>
    </w:p>
    <w:p w14:paraId="56BF5F7E" w14:textId="77777777" w:rsidR="004F59A6" w:rsidRDefault="004F59A6" w:rsidP="00FC3A8B">
      <w:r>
        <w:t xml:space="preserve">The potential effects of ceritinib on cardiovascular, respiratory and </w:t>
      </w:r>
      <w:r w:rsidR="00FC3A8B">
        <w:t>central nervous system (</w:t>
      </w:r>
      <w:r>
        <w:t>CNS</w:t>
      </w:r>
      <w:r w:rsidR="00FC3A8B">
        <w:t>)</w:t>
      </w:r>
      <w:r>
        <w:t xml:space="preserve"> functions were investigated </w:t>
      </w:r>
      <w:r w:rsidRPr="00FC3A8B">
        <w:t>in in vitro</w:t>
      </w:r>
      <w:r w:rsidRPr="00C876DF">
        <w:rPr>
          <w:i/>
        </w:rPr>
        <w:t xml:space="preserve"> </w:t>
      </w:r>
      <w:r w:rsidRPr="00C876DF">
        <w:t>assays</w:t>
      </w:r>
      <w:r>
        <w:rPr>
          <w:i/>
        </w:rPr>
        <w:t xml:space="preserve"> </w:t>
      </w:r>
      <w:r>
        <w:t xml:space="preserve">and in monkeys and rats. Ceritinib inhibited </w:t>
      </w:r>
      <w:r w:rsidR="00FC3A8B">
        <w:t xml:space="preserve">potassium </w:t>
      </w:r>
      <w:r>
        <w:t xml:space="preserve">hERG channel activity in human embryonic kidney cells expressing hERG and the </w:t>
      </w:r>
      <w:r w:rsidR="00877F3E">
        <w:t>IC</w:t>
      </w:r>
      <w:r w:rsidR="00877F3E" w:rsidRPr="00877F3E">
        <w:rPr>
          <w:vertAlign w:val="subscript"/>
        </w:rPr>
        <w:t>50</w:t>
      </w:r>
      <w:r>
        <w:t xml:space="preserve"> (0.4 µM) was </w:t>
      </w:r>
      <w:r w:rsidR="001762D3">
        <w:t xml:space="preserve">approximately </w:t>
      </w:r>
      <w:r>
        <w:t xml:space="preserve">7 fold higher than the unbound clinical </w:t>
      </w:r>
      <w:r w:rsidR="00326B43" w:rsidRPr="004933DC">
        <w:t>C</w:t>
      </w:r>
      <w:r w:rsidR="00326B43" w:rsidRPr="00326B43">
        <w:rPr>
          <w:vertAlign w:val="subscript"/>
        </w:rPr>
        <w:t>max</w:t>
      </w:r>
      <w:r w:rsidR="00326B43">
        <w:t xml:space="preserve"> </w:t>
      </w:r>
      <w:r>
        <w:t>(</w:t>
      </w:r>
      <w:r w:rsidR="001762D3">
        <w:t xml:space="preserve">approximately </w:t>
      </w:r>
      <w:r>
        <w:t>60 nM). In monkeys, QT/QTc prolongation</w:t>
      </w:r>
      <w:r w:rsidR="00FC3A8B">
        <w:rPr>
          <w:rStyle w:val="FootnoteReference"/>
        </w:rPr>
        <w:footnoteReference w:id="13"/>
      </w:r>
      <w:r>
        <w:t xml:space="preserve"> (by 14-44 ms) was observed in one out of 4 monkeys at 10-19 h after a single oral dose of 100 mg/kg ceritinib (plasma concentrations at 10-19 h similar to the clinical </w:t>
      </w:r>
      <w:r w:rsidR="00326B43" w:rsidRPr="004933DC">
        <w:t>C</w:t>
      </w:r>
      <w:r w:rsidR="00326B43" w:rsidRPr="00326B43">
        <w:rPr>
          <w:vertAlign w:val="subscript"/>
        </w:rPr>
        <w:t>max</w:t>
      </w:r>
      <w:r w:rsidR="00326B43">
        <w:t xml:space="preserve"> </w:t>
      </w:r>
      <w:r>
        <w:t>based on toxicokinetic data in the single dose toxicity study). No significant cardiovascular effects were seen at lower doses (10 or 30 mg/kg); nor was QT prolongation in a non</w:t>
      </w:r>
      <w:r>
        <w:noBreakHyphen/>
        <w:t>GLP study in 2 monkeys at 250 mg/kg PO (</w:t>
      </w:r>
      <w:r w:rsidR="00326B43" w:rsidRPr="004933DC">
        <w:t>C</w:t>
      </w:r>
      <w:r w:rsidR="00326B43" w:rsidRPr="00326B43">
        <w:rPr>
          <w:vertAlign w:val="subscript"/>
        </w:rPr>
        <w:t>max</w:t>
      </w:r>
      <w:r w:rsidR="00326B43">
        <w:t xml:space="preserve"> </w:t>
      </w:r>
      <w:r>
        <w:t>similar to the clinical value) or at lower doses in the 4 and 13</w:t>
      </w:r>
      <w:r w:rsidR="00FC3A8B">
        <w:t xml:space="preserve"> </w:t>
      </w:r>
      <w:r>
        <w:t>week repeat dose studies. The nonclinical study findings indicate QT prolongation is a risk in patients.</w:t>
      </w:r>
      <w:r w:rsidR="000E3918">
        <w:t xml:space="preserve"> </w:t>
      </w:r>
    </w:p>
    <w:p w14:paraId="06BF5120" w14:textId="77777777" w:rsidR="004334C7" w:rsidRPr="004334C7" w:rsidRDefault="004F59A6" w:rsidP="00FC3A8B">
      <w:r>
        <w:t>No behavioural changes were observed in a rat observational battery test following a single oral dose of 100 mg/kg ceritinib (</w:t>
      </w:r>
      <w:r w:rsidR="00326B43" w:rsidRPr="004933DC">
        <w:t>C</w:t>
      </w:r>
      <w:r w:rsidR="00326B43" w:rsidRPr="00326B43">
        <w:rPr>
          <w:vertAlign w:val="subscript"/>
        </w:rPr>
        <w:t>max</w:t>
      </w:r>
      <w:r w:rsidR="00326B43">
        <w:t xml:space="preserve"> </w:t>
      </w:r>
      <w:r w:rsidR="001762D3">
        <w:t xml:space="preserve">approximately </w:t>
      </w:r>
      <w:r>
        <w:t xml:space="preserve">2 times the clinical </w:t>
      </w:r>
      <w:r w:rsidR="00326B43" w:rsidRPr="004933DC">
        <w:t>C</w:t>
      </w:r>
      <w:r w:rsidR="00326B43" w:rsidRPr="00326B43">
        <w:rPr>
          <w:vertAlign w:val="subscript"/>
        </w:rPr>
        <w:t>max</w:t>
      </w:r>
      <w:r w:rsidR="00326B43">
        <w:t xml:space="preserve"> </w:t>
      </w:r>
      <w:r>
        <w:t>based on toxicokinetic data from the toxicity studies).</w:t>
      </w:r>
      <w:r w:rsidR="000E3918">
        <w:t xml:space="preserve"> </w:t>
      </w:r>
      <w:r>
        <w:t xml:space="preserve">A transient increase in respiratory rate (by </w:t>
      </w:r>
      <w:r w:rsidR="001762D3">
        <w:lastRenderedPageBreak/>
        <w:t xml:space="preserve">approximately </w:t>
      </w:r>
      <w:r>
        <w:t>20%) was recorded 35</w:t>
      </w:r>
      <w:r w:rsidR="001762D3">
        <w:t xml:space="preserve"> to </w:t>
      </w:r>
      <w:r>
        <w:t xml:space="preserve">60 min after dosing but tidal volume and minute volume were unchanged. </w:t>
      </w:r>
      <w:r w:rsidRPr="003B6633">
        <w:t>No signs of neurological toxicity or effects on respiration were observed in repeat dose toxicity studies.</w:t>
      </w:r>
      <w:r>
        <w:t xml:space="preserve"> Ceritinib</w:t>
      </w:r>
      <w:r w:rsidRPr="0045068C">
        <w:rPr>
          <w:rFonts w:eastAsia="TimesNewRoman"/>
        </w:rPr>
        <w:t xml:space="preserve"> is not expected to cause effects on vital functions of</w:t>
      </w:r>
      <w:r>
        <w:rPr>
          <w:rFonts w:eastAsia="TimesNewRoman"/>
        </w:rPr>
        <w:t xml:space="preserve"> </w:t>
      </w:r>
      <w:r w:rsidRPr="0045068C">
        <w:rPr>
          <w:rFonts w:eastAsia="TimesNewRoman"/>
        </w:rPr>
        <w:t xml:space="preserve">the </w:t>
      </w:r>
      <w:r>
        <w:rPr>
          <w:rFonts w:eastAsia="TimesNewRoman"/>
        </w:rPr>
        <w:t>central nervous</w:t>
      </w:r>
      <w:r w:rsidRPr="0045068C">
        <w:rPr>
          <w:rFonts w:eastAsia="TimesNewRoman"/>
        </w:rPr>
        <w:t xml:space="preserve"> and respiratory system</w:t>
      </w:r>
      <w:r>
        <w:rPr>
          <w:rFonts w:eastAsia="TimesNewRoman"/>
        </w:rPr>
        <w:t xml:space="preserve"> in pat</w:t>
      </w:r>
      <w:r w:rsidR="001762D3">
        <w:rPr>
          <w:rFonts w:eastAsia="TimesNewRoman"/>
        </w:rPr>
        <w:t>i</w:t>
      </w:r>
      <w:r>
        <w:rPr>
          <w:rFonts w:eastAsia="TimesNewRoman"/>
        </w:rPr>
        <w:t>ents</w:t>
      </w:r>
      <w:r w:rsidRPr="0045068C">
        <w:rPr>
          <w:rFonts w:eastAsia="TimesNewRoman"/>
        </w:rPr>
        <w:t>.</w:t>
      </w:r>
    </w:p>
    <w:p w14:paraId="7497DEC3" w14:textId="77777777" w:rsidR="008E7846" w:rsidRPr="001762D3" w:rsidRDefault="008E7846" w:rsidP="001762D3">
      <w:pPr>
        <w:pStyle w:val="Heading3"/>
      </w:pPr>
      <w:bookmarkStart w:id="45" w:name="_Toc247691513"/>
      <w:bookmarkStart w:id="46" w:name="_Toc314842497"/>
      <w:bookmarkStart w:id="47" w:name="_Toc507501103"/>
      <w:r>
        <w:t>Pharmacokinetics</w:t>
      </w:r>
      <w:bookmarkEnd w:id="45"/>
      <w:bookmarkEnd w:id="46"/>
      <w:bookmarkEnd w:id="47"/>
    </w:p>
    <w:p w14:paraId="0149CA24" w14:textId="77777777" w:rsidR="004F59A6" w:rsidRDefault="004F59A6" w:rsidP="007D0F61">
      <w:bookmarkStart w:id="48" w:name="_Toc247691514"/>
      <w:bookmarkStart w:id="49" w:name="_Toc314842498"/>
      <w:r>
        <w:t xml:space="preserve">Absorption, distribution, metabolism and excretion were studied in animal species, which were used in pharmacology and toxicology studies. The </w:t>
      </w:r>
      <w:r w:rsidR="00BA0C9B">
        <w:t>time to</w:t>
      </w:r>
      <w:r w:rsidR="001762D3">
        <w:t xml:space="preserve"> </w:t>
      </w:r>
      <w:r w:rsidR="00326B43" w:rsidRPr="004933DC">
        <w:t>C</w:t>
      </w:r>
      <w:r w:rsidR="00326B43" w:rsidRPr="00326B43">
        <w:rPr>
          <w:vertAlign w:val="subscript"/>
        </w:rPr>
        <w:t>max</w:t>
      </w:r>
      <w:r w:rsidR="00326B43">
        <w:t xml:space="preserve"> </w:t>
      </w:r>
      <w:r w:rsidR="001762D3">
        <w:t>(</w:t>
      </w:r>
      <w:r>
        <w:t>T</w:t>
      </w:r>
      <w:r w:rsidRPr="00192682">
        <w:rPr>
          <w:vertAlign w:val="subscript"/>
        </w:rPr>
        <w:t>max</w:t>
      </w:r>
      <w:r w:rsidR="001762D3">
        <w:t xml:space="preserve">) </w:t>
      </w:r>
      <w:r>
        <w:t>values (7</w:t>
      </w:r>
      <w:r w:rsidR="001762D3">
        <w:t xml:space="preserve"> to </w:t>
      </w:r>
      <w:r>
        <w:t>18 h) after o</w:t>
      </w:r>
      <w:r w:rsidRPr="00192682">
        <w:t xml:space="preserve">ral administration of ceritinib </w:t>
      </w:r>
      <w:r>
        <w:t xml:space="preserve">in animal species (mice, rats and monkeys) indicated a slow rate of absorption, compared with the human </w:t>
      </w:r>
      <w:r w:rsidRPr="0050455A">
        <w:t>T</w:t>
      </w:r>
      <w:r w:rsidRPr="0050455A">
        <w:rPr>
          <w:vertAlign w:val="subscript"/>
        </w:rPr>
        <w:t>max</w:t>
      </w:r>
      <w:r>
        <w:t xml:space="preserve"> of 4</w:t>
      </w:r>
      <w:r w:rsidR="001762D3">
        <w:t xml:space="preserve"> to </w:t>
      </w:r>
      <w:r>
        <w:t xml:space="preserve">6 h. Oral bioavailability was moderate (mice: 55%; rats: 48%; monkeys: 43-58%; no human data for comparison). </w:t>
      </w:r>
    </w:p>
    <w:p w14:paraId="06DC7EC1" w14:textId="77777777" w:rsidR="004F59A6" w:rsidRDefault="004F59A6" w:rsidP="007D0F61">
      <w:pPr>
        <w:rPr>
          <w:b/>
          <w:sz w:val="20"/>
          <w:szCs w:val="20"/>
        </w:rPr>
      </w:pPr>
      <w:r>
        <w:t>Ceritinib has a long elimination half-life in rats and monkeys (12</w:t>
      </w:r>
      <w:r w:rsidR="001762D3">
        <w:t xml:space="preserve"> to </w:t>
      </w:r>
      <w:r>
        <w:t xml:space="preserve">16 h), which is shorter than the </w:t>
      </w:r>
      <w:r w:rsidR="001762D3">
        <w:t>half-life (</w:t>
      </w:r>
      <w:r w:rsidRPr="00C75313">
        <w:t>t</w:t>
      </w:r>
      <w:r w:rsidRPr="00C75313">
        <w:rPr>
          <w:vertAlign w:val="subscript"/>
        </w:rPr>
        <w:t>1/2</w:t>
      </w:r>
      <w:r w:rsidR="001762D3">
        <w:t xml:space="preserve">) </w:t>
      </w:r>
      <w:r>
        <w:t>in humans (</w:t>
      </w:r>
      <w:r w:rsidR="001762D3">
        <w:t xml:space="preserve">approximately </w:t>
      </w:r>
      <w:r>
        <w:t>40 h). The plasma clearance was low to moderate (</w:t>
      </w:r>
      <w:r w:rsidR="001762D3">
        <w:t xml:space="preserve">approximately </w:t>
      </w:r>
      <w:r>
        <w:t>1.5 L/h/kg in mice and rats, 0.4</w:t>
      </w:r>
      <w:r>
        <w:noBreakHyphen/>
        <w:t>0.8 L/h/kg in monkeys). Steady state volume of distribution (V</w:t>
      </w:r>
      <w:r w:rsidRPr="0033294D">
        <w:rPr>
          <w:vertAlign w:val="subscript"/>
        </w:rPr>
        <w:t>ss</w:t>
      </w:r>
      <w:r>
        <w:t xml:space="preserve">) was high in all animal species (9.7 L/kg in mice, 19.9 L/kg in rats and 6.5-13.5 L/kg in monkeys), indicating extensive tissue distribution, consistent with rat tissue distribution study results (discussed below). </w:t>
      </w:r>
    </w:p>
    <w:p w14:paraId="53F76404" w14:textId="77777777" w:rsidR="004F59A6" w:rsidRPr="009A5834" w:rsidRDefault="004F59A6" w:rsidP="007D0F61">
      <w:r>
        <w:rPr>
          <w:rFonts w:eastAsia="TimesNewRoman"/>
        </w:rPr>
        <w:t>Protein binding is high and concentration</w:t>
      </w:r>
      <w:r w:rsidR="001762D3">
        <w:rPr>
          <w:rFonts w:eastAsia="TimesNewRoman"/>
        </w:rPr>
        <w:t xml:space="preserve"> </w:t>
      </w:r>
      <w:r>
        <w:rPr>
          <w:rFonts w:eastAsia="TimesNewRoman"/>
        </w:rPr>
        <w:t xml:space="preserve">independent in plasma of all species tested (rat </w:t>
      </w:r>
      <w:r w:rsidR="001762D3">
        <w:rPr>
          <w:rFonts w:eastAsia="TimesNewRoman"/>
        </w:rPr>
        <w:t xml:space="preserve">approximately </w:t>
      </w:r>
      <w:r>
        <w:rPr>
          <w:rFonts w:eastAsia="TimesNewRoman"/>
        </w:rPr>
        <w:t xml:space="preserve">98%, monkey </w:t>
      </w:r>
      <w:r w:rsidR="001762D3">
        <w:rPr>
          <w:rFonts w:eastAsia="TimesNewRoman"/>
        </w:rPr>
        <w:t xml:space="preserve">approximately </w:t>
      </w:r>
      <w:r>
        <w:rPr>
          <w:rFonts w:eastAsia="TimesNewRoman"/>
        </w:rPr>
        <w:t xml:space="preserve">95%, human </w:t>
      </w:r>
      <w:r w:rsidR="001762D3">
        <w:rPr>
          <w:rFonts w:eastAsia="TimesNewRoman"/>
        </w:rPr>
        <w:t xml:space="preserve">approximately </w:t>
      </w:r>
      <w:r>
        <w:rPr>
          <w:rFonts w:eastAsia="TimesNewRoman"/>
        </w:rPr>
        <w:t xml:space="preserve">97%; similar protein binding in human plasma and serum). The distribution of ceritinib to blood cells is higher than in plasma; </w:t>
      </w:r>
      <w:r w:rsidRPr="001762D3">
        <w:rPr>
          <w:rFonts w:eastAsia="TimesNewRoman"/>
        </w:rPr>
        <w:t>in vitro</w:t>
      </w:r>
      <w:r>
        <w:rPr>
          <w:rFonts w:eastAsia="TimesNewRoman"/>
        </w:rPr>
        <w:t xml:space="preserve"> blood distribution assays showed blood/plasma concentration ratios of 1.72 (rat), 2.59 (monkey) and 1.35 (human). </w:t>
      </w:r>
      <w:r w:rsidRPr="0070328E">
        <w:rPr>
          <w:rFonts w:eastAsia="TimesNewRoman"/>
        </w:rPr>
        <w:t xml:space="preserve">Quantitative whole body autoradiography </w:t>
      </w:r>
      <w:r>
        <w:rPr>
          <w:rFonts w:eastAsia="TimesNewRoman"/>
        </w:rPr>
        <w:t xml:space="preserve">of rats dosed with radiolabelled ceritinib </w:t>
      </w:r>
      <w:r w:rsidR="001762D3">
        <w:rPr>
          <w:rFonts w:eastAsia="TimesNewRoman"/>
        </w:rPr>
        <w:t>intravenously (</w:t>
      </w:r>
      <w:r>
        <w:rPr>
          <w:rFonts w:eastAsia="TimesNewRoman"/>
        </w:rPr>
        <w:t>IV</w:t>
      </w:r>
      <w:r w:rsidR="001762D3">
        <w:rPr>
          <w:rFonts w:eastAsia="TimesNewRoman"/>
        </w:rPr>
        <w:t>)</w:t>
      </w:r>
      <w:r>
        <w:rPr>
          <w:rFonts w:eastAsia="TimesNewRoman"/>
        </w:rPr>
        <w:t xml:space="preserve"> or PO showed rapid and wide distribution of drug-related materials to </w:t>
      </w:r>
      <w:r w:rsidRPr="0070328E">
        <w:rPr>
          <w:rFonts w:eastAsia="TimesNewRoman"/>
        </w:rPr>
        <w:t>tissues</w:t>
      </w:r>
      <w:r>
        <w:rPr>
          <w:rFonts w:eastAsia="TimesNewRoman"/>
        </w:rPr>
        <w:t>,</w:t>
      </w:r>
      <w:r w:rsidRPr="0070328E">
        <w:rPr>
          <w:rFonts w:eastAsia="TimesNewRoman"/>
        </w:rPr>
        <w:t xml:space="preserve"> with higher concentrations </w:t>
      </w:r>
      <w:r>
        <w:rPr>
          <w:rFonts w:eastAsia="TimesNewRoman"/>
        </w:rPr>
        <w:t xml:space="preserve">in most tissues </w:t>
      </w:r>
      <w:r w:rsidRPr="0070328E">
        <w:rPr>
          <w:rFonts w:eastAsia="TimesNewRoman"/>
        </w:rPr>
        <w:t xml:space="preserve">than </w:t>
      </w:r>
      <w:r>
        <w:rPr>
          <w:rFonts w:eastAsia="TimesNewRoman"/>
        </w:rPr>
        <w:t>in blood. Maximum concentration in blood and most tissues was reached at 4 h post</w:t>
      </w:r>
      <w:r>
        <w:rPr>
          <w:rFonts w:eastAsia="TimesNewRoman"/>
        </w:rPr>
        <w:noBreakHyphen/>
        <w:t xml:space="preserve">dose. Tissues with highest radioactivity concentrations after an oral dose were GIT and excretory and highly vascular organs, and included (in descending order based on </w:t>
      </w:r>
      <w:r w:rsidR="00E56C47" w:rsidRPr="004933DC">
        <w:t>C</w:t>
      </w:r>
      <w:r w:rsidR="00E56C47" w:rsidRPr="00326B43">
        <w:rPr>
          <w:vertAlign w:val="subscript"/>
        </w:rPr>
        <w:t>max</w:t>
      </w:r>
      <w:r w:rsidR="00E56C47" w:rsidRPr="004933DC">
        <w:t>,</w:t>
      </w:r>
      <w:r>
        <w:rPr>
          <w:rFonts w:eastAsia="TimesNewRoman"/>
        </w:rPr>
        <w:t xml:space="preserve"> excluding GIT) bile, adrenal, liver, spleen, lung/lymph node/thyroid/kidney (similar levels) and pancreas. Low levels were detected in brain, testis and epididymis, indicating that </w:t>
      </w:r>
      <w:r w:rsidRPr="005C7F8C">
        <w:rPr>
          <w:rFonts w:eastAsia="TimesNewRoman"/>
        </w:rPr>
        <w:t>drug-related radioactivity crossed the blood</w:t>
      </w:r>
      <w:r>
        <w:rPr>
          <w:rFonts w:eastAsia="TimesNewRoman"/>
        </w:rPr>
        <w:noBreakHyphen/>
      </w:r>
      <w:r w:rsidRPr="005C7F8C">
        <w:rPr>
          <w:rFonts w:eastAsia="TimesNewRoman"/>
        </w:rPr>
        <w:t>brain</w:t>
      </w:r>
      <w:r>
        <w:rPr>
          <w:rFonts w:eastAsia="TimesNewRoman"/>
        </w:rPr>
        <w:t>/testis/epididymis</w:t>
      </w:r>
      <w:r w:rsidRPr="005C7F8C">
        <w:rPr>
          <w:rFonts w:eastAsia="TimesNewRoman"/>
        </w:rPr>
        <w:t xml:space="preserve"> barrier</w:t>
      </w:r>
      <w:r>
        <w:rPr>
          <w:rFonts w:eastAsia="TimesNewRoman"/>
        </w:rPr>
        <w:t xml:space="preserve">. </w:t>
      </w:r>
      <w:r w:rsidRPr="005C7F8C">
        <w:rPr>
          <w:rFonts w:eastAsia="TimesNewRoman"/>
        </w:rPr>
        <w:t xml:space="preserve">Results from pigmented rats at 168 h post-dose </w:t>
      </w:r>
      <w:r>
        <w:rPr>
          <w:rFonts w:eastAsia="TimesNewRoman"/>
        </w:rPr>
        <w:t xml:space="preserve">showed relatively </w:t>
      </w:r>
      <w:r w:rsidRPr="005C7F8C">
        <w:rPr>
          <w:rFonts w:eastAsia="TimesNewRoman"/>
        </w:rPr>
        <w:t xml:space="preserve">high </w:t>
      </w:r>
      <w:r>
        <w:rPr>
          <w:rFonts w:eastAsia="TimesNewRoman"/>
        </w:rPr>
        <w:t xml:space="preserve">levels of radioactivity </w:t>
      </w:r>
      <w:r w:rsidRPr="005C7F8C">
        <w:rPr>
          <w:rFonts w:eastAsia="TimesNewRoman"/>
        </w:rPr>
        <w:t>in the uveal tract</w:t>
      </w:r>
      <w:r>
        <w:rPr>
          <w:rFonts w:eastAsia="TimesNewRoman"/>
        </w:rPr>
        <w:t xml:space="preserve">, indicating binding of ceritinib or metabolites to </w:t>
      </w:r>
      <w:r w:rsidRPr="009A5834">
        <w:rPr>
          <w:rFonts w:eastAsia="TimesNewRoman"/>
        </w:rPr>
        <w:t xml:space="preserve">melanin. </w:t>
      </w:r>
      <w:r>
        <w:rPr>
          <w:rFonts w:eastAsia="TimesNewRoman"/>
        </w:rPr>
        <w:t xml:space="preserve">Relatively high levels were also observed in </w:t>
      </w:r>
      <w:r w:rsidR="00BA0C9B">
        <w:rPr>
          <w:rFonts w:eastAsia="TimesNewRoman"/>
        </w:rPr>
        <w:t>pituitary and H</w:t>
      </w:r>
      <w:r w:rsidRPr="005C7F8C">
        <w:rPr>
          <w:rFonts w:eastAsia="TimesNewRoman"/>
        </w:rPr>
        <w:t>arderian gland</w:t>
      </w:r>
      <w:r>
        <w:rPr>
          <w:rFonts w:eastAsia="TimesNewRoman"/>
        </w:rPr>
        <w:t>s at 168 h.</w:t>
      </w:r>
      <w:r w:rsidRPr="005C7F8C">
        <w:rPr>
          <w:rFonts w:eastAsia="TimesNewRoman"/>
        </w:rPr>
        <w:t xml:space="preserve"> </w:t>
      </w:r>
    </w:p>
    <w:p w14:paraId="54C4D1BE" w14:textId="77777777" w:rsidR="004F59A6" w:rsidRDefault="004F59A6" w:rsidP="007D0F61">
      <w:pPr>
        <w:rPr>
          <w:rFonts w:eastAsia="TimesNewRoman"/>
        </w:rPr>
      </w:pPr>
      <w:r>
        <w:rPr>
          <w:rFonts w:eastAsia="TimesNewRoman"/>
        </w:rPr>
        <w:t>Studies in rats, monkeys and humans indicated that t</w:t>
      </w:r>
      <w:r w:rsidRPr="006723AF">
        <w:rPr>
          <w:rFonts w:eastAsia="TimesNewRoman"/>
        </w:rPr>
        <w:t xml:space="preserve">he primary biotransformation pathways of </w:t>
      </w:r>
      <w:r>
        <w:rPr>
          <w:rFonts w:eastAsia="TimesNewRoman"/>
        </w:rPr>
        <w:t>ceritinib</w:t>
      </w:r>
      <w:r w:rsidRPr="006723AF">
        <w:rPr>
          <w:rFonts w:eastAsia="TimesNewRoman"/>
        </w:rPr>
        <w:t xml:space="preserve"> included mono-oxygenation, O-dealkylation, S-dealkylation and</w:t>
      </w:r>
      <w:r>
        <w:rPr>
          <w:rFonts w:eastAsia="TimesNewRoman"/>
        </w:rPr>
        <w:t xml:space="preserve"> N-formylation, with s</w:t>
      </w:r>
      <w:r w:rsidRPr="006723AF">
        <w:rPr>
          <w:rFonts w:eastAsia="TimesNewRoman"/>
        </w:rPr>
        <w:t>econdary pathways includ</w:t>
      </w:r>
      <w:r>
        <w:rPr>
          <w:rFonts w:eastAsia="TimesNewRoman"/>
        </w:rPr>
        <w:t>ing</w:t>
      </w:r>
      <w:r w:rsidRPr="006723AF">
        <w:rPr>
          <w:rFonts w:eastAsia="TimesNewRoman"/>
        </w:rPr>
        <w:t xml:space="preserve"> di-oxygenation, glucuronidation, sulfation and</w:t>
      </w:r>
      <w:r>
        <w:rPr>
          <w:rFonts w:eastAsia="TimesNewRoman"/>
        </w:rPr>
        <w:t xml:space="preserve"> dehydrogenation. Unchanged ceritinib is the major species in plasma of rats and monkeys after IV </w:t>
      </w:r>
      <w:r w:rsidRPr="006723AF">
        <w:rPr>
          <w:rFonts w:eastAsia="TimesNewRoman"/>
        </w:rPr>
        <w:t xml:space="preserve">or </w:t>
      </w:r>
      <w:r>
        <w:rPr>
          <w:rFonts w:eastAsia="TimesNewRoman"/>
        </w:rPr>
        <w:t>PO</w:t>
      </w:r>
      <w:r w:rsidRPr="006723AF">
        <w:rPr>
          <w:rFonts w:eastAsia="TimesNewRoman"/>
        </w:rPr>
        <w:t xml:space="preserve"> </w:t>
      </w:r>
      <w:r>
        <w:rPr>
          <w:rFonts w:eastAsia="TimesNewRoman"/>
        </w:rPr>
        <w:t xml:space="preserve">administration (85-90% of total drug-related components in monkey plasma; no metabolites in rat plasma), similar to humans (82%). Unchanged ceritinib was also the major component in faeces (rat and monkey; also in humans) and bile (rat; bile not collected in monkey studies). </w:t>
      </w:r>
    </w:p>
    <w:p w14:paraId="1DAF57EB" w14:textId="77777777" w:rsidR="004F59A6" w:rsidRPr="006723AF" w:rsidRDefault="004F59A6" w:rsidP="007D0F61">
      <w:r>
        <w:rPr>
          <w:rFonts w:eastAsia="TimesNewRoman"/>
        </w:rPr>
        <w:t>N</w:t>
      </w:r>
      <w:r w:rsidRPr="006723AF">
        <w:rPr>
          <w:rFonts w:eastAsia="TimesNewRoman"/>
        </w:rPr>
        <w:t xml:space="preserve">ine metabolites </w:t>
      </w:r>
      <w:r>
        <w:rPr>
          <w:rFonts w:eastAsia="TimesNewRoman"/>
        </w:rPr>
        <w:t>were identified in monkey plasma (e</w:t>
      </w:r>
      <w:r w:rsidRPr="006723AF">
        <w:rPr>
          <w:rFonts w:eastAsia="TimesNewRoman"/>
        </w:rPr>
        <w:t xml:space="preserve">ach </w:t>
      </w:r>
      <w:r>
        <w:rPr>
          <w:rFonts w:eastAsia="TimesNewRoman"/>
        </w:rPr>
        <w:t xml:space="preserve">at levels of </w:t>
      </w:r>
      <w:r w:rsidR="00CF6EC4">
        <w:rPr>
          <w:rFonts w:eastAsia="TimesNewRoman"/>
        </w:rPr>
        <w:t xml:space="preserve">≤ </w:t>
      </w:r>
      <w:r w:rsidRPr="006723AF">
        <w:rPr>
          <w:rFonts w:eastAsia="TimesNewRoman"/>
        </w:rPr>
        <w:t xml:space="preserve">3.6% </w:t>
      </w:r>
      <w:r>
        <w:rPr>
          <w:rFonts w:eastAsia="TimesNewRoman"/>
        </w:rPr>
        <w:t>t</w:t>
      </w:r>
      <w:r w:rsidRPr="006723AF">
        <w:rPr>
          <w:rFonts w:eastAsia="TimesNewRoman"/>
        </w:rPr>
        <w:t>he total drug-related AUC</w:t>
      </w:r>
      <w:r>
        <w:rPr>
          <w:rFonts w:eastAsia="TimesNewRoman"/>
        </w:rPr>
        <w:t xml:space="preserve">) and </w:t>
      </w:r>
      <w:r w:rsidRPr="006723AF">
        <w:rPr>
          <w:rFonts w:eastAsia="TimesNewRoman"/>
        </w:rPr>
        <w:t xml:space="preserve">eleven metabolites </w:t>
      </w:r>
      <w:r>
        <w:rPr>
          <w:rFonts w:eastAsia="TimesNewRoman"/>
        </w:rPr>
        <w:t>in</w:t>
      </w:r>
      <w:r w:rsidRPr="006723AF">
        <w:rPr>
          <w:rFonts w:eastAsia="TimesNewRoman"/>
        </w:rPr>
        <w:t xml:space="preserve"> human</w:t>
      </w:r>
      <w:r>
        <w:rPr>
          <w:rFonts w:eastAsia="TimesNewRoman"/>
        </w:rPr>
        <w:t xml:space="preserve"> </w:t>
      </w:r>
      <w:r w:rsidRPr="006723AF">
        <w:rPr>
          <w:rFonts w:eastAsia="TimesNewRoman"/>
        </w:rPr>
        <w:t xml:space="preserve">plasma </w:t>
      </w:r>
      <w:r>
        <w:rPr>
          <w:rFonts w:eastAsia="TimesNewRoman"/>
        </w:rPr>
        <w:t>(</w:t>
      </w:r>
      <w:r w:rsidRPr="006723AF">
        <w:rPr>
          <w:rFonts w:eastAsia="TimesNewRoman"/>
        </w:rPr>
        <w:t xml:space="preserve">each at levels </w:t>
      </w:r>
      <w:r w:rsidR="00CF6EC4">
        <w:rPr>
          <w:rFonts w:eastAsia="TimesNewRoman"/>
        </w:rPr>
        <w:t>≤</w:t>
      </w:r>
      <w:r w:rsidR="00CF6EC4">
        <w:rPr>
          <w:rFonts w:eastAsia="TimesNewRoman" w:hint="eastAsia"/>
        </w:rPr>
        <w:t xml:space="preserve"> </w:t>
      </w:r>
      <w:r w:rsidRPr="00CF6EC4">
        <w:rPr>
          <w:rFonts w:eastAsia="TimesNewRoman"/>
        </w:rPr>
        <w:t>2</w:t>
      </w:r>
      <w:r w:rsidRPr="006723AF">
        <w:rPr>
          <w:rFonts w:eastAsia="TimesNewRoman"/>
        </w:rPr>
        <w:t>.3% of the total drug-related AUC</w:t>
      </w:r>
      <w:r>
        <w:rPr>
          <w:rFonts w:eastAsia="TimesNewRoman"/>
        </w:rPr>
        <w:t>)</w:t>
      </w:r>
      <w:r w:rsidRPr="006723AF">
        <w:rPr>
          <w:rFonts w:eastAsia="TimesNewRoman"/>
        </w:rPr>
        <w:t xml:space="preserve">. </w:t>
      </w:r>
      <w:r>
        <w:rPr>
          <w:rFonts w:eastAsia="TimesNewRoman"/>
        </w:rPr>
        <w:t>Most metabolites formed in humans were detected in rats and/or monkeys. Five metabolites (</w:t>
      </w:r>
      <w:r w:rsidRPr="006723AF">
        <w:rPr>
          <w:rFonts w:eastAsia="TimesNewRoman"/>
        </w:rPr>
        <w:t>M23.6, M35.8,</w:t>
      </w:r>
      <w:r>
        <w:rPr>
          <w:rFonts w:eastAsia="TimesNewRoman"/>
        </w:rPr>
        <w:t xml:space="preserve"> </w:t>
      </w:r>
      <w:r w:rsidRPr="006723AF">
        <w:rPr>
          <w:rFonts w:eastAsia="TimesNewRoman"/>
        </w:rPr>
        <w:t>M46.6, M48.8 and M52.0</w:t>
      </w:r>
      <w:r>
        <w:rPr>
          <w:rFonts w:eastAsia="TimesNewRoman"/>
        </w:rPr>
        <w:t>)</w:t>
      </w:r>
      <w:r w:rsidRPr="00AE08E1">
        <w:rPr>
          <w:rFonts w:eastAsia="TimesNewRoman"/>
        </w:rPr>
        <w:t xml:space="preserve"> </w:t>
      </w:r>
      <w:r>
        <w:rPr>
          <w:rFonts w:eastAsia="TimesNewRoman"/>
        </w:rPr>
        <w:t xml:space="preserve">identified in human plasma </w:t>
      </w:r>
      <w:r w:rsidRPr="006723AF">
        <w:rPr>
          <w:rFonts w:eastAsia="TimesNewRoman"/>
        </w:rPr>
        <w:t>were not detected in rat or monkey</w:t>
      </w:r>
      <w:r>
        <w:rPr>
          <w:rFonts w:eastAsia="TimesNewRoman"/>
        </w:rPr>
        <w:t xml:space="preserve"> plasma, but these metabolites accounted for only ≤ 2% of total drug-related species, and M23.6 and</w:t>
      </w:r>
      <w:r w:rsidRPr="006723AF">
        <w:rPr>
          <w:rFonts w:eastAsia="TimesNewRoman"/>
        </w:rPr>
        <w:t xml:space="preserve"> M35.8</w:t>
      </w:r>
      <w:r>
        <w:rPr>
          <w:rFonts w:eastAsia="TimesNewRoman"/>
        </w:rPr>
        <w:t xml:space="preserve"> were detected in rat and monkey bile and/or faeces.</w:t>
      </w:r>
      <w:r w:rsidR="000E3918">
        <w:rPr>
          <w:rFonts w:eastAsia="TimesNewRoman"/>
        </w:rPr>
        <w:t xml:space="preserve"> </w:t>
      </w:r>
    </w:p>
    <w:p w14:paraId="6ACC8971" w14:textId="77777777" w:rsidR="004F59A6" w:rsidRPr="00CF6EC4" w:rsidRDefault="004F59A6" w:rsidP="007D0F61">
      <w:r>
        <w:rPr>
          <w:rFonts w:eastAsia="TimesNewRoman"/>
        </w:rPr>
        <w:lastRenderedPageBreak/>
        <w:t>The major excretory route in all species (rat, monkey and human) was faecal (</w:t>
      </w:r>
      <w:r w:rsidR="001762D3">
        <w:rPr>
          <w:rFonts w:eastAsia="TimesNewRoman"/>
        </w:rPr>
        <w:t xml:space="preserve">approximately </w:t>
      </w:r>
      <w:r>
        <w:rPr>
          <w:rFonts w:eastAsia="TimesNewRoman"/>
        </w:rPr>
        <w:t xml:space="preserve">100% of dose), with </w:t>
      </w:r>
      <w:r w:rsidR="00CF6EC4">
        <w:rPr>
          <w:rFonts w:eastAsia="TimesNewRoman"/>
        </w:rPr>
        <w:t xml:space="preserve">≤ </w:t>
      </w:r>
      <w:r>
        <w:rPr>
          <w:rFonts w:eastAsia="TimesNewRoman"/>
        </w:rPr>
        <w:t xml:space="preserve">1% of the dose excreted in urine. Studies in bile duct-cannulated rats and tissue distribution study in the same species (discussed above) showed extensive biliary excretion (PO: </w:t>
      </w:r>
      <w:r w:rsidRPr="004D587B">
        <w:rPr>
          <w:rFonts w:eastAsia="TimesNewRoman"/>
        </w:rPr>
        <w:t>24%</w:t>
      </w:r>
      <w:r>
        <w:rPr>
          <w:rFonts w:eastAsia="TimesNewRoman"/>
        </w:rPr>
        <w:t xml:space="preserve"> of dose; IV: </w:t>
      </w:r>
      <w:r w:rsidRPr="004D587B">
        <w:rPr>
          <w:rFonts w:eastAsia="TimesNewRoman"/>
        </w:rPr>
        <w:t>65%</w:t>
      </w:r>
      <w:r>
        <w:rPr>
          <w:rFonts w:eastAsia="TimesNewRoman"/>
        </w:rPr>
        <w:t xml:space="preserve"> of dose). The biliary and faecal </w:t>
      </w:r>
      <w:r w:rsidRPr="00CF6EC4">
        <w:rPr>
          <w:rFonts w:eastAsia="TimesNewRoman"/>
        </w:rPr>
        <w:t>excretion data in rats dosed with ceritinib by the IV route suggest that both biliary excretion and gastrointestinal secretion contributed to the elimination of ceritinib and metabolites.</w:t>
      </w:r>
    </w:p>
    <w:p w14:paraId="43C1A14C" w14:textId="77777777" w:rsidR="004F59A6" w:rsidRPr="00CF6EC4" w:rsidRDefault="004F59A6" w:rsidP="007D0F61">
      <w:r w:rsidRPr="00CF6EC4">
        <w:t>Overall, the pharmacokinetic profiles in rats and monkeys were sufficiently similar to that in humans to allow them to serve as appropriate models for the assessment of drug toxicity in humans.</w:t>
      </w:r>
    </w:p>
    <w:p w14:paraId="7655B427" w14:textId="77777777" w:rsidR="004F59A6" w:rsidRPr="00DB1F5B" w:rsidRDefault="004F59A6" w:rsidP="00E437C3">
      <w:pPr>
        <w:pStyle w:val="Heading4"/>
        <w:rPr>
          <w:snapToGrid w:val="0"/>
        </w:rPr>
      </w:pPr>
      <w:r w:rsidRPr="00DB1F5B">
        <w:rPr>
          <w:snapToGrid w:val="0"/>
        </w:rPr>
        <w:t>Pharmacokinetic drug interactions</w:t>
      </w:r>
    </w:p>
    <w:p w14:paraId="50ED2A50" w14:textId="77777777" w:rsidR="004F59A6" w:rsidRPr="00DB1F5B" w:rsidRDefault="004F59A6" w:rsidP="004F59A6">
      <w:pPr>
        <w:spacing w:after="220" w:line="240" w:lineRule="auto"/>
        <w:rPr>
          <w:rFonts w:eastAsia="Times New Roman"/>
          <w:snapToGrid w:val="0"/>
          <w:kern w:val="16"/>
          <w:szCs w:val="24"/>
        </w:rPr>
      </w:pPr>
      <w:r w:rsidRPr="00CF6EC4">
        <w:rPr>
          <w:rFonts w:eastAsia="Times New Roman"/>
          <w:snapToGrid w:val="0"/>
          <w:kern w:val="16"/>
          <w:szCs w:val="24"/>
        </w:rPr>
        <w:t>In vitro</w:t>
      </w:r>
      <w:r w:rsidRPr="00DB1F5B">
        <w:rPr>
          <w:rFonts w:eastAsia="Times New Roman"/>
          <w:snapToGrid w:val="0"/>
          <w:kern w:val="16"/>
          <w:szCs w:val="24"/>
        </w:rPr>
        <w:t xml:space="preserve"> studies with recombinant </w:t>
      </w:r>
      <w:r w:rsidR="00CF6EC4">
        <w:rPr>
          <w:rFonts w:eastAsia="Times New Roman"/>
          <w:snapToGrid w:val="0"/>
          <w:kern w:val="16"/>
          <w:szCs w:val="24"/>
        </w:rPr>
        <w:t>cytochrome P450 (</w:t>
      </w:r>
      <w:r w:rsidRPr="00DB1F5B">
        <w:rPr>
          <w:rFonts w:eastAsia="Times New Roman"/>
          <w:snapToGrid w:val="0"/>
          <w:kern w:val="16"/>
          <w:szCs w:val="24"/>
        </w:rPr>
        <w:t>CYP450</w:t>
      </w:r>
      <w:r w:rsidR="00CF6EC4">
        <w:rPr>
          <w:rFonts w:eastAsia="Times New Roman"/>
          <w:snapToGrid w:val="0"/>
          <w:kern w:val="16"/>
          <w:szCs w:val="24"/>
        </w:rPr>
        <w:t>)</w:t>
      </w:r>
      <w:r w:rsidRPr="00DB1F5B">
        <w:rPr>
          <w:rFonts w:eastAsia="Times New Roman"/>
          <w:snapToGrid w:val="0"/>
          <w:kern w:val="16"/>
          <w:szCs w:val="24"/>
        </w:rPr>
        <w:t xml:space="preserve"> isozymes and human hepatic microsomes and selective CYP450 inhibitors showed that CYP3A is the major enzyme in the metabolism of ceritinib. Thus, CYP3A inhibitors and inducers are expected to increase and decrease, respectively, plasma ceritinib concentrations in patients. This has been confirmed in human subjects co-administered with ceritinib and ketoconazole (CYP3A inhibitor) or rifampicin (CYP3A inducer). </w:t>
      </w:r>
    </w:p>
    <w:p w14:paraId="357D1980" w14:textId="77777777" w:rsidR="004F59A6" w:rsidRPr="00DB1F5B" w:rsidRDefault="004F59A6" w:rsidP="007D0F61">
      <w:pPr>
        <w:rPr>
          <w:snapToGrid w:val="0"/>
        </w:rPr>
      </w:pPr>
      <w:r w:rsidRPr="00DB1F5B">
        <w:rPr>
          <w:snapToGrid w:val="0"/>
        </w:rPr>
        <w:t>Assays using human liver microsomes showed that ceritinib is a potent inhibitor of CYP3A, CYP2A6 and CYP2C9 with unbound K</w:t>
      </w:r>
      <w:r w:rsidRPr="00DB1F5B">
        <w:rPr>
          <w:snapToGrid w:val="0"/>
          <w:vertAlign w:val="subscript"/>
        </w:rPr>
        <w:t>i</w:t>
      </w:r>
      <w:r w:rsidRPr="00DB1F5B">
        <w:rPr>
          <w:snapToGrid w:val="0"/>
        </w:rPr>
        <w:t xml:space="preserve"> values of 47, 9.2 and 70 nM, respectively, similar to or below the unbound human </w:t>
      </w:r>
      <w:r w:rsidR="00326B43" w:rsidRPr="004933DC">
        <w:t>C</w:t>
      </w:r>
      <w:r w:rsidR="00326B43" w:rsidRPr="00326B43">
        <w:rPr>
          <w:vertAlign w:val="subscript"/>
        </w:rPr>
        <w:t>max</w:t>
      </w:r>
      <w:r w:rsidR="00326B43">
        <w:t xml:space="preserve"> </w:t>
      </w:r>
      <w:r w:rsidRPr="00DB1F5B">
        <w:rPr>
          <w:snapToGrid w:val="0"/>
        </w:rPr>
        <w:t xml:space="preserve">of </w:t>
      </w:r>
      <w:r w:rsidR="001762D3">
        <w:rPr>
          <w:snapToGrid w:val="0"/>
        </w:rPr>
        <w:t xml:space="preserve">approximately </w:t>
      </w:r>
      <w:r w:rsidRPr="00DB1F5B">
        <w:rPr>
          <w:snapToGrid w:val="0"/>
        </w:rPr>
        <w:t>60 nM at the proposed clinical dose of 750 mg. Ceritinib also showed time</w:t>
      </w:r>
      <w:r>
        <w:rPr>
          <w:snapToGrid w:val="0"/>
        </w:rPr>
        <w:noBreakHyphen/>
      </w:r>
      <w:r w:rsidRPr="00DB1F5B">
        <w:rPr>
          <w:snapToGrid w:val="0"/>
        </w:rPr>
        <w:t>dependent inhibition of CYP3A (K</w:t>
      </w:r>
      <w:r w:rsidRPr="00DB1F5B">
        <w:rPr>
          <w:snapToGrid w:val="0"/>
          <w:vertAlign w:val="subscript"/>
        </w:rPr>
        <w:t>inact</w:t>
      </w:r>
      <w:r w:rsidRPr="00DB1F5B">
        <w:rPr>
          <w:snapToGrid w:val="0"/>
        </w:rPr>
        <w:t xml:space="preserve"> 0.0642 min</w:t>
      </w:r>
      <w:r w:rsidRPr="00DB1F5B">
        <w:rPr>
          <w:snapToGrid w:val="0"/>
          <w:vertAlign w:val="superscript"/>
        </w:rPr>
        <w:t>-1</w:t>
      </w:r>
      <w:r w:rsidRPr="00DB1F5B">
        <w:rPr>
          <w:snapToGrid w:val="0"/>
        </w:rPr>
        <w:t>). Thus</w:t>
      </w:r>
      <w:r w:rsidRPr="00834629">
        <w:rPr>
          <w:snapToGrid w:val="0"/>
        </w:rPr>
        <w:t>, ceritinib may increase plasma concentrations of drugs that are predominantly metabolised by CYP3A, 2A6 or 2C9 in patients.</w:t>
      </w:r>
      <w:r w:rsidRPr="00DB1F5B">
        <w:rPr>
          <w:snapToGrid w:val="0"/>
        </w:rPr>
        <w:t xml:space="preserve"> Moderate inhibition was observed against CYP2B6 (unbound K</w:t>
      </w:r>
      <w:r w:rsidRPr="00DB1F5B">
        <w:rPr>
          <w:snapToGrid w:val="0"/>
          <w:vertAlign w:val="subscript"/>
        </w:rPr>
        <w:t>i</w:t>
      </w:r>
      <w:r w:rsidRPr="00DB1F5B">
        <w:rPr>
          <w:snapToGrid w:val="0"/>
        </w:rPr>
        <w:t xml:space="preserve"> 780 nM) and CYP2C8 (unbound </w:t>
      </w:r>
      <w:r w:rsidR="00877F3E">
        <w:t>IC</w:t>
      </w:r>
      <w:r w:rsidR="00877F3E" w:rsidRPr="00877F3E">
        <w:rPr>
          <w:vertAlign w:val="subscript"/>
        </w:rPr>
        <w:t>50</w:t>
      </w:r>
      <w:r w:rsidRPr="00DB1F5B">
        <w:rPr>
          <w:snapToGrid w:val="0"/>
        </w:rPr>
        <w:t xml:space="preserve"> 600 nM but high K</w:t>
      </w:r>
      <w:r w:rsidRPr="00DB1F5B">
        <w:rPr>
          <w:snapToGrid w:val="0"/>
          <w:vertAlign w:val="subscript"/>
        </w:rPr>
        <w:t>i</w:t>
      </w:r>
      <w:r w:rsidRPr="00DB1F5B">
        <w:rPr>
          <w:snapToGrid w:val="0"/>
        </w:rPr>
        <w:t xml:space="preserve"> 4860 nM) and weak inhibition of CYP1A2, 2C19, 2D6 and 2E1 (unbound </w:t>
      </w:r>
      <w:r w:rsidR="00877F3E">
        <w:t>IC</w:t>
      </w:r>
      <w:r w:rsidR="00877F3E" w:rsidRPr="00877F3E">
        <w:rPr>
          <w:vertAlign w:val="subscript"/>
        </w:rPr>
        <w:t>50</w:t>
      </w:r>
      <w:r>
        <w:rPr>
          <w:snapToGrid w:val="0"/>
        </w:rPr>
        <w:t> </w:t>
      </w:r>
      <w:r w:rsidRPr="00DB1F5B">
        <w:rPr>
          <w:snapToGrid w:val="0"/>
        </w:rPr>
        <w:t>≥1.8</w:t>
      </w:r>
      <w:r>
        <w:rPr>
          <w:snapToGrid w:val="0"/>
        </w:rPr>
        <w:t> </w:t>
      </w:r>
      <w:r w:rsidRPr="00DB1F5B">
        <w:rPr>
          <w:snapToGrid w:val="0"/>
        </w:rPr>
        <w:t>μM, &gt;30</w:t>
      </w:r>
      <w:r w:rsidR="00CF6EC4">
        <w:rPr>
          <w:snapToGrid w:val="0"/>
        </w:rPr>
        <w:t xml:space="preserve"> times</w:t>
      </w:r>
      <w:r w:rsidRPr="00DB1F5B">
        <w:rPr>
          <w:snapToGrid w:val="0"/>
        </w:rPr>
        <w:t xml:space="preserve"> the clinical unbound </w:t>
      </w:r>
      <w:r w:rsidR="00E56C47" w:rsidRPr="004933DC">
        <w:t>C</w:t>
      </w:r>
      <w:r w:rsidR="00E56C47" w:rsidRPr="00326B43">
        <w:rPr>
          <w:vertAlign w:val="subscript"/>
        </w:rPr>
        <w:t>max</w:t>
      </w:r>
      <w:r w:rsidR="00E56C47" w:rsidRPr="004933DC">
        <w:t>)</w:t>
      </w:r>
      <w:r w:rsidRPr="00DB1F5B">
        <w:rPr>
          <w:snapToGrid w:val="0"/>
        </w:rPr>
        <w:t xml:space="preserve">, which are </w:t>
      </w:r>
      <w:r>
        <w:rPr>
          <w:snapToGrid w:val="0"/>
        </w:rPr>
        <w:t xml:space="preserve">of low </w:t>
      </w:r>
      <w:r w:rsidRPr="00DB1F5B">
        <w:rPr>
          <w:snapToGrid w:val="0"/>
        </w:rPr>
        <w:t xml:space="preserve">clinical </w:t>
      </w:r>
      <w:r>
        <w:rPr>
          <w:snapToGrid w:val="0"/>
        </w:rPr>
        <w:t>relevance</w:t>
      </w:r>
      <w:r w:rsidRPr="00DB1F5B">
        <w:rPr>
          <w:snapToGrid w:val="0"/>
        </w:rPr>
        <w:t xml:space="preserve">. </w:t>
      </w:r>
    </w:p>
    <w:p w14:paraId="1B48268F" w14:textId="77777777" w:rsidR="004F59A6" w:rsidRPr="00DB1F5B" w:rsidRDefault="004F59A6" w:rsidP="007D0F61">
      <w:pPr>
        <w:rPr>
          <w:snapToGrid w:val="0"/>
        </w:rPr>
      </w:pPr>
      <w:r w:rsidRPr="00CF6EC4">
        <w:rPr>
          <w:snapToGrid w:val="0"/>
        </w:rPr>
        <w:t>In vitro</w:t>
      </w:r>
      <w:r w:rsidRPr="00DB1F5B">
        <w:rPr>
          <w:snapToGrid w:val="0"/>
        </w:rPr>
        <w:t xml:space="preserve"> assays using human hepatocytes demonstrated induction of CYP3A4 mRNA expression (by 3</w:t>
      </w:r>
      <w:r>
        <w:rPr>
          <w:snapToGrid w:val="0"/>
        </w:rPr>
        <w:noBreakHyphen/>
      </w:r>
      <w:r w:rsidRPr="00DB1F5B">
        <w:rPr>
          <w:snapToGrid w:val="0"/>
        </w:rPr>
        <w:t>9 fold from all 3 donors) by ceritinib but only marginal increases in CYP3A activity (by 2 fold at 2.5</w:t>
      </w:r>
      <w:r>
        <w:rPr>
          <w:snapToGrid w:val="0"/>
        </w:rPr>
        <w:t> µ</w:t>
      </w:r>
      <w:r w:rsidRPr="00DB1F5B">
        <w:rPr>
          <w:snapToGrid w:val="0"/>
        </w:rPr>
        <w:t xml:space="preserve">M) in hepatocytes of one out of 3 donors. The lack of correlation in the induction of CYP3A mRNA and activity may be due to the time-dependent inhibition of this enzyme (discussed above). Given the inhibitory activity of ceritinib against CYP3A </w:t>
      </w:r>
      <w:r>
        <w:rPr>
          <w:snapToGrid w:val="0"/>
        </w:rPr>
        <w:t>cerit</w:t>
      </w:r>
      <w:r w:rsidR="00CF6EC4">
        <w:rPr>
          <w:snapToGrid w:val="0"/>
        </w:rPr>
        <w:t>i</w:t>
      </w:r>
      <w:r>
        <w:rPr>
          <w:snapToGrid w:val="0"/>
        </w:rPr>
        <w:t>nib</w:t>
      </w:r>
      <w:r w:rsidR="00CF6EC4">
        <w:rPr>
          <w:snapToGrid w:val="0"/>
        </w:rPr>
        <w:t xml:space="preserve"> i</w:t>
      </w:r>
      <w:r w:rsidRPr="00DB1F5B">
        <w:rPr>
          <w:snapToGrid w:val="0"/>
        </w:rPr>
        <w:t xml:space="preserve">s unlikely to increase the activity of this </w:t>
      </w:r>
      <w:r w:rsidRPr="00CF6EC4">
        <w:rPr>
          <w:snapToGrid w:val="0"/>
        </w:rPr>
        <w:t>enzyme in vivo.</w:t>
      </w:r>
      <w:r w:rsidRPr="00DB1F5B">
        <w:rPr>
          <w:snapToGrid w:val="0"/>
        </w:rPr>
        <w:t xml:space="preserve"> In addition, </w:t>
      </w:r>
      <w:r w:rsidRPr="00DB1F5B">
        <w:rPr>
          <w:rFonts w:eastAsia="SimSun"/>
          <w:lang w:eastAsia="zh-CN"/>
        </w:rPr>
        <w:t xml:space="preserve">ceritinib was not an activator of human </w:t>
      </w:r>
      <w:r w:rsidR="00E56C47" w:rsidRPr="00DB1F5B">
        <w:rPr>
          <w:rFonts w:eastAsia="SimSun"/>
          <w:lang w:eastAsia="zh-CN"/>
        </w:rPr>
        <w:t>Pregnane</w:t>
      </w:r>
      <w:r w:rsidRPr="00DB1F5B">
        <w:rPr>
          <w:rFonts w:eastAsia="SimSun"/>
          <w:lang w:eastAsia="zh-CN"/>
        </w:rPr>
        <w:t xml:space="preserve"> X-receptor, which is used to investigate the potential of chemicals to induce the CYP3A4 gene in humans </w:t>
      </w:r>
      <w:r w:rsidRPr="00DB1F5B">
        <w:rPr>
          <w:rFonts w:eastAsia="SimSun"/>
          <w:iCs/>
          <w:lang w:eastAsia="zh-CN"/>
        </w:rPr>
        <w:t>at</w:t>
      </w:r>
      <w:r w:rsidRPr="00DB1F5B">
        <w:rPr>
          <w:rFonts w:eastAsia="SimSun"/>
          <w:i/>
          <w:iCs/>
          <w:lang w:eastAsia="zh-CN"/>
        </w:rPr>
        <w:t xml:space="preserve"> </w:t>
      </w:r>
      <w:r w:rsidRPr="00DB1F5B">
        <w:rPr>
          <w:rFonts w:eastAsia="SimSun"/>
          <w:lang w:eastAsia="zh-CN"/>
        </w:rPr>
        <w:t>up to 1 μM (the highest non-cytotoxic concentration).</w:t>
      </w:r>
      <w:r w:rsidRPr="00DB1F5B">
        <w:rPr>
          <w:snapToGrid w:val="0"/>
        </w:rPr>
        <w:t xml:space="preserve"> Ceritinib at up to 2.5 μM did not induce the activity or mRNA expression of CYP1A2, 2B6 or 2C9.</w:t>
      </w:r>
      <w:r w:rsidR="000E3918">
        <w:rPr>
          <w:snapToGrid w:val="0"/>
        </w:rPr>
        <w:t xml:space="preserve"> </w:t>
      </w:r>
    </w:p>
    <w:p w14:paraId="39FBF45F" w14:textId="77777777" w:rsidR="004F59A6" w:rsidRPr="00DB1F5B" w:rsidRDefault="004F59A6" w:rsidP="007D0F61">
      <w:pPr>
        <w:rPr>
          <w:rFonts w:eastAsia="SimSun"/>
          <w:lang w:eastAsia="zh-CN"/>
        </w:rPr>
      </w:pPr>
      <w:r w:rsidRPr="00DB1F5B">
        <w:rPr>
          <w:snapToGrid w:val="0"/>
        </w:rPr>
        <w:t>Ceritinib is a substrate of P-glycoprotein (P-gp). Absorption and distribution to tissues expressing P</w:t>
      </w:r>
      <w:r>
        <w:rPr>
          <w:snapToGrid w:val="0"/>
        </w:rPr>
        <w:noBreakHyphen/>
      </w:r>
      <w:r w:rsidRPr="00DB1F5B">
        <w:rPr>
          <w:snapToGrid w:val="0"/>
        </w:rPr>
        <w:t xml:space="preserve">gp may be altered by P-gp inhibitors and/or inducers. Hepatic uptake transporters, </w:t>
      </w:r>
      <w:r w:rsidR="00CF6EC4">
        <w:rPr>
          <w:snapToGrid w:val="0"/>
        </w:rPr>
        <w:t>organic cation transporter 1 (</w:t>
      </w:r>
      <w:r w:rsidRPr="00DB1F5B">
        <w:rPr>
          <w:rFonts w:eastAsia="SimSun"/>
          <w:lang w:eastAsia="zh-CN"/>
        </w:rPr>
        <w:t>OCT1</w:t>
      </w:r>
      <w:r w:rsidR="00CF6EC4">
        <w:rPr>
          <w:rFonts w:eastAsia="SimSun"/>
          <w:lang w:eastAsia="zh-CN"/>
        </w:rPr>
        <w:t>)</w:t>
      </w:r>
      <w:r w:rsidRPr="00DB1F5B">
        <w:rPr>
          <w:rFonts w:eastAsia="SimSun"/>
          <w:lang w:eastAsia="zh-CN"/>
        </w:rPr>
        <w:t xml:space="preserve">, </w:t>
      </w:r>
      <w:r w:rsidR="00CF6EC4">
        <w:rPr>
          <w:rFonts w:eastAsia="SimSun"/>
          <w:lang w:eastAsia="zh-CN"/>
        </w:rPr>
        <w:t>organic anion transporter 2 (</w:t>
      </w:r>
      <w:r w:rsidRPr="00DB1F5B">
        <w:rPr>
          <w:rFonts w:eastAsia="SimSun"/>
          <w:lang w:eastAsia="zh-CN"/>
        </w:rPr>
        <w:t>OAT2</w:t>
      </w:r>
      <w:r w:rsidR="00CF6EC4">
        <w:rPr>
          <w:rFonts w:eastAsia="SimSun"/>
          <w:lang w:eastAsia="zh-CN"/>
        </w:rPr>
        <w:t>)</w:t>
      </w:r>
      <w:r w:rsidRPr="00DB1F5B">
        <w:rPr>
          <w:rFonts w:eastAsia="SimSun"/>
          <w:lang w:eastAsia="zh-CN"/>
        </w:rPr>
        <w:t xml:space="preserve">, OATP1B1 and OATP2B1 have little to no effects on the uptake of ceritinib in genetically engineered cells expressing these transporters. </w:t>
      </w:r>
    </w:p>
    <w:p w14:paraId="11DAB1BD" w14:textId="77777777" w:rsidR="004334C7" w:rsidRDefault="004F59A6" w:rsidP="007D0F61">
      <w:r w:rsidRPr="00DB1F5B">
        <w:rPr>
          <w:rFonts w:eastAsia="SimSun"/>
          <w:lang w:eastAsia="zh-CN"/>
        </w:rPr>
        <w:t xml:space="preserve">Ceritinib (1.5 </w:t>
      </w:r>
      <w:r>
        <w:rPr>
          <w:rFonts w:eastAsia="SimSun"/>
          <w:lang w:eastAsia="zh-CN"/>
        </w:rPr>
        <w:t>µ</w:t>
      </w:r>
      <w:r w:rsidRPr="00DB1F5B">
        <w:rPr>
          <w:rFonts w:eastAsia="SimSun"/>
          <w:lang w:eastAsia="zh-CN"/>
        </w:rPr>
        <w:t>M,</w:t>
      </w:r>
      <w:r>
        <w:rPr>
          <w:rFonts w:eastAsia="SimSun"/>
          <w:lang w:eastAsia="zh-CN"/>
        </w:rPr>
        <w:t xml:space="preserve"> test concentration</w:t>
      </w:r>
      <w:r w:rsidRPr="00DB1F5B">
        <w:rPr>
          <w:rFonts w:eastAsia="SimSun"/>
          <w:lang w:eastAsia="zh-CN"/>
        </w:rPr>
        <w:t xml:space="preserve"> limited by solubility) is not an inhibitor of P-gp, BCRP or MRP2. No inhibition of organic anion/cation transporters, OAT3 and OCT2 and only weak inhibition </w:t>
      </w:r>
      <w:r>
        <w:rPr>
          <w:rFonts w:eastAsia="SimSun"/>
          <w:lang w:eastAsia="zh-CN"/>
        </w:rPr>
        <w:t xml:space="preserve">of </w:t>
      </w:r>
      <w:r w:rsidRPr="00DB1F5B">
        <w:rPr>
          <w:rFonts w:eastAsia="SimSun"/>
          <w:lang w:eastAsia="zh-CN"/>
        </w:rPr>
        <w:t>OAT1, OCT1, OATP1B1 and OATP1B3 (&lt;40% inhibition at 5 μM)</w:t>
      </w:r>
      <w:r>
        <w:rPr>
          <w:rFonts w:eastAsia="SimSun"/>
          <w:lang w:eastAsia="zh-CN"/>
        </w:rPr>
        <w:t xml:space="preserve"> </w:t>
      </w:r>
      <w:r w:rsidRPr="00DB1F5B">
        <w:rPr>
          <w:rFonts w:eastAsia="SimSun"/>
          <w:lang w:eastAsia="zh-CN"/>
        </w:rPr>
        <w:t xml:space="preserve">was observed. </w:t>
      </w:r>
      <w:r w:rsidRPr="00DB1F5B">
        <w:rPr>
          <w:snapToGrid w:val="0"/>
          <w:kern w:val="2"/>
        </w:rPr>
        <w:t xml:space="preserve">As the unbound clinical </w:t>
      </w:r>
      <w:r w:rsidR="00326B43" w:rsidRPr="004933DC">
        <w:t>C</w:t>
      </w:r>
      <w:r w:rsidR="00326B43" w:rsidRPr="00326B43">
        <w:rPr>
          <w:vertAlign w:val="subscript"/>
        </w:rPr>
        <w:t>max</w:t>
      </w:r>
      <w:r w:rsidR="00326B43">
        <w:t xml:space="preserve"> </w:t>
      </w:r>
      <w:r w:rsidRPr="00DB1F5B">
        <w:rPr>
          <w:snapToGrid w:val="0"/>
          <w:kern w:val="2"/>
        </w:rPr>
        <w:t xml:space="preserve">is </w:t>
      </w:r>
      <w:r w:rsidR="001762D3">
        <w:rPr>
          <w:snapToGrid w:val="0"/>
          <w:kern w:val="2"/>
        </w:rPr>
        <w:t xml:space="preserve">approximately </w:t>
      </w:r>
      <w:r w:rsidRPr="00DB1F5B">
        <w:rPr>
          <w:snapToGrid w:val="0"/>
          <w:kern w:val="2"/>
        </w:rPr>
        <w:t>60 nM, inhibition of these transporters is not expected clinically.</w:t>
      </w:r>
    </w:p>
    <w:p w14:paraId="0DE14F3E" w14:textId="77777777" w:rsidR="001B5C90" w:rsidRDefault="008E7846" w:rsidP="001B5C90">
      <w:pPr>
        <w:pStyle w:val="Heading3"/>
      </w:pPr>
      <w:bookmarkStart w:id="50" w:name="_Toc507501104"/>
      <w:r>
        <w:lastRenderedPageBreak/>
        <w:t>Toxicology</w:t>
      </w:r>
      <w:bookmarkEnd w:id="48"/>
      <w:bookmarkEnd w:id="49"/>
      <w:bookmarkEnd w:id="50"/>
    </w:p>
    <w:p w14:paraId="17A9BE1D" w14:textId="77777777" w:rsidR="004F59A6" w:rsidRPr="00EB69F1" w:rsidRDefault="004F59A6" w:rsidP="00B15D1A">
      <w:pPr>
        <w:pStyle w:val="Heading4"/>
      </w:pPr>
      <w:bookmarkStart w:id="51" w:name="_Toc294861727"/>
      <w:r w:rsidRPr="00EB69F1">
        <w:t>Acute toxicity</w:t>
      </w:r>
      <w:bookmarkEnd w:id="51"/>
    </w:p>
    <w:p w14:paraId="65EF280A" w14:textId="77777777" w:rsidR="004F59A6" w:rsidRPr="00B15D1A" w:rsidRDefault="004F59A6" w:rsidP="00B15D1A">
      <w:r>
        <w:t>A study investigating single dose toxicity in monkeys found no significant treatment</w:t>
      </w:r>
      <w:r w:rsidR="00B15D1A">
        <w:t xml:space="preserve"> </w:t>
      </w:r>
      <w:r>
        <w:t xml:space="preserve">related changes in haematology parameters, body weight gain or food consumption. A mild increase in serum </w:t>
      </w:r>
      <w:r w:rsidR="00B15D1A">
        <w:t>aspartate aminotransferase (</w:t>
      </w:r>
      <w:r>
        <w:t>AST</w:t>
      </w:r>
      <w:r w:rsidR="00B15D1A">
        <w:t>)</w:t>
      </w:r>
      <w:r>
        <w:t xml:space="preserve"> and </w:t>
      </w:r>
      <w:r w:rsidR="00B15D1A">
        <w:t>alanine aminotransferase (</w:t>
      </w:r>
      <w:r>
        <w:t>ALT</w:t>
      </w:r>
      <w:r w:rsidR="00B15D1A">
        <w:t>)</w:t>
      </w:r>
      <w:r>
        <w:t xml:space="preserve"> was observed 2</w:t>
      </w:r>
      <w:r w:rsidR="00B15D1A">
        <w:t xml:space="preserve"> to </w:t>
      </w:r>
      <w:r>
        <w:t xml:space="preserve">3 weeks after dosing at </w:t>
      </w:r>
      <w:r w:rsidRPr="00B15D1A">
        <w:t>120 and 250 mg/kg (</w:t>
      </w:r>
      <w:r w:rsidR="00326B43" w:rsidRPr="004933DC">
        <w:t>C</w:t>
      </w:r>
      <w:r w:rsidR="00326B43" w:rsidRPr="00326B43">
        <w:rPr>
          <w:vertAlign w:val="subscript"/>
        </w:rPr>
        <w:t>max</w:t>
      </w:r>
      <w:r w:rsidR="00326B43">
        <w:t xml:space="preserve"> </w:t>
      </w:r>
      <w:r w:rsidRPr="00B15D1A">
        <w:t xml:space="preserve">similar to the clinical </w:t>
      </w:r>
      <w:r w:rsidR="00326B43" w:rsidRPr="004933DC">
        <w:t>C</w:t>
      </w:r>
      <w:r w:rsidR="00326B43" w:rsidRPr="00326B43">
        <w:rPr>
          <w:vertAlign w:val="subscript"/>
        </w:rPr>
        <w:t>max</w:t>
      </w:r>
      <w:r w:rsidR="00326B43">
        <w:t xml:space="preserve"> </w:t>
      </w:r>
      <w:r w:rsidRPr="00B15D1A">
        <w:t xml:space="preserve">at the proposed daily dose of 750 mg). </w:t>
      </w:r>
    </w:p>
    <w:p w14:paraId="22DFE8BE" w14:textId="77777777" w:rsidR="004F59A6" w:rsidRPr="00EB69F1" w:rsidRDefault="004F59A6" w:rsidP="00B15D1A">
      <w:pPr>
        <w:pStyle w:val="Heading4"/>
      </w:pPr>
      <w:bookmarkStart w:id="52" w:name="_Toc294861728"/>
      <w:r w:rsidRPr="00EB69F1">
        <w:t>Repeat-dose toxicity</w:t>
      </w:r>
      <w:bookmarkEnd w:id="52"/>
    </w:p>
    <w:p w14:paraId="02F08417" w14:textId="77777777" w:rsidR="004F59A6" w:rsidRDefault="004F59A6" w:rsidP="007D0F61">
      <w:r>
        <w:t>Repeat dose toxicity studies of 2 weeks to 3 months in Wistar rats and cynomolgus monkeys assess</w:t>
      </w:r>
      <w:r w:rsidR="00B15D1A">
        <w:t>ed</w:t>
      </w:r>
      <w:r>
        <w:t xml:space="preserve"> the toxicity profile of daily PO administration of ceritinib. The pivotal studies we</w:t>
      </w:r>
      <w:r w:rsidR="00B15D1A">
        <w:t>re GLP compliant</w:t>
      </w:r>
      <w:r>
        <w:t xml:space="preserve"> and the number of animals and species used and duration of study were as recommended in the ICH guideline S9 Nonclinical evaluation of anticancer pharmaceuticals. To investigate the reversibility of effects, studies were conducted in both species with a 4</w:t>
      </w:r>
      <w:r w:rsidR="00B15D1A">
        <w:t xml:space="preserve"> </w:t>
      </w:r>
      <w:r>
        <w:t>week recovery (4 week study duration) or 8</w:t>
      </w:r>
      <w:r w:rsidR="00B15D1A">
        <w:t xml:space="preserve"> </w:t>
      </w:r>
      <w:r>
        <w:t xml:space="preserve">week recovery period (3 month study duration). </w:t>
      </w:r>
    </w:p>
    <w:p w14:paraId="60080945" w14:textId="77777777" w:rsidR="004F59A6" w:rsidRDefault="004F59A6" w:rsidP="007D0F61">
      <w:r>
        <w:t xml:space="preserve">The highest dose </w:t>
      </w:r>
      <w:r w:rsidRPr="00AA2D05">
        <w:t xml:space="preserve">in male rats </w:t>
      </w:r>
      <w:r>
        <w:t xml:space="preserve">in the </w:t>
      </w:r>
      <w:r w:rsidRPr="00AA2D05">
        <w:t>13</w:t>
      </w:r>
      <w:r w:rsidR="00B15D1A">
        <w:t xml:space="preserve"> </w:t>
      </w:r>
      <w:r w:rsidRPr="00AA2D05">
        <w:t xml:space="preserve">week </w:t>
      </w:r>
      <w:r>
        <w:t xml:space="preserve">study </w:t>
      </w:r>
      <w:r w:rsidRPr="00AA2D05">
        <w:t>resulted in reduced body weight gain</w:t>
      </w:r>
      <w:r>
        <w:t>,</w:t>
      </w:r>
      <w:r w:rsidRPr="00AA2D05">
        <w:t xml:space="preserve"> </w:t>
      </w:r>
      <w:r>
        <w:t>which</w:t>
      </w:r>
      <w:r w:rsidRPr="00AA2D05">
        <w:t xml:space="preserve"> remained lower </w:t>
      </w:r>
      <w:r>
        <w:t>than</w:t>
      </w:r>
      <w:r w:rsidRPr="00AA2D05">
        <w:t xml:space="preserve"> control over the duration of the recovery period.</w:t>
      </w:r>
      <w:r w:rsidR="000E3918">
        <w:t xml:space="preserve"> </w:t>
      </w:r>
      <w:r>
        <w:t>There were no treatment</w:t>
      </w:r>
      <w:r w:rsidR="00B15D1A">
        <w:t xml:space="preserve"> </w:t>
      </w:r>
      <w:r>
        <w:t>related effects on body weight gain in the 13</w:t>
      </w:r>
      <w:r w:rsidR="00B15D1A">
        <w:t xml:space="preserve"> </w:t>
      </w:r>
      <w:r>
        <w:t xml:space="preserve">week monkey study but the monkeys experienced vomiting at all doses and liquid faeces at the high dose during the treatment period. Rats and monkeys survived through to scheduled sacrifice in all studies, except for one male monkey, which was </w:t>
      </w:r>
      <w:r w:rsidR="00B15D1A">
        <w:t>moribund and euthanis</w:t>
      </w:r>
      <w:r w:rsidRPr="0073066C">
        <w:t>ed on Day 10</w:t>
      </w:r>
      <w:r w:rsidR="00B15D1A">
        <w:t xml:space="preserve"> at 100 mg/kg/day in a 2 </w:t>
      </w:r>
      <w:r>
        <w:t xml:space="preserve">week pilot study. </w:t>
      </w:r>
    </w:p>
    <w:p w14:paraId="2F588EA3" w14:textId="77777777" w:rsidR="004F59A6" w:rsidRPr="00EB69F1" w:rsidRDefault="004F59A6" w:rsidP="00B15D1A">
      <w:pPr>
        <w:pStyle w:val="Heading5"/>
      </w:pPr>
      <w:r w:rsidRPr="00EB69F1">
        <w:t>Relative exposure</w:t>
      </w:r>
    </w:p>
    <w:p w14:paraId="7364C347" w14:textId="77777777" w:rsidR="004F59A6" w:rsidRPr="00B15D1A" w:rsidRDefault="004F59A6" w:rsidP="00B15D1A">
      <w:r>
        <w:t>Toxicokinetic analysis indicated that maximum plasma concentrations for ceritinib (T</w:t>
      </w:r>
      <w:r w:rsidRPr="00613763">
        <w:rPr>
          <w:vertAlign w:val="subscript"/>
        </w:rPr>
        <w:t>max</w:t>
      </w:r>
      <w:r>
        <w:t>) were reached between 3</w:t>
      </w:r>
      <w:r w:rsidR="00B15D1A">
        <w:t xml:space="preserve"> to </w:t>
      </w:r>
      <w:r>
        <w:t>10 h post-dose for both species with only slight gender differences. Ceritinib exposure in both rats and monkeys increased with dose. There was only slight accumulation with repeated dosing except for the mid and high doses in the 3</w:t>
      </w:r>
      <w:r w:rsidR="00B15D1A">
        <w:t xml:space="preserve"> </w:t>
      </w:r>
      <w:r>
        <w:t>month monkey study where AUC</w:t>
      </w:r>
      <w:r w:rsidRPr="00D35EAA">
        <w:rPr>
          <w:vertAlign w:val="subscript"/>
        </w:rPr>
        <w:t>0-24h</w:t>
      </w:r>
      <w:r>
        <w:t xml:space="preserve"> on day 73 was 1.5</w:t>
      </w:r>
      <w:r w:rsidR="00B15D1A">
        <w:t xml:space="preserve"> to 3 fold higher than the D</w:t>
      </w:r>
      <w:r>
        <w:t>ay 1 value. Overall, ceritinib (</w:t>
      </w:r>
      <w:r w:rsidR="00CF6EC4">
        <w:t xml:space="preserve">≤ </w:t>
      </w:r>
      <w:r>
        <w:t>30 mg/kg/day; PO) was well tolerated in both rats and monkeys but the exposures were low</w:t>
      </w:r>
      <w:r w:rsidRPr="00B15D1A">
        <w:t>.</w:t>
      </w:r>
    </w:p>
    <w:p w14:paraId="7BA4603E" w14:textId="77777777" w:rsidR="00C9747E" w:rsidRDefault="004F59A6" w:rsidP="004F59A6">
      <w:r w:rsidRPr="00D35EAA">
        <w:t>Animal:</w:t>
      </w:r>
      <w:r w:rsidR="00B15D1A">
        <w:t xml:space="preserve"> </w:t>
      </w:r>
      <w:r w:rsidRPr="00D35EAA">
        <w:t xml:space="preserve">human </w:t>
      </w:r>
      <w:r>
        <w:t xml:space="preserve">exposure ratios were calculated based on plasma </w:t>
      </w:r>
      <w:r w:rsidR="00B15D1A">
        <w:t>the area under the plasma concentration versus time curve from time 0 to 24 h (</w:t>
      </w:r>
      <w:r>
        <w:t>AUC</w:t>
      </w:r>
      <w:r w:rsidRPr="00AD3D73">
        <w:rPr>
          <w:vertAlign w:val="subscript"/>
        </w:rPr>
        <w:t>0-24h</w:t>
      </w:r>
      <w:r w:rsidR="00B15D1A">
        <w:t>) (Table 2</w:t>
      </w:r>
      <w:r>
        <w:t>). Low relative exposure ratios were achieved at the highest doses in the pivotal repeat dose studies for both species.</w:t>
      </w:r>
    </w:p>
    <w:p w14:paraId="6C0D28A0" w14:textId="77777777" w:rsidR="004F59A6" w:rsidRPr="000863D2" w:rsidRDefault="004F59A6" w:rsidP="00B15D1A">
      <w:pPr>
        <w:pStyle w:val="TableTitle"/>
        <w:rPr>
          <w:snapToGrid w:val="0"/>
        </w:rPr>
      </w:pPr>
      <w:r w:rsidRPr="000863D2">
        <w:rPr>
          <w:snapToGrid w:val="0"/>
        </w:rPr>
        <w:t xml:space="preserve">Table </w:t>
      </w:r>
      <w:r w:rsidR="00B15D1A">
        <w:rPr>
          <w:snapToGrid w:val="0"/>
        </w:rPr>
        <w:t>2</w:t>
      </w:r>
      <w:r>
        <w:rPr>
          <w:snapToGrid w:val="0"/>
        </w:rPr>
        <w:t>:</w:t>
      </w:r>
      <w:r w:rsidRPr="000863D2">
        <w:rPr>
          <w:snapToGrid w:val="0"/>
        </w:rPr>
        <w:t xml:space="preserve"> Relative exposure in </w:t>
      </w:r>
      <w:r>
        <w:rPr>
          <w:snapToGrid w:val="0"/>
        </w:rPr>
        <w:t xml:space="preserve">pivotal </w:t>
      </w:r>
      <w:r w:rsidRPr="000863D2">
        <w:rPr>
          <w:snapToGrid w:val="0"/>
        </w:rPr>
        <w:t>repeat-dose toxicity studies</w:t>
      </w:r>
    </w:p>
    <w:tbl>
      <w:tblPr>
        <w:tblStyle w:val="TableTGAblue"/>
        <w:tblW w:w="8844" w:type="dxa"/>
        <w:tblLayout w:type="fixed"/>
        <w:tblLook w:val="01E0" w:firstRow="1" w:lastRow="1" w:firstColumn="1" w:lastColumn="1" w:noHBand="0" w:noVBand="0"/>
        <w:tblDescription w:val="Table 2: Relative exposure in pivotal repeat-dose toxicity studies"/>
      </w:tblPr>
      <w:tblGrid>
        <w:gridCol w:w="1910"/>
        <w:gridCol w:w="1884"/>
        <w:gridCol w:w="1843"/>
        <w:gridCol w:w="1481"/>
        <w:gridCol w:w="1726"/>
      </w:tblGrid>
      <w:tr w:rsidR="004F59A6" w:rsidRPr="000863D2" w14:paraId="2F376A5D" w14:textId="77777777" w:rsidTr="00E011B7">
        <w:trPr>
          <w:cnfStyle w:val="100000000000" w:firstRow="1" w:lastRow="0" w:firstColumn="0" w:lastColumn="0" w:oddVBand="0" w:evenVBand="0" w:oddHBand="0" w:evenHBand="0" w:firstRowFirstColumn="0" w:firstRowLastColumn="0" w:lastRowFirstColumn="0" w:lastRowLastColumn="0"/>
          <w:cantSplit/>
        </w:trPr>
        <w:tc>
          <w:tcPr>
            <w:tcW w:w="1910" w:type="dxa"/>
          </w:tcPr>
          <w:p w14:paraId="4FDC76F0" w14:textId="77777777" w:rsidR="004F59A6" w:rsidRPr="00B15D1A" w:rsidRDefault="004F59A6" w:rsidP="004F59A6">
            <w:pPr>
              <w:keepLines/>
              <w:widowControl w:val="0"/>
              <w:spacing w:after="0" w:line="240" w:lineRule="auto"/>
              <w:jc w:val="center"/>
              <w:rPr>
                <w:rFonts w:eastAsia="MS Mincho"/>
                <w:kern w:val="2"/>
                <w:sz w:val="19"/>
                <w:szCs w:val="19"/>
              </w:rPr>
            </w:pPr>
            <w:r w:rsidRPr="00B15D1A">
              <w:rPr>
                <w:rFonts w:eastAsia="MS Mincho"/>
                <w:kern w:val="2"/>
                <w:sz w:val="19"/>
                <w:szCs w:val="19"/>
              </w:rPr>
              <w:t>Species</w:t>
            </w:r>
          </w:p>
        </w:tc>
        <w:tc>
          <w:tcPr>
            <w:tcW w:w="1884" w:type="dxa"/>
          </w:tcPr>
          <w:p w14:paraId="57CBB5EB" w14:textId="77777777" w:rsidR="004F59A6" w:rsidRPr="00B15D1A" w:rsidRDefault="004F59A6" w:rsidP="004F59A6">
            <w:pPr>
              <w:keepLines/>
              <w:widowControl w:val="0"/>
              <w:spacing w:after="0" w:line="240" w:lineRule="auto"/>
              <w:jc w:val="center"/>
              <w:rPr>
                <w:rFonts w:eastAsia="MS Mincho"/>
                <w:kern w:val="2"/>
                <w:sz w:val="19"/>
                <w:szCs w:val="19"/>
              </w:rPr>
            </w:pPr>
            <w:r w:rsidRPr="00B15D1A">
              <w:rPr>
                <w:rFonts w:eastAsia="MS Mincho"/>
                <w:kern w:val="2"/>
                <w:sz w:val="19"/>
                <w:szCs w:val="19"/>
              </w:rPr>
              <w:t xml:space="preserve">Study </w:t>
            </w:r>
            <w:proofErr w:type="gramStart"/>
            <w:r w:rsidRPr="00B15D1A">
              <w:rPr>
                <w:rFonts w:eastAsia="MS Mincho"/>
                <w:kern w:val="2"/>
                <w:sz w:val="19"/>
                <w:szCs w:val="19"/>
              </w:rPr>
              <w:t>duration</w:t>
            </w:r>
            <w:proofErr w:type="gramEnd"/>
            <w:r w:rsidRPr="00B15D1A">
              <w:rPr>
                <w:rFonts w:eastAsia="MS Mincho"/>
                <w:kern w:val="2"/>
                <w:sz w:val="19"/>
                <w:szCs w:val="19"/>
              </w:rPr>
              <w:br/>
              <w:t>[Study no.]</w:t>
            </w:r>
          </w:p>
        </w:tc>
        <w:tc>
          <w:tcPr>
            <w:tcW w:w="1843" w:type="dxa"/>
          </w:tcPr>
          <w:p w14:paraId="3D0EE551" w14:textId="77777777" w:rsidR="004F59A6" w:rsidRPr="00B15D1A" w:rsidRDefault="004F59A6" w:rsidP="004F59A6">
            <w:pPr>
              <w:keepLines/>
              <w:widowControl w:val="0"/>
              <w:spacing w:after="0" w:line="240" w:lineRule="auto"/>
              <w:jc w:val="center"/>
              <w:rPr>
                <w:rFonts w:eastAsia="MS Mincho"/>
                <w:kern w:val="2"/>
                <w:sz w:val="19"/>
                <w:szCs w:val="19"/>
              </w:rPr>
            </w:pPr>
            <w:r w:rsidRPr="00B15D1A">
              <w:rPr>
                <w:rFonts w:eastAsia="MS Mincho"/>
                <w:kern w:val="2"/>
                <w:sz w:val="19"/>
                <w:szCs w:val="19"/>
              </w:rPr>
              <w:t>Dose</w:t>
            </w:r>
            <w:r w:rsidRPr="00B15D1A">
              <w:rPr>
                <w:rFonts w:eastAsia="MS Mincho"/>
                <w:kern w:val="2"/>
                <w:sz w:val="19"/>
                <w:szCs w:val="19"/>
              </w:rPr>
              <w:br/>
              <w:t>(mg/kg/day)</w:t>
            </w:r>
          </w:p>
        </w:tc>
        <w:tc>
          <w:tcPr>
            <w:tcW w:w="1481" w:type="dxa"/>
          </w:tcPr>
          <w:p w14:paraId="7F80324F" w14:textId="77777777" w:rsidR="004F59A6" w:rsidRPr="00B15D1A" w:rsidRDefault="004F59A6" w:rsidP="004F59A6">
            <w:pPr>
              <w:keepLines/>
              <w:widowControl w:val="0"/>
              <w:spacing w:after="0" w:line="240" w:lineRule="auto"/>
              <w:jc w:val="center"/>
              <w:rPr>
                <w:rFonts w:eastAsia="MS Mincho"/>
                <w:kern w:val="2"/>
                <w:sz w:val="19"/>
                <w:szCs w:val="19"/>
              </w:rPr>
            </w:pPr>
            <w:r w:rsidRPr="00B15D1A">
              <w:rPr>
                <w:rFonts w:eastAsia="MS Mincho"/>
                <w:kern w:val="2"/>
                <w:sz w:val="19"/>
                <w:szCs w:val="19"/>
              </w:rPr>
              <w:t>AUC</w:t>
            </w:r>
            <w:r w:rsidRPr="00B15D1A">
              <w:rPr>
                <w:rFonts w:eastAsia="MS Mincho"/>
                <w:kern w:val="2"/>
                <w:sz w:val="19"/>
                <w:szCs w:val="19"/>
                <w:vertAlign w:val="subscript"/>
              </w:rPr>
              <w:t>0–24</w:t>
            </w:r>
            <w:r w:rsidRPr="00B15D1A">
              <w:rPr>
                <w:rFonts w:eastAsia="MS Mincho"/>
                <w:w w:val="50"/>
                <w:kern w:val="2"/>
                <w:sz w:val="19"/>
                <w:szCs w:val="19"/>
                <w:vertAlign w:val="subscript"/>
              </w:rPr>
              <w:t> </w:t>
            </w:r>
            <w:r w:rsidRPr="00B15D1A">
              <w:rPr>
                <w:rFonts w:eastAsia="MS Mincho"/>
                <w:kern w:val="2"/>
                <w:sz w:val="19"/>
                <w:szCs w:val="19"/>
                <w:vertAlign w:val="subscript"/>
              </w:rPr>
              <w:t>h</w:t>
            </w:r>
            <w:r w:rsidRPr="00B15D1A">
              <w:rPr>
                <w:rFonts w:eastAsia="MS Mincho"/>
                <w:kern w:val="2"/>
                <w:sz w:val="19"/>
                <w:szCs w:val="19"/>
              </w:rPr>
              <w:t>^</w:t>
            </w:r>
            <w:r w:rsidRPr="00B15D1A">
              <w:rPr>
                <w:rFonts w:eastAsia="MS Mincho"/>
                <w:kern w:val="2"/>
                <w:sz w:val="19"/>
                <w:szCs w:val="19"/>
              </w:rPr>
              <w:br/>
              <w:t>(ng∙h/mL)</w:t>
            </w:r>
          </w:p>
        </w:tc>
        <w:tc>
          <w:tcPr>
            <w:tcW w:w="1726" w:type="dxa"/>
          </w:tcPr>
          <w:p w14:paraId="7416F163" w14:textId="77777777" w:rsidR="004F59A6" w:rsidRPr="00B15D1A" w:rsidRDefault="004F59A6" w:rsidP="004F59A6">
            <w:pPr>
              <w:keepLines/>
              <w:widowControl w:val="0"/>
              <w:spacing w:after="0" w:line="240" w:lineRule="auto"/>
              <w:jc w:val="center"/>
              <w:rPr>
                <w:rFonts w:eastAsia="MS Mincho"/>
                <w:kern w:val="2"/>
                <w:sz w:val="19"/>
                <w:szCs w:val="19"/>
              </w:rPr>
            </w:pPr>
            <w:r w:rsidRPr="00B15D1A">
              <w:rPr>
                <w:rFonts w:eastAsia="MS Mincho"/>
                <w:kern w:val="2"/>
                <w:sz w:val="19"/>
                <w:szCs w:val="19"/>
              </w:rPr>
              <w:t>Exposure ratio</w:t>
            </w:r>
            <w:r w:rsidRPr="00B15D1A">
              <w:rPr>
                <w:rFonts w:eastAsia="MS Mincho"/>
                <w:kern w:val="2"/>
                <w:sz w:val="19"/>
                <w:szCs w:val="19"/>
                <w:vertAlign w:val="superscript"/>
              </w:rPr>
              <w:t>#</w:t>
            </w:r>
          </w:p>
        </w:tc>
      </w:tr>
      <w:tr w:rsidR="004F59A6" w:rsidRPr="000863D2" w14:paraId="69627668" w14:textId="77777777" w:rsidTr="00E011B7">
        <w:trPr>
          <w:trHeight w:val="298"/>
        </w:trPr>
        <w:tc>
          <w:tcPr>
            <w:tcW w:w="1910" w:type="dxa"/>
            <w:vMerge w:val="restart"/>
          </w:tcPr>
          <w:p w14:paraId="7BF82DF3" w14:textId="77777777" w:rsidR="004F59A6" w:rsidRPr="000863D2" w:rsidRDefault="004F59A6" w:rsidP="00493AFB">
            <w:pPr>
              <w:rPr>
                <w:b/>
                <w:snapToGrid w:val="0"/>
              </w:rPr>
            </w:pPr>
            <w:r w:rsidRPr="000863D2">
              <w:rPr>
                <w:b/>
                <w:snapToGrid w:val="0"/>
              </w:rPr>
              <w:t>Rat</w:t>
            </w:r>
            <w:r w:rsidRPr="005B7350">
              <w:rPr>
                <w:snapToGrid w:val="0"/>
              </w:rPr>
              <w:br/>
              <w:t>(Wistar</w:t>
            </w:r>
            <w:r>
              <w:rPr>
                <w:snapToGrid w:val="0"/>
              </w:rPr>
              <w:t xml:space="preserve"> Hannover</w:t>
            </w:r>
            <w:r w:rsidRPr="000863D2">
              <w:rPr>
                <w:snapToGrid w:val="0"/>
              </w:rPr>
              <w:t>)</w:t>
            </w:r>
          </w:p>
        </w:tc>
        <w:tc>
          <w:tcPr>
            <w:tcW w:w="1884" w:type="dxa"/>
            <w:vMerge w:val="restart"/>
          </w:tcPr>
          <w:p w14:paraId="7B07BE02" w14:textId="77777777" w:rsidR="004F59A6" w:rsidRDefault="004F59A6" w:rsidP="00493AFB">
            <w:pPr>
              <w:rPr>
                <w:snapToGrid w:val="0"/>
              </w:rPr>
            </w:pPr>
            <w:r>
              <w:rPr>
                <w:snapToGrid w:val="0"/>
              </w:rPr>
              <w:t>4 weeks</w:t>
            </w:r>
          </w:p>
          <w:p w14:paraId="731140F1" w14:textId="77777777" w:rsidR="004F59A6" w:rsidRPr="000863D2" w:rsidRDefault="004F59A6" w:rsidP="00493AFB">
            <w:pPr>
              <w:rPr>
                <w:snapToGrid w:val="0"/>
              </w:rPr>
            </w:pPr>
            <w:r w:rsidRPr="000863D2">
              <w:rPr>
                <w:snapToGrid w:val="0"/>
              </w:rPr>
              <w:t>[Study</w:t>
            </w:r>
            <w:r>
              <w:rPr>
                <w:snapToGrid w:val="0"/>
              </w:rPr>
              <w:t xml:space="preserve"> 09700416</w:t>
            </w:r>
            <w:r w:rsidRPr="000863D2">
              <w:rPr>
                <w:snapToGrid w:val="0"/>
              </w:rPr>
              <w:t>]</w:t>
            </w:r>
          </w:p>
        </w:tc>
        <w:tc>
          <w:tcPr>
            <w:tcW w:w="1843" w:type="dxa"/>
          </w:tcPr>
          <w:p w14:paraId="77F5653E" w14:textId="77777777" w:rsidR="004F59A6" w:rsidRPr="005B7350" w:rsidRDefault="004F59A6" w:rsidP="00493AFB">
            <w:pPr>
              <w:jc w:val="center"/>
              <w:rPr>
                <w:snapToGrid w:val="0"/>
              </w:rPr>
            </w:pPr>
            <w:r>
              <w:rPr>
                <w:snapToGrid w:val="0"/>
              </w:rPr>
              <w:t>7.5</w:t>
            </w:r>
          </w:p>
        </w:tc>
        <w:tc>
          <w:tcPr>
            <w:tcW w:w="1481" w:type="dxa"/>
          </w:tcPr>
          <w:p w14:paraId="1C39F9EE" w14:textId="77777777" w:rsidR="004F59A6" w:rsidRDefault="004F59A6" w:rsidP="00493AFB">
            <w:pPr>
              <w:jc w:val="center"/>
              <w:rPr>
                <w:snapToGrid w:val="0"/>
              </w:rPr>
            </w:pPr>
            <w:r>
              <w:rPr>
                <w:snapToGrid w:val="0"/>
              </w:rPr>
              <w:t>3135</w:t>
            </w:r>
          </w:p>
        </w:tc>
        <w:tc>
          <w:tcPr>
            <w:tcW w:w="1726" w:type="dxa"/>
          </w:tcPr>
          <w:p w14:paraId="7735E36B" w14:textId="77777777" w:rsidR="004F59A6" w:rsidRPr="00940D2D" w:rsidRDefault="004F59A6" w:rsidP="00493AFB">
            <w:pPr>
              <w:jc w:val="center"/>
              <w:rPr>
                <w:rFonts w:cs="Calibri"/>
                <w:color w:val="000000"/>
                <w:szCs w:val="18"/>
              </w:rPr>
            </w:pPr>
            <w:r>
              <w:rPr>
                <w:rFonts w:cs="Calibri"/>
                <w:color w:val="000000"/>
                <w:szCs w:val="18"/>
              </w:rPr>
              <w:t>0.13</w:t>
            </w:r>
          </w:p>
        </w:tc>
      </w:tr>
      <w:tr w:rsidR="004F59A6" w:rsidRPr="000863D2" w14:paraId="56F19A24" w14:textId="77777777" w:rsidTr="00E011B7">
        <w:trPr>
          <w:trHeight w:val="227"/>
        </w:trPr>
        <w:tc>
          <w:tcPr>
            <w:tcW w:w="1910" w:type="dxa"/>
            <w:vMerge/>
          </w:tcPr>
          <w:p w14:paraId="01655B69" w14:textId="77777777" w:rsidR="004F59A6" w:rsidRPr="000863D2" w:rsidRDefault="004F59A6" w:rsidP="00493AFB">
            <w:pPr>
              <w:rPr>
                <w:b/>
                <w:snapToGrid w:val="0"/>
              </w:rPr>
            </w:pPr>
          </w:p>
        </w:tc>
        <w:tc>
          <w:tcPr>
            <w:tcW w:w="1884" w:type="dxa"/>
            <w:vMerge/>
          </w:tcPr>
          <w:p w14:paraId="287086A4" w14:textId="77777777" w:rsidR="004F59A6" w:rsidRPr="000863D2" w:rsidRDefault="004F59A6" w:rsidP="00493AFB">
            <w:pPr>
              <w:rPr>
                <w:snapToGrid w:val="0"/>
              </w:rPr>
            </w:pPr>
          </w:p>
        </w:tc>
        <w:tc>
          <w:tcPr>
            <w:tcW w:w="1843" w:type="dxa"/>
          </w:tcPr>
          <w:p w14:paraId="7FE9FD98" w14:textId="77777777" w:rsidR="004F59A6" w:rsidRPr="005B7350" w:rsidRDefault="004F59A6" w:rsidP="00493AFB">
            <w:pPr>
              <w:jc w:val="center"/>
              <w:rPr>
                <w:snapToGrid w:val="0"/>
              </w:rPr>
            </w:pPr>
            <w:r>
              <w:rPr>
                <w:snapToGrid w:val="0"/>
              </w:rPr>
              <w:t>25</w:t>
            </w:r>
          </w:p>
        </w:tc>
        <w:tc>
          <w:tcPr>
            <w:tcW w:w="1481" w:type="dxa"/>
          </w:tcPr>
          <w:p w14:paraId="4EB2A884" w14:textId="77777777" w:rsidR="004F59A6" w:rsidRDefault="004F59A6" w:rsidP="00493AFB">
            <w:pPr>
              <w:jc w:val="center"/>
              <w:rPr>
                <w:snapToGrid w:val="0"/>
              </w:rPr>
            </w:pPr>
            <w:r>
              <w:rPr>
                <w:snapToGrid w:val="0"/>
              </w:rPr>
              <w:t>14500</w:t>
            </w:r>
          </w:p>
        </w:tc>
        <w:tc>
          <w:tcPr>
            <w:tcW w:w="1726" w:type="dxa"/>
          </w:tcPr>
          <w:p w14:paraId="36F7AE97" w14:textId="77777777" w:rsidR="004F59A6" w:rsidRPr="00940D2D" w:rsidRDefault="004F59A6" w:rsidP="00493AFB">
            <w:pPr>
              <w:jc w:val="center"/>
              <w:rPr>
                <w:rFonts w:cs="Calibri"/>
                <w:color w:val="000000"/>
                <w:szCs w:val="18"/>
              </w:rPr>
            </w:pPr>
            <w:r>
              <w:rPr>
                <w:rFonts w:cs="Calibri"/>
                <w:color w:val="000000"/>
                <w:szCs w:val="18"/>
              </w:rPr>
              <w:t>0.61</w:t>
            </w:r>
          </w:p>
        </w:tc>
      </w:tr>
      <w:tr w:rsidR="004F59A6" w:rsidRPr="000863D2" w14:paraId="7617BAE0" w14:textId="77777777" w:rsidTr="00E011B7">
        <w:trPr>
          <w:trHeight w:val="227"/>
        </w:trPr>
        <w:tc>
          <w:tcPr>
            <w:tcW w:w="1910" w:type="dxa"/>
            <w:vMerge/>
          </w:tcPr>
          <w:p w14:paraId="0DB33544" w14:textId="77777777" w:rsidR="004F59A6" w:rsidRPr="000863D2" w:rsidRDefault="004F59A6" w:rsidP="00493AFB">
            <w:pPr>
              <w:rPr>
                <w:b/>
                <w:snapToGrid w:val="0"/>
              </w:rPr>
            </w:pPr>
          </w:p>
        </w:tc>
        <w:tc>
          <w:tcPr>
            <w:tcW w:w="1884" w:type="dxa"/>
            <w:vMerge/>
          </w:tcPr>
          <w:p w14:paraId="2F0F318B" w14:textId="77777777" w:rsidR="004F59A6" w:rsidRPr="000863D2" w:rsidRDefault="004F59A6" w:rsidP="00493AFB">
            <w:pPr>
              <w:rPr>
                <w:snapToGrid w:val="0"/>
              </w:rPr>
            </w:pPr>
          </w:p>
        </w:tc>
        <w:tc>
          <w:tcPr>
            <w:tcW w:w="1843" w:type="dxa"/>
          </w:tcPr>
          <w:p w14:paraId="74EC720B" w14:textId="77777777" w:rsidR="004F59A6" w:rsidRPr="005B7350" w:rsidRDefault="004F59A6" w:rsidP="00493AFB">
            <w:pPr>
              <w:jc w:val="center"/>
              <w:rPr>
                <w:snapToGrid w:val="0"/>
              </w:rPr>
            </w:pPr>
            <w:r>
              <w:rPr>
                <w:snapToGrid w:val="0"/>
              </w:rPr>
              <w:t>50</w:t>
            </w:r>
          </w:p>
        </w:tc>
        <w:tc>
          <w:tcPr>
            <w:tcW w:w="1481" w:type="dxa"/>
          </w:tcPr>
          <w:p w14:paraId="2DDFF3F4" w14:textId="77777777" w:rsidR="004F59A6" w:rsidRDefault="004F59A6" w:rsidP="00493AFB">
            <w:pPr>
              <w:jc w:val="center"/>
              <w:rPr>
                <w:snapToGrid w:val="0"/>
              </w:rPr>
            </w:pPr>
            <w:r>
              <w:rPr>
                <w:snapToGrid w:val="0"/>
              </w:rPr>
              <w:t>33700</w:t>
            </w:r>
          </w:p>
        </w:tc>
        <w:tc>
          <w:tcPr>
            <w:tcW w:w="1726" w:type="dxa"/>
          </w:tcPr>
          <w:p w14:paraId="039E971C" w14:textId="77777777" w:rsidR="004F59A6" w:rsidRPr="00940D2D" w:rsidRDefault="004F59A6" w:rsidP="00493AFB">
            <w:pPr>
              <w:jc w:val="center"/>
              <w:rPr>
                <w:rFonts w:cs="Calibri"/>
                <w:color w:val="000000"/>
                <w:szCs w:val="18"/>
              </w:rPr>
            </w:pPr>
            <w:r>
              <w:rPr>
                <w:rFonts w:cs="Calibri"/>
                <w:color w:val="000000"/>
                <w:szCs w:val="18"/>
              </w:rPr>
              <w:t>1.4</w:t>
            </w:r>
          </w:p>
        </w:tc>
      </w:tr>
      <w:tr w:rsidR="004F59A6" w:rsidRPr="000863D2" w14:paraId="7C0B34AA" w14:textId="77777777" w:rsidTr="00E011B7">
        <w:trPr>
          <w:trHeight w:val="227"/>
        </w:trPr>
        <w:tc>
          <w:tcPr>
            <w:tcW w:w="1910" w:type="dxa"/>
            <w:vMerge/>
          </w:tcPr>
          <w:p w14:paraId="07691BF0" w14:textId="77777777" w:rsidR="004F59A6" w:rsidRPr="000863D2" w:rsidRDefault="004F59A6" w:rsidP="00493AFB">
            <w:pPr>
              <w:rPr>
                <w:snapToGrid w:val="0"/>
              </w:rPr>
            </w:pPr>
          </w:p>
        </w:tc>
        <w:tc>
          <w:tcPr>
            <w:tcW w:w="1884" w:type="dxa"/>
            <w:vMerge w:val="restart"/>
          </w:tcPr>
          <w:p w14:paraId="666183B4" w14:textId="77777777" w:rsidR="004F59A6" w:rsidRPr="000863D2" w:rsidRDefault="004F59A6" w:rsidP="00493AFB">
            <w:pPr>
              <w:rPr>
                <w:snapToGrid w:val="0"/>
              </w:rPr>
            </w:pPr>
            <w:r w:rsidRPr="000863D2">
              <w:rPr>
                <w:snapToGrid w:val="0"/>
              </w:rPr>
              <w:t>3 months</w:t>
            </w:r>
          </w:p>
          <w:p w14:paraId="46066F1A" w14:textId="77777777" w:rsidR="004F59A6" w:rsidRPr="000863D2" w:rsidRDefault="004F59A6" w:rsidP="00493AFB">
            <w:pPr>
              <w:rPr>
                <w:snapToGrid w:val="0"/>
              </w:rPr>
            </w:pPr>
            <w:r w:rsidRPr="000863D2">
              <w:rPr>
                <w:snapToGrid w:val="0"/>
              </w:rPr>
              <w:t>[Study</w:t>
            </w:r>
            <w:r w:rsidRPr="005B7350">
              <w:rPr>
                <w:snapToGrid w:val="0"/>
              </w:rPr>
              <w:t xml:space="preserve"> </w:t>
            </w:r>
            <w:r w:rsidRPr="005B7350">
              <w:rPr>
                <w:snapToGrid w:val="0"/>
              </w:rPr>
              <w:lastRenderedPageBreak/>
              <w:t>1270164</w:t>
            </w:r>
            <w:r w:rsidRPr="000863D2">
              <w:rPr>
                <w:snapToGrid w:val="0"/>
              </w:rPr>
              <w:t>]</w:t>
            </w:r>
          </w:p>
        </w:tc>
        <w:tc>
          <w:tcPr>
            <w:tcW w:w="1843" w:type="dxa"/>
          </w:tcPr>
          <w:p w14:paraId="7FE102B2" w14:textId="77777777" w:rsidR="004F59A6" w:rsidRPr="000863D2" w:rsidRDefault="004F59A6" w:rsidP="00493AFB">
            <w:pPr>
              <w:jc w:val="center"/>
              <w:rPr>
                <w:snapToGrid w:val="0"/>
              </w:rPr>
            </w:pPr>
            <w:r w:rsidRPr="005B7350">
              <w:rPr>
                <w:snapToGrid w:val="0"/>
              </w:rPr>
              <w:lastRenderedPageBreak/>
              <w:t>3</w:t>
            </w:r>
          </w:p>
        </w:tc>
        <w:tc>
          <w:tcPr>
            <w:tcW w:w="1481" w:type="dxa"/>
          </w:tcPr>
          <w:p w14:paraId="76316717" w14:textId="77777777" w:rsidR="004F59A6" w:rsidRPr="000863D2" w:rsidRDefault="004F59A6" w:rsidP="00493AFB">
            <w:pPr>
              <w:jc w:val="center"/>
              <w:rPr>
                <w:snapToGrid w:val="0"/>
              </w:rPr>
            </w:pPr>
            <w:r>
              <w:rPr>
                <w:snapToGrid w:val="0"/>
              </w:rPr>
              <w:t>1865</w:t>
            </w:r>
          </w:p>
        </w:tc>
        <w:tc>
          <w:tcPr>
            <w:tcW w:w="1726" w:type="dxa"/>
          </w:tcPr>
          <w:p w14:paraId="604CC415" w14:textId="77777777" w:rsidR="004F59A6" w:rsidRPr="00940D2D" w:rsidRDefault="004F59A6" w:rsidP="00493AFB">
            <w:pPr>
              <w:jc w:val="center"/>
              <w:rPr>
                <w:rFonts w:cs="Calibri"/>
                <w:color w:val="000000"/>
                <w:szCs w:val="18"/>
              </w:rPr>
            </w:pPr>
            <w:r w:rsidRPr="00940D2D">
              <w:rPr>
                <w:rFonts w:cs="Calibri"/>
                <w:color w:val="000000"/>
                <w:szCs w:val="18"/>
              </w:rPr>
              <w:t>0.08</w:t>
            </w:r>
          </w:p>
        </w:tc>
      </w:tr>
      <w:tr w:rsidR="004F59A6" w:rsidRPr="000863D2" w14:paraId="7EA2402C" w14:textId="77777777" w:rsidTr="00E011B7">
        <w:trPr>
          <w:trHeight w:val="227"/>
        </w:trPr>
        <w:tc>
          <w:tcPr>
            <w:tcW w:w="1910" w:type="dxa"/>
            <w:vMerge/>
          </w:tcPr>
          <w:p w14:paraId="54F05232" w14:textId="77777777" w:rsidR="004F59A6" w:rsidRPr="000863D2" w:rsidRDefault="004F59A6" w:rsidP="00493AFB">
            <w:pPr>
              <w:rPr>
                <w:snapToGrid w:val="0"/>
              </w:rPr>
            </w:pPr>
          </w:p>
        </w:tc>
        <w:tc>
          <w:tcPr>
            <w:tcW w:w="1884" w:type="dxa"/>
            <w:vMerge/>
          </w:tcPr>
          <w:p w14:paraId="228E2C7F" w14:textId="77777777" w:rsidR="004F59A6" w:rsidRPr="000863D2" w:rsidRDefault="004F59A6" w:rsidP="00493AFB">
            <w:pPr>
              <w:rPr>
                <w:snapToGrid w:val="0"/>
              </w:rPr>
            </w:pPr>
          </w:p>
        </w:tc>
        <w:tc>
          <w:tcPr>
            <w:tcW w:w="1843" w:type="dxa"/>
          </w:tcPr>
          <w:p w14:paraId="434DBFEE" w14:textId="77777777" w:rsidR="004F59A6" w:rsidRPr="000863D2" w:rsidRDefault="004F59A6" w:rsidP="00493AFB">
            <w:pPr>
              <w:jc w:val="center"/>
              <w:rPr>
                <w:snapToGrid w:val="0"/>
              </w:rPr>
            </w:pPr>
            <w:r w:rsidRPr="005B7350">
              <w:rPr>
                <w:snapToGrid w:val="0"/>
              </w:rPr>
              <w:t>10</w:t>
            </w:r>
          </w:p>
        </w:tc>
        <w:tc>
          <w:tcPr>
            <w:tcW w:w="1481" w:type="dxa"/>
          </w:tcPr>
          <w:p w14:paraId="18C8E55B" w14:textId="77777777" w:rsidR="004F59A6" w:rsidRPr="000863D2" w:rsidRDefault="004F59A6" w:rsidP="00493AFB">
            <w:pPr>
              <w:jc w:val="center"/>
              <w:rPr>
                <w:snapToGrid w:val="0"/>
              </w:rPr>
            </w:pPr>
            <w:r>
              <w:rPr>
                <w:snapToGrid w:val="0"/>
              </w:rPr>
              <w:t>9995</w:t>
            </w:r>
          </w:p>
        </w:tc>
        <w:tc>
          <w:tcPr>
            <w:tcW w:w="1726" w:type="dxa"/>
          </w:tcPr>
          <w:p w14:paraId="6E138A01" w14:textId="77777777" w:rsidR="004F59A6" w:rsidRPr="00940D2D" w:rsidRDefault="004F59A6" w:rsidP="00493AFB">
            <w:pPr>
              <w:jc w:val="center"/>
              <w:rPr>
                <w:rFonts w:cs="Calibri"/>
                <w:color w:val="000000"/>
                <w:szCs w:val="18"/>
              </w:rPr>
            </w:pPr>
            <w:r w:rsidRPr="00940D2D">
              <w:rPr>
                <w:rFonts w:cs="Calibri"/>
                <w:color w:val="000000"/>
                <w:szCs w:val="18"/>
              </w:rPr>
              <w:t>0.42</w:t>
            </w:r>
          </w:p>
        </w:tc>
      </w:tr>
      <w:tr w:rsidR="004F59A6" w:rsidRPr="000863D2" w14:paraId="19E9F762" w14:textId="77777777" w:rsidTr="00E011B7">
        <w:trPr>
          <w:trHeight w:val="227"/>
        </w:trPr>
        <w:tc>
          <w:tcPr>
            <w:tcW w:w="1910" w:type="dxa"/>
            <w:vMerge/>
          </w:tcPr>
          <w:p w14:paraId="3184C2E9" w14:textId="77777777" w:rsidR="004F59A6" w:rsidRPr="000863D2" w:rsidRDefault="004F59A6" w:rsidP="00493AFB">
            <w:pPr>
              <w:rPr>
                <w:snapToGrid w:val="0"/>
              </w:rPr>
            </w:pPr>
          </w:p>
        </w:tc>
        <w:tc>
          <w:tcPr>
            <w:tcW w:w="1884" w:type="dxa"/>
            <w:vMerge/>
          </w:tcPr>
          <w:p w14:paraId="4D361FEA" w14:textId="77777777" w:rsidR="004F59A6" w:rsidRPr="000863D2" w:rsidRDefault="004F59A6" w:rsidP="00493AFB">
            <w:pPr>
              <w:rPr>
                <w:snapToGrid w:val="0"/>
              </w:rPr>
            </w:pPr>
          </w:p>
        </w:tc>
        <w:tc>
          <w:tcPr>
            <w:tcW w:w="1843" w:type="dxa"/>
          </w:tcPr>
          <w:p w14:paraId="3073217C" w14:textId="77777777" w:rsidR="004F59A6" w:rsidRPr="000863D2" w:rsidRDefault="004F59A6" w:rsidP="00493AFB">
            <w:pPr>
              <w:jc w:val="center"/>
              <w:rPr>
                <w:snapToGrid w:val="0"/>
              </w:rPr>
            </w:pPr>
            <w:r w:rsidRPr="005B7350">
              <w:rPr>
                <w:snapToGrid w:val="0"/>
              </w:rPr>
              <w:t>30</w:t>
            </w:r>
          </w:p>
        </w:tc>
        <w:tc>
          <w:tcPr>
            <w:tcW w:w="1481" w:type="dxa"/>
          </w:tcPr>
          <w:p w14:paraId="4BD864D8" w14:textId="77777777" w:rsidR="004F59A6" w:rsidRPr="000863D2" w:rsidRDefault="004F59A6" w:rsidP="00493AFB">
            <w:pPr>
              <w:jc w:val="center"/>
              <w:rPr>
                <w:snapToGrid w:val="0"/>
              </w:rPr>
            </w:pPr>
            <w:r>
              <w:rPr>
                <w:snapToGrid w:val="0"/>
              </w:rPr>
              <w:t>30350</w:t>
            </w:r>
          </w:p>
        </w:tc>
        <w:tc>
          <w:tcPr>
            <w:tcW w:w="1726" w:type="dxa"/>
          </w:tcPr>
          <w:p w14:paraId="47A1814B" w14:textId="77777777" w:rsidR="004F59A6" w:rsidRPr="00940D2D" w:rsidRDefault="004F59A6" w:rsidP="00493AFB">
            <w:pPr>
              <w:jc w:val="center"/>
              <w:rPr>
                <w:rFonts w:cs="Calibri"/>
                <w:color w:val="000000"/>
                <w:szCs w:val="18"/>
              </w:rPr>
            </w:pPr>
            <w:r>
              <w:rPr>
                <w:rFonts w:cs="Calibri"/>
                <w:color w:val="000000"/>
                <w:szCs w:val="18"/>
              </w:rPr>
              <w:t>1.3</w:t>
            </w:r>
          </w:p>
        </w:tc>
      </w:tr>
      <w:tr w:rsidR="004F59A6" w:rsidRPr="000863D2" w14:paraId="48FCC531" w14:textId="77777777" w:rsidTr="00E011B7">
        <w:trPr>
          <w:trHeight w:val="227"/>
        </w:trPr>
        <w:tc>
          <w:tcPr>
            <w:tcW w:w="1910" w:type="dxa"/>
            <w:vMerge w:val="restart"/>
          </w:tcPr>
          <w:p w14:paraId="3FC43BF9" w14:textId="77777777" w:rsidR="004F59A6" w:rsidRPr="000863D2" w:rsidRDefault="004F59A6" w:rsidP="00493AFB">
            <w:pPr>
              <w:rPr>
                <w:snapToGrid w:val="0"/>
              </w:rPr>
            </w:pPr>
            <w:r w:rsidRPr="000863D2">
              <w:rPr>
                <w:b/>
                <w:snapToGrid w:val="0"/>
              </w:rPr>
              <w:lastRenderedPageBreak/>
              <w:t>Monkey</w:t>
            </w:r>
            <w:r w:rsidRPr="000863D2">
              <w:rPr>
                <w:snapToGrid w:val="0"/>
              </w:rPr>
              <w:br/>
              <w:t>(Cynomolgus)</w:t>
            </w:r>
          </w:p>
        </w:tc>
        <w:tc>
          <w:tcPr>
            <w:tcW w:w="1884" w:type="dxa"/>
            <w:vMerge w:val="restart"/>
          </w:tcPr>
          <w:p w14:paraId="663DA356" w14:textId="77777777" w:rsidR="004F59A6" w:rsidRPr="000863D2" w:rsidRDefault="004F59A6" w:rsidP="00493AFB">
            <w:pPr>
              <w:rPr>
                <w:snapToGrid w:val="0"/>
              </w:rPr>
            </w:pPr>
            <w:r w:rsidRPr="005B7350">
              <w:rPr>
                <w:snapToGrid w:val="0"/>
              </w:rPr>
              <w:t>3</w:t>
            </w:r>
            <w:r w:rsidRPr="000863D2">
              <w:rPr>
                <w:snapToGrid w:val="0"/>
              </w:rPr>
              <w:t xml:space="preserve"> months</w:t>
            </w:r>
            <w:r w:rsidRPr="000863D2">
              <w:rPr>
                <w:snapToGrid w:val="0"/>
              </w:rPr>
              <w:br/>
              <w:t>[</w:t>
            </w:r>
            <w:r w:rsidRPr="005B7350">
              <w:rPr>
                <w:snapToGrid w:val="0"/>
              </w:rPr>
              <w:t>Study 1270165</w:t>
            </w:r>
            <w:r w:rsidRPr="000863D2">
              <w:rPr>
                <w:snapToGrid w:val="0"/>
              </w:rPr>
              <w:t>]</w:t>
            </w:r>
          </w:p>
        </w:tc>
        <w:tc>
          <w:tcPr>
            <w:tcW w:w="1843" w:type="dxa"/>
          </w:tcPr>
          <w:p w14:paraId="65AFF8F3" w14:textId="77777777" w:rsidR="004F59A6" w:rsidRPr="000863D2" w:rsidRDefault="004F59A6" w:rsidP="00493AFB">
            <w:pPr>
              <w:jc w:val="center"/>
              <w:rPr>
                <w:snapToGrid w:val="0"/>
              </w:rPr>
            </w:pPr>
            <w:r w:rsidRPr="005B7350">
              <w:rPr>
                <w:snapToGrid w:val="0"/>
              </w:rPr>
              <w:t>3</w:t>
            </w:r>
          </w:p>
        </w:tc>
        <w:tc>
          <w:tcPr>
            <w:tcW w:w="1481" w:type="dxa"/>
          </w:tcPr>
          <w:p w14:paraId="2AEE72E5" w14:textId="77777777" w:rsidR="004F59A6" w:rsidRPr="000863D2" w:rsidRDefault="004F59A6" w:rsidP="00493AFB">
            <w:pPr>
              <w:jc w:val="center"/>
              <w:rPr>
                <w:snapToGrid w:val="0"/>
              </w:rPr>
            </w:pPr>
            <w:r>
              <w:rPr>
                <w:snapToGrid w:val="0"/>
              </w:rPr>
              <w:t>408</w:t>
            </w:r>
          </w:p>
        </w:tc>
        <w:tc>
          <w:tcPr>
            <w:tcW w:w="1726" w:type="dxa"/>
          </w:tcPr>
          <w:p w14:paraId="18BA9542" w14:textId="77777777" w:rsidR="004F59A6" w:rsidRPr="00940D2D" w:rsidRDefault="004F59A6" w:rsidP="00493AFB">
            <w:pPr>
              <w:jc w:val="center"/>
              <w:rPr>
                <w:rFonts w:cs="Calibri"/>
                <w:color w:val="000000"/>
                <w:szCs w:val="18"/>
              </w:rPr>
            </w:pPr>
            <w:r w:rsidRPr="00940D2D">
              <w:rPr>
                <w:rFonts w:cs="Calibri"/>
                <w:color w:val="000000"/>
                <w:szCs w:val="18"/>
              </w:rPr>
              <w:t>0.02</w:t>
            </w:r>
          </w:p>
        </w:tc>
      </w:tr>
      <w:tr w:rsidR="004F59A6" w:rsidRPr="000863D2" w14:paraId="226AE5D5" w14:textId="77777777" w:rsidTr="00E011B7">
        <w:trPr>
          <w:trHeight w:val="227"/>
        </w:trPr>
        <w:tc>
          <w:tcPr>
            <w:tcW w:w="1910" w:type="dxa"/>
            <w:vMerge/>
          </w:tcPr>
          <w:p w14:paraId="2425B5D4" w14:textId="77777777" w:rsidR="004F59A6" w:rsidRPr="000863D2" w:rsidRDefault="004F59A6" w:rsidP="00493AFB">
            <w:pPr>
              <w:rPr>
                <w:snapToGrid w:val="0"/>
              </w:rPr>
            </w:pPr>
          </w:p>
        </w:tc>
        <w:tc>
          <w:tcPr>
            <w:tcW w:w="1884" w:type="dxa"/>
            <w:vMerge/>
          </w:tcPr>
          <w:p w14:paraId="55BD555D" w14:textId="77777777" w:rsidR="004F59A6" w:rsidRPr="000863D2" w:rsidRDefault="004F59A6" w:rsidP="00493AFB">
            <w:pPr>
              <w:rPr>
                <w:snapToGrid w:val="0"/>
              </w:rPr>
            </w:pPr>
          </w:p>
        </w:tc>
        <w:tc>
          <w:tcPr>
            <w:tcW w:w="1843" w:type="dxa"/>
          </w:tcPr>
          <w:p w14:paraId="5B80B856" w14:textId="77777777" w:rsidR="004F59A6" w:rsidRPr="000863D2" w:rsidRDefault="004F59A6" w:rsidP="00493AFB">
            <w:pPr>
              <w:jc w:val="center"/>
              <w:rPr>
                <w:snapToGrid w:val="0"/>
              </w:rPr>
            </w:pPr>
            <w:r w:rsidRPr="005B7350">
              <w:rPr>
                <w:snapToGrid w:val="0"/>
              </w:rPr>
              <w:t>10</w:t>
            </w:r>
          </w:p>
        </w:tc>
        <w:tc>
          <w:tcPr>
            <w:tcW w:w="1481" w:type="dxa"/>
          </w:tcPr>
          <w:p w14:paraId="742C9621" w14:textId="77777777" w:rsidR="004F59A6" w:rsidRPr="000863D2" w:rsidRDefault="004F59A6" w:rsidP="00493AFB">
            <w:pPr>
              <w:jc w:val="center"/>
              <w:rPr>
                <w:snapToGrid w:val="0"/>
              </w:rPr>
            </w:pPr>
            <w:r>
              <w:rPr>
                <w:snapToGrid w:val="0"/>
              </w:rPr>
              <w:t>3720</w:t>
            </w:r>
          </w:p>
        </w:tc>
        <w:tc>
          <w:tcPr>
            <w:tcW w:w="1726" w:type="dxa"/>
          </w:tcPr>
          <w:p w14:paraId="6D88567D" w14:textId="77777777" w:rsidR="004F59A6" w:rsidRPr="00940D2D" w:rsidRDefault="004F59A6" w:rsidP="00493AFB">
            <w:pPr>
              <w:jc w:val="center"/>
              <w:rPr>
                <w:rFonts w:cs="Calibri"/>
                <w:color w:val="000000"/>
                <w:szCs w:val="18"/>
              </w:rPr>
            </w:pPr>
            <w:r w:rsidRPr="00940D2D">
              <w:rPr>
                <w:rFonts w:cs="Calibri"/>
                <w:color w:val="000000"/>
                <w:szCs w:val="18"/>
              </w:rPr>
              <w:t>0.16</w:t>
            </w:r>
          </w:p>
        </w:tc>
      </w:tr>
      <w:tr w:rsidR="004F59A6" w:rsidRPr="000863D2" w14:paraId="1F3EB31D" w14:textId="77777777" w:rsidTr="00E011B7">
        <w:trPr>
          <w:trHeight w:val="227"/>
        </w:trPr>
        <w:tc>
          <w:tcPr>
            <w:tcW w:w="1910" w:type="dxa"/>
            <w:vMerge/>
          </w:tcPr>
          <w:p w14:paraId="79FFEFEC" w14:textId="77777777" w:rsidR="004F59A6" w:rsidRPr="000863D2" w:rsidRDefault="004F59A6" w:rsidP="00493AFB">
            <w:pPr>
              <w:rPr>
                <w:snapToGrid w:val="0"/>
              </w:rPr>
            </w:pPr>
          </w:p>
        </w:tc>
        <w:tc>
          <w:tcPr>
            <w:tcW w:w="1884" w:type="dxa"/>
            <w:vMerge/>
          </w:tcPr>
          <w:p w14:paraId="6AA41EE0" w14:textId="77777777" w:rsidR="004F59A6" w:rsidRPr="000863D2" w:rsidRDefault="004F59A6" w:rsidP="00493AFB">
            <w:pPr>
              <w:rPr>
                <w:snapToGrid w:val="0"/>
              </w:rPr>
            </w:pPr>
          </w:p>
        </w:tc>
        <w:tc>
          <w:tcPr>
            <w:tcW w:w="1843" w:type="dxa"/>
          </w:tcPr>
          <w:p w14:paraId="3541782D" w14:textId="77777777" w:rsidR="004F59A6" w:rsidRPr="000863D2" w:rsidRDefault="004F59A6" w:rsidP="00493AFB">
            <w:pPr>
              <w:jc w:val="center"/>
              <w:rPr>
                <w:snapToGrid w:val="0"/>
              </w:rPr>
            </w:pPr>
            <w:r w:rsidRPr="005B7350">
              <w:rPr>
                <w:snapToGrid w:val="0"/>
              </w:rPr>
              <w:t>30</w:t>
            </w:r>
          </w:p>
        </w:tc>
        <w:tc>
          <w:tcPr>
            <w:tcW w:w="1481" w:type="dxa"/>
          </w:tcPr>
          <w:p w14:paraId="2BAC3968" w14:textId="77777777" w:rsidR="004F59A6" w:rsidRPr="000863D2" w:rsidRDefault="004F59A6" w:rsidP="00493AFB">
            <w:pPr>
              <w:jc w:val="center"/>
              <w:rPr>
                <w:snapToGrid w:val="0"/>
              </w:rPr>
            </w:pPr>
            <w:r>
              <w:rPr>
                <w:snapToGrid w:val="0"/>
              </w:rPr>
              <w:t>24450</w:t>
            </w:r>
          </w:p>
        </w:tc>
        <w:tc>
          <w:tcPr>
            <w:tcW w:w="1726" w:type="dxa"/>
          </w:tcPr>
          <w:p w14:paraId="09230335" w14:textId="77777777" w:rsidR="004F59A6" w:rsidRPr="000863D2" w:rsidRDefault="004F59A6" w:rsidP="00493AFB">
            <w:pPr>
              <w:jc w:val="center"/>
              <w:rPr>
                <w:snapToGrid w:val="0"/>
              </w:rPr>
            </w:pPr>
            <w:r>
              <w:rPr>
                <w:snapToGrid w:val="0"/>
              </w:rPr>
              <w:t>1.0</w:t>
            </w:r>
          </w:p>
        </w:tc>
      </w:tr>
      <w:tr w:rsidR="004F59A6" w:rsidRPr="000863D2" w14:paraId="5E799A96" w14:textId="77777777" w:rsidTr="00E011B7">
        <w:trPr>
          <w:trHeight w:val="227"/>
        </w:trPr>
        <w:tc>
          <w:tcPr>
            <w:tcW w:w="1910" w:type="dxa"/>
          </w:tcPr>
          <w:p w14:paraId="436A357A" w14:textId="77777777" w:rsidR="004F59A6" w:rsidRPr="000863D2" w:rsidRDefault="004F59A6" w:rsidP="00493AFB">
            <w:pPr>
              <w:rPr>
                <w:snapToGrid w:val="0"/>
              </w:rPr>
            </w:pPr>
            <w:r w:rsidRPr="000863D2">
              <w:rPr>
                <w:b/>
                <w:snapToGrid w:val="0"/>
              </w:rPr>
              <w:t>Human</w:t>
            </w:r>
            <w:r w:rsidRPr="000863D2">
              <w:rPr>
                <w:snapToGrid w:val="0"/>
              </w:rPr>
              <w:br/>
              <w:t>(</w:t>
            </w:r>
            <w:r>
              <w:rPr>
                <w:snapToGrid w:val="0"/>
              </w:rPr>
              <w:t>P</w:t>
            </w:r>
            <w:r w:rsidRPr="000863D2">
              <w:rPr>
                <w:snapToGrid w:val="0"/>
              </w:rPr>
              <w:t>atient</w:t>
            </w:r>
            <w:r w:rsidRPr="005B7350">
              <w:rPr>
                <w:snapToGrid w:val="0"/>
              </w:rPr>
              <w:t>s</w:t>
            </w:r>
            <w:r w:rsidRPr="000863D2">
              <w:rPr>
                <w:snapToGrid w:val="0"/>
              </w:rPr>
              <w:t>)</w:t>
            </w:r>
          </w:p>
        </w:tc>
        <w:tc>
          <w:tcPr>
            <w:tcW w:w="1884" w:type="dxa"/>
          </w:tcPr>
          <w:p w14:paraId="5C927045" w14:textId="77777777" w:rsidR="004F59A6" w:rsidRPr="000863D2" w:rsidRDefault="004F59A6" w:rsidP="00493AFB">
            <w:pPr>
              <w:rPr>
                <w:snapToGrid w:val="0"/>
              </w:rPr>
            </w:pPr>
            <w:r w:rsidRPr="000863D2">
              <w:rPr>
                <w:snapToGrid w:val="0"/>
              </w:rPr>
              <w:t>steady state</w:t>
            </w:r>
          </w:p>
          <w:p w14:paraId="78E9F6EE" w14:textId="77777777" w:rsidR="004F59A6" w:rsidRPr="000863D2" w:rsidRDefault="004F59A6" w:rsidP="00493AFB">
            <w:pPr>
              <w:rPr>
                <w:snapToGrid w:val="0"/>
              </w:rPr>
            </w:pPr>
            <w:r w:rsidRPr="000863D2">
              <w:rPr>
                <w:snapToGrid w:val="0"/>
              </w:rPr>
              <w:t xml:space="preserve">[Study </w:t>
            </w:r>
            <w:r w:rsidRPr="005B7350">
              <w:rPr>
                <w:snapToGrid w:val="0"/>
              </w:rPr>
              <w:t>CLDK378X2101</w:t>
            </w:r>
            <w:r w:rsidRPr="000863D2">
              <w:rPr>
                <w:snapToGrid w:val="0"/>
              </w:rPr>
              <w:t>]</w:t>
            </w:r>
          </w:p>
        </w:tc>
        <w:tc>
          <w:tcPr>
            <w:tcW w:w="1843" w:type="dxa"/>
          </w:tcPr>
          <w:p w14:paraId="42B30FEE" w14:textId="77777777" w:rsidR="004F59A6" w:rsidRPr="000863D2" w:rsidRDefault="004F59A6" w:rsidP="00493AFB">
            <w:pPr>
              <w:jc w:val="center"/>
              <w:rPr>
                <w:snapToGrid w:val="0"/>
              </w:rPr>
            </w:pPr>
            <w:r w:rsidRPr="000863D2">
              <w:rPr>
                <w:snapToGrid w:val="0"/>
              </w:rPr>
              <w:t>[</w:t>
            </w:r>
            <w:r w:rsidRPr="005B7350">
              <w:rPr>
                <w:snapToGrid w:val="0"/>
              </w:rPr>
              <w:t>750</w:t>
            </w:r>
            <w:r w:rsidRPr="000863D2">
              <w:rPr>
                <w:snapToGrid w:val="0"/>
              </w:rPr>
              <w:t xml:space="preserve"> mg]</w:t>
            </w:r>
          </w:p>
        </w:tc>
        <w:tc>
          <w:tcPr>
            <w:tcW w:w="1481" w:type="dxa"/>
          </w:tcPr>
          <w:p w14:paraId="6A7706E2" w14:textId="77777777" w:rsidR="004F59A6" w:rsidRPr="000863D2" w:rsidRDefault="004F59A6" w:rsidP="00493AFB">
            <w:pPr>
              <w:jc w:val="center"/>
              <w:rPr>
                <w:snapToGrid w:val="0"/>
              </w:rPr>
            </w:pPr>
            <w:r w:rsidRPr="005B7350">
              <w:rPr>
                <w:snapToGrid w:val="0"/>
              </w:rPr>
              <w:t>23800</w:t>
            </w:r>
          </w:p>
        </w:tc>
        <w:tc>
          <w:tcPr>
            <w:tcW w:w="1726" w:type="dxa"/>
          </w:tcPr>
          <w:p w14:paraId="734FFBBE" w14:textId="77777777" w:rsidR="004F59A6" w:rsidRPr="000863D2" w:rsidRDefault="004F59A6" w:rsidP="00493AFB">
            <w:pPr>
              <w:jc w:val="center"/>
              <w:rPr>
                <w:snapToGrid w:val="0"/>
              </w:rPr>
            </w:pPr>
            <w:r w:rsidRPr="000863D2">
              <w:rPr>
                <w:snapToGrid w:val="0"/>
              </w:rPr>
              <w:t>–</w:t>
            </w:r>
          </w:p>
        </w:tc>
      </w:tr>
    </w:tbl>
    <w:p w14:paraId="7A2C625A" w14:textId="77777777" w:rsidR="004F59A6" w:rsidRDefault="004F59A6" w:rsidP="004F59A6">
      <w:pPr>
        <w:pStyle w:val="WhiteSpace"/>
        <w:rPr>
          <w:sz w:val="18"/>
          <w:szCs w:val="19"/>
        </w:rPr>
      </w:pPr>
      <w:r w:rsidRPr="000863D2">
        <w:rPr>
          <w:position w:val="-2"/>
          <w:sz w:val="18"/>
          <w:szCs w:val="19"/>
          <w:vertAlign w:val="superscript"/>
        </w:rPr>
        <w:t>#</w:t>
      </w:r>
      <w:r w:rsidRPr="000863D2">
        <w:rPr>
          <w:sz w:val="18"/>
          <w:szCs w:val="19"/>
        </w:rPr>
        <w:t xml:space="preserve"> = animal:</w:t>
      </w:r>
      <w:r w:rsidR="00E011B7">
        <w:rPr>
          <w:sz w:val="18"/>
          <w:szCs w:val="19"/>
        </w:rPr>
        <w:t xml:space="preserve"> </w:t>
      </w:r>
      <w:r w:rsidRPr="000863D2">
        <w:rPr>
          <w:sz w:val="18"/>
          <w:szCs w:val="19"/>
        </w:rPr>
        <w:t>human plasma AUC</w:t>
      </w:r>
      <w:r w:rsidRPr="000863D2">
        <w:rPr>
          <w:sz w:val="18"/>
          <w:szCs w:val="19"/>
          <w:vertAlign w:val="subscript"/>
        </w:rPr>
        <w:t>0–24</w:t>
      </w:r>
      <w:r w:rsidRPr="000863D2">
        <w:rPr>
          <w:w w:val="50"/>
          <w:sz w:val="18"/>
          <w:szCs w:val="19"/>
          <w:vertAlign w:val="subscript"/>
        </w:rPr>
        <w:t> </w:t>
      </w:r>
      <w:r w:rsidRPr="000863D2">
        <w:rPr>
          <w:sz w:val="18"/>
          <w:szCs w:val="19"/>
          <w:vertAlign w:val="subscript"/>
        </w:rPr>
        <w:t>h</w:t>
      </w:r>
      <w:r w:rsidRPr="000863D2">
        <w:rPr>
          <w:sz w:val="18"/>
          <w:szCs w:val="19"/>
        </w:rPr>
        <w:t xml:space="preserve">; ^ = data are for the sexes combined at the last sampling </w:t>
      </w:r>
      <w:r>
        <w:rPr>
          <w:sz w:val="18"/>
          <w:szCs w:val="19"/>
        </w:rPr>
        <w:t>day.</w:t>
      </w:r>
    </w:p>
    <w:p w14:paraId="13C60C30" w14:textId="77777777" w:rsidR="004F59A6" w:rsidRPr="00EB69F1" w:rsidRDefault="004F59A6" w:rsidP="00E011B7">
      <w:pPr>
        <w:pStyle w:val="Heading5"/>
      </w:pPr>
      <w:r w:rsidRPr="00EB69F1">
        <w:t>Major toxicities</w:t>
      </w:r>
    </w:p>
    <w:p w14:paraId="2FCE39B9" w14:textId="77777777" w:rsidR="004F59A6" w:rsidRDefault="004F59A6" w:rsidP="00E011B7">
      <w:r>
        <w:t xml:space="preserve">Major target organs in both species were bile ducts (including extra hepatic bile duct), biliopancreatic duct, gastrointestinal tract (mainly duodenum), liver and pancreas. Other organs affected were lungs (rat only), mesenteric lymph nodes, thyroid and thymus. Most findings were class effects of tyrosine kinase inhibitors. </w:t>
      </w:r>
    </w:p>
    <w:p w14:paraId="15892F19" w14:textId="77777777" w:rsidR="004F59A6" w:rsidRDefault="004F59A6" w:rsidP="00E011B7">
      <w:pPr>
        <w:pStyle w:val="ListBullet"/>
      </w:pPr>
      <w:r w:rsidRPr="00E011B7">
        <w:rPr>
          <w:rStyle w:val="Heading6Char"/>
          <w:rFonts w:eastAsia="Cambria"/>
        </w:rPr>
        <w:t>Bile ducts</w:t>
      </w:r>
      <w:r>
        <w:t xml:space="preserve">: Effects on bile and biliopancreatic ducts were observed in rats at all doses and monkeys at the high dose (30 mg/kg/day). Findings included dilatation, inflammation, vacuolation, erosion, necrosis, and/or hyperplasia. The findings were more severe in rats than in monkeys, and biliopancreatic duct lesions were not reversed after an 8-week recovery period in rats. </w:t>
      </w:r>
    </w:p>
    <w:p w14:paraId="4AE09119" w14:textId="77777777" w:rsidR="004F59A6" w:rsidRDefault="004F59A6" w:rsidP="00E011B7">
      <w:pPr>
        <w:pStyle w:val="ListBullet"/>
      </w:pPr>
      <w:r w:rsidRPr="00E011B7">
        <w:rPr>
          <w:rStyle w:val="Heading6Char"/>
          <w:rFonts w:eastAsia="Cambria"/>
        </w:rPr>
        <w:t xml:space="preserve">Gastrointestinal </w:t>
      </w:r>
      <w:r w:rsidR="00E011B7" w:rsidRPr="00E011B7">
        <w:rPr>
          <w:rStyle w:val="Heading6Char"/>
          <w:rFonts w:eastAsia="Cambria"/>
        </w:rPr>
        <w:t xml:space="preserve">(GI) </w:t>
      </w:r>
      <w:r w:rsidRPr="00E011B7">
        <w:rPr>
          <w:rStyle w:val="Heading6Char"/>
          <w:rFonts w:eastAsia="Cambria"/>
        </w:rPr>
        <w:t>toxicity</w:t>
      </w:r>
      <w:r>
        <w:t xml:space="preserve">: Findings were limited to the duodenum and were seen in rats at all doses and in monkeys at the high dose. Histological lesions included epithelial inflammation, vacuolation, hyperplasia, and/or necrosis. In monkeys, there were also congestion/haemorrhage, vacuolation and macrophage infiltration, and clinical signs of GIT disturbance such as emesis (all doses) and liquid faeces (high dose). The GIT effects were reversible and only minimal degeneration and vacuolation were seen in one out of 6 male rats (no lesions in female rats or in monkeys) after the recovery period. </w:t>
      </w:r>
    </w:p>
    <w:p w14:paraId="242B3CB5" w14:textId="77777777" w:rsidR="004F59A6" w:rsidRDefault="004F59A6" w:rsidP="00E011B7">
      <w:pPr>
        <w:pStyle w:val="ListBullet"/>
      </w:pPr>
      <w:r w:rsidRPr="00E011B7">
        <w:rPr>
          <w:rStyle w:val="Heading6Char"/>
          <w:rFonts w:eastAsia="Cambria"/>
        </w:rPr>
        <w:t>Liver toxicity</w:t>
      </w:r>
      <w:r>
        <w:t>: Minimal to slight necrosis of hepatocytes and minimal subacute peri</w:t>
      </w:r>
      <w:r>
        <w:noBreakHyphen/>
        <w:t>cholangiolitis were observed in the preliminary 2-week study at 100 mg/kg/day (AUC 1.8</w:t>
      </w:r>
      <w:r w:rsidR="00E011B7">
        <w:t xml:space="preserve"> times</w:t>
      </w:r>
      <w:r>
        <w:t xml:space="preserve"> the AUC in patients). Hepatic lesions (apart from bile duct findings discussed above) were not apparent in longer term studies at lower doses. Liver weight was slightly increased in rats at 50 mg/kg/day for 2 weeks, and plasma AST and/or ALT slightly increased (&lt; 2 fold) in rats at ≥50 mg/kg/day and monkeys at ≥ 10 mg/kg/day. </w:t>
      </w:r>
    </w:p>
    <w:p w14:paraId="29C4B051" w14:textId="77777777" w:rsidR="004F59A6" w:rsidRDefault="004F59A6" w:rsidP="00E011B7">
      <w:pPr>
        <w:pStyle w:val="ListBullet"/>
      </w:pPr>
      <w:r w:rsidRPr="00E011B7">
        <w:rPr>
          <w:rStyle w:val="Heading6Char"/>
          <w:rFonts w:eastAsia="Cambria"/>
        </w:rPr>
        <w:t>Effects on pancreas</w:t>
      </w:r>
      <w:r>
        <w:t>: Focal acinar atrophy, mixed cell inflammation, and decreased zymogen were observed in rats after 4 weeks of dosing with 50-75 mg/kg/day ceritinib and in the 4</w:t>
      </w:r>
      <w:r>
        <w:noBreakHyphen/>
        <w:t xml:space="preserve">week monkey study at 30 mg/kg/day. No histological findings were evident in longer term (13 weeks) studies in rats or monkeys. Other findings indicative of pancreatic toxicity were increased plasma amylase in the 13-week rat study at 30 mg/kg/day (no change in lipase) and increased lipase in monkeys at 30 mg/kg/day (amylase unchanged). Increased plasma glucose (28-42% at all doses; not dose-related) and insulin levels (2-3 fold at 10 at 30 mg/kg/day) were detected in monkeys, although there was no histological lesion in pancreas islets. </w:t>
      </w:r>
    </w:p>
    <w:p w14:paraId="79ACCE9E" w14:textId="77777777" w:rsidR="004F59A6" w:rsidRDefault="004F59A6" w:rsidP="00E011B7">
      <w:pPr>
        <w:pStyle w:val="ListBullet"/>
      </w:pPr>
      <w:r w:rsidRPr="00E011B7">
        <w:rPr>
          <w:rStyle w:val="Heading6Char"/>
          <w:rFonts w:eastAsia="Cambria"/>
        </w:rPr>
        <w:lastRenderedPageBreak/>
        <w:t>Findings in lungs</w:t>
      </w:r>
      <w:r>
        <w:t xml:space="preserve"> were alveolar foamy macrophages and macrophage aggregates in rats at ≥25 mg/kg/day, consistent with phospholipidosis. Phospholipidosis was also evident in bile duct epithelia. Increased macrophage aggregates (possibly phospholipidosis) were observed in lymph nodes of rats. These findings were not seen in monkeys. Phospholipidosis is a common effect of cationic amphiphilic agents and was also reported in studies with crizotinib. The clinical relevance of phospholipidosis is uncertain; however, pneumonitis was reported in patients receiving ceritinib or crizotinib. </w:t>
      </w:r>
    </w:p>
    <w:p w14:paraId="757F7044" w14:textId="77777777" w:rsidR="004F59A6" w:rsidRDefault="004F59A6" w:rsidP="00E011B7">
      <w:pPr>
        <w:pStyle w:val="ListBullet"/>
      </w:pPr>
      <w:r w:rsidRPr="00E011B7">
        <w:rPr>
          <w:rStyle w:val="Heading6Char"/>
          <w:rFonts w:eastAsia="Cambria"/>
        </w:rPr>
        <w:t>Plasma thyroid hormones</w:t>
      </w:r>
      <w:r>
        <w:t xml:space="preserve"> (</w:t>
      </w:r>
      <w:r w:rsidR="00E011B7">
        <w:t>thyroid stimulating hormone (</w:t>
      </w:r>
      <w:r>
        <w:t>TSH</w:t>
      </w:r>
      <w:r w:rsidR="00E011B7">
        <w:t>)</w:t>
      </w:r>
      <w:r>
        <w:t>, T3 and T4) were increased (1.1</w:t>
      </w:r>
      <w:r w:rsidR="00E011B7">
        <w:t xml:space="preserve"> to 1</w:t>
      </w:r>
      <w:r>
        <w:t>.9 fold) in the 13</w:t>
      </w:r>
      <w:r w:rsidR="00E011B7">
        <w:t xml:space="preserve"> </w:t>
      </w:r>
      <w:r>
        <w:t>week rat study at all doses, without changes in organ weight or histological lesions. In monkeys, thyroid weights were decreased in males at all doses in the 4</w:t>
      </w:r>
      <w:r w:rsidR="00E011B7">
        <w:t xml:space="preserve"> </w:t>
      </w:r>
      <w:r>
        <w:t>week study, colloid depletion and small follicles in males at ≥ 10 mg/kg/day. Similar findings were not apparent in the 13</w:t>
      </w:r>
      <w:r w:rsidR="00E011B7">
        <w:t xml:space="preserve"> </w:t>
      </w:r>
      <w:r>
        <w:t xml:space="preserve">week study at the same doses, although one male had </w:t>
      </w:r>
      <w:r w:rsidRPr="00D2078D">
        <w:t>diffuse follicular cell</w:t>
      </w:r>
      <w:r w:rsidRPr="00D2078D">
        <w:rPr>
          <w:rFonts w:ascii="TimesNewRomanPSMT" w:eastAsiaTheme="minorHAnsi" w:hAnsi="TimesNewRomanPSMT" w:cs="TimesNewRomanPSMT"/>
          <w:sz w:val="24"/>
        </w:rPr>
        <w:t xml:space="preserve"> </w:t>
      </w:r>
      <w:r w:rsidRPr="00D2078D">
        <w:t>hyperplasia</w:t>
      </w:r>
      <w:r>
        <w:t xml:space="preserve"> and increased TSH. The clinical relevance of the thyroid findings is uncertain. </w:t>
      </w:r>
    </w:p>
    <w:p w14:paraId="3502DE0F" w14:textId="77777777" w:rsidR="004F59A6" w:rsidRDefault="004F59A6" w:rsidP="00E011B7">
      <w:pPr>
        <w:pStyle w:val="ListBullet"/>
      </w:pPr>
      <w:r>
        <w:t>Effects on thymus were relatively minor and findings included lymphoid depletion in the 4</w:t>
      </w:r>
      <w:r w:rsidR="00E011B7">
        <w:t xml:space="preserve"> </w:t>
      </w:r>
      <w:r>
        <w:t xml:space="preserve">week monkey study at 30 mg/kg/day and decreased thymus weight in the 4-week rat study at 75/50 mg/kg/day, and </w:t>
      </w:r>
      <w:r w:rsidRPr="00F37C49">
        <w:t>slight cortical atrophy</w:t>
      </w:r>
      <w:r>
        <w:t>/</w:t>
      </w:r>
      <w:r w:rsidRPr="00F37C49">
        <w:t>lymphocytolysis</w:t>
      </w:r>
      <w:r>
        <w:t xml:space="preserve"> at 100 mg/kg/day in the 2</w:t>
      </w:r>
      <w:r w:rsidR="00E011B7">
        <w:t xml:space="preserve"> </w:t>
      </w:r>
      <w:r>
        <w:t xml:space="preserve">week pilot study. However, no thymic changes were observed in the longer term studies in either species. </w:t>
      </w:r>
    </w:p>
    <w:p w14:paraId="4A0DBAF1" w14:textId="77777777" w:rsidR="004F59A6" w:rsidRDefault="004F59A6" w:rsidP="00E011B7">
      <w:pPr>
        <w:pStyle w:val="ListBullet"/>
      </w:pPr>
      <w:r>
        <w:t>Additional findings in rats at 100 mg/kg/day for 2 weeks (1.8</w:t>
      </w:r>
      <w:r w:rsidR="00E011B7">
        <w:t xml:space="preserve"> times</w:t>
      </w:r>
      <w:r>
        <w:t xml:space="preserve"> clinical AUC) were hypocellularity of bone marrow, absence of haematopoiesis of spleen, </w:t>
      </w:r>
      <w:r w:rsidRPr="000C7650">
        <w:t>minimal to moderate focal/multifocal</w:t>
      </w:r>
      <w:r>
        <w:t xml:space="preserve"> </w:t>
      </w:r>
      <w:r w:rsidRPr="000C7650">
        <w:t>necrosis (cortex/paracortex</w:t>
      </w:r>
      <w:r>
        <w:t>) and smaller or absence of germinal centre of m</w:t>
      </w:r>
      <w:r w:rsidRPr="000C7650">
        <w:t>esenteric lymph</w:t>
      </w:r>
      <w:r>
        <w:t xml:space="preserve"> </w:t>
      </w:r>
      <w:r w:rsidRPr="000C7650">
        <w:t>node</w:t>
      </w:r>
      <w:r>
        <w:t xml:space="preserve">, and glandular erosion of stomach. </w:t>
      </w:r>
    </w:p>
    <w:p w14:paraId="0BC9930F" w14:textId="77777777" w:rsidR="004F59A6" w:rsidRDefault="004F59A6" w:rsidP="00E011B7">
      <w:r>
        <w:t>Overall, the toxicological profile and pharmacological effects of ceritinib is comparable with other medicines in this class, such as crizotinib. Since the exposures in the rat and monkey studies were low, many of the reported effects, of which most are reversible after recovery, may occur clinically.</w:t>
      </w:r>
    </w:p>
    <w:p w14:paraId="4F1B6251" w14:textId="77777777" w:rsidR="004F59A6" w:rsidRPr="008C4B9B" w:rsidRDefault="004F59A6" w:rsidP="00E011B7">
      <w:pPr>
        <w:pStyle w:val="Heading4"/>
        <w:rPr>
          <w:snapToGrid w:val="0"/>
        </w:rPr>
      </w:pPr>
      <w:r w:rsidRPr="008C4B9B">
        <w:rPr>
          <w:snapToGrid w:val="0"/>
        </w:rPr>
        <w:t>Genotoxicity and carcinogenicity</w:t>
      </w:r>
    </w:p>
    <w:p w14:paraId="68979C48" w14:textId="77777777" w:rsidR="004F59A6" w:rsidRPr="008C4B9B" w:rsidRDefault="004F59A6" w:rsidP="00E011B7">
      <w:r w:rsidRPr="008C4B9B">
        <w:t>The potential genotoxicity of ceritinib was assessed in the standard battery of tests in accordance with ICH guidelines</w:t>
      </w:r>
      <w:r w:rsidR="009926DD">
        <w:rPr>
          <w:rStyle w:val="FootnoteReference"/>
        </w:rPr>
        <w:footnoteReference w:id="14"/>
      </w:r>
      <w:r w:rsidRPr="008C4B9B">
        <w:t xml:space="preserve">. A suitable set of </w:t>
      </w:r>
      <w:r w:rsidRPr="008C4B9B">
        <w:rPr>
          <w:i/>
        </w:rPr>
        <w:t>S. typhimurium</w:t>
      </w:r>
      <w:r w:rsidRPr="008C4B9B">
        <w:t xml:space="preserve"> strains were used in the bacterial mutagenicity assay. Concentrations/doses were appropriate. </w:t>
      </w:r>
    </w:p>
    <w:p w14:paraId="1B5374B6" w14:textId="77777777" w:rsidR="004F59A6" w:rsidRPr="008C4B9B" w:rsidRDefault="004F59A6" w:rsidP="00E011B7">
      <w:r w:rsidRPr="008C4B9B">
        <w:t xml:space="preserve">Ceritinib was not mutagenic in the bacterial reverse mutation assay but significant increases in numerical aberrations (polyploidy) were seen in human peripheral lymphocytes (with or without metabolic activation) </w:t>
      </w:r>
      <w:r w:rsidRPr="009926DD">
        <w:t>in vitro</w:t>
      </w:r>
      <w:r w:rsidRPr="008C4B9B">
        <w:t xml:space="preserve"> at ≥</w:t>
      </w:r>
      <w:r w:rsidR="009926DD">
        <w:t xml:space="preserve"> </w:t>
      </w:r>
      <w:r w:rsidRPr="008C4B9B">
        <w:t>4 μg/mL (with low cytotoxicity) and a small increase (</w:t>
      </w:r>
      <w:r w:rsidR="001762D3">
        <w:t xml:space="preserve">approximately </w:t>
      </w:r>
      <w:r w:rsidRPr="008C4B9B">
        <w:t xml:space="preserve">2.3 fold) in micronuclei in TK6 cells (without metabolic activation) </w:t>
      </w:r>
      <w:r w:rsidRPr="009926DD">
        <w:t>in vitr</w:t>
      </w:r>
      <w:r w:rsidRPr="008C4B9B">
        <w:rPr>
          <w:i/>
        </w:rPr>
        <w:t>o</w:t>
      </w:r>
      <w:r w:rsidRPr="008C4B9B">
        <w:t xml:space="preserve"> at ≥</w:t>
      </w:r>
      <w:r w:rsidR="009926DD">
        <w:t xml:space="preserve"> </w:t>
      </w:r>
      <w:r w:rsidRPr="008C4B9B">
        <w:t>2.8 μg/mL (</w:t>
      </w:r>
      <w:r w:rsidR="001762D3">
        <w:t xml:space="preserve">approximately </w:t>
      </w:r>
      <w:r w:rsidRPr="008C4B9B">
        <w:t xml:space="preserve">53% cell growth). No structural chromosome aberrations were observed in the human lymphocytes assay. An </w:t>
      </w:r>
      <w:r w:rsidRPr="009926DD">
        <w:t>in vivo</w:t>
      </w:r>
      <w:r w:rsidRPr="008C4B9B">
        <w:t xml:space="preserve"> bone marrow micronucleus assay in male Wistar rats at up to 2000 mg/kg PO gave negative results. Bone marrow drug exposure was demonstrated in the tissue distribution study in rats (</w:t>
      </w:r>
      <w:r w:rsidR="00326B43" w:rsidRPr="004933DC">
        <w:t>C</w:t>
      </w:r>
      <w:r w:rsidR="00326B43" w:rsidRPr="00326B43">
        <w:rPr>
          <w:vertAlign w:val="subscript"/>
        </w:rPr>
        <w:t>max</w:t>
      </w:r>
      <w:r w:rsidR="00326B43">
        <w:t xml:space="preserve"> </w:t>
      </w:r>
      <w:r w:rsidRPr="008C4B9B">
        <w:t xml:space="preserve">and AUC 13 and 28 fold, respectively, higher than the blood drug level), indicating adequate exposure to ceritinib and/or metabolites in the target tissue of the micronucleus assay. Polyploidy is a common finding in chromosome aberration assays </w:t>
      </w:r>
      <w:r w:rsidRPr="008C4B9B">
        <w:rPr>
          <w:i/>
        </w:rPr>
        <w:t>in vitro</w:t>
      </w:r>
      <w:r w:rsidRPr="008C4B9B">
        <w:t xml:space="preserve"> and the absence of chromosome structural breakage and a negative </w:t>
      </w:r>
      <w:r w:rsidRPr="008C4B9B">
        <w:rPr>
          <w:i/>
        </w:rPr>
        <w:t>in vivo</w:t>
      </w:r>
      <w:r w:rsidRPr="008C4B9B">
        <w:t xml:space="preserve"> micronucleus assay with appropriate exposure would provide sufficient </w:t>
      </w:r>
      <w:r w:rsidRPr="008C4B9B">
        <w:lastRenderedPageBreak/>
        <w:t>assurance of lack of potential for aneuploidy</w:t>
      </w:r>
      <w:r w:rsidR="009926DD">
        <w:rPr>
          <w:rStyle w:val="FootnoteReference"/>
        </w:rPr>
        <w:footnoteReference w:id="15"/>
      </w:r>
      <w:r w:rsidRPr="008C4B9B">
        <w:t xml:space="preserve">. Thus, ceritinib is considered to have a low risk of genotoxicity in patients. </w:t>
      </w:r>
    </w:p>
    <w:p w14:paraId="6BB13BF0" w14:textId="77777777" w:rsidR="004F59A6" w:rsidRPr="004C3AA6" w:rsidRDefault="004F59A6" w:rsidP="00E011B7">
      <w:pPr>
        <w:rPr>
          <w:rFonts w:eastAsia="SimSun"/>
        </w:rPr>
      </w:pPr>
      <w:r w:rsidRPr="008C4B9B">
        <w:t>No carcinogenicity studies were conducted, which is considered acceptable gi</w:t>
      </w:r>
      <w:r w:rsidR="009926DD">
        <w:t>ven the intended patient group</w:t>
      </w:r>
      <w:r w:rsidRPr="008C4B9B">
        <w:t>.</w:t>
      </w:r>
      <w:bookmarkStart w:id="53" w:name="_Ref500411628"/>
      <w:r w:rsidR="009926DD">
        <w:rPr>
          <w:rStyle w:val="FootnoteReference"/>
        </w:rPr>
        <w:footnoteReference w:id="16"/>
      </w:r>
      <w:bookmarkEnd w:id="53"/>
    </w:p>
    <w:p w14:paraId="09554D84" w14:textId="77777777" w:rsidR="004F59A6" w:rsidRPr="004C3AA6" w:rsidRDefault="004F59A6" w:rsidP="00E011B7">
      <w:pPr>
        <w:pStyle w:val="Heading4"/>
        <w:rPr>
          <w:snapToGrid w:val="0"/>
        </w:rPr>
      </w:pPr>
      <w:r w:rsidRPr="004C3AA6">
        <w:rPr>
          <w:snapToGrid w:val="0"/>
        </w:rPr>
        <w:t>Reproductive toxicity</w:t>
      </w:r>
    </w:p>
    <w:p w14:paraId="288B8703" w14:textId="20A1EFCA" w:rsidR="004F59A6" w:rsidRPr="009926DD" w:rsidRDefault="004F59A6" w:rsidP="00E92891">
      <w:pPr>
        <w:rPr>
          <w:kern w:val="2"/>
          <w:szCs w:val="20"/>
        </w:rPr>
      </w:pPr>
      <w:r w:rsidRPr="009926DD">
        <w:t>Fertility and early embryonic development studies were not conducted with ceritinib. This is acceptable for a drug indicated for advanced cancer.</w:t>
      </w:r>
      <w:r w:rsidR="009926DD" w:rsidRPr="009926DD">
        <w:rPr>
          <w:vertAlign w:val="superscript"/>
        </w:rPr>
        <w:fldChar w:fldCharType="begin"/>
      </w:r>
      <w:r w:rsidR="009926DD" w:rsidRPr="009926DD">
        <w:rPr>
          <w:vertAlign w:val="superscript"/>
        </w:rPr>
        <w:instrText xml:space="preserve"> NOTEREF _Ref500411628 \h </w:instrText>
      </w:r>
      <w:r w:rsidR="009926DD">
        <w:rPr>
          <w:vertAlign w:val="superscript"/>
        </w:rPr>
        <w:instrText xml:space="preserve"> \* MERGEFORMAT </w:instrText>
      </w:r>
      <w:r w:rsidR="009926DD" w:rsidRPr="009926DD">
        <w:rPr>
          <w:vertAlign w:val="superscript"/>
        </w:rPr>
      </w:r>
      <w:r w:rsidR="009926DD" w:rsidRPr="009926DD">
        <w:rPr>
          <w:vertAlign w:val="superscript"/>
        </w:rPr>
        <w:fldChar w:fldCharType="separate"/>
      </w:r>
      <w:r w:rsidR="00951361">
        <w:rPr>
          <w:vertAlign w:val="superscript"/>
        </w:rPr>
        <w:t>16</w:t>
      </w:r>
      <w:r w:rsidR="009926DD" w:rsidRPr="009926DD">
        <w:rPr>
          <w:vertAlign w:val="superscript"/>
        </w:rPr>
        <w:fldChar w:fldCharType="end"/>
      </w:r>
      <w:r w:rsidRPr="009926DD">
        <w:t xml:space="preserve"> There were no abnormal findings in male or female reproductive organs in repeat dose toxicity studies conducted in rats and monkeys for up to 3 months at exposures </w:t>
      </w:r>
      <w:r w:rsidR="001762D3" w:rsidRPr="009926DD">
        <w:t xml:space="preserve">approximately </w:t>
      </w:r>
      <w:r w:rsidRPr="009926DD">
        <w:t>1.4</w:t>
      </w:r>
      <w:r w:rsidR="009926DD">
        <w:t xml:space="preserve"> </w:t>
      </w:r>
      <w:r w:rsidRPr="009926DD">
        <w:t xml:space="preserve">times and equal to, respectively, the human exposure based on AUC. </w:t>
      </w:r>
      <w:proofErr w:type="gramStart"/>
      <w:r w:rsidRPr="009926DD">
        <w:t>However, based on the pharmacological activities of ceritinib which inhibits IGF-1R at clinically relevant concentrations (</w:t>
      </w:r>
      <w:r w:rsidR="00877F3E">
        <w:t>IC</w:t>
      </w:r>
      <w:r w:rsidR="00877F3E" w:rsidRPr="00877F3E">
        <w:rPr>
          <w:vertAlign w:val="subscript"/>
        </w:rPr>
        <w:t>50</w:t>
      </w:r>
      <w:r w:rsidRPr="009926DD">
        <w:t xml:space="preserve"> 8 nM </w:t>
      </w:r>
      <w:r w:rsidR="009926DD">
        <w:t>as compared to the</w:t>
      </w:r>
      <w:r w:rsidRPr="009926DD">
        <w:t xml:space="preserve"> clinical free fraction </w:t>
      </w:r>
      <w:r w:rsidR="009926DD">
        <w:t xml:space="preserve">of </w:t>
      </w:r>
      <w:r w:rsidR="00326B43" w:rsidRPr="004933DC">
        <w:t>C</w:t>
      </w:r>
      <w:r w:rsidR="00326B43" w:rsidRPr="00326B43">
        <w:rPr>
          <w:vertAlign w:val="subscript"/>
        </w:rPr>
        <w:t>max</w:t>
      </w:r>
      <w:r w:rsidR="00326B43">
        <w:t xml:space="preserve"> </w:t>
      </w:r>
      <w:r w:rsidR="009926DD">
        <w:t xml:space="preserve">of </w:t>
      </w:r>
      <w:r w:rsidR="001762D3" w:rsidRPr="009926DD">
        <w:t xml:space="preserve">approximately </w:t>
      </w:r>
      <w:r w:rsidRPr="009926DD">
        <w:t>60 nM), ceritinib might affects fertility in patients since IGF-1 deficiency causes infertility in mice.</w:t>
      </w:r>
      <w:proofErr w:type="gramEnd"/>
      <w:r w:rsidR="0082682D">
        <w:rPr>
          <w:rStyle w:val="FootnoteReference"/>
        </w:rPr>
        <w:footnoteReference w:id="17"/>
      </w:r>
      <w:r w:rsidR="000E3918" w:rsidRPr="009926DD">
        <w:t xml:space="preserve"> </w:t>
      </w:r>
    </w:p>
    <w:p w14:paraId="0BC75190" w14:textId="77777777" w:rsidR="004F59A6" w:rsidRPr="009926DD" w:rsidRDefault="004F59A6" w:rsidP="00E92891">
      <w:r w:rsidRPr="009926DD">
        <w:t>Embryofetal development studies were performed in rats and rabbits. The studies were GLP</w:t>
      </w:r>
      <w:r w:rsidR="009926DD">
        <w:t xml:space="preserve"> </w:t>
      </w:r>
      <w:r w:rsidRPr="009926DD">
        <w:t>compliant with appropriate group sizes and treatment period. However, higher doses could have been tested in rats because of the absence of maternal effects (discussed below). Systemic exposures in both species were below the clinica</w:t>
      </w:r>
      <w:r w:rsidR="00E011B7" w:rsidRPr="009926DD">
        <w:t>l exposure based on AUC (Table 3</w:t>
      </w:r>
      <w:r w:rsidRPr="009926DD">
        <w:t xml:space="preserve">). </w:t>
      </w:r>
    </w:p>
    <w:p w14:paraId="7890C21F" w14:textId="77777777" w:rsidR="004F59A6" w:rsidRDefault="004F59A6" w:rsidP="00E92891">
      <w:r w:rsidRPr="009926DD">
        <w:t>Placental transfer was demonstrated in both species, although fetal plasma ceritinib concentrations were low. Fetal plasma ceritinib concentrations were 7</w:t>
      </w:r>
      <w:r w:rsidR="009926DD">
        <w:t xml:space="preserve"> to </w:t>
      </w:r>
      <w:r w:rsidRPr="009926DD">
        <w:t>20 (rat) and 13</w:t>
      </w:r>
      <w:r w:rsidR="009926DD">
        <w:t xml:space="preserve"> to </w:t>
      </w:r>
      <w:r w:rsidRPr="009926DD">
        <w:t>19 (rabbit) fold lower than maternal plasma concentrations.</w:t>
      </w:r>
    </w:p>
    <w:p w14:paraId="64742408" w14:textId="77777777" w:rsidR="004F59A6" w:rsidRPr="004C3AA6" w:rsidRDefault="004F59A6" w:rsidP="00E011B7">
      <w:pPr>
        <w:pStyle w:val="TableTitle"/>
        <w:rPr>
          <w:snapToGrid w:val="0"/>
        </w:rPr>
      </w:pPr>
      <w:r w:rsidRPr="004C3AA6">
        <w:rPr>
          <w:snapToGrid w:val="0"/>
        </w:rPr>
        <w:t xml:space="preserve">Table </w:t>
      </w:r>
      <w:r w:rsidR="00E011B7">
        <w:rPr>
          <w:snapToGrid w:val="0"/>
        </w:rPr>
        <w:t>3:</w:t>
      </w:r>
      <w:r w:rsidRPr="004C3AA6">
        <w:rPr>
          <w:snapToGrid w:val="0"/>
        </w:rPr>
        <w:t xml:space="preserve"> Relative exposure in reproductive toxicity studies</w:t>
      </w:r>
    </w:p>
    <w:tbl>
      <w:tblPr>
        <w:tblStyle w:val="TableTGAblue"/>
        <w:tblW w:w="8956" w:type="dxa"/>
        <w:tblLayout w:type="fixed"/>
        <w:tblLook w:val="01E0" w:firstRow="1" w:lastRow="1" w:firstColumn="1" w:lastColumn="1" w:noHBand="0" w:noVBand="0"/>
        <w:tblDescription w:val="Table 3: Relative exposure in reproductive toxicity studies"/>
      </w:tblPr>
      <w:tblGrid>
        <w:gridCol w:w="1334"/>
        <w:gridCol w:w="2494"/>
        <w:gridCol w:w="1688"/>
        <w:gridCol w:w="1770"/>
        <w:gridCol w:w="1670"/>
      </w:tblGrid>
      <w:tr w:rsidR="004F59A6" w:rsidRPr="00E011B7" w14:paraId="557F944A" w14:textId="77777777" w:rsidTr="00E011B7">
        <w:trPr>
          <w:cnfStyle w:val="100000000000" w:firstRow="1" w:lastRow="0" w:firstColumn="0" w:lastColumn="0" w:oddVBand="0" w:evenVBand="0" w:oddHBand="0" w:evenHBand="0" w:firstRowFirstColumn="0" w:firstRowLastColumn="0" w:lastRowFirstColumn="0" w:lastRowLastColumn="0"/>
          <w:cantSplit/>
        </w:trPr>
        <w:tc>
          <w:tcPr>
            <w:tcW w:w="1334" w:type="dxa"/>
          </w:tcPr>
          <w:p w14:paraId="56974203" w14:textId="77777777" w:rsidR="004F59A6" w:rsidRPr="00E011B7" w:rsidRDefault="004F59A6" w:rsidP="004F59A6">
            <w:pPr>
              <w:keepLines/>
              <w:widowControl w:val="0"/>
              <w:spacing w:before="60" w:after="60" w:line="200" w:lineRule="exact"/>
              <w:jc w:val="center"/>
              <w:rPr>
                <w:rFonts w:eastAsia="MS Mincho"/>
                <w:kern w:val="2"/>
                <w:sz w:val="19"/>
                <w:szCs w:val="19"/>
              </w:rPr>
            </w:pPr>
            <w:r w:rsidRPr="00E011B7">
              <w:rPr>
                <w:rFonts w:eastAsia="MS Mincho"/>
                <w:kern w:val="2"/>
                <w:sz w:val="19"/>
                <w:szCs w:val="19"/>
              </w:rPr>
              <w:t>Species</w:t>
            </w:r>
          </w:p>
        </w:tc>
        <w:tc>
          <w:tcPr>
            <w:tcW w:w="2494" w:type="dxa"/>
          </w:tcPr>
          <w:p w14:paraId="03CC57A4" w14:textId="77777777" w:rsidR="004F59A6" w:rsidRPr="00E011B7" w:rsidRDefault="004F59A6" w:rsidP="004F59A6">
            <w:pPr>
              <w:keepLines/>
              <w:widowControl w:val="0"/>
              <w:spacing w:before="60" w:after="60" w:line="200" w:lineRule="exact"/>
              <w:jc w:val="center"/>
              <w:rPr>
                <w:rFonts w:eastAsia="MS Mincho"/>
                <w:kern w:val="2"/>
                <w:sz w:val="19"/>
                <w:szCs w:val="19"/>
              </w:rPr>
            </w:pPr>
            <w:proofErr w:type="gramStart"/>
            <w:r w:rsidRPr="00E011B7">
              <w:rPr>
                <w:rFonts w:eastAsia="MS Mincho"/>
                <w:kern w:val="2"/>
                <w:sz w:val="19"/>
                <w:szCs w:val="19"/>
              </w:rPr>
              <w:t>Study</w:t>
            </w:r>
            <w:proofErr w:type="gramEnd"/>
            <w:r w:rsidRPr="00E011B7">
              <w:rPr>
                <w:rFonts w:eastAsia="MS Mincho"/>
                <w:kern w:val="2"/>
                <w:sz w:val="19"/>
                <w:szCs w:val="19"/>
              </w:rPr>
              <w:br/>
              <w:t>[Study no.]</w:t>
            </w:r>
          </w:p>
        </w:tc>
        <w:tc>
          <w:tcPr>
            <w:tcW w:w="1688" w:type="dxa"/>
          </w:tcPr>
          <w:p w14:paraId="514AED4B" w14:textId="77777777" w:rsidR="004F59A6" w:rsidRPr="00E011B7" w:rsidRDefault="004F59A6" w:rsidP="00E011B7">
            <w:pPr>
              <w:keepLines/>
              <w:widowControl w:val="0"/>
              <w:spacing w:before="60" w:after="60" w:line="200" w:lineRule="exact"/>
              <w:jc w:val="center"/>
              <w:rPr>
                <w:rFonts w:eastAsia="MS Mincho"/>
                <w:kern w:val="2"/>
                <w:sz w:val="19"/>
                <w:szCs w:val="19"/>
              </w:rPr>
            </w:pPr>
            <w:r w:rsidRPr="00E011B7">
              <w:rPr>
                <w:rFonts w:eastAsia="MS Mincho"/>
                <w:kern w:val="2"/>
                <w:sz w:val="19"/>
                <w:szCs w:val="19"/>
              </w:rPr>
              <w:t>Dose</w:t>
            </w:r>
            <w:r w:rsidRPr="00E011B7">
              <w:rPr>
                <w:rFonts w:eastAsia="MS Mincho"/>
                <w:kern w:val="2"/>
                <w:sz w:val="19"/>
                <w:szCs w:val="19"/>
              </w:rPr>
              <w:br/>
              <w:t>mg/kg/day</w:t>
            </w:r>
          </w:p>
        </w:tc>
        <w:tc>
          <w:tcPr>
            <w:tcW w:w="1770" w:type="dxa"/>
          </w:tcPr>
          <w:p w14:paraId="427E315C" w14:textId="77777777" w:rsidR="004F59A6" w:rsidRPr="00E011B7" w:rsidRDefault="004F59A6" w:rsidP="00E011B7">
            <w:pPr>
              <w:keepLines/>
              <w:widowControl w:val="0"/>
              <w:spacing w:before="60" w:after="60" w:line="200" w:lineRule="exact"/>
              <w:jc w:val="center"/>
              <w:rPr>
                <w:rFonts w:eastAsia="MS Mincho"/>
                <w:kern w:val="2"/>
                <w:sz w:val="19"/>
                <w:szCs w:val="19"/>
              </w:rPr>
            </w:pPr>
            <w:r w:rsidRPr="00E011B7">
              <w:rPr>
                <w:rFonts w:eastAsia="MS Mincho"/>
                <w:kern w:val="2"/>
                <w:sz w:val="19"/>
                <w:szCs w:val="19"/>
              </w:rPr>
              <w:t>AUC</w:t>
            </w:r>
            <w:r w:rsidRPr="00E011B7">
              <w:rPr>
                <w:rFonts w:eastAsia="MS Mincho"/>
                <w:kern w:val="2"/>
                <w:sz w:val="19"/>
                <w:szCs w:val="19"/>
                <w:vertAlign w:val="subscript"/>
              </w:rPr>
              <w:t>0–24</w:t>
            </w:r>
            <w:r w:rsidRPr="00E011B7">
              <w:rPr>
                <w:rFonts w:eastAsia="MS Mincho"/>
                <w:w w:val="50"/>
                <w:kern w:val="2"/>
                <w:sz w:val="19"/>
                <w:szCs w:val="19"/>
                <w:vertAlign w:val="subscript"/>
              </w:rPr>
              <w:t> </w:t>
            </w:r>
            <w:r w:rsidRPr="00E011B7">
              <w:rPr>
                <w:rFonts w:eastAsia="MS Mincho"/>
                <w:kern w:val="2"/>
                <w:sz w:val="19"/>
                <w:szCs w:val="19"/>
                <w:vertAlign w:val="subscript"/>
              </w:rPr>
              <w:t>h</w:t>
            </w:r>
            <w:r w:rsidRPr="00E011B7">
              <w:rPr>
                <w:rFonts w:eastAsia="MS Mincho"/>
                <w:kern w:val="2"/>
                <w:sz w:val="19"/>
                <w:szCs w:val="19"/>
              </w:rPr>
              <w:br/>
              <w:t>ng∙h/mL</w:t>
            </w:r>
          </w:p>
        </w:tc>
        <w:tc>
          <w:tcPr>
            <w:tcW w:w="1670" w:type="dxa"/>
          </w:tcPr>
          <w:p w14:paraId="7E386B76" w14:textId="77777777" w:rsidR="004F59A6" w:rsidRPr="00E011B7" w:rsidRDefault="004F59A6" w:rsidP="004F59A6">
            <w:pPr>
              <w:keepLines/>
              <w:widowControl w:val="0"/>
              <w:spacing w:before="60" w:after="60" w:line="200" w:lineRule="exact"/>
              <w:jc w:val="center"/>
              <w:rPr>
                <w:rFonts w:eastAsia="MS Mincho"/>
                <w:kern w:val="2"/>
                <w:sz w:val="19"/>
                <w:szCs w:val="19"/>
              </w:rPr>
            </w:pPr>
            <w:r w:rsidRPr="00E011B7">
              <w:rPr>
                <w:rFonts w:eastAsia="MS Mincho"/>
                <w:kern w:val="2"/>
                <w:sz w:val="19"/>
                <w:szCs w:val="19"/>
              </w:rPr>
              <w:t>Exposure ratio</w:t>
            </w:r>
            <w:r w:rsidRPr="00E011B7">
              <w:rPr>
                <w:rFonts w:eastAsia="MS Mincho"/>
                <w:kern w:val="2"/>
                <w:sz w:val="19"/>
                <w:szCs w:val="19"/>
                <w:vertAlign w:val="superscript"/>
              </w:rPr>
              <w:t>#</w:t>
            </w:r>
          </w:p>
        </w:tc>
      </w:tr>
      <w:tr w:rsidR="004F59A6" w:rsidRPr="004C3AA6" w14:paraId="717CF3CE" w14:textId="77777777" w:rsidTr="00E011B7">
        <w:trPr>
          <w:trHeight w:val="227"/>
        </w:trPr>
        <w:tc>
          <w:tcPr>
            <w:tcW w:w="1334" w:type="dxa"/>
            <w:vMerge w:val="restart"/>
          </w:tcPr>
          <w:p w14:paraId="3D2677AC" w14:textId="2C114EBE" w:rsidR="004F59A6" w:rsidRPr="004C3AA6" w:rsidRDefault="004F59A6" w:rsidP="00493AFB">
            <w:pPr>
              <w:ind w:left="0" w:right="-16"/>
              <w:rPr>
                <w:snapToGrid w:val="0"/>
              </w:rPr>
            </w:pPr>
            <w:r w:rsidRPr="004C3AA6">
              <w:rPr>
                <w:snapToGrid w:val="0"/>
              </w:rPr>
              <w:t>Rat</w:t>
            </w:r>
            <w:r w:rsidR="00493AFB">
              <w:rPr>
                <w:snapToGrid w:val="0"/>
              </w:rPr>
              <w:br/>
            </w:r>
            <w:r w:rsidRPr="004C3AA6">
              <w:rPr>
                <w:snapToGrid w:val="0"/>
              </w:rPr>
              <w:t>(</w:t>
            </w:r>
            <w:proofErr w:type="spellStart"/>
            <w:r w:rsidRPr="004C3AA6">
              <w:rPr>
                <w:snapToGrid w:val="0"/>
              </w:rPr>
              <w:t>Wistar</w:t>
            </w:r>
            <w:proofErr w:type="spellEnd"/>
            <w:r w:rsidRPr="004C3AA6">
              <w:rPr>
                <w:snapToGrid w:val="0"/>
              </w:rPr>
              <w:t>)</w:t>
            </w:r>
          </w:p>
        </w:tc>
        <w:tc>
          <w:tcPr>
            <w:tcW w:w="2494" w:type="dxa"/>
            <w:vMerge w:val="restart"/>
          </w:tcPr>
          <w:p w14:paraId="07C9E691" w14:textId="77777777" w:rsidR="004F59A6" w:rsidRPr="004C3AA6" w:rsidRDefault="004F59A6" w:rsidP="00493AFB">
            <w:pPr>
              <w:rPr>
                <w:snapToGrid w:val="0"/>
              </w:rPr>
            </w:pPr>
            <w:r w:rsidRPr="004C3AA6">
              <w:rPr>
                <w:snapToGrid w:val="0"/>
              </w:rPr>
              <w:t>Embryofetal development</w:t>
            </w:r>
            <w:r w:rsidRPr="004C3AA6">
              <w:rPr>
                <w:snapToGrid w:val="0"/>
              </w:rPr>
              <w:br/>
              <w:t>[Study 1370073/9000189]</w:t>
            </w:r>
          </w:p>
        </w:tc>
        <w:tc>
          <w:tcPr>
            <w:tcW w:w="1688" w:type="dxa"/>
          </w:tcPr>
          <w:p w14:paraId="679EFD6C" w14:textId="77777777" w:rsidR="004F59A6" w:rsidRPr="004C3AA6" w:rsidRDefault="004F59A6" w:rsidP="00493AFB">
            <w:pPr>
              <w:rPr>
                <w:snapToGrid w:val="0"/>
              </w:rPr>
            </w:pPr>
            <w:r w:rsidRPr="004C3AA6">
              <w:rPr>
                <w:snapToGrid w:val="0"/>
              </w:rPr>
              <w:t>1</w:t>
            </w:r>
          </w:p>
        </w:tc>
        <w:tc>
          <w:tcPr>
            <w:tcW w:w="1770" w:type="dxa"/>
          </w:tcPr>
          <w:p w14:paraId="596D13A4" w14:textId="77777777" w:rsidR="004F59A6" w:rsidRPr="004C3AA6" w:rsidRDefault="004F59A6" w:rsidP="00493AFB">
            <w:pPr>
              <w:rPr>
                <w:snapToGrid w:val="0"/>
              </w:rPr>
            </w:pPr>
            <w:r w:rsidRPr="004C3AA6">
              <w:rPr>
                <w:snapToGrid w:val="0"/>
              </w:rPr>
              <w:t>142</w:t>
            </w:r>
          </w:p>
        </w:tc>
        <w:tc>
          <w:tcPr>
            <w:tcW w:w="1670" w:type="dxa"/>
          </w:tcPr>
          <w:p w14:paraId="48975AA3" w14:textId="77777777" w:rsidR="004F59A6" w:rsidRPr="004C3AA6" w:rsidRDefault="004F59A6" w:rsidP="00493AFB">
            <w:pPr>
              <w:rPr>
                <w:rFonts w:cs="Calibri"/>
                <w:color w:val="000000"/>
                <w:szCs w:val="18"/>
                <w:lang w:eastAsia="zh-CN"/>
              </w:rPr>
            </w:pPr>
            <w:r w:rsidRPr="004C3AA6">
              <w:rPr>
                <w:rFonts w:cs="Calibri"/>
                <w:color w:val="000000"/>
                <w:szCs w:val="18"/>
                <w:lang w:eastAsia="zh-CN"/>
              </w:rPr>
              <w:t>0.01</w:t>
            </w:r>
          </w:p>
        </w:tc>
      </w:tr>
      <w:tr w:rsidR="004F59A6" w:rsidRPr="004C3AA6" w14:paraId="2FFC2FCD" w14:textId="77777777" w:rsidTr="00E011B7">
        <w:trPr>
          <w:trHeight w:val="227"/>
        </w:trPr>
        <w:tc>
          <w:tcPr>
            <w:tcW w:w="1334" w:type="dxa"/>
            <w:vMerge/>
          </w:tcPr>
          <w:p w14:paraId="61A228CF" w14:textId="77777777" w:rsidR="004F59A6" w:rsidRPr="004C3AA6" w:rsidRDefault="004F59A6" w:rsidP="00493AFB">
            <w:pPr>
              <w:rPr>
                <w:snapToGrid w:val="0"/>
              </w:rPr>
            </w:pPr>
          </w:p>
        </w:tc>
        <w:tc>
          <w:tcPr>
            <w:tcW w:w="2494" w:type="dxa"/>
            <w:vMerge/>
          </w:tcPr>
          <w:p w14:paraId="25047A86" w14:textId="77777777" w:rsidR="004F59A6" w:rsidRPr="004C3AA6" w:rsidRDefault="004F59A6" w:rsidP="00493AFB">
            <w:pPr>
              <w:rPr>
                <w:snapToGrid w:val="0"/>
              </w:rPr>
            </w:pPr>
          </w:p>
        </w:tc>
        <w:tc>
          <w:tcPr>
            <w:tcW w:w="1688" w:type="dxa"/>
          </w:tcPr>
          <w:p w14:paraId="37DD1AAE" w14:textId="77777777" w:rsidR="004F59A6" w:rsidRPr="004C3AA6" w:rsidRDefault="004F59A6" w:rsidP="00493AFB">
            <w:pPr>
              <w:rPr>
                <w:snapToGrid w:val="0"/>
              </w:rPr>
            </w:pPr>
            <w:r w:rsidRPr="004C3AA6">
              <w:rPr>
                <w:snapToGrid w:val="0"/>
              </w:rPr>
              <w:t>10</w:t>
            </w:r>
          </w:p>
        </w:tc>
        <w:tc>
          <w:tcPr>
            <w:tcW w:w="1770" w:type="dxa"/>
          </w:tcPr>
          <w:p w14:paraId="3855614C" w14:textId="77777777" w:rsidR="004F59A6" w:rsidRPr="004C3AA6" w:rsidRDefault="004F59A6" w:rsidP="00493AFB">
            <w:pPr>
              <w:rPr>
                <w:snapToGrid w:val="0"/>
              </w:rPr>
            </w:pPr>
            <w:r w:rsidRPr="004C3AA6">
              <w:rPr>
                <w:snapToGrid w:val="0"/>
              </w:rPr>
              <w:t>2940</w:t>
            </w:r>
          </w:p>
        </w:tc>
        <w:tc>
          <w:tcPr>
            <w:tcW w:w="1670" w:type="dxa"/>
          </w:tcPr>
          <w:p w14:paraId="3E828384" w14:textId="77777777" w:rsidR="004F59A6" w:rsidRPr="004C3AA6" w:rsidRDefault="004F59A6" w:rsidP="00493AFB">
            <w:pPr>
              <w:rPr>
                <w:rFonts w:cs="Calibri"/>
                <w:color w:val="000000"/>
                <w:szCs w:val="18"/>
                <w:lang w:eastAsia="zh-CN"/>
              </w:rPr>
            </w:pPr>
            <w:r w:rsidRPr="004C3AA6">
              <w:rPr>
                <w:rFonts w:cs="Calibri"/>
                <w:color w:val="000000"/>
                <w:szCs w:val="18"/>
                <w:lang w:eastAsia="zh-CN"/>
              </w:rPr>
              <w:t>0.12</w:t>
            </w:r>
          </w:p>
        </w:tc>
      </w:tr>
      <w:tr w:rsidR="004F59A6" w:rsidRPr="004C3AA6" w14:paraId="60A2C1BC" w14:textId="77777777" w:rsidTr="00E011B7">
        <w:trPr>
          <w:trHeight w:val="227"/>
        </w:trPr>
        <w:tc>
          <w:tcPr>
            <w:tcW w:w="1334" w:type="dxa"/>
            <w:vMerge/>
          </w:tcPr>
          <w:p w14:paraId="78C2A4EF" w14:textId="77777777" w:rsidR="004F59A6" w:rsidRPr="004C3AA6" w:rsidRDefault="004F59A6" w:rsidP="00493AFB">
            <w:pPr>
              <w:rPr>
                <w:snapToGrid w:val="0"/>
              </w:rPr>
            </w:pPr>
          </w:p>
        </w:tc>
        <w:tc>
          <w:tcPr>
            <w:tcW w:w="2494" w:type="dxa"/>
            <w:vMerge/>
          </w:tcPr>
          <w:p w14:paraId="5E3E6061" w14:textId="77777777" w:rsidR="004F59A6" w:rsidRPr="004C3AA6" w:rsidRDefault="004F59A6" w:rsidP="00493AFB">
            <w:pPr>
              <w:rPr>
                <w:snapToGrid w:val="0"/>
              </w:rPr>
            </w:pPr>
          </w:p>
        </w:tc>
        <w:tc>
          <w:tcPr>
            <w:tcW w:w="1688" w:type="dxa"/>
          </w:tcPr>
          <w:p w14:paraId="1A045750" w14:textId="77777777" w:rsidR="004F59A6" w:rsidRPr="004C3AA6" w:rsidRDefault="004F59A6" w:rsidP="00493AFB">
            <w:pPr>
              <w:rPr>
                <w:snapToGrid w:val="0"/>
              </w:rPr>
            </w:pPr>
            <w:r w:rsidRPr="004C3AA6">
              <w:rPr>
                <w:snapToGrid w:val="0"/>
              </w:rPr>
              <w:t>50</w:t>
            </w:r>
          </w:p>
        </w:tc>
        <w:tc>
          <w:tcPr>
            <w:tcW w:w="1770" w:type="dxa"/>
          </w:tcPr>
          <w:p w14:paraId="33964505" w14:textId="77777777" w:rsidR="004F59A6" w:rsidRPr="004C3AA6" w:rsidRDefault="004F59A6" w:rsidP="00493AFB">
            <w:pPr>
              <w:rPr>
                <w:snapToGrid w:val="0"/>
              </w:rPr>
            </w:pPr>
            <w:r w:rsidRPr="004C3AA6">
              <w:rPr>
                <w:snapToGrid w:val="0"/>
              </w:rPr>
              <w:t>14900</w:t>
            </w:r>
          </w:p>
        </w:tc>
        <w:tc>
          <w:tcPr>
            <w:tcW w:w="1670" w:type="dxa"/>
          </w:tcPr>
          <w:p w14:paraId="26E2AA0F" w14:textId="77777777" w:rsidR="004F59A6" w:rsidRPr="004C3AA6" w:rsidRDefault="004F59A6" w:rsidP="00493AFB">
            <w:pPr>
              <w:rPr>
                <w:rFonts w:cs="Calibri"/>
                <w:color w:val="000000"/>
                <w:szCs w:val="18"/>
                <w:lang w:eastAsia="zh-CN"/>
              </w:rPr>
            </w:pPr>
            <w:r w:rsidRPr="004C3AA6">
              <w:rPr>
                <w:rFonts w:cs="Calibri"/>
                <w:color w:val="000000"/>
                <w:szCs w:val="18"/>
                <w:lang w:eastAsia="zh-CN"/>
              </w:rPr>
              <w:t>0.63</w:t>
            </w:r>
          </w:p>
        </w:tc>
      </w:tr>
      <w:tr w:rsidR="004F59A6" w:rsidRPr="004C3AA6" w14:paraId="0C16A9B4" w14:textId="77777777" w:rsidTr="00E011B7">
        <w:trPr>
          <w:trHeight w:val="227"/>
        </w:trPr>
        <w:tc>
          <w:tcPr>
            <w:tcW w:w="1334" w:type="dxa"/>
            <w:vMerge w:val="restart"/>
          </w:tcPr>
          <w:p w14:paraId="5EEF43A7" w14:textId="77777777" w:rsidR="004F59A6" w:rsidRPr="004C3AA6" w:rsidRDefault="004F59A6" w:rsidP="00493AFB">
            <w:pPr>
              <w:ind w:left="0"/>
              <w:rPr>
                <w:snapToGrid w:val="0"/>
              </w:rPr>
            </w:pPr>
            <w:r w:rsidRPr="004C3AA6">
              <w:rPr>
                <w:snapToGrid w:val="0"/>
              </w:rPr>
              <w:t>Rabbit</w:t>
            </w:r>
            <w:r w:rsidRPr="004C3AA6">
              <w:rPr>
                <w:snapToGrid w:val="0"/>
              </w:rPr>
              <w:br/>
              <w:t>(NZW)</w:t>
            </w:r>
          </w:p>
        </w:tc>
        <w:tc>
          <w:tcPr>
            <w:tcW w:w="2494" w:type="dxa"/>
            <w:vMerge w:val="restart"/>
          </w:tcPr>
          <w:p w14:paraId="1C034F43" w14:textId="77777777" w:rsidR="004F59A6" w:rsidRPr="004C3AA6" w:rsidRDefault="004F59A6" w:rsidP="00493AFB">
            <w:pPr>
              <w:rPr>
                <w:snapToGrid w:val="0"/>
              </w:rPr>
            </w:pPr>
            <w:r w:rsidRPr="004C3AA6">
              <w:rPr>
                <w:snapToGrid w:val="0"/>
              </w:rPr>
              <w:t>Embryofetal development</w:t>
            </w:r>
          </w:p>
          <w:p w14:paraId="46047EE7" w14:textId="77777777" w:rsidR="004F59A6" w:rsidRPr="004C3AA6" w:rsidRDefault="004F59A6" w:rsidP="00493AFB">
            <w:pPr>
              <w:rPr>
                <w:snapToGrid w:val="0"/>
              </w:rPr>
            </w:pPr>
            <w:r w:rsidRPr="004C3AA6">
              <w:rPr>
                <w:snapToGrid w:val="0"/>
              </w:rPr>
              <w:t>[Study1370072/9000190]</w:t>
            </w:r>
          </w:p>
        </w:tc>
        <w:tc>
          <w:tcPr>
            <w:tcW w:w="1688" w:type="dxa"/>
          </w:tcPr>
          <w:p w14:paraId="35853B49" w14:textId="77777777" w:rsidR="004F59A6" w:rsidRPr="004C3AA6" w:rsidRDefault="004F59A6" w:rsidP="00493AFB">
            <w:pPr>
              <w:rPr>
                <w:snapToGrid w:val="0"/>
              </w:rPr>
            </w:pPr>
            <w:r w:rsidRPr="004C3AA6">
              <w:rPr>
                <w:snapToGrid w:val="0"/>
              </w:rPr>
              <w:t>2</w:t>
            </w:r>
          </w:p>
        </w:tc>
        <w:tc>
          <w:tcPr>
            <w:tcW w:w="1770" w:type="dxa"/>
          </w:tcPr>
          <w:p w14:paraId="5340316A" w14:textId="77777777" w:rsidR="004F59A6" w:rsidRPr="004C3AA6" w:rsidRDefault="004F59A6" w:rsidP="00493AFB">
            <w:pPr>
              <w:rPr>
                <w:snapToGrid w:val="0"/>
              </w:rPr>
            </w:pPr>
            <w:r w:rsidRPr="004C3AA6">
              <w:rPr>
                <w:snapToGrid w:val="0"/>
              </w:rPr>
              <w:t>543, 403*</w:t>
            </w:r>
          </w:p>
        </w:tc>
        <w:tc>
          <w:tcPr>
            <w:tcW w:w="1670" w:type="dxa"/>
          </w:tcPr>
          <w:p w14:paraId="60B49DCD" w14:textId="77777777" w:rsidR="004F59A6" w:rsidRPr="004C3AA6" w:rsidRDefault="004F59A6" w:rsidP="00493AFB">
            <w:pPr>
              <w:rPr>
                <w:rFonts w:cs="Calibri"/>
                <w:color w:val="000000"/>
                <w:szCs w:val="18"/>
                <w:lang w:eastAsia="zh-CN"/>
              </w:rPr>
            </w:pPr>
            <w:r w:rsidRPr="004C3AA6">
              <w:rPr>
                <w:rFonts w:cs="Calibri"/>
                <w:color w:val="000000"/>
                <w:szCs w:val="18"/>
                <w:lang w:eastAsia="zh-CN"/>
              </w:rPr>
              <w:t>0.02, 0.02</w:t>
            </w:r>
          </w:p>
        </w:tc>
      </w:tr>
      <w:tr w:rsidR="004F59A6" w:rsidRPr="004C3AA6" w14:paraId="785C3095" w14:textId="77777777" w:rsidTr="00E011B7">
        <w:trPr>
          <w:trHeight w:val="227"/>
        </w:trPr>
        <w:tc>
          <w:tcPr>
            <w:tcW w:w="1334" w:type="dxa"/>
            <w:vMerge/>
          </w:tcPr>
          <w:p w14:paraId="5C7904E7" w14:textId="77777777" w:rsidR="004F59A6" w:rsidRPr="004C3AA6" w:rsidRDefault="004F59A6" w:rsidP="00493AFB">
            <w:pPr>
              <w:rPr>
                <w:snapToGrid w:val="0"/>
              </w:rPr>
            </w:pPr>
          </w:p>
        </w:tc>
        <w:tc>
          <w:tcPr>
            <w:tcW w:w="2494" w:type="dxa"/>
            <w:vMerge/>
          </w:tcPr>
          <w:p w14:paraId="29BDF9B2" w14:textId="77777777" w:rsidR="004F59A6" w:rsidRPr="004C3AA6" w:rsidRDefault="004F59A6" w:rsidP="00493AFB">
            <w:pPr>
              <w:rPr>
                <w:snapToGrid w:val="0"/>
              </w:rPr>
            </w:pPr>
          </w:p>
        </w:tc>
        <w:tc>
          <w:tcPr>
            <w:tcW w:w="1688" w:type="dxa"/>
          </w:tcPr>
          <w:p w14:paraId="7820EB17" w14:textId="77777777" w:rsidR="004F59A6" w:rsidRPr="004C3AA6" w:rsidRDefault="004F59A6" w:rsidP="00493AFB">
            <w:pPr>
              <w:rPr>
                <w:snapToGrid w:val="0"/>
              </w:rPr>
            </w:pPr>
            <w:r w:rsidRPr="004C3AA6">
              <w:rPr>
                <w:snapToGrid w:val="0"/>
              </w:rPr>
              <w:t>10</w:t>
            </w:r>
          </w:p>
        </w:tc>
        <w:tc>
          <w:tcPr>
            <w:tcW w:w="1770" w:type="dxa"/>
          </w:tcPr>
          <w:p w14:paraId="21E7D1DC" w14:textId="77777777" w:rsidR="004F59A6" w:rsidRPr="004C3AA6" w:rsidRDefault="004F59A6" w:rsidP="00493AFB">
            <w:pPr>
              <w:rPr>
                <w:snapToGrid w:val="0"/>
              </w:rPr>
            </w:pPr>
            <w:r w:rsidRPr="004C3AA6">
              <w:rPr>
                <w:snapToGrid w:val="0"/>
              </w:rPr>
              <w:t>4180, 2340*</w:t>
            </w:r>
          </w:p>
        </w:tc>
        <w:tc>
          <w:tcPr>
            <w:tcW w:w="1670" w:type="dxa"/>
          </w:tcPr>
          <w:p w14:paraId="556AAC2D" w14:textId="77777777" w:rsidR="004F59A6" w:rsidRPr="004C3AA6" w:rsidRDefault="004F59A6" w:rsidP="00493AFB">
            <w:pPr>
              <w:rPr>
                <w:rFonts w:cs="Calibri"/>
                <w:color w:val="000000"/>
                <w:szCs w:val="18"/>
                <w:lang w:eastAsia="zh-CN"/>
              </w:rPr>
            </w:pPr>
            <w:r w:rsidRPr="004C3AA6">
              <w:rPr>
                <w:rFonts w:cs="Calibri"/>
                <w:color w:val="000000"/>
                <w:szCs w:val="18"/>
                <w:lang w:eastAsia="zh-CN"/>
              </w:rPr>
              <w:t>0.18, 0.1</w:t>
            </w:r>
          </w:p>
        </w:tc>
      </w:tr>
      <w:tr w:rsidR="004F59A6" w:rsidRPr="004C3AA6" w14:paraId="388152D8" w14:textId="77777777" w:rsidTr="00E011B7">
        <w:trPr>
          <w:trHeight w:val="227"/>
        </w:trPr>
        <w:tc>
          <w:tcPr>
            <w:tcW w:w="1334" w:type="dxa"/>
            <w:vMerge/>
          </w:tcPr>
          <w:p w14:paraId="03C0B619" w14:textId="77777777" w:rsidR="004F59A6" w:rsidRPr="004C3AA6" w:rsidRDefault="004F59A6" w:rsidP="00493AFB">
            <w:pPr>
              <w:rPr>
                <w:snapToGrid w:val="0"/>
              </w:rPr>
            </w:pPr>
          </w:p>
        </w:tc>
        <w:tc>
          <w:tcPr>
            <w:tcW w:w="2494" w:type="dxa"/>
            <w:vMerge/>
          </w:tcPr>
          <w:p w14:paraId="13169B33" w14:textId="77777777" w:rsidR="004F59A6" w:rsidRPr="004C3AA6" w:rsidRDefault="004F59A6" w:rsidP="00493AFB">
            <w:pPr>
              <w:rPr>
                <w:snapToGrid w:val="0"/>
              </w:rPr>
            </w:pPr>
          </w:p>
        </w:tc>
        <w:tc>
          <w:tcPr>
            <w:tcW w:w="1688" w:type="dxa"/>
          </w:tcPr>
          <w:p w14:paraId="654CBD41" w14:textId="77777777" w:rsidR="004F59A6" w:rsidRPr="004C3AA6" w:rsidRDefault="004F59A6" w:rsidP="00493AFB">
            <w:pPr>
              <w:rPr>
                <w:snapToGrid w:val="0"/>
              </w:rPr>
            </w:pPr>
            <w:r w:rsidRPr="004C3AA6">
              <w:rPr>
                <w:snapToGrid w:val="0"/>
              </w:rPr>
              <w:t>25</w:t>
            </w:r>
          </w:p>
        </w:tc>
        <w:tc>
          <w:tcPr>
            <w:tcW w:w="1770" w:type="dxa"/>
          </w:tcPr>
          <w:p w14:paraId="4C055CA0" w14:textId="77777777" w:rsidR="004F59A6" w:rsidRPr="004C3AA6" w:rsidRDefault="004F59A6" w:rsidP="00493AFB">
            <w:pPr>
              <w:rPr>
                <w:snapToGrid w:val="0"/>
              </w:rPr>
            </w:pPr>
            <w:r w:rsidRPr="004C3AA6">
              <w:rPr>
                <w:snapToGrid w:val="0"/>
              </w:rPr>
              <w:t>18000, 11200*</w:t>
            </w:r>
          </w:p>
        </w:tc>
        <w:tc>
          <w:tcPr>
            <w:tcW w:w="1670" w:type="dxa"/>
          </w:tcPr>
          <w:p w14:paraId="04BF4331" w14:textId="77777777" w:rsidR="004F59A6" w:rsidRPr="004C3AA6" w:rsidRDefault="004F59A6" w:rsidP="00493AFB">
            <w:pPr>
              <w:rPr>
                <w:rFonts w:cs="Calibri"/>
                <w:color w:val="000000"/>
                <w:szCs w:val="18"/>
                <w:lang w:eastAsia="zh-CN"/>
              </w:rPr>
            </w:pPr>
            <w:r w:rsidRPr="004C3AA6">
              <w:rPr>
                <w:rFonts w:cs="Calibri"/>
                <w:color w:val="000000"/>
                <w:szCs w:val="18"/>
                <w:lang w:eastAsia="zh-CN"/>
              </w:rPr>
              <w:t>0.76, 0.47</w:t>
            </w:r>
          </w:p>
        </w:tc>
      </w:tr>
      <w:tr w:rsidR="004F59A6" w:rsidRPr="004C3AA6" w14:paraId="05C40013" w14:textId="77777777" w:rsidTr="00E011B7">
        <w:trPr>
          <w:trHeight w:val="227"/>
        </w:trPr>
        <w:tc>
          <w:tcPr>
            <w:tcW w:w="1334" w:type="dxa"/>
          </w:tcPr>
          <w:p w14:paraId="5453EA1B" w14:textId="77777777" w:rsidR="004F59A6" w:rsidRPr="004C3AA6" w:rsidRDefault="004F59A6" w:rsidP="00493AFB">
            <w:pPr>
              <w:ind w:left="0"/>
              <w:rPr>
                <w:snapToGrid w:val="0"/>
              </w:rPr>
            </w:pPr>
            <w:r w:rsidRPr="004C3AA6">
              <w:rPr>
                <w:snapToGrid w:val="0"/>
              </w:rPr>
              <w:t>Human</w:t>
            </w:r>
            <w:r w:rsidRPr="004C3AA6">
              <w:rPr>
                <w:snapToGrid w:val="0"/>
              </w:rPr>
              <w:br/>
              <w:t>(patients)</w:t>
            </w:r>
          </w:p>
        </w:tc>
        <w:tc>
          <w:tcPr>
            <w:tcW w:w="2494" w:type="dxa"/>
          </w:tcPr>
          <w:p w14:paraId="3248EC25" w14:textId="77777777" w:rsidR="004F59A6" w:rsidRPr="004C3AA6" w:rsidRDefault="004F59A6" w:rsidP="00493AFB">
            <w:pPr>
              <w:rPr>
                <w:snapToGrid w:val="0"/>
              </w:rPr>
            </w:pPr>
            <w:r w:rsidRPr="004C3AA6">
              <w:rPr>
                <w:snapToGrid w:val="0"/>
              </w:rPr>
              <w:t>Steady state</w:t>
            </w:r>
          </w:p>
          <w:p w14:paraId="32981538" w14:textId="77777777" w:rsidR="004F59A6" w:rsidRPr="004C3AA6" w:rsidRDefault="004F59A6" w:rsidP="00493AFB">
            <w:pPr>
              <w:rPr>
                <w:snapToGrid w:val="0"/>
              </w:rPr>
            </w:pPr>
            <w:r w:rsidRPr="004C3AA6">
              <w:rPr>
                <w:snapToGrid w:val="0"/>
              </w:rPr>
              <w:t>[Study CLDK378X2101]</w:t>
            </w:r>
          </w:p>
        </w:tc>
        <w:tc>
          <w:tcPr>
            <w:tcW w:w="1688" w:type="dxa"/>
          </w:tcPr>
          <w:p w14:paraId="0F72CDA7" w14:textId="77777777" w:rsidR="004F59A6" w:rsidRPr="004C3AA6" w:rsidRDefault="004F59A6" w:rsidP="00493AFB">
            <w:pPr>
              <w:rPr>
                <w:snapToGrid w:val="0"/>
              </w:rPr>
            </w:pPr>
            <w:r w:rsidRPr="004C3AA6">
              <w:rPr>
                <w:snapToGrid w:val="0"/>
              </w:rPr>
              <w:t>[750 mg]</w:t>
            </w:r>
          </w:p>
        </w:tc>
        <w:tc>
          <w:tcPr>
            <w:tcW w:w="1770" w:type="dxa"/>
          </w:tcPr>
          <w:p w14:paraId="42483E02" w14:textId="77777777" w:rsidR="004F59A6" w:rsidRPr="004C3AA6" w:rsidRDefault="004F59A6" w:rsidP="00493AFB">
            <w:pPr>
              <w:rPr>
                <w:snapToGrid w:val="0"/>
              </w:rPr>
            </w:pPr>
            <w:r w:rsidRPr="004C3AA6">
              <w:rPr>
                <w:snapToGrid w:val="0"/>
              </w:rPr>
              <w:t>23800</w:t>
            </w:r>
          </w:p>
        </w:tc>
        <w:tc>
          <w:tcPr>
            <w:tcW w:w="1670" w:type="dxa"/>
          </w:tcPr>
          <w:p w14:paraId="687FB15C" w14:textId="77777777" w:rsidR="004F59A6" w:rsidRPr="004C3AA6" w:rsidRDefault="004F59A6" w:rsidP="00493AFB">
            <w:pPr>
              <w:rPr>
                <w:snapToGrid w:val="0"/>
              </w:rPr>
            </w:pPr>
            <w:r w:rsidRPr="004C3AA6">
              <w:rPr>
                <w:snapToGrid w:val="0"/>
              </w:rPr>
              <w:t>–</w:t>
            </w:r>
          </w:p>
        </w:tc>
      </w:tr>
    </w:tbl>
    <w:p w14:paraId="4B4390B9" w14:textId="77777777" w:rsidR="004F59A6" w:rsidRDefault="004F59A6" w:rsidP="004F59A6">
      <w:pPr>
        <w:rPr>
          <w:rFonts w:eastAsia="Times New Roman"/>
          <w:snapToGrid w:val="0"/>
          <w:kern w:val="16"/>
          <w:sz w:val="18"/>
          <w:szCs w:val="19"/>
        </w:rPr>
      </w:pPr>
      <w:r w:rsidRPr="004C3AA6">
        <w:rPr>
          <w:rFonts w:eastAsia="Times New Roman"/>
          <w:snapToGrid w:val="0"/>
          <w:kern w:val="16"/>
          <w:position w:val="-2"/>
          <w:sz w:val="18"/>
          <w:szCs w:val="19"/>
          <w:vertAlign w:val="superscript"/>
        </w:rPr>
        <w:t>#</w:t>
      </w:r>
      <w:r w:rsidRPr="004C3AA6">
        <w:rPr>
          <w:rFonts w:eastAsia="Times New Roman"/>
          <w:snapToGrid w:val="0"/>
          <w:kern w:val="16"/>
          <w:sz w:val="18"/>
          <w:szCs w:val="19"/>
        </w:rPr>
        <w:t xml:space="preserve"> = animal:</w:t>
      </w:r>
      <w:r w:rsidR="009926DD">
        <w:rPr>
          <w:rFonts w:eastAsia="Times New Roman"/>
          <w:snapToGrid w:val="0"/>
          <w:kern w:val="16"/>
          <w:sz w:val="18"/>
          <w:szCs w:val="19"/>
        </w:rPr>
        <w:t xml:space="preserve"> </w:t>
      </w:r>
      <w:r w:rsidRPr="004C3AA6">
        <w:rPr>
          <w:rFonts w:eastAsia="Times New Roman"/>
          <w:snapToGrid w:val="0"/>
          <w:kern w:val="16"/>
          <w:sz w:val="18"/>
          <w:szCs w:val="19"/>
        </w:rPr>
        <w:t>human plasma AUC</w:t>
      </w:r>
      <w:r w:rsidRPr="004C3AA6">
        <w:rPr>
          <w:rFonts w:eastAsia="Times New Roman"/>
          <w:snapToGrid w:val="0"/>
          <w:kern w:val="16"/>
          <w:sz w:val="18"/>
          <w:szCs w:val="19"/>
          <w:vertAlign w:val="subscript"/>
        </w:rPr>
        <w:t>0–24</w:t>
      </w:r>
      <w:r w:rsidRPr="004C3AA6">
        <w:rPr>
          <w:rFonts w:eastAsia="Times New Roman"/>
          <w:snapToGrid w:val="0"/>
          <w:w w:val="50"/>
          <w:kern w:val="16"/>
          <w:sz w:val="18"/>
          <w:szCs w:val="19"/>
          <w:vertAlign w:val="subscript"/>
        </w:rPr>
        <w:t> </w:t>
      </w:r>
      <w:r w:rsidRPr="004C3AA6">
        <w:rPr>
          <w:rFonts w:eastAsia="Times New Roman"/>
          <w:snapToGrid w:val="0"/>
          <w:kern w:val="16"/>
          <w:sz w:val="18"/>
          <w:szCs w:val="19"/>
          <w:vertAlign w:val="subscript"/>
        </w:rPr>
        <w:t>h</w:t>
      </w:r>
      <w:r w:rsidRPr="004C3AA6">
        <w:rPr>
          <w:rFonts w:eastAsia="Times New Roman"/>
          <w:snapToGrid w:val="0"/>
          <w:kern w:val="16"/>
          <w:sz w:val="18"/>
          <w:szCs w:val="19"/>
        </w:rPr>
        <w:t>; * GD 13, 19 data.</w:t>
      </w:r>
    </w:p>
    <w:p w14:paraId="7A13EF68" w14:textId="77777777" w:rsidR="004F59A6" w:rsidRPr="004C3AA6" w:rsidRDefault="004F59A6" w:rsidP="004F59A6">
      <w:pPr>
        <w:pStyle w:val="Standard"/>
        <w:rPr>
          <w:rFonts w:eastAsia="SimSun"/>
        </w:rPr>
      </w:pPr>
      <w:r w:rsidRPr="004C3AA6">
        <w:rPr>
          <w:rFonts w:eastAsia="SimSun"/>
        </w:rPr>
        <w:lastRenderedPageBreak/>
        <w:t>In the rat embryofetal development study at doses up to 50 mg/kg/day (</w:t>
      </w:r>
      <w:r w:rsidR="00BD69F1">
        <w:rPr>
          <w:rFonts w:eastAsia="SimSun"/>
        </w:rPr>
        <w:t>animal: human</w:t>
      </w:r>
      <w:r w:rsidR="00BD69F1" w:rsidRPr="004C3AA6">
        <w:rPr>
          <w:rFonts w:eastAsia="SimSun"/>
        </w:rPr>
        <w:t xml:space="preserve"> </w:t>
      </w:r>
      <w:r w:rsidR="00BD69F1">
        <w:rPr>
          <w:rFonts w:eastAsia="SimSun"/>
        </w:rPr>
        <w:t>exposure ratio (</w:t>
      </w:r>
      <w:r w:rsidRPr="004C3AA6">
        <w:rPr>
          <w:rFonts w:eastAsia="SimSun"/>
        </w:rPr>
        <w:t>ER</w:t>
      </w:r>
      <w:r w:rsidR="00BD69F1">
        <w:rPr>
          <w:rFonts w:eastAsia="SimSun"/>
        </w:rPr>
        <w:t xml:space="preserve">) </w:t>
      </w:r>
      <w:r w:rsidRPr="004C3AA6">
        <w:rPr>
          <w:rFonts w:eastAsia="SimSun"/>
        </w:rPr>
        <w:t xml:space="preserve">0.6), the dams were generally not affected, with only mild decreases in body weight gain at the high dose (gestational body weights comparable), suggesting higher doses could have been administered in the study. The only fetal findings were slightly higher incidences of incomplete ossification of parietal and interparietal bones and wavy ribs at 50 mg/kg/day. </w:t>
      </w:r>
    </w:p>
    <w:p w14:paraId="69D45FB1" w14:textId="77777777" w:rsidR="004F59A6" w:rsidRPr="004C3AA6" w:rsidRDefault="004F59A6" w:rsidP="004F59A6">
      <w:pPr>
        <w:pStyle w:val="Standard"/>
        <w:rPr>
          <w:rFonts w:eastAsia="SimSun"/>
        </w:rPr>
      </w:pPr>
      <w:r w:rsidRPr="004C3AA6">
        <w:rPr>
          <w:rFonts w:eastAsia="SimSun"/>
        </w:rPr>
        <w:t>In rabbits, abortions occurred at ≥ 35 mg/kg/day and embryolethality at 50 mg/kg/day in a pilot study. The main rabbit study showed maternal toxicity at 10 and 25 mg/kg/day, manifested as decreased body weight gain. Fetal findings were limited to low incidences of small or malpositioned gallbladder and subclavian retroesophageal cardiac artery at 10 and 25 mg/kg/day and absent gallbladder at 2 mg/kg/day (not at higher doses). The incidence of unossified/incomplete ossification of sternebrae was significantly increased at all doses, although the incidences were not dose-related (42.9%, 51.4% and 42.5% at 2, 10 and 25 mg/kg/day, respectively, compared with 26% in the control group). The incidences of incomplete ossification of other bones (including parietal and hyoid) and other skeletal variations (</w:t>
      </w:r>
      <w:r w:rsidR="00BD69F1">
        <w:rPr>
          <w:rFonts w:eastAsia="SimSun"/>
        </w:rPr>
        <w:t>for example,</w:t>
      </w:r>
      <w:r w:rsidRPr="004C3AA6">
        <w:rPr>
          <w:rFonts w:eastAsia="SimSun"/>
        </w:rPr>
        <w:t xml:space="preserve"> semi-bipartate thoracic vertebral centrum) were low and only slightly higher than that of the control group. </w:t>
      </w:r>
    </w:p>
    <w:p w14:paraId="1367ED55" w14:textId="77777777" w:rsidR="004F59A6" w:rsidRPr="004C3AA6" w:rsidRDefault="004F59A6" w:rsidP="004F59A6">
      <w:pPr>
        <w:pStyle w:val="Standard"/>
        <w:rPr>
          <w:rFonts w:eastAsia="SimSun"/>
        </w:rPr>
      </w:pPr>
      <w:r w:rsidRPr="004C3AA6">
        <w:rPr>
          <w:rFonts w:eastAsia="SimSun"/>
        </w:rPr>
        <w:t xml:space="preserve">Because of the low exposures achieved in the animal studies, the potential effects on embryofetal development have not been adequately assessed. As an ALK inhibitor, ceritinib also inhibits other members of the insulin receptor superfamily, such as InsR, IGF-1R and ROS1 (See </w:t>
      </w:r>
      <w:r w:rsidRPr="00BD69F1">
        <w:rPr>
          <w:rFonts w:eastAsia="SimSun"/>
          <w:i/>
        </w:rPr>
        <w:t>Pharmacology</w:t>
      </w:r>
      <w:r w:rsidRPr="004C3AA6">
        <w:rPr>
          <w:rFonts w:eastAsia="SimSun"/>
        </w:rPr>
        <w:t xml:space="preserve"> assessment above). </w:t>
      </w:r>
      <w:proofErr w:type="gramStart"/>
      <w:r w:rsidRPr="004C3AA6">
        <w:rPr>
          <w:rFonts w:eastAsia="SimSun"/>
        </w:rPr>
        <w:t>Since InsR and IGF-1R play vital roles during early development including embryofetal development and postnatal growth</w:t>
      </w:r>
      <w:r w:rsidR="0082682D">
        <w:rPr>
          <w:rStyle w:val="FootnoteReference"/>
          <w:rFonts w:eastAsia="SimSun"/>
        </w:rPr>
        <w:footnoteReference w:id="18"/>
      </w:r>
      <w:r w:rsidRPr="004C3AA6">
        <w:rPr>
          <w:rFonts w:eastAsia="SimSun"/>
        </w:rPr>
        <w:t xml:space="preserve"> ceritinib is likely to adversely affect embryofetal development and, if excreted in milk, postnatal growth.</w:t>
      </w:r>
      <w:proofErr w:type="gramEnd"/>
      <w:r w:rsidRPr="004C3AA6">
        <w:rPr>
          <w:rFonts w:eastAsia="SimSun"/>
        </w:rPr>
        <w:t xml:space="preserve"> </w:t>
      </w:r>
    </w:p>
    <w:p w14:paraId="15089C2A" w14:textId="77777777" w:rsidR="004F59A6" w:rsidRPr="004C3AA6" w:rsidRDefault="004F59A6" w:rsidP="004F59A6">
      <w:pPr>
        <w:pStyle w:val="Standard"/>
        <w:rPr>
          <w:rFonts w:eastAsia="SimSun"/>
        </w:rPr>
      </w:pPr>
      <w:r w:rsidRPr="004C3AA6">
        <w:rPr>
          <w:rFonts w:eastAsia="SimSun"/>
        </w:rPr>
        <w:t>Pregnancy category D</w:t>
      </w:r>
      <w:r w:rsidR="00BD69F1">
        <w:rPr>
          <w:rStyle w:val="FootnoteReference"/>
          <w:rFonts w:eastAsia="SimSun"/>
        </w:rPr>
        <w:footnoteReference w:id="19"/>
      </w:r>
      <w:r w:rsidRPr="004C3AA6">
        <w:rPr>
          <w:rFonts w:eastAsia="SimSun"/>
        </w:rPr>
        <w:t xml:space="preserve"> is appropriate for ceritinib, consistent with the pregnancy classification for another ALK inhibitor, crizotinib and most other tyrosine kinase inhibitors. </w:t>
      </w:r>
    </w:p>
    <w:p w14:paraId="065BB946" w14:textId="2B21D3A2" w:rsidR="004F59A6" w:rsidRDefault="004F59A6" w:rsidP="00CD5486">
      <w:r w:rsidRPr="004C3AA6">
        <w:t xml:space="preserve">There were no studies on peri/postnatal development, and nor were studies on excretion of ceritinib or its metabolites into milk. As discussed above, ceritinib may cause adverse effects in breastfed babies if ceritinib is excreted in milk. Mothers taking </w:t>
      </w:r>
      <w:proofErr w:type="spellStart"/>
      <w:r w:rsidRPr="004C3AA6">
        <w:t>ceriti</w:t>
      </w:r>
      <w:r w:rsidR="00493AFB">
        <w:t>nib</w:t>
      </w:r>
      <w:proofErr w:type="spellEnd"/>
      <w:r w:rsidR="00493AFB">
        <w:t xml:space="preserve"> should stop breast-feeding.</w:t>
      </w:r>
    </w:p>
    <w:p w14:paraId="07DF66E2" w14:textId="77777777" w:rsidR="004F59A6" w:rsidRPr="004C3AA6" w:rsidRDefault="004F59A6" w:rsidP="00CD5486">
      <w:pPr>
        <w:pStyle w:val="Heading4"/>
        <w:rPr>
          <w:snapToGrid w:val="0"/>
        </w:rPr>
      </w:pPr>
      <w:r w:rsidRPr="004C3AA6">
        <w:rPr>
          <w:snapToGrid w:val="0"/>
        </w:rPr>
        <w:t>Phototoxicity</w:t>
      </w:r>
    </w:p>
    <w:p w14:paraId="207AA546" w14:textId="4BC0C6CB" w:rsidR="004F59A6" w:rsidRPr="004C3AA6" w:rsidRDefault="004F59A6" w:rsidP="004F59A6">
      <w:pPr>
        <w:pStyle w:val="Standard"/>
        <w:rPr>
          <w:rFonts w:eastAsia="SimSun"/>
        </w:rPr>
      </w:pPr>
      <w:r w:rsidRPr="004C3AA6">
        <w:rPr>
          <w:rFonts w:eastAsia="SimSun"/>
        </w:rPr>
        <w:t xml:space="preserve">Phototoxicity studies were </w:t>
      </w:r>
      <w:r w:rsidRPr="00CD5486">
        <w:rPr>
          <w:rFonts w:eastAsia="SimSun"/>
        </w:rPr>
        <w:t>conducted in vitro</w:t>
      </w:r>
      <w:r w:rsidRPr="004C3AA6">
        <w:rPr>
          <w:rFonts w:eastAsia="SimSun"/>
          <w:i/>
        </w:rPr>
        <w:t xml:space="preserve"> </w:t>
      </w:r>
      <w:r w:rsidRPr="004C3AA6">
        <w:rPr>
          <w:rFonts w:eastAsia="SimSun"/>
        </w:rPr>
        <w:t xml:space="preserve">in the standard 3T3 NRU phototoxicity assay and in a murine local lymph node assay with </w:t>
      </w:r>
      <w:r w:rsidR="00CD5486">
        <w:rPr>
          <w:rFonts w:eastAsia="SimSun"/>
        </w:rPr>
        <w:t>ultraviolet (</w:t>
      </w:r>
      <w:r w:rsidRPr="004C3AA6">
        <w:rPr>
          <w:rFonts w:eastAsia="SimSun"/>
        </w:rPr>
        <w:t>UV</w:t>
      </w:r>
      <w:r w:rsidR="00CD5486">
        <w:rPr>
          <w:rFonts w:eastAsia="SimSun"/>
        </w:rPr>
        <w:t xml:space="preserve">) </w:t>
      </w:r>
      <w:r w:rsidRPr="004C3AA6">
        <w:rPr>
          <w:rFonts w:eastAsia="SimSun"/>
        </w:rPr>
        <w:t xml:space="preserve">A irradiation. The </w:t>
      </w:r>
      <w:r w:rsidRPr="00CD5486">
        <w:rPr>
          <w:rFonts w:eastAsia="SimSun"/>
        </w:rPr>
        <w:t>in vitro</w:t>
      </w:r>
      <w:r w:rsidRPr="004C3AA6">
        <w:rPr>
          <w:rFonts w:eastAsia="SimSun"/>
        </w:rPr>
        <w:t xml:space="preserve"> assay returned photo irritation factor (PIF) values of 8.1 and 5.1 from two assays, indicating ceritinib has phototoxic potential. However, ceritinib was not phototoxic in a murine local lymph node assay by oral administration. </w:t>
      </w:r>
      <w:r w:rsidRPr="00405F5A">
        <w:rPr>
          <w:rFonts w:eastAsia="SimSun"/>
        </w:rPr>
        <w:t xml:space="preserve">Ear and lymph node weights and </w:t>
      </w:r>
      <w:r w:rsidRPr="00405F5A">
        <w:rPr>
          <w:rFonts w:eastAsia="SimSun"/>
        </w:rPr>
        <w:lastRenderedPageBreak/>
        <w:t>lymph node cell counts were unaffected in mice dosed with up to 100 mg/kg/day for 3 days with skin ceritinib concentrations 7</w:t>
      </w:r>
      <w:r w:rsidR="00CD5486">
        <w:rPr>
          <w:rFonts w:eastAsia="SimSun"/>
        </w:rPr>
        <w:t xml:space="preserve"> to </w:t>
      </w:r>
      <w:r w:rsidRPr="00405F5A">
        <w:rPr>
          <w:rFonts w:eastAsia="SimSun"/>
        </w:rPr>
        <w:t xml:space="preserve">15 fold higher than plasma concentrations (plasma </w:t>
      </w:r>
      <w:r w:rsidR="00326B43" w:rsidRPr="004933DC">
        <w:t>C</w:t>
      </w:r>
      <w:r w:rsidR="00326B43" w:rsidRPr="00326B43">
        <w:rPr>
          <w:vertAlign w:val="subscript"/>
        </w:rPr>
        <w:t>max</w:t>
      </w:r>
      <w:r w:rsidR="00326B43">
        <w:t xml:space="preserve"> </w:t>
      </w:r>
      <w:r w:rsidRPr="00405F5A">
        <w:rPr>
          <w:rFonts w:eastAsia="SimSun"/>
        </w:rPr>
        <w:t>2.4</w:t>
      </w:r>
      <w:r w:rsidR="00CD5486">
        <w:rPr>
          <w:rFonts w:eastAsia="SimSun"/>
        </w:rPr>
        <w:t xml:space="preserve"> times</w:t>
      </w:r>
      <w:r w:rsidRPr="00405F5A">
        <w:rPr>
          <w:rFonts w:eastAsia="SimSun"/>
        </w:rPr>
        <w:t xml:space="preserve"> the clinical </w:t>
      </w:r>
      <w:r w:rsidR="00326B43" w:rsidRPr="004933DC">
        <w:t>C</w:t>
      </w:r>
      <w:r w:rsidR="00326B43" w:rsidRPr="00326B43">
        <w:rPr>
          <w:vertAlign w:val="subscript"/>
        </w:rPr>
        <w:t>max</w:t>
      </w:r>
      <w:r w:rsidR="00326B43" w:rsidRPr="004933DC">
        <w:t xml:space="preserve"> </w:t>
      </w:r>
      <w:r w:rsidRPr="00405F5A">
        <w:rPr>
          <w:rFonts w:eastAsia="SimSun"/>
        </w:rPr>
        <w:t xml:space="preserve">). Despite the positive results of the </w:t>
      </w:r>
      <w:r w:rsidRPr="00CD5486">
        <w:rPr>
          <w:rFonts w:eastAsia="SimSun"/>
        </w:rPr>
        <w:t>in vitro</w:t>
      </w:r>
      <w:r w:rsidRPr="00405F5A">
        <w:rPr>
          <w:rFonts w:eastAsia="SimSun"/>
        </w:rPr>
        <w:t xml:space="preserve"> assay and association of ceritinib with melanin, the negative findings in the mouse study suggest ceritinib ha</w:t>
      </w:r>
      <w:r w:rsidRPr="004C3AA6">
        <w:rPr>
          <w:rFonts w:eastAsia="SimSun"/>
        </w:rPr>
        <w:t xml:space="preserve">s a low risk of </w:t>
      </w:r>
      <w:proofErr w:type="spellStart"/>
      <w:r w:rsidRPr="004C3AA6">
        <w:rPr>
          <w:rFonts w:eastAsia="SimSun"/>
        </w:rPr>
        <w:t>phototoxicity</w:t>
      </w:r>
      <w:proofErr w:type="spellEnd"/>
      <w:r w:rsidRPr="004C3AA6">
        <w:rPr>
          <w:rFonts w:eastAsia="SimSun"/>
        </w:rPr>
        <w:t xml:space="preserve"> in patients.</w:t>
      </w:r>
    </w:p>
    <w:p w14:paraId="1C23389C" w14:textId="77777777" w:rsidR="004F59A6" w:rsidRPr="00DB1F5B" w:rsidRDefault="004F59A6" w:rsidP="00B52260">
      <w:pPr>
        <w:pStyle w:val="Heading5"/>
        <w:rPr>
          <w:snapToGrid w:val="0"/>
        </w:rPr>
      </w:pPr>
      <w:r w:rsidRPr="00DB1F5B">
        <w:rPr>
          <w:snapToGrid w:val="0"/>
        </w:rPr>
        <w:t>Paediatric use</w:t>
      </w:r>
    </w:p>
    <w:p w14:paraId="0E3F8BC5" w14:textId="77777777" w:rsidR="004F59A6" w:rsidRDefault="004F59A6" w:rsidP="004F59A6">
      <w:pPr>
        <w:spacing w:after="0" w:line="252" w:lineRule="auto"/>
        <w:rPr>
          <w:rFonts w:eastAsia="SimSun"/>
          <w:snapToGrid w:val="0"/>
        </w:rPr>
      </w:pPr>
      <w:r w:rsidRPr="00DB1F5B">
        <w:rPr>
          <w:rFonts w:eastAsia="SimSun"/>
          <w:snapToGrid w:val="0"/>
        </w:rPr>
        <w:t>Ceritinib is not proposed for paediatric use and no specific studies in juvenile animals were submitted. Based on the pharmacological activities discussed above (</w:t>
      </w:r>
      <w:r w:rsidRPr="00DB1F5B">
        <w:rPr>
          <w:rFonts w:eastAsia="SimSun"/>
          <w:i/>
          <w:snapToGrid w:val="0"/>
        </w:rPr>
        <w:t>Pharmacology</w:t>
      </w:r>
      <w:r w:rsidRPr="00DB1F5B">
        <w:rPr>
          <w:rFonts w:eastAsia="SimSun"/>
          <w:snapToGrid w:val="0"/>
        </w:rPr>
        <w:t xml:space="preserve">, </w:t>
      </w:r>
      <w:r w:rsidRPr="00DB1F5B">
        <w:rPr>
          <w:rFonts w:eastAsia="SimSun"/>
          <w:i/>
          <w:snapToGrid w:val="0"/>
        </w:rPr>
        <w:t>Reproductive toxicity</w:t>
      </w:r>
      <w:r w:rsidRPr="00DB1F5B">
        <w:rPr>
          <w:rFonts w:eastAsia="SimSun"/>
          <w:snapToGrid w:val="0"/>
        </w:rPr>
        <w:t>), ceritinib is likely to impair growth and development of children.</w:t>
      </w:r>
    </w:p>
    <w:p w14:paraId="05063DEA" w14:textId="77777777" w:rsidR="008E7846" w:rsidRDefault="008E7846" w:rsidP="008E7846">
      <w:pPr>
        <w:pStyle w:val="Heading3"/>
      </w:pPr>
      <w:bookmarkStart w:id="54" w:name="_Toc247691515"/>
      <w:bookmarkStart w:id="55" w:name="_Toc314842499"/>
      <w:bookmarkStart w:id="56" w:name="_Toc507501105"/>
      <w:r>
        <w:t>Nonclinical summary and conclusions</w:t>
      </w:r>
      <w:bookmarkEnd w:id="54"/>
      <w:bookmarkEnd w:id="55"/>
      <w:bookmarkEnd w:id="56"/>
    </w:p>
    <w:p w14:paraId="5B81E970" w14:textId="77777777" w:rsidR="004F59A6" w:rsidRDefault="00CD5486" w:rsidP="00CD5486">
      <w:pPr>
        <w:pStyle w:val="ListBullet"/>
      </w:pPr>
      <w:r>
        <w:t xml:space="preserve">The nonclinical </w:t>
      </w:r>
      <w:r w:rsidR="004F59A6">
        <w:t xml:space="preserve">dossier was adequate with pivotal studies conducted under GLP conditions and compliant with the relevant ICH S9 guideline on Nonclinical Evaluation for Anti-cancer Pharmaceuticals. </w:t>
      </w:r>
    </w:p>
    <w:p w14:paraId="21E546B4" w14:textId="77777777" w:rsidR="004F59A6" w:rsidRDefault="004F59A6" w:rsidP="00CD5486">
      <w:pPr>
        <w:pStyle w:val="ListBullet"/>
      </w:pPr>
      <w:r>
        <w:t xml:space="preserve">In vitro primary pharmacology studies demonstrated that ceritinib was most active against ALK among a panel of 36 recombinant human protein kinases. In vitro cell proliferation studies using a variety of cancer cells found that ceritinib inhibited proliferation of cancer cells transfected with fused NPM-ALK or EML4-ALK or ALK activated by fusion with TEL. Ceritinib inhibited proliferation of human lung cancer NSCLC cell lines and the growth of NCI-H2228 cells which carries the EML4-ALK gene fusion. </w:t>
      </w:r>
    </w:p>
    <w:p w14:paraId="73D63922" w14:textId="6A610D28" w:rsidR="004F59A6" w:rsidRDefault="004F59A6" w:rsidP="00CD5486">
      <w:pPr>
        <w:pStyle w:val="ListBullet"/>
      </w:pPr>
      <w:r>
        <w:t xml:space="preserve">In vivo primary pharmacology studies in SCID mice and nude rats showed that administration of ceritinib at clinically relevant concentrations produced a dose-dependent inhibition of H2228 and Karapas299 (expressing EML4-ALK and NPM-ALK, respectively) xenograft growth, with complete or nearly complete tumour regression. Phosphorylation of STAT3 (downstream protein of the ALK signalling pathway) in tumour tissues was dose-dependently inhibited by ceritinib in the mouse Karapas299 xenograft model. Ceritinib was effective in the treatment </w:t>
      </w:r>
      <w:r w:rsidR="00493AFB">
        <w:t xml:space="preserve">of </w:t>
      </w:r>
      <w:proofErr w:type="spellStart"/>
      <w:r w:rsidR="00493AFB">
        <w:t>crizotinib</w:t>
      </w:r>
      <w:proofErr w:type="spellEnd"/>
      <w:r w:rsidR="00493AFB">
        <w:t>-resistant tumour.</w:t>
      </w:r>
    </w:p>
    <w:p w14:paraId="7C5AD412" w14:textId="202574C7" w:rsidR="004F59A6" w:rsidRDefault="004F59A6" w:rsidP="00CD5486">
      <w:pPr>
        <w:pStyle w:val="ListBullet"/>
      </w:pPr>
      <w:r>
        <w:t>No specific secondary pharmacology studies were submitted. However, in vitro assays found that ceritinib inhibited InsR, IGF-1R and ROS1 kinases of the insulin receptor superfamily, with potency around 50 fold (kinase activity inhibition assay) or 3</w:t>
      </w:r>
      <w:r w:rsidR="00877F3E">
        <w:t xml:space="preserve"> to </w:t>
      </w:r>
      <w:r>
        <w:t>7 fold (cell proliferatio</w:t>
      </w:r>
      <w:r w:rsidR="00493AFB">
        <w:t>n assay) less than against ALK.</w:t>
      </w:r>
    </w:p>
    <w:p w14:paraId="4386A728" w14:textId="77777777" w:rsidR="004F59A6" w:rsidRDefault="004F59A6" w:rsidP="00CD5486">
      <w:pPr>
        <w:pStyle w:val="ListBullet"/>
      </w:pPr>
      <w:r>
        <w:t xml:space="preserve">Ceritinib inhibited </w:t>
      </w:r>
      <w:r w:rsidR="00877F3E">
        <w:t xml:space="preserve">potassium </w:t>
      </w:r>
      <w:r>
        <w:t>hERG channel activity in human embryonic kidney cells expressing hERG (</w:t>
      </w:r>
      <w:r w:rsidR="00877F3E">
        <w:t>IC</w:t>
      </w:r>
      <w:r w:rsidR="00877F3E" w:rsidRPr="00877F3E">
        <w:rPr>
          <w:vertAlign w:val="subscript"/>
        </w:rPr>
        <w:t>50</w:t>
      </w:r>
      <w:r>
        <w:t xml:space="preserve"> 04. μM). In vivo monkey studies of cardiovascular effects found that ceritinib (a single PO dose of 100 mg/kg) caused QT/QTc prolongation in 1 out of 4 monkeys. The results indicate a QT prolongation risk in patients. Rat studies found no behavioural changes following a single PO dose of ceritinib (100 mg/kg). A transient increase in respiratory rate (by </w:t>
      </w:r>
      <w:r w:rsidR="001762D3">
        <w:t xml:space="preserve">approximately </w:t>
      </w:r>
      <w:r>
        <w:t>20%) was recorded 35-60 min post-dosing but tidal volume and minute volume were unchanged.</w:t>
      </w:r>
    </w:p>
    <w:p w14:paraId="1FC783AC" w14:textId="39E256AE" w:rsidR="004F59A6" w:rsidRDefault="004F59A6" w:rsidP="00CD5486">
      <w:pPr>
        <w:pStyle w:val="ListBullet"/>
      </w:pPr>
      <w:r>
        <w:t xml:space="preserve">Ceritinib by oral administration had a slow rate of absorption and moderate </w:t>
      </w:r>
      <w:r w:rsidR="00E56C47">
        <w:t>bioavailability</w:t>
      </w:r>
      <w:r>
        <w:t xml:space="preserve"> (T</w:t>
      </w:r>
      <w:r w:rsidRPr="00877F3E">
        <w:rPr>
          <w:vertAlign w:val="subscript"/>
        </w:rPr>
        <w:t>max</w:t>
      </w:r>
      <w:r>
        <w:t xml:space="preserve"> 7-18 h; bioavailability 43-58%) in mice, rats and monkeys. The volume of distribution is large, consistent with high tissue levels of ceritinib/metabolites in a rat tissue distribution study. Ceritinib/metabolites bind to melanin and cross the blood brain barrier. Plasma protein binding is high in all species including humans (95-98%). The distribution of ceritinib to blood cells was higher than in plasma. Ceritinib has a slow clearance and the elimination half-lives in laboratory animals were 12-16 h (</w:t>
      </w:r>
      <w:r w:rsidR="00877F3E">
        <w:t>compared to</w:t>
      </w:r>
      <w:r>
        <w:t xml:space="preserve"> </w:t>
      </w:r>
      <w:r w:rsidR="001762D3">
        <w:t xml:space="preserve">approximately </w:t>
      </w:r>
      <w:r>
        <w:t xml:space="preserve">40 h in humans). Unchanged ceritinib is the major species in plasma of rats and monkeys after IV or PO </w:t>
      </w:r>
      <w:r>
        <w:lastRenderedPageBreak/>
        <w:t xml:space="preserve">administration (85-90% of total drug-related components in monkey plasma; no metabolites in rat plasma), similar to humans </w:t>
      </w:r>
      <w:r w:rsidR="00493AFB">
        <w:t>(82%).</w:t>
      </w:r>
    </w:p>
    <w:p w14:paraId="441324AB" w14:textId="71F3ED2A" w:rsidR="004F59A6" w:rsidRDefault="004F59A6" w:rsidP="00CD5486">
      <w:pPr>
        <w:pStyle w:val="ListBullet"/>
      </w:pPr>
      <w:r>
        <w:t xml:space="preserve">Ceritinib is cleared by metabolism and biliary excretion. The primary biotransformation pathways of ceritinib included mono-oxygenation, O-dealkylation, S-dealkylation, and N formylation, with secondary pathways including di-oxygenation, </w:t>
      </w:r>
      <w:proofErr w:type="spellStart"/>
      <w:r>
        <w:t>glucuronidation</w:t>
      </w:r>
      <w:proofErr w:type="spellEnd"/>
      <w:r>
        <w:t>,</w:t>
      </w:r>
      <w:r w:rsidR="00493AFB">
        <w:t xml:space="preserve"> sulfation and dehydrogenation.</w:t>
      </w:r>
    </w:p>
    <w:p w14:paraId="2D727D07" w14:textId="77777777" w:rsidR="004F59A6" w:rsidRDefault="004F59A6" w:rsidP="00CD5486">
      <w:pPr>
        <w:pStyle w:val="ListBullet"/>
      </w:pPr>
      <w:r>
        <w:t>Ceritinib is metabolised predominantly by CYP3A and is also a P-gp substrate, suggesting potential pharmacokinetic interactions with CYP3A and P-gp inhibitors and inducers. It is an inhibitor of CYP3A, CYP2A6 and CYP2C9, and has only weak or no inhibition of other CYPs (including CYP2E1 and CYP2D6). Ceritinib is not an inhibitor of P-gp, BCRP, MRP2 or organic anion/cation transporters, OAT3 and OCT2, and has only weak inhibition of OAT1, OCT1, OATP1B1 and OATP1B3.</w:t>
      </w:r>
    </w:p>
    <w:p w14:paraId="1C334545" w14:textId="77777777" w:rsidR="004F59A6" w:rsidRDefault="004F59A6" w:rsidP="00CD5486">
      <w:pPr>
        <w:pStyle w:val="ListBullet"/>
      </w:pPr>
      <w:r>
        <w:t>Repeat-dose toxicity studies by the oral route were conducted up to 3 months in Wistar rats and cynomolgus monkeys. Low exposures were achieved in the repeat dose studies (up to 1.4</w:t>
      </w:r>
      <w:r w:rsidR="00877F3E">
        <w:t xml:space="preserve"> times</w:t>
      </w:r>
      <w:r>
        <w:t xml:space="preserve"> </w:t>
      </w:r>
      <w:r w:rsidR="00877F3E">
        <w:t xml:space="preserve">the clinical exposure </w:t>
      </w:r>
      <w:r>
        <w:t xml:space="preserve">and </w:t>
      </w:r>
      <w:r w:rsidR="00877F3E">
        <w:t>similar to humans</w:t>
      </w:r>
      <w:r>
        <w:t xml:space="preserve"> in rats and monkeys, respectively, based on AUC). Major target organs in both species were:</w:t>
      </w:r>
    </w:p>
    <w:p w14:paraId="75F525BB" w14:textId="77777777" w:rsidR="004F59A6" w:rsidRDefault="004F59A6" w:rsidP="00CD5486">
      <w:pPr>
        <w:pStyle w:val="ListBullet2"/>
      </w:pPr>
      <w:r>
        <w:t>Bile ducts/extra hepatic bile duct/biliopancreatic duct</w:t>
      </w:r>
      <w:r w:rsidR="0076345B">
        <w:t>;</w:t>
      </w:r>
      <w:r>
        <w:t xml:space="preserve"> dilatation, inflammation, vacuolation, erosion, necrosis, and/or hyperplasia.</w:t>
      </w:r>
    </w:p>
    <w:p w14:paraId="58B56394" w14:textId="77777777" w:rsidR="004F59A6" w:rsidRDefault="004F59A6" w:rsidP="00CD5486">
      <w:pPr>
        <w:pStyle w:val="ListBullet2"/>
      </w:pPr>
      <w:r>
        <w:t>Gastrointestinal tract (mainly duodenum)</w:t>
      </w:r>
      <w:r w:rsidR="0076345B">
        <w:t xml:space="preserve">; </w:t>
      </w:r>
      <w:r>
        <w:t>epithelial inflammation, vacuolation, hyperplasia, necrosis, congestion/haemorrhage, vacuolation and macrophage infiltration.</w:t>
      </w:r>
    </w:p>
    <w:p w14:paraId="41BA0D4A" w14:textId="77777777" w:rsidR="004F59A6" w:rsidRDefault="004F59A6" w:rsidP="00CD5486">
      <w:pPr>
        <w:pStyle w:val="ListBullet2"/>
      </w:pPr>
      <w:r>
        <w:t>Liver</w:t>
      </w:r>
      <w:r w:rsidR="0076345B">
        <w:t>;</w:t>
      </w:r>
      <w:r>
        <w:t xml:space="preserve"> minimal to slight necrosis of hepatocytes and minimal subacute peri cholangiolitis, hepatic lesions, increased liver weight and slight increases in AST and/or ALT.</w:t>
      </w:r>
    </w:p>
    <w:p w14:paraId="199CB8A3" w14:textId="77777777" w:rsidR="004F59A6" w:rsidRDefault="004F59A6" w:rsidP="00CD5486">
      <w:pPr>
        <w:pStyle w:val="ListBullet2"/>
      </w:pPr>
      <w:r>
        <w:t>Pancreas</w:t>
      </w:r>
      <w:r w:rsidR="0076345B">
        <w:t>;</w:t>
      </w:r>
      <w:r>
        <w:t xml:space="preserve"> focal acinar atrophy, mixed cell inflammation, decreased zymogen, increased plasma amylase, increased lipase, increased plasma glucose and insulin.</w:t>
      </w:r>
    </w:p>
    <w:p w14:paraId="2C63F625" w14:textId="2DF2095D" w:rsidR="004F59A6" w:rsidRDefault="004F59A6" w:rsidP="00CD5486">
      <w:pPr>
        <w:pStyle w:val="ListBullet2"/>
      </w:pPr>
      <w:r>
        <w:t>Phospholipidosis (rat only) in lungs, lymph nodes and bile duct epitheli</w:t>
      </w:r>
      <w:r w:rsidR="00493AFB">
        <w:t>um.</w:t>
      </w:r>
    </w:p>
    <w:p w14:paraId="11E6B45F" w14:textId="77777777" w:rsidR="004F59A6" w:rsidRDefault="00CD5486" w:rsidP="00CD5486">
      <w:pPr>
        <w:pStyle w:val="ListBullet2"/>
      </w:pPr>
      <w:r>
        <w:t>T</w:t>
      </w:r>
      <w:r w:rsidR="004F59A6">
        <w:t>hyroid</w:t>
      </w:r>
      <w:r w:rsidR="0076345B">
        <w:t>;</w:t>
      </w:r>
      <w:r w:rsidR="004F59A6">
        <w:t xml:space="preserve"> increased plasma TSH, T3 and T4.</w:t>
      </w:r>
    </w:p>
    <w:p w14:paraId="5AA26C90" w14:textId="77777777" w:rsidR="004F59A6" w:rsidRDefault="004F59A6" w:rsidP="004F59A6">
      <w:r>
        <w:t>Other findings were hypocellularity of bone marrow, absence of haematopoiesis of spleen, focal/multifocal necrosis and small or absence of germinal centre of mesenteric lymph node and glandular erosion of stomach in rats.</w:t>
      </w:r>
    </w:p>
    <w:p w14:paraId="242BB82A" w14:textId="77777777" w:rsidR="004F59A6" w:rsidRDefault="004F59A6" w:rsidP="0076345B">
      <w:pPr>
        <w:pStyle w:val="ListBullet"/>
      </w:pPr>
      <w:r>
        <w:t>Genotoxicity of ceritinib was adequately assessed by in vitro and in vivo assays. Ceritinib was not mutagenic in the bacterial reverse mutation assay. Nor was it clastogenic in human lymphocytes in vitro or in a bone marrow micronucleus assay in rats in vivo. Ceritinib induced polyploidy in human lymphocytes and a small increase in micronuclei in TK6 cells in vitro. Weight of evidence indicates that ceritinib has a low risk of genotoxicity in patients.</w:t>
      </w:r>
    </w:p>
    <w:p w14:paraId="3C44F3A8" w14:textId="6444F142" w:rsidR="004F59A6" w:rsidRDefault="004F59A6" w:rsidP="0076345B">
      <w:pPr>
        <w:pStyle w:val="ListBullet"/>
      </w:pPr>
      <w:r>
        <w:t>No carcinogenicity studies were conducted, which is considered acceptable gi</w:t>
      </w:r>
      <w:r w:rsidR="00493AFB">
        <w:t>ven the intended patient group.</w:t>
      </w:r>
    </w:p>
    <w:p w14:paraId="3C444A0D" w14:textId="77777777" w:rsidR="004F59A6" w:rsidRDefault="004F59A6" w:rsidP="0076345B">
      <w:pPr>
        <w:pStyle w:val="ListBullet"/>
      </w:pPr>
      <w:r>
        <w:t>Fertility and early embryonic development studies were not conducted, which is considered acceptable for a drug indicated for advanced cancer. Repeat dose toxicity studies showed no abnormal findings in male or female reproductive organs. Embryofetal development studies in rats and rabbits at systemic exposures below the clinical exposure (based on AUC) revealed skeletal anomalies (incomplete ossification in both species and wavy ribs in rats) and a slight increase in visceral anomalies in rabbits (absent or malpositioned gallbladder and retro-oesophageal subclavian cardiac artery). Placental transfer was demonstrated in both species although fetal plasma concentrations of ceritinib were low.</w:t>
      </w:r>
      <w:r w:rsidR="000E3918">
        <w:t xml:space="preserve"> </w:t>
      </w:r>
      <w:r>
        <w:t>No studies on peri/postnatal development or studies on excretion of ceritinib or its metabolites into milk.</w:t>
      </w:r>
    </w:p>
    <w:p w14:paraId="22D99C48" w14:textId="77777777" w:rsidR="004F59A6" w:rsidRDefault="004F59A6" w:rsidP="0076345B">
      <w:pPr>
        <w:pStyle w:val="ListBullet"/>
      </w:pPr>
      <w:r>
        <w:lastRenderedPageBreak/>
        <w:t>An in vitro phototoxicity study in 3T3 NRU cells indicate that ceritinib has phototoxic potential but ceritinib was found not to be phototoxic in a murine local lymph node assay by oral administration, suggesting low phototoxicity potential in patients.</w:t>
      </w:r>
    </w:p>
    <w:p w14:paraId="5AF1FE9D" w14:textId="77777777" w:rsidR="004F59A6" w:rsidRDefault="0076345B" w:rsidP="0076345B">
      <w:pPr>
        <w:pStyle w:val="Heading3"/>
      </w:pPr>
      <w:bookmarkStart w:id="57" w:name="_Toc507501106"/>
      <w:r>
        <w:t>Nonclinical conclusions and recommendation</w:t>
      </w:r>
      <w:bookmarkEnd w:id="57"/>
    </w:p>
    <w:p w14:paraId="10C1B2F1" w14:textId="77777777" w:rsidR="004F59A6" w:rsidRDefault="0076345B" w:rsidP="0076345B">
      <w:pPr>
        <w:pStyle w:val="ListBullet"/>
      </w:pPr>
      <w:r>
        <w:t xml:space="preserve">The nonclinical </w:t>
      </w:r>
      <w:r w:rsidR="004F59A6">
        <w:t>dossier was adequate with no major deficiencies.</w:t>
      </w:r>
    </w:p>
    <w:p w14:paraId="71FA7C39" w14:textId="77777777" w:rsidR="004F59A6" w:rsidRDefault="004F59A6" w:rsidP="0076345B">
      <w:pPr>
        <w:pStyle w:val="ListBullet"/>
      </w:pPr>
      <w:r>
        <w:t>Primary pharmacology studies demonstrated the ALK inhibitory activity of ceritinib and activity against crizotinib-resistant tumours, supporting the proposed indication. Other insulin receptor superfamily members, InsR, IGF-1R and ROS1, are also potential targets.</w:t>
      </w:r>
    </w:p>
    <w:p w14:paraId="317C8B26" w14:textId="43E98A4F" w:rsidR="004F59A6" w:rsidRDefault="004F59A6" w:rsidP="0076345B">
      <w:pPr>
        <w:pStyle w:val="ListBullet"/>
      </w:pPr>
      <w:r>
        <w:t>Safety pharmacology studies indicate that ceritinib may pr</w:t>
      </w:r>
      <w:r w:rsidR="00493AFB">
        <w:t>olong QT intervals in patients.</w:t>
      </w:r>
    </w:p>
    <w:p w14:paraId="11F2EEC6" w14:textId="5844FD42" w:rsidR="004F59A6" w:rsidRDefault="004F59A6" w:rsidP="0076345B">
      <w:pPr>
        <w:pStyle w:val="ListBullet"/>
      </w:pPr>
      <w:r>
        <w:t>Pharmacokinetic profiles of ceritinib in rats and monkeys were sufficiently similar to that in humans. The animal species were appropriate models for the assessment of drug toxicity in humans.</w:t>
      </w:r>
    </w:p>
    <w:p w14:paraId="2FBEDDB9" w14:textId="52531477" w:rsidR="004F59A6" w:rsidRDefault="004F59A6" w:rsidP="0076345B">
      <w:pPr>
        <w:pStyle w:val="ListBullet"/>
      </w:pPr>
      <w:r>
        <w:t>Ceritinib is a substrate of P-gp and metabolised by CYP3A. It inhibits CYP3A, 2A6 and 2C9 at clinically relevant concentrations. Pharmacokinetic interactions with CYP3A and P-gp inhibitors and inducers and drugs predominantly metabolised by CYP3A, 2A6 or 2C9 are</w:t>
      </w:r>
      <w:r w:rsidR="00493AFB">
        <w:t xml:space="preserve"> expected to occur in patients.</w:t>
      </w:r>
    </w:p>
    <w:p w14:paraId="484CDA19" w14:textId="5541F123" w:rsidR="004F59A6" w:rsidRDefault="004F59A6" w:rsidP="0076345B">
      <w:pPr>
        <w:pStyle w:val="ListBullet"/>
      </w:pPr>
      <w:r>
        <w:t>Most findings in repeat dose toxicity studies were class effects of tyrosine kinase inhibitors, and are</w:t>
      </w:r>
      <w:r w:rsidR="00493AFB">
        <w:t xml:space="preserve"> expected to occur in patients.</w:t>
      </w:r>
    </w:p>
    <w:p w14:paraId="4757CD65" w14:textId="77777777" w:rsidR="004F59A6" w:rsidRDefault="004F59A6" w:rsidP="0076345B">
      <w:pPr>
        <w:pStyle w:val="ListBullet"/>
      </w:pPr>
      <w:r>
        <w:t>Ceritinib has a low risk of genotoxicity in patients.</w:t>
      </w:r>
    </w:p>
    <w:p w14:paraId="0E6F6D24" w14:textId="77777777" w:rsidR="004F59A6" w:rsidRDefault="004F59A6" w:rsidP="0076345B">
      <w:pPr>
        <w:pStyle w:val="ListBullet"/>
      </w:pPr>
      <w:r>
        <w:t>Embryofetal development studies in rats and rabbits and the potential inhibition of IGF-1R suggest embryofetal toxicity in patients. Pregnancy category D is considered appropriate. Ceritinib might affect fertility in patients since IGF-1 deficiency causes infertility in mice. Ceritinib may impair growth and development of children.</w:t>
      </w:r>
    </w:p>
    <w:p w14:paraId="63BAC290" w14:textId="77777777" w:rsidR="004F59A6" w:rsidRDefault="004F59A6" w:rsidP="0076345B">
      <w:pPr>
        <w:pStyle w:val="ListBullet"/>
      </w:pPr>
      <w:r>
        <w:t>There are no nonclinical objections to the registration of ceritinib for the proposed indication.</w:t>
      </w:r>
    </w:p>
    <w:p w14:paraId="0EC6E8E7" w14:textId="77777777" w:rsidR="004F59A6" w:rsidRPr="004F59A6" w:rsidRDefault="00101225" w:rsidP="0076345B">
      <w:pPr>
        <w:pStyle w:val="ListBullet"/>
      </w:pPr>
      <w:r>
        <w:t xml:space="preserve">Amendments to the </w:t>
      </w:r>
      <w:r w:rsidR="004F59A6">
        <w:t xml:space="preserve">draft </w:t>
      </w:r>
      <w:r>
        <w:t>PI were also recommended but these are beyond the scope of this AusPAR</w:t>
      </w:r>
      <w:r w:rsidR="004F59A6">
        <w:t>.</w:t>
      </w:r>
    </w:p>
    <w:p w14:paraId="7FE1B08B" w14:textId="7F78E362" w:rsidR="008E7846" w:rsidRPr="00254787" w:rsidRDefault="008E7846" w:rsidP="008E7846">
      <w:pPr>
        <w:pStyle w:val="Heading2"/>
      </w:pPr>
      <w:bookmarkStart w:id="58" w:name="_Toc196046462"/>
      <w:bookmarkStart w:id="59" w:name="_Toc247691516"/>
      <w:bookmarkStart w:id="60" w:name="_Toc314842500"/>
      <w:bookmarkStart w:id="61" w:name="_Toc507501107"/>
      <w:bookmarkStart w:id="62" w:name="_Toc163441353"/>
      <w:bookmarkStart w:id="63" w:name="_Toc163441348"/>
      <w:r>
        <w:t xml:space="preserve">V. </w:t>
      </w:r>
      <w:r w:rsidRPr="00254787">
        <w:t>Clinical</w:t>
      </w:r>
      <w:bookmarkEnd w:id="58"/>
      <w:r>
        <w:t xml:space="preserve"> </w:t>
      </w:r>
      <w:r w:rsidR="003A7F6C">
        <w:t>f</w:t>
      </w:r>
      <w:r>
        <w:t>indings</w:t>
      </w:r>
      <w:bookmarkEnd w:id="59"/>
      <w:bookmarkEnd w:id="60"/>
      <w:bookmarkEnd w:id="61"/>
    </w:p>
    <w:p w14:paraId="103EC168" w14:textId="77777777" w:rsidR="00C80137" w:rsidRDefault="00C80137" w:rsidP="00D425BB">
      <w:bookmarkStart w:id="64"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14:paraId="528E5E77" w14:textId="77777777" w:rsidR="008E7846" w:rsidRDefault="008E7846" w:rsidP="008E7846">
      <w:pPr>
        <w:pStyle w:val="Heading3"/>
      </w:pPr>
      <w:bookmarkStart w:id="65" w:name="_Toc247691517"/>
      <w:bookmarkStart w:id="66" w:name="_Toc314842501"/>
      <w:bookmarkStart w:id="67" w:name="_Toc507501108"/>
      <w:r w:rsidRPr="00254787">
        <w:t>Introduction</w:t>
      </w:r>
      <w:bookmarkEnd w:id="64"/>
      <w:bookmarkEnd w:id="65"/>
      <w:bookmarkEnd w:id="66"/>
      <w:bookmarkEnd w:id="67"/>
    </w:p>
    <w:p w14:paraId="3ACAD119" w14:textId="77777777" w:rsidR="00605AD4" w:rsidRDefault="00605AD4" w:rsidP="00605AD4">
      <w:pPr>
        <w:pStyle w:val="Heading4"/>
      </w:pPr>
      <w:bookmarkStart w:id="68" w:name="_Toc196046464"/>
      <w:bookmarkStart w:id="69" w:name="_Toc247691518"/>
      <w:bookmarkStart w:id="70" w:name="_Toc314842502"/>
      <w:r w:rsidRPr="00605AD4">
        <w:t xml:space="preserve">Clinical </w:t>
      </w:r>
      <w:r w:rsidR="00EF59DC">
        <w:t>r</w:t>
      </w:r>
      <w:r w:rsidRPr="00605AD4">
        <w:t>ationale</w:t>
      </w:r>
    </w:p>
    <w:p w14:paraId="11C48C11" w14:textId="77777777" w:rsidR="000C0512" w:rsidRDefault="000C0512" w:rsidP="00101225">
      <w:r w:rsidRPr="00B62956">
        <w:t>Lung cancer has been among the most common cancers in the world for several decades. The 2012 worldwide estimates of cancer incidence and mortality by GLOBOCAN, indicate a total of 1.8 million new lung cancer cases and 1.6 million lung cancer related deaths, accounting for 13.0% of all cancer cases (except non-melanoma skin cancers) and 19.4% of all cancer deaths (except non-melanoma skin cancers). Further, lung cancer incidence rates were two</w:t>
      </w:r>
      <w:r w:rsidR="00101225">
        <w:t xml:space="preserve"> </w:t>
      </w:r>
      <w:r w:rsidRPr="00B62956">
        <w:t>fold higher in males compared to females (1,241,601 and 583,100, respectively). In 201</w:t>
      </w:r>
      <w:r>
        <w:t xml:space="preserve">1, lung cancer was the most common cause of cancer death for men </w:t>
      </w:r>
      <w:r>
        <w:lastRenderedPageBreak/>
        <w:t>and women (8114 deaths overall: 4959 in men; 3155 in woman), accounting for 18.8% of all c</w:t>
      </w:r>
      <w:r w:rsidR="00101225">
        <w:t>ancer deaths here in Australia</w:t>
      </w:r>
      <w:r w:rsidR="00101225">
        <w:rPr>
          <w:rStyle w:val="FootnoteReference"/>
        </w:rPr>
        <w:footnoteReference w:id="20"/>
      </w:r>
      <w:r>
        <w:t>.</w:t>
      </w:r>
    </w:p>
    <w:p w14:paraId="3C3E35CD" w14:textId="77777777" w:rsidR="000C0512" w:rsidRPr="00A6180E" w:rsidRDefault="000C0512" w:rsidP="00101225">
      <w:r w:rsidRPr="00B62956">
        <w:t xml:space="preserve">The two most prevalent sub-types of lung cancer are small cell lung cancer </w:t>
      </w:r>
      <w:r>
        <w:t>and NSCLC</w:t>
      </w:r>
      <w:r w:rsidRPr="00B62956">
        <w:t xml:space="preserve">. </w:t>
      </w:r>
      <w:r w:rsidR="001762D3">
        <w:t xml:space="preserve">Approximately </w:t>
      </w:r>
      <w:r w:rsidRPr="00B62956">
        <w:t>85% of all lung cancers are NSCLC, which is frequently further subdivided into non-squamous carcinoma (including adenocarcinoma, large-cell carcinoma, and other cell types) and squamous cell carcinoma.</w:t>
      </w:r>
      <w:r w:rsidR="000E3918">
        <w:t xml:space="preserve"> </w:t>
      </w:r>
      <w:r w:rsidRPr="00A6180E">
        <w:t>Adenocarcinoma (40% of lung cancers) is the most common type of lung cancer in the United States (US), and is also the most frequ</w:t>
      </w:r>
      <w:r w:rsidR="0089512A">
        <w:t>ently occurring in non-smokers</w:t>
      </w:r>
      <w:r w:rsidR="0089512A">
        <w:rPr>
          <w:rStyle w:val="FootnoteReference"/>
        </w:rPr>
        <w:footnoteReference w:id="21"/>
      </w:r>
      <w:r w:rsidRPr="00A6180E">
        <w:t>.</w:t>
      </w:r>
    </w:p>
    <w:p w14:paraId="39A2DA35" w14:textId="77777777" w:rsidR="000C0512" w:rsidRDefault="000C0512" w:rsidP="00101225">
      <w:r>
        <w:t>NSCLC</w:t>
      </w:r>
      <w:r w:rsidRPr="00B62956">
        <w:t xml:space="preserve"> is associated with high mortality rates as &gt;70% of the patients are diagnosed with locally advanced or metastatic disease (Molina et al 2008) [stages III an</w:t>
      </w:r>
      <w:r>
        <w:t>d IV according to the American Joint Committee on Cancer S</w:t>
      </w:r>
      <w:r w:rsidRPr="00B62956">
        <w:t xml:space="preserve">taging (AJCC)]. Historically, patients with locally advanced or metastatic NSCLC have been treated with standard chemotherapy and/or radiation, and while these treatments may provide modest survival benefits, they are rarely curative. </w:t>
      </w:r>
    </w:p>
    <w:p w14:paraId="3799E9D6" w14:textId="5BB81FFC" w:rsidR="000C0512" w:rsidRPr="00A6180E" w:rsidRDefault="000C0512" w:rsidP="00101225">
      <w:r w:rsidRPr="00B62956">
        <w:t xml:space="preserve">Systemic chemotherapy is a cornerstone in the management of locally advanced or metastatic NSCLC. Standard first-line treatment typically consists of a platinum-based doublet (cisplatin or carboplatin in combination with other chemotherapy agents) unless a patient has a known mutation, candidate for targeted </w:t>
      </w:r>
      <w:r>
        <w:t>therapy</w:t>
      </w:r>
      <w:r w:rsidRPr="00B62956">
        <w:t>.</w:t>
      </w:r>
      <w:bookmarkStart w:id="71" w:name="_Ref500766092"/>
      <w:r w:rsidR="0082682D">
        <w:rPr>
          <w:rStyle w:val="FootnoteReference"/>
        </w:rPr>
        <w:footnoteReference w:id="22"/>
      </w:r>
      <w:bookmarkEnd w:id="71"/>
      <w:r w:rsidRPr="00B62956">
        <w:t xml:space="preserve"> The outcomes with this type of chemotherapy remain poor, with response rates of 15 to 35% and median progression-free survival (PFS) and overall survival (OS) of 4 to 7 months and 10 to 16 months, respectively.</w:t>
      </w:r>
      <w:r w:rsidR="0082682D">
        <w:rPr>
          <w:rStyle w:val="FootnoteReference"/>
        </w:rPr>
        <w:footnoteReference w:id="23"/>
      </w:r>
      <w:r w:rsidRPr="00B62956">
        <w:t xml:space="preserve"> Pemetrexed/cisplatin (or carboplatin) combination therapy and carboplatin/paclitaxel with (or without) bevacizumab represent a therapeutic option in patients with advanced non-squamous NSCLC. These regimens are commonly used based on </w:t>
      </w:r>
      <w:r w:rsidR="00B3070B">
        <w:t>Phase I</w:t>
      </w:r>
      <w:r w:rsidRPr="00B62956">
        <w:t>II randomised trials</w:t>
      </w:r>
      <w:r>
        <w:t>.</w:t>
      </w:r>
      <w:r w:rsidR="005A7404" w:rsidRPr="005A7404">
        <w:rPr>
          <w:vertAlign w:val="superscript"/>
        </w:rPr>
        <w:fldChar w:fldCharType="begin"/>
      </w:r>
      <w:r w:rsidR="005A7404" w:rsidRPr="005A7404">
        <w:rPr>
          <w:vertAlign w:val="superscript"/>
        </w:rPr>
        <w:instrText xml:space="preserve"> NOTEREF _Ref500766092 \h </w:instrText>
      </w:r>
      <w:r w:rsidR="005A7404">
        <w:rPr>
          <w:vertAlign w:val="superscript"/>
        </w:rPr>
        <w:instrText xml:space="preserve"> \* MERGEFORMAT </w:instrText>
      </w:r>
      <w:r w:rsidR="005A7404" w:rsidRPr="005A7404">
        <w:rPr>
          <w:vertAlign w:val="superscript"/>
        </w:rPr>
      </w:r>
      <w:r w:rsidR="005A7404" w:rsidRPr="005A7404">
        <w:rPr>
          <w:vertAlign w:val="superscript"/>
        </w:rPr>
        <w:fldChar w:fldCharType="separate"/>
      </w:r>
      <w:r w:rsidR="00951361">
        <w:rPr>
          <w:vertAlign w:val="superscript"/>
        </w:rPr>
        <w:t>22</w:t>
      </w:r>
      <w:r w:rsidR="005A7404" w:rsidRPr="005A7404">
        <w:rPr>
          <w:vertAlign w:val="superscript"/>
        </w:rPr>
        <w:fldChar w:fldCharType="end"/>
      </w:r>
      <w:r>
        <w:t xml:space="preserve"> However neither </w:t>
      </w:r>
      <w:proofErr w:type="spellStart"/>
      <w:r>
        <w:t>pemetrexed</w:t>
      </w:r>
      <w:proofErr w:type="spellEnd"/>
      <w:r>
        <w:t xml:space="preserve"> nor bevacizumab is reimbursed here in Australia for first line setting. </w:t>
      </w:r>
      <w:r w:rsidRPr="00A6180E">
        <w:t>The outcomes with second-line chemotherapy are dismal, with response rates of less than 10%, median PFS of 2 to 3 months, and median OS of 5 to 8 months.</w:t>
      </w:r>
      <w:r w:rsidR="005A7404">
        <w:rPr>
          <w:rStyle w:val="FootnoteReference"/>
        </w:rPr>
        <w:footnoteReference w:id="24"/>
      </w:r>
    </w:p>
    <w:p w14:paraId="26AC94A1" w14:textId="77777777" w:rsidR="000C0512" w:rsidRPr="00B62956" w:rsidRDefault="000C0512" w:rsidP="00101225">
      <w:r w:rsidRPr="00B62956">
        <w:t xml:space="preserve">Although chemotherapy is appropriate for many patients with lung cancer, there is a sense that the use of traditional chemotherapeutic agents has reached a therapeutic plateau. Increased understanding of cancer biology has revealed numerous potential therapeutic strategies targeting oncogenic signal transduction pathways. Where NSCLC was previously considered to be a single disease treated with standard cytotoxic chemotherapy, it is now </w:t>
      </w:r>
      <w:r w:rsidRPr="00B62956">
        <w:lastRenderedPageBreak/>
        <w:t>becoming more appropriate to consider NSCLC as a collection of disease subtypes according to the driving oncogenic aberration, and to select treatment accordingly.</w:t>
      </w:r>
      <w:r w:rsidR="005A7404">
        <w:rPr>
          <w:rStyle w:val="FootnoteReference"/>
        </w:rPr>
        <w:footnoteReference w:id="25"/>
      </w:r>
    </w:p>
    <w:p w14:paraId="45CEAED1" w14:textId="41AFEA47" w:rsidR="000C0512" w:rsidRPr="00B62956" w:rsidRDefault="000C0512" w:rsidP="00101225">
      <w:pPr>
        <w:rPr>
          <w:rFonts w:cs="Verdana"/>
          <w:lang w:val="en-US"/>
        </w:rPr>
      </w:pPr>
      <w:r w:rsidRPr="00B62956">
        <w:rPr>
          <w:rFonts w:cs="Verdana"/>
          <w:spacing w:val="-1"/>
          <w:lang w:val="en-US"/>
        </w:rPr>
        <w:t>P</w:t>
      </w:r>
      <w:r w:rsidRPr="00B62956">
        <w:rPr>
          <w:rFonts w:cs="Verdana"/>
          <w:spacing w:val="1"/>
          <w:lang w:val="en-US"/>
        </w:rPr>
        <w:t>e</w:t>
      </w:r>
      <w:r w:rsidRPr="00B62956">
        <w:rPr>
          <w:rFonts w:cs="Verdana"/>
          <w:lang w:val="en-US"/>
        </w:rPr>
        <w:t>rs</w:t>
      </w:r>
      <w:r w:rsidRPr="00B62956">
        <w:rPr>
          <w:rFonts w:cs="Verdana"/>
          <w:spacing w:val="1"/>
          <w:lang w:val="en-US"/>
        </w:rPr>
        <w:t>o</w:t>
      </w:r>
      <w:r w:rsidRPr="00B62956">
        <w:rPr>
          <w:rFonts w:cs="Verdana"/>
          <w:spacing w:val="-1"/>
          <w:lang w:val="en-US"/>
        </w:rPr>
        <w:t>n</w:t>
      </w:r>
      <w:r w:rsidRPr="00B62956">
        <w:rPr>
          <w:rFonts w:cs="Verdana"/>
          <w:lang w:val="en-US"/>
        </w:rPr>
        <w:t>a</w:t>
      </w:r>
      <w:r w:rsidRPr="00B62956">
        <w:rPr>
          <w:rFonts w:cs="Verdana"/>
          <w:spacing w:val="1"/>
          <w:lang w:val="en-US"/>
        </w:rPr>
        <w:t>li</w:t>
      </w:r>
      <w:r>
        <w:rPr>
          <w:rFonts w:cs="Verdana"/>
          <w:spacing w:val="-1"/>
          <w:lang w:val="en-US"/>
        </w:rPr>
        <w:t>s</w:t>
      </w:r>
      <w:r w:rsidRPr="00B62956">
        <w:rPr>
          <w:rFonts w:cs="Verdana"/>
          <w:spacing w:val="1"/>
          <w:lang w:val="en-US"/>
        </w:rPr>
        <w:t>e</w:t>
      </w:r>
      <w:r w:rsidRPr="00B62956">
        <w:rPr>
          <w:rFonts w:cs="Verdana"/>
          <w:lang w:val="en-US"/>
        </w:rPr>
        <w:t xml:space="preserve">d </w:t>
      </w:r>
      <w:r w:rsidRPr="00B62956">
        <w:rPr>
          <w:rFonts w:cs="Verdana"/>
          <w:spacing w:val="1"/>
          <w:lang w:val="en-US"/>
        </w:rPr>
        <w:t>t</w:t>
      </w:r>
      <w:r w:rsidRPr="00B62956">
        <w:rPr>
          <w:rFonts w:cs="Verdana"/>
          <w:lang w:val="en-US"/>
        </w:rPr>
        <w:t>ar</w:t>
      </w:r>
      <w:r w:rsidRPr="00B62956">
        <w:rPr>
          <w:rFonts w:cs="Verdana"/>
          <w:spacing w:val="-2"/>
          <w:lang w:val="en-US"/>
        </w:rPr>
        <w:t>g</w:t>
      </w:r>
      <w:r w:rsidRPr="00B62956">
        <w:rPr>
          <w:rFonts w:cs="Verdana"/>
          <w:spacing w:val="1"/>
          <w:lang w:val="en-US"/>
        </w:rPr>
        <w:t>et</w:t>
      </w:r>
      <w:r w:rsidRPr="00B62956">
        <w:rPr>
          <w:rFonts w:cs="Verdana"/>
          <w:spacing w:val="-2"/>
          <w:lang w:val="en-US"/>
        </w:rPr>
        <w:t>e</w:t>
      </w:r>
      <w:r w:rsidRPr="00B62956">
        <w:rPr>
          <w:rFonts w:cs="Verdana"/>
          <w:lang w:val="en-US"/>
        </w:rPr>
        <w:t xml:space="preserve">d </w:t>
      </w:r>
      <w:r w:rsidRPr="00B62956">
        <w:rPr>
          <w:rFonts w:cs="Verdana"/>
          <w:spacing w:val="1"/>
          <w:lang w:val="en-US"/>
        </w:rPr>
        <w:t>t</w:t>
      </w:r>
      <w:r w:rsidRPr="00B62956">
        <w:rPr>
          <w:rFonts w:cs="Verdana"/>
          <w:spacing w:val="-1"/>
          <w:lang w:val="en-US"/>
        </w:rPr>
        <w:t>h</w:t>
      </w:r>
      <w:r w:rsidRPr="00B62956">
        <w:rPr>
          <w:rFonts w:cs="Verdana"/>
          <w:spacing w:val="1"/>
          <w:lang w:val="en-US"/>
        </w:rPr>
        <w:t>e</w:t>
      </w:r>
      <w:r w:rsidRPr="00B62956">
        <w:rPr>
          <w:rFonts w:cs="Verdana"/>
          <w:spacing w:val="-3"/>
          <w:lang w:val="en-US"/>
        </w:rPr>
        <w:t>r</w:t>
      </w:r>
      <w:r w:rsidRPr="00B62956">
        <w:rPr>
          <w:rFonts w:cs="Verdana"/>
          <w:lang w:val="en-US"/>
        </w:rPr>
        <w:t>a</w:t>
      </w:r>
      <w:r w:rsidRPr="00B62956">
        <w:rPr>
          <w:rFonts w:cs="Verdana"/>
          <w:spacing w:val="1"/>
          <w:lang w:val="en-US"/>
        </w:rPr>
        <w:t>p</w:t>
      </w:r>
      <w:r w:rsidRPr="00B62956">
        <w:rPr>
          <w:rFonts w:cs="Verdana"/>
          <w:lang w:val="en-US"/>
        </w:rPr>
        <w:t>y</w:t>
      </w:r>
      <w:r w:rsidRPr="00B62956">
        <w:rPr>
          <w:rFonts w:cs="Verdana"/>
          <w:spacing w:val="-2"/>
          <w:lang w:val="en-US"/>
        </w:rPr>
        <w:t xml:space="preserve"> </w:t>
      </w:r>
      <w:r w:rsidRPr="00B62956">
        <w:rPr>
          <w:rFonts w:cs="Verdana"/>
          <w:spacing w:val="-1"/>
          <w:lang w:val="en-US"/>
        </w:rPr>
        <w:t>f</w:t>
      </w:r>
      <w:r w:rsidRPr="00B62956">
        <w:rPr>
          <w:rFonts w:cs="Verdana"/>
          <w:spacing w:val="1"/>
          <w:lang w:val="en-US"/>
        </w:rPr>
        <w:t>o</w:t>
      </w:r>
      <w:r w:rsidRPr="00B62956">
        <w:rPr>
          <w:rFonts w:cs="Verdana"/>
          <w:lang w:val="en-US"/>
        </w:rPr>
        <w:t>r</w:t>
      </w:r>
      <w:r w:rsidRPr="00B62956">
        <w:rPr>
          <w:rFonts w:cs="Verdana"/>
          <w:spacing w:val="-1"/>
          <w:lang w:val="en-US"/>
        </w:rPr>
        <w:t xml:space="preserve"> </w:t>
      </w:r>
      <w:r w:rsidRPr="00B62956">
        <w:rPr>
          <w:rFonts w:cs="Verdana"/>
          <w:lang w:val="en-US"/>
        </w:rPr>
        <w:t>a</w:t>
      </w:r>
      <w:r w:rsidRPr="00B62956">
        <w:rPr>
          <w:rFonts w:cs="Verdana"/>
          <w:spacing w:val="1"/>
          <w:lang w:val="en-US"/>
        </w:rPr>
        <w:t>d</w:t>
      </w:r>
      <w:r w:rsidRPr="00B62956">
        <w:rPr>
          <w:rFonts w:cs="Verdana"/>
          <w:spacing w:val="-1"/>
          <w:lang w:val="en-US"/>
        </w:rPr>
        <w:t>v</w:t>
      </w:r>
      <w:r w:rsidRPr="00B62956">
        <w:rPr>
          <w:rFonts w:cs="Verdana"/>
          <w:lang w:val="en-US"/>
        </w:rPr>
        <w:t>a</w:t>
      </w:r>
      <w:r w:rsidRPr="00B62956">
        <w:rPr>
          <w:rFonts w:cs="Verdana"/>
          <w:spacing w:val="1"/>
          <w:lang w:val="en-US"/>
        </w:rPr>
        <w:t>n</w:t>
      </w:r>
      <w:r w:rsidRPr="00B62956">
        <w:rPr>
          <w:rFonts w:cs="Verdana"/>
          <w:lang w:val="en-US"/>
        </w:rPr>
        <w:t>c</w:t>
      </w:r>
      <w:r w:rsidRPr="00B62956">
        <w:rPr>
          <w:rFonts w:cs="Verdana"/>
          <w:spacing w:val="1"/>
          <w:lang w:val="en-US"/>
        </w:rPr>
        <w:t>e</w:t>
      </w:r>
      <w:r w:rsidRPr="00B62956">
        <w:rPr>
          <w:rFonts w:cs="Verdana"/>
          <w:lang w:val="en-US"/>
        </w:rPr>
        <w:t>d N</w:t>
      </w:r>
      <w:r w:rsidRPr="00B62956">
        <w:rPr>
          <w:rFonts w:cs="Verdana"/>
          <w:spacing w:val="-1"/>
          <w:lang w:val="en-US"/>
        </w:rPr>
        <w:t>SC</w:t>
      </w:r>
      <w:r w:rsidRPr="00B62956">
        <w:rPr>
          <w:rFonts w:cs="Verdana"/>
          <w:spacing w:val="1"/>
          <w:lang w:val="en-US"/>
        </w:rPr>
        <w:t>L</w:t>
      </w:r>
      <w:r w:rsidRPr="00B62956">
        <w:rPr>
          <w:rFonts w:cs="Verdana"/>
          <w:lang w:val="en-US"/>
        </w:rPr>
        <w:t>C</w:t>
      </w:r>
      <w:r w:rsidRPr="00B62956">
        <w:rPr>
          <w:rFonts w:cs="Verdana"/>
          <w:spacing w:val="1"/>
          <w:lang w:val="en-US"/>
        </w:rPr>
        <w:t xml:space="preserve"> </w:t>
      </w:r>
      <w:r w:rsidRPr="00B62956">
        <w:rPr>
          <w:rFonts w:cs="Verdana"/>
          <w:spacing w:val="2"/>
          <w:lang w:val="en-US"/>
        </w:rPr>
        <w:t>r</w:t>
      </w:r>
      <w:r w:rsidRPr="00B62956">
        <w:rPr>
          <w:rFonts w:cs="Verdana"/>
          <w:spacing w:val="1"/>
          <w:lang w:val="en-US"/>
        </w:rPr>
        <w:t>elie</w:t>
      </w:r>
      <w:r w:rsidRPr="00B62956">
        <w:rPr>
          <w:rFonts w:cs="Verdana"/>
          <w:lang w:val="en-US"/>
        </w:rPr>
        <w:t>s</w:t>
      </w:r>
      <w:r w:rsidRPr="00B62956">
        <w:rPr>
          <w:rFonts w:cs="Verdana"/>
          <w:spacing w:val="-1"/>
          <w:lang w:val="en-US"/>
        </w:rPr>
        <w:t xml:space="preserve"> </w:t>
      </w:r>
      <w:r w:rsidRPr="00B62956">
        <w:rPr>
          <w:rFonts w:cs="Verdana"/>
          <w:spacing w:val="1"/>
          <w:lang w:val="en-US"/>
        </w:rPr>
        <w:t>p</w:t>
      </w:r>
      <w:r w:rsidRPr="00B62956">
        <w:rPr>
          <w:rFonts w:cs="Verdana"/>
          <w:spacing w:val="-3"/>
          <w:lang w:val="en-US"/>
        </w:rPr>
        <w:t>r</w:t>
      </w:r>
      <w:r w:rsidRPr="00B62956">
        <w:rPr>
          <w:rFonts w:cs="Verdana"/>
          <w:spacing w:val="1"/>
          <w:lang w:val="en-US"/>
        </w:rPr>
        <w:t>i</w:t>
      </w:r>
      <w:r w:rsidRPr="00B62956">
        <w:rPr>
          <w:rFonts w:cs="Verdana"/>
          <w:lang w:val="en-US"/>
        </w:rPr>
        <w:t>mar</w:t>
      </w:r>
      <w:r w:rsidRPr="00B62956">
        <w:rPr>
          <w:rFonts w:cs="Verdana"/>
          <w:spacing w:val="-1"/>
          <w:lang w:val="en-US"/>
        </w:rPr>
        <w:t>i</w:t>
      </w:r>
      <w:r w:rsidRPr="00B62956">
        <w:rPr>
          <w:rFonts w:cs="Verdana"/>
          <w:spacing w:val="1"/>
          <w:lang w:val="en-US"/>
        </w:rPr>
        <w:t>l</w:t>
      </w:r>
      <w:r w:rsidRPr="00B62956">
        <w:rPr>
          <w:rFonts w:cs="Verdana"/>
          <w:lang w:val="en-US"/>
        </w:rPr>
        <w:t>y</w:t>
      </w:r>
      <w:r w:rsidRPr="00B62956">
        <w:rPr>
          <w:rFonts w:cs="Verdana"/>
          <w:spacing w:val="-2"/>
          <w:lang w:val="en-US"/>
        </w:rPr>
        <w:t xml:space="preserve"> </w:t>
      </w:r>
      <w:r w:rsidRPr="00B62956">
        <w:rPr>
          <w:rFonts w:cs="Verdana"/>
          <w:spacing w:val="1"/>
          <w:lang w:val="en-US"/>
        </w:rPr>
        <w:t>o</w:t>
      </w:r>
      <w:r w:rsidRPr="00B62956">
        <w:rPr>
          <w:rFonts w:cs="Verdana"/>
          <w:lang w:val="en-US"/>
        </w:rPr>
        <w:t>n</w:t>
      </w:r>
      <w:r w:rsidRPr="00B62956">
        <w:rPr>
          <w:rFonts w:cs="Verdana"/>
          <w:spacing w:val="-2"/>
          <w:lang w:val="en-US"/>
        </w:rPr>
        <w:t xml:space="preserve"> </w:t>
      </w:r>
      <w:r w:rsidRPr="00B62956">
        <w:rPr>
          <w:rFonts w:cs="Verdana"/>
          <w:spacing w:val="1"/>
          <w:lang w:val="en-US"/>
        </w:rPr>
        <w:t>t</w:t>
      </w:r>
      <w:r w:rsidRPr="00B62956">
        <w:rPr>
          <w:rFonts w:cs="Verdana"/>
          <w:spacing w:val="-1"/>
          <w:lang w:val="en-US"/>
        </w:rPr>
        <w:t>h</w:t>
      </w:r>
      <w:r w:rsidRPr="00B62956">
        <w:rPr>
          <w:rFonts w:cs="Verdana"/>
          <w:lang w:val="en-US"/>
        </w:rPr>
        <w:t>e c</w:t>
      </w:r>
      <w:r w:rsidRPr="00B62956">
        <w:rPr>
          <w:rFonts w:cs="Verdana"/>
          <w:spacing w:val="1"/>
          <w:lang w:val="en-US"/>
        </w:rPr>
        <w:t>o</w:t>
      </w:r>
      <w:r w:rsidRPr="00B62956">
        <w:rPr>
          <w:rFonts w:cs="Verdana"/>
          <w:spacing w:val="-1"/>
          <w:lang w:val="en-US"/>
        </w:rPr>
        <w:t>n</w:t>
      </w:r>
      <w:r w:rsidRPr="00B62956">
        <w:rPr>
          <w:rFonts w:cs="Verdana"/>
          <w:spacing w:val="2"/>
          <w:lang w:val="en-US"/>
        </w:rPr>
        <w:t>c</w:t>
      </w:r>
      <w:r w:rsidRPr="00B62956">
        <w:rPr>
          <w:rFonts w:cs="Verdana"/>
          <w:spacing w:val="1"/>
          <w:lang w:val="en-US"/>
        </w:rPr>
        <w:t>ep</w:t>
      </w:r>
      <w:r w:rsidRPr="00B62956">
        <w:rPr>
          <w:rFonts w:cs="Verdana"/>
          <w:lang w:val="en-US"/>
        </w:rPr>
        <w:t xml:space="preserve">t </w:t>
      </w:r>
      <w:r w:rsidRPr="00B62956">
        <w:rPr>
          <w:rFonts w:cs="Verdana"/>
          <w:spacing w:val="1"/>
          <w:lang w:val="en-US"/>
        </w:rPr>
        <w:t>o</w:t>
      </w:r>
      <w:r w:rsidRPr="00B62956">
        <w:rPr>
          <w:rFonts w:cs="Verdana"/>
          <w:lang w:val="en-US"/>
        </w:rPr>
        <w:t>f</w:t>
      </w:r>
      <w:r w:rsidRPr="00B62956">
        <w:rPr>
          <w:rFonts w:cs="Verdana"/>
          <w:spacing w:val="-2"/>
          <w:lang w:val="en-US"/>
        </w:rPr>
        <w:t xml:space="preserve"> </w:t>
      </w:r>
      <w:r w:rsidR="0089512A">
        <w:rPr>
          <w:rFonts w:cs="Verdana"/>
          <w:spacing w:val="-1"/>
          <w:lang w:val="en-US"/>
        </w:rPr>
        <w:t>‘</w:t>
      </w:r>
      <w:r w:rsidRPr="00B62956">
        <w:rPr>
          <w:rFonts w:cs="Verdana"/>
          <w:spacing w:val="1"/>
          <w:lang w:val="en-US"/>
        </w:rPr>
        <w:t>o</w:t>
      </w:r>
      <w:r w:rsidRPr="00B62956">
        <w:rPr>
          <w:rFonts w:cs="Verdana"/>
          <w:spacing w:val="-1"/>
          <w:lang w:val="en-US"/>
        </w:rPr>
        <w:t>n</w:t>
      </w:r>
      <w:r w:rsidRPr="00B62956">
        <w:rPr>
          <w:rFonts w:cs="Verdana"/>
          <w:lang w:val="en-US"/>
        </w:rPr>
        <w:t>c</w:t>
      </w:r>
      <w:r w:rsidRPr="00B62956">
        <w:rPr>
          <w:rFonts w:cs="Verdana"/>
          <w:spacing w:val="1"/>
          <w:lang w:val="en-US"/>
        </w:rPr>
        <w:t>oge</w:t>
      </w:r>
      <w:r w:rsidRPr="00B62956">
        <w:rPr>
          <w:rFonts w:cs="Verdana"/>
          <w:spacing w:val="-1"/>
          <w:lang w:val="en-US"/>
        </w:rPr>
        <w:t>n</w:t>
      </w:r>
      <w:r w:rsidRPr="00B62956">
        <w:rPr>
          <w:rFonts w:cs="Verdana"/>
          <w:lang w:val="en-US"/>
        </w:rPr>
        <w:t>e</w:t>
      </w:r>
      <w:r>
        <w:rPr>
          <w:rFonts w:cs="Verdana"/>
          <w:lang w:val="en-US"/>
        </w:rPr>
        <w:t xml:space="preserve"> </w:t>
      </w:r>
      <w:r w:rsidRPr="00B62956">
        <w:rPr>
          <w:rFonts w:cs="Verdana"/>
          <w:lang w:val="en-US"/>
        </w:rPr>
        <w:t>a</w:t>
      </w:r>
      <w:r w:rsidRPr="00B62956">
        <w:rPr>
          <w:rFonts w:cs="Verdana"/>
          <w:spacing w:val="1"/>
          <w:lang w:val="en-US"/>
        </w:rPr>
        <w:t>ddi</w:t>
      </w:r>
      <w:r w:rsidRPr="00B62956">
        <w:rPr>
          <w:rFonts w:cs="Verdana"/>
          <w:lang w:val="en-US"/>
        </w:rPr>
        <w:t>c</w:t>
      </w:r>
      <w:r w:rsidRPr="00B62956">
        <w:rPr>
          <w:rFonts w:cs="Verdana"/>
          <w:spacing w:val="-1"/>
          <w:lang w:val="en-US"/>
        </w:rPr>
        <w:t>t</w:t>
      </w:r>
      <w:r w:rsidRPr="00B62956">
        <w:rPr>
          <w:rFonts w:cs="Verdana"/>
          <w:spacing w:val="1"/>
          <w:lang w:val="en-US"/>
        </w:rPr>
        <w:t>io</w:t>
      </w:r>
      <w:r w:rsidRPr="00B62956">
        <w:rPr>
          <w:rFonts w:cs="Verdana"/>
          <w:spacing w:val="-1"/>
          <w:lang w:val="en-US"/>
        </w:rPr>
        <w:t>n</w:t>
      </w:r>
      <w:r w:rsidR="0089512A">
        <w:rPr>
          <w:rFonts w:cs="Verdana"/>
          <w:spacing w:val="-1"/>
          <w:lang w:val="en-US"/>
        </w:rPr>
        <w:t>’</w:t>
      </w:r>
      <w:r w:rsidRPr="00B62956">
        <w:rPr>
          <w:rFonts w:cs="Verdana"/>
          <w:lang w:val="en-US"/>
        </w:rPr>
        <w:t>,</w:t>
      </w:r>
      <w:r w:rsidRPr="00B62956">
        <w:rPr>
          <w:rFonts w:cs="Verdana"/>
          <w:spacing w:val="-1"/>
          <w:lang w:val="en-US"/>
        </w:rPr>
        <w:t xml:space="preserve"> </w:t>
      </w:r>
      <w:r w:rsidRPr="00B62956">
        <w:rPr>
          <w:rFonts w:cs="Verdana"/>
          <w:spacing w:val="1"/>
          <w:lang w:val="en-US"/>
        </w:rPr>
        <w:t>i</w:t>
      </w:r>
      <w:r w:rsidRPr="00B62956">
        <w:rPr>
          <w:rFonts w:cs="Verdana"/>
          <w:lang w:val="en-US"/>
        </w:rPr>
        <w:t>n</w:t>
      </w:r>
      <w:r w:rsidRPr="00B62956">
        <w:rPr>
          <w:rFonts w:cs="Verdana"/>
          <w:spacing w:val="-2"/>
          <w:lang w:val="en-US"/>
        </w:rPr>
        <w:t xml:space="preserve"> </w:t>
      </w:r>
      <w:r w:rsidRPr="00B62956">
        <w:rPr>
          <w:rFonts w:cs="Verdana"/>
          <w:spacing w:val="2"/>
          <w:lang w:val="en-US"/>
        </w:rPr>
        <w:t>w</w:t>
      </w:r>
      <w:r w:rsidRPr="00B62956">
        <w:rPr>
          <w:rFonts w:cs="Verdana"/>
          <w:spacing w:val="-1"/>
          <w:lang w:val="en-US"/>
        </w:rPr>
        <w:t>h</w:t>
      </w:r>
      <w:r w:rsidRPr="00B62956">
        <w:rPr>
          <w:rFonts w:cs="Verdana"/>
          <w:spacing w:val="1"/>
          <w:lang w:val="en-US"/>
        </w:rPr>
        <w:t>i</w:t>
      </w:r>
      <w:r w:rsidRPr="00B62956">
        <w:rPr>
          <w:rFonts w:cs="Verdana"/>
          <w:lang w:val="en-US"/>
        </w:rPr>
        <w:t>ch</w:t>
      </w:r>
      <w:r w:rsidRPr="00B62956">
        <w:rPr>
          <w:rFonts w:cs="Verdana"/>
          <w:spacing w:val="-2"/>
          <w:lang w:val="en-US"/>
        </w:rPr>
        <w:t xml:space="preserve"> </w:t>
      </w:r>
      <w:r w:rsidRPr="00B62956">
        <w:rPr>
          <w:rFonts w:cs="Verdana"/>
          <w:lang w:val="en-US"/>
        </w:rPr>
        <w:t>c</w:t>
      </w:r>
      <w:r w:rsidRPr="00B62956">
        <w:rPr>
          <w:rFonts w:cs="Verdana"/>
          <w:spacing w:val="2"/>
          <w:lang w:val="en-US"/>
        </w:rPr>
        <w:t>a</w:t>
      </w:r>
      <w:r w:rsidRPr="00B62956">
        <w:rPr>
          <w:rFonts w:cs="Verdana"/>
          <w:spacing w:val="-1"/>
          <w:lang w:val="en-US"/>
        </w:rPr>
        <w:t>n</w:t>
      </w:r>
      <w:r w:rsidRPr="00B62956">
        <w:rPr>
          <w:rFonts w:cs="Verdana"/>
          <w:lang w:val="en-US"/>
        </w:rPr>
        <w:t>c</w:t>
      </w:r>
      <w:r w:rsidRPr="00B62956">
        <w:rPr>
          <w:rFonts w:cs="Verdana"/>
          <w:spacing w:val="1"/>
          <w:lang w:val="en-US"/>
        </w:rPr>
        <w:t>e</w:t>
      </w:r>
      <w:r w:rsidRPr="00B62956">
        <w:rPr>
          <w:rFonts w:cs="Verdana"/>
          <w:lang w:val="en-US"/>
        </w:rPr>
        <w:t>rs</w:t>
      </w:r>
      <w:r w:rsidRPr="00B62956">
        <w:rPr>
          <w:rFonts w:cs="Verdana"/>
          <w:spacing w:val="-1"/>
          <w:lang w:val="en-US"/>
        </w:rPr>
        <w:t xml:space="preserve"> </w:t>
      </w:r>
      <w:r w:rsidRPr="00B62956">
        <w:rPr>
          <w:rFonts w:cs="Verdana"/>
          <w:spacing w:val="1"/>
          <w:lang w:val="en-US"/>
        </w:rPr>
        <w:t>t</w:t>
      </w:r>
      <w:r w:rsidRPr="00B62956">
        <w:rPr>
          <w:rFonts w:cs="Verdana"/>
          <w:spacing w:val="-1"/>
          <w:lang w:val="en-US"/>
        </w:rPr>
        <w:t>h</w:t>
      </w:r>
      <w:r w:rsidRPr="00B62956">
        <w:rPr>
          <w:rFonts w:cs="Verdana"/>
          <w:lang w:val="en-US"/>
        </w:rPr>
        <w:t>at c</w:t>
      </w:r>
      <w:r w:rsidRPr="00B62956">
        <w:rPr>
          <w:rFonts w:cs="Verdana"/>
          <w:spacing w:val="1"/>
          <w:lang w:val="en-US"/>
        </w:rPr>
        <w:t>o</w:t>
      </w:r>
      <w:r w:rsidRPr="00B62956">
        <w:rPr>
          <w:rFonts w:cs="Verdana"/>
          <w:spacing w:val="-1"/>
          <w:lang w:val="en-US"/>
        </w:rPr>
        <w:t>n</w:t>
      </w:r>
      <w:r w:rsidRPr="00B62956">
        <w:rPr>
          <w:rFonts w:cs="Verdana"/>
          <w:spacing w:val="1"/>
          <w:lang w:val="en-US"/>
        </w:rPr>
        <w:t>t</w:t>
      </w:r>
      <w:r w:rsidRPr="00B62956">
        <w:rPr>
          <w:rFonts w:cs="Verdana"/>
          <w:lang w:val="en-US"/>
        </w:rPr>
        <w:t>a</w:t>
      </w:r>
      <w:r w:rsidRPr="00B62956">
        <w:rPr>
          <w:rFonts w:cs="Verdana"/>
          <w:spacing w:val="1"/>
          <w:lang w:val="en-US"/>
        </w:rPr>
        <w:t>i</w:t>
      </w:r>
      <w:r w:rsidRPr="00B62956">
        <w:rPr>
          <w:rFonts w:cs="Verdana"/>
          <w:lang w:val="en-US"/>
        </w:rPr>
        <w:t>n</w:t>
      </w:r>
      <w:r w:rsidRPr="00B62956">
        <w:rPr>
          <w:rFonts w:cs="Verdana"/>
          <w:spacing w:val="-2"/>
          <w:lang w:val="en-US"/>
        </w:rPr>
        <w:t xml:space="preserve"> </w:t>
      </w:r>
      <w:r w:rsidRPr="00B62956">
        <w:rPr>
          <w:rFonts w:cs="Verdana"/>
          <w:lang w:val="en-US"/>
        </w:rPr>
        <w:t>m</w:t>
      </w:r>
      <w:r w:rsidRPr="00B62956">
        <w:rPr>
          <w:rFonts w:cs="Verdana"/>
          <w:spacing w:val="-1"/>
          <w:lang w:val="en-US"/>
        </w:rPr>
        <w:t>u</w:t>
      </w:r>
      <w:r w:rsidRPr="00B62956">
        <w:rPr>
          <w:rFonts w:cs="Verdana"/>
          <w:spacing w:val="1"/>
          <w:lang w:val="en-US"/>
        </w:rPr>
        <w:t>ltipl</w:t>
      </w:r>
      <w:r w:rsidRPr="00B62956">
        <w:rPr>
          <w:rFonts w:cs="Verdana"/>
          <w:lang w:val="en-US"/>
        </w:rPr>
        <w:t xml:space="preserve">e </w:t>
      </w:r>
      <w:r w:rsidRPr="00B62956">
        <w:rPr>
          <w:rFonts w:cs="Verdana"/>
          <w:spacing w:val="-2"/>
          <w:lang w:val="en-US"/>
        </w:rPr>
        <w:t>g</w:t>
      </w:r>
      <w:r w:rsidRPr="00B62956">
        <w:rPr>
          <w:rFonts w:cs="Verdana"/>
          <w:spacing w:val="1"/>
          <w:lang w:val="en-US"/>
        </w:rPr>
        <w:t>e</w:t>
      </w:r>
      <w:r w:rsidRPr="00B62956">
        <w:rPr>
          <w:rFonts w:cs="Verdana"/>
          <w:spacing w:val="-1"/>
          <w:lang w:val="en-US"/>
        </w:rPr>
        <w:t>n</w:t>
      </w:r>
      <w:r w:rsidRPr="00B62956">
        <w:rPr>
          <w:rFonts w:cs="Verdana"/>
          <w:spacing w:val="1"/>
          <w:lang w:val="en-US"/>
        </w:rPr>
        <w:t>eti</w:t>
      </w:r>
      <w:r w:rsidRPr="00B62956">
        <w:rPr>
          <w:rFonts w:cs="Verdana"/>
          <w:lang w:val="en-US"/>
        </w:rPr>
        <w:t>c</w:t>
      </w:r>
      <w:r w:rsidRPr="00B62956">
        <w:rPr>
          <w:rFonts w:cs="Verdana"/>
          <w:spacing w:val="-1"/>
          <w:lang w:val="en-US"/>
        </w:rPr>
        <w:t xml:space="preserve"> </w:t>
      </w:r>
      <w:r w:rsidRPr="00B62956">
        <w:rPr>
          <w:rFonts w:cs="Verdana"/>
          <w:lang w:val="en-US"/>
        </w:rPr>
        <w:t>a</w:t>
      </w:r>
      <w:r w:rsidRPr="00B62956">
        <w:rPr>
          <w:rFonts w:cs="Verdana"/>
          <w:spacing w:val="1"/>
          <w:lang w:val="en-US"/>
        </w:rPr>
        <w:t>b</w:t>
      </w:r>
      <w:r w:rsidRPr="00B62956">
        <w:rPr>
          <w:rFonts w:cs="Verdana"/>
          <w:spacing w:val="-1"/>
          <w:lang w:val="en-US"/>
        </w:rPr>
        <w:t>n</w:t>
      </w:r>
      <w:r w:rsidRPr="00B62956">
        <w:rPr>
          <w:rFonts w:cs="Verdana"/>
          <w:spacing w:val="1"/>
          <w:lang w:val="en-US"/>
        </w:rPr>
        <w:t>o</w:t>
      </w:r>
      <w:r w:rsidRPr="00B62956">
        <w:rPr>
          <w:rFonts w:cs="Verdana"/>
          <w:lang w:val="en-US"/>
        </w:rPr>
        <w:t>rma</w:t>
      </w:r>
      <w:r w:rsidRPr="00B62956">
        <w:rPr>
          <w:rFonts w:cs="Verdana"/>
          <w:spacing w:val="-1"/>
          <w:lang w:val="en-US"/>
        </w:rPr>
        <w:t>l</w:t>
      </w:r>
      <w:r w:rsidRPr="00B62956">
        <w:rPr>
          <w:rFonts w:cs="Verdana"/>
          <w:spacing w:val="1"/>
          <w:lang w:val="en-US"/>
        </w:rPr>
        <w:t>i</w:t>
      </w:r>
      <w:r w:rsidRPr="00B62956">
        <w:rPr>
          <w:rFonts w:cs="Verdana"/>
          <w:spacing w:val="-1"/>
          <w:lang w:val="en-US"/>
        </w:rPr>
        <w:t>t</w:t>
      </w:r>
      <w:r w:rsidRPr="00B62956">
        <w:rPr>
          <w:rFonts w:cs="Verdana"/>
          <w:spacing w:val="1"/>
          <w:lang w:val="en-US"/>
        </w:rPr>
        <w:t>ie</w:t>
      </w:r>
      <w:r w:rsidRPr="00B62956">
        <w:rPr>
          <w:rFonts w:cs="Verdana"/>
          <w:lang w:val="en-US"/>
        </w:rPr>
        <w:t>s</w:t>
      </w:r>
      <w:r w:rsidRPr="00B62956">
        <w:rPr>
          <w:rFonts w:cs="Verdana"/>
          <w:spacing w:val="-1"/>
          <w:lang w:val="en-US"/>
        </w:rPr>
        <w:t xml:space="preserve"> </w:t>
      </w:r>
      <w:r w:rsidRPr="00B62956">
        <w:rPr>
          <w:rFonts w:cs="Verdana"/>
          <w:lang w:val="en-US"/>
        </w:rPr>
        <w:t>r</w:t>
      </w:r>
      <w:r w:rsidRPr="00B62956">
        <w:rPr>
          <w:rFonts w:cs="Verdana"/>
          <w:spacing w:val="1"/>
          <w:lang w:val="en-US"/>
        </w:rPr>
        <w:t>el</w:t>
      </w:r>
      <w:r w:rsidRPr="00B62956">
        <w:rPr>
          <w:rFonts w:cs="Verdana"/>
          <w:lang w:val="en-US"/>
        </w:rPr>
        <w:t>y</w:t>
      </w:r>
      <w:r w:rsidRPr="00B62956">
        <w:rPr>
          <w:rFonts w:cs="Verdana"/>
          <w:spacing w:val="-2"/>
          <w:lang w:val="en-US"/>
        </w:rPr>
        <w:t xml:space="preserve"> </w:t>
      </w:r>
      <w:r w:rsidRPr="00B62956">
        <w:rPr>
          <w:rFonts w:cs="Verdana"/>
          <w:spacing w:val="1"/>
          <w:lang w:val="en-US"/>
        </w:rPr>
        <w:t>o</w:t>
      </w:r>
      <w:r w:rsidRPr="00B62956">
        <w:rPr>
          <w:rFonts w:cs="Verdana"/>
          <w:lang w:val="en-US"/>
        </w:rPr>
        <w:t>n</w:t>
      </w:r>
      <w:r w:rsidRPr="00B62956">
        <w:rPr>
          <w:rFonts w:cs="Verdana"/>
          <w:spacing w:val="-2"/>
          <w:lang w:val="en-US"/>
        </w:rPr>
        <w:t xml:space="preserve"> </w:t>
      </w:r>
      <w:r w:rsidRPr="00B62956">
        <w:rPr>
          <w:rFonts w:cs="Verdana"/>
          <w:spacing w:val="1"/>
          <w:lang w:val="en-US"/>
        </w:rPr>
        <w:t>o</w:t>
      </w:r>
      <w:r w:rsidRPr="00B62956">
        <w:rPr>
          <w:rFonts w:cs="Verdana"/>
          <w:spacing w:val="-1"/>
          <w:lang w:val="en-US"/>
        </w:rPr>
        <w:t>n</w:t>
      </w:r>
      <w:r w:rsidRPr="00B62956">
        <w:rPr>
          <w:rFonts w:cs="Verdana"/>
          <w:spacing w:val="1"/>
          <w:lang w:val="en-US"/>
        </w:rPr>
        <w:t>l</w:t>
      </w:r>
      <w:r w:rsidRPr="00B62956">
        <w:rPr>
          <w:rFonts w:cs="Verdana"/>
          <w:lang w:val="en-US"/>
        </w:rPr>
        <w:t>y</w:t>
      </w:r>
      <w:r w:rsidRPr="00B62956">
        <w:rPr>
          <w:rFonts w:cs="Verdana"/>
          <w:spacing w:val="-2"/>
          <w:lang w:val="en-US"/>
        </w:rPr>
        <w:t xml:space="preserve"> </w:t>
      </w:r>
      <w:r w:rsidRPr="00B62956">
        <w:rPr>
          <w:rFonts w:cs="Verdana"/>
          <w:spacing w:val="1"/>
          <w:lang w:val="en-US"/>
        </w:rPr>
        <w:t>o</w:t>
      </w:r>
      <w:r w:rsidRPr="00B62956">
        <w:rPr>
          <w:rFonts w:cs="Verdana"/>
          <w:spacing w:val="-1"/>
          <w:lang w:val="en-US"/>
        </w:rPr>
        <w:t>n</w:t>
      </w:r>
      <w:r w:rsidRPr="00B62956">
        <w:rPr>
          <w:rFonts w:cs="Verdana"/>
          <w:lang w:val="en-US"/>
        </w:rPr>
        <w:t xml:space="preserve">e </w:t>
      </w:r>
      <w:r w:rsidRPr="00B62956">
        <w:rPr>
          <w:rFonts w:cs="Verdana"/>
          <w:spacing w:val="1"/>
          <w:lang w:val="en-US"/>
        </w:rPr>
        <w:t>o</w:t>
      </w:r>
      <w:r w:rsidRPr="00B62956">
        <w:rPr>
          <w:rFonts w:cs="Verdana"/>
          <w:lang w:val="en-US"/>
        </w:rPr>
        <w:t>r</w:t>
      </w:r>
      <w:r>
        <w:rPr>
          <w:rFonts w:cs="Verdana"/>
          <w:spacing w:val="-1"/>
          <w:lang w:val="en-US"/>
        </w:rPr>
        <w:t xml:space="preserve"> </w:t>
      </w:r>
      <w:r w:rsidRPr="00B62956">
        <w:rPr>
          <w:rFonts w:cs="Verdana"/>
          <w:lang w:val="en-US"/>
        </w:rPr>
        <w:t>s</w:t>
      </w:r>
      <w:r w:rsidRPr="00B62956">
        <w:rPr>
          <w:rFonts w:cs="Verdana"/>
          <w:spacing w:val="1"/>
          <w:lang w:val="en-US"/>
        </w:rPr>
        <w:t>e</w:t>
      </w:r>
      <w:r w:rsidRPr="00B62956">
        <w:rPr>
          <w:rFonts w:cs="Verdana"/>
          <w:spacing w:val="-1"/>
          <w:lang w:val="en-US"/>
        </w:rPr>
        <w:t>v</w:t>
      </w:r>
      <w:r w:rsidRPr="00B62956">
        <w:rPr>
          <w:rFonts w:cs="Verdana"/>
          <w:spacing w:val="1"/>
          <w:lang w:val="en-US"/>
        </w:rPr>
        <w:t>e</w:t>
      </w:r>
      <w:r w:rsidRPr="00B62956">
        <w:rPr>
          <w:rFonts w:cs="Verdana"/>
          <w:lang w:val="en-US"/>
        </w:rPr>
        <w:t xml:space="preserve">ral </w:t>
      </w:r>
      <w:r w:rsidRPr="00B62956">
        <w:rPr>
          <w:rFonts w:cs="Verdana"/>
          <w:spacing w:val="1"/>
          <w:lang w:val="en-US"/>
        </w:rPr>
        <w:t>ge</w:t>
      </w:r>
      <w:r w:rsidRPr="00B62956">
        <w:rPr>
          <w:rFonts w:cs="Verdana"/>
          <w:spacing w:val="-1"/>
          <w:lang w:val="en-US"/>
        </w:rPr>
        <w:t>n</w:t>
      </w:r>
      <w:r w:rsidRPr="00B62956">
        <w:rPr>
          <w:rFonts w:cs="Verdana"/>
          <w:spacing w:val="1"/>
          <w:lang w:val="en-US"/>
        </w:rPr>
        <w:t>e</w:t>
      </w:r>
      <w:r w:rsidRPr="00B62956">
        <w:rPr>
          <w:rFonts w:cs="Verdana"/>
          <w:lang w:val="en-US"/>
        </w:rPr>
        <w:t>s</w:t>
      </w:r>
      <w:r w:rsidRPr="00B62956">
        <w:rPr>
          <w:rFonts w:cs="Verdana"/>
          <w:spacing w:val="-1"/>
          <w:lang w:val="en-US"/>
        </w:rPr>
        <w:t xml:space="preserve"> f</w:t>
      </w:r>
      <w:r w:rsidRPr="00B62956">
        <w:rPr>
          <w:rFonts w:cs="Verdana"/>
          <w:spacing w:val="1"/>
          <w:lang w:val="en-US"/>
        </w:rPr>
        <w:t>o</w:t>
      </w:r>
      <w:r w:rsidRPr="00B62956">
        <w:rPr>
          <w:rFonts w:cs="Verdana"/>
          <w:lang w:val="en-US"/>
        </w:rPr>
        <w:t>r</w:t>
      </w:r>
      <w:r w:rsidRPr="00B62956">
        <w:rPr>
          <w:rFonts w:cs="Verdana"/>
          <w:spacing w:val="-1"/>
          <w:lang w:val="en-US"/>
        </w:rPr>
        <w:t xml:space="preserve"> </w:t>
      </w:r>
      <w:r w:rsidRPr="00B62956">
        <w:rPr>
          <w:rFonts w:cs="Verdana"/>
          <w:spacing w:val="1"/>
          <w:lang w:val="en-US"/>
        </w:rPr>
        <w:t>t</w:t>
      </w:r>
      <w:r w:rsidRPr="00B62956">
        <w:rPr>
          <w:rFonts w:cs="Verdana"/>
          <w:spacing w:val="-1"/>
          <w:lang w:val="en-US"/>
        </w:rPr>
        <w:t>h</w:t>
      </w:r>
      <w:r w:rsidRPr="00B62956">
        <w:rPr>
          <w:rFonts w:cs="Verdana"/>
          <w:lang w:val="en-US"/>
        </w:rPr>
        <w:t>e ma</w:t>
      </w:r>
      <w:r w:rsidRPr="00B62956">
        <w:rPr>
          <w:rFonts w:cs="Verdana"/>
          <w:spacing w:val="1"/>
          <w:lang w:val="en-US"/>
        </w:rPr>
        <w:t>i</w:t>
      </w:r>
      <w:r w:rsidRPr="00B62956">
        <w:rPr>
          <w:rFonts w:cs="Verdana"/>
          <w:spacing w:val="-1"/>
          <w:lang w:val="en-US"/>
        </w:rPr>
        <w:t>n</w:t>
      </w:r>
      <w:r w:rsidRPr="00B62956">
        <w:rPr>
          <w:rFonts w:cs="Verdana"/>
          <w:spacing w:val="1"/>
          <w:lang w:val="en-US"/>
        </w:rPr>
        <w:t>te</w:t>
      </w:r>
      <w:r w:rsidRPr="00B62956">
        <w:rPr>
          <w:rFonts w:cs="Verdana"/>
          <w:spacing w:val="-1"/>
          <w:lang w:val="en-US"/>
        </w:rPr>
        <w:t>n</w:t>
      </w:r>
      <w:r w:rsidRPr="00B62956">
        <w:rPr>
          <w:rFonts w:cs="Verdana"/>
          <w:lang w:val="en-US"/>
        </w:rPr>
        <w:t>a</w:t>
      </w:r>
      <w:r w:rsidRPr="00B62956">
        <w:rPr>
          <w:rFonts w:cs="Verdana"/>
          <w:spacing w:val="-1"/>
          <w:lang w:val="en-US"/>
        </w:rPr>
        <w:t>n</w:t>
      </w:r>
      <w:r w:rsidRPr="00B62956">
        <w:rPr>
          <w:rFonts w:cs="Verdana"/>
          <w:lang w:val="en-US"/>
        </w:rPr>
        <w:t xml:space="preserve">ce </w:t>
      </w:r>
      <w:r w:rsidRPr="00B62956">
        <w:rPr>
          <w:rFonts w:cs="Verdana"/>
          <w:spacing w:val="1"/>
          <w:lang w:val="en-US"/>
        </w:rPr>
        <w:t>o</w:t>
      </w:r>
      <w:r w:rsidRPr="00B62956">
        <w:rPr>
          <w:rFonts w:cs="Verdana"/>
          <w:lang w:val="en-US"/>
        </w:rPr>
        <w:t>f</w:t>
      </w:r>
      <w:r w:rsidRPr="00B62956">
        <w:rPr>
          <w:rFonts w:cs="Verdana"/>
          <w:spacing w:val="-2"/>
          <w:lang w:val="en-US"/>
        </w:rPr>
        <w:t xml:space="preserve"> </w:t>
      </w:r>
      <w:r w:rsidRPr="00B62956">
        <w:rPr>
          <w:rFonts w:cs="Verdana"/>
          <w:spacing w:val="1"/>
          <w:lang w:val="en-US"/>
        </w:rPr>
        <w:t>t</w:t>
      </w:r>
      <w:r w:rsidRPr="00B62956">
        <w:rPr>
          <w:rFonts w:cs="Verdana"/>
          <w:spacing w:val="-1"/>
          <w:lang w:val="en-US"/>
        </w:rPr>
        <w:t>h</w:t>
      </w:r>
      <w:r w:rsidRPr="00B62956">
        <w:rPr>
          <w:rFonts w:cs="Verdana"/>
          <w:lang w:val="en-US"/>
        </w:rPr>
        <w:t>e ma</w:t>
      </w:r>
      <w:r w:rsidRPr="00B62956">
        <w:rPr>
          <w:rFonts w:cs="Verdana"/>
          <w:spacing w:val="1"/>
          <w:lang w:val="en-US"/>
        </w:rPr>
        <w:t>lig</w:t>
      </w:r>
      <w:r w:rsidRPr="00B62956">
        <w:rPr>
          <w:rFonts w:cs="Verdana"/>
          <w:spacing w:val="-1"/>
          <w:lang w:val="en-US"/>
        </w:rPr>
        <w:t>nan</w:t>
      </w:r>
      <w:r w:rsidRPr="00B62956">
        <w:rPr>
          <w:rFonts w:cs="Verdana"/>
          <w:lang w:val="en-US"/>
        </w:rPr>
        <w:t xml:space="preserve">t </w:t>
      </w:r>
      <w:r w:rsidRPr="00B62956">
        <w:rPr>
          <w:rFonts w:cs="Verdana"/>
          <w:spacing w:val="1"/>
          <w:lang w:val="en-US"/>
        </w:rPr>
        <w:t>p</w:t>
      </w:r>
      <w:r w:rsidRPr="00B62956">
        <w:rPr>
          <w:rFonts w:cs="Verdana"/>
          <w:spacing w:val="-1"/>
          <w:lang w:val="en-US"/>
        </w:rPr>
        <w:t>h</w:t>
      </w:r>
      <w:r w:rsidRPr="00B62956">
        <w:rPr>
          <w:rFonts w:cs="Verdana"/>
          <w:spacing w:val="1"/>
          <w:lang w:val="en-US"/>
        </w:rPr>
        <w:t>e</w:t>
      </w:r>
      <w:r w:rsidRPr="00B62956">
        <w:rPr>
          <w:rFonts w:cs="Verdana"/>
          <w:spacing w:val="-1"/>
          <w:lang w:val="en-US"/>
        </w:rPr>
        <w:t>n</w:t>
      </w:r>
      <w:r w:rsidRPr="00B62956">
        <w:rPr>
          <w:rFonts w:cs="Verdana"/>
          <w:spacing w:val="1"/>
          <w:lang w:val="en-US"/>
        </w:rPr>
        <w:t>ot</w:t>
      </w:r>
      <w:r w:rsidRPr="00B62956">
        <w:rPr>
          <w:rFonts w:cs="Verdana"/>
          <w:spacing w:val="-1"/>
          <w:lang w:val="en-US"/>
        </w:rPr>
        <w:t>y</w:t>
      </w:r>
      <w:r w:rsidRPr="00B62956">
        <w:rPr>
          <w:rFonts w:cs="Verdana"/>
          <w:spacing w:val="1"/>
          <w:lang w:val="en-US"/>
        </w:rPr>
        <w:t>p</w:t>
      </w:r>
      <w:r w:rsidRPr="00B62956">
        <w:rPr>
          <w:rFonts w:cs="Verdana"/>
          <w:lang w:val="en-US"/>
        </w:rPr>
        <w:t>e a</w:t>
      </w:r>
      <w:r w:rsidRPr="00B62956">
        <w:rPr>
          <w:rFonts w:cs="Verdana"/>
          <w:spacing w:val="-1"/>
          <w:lang w:val="en-US"/>
        </w:rPr>
        <w:t>n</w:t>
      </w:r>
      <w:r w:rsidRPr="00B62956">
        <w:rPr>
          <w:rFonts w:cs="Verdana"/>
          <w:lang w:val="en-US"/>
        </w:rPr>
        <w:t xml:space="preserve">d </w:t>
      </w:r>
      <w:r w:rsidRPr="00B62956">
        <w:rPr>
          <w:rFonts w:cs="Verdana"/>
          <w:spacing w:val="1"/>
          <w:lang w:val="en-US"/>
        </w:rPr>
        <w:t>t</w:t>
      </w:r>
      <w:r w:rsidRPr="00B62956">
        <w:rPr>
          <w:rFonts w:cs="Verdana"/>
          <w:spacing w:val="-1"/>
          <w:lang w:val="en-US"/>
        </w:rPr>
        <w:t>h</w:t>
      </w:r>
      <w:r w:rsidRPr="00B62956">
        <w:rPr>
          <w:rFonts w:cs="Verdana"/>
          <w:spacing w:val="1"/>
          <w:lang w:val="en-US"/>
        </w:rPr>
        <w:t>ei</w:t>
      </w:r>
      <w:r w:rsidRPr="00B62956">
        <w:rPr>
          <w:rFonts w:cs="Verdana"/>
          <w:lang w:val="en-US"/>
        </w:rPr>
        <w:t>r</w:t>
      </w:r>
      <w:r w:rsidRPr="00B62956">
        <w:rPr>
          <w:rFonts w:cs="Verdana"/>
          <w:spacing w:val="-1"/>
          <w:lang w:val="en-US"/>
        </w:rPr>
        <w:t xml:space="preserve"> </w:t>
      </w:r>
      <w:r w:rsidRPr="00B62956">
        <w:rPr>
          <w:rFonts w:cs="Verdana"/>
          <w:lang w:val="en-US"/>
        </w:rPr>
        <w:t>s</w:t>
      </w:r>
      <w:r w:rsidRPr="00B62956">
        <w:rPr>
          <w:rFonts w:cs="Verdana"/>
          <w:spacing w:val="-1"/>
          <w:lang w:val="en-US"/>
        </w:rPr>
        <w:t>u</w:t>
      </w:r>
      <w:r w:rsidRPr="00B62956">
        <w:rPr>
          <w:rFonts w:cs="Verdana"/>
          <w:lang w:val="en-US"/>
        </w:rPr>
        <w:t>r</w:t>
      </w:r>
      <w:r w:rsidRPr="00B62956">
        <w:rPr>
          <w:rFonts w:cs="Verdana"/>
          <w:spacing w:val="-1"/>
          <w:lang w:val="en-US"/>
        </w:rPr>
        <w:t>v</w:t>
      </w:r>
      <w:r w:rsidRPr="00B62956">
        <w:rPr>
          <w:rFonts w:cs="Verdana"/>
          <w:spacing w:val="1"/>
          <w:lang w:val="en-US"/>
        </w:rPr>
        <w:t>i</w:t>
      </w:r>
      <w:r w:rsidRPr="00B62956">
        <w:rPr>
          <w:rFonts w:cs="Verdana"/>
          <w:spacing w:val="-1"/>
          <w:lang w:val="en-US"/>
        </w:rPr>
        <w:t>v</w:t>
      </w:r>
      <w:r w:rsidRPr="00B62956">
        <w:rPr>
          <w:rFonts w:cs="Verdana"/>
          <w:lang w:val="en-US"/>
        </w:rPr>
        <w:t>al.</w:t>
      </w:r>
      <w:bookmarkStart w:id="72" w:name="_Ref500766135"/>
      <w:r w:rsidR="005A7404">
        <w:rPr>
          <w:rStyle w:val="FootnoteReference"/>
          <w:rFonts w:cs="Verdana"/>
          <w:lang w:val="en-US"/>
        </w:rPr>
        <w:footnoteReference w:id="26"/>
      </w:r>
      <w:bookmarkEnd w:id="72"/>
      <w:r w:rsidRPr="00B62956">
        <w:rPr>
          <w:rFonts w:cs="Verdana"/>
          <w:spacing w:val="-1"/>
          <w:lang w:val="en-US"/>
        </w:rPr>
        <w:t xml:space="preserve"> S</w:t>
      </w:r>
      <w:r w:rsidRPr="00B62956">
        <w:rPr>
          <w:rFonts w:cs="Verdana"/>
          <w:spacing w:val="1"/>
          <w:lang w:val="en-US"/>
        </w:rPr>
        <w:t>e</w:t>
      </w:r>
      <w:r w:rsidRPr="00B62956">
        <w:rPr>
          <w:rFonts w:cs="Verdana"/>
          <w:spacing w:val="-1"/>
          <w:lang w:val="en-US"/>
        </w:rPr>
        <w:t>v</w:t>
      </w:r>
      <w:r w:rsidRPr="00B62956">
        <w:rPr>
          <w:rFonts w:cs="Verdana"/>
          <w:spacing w:val="1"/>
          <w:lang w:val="en-US"/>
        </w:rPr>
        <w:t>e</w:t>
      </w:r>
      <w:r w:rsidRPr="00B62956">
        <w:rPr>
          <w:rFonts w:cs="Verdana"/>
          <w:lang w:val="en-US"/>
        </w:rPr>
        <w:t>ral m</w:t>
      </w:r>
      <w:r w:rsidRPr="00B62956">
        <w:rPr>
          <w:rFonts w:cs="Verdana"/>
          <w:spacing w:val="1"/>
          <w:lang w:val="en-US"/>
        </w:rPr>
        <w:t>ole</w:t>
      </w:r>
      <w:r w:rsidRPr="00B62956">
        <w:rPr>
          <w:rFonts w:cs="Verdana"/>
          <w:lang w:val="en-US"/>
        </w:rPr>
        <w:t>c</w:t>
      </w:r>
      <w:r w:rsidRPr="00B62956">
        <w:rPr>
          <w:rFonts w:cs="Verdana"/>
          <w:spacing w:val="-1"/>
          <w:lang w:val="en-US"/>
        </w:rPr>
        <w:t>u</w:t>
      </w:r>
      <w:r w:rsidRPr="00B62956">
        <w:rPr>
          <w:rFonts w:cs="Verdana"/>
          <w:spacing w:val="1"/>
          <w:lang w:val="en-US"/>
        </w:rPr>
        <w:t>l</w:t>
      </w:r>
      <w:r w:rsidRPr="00B62956">
        <w:rPr>
          <w:rFonts w:cs="Verdana"/>
          <w:lang w:val="en-US"/>
        </w:rPr>
        <w:t>ar a</w:t>
      </w:r>
      <w:r w:rsidRPr="00B62956">
        <w:rPr>
          <w:rFonts w:cs="Verdana"/>
          <w:spacing w:val="1"/>
          <w:lang w:val="en-US"/>
        </w:rPr>
        <w:t>be</w:t>
      </w:r>
      <w:r w:rsidRPr="00B62956">
        <w:rPr>
          <w:rFonts w:cs="Verdana"/>
          <w:lang w:val="en-US"/>
        </w:rPr>
        <w:t>rra</w:t>
      </w:r>
      <w:r w:rsidRPr="00B62956">
        <w:rPr>
          <w:rFonts w:cs="Verdana"/>
          <w:spacing w:val="1"/>
          <w:lang w:val="en-US"/>
        </w:rPr>
        <w:t>t</w:t>
      </w:r>
      <w:r w:rsidRPr="00B62956">
        <w:rPr>
          <w:rFonts w:cs="Verdana"/>
          <w:spacing w:val="-1"/>
          <w:lang w:val="en-US"/>
        </w:rPr>
        <w:t>i</w:t>
      </w:r>
      <w:r w:rsidRPr="00B62956">
        <w:rPr>
          <w:rFonts w:cs="Verdana"/>
          <w:spacing w:val="1"/>
          <w:lang w:val="en-US"/>
        </w:rPr>
        <w:t>o</w:t>
      </w:r>
      <w:r w:rsidRPr="00B62956">
        <w:rPr>
          <w:rFonts w:cs="Verdana"/>
          <w:spacing w:val="-1"/>
          <w:lang w:val="en-US"/>
        </w:rPr>
        <w:t>n</w:t>
      </w:r>
      <w:r w:rsidRPr="00B62956">
        <w:rPr>
          <w:rFonts w:cs="Verdana"/>
          <w:lang w:val="en-US"/>
        </w:rPr>
        <w:t>s</w:t>
      </w:r>
      <w:r w:rsidRPr="00B62956">
        <w:rPr>
          <w:rFonts w:cs="Verdana"/>
          <w:spacing w:val="-1"/>
          <w:lang w:val="en-US"/>
        </w:rPr>
        <w:t xml:space="preserve"> h</w:t>
      </w:r>
      <w:r w:rsidRPr="00B62956">
        <w:rPr>
          <w:rFonts w:cs="Verdana"/>
          <w:lang w:val="en-US"/>
        </w:rPr>
        <w:t>a</w:t>
      </w:r>
      <w:r w:rsidRPr="00B62956">
        <w:rPr>
          <w:rFonts w:cs="Verdana"/>
          <w:spacing w:val="-1"/>
          <w:lang w:val="en-US"/>
        </w:rPr>
        <w:t>v</w:t>
      </w:r>
      <w:r w:rsidRPr="00B62956">
        <w:rPr>
          <w:rFonts w:cs="Verdana"/>
          <w:lang w:val="en-US"/>
        </w:rPr>
        <w:t xml:space="preserve">e </w:t>
      </w:r>
      <w:r w:rsidRPr="00B62956">
        <w:rPr>
          <w:rFonts w:cs="Verdana"/>
          <w:spacing w:val="1"/>
          <w:lang w:val="en-US"/>
        </w:rPr>
        <w:t>bee</w:t>
      </w:r>
      <w:r w:rsidRPr="00B62956">
        <w:rPr>
          <w:rFonts w:cs="Verdana"/>
          <w:lang w:val="en-US"/>
        </w:rPr>
        <w:t>n</w:t>
      </w:r>
      <w:r w:rsidRPr="00B62956">
        <w:rPr>
          <w:rFonts w:cs="Verdana"/>
          <w:spacing w:val="-2"/>
          <w:lang w:val="en-US"/>
        </w:rPr>
        <w:t xml:space="preserve"> </w:t>
      </w:r>
      <w:r w:rsidRPr="00B62956">
        <w:rPr>
          <w:rFonts w:cs="Verdana"/>
          <w:spacing w:val="1"/>
          <w:lang w:val="en-US"/>
        </w:rPr>
        <w:t>ide</w:t>
      </w:r>
      <w:r w:rsidRPr="00B62956">
        <w:rPr>
          <w:rFonts w:cs="Verdana"/>
          <w:spacing w:val="-1"/>
          <w:lang w:val="en-US"/>
        </w:rPr>
        <w:t>n</w:t>
      </w:r>
      <w:r w:rsidRPr="00B62956">
        <w:rPr>
          <w:rFonts w:cs="Verdana"/>
          <w:spacing w:val="1"/>
          <w:lang w:val="en-US"/>
        </w:rPr>
        <w:t>ti</w:t>
      </w:r>
      <w:r w:rsidRPr="00B62956">
        <w:rPr>
          <w:rFonts w:cs="Verdana"/>
          <w:spacing w:val="-1"/>
          <w:lang w:val="en-US"/>
        </w:rPr>
        <w:t>f</w:t>
      </w:r>
      <w:r w:rsidRPr="00B62956">
        <w:rPr>
          <w:rFonts w:cs="Verdana"/>
          <w:spacing w:val="1"/>
          <w:lang w:val="en-US"/>
        </w:rPr>
        <w:t>ie</w:t>
      </w:r>
      <w:r w:rsidRPr="00B62956">
        <w:rPr>
          <w:rFonts w:cs="Verdana"/>
          <w:lang w:val="en-US"/>
        </w:rPr>
        <w:t xml:space="preserve">d </w:t>
      </w:r>
      <w:r w:rsidRPr="00B62956">
        <w:rPr>
          <w:rFonts w:cs="Verdana"/>
          <w:spacing w:val="1"/>
          <w:lang w:val="en-US"/>
        </w:rPr>
        <w:t>i</w:t>
      </w:r>
      <w:r w:rsidRPr="00B62956">
        <w:rPr>
          <w:rFonts w:cs="Verdana"/>
          <w:lang w:val="en-US"/>
        </w:rPr>
        <w:t>n</w:t>
      </w:r>
      <w:r w:rsidRPr="00B62956">
        <w:rPr>
          <w:rFonts w:cs="Verdana"/>
          <w:spacing w:val="-2"/>
          <w:lang w:val="en-US"/>
        </w:rPr>
        <w:t xml:space="preserve"> </w:t>
      </w:r>
      <w:r w:rsidRPr="00B62956">
        <w:rPr>
          <w:rFonts w:cs="Verdana"/>
          <w:lang w:val="en-US"/>
        </w:rPr>
        <w:t>N</w:t>
      </w:r>
      <w:r w:rsidRPr="00B62956">
        <w:rPr>
          <w:rFonts w:cs="Verdana"/>
          <w:spacing w:val="-1"/>
          <w:lang w:val="en-US"/>
        </w:rPr>
        <w:t>SC</w:t>
      </w:r>
      <w:r w:rsidRPr="00B62956">
        <w:rPr>
          <w:rFonts w:cs="Verdana"/>
          <w:spacing w:val="1"/>
          <w:lang w:val="en-US"/>
        </w:rPr>
        <w:t>L</w:t>
      </w:r>
      <w:r w:rsidRPr="00B62956">
        <w:rPr>
          <w:rFonts w:cs="Verdana"/>
          <w:spacing w:val="-1"/>
          <w:lang w:val="en-US"/>
        </w:rPr>
        <w:t>C</w:t>
      </w:r>
      <w:r w:rsidRPr="00B62956">
        <w:rPr>
          <w:rFonts w:cs="Verdana"/>
          <w:lang w:val="en-US"/>
        </w:rPr>
        <w:t>,</w:t>
      </w:r>
      <w:r w:rsidRPr="00B62956">
        <w:rPr>
          <w:rFonts w:cs="Verdana"/>
          <w:spacing w:val="1"/>
          <w:lang w:val="en-US"/>
        </w:rPr>
        <w:t xml:space="preserve"> </w:t>
      </w:r>
      <w:r w:rsidRPr="00B62956">
        <w:rPr>
          <w:rFonts w:cs="Verdana"/>
          <w:spacing w:val="-1"/>
          <w:lang w:val="en-US"/>
        </w:rPr>
        <w:t>w</w:t>
      </w:r>
      <w:r w:rsidRPr="00B62956">
        <w:rPr>
          <w:rFonts w:cs="Verdana"/>
          <w:spacing w:val="1"/>
          <w:lang w:val="en-US"/>
        </w:rPr>
        <w:t>it</w:t>
      </w:r>
      <w:r w:rsidRPr="00B62956">
        <w:rPr>
          <w:rFonts w:cs="Verdana"/>
          <w:lang w:val="en-US"/>
        </w:rPr>
        <w:t>h</w:t>
      </w:r>
      <w:r w:rsidRPr="00B62956">
        <w:rPr>
          <w:rFonts w:cs="Verdana"/>
          <w:spacing w:val="-2"/>
          <w:lang w:val="en-US"/>
        </w:rPr>
        <w:t xml:space="preserve"> </w:t>
      </w:r>
      <w:r w:rsidRPr="00B62956">
        <w:rPr>
          <w:rFonts w:cs="Verdana"/>
          <w:lang w:val="en-US"/>
        </w:rPr>
        <w:t>s</w:t>
      </w:r>
      <w:r w:rsidRPr="00B62956">
        <w:rPr>
          <w:rFonts w:cs="Verdana"/>
          <w:spacing w:val="-1"/>
          <w:lang w:val="en-US"/>
        </w:rPr>
        <w:t>u</w:t>
      </w:r>
      <w:r w:rsidRPr="00B62956">
        <w:rPr>
          <w:rFonts w:cs="Verdana"/>
          <w:spacing w:val="1"/>
          <w:lang w:val="en-US"/>
        </w:rPr>
        <w:t>b</w:t>
      </w:r>
      <w:r w:rsidRPr="00B62956">
        <w:rPr>
          <w:rFonts w:cs="Verdana"/>
          <w:spacing w:val="2"/>
          <w:lang w:val="en-US"/>
        </w:rPr>
        <w:t>s</w:t>
      </w:r>
      <w:r w:rsidRPr="00B62956">
        <w:rPr>
          <w:rFonts w:cs="Verdana"/>
          <w:spacing w:val="1"/>
          <w:lang w:val="en-US"/>
        </w:rPr>
        <w:t>eq</w:t>
      </w:r>
      <w:r w:rsidRPr="00B62956">
        <w:rPr>
          <w:rFonts w:cs="Verdana"/>
          <w:spacing w:val="-1"/>
          <w:lang w:val="en-US"/>
        </w:rPr>
        <w:t>u</w:t>
      </w:r>
      <w:r w:rsidRPr="00B62956">
        <w:rPr>
          <w:rFonts w:cs="Verdana"/>
          <w:spacing w:val="1"/>
          <w:lang w:val="en-US"/>
        </w:rPr>
        <w:t>e</w:t>
      </w:r>
      <w:r w:rsidRPr="00B62956">
        <w:rPr>
          <w:rFonts w:cs="Verdana"/>
          <w:spacing w:val="-1"/>
          <w:lang w:val="en-US"/>
        </w:rPr>
        <w:t>n</w:t>
      </w:r>
      <w:r w:rsidRPr="00B62956">
        <w:rPr>
          <w:rFonts w:cs="Verdana"/>
          <w:lang w:val="en-US"/>
        </w:rPr>
        <w:t xml:space="preserve">t </w:t>
      </w:r>
      <w:r w:rsidRPr="00B62956">
        <w:rPr>
          <w:rFonts w:cs="Verdana"/>
          <w:spacing w:val="1"/>
          <w:lang w:val="en-US"/>
        </w:rPr>
        <w:t>de</w:t>
      </w:r>
      <w:r w:rsidRPr="00B62956">
        <w:rPr>
          <w:rFonts w:cs="Verdana"/>
          <w:spacing w:val="-1"/>
          <w:lang w:val="en-US"/>
        </w:rPr>
        <w:t>v</w:t>
      </w:r>
      <w:r w:rsidRPr="00B62956">
        <w:rPr>
          <w:rFonts w:cs="Verdana"/>
          <w:spacing w:val="1"/>
          <w:lang w:val="en-US"/>
        </w:rPr>
        <w:t>el</w:t>
      </w:r>
      <w:r w:rsidRPr="00B62956">
        <w:rPr>
          <w:rFonts w:cs="Verdana"/>
          <w:spacing w:val="-1"/>
          <w:lang w:val="en-US"/>
        </w:rPr>
        <w:t>o</w:t>
      </w:r>
      <w:r w:rsidRPr="00B62956">
        <w:rPr>
          <w:rFonts w:cs="Verdana"/>
          <w:spacing w:val="1"/>
          <w:lang w:val="en-US"/>
        </w:rPr>
        <w:t>p</w:t>
      </w:r>
      <w:r w:rsidRPr="00B62956">
        <w:rPr>
          <w:rFonts w:cs="Verdana"/>
          <w:lang w:val="en-US"/>
        </w:rPr>
        <w:t>m</w:t>
      </w:r>
      <w:r w:rsidRPr="00B62956">
        <w:rPr>
          <w:rFonts w:cs="Verdana"/>
          <w:spacing w:val="1"/>
          <w:lang w:val="en-US"/>
        </w:rPr>
        <w:t>e</w:t>
      </w:r>
      <w:r w:rsidRPr="00B62956">
        <w:rPr>
          <w:rFonts w:cs="Verdana"/>
          <w:spacing w:val="-1"/>
          <w:lang w:val="en-US"/>
        </w:rPr>
        <w:t>n</w:t>
      </w:r>
      <w:r w:rsidRPr="00B62956">
        <w:rPr>
          <w:rFonts w:cs="Verdana"/>
          <w:lang w:val="en-US"/>
        </w:rPr>
        <w:t xml:space="preserve">t </w:t>
      </w:r>
      <w:r w:rsidRPr="00B62956">
        <w:rPr>
          <w:rFonts w:cs="Verdana"/>
          <w:spacing w:val="1"/>
          <w:lang w:val="en-US"/>
        </w:rPr>
        <w:t>o</w:t>
      </w:r>
      <w:r w:rsidRPr="00B62956">
        <w:rPr>
          <w:rFonts w:cs="Verdana"/>
          <w:lang w:val="en-US"/>
        </w:rPr>
        <w:t>f</w:t>
      </w:r>
      <w:r w:rsidRPr="00B62956">
        <w:rPr>
          <w:rFonts w:cs="Verdana"/>
          <w:spacing w:val="-2"/>
          <w:lang w:val="en-US"/>
        </w:rPr>
        <w:t xml:space="preserve"> </w:t>
      </w:r>
      <w:r w:rsidRPr="00B62956">
        <w:rPr>
          <w:rFonts w:cs="Verdana"/>
          <w:spacing w:val="1"/>
          <w:lang w:val="en-US"/>
        </w:rPr>
        <w:t>d</w:t>
      </w:r>
      <w:r w:rsidRPr="00B62956">
        <w:rPr>
          <w:rFonts w:cs="Verdana"/>
          <w:spacing w:val="-3"/>
          <w:lang w:val="en-US"/>
        </w:rPr>
        <w:t>r</w:t>
      </w:r>
      <w:r w:rsidRPr="00B62956">
        <w:rPr>
          <w:rFonts w:cs="Verdana"/>
          <w:spacing w:val="-1"/>
          <w:lang w:val="en-US"/>
        </w:rPr>
        <w:t>u</w:t>
      </w:r>
      <w:r w:rsidRPr="00B62956">
        <w:rPr>
          <w:rFonts w:cs="Verdana"/>
          <w:spacing w:val="1"/>
          <w:lang w:val="en-US"/>
        </w:rPr>
        <w:t>g</w:t>
      </w:r>
      <w:r w:rsidRPr="00B62956">
        <w:rPr>
          <w:rFonts w:cs="Verdana"/>
          <w:lang w:val="en-US"/>
        </w:rPr>
        <w:t>s</w:t>
      </w:r>
      <w:r w:rsidRPr="00B62956">
        <w:rPr>
          <w:rFonts w:cs="Verdana"/>
          <w:spacing w:val="-1"/>
          <w:lang w:val="en-US"/>
        </w:rPr>
        <w:t xml:space="preserve"> </w:t>
      </w:r>
      <w:r w:rsidRPr="00B62956">
        <w:rPr>
          <w:rFonts w:cs="Verdana"/>
          <w:spacing w:val="1"/>
          <w:lang w:val="en-US"/>
        </w:rPr>
        <w:t>t</w:t>
      </w:r>
      <w:r w:rsidRPr="00B62956">
        <w:rPr>
          <w:rFonts w:cs="Verdana"/>
          <w:spacing w:val="-1"/>
          <w:lang w:val="en-US"/>
        </w:rPr>
        <w:t>h</w:t>
      </w:r>
      <w:r w:rsidRPr="00B62956">
        <w:rPr>
          <w:rFonts w:cs="Verdana"/>
          <w:lang w:val="en-US"/>
        </w:rPr>
        <w:t xml:space="preserve">at </w:t>
      </w:r>
      <w:r w:rsidRPr="00B62956">
        <w:rPr>
          <w:rFonts w:cs="Verdana"/>
          <w:spacing w:val="1"/>
          <w:lang w:val="en-US"/>
        </w:rPr>
        <w:t>t</w:t>
      </w:r>
      <w:r w:rsidRPr="00B62956">
        <w:rPr>
          <w:rFonts w:cs="Verdana"/>
          <w:lang w:val="en-US"/>
        </w:rPr>
        <w:t>ar</w:t>
      </w:r>
      <w:r w:rsidRPr="00B62956">
        <w:rPr>
          <w:rFonts w:cs="Verdana"/>
          <w:spacing w:val="1"/>
          <w:lang w:val="en-US"/>
        </w:rPr>
        <w:t>ge</w:t>
      </w:r>
      <w:r w:rsidRPr="00B62956">
        <w:rPr>
          <w:rFonts w:cs="Verdana"/>
          <w:lang w:val="en-US"/>
        </w:rPr>
        <w:t xml:space="preserve">t </w:t>
      </w:r>
      <w:r w:rsidRPr="00B62956">
        <w:rPr>
          <w:rFonts w:cs="Verdana"/>
          <w:spacing w:val="1"/>
          <w:lang w:val="en-US"/>
        </w:rPr>
        <w:t>t</w:t>
      </w:r>
      <w:r w:rsidRPr="00B62956">
        <w:rPr>
          <w:rFonts w:cs="Verdana"/>
          <w:spacing w:val="-1"/>
          <w:lang w:val="en-US"/>
        </w:rPr>
        <w:t>h</w:t>
      </w:r>
      <w:r w:rsidRPr="00B62956">
        <w:rPr>
          <w:rFonts w:cs="Verdana"/>
          <w:spacing w:val="1"/>
          <w:lang w:val="en-US"/>
        </w:rPr>
        <w:t>e</w:t>
      </w:r>
      <w:r w:rsidRPr="00B62956">
        <w:rPr>
          <w:rFonts w:cs="Verdana"/>
          <w:lang w:val="en-US"/>
        </w:rPr>
        <w:t>se a</w:t>
      </w:r>
      <w:r w:rsidRPr="00B62956">
        <w:rPr>
          <w:rFonts w:cs="Verdana"/>
          <w:spacing w:val="1"/>
          <w:lang w:val="en-US"/>
        </w:rPr>
        <w:t>be</w:t>
      </w:r>
      <w:r w:rsidRPr="00B62956">
        <w:rPr>
          <w:rFonts w:cs="Verdana"/>
          <w:lang w:val="en-US"/>
        </w:rPr>
        <w:t>rra</w:t>
      </w:r>
      <w:r w:rsidRPr="00B62956">
        <w:rPr>
          <w:rFonts w:cs="Verdana"/>
          <w:spacing w:val="1"/>
          <w:lang w:val="en-US"/>
        </w:rPr>
        <w:t>t</w:t>
      </w:r>
      <w:r w:rsidRPr="00B62956">
        <w:rPr>
          <w:rFonts w:cs="Verdana"/>
          <w:spacing w:val="-1"/>
          <w:lang w:val="en-US"/>
        </w:rPr>
        <w:t>i</w:t>
      </w:r>
      <w:r w:rsidRPr="00B62956">
        <w:rPr>
          <w:rFonts w:cs="Verdana"/>
          <w:spacing w:val="1"/>
          <w:lang w:val="en-US"/>
        </w:rPr>
        <w:t>o</w:t>
      </w:r>
      <w:r w:rsidRPr="00B62956">
        <w:rPr>
          <w:rFonts w:cs="Verdana"/>
          <w:spacing w:val="-1"/>
          <w:lang w:val="en-US"/>
        </w:rPr>
        <w:t>n</w:t>
      </w:r>
      <w:r w:rsidRPr="00B62956">
        <w:rPr>
          <w:rFonts w:cs="Verdana"/>
          <w:lang w:val="en-US"/>
        </w:rPr>
        <w:t>s.</w:t>
      </w:r>
      <w:r w:rsidRPr="00B62956">
        <w:rPr>
          <w:rFonts w:cs="Verdana"/>
          <w:spacing w:val="-1"/>
          <w:lang w:val="en-US"/>
        </w:rPr>
        <w:t xml:space="preserve"> </w:t>
      </w:r>
      <w:r w:rsidRPr="00B62956">
        <w:rPr>
          <w:rFonts w:cs="Verdana"/>
          <w:lang w:val="en-US"/>
        </w:rPr>
        <w:t>G</w:t>
      </w:r>
      <w:r w:rsidRPr="00B62956">
        <w:rPr>
          <w:rFonts w:cs="Verdana"/>
          <w:spacing w:val="1"/>
          <w:lang w:val="en-US"/>
        </w:rPr>
        <w:t>e</w:t>
      </w:r>
      <w:r w:rsidRPr="00B62956">
        <w:rPr>
          <w:rFonts w:cs="Verdana"/>
          <w:spacing w:val="-1"/>
          <w:lang w:val="en-US"/>
        </w:rPr>
        <w:t>f</w:t>
      </w:r>
      <w:r w:rsidRPr="00B62956">
        <w:rPr>
          <w:rFonts w:cs="Verdana"/>
          <w:spacing w:val="1"/>
          <w:lang w:val="en-US"/>
        </w:rPr>
        <w:t>iti</w:t>
      </w:r>
      <w:r w:rsidRPr="00B62956">
        <w:rPr>
          <w:rFonts w:cs="Verdana"/>
          <w:spacing w:val="-1"/>
          <w:lang w:val="en-US"/>
        </w:rPr>
        <w:t>n</w:t>
      </w:r>
      <w:r w:rsidRPr="00B62956">
        <w:rPr>
          <w:rFonts w:cs="Verdana"/>
          <w:spacing w:val="1"/>
          <w:lang w:val="en-US"/>
        </w:rPr>
        <w:t>ib</w:t>
      </w:r>
      <w:r w:rsidRPr="00B62956">
        <w:rPr>
          <w:rFonts w:cs="Verdana"/>
          <w:lang w:val="en-US"/>
        </w:rPr>
        <w:t>,</w:t>
      </w:r>
      <w:r w:rsidRPr="00B62956">
        <w:rPr>
          <w:rFonts w:cs="Verdana"/>
          <w:spacing w:val="-1"/>
          <w:lang w:val="en-US"/>
        </w:rPr>
        <w:t xml:space="preserve"> </w:t>
      </w:r>
      <w:r>
        <w:rPr>
          <w:rFonts w:cs="Verdana"/>
          <w:spacing w:val="-1"/>
          <w:lang w:val="en-US"/>
        </w:rPr>
        <w:t xml:space="preserve">erlotinib and </w:t>
      </w:r>
      <w:r>
        <w:rPr>
          <w:rFonts w:cs="Verdana"/>
          <w:spacing w:val="1"/>
          <w:lang w:val="en-US"/>
        </w:rPr>
        <w:t>afatinib</w:t>
      </w:r>
      <w:r w:rsidRPr="00B62956">
        <w:rPr>
          <w:rFonts w:cs="Verdana"/>
          <w:lang w:val="en-US"/>
        </w:rPr>
        <w:t xml:space="preserve"> </w:t>
      </w:r>
      <w:r w:rsidRPr="00B62956">
        <w:rPr>
          <w:rFonts w:cs="Verdana"/>
          <w:spacing w:val="-1"/>
          <w:lang w:val="en-US"/>
        </w:rPr>
        <w:t>f</w:t>
      </w:r>
      <w:r w:rsidRPr="00B62956">
        <w:rPr>
          <w:rFonts w:cs="Verdana"/>
          <w:spacing w:val="1"/>
          <w:lang w:val="en-US"/>
        </w:rPr>
        <w:t>o</w:t>
      </w:r>
      <w:r w:rsidRPr="00B62956">
        <w:rPr>
          <w:rFonts w:cs="Verdana"/>
          <w:lang w:val="en-US"/>
        </w:rPr>
        <w:t>r</w:t>
      </w:r>
      <w:r w:rsidRPr="00B62956">
        <w:rPr>
          <w:rFonts w:cs="Verdana"/>
          <w:spacing w:val="-1"/>
          <w:lang w:val="en-US"/>
        </w:rPr>
        <w:t xml:space="preserve"> </w:t>
      </w:r>
      <w:r w:rsidRPr="00B62956">
        <w:rPr>
          <w:rFonts w:cs="Verdana"/>
          <w:spacing w:val="1"/>
          <w:lang w:val="en-US"/>
        </w:rPr>
        <w:t>t</w:t>
      </w:r>
      <w:r w:rsidRPr="00B62956">
        <w:rPr>
          <w:rFonts w:cs="Verdana"/>
          <w:spacing w:val="-1"/>
          <w:lang w:val="en-US"/>
        </w:rPr>
        <w:t>h</w:t>
      </w:r>
      <w:r w:rsidRPr="00B62956">
        <w:rPr>
          <w:rFonts w:cs="Verdana"/>
          <w:lang w:val="en-US"/>
        </w:rPr>
        <w:t xml:space="preserve">e </w:t>
      </w:r>
      <w:r w:rsidRPr="00B62956">
        <w:rPr>
          <w:rFonts w:cs="Verdana"/>
          <w:spacing w:val="1"/>
          <w:lang w:val="en-US"/>
        </w:rPr>
        <w:t>t</w:t>
      </w:r>
      <w:r w:rsidRPr="00B62956">
        <w:rPr>
          <w:rFonts w:cs="Verdana"/>
          <w:lang w:val="en-US"/>
        </w:rPr>
        <w:t>r</w:t>
      </w:r>
      <w:r w:rsidRPr="00B62956">
        <w:rPr>
          <w:rFonts w:cs="Verdana"/>
          <w:spacing w:val="1"/>
          <w:lang w:val="en-US"/>
        </w:rPr>
        <w:t>e</w:t>
      </w:r>
      <w:r w:rsidRPr="00B62956">
        <w:rPr>
          <w:rFonts w:cs="Verdana"/>
          <w:lang w:val="en-US"/>
        </w:rPr>
        <w:t>a</w:t>
      </w:r>
      <w:r w:rsidRPr="00B62956">
        <w:rPr>
          <w:rFonts w:cs="Verdana"/>
          <w:spacing w:val="1"/>
          <w:lang w:val="en-US"/>
        </w:rPr>
        <w:t>t</w:t>
      </w:r>
      <w:r w:rsidRPr="00B62956">
        <w:rPr>
          <w:rFonts w:cs="Verdana"/>
          <w:lang w:val="en-US"/>
        </w:rPr>
        <w:t>m</w:t>
      </w:r>
      <w:r w:rsidRPr="00B62956">
        <w:rPr>
          <w:rFonts w:cs="Verdana"/>
          <w:spacing w:val="1"/>
          <w:lang w:val="en-US"/>
        </w:rPr>
        <w:t>e</w:t>
      </w:r>
      <w:r w:rsidRPr="00B62956">
        <w:rPr>
          <w:rFonts w:cs="Verdana"/>
          <w:spacing w:val="-1"/>
          <w:lang w:val="en-US"/>
        </w:rPr>
        <w:t>n</w:t>
      </w:r>
      <w:r w:rsidRPr="00B62956">
        <w:rPr>
          <w:rFonts w:cs="Verdana"/>
          <w:lang w:val="en-US"/>
        </w:rPr>
        <w:t xml:space="preserve">t </w:t>
      </w:r>
      <w:r w:rsidRPr="00B62956">
        <w:rPr>
          <w:rFonts w:cs="Verdana"/>
          <w:spacing w:val="1"/>
          <w:lang w:val="en-US"/>
        </w:rPr>
        <w:t>o</w:t>
      </w:r>
      <w:r w:rsidRPr="00B62956">
        <w:rPr>
          <w:rFonts w:cs="Verdana"/>
          <w:lang w:val="en-US"/>
        </w:rPr>
        <w:t>f</w:t>
      </w:r>
      <w:r w:rsidRPr="00B62956">
        <w:rPr>
          <w:rFonts w:cs="Verdana"/>
          <w:spacing w:val="-2"/>
          <w:lang w:val="en-US"/>
        </w:rPr>
        <w:t xml:space="preserve"> </w:t>
      </w:r>
      <w:r w:rsidRPr="00B62956">
        <w:rPr>
          <w:rFonts w:cs="Verdana"/>
          <w:lang w:val="en-US"/>
        </w:rPr>
        <w:t>N</w:t>
      </w:r>
      <w:r w:rsidRPr="00B62956">
        <w:rPr>
          <w:rFonts w:cs="Verdana"/>
          <w:spacing w:val="-1"/>
          <w:lang w:val="en-US"/>
        </w:rPr>
        <w:t>SC</w:t>
      </w:r>
      <w:r w:rsidRPr="00B62956">
        <w:rPr>
          <w:rFonts w:cs="Verdana"/>
          <w:spacing w:val="1"/>
          <w:lang w:val="en-US"/>
        </w:rPr>
        <w:t>L</w:t>
      </w:r>
      <w:r w:rsidRPr="00B62956">
        <w:rPr>
          <w:rFonts w:cs="Verdana"/>
          <w:lang w:val="en-US"/>
        </w:rPr>
        <w:t>C</w:t>
      </w:r>
      <w:r w:rsidRPr="00B62956">
        <w:rPr>
          <w:rFonts w:cs="Verdana"/>
          <w:spacing w:val="-2"/>
          <w:lang w:val="en-US"/>
        </w:rPr>
        <w:t xml:space="preserve"> </w:t>
      </w:r>
      <w:r w:rsidRPr="00B62956">
        <w:rPr>
          <w:rFonts w:cs="Verdana"/>
          <w:spacing w:val="-1"/>
          <w:lang w:val="en-US"/>
        </w:rPr>
        <w:t>h</w:t>
      </w:r>
      <w:r w:rsidRPr="00B62956">
        <w:rPr>
          <w:rFonts w:cs="Verdana"/>
          <w:lang w:val="en-US"/>
        </w:rPr>
        <w:t>ar</w:t>
      </w:r>
      <w:r w:rsidRPr="00B62956">
        <w:rPr>
          <w:rFonts w:cs="Verdana"/>
          <w:spacing w:val="1"/>
          <w:lang w:val="en-US"/>
        </w:rPr>
        <w:t>bo</w:t>
      </w:r>
      <w:r w:rsidRPr="00B62956">
        <w:rPr>
          <w:rFonts w:cs="Verdana"/>
          <w:spacing w:val="-1"/>
          <w:lang w:val="en-US"/>
        </w:rPr>
        <w:t>u</w:t>
      </w:r>
      <w:r w:rsidRPr="00B62956">
        <w:rPr>
          <w:rFonts w:cs="Verdana"/>
          <w:spacing w:val="2"/>
          <w:lang w:val="en-US"/>
        </w:rPr>
        <w:t>r</w:t>
      </w:r>
      <w:r w:rsidRPr="00B62956">
        <w:rPr>
          <w:rFonts w:cs="Verdana"/>
          <w:spacing w:val="1"/>
          <w:lang w:val="en-US"/>
        </w:rPr>
        <w:t>i</w:t>
      </w:r>
      <w:r w:rsidRPr="00B62956">
        <w:rPr>
          <w:rFonts w:cs="Verdana"/>
          <w:spacing w:val="-1"/>
          <w:lang w:val="en-US"/>
        </w:rPr>
        <w:t>n</w:t>
      </w:r>
      <w:r w:rsidRPr="00B62956">
        <w:rPr>
          <w:rFonts w:cs="Verdana"/>
          <w:lang w:val="en-US"/>
        </w:rPr>
        <w:t xml:space="preserve">g </w:t>
      </w:r>
      <w:r w:rsidRPr="00B62956">
        <w:rPr>
          <w:rFonts w:cs="Verdana"/>
          <w:spacing w:val="1"/>
          <w:lang w:val="en-US"/>
        </w:rPr>
        <w:t>epide</w:t>
      </w:r>
      <w:r w:rsidRPr="00B62956">
        <w:rPr>
          <w:rFonts w:cs="Verdana"/>
          <w:lang w:val="en-US"/>
        </w:rPr>
        <w:t>rm</w:t>
      </w:r>
      <w:r w:rsidRPr="00B62956">
        <w:rPr>
          <w:rFonts w:cs="Verdana"/>
          <w:spacing w:val="-3"/>
          <w:lang w:val="en-US"/>
        </w:rPr>
        <w:t>a</w:t>
      </w:r>
      <w:r w:rsidRPr="00B62956">
        <w:rPr>
          <w:rFonts w:cs="Verdana"/>
          <w:lang w:val="en-US"/>
        </w:rPr>
        <w:t xml:space="preserve">l </w:t>
      </w:r>
      <w:r w:rsidRPr="00B62956">
        <w:rPr>
          <w:rFonts w:cs="Verdana"/>
          <w:spacing w:val="1"/>
          <w:lang w:val="en-US"/>
        </w:rPr>
        <w:t>g</w:t>
      </w:r>
      <w:r w:rsidRPr="00B62956">
        <w:rPr>
          <w:rFonts w:cs="Verdana"/>
          <w:spacing w:val="-2"/>
          <w:lang w:val="en-US"/>
        </w:rPr>
        <w:t>r</w:t>
      </w:r>
      <w:r w:rsidRPr="00B62956">
        <w:rPr>
          <w:rFonts w:cs="Verdana"/>
          <w:spacing w:val="1"/>
          <w:lang w:val="en-US"/>
        </w:rPr>
        <w:t>o</w:t>
      </w:r>
      <w:r w:rsidRPr="00B62956">
        <w:rPr>
          <w:rFonts w:cs="Verdana"/>
          <w:spacing w:val="-1"/>
          <w:lang w:val="en-US"/>
        </w:rPr>
        <w:t>w</w:t>
      </w:r>
      <w:r w:rsidRPr="00B62956">
        <w:rPr>
          <w:rFonts w:cs="Verdana"/>
          <w:spacing w:val="1"/>
          <w:lang w:val="en-US"/>
        </w:rPr>
        <w:t xml:space="preserve">th </w:t>
      </w:r>
      <w:r w:rsidRPr="00B62956">
        <w:rPr>
          <w:rFonts w:cs="Verdana"/>
          <w:spacing w:val="-1"/>
          <w:lang w:val="en-US"/>
        </w:rPr>
        <w:t>f</w:t>
      </w:r>
      <w:r w:rsidRPr="00B62956">
        <w:rPr>
          <w:rFonts w:cs="Verdana"/>
          <w:lang w:val="en-US"/>
        </w:rPr>
        <w:t>ac</w:t>
      </w:r>
      <w:r w:rsidRPr="00B62956">
        <w:rPr>
          <w:rFonts w:cs="Verdana"/>
          <w:spacing w:val="1"/>
          <w:lang w:val="en-US"/>
        </w:rPr>
        <w:t>to</w:t>
      </w:r>
      <w:r w:rsidRPr="00B62956">
        <w:rPr>
          <w:rFonts w:cs="Verdana"/>
          <w:lang w:val="en-US"/>
        </w:rPr>
        <w:t>r</w:t>
      </w:r>
      <w:r w:rsidRPr="00B62956">
        <w:rPr>
          <w:rFonts w:cs="Verdana"/>
          <w:spacing w:val="-1"/>
          <w:lang w:val="en-US"/>
        </w:rPr>
        <w:t xml:space="preserve"> </w:t>
      </w:r>
      <w:r w:rsidRPr="00B62956">
        <w:rPr>
          <w:rFonts w:cs="Verdana"/>
          <w:lang w:val="en-US"/>
        </w:rPr>
        <w:t>r</w:t>
      </w:r>
      <w:r w:rsidRPr="00B62956">
        <w:rPr>
          <w:rFonts w:cs="Verdana"/>
          <w:spacing w:val="1"/>
          <w:lang w:val="en-US"/>
        </w:rPr>
        <w:t>e</w:t>
      </w:r>
      <w:r w:rsidRPr="00B62956">
        <w:rPr>
          <w:rFonts w:cs="Verdana"/>
          <w:lang w:val="en-US"/>
        </w:rPr>
        <w:t>c</w:t>
      </w:r>
      <w:r w:rsidRPr="00B62956">
        <w:rPr>
          <w:rFonts w:cs="Verdana"/>
          <w:spacing w:val="1"/>
          <w:lang w:val="en-US"/>
        </w:rPr>
        <w:t>ep</w:t>
      </w:r>
      <w:r w:rsidRPr="00B62956">
        <w:rPr>
          <w:rFonts w:cs="Verdana"/>
          <w:spacing w:val="-1"/>
          <w:lang w:val="en-US"/>
        </w:rPr>
        <w:t>t</w:t>
      </w:r>
      <w:r w:rsidRPr="00B62956">
        <w:rPr>
          <w:rFonts w:cs="Verdana"/>
          <w:spacing w:val="1"/>
          <w:lang w:val="en-US"/>
        </w:rPr>
        <w:t>o</w:t>
      </w:r>
      <w:r w:rsidRPr="00B62956">
        <w:rPr>
          <w:rFonts w:cs="Verdana"/>
          <w:lang w:val="en-US"/>
        </w:rPr>
        <w:t>r</w:t>
      </w:r>
      <w:r w:rsidRPr="00B62956">
        <w:rPr>
          <w:rFonts w:cs="Verdana"/>
          <w:spacing w:val="-1"/>
          <w:lang w:val="en-US"/>
        </w:rPr>
        <w:t xml:space="preserve"> </w:t>
      </w:r>
      <w:r w:rsidRPr="00B62956">
        <w:rPr>
          <w:rFonts w:cs="Verdana"/>
          <w:lang w:val="en-US"/>
        </w:rPr>
        <w:t>(</w:t>
      </w:r>
      <w:r w:rsidRPr="00B62956">
        <w:rPr>
          <w:rFonts w:cs="Verdana"/>
          <w:spacing w:val="-1"/>
          <w:lang w:val="en-US"/>
        </w:rPr>
        <w:t>E</w:t>
      </w:r>
      <w:r w:rsidRPr="00B62956">
        <w:rPr>
          <w:rFonts w:cs="Verdana"/>
          <w:lang w:val="en-US"/>
        </w:rPr>
        <w:t>GFR)</w:t>
      </w:r>
      <w:r w:rsidRPr="00B62956">
        <w:rPr>
          <w:rFonts w:cs="Verdana"/>
          <w:spacing w:val="-1"/>
          <w:lang w:val="en-US"/>
        </w:rPr>
        <w:t xml:space="preserve"> </w:t>
      </w:r>
      <w:r w:rsidRPr="00B62956">
        <w:rPr>
          <w:rFonts w:cs="Verdana"/>
          <w:lang w:val="en-US"/>
        </w:rPr>
        <w:t>m</w:t>
      </w:r>
      <w:r w:rsidRPr="00B62956">
        <w:rPr>
          <w:rFonts w:cs="Verdana"/>
          <w:spacing w:val="1"/>
          <w:lang w:val="en-US"/>
        </w:rPr>
        <w:t>ut</w:t>
      </w:r>
      <w:r w:rsidRPr="00B62956">
        <w:rPr>
          <w:rFonts w:cs="Verdana"/>
          <w:lang w:val="en-US"/>
        </w:rPr>
        <w:t>a</w:t>
      </w:r>
      <w:r w:rsidRPr="00B62956">
        <w:rPr>
          <w:rFonts w:cs="Verdana"/>
          <w:spacing w:val="1"/>
          <w:lang w:val="en-US"/>
        </w:rPr>
        <w:t>t</w:t>
      </w:r>
      <w:r w:rsidRPr="00B62956">
        <w:rPr>
          <w:rFonts w:cs="Verdana"/>
          <w:spacing w:val="-1"/>
          <w:lang w:val="en-US"/>
        </w:rPr>
        <w:t>i</w:t>
      </w:r>
      <w:r w:rsidRPr="00B62956">
        <w:rPr>
          <w:rFonts w:cs="Verdana"/>
          <w:spacing w:val="1"/>
          <w:lang w:val="en-US"/>
        </w:rPr>
        <w:t>o</w:t>
      </w:r>
      <w:r w:rsidRPr="00B62956">
        <w:rPr>
          <w:rFonts w:cs="Verdana"/>
          <w:spacing w:val="-1"/>
          <w:lang w:val="en-US"/>
        </w:rPr>
        <w:t>n</w:t>
      </w:r>
      <w:r w:rsidRPr="00B62956">
        <w:rPr>
          <w:rFonts w:cs="Verdana"/>
          <w:lang w:val="en-US"/>
        </w:rPr>
        <w:t>s</w:t>
      </w:r>
      <w:r w:rsidRPr="00B62956">
        <w:rPr>
          <w:rFonts w:cs="Verdana"/>
          <w:spacing w:val="-1"/>
          <w:lang w:val="en-US"/>
        </w:rPr>
        <w:t xml:space="preserve"> </w:t>
      </w:r>
      <w:r w:rsidRPr="00B62956">
        <w:rPr>
          <w:rFonts w:cs="Verdana"/>
          <w:spacing w:val="1"/>
          <w:lang w:val="en-US"/>
        </w:rPr>
        <w:t>o</w:t>
      </w:r>
      <w:r w:rsidRPr="00B62956">
        <w:rPr>
          <w:rFonts w:cs="Verdana"/>
          <w:lang w:val="en-US"/>
        </w:rPr>
        <w:t>r</w:t>
      </w:r>
      <w:r w:rsidRPr="00B62956">
        <w:rPr>
          <w:rFonts w:cs="Verdana"/>
          <w:spacing w:val="-1"/>
          <w:lang w:val="en-US"/>
        </w:rPr>
        <w:t xml:space="preserve"> </w:t>
      </w:r>
      <w:r w:rsidRPr="00B62956">
        <w:rPr>
          <w:rFonts w:cs="Verdana"/>
          <w:spacing w:val="1"/>
          <w:lang w:val="en-US"/>
        </w:rPr>
        <w:t>o</w:t>
      </w:r>
      <w:r w:rsidRPr="00B62956">
        <w:rPr>
          <w:rFonts w:cs="Verdana"/>
          <w:spacing w:val="-1"/>
          <w:lang w:val="en-US"/>
        </w:rPr>
        <w:t>v</w:t>
      </w:r>
      <w:r w:rsidRPr="00B62956">
        <w:rPr>
          <w:rFonts w:cs="Verdana"/>
          <w:spacing w:val="1"/>
          <w:lang w:val="en-US"/>
        </w:rPr>
        <w:t>e</w:t>
      </w:r>
      <w:r w:rsidRPr="00B62956">
        <w:rPr>
          <w:rFonts w:cs="Verdana"/>
          <w:lang w:val="en-US"/>
        </w:rPr>
        <w:t>r</w:t>
      </w:r>
      <w:r w:rsidRPr="00B62956">
        <w:rPr>
          <w:rFonts w:cs="Verdana"/>
          <w:spacing w:val="1"/>
          <w:lang w:val="en-US"/>
        </w:rPr>
        <w:t>e</w:t>
      </w:r>
      <w:r w:rsidRPr="00B62956">
        <w:rPr>
          <w:rFonts w:cs="Verdana"/>
          <w:spacing w:val="-1"/>
          <w:lang w:val="en-US"/>
        </w:rPr>
        <w:t>x</w:t>
      </w:r>
      <w:r w:rsidRPr="00B62956">
        <w:rPr>
          <w:rFonts w:cs="Verdana"/>
          <w:spacing w:val="1"/>
          <w:lang w:val="en-US"/>
        </w:rPr>
        <w:t>p</w:t>
      </w:r>
      <w:r w:rsidRPr="00B62956">
        <w:rPr>
          <w:rFonts w:cs="Verdana"/>
          <w:lang w:val="en-US"/>
        </w:rPr>
        <w:t>r</w:t>
      </w:r>
      <w:r w:rsidRPr="00B62956">
        <w:rPr>
          <w:rFonts w:cs="Verdana"/>
          <w:spacing w:val="1"/>
          <w:lang w:val="en-US"/>
        </w:rPr>
        <w:t>e</w:t>
      </w:r>
      <w:r w:rsidRPr="00B62956">
        <w:rPr>
          <w:rFonts w:cs="Verdana"/>
          <w:lang w:val="en-US"/>
        </w:rPr>
        <w:t>ss</w:t>
      </w:r>
      <w:r w:rsidRPr="00B62956">
        <w:rPr>
          <w:rFonts w:cs="Verdana"/>
          <w:spacing w:val="-1"/>
          <w:lang w:val="en-US"/>
        </w:rPr>
        <w:t>i</w:t>
      </w:r>
      <w:r w:rsidRPr="00B62956">
        <w:rPr>
          <w:rFonts w:cs="Verdana"/>
          <w:spacing w:val="1"/>
          <w:lang w:val="en-US"/>
        </w:rPr>
        <w:t>o</w:t>
      </w:r>
      <w:r w:rsidRPr="00B62956">
        <w:rPr>
          <w:rFonts w:cs="Verdana"/>
          <w:spacing w:val="-1"/>
          <w:lang w:val="en-US"/>
        </w:rPr>
        <w:t>n</w:t>
      </w:r>
      <w:r w:rsidRPr="00B62956">
        <w:rPr>
          <w:rFonts w:cs="Verdana"/>
          <w:lang w:val="en-US"/>
        </w:rPr>
        <w:t>,</w:t>
      </w:r>
      <w:r w:rsidRPr="00B62956">
        <w:rPr>
          <w:rFonts w:cs="Verdana"/>
          <w:spacing w:val="1"/>
          <w:lang w:val="en-US"/>
        </w:rPr>
        <w:t xml:space="preserve"> </w:t>
      </w:r>
      <w:r w:rsidRPr="00B62956">
        <w:rPr>
          <w:rFonts w:cs="Verdana"/>
          <w:lang w:val="en-US"/>
        </w:rPr>
        <w:t>a</w:t>
      </w:r>
      <w:r w:rsidRPr="00B62956">
        <w:rPr>
          <w:rFonts w:cs="Verdana"/>
          <w:spacing w:val="-1"/>
          <w:lang w:val="en-US"/>
        </w:rPr>
        <w:t>n</w:t>
      </w:r>
      <w:r w:rsidRPr="00B62956">
        <w:rPr>
          <w:rFonts w:cs="Verdana"/>
          <w:lang w:val="en-US"/>
        </w:rPr>
        <w:t>d cr</w:t>
      </w:r>
      <w:r w:rsidRPr="00B62956">
        <w:rPr>
          <w:rFonts w:cs="Verdana"/>
          <w:spacing w:val="1"/>
          <w:lang w:val="en-US"/>
        </w:rPr>
        <w:t>i</w:t>
      </w:r>
      <w:r w:rsidRPr="00B62956">
        <w:rPr>
          <w:rFonts w:cs="Verdana"/>
          <w:spacing w:val="-1"/>
          <w:lang w:val="en-US"/>
        </w:rPr>
        <w:t>z</w:t>
      </w:r>
      <w:r w:rsidRPr="00B62956">
        <w:rPr>
          <w:rFonts w:cs="Verdana"/>
          <w:spacing w:val="1"/>
          <w:lang w:val="en-US"/>
        </w:rPr>
        <w:t>oti</w:t>
      </w:r>
      <w:r w:rsidRPr="00B62956">
        <w:rPr>
          <w:rFonts w:cs="Verdana"/>
          <w:spacing w:val="-1"/>
          <w:lang w:val="en-US"/>
        </w:rPr>
        <w:t>n</w:t>
      </w:r>
      <w:r w:rsidRPr="00B62956">
        <w:rPr>
          <w:rFonts w:cs="Verdana"/>
          <w:spacing w:val="1"/>
          <w:lang w:val="en-US"/>
        </w:rPr>
        <w:t>i</w:t>
      </w:r>
      <w:r w:rsidRPr="00B62956">
        <w:rPr>
          <w:rFonts w:cs="Verdana"/>
          <w:lang w:val="en-US"/>
        </w:rPr>
        <w:t xml:space="preserve">b </w:t>
      </w:r>
      <w:r w:rsidRPr="00B62956">
        <w:rPr>
          <w:rFonts w:cs="Verdana"/>
          <w:spacing w:val="-1"/>
          <w:lang w:val="en-US"/>
        </w:rPr>
        <w:t>f</w:t>
      </w:r>
      <w:r w:rsidRPr="00B62956">
        <w:rPr>
          <w:rFonts w:cs="Verdana"/>
          <w:spacing w:val="1"/>
          <w:lang w:val="en-US"/>
        </w:rPr>
        <w:t>o</w:t>
      </w:r>
      <w:r w:rsidRPr="00B62956">
        <w:rPr>
          <w:rFonts w:cs="Verdana"/>
          <w:lang w:val="en-US"/>
        </w:rPr>
        <w:t>r</w:t>
      </w:r>
      <w:r w:rsidRPr="00B62956">
        <w:rPr>
          <w:rFonts w:cs="Verdana"/>
          <w:spacing w:val="-1"/>
          <w:lang w:val="en-US"/>
        </w:rPr>
        <w:t xml:space="preserve"> </w:t>
      </w:r>
      <w:r w:rsidRPr="00B62956">
        <w:rPr>
          <w:rFonts w:cs="Verdana"/>
          <w:spacing w:val="1"/>
          <w:lang w:val="en-US"/>
        </w:rPr>
        <w:t>t</w:t>
      </w:r>
      <w:r w:rsidRPr="00B62956">
        <w:rPr>
          <w:rFonts w:cs="Verdana"/>
          <w:spacing w:val="-1"/>
          <w:lang w:val="en-US"/>
        </w:rPr>
        <w:t>h</w:t>
      </w:r>
      <w:r w:rsidRPr="00B62956">
        <w:rPr>
          <w:rFonts w:cs="Verdana"/>
          <w:lang w:val="en-US"/>
        </w:rPr>
        <w:t xml:space="preserve">e </w:t>
      </w:r>
      <w:r w:rsidRPr="00B62956">
        <w:rPr>
          <w:rFonts w:cs="Verdana"/>
          <w:spacing w:val="1"/>
          <w:lang w:val="en-US"/>
        </w:rPr>
        <w:t>t</w:t>
      </w:r>
      <w:r w:rsidRPr="00B62956">
        <w:rPr>
          <w:rFonts w:cs="Verdana"/>
          <w:lang w:val="en-US"/>
        </w:rPr>
        <w:t>r</w:t>
      </w:r>
      <w:r w:rsidRPr="00B62956">
        <w:rPr>
          <w:rFonts w:cs="Verdana"/>
          <w:spacing w:val="1"/>
          <w:lang w:val="en-US"/>
        </w:rPr>
        <w:t>e</w:t>
      </w:r>
      <w:r w:rsidRPr="00B62956">
        <w:rPr>
          <w:rFonts w:cs="Verdana"/>
          <w:lang w:val="en-US"/>
        </w:rPr>
        <w:t>a</w:t>
      </w:r>
      <w:r w:rsidRPr="00B62956">
        <w:rPr>
          <w:rFonts w:cs="Verdana"/>
          <w:spacing w:val="-1"/>
          <w:lang w:val="en-US"/>
        </w:rPr>
        <w:t>t</w:t>
      </w:r>
      <w:r w:rsidRPr="00B62956">
        <w:rPr>
          <w:rFonts w:cs="Verdana"/>
          <w:lang w:val="en-US"/>
        </w:rPr>
        <w:t>m</w:t>
      </w:r>
      <w:r w:rsidRPr="00B62956">
        <w:rPr>
          <w:rFonts w:cs="Verdana"/>
          <w:spacing w:val="1"/>
          <w:lang w:val="en-US"/>
        </w:rPr>
        <w:t>e</w:t>
      </w:r>
      <w:r w:rsidRPr="00B62956">
        <w:rPr>
          <w:rFonts w:cs="Verdana"/>
          <w:spacing w:val="-1"/>
          <w:lang w:val="en-US"/>
        </w:rPr>
        <w:t>n</w:t>
      </w:r>
      <w:r w:rsidRPr="00B62956">
        <w:rPr>
          <w:rFonts w:cs="Verdana"/>
          <w:lang w:val="en-US"/>
        </w:rPr>
        <w:t xml:space="preserve">t </w:t>
      </w:r>
      <w:r w:rsidRPr="00B62956">
        <w:rPr>
          <w:rFonts w:cs="Verdana"/>
          <w:spacing w:val="1"/>
          <w:lang w:val="en-US"/>
        </w:rPr>
        <w:t>o</w:t>
      </w:r>
      <w:r w:rsidRPr="00B62956">
        <w:rPr>
          <w:rFonts w:cs="Verdana"/>
          <w:lang w:val="en-US"/>
        </w:rPr>
        <w:t>f</w:t>
      </w:r>
      <w:r w:rsidRPr="00B62956">
        <w:rPr>
          <w:rFonts w:cs="Verdana"/>
          <w:spacing w:val="-2"/>
          <w:lang w:val="en-US"/>
        </w:rPr>
        <w:t xml:space="preserve"> </w:t>
      </w:r>
      <w:r w:rsidRPr="00B62956">
        <w:rPr>
          <w:rFonts w:cs="Verdana"/>
          <w:lang w:val="en-US"/>
        </w:rPr>
        <w:t>N</w:t>
      </w:r>
      <w:r w:rsidRPr="00B62956">
        <w:rPr>
          <w:rFonts w:cs="Verdana"/>
          <w:spacing w:val="-1"/>
          <w:lang w:val="en-US"/>
        </w:rPr>
        <w:t>SC</w:t>
      </w:r>
      <w:r w:rsidRPr="00B62956">
        <w:rPr>
          <w:rFonts w:cs="Verdana"/>
          <w:spacing w:val="1"/>
          <w:lang w:val="en-US"/>
        </w:rPr>
        <w:t>L</w:t>
      </w:r>
      <w:r w:rsidRPr="00B62956">
        <w:rPr>
          <w:rFonts w:cs="Verdana"/>
          <w:lang w:val="en-US"/>
        </w:rPr>
        <w:t>C</w:t>
      </w:r>
      <w:r w:rsidRPr="00B62956">
        <w:rPr>
          <w:rFonts w:cs="Verdana"/>
          <w:spacing w:val="1"/>
          <w:lang w:val="en-US"/>
        </w:rPr>
        <w:t xml:space="preserve"> </w:t>
      </w:r>
      <w:r w:rsidRPr="00B62956">
        <w:rPr>
          <w:rFonts w:cs="Verdana"/>
          <w:spacing w:val="-1"/>
          <w:lang w:val="en-US"/>
        </w:rPr>
        <w:t>w</w:t>
      </w:r>
      <w:r w:rsidRPr="00B62956">
        <w:rPr>
          <w:rFonts w:cs="Verdana"/>
          <w:spacing w:val="1"/>
          <w:lang w:val="en-US"/>
        </w:rPr>
        <w:t>it</w:t>
      </w:r>
      <w:r w:rsidRPr="00B62956">
        <w:rPr>
          <w:rFonts w:cs="Verdana"/>
          <w:lang w:val="en-US"/>
        </w:rPr>
        <w:t>h</w:t>
      </w:r>
      <w:r w:rsidRPr="00B62956">
        <w:rPr>
          <w:rFonts w:cs="Verdana"/>
          <w:spacing w:val="-2"/>
          <w:lang w:val="en-US"/>
        </w:rPr>
        <w:t xml:space="preserve"> </w:t>
      </w:r>
      <w:r w:rsidRPr="00B62956">
        <w:rPr>
          <w:rFonts w:cs="Verdana"/>
          <w:spacing w:val="1"/>
          <w:lang w:val="en-US"/>
        </w:rPr>
        <w:t>t</w:t>
      </w:r>
      <w:r w:rsidRPr="00B62956">
        <w:rPr>
          <w:rFonts w:cs="Verdana"/>
          <w:spacing w:val="-1"/>
          <w:lang w:val="en-US"/>
        </w:rPr>
        <w:t>h</w:t>
      </w:r>
      <w:r w:rsidRPr="00B62956">
        <w:rPr>
          <w:rFonts w:cs="Verdana"/>
          <w:lang w:val="en-US"/>
        </w:rPr>
        <w:t xml:space="preserve">e </w:t>
      </w:r>
      <w:r w:rsidRPr="00B62956">
        <w:rPr>
          <w:rFonts w:cs="Verdana"/>
          <w:spacing w:val="-1"/>
          <w:lang w:val="en-US"/>
        </w:rPr>
        <w:t>A</w:t>
      </w:r>
      <w:r w:rsidRPr="00B62956">
        <w:rPr>
          <w:rFonts w:cs="Verdana"/>
          <w:spacing w:val="1"/>
          <w:lang w:val="en-US"/>
        </w:rPr>
        <w:t>L</w:t>
      </w:r>
      <w:r w:rsidRPr="00B62956">
        <w:rPr>
          <w:rFonts w:cs="Verdana"/>
          <w:lang w:val="en-US"/>
        </w:rPr>
        <w:t>K</w:t>
      </w:r>
      <w:r w:rsidRPr="00B62956">
        <w:rPr>
          <w:rFonts w:cs="Verdana"/>
          <w:spacing w:val="-1"/>
          <w:lang w:val="en-US"/>
        </w:rPr>
        <w:t xml:space="preserve"> fu</w:t>
      </w:r>
      <w:r w:rsidRPr="00B62956">
        <w:rPr>
          <w:rFonts w:cs="Verdana"/>
          <w:lang w:val="en-US"/>
        </w:rPr>
        <w:t>s</w:t>
      </w:r>
      <w:r w:rsidRPr="00B62956">
        <w:rPr>
          <w:rFonts w:cs="Verdana"/>
          <w:spacing w:val="1"/>
          <w:lang w:val="en-US"/>
        </w:rPr>
        <w:t>io</w:t>
      </w:r>
      <w:r w:rsidRPr="00B62956">
        <w:rPr>
          <w:rFonts w:cs="Verdana"/>
          <w:lang w:val="en-US"/>
        </w:rPr>
        <w:t>n</w:t>
      </w:r>
      <w:r w:rsidRPr="00B62956">
        <w:rPr>
          <w:rFonts w:cs="Verdana"/>
          <w:spacing w:val="-2"/>
          <w:lang w:val="en-US"/>
        </w:rPr>
        <w:t xml:space="preserve"> </w:t>
      </w:r>
      <w:r w:rsidRPr="00B62956">
        <w:rPr>
          <w:rFonts w:cs="Verdana"/>
          <w:spacing w:val="1"/>
          <w:lang w:val="en-US"/>
        </w:rPr>
        <w:t>t</w:t>
      </w:r>
      <w:r w:rsidRPr="00B62956">
        <w:rPr>
          <w:rFonts w:cs="Verdana"/>
          <w:lang w:val="en-US"/>
        </w:rPr>
        <w:t>ra</w:t>
      </w:r>
      <w:r w:rsidRPr="00B62956">
        <w:rPr>
          <w:rFonts w:cs="Verdana"/>
          <w:spacing w:val="1"/>
          <w:lang w:val="en-US"/>
        </w:rPr>
        <w:t>n</w:t>
      </w:r>
      <w:r w:rsidRPr="00B62956">
        <w:rPr>
          <w:rFonts w:cs="Verdana"/>
          <w:lang w:val="en-US"/>
        </w:rPr>
        <w:t>s</w:t>
      </w:r>
      <w:r w:rsidRPr="00B62956">
        <w:rPr>
          <w:rFonts w:cs="Verdana"/>
          <w:spacing w:val="1"/>
          <w:lang w:val="en-US"/>
        </w:rPr>
        <w:t>lo</w:t>
      </w:r>
      <w:r w:rsidRPr="00B62956">
        <w:rPr>
          <w:rFonts w:cs="Verdana"/>
          <w:lang w:val="en-US"/>
        </w:rPr>
        <w:t>ca</w:t>
      </w:r>
      <w:r w:rsidRPr="00B62956">
        <w:rPr>
          <w:rFonts w:cs="Verdana"/>
          <w:spacing w:val="1"/>
          <w:lang w:val="en-US"/>
        </w:rPr>
        <w:t>t</w:t>
      </w:r>
      <w:r w:rsidRPr="00B62956">
        <w:rPr>
          <w:rFonts w:cs="Verdana"/>
          <w:spacing w:val="-1"/>
          <w:lang w:val="en-US"/>
        </w:rPr>
        <w:t>io</w:t>
      </w:r>
      <w:r w:rsidRPr="00B62956">
        <w:rPr>
          <w:rFonts w:cs="Verdana"/>
          <w:lang w:val="en-US"/>
        </w:rPr>
        <w:t>n</w:t>
      </w:r>
      <w:r w:rsidRPr="00B62956">
        <w:rPr>
          <w:rFonts w:cs="Verdana"/>
          <w:spacing w:val="-2"/>
          <w:lang w:val="en-US"/>
        </w:rPr>
        <w:t xml:space="preserve"> </w:t>
      </w:r>
      <w:r w:rsidRPr="00B62956">
        <w:rPr>
          <w:rFonts w:cs="Verdana"/>
          <w:spacing w:val="1"/>
          <w:lang w:val="en-US"/>
        </w:rPr>
        <w:t>o</w:t>
      </w:r>
      <w:r w:rsidRPr="00B62956">
        <w:rPr>
          <w:rFonts w:cs="Verdana"/>
          <w:spacing w:val="-1"/>
          <w:lang w:val="en-US"/>
        </w:rPr>
        <w:t>n</w:t>
      </w:r>
      <w:r w:rsidRPr="00B62956">
        <w:rPr>
          <w:rFonts w:cs="Verdana"/>
          <w:lang w:val="en-US"/>
        </w:rPr>
        <w:t>c</w:t>
      </w:r>
      <w:r w:rsidRPr="00B62956">
        <w:rPr>
          <w:rFonts w:cs="Verdana"/>
          <w:spacing w:val="1"/>
          <w:lang w:val="en-US"/>
        </w:rPr>
        <w:t>oge</w:t>
      </w:r>
      <w:r w:rsidRPr="00B62956">
        <w:rPr>
          <w:rFonts w:cs="Verdana"/>
          <w:spacing w:val="-1"/>
          <w:lang w:val="en-US"/>
        </w:rPr>
        <w:t>n</w:t>
      </w:r>
      <w:r w:rsidRPr="00B62956">
        <w:rPr>
          <w:rFonts w:cs="Verdana"/>
          <w:spacing w:val="1"/>
          <w:lang w:val="en-US"/>
        </w:rPr>
        <w:t>e</w:t>
      </w:r>
      <w:r w:rsidRPr="00B62956">
        <w:rPr>
          <w:rFonts w:cs="Verdana"/>
          <w:lang w:val="en-US"/>
        </w:rPr>
        <w:t>s</w:t>
      </w:r>
      <w:r w:rsidRPr="00B62956">
        <w:rPr>
          <w:rFonts w:cs="Verdana"/>
          <w:spacing w:val="-1"/>
          <w:lang w:val="en-US"/>
        </w:rPr>
        <w:t xml:space="preserve"> </w:t>
      </w:r>
      <w:r w:rsidRPr="00B62956">
        <w:rPr>
          <w:rFonts w:cs="Verdana"/>
          <w:lang w:val="en-US"/>
        </w:rPr>
        <w:t xml:space="preserve">are </w:t>
      </w:r>
      <w:r w:rsidRPr="00B62956">
        <w:rPr>
          <w:rFonts w:cs="Verdana"/>
          <w:spacing w:val="1"/>
          <w:lang w:val="en-US"/>
        </w:rPr>
        <w:t>e</w:t>
      </w:r>
      <w:r w:rsidRPr="00B62956">
        <w:rPr>
          <w:rFonts w:cs="Verdana"/>
          <w:spacing w:val="-1"/>
          <w:lang w:val="en-US"/>
        </w:rPr>
        <w:t>x</w:t>
      </w:r>
      <w:r w:rsidRPr="00B62956">
        <w:rPr>
          <w:rFonts w:cs="Verdana"/>
          <w:lang w:val="en-US"/>
        </w:rPr>
        <w:t>am</w:t>
      </w:r>
      <w:r w:rsidRPr="00B62956">
        <w:rPr>
          <w:rFonts w:cs="Verdana"/>
          <w:spacing w:val="1"/>
          <w:lang w:val="en-US"/>
        </w:rPr>
        <w:t>ple</w:t>
      </w:r>
      <w:r w:rsidRPr="00B62956">
        <w:rPr>
          <w:rFonts w:cs="Verdana"/>
          <w:lang w:val="en-US"/>
        </w:rPr>
        <w:t>s</w:t>
      </w:r>
      <w:r w:rsidRPr="00B62956">
        <w:rPr>
          <w:rFonts w:cs="Verdana"/>
          <w:spacing w:val="-1"/>
          <w:lang w:val="en-US"/>
        </w:rPr>
        <w:t xml:space="preserve"> </w:t>
      </w:r>
      <w:r w:rsidRPr="00B62956">
        <w:rPr>
          <w:rFonts w:cs="Verdana"/>
          <w:spacing w:val="1"/>
          <w:lang w:val="en-US"/>
        </w:rPr>
        <w:t>o</w:t>
      </w:r>
      <w:r w:rsidRPr="00B62956">
        <w:rPr>
          <w:rFonts w:cs="Verdana"/>
          <w:lang w:val="en-US"/>
        </w:rPr>
        <w:t>f</w:t>
      </w:r>
      <w:r w:rsidRPr="00B62956">
        <w:rPr>
          <w:rFonts w:cs="Verdana"/>
          <w:spacing w:val="-2"/>
          <w:lang w:val="en-US"/>
        </w:rPr>
        <w:t xml:space="preserve"> </w:t>
      </w:r>
      <w:r w:rsidRPr="00B62956">
        <w:rPr>
          <w:rFonts w:cs="Verdana"/>
          <w:spacing w:val="1"/>
          <w:lang w:val="en-US"/>
        </w:rPr>
        <w:t>t</w:t>
      </w:r>
      <w:r w:rsidRPr="00B62956">
        <w:rPr>
          <w:rFonts w:cs="Verdana"/>
          <w:spacing w:val="-1"/>
          <w:lang w:val="en-US"/>
        </w:rPr>
        <w:t>h</w:t>
      </w:r>
      <w:r w:rsidRPr="00B62956">
        <w:rPr>
          <w:rFonts w:cs="Verdana"/>
          <w:spacing w:val="1"/>
          <w:lang w:val="en-US"/>
        </w:rPr>
        <w:t>i</w:t>
      </w:r>
      <w:r w:rsidRPr="00B62956">
        <w:rPr>
          <w:rFonts w:cs="Verdana"/>
          <w:lang w:val="en-US"/>
        </w:rPr>
        <w:t>s</w:t>
      </w:r>
      <w:r w:rsidRPr="00B62956">
        <w:rPr>
          <w:rFonts w:cs="Verdana"/>
          <w:spacing w:val="-1"/>
          <w:lang w:val="en-US"/>
        </w:rPr>
        <w:t xml:space="preserve"> </w:t>
      </w:r>
      <w:r w:rsidRPr="00B62956">
        <w:rPr>
          <w:rFonts w:cs="Verdana"/>
          <w:lang w:val="en-US"/>
        </w:rPr>
        <w:t>ra</w:t>
      </w:r>
      <w:r w:rsidRPr="00B62956">
        <w:rPr>
          <w:rFonts w:cs="Verdana"/>
          <w:spacing w:val="1"/>
          <w:lang w:val="en-US"/>
        </w:rPr>
        <w:t>tio</w:t>
      </w:r>
      <w:r w:rsidRPr="00B62956">
        <w:rPr>
          <w:rFonts w:cs="Verdana"/>
          <w:spacing w:val="-1"/>
          <w:lang w:val="en-US"/>
        </w:rPr>
        <w:t>n</w:t>
      </w:r>
      <w:r w:rsidRPr="00B62956">
        <w:rPr>
          <w:rFonts w:cs="Verdana"/>
          <w:lang w:val="en-US"/>
        </w:rPr>
        <w:t>al</w:t>
      </w:r>
      <w:r>
        <w:rPr>
          <w:rFonts w:cs="Verdana"/>
          <w:lang w:val="en-US"/>
        </w:rPr>
        <w:t xml:space="preserve"> </w:t>
      </w:r>
      <w:r w:rsidRPr="00B62956">
        <w:rPr>
          <w:rFonts w:cs="Verdana"/>
          <w:spacing w:val="1"/>
          <w:lang w:val="en-US"/>
        </w:rPr>
        <w:t>t</w:t>
      </w:r>
      <w:r w:rsidRPr="00B62956">
        <w:rPr>
          <w:rFonts w:cs="Verdana"/>
          <w:lang w:val="en-US"/>
        </w:rPr>
        <w:t>ar</w:t>
      </w:r>
      <w:r w:rsidRPr="00B62956">
        <w:rPr>
          <w:rFonts w:cs="Verdana"/>
          <w:spacing w:val="1"/>
          <w:lang w:val="en-US"/>
        </w:rPr>
        <w:t>ge</w:t>
      </w:r>
      <w:r w:rsidRPr="00B62956">
        <w:rPr>
          <w:rFonts w:cs="Verdana"/>
          <w:spacing w:val="-1"/>
          <w:lang w:val="en-US"/>
        </w:rPr>
        <w:t>t</w:t>
      </w:r>
      <w:r w:rsidRPr="00B62956">
        <w:rPr>
          <w:rFonts w:cs="Verdana"/>
          <w:spacing w:val="1"/>
          <w:lang w:val="en-US"/>
        </w:rPr>
        <w:t>e</w:t>
      </w:r>
      <w:r w:rsidRPr="00B62956">
        <w:rPr>
          <w:rFonts w:cs="Verdana"/>
          <w:lang w:val="en-US"/>
        </w:rPr>
        <w:t>d a</w:t>
      </w:r>
      <w:r w:rsidRPr="00B62956">
        <w:rPr>
          <w:rFonts w:cs="Verdana"/>
          <w:spacing w:val="1"/>
          <w:lang w:val="en-US"/>
        </w:rPr>
        <w:t>pp</w:t>
      </w:r>
      <w:r w:rsidRPr="00B62956">
        <w:rPr>
          <w:rFonts w:cs="Verdana"/>
          <w:spacing w:val="-3"/>
          <w:lang w:val="en-US"/>
        </w:rPr>
        <w:t>r</w:t>
      </w:r>
      <w:r w:rsidRPr="00B62956">
        <w:rPr>
          <w:rFonts w:cs="Verdana"/>
          <w:spacing w:val="1"/>
          <w:lang w:val="en-US"/>
        </w:rPr>
        <w:t>o</w:t>
      </w:r>
      <w:r w:rsidRPr="00B62956">
        <w:rPr>
          <w:rFonts w:cs="Verdana"/>
          <w:lang w:val="en-US"/>
        </w:rPr>
        <w:t>ach</w:t>
      </w:r>
      <w:r w:rsidRPr="00B62956">
        <w:rPr>
          <w:rFonts w:cs="Verdana"/>
          <w:spacing w:val="-2"/>
          <w:lang w:val="en-US"/>
        </w:rPr>
        <w:t xml:space="preserve"> </w:t>
      </w:r>
      <w:r w:rsidRPr="00B62956">
        <w:rPr>
          <w:rFonts w:cs="Verdana"/>
          <w:spacing w:val="1"/>
          <w:lang w:val="en-US"/>
        </w:rPr>
        <w:t>t</w:t>
      </w:r>
      <w:r w:rsidRPr="00B62956">
        <w:rPr>
          <w:rFonts w:cs="Verdana"/>
          <w:lang w:val="en-US"/>
        </w:rPr>
        <w:t xml:space="preserve">o </w:t>
      </w:r>
      <w:r w:rsidRPr="00B62956">
        <w:rPr>
          <w:rFonts w:cs="Verdana"/>
          <w:spacing w:val="1"/>
          <w:lang w:val="en-US"/>
        </w:rPr>
        <w:t>t</w:t>
      </w:r>
      <w:r w:rsidRPr="00B62956">
        <w:rPr>
          <w:rFonts w:cs="Verdana"/>
          <w:lang w:val="en-US"/>
        </w:rPr>
        <w:t>r</w:t>
      </w:r>
      <w:r w:rsidRPr="00B62956">
        <w:rPr>
          <w:rFonts w:cs="Verdana"/>
          <w:spacing w:val="1"/>
          <w:lang w:val="en-US"/>
        </w:rPr>
        <w:t>e</w:t>
      </w:r>
      <w:r w:rsidRPr="00B62956">
        <w:rPr>
          <w:rFonts w:cs="Verdana"/>
          <w:lang w:val="en-US"/>
        </w:rPr>
        <w:t>a</w:t>
      </w:r>
      <w:r w:rsidRPr="00B62956">
        <w:rPr>
          <w:rFonts w:cs="Verdana"/>
          <w:spacing w:val="-1"/>
          <w:lang w:val="en-US"/>
        </w:rPr>
        <w:t>tin</w:t>
      </w:r>
      <w:r w:rsidRPr="00B62956">
        <w:rPr>
          <w:rFonts w:cs="Verdana"/>
          <w:lang w:val="en-US"/>
        </w:rPr>
        <w:t>g ca</w:t>
      </w:r>
      <w:r w:rsidRPr="00B62956">
        <w:rPr>
          <w:rFonts w:cs="Verdana"/>
          <w:spacing w:val="-1"/>
          <w:lang w:val="en-US"/>
        </w:rPr>
        <w:t>n</w:t>
      </w:r>
      <w:r w:rsidRPr="00B62956">
        <w:rPr>
          <w:rFonts w:cs="Verdana"/>
          <w:lang w:val="en-US"/>
        </w:rPr>
        <w:t>c</w:t>
      </w:r>
      <w:r w:rsidRPr="00B62956">
        <w:rPr>
          <w:rFonts w:cs="Verdana"/>
          <w:spacing w:val="1"/>
          <w:lang w:val="en-US"/>
        </w:rPr>
        <w:t>e</w:t>
      </w:r>
      <w:r w:rsidRPr="00B62956">
        <w:rPr>
          <w:rFonts w:cs="Verdana"/>
          <w:lang w:val="en-US"/>
        </w:rPr>
        <w:t>r.</w:t>
      </w:r>
      <w:r w:rsidR="005A7404" w:rsidRPr="005A7404">
        <w:rPr>
          <w:rFonts w:cs="Verdana"/>
          <w:vertAlign w:val="superscript"/>
          <w:lang w:val="en-US"/>
        </w:rPr>
        <w:fldChar w:fldCharType="begin"/>
      </w:r>
      <w:r w:rsidR="005A7404" w:rsidRPr="005A7404">
        <w:rPr>
          <w:rFonts w:cs="Verdana"/>
          <w:vertAlign w:val="superscript"/>
          <w:lang w:val="en-US"/>
        </w:rPr>
        <w:instrText xml:space="preserve"> NOTEREF _Ref500766135 \h </w:instrText>
      </w:r>
      <w:r w:rsidR="005A7404">
        <w:rPr>
          <w:rFonts w:cs="Verdana"/>
          <w:vertAlign w:val="superscript"/>
          <w:lang w:val="en-US"/>
        </w:rPr>
        <w:instrText xml:space="preserve"> \* MERGEFORMAT </w:instrText>
      </w:r>
      <w:r w:rsidR="005A7404" w:rsidRPr="005A7404">
        <w:rPr>
          <w:rFonts w:cs="Verdana"/>
          <w:vertAlign w:val="superscript"/>
          <w:lang w:val="en-US"/>
        </w:rPr>
      </w:r>
      <w:r w:rsidR="005A7404" w:rsidRPr="005A7404">
        <w:rPr>
          <w:rFonts w:cs="Verdana"/>
          <w:vertAlign w:val="superscript"/>
          <w:lang w:val="en-US"/>
        </w:rPr>
        <w:fldChar w:fldCharType="separate"/>
      </w:r>
      <w:r w:rsidR="00951361">
        <w:rPr>
          <w:rFonts w:cs="Verdana"/>
          <w:vertAlign w:val="superscript"/>
          <w:lang w:val="en-US"/>
        </w:rPr>
        <w:t>26</w:t>
      </w:r>
      <w:r w:rsidR="005A7404" w:rsidRPr="005A7404">
        <w:rPr>
          <w:rFonts w:cs="Verdana"/>
          <w:vertAlign w:val="superscript"/>
          <w:lang w:val="en-US"/>
        </w:rPr>
        <w:fldChar w:fldCharType="end"/>
      </w:r>
      <w:r w:rsidR="005A7404" w:rsidRPr="00CF7E2D">
        <w:rPr>
          <w:rFonts w:cs="Verdana"/>
          <w:vertAlign w:val="superscript"/>
          <w:lang w:val="en-US"/>
        </w:rPr>
        <w:t>,</w:t>
      </w:r>
      <w:bookmarkStart w:id="73" w:name="_Ref500766460"/>
      <w:r w:rsidR="005A7404">
        <w:rPr>
          <w:rStyle w:val="FootnoteReference"/>
          <w:rFonts w:cs="Verdana"/>
          <w:lang w:val="en-US"/>
        </w:rPr>
        <w:footnoteReference w:id="27"/>
      </w:r>
      <w:bookmarkEnd w:id="73"/>
    </w:p>
    <w:p w14:paraId="251568F6" w14:textId="61454304" w:rsidR="000C0512" w:rsidRDefault="000C0512" w:rsidP="00101225">
      <w:r>
        <w:t>Multiple large randomis</w:t>
      </w:r>
      <w:r w:rsidRPr="00B62956">
        <w:t>ed clinical trials have demonstrated that patients harbouring activating EGFR mutations benefit more from treatment with EGFR tyrosine kinase inhibitors (TKIs) than with standard chemotherapy in terms of response rate (62 to 85%), PFS, toxici</w:t>
      </w:r>
      <w:r w:rsidR="00207130">
        <w:t>ty profile and quality of life</w:t>
      </w:r>
      <w:r w:rsidRPr="00B62956">
        <w:t>.</w:t>
      </w:r>
      <w:r w:rsidR="00207130">
        <w:rPr>
          <w:rStyle w:val="FootnoteReference"/>
        </w:rPr>
        <w:footnoteReference w:id="28"/>
      </w:r>
      <w:r w:rsidR="00207130" w:rsidRPr="00207130">
        <w:rPr>
          <w:vertAlign w:val="superscript"/>
        </w:rPr>
        <w:t>,</w:t>
      </w:r>
      <w:r w:rsidR="00207130" w:rsidRPr="00207130">
        <w:rPr>
          <w:vertAlign w:val="superscript"/>
        </w:rPr>
        <w:fldChar w:fldCharType="begin"/>
      </w:r>
      <w:r w:rsidR="00207130" w:rsidRPr="00207130">
        <w:rPr>
          <w:vertAlign w:val="superscript"/>
        </w:rPr>
        <w:instrText xml:space="preserve"> NOTEREF _Ref500766092 \h </w:instrText>
      </w:r>
      <w:r w:rsidR="00207130">
        <w:rPr>
          <w:vertAlign w:val="superscript"/>
        </w:rPr>
        <w:instrText xml:space="preserve"> \* MERGEFORMAT </w:instrText>
      </w:r>
      <w:r w:rsidR="00207130" w:rsidRPr="00207130">
        <w:rPr>
          <w:vertAlign w:val="superscript"/>
        </w:rPr>
      </w:r>
      <w:r w:rsidR="00207130" w:rsidRPr="00207130">
        <w:rPr>
          <w:vertAlign w:val="superscript"/>
        </w:rPr>
        <w:fldChar w:fldCharType="separate"/>
      </w:r>
      <w:r w:rsidR="00951361">
        <w:rPr>
          <w:vertAlign w:val="superscript"/>
        </w:rPr>
        <w:t>22</w:t>
      </w:r>
      <w:r w:rsidR="00207130" w:rsidRPr="00207130">
        <w:rPr>
          <w:vertAlign w:val="superscript"/>
        </w:rPr>
        <w:fldChar w:fldCharType="end"/>
      </w:r>
      <w:r w:rsidRPr="00B62956">
        <w:t xml:space="preserve"> The success of EGFR TKIs highlights the importance of identifying specific NSCLC molecular drivers to appropriately develop targeted agents for treating specific patient populations. </w:t>
      </w:r>
    </w:p>
    <w:p w14:paraId="41686176" w14:textId="77777777" w:rsidR="000C0512" w:rsidRDefault="000C0512" w:rsidP="00101225">
      <w:r>
        <w:t>ALK</w:t>
      </w:r>
      <w:r w:rsidRPr="00B62956">
        <w:t>, a receptor tyrosine kinase, was first identified as a fusion protein resulting from chromosomal translocation in the majority of</w:t>
      </w:r>
      <w:r>
        <w:t xml:space="preserve"> anaplastic large cell lymphoma</w:t>
      </w:r>
      <w:r w:rsidRPr="00B62956">
        <w:t xml:space="preserve"> (ALCL). When fused to other proteins, ALK becomes constitutively active, leading to increased catalytic kinase function, signal transduction activity, and oncogenic function. ALK has since been linked with many different fusion partners in </w:t>
      </w:r>
      <w:r w:rsidRPr="00207130">
        <w:t>different tumour types.</w:t>
      </w:r>
      <w:r w:rsidR="00207130" w:rsidRPr="00207130">
        <w:rPr>
          <w:rStyle w:val="FootnoteReference"/>
        </w:rPr>
        <w:footnoteReference w:id="29"/>
      </w:r>
      <w:r w:rsidRPr="00B62956">
        <w:t xml:space="preserve"> </w:t>
      </w:r>
    </w:p>
    <w:p w14:paraId="5C6FB944" w14:textId="77777777" w:rsidR="000C0512" w:rsidRPr="00B62956" w:rsidRDefault="000C0512" w:rsidP="00101225">
      <w:r w:rsidRPr="00B62956">
        <w:t>The frequency of ALK gene rearrangements in patients</w:t>
      </w:r>
      <w:r>
        <w:t xml:space="preserve"> with NSCLC (referred to as ALK-</w:t>
      </w:r>
      <w:r w:rsidRPr="00B62956">
        <w:t xml:space="preserve">positive NSCLC from here onwards) is relatively low; it is present in </w:t>
      </w:r>
      <w:r w:rsidR="001762D3">
        <w:t xml:space="preserve">approximately </w:t>
      </w:r>
      <w:r w:rsidRPr="00B62956">
        <w:t>2 to 7% of tumours tested. However, considering the high incidence of lung cancer, this small percentage translates into about 60,000 patients annually worldwide</w:t>
      </w:r>
      <w:r>
        <w:t>. With an annual incidence of 10,296 lung cancer diagnosis in 2010, up to 720 patients annually could be diagnosed with ALK-positive cancer in Australia.</w:t>
      </w:r>
    </w:p>
    <w:p w14:paraId="452357E5" w14:textId="3928E318" w:rsidR="000C0512" w:rsidRDefault="000C0512" w:rsidP="00101225">
      <w:r w:rsidRPr="00B62956">
        <w:t>Patients with ALK-positive NSCLC are associated with specific demographic and clinical features, including never or light smoking history, younger age, and adenocarcinoma histology.</w:t>
      </w:r>
      <w:r w:rsidR="00207130">
        <w:rPr>
          <w:rStyle w:val="FootnoteReference"/>
        </w:rPr>
        <w:footnoteReference w:id="30"/>
      </w:r>
      <w:r w:rsidRPr="00B62956">
        <w:t xml:space="preserve"> In addition, several reports have associated ALK positivity with a more advanced stage at diagnosis and worse prognosis.</w:t>
      </w:r>
      <w:r w:rsidR="00207130" w:rsidRPr="00207130">
        <w:rPr>
          <w:vertAlign w:val="superscript"/>
        </w:rPr>
        <w:fldChar w:fldCharType="begin"/>
      </w:r>
      <w:r w:rsidR="00207130" w:rsidRPr="00207130">
        <w:rPr>
          <w:vertAlign w:val="superscript"/>
        </w:rPr>
        <w:instrText xml:space="preserve"> NOTEREF _Ref500766436 \h </w:instrText>
      </w:r>
      <w:r w:rsidR="00207130">
        <w:rPr>
          <w:vertAlign w:val="superscript"/>
        </w:rPr>
        <w:instrText xml:space="preserve"> \* MERGEFORMAT </w:instrText>
      </w:r>
      <w:r w:rsidR="00207130" w:rsidRPr="00207130">
        <w:rPr>
          <w:vertAlign w:val="superscript"/>
        </w:rPr>
      </w:r>
      <w:r w:rsidR="00207130" w:rsidRPr="00207130">
        <w:rPr>
          <w:vertAlign w:val="superscript"/>
        </w:rPr>
        <w:fldChar w:fldCharType="separate"/>
      </w:r>
      <w:r w:rsidR="00951361">
        <w:rPr>
          <w:vertAlign w:val="superscript"/>
        </w:rPr>
        <w:t>4</w:t>
      </w:r>
      <w:r w:rsidR="00207130" w:rsidRPr="00207130">
        <w:rPr>
          <w:vertAlign w:val="superscript"/>
        </w:rPr>
        <w:fldChar w:fldCharType="end"/>
      </w:r>
      <w:proofErr w:type="gramStart"/>
      <w:r w:rsidR="00207130">
        <w:rPr>
          <w:vertAlign w:val="superscript"/>
        </w:rPr>
        <w:t>,</w:t>
      </w:r>
      <w:proofErr w:type="gramEnd"/>
      <w:r w:rsidR="00207130">
        <w:rPr>
          <w:vertAlign w:val="superscript"/>
        </w:rPr>
        <w:fldChar w:fldCharType="begin"/>
      </w:r>
      <w:r w:rsidR="00207130">
        <w:rPr>
          <w:vertAlign w:val="superscript"/>
        </w:rPr>
        <w:instrText xml:space="preserve"> NOTEREF _Ref500766460 \h </w:instrText>
      </w:r>
      <w:r w:rsidR="00207130">
        <w:rPr>
          <w:vertAlign w:val="superscript"/>
        </w:rPr>
      </w:r>
      <w:r w:rsidR="00207130">
        <w:rPr>
          <w:vertAlign w:val="superscript"/>
        </w:rPr>
        <w:fldChar w:fldCharType="separate"/>
      </w:r>
      <w:r w:rsidR="00951361">
        <w:rPr>
          <w:vertAlign w:val="superscript"/>
        </w:rPr>
        <w:t>27</w:t>
      </w:r>
      <w:r w:rsidR="00207130">
        <w:rPr>
          <w:vertAlign w:val="superscript"/>
        </w:rPr>
        <w:fldChar w:fldCharType="end"/>
      </w:r>
      <w:r w:rsidRPr="00B62956">
        <w:t xml:space="preserve"> Further, ALK gene rearrangements are largely mutually exclusive with EGFR or KRAS mutations</w:t>
      </w:r>
      <w:r w:rsidR="00207130" w:rsidRPr="00207130">
        <w:rPr>
          <w:vertAlign w:val="superscript"/>
        </w:rPr>
        <w:fldChar w:fldCharType="begin"/>
      </w:r>
      <w:r w:rsidR="00207130" w:rsidRPr="00207130">
        <w:rPr>
          <w:vertAlign w:val="superscript"/>
        </w:rPr>
        <w:instrText xml:space="preserve"> NOTEREF _Ref500766301 \h </w:instrText>
      </w:r>
      <w:r w:rsidR="00207130">
        <w:rPr>
          <w:vertAlign w:val="superscript"/>
        </w:rPr>
        <w:instrText xml:space="preserve"> \* MERGEFORMAT </w:instrText>
      </w:r>
      <w:r w:rsidR="00207130" w:rsidRPr="00207130">
        <w:rPr>
          <w:vertAlign w:val="superscript"/>
        </w:rPr>
      </w:r>
      <w:r w:rsidR="00207130" w:rsidRPr="00207130">
        <w:rPr>
          <w:vertAlign w:val="superscript"/>
        </w:rPr>
        <w:fldChar w:fldCharType="separate"/>
      </w:r>
      <w:r w:rsidR="00951361">
        <w:rPr>
          <w:vertAlign w:val="superscript"/>
        </w:rPr>
        <w:t>3</w:t>
      </w:r>
      <w:r w:rsidR="00207130" w:rsidRPr="00207130">
        <w:rPr>
          <w:vertAlign w:val="superscript"/>
        </w:rPr>
        <w:fldChar w:fldCharType="end"/>
      </w:r>
      <w:r w:rsidRPr="00B62956">
        <w:t xml:space="preserve">, consistent with the notion that ALK gene rearrangements defines a unique molecular subset of NSCLC. In these patients, ALK gene rearrangements serve as a key and strong oncogenic driver for NSCLC and represent a critical therapeutic target susceptible to targeted ALK kinase inhibition. </w:t>
      </w:r>
    </w:p>
    <w:p w14:paraId="77EFBF22" w14:textId="77777777" w:rsidR="000C0512" w:rsidRDefault="000C0512" w:rsidP="00101225">
      <w:r w:rsidRPr="00B62956">
        <w:t xml:space="preserve">Crizotinib, a non-specific small molecule ALK inhibitor is the only targeted agent currently approved for the treatment of locally advanced or metastatic ALK-positive NSCLC. Early </w:t>
      </w:r>
      <w:r w:rsidRPr="00B62956">
        <w:lastRenderedPageBreak/>
        <w:t>single-arm trials of crizotinib in patients with ALK-positive NSCLC demonstrated impressive activity and with response rates of 50 to 61% and duration of response of 6 to 10 months</w:t>
      </w:r>
      <w:r>
        <w:t>.</w:t>
      </w:r>
      <w:r w:rsidR="00207130" w:rsidRPr="00207130">
        <w:rPr>
          <w:vertAlign w:val="superscript"/>
        </w:rPr>
        <w:fldChar w:fldCharType="begin"/>
      </w:r>
      <w:r w:rsidR="00207130" w:rsidRPr="00207130">
        <w:rPr>
          <w:vertAlign w:val="superscript"/>
        </w:rPr>
        <w:instrText xml:space="preserve"> NOTEREF _Ref500766322 \h </w:instrText>
      </w:r>
      <w:r w:rsidR="00207130">
        <w:rPr>
          <w:vertAlign w:val="superscript"/>
        </w:rPr>
        <w:instrText xml:space="preserve"> \* MERGEFORMAT </w:instrText>
      </w:r>
      <w:r w:rsidR="00207130" w:rsidRPr="00207130">
        <w:rPr>
          <w:vertAlign w:val="superscript"/>
        </w:rPr>
      </w:r>
      <w:r w:rsidR="00207130" w:rsidRPr="00207130">
        <w:rPr>
          <w:vertAlign w:val="superscript"/>
        </w:rPr>
        <w:fldChar w:fldCharType="separate"/>
      </w:r>
      <w:r w:rsidR="00951361">
        <w:rPr>
          <w:vertAlign w:val="superscript"/>
        </w:rPr>
        <w:t>5</w:t>
      </w:r>
      <w:r w:rsidR="00207130" w:rsidRPr="00207130">
        <w:rPr>
          <w:vertAlign w:val="superscript"/>
        </w:rPr>
        <w:fldChar w:fldCharType="end"/>
      </w:r>
      <w:r>
        <w:t xml:space="preserve"> </w:t>
      </w:r>
      <w:proofErr w:type="spellStart"/>
      <w:r>
        <w:t>C</w:t>
      </w:r>
      <w:r w:rsidRPr="00B62956">
        <w:t>rizotinib</w:t>
      </w:r>
      <w:proofErr w:type="spellEnd"/>
      <w:r w:rsidRPr="00B62956">
        <w:t xml:space="preserve"> (</w:t>
      </w:r>
      <w:proofErr w:type="spellStart"/>
      <w:r w:rsidRPr="00B62956">
        <w:t>Xalkori</w:t>
      </w:r>
      <w:proofErr w:type="spellEnd"/>
      <w:r w:rsidRPr="00B62956">
        <w:t xml:space="preserve">) </w:t>
      </w:r>
      <w:r>
        <w:t xml:space="preserve">is registered by TGA for the treatment of patients with ALK-positive advanced non-small cell lung cancer and received PBS reimbursement in Australia as of 1 July 2015 under the Managed Entry Scheme </w:t>
      </w:r>
      <w:r w:rsidRPr="00B62956">
        <w:t xml:space="preserve">for the treatment of adults with </w:t>
      </w:r>
      <w:r>
        <w:t>stage IIIB or IV non-squamous type of NSCLC harbouring an ALK gene rearrangement in tumour material, defined as 15% (or greater) positive cells by fluorescence in situ hybridisation (FISH) testing.</w:t>
      </w:r>
      <w:r w:rsidRPr="00B62956">
        <w:t xml:space="preserve"> </w:t>
      </w:r>
    </w:p>
    <w:p w14:paraId="43847E7A" w14:textId="77777777" w:rsidR="000C0512" w:rsidRDefault="000C0512" w:rsidP="00101225">
      <w:r w:rsidRPr="00B62956">
        <w:t xml:space="preserve">The clinical benefit of crizotinib treatment in patients with locally advanced or metastatic ALK-positive NSCLC in the second-line setting following treatment with at least one prior chemotherapy regimen has been confirmed in a </w:t>
      </w:r>
      <w:r w:rsidR="00733D16">
        <w:t>P</w:t>
      </w:r>
      <w:r w:rsidRPr="00B62956">
        <w:t>hase III trial (PROFILE 1007). Crizotinib prolonged PFS to a median of 7.7 months compared to 3.0 months in patients who received single-agent chemotherapy (Hazard ratio</w:t>
      </w:r>
      <w:r>
        <w:t xml:space="preserve"> (HR)</w:t>
      </w:r>
      <w:r w:rsidR="00733D16">
        <w:t xml:space="preserve"> </w:t>
      </w:r>
      <w:r w:rsidRPr="00B62956">
        <w:t>=</w:t>
      </w:r>
      <w:r w:rsidR="00733D16">
        <w:t xml:space="preserve"> </w:t>
      </w:r>
      <w:r w:rsidRPr="00B62956">
        <w:t xml:space="preserve">0.49; 95% </w:t>
      </w:r>
      <w:r>
        <w:t>confidence interval (</w:t>
      </w:r>
      <w:r w:rsidRPr="00B62956">
        <w:t>CI</w:t>
      </w:r>
      <w:r>
        <w:t>)</w:t>
      </w:r>
      <w:r w:rsidRPr="00B62956">
        <w:t>: 0.37–0.64; p&lt;0.001). In addition, crizotinib significantly increased overall response rate over chemotherapy (65%</w:t>
      </w:r>
      <w:r w:rsidR="002E3E15">
        <w:t xml:space="preserve"> versus</w:t>
      </w:r>
      <w:r w:rsidRPr="00B62956">
        <w:t xml:space="preserve"> 20%, p&lt;0.001), and improved symptom control and quality of life. The analysis of the OS rate was not sufficiently mature to draw conclusions, and was confounded by the cross-over of patients from chemotherapy to crizotinib.</w:t>
      </w:r>
      <w:r w:rsidR="00207130" w:rsidRPr="00207130">
        <w:rPr>
          <w:vertAlign w:val="superscript"/>
        </w:rPr>
        <w:fldChar w:fldCharType="begin"/>
      </w:r>
      <w:r w:rsidR="00207130" w:rsidRPr="00207130">
        <w:rPr>
          <w:vertAlign w:val="superscript"/>
        </w:rPr>
        <w:instrText xml:space="preserve"> NOTEREF _Ref500765120 \h </w:instrText>
      </w:r>
      <w:r w:rsidR="00207130">
        <w:rPr>
          <w:vertAlign w:val="superscript"/>
        </w:rPr>
        <w:instrText xml:space="preserve"> \* MERGEFORMAT </w:instrText>
      </w:r>
      <w:r w:rsidR="00207130" w:rsidRPr="00207130">
        <w:rPr>
          <w:vertAlign w:val="superscript"/>
        </w:rPr>
      </w:r>
      <w:r w:rsidR="00207130" w:rsidRPr="00207130">
        <w:rPr>
          <w:vertAlign w:val="superscript"/>
        </w:rPr>
        <w:fldChar w:fldCharType="separate"/>
      </w:r>
      <w:r w:rsidR="00951361">
        <w:rPr>
          <w:vertAlign w:val="superscript"/>
        </w:rPr>
        <w:t>1</w:t>
      </w:r>
      <w:r w:rsidR="00207130" w:rsidRPr="00207130">
        <w:rPr>
          <w:vertAlign w:val="superscript"/>
        </w:rPr>
        <w:fldChar w:fldCharType="end"/>
      </w:r>
      <w:r w:rsidRPr="00B62956">
        <w:t xml:space="preserve"> </w:t>
      </w:r>
    </w:p>
    <w:p w14:paraId="4CF4E35D" w14:textId="77777777" w:rsidR="000C0512" w:rsidRDefault="000C0512" w:rsidP="00101225">
      <w:r w:rsidRPr="00B62956">
        <w:t>While crizotinib is effective in patients with ALK-positive NSCLC, disease progression invariably occurs, typically within one year, due to the development of acquired drug resistance. Crizotinib resistant ALK-positive NSCLC frequently conserves the ALK gene rearrangements but may result from the development of resistant ALK mutations, ALK amplification, and/or activation of alternate aberrant signal</w:t>
      </w:r>
      <w:r>
        <w:t>l</w:t>
      </w:r>
      <w:r w:rsidRPr="00B62956">
        <w:t>ing pathways.</w:t>
      </w:r>
      <w:r w:rsidR="00207130">
        <w:rPr>
          <w:rStyle w:val="FootnoteReference"/>
        </w:rPr>
        <w:footnoteReference w:id="31"/>
      </w:r>
      <w:r w:rsidRPr="00B62956">
        <w:t xml:space="preserve"> Furthermore, not all patients respond to or tolerate crizotinib treatment.</w:t>
      </w:r>
      <w:r>
        <w:t xml:space="preserve"> These patients have no available effective therapy options. Additionally, brain metastases pose a clinical challenge in NSCLC due to the high overall incidence, and because brain metastases are often the initial site of progression, in particular after crizotinib treatment.</w:t>
      </w:r>
      <w:r w:rsidR="001058EB">
        <w:rPr>
          <w:rStyle w:val="FootnoteReference"/>
        </w:rPr>
        <w:footnoteReference w:id="32"/>
      </w:r>
      <w:r>
        <w:t xml:space="preserve"> Therefore an unmet medical need exists for more potent ALK inhibitors that are highly active in crizotinib-resistant ALK-positive NSCLC.</w:t>
      </w:r>
    </w:p>
    <w:p w14:paraId="69C346D7" w14:textId="77777777" w:rsidR="000C0512" w:rsidRPr="006B1DE7" w:rsidRDefault="000C0512" w:rsidP="00733D16">
      <w:pPr>
        <w:rPr>
          <w:rFonts w:cs="Verdana"/>
          <w:lang w:val="en-US"/>
        </w:rPr>
      </w:pPr>
      <w:r w:rsidRPr="006B1DE7">
        <w:t xml:space="preserve">Patients with metastatic ALK-positive NSCLC do progress after crizotinib therapy and current standard of care is conventional chemotherapy. While </w:t>
      </w:r>
      <w:r w:rsidR="00733D16">
        <w:t>the evaluator</w:t>
      </w:r>
      <w:r w:rsidRPr="006B1DE7">
        <w:t xml:space="preserve"> agree</w:t>
      </w:r>
      <w:r w:rsidR="00733D16">
        <w:t>s</w:t>
      </w:r>
      <w:r w:rsidRPr="006B1DE7">
        <w:t xml:space="preserve"> that there is an unmet need for use of more potent ALK inhibitors that are highly active in ALK-positive NSCLC, it is possibly more important to determine fully the mechanism of crizotinib resistance and see how that influences ceritinib efficacy in that </w:t>
      </w:r>
      <w:proofErr w:type="gramStart"/>
      <w:r w:rsidRPr="006B1DE7">
        <w:t>setting.</w:t>
      </w:r>
      <w:proofErr w:type="gramEnd"/>
    </w:p>
    <w:p w14:paraId="0381A111" w14:textId="77777777" w:rsidR="00605AD4" w:rsidRDefault="00605AD4" w:rsidP="00605AD4">
      <w:pPr>
        <w:pStyle w:val="Heading4"/>
      </w:pPr>
      <w:r w:rsidRPr="00605AD4">
        <w:t>Guidance</w:t>
      </w:r>
    </w:p>
    <w:p w14:paraId="1F0CBF6D" w14:textId="452AB47D" w:rsidR="000C0512" w:rsidRDefault="000C0512" w:rsidP="000C0512">
      <w:r w:rsidRPr="000C0512">
        <w:t>Pre-submission meeting was conducted on 3 December 2014 between TGA and the sponsor, Novartis Ph</w:t>
      </w:r>
      <w:r w:rsidR="00F476CA">
        <w:t>armaceuticals Australia Pty Ltd and the proposed</w:t>
      </w:r>
      <w:r w:rsidRPr="000C0512">
        <w:t xml:space="preserve"> indication discussed at that time was </w:t>
      </w:r>
      <w:r w:rsidRPr="00F476CA">
        <w:rPr>
          <w:i/>
        </w:rPr>
        <w:t>Z</w:t>
      </w:r>
      <w:r w:rsidR="00F476CA">
        <w:rPr>
          <w:i/>
        </w:rPr>
        <w:t>ykadia</w:t>
      </w:r>
      <w:r w:rsidRPr="00F476CA">
        <w:rPr>
          <w:i/>
        </w:rPr>
        <w:t xml:space="preserve"> is indicated for the treatment of patients with locally advanced or metastatic NSCLC that is ALK-positive</w:t>
      </w:r>
      <w:r>
        <w:t>.</w:t>
      </w:r>
      <w:r w:rsidR="00BC6393">
        <w:rPr>
          <w:rStyle w:val="FootnoteReference"/>
        </w:rPr>
        <w:footnoteReference w:id="33"/>
      </w:r>
    </w:p>
    <w:p w14:paraId="3FF72E43" w14:textId="210BBFF1" w:rsidR="00605AD4" w:rsidRDefault="00605AD4" w:rsidP="00605AD4">
      <w:pPr>
        <w:pStyle w:val="Heading4"/>
      </w:pPr>
      <w:r w:rsidRPr="00605AD4">
        <w:lastRenderedPageBreak/>
        <w:t>Contents of the clinical dossier</w:t>
      </w:r>
    </w:p>
    <w:p w14:paraId="08B6880D" w14:textId="77777777" w:rsidR="000C0512" w:rsidRDefault="000C0512" w:rsidP="000C0512">
      <w:r>
        <w:t xml:space="preserve">The clinical dossier documented a full clinical development programme of pharmacology, efficacy and safety studies. </w:t>
      </w:r>
    </w:p>
    <w:p w14:paraId="5D8E07AE" w14:textId="77777777" w:rsidR="000C0512" w:rsidRDefault="000C0512" w:rsidP="000C0512">
      <w:r>
        <w:t>The submission contained the following clinical information:</w:t>
      </w:r>
    </w:p>
    <w:p w14:paraId="2CC97774" w14:textId="77777777" w:rsidR="000C0512" w:rsidRDefault="000C0512" w:rsidP="00F476CA">
      <w:pPr>
        <w:pStyle w:val="ListBullet"/>
      </w:pPr>
      <w:r>
        <w:t>4 clinical pharmacology studies, including four (</w:t>
      </w:r>
      <w:r w:rsidR="00F476CA">
        <w:t xml:space="preserve">Studies </w:t>
      </w:r>
      <w:r>
        <w:t>A2101, A2104, A2105</w:t>
      </w:r>
      <w:r w:rsidR="00F476CA">
        <w:t xml:space="preserve"> and</w:t>
      </w:r>
      <w:r>
        <w:t xml:space="preserve"> A2106) that provided pharmacokinetic (PK) data and no specific studies that provided pharmacodynamic data.</w:t>
      </w:r>
    </w:p>
    <w:p w14:paraId="47F85D6E" w14:textId="77777777" w:rsidR="000C0512" w:rsidRPr="006A08A1" w:rsidRDefault="000C0512" w:rsidP="00F476CA">
      <w:pPr>
        <w:pStyle w:val="ListBullet"/>
      </w:pPr>
      <w:r>
        <w:t xml:space="preserve">1 population PK analyses (based on </w:t>
      </w:r>
      <w:r w:rsidR="00F476CA">
        <w:t xml:space="preserve">Studies </w:t>
      </w:r>
      <w:r>
        <w:t>X2101, X1101, A2201</w:t>
      </w:r>
      <w:r w:rsidR="00F476CA">
        <w:t xml:space="preserve"> and</w:t>
      </w:r>
      <w:r>
        <w:t xml:space="preserve"> A2203).</w:t>
      </w:r>
    </w:p>
    <w:p w14:paraId="1E2518F5" w14:textId="77777777" w:rsidR="000C0512" w:rsidRDefault="000C0512" w:rsidP="00F476CA">
      <w:pPr>
        <w:pStyle w:val="ListBullet"/>
      </w:pPr>
      <w:r>
        <w:t>P</w:t>
      </w:r>
      <w:r w:rsidRPr="006A08A1">
        <w:t>ivotal efficacy/safety studies</w:t>
      </w:r>
      <w:r>
        <w:t xml:space="preserve"> (</w:t>
      </w:r>
      <w:r w:rsidR="00F476CA">
        <w:t xml:space="preserve">Studies </w:t>
      </w:r>
      <w:r>
        <w:t xml:space="preserve">X2101, X1101, A2201, A2203) of which </w:t>
      </w:r>
      <w:r w:rsidR="00F476CA">
        <w:t xml:space="preserve">Studies </w:t>
      </w:r>
      <w:r>
        <w:t>X2101 and X1101 also provide PK and pharmacodynamics data</w:t>
      </w:r>
    </w:p>
    <w:p w14:paraId="103B3A3C" w14:textId="77777777" w:rsidR="000C0512" w:rsidRPr="006A08A1" w:rsidRDefault="000C0512" w:rsidP="00F476CA">
      <w:pPr>
        <w:pStyle w:val="ListBullet"/>
      </w:pPr>
      <w:r>
        <w:t>2 d</w:t>
      </w:r>
      <w:r w:rsidRPr="006A08A1">
        <w:t>ose-finding studies</w:t>
      </w:r>
      <w:r>
        <w:t xml:space="preserve"> (</w:t>
      </w:r>
      <w:r w:rsidR="00F476CA">
        <w:t xml:space="preserve">Studies </w:t>
      </w:r>
      <w:r>
        <w:t>X2101</w:t>
      </w:r>
      <w:r w:rsidR="00F476CA">
        <w:t xml:space="preserve"> and</w:t>
      </w:r>
      <w:r>
        <w:t xml:space="preserve"> X1101)</w:t>
      </w:r>
      <w:r w:rsidRPr="006A08A1">
        <w:t>.</w:t>
      </w:r>
    </w:p>
    <w:p w14:paraId="4B35D15C" w14:textId="77777777" w:rsidR="00605AD4" w:rsidRDefault="00605AD4" w:rsidP="00605AD4">
      <w:pPr>
        <w:pStyle w:val="Heading4"/>
      </w:pPr>
      <w:r w:rsidRPr="00605AD4">
        <w:t>Paediatric data</w:t>
      </w:r>
    </w:p>
    <w:p w14:paraId="6AAD8DC9" w14:textId="77777777" w:rsidR="000C0512" w:rsidRDefault="000C0512" w:rsidP="000C0512">
      <w:r>
        <w:t xml:space="preserve">The submission did not include paediatric data. Other regulatory bodies found this to be acceptable. The EMA confirmed that ceritinib in the proposed indication falls under the scope of the class waiver on 12 April 2013. Similarly, in the US, ceritinib has an orphan drug designation, and is therefore exempt from the requirements of the Pediatric Research Equity Act. </w:t>
      </w:r>
    </w:p>
    <w:p w14:paraId="1F255048" w14:textId="77777777" w:rsidR="000C0512" w:rsidRDefault="000C0512" w:rsidP="000C0512">
      <w:r>
        <w:t xml:space="preserve">Given ALK- positive lung cancer occurs in adult population, </w:t>
      </w:r>
      <w:r w:rsidR="00F476CA">
        <w:t>the evaluator</w:t>
      </w:r>
      <w:r>
        <w:t xml:space="preserve"> th</w:t>
      </w:r>
      <w:r w:rsidR="00F476CA">
        <w:t>ought</w:t>
      </w:r>
      <w:r>
        <w:t xml:space="preserve"> it reasonable not to include paediatric data.</w:t>
      </w:r>
    </w:p>
    <w:p w14:paraId="7585A216" w14:textId="77777777" w:rsidR="00605AD4" w:rsidRDefault="00605AD4" w:rsidP="00605AD4">
      <w:pPr>
        <w:pStyle w:val="Heading4"/>
      </w:pPr>
      <w:r w:rsidRPr="00605AD4">
        <w:t>Good clinical practice</w:t>
      </w:r>
    </w:p>
    <w:p w14:paraId="22A80E38" w14:textId="77777777" w:rsidR="000C0512" w:rsidRDefault="000C0512" w:rsidP="000C0512">
      <w:bookmarkStart w:id="74" w:name="_Toc241374282"/>
      <w:r w:rsidRPr="0023156D">
        <w:t xml:space="preserve">All the clinical studies in the submission are </w:t>
      </w:r>
      <w:r>
        <w:t>complied with CPMP/ICH/135/95 Note for Guidance on</w:t>
      </w:r>
      <w:r w:rsidRPr="0023156D">
        <w:t xml:space="preserve"> Good Clinical Practice.</w:t>
      </w:r>
    </w:p>
    <w:p w14:paraId="2436474C" w14:textId="77777777" w:rsidR="008E7846" w:rsidRDefault="008E7846" w:rsidP="00605AD4">
      <w:pPr>
        <w:pStyle w:val="Heading3"/>
      </w:pPr>
      <w:bookmarkStart w:id="75" w:name="_Toc507501109"/>
      <w:bookmarkEnd w:id="74"/>
      <w:r w:rsidRPr="00254787">
        <w:t>Pharmacokinetics</w:t>
      </w:r>
      <w:bookmarkEnd w:id="62"/>
      <w:bookmarkEnd w:id="68"/>
      <w:bookmarkEnd w:id="69"/>
      <w:bookmarkEnd w:id="70"/>
      <w:bookmarkEnd w:id="75"/>
    </w:p>
    <w:p w14:paraId="5159F6FD" w14:textId="77777777" w:rsidR="00605AD4" w:rsidRDefault="00605AD4" w:rsidP="00605AD4">
      <w:pPr>
        <w:pStyle w:val="Heading4"/>
      </w:pPr>
      <w:r>
        <w:t xml:space="preserve">Studies providing pharmacokinetic data </w:t>
      </w:r>
    </w:p>
    <w:p w14:paraId="03653396" w14:textId="77777777" w:rsidR="000C0512" w:rsidRDefault="00F476CA" w:rsidP="000C0512">
      <w:r>
        <w:t>The</w:t>
      </w:r>
      <w:r w:rsidR="000C0512">
        <w:t xml:space="preserve"> studies relating to each pharmacokinetic topic and the location of each study </w:t>
      </w:r>
      <w:r>
        <w:t>are shown in Table 4 below.</w:t>
      </w:r>
    </w:p>
    <w:p w14:paraId="5C78B5A4" w14:textId="77777777" w:rsidR="000C0512" w:rsidRDefault="000C0512" w:rsidP="00F476CA">
      <w:pPr>
        <w:pStyle w:val="TableTitle"/>
      </w:pPr>
      <w:bookmarkStart w:id="76" w:name="_Ref272426277"/>
      <w:bookmarkStart w:id="77" w:name="_Toc300498638"/>
      <w:r>
        <w:t xml:space="preserve">Table </w:t>
      </w:r>
      <w:r w:rsidR="00F476CA">
        <w:t>4:</w:t>
      </w:r>
      <w:bookmarkEnd w:id="76"/>
      <w:r>
        <w:t xml:space="preserve"> Submitted pharmacokinetic studies</w:t>
      </w:r>
      <w:bookmarkEnd w:id="77"/>
    </w:p>
    <w:tbl>
      <w:tblPr>
        <w:tblStyle w:val="TableTGAblue"/>
        <w:tblW w:w="8046" w:type="dxa"/>
        <w:tblLayout w:type="fixed"/>
        <w:tblLook w:val="04A0" w:firstRow="1" w:lastRow="0" w:firstColumn="1" w:lastColumn="0" w:noHBand="0" w:noVBand="1"/>
        <w:tblDescription w:val="Table 4: Submitted pharmacokinetic studies"/>
      </w:tblPr>
      <w:tblGrid>
        <w:gridCol w:w="1668"/>
        <w:gridCol w:w="3260"/>
        <w:gridCol w:w="1417"/>
        <w:gridCol w:w="1701"/>
      </w:tblGrid>
      <w:tr w:rsidR="00F476CA" w:rsidRPr="000F58C6" w14:paraId="2229F8C2" w14:textId="77777777" w:rsidTr="00F476CA">
        <w:trPr>
          <w:cnfStyle w:val="100000000000" w:firstRow="1" w:lastRow="0" w:firstColumn="0" w:lastColumn="0" w:oddVBand="0" w:evenVBand="0" w:oddHBand="0" w:evenHBand="0" w:firstRowFirstColumn="0" w:firstRowLastColumn="0" w:lastRowFirstColumn="0" w:lastRowLastColumn="0"/>
          <w:cantSplit/>
        </w:trPr>
        <w:tc>
          <w:tcPr>
            <w:tcW w:w="1668" w:type="dxa"/>
          </w:tcPr>
          <w:p w14:paraId="1DDD3E9B" w14:textId="77777777" w:rsidR="00F476CA" w:rsidRPr="000F58C6" w:rsidRDefault="00F476CA" w:rsidP="000F58C6">
            <w:pPr>
              <w:rPr>
                <w:sz w:val="20"/>
                <w:szCs w:val="20"/>
              </w:rPr>
            </w:pPr>
            <w:r w:rsidRPr="000F58C6">
              <w:rPr>
                <w:sz w:val="20"/>
                <w:szCs w:val="20"/>
              </w:rPr>
              <w:t>PK topic</w:t>
            </w:r>
          </w:p>
        </w:tc>
        <w:tc>
          <w:tcPr>
            <w:tcW w:w="3260" w:type="dxa"/>
          </w:tcPr>
          <w:p w14:paraId="4BB7749C" w14:textId="77777777" w:rsidR="00F476CA" w:rsidRPr="000F58C6" w:rsidRDefault="00F476CA" w:rsidP="000F58C6">
            <w:pPr>
              <w:rPr>
                <w:sz w:val="20"/>
                <w:szCs w:val="20"/>
              </w:rPr>
            </w:pPr>
            <w:r w:rsidRPr="000F58C6">
              <w:rPr>
                <w:sz w:val="20"/>
                <w:szCs w:val="20"/>
              </w:rPr>
              <w:t>Subtopic</w:t>
            </w:r>
          </w:p>
        </w:tc>
        <w:tc>
          <w:tcPr>
            <w:tcW w:w="1417" w:type="dxa"/>
          </w:tcPr>
          <w:p w14:paraId="58015645" w14:textId="77777777" w:rsidR="00F476CA" w:rsidRPr="000F58C6" w:rsidRDefault="00F476CA" w:rsidP="000F58C6">
            <w:pPr>
              <w:rPr>
                <w:sz w:val="20"/>
                <w:szCs w:val="20"/>
              </w:rPr>
            </w:pPr>
            <w:r w:rsidRPr="000F58C6">
              <w:rPr>
                <w:sz w:val="20"/>
                <w:szCs w:val="20"/>
              </w:rPr>
              <w:t>Study ID</w:t>
            </w:r>
          </w:p>
        </w:tc>
        <w:tc>
          <w:tcPr>
            <w:tcW w:w="1701" w:type="dxa"/>
          </w:tcPr>
          <w:p w14:paraId="4657677D" w14:textId="77777777" w:rsidR="00F476CA" w:rsidRPr="000F58C6" w:rsidRDefault="00F476CA" w:rsidP="000F58C6">
            <w:pPr>
              <w:rPr>
                <w:sz w:val="20"/>
                <w:szCs w:val="20"/>
              </w:rPr>
            </w:pPr>
            <w:r w:rsidRPr="000F58C6">
              <w:rPr>
                <w:sz w:val="20"/>
                <w:szCs w:val="20"/>
              </w:rPr>
              <w:t>Primary aim</w:t>
            </w:r>
          </w:p>
        </w:tc>
      </w:tr>
      <w:tr w:rsidR="00F476CA" w:rsidRPr="000F58C6" w14:paraId="79FB0D9B" w14:textId="77777777" w:rsidTr="00F476CA">
        <w:tc>
          <w:tcPr>
            <w:tcW w:w="1668" w:type="dxa"/>
            <w:vMerge w:val="restart"/>
          </w:tcPr>
          <w:p w14:paraId="3F38F5DB" w14:textId="77777777" w:rsidR="00F476CA" w:rsidRPr="000F58C6" w:rsidRDefault="00F476CA" w:rsidP="00CB0F1D">
            <w:r w:rsidRPr="000F58C6">
              <w:t>PK in healthy adults</w:t>
            </w:r>
          </w:p>
        </w:tc>
        <w:tc>
          <w:tcPr>
            <w:tcW w:w="3260" w:type="dxa"/>
          </w:tcPr>
          <w:p w14:paraId="073CA210" w14:textId="77777777" w:rsidR="00F476CA" w:rsidRPr="000F58C6" w:rsidRDefault="00F476CA" w:rsidP="00CB0F1D">
            <w:r w:rsidRPr="000F58C6">
              <w:t>General PK- Single dose (75</w:t>
            </w:r>
            <w:r w:rsidR="00326B43">
              <w:t>0 mg</w:t>
            </w:r>
            <w:r w:rsidRPr="000F58C6">
              <w:t>)</w:t>
            </w:r>
          </w:p>
        </w:tc>
        <w:tc>
          <w:tcPr>
            <w:tcW w:w="1417" w:type="dxa"/>
          </w:tcPr>
          <w:p w14:paraId="3C21E893" w14:textId="77777777" w:rsidR="00F476CA" w:rsidRPr="000F58C6" w:rsidRDefault="00F476CA" w:rsidP="00CB0F1D">
            <w:r w:rsidRPr="000F58C6">
              <w:t>A2105</w:t>
            </w:r>
          </w:p>
        </w:tc>
        <w:tc>
          <w:tcPr>
            <w:tcW w:w="1701" w:type="dxa"/>
          </w:tcPr>
          <w:p w14:paraId="7BE4220B" w14:textId="77777777" w:rsidR="00F476CA" w:rsidRPr="000F58C6" w:rsidRDefault="00F476CA" w:rsidP="00CB0F1D">
            <w:r w:rsidRPr="000F58C6">
              <w:t>Human ADME</w:t>
            </w:r>
          </w:p>
        </w:tc>
      </w:tr>
      <w:tr w:rsidR="00F476CA" w:rsidRPr="000F58C6" w14:paraId="64995F69" w14:textId="77777777" w:rsidTr="00F476CA">
        <w:trPr>
          <w:trHeight w:val="90"/>
        </w:trPr>
        <w:tc>
          <w:tcPr>
            <w:tcW w:w="1668" w:type="dxa"/>
            <w:vMerge/>
          </w:tcPr>
          <w:p w14:paraId="2F45FF33" w14:textId="77777777" w:rsidR="00F476CA" w:rsidRPr="000F58C6" w:rsidRDefault="00F476CA" w:rsidP="00CB0F1D"/>
        </w:tc>
        <w:tc>
          <w:tcPr>
            <w:tcW w:w="3260" w:type="dxa"/>
          </w:tcPr>
          <w:p w14:paraId="2B5C262A" w14:textId="77777777" w:rsidR="00F476CA" w:rsidRPr="000F58C6" w:rsidRDefault="00F476CA" w:rsidP="00CB0F1D">
            <w:r w:rsidRPr="000F58C6">
              <w:tab/>
              <w:t>- Multi-dose</w:t>
            </w:r>
          </w:p>
        </w:tc>
        <w:tc>
          <w:tcPr>
            <w:tcW w:w="1417" w:type="dxa"/>
          </w:tcPr>
          <w:p w14:paraId="0930DC8C" w14:textId="77777777" w:rsidR="00F476CA" w:rsidRPr="000F58C6" w:rsidRDefault="00F476CA" w:rsidP="00CB0F1D">
            <w:r w:rsidRPr="000F58C6">
              <w:t>No studies</w:t>
            </w:r>
          </w:p>
        </w:tc>
        <w:tc>
          <w:tcPr>
            <w:tcW w:w="1701" w:type="dxa"/>
          </w:tcPr>
          <w:p w14:paraId="32899EAF" w14:textId="77777777" w:rsidR="00F476CA" w:rsidRPr="000F58C6" w:rsidRDefault="00F476CA" w:rsidP="00CB0F1D"/>
        </w:tc>
      </w:tr>
      <w:tr w:rsidR="00F476CA" w:rsidRPr="000F58C6" w14:paraId="5E975762" w14:textId="77777777" w:rsidTr="00F476CA">
        <w:tc>
          <w:tcPr>
            <w:tcW w:w="1668" w:type="dxa"/>
            <w:vMerge/>
          </w:tcPr>
          <w:p w14:paraId="6AEE360E" w14:textId="77777777" w:rsidR="00F476CA" w:rsidRPr="000F58C6" w:rsidRDefault="00F476CA" w:rsidP="00CB0F1D"/>
        </w:tc>
        <w:tc>
          <w:tcPr>
            <w:tcW w:w="3260" w:type="dxa"/>
          </w:tcPr>
          <w:p w14:paraId="4F9C9B0A" w14:textId="77777777" w:rsidR="00F476CA" w:rsidRPr="000F58C6" w:rsidRDefault="00F476CA" w:rsidP="00CB0F1D">
            <w:r w:rsidRPr="000F58C6">
              <w:t>Bioequivalence† - Single dose</w:t>
            </w:r>
          </w:p>
        </w:tc>
        <w:tc>
          <w:tcPr>
            <w:tcW w:w="1417" w:type="dxa"/>
          </w:tcPr>
          <w:p w14:paraId="45F4B476" w14:textId="77777777" w:rsidR="00F476CA" w:rsidRPr="000F58C6" w:rsidRDefault="00F476CA" w:rsidP="00CB0F1D">
            <w:r w:rsidRPr="000F58C6">
              <w:t>No studies</w:t>
            </w:r>
          </w:p>
        </w:tc>
        <w:tc>
          <w:tcPr>
            <w:tcW w:w="1701" w:type="dxa"/>
          </w:tcPr>
          <w:p w14:paraId="57BBE6F0" w14:textId="77777777" w:rsidR="00F476CA" w:rsidRPr="000F58C6" w:rsidRDefault="00F476CA" w:rsidP="00CB0F1D"/>
        </w:tc>
      </w:tr>
      <w:tr w:rsidR="00F476CA" w:rsidRPr="000F58C6" w14:paraId="0C94B3CB" w14:textId="77777777" w:rsidTr="00F476CA">
        <w:tc>
          <w:tcPr>
            <w:tcW w:w="1668" w:type="dxa"/>
            <w:vMerge/>
          </w:tcPr>
          <w:p w14:paraId="6F002E67" w14:textId="77777777" w:rsidR="00F476CA" w:rsidRPr="000F58C6" w:rsidRDefault="00F476CA" w:rsidP="00CB0F1D"/>
        </w:tc>
        <w:tc>
          <w:tcPr>
            <w:tcW w:w="3260" w:type="dxa"/>
          </w:tcPr>
          <w:p w14:paraId="75012385" w14:textId="77777777" w:rsidR="00F476CA" w:rsidRPr="000F58C6" w:rsidRDefault="00F476CA" w:rsidP="00CB0F1D">
            <w:r w:rsidRPr="000F58C6">
              <w:tab/>
              <w:t>- Multi-dose</w:t>
            </w:r>
          </w:p>
        </w:tc>
        <w:tc>
          <w:tcPr>
            <w:tcW w:w="1417" w:type="dxa"/>
          </w:tcPr>
          <w:p w14:paraId="47BC9A21" w14:textId="77777777" w:rsidR="00F476CA" w:rsidRPr="000F58C6" w:rsidRDefault="00F476CA" w:rsidP="00CB0F1D">
            <w:r w:rsidRPr="000F58C6">
              <w:t>No studies</w:t>
            </w:r>
          </w:p>
        </w:tc>
        <w:tc>
          <w:tcPr>
            <w:tcW w:w="1701" w:type="dxa"/>
          </w:tcPr>
          <w:p w14:paraId="2971C4B9" w14:textId="77777777" w:rsidR="00F476CA" w:rsidRPr="000F58C6" w:rsidRDefault="00F476CA" w:rsidP="00CB0F1D"/>
        </w:tc>
      </w:tr>
      <w:tr w:rsidR="00F476CA" w:rsidRPr="000F58C6" w14:paraId="6CC3E028" w14:textId="77777777" w:rsidTr="00F476CA">
        <w:tc>
          <w:tcPr>
            <w:tcW w:w="1668" w:type="dxa"/>
            <w:vMerge/>
          </w:tcPr>
          <w:p w14:paraId="3FC22A45" w14:textId="77777777" w:rsidR="00F476CA" w:rsidRPr="000F58C6" w:rsidRDefault="00F476CA" w:rsidP="00CB0F1D"/>
        </w:tc>
        <w:tc>
          <w:tcPr>
            <w:tcW w:w="3260" w:type="dxa"/>
          </w:tcPr>
          <w:p w14:paraId="16DC6366" w14:textId="77777777" w:rsidR="00F476CA" w:rsidRPr="000F58C6" w:rsidRDefault="00F476CA" w:rsidP="00CB0F1D">
            <w:r w:rsidRPr="000F58C6">
              <w:t>Food effect – 2 x single doses (50</w:t>
            </w:r>
            <w:r w:rsidR="00326B43">
              <w:t>0 mg</w:t>
            </w:r>
            <w:r w:rsidRPr="000F58C6">
              <w:t>)</w:t>
            </w:r>
          </w:p>
        </w:tc>
        <w:tc>
          <w:tcPr>
            <w:tcW w:w="1417" w:type="dxa"/>
          </w:tcPr>
          <w:p w14:paraId="1FDDFABA" w14:textId="77777777" w:rsidR="00F476CA" w:rsidRPr="000F58C6" w:rsidRDefault="00F476CA" w:rsidP="00CB0F1D">
            <w:r w:rsidRPr="000F58C6">
              <w:t>A2101*</w:t>
            </w:r>
          </w:p>
        </w:tc>
        <w:tc>
          <w:tcPr>
            <w:tcW w:w="1701" w:type="dxa"/>
          </w:tcPr>
          <w:p w14:paraId="21E86DAA" w14:textId="77777777" w:rsidR="00F476CA" w:rsidRPr="000F58C6" w:rsidRDefault="00F476CA" w:rsidP="00CB0F1D">
            <w:r w:rsidRPr="000F58C6">
              <w:t>Food effect</w:t>
            </w:r>
          </w:p>
        </w:tc>
      </w:tr>
      <w:tr w:rsidR="00F476CA" w:rsidRPr="000F58C6" w14:paraId="272CF82F" w14:textId="77777777" w:rsidTr="00F476CA">
        <w:tc>
          <w:tcPr>
            <w:tcW w:w="1668" w:type="dxa"/>
            <w:vMerge w:val="restart"/>
          </w:tcPr>
          <w:p w14:paraId="317B50B9" w14:textId="77777777" w:rsidR="00F476CA" w:rsidRPr="000F58C6" w:rsidRDefault="00F476CA" w:rsidP="00CB0F1D">
            <w:r w:rsidRPr="000F58C6">
              <w:t>PK in special populations</w:t>
            </w:r>
          </w:p>
        </w:tc>
        <w:tc>
          <w:tcPr>
            <w:tcW w:w="3260" w:type="dxa"/>
            <w:vMerge w:val="restart"/>
          </w:tcPr>
          <w:p w14:paraId="62D49C27" w14:textId="77777777" w:rsidR="00F476CA" w:rsidRPr="000F58C6" w:rsidRDefault="00F476CA" w:rsidP="00CB0F1D">
            <w:r w:rsidRPr="000F58C6">
              <w:t>Target population §</w:t>
            </w:r>
            <w:r w:rsidRPr="000F58C6">
              <w:tab/>
            </w:r>
            <w:r w:rsidRPr="000F58C6">
              <w:tab/>
              <w:t>- Single dose</w:t>
            </w:r>
          </w:p>
        </w:tc>
        <w:tc>
          <w:tcPr>
            <w:tcW w:w="1417" w:type="dxa"/>
          </w:tcPr>
          <w:p w14:paraId="117760EF" w14:textId="77777777" w:rsidR="00F476CA" w:rsidRPr="000F58C6" w:rsidRDefault="00F476CA" w:rsidP="00CB0F1D">
            <w:r w:rsidRPr="000F58C6">
              <w:t>X2101*</w:t>
            </w:r>
          </w:p>
        </w:tc>
        <w:tc>
          <w:tcPr>
            <w:tcW w:w="1701" w:type="dxa"/>
          </w:tcPr>
          <w:p w14:paraId="2BCE5F5B" w14:textId="77777777" w:rsidR="00F476CA" w:rsidRPr="000F58C6" w:rsidRDefault="00F476CA" w:rsidP="00CB0F1D">
            <w:r w:rsidRPr="000F58C6">
              <w:t>PK parameters and exposure-response relationships</w:t>
            </w:r>
          </w:p>
        </w:tc>
      </w:tr>
      <w:tr w:rsidR="00F476CA" w:rsidRPr="000F58C6" w14:paraId="649351DE" w14:textId="77777777" w:rsidTr="00F476CA">
        <w:tc>
          <w:tcPr>
            <w:tcW w:w="1668" w:type="dxa"/>
            <w:vMerge/>
          </w:tcPr>
          <w:p w14:paraId="0339D98D" w14:textId="77777777" w:rsidR="00F476CA" w:rsidRPr="000F58C6" w:rsidRDefault="00F476CA" w:rsidP="00CB0F1D"/>
        </w:tc>
        <w:tc>
          <w:tcPr>
            <w:tcW w:w="3260" w:type="dxa"/>
            <w:vMerge/>
          </w:tcPr>
          <w:p w14:paraId="5D5BABB8" w14:textId="77777777" w:rsidR="00F476CA" w:rsidRPr="000F58C6" w:rsidRDefault="00F476CA" w:rsidP="00CB0F1D"/>
        </w:tc>
        <w:tc>
          <w:tcPr>
            <w:tcW w:w="1417" w:type="dxa"/>
          </w:tcPr>
          <w:p w14:paraId="20D7A636" w14:textId="77777777" w:rsidR="00F476CA" w:rsidRPr="000F58C6" w:rsidRDefault="00F476CA" w:rsidP="00CB0F1D">
            <w:r w:rsidRPr="000F58C6">
              <w:t>X1101*</w:t>
            </w:r>
          </w:p>
        </w:tc>
        <w:tc>
          <w:tcPr>
            <w:tcW w:w="1701" w:type="dxa"/>
          </w:tcPr>
          <w:p w14:paraId="0C103379" w14:textId="77777777" w:rsidR="00F476CA" w:rsidRPr="000F58C6" w:rsidRDefault="00F476CA" w:rsidP="00CB0F1D">
            <w:r w:rsidRPr="000F58C6">
              <w:t>PK in Japanese patients</w:t>
            </w:r>
          </w:p>
        </w:tc>
      </w:tr>
      <w:tr w:rsidR="00F476CA" w:rsidRPr="000F58C6" w14:paraId="573BAA54" w14:textId="77777777" w:rsidTr="00F476CA">
        <w:tc>
          <w:tcPr>
            <w:tcW w:w="1668" w:type="dxa"/>
            <w:vMerge/>
          </w:tcPr>
          <w:p w14:paraId="02B8923C" w14:textId="77777777" w:rsidR="00F476CA" w:rsidRPr="000F58C6" w:rsidRDefault="00F476CA" w:rsidP="00CB0F1D"/>
        </w:tc>
        <w:tc>
          <w:tcPr>
            <w:tcW w:w="3260" w:type="dxa"/>
          </w:tcPr>
          <w:p w14:paraId="7DCEC070" w14:textId="77777777" w:rsidR="00F476CA" w:rsidRPr="000F58C6" w:rsidRDefault="00F476CA" w:rsidP="00CB0F1D"/>
        </w:tc>
        <w:tc>
          <w:tcPr>
            <w:tcW w:w="1417" w:type="dxa"/>
          </w:tcPr>
          <w:p w14:paraId="7FB9952D" w14:textId="77777777" w:rsidR="00F476CA" w:rsidRPr="000F58C6" w:rsidRDefault="00F476CA" w:rsidP="00CB0F1D">
            <w:r w:rsidRPr="000F58C6">
              <w:t>X2101</w:t>
            </w:r>
          </w:p>
        </w:tc>
        <w:tc>
          <w:tcPr>
            <w:tcW w:w="1701" w:type="dxa"/>
          </w:tcPr>
          <w:p w14:paraId="0D9CE64C" w14:textId="77777777" w:rsidR="00F476CA" w:rsidRPr="000F58C6" w:rsidRDefault="00F476CA" w:rsidP="00CB0F1D">
            <w:r w:rsidRPr="000F58C6">
              <w:t>PK parameters</w:t>
            </w:r>
          </w:p>
        </w:tc>
      </w:tr>
      <w:tr w:rsidR="00F476CA" w:rsidRPr="000F58C6" w14:paraId="03BA3DD4" w14:textId="77777777" w:rsidTr="00F476CA">
        <w:tc>
          <w:tcPr>
            <w:tcW w:w="1668" w:type="dxa"/>
            <w:vMerge/>
          </w:tcPr>
          <w:p w14:paraId="2702459D" w14:textId="77777777" w:rsidR="00F476CA" w:rsidRPr="000F58C6" w:rsidRDefault="00F476CA" w:rsidP="00CB0F1D"/>
        </w:tc>
        <w:tc>
          <w:tcPr>
            <w:tcW w:w="3260" w:type="dxa"/>
          </w:tcPr>
          <w:p w14:paraId="1D355D7F" w14:textId="77777777" w:rsidR="00F476CA" w:rsidRPr="000F58C6" w:rsidRDefault="00F476CA" w:rsidP="00CB0F1D">
            <w:r w:rsidRPr="000F58C6">
              <w:tab/>
              <w:t>- Multi-dose</w:t>
            </w:r>
          </w:p>
        </w:tc>
        <w:tc>
          <w:tcPr>
            <w:tcW w:w="1417" w:type="dxa"/>
          </w:tcPr>
          <w:p w14:paraId="2350933A" w14:textId="77777777" w:rsidR="00F476CA" w:rsidRPr="000F58C6" w:rsidRDefault="00F476CA" w:rsidP="00CB0F1D">
            <w:r w:rsidRPr="000F58C6">
              <w:t>X1101</w:t>
            </w:r>
          </w:p>
        </w:tc>
        <w:tc>
          <w:tcPr>
            <w:tcW w:w="1701" w:type="dxa"/>
          </w:tcPr>
          <w:p w14:paraId="652CD37D" w14:textId="77777777" w:rsidR="00F476CA" w:rsidRPr="000F58C6" w:rsidRDefault="00F476CA" w:rsidP="00CB0F1D"/>
        </w:tc>
      </w:tr>
      <w:tr w:rsidR="00F476CA" w:rsidRPr="000F58C6" w14:paraId="38E844C1" w14:textId="77777777" w:rsidTr="00F476CA">
        <w:tc>
          <w:tcPr>
            <w:tcW w:w="1668" w:type="dxa"/>
            <w:vMerge/>
          </w:tcPr>
          <w:p w14:paraId="1AE29235" w14:textId="77777777" w:rsidR="00F476CA" w:rsidRPr="000F58C6" w:rsidRDefault="00F476CA" w:rsidP="00CB0F1D"/>
        </w:tc>
        <w:tc>
          <w:tcPr>
            <w:tcW w:w="3260" w:type="dxa"/>
          </w:tcPr>
          <w:p w14:paraId="010FCAD5" w14:textId="77777777" w:rsidR="00F476CA" w:rsidRPr="000F58C6" w:rsidRDefault="00F476CA" w:rsidP="00CB0F1D"/>
        </w:tc>
        <w:tc>
          <w:tcPr>
            <w:tcW w:w="1417" w:type="dxa"/>
          </w:tcPr>
          <w:p w14:paraId="55E4FD1B" w14:textId="77777777" w:rsidR="00F476CA" w:rsidRPr="000F58C6" w:rsidRDefault="00F476CA" w:rsidP="00CB0F1D">
            <w:r w:rsidRPr="000F58C6">
              <w:t>A2201</w:t>
            </w:r>
          </w:p>
        </w:tc>
        <w:tc>
          <w:tcPr>
            <w:tcW w:w="1701" w:type="dxa"/>
          </w:tcPr>
          <w:p w14:paraId="4CCEE9B3" w14:textId="77777777" w:rsidR="00F476CA" w:rsidRPr="000F58C6" w:rsidRDefault="00F476CA" w:rsidP="00CB0F1D"/>
        </w:tc>
      </w:tr>
      <w:tr w:rsidR="00F476CA" w:rsidRPr="000F58C6" w14:paraId="2D8B0AE7" w14:textId="77777777" w:rsidTr="00F476CA">
        <w:tc>
          <w:tcPr>
            <w:tcW w:w="1668" w:type="dxa"/>
            <w:vMerge/>
          </w:tcPr>
          <w:p w14:paraId="41A279F4" w14:textId="77777777" w:rsidR="00F476CA" w:rsidRPr="000F58C6" w:rsidRDefault="00F476CA" w:rsidP="00CB0F1D"/>
        </w:tc>
        <w:tc>
          <w:tcPr>
            <w:tcW w:w="3260" w:type="dxa"/>
          </w:tcPr>
          <w:p w14:paraId="112D5751" w14:textId="77777777" w:rsidR="00F476CA" w:rsidRPr="000F58C6" w:rsidRDefault="00F476CA" w:rsidP="00CB0F1D"/>
        </w:tc>
        <w:tc>
          <w:tcPr>
            <w:tcW w:w="1417" w:type="dxa"/>
          </w:tcPr>
          <w:p w14:paraId="137B7174" w14:textId="77777777" w:rsidR="00F476CA" w:rsidRPr="000F58C6" w:rsidRDefault="00F476CA" w:rsidP="00CB0F1D">
            <w:r w:rsidRPr="000F58C6">
              <w:t>A2203</w:t>
            </w:r>
          </w:p>
        </w:tc>
        <w:tc>
          <w:tcPr>
            <w:tcW w:w="1701" w:type="dxa"/>
          </w:tcPr>
          <w:p w14:paraId="01BC3D5F" w14:textId="77777777" w:rsidR="00F476CA" w:rsidRPr="000F58C6" w:rsidRDefault="00F476CA" w:rsidP="00CB0F1D"/>
        </w:tc>
      </w:tr>
      <w:tr w:rsidR="00F476CA" w:rsidRPr="000F58C6" w14:paraId="2FDCEF38" w14:textId="77777777" w:rsidTr="00F476CA">
        <w:tc>
          <w:tcPr>
            <w:tcW w:w="1668" w:type="dxa"/>
            <w:vMerge/>
          </w:tcPr>
          <w:p w14:paraId="4A2E0BE6" w14:textId="77777777" w:rsidR="00F476CA" w:rsidRPr="000F58C6" w:rsidRDefault="00F476CA" w:rsidP="00CB0F1D"/>
        </w:tc>
        <w:tc>
          <w:tcPr>
            <w:tcW w:w="3260" w:type="dxa"/>
          </w:tcPr>
          <w:p w14:paraId="638B4813" w14:textId="77777777" w:rsidR="00F476CA" w:rsidRPr="000F58C6" w:rsidRDefault="00F476CA" w:rsidP="00CB0F1D">
            <w:r w:rsidRPr="000F58C6">
              <w:t>Hepatic impairment</w:t>
            </w:r>
          </w:p>
        </w:tc>
        <w:tc>
          <w:tcPr>
            <w:tcW w:w="1417" w:type="dxa"/>
          </w:tcPr>
          <w:p w14:paraId="7158F2B7" w14:textId="77777777" w:rsidR="00F476CA" w:rsidRPr="000F58C6" w:rsidRDefault="00F476CA" w:rsidP="00CB0F1D">
            <w:r w:rsidRPr="000F58C6">
              <w:t>No studies</w:t>
            </w:r>
          </w:p>
        </w:tc>
        <w:tc>
          <w:tcPr>
            <w:tcW w:w="1701" w:type="dxa"/>
          </w:tcPr>
          <w:p w14:paraId="7C64534F" w14:textId="77777777" w:rsidR="00F476CA" w:rsidRPr="000F58C6" w:rsidRDefault="00F476CA" w:rsidP="00CB0F1D">
            <w:r w:rsidRPr="000F58C6">
              <w:t>A2110 ongoing</w:t>
            </w:r>
          </w:p>
        </w:tc>
      </w:tr>
      <w:tr w:rsidR="00F476CA" w:rsidRPr="000F58C6" w14:paraId="49C04591" w14:textId="77777777" w:rsidTr="00F476CA">
        <w:tc>
          <w:tcPr>
            <w:tcW w:w="1668" w:type="dxa"/>
            <w:vMerge/>
          </w:tcPr>
          <w:p w14:paraId="49D1F203" w14:textId="77777777" w:rsidR="00F476CA" w:rsidRPr="000F58C6" w:rsidRDefault="00F476CA" w:rsidP="00CB0F1D"/>
        </w:tc>
        <w:tc>
          <w:tcPr>
            <w:tcW w:w="3260" w:type="dxa"/>
          </w:tcPr>
          <w:p w14:paraId="163E3F8C" w14:textId="77777777" w:rsidR="00F476CA" w:rsidRPr="000F58C6" w:rsidRDefault="00F476CA" w:rsidP="00CB0F1D">
            <w:r w:rsidRPr="000F58C6">
              <w:t>Renal impairment</w:t>
            </w:r>
          </w:p>
        </w:tc>
        <w:tc>
          <w:tcPr>
            <w:tcW w:w="1417" w:type="dxa"/>
          </w:tcPr>
          <w:p w14:paraId="6D18AB42" w14:textId="77777777" w:rsidR="00F476CA" w:rsidRPr="000F58C6" w:rsidRDefault="00F476CA" w:rsidP="00CB0F1D">
            <w:r w:rsidRPr="000F58C6">
              <w:t>No studies</w:t>
            </w:r>
          </w:p>
        </w:tc>
        <w:tc>
          <w:tcPr>
            <w:tcW w:w="1701" w:type="dxa"/>
          </w:tcPr>
          <w:p w14:paraId="666EF52A" w14:textId="77777777" w:rsidR="00F476CA" w:rsidRPr="000F58C6" w:rsidRDefault="00F476CA" w:rsidP="00CB0F1D"/>
        </w:tc>
      </w:tr>
      <w:tr w:rsidR="00F476CA" w:rsidRPr="000F58C6" w14:paraId="15260BA8" w14:textId="77777777" w:rsidTr="00F476CA">
        <w:tc>
          <w:tcPr>
            <w:tcW w:w="1668" w:type="dxa"/>
            <w:vMerge/>
          </w:tcPr>
          <w:p w14:paraId="7039A86F" w14:textId="77777777" w:rsidR="00F476CA" w:rsidRPr="000F58C6" w:rsidRDefault="00F476CA" w:rsidP="00CB0F1D"/>
        </w:tc>
        <w:tc>
          <w:tcPr>
            <w:tcW w:w="3260" w:type="dxa"/>
          </w:tcPr>
          <w:p w14:paraId="6EFFA594" w14:textId="77777777" w:rsidR="00F476CA" w:rsidRPr="000F58C6" w:rsidRDefault="00F476CA" w:rsidP="00CB0F1D">
            <w:r w:rsidRPr="000F58C6">
              <w:t>Neonates/infants/children/</w:t>
            </w:r>
          </w:p>
          <w:p w14:paraId="60801753" w14:textId="77777777" w:rsidR="00F476CA" w:rsidRPr="000F58C6" w:rsidRDefault="00F476CA" w:rsidP="00CB0F1D">
            <w:r w:rsidRPr="000F58C6">
              <w:t>adolescents</w:t>
            </w:r>
          </w:p>
        </w:tc>
        <w:tc>
          <w:tcPr>
            <w:tcW w:w="1417" w:type="dxa"/>
          </w:tcPr>
          <w:p w14:paraId="2D0BAF09" w14:textId="77777777" w:rsidR="00F476CA" w:rsidRPr="000F58C6" w:rsidRDefault="00F476CA" w:rsidP="00CB0F1D">
            <w:r w:rsidRPr="000F58C6">
              <w:t>No studies</w:t>
            </w:r>
          </w:p>
        </w:tc>
        <w:tc>
          <w:tcPr>
            <w:tcW w:w="1701" w:type="dxa"/>
          </w:tcPr>
          <w:p w14:paraId="3446A49E" w14:textId="77777777" w:rsidR="00F476CA" w:rsidRPr="000F58C6" w:rsidRDefault="00F476CA" w:rsidP="00CB0F1D"/>
        </w:tc>
      </w:tr>
      <w:tr w:rsidR="00F476CA" w:rsidRPr="000F58C6" w14:paraId="094CE5B4" w14:textId="77777777" w:rsidTr="00F476CA">
        <w:tc>
          <w:tcPr>
            <w:tcW w:w="1668" w:type="dxa"/>
            <w:vMerge/>
          </w:tcPr>
          <w:p w14:paraId="6F99DFBB" w14:textId="77777777" w:rsidR="00F476CA" w:rsidRPr="000F58C6" w:rsidRDefault="00F476CA" w:rsidP="00CB0F1D"/>
        </w:tc>
        <w:tc>
          <w:tcPr>
            <w:tcW w:w="3260" w:type="dxa"/>
          </w:tcPr>
          <w:p w14:paraId="7D28EF82" w14:textId="77777777" w:rsidR="00F476CA" w:rsidRPr="000F58C6" w:rsidRDefault="00F476CA" w:rsidP="00CB0F1D">
            <w:r w:rsidRPr="000F58C6">
              <w:t>Elderly</w:t>
            </w:r>
          </w:p>
        </w:tc>
        <w:tc>
          <w:tcPr>
            <w:tcW w:w="1417" w:type="dxa"/>
          </w:tcPr>
          <w:p w14:paraId="267941B1" w14:textId="77777777" w:rsidR="00F476CA" w:rsidRPr="000F58C6" w:rsidRDefault="00F476CA" w:rsidP="00CB0F1D">
            <w:r w:rsidRPr="000F58C6">
              <w:t>No studies</w:t>
            </w:r>
          </w:p>
        </w:tc>
        <w:tc>
          <w:tcPr>
            <w:tcW w:w="1701" w:type="dxa"/>
          </w:tcPr>
          <w:p w14:paraId="14D9F9B2" w14:textId="77777777" w:rsidR="00F476CA" w:rsidRPr="000F58C6" w:rsidRDefault="00F476CA" w:rsidP="00CB0F1D"/>
        </w:tc>
      </w:tr>
      <w:tr w:rsidR="00F476CA" w:rsidRPr="000F58C6" w14:paraId="68C379A7" w14:textId="77777777" w:rsidTr="00F476CA">
        <w:tc>
          <w:tcPr>
            <w:tcW w:w="1668" w:type="dxa"/>
          </w:tcPr>
          <w:p w14:paraId="6614DB2B" w14:textId="77777777" w:rsidR="00F476CA" w:rsidRPr="000F58C6" w:rsidRDefault="00F476CA" w:rsidP="00CB0F1D">
            <w:r w:rsidRPr="000F58C6">
              <w:t>Genetic/gender-related PK</w:t>
            </w:r>
          </w:p>
        </w:tc>
        <w:tc>
          <w:tcPr>
            <w:tcW w:w="3260" w:type="dxa"/>
          </w:tcPr>
          <w:p w14:paraId="4928E3FA" w14:textId="77777777" w:rsidR="00F476CA" w:rsidRPr="000F58C6" w:rsidRDefault="00F476CA" w:rsidP="00CB0F1D">
            <w:r w:rsidRPr="000F58C6">
              <w:t>Males</w:t>
            </w:r>
            <w:r w:rsidR="002E3E15">
              <w:t xml:space="preserve"> versus</w:t>
            </w:r>
            <w:r w:rsidRPr="000F58C6">
              <w:t xml:space="preserve"> females</w:t>
            </w:r>
          </w:p>
        </w:tc>
        <w:tc>
          <w:tcPr>
            <w:tcW w:w="1417" w:type="dxa"/>
          </w:tcPr>
          <w:p w14:paraId="40BEC21D" w14:textId="77777777" w:rsidR="00F476CA" w:rsidRPr="000F58C6" w:rsidRDefault="00F476CA" w:rsidP="00CB0F1D">
            <w:r w:rsidRPr="000F58C6">
              <w:t>No specific studies</w:t>
            </w:r>
          </w:p>
        </w:tc>
        <w:tc>
          <w:tcPr>
            <w:tcW w:w="1701" w:type="dxa"/>
          </w:tcPr>
          <w:p w14:paraId="7129B9A2" w14:textId="77777777" w:rsidR="00F476CA" w:rsidRPr="000F58C6" w:rsidRDefault="00F476CA" w:rsidP="00CB0F1D"/>
        </w:tc>
      </w:tr>
      <w:tr w:rsidR="00F476CA" w:rsidRPr="000F58C6" w14:paraId="42CF7033" w14:textId="77777777" w:rsidTr="00F476CA">
        <w:tc>
          <w:tcPr>
            <w:tcW w:w="1668" w:type="dxa"/>
            <w:vMerge w:val="restart"/>
          </w:tcPr>
          <w:p w14:paraId="2E1EFAF9" w14:textId="77777777" w:rsidR="00F476CA" w:rsidRPr="000F58C6" w:rsidRDefault="00F476CA" w:rsidP="00CB0F1D">
            <w:r w:rsidRPr="000F58C6">
              <w:t>PK interactions</w:t>
            </w:r>
          </w:p>
        </w:tc>
        <w:tc>
          <w:tcPr>
            <w:tcW w:w="3260" w:type="dxa"/>
          </w:tcPr>
          <w:p w14:paraId="758EED3C" w14:textId="77777777" w:rsidR="00F476CA" w:rsidRPr="000F58C6" w:rsidRDefault="00F476CA" w:rsidP="00CB0F1D">
            <w:r w:rsidRPr="000F58C6">
              <w:t>Ketoconazole (2 x single doses; 45</w:t>
            </w:r>
            <w:r w:rsidR="00326B43">
              <w:t>0 mg</w:t>
            </w:r>
            <w:r w:rsidRPr="000F58C6">
              <w:t>)</w:t>
            </w:r>
          </w:p>
        </w:tc>
        <w:tc>
          <w:tcPr>
            <w:tcW w:w="1417" w:type="dxa"/>
          </w:tcPr>
          <w:p w14:paraId="072FFB48" w14:textId="77777777" w:rsidR="00F476CA" w:rsidRPr="000F58C6" w:rsidRDefault="00F476CA" w:rsidP="00CB0F1D">
            <w:r w:rsidRPr="000F58C6">
              <w:t>A2104</w:t>
            </w:r>
          </w:p>
        </w:tc>
        <w:tc>
          <w:tcPr>
            <w:tcW w:w="1701" w:type="dxa"/>
          </w:tcPr>
          <w:p w14:paraId="56C79C99" w14:textId="77777777" w:rsidR="00F476CA" w:rsidRPr="000F58C6" w:rsidRDefault="00F476CA" w:rsidP="00CB0F1D">
            <w:r w:rsidRPr="000F58C6">
              <w:t>DDI (ketoconazole)</w:t>
            </w:r>
          </w:p>
        </w:tc>
      </w:tr>
      <w:tr w:rsidR="00F476CA" w:rsidRPr="000F58C6" w14:paraId="4667E303" w14:textId="77777777" w:rsidTr="00F476CA">
        <w:tc>
          <w:tcPr>
            <w:tcW w:w="1668" w:type="dxa"/>
            <w:vMerge/>
          </w:tcPr>
          <w:p w14:paraId="2B102D78" w14:textId="77777777" w:rsidR="00F476CA" w:rsidRPr="000F58C6" w:rsidRDefault="00F476CA" w:rsidP="00CB0F1D"/>
        </w:tc>
        <w:tc>
          <w:tcPr>
            <w:tcW w:w="3260" w:type="dxa"/>
          </w:tcPr>
          <w:p w14:paraId="26AD1F60" w14:textId="77777777" w:rsidR="00F476CA" w:rsidRPr="003F4353" w:rsidRDefault="00F476CA" w:rsidP="00CB0F1D">
            <w:pPr>
              <w:rPr>
                <w:lang w:val="it-IT"/>
              </w:rPr>
            </w:pPr>
            <w:r w:rsidRPr="003F4353">
              <w:rPr>
                <w:lang w:val="it-IT"/>
              </w:rPr>
              <w:t>Rifampin (2x single doses; 75</w:t>
            </w:r>
            <w:r w:rsidR="00326B43" w:rsidRPr="003F4353">
              <w:rPr>
                <w:lang w:val="it-IT"/>
              </w:rPr>
              <w:t>0 mg</w:t>
            </w:r>
            <w:r w:rsidRPr="003F4353">
              <w:rPr>
                <w:lang w:val="it-IT"/>
              </w:rPr>
              <w:t>)</w:t>
            </w:r>
          </w:p>
        </w:tc>
        <w:tc>
          <w:tcPr>
            <w:tcW w:w="1417" w:type="dxa"/>
          </w:tcPr>
          <w:p w14:paraId="5A9963FD" w14:textId="77777777" w:rsidR="00F476CA" w:rsidRPr="000F58C6" w:rsidRDefault="00F476CA" w:rsidP="00CB0F1D">
            <w:r w:rsidRPr="000F58C6">
              <w:t>A2106</w:t>
            </w:r>
          </w:p>
        </w:tc>
        <w:tc>
          <w:tcPr>
            <w:tcW w:w="1701" w:type="dxa"/>
          </w:tcPr>
          <w:p w14:paraId="499DD101" w14:textId="77777777" w:rsidR="00F476CA" w:rsidRPr="000F58C6" w:rsidRDefault="00F476CA" w:rsidP="00CB0F1D">
            <w:r w:rsidRPr="000F58C6">
              <w:t>DDI (rifampin)</w:t>
            </w:r>
          </w:p>
        </w:tc>
      </w:tr>
      <w:tr w:rsidR="00F476CA" w:rsidRPr="000F58C6" w14:paraId="54C932DE" w14:textId="77777777" w:rsidTr="00F476CA">
        <w:tc>
          <w:tcPr>
            <w:tcW w:w="1668" w:type="dxa"/>
            <w:vMerge w:val="restart"/>
          </w:tcPr>
          <w:p w14:paraId="1A7CC727" w14:textId="77777777" w:rsidR="00F476CA" w:rsidRPr="000F58C6" w:rsidRDefault="00F476CA" w:rsidP="00CB0F1D">
            <w:r w:rsidRPr="000F58C6">
              <w:t>Population PK analyses</w:t>
            </w:r>
          </w:p>
        </w:tc>
        <w:tc>
          <w:tcPr>
            <w:tcW w:w="3260" w:type="dxa"/>
          </w:tcPr>
          <w:p w14:paraId="3FF0ED92" w14:textId="77777777" w:rsidR="00F476CA" w:rsidRPr="000F58C6" w:rsidRDefault="00F476CA" w:rsidP="00CB0F1D">
            <w:r w:rsidRPr="000F58C6">
              <w:t>Healthy subjects</w:t>
            </w:r>
          </w:p>
        </w:tc>
        <w:tc>
          <w:tcPr>
            <w:tcW w:w="1417" w:type="dxa"/>
          </w:tcPr>
          <w:p w14:paraId="18D6E20B" w14:textId="77777777" w:rsidR="00F476CA" w:rsidRPr="000F58C6" w:rsidRDefault="00F476CA" w:rsidP="00CB0F1D">
            <w:r w:rsidRPr="000F58C6">
              <w:t>No studies</w:t>
            </w:r>
          </w:p>
        </w:tc>
        <w:tc>
          <w:tcPr>
            <w:tcW w:w="1701" w:type="dxa"/>
          </w:tcPr>
          <w:p w14:paraId="06AA77F9" w14:textId="77777777" w:rsidR="00F476CA" w:rsidRPr="000F58C6" w:rsidRDefault="00F476CA" w:rsidP="00CB0F1D"/>
        </w:tc>
      </w:tr>
      <w:tr w:rsidR="00F476CA" w:rsidRPr="000F58C6" w14:paraId="1304A855" w14:textId="77777777" w:rsidTr="00F476CA">
        <w:tc>
          <w:tcPr>
            <w:tcW w:w="1668" w:type="dxa"/>
            <w:vMerge/>
          </w:tcPr>
          <w:p w14:paraId="45B15D51" w14:textId="77777777" w:rsidR="00F476CA" w:rsidRPr="000F58C6" w:rsidRDefault="00F476CA" w:rsidP="00CB0F1D"/>
        </w:tc>
        <w:tc>
          <w:tcPr>
            <w:tcW w:w="3260" w:type="dxa"/>
            <w:vMerge w:val="restart"/>
          </w:tcPr>
          <w:p w14:paraId="4055D121" w14:textId="77777777" w:rsidR="00F476CA" w:rsidRPr="000F58C6" w:rsidRDefault="00F476CA" w:rsidP="00CB0F1D">
            <w:r w:rsidRPr="000F58C6">
              <w:t>Target population</w:t>
            </w:r>
          </w:p>
        </w:tc>
        <w:tc>
          <w:tcPr>
            <w:tcW w:w="1417" w:type="dxa"/>
          </w:tcPr>
          <w:p w14:paraId="3744BDA0" w14:textId="77777777" w:rsidR="00F476CA" w:rsidRPr="000F58C6" w:rsidRDefault="00F476CA" w:rsidP="00CB0F1D">
            <w:r w:rsidRPr="000F58C6">
              <w:t>X2101</w:t>
            </w:r>
          </w:p>
        </w:tc>
        <w:tc>
          <w:tcPr>
            <w:tcW w:w="1701" w:type="dxa"/>
          </w:tcPr>
          <w:p w14:paraId="632B6669" w14:textId="77777777" w:rsidR="00F476CA" w:rsidRPr="000F58C6" w:rsidRDefault="00F476CA" w:rsidP="00CB0F1D"/>
        </w:tc>
      </w:tr>
      <w:tr w:rsidR="00F476CA" w:rsidRPr="000F58C6" w14:paraId="398DBD9E" w14:textId="77777777" w:rsidTr="00F476CA">
        <w:tc>
          <w:tcPr>
            <w:tcW w:w="1668" w:type="dxa"/>
            <w:vMerge/>
          </w:tcPr>
          <w:p w14:paraId="34BA84B8" w14:textId="77777777" w:rsidR="00F476CA" w:rsidRPr="000F58C6" w:rsidRDefault="00F476CA" w:rsidP="00CB0F1D"/>
        </w:tc>
        <w:tc>
          <w:tcPr>
            <w:tcW w:w="3260" w:type="dxa"/>
            <w:vMerge/>
          </w:tcPr>
          <w:p w14:paraId="72825764" w14:textId="77777777" w:rsidR="00F476CA" w:rsidRPr="000F58C6" w:rsidRDefault="00F476CA" w:rsidP="00CB0F1D"/>
        </w:tc>
        <w:tc>
          <w:tcPr>
            <w:tcW w:w="1417" w:type="dxa"/>
          </w:tcPr>
          <w:p w14:paraId="0D5F7B49" w14:textId="77777777" w:rsidR="00F476CA" w:rsidRPr="000F58C6" w:rsidRDefault="00F476CA" w:rsidP="00CB0F1D">
            <w:r w:rsidRPr="000F58C6">
              <w:t>X1101</w:t>
            </w:r>
          </w:p>
        </w:tc>
        <w:tc>
          <w:tcPr>
            <w:tcW w:w="1701" w:type="dxa"/>
          </w:tcPr>
          <w:p w14:paraId="23095EFC" w14:textId="77777777" w:rsidR="00F476CA" w:rsidRPr="000F58C6" w:rsidRDefault="00F476CA" w:rsidP="00CB0F1D"/>
        </w:tc>
      </w:tr>
      <w:tr w:rsidR="00F476CA" w:rsidRPr="000F58C6" w14:paraId="6A9E6BDC" w14:textId="77777777" w:rsidTr="00F476CA">
        <w:tc>
          <w:tcPr>
            <w:tcW w:w="1668" w:type="dxa"/>
            <w:vMerge/>
          </w:tcPr>
          <w:p w14:paraId="0DB02899" w14:textId="77777777" w:rsidR="00F476CA" w:rsidRPr="000F58C6" w:rsidRDefault="00F476CA" w:rsidP="00CB0F1D"/>
        </w:tc>
        <w:tc>
          <w:tcPr>
            <w:tcW w:w="3260" w:type="dxa"/>
            <w:vMerge/>
          </w:tcPr>
          <w:p w14:paraId="3A123306" w14:textId="77777777" w:rsidR="00F476CA" w:rsidRPr="000F58C6" w:rsidRDefault="00F476CA" w:rsidP="00CB0F1D"/>
        </w:tc>
        <w:tc>
          <w:tcPr>
            <w:tcW w:w="1417" w:type="dxa"/>
          </w:tcPr>
          <w:p w14:paraId="673C44EB" w14:textId="77777777" w:rsidR="00F476CA" w:rsidRPr="000F58C6" w:rsidRDefault="00F476CA" w:rsidP="00CB0F1D">
            <w:r w:rsidRPr="000F58C6">
              <w:t>A2201</w:t>
            </w:r>
          </w:p>
        </w:tc>
        <w:tc>
          <w:tcPr>
            <w:tcW w:w="1701" w:type="dxa"/>
          </w:tcPr>
          <w:p w14:paraId="0E2CE01D" w14:textId="77777777" w:rsidR="00F476CA" w:rsidRPr="000F58C6" w:rsidRDefault="00F476CA" w:rsidP="00CB0F1D"/>
        </w:tc>
      </w:tr>
      <w:tr w:rsidR="00F476CA" w:rsidRPr="000F58C6" w14:paraId="0595A1F9" w14:textId="77777777" w:rsidTr="00F476CA">
        <w:tc>
          <w:tcPr>
            <w:tcW w:w="1668" w:type="dxa"/>
            <w:vMerge/>
          </w:tcPr>
          <w:p w14:paraId="5A9CC105" w14:textId="77777777" w:rsidR="00F476CA" w:rsidRPr="000F58C6" w:rsidRDefault="00F476CA" w:rsidP="00CB0F1D"/>
        </w:tc>
        <w:tc>
          <w:tcPr>
            <w:tcW w:w="3260" w:type="dxa"/>
            <w:vMerge/>
          </w:tcPr>
          <w:p w14:paraId="4AA5BE73" w14:textId="77777777" w:rsidR="00F476CA" w:rsidRPr="000F58C6" w:rsidRDefault="00F476CA" w:rsidP="00CB0F1D"/>
        </w:tc>
        <w:tc>
          <w:tcPr>
            <w:tcW w:w="1417" w:type="dxa"/>
          </w:tcPr>
          <w:p w14:paraId="53880F41" w14:textId="77777777" w:rsidR="00F476CA" w:rsidRPr="000F58C6" w:rsidRDefault="00F476CA" w:rsidP="00CB0F1D">
            <w:r w:rsidRPr="000F58C6">
              <w:t>A2203</w:t>
            </w:r>
          </w:p>
        </w:tc>
        <w:tc>
          <w:tcPr>
            <w:tcW w:w="1701" w:type="dxa"/>
          </w:tcPr>
          <w:p w14:paraId="25BE0369" w14:textId="77777777" w:rsidR="00F476CA" w:rsidRPr="000F58C6" w:rsidRDefault="00F476CA" w:rsidP="00CB0F1D"/>
        </w:tc>
      </w:tr>
    </w:tbl>
    <w:p w14:paraId="5873843A" w14:textId="77777777" w:rsidR="000C0512" w:rsidRDefault="000C0512" w:rsidP="000F58C6">
      <w:pPr>
        <w:pStyle w:val="TableDescription"/>
      </w:pPr>
      <w:r>
        <w:t>* Indicates the primary aim of the study.</w:t>
      </w:r>
      <w:r w:rsidR="000F58C6">
        <w:t xml:space="preserve"> </w:t>
      </w:r>
      <w:r w:rsidRPr="00AF6927">
        <w:t>†</w:t>
      </w:r>
      <w:r>
        <w:t xml:space="preserve"> Bioequivalence of different formulations.</w:t>
      </w:r>
      <w:r w:rsidR="000F58C6">
        <w:t xml:space="preserve"> </w:t>
      </w:r>
      <w:r w:rsidRPr="00BF3808">
        <w:t>§</w:t>
      </w:r>
      <w:r>
        <w:rPr>
          <w:szCs w:val="20"/>
        </w:rPr>
        <w:t xml:space="preserve"> Subjects who would be eligible to receive the drug if approved for the proposed indication.</w:t>
      </w:r>
      <w:r w:rsidR="000F58C6">
        <w:rPr>
          <w:szCs w:val="20"/>
        </w:rPr>
        <w:t xml:space="preserve"> </w:t>
      </w:r>
      <w:r>
        <w:t>ADME = absorption, distribution, metabolism and excretion</w:t>
      </w:r>
    </w:p>
    <w:p w14:paraId="62A49CCE" w14:textId="77777777" w:rsidR="000C0512" w:rsidRDefault="000C0512" w:rsidP="000F58C6">
      <w:pPr>
        <w:pStyle w:val="TableDescription"/>
      </w:pPr>
      <w:r>
        <w:t>DDI = drug-drug interaction</w:t>
      </w:r>
    </w:p>
    <w:p w14:paraId="60206EB7" w14:textId="77777777" w:rsidR="000C0512" w:rsidRDefault="000C0512" w:rsidP="000C0512">
      <w:r>
        <w:t>None of the pharmacokinetic studies had deficiencies that excluded their results from consideration.</w:t>
      </w:r>
    </w:p>
    <w:p w14:paraId="57444130" w14:textId="77777777" w:rsidR="00605AD4" w:rsidRDefault="00605AD4" w:rsidP="00605AD4">
      <w:pPr>
        <w:pStyle w:val="Heading4"/>
      </w:pPr>
      <w:r>
        <w:t>Evaluator’s conclusions on pharmacokinetics</w:t>
      </w:r>
    </w:p>
    <w:p w14:paraId="7085BF0D" w14:textId="5CC195FF" w:rsidR="000C0512" w:rsidRPr="00D55FE2" w:rsidRDefault="000C0512" w:rsidP="000C0512">
      <w:r w:rsidRPr="00D55FE2">
        <w:t xml:space="preserve">The clinical pharmacology documentation of ceritinib seems to be satisfactory. </w:t>
      </w:r>
    </w:p>
    <w:p w14:paraId="55FF5626" w14:textId="77777777" w:rsidR="000C0512" w:rsidRPr="00D55FE2" w:rsidRDefault="000C0512" w:rsidP="000C0512">
      <w:pPr>
        <w:pStyle w:val="Default"/>
        <w:rPr>
          <w:rFonts w:ascii="Cambria" w:hAnsi="Cambria"/>
          <w:sz w:val="22"/>
          <w:szCs w:val="22"/>
        </w:rPr>
      </w:pPr>
      <w:r>
        <w:rPr>
          <w:rFonts w:ascii="Cambria" w:hAnsi="Cambria"/>
          <w:sz w:val="22"/>
          <w:szCs w:val="22"/>
        </w:rPr>
        <w:t>Ceritinib PK</w:t>
      </w:r>
      <w:r w:rsidRPr="00D55FE2">
        <w:rPr>
          <w:rFonts w:ascii="Cambria" w:hAnsi="Cambria"/>
          <w:sz w:val="22"/>
          <w:szCs w:val="22"/>
        </w:rPr>
        <w:t xml:space="preserve"> has not been investigated in patients with mild, mod</w:t>
      </w:r>
      <w:r>
        <w:rPr>
          <w:rFonts w:ascii="Cambria" w:hAnsi="Cambria"/>
          <w:sz w:val="22"/>
          <w:szCs w:val="22"/>
        </w:rPr>
        <w:t>erate and severe hepatic impair</w:t>
      </w:r>
      <w:r w:rsidRPr="00D55FE2">
        <w:rPr>
          <w:rFonts w:ascii="Cambria" w:hAnsi="Cambria"/>
          <w:sz w:val="22"/>
          <w:szCs w:val="22"/>
        </w:rPr>
        <w:t>ment. A study in non-cancer patients with varying degrees of impaired hepatic function is currently ongoing (A2110). Among the patients included in the population PK analysis, 48 had mild pre-existing hepatic impairment. The steady-state AUC</w:t>
      </w:r>
      <w:r w:rsidRPr="000F58C6">
        <w:rPr>
          <w:rFonts w:ascii="Cambria" w:hAnsi="Cambria"/>
          <w:sz w:val="22"/>
          <w:szCs w:val="22"/>
          <w:vertAlign w:val="subscript"/>
        </w:rPr>
        <w:t>tau</w:t>
      </w:r>
      <w:r w:rsidRPr="00D55FE2">
        <w:rPr>
          <w:rFonts w:ascii="Cambria" w:hAnsi="Cambria"/>
          <w:sz w:val="22"/>
          <w:szCs w:val="22"/>
        </w:rPr>
        <w:t xml:space="preserve"> of ceritinib in these patients was estimated to be similar to that in patients with normal liver function but the analysis is limited since none of the patients included in the population analysis had pre-existing moderate or severe hepatic impairment</w:t>
      </w:r>
      <w:r>
        <w:rPr>
          <w:rFonts w:ascii="Cambria" w:hAnsi="Cambria"/>
          <w:sz w:val="22"/>
          <w:szCs w:val="22"/>
        </w:rPr>
        <w:t>, as they were excluded from participating in the trials</w:t>
      </w:r>
      <w:r w:rsidRPr="00D55FE2">
        <w:rPr>
          <w:rFonts w:ascii="Cambria" w:hAnsi="Cambria"/>
          <w:sz w:val="22"/>
          <w:szCs w:val="22"/>
        </w:rPr>
        <w:t xml:space="preserve">. </w:t>
      </w:r>
    </w:p>
    <w:p w14:paraId="3F98D688" w14:textId="77777777" w:rsidR="000C0512" w:rsidRDefault="000C0512" w:rsidP="000C0512">
      <w:pPr>
        <w:pStyle w:val="Default"/>
        <w:rPr>
          <w:rFonts w:ascii="Cambria" w:hAnsi="Cambria"/>
          <w:sz w:val="22"/>
          <w:szCs w:val="22"/>
        </w:rPr>
      </w:pPr>
      <w:r>
        <w:rPr>
          <w:rFonts w:ascii="Cambria" w:hAnsi="Cambria"/>
          <w:sz w:val="22"/>
          <w:szCs w:val="22"/>
        </w:rPr>
        <w:t xml:space="preserve">In vivo and in vitro data </w:t>
      </w:r>
      <w:r w:rsidRPr="00D55FE2">
        <w:rPr>
          <w:rFonts w:ascii="Cambria" w:hAnsi="Cambria"/>
          <w:sz w:val="22"/>
          <w:szCs w:val="22"/>
        </w:rPr>
        <w:t xml:space="preserve">have shown that the concomitant use of CYP3A/P-gp inhibitors can increase the ceritinib plasma concentrations. In fact, results from the ketoconazole study, show that the estimated geometric mean ratios for </w:t>
      </w:r>
      <w:r w:rsidR="00E94BD9" w:rsidRPr="008F067A">
        <w:t>AUC</w:t>
      </w:r>
      <w:r w:rsidR="00E94BD9" w:rsidRPr="00E94BD9">
        <w:rPr>
          <w:vertAlign w:val="subscript"/>
        </w:rPr>
        <w:t>inf</w:t>
      </w:r>
      <w:r w:rsidRPr="00D55FE2">
        <w:rPr>
          <w:rFonts w:ascii="Cambria" w:hAnsi="Cambria"/>
          <w:sz w:val="22"/>
          <w:szCs w:val="22"/>
        </w:rPr>
        <w:t xml:space="preserve"> and </w:t>
      </w:r>
      <w:r w:rsidR="00326B43" w:rsidRPr="004933DC">
        <w:t>C</w:t>
      </w:r>
      <w:r w:rsidR="00326B43" w:rsidRPr="00326B43">
        <w:rPr>
          <w:vertAlign w:val="subscript"/>
        </w:rPr>
        <w:t>max</w:t>
      </w:r>
      <w:r w:rsidR="00326B43">
        <w:t xml:space="preserve"> </w:t>
      </w:r>
      <w:r w:rsidRPr="00D55FE2">
        <w:rPr>
          <w:rFonts w:ascii="Cambria" w:hAnsi="Cambria"/>
          <w:sz w:val="22"/>
          <w:szCs w:val="22"/>
        </w:rPr>
        <w:t>were increased almost 3 fold a</w:t>
      </w:r>
      <w:r>
        <w:rPr>
          <w:rFonts w:ascii="Cambria" w:hAnsi="Cambria"/>
          <w:sz w:val="22"/>
          <w:szCs w:val="22"/>
        </w:rPr>
        <w:t xml:space="preserve">nd 1 fold respectively. </w:t>
      </w:r>
      <w:r w:rsidRPr="00D55FE2">
        <w:rPr>
          <w:rFonts w:ascii="Cambria" w:hAnsi="Cambria"/>
          <w:sz w:val="22"/>
          <w:szCs w:val="22"/>
        </w:rPr>
        <w:t xml:space="preserve">Results from a </w:t>
      </w:r>
      <w:r w:rsidR="000F58C6">
        <w:rPr>
          <w:rFonts w:ascii="Cambria" w:hAnsi="Cambria"/>
          <w:sz w:val="22"/>
          <w:szCs w:val="22"/>
        </w:rPr>
        <w:t>drug-drug interaction (</w:t>
      </w:r>
      <w:r w:rsidRPr="00D55FE2">
        <w:rPr>
          <w:rFonts w:ascii="Cambria" w:hAnsi="Cambria"/>
          <w:sz w:val="22"/>
          <w:szCs w:val="22"/>
        </w:rPr>
        <w:t>DDI</w:t>
      </w:r>
      <w:r w:rsidR="000F58C6">
        <w:rPr>
          <w:rFonts w:ascii="Cambria" w:hAnsi="Cambria"/>
          <w:sz w:val="22"/>
          <w:szCs w:val="22"/>
        </w:rPr>
        <w:t>)</w:t>
      </w:r>
      <w:r w:rsidRPr="00D55FE2">
        <w:rPr>
          <w:rFonts w:ascii="Cambria" w:hAnsi="Cambria"/>
          <w:sz w:val="22"/>
          <w:szCs w:val="22"/>
        </w:rPr>
        <w:t xml:space="preserve"> study with rifampin clearly indicate that strong CYP3A inducer decreases the ceritinib concentrations, leading to reduce both the </w:t>
      </w:r>
      <w:r w:rsidR="00326B43" w:rsidRPr="004933DC">
        <w:t>C</w:t>
      </w:r>
      <w:r w:rsidR="00326B43" w:rsidRPr="00326B43">
        <w:rPr>
          <w:vertAlign w:val="subscript"/>
        </w:rPr>
        <w:t>max</w:t>
      </w:r>
      <w:r w:rsidR="00326B43">
        <w:t xml:space="preserve"> </w:t>
      </w:r>
      <w:r w:rsidRPr="00D55FE2">
        <w:rPr>
          <w:rFonts w:ascii="Cambria" w:hAnsi="Cambria"/>
          <w:sz w:val="22"/>
          <w:szCs w:val="22"/>
        </w:rPr>
        <w:t xml:space="preserve">and </w:t>
      </w:r>
      <w:r w:rsidR="00E94BD9" w:rsidRPr="008F067A">
        <w:t>AUC</w:t>
      </w:r>
      <w:r w:rsidR="00E94BD9" w:rsidRPr="00E94BD9">
        <w:rPr>
          <w:vertAlign w:val="subscript"/>
        </w:rPr>
        <w:t>inf</w:t>
      </w:r>
      <w:r w:rsidRPr="00D55FE2">
        <w:rPr>
          <w:rFonts w:ascii="Cambria" w:hAnsi="Cambria"/>
          <w:sz w:val="22"/>
          <w:szCs w:val="22"/>
        </w:rPr>
        <w:t xml:space="preserve"> (44% and 70%, respectively).</w:t>
      </w:r>
      <w:r w:rsidR="000E3918">
        <w:rPr>
          <w:rFonts w:ascii="Cambria" w:hAnsi="Cambria"/>
          <w:sz w:val="22"/>
          <w:szCs w:val="22"/>
        </w:rPr>
        <w:t xml:space="preserve"> </w:t>
      </w:r>
      <w:r>
        <w:rPr>
          <w:rFonts w:ascii="Cambria" w:hAnsi="Cambria"/>
          <w:sz w:val="22"/>
          <w:szCs w:val="22"/>
        </w:rPr>
        <w:t xml:space="preserve">This was addressed appropriately in the PI under </w:t>
      </w:r>
      <w:r w:rsidR="0089512A">
        <w:rPr>
          <w:rFonts w:ascii="Cambria" w:hAnsi="Cambria"/>
          <w:sz w:val="22"/>
          <w:szCs w:val="22"/>
        </w:rPr>
        <w:t>‘</w:t>
      </w:r>
      <w:r>
        <w:rPr>
          <w:rFonts w:ascii="Cambria" w:hAnsi="Cambria"/>
          <w:sz w:val="22"/>
          <w:szCs w:val="22"/>
        </w:rPr>
        <w:t>Interactions with other Medicine</w:t>
      </w:r>
      <w:r w:rsidR="0089512A">
        <w:rPr>
          <w:rFonts w:ascii="Cambria" w:hAnsi="Cambria"/>
          <w:sz w:val="22"/>
          <w:szCs w:val="22"/>
        </w:rPr>
        <w:t>’</w:t>
      </w:r>
      <w:r>
        <w:rPr>
          <w:rFonts w:ascii="Cambria" w:hAnsi="Cambria"/>
          <w:sz w:val="22"/>
          <w:szCs w:val="22"/>
        </w:rPr>
        <w:t>.</w:t>
      </w:r>
    </w:p>
    <w:p w14:paraId="656AFA5E" w14:textId="77777777" w:rsidR="000C0512" w:rsidRDefault="000C0512" w:rsidP="000C0512">
      <w:pPr>
        <w:pStyle w:val="Default"/>
        <w:rPr>
          <w:rFonts w:ascii="Cambria" w:hAnsi="Cambria"/>
          <w:sz w:val="22"/>
          <w:szCs w:val="22"/>
        </w:rPr>
      </w:pPr>
      <w:r>
        <w:rPr>
          <w:rFonts w:ascii="Cambria" w:hAnsi="Cambria"/>
          <w:sz w:val="22"/>
          <w:szCs w:val="22"/>
        </w:rPr>
        <w:t xml:space="preserve">Based on in vitro data, ceritinib competitively inhibits the metabolism of CYP3A and CYP2C9 substrates but no clinical studies have been submitted for review. </w:t>
      </w:r>
      <w:r w:rsidR="000F58C6">
        <w:rPr>
          <w:rFonts w:ascii="Cambria" w:hAnsi="Cambria"/>
          <w:sz w:val="22"/>
          <w:szCs w:val="22"/>
        </w:rPr>
        <w:t>The evaluator</w:t>
      </w:r>
      <w:r>
        <w:rPr>
          <w:rFonts w:ascii="Cambria" w:hAnsi="Cambria"/>
          <w:sz w:val="22"/>
          <w:szCs w:val="22"/>
        </w:rPr>
        <w:t xml:space="preserve"> understand</w:t>
      </w:r>
      <w:r w:rsidR="000F58C6">
        <w:rPr>
          <w:rFonts w:ascii="Cambria" w:hAnsi="Cambria"/>
          <w:sz w:val="22"/>
          <w:szCs w:val="22"/>
        </w:rPr>
        <w:t>s</w:t>
      </w:r>
      <w:r>
        <w:rPr>
          <w:rFonts w:ascii="Cambria" w:hAnsi="Cambria"/>
          <w:sz w:val="22"/>
          <w:szCs w:val="22"/>
        </w:rPr>
        <w:t xml:space="preserve"> that an interaction with midazolam (CYP3A4 substrate) as well as with warfarin (CYP2C9) is being performed post-approval (ClinicalTrials.gov Identifier: NCT02422589).</w:t>
      </w:r>
      <w:r w:rsidR="000E3918">
        <w:rPr>
          <w:rFonts w:ascii="Cambria" w:hAnsi="Cambria"/>
          <w:sz w:val="22"/>
          <w:szCs w:val="22"/>
        </w:rPr>
        <w:t xml:space="preserve"> </w:t>
      </w:r>
      <w:r>
        <w:rPr>
          <w:rFonts w:ascii="Cambria" w:hAnsi="Cambria"/>
          <w:sz w:val="22"/>
          <w:szCs w:val="22"/>
        </w:rPr>
        <w:t xml:space="preserve">Furthermore ceritinib also inhibits CYP2A6 and CYP2E1 at clinically relevant concentrations in the in vitro experiments. </w:t>
      </w:r>
      <w:r w:rsidR="000F58C6">
        <w:rPr>
          <w:rFonts w:ascii="Cambria" w:hAnsi="Cambria"/>
          <w:sz w:val="22"/>
          <w:szCs w:val="22"/>
        </w:rPr>
        <w:t>The evaluator</w:t>
      </w:r>
      <w:r>
        <w:rPr>
          <w:rFonts w:ascii="Cambria" w:hAnsi="Cambria"/>
          <w:sz w:val="22"/>
          <w:szCs w:val="22"/>
        </w:rPr>
        <w:t xml:space="preserve"> think</w:t>
      </w:r>
      <w:r w:rsidR="000F58C6">
        <w:rPr>
          <w:rFonts w:ascii="Cambria" w:hAnsi="Cambria"/>
          <w:sz w:val="22"/>
          <w:szCs w:val="22"/>
        </w:rPr>
        <w:t>s</w:t>
      </w:r>
      <w:r>
        <w:rPr>
          <w:rFonts w:ascii="Cambria" w:hAnsi="Cambria"/>
          <w:sz w:val="22"/>
          <w:szCs w:val="22"/>
        </w:rPr>
        <w:t xml:space="preserve"> this has been adequately addressed in the Australian PI but clinical studies have not been </w:t>
      </w:r>
      <w:r w:rsidR="000F58C6">
        <w:rPr>
          <w:rFonts w:ascii="Cambria" w:hAnsi="Cambria"/>
          <w:sz w:val="22"/>
          <w:szCs w:val="22"/>
        </w:rPr>
        <w:t>conducted</w:t>
      </w:r>
      <w:r>
        <w:rPr>
          <w:rFonts w:ascii="Cambria" w:hAnsi="Cambria"/>
          <w:sz w:val="22"/>
          <w:szCs w:val="22"/>
        </w:rPr>
        <w:t xml:space="preserve">. </w:t>
      </w:r>
      <w:r w:rsidRPr="00D55FE2">
        <w:rPr>
          <w:rFonts w:ascii="Cambria" w:hAnsi="Cambria"/>
          <w:sz w:val="22"/>
          <w:szCs w:val="22"/>
        </w:rPr>
        <w:t xml:space="preserve">In addition, according to the EU Guideline on Interactions, all important CYPs (as listed in the guideline) should be evaluated for time-dependent inhibition. Such data seems to be lacking for CYP1A2, CYP2C8, CYP2C19, and CYP2D6. </w:t>
      </w:r>
    </w:p>
    <w:p w14:paraId="5413D59E" w14:textId="77777777" w:rsidR="000C0512" w:rsidRDefault="000C0512" w:rsidP="000C0512">
      <w:r>
        <w:t>The proposed PI is generally an adequate and accurate summary of the PK presented in the submission. However the following points need further consideration based on the above discussion:</w:t>
      </w:r>
    </w:p>
    <w:p w14:paraId="17F6F6B4" w14:textId="77777777" w:rsidR="000C0512" w:rsidRPr="005D797F" w:rsidRDefault="000C0512" w:rsidP="000F58C6">
      <w:pPr>
        <w:pStyle w:val="ListBullet"/>
      </w:pPr>
      <w:r w:rsidRPr="005D797F">
        <w:t xml:space="preserve">Given the current lack of specific data in patients with moderately to severely </w:t>
      </w:r>
      <w:proofErr w:type="gramStart"/>
      <w:r w:rsidRPr="005D797F">
        <w:t>impaired</w:t>
      </w:r>
      <w:proofErr w:type="gramEnd"/>
      <w:r w:rsidRPr="005D797F">
        <w:t xml:space="preserve"> hepatic function, </w:t>
      </w:r>
      <w:r w:rsidR="000F58C6">
        <w:t>the evaluator</w:t>
      </w:r>
      <w:r w:rsidRPr="005D797F">
        <w:t xml:space="preserve"> think</w:t>
      </w:r>
      <w:r w:rsidR="000F58C6">
        <w:t>s</w:t>
      </w:r>
      <w:r w:rsidRPr="005D797F">
        <w:t xml:space="preserve"> it is </w:t>
      </w:r>
      <w:r w:rsidR="000F58C6">
        <w:t>in</w:t>
      </w:r>
      <w:r w:rsidRPr="005D797F">
        <w:t xml:space="preserve"> the patients best interest to be more conservative in the wording of this issue until hepatic impairment data (Stu</w:t>
      </w:r>
      <w:r>
        <w:t xml:space="preserve">dy A2110) becomes available, particularly given </w:t>
      </w:r>
      <w:r w:rsidRPr="005D797F">
        <w:t xml:space="preserve">that hepatotoxicity was observed in the efficacy-safety study for the target population. </w:t>
      </w:r>
      <w:r>
        <w:t xml:space="preserve">Consideration should be made to change the phrasing to </w:t>
      </w:r>
      <w:r w:rsidR="0089512A">
        <w:t>‘</w:t>
      </w:r>
      <w:r w:rsidRPr="000F58C6">
        <w:rPr>
          <w:i/>
        </w:rPr>
        <w:t>Ceritinib is not recommended in patients with moderate to severe hepatic impairment</w:t>
      </w:r>
      <w:r w:rsidR="0089512A" w:rsidRPr="000F58C6">
        <w:rPr>
          <w:i/>
        </w:rPr>
        <w:t>’</w:t>
      </w:r>
      <w:r>
        <w:t>.</w:t>
      </w:r>
    </w:p>
    <w:p w14:paraId="786304DE" w14:textId="77777777" w:rsidR="000C0512" w:rsidRDefault="000C0512" w:rsidP="00BD48D5">
      <w:pPr>
        <w:pStyle w:val="ListBullet"/>
      </w:pPr>
      <w:r w:rsidRPr="002D137E">
        <w:lastRenderedPageBreak/>
        <w:t>Ceritinib might induce CYPs regulated by PXR</w:t>
      </w:r>
      <w:r>
        <w:t>. For</w:t>
      </w:r>
      <w:r w:rsidRPr="002D137E">
        <w:t xml:space="preserve"> </w:t>
      </w:r>
      <w:r>
        <w:t>some</w:t>
      </w:r>
      <w:r w:rsidRPr="002D137E">
        <w:t xml:space="preserve"> PXR</w:t>
      </w:r>
      <w:r w:rsidR="00BD48D5">
        <w:t xml:space="preserve"> </w:t>
      </w:r>
      <w:r w:rsidRPr="002D137E">
        <w:t xml:space="preserve">regulated enzymes and transporters (including </w:t>
      </w:r>
      <w:r w:rsidR="00BD48D5" w:rsidRPr="00BD48D5">
        <w:t>uridine diphosphate glucuronosyl transferase</w:t>
      </w:r>
      <w:r w:rsidR="00BD48D5">
        <w:t xml:space="preserve"> (</w:t>
      </w:r>
      <w:r w:rsidRPr="002D137E">
        <w:t>UGTs</w:t>
      </w:r>
      <w:r w:rsidR="00BD48D5">
        <w:t>)</w:t>
      </w:r>
      <w:r w:rsidRPr="002D137E">
        <w:t xml:space="preserve">) the net effect may be induction. In particular, there may be a risk for decreased efficacy of hormonal contraceptives, if UGTs are induced. </w:t>
      </w:r>
      <w:r w:rsidR="00BD48D5">
        <w:t>The evaluator</w:t>
      </w:r>
      <w:r>
        <w:t xml:space="preserve"> note</w:t>
      </w:r>
      <w:r w:rsidR="00BD48D5">
        <w:t>s</w:t>
      </w:r>
      <w:r>
        <w:t xml:space="preserve"> that a warning that effectiveness of concomitant administration of oral contraceptives may be reduced with concomitant use of ceritinib was not included in the Australian PI.</w:t>
      </w:r>
      <w:r w:rsidR="000E3918">
        <w:t xml:space="preserve"> </w:t>
      </w:r>
      <w:r>
        <w:t xml:space="preserve">This is probably important given the young demographics this disease tends to affect. </w:t>
      </w:r>
    </w:p>
    <w:p w14:paraId="09BEC2AC" w14:textId="77777777" w:rsidR="000C0512" w:rsidRPr="00196837" w:rsidRDefault="000C0512" w:rsidP="000F58C6">
      <w:pPr>
        <w:pStyle w:val="ListBullet"/>
      </w:pPr>
      <w:r w:rsidRPr="00196837">
        <w:t xml:space="preserve">The Australian PI does not state the potential effect of gastric acid-reducing agents. Given the prevalence of the use of this class of agents, potential interaction from in vitro data and the lack of human studies, </w:t>
      </w:r>
      <w:r w:rsidR="00BD48D5">
        <w:t>the evaluator</w:t>
      </w:r>
      <w:r w:rsidRPr="00196837">
        <w:t xml:space="preserve"> think</w:t>
      </w:r>
      <w:r w:rsidR="00BD48D5">
        <w:t>s</w:t>
      </w:r>
      <w:r w:rsidRPr="00196837">
        <w:t xml:space="preserve"> it would be reasonable to include this in the PI.</w:t>
      </w:r>
    </w:p>
    <w:p w14:paraId="763EE413" w14:textId="77777777" w:rsidR="008E7846" w:rsidRDefault="008E7846" w:rsidP="008E7846">
      <w:pPr>
        <w:pStyle w:val="Heading3"/>
      </w:pPr>
      <w:bookmarkStart w:id="78" w:name="_Toc196046481"/>
      <w:bookmarkStart w:id="79" w:name="_Toc247691520"/>
      <w:bookmarkStart w:id="80" w:name="_Toc314842503"/>
      <w:bookmarkStart w:id="81" w:name="_Toc507501110"/>
      <w:r w:rsidRPr="00254787">
        <w:t>Pharmacodynamics</w:t>
      </w:r>
      <w:bookmarkEnd w:id="63"/>
      <w:bookmarkEnd w:id="78"/>
      <w:bookmarkEnd w:id="79"/>
      <w:bookmarkEnd w:id="80"/>
      <w:bookmarkEnd w:id="81"/>
    </w:p>
    <w:p w14:paraId="65C09174" w14:textId="77777777" w:rsidR="00605AD4" w:rsidRDefault="00605AD4" w:rsidP="00605AD4">
      <w:pPr>
        <w:pStyle w:val="Heading4"/>
      </w:pPr>
      <w:r>
        <w:t>Studies providing pharmacodynamic data</w:t>
      </w:r>
    </w:p>
    <w:p w14:paraId="2799065A" w14:textId="77777777" w:rsidR="000C0512" w:rsidRDefault="00BD48D5" w:rsidP="000C0512">
      <w:r>
        <w:t>Table 5</w:t>
      </w:r>
      <w:r w:rsidR="000C0512">
        <w:t xml:space="preserve"> shows the studies relating to each pharmacodynamic topic and the location of each study summary. No specific clinical pharmacodynamics studies have been conducted. Therefore no summaries of the pharmacodynamics studies are </w:t>
      </w:r>
      <w:r>
        <w:t>presented</w:t>
      </w:r>
      <w:r w:rsidR="000C0512">
        <w:t xml:space="preserve">. Studies below contained report of some pharmacodynamics data for review as a result. </w:t>
      </w:r>
    </w:p>
    <w:p w14:paraId="34958429" w14:textId="77777777" w:rsidR="000C0512" w:rsidRDefault="000C0512" w:rsidP="00BD48D5">
      <w:pPr>
        <w:pStyle w:val="TableTitle"/>
      </w:pPr>
      <w:bookmarkStart w:id="82" w:name="_Ref269985397"/>
      <w:bookmarkStart w:id="83" w:name="_Toc300498640"/>
      <w:r>
        <w:t xml:space="preserve">Table </w:t>
      </w:r>
      <w:r w:rsidR="00BD48D5">
        <w:t>5</w:t>
      </w:r>
      <w:bookmarkEnd w:id="82"/>
      <w:r w:rsidR="00BD48D5">
        <w:t>:</w:t>
      </w:r>
      <w:r>
        <w:t xml:space="preserve"> Submitted pharmacodynamic studies</w:t>
      </w:r>
      <w:bookmarkEnd w:id="83"/>
    </w:p>
    <w:tbl>
      <w:tblPr>
        <w:tblStyle w:val="TableTGAblue"/>
        <w:tblW w:w="7934" w:type="dxa"/>
        <w:tblLayout w:type="fixed"/>
        <w:tblLook w:val="04A0" w:firstRow="1" w:lastRow="0" w:firstColumn="1" w:lastColumn="0" w:noHBand="0" w:noVBand="1"/>
        <w:tblDescription w:val="Table 5: Submitted pharmacodynamic studies"/>
      </w:tblPr>
      <w:tblGrid>
        <w:gridCol w:w="2235"/>
        <w:gridCol w:w="3260"/>
        <w:gridCol w:w="2439"/>
      </w:tblGrid>
      <w:tr w:rsidR="00BD48D5" w14:paraId="43346CB3" w14:textId="77777777" w:rsidTr="00BD48D5">
        <w:trPr>
          <w:cnfStyle w:val="100000000000" w:firstRow="1" w:lastRow="0" w:firstColumn="0" w:lastColumn="0" w:oddVBand="0" w:evenVBand="0" w:oddHBand="0" w:evenHBand="0" w:firstRowFirstColumn="0" w:firstRowLastColumn="0" w:lastRowFirstColumn="0" w:lastRowLastColumn="0"/>
        </w:trPr>
        <w:tc>
          <w:tcPr>
            <w:tcW w:w="2235" w:type="dxa"/>
          </w:tcPr>
          <w:p w14:paraId="66FBEE16" w14:textId="77777777" w:rsidR="00BD48D5" w:rsidRPr="00BD48D5" w:rsidRDefault="00BD48D5" w:rsidP="000C0512">
            <w:pPr>
              <w:pStyle w:val="Tabletext"/>
            </w:pPr>
            <w:r w:rsidRPr="00BD48D5">
              <w:t>PD Topic</w:t>
            </w:r>
          </w:p>
        </w:tc>
        <w:tc>
          <w:tcPr>
            <w:tcW w:w="3260" w:type="dxa"/>
          </w:tcPr>
          <w:p w14:paraId="69E9AFFC" w14:textId="77777777" w:rsidR="00BD48D5" w:rsidRPr="00BD48D5" w:rsidRDefault="00BD48D5" w:rsidP="000C0512">
            <w:pPr>
              <w:pStyle w:val="Tabletext"/>
            </w:pPr>
            <w:r w:rsidRPr="00BD48D5">
              <w:t>Subtopic</w:t>
            </w:r>
          </w:p>
        </w:tc>
        <w:tc>
          <w:tcPr>
            <w:tcW w:w="2439" w:type="dxa"/>
          </w:tcPr>
          <w:p w14:paraId="45114943" w14:textId="77777777" w:rsidR="00BD48D5" w:rsidRPr="00BD48D5" w:rsidRDefault="00BD48D5" w:rsidP="000C0512">
            <w:pPr>
              <w:pStyle w:val="Tabletext"/>
            </w:pPr>
            <w:r w:rsidRPr="00BD48D5">
              <w:t>Study ID</w:t>
            </w:r>
          </w:p>
        </w:tc>
      </w:tr>
      <w:tr w:rsidR="00BD48D5" w14:paraId="58B73998" w14:textId="77777777" w:rsidTr="00BD48D5">
        <w:tc>
          <w:tcPr>
            <w:tcW w:w="2235" w:type="dxa"/>
            <w:vMerge w:val="restart"/>
          </w:tcPr>
          <w:p w14:paraId="4D3AF54E" w14:textId="77777777" w:rsidR="00BD48D5" w:rsidRPr="007A7D84" w:rsidRDefault="00BD48D5" w:rsidP="00CB0F1D">
            <w:r w:rsidRPr="007A7D84">
              <w:t>Primary Pharmacology</w:t>
            </w:r>
          </w:p>
        </w:tc>
        <w:tc>
          <w:tcPr>
            <w:tcW w:w="3260" w:type="dxa"/>
            <w:vMerge w:val="restart"/>
          </w:tcPr>
          <w:p w14:paraId="69E188DA" w14:textId="77777777" w:rsidR="00BD48D5" w:rsidRPr="000800CC" w:rsidRDefault="00BD48D5" w:rsidP="00CB0F1D">
            <w:r w:rsidRPr="000800CC">
              <w:t xml:space="preserve">Effect on </w:t>
            </w:r>
            <w:r>
              <w:t>efficacy (ORR)</w:t>
            </w:r>
          </w:p>
        </w:tc>
        <w:tc>
          <w:tcPr>
            <w:tcW w:w="2439" w:type="dxa"/>
          </w:tcPr>
          <w:p w14:paraId="0C4BF308" w14:textId="77777777" w:rsidR="00BD48D5" w:rsidRPr="000800CC" w:rsidRDefault="00BD48D5" w:rsidP="00CB0F1D">
            <w:r>
              <w:t>X2101</w:t>
            </w:r>
          </w:p>
        </w:tc>
      </w:tr>
      <w:tr w:rsidR="00BD48D5" w14:paraId="06CBEADB" w14:textId="77777777" w:rsidTr="00BD48D5">
        <w:tc>
          <w:tcPr>
            <w:tcW w:w="2235" w:type="dxa"/>
            <w:vMerge/>
          </w:tcPr>
          <w:p w14:paraId="08296532" w14:textId="77777777" w:rsidR="00BD48D5" w:rsidRPr="007A7D84" w:rsidRDefault="00BD48D5" w:rsidP="00CB0F1D"/>
        </w:tc>
        <w:tc>
          <w:tcPr>
            <w:tcW w:w="3260" w:type="dxa"/>
            <w:vMerge/>
          </w:tcPr>
          <w:p w14:paraId="371BF500" w14:textId="77777777" w:rsidR="00BD48D5" w:rsidRPr="000800CC" w:rsidRDefault="00BD48D5" w:rsidP="00CB0F1D"/>
        </w:tc>
        <w:tc>
          <w:tcPr>
            <w:tcW w:w="2439" w:type="dxa"/>
          </w:tcPr>
          <w:p w14:paraId="4692BF91" w14:textId="77777777" w:rsidR="00BD48D5" w:rsidRPr="000800CC" w:rsidRDefault="00BD48D5" w:rsidP="00CB0F1D">
            <w:r>
              <w:t>A2201</w:t>
            </w:r>
          </w:p>
        </w:tc>
      </w:tr>
      <w:tr w:rsidR="00BD48D5" w14:paraId="6FC1501A" w14:textId="77777777" w:rsidTr="00BD48D5">
        <w:tc>
          <w:tcPr>
            <w:tcW w:w="2235" w:type="dxa"/>
            <w:vMerge/>
          </w:tcPr>
          <w:p w14:paraId="57FD8A7B" w14:textId="77777777" w:rsidR="00BD48D5" w:rsidRPr="007A7D84" w:rsidRDefault="00BD48D5" w:rsidP="00CB0F1D"/>
        </w:tc>
        <w:tc>
          <w:tcPr>
            <w:tcW w:w="3260" w:type="dxa"/>
            <w:vMerge/>
          </w:tcPr>
          <w:p w14:paraId="34B66FFE" w14:textId="77777777" w:rsidR="00BD48D5" w:rsidRPr="000800CC" w:rsidRDefault="00BD48D5" w:rsidP="00CB0F1D"/>
        </w:tc>
        <w:tc>
          <w:tcPr>
            <w:tcW w:w="2439" w:type="dxa"/>
          </w:tcPr>
          <w:p w14:paraId="55F33EE9" w14:textId="77777777" w:rsidR="00BD48D5" w:rsidRDefault="00BD48D5" w:rsidP="00CB0F1D">
            <w:r>
              <w:t>A2203</w:t>
            </w:r>
          </w:p>
        </w:tc>
      </w:tr>
      <w:tr w:rsidR="00BD48D5" w14:paraId="2EFF8480" w14:textId="77777777" w:rsidTr="00BD48D5">
        <w:tc>
          <w:tcPr>
            <w:tcW w:w="2235" w:type="dxa"/>
            <w:vMerge/>
          </w:tcPr>
          <w:p w14:paraId="662ADF04" w14:textId="77777777" w:rsidR="00BD48D5" w:rsidRPr="007A7D84" w:rsidRDefault="00BD48D5" w:rsidP="00CB0F1D"/>
        </w:tc>
        <w:tc>
          <w:tcPr>
            <w:tcW w:w="3260" w:type="dxa"/>
            <w:vMerge w:val="restart"/>
          </w:tcPr>
          <w:p w14:paraId="15BA9A1C" w14:textId="77777777" w:rsidR="00BD48D5" w:rsidRPr="000800CC" w:rsidRDefault="00BD48D5" w:rsidP="00CB0F1D">
            <w:r w:rsidRPr="000800CC">
              <w:t xml:space="preserve">Effect on </w:t>
            </w:r>
            <w:r>
              <w:t>safety (hepatotoxicity, hyperglycaemia, QT prolongation, GI related AEs</w:t>
            </w:r>
          </w:p>
        </w:tc>
        <w:tc>
          <w:tcPr>
            <w:tcW w:w="2439" w:type="dxa"/>
          </w:tcPr>
          <w:p w14:paraId="32B6EF1A" w14:textId="77777777" w:rsidR="00BD48D5" w:rsidRPr="000800CC" w:rsidRDefault="00BD48D5" w:rsidP="00CB0F1D">
            <w:r>
              <w:t>X2101</w:t>
            </w:r>
          </w:p>
        </w:tc>
      </w:tr>
      <w:tr w:rsidR="00BD48D5" w14:paraId="54DB4F66" w14:textId="77777777" w:rsidTr="00BD48D5">
        <w:tc>
          <w:tcPr>
            <w:tcW w:w="2235" w:type="dxa"/>
            <w:vMerge/>
          </w:tcPr>
          <w:p w14:paraId="1B8AE3FD" w14:textId="77777777" w:rsidR="00BD48D5" w:rsidRPr="007A7D84" w:rsidRDefault="00BD48D5" w:rsidP="00CB0F1D"/>
        </w:tc>
        <w:tc>
          <w:tcPr>
            <w:tcW w:w="3260" w:type="dxa"/>
            <w:vMerge/>
          </w:tcPr>
          <w:p w14:paraId="3A59314F" w14:textId="77777777" w:rsidR="00BD48D5" w:rsidRPr="000800CC" w:rsidRDefault="00BD48D5" w:rsidP="00CB0F1D"/>
        </w:tc>
        <w:tc>
          <w:tcPr>
            <w:tcW w:w="2439" w:type="dxa"/>
          </w:tcPr>
          <w:p w14:paraId="0AC579B8" w14:textId="77777777" w:rsidR="00BD48D5" w:rsidRPr="000800CC" w:rsidRDefault="00BD48D5" w:rsidP="00CB0F1D">
            <w:r>
              <w:t>A2201</w:t>
            </w:r>
          </w:p>
        </w:tc>
      </w:tr>
      <w:tr w:rsidR="00BD48D5" w14:paraId="4FD21167" w14:textId="77777777" w:rsidTr="00BD48D5">
        <w:tc>
          <w:tcPr>
            <w:tcW w:w="2235" w:type="dxa"/>
            <w:vMerge/>
          </w:tcPr>
          <w:p w14:paraId="7C81E7CC" w14:textId="77777777" w:rsidR="00BD48D5" w:rsidRPr="007A7D84" w:rsidRDefault="00BD48D5" w:rsidP="00CB0F1D"/>
        </w:tc>
        <w:tc>
          <w:tcPr>
            <w:tcW w:w="3260" w:type="dxa"/>
            <w:vMerge/>
          </w:tcPr>
          <w:p w14:paraId="1EA684F5" w14:textId="77777777" w:rsidR="00BD48D5" w:rsidRPr="000800CC" w:rsidRDefault="00BD48D5" w:rsidP="00CB0F1D"/>
        </w:tc>
        <w:tc>
          <w:tcPr>
            <w:tcW w:w="2439" w:type="dxa"/>
          </w:tcPr>
          <w:p w14:paraId="75476A9D" w14:textId="77777777" w:rsidR="00BD48D5" w:rsidRPr="000800CC" w:rsidRDefault="00BD48D5" w:rsidP="00CB0F1D">
            <w:r>
              <w:t>A2203</w:t>
            </w:r>
          </w:p>
        </w:tc>
      </w:tr>
    </w:tbl>
    <w:p w14:paraId="48F28CBC" w14:textId="77777777" w:rsidR="00605AD4" w:rsidRDefault="00605AD4" w:rsidP="00605AD4">
      <w:pPr>
        <w:pStyle w:val="Heading4"/>
      </w:pPr>
      <w:r>
        <w:t>Evaluator’s conclusions on pharmacodynamics</w:t>
      </w:r>
    </w:p>
    <w:p w14:paraId="1C0DECDA" w14:textId="77777777" w:rsidR="00554D4D" w:rsidRDefault="00554D4D" w:rsidP="00554D4D">
      <w:pPr>
        <w:autoSpaceDE w:val="0"/>
        <w:autoSpaceDN w:val="0"/>
        <w:adjustRightInd w:val="0"/>
      </w:pPr>
      <w:r w:rsidRPr="004B4051">
        <w:t>The submitted dossier does not contain proper clinical PD studies</w:t>
      </w:r>
      <w:r>
        <w:t>.</w:t>
      </w:r>
      <w:r w:rsidRPr="004B4051">
        <w:t xml:space="preserve"> In addition, dose investigations presented for ceritinib were limited by few patients. </w:t>
      </w:r>
      <w:r>
        <w:t>While this is a major limitation, the proposed mechanism of ALK inhibition based on pre-clinical studies and the impressive response of ceritinib in the clinical studies, would justify the use of ceritinib in the proposed indication.</w:t>
      </w:r>
    </w:p>
    <w:p w14:paraId="5D4437E4" w14:textId="26B171C2" w:rsidR="00554D4D" w:rsidRPr="004B4051" w:rsidRDefault="00554D4D" w:rsidP="00554D4D">
      <w:pPr>
        <w:autoSpaceDE w:val="0"/>
        <w:autoSpaceDN w:val="0"/>
        <w:adjustRightInd w:val="0"/>
      </w:pPr>
      <w:r>
        <w:t xml:space="preserve">However, further refinement of the target population and understanding the de novo and secondary resistance to ceritinib would benefit the clinical management of ALK-positive NSCLC. The Novartis biomarker programme will hopefully elucidate this clinical issue. The lack of molecular characterisation in the current application is not a significant problem that would prevent approval of use in the crizotinib-resistant setting in NSCLC patients. </w:t>
      </w:r>
    </w:p>
    <w:p w14:paraId="1D2117B9" w14:textId="77777777" w:rsidR="008E7846" w:rsidRDefault="00605AD4" w:rsidP="00605AD4">
      <w:pPr>
        <w:pStyle w:val="Heading3"/>
      </w:pPr>
      <w:bookmarkStart w:id="84" w:name="_Toc507501111"/>
      <w:r>
        <w:lastRenderedPageBreak/>
        <w:t>Dosage selection for the pivotal studies</w:t>
      </w:r>
      <w:bookmarkEnd w:id="84"/>
    </w:p>
    <w:p w14:paraId="1997CB48" w14:textId="77777777" w:rsidR="00554D4D" w:rsidRPr="00672C55" w:rsidRDefault="00554D4D" w:rsidP="00554D4D">
      <w:pPr>
        <w:autoSpaceDE w:val="0"/>
        <w:autoSpaceDN w:val="0"/>
        <w:adjustRightInd w:val="0"/>
      </w:pPr>
      <w:r w:rsidRPr="00672C55">
        <w:t xml:space="preserve">Determination of </w:t>
      </w:r>
      <w:r w:rsidR="00BD48D5">
        <w:t>maximum tolerated dose (</w:t>
      </w:r>
      <w:r w:rsidRPr="00672C55">
        <w:t>MTD</w:t>
      </w:r>
      <w:r w:rsidR="00BD48D5">
        <w:t>)</w:t>
      </w:r>
      <w:r w:rsidRPr="00672C55">
        <w:t xml:space="preserve"> has been con</w:t>
      </w:r>
      <w:r w:rsidR="00BD48D5">
        <w:t>ducted as part of registration S</w:t>
      </w:r>
      <w:r w:rsidRPr="00672C55">
        <w:t xml:space="preserve">tudy X2101. This study was originally designed as a </w:t>
      </w:r>
      <w:r w:rsidR="00BD48D5">
        <w:t>P</w:t>
      </w:r>
      <w:r w:rsidRPr="00672C55">
        <w:t xml:space="preserve">hase </w:t>
      </w:r>
      <w:r w:rsidR="00BD48D5">
        <w:t>I</w:t>
      </w:r>
      <w:r w:rsidRPr="00672C55">
        <w:t xml:space="preserve"> dose escalation trial for the </w:t>
      </w:r>
      <w:r>
        <w:t>determination</w:t>
      </w:r>
      <w:r w:rsidRPr="00672C55">
        <w:t xml:space="preserve"> of the MTD. It was a first-in-human, open-label, Phase I study that comprised a dose-escalation phase (to determine the MTD and </w:t>
      </w:r>
      <w:r w:rsidR="00B3070B">
        <w:t>recommended dose (</w:t>
      </w:r>
      <w:r w:rsidRPr="00672C55">
        <w:t>RD</w:t>
      </w:r>
      <w:r w:rsidR="00B3070B">
        <w:t>)</w:t>
      </w:r>
      <w:r w:rsidRPr="00672C55">
        <w:t>), and a</w:t>
      </w:r>
      <w:r>
        <w:t>n expansion phase to characteris</w:t>
      </w:r>
      <w:r w:rsidRPr="00672C55">
        <w:t>e the efficacy, safety and pharmacokinetics (PK) of ceritinib.</w:t>
      </w:r>
    </w:p>
    <w:p w14:paraId="6F5E5009" w14:textId="77777777" w:rsidR="00554D4D" w:rsidRPr="00672C55" w:rsidRDefault="00554D4D" w:rsidP="00554D4D">
      <w:pPr>
        <w:autoSpaceDE w:val="0"/>
        <w:autoSpaceDN w:val="0"/>
        <w:adjustRightInd w:val="0"/>
      </w:pPr>
      <w:r w:rsidRPr="00672C55">
        <w:t>The dose-escalation phase included a 3</w:t>
      </w:r>
      <w:r w:rsidR="00B3070B">
        <w:t xml:space="preserve"> </w:t>
      </w:r>
      <w:r w:rsidRPr="00672C55">
        <w:t>day single dose PK run-in and the 750</w:t>
      </w:r>
      <w:r w:rsidR="00B3070B">
        <w:t xml:space="preserve"> </w:t>
      </w:r>
      <w:r w:rsidRPr="00672C55">
        <w:t xml:space="preserve">mg </w:t>
      </w:r>
      <w:r>
        <w:t>daily</w:t>
      </w:r>
      <w:r w:rsidRPr="00672C55">
        <w:t xml:space="preserve"> dose was selected for further testing into the following period of daily dosing in continuous 21-day treatment cycles. Patients could continue treatment until disease progression or non-assumable toxicity. Patients treated at the RD during the dose-escalation phase and who met the criteria for one of the four expansion arms were considered to be included in the appropriate expansion arm.</w:t>
      </w:r>
    </w:p>
    <w:p w14:paraId="10316308" w14:textId="77777777" w:rsidR="00554D4D" w:rsidRDefault="00554D4D" w:rsidP="00554D4D">
      <w:pPr>
        <w:autoSpaceDE w:val="0"/>
        <w:autoSpaceDN w:val="0"/>
        <w:adjustRightInd w:val="0"/>
      </w:pPr>
      <w:r w:rsidRPr="00672C55">
        <w:t xml:space="preserve">The MTD/RD was determined based on the </w:t>
      </w:r>
      <w:r w:rsidR="00B3070B" w:rsidRPr="00B3070B">
        <w:t xml:space="preserve">Bayesian Logistic Regression Model </w:t>
      </w:r>
      <w:r w:rsidR="00B3070B">
        <w:t>(</w:t>
      </w:r>
      <w:r w:rsidRPr="00672C55">
        <w:t>BLRM</w:t>
      </w:r>
      <w:r w:rsidR="00B3070B">
        <w:t>)</w:t>
      </w:r>
      <w:r w:rsidRPr="00672C55">
        <w:t xml:space="preserve"> assessing the probability of </w:t>
      </w:r>
      <w:r w:rsidR="00B3070B" w:rsidRPr="00B3070B">
        <w:t xml:space="preserve">dose-limiting toxicity </w:t>
      </w:r>
      <w:r w:rsidR="00B3070B">
        <w:t>(</w:t>
      </w:r>
      <w:r w:rsidRPr="00672C55">
        <w:t>DLTs</w:t>
      </w:r>
      <w:r w:rsidR="00B3070B">
        <w:t>)</w:t>
      </w:r>
      <w:r w:rsidRPr="00672C55">
        <w:t xml:space="preserve"> in Cycle 1 and the clinical assessment of safety and efficacy data.</w:t>
      </w:r>
    </w:p>
    <w:p w14:paraId="51B0E3D3" w14:textId="77777777" w:rsidR="00554D4D" w:rsidRPr="00672C55" w:rsidRDefault="00554D4D" w:rsidP="00554D4D">
      <w:pPr>
        <w:autoSpaceDE w:val="0"/>
        <w:autoSpaceDN w:val="0"/>
        <w:adjustRightInd w:val="0"/>
      </w:pPr>
      <w:r w:rsidRPr="00672C55">
        <w:t>In the dose-escalation phase, 59 patients were treated in 15 cohorts across nine different dose levels (50 mg to 750 mg), and 54 patients were included in the Dose Determining Set (DDS).</w:t>
      </w:r>
    </w:p>
    <w:p w14:paraId="0A20FF28" w14:textId="77777777" w:rsidR="00554D4D" w:rsidRPr="00672C55" w:rsidRDefault="00554D4D" w:rsidP="00554D4D">
      <w:pPr>
        <w:autoSpaceDE w:val="0"/>
        <w:autoSpaceDN w:val="0"/>
        <w:adjustRightInd w:val="0"/>
      </w:pPr>
      <w:r w:rsidRPr="00672C55">
        <w:t>At the time that the MTD was determined, eight DLTs had occurred during the first cycle of treatme</w:t>
      </w:r>
      <w:r>
        <w:t>nt in six patients.</w:t>
      </w:r>
    </w:p>
    <w:p w14:paraId="2EE94B6B" w14:textId="77777777" w:rsidR="00554D4D" w:rsidRPr="00654768" w:rsidRDefault="00554D4D" w:rsidP="00B3070B">
      <w:pPr>
        <w:pStyle w:val="ListBullet"/>
      </w:pPr>
      <w:r w:rsidRPr="00654768">
        <w:t xml:space="preserve">At 400 mg: </w:t>
      </w:r>
      <w:r w:rsidR="00B3070B">
        <w:t>G</w:t>
      </w:r>
      <w:r w:rsidRPr="00654768">
        <w:t>rade 3 hypoph</w:t>
      </w:r>
      <w:r w:rsidR="00B3070B">
        <w:t>osphatemia in one patient, and G</w:t>
      </w:r>
      <w:r w:rsidRPr="00654768">
        <w:t xml:space="preserve">rade 3 transaminase increased evolving from </w:t>
      </w:r>
      <w:r w:rsidR="00B3070B">
        <w:t>Grade</w:t>
      </w:r>
      <w:r w:rsidRPr="00654768">
        <w:t xml:space="preserve"> 2 ALT increased in one patient.</w:t>
      </w:r>
    </w:p>
    <w:p w14:paraId="46FF0FF4" w14:textId="77777777" w:rsidR="00554D4D" w:rsidRPr="00654768" w:rsidRDefault="00554D4D" w:rsidP="00B3070B">
      <w:pPr>
        <w:pStyle w:val="ListBullet"/>
      </w:pPr>
      <w:r w:rsidRPr="00654768">
        <w:t xml:space="preserve">At 600 mg: </w:t>
      </w:r>
      <w:r w:rsidR="00B3070B">
        <w:t>Grade</w:t>
      </w:r>
      <w:r w:rsidRPr="00654768">
        <w:t xml:space="preserve"> 3 di</w:t>
      </w:r>
      <w:r>
        <w:t xml:space="preserve">arrhoea and </w:t>
      </w:r>
      <w:r w:rsidR="00B3070B">
        <w:t>Grade</w:t>
      </w:r>
      <w:r>
        <w:t xml:space="preserve"> 3 dehydration</w:t>
      </w:r>
      <w:r w:rsidRPr="00654768">
        <w:t xml:space="preserve"> in one patient each.</w:t>
      </w:r>
    </w:p>
    <w:p w14:paraId="4213D371" w14:textId="77777777" w:rsidR="00554D4D" w:rsidRPr="00654768" w:rsidRDefault="00554D4D" w:rsidP="00B3070B">
      <w:pPr>
        <w:pStyle w:val="ListBullet"/>
      </w:pPr>
      <w:r w:rsidRPr="00654768">
        <w:t xml:space="preserve">At 750 mg: </w:t>
      </w:r>
      <w:r w:rsidR="00B3070B">
        <w:t>Grade</w:t>
      </w:r>
      <w:r w:rsidRPr="00654768">
        <w:t xml:space="preserve"> 3 diarrhoea with </w:t>
      </w:r>
      <w:r w:rsidR="00B3070B">
        <w:t>Grade</w:t>
      </w:r>
      <w:r w:rsidRPr="00654768">
        <w:t xml:space="preserve"> 3 vomiting in one patient and intolerable </w:t>
      </w:r>
      <w:r w:rsidR="00B3070B">
        <w:t>Grade</w:t>
      </w:r>
      <w:r w:rsidRPr="00654768">
        <w:t xml:space="preserve"> 2 diarrhoea in one patient.</w:t>
      </w:r>
    </w:p>
    <w:p w14:paraId="0DA35AB0" w14:textId="77777777" w:rsidR="00554D4D" w:rsidRPr="00672C55" w:rsidRDefault="00554D4D" w:rsidP="00B3070B">
      <w:r>
        <w:t xml:space="preserve">Additional </w:t>
      </w:r>
      <w:r w:rsidRPr="00672C55">
        <w:t>support to establish MTD/RD at 750 mg came from the experience of the first 10 patients in the expansion phase (no DLTs were observed) and the preliminary data on tumour activity, which had shown tumour response with doses &gt;</w:t>
      </w:r>
      <w:r w:rsidR="00B3070B">
        <w:t xml:space="preserve"> </w:t>
      </w:r>
      <w:r w:rsidRPr="00672C55">
        <w:t>40</w:t>
      </w:r>
      <w:r w:rsidR="00326B43">
        <w:t>0 mg</w:t>
      </w:r>
      <w:r w:rsidRPr="00672C55">
        <w:t>.</w:t>
      </w:r>
    </w:p>
    <w:p w14:paraId="4EDAD419" w14:textId="77777777" w:rsidR="008E7846" w:rsidRPr="00254787" w:rsidRDefault="008E7846" w:rsidP="008E7846">
      <w:pPr>
        <w:pStyle w:val="Heading3"/>
      </w:pPr>
      <w:bookmarkStart w:id="85" w:name="_Toc163441372"/>
      <w:bookmarkStart w:id="86" w:name="_Toc196046485"/>
      <w:bookmarkStart w:id="87" w:name="_Toc247691521"/>
      <w:bookmarkStart w:id="88" w:name="_Toc314842504"/>
      <w:bookmarkStart w:id="89" w:name="_Toc507501112"/>
      <w:r w:rsidRPr="00254787">
        <w:t>Efficacy</w:t>
      </w:r>
      <w:bookmarkEnd w:id="85"/>
      <w:bookmarkEnd w:id="86"/>
      <w:bookmarkEnd w:id="87"/>
      <w:bookmarkEnd w:id="88"/>
      <w:bookmarkEnd w:id="89"/>
    </w:p>
    <w:p w14:paraId="3C07ABD5" w14:textId="77777777" w:rsidR="00605AD4" w:rsidRDefault="00605AD4" w:rsidP="00605AD4">
      <w:pPr>
        <w:pStyle w:val="Heading4"/>
      </w:pPr>
      <w:bookmarkStart w:id="90" w:name="_Toc184439992"/>
      <w:bookmarkStart w:id="91" w:name="_Toc184440279"/>
      <w:bookmarkStart w:id="92" w:name="_Toc184444657"/>
      <w:bookmarkStart w:id="93" w:name="_Toc196046487"/>
      <w:r>
        <w:t>Studies providing efficacy data</w:t>
      </w:r>
    </w:p>
    <w:p w14:paraId="0D57E1AC" w14:textId="77777777" w:rsidR="00B3070B" w:rsidRDefault="00B3070B" w:rsidP="00B3070B">
      <w:pPr>
        <w:pStyle w:val="ListBullet"/>
        <w:numPr>
          <w:ilvl w:val="0"/>
          <w:numId w:val="0"/>
        </w:numPr>
      </w:pPr>
      <w:r>
        <w:t>The P</w:t>
      </w:r>
      <w:r w:rsidRPr="006A08A1">
        <w:t xml:space="preserve">ivotal efficacy/safety </w:t>
      </w:r>
      <w:r>
        <w:t>Studies X2101, X1101, A2201, A2203 provided efficacy data to support of this application.</w:t>
      </w:r>
    </w:p>
    <w:p w14:paraId="7F794E69" w14:textId="77777777" w:rsidR="008E7846" w:rsidRDefault="00605AD4" w:rsidP="00605AD4">
      <w:pPr>
        <w:pStyle w:val="Heading4"/>
      </w:pPr>
      <w:r>
        <w:t>Evaluator’s conclusions on efficacy</w:t>
      </w:r>
    </w:p>
    <w:p w14:paraId="6BC2048F" w14:textId="77777777" w:rsidR="00554D4D" w:rsidRPr="00343FB2" w:rsidRDefault="00554D4D" w:rsidP="00554D4D">
      <w:pPr>
        <w:widowControl w:val="0"/>
        <w:autoSpaceDE w:val="0"/>
        <w:autoSpaceDN w:val="0"/>
        <w:adjustRightInd w:val="0"/>
        <w:spacing w:before="48"/>
        <w:ind w:left="40" w:right="66"/>
        <w:rPr>
          <w:rFonts w:cs="Verdana"/>
          <w:lang w:val="en-US"/>
        </w:rPr>
      </w:pPr>
      <w:r w:rsidRPr="00343FB2">
        <w:rPr>
          <w:rFonts w:cs="Verdana"/>
          <w:lang w:val="en-US"/>
        </w:rPr>
        <w:t>O</w:t>
      </w:r>
      <w:r w:rsidRPr="00343FB2">
        <w:rPr>
          <w:rFonts w:cs="Verdana"/>
          <w:spacing w:val="-1"/>
          <w:lang w:val="en-US"/>
        </w:rPr>
        <w:t>v</w:t>
      </w:r>
      <w:r w:rsidRPr="00343FB2">
        <w:rPr>
          <w:rFonts w:cs="Verdana"/>
          <w:spacing w:val="1"/>
          <w:lang w:val="en-US"/>
        </w:rPr>
        <w:t>e</w:t>
      </w:r>
      <w:r w:rsidRPr="00343FB2">
        <w:rPr>
          <w:rFonts w:cs="Verdana"/>
          <w:lang w:val="en-US"/>
        </w:rPr>
        <w:t>ra</w:t>
      </w:r>
      <w:r w:rsidRPr="00343FB2">
        <w:rPr>
          <w:rFonts w:cs="Verdana"/>
          <w:spacing w:val="1"/>
          <w:lang w:val="en-US"/>
        </w:rPr>
        <w:t>ll</w:t>
      </w:r>
      <w:r w:rsidRPr="00343FB2">
        <w:rPr>
          <w:rFonts w:cs="Verdana"/>
          <w:lang w:val="en-US"/>
        </w:rPr>
        <w:t>,</w:t>
      </w:r>
      <w:r w:rsidRPr="00343FB2">
        <w:rPr>
          <w:rFonts w:cs="Verdana"/>
          <w:spacing w:val="-1"/>
          <w:lang w:val="en-US"/>
        </w:rPr>
        <w:t xml:space="preserve"> </w:t>
      </w:r>
      <w:r w:rsidRPr="00343FB2">
        <w:rPr>
          <w:rFonts w:cs="Verdana"/>
          <w:spacing w:val="1"/>
          <w:lang w:val="en-US"/>
        </w:rPr>
        <w:t>51</w:t>
      </w:r>
      <w:r w:rsidRPr="00343FB2">
        <w:rPr>
          <w:rFonts w:cs="Verdana"/>
          <w:lang w:val="en-US"/>
        </w:rPr>
        <w:t xml:space="preserve">5 </w:t>
      </w:r>
      <w:r w:rsidRPr="00343FB2">
        <w:rPr>
          <w:rFonts w:cs="Verdana"/>
          <w:spacing w:val="-1"/>
          <w:lang w:val="en-US"/>
        </w:rPr>
        <w:t>A</w:t>
      </w:r>
      <w:r w:rsidRPr="00343FB2">
        <w:rPr>
          <w:rFonts w:cs="Verdana"/>
          <w:spacing w:val="1"/>
          <w:lang w:val="en-US"/>
        </w:rPr>
        <w:t>L</w:t>
      </w:r>
      <w:r w:rsidRPr="00343FB2">
        <w:rPr>
          <w:rFonts w:cs="Verdana"/>
          <w:lang w:val="en-US"/>
        </w:rPr>
        <w:t>K-</w:t>
      </w:r>
      <w:r w:rsidRPr="00343FB2">
        <w:rPr>
          <w:rFonts w:cs="Verdana"/>
          <w:spacing w:val="1"/>
          <w:lang w:val="en-US"/>
        </w:rPr>
        <w:t>po</w:t>
      </w:r>
      <w:r w:rsidRPr="00343FB2">
        <w:rPr>
          <w:rFonts w:cs="Verdana"/>
          <w:spacing w:val="-3"/>
          <w:lang w:val="en-US"/>
        </w:rPr>
        <w:t>s</w:t>
      </w:r>
      <w:r w:rsidRPr="00343FB2">
        <w:rPr>
          <w:rFonts w:cs="Verdana"/>
          <w:spacing w:val="1"/>
          <w:lang w:val="en-US"/>
        </w:rPr>
        <w:t>iti</w:t>
      </w:r>
      <w:r w:rsidRPr="00343FB2">
        <w:rPr>
          <w:rFonts w:cs="Verdana"/>
          <w:spacing w:val="-1"/>
          <w:lang w:val="en-US"/>
        </w:rPr>
        <w:t>v</w:t>
      </w:r>
      <w:r w:rsidRPr="00343FB2">
        <w:rPr>
          <w:rFonts w:cs="Verdana"/>
          <w:lang w:val="en-US"/>
        </w:rPr>
        <w:t>e</w:t>
      </w:r>
      <w:r w:rsidRPr="00343FB2">
        <w:rPr>
          <w:rFonts w:cs="Verdana"/>
          <w:spacing w:val="-3"/>
          <w:lang w:val="en-US"/>
        </w:rPr>
        <w:t xml:space="preserve"> </w:t>
      </w:r>
      <w:r w:rsidRPr="00343FB2">
        <w:rPr>
          <w:rFonts w:cs="Verdana"/>
          <w:lang w:val="en-US"/>
        </w:rPr>
        <w:t>N</w:t>
      </w:r>
      <w:r w:rsidRPr="00343FB2">
        <w:rPr>
          <w:rFonts w:cs="Verdana"/>
          <w:spacing w:val="-1"/>
          <w:lang w:val="en-US"/>
        </w:rPr>
        <w:t>SC</w:t>
      </w:r>
      <w:r w:rsidRPr="00343FB2">
        <w:rPr>
          <w:rFonts w:cs="Verdana"/>
          <w:spacing w:val="1"/>
          <w:lang w:val="en-US"/>
        </w:rPr>
        <w:t>L</w:t>
      </w:r>
      <w:r w:rsidRPr="00343FB2">
        <w:rPr>
          <w:rFonts w:cs="Verdana"/>
          <w:lang w:val="en-US"/>
        </w:rPr>
        <w:t>C</w:t>
      </w:r>
      <w:r w:rsidRPr="00343FB2">
        <w:rPr>
          <w:rFonts w:cs="Verdana"/>
          <w:spacing w:val="-2"/>
          <w:lang w:val="en-US"/>
        </w:rPr>
        <w:t xml:space="preserve"> </w:t>
      </w:r>
      <w:r w:rsidRPr="00343FB2">
        <w:rPr>
          <w:rFonts w:cs="Verdana"/>
          <w:spacing w:val="1"/>
          <w:lang w:val="en-US"/>
        </w:rPr>
        <w:t>p</w:t>
      </w:r>
      <w:r w:rsidRPr="00343FB2">
        <w:rPr>
          <w:rFonts w:cs="Verdana"/>
          <w:lang w:val="en-US"/>
        </w:rPr>
        <w:t>a</w:t>
      </w:r>
      <w:r w:rsidRPr="00343FB2">
        <w:rPr>
          <w:rFonts w:cs="Verdana"/>
          <w:spacing w:val="1"/>
          <w:lang w:val="en-US"/>
        </w:rPr>
        <w:t>tie</w:t>
      </w:r>
      <w:r w:rsidRPr="00343FB2">
        <w:rPr>
          <w:rFonts w:cs="Verdana"/>
          <w:spacing w:val="-1"/>
          <w:lang w:val="en-US"/>
        </w:rPr>
        <w:t>n</w:t>
      </w:r>
      <w:r w:rsidRPr="00343FB2">
        <w:rPr>
          <w:rFonts w:cs="Verdana"/>
          <w:spacing w:val="1"/>
          <w:lang w:val="en-US"/>
        </w:rPr>
        <w:t>t</w:t>
      </w:r>
      <w:r w:rsidRPr="00343FB2">
        <w:rPr>
          <w:rFonts w:cs="Verdana"/>
          <w:lang w:val="en-US"/>
        </w:rPr>
        <w:t>s</w:t>
      </w:r>
      <w:r w:rsidRPr="00343FB2">
        <w:rPr>
          <w:rFonts w:cs="Verdana"/>
          <w:spacing w:val="-1"/>
          <w:lang w:val="en-US"/>
        </w:rPr>
        <w:t xml:space="preserve"> h</w:t>
      </w:r>
      <w:r w:rsidRPr="00343FB2">
        <w:rPr>
          <w:rFonts w:cs="Verdana"/>
          <w:lang w:val="en-US"/>
        </w:rPr>
        <w:t>a</w:t>
      </w:r>
      <w:r w:rsidRPr="00343FB2">
        <w:rPr>
          <w:rFonts w:cs="Verdana"/>
          <w:spacing w:val="-1"/>
          <w:lang w:val="en-US"/>
        </w:rPr>
        <w:t>v</w:t>
      </w:r>
      <w:r w:rsidRPr="00343FB2">
        <w:rPr>
          <w:rFonts w:cs="Verdana"/>
          <w:lang w:val="en-US"/>
        </w:rPr>
        <w:t xml:space="preserve">e </w:t>
      </w:r>
      <w:r w:rsidRPr="00343FB2">
        <w:rPr>
          <w:rFonts w:cs="Verdana"/>
          <w:spacing w:val="1"/>
          <w:lang w:val="en-US"/>
        </w:rPr>
        <w:t>bee</w:t>
      </w:r>
      <w:r w:rsidRPr="00343FB2">
        <w:rPr>
          <w:rFonts w:cs="Verdana"/>
          <w:lang w:val="en-US"/>
        </w:rPr>
        <w:t xml:space="preserve">n </w:t>
      </w:r>
      <w:r w:rsidRPr="00343FB2">
        <w:rPr>
          <w:rFonts w:cs="Verdana"/>
          <w:spacing w:val="1"/>
          <w:lang w:val="en-US"/>
        </w:rPr>
        <w:t>t</w:t>
      </w:r>
      <w:r w:rsidRPr="00343FB2">
        <w:rPr>
          <w:rFonts w:cs="Verdana"/>
          <w:lang w:val="en-US"/>
        </w:rPr>
        <w:t>r</w:t>
      </w:r>
      <w:r w:rsidRPr="00343FB2">
        <w:rPr>
          <w:rFonts w:cs="Verdana"/>
          <w:spacing w:val="1"/>
          <w:lang w:val="en-US"/>
        </w:rPr>
        <w:t>e</w:t>
      </w:r>
      <w:r w:rsidRPr="00343FB2">
        <w:rPr>
          <w:rFonts w:cs="Verdana"/>
          <w:lang w:val="en-US"/>
        </w:rPr>
        <w:t>a</w:t>
      </w:r>
      <w:r w:rsidRPr="00343FB2">
        <w:rPr>
          <w:rFonts w:cs="Verdana"/>
          <w:spacing w:val="1"/>
          <w:lang w:val="en-US"/>
        </w:rPr>
        <w:t>te</w:t>
      </w:r>
      <w:r w:rsidRPr="00343FB2">
        <w:rPr>
          <w:rFonts w:cs="Verdana"/>
          <w:lang w:val="en-US"/>
        </w:rPr>
        <w:t xml:space="preserve">d </w:t>
      </w:r>
      <w:r w:rsidRPr="00343FB2">
        <w:rPr>
          <w:rFonts w:cs="Verdana"/>
          <w:spacing w:val="-1"/>
          <w:lang w:val="en-US"/>
        </w:rPr>
        <w:t>w</w:t>
      </w:r>
      <w:r w:rsidRPr="00343FB2">
        <w:rPr>
          <w:rFonts w:cs="Verdana"/>
          <w:spacing w:val="1"/>
          <w:lang w:val="en-US"/>
        </w:rPr>
        <w:t>it</w:t>
      </w:r>
      <w:r w:rsidRPr="00343FB2">
        <w:rPr>
          <w:rFonts w:cs="Verdana"/>
          <w:lang w:val="en-US"/>
        </w:rPr>
        <w:t>h</w:t>
      </w:r>
      <w:r w:rsidRPr="00343FB2">
        <w:rPr>
          <w:rFonts w:cs="Verdana"/>
          <w:spacing w:val="-2"/>
          <w:lang w:val="en-US"/>
        </w:rPr>
        <w:t xml:space="preserve"> </w:t>
      </w:r>
      <w:r w:rsidRPr="00343FB2">
        <w:rPr>
          <w:rFonts w:cs="Verdana"/>
          <w:lang w:val="en-US"/>
        </w:rPr>
        <w:t>c</w:t>
      </w:r>
      <w:r w:rsidRPr="00343FB2">
        <w:rPr>
          <w:rFonts w:cs="Verdana"/>
          <w:spacing w:val="1"/>
          <w:lang w:val="en-US"/>
        </w:rPr>
        <w:t>e</w:t>
      </w:r>
      <w:r w:rsidRPr="00343FB2">
        <w:rPr>
          <w:rFonts w:cs="Verdana"/>
          <w:lang w:val="en-US"/>
        </w:rPr>
        <w:t>r</w:t>
      </w:r>
      <w:r w:rsidRPr="00343FB2">
        <w:rPr>
          <w:rFonts w:cs="Verdana"/>
          <w:spacing w:val="-1"/>
          <w:lang w:val="en-US"/>
        </w:rPr>
        <w:t>i</w:t>
      </w:r>
      <w:r w:rsidRPr="00343FB2">
        <w:rPr>
          <w:rFonts w:cs="Verdana"/>
          <w:spacing w:val="1"/>
          <w:lang w:val="en-US"/>
        </w:rPr>
        <w:t>ti</w:t>
      </w:r>
      <w:r w:rsidRPr="00343FB2">
        <w:rPr>
          <w:rFonts w:cs="Verdana"/>
          <w:spacing w:val="-1"/>
          <w:lang w:val="en-US"/>
        </w:rPr>
        <w:t>n</w:t>
      </w:r>
      <w:r w:rsidRPr="00343FB2">
        <w:rPr>
          <w:rFonts w:cs="Verdana"/>
          <w:spacing w:val="1"/>
          <w:lang w:val="en-US"/>
        </w:rPr>
        <w:t>i</w:t>
      </w:r>
      <w:r w:rsidRPr="00343FB2">
        <w:rPr>
          <w:rFonts w:cs="Verdana"/>
          <w:lang w:val="en-US"/>
        </w:rPr>
        <w:t xml:space="preserve">b </w:t>
      </w:r>
      <w:r w:rsidRPr="00343FB2">
        <w:rPr>
          <w:rFonts w:cs="Verdana"/>
          <w:spacing w:val="-2"/>
          <w:lang w:val="en-US"/>
        </w:rPr>
        <w:t>7</w:t>
      </w:r>
      <w:r w:rsidRPr="00343FB2">
        <w:rPr>
          <w:rFonts w:cs="Verdana"/>
          <w:spacing w:val="1"/>
          <w:lang w:val="en-US"/>
        </w:rPr>
        <w:t>5</w:t>
      </w:r>
      <w:r w:rsidRPr="00343FB2">
        <w:rPr>
          <w:rFonts w:cs="Verdana"/>
          <w:lang w:val="en-US"/>
        </w:rPr>
        <w:t>0</w:t>
      </w:r>
      <w:r w:rsidRPr="00343FB2">
        <w:rPr>
          <w:rFonts w:cs="Verdana"/>
          <w:spacing w:val="-3"/>
          <w:lang w:val="en-US"/>
        </w:rPr>
        <w:t xml:space="preserve"> </w:t>
      </w:r>
      <w:r w:rsidRPr="00343FB2">
        <w:rPr>
          <w:rFonts w:cs="Verdana"/>
          <w:lang w:val="en-US"/>
        </w:rPr>
        <w:t>mg (</w:t>
      </w:r>
      <w:r w:rsidRPr="00343FB2">
        <w:rPr>
          <w:rFonts w:cs="Verdana"/>
          <w:spacing w:val="1"/>
          <w:lang w:val="en-US"/>
        </w:rPr>
        <w:t>8</w:t>
      </w:r>
      <w:r w:rsidRPr="00343FB2">
        <w:rPr>
          <w:rFonts w:cs="Verdana"/>
          <w:lang w:val="en-US"/>
        </w:rPr>
        <w:t xml:space="preserve">3 </w:t>
      </w:r>
      <w:r w:rsidRPr="00343FB2">
        <w:rPr>
          <w:rFonts w:cs="Verdana"/>
          <w:spacing w:val="-1"/>
          <w:lang w:val="en-US"/>
        </w:rPr>
        <w:t>A</w:t>
      </w:r>
      <w:r w:rsidRPr="00343FB2">
        <w:rPr>
          <w:rFonts w:cs="Verdana"/>
          <w:spacing w:val="1"/>
          <w:lang w:val="en-US"/>
        </w:rPr>
        <w:t>L</w:t>
      </w:r>
      <w:r w:rsidRPr="00343FB2">
        <w:rPr>
          <w:rFonts w:cs="Verdana"/>
          <w:lang w:val="en-US"/>
        </w:rPr>
        <w:t>K</w:t>
      </w:r>
      <w:r>
        <w:rPr>
          <w:rFonts w:cs="Verdana"/>
          <w:spacing w:val="-1"/>
          <w:lang w:val="en-US"/>
        </w:rPr>
        <w:t xml:space="preserve"> </w:t>
      </w:r>
      <w:r w:rsidRPr="00343FB2">
        <w:rPr>
          <w:rFonts w:cs="Verdana"/>
          <w:spacing w:val="1"/>
          <w:lang w:val="en-US"/>
        </w:rPr>
        <w:t>i</w:t>
      </w:r>
      <w:r w:rsidRPr="00343FB2">
        <w:rPr>
          <w:rFonts w:cs="Verdana"/>
          <w:spacing w:val="-1"/>
          <w:lang w:val="en-US"/>
        </w:rPr>
        <w:t>nh</w:t>
      </w:r>
      <w:r w:rsidRPr="00343FB2">
        <w:rPr>
          <w:rFonts w:cs="Verdana"/>
          <w:spacing w:val="1"/>
          <w:lang w:val="en-US"/>
        </w:rPr>
        <w:t>ibito</w:t>
      </w:r>
      <w:r w:rsidRPr="00343FB2">
        <w:rPr>
          <w:rFonts w:cs="Verdana"/>
          <w:lang w:val="en-US"/>
        </w:rPr>
        <w:t xml:space="preserve">r </w:t>
      </w:r>
      <w:r w:rsidRPr="00343FB2">
        <w:rPr>
          <w:rFonts w:cs="Verdana"/>
          <w:spacing w:val="-1"/>
          <w:lang w:val="en-US"/>
        </w:rPr>
        <w:t>n</w:t>
      </w:r>
      <w:r w:rsidRPr="00343FB2">
        <w:rPr>
          <w:rFonts w:cs="Verdana"/>
          <w:lang w:val="en-US"/>
        </w:rPr>
        <w:t>a</w:t>
      </w:r>
      <w:r w:rsidRPr="00343FB2">
        <w:rPr>
          <w:rFonts w:cs="Verdana"/>
          <w:spacing w:val="1"/>
          <w:lang w:val="en-US"/>
        </w:rPr>
        <w:t>ï</w:t>
      </w:r>
      <w:r w:rsidRPr="00343FB2">
        <w:rPr>
          <w:rFonts w:cs="Verdana"/>
          <w:spacing w:val="-1"/>
          <w:lang w:val="en-US"/>
        </w:rPr>
        <w:t>v</w:t>
      </w:r>
      <w:r w:rsidRPr="00343FB2">
        <w:rPr>
          <w:rFonts w:cs="Verdana"/>
          <w:lang w:val="en-US"/>
        </w:rPr>
        <w:t>e a</w:t>
      </w:r>
      <w:r w:rsidRPr="00343FB2">
        <w:rPr>
          <w:rFonts w:cs="Verdana"/>
          <w:spacing w:val="-1"/>
          <w:lang w:val="en-US"/>
        </w:rPr>
        <w:t>n</w:t>
      </w:r>
      <w:r w:rsidRPr="00343FB2">
        <w:rPr>
          <w:rFonts w:cs="Verdana"/>
          <w:lang w:val="en-US"/>
        </w:rPr>
        <w:t xml:space="preserve">d </w:t>
      </w:r>
      <w:r w:rsidRPr="00343FB2">
        <w:rPr>
          <w:rFonts w:cs="Verdana"/>
          <w:spacing w:val="1"/>
          <w:lang w:val="en-US"/>
        </w:rPr>
        <w:t>16</w:t>
      </w:r>
      <w:r w:rsidRPr="00343FB2">
        <w:rPr>
          <w:rFonts w:cs="Verdana"/>
          <w:lang w:val="en-US"/>
        </w:rPr>
        <w:t xml:space="preserve">3 </w:t>
      </w:r>
      <w:r w:rsidRPr="00343FB2">
        <w:rPr>
          <w:rFonts w:cs="Verdana"/>
          <w:spacing w:val="-1"/>
          <w:lang w:val="en-US"/>
        </w:rPr>
        <w:t>A</w:t>
      </w:r>
      <w:r w:rsidRPr="00343FB2">
        <w:rPr>
          <w:rFonts w:cs="Verdana"/>
          <w:spacing w:val="1"/>
          <w:lang w:val="en-US"/>
        </w:rPr>
        <w:t>L</w:t>
      </w:r>
      <w:r w:rsidRPr="00343FB2">
        <w:rPr>
          <w:rFonts w:cs="Verdana"/>
          <w:lang w:val="en-US"/>
        </w:rPr>
        <w:t>K</w:t>
      </w:r>
      <w:r w:rsidRPr="00343FB2">
        <w:rPr>
          <w:rFonts w:cs="Verdana"/>
          <w:spacing w:val="-1"/>
          <w:lang w:val="en-US"/>
        </w:rPr>
        <w:t xml:space="preserve"> </w:t>
      </w:r>
      <w:r w:rsidRPr="00343FB2">
        <w:rPr>
          <w:rFonts w:cs="Verdana"/>
          <w:spacing w:val="1"/>
          <w:lang w:val="en-US"/>
        </w:rPr>
        <w:t>i</w:t>
      </w:r>
      <w:r w:rsidRPr="00343FB2">
        <w:rPr>
          <w:rFonts w:cs="Verdana"/>
          <w:spacing w:val="-1"/>
          <w:lang w:val="en-US"/>
        </w:rPr>
        <w:t>nh</w:t>
      </w:r>
      <w:r w:rsidRPr="00343FB2">
        <w:rPr>
          <w:rFonts w:cs="Verdana"/>
          <w:spacing w:val="1"/>
          <w:lang w:val="en-US"/>
        </w:rPr>
        <w:t>ibit</w:t>
      </w:r>
      <w:r w:rsidRPr="00343FB2">
        <w:rPr>
          <w:rFonts w:cs="Verdana"/>
          <w:spacing w:val="-1"/>
          <w:lang w:val="en-US"/>
        </w:rPr>
        <w:t>o</w:t>
      </w:r>
      <w:r w:rsidRPr="00343FB2">
        <w:rPr>
          <w:rFonts w:cs="Verdana"/>
          <w:lang w:val="en-US"/>
        </w:rPr>
        <w:t>r</w:t>
      </w:r>
      <w:r w:rsidRPr="00343FB2">
        <w:rPr>
          <w:rFonts w:cs="Verdana"/>
          <w:spacing w:val="-1"/>
          <w:lang w:val="en-US"/>
        </w:rPr>
        <w:t xml:space="preserve"> </w:t>
      </w:r>
      <w:r w:rsidRPr="00343FB2">
        <w:rPr>
          <w:rFonts w:cs="Verdana"/>
          <w:spacing w:val="1"/>
          <w:lang w:val="en-US"/>
        </w:rPr>
        <w:t>p</w:t>
      </w:r>
      <w:r w:rsidRPr="00343FB2">
        <w:rPr>
          <w:rFonts w:cs="Verdana"/>
          <w:lang w:val="en-US"/>
        </w:rPr>
        <w:t>r</w:t>
      </w:r>
      <w:r w:rsidRPr="00343FB2">
        <w:rPr>
          <w:rFonts w:cs="Verdana"/>
          <w:spacing w:val="1"/>
          <w:lang w:val="en-US"/>
        </w:rPr>
        <w:t>et</w:t>
      </w:r>
      <w:r w:rsidRPr="00343FB2">
        <w:rPr>
          <w:rFonts w:cs="Verdana"/>
          <w:lang w:val="en-US"/>
        </w:rPr>
        <w:t>r</w:t>
      </w:r>
      <w:r w:rsidRPr="00343FB2">
        <w:rPr>
          <w:rFonts w:cs="Verdana"/>
          <w:spacing w:val="1"/>
          <w:lang w:val="en-US"/>
        </w:rPr>
        <w:t>e</w:t>
      </w:r>
      <w:r w:rsidRPr="00343FB2">
        <w:rPr>
          <w:rFonts w:cs="Verdana"/>
          <w:lang w:val="en-US"/>
        </w:rPr>
        <w:t>a</w:t>
      </w:r>
      <w:r w:rsidRPr="00343FB2">
        <w:rPr>
          <w:rFonts w:cs="Verdana"/>
          <w:spacing w:val="-1"/>
          <w:lang w:val="en-US"/>
        </w:rPr>
        <w:t>t</w:t>
      </w:r>
      <w:r w:rsidRPr="00343FB2">
        <w:rPr>
          <w:rFonts w:cs="Verdana"/>
          <w:spacing w:val="1"/>
          <w:lang w:val="en-US"/>
        </w:rPr>
        <w:t>e</w:t>
      </w:r>
      <w:r w:rsidRPr="00343FB2">
        <w:rPr>
          <w:rFonts w:cs="Verdana"/>
          <w:lang w:val="en-US"/>
        </w:rPr>
        <w:t xml:space="preserve">d </w:t>
      </w:r>
      <w:r w:rsidRPr="00343FB2">
        <w:rPr>
          <w:rFonts w:cs="Verdana"/>
          <w:spacing w:val="1"/>
          <w:lang w:val="en-US"/>
        </w:rPr>
        <w:t>p</w:t>
      </w:r>
      <w:r w:rsidRPr="00343FB2">
        <w:rPr>
          <w:rFonts w:cs="Verdana"/>
          <w:lang w:val="en-US"/>
        </w:rPr>
        <w:t>a</w:t>
      </w:r>
      <w:r w:rsidRPr="00343FB2">
        <w:rPr>
          <w:rFonts w:cs="Verdana"/>
          <w:spacing w:val="-1"/>
          <w:lang w:val="en-US"/>
        </w:rPr>
        <w:t>t</w:t>
      </w:r>
      <w:r w:rsidRPr="00343FB2">
        <w:rPr>
          <w:rFonts w:cs="Verdana"/>
          <w:spacing w:val="1"/>
          <w:lang w:val="en-US"/>
        </w:rPr>
        <w:t>ie</w:t>
      </w:r>
      <w:r w:rsidRPr="00343FB2">
        <w:rPr>
          <w:rFonts w:cs="Verdana"/>
          <w:spacing w:val="-1"/>
          <w:lang w:val="en-US"/>
        </w:rPr>
        <w:t>n</w:t>
      </w:r>
      <w:r w:rsidRPr="00343FB2">
        <w:rPr>
          <w:rFonts w:cs="Verdana"/>
          <w:spacing w:val="1"/>
          <w:lang w:val="en-US"/>
        </w:rPr>
        <w:t>t</w:t>
      </w:r>
      <w:r w:rsidRPr="00343FB2">
        <w:rPr>
          <w:rFonts w:cs="Verdana"/>
          <w:lang w:val="en-US"/>
        </w:rPr>
        <w:t>s</w:t>
      </w:r>
      <w:r w:rsidRPr="00343FB2">
        <w:rPr>
          <w:rFonts w:cs="Verdana"/>
          <w:spacing w:val="-1"/>
          <w:lang w:val="en-US"/>
        </w:rPr>
        <w:t xml:space="preserve"> </w:t>
      </w:r>
      <w:r w:rsidRPr="00343FB2">
        <w:rPr>
          <w:rFonts w:cs="Verdana"/>
          <w:spacing w:val="1"/>
          <w:lang w:val="en-US"/>
        </w:rPr>
        <w:t>i</w:t>
      </w:r>
      <w:r w:rsidRPr="00343FB2">
        <w:rPr>
          <w:rFonts w:cs="Verdana"/>
          <w:lang w:val="en-US"/>
        </w:rPr>
        <w:t>n</w:t>
      </w:r>
      <w:r w:rsidRPr="00343FB2">
        <w:rPr>
          <w:rFonts w:cs="Verdana"/>
          <w:spacing w:val="-2"/>
          <w:lang w:val="en-US"/>
        </w:rPr>
        <w:t xml:space="preserve"> </w:t>
      </w:r>
      <w:r w:rsidR="00B3070B">
        <w:rPr>
          <w:rFonts w:cs="Verdana"/>
          <w:lang w:val="en-US"/>
        </w:rPr>
        <w:t>Study X</w:t>
      </w:r>
      <w:r w:rsidRPr="00343FB2">
        <w:rPr>
          <w:rFonts w:cs="Verdana"/>
          <w:spacing w:val="1"/>
          <w:lang w:val="en-US"/>
        </w:rPr>
        <w:t>2101</w:t>
      </w:r>
      <w:r w:rsidRPr="00343FB2">
        <w:rPr>
          <w:rFonts w:cs="Verdana"/>
          <w:lang w:val="en-US"/>
        </w:rPr>
        <w:t>;</w:t>
      </w:r>
      <w:r w:rsidRPr="00343FB2">
        <w:rPr>
          <w:rFonts w:cs="Verdana"/>
          <w:spacing w:val="-1"/>
          <w:lang w:val="en-US"/>
        </w:rPr>
        <w:t xml:space="preserve"> </w:t>
      </w:r>
      <w:r w:rsidRPr="00343FB2">
        <w:rPr>
          <w:rFonts w:cs="Verdana"/>
          <w:spacing w:val="1"/>
          <w:lang w:val="en-US"/>
        </w:rPr>
        <w:t>14</w:t>
      </w:r>
      <w:r w:rsidRPr="00343FB2">
        <w:rPr>
          <w:rFonts w:cs="Verdana"/>
          <w:lang w:val="en-US"/>
        </w:rPr>
        <w:t xml:space="preserve">0 </w:t>
      </w:r>
      <w:r w:rsidRPr="00343FB2">
        <w:rPr>
          <w:rFonts w:cs="Verdana"/>
          <w:spacing w:val="-1"/>
          <w:lang w:val="en-US"/>
        </w:rPr>
        <w:t>A</w:t>
      </w:r>
      <w:r w:rsidRPr="00343FB2">
        <w:rPr>
          <w:rFonts w:cs="Verdana"/>
          <w:spacing w:val="1"/>
          <w:lang w:val="en-US"/>
        </w:rPr>
        <w:t>L</w:t>
      </w:r>
      <w:r w:rsidRPr="00343FB2">
        <w:rPr>
          <w:rFonts w:cs="Verdana"/>
          <w:lang w:val="en-US"/>
        </w:rPr>
        <w:t>K</w:t>
      </w:r>
      <w:r w:rsidRPr="00343FB2">
        <w:rPr>
          <w:rFonts w:cs="Verdana"/>
          <w:spacing w:val="-1"/>
          <w:lang w:val="en-US"/>
        </w:rPr>
        <w:t xml:space="preserve"> </w:t>
      </w:r>
      <w:r w:rsidRPr="00343FB2">
        <w:rPr>
          <w:rFonts w:cs="Verdana"/>
          <w:spacing w:val="1"/>
          <w:lang w:val="en-US"/>
        </w:rPr>
        <w:t>i</w:t>
      </w:r>
      <w:r w:rsidRPr="00343FB2">
        <w:rPr>
          <w:rFonts w:cs="Verdana"/>
          <w:spacing w:val="-1"/>
          <w:lang w:val="en-US"/>
        </w:rPr>
        <w:t>nh</w:t>
      </w:r>
      <w:r w:rsidRPr="00343FB2">
        <w:rPr>
          <w:rFonts w:cs="Verdana"/>
          <w:spacing w:val="1"/>
          <w:lang w:val="en-US"/>
        </w:rPr>
        <w:t>ibi</w:t>
      </w:r>
      <w:r w:rsidRPr="00343FB2">
        <w:rPr>
          <w:rFonts w:cs="Verdana"/>
          <w:spacing w:val="-1"/>
          <w:lang w:val="en-US"/>
        </w:rPr>
        <w:t>t</w:t>
      </w:r>
      <w:r w:rsidRPr="00343FB2">
        <w:rPr>
          <w:rFonts w:cs="Verdana"/>
          <w:spacing w:val="1"/>
          <w:lang w:val="en-US"/>
        </w:rPr>
        <w:t>o</w:t>
      </w:r>
      <w:r w:rsidRPr="00343FB2">
        <w:rPr>
          <w:rFonts w:cs="Verdana"/>
          <w:lang w:val="en-US"/>
        </w:rPr>
        <w:t>r</w:t>
      </w:r>
      <w:r>
        <w:rPr>
          <w:rFonts w:cs="Verdana"/>
          <w:spacing w:val="-1"/>
          <w:lang w:val="en-US"/>
        </w:rPr>
        <w:t xml:space="preserve"> </w:t>
      </w:r>
      <w:r w:rsidRPr="00343FB2">
        <w:rPr>
          <w:rFonts w:cs="Verdana"/>
          <w:spacing w:val="1"/>
          <w:lang w:val="en-US"/>
        </w:rPr>
        <w:t>p</w:t>
      </w:r>
      <w:r w:rsidRPr="00343FB2">
        <w:rPr>
          <w:rFonts w:cs="Verdana"/>
          <w:lang w:val="en-US"/>
        </w:rPr>
        <w:t>r</w:t>
      </w:r>
      <w:r w:rsidRPr="00343FB2">
        <w:rPr>
          <w:rFonts w:cs="Verdana"/>
          <w:spacing w:val="1"/>
          <w:lang w:val="en-US"/>
        </w:rPr>
        <w:t>et</w:t>
      </w:r>
      <w:r w:rsidRPr="00343FB2">
        <w:rPr>
          <w:rFonts w:cs="Verdana"/>
          <w:lang w:val="en-US"/>
        </w:rPr>
        <w:t>r</w:t>
      </w:r>
      <w:r w:rsidRPr="00343FB2">
        <w:rPr>
          <w:rFonts w:cs="Verdana"/>
          <w:spacing w:val="1"/>
          <w:lang w:val="en-US"/>
        </w:rPr>
        <w:t>e</w:t>
      </w:r>
      <w:r w:rsidRPr="00343FB2">
        <w:rPr>
          <w:rFonts w:cs="Verdana"/>
          <w:spacing w:val="-3"/>
          <w:lang w:val="en-US"/>
        </w:rPr>
        <w:t>a</w:t>
      </w:r>
      <w:r w:rsidRPr="00343FB2">
        <w:rPr>
          <w:rFonts w:cs="Verdana"/>
          <w:spacing w:val="1"/>
          <w:lang w:val="en-US"/>
        </w:rPr>
        <w:t>te</w:t>
      </w:r>
      <w:r w:rsidRPr="00343FB2">
        <w:rPr>
          <w:rFonts w:cs="Verdana"/>
          <w:lang w:val="en-US"/>
        </w:rPr>
        <w:t xml:space="preserve">d </w:t>
      </w:r>
      <w:r w:rsidRPr="00343FB2">
        <w:rPr>
          <w:rFonts w:cs="Verdana"/>
          <w:spacing w:val="1"/>
          <w:lang w:val="en-US"/>
        </w:rPr>
        <w:t>p</w:t>
      </w:r>
      <w:r w:rsidRPr="00343FB2">
        <w:rPr>
          <w:rFonts w:cs="Verdana"/>
          <w:spacing w:val="-3"/>
          <w:lang w:val="en-US"/>
        </w:rPr>
        <w:t>a</w:t>
      </w:r>
      <w:r w:rsidRPr="00343FB2">
        <w:rPr>
          <w:rFonts w:cs="Verdana"/>
          <w:spacing w:val="1"/>
          <w:lang w:val="en-US"/>
        </w:rPr>
        <w:t>tie</w:t>
      </w:r>
      <w:r w:rsidRPr="00343FB2">
        <w:rPr>
          <w:rFonts w:cs="Verdana"/>
          <w:spacing w:val="-1"/>
          <w:lang w:val="en-US"/>
        </w:rPr>
        <w:t>n</w:t>
      </w:r>
      <w:r w:rsidRPr="00343FB2">
        <w:rPr>
          <w:rFonts w:cs="Verdana"/>
          <w:spacing w:val="1"/>
          <w:lang w:val="en-US"/>
        </w:rPr>
        <w:t>t</w:t>
      </w:r>
      <w:r w:rsidRPr="00343FB2">
        <w:rPr>
          <w:rFonts w:cs="Verdana"/>
          <w:lang w:val="en-US"/>
        </w:rPr>
        <w:t xml:space="preserve">s </w:t>
      </w:r>
      <w:r w:rsidRPr="00343FB2">
        <w:rPr>
          <w:rFonts w:cs="Verdana"/>
          <w:spacing w:val="1"/>
          <w:lang w:val="en-US"/>
        </w:rPr>
        <w:t>i</w:t>
      </w:r>
      <w:r w:rsidRPr="00343FB2">
        <w:rPr>
          <w:rFonts w:cs="Verdana"/>
          <w:lang w:val="en-US"/>
        </w:rPr>
        <w:t>n</w:t>
      </w:r>
      <w:r w:rsidRPr="00343FB2">
        <w:rPr>
          <w:rFonts w:cs="Verdana"/>
          <w:spacing w:val="-2"/>
          <w:lang w:val="en-US"/>
        </w:rPr>
        <w:t xml:space="preserve"> </w:t>
      </w:r>
      <w:r w:rsidR="00B3070B">
        <w:rPr>
          <w:rFonts w:cs="Verdana"/>
          <w:lang w:val="en-US"/>
        </w:rPr>
        <w:t>Study A2</w:t>
      </w:r>
      <w:r w:rsidRPr="00343FB2">
        <w:rPr>
          <w:rFonts w:cs="Verdana"/>
          <w:spacing w:val="1"/>
          <w:lang w:val="en-US"/>
        </w:rPr>
        <w:t>20</w:t>
      </w:r>
      <w:r w:rsidRPr="00343FB2">
        <w:rPr>
          <w:rFonts w:cs="Verdana"/>
          <w:lang w:val="en-US"/>
        </w:rPr>
        <w:t>1 a</w:t>
      </w:r>
      <w:r w:rsidRPr="00343FB2">
        <w:rPr>
          <w:rFonts w:cs="Verdana"/>
          <w:spacing w:val="-1"/>
          <w:lang w:val="en-US"/>
        </w:rPr>
        <w:t>n</w:t>
      </w:r>
      <w:r w:rsidRPr="00343FB2">
        <w:rPr>
          <w:rFonts w:cs="Verdana"/>
          <w:lang w:val="en-US"/>
        </w:rPr>
        <w:t xml:space="preserve">d </w:t>
      </w:r>
      <w:r w:rsidRPr="00343FB2">
        <w:rPr>
          <w:rFonts w:cs="Verdana"/>
          <w:spacing w:val="1"/>
          <w:lang w:val="en-US"/>
        </w:rPr>
        <w:t>12</w:t>
      </w:r>
      <w:r w:rsidRPr="00343FB2">
        <w:rPr>
          <w:rFonts w:cs="Verdana"/>
          <w:lang w:val="en-US"/>
        </w:rPr>
        <w:t xml:space="preserve">4 </w:t>
      </w:r>
      <w:r w:rsidRPr="00343FB2">
        <w:rPr>
          <w:rFonts w:cs="Verdana"/>
          <w:spacing w:val="2"/>
          <w:lang w:val="en-US"/>
        </w:rPr>
        <w:t>A</w:t>
      </w:r>
      <w:r w:rsidRPr="00343FB2">
        <w:rPr>
          <w:rFonts w:cs="Verdana"/>
          <w:spacing w:val="1"/>
          <w:lang w:val="en-US"/>
        </w:rPr>
        <w:t>L</w:t>
      </w:r>
      <w:r w:rsidRPr="00343FB2">
        <w:rPr>
          <w:rFonts w:cs="Verdana"/>
          <w:lang w:val="en-US"/>
        </w:rPr>
        <w:t>K</w:t>
      </w:r>
      <w:r w:rsidRPr="00343FB2">
        <w:rPr>
          <w:rFonts w:cs="Verdana"/>
          <w:spacing w:val="-1"/>
          <w:lang w:val="en-US"/>
        </w:rPr>
        <w:t xml:space="preserve"> </w:t>
      </w:r>
      <w:r w:rsidRPr="00343FB2">
        <w:rPr>
          <w:rFonts w:cs="Verdana"/>
          <w:spacing w:val="1"/>
          <w:lang w:val="en-US"/>
        </w:rPr>
        <w:t>i</w:t>
      </w:r>
      <w:r w:rsidRPr="00343FB2">
        <w:rPr>
          <w:rFonts w:cs="Verdana"/>
          <w:spacing w:val="-1"/>
          <w:lang w:val="en-US"/>
        </w:rPr>
        <w:t>nh</w:t>
      </w:r>
      <w:r w:rsidRPr="00343FB2">
        <w:rPr>
          <w:rFonts w:cs="Verdana"/>
          <w:spacing w:val="1"/>
          <w:lang w:val="en-US"/>
        </w:rPr>
        <w:t>ibito</w:t>
      </w:r>
      <w:r w:rsidRPr="00343FB2">
        <w:rPr>
          <w:rFonts w:cs="Verdana"/>
          <w:lang w:val="en-US"/>
        </w:rPr>
        <w:t>r</w:t>
      </w:r>
      <w:r w:rsidRPr="00343FB2">
        <w:rPr>
          <w:rFonts w:cs="Verdana"/>
          <w:spacing w:val="-1"/>
          <w:lang w:val="en-US"/>
        </w:rPr>
        <w:t xml:space="preserve"> n</w:t>
      </w:r>
      <w:r w:rsidRPr="00343FB2">
        <w:rPr>
          <w:rFonts w:cs="Verdana"/>
          <w:lang w:val="en-US"/>
        </w:rPr>
        <w:t>a</w:t>
      </w:r>
      <w:r w:rsidRPr="00343FB2">
        <w:rPr>
          <w:rFonts w:cs="Verdana"/>
          <w:spacing w:val="1"/>
          <w:lang w:val="en-US"/>
        </w:rPr>
        <w:t>ï</w:t>
      </w:r>
      <w:r w:rsidRPr="00343FB2">
        <w:rPr>
          <w:rFonts w:cs="Verdana"/>
          <w:spacing w:val="-1"/>
          <w:lang w:val="en-US"/>
        </w:rPr>
        <w:t>v</w:t>
      </w:r>
      <w:r w:rsidRPr="00343FB2">
        <w:rPr>
          <w:rFonts w:cs="Verdana"/>
          <w:lang w:val="en-US"/>
        </w:rPr>
        <w:t xml:space="preserve">e </w:t>
      </w:r>
      <w:r w:rsidRPr="00343FB2">
        <w:rPr>
          <w:rFonts w:cs="Verdana"/>
          <w:spacing w:val="1"/>
          <w:lang w:val="en-US"/>
        </w:rPr>
        <w:t>p</w:t>
      </w:r>
      <w:r w:rsidRPr="00343FB2">
        <w:rPr>
          <w:rFonts w:cs="Verdana"/>
          <w:lang w:val="en-US"/>
        </w:rPr>
        <w:t>a</w:t>
      </w:r>
      <w:r w:rsidRPr="00343FB2">
        <w:rPr>
          <w:rFonts w:cs="Verdana"/>
          <w:spacing w:val="-1"/>
          <w:lang w:val="en-US"/>
        </w:rPr>
        <w:t>t</w:t>
      </w:r>
      <w:r w:rsidRPr="00343FB2">
        <w:rPr>
          <w:rFonts w:cs="Verdana"/>
          <w:spacing w:val="1"/>
          <w:lang w:val="en-US"/>
        </w:rPr>
        <w:t>ie</w:t>
      </w:r>
      <w:r w:rsidRPr="00343FB2">
        <w:rPr>
          <w:rFonts w:cs="Verdana"/>
          <w:spacing w:val="-1"/>
          <w:lang w:val="en-US"/>
        </w:rPr>
        <w:t>n</w:t>
      </w:r>
      <w:r w:rsidRPr="00343FB2">
        <w:rPr>
          <w:rFonts w:cs="Verdana"/>
          <w:spacing w:val="1"/>
          <w:lang w:val="en-US"/>
        </w:rPr>
        <w:t>t</w:t>
      </w:r>
      <w:r w:rsidRPr="00343FB2">
        <w:rPr>
          <w:rFonts w:cs="Verdana"/>
          <w:lang w:val="en-US"/>
        </w:rPr>
        <w:t>s</w:t>
      </w:r>
      <w:r w:rsidRPr="00343FB2">
        <w:rPr>
          <w:rFonts w:cs="Verdana"/>
          <w:spacing w:val="-1"/>
          <w:lang w:val="en-US"/>
        </w:rPr>
        <w:t xml:space="preserve"> </w:t>
      </w:r>
      <w:r w:rsidRPr="00343FB2">
        <w:rPr>
          <w:rFonts w:cs="Verdana"/>
          <w:spacing w:val="1"/>
          <w:lang w:val="en-US"/>
        </w:rPr>
        <w:t>i</w:t>
      </w:r>
      <w:r w:rsidRPr="00343FB2">
        <w:rPr>
          <w:rFonts w:cs="Verdana"/>
          <w:lang w:val="en-US"/>
        </w:rPr>
        <w:t>n</w:t>
      </w:r>
      <w:r w:rsidRPr="00343FB2">
        <w:rPr>
          <w:rFonts w:cs="Verdana"/>
          <w:spacing w:val="-2"/>
          <w:lang w:val="en-US"/>
        </w:rPr>
        <w:t xml:space="preserve"> </w:t>
      </w:r>
      <w:r w:rsidR="00B3070B">
        <w:rPr>
          <w:rFonts w:cs="Verdana"/>
          <w:lang w:val="en-US"/>
        </w:rPr>
        <w:t>Study A2</w:t>
      </w:r>
      <w:r w:rsidRPr="00343FB2">
        <w:rPr>
          <w:rFonts w:cs="Verdana"/>
          <w:spacing w:val="1"/>
          <w:lang w:val="en-US"/>
        </w:rPr>
        <w:t>203</w:t>
      </w:r>
      <w:r w:rsidRPr="00343FB2">
        <w:rPr>
          <w:rFonts w:cs="Verdana"/>
          <w:lang w:val="en-US"/>
        </w:rPr>
        <w:t>;</w:t>
      </w:r>
      <w:r w:rsidRPr="00343FB2">
        <w:rPr>
          <w:rFonts w:cs="Verdana"/>
          <w:spacing w:val="-1"/>
          <w:lang w:val="en-US"/>
        </w:rPr>
        <w:t xml:space="preserve"> </w:t>
      </w:r>
      <w:r>
        <w:rPr>
          <w:rFonts w:cs="Verdana"/>
          <w:lang w:val="en-US"/>
        </w:rPr>
        <w:t xml:space="preserve">6 </w:t>
      </w:r>
      <w:r w:rsidRPr="00343FB2">
        <w:rPr>
          <w:rFonts w:cs="Verdana"/>
          <w:lang w:val="en-US"/>
        </w:rPr>
        <w:t>a</w:t>
      </w:r>
      <w:r w:rsidRPr="00343FB2">
        <w:rPr>
          <w:rFonts w:cs="Verdana"/>
          <w:spacing w:val="1"/>
          <w:lang w:val="en-US"/>
        </w:rPr>
        <w:t>ddit</w:t>
      </w:r>
      <w:r w:rsidRPr="00343FB2">
        <w:rPr>
          <w:rFonts w:cs="Verdana"/>
          <w:spacing w:val="-1"/>
          <w:lang w:val="en-US"/>
        </w:rPr>
        <w:t>i</w:t>
      </w:r>
      <w:r w:rsidRPr="00343FB2">
        <w:rPr>
          <w:rFonts w:cs="Verdana"/>
          <w:spacing w:val="1"/>
          <w:lang w:val="en-US"/>
        </w:rPr>
        <w:t>o</w:t>
      </w:r>
      <w:r w:rsidRPr="00343FB2">
        <w:rPr>
          <w:rFonts w:cs="Verdana"/>
          <w:spacing w:val="-1"/>
          <w:lang w:val="en-US"/>
        </w:rPr>
        <w:t>n</w:t>
      </w:r>
      <w:r w:rsidRPr="00343FB2">
        <w:rPr>
          <w:rFonts w:cs="Verdana"/>
          <w:lang w:val="en-US"/>
        </w:rPr>
        <w:t xml:space="preserve">al </w:t>
      </w:r>
      <w:r w:rsidRPr="00343FB2">
        <w:rPr>
          <w:rFonts w:cs="Verdana"/>
          <w:spacing w:val="1"/>
          <w:lang w:val="en-US"/>
        </w:rPr>
        <w:t>p</w:t>
      </w:r>
      <w:r w:rsidRPr="00343FB2">
        <w:rPr>
          <w:rFonts w:cs="Verdana"/>
          <w:lang w:val="en-US"/>
        </w:rPr>
        <w:t>a</w:t>
      </w:r>
      <w:r w:rsidRPr="00343FB2">
        <w:rPr>
          <w:rFonts w:cs="Verdana"/>
          <w:spacing w:val="1"/>
          <w:lang w:val="en-US"/>
        </w:rPr>
        <w:t>tie</w:t>
      </w:r>
      <w:r w:rsidRPr="00343FB2">
        <w:rPr>
          <w:rFonts w:cs="Verdana"/>
          <w:spacing w:val="-1"/>
          <w:lang w:val="en-US"/>
        </w:rPr>
        <w:t>n</w:t>
      </w:r>
      <w:r w:rsidRPr="00343FB2">
        <w:rPr>
          <w:rFonts w:cs="Verdana"/>
          <w:spacing w:val="1"/>
          <w:lang w:val="en-US"/>
        </w:rPr>
        <w:t>t</w:t>
      </w:r>
      <w:r w:rsidRPr="00343FB2">
        <w:rPr>
          <w:rFonts w:cs="Verdana"/>
          <w:lang w:val="en-US"/>
        </w:rPr>
        <w:t>s</w:t>
      </w:r>
      <w:r w:rsidRPr="00343FB2">
        <w:rPr>
          <w:rFonts w:cs="Verdana"/>
          <w:spacing w:val="-1"/>
          <w:lang w:val="en-US"/>
        </w:rPr>
        <w:t xml:space="preserve"> h</w:t>
      </w:r>
      <w:r w:rsidRPr="00343FB2">
        <w:rPr>
          <w:rFonts w:cs="Verdana"/>
          <w:lang w:val="en-US"/>
        </w:rPr>
        <w:t>a</w:t>
      </w:r>
      <w:r w:rsidRPr="00343FB2">
        <w:rPr>
          <w:rFonts w:cs="Verdana"/>
          <w:spacing w:val="-1"/>
          <w:lang w:val="en-US"/>
        </w:rPr>
        <w:t>v</w:t>
      </w:r>
      <w:r w:rsidRPr="00343FB2">
        <w:rPr>
          <w:rFonts w:cs="Verdana"/>
          <w:lang w:val="en-US"/>
        </w:rPr>
        <w:t xml:space="preserve">e </w:t>
      </w:r>
      <w:r w:rsidRPr="00343FB2">
        <w:rPr>
          <w:rFonts w:cs="Verdana"/>
          <w:spacing w:val="1"/>
          <w:lang w:val="en-US"/>
        </w:rPr>
        <w:t>been</w:t>
      </w:r>
      <w:r>
        <w:rPr>
          <w:rFonts w:cs="Verdana"/>
          <w:lang w:val="en-US"/>
        </w:rPr>
        <w:t xml:space="preserve"> </w:t>
      </w:r>
      <w:r w:rsidRPr="00343FB2">
        <w:rPr>
          <w:rFonts w:cs="Verdana"/>
          <w:spacing w:val="1"/>
          <w:lang w:val="en-US"/>
        </w:rPr>
        <w:t>t</w:t>
      </w:r>
      <w:r w:rsidRPr="00343FB2">
        <w:rPr>
          <w:rFonts w:cs="Verdana"/>
          <w:lang w:val="en-US"/>
        </w:rPr>
        <w:t>r</w:t>
      </w:r>
      <w:r w:rsidRPr="00343FB2">
        <w:rPr>
          <w:rFonts w:cs="Verdana"/>
          <w:spacing w:val="1"/>
          <w:lang w:val="en-US"/>
        </w:rPr>
        <w:t>e</w:t>
      </w:r>
      <w:r w:rsidRPr="00343FB2">
        <w:rPr>
          <w:rFonts w:cs="Verdana"/>
          <w:lang w:val="en-US"/>
        </w:rPr>
        <w:t>a</w:t>
      </w:r>
      <w:r w:rsidRPr="00343FB2">
        <w:rPr>
          <w:rFonts w:cs="Verdana"/>
          <w:spacing w:val="1"/>
          <w:lang w:val="en-US"/>
        </w:rPr>
        <w:t>t</w:t>
      </w:r>
      <w:r w:rsidRPr="00343FB2">
        <w:rPr>
          <w:rFonts w:cs="Verdana"/>
          <w:spacing w:val="-2"/>
          <w:lang w:val="en-US"/>
        </w:rPr>
        <w:t>e</w:t>
      </w:r>
      <w:r w:rsidRPr="00343FB2">
        <w:rPr>
          <w:rFonts w:cs="Verdana"/>
          <w:lang w:val="en-US"/>
        </w:rPr>
        <w:t xml:space="preserve">d at </w:t>
      </w:r>
      <w:r w:rsidRPr="00343FB2">
        <w:rPr>
          <w:rFonts w:cs="Verdana"/>
          <w:spacing w:val="1"/>
          <w:lang w:val="en-US"/>
        </w:rPr>
        <w:t>t</w:t>
      </w:r>
      <w:r w:rsidRPr="00343FB2">
        <w:rPr>
          <w:rFonts w:cs="Verdana"/>
          <w:spacing w:val="-1"/>
          <w:lang w:val="en-US"/>
        </w:rPr>
        <w:t>h</w:t>
      </w:r>
      <w:r w:rsidRPr="00343FB2">
        <w:rPr>
          <w:rFonts w:cs="Verdana"/>
          <w:lang w:val="en-US"/>
        </w:rPr>
        <w:t xml:space="preserve">e </w:t>
      </w:r>
      <w:r w:rsidRPr="00343FB2">
        <w:rPr>
          <w:rFonts w:cs="Verdana"/>
          <w:spacing w:val="1"/>
          <w:lang w:val="en-US"/>
        </w:rPr>
        <w:t>p</w:t>
      </w:r>
      <w:r w:rsidRPr="00343FB2">
        <w:rPr>
          <w:rFonts w:cs="Verdana"/>
          <w:lang w:val="en-US"/>
        </w:rPr>
        <w:t>r</w:t>
      </w:r>
      <w:r w:rsidRPr="00343FB2">
        <w:rPr>
          <w:rFonts w:cs="Verdana"/>
          <w:spacing w:val="1"/>
          <w:lang w:val="en-US"/>
        </w:rPr>
        <w:t>o</w:t>
      </w:r>
      <w:r w:rsidRPr="00343FB2">
        <w:rPr>
          <w:rFonts w:cs="Verdana"/>
          <w:spacing w:val="-2"/>
          <w:lang w:val="en-US"/>
        </w:rPr>
        <w:t>p</w:t>
      </w:r>
      <w:r w:rsidRPr="00343FB2">
        <w:rPr>
          <w:rFonts w:cs="Verdana"/>
          <w:spacing w:val="1"/>
          <w:lang w:val="en-US"/>
        </w:rPr>
        <w:t>o</w:t>
      </w:r>
      <w:r w:rsidRPr="00343FB2">
        <w:rPr>
          <w:rFonts w:cs="Verdana"/>
          <w:lang w:val="en-US"/>
        </w:rPr>
        <w:t>s</w:t>
      </w:r>
      <w:r w:rsidRPr="00343FB2">
        <w:rPr>
          <w:rFonts w:cs="Verdana"/>
          <w:spacing w:val="1"/>
          <w:lang w:val="en-US"/>
        </w:rPr>
        <w:t>e</w:t>
      </w:r>
      <w:r w:rsidRPr="00343FB2">
        <w:rPr>
          <w:rFonts w:cs="Verdana"/>
          <w:lang w:val="en-US"/>
        </w:rPr>
        <w:t xml:space="preserve">d </w:t>
      </w:r>
      <w:r w:rsidRPr="00343FB2">
        <w:rPr>
          <w:rFonts w:cs="Verdana"/>
          <w:spacing w:val="-2"/>
          <w:lang w:val="en-US"/>
        </w:rPr>
        <w:t>d</w:t>
      </w:r>
      <w:r w:rsidRPr="00343FB2">
        <w:rPr>
          <w:rFonts w:cs="Verdana"/>
          <w:spacing w:val="-1"/>
          <w:lang w:val="en-US"/>
        </w:rPr>
        <w:t>o</w:t>
      </w:r>
      <w:r w:rsidRPr="00343FB2">
        <w:rPr>
          <w:rFonts w:cs="Verdana"/>
          <w:lang w:val="en-US"/>
        </w:rPr>
        <w:t>se</w:t>
      </w:r>
      <w:r>
        <w:rPr>
          <w:rFonts w:cs="Verdana"/>
          <w:lang w:val="en-US"/>
        </w:rPr>
        <w:t xml:space="preserve"> of 750g</w:t>
      </w:r>
      <w:r w:rsidRPr="00343FB2">
        <w:rPr>
          <w:rFonts w:cs="Verdana"/>
          <w:lang w:val="en-US"/>
        </w:rPr>
        <w:t xml:space="preserve"> </w:t>
      </w:r>
      <w:r w:rsidRPr="00343FB2">
        <w:rPr>
          <w:rFonts w:cs="Verdana"/>
          <w:spacing w:val="1"/>
          <w:lang w:val="en-US"/>
        </w:rPr>
        <w:t>i</w:t>
      </w:r>
      <w:r w:rsidRPr="00343FB2">
        <w:rPr>
          <w:rFonts w:cs="Verdana"/>
          <w:lang w:val="en-US"/>
        </w:rPr>
        <w:t>n</w:t>
      </w:r>
      <w:r w:rsidRPr="00343FB2">
        <w:rPr>
          <w:rFonts w:cs="Verdana"/>
          <w:spacing w:val="-2"/>
          <w:lang w:val="en-US"/>
        </w:rPr>
        <w:t xml:space="preserve"> </w:t>
      </w:r>
      <w:r w:rsidR="00B3070B">
        <w:rPr>
          <w:rFonts w:cs="Verdana"/>
          <w:lang w:val="en-US"/>
        </w:rPr>
        <w:t>Study X</w:t>
      </w:r>
      <w:r w:rsidRPr="00343FB2">
        <w:rPr>
          <w:rFonts w:cs="Verdana"/>
          <w:spacing w:val="1"/>
          <w:lang w:val="en-US"/>
        </w:rPr>
        <w:t>1101</w:t>
      </w:r>
      <w:r w:rsidRPr="00343FB2">
        <w:rPr>
          <w:rFonts w:cs="Verdana"/>
          <w:lang w:val="en-US"/>
        </w:rPr>
        <w:t>).</w:t>
      </w:r>
      <w:r>
        <w:rPr>
          <w:rFonts w:cs="Verdana"/>
          <w:lang w:val="en-US"/>
        </w:rPr>
        <w:t xml:space="preserve"> </w:t>
      </w:r>
      <w:r w:rsidRPr="00343FB2">
        <w:rPr>
          <w:rFonts w:cs="Verdana"/>
          <w:lang w:val="en-US"/>
        </w:rPr>
        <w:t>W</w:t>
      </w:r>
      <w:r w:rsidRPr="00343FB2">
        <w:rPr>
          <w:rFonts w:cs="Verdana"/>
          <w:spacing w:val="1"/>
          <w:lang w:val="en-US"/>
        </w:rPr>
        <w:t>it</w:t>
      </w:r>
      <w:r w:rsidRPr="00343FB2">
        <w:rPr>
          <w:rFonts w:cs="Verdana"/>
          <w:lang w:val="en-US"/>
        </w:rPr>
        <w:t>h</w:t>
      </w:r>
      <w:r w:rsidRPr="00343FB2">
        <w:rPr>
          <w:rFonts w:cs="Verdana"/>
          <w:spacing w:val="-2"/>
          <w:lang w:val="en-US"/>
        </w:rPr>
        <w:t xml:space="preserve"> </w:t>
      </w:r>
      <w:r w:rsidRPr="00343FB2">
        <w:rPr>
          <w:rFonts w:cs="Verdana"/>
          <w:lang w:val="en-US"/>
        </w:rPr>
        <w:t>r</w:t>
      </w:r>
      <w:r w:rsidRPr="00343FB2">
        <w:rPr>
          <w:rFonts w:cs="Verdana"/>
          <w:spacing w:val="1"/>
          <w:lang w:val="en-US"/>
        </w:rPr>
        <w:t>eg</w:t>
      </w:r>
      <w:r w:rsidRPr="00343FB2">
        <w:rPr>
          <w:rFonts w:cs="Verdana"/>
          <w:lang w:val="en-US"/>
        </w:rPr>
        <w:t>ar</w:t>
      </w:r>
      <w:r w:rsidRPr="00343FB2">
        <w:rPr>
          <w:rFonts w:cs="Verdana"/>
          <w:spacing w:val="1"/>
          <w:lang w:val="en-US"/>
        </w:rPr>
        <w:t>d</w:t>
      </w:r>
      <w:r w:rsidRPr="00343FB2">
        <w:rPr>
          <w:rFonts w:cs="Verdana"/>
          <w:lang w:val="en-US"/>
        </w:rPr>
        <w:t>s</w:t>
      </w:r>
      <w:r w:rsidRPr="00343FB2">
        <w:rPr>
          <w:rFonts w:cs="Verdana"/>
          <w:spacing w:val="-1"/>
          <w:lang w:val="en-US"/>
        </w:rPr>
        <w:t xml:space="preserve"> </w:t>
      </w:r>
      <w:r w:rsidRPr="00343FB2">
        <w:rPr>
          <w:rFonts w:cs="Verdana"/>
          <w:spacing w:val="1"/>
          <w:lang w:val="en-US"/>
        </w:rPr>
        <w:t>t</w:t>
      </w:r>
      <w:r w:rsidRPr="00343FB2">
        <w:rPr>
          <w:rFonts w:cs="Verdana"/>
          <w:lang w:val="en-US"/>
        </w:rPr>
        <w:t xml:space="preserve">o </w:t>
      </w:r>
      <w:r w:rsidRPr="00343FB2">
        <w:rPr>
          <w:rFonts w:cs="Verdana"/>
          <w:spacing w:val="1"/>
          <w:lang w:val="en-US"/>
        </w:rPr>
        <w:t>p</w:t>
      </w:r>
      <w:r w:rsidRPr="00343FB2">
        <w:rPr>
          <w:rFonts w:cs="Verdana"/>
          <w:lang w:val="en-US"/>
        </w:rPr>
        <w:t>a</w:t>
      </w:r>
      <w:r w:rsidRPr="00343FB2">
        <w:rPr>
          <w:rFonts w:cs="Verdana"/>
          <w:spacing w:val="-1"/>
          <w:lang w:val="en-US"/>
        </w:rPr>
        <w:t>t</w:t>
      </w:r>
      <w:r w:rsidRPr="00343FB2">
        <w:rPr>
          <w:rFonts w:cs="Verdana"/>
          <w:spacing w:val="1"/>
          <w:lang w:val="en-US"/>
        </w:rPr>
        <w:t>ie</w:t>
      </w:r>
      <w:r w:rsidRPr="00343FB2">
        <w:rPr>
          <w:rFonts w:cs="Verdana"/>
          <w:spacing w:val="-1"/>
          <w:lang w:val="en-US"/>
        </w:rPr>
        <w:t>n</w:t>
      </w:r>
      <w:r w:rsidRPr="00343FB2">
        <w:rPr>
          <w:rFonts w:cs="Verdana"/>
          <w:spacing w:val="1"/>
          <w:lang w:val="en-US"/>
        </w:rPr>
        <w:t>t</w:t>
      </w:r>
      <w:r>
        <w:rPr>
          <w:rFonts w:cs="Verdana"/>
          <w:lang w:val="en-US"/>
        </w:rPr>
        <w:t xml:space="preserve"> </w:t>
      </w:r>
      <w:r w:rsidRPr="00343FB2">
        <w:rPr>
          <w:rFonts w:cs="Verdana"/>
          <w:spacing w:val="-2"/>
          <w:lang w:val="en-US"/>
        </w:rPr>
        <w:t>d</w:t>
      </w:r>
      <w:r w:rsidRPr="00343FB2">
        <w:rPr>
          <w:rFonts w:cs="Verdana"/>
          <w:spacing w:val="1"/>
          <w:lang w:val="en-US"/>
        </w:rPr>
        <w:t>i</w:t>
      </w:r>
      <w:r w:rsidRPr="00343FB2">
        <w:rPr>
          <w:rFonts w:cs="Verdana"/>
          <w:lang w:val="en-US"/>
        </w:rPr>
        <w:t>s</w:t>
      </w:r>
      <w:r w:rsidRPr="00343FB2">
        <w:rPr>
          <w:rFonts w:cs="Verdana"/>
          <w:spacing w:val="1"/>
          <w:lang w:val="en-US"/>
        </w:rPr>
        <w:t>po</w:t>
      </w:r>
      <w:r w:rsidRPr="00343FB2">
        <w:rPr>
          <w:rFonts w:cs="Verdana"/>
          <w:lang w:val="en-US"/>
        </w:rPr>
        <w:t>s</w:t>
      </w:r>
      <w:r w:rsidRPr="00343FB2">
        <w:rPr>
          <w:rFonts w:cs="Verdana"/>
          <w:spacing w:val="-1"/>
          <w:lang w:val="en-US"/>
        </w:rPr>
        <w:t>i</w:t>
      </w:r>
      <w:r w:rsidRPr="00343FB2">
        <w:rPr>
          <w:rFonts w:cs="Verdana"/>
          <w:spacing w:val="1"/>
          <w:lang w:val="en-US"/>
        </w:rPr>
        <w:t>t</w:t>
      </w:r>
      <w:r w:rsidRPr="00343FB2">
        <w:rPr>
          <w:rFonts w:cs="Verdana"/>
          <w:spacing w:val="-1"/>
          <w:lang w:val="en-US"/>
        </w:rPr>
        <w:t>i</w:t>
      </w:r>
      <w:r w:rsidRPr="00343FB2">
        <w:rPr>
          <w:rFonts w:cs="Verdana"/>
          <w:spacing w:val="1"/>
          <w:lang w:val="en-US"/>
        </w:rPr>
        <w:t>o</w:t>
      </w:r>
      <w:r w:rsidRPr="00343FB2">
        <w:rPr>
          <w:rFonts w:cs="Verdana"/>
          <w:spacing w:val="-1"/>
          <w:lang w:val="en-US"/>
        </w:rPr>
        <w:t>n</w:t>
      </w:r>
      <w:r w:rsidRPr="00343FB2">
        <w:rPr>
          <w:rFonts w:cs="Verdana"/>
          <w:lang w:val="en-US"/>
        </w:rPr>
        <w:t>,</w:t>
      </w:r>
      <w:r w:rsidRPr="00343FB2">
        <w:rPr>
          <w:rFonts w:cs="Verdana"/>
          <w:spacing w:val="-1"/>
          <w:lang w:val="en-US"/>
        </w:rPr>
        <w:t xml:space="preserve"> </w:t>
      </w:r>
      <w:r w:rsidRPr="00343FB2">
        <w:rPr>
          <w:rFonts w:cs="Verdana"/>
          <w:lang w:val="en-US"/>
        </w:rPr>
        <w:t>a</w:t>
      </w:r>
      <w:r w:rsidRPr="00343FB2">
        <w:rPr>
          <w:rFonts w:cs="Verdana"/>
          <w:spacing w:val="-1"/>
          <w:lang w:val="en-US"/>
        </w:rPr>
        <w:t xml:space="preserve"> </w:t>
      </w:r>
      <w:r>
        <w:rPr>
          <w:rFonts w:cs="Verdana"/>
          <w:lang w:val="en-US"/>
        </w:rPr>
        <w:t>significant</w:t>
      </w:r>
      <w:r w:rsidRPr="00343FB2">
        <w:rPr>
          <w:rFonts w:cs="Verdana"/>
          <w:lang w:val="en-US"/>
        </w:rPr>
        <w:t xml:space="preserve"> </w:t>
      </w:r>
      <w:r>
        <w:rPr>
          <w:rFonts w:cs="Verdana"/>
          <w:lang w:val="en-US"/>
        </w:rPr>
        <w:t>pro</w:t>
      </w:r>
      <w:r w:rsidRPr="00343FB2">
        <w:rPr>
          <w:rFonts w:cs="Verdana"/>
          <w:spacing w:val="1"/>
          <w:lang w:val="en-US"/>
        </w:rPr>
        <w:t>po</w:t>
      </w:r>
      <w:r w:rsidRPr="00343FB2">
        <w:rPr>
          <w:rFonts w:cs="Verdana"/>
          <w:lang w:val="en-US"/>
        </w:rPr>
        <w:t>r</w:t>
      </w:r>
      <w:r w:rsidRPr="00343FB2">
        <w:rPr>
          <w:rFonts w:cs="Verdana"/>
          <w:spacing w:val="1"/>
          <w:lang w:val="en-US"/>
        </w:rPr>
        <w:t>t</w:t>
      </w:r>
      <w:r w:rsidRPr="00343FB2">
        <w:rPr>
          <w:rFonts w:cs="Verdana"/>
          <w:spacing w:val="-1"/>
          <w:lang w:val="en-US"/>
        </w:rPr>
        <w:t>i</w:t>
      </w:r>
      <w:r w:rsidRPr="00343FB2">
        <w:rPr>
          <w:rFonts w:cs="Verdana"/>
          <w:spacing w:val="1"/>
          <w:lang w:val="en-US"/>
        </w:rPr>
        <w:t>o</w:t>
      </w:r>
      <w:r w:rsidRPr="00343FB2">
        <w:rPr>
          <w:rFonts w:cs="Verdana"/>
          <w:lang w:val="en-US"/>
        </w:rPr>
        <w:t>n</w:t>
      </w:r>
      <w:r w:rsidRPr="00343FB2">
        <w:rPr>
          <w:rFonts w:cs="Verdana"/>
          <w:spacing w:val="-2"/>
          <w:lang w:val="en-US"/>
        </w:rPr>
        <w:t xml:space="preserve"> </w:t>
      </w:r>
      <w:r w:rsidRPr="00343FB2">
        <w:rPr>
          <w:rFonts w:cs="Verdana"/>
          <w:spacing w:val="1"/>
          <w:lang w:val="en-US"/>
        </w:rPr>
        <w:t>o</w:t>
      </w:r>
      <w:r w:rsidRPr="00343FB2">
        <w:rPr>
          <w:rFonts w:cs="Verdana"/>
          <w:lang w:val="en-US"/>
        </w:rPr>
        <w:t>f</w:t>
      </w:r>
      <w:r w:rsidRPr="00343FB2">
        <w:rPr>
          <w:rFonts w:cs="Verdana"/>
          <w:spacing w:val="-2"/>
          <w:lang w:val="en-US"/>
        </w:rPr>
        <w:t xml:space="preserve"> </w:t>
      </w:r>
      <w:r w:rsidRPr="00343FB2">
        <w:rPr>
          <w:rFonts w:cs="Verdana"/>
          <w:spacing w:val="1"/>
          <w:lang w:val="en-US"/>
        </w:rPr>
        <w:t>p</w:t>
      </w:r>
      <w:r w:rsidRPr="00343FB2">
        <w:rPr>
          <w:rFonts w:cs="Verdana"/>
          <w:lang w:val="en-US"/>
        </w:rPr>
        <w:t>a</w:t>
      </w:r>
      <w:r w:rsidRPr="00343FB2">
        <w:rPr>
          <w:rFonts w:cs="Verdana"/>
          <w:spacing w:val="1"/>
          <w:lang w:val="en-US"/>
        </w:rPr>
        <w:t>tie</w:t>
      </w:r>
      <w:r w:rsidRPr="00343FB2">
        <w:rPr>
          <w:rFonts w:cs="Verdana"/>
          <w:spacing w:val="-1"/>
          <w:lang w:val="en-US"/>
        </w:rPr>
        <w:t>n</w:t>
      </w:r>
      <w:r w:rsidRPr="00343FB2">
        <w:rPr>
          <w:rFonts w:cs="Verdana"/>
          <w:spacing w:val="1"/>
          <w:lang w:val="en-US"/>
        </w:rPr>
        <w:t>t</w:t>
      </w:r>
      <w:r w:rsidRPr="00343FB2">
        <w:rPr>
          <w:rFonts w:cs="Verdana"/>
          <w:lang w:val="en-US"/>
        </w:rPr>
        <w:t>s</w:t>
      </w:r>
      <w:r w:rsidRPr="00343FB2">
        <w:rPr>
          <w:rFonts w:cs="Verdana"/>
          <w:spacing w:val="-1"/>
          <w:lang w:val="en-US"/>
        </w:rPr>
        <w:t xml:space="preserve"> </w:t>
      </w:r>
      <w:r w:rsidRPr="00343FB2">
        <w:rPr>
          <w:rFonts w:cs="Verdana"/>
          <w:lang w:val="en-US"/>
        </w:rPr>
        <w:t>are s</w:t>
      </w:r>
      <w:r w:rsidRPr="00343FB2">
        <w:rPr>
          <w:rFonts w:cs="Verdana"/>
          <w:spacing w:val="1"/>
          <w:lang w:val="en-US"/>
        </w:rPr>
        <w:t>ti</w:t>
      </w:r>
      <w:r w:rsidRPr="00343FB2">
        <w:rPr>
          <w:rFonts w:cs="Verdana"/>
          <w:spacing w:val="-1"/>
          <w:lang w:val="en-US"/>
        </w:rPr>
        <w:t>l</w:t>
      </w:r>
      <w:r w:rsidRPr="00343FB2">
        <w:rPr>
          <w:rFonts w:cs="Verdana"/>
          <w:lang w:val="en-US"/>
        </w:rPr>
        <w:t xml:space="preserve">l </w:t>
      </w:r>
      <w:r w:rsidRPr="00343FB2">
        <w:rPr>
          <w:rFonts w:cs="Verdana"/>
          <w:spacing w:val="1"/>
          <w:lang w:val="en-US"/>
        </w:rPr>
        <w:t>o</w:t>
      </w:r>
      <w:r w:rsidRPr="00343FB2">
        <w:rPr>
          <w:rFonts w:cs="Verdana"/>
          <w:spacing w:val="-3"/>
          <w:lang w:val="en-US"/>
        </w:rPr>
        <w:t>n</w:t>
      </w:r>
      <w:r w:rsidRPr="00343FB2">
        <w:rPr>
          <w:rFonts w:cs="Verdana"/>
          <w:spacing w:val="1"/>
          <w:lang w:val="en-US"/>
        </w:rPr>
        <w:t>goi</w:t>
      </w:r>
      <w:r w:rsidRPr="00343FB2">
        <w:rPr>
          <w:rFonts w:cs="Verdana"/>
          <w:spacing w:val="-1"/>
          <w:lang w:val="en-US"/>
        </w:rPr>
        <w:t>n</w:t>
      </w:r>
      <w:r w:rsidRPr="00343FB2">
        <w:rPr>
          <w:rFonts w:cs="Verdana"/>
          <w:lang w:val="en-US"/>
        </w:rPr>
        <w:t xml:space="preserve">g </w:t>
      </w:r>
      <w:r w:rsidRPr="00343FB2">
        <w:rPr>
          <w:rFonts w:cs="Verdana"/>
          <w:spacing w:val="1"/>
          <w:lang w:val="en-US"/>
        </w:rPr>
        <w:t>i</w:t>
      </w:r>
      <w:r w:rsidRPr="00343FB2">
        <w:rPr>
          <w:rFonts w:cs="Verdana"/>
          <w:lang w:val="en-US"/>
        </w:rPr>
        <w:t>n</w:t>
      </w:r>
      <w:r w:rsidRPr="00343FB2">
        <w:rPr>
          <w:rFonts w:cs="Verdana"/>
          <w:spacing w:val="-2"/>
          <w:lang w:val="en-US"/>
        </w:rPr>
        <w:t xml:space="preserve"> </w:t>
      </w:r>
      <w:r w:rsidRPr="00343FB2">
        <w:rPr>
          <w:rFonts w:cs="Verdana"/>
          <w:spacing w:val="1"/>
          <w:lang w:val="en-US"/>
        </w:rPr>
        <w:t>t</w:t>
      </w:r>
      <w:r w:rsidRPr="00343FB2">
        <w:rPr>
          <w:rFonts w:cs="Verdana"/>
          <w:spacing w:val="-1"/>
          <w:lang w:val="en-US"/>
        </w:rPr>
        <w:t>h</w:t>
      </w:r>
      <w:r w:rsidRPr="00343FB2">
        <w:rPr>
          <w:rFonts w:cs="Verdana"/>
          <w:lang w:val="en-US"/>
        </w:rPr>
        <w:t>e 3 s</w:t>
      </w:r>
      <w:r w:rsidRPr="00343FB2">
        <w:rPr>
          <w:rFonts w:cs="Verdana"/>
          <w:spacing w:val="1"/>
          <w:lang w:val="en-US"/>
        </w:rPr>
        <w:t>t</w:t>
      </w:r>
      <w:r w:rsidRPr="00343FB2">
        <w:rPr>
          <w:rFonts w:cs="Verdana"/>
          <w:spacing w:val="-1"/>
          <w:lang w:val="en-US"/>
        </w:rPr>
        <w:t>u</w:t>
      </w:r>
      <w:r w:rsidRPr="00343FB2">
        <w:rPr>
          <w:rFonts w:cs="Verdana"/>
          <w:spacing w:val="1"/>
          <w:lang w:val="en-US"/>
        </w:rPr>
        <w:t>dies</w:t>
      </w:r>
      <w:r>
        <w:rPr>
          <w:rFonts w:cs="Verdana"/>
          <w:lang w:val="en-US"/>
        </w:rPr>
        <w:t xml:space="preserve"> </w:t>
      </w:r>
      <w:r w:rsidRPr="00343FB2">
        <w:rPr>
          <w:rFonts w:cs="Verdana"/>
          <w:lang w:val="en-US"/>
        </w:rPr>
        <w:t>(</w:t>
      </w:r>
      <w:r w:rsidRPr="00343FB2">
        <w:rPr>
          <w:rFonts w:cs="Verdana"/>
          <w:spacing w:val="1"/>
          <w:lang w:val="en-US"/>
        </w:rPr>
        <w:t>9</w:t>
      </w:r>
      <w:r w:rsidRPr="00343FB2">
        <w:rPr>
          <w:rFonts w:cs="Verdana"/>
          <w:lang w:val="en-US"/>
        </w:rPr>
        <w:t xml:space="preserve">9 </w:t>
      </w:r>
      <w:r w:rsidRPr="00343FB2">
        <w:rPr>
          <w:rFonts w:cs="Verdana"/>
          <w:spacing w:val="1"/>
          <w:lang w:val="en-US"/>
        </w:rPr>
        <w:t>o</w:t>
      </w:r>
      <w:r w:rsidRPr="00343FB2">
        <w:rPr>
          <w:rFonts w:cs="Verdana"/>
          <w:lang w:val="en-US"/>
        </w:rPr>
        <w:t>f</w:t>
      </w:r>
      <w:r w:rsidRPr="00343FB2">
        <w:rPr>
          <w:rFonts w:cs="Verdana"/>
          <w:spacing w:val="-2"/>
          <w:lang w:val="en-US"/>
        </w:rPr>
        <w:t xml:space="preserve"> </w:t>
      </w:r>
      <w:r w:rsidRPr="00343FB2">
        <w:rPr>
          <w:rFonts w:cs="Verdana"/>
          <w:spacing w:val="1"/>
          <w:lang w:val="en-US"/>
        </w:rPr>
        <w:t>24</w:t>
      </w:r>
      <w:r w:rsidRPr="00343FB2">
        <w:rPr>
          <w:rFonts w:cs="Verdana"/>
          <w:lang w:val="en-US"/>
        </w:rPr>
        <w:t xml:space="preserve">6 </w:t>
      </w:r>
      <w:r w:rsidRPr="00343FB2">
        <w:rPr>
          <w:rFonts w:cs="Verdana"/>
          <w:spacing w:val="1"/>
          <w:lang w:val="en-US"/>
        </w:rPr>
        <w:t>i</w:t>
      </w:r>
      <w:r w:rsidRPr="00343FB2">
        <w:rPr>
          <w:rFonts w:cs="Verdana"/>
          <w:lang w:val="en-US"/>
        </w:rPr>
        <w:t>n</w:t>
      </w:r>
      <w:r w:rsidRPr="00343FB2">
        <w:rPr>
          <w:rFonts w:cs="Verdana"/>
          <w:spacing w:val="-2"/>
          <w:lang w:val="en-US"/>
        </w:rPr>
        <w:t xml:space="preserve"> </w:t>
      </w:r>
      <w:r w:rsidR="00B3070B">
        <w:rPr>
          <w:rFonts w:cs="Verdana"/>
          <w:lang w:val="en-US"/>
        </w:rPr>
        <w:t>Study X</w:t>
      </w:r>
      <w:r w:rsidRPr="00343FB2">
        <w:rPr>
          <w:rFonts w:cs="Verdana"/>
          <w:spacing w:val="1"/>
          <w:lang w:val="en-US"/>
        </w:rPr>
        <w:t>2101</w:t>
      </w:r>
      <w:r w:rsidRPr="00343FB2">
        <w:rPr>
          <w:rFonts w:cs="Verdana"/>
          <w:lang w:val="en-US"/>
        </w:rPr>
        <w:t>,</w:t>
      </w:r>
      <w:r w:rsidRPr="00343FB2">
        <w:rPr>
          <w:rFonts w:cs="Verdana"/>
          <w:spacing w:val="-1"/>
          <w:lang w:val="en-US"/>
        </w:rPr>
        <w:t xml:space="preserve"> </w:t>
      </w:r>
      <w:r w:rsidRPr="00343FB2">
        <w:rPr>
          <w:rFonts w:cs="Verdana"/>
          <w:spacing w:val="1"/>
          <w:lang w:val="en-US"/>
        </w:rPr>
        <w:t>7</w:t>
      </w:r>
      <w:r w:rsidRPr="00343FB2">
        <w:rPr>
          <w:rFonts w:cs="Verdana"/>
          <w:lang w:val="en-US"/>
        </w:rPr>
        <w:t xml:space="preserve">5 </w:t>
      </w:r>
      <w:r w:rsidRPr="00343FB2">
        <w:rPr>
          <w:rFonts w:cs="Verdana"/>
          <w:spacing w:val="1"/>
          <w:lang w:val="en-US"/>
        </w:rPr>
        <w:t>o</w:t>
      </w:r>
      <w:r w:rsidRPr="00343FB2">
        <w:rPr>
          <w:rFonts w:cs="Verdana"/>
          <w:lang w:val="en-US"/>
        </w:rPr>
        <w:t>f</w:t>
      </w:r>
      <w:r w:rsidRPr="00343FB2">
        <w:rPr>
          <w:rFonts w:cs="Verdana"/>
          <w:spacing w:val="-2"/>
          <w:lang w:val="en-US"/>
        </w:rPr>
        <w:t xml:space="preserve"> </w:t>
      </w:r>
      <w:r w:rsidRPr="00343FB2">
        <w:rPr>
          <w:rFonts w:cs="Verdana"/>
          <w:spacing w:val="1"/>
          <w:lang w:val="en-US"/>
        </w:rPr>
        <w:t>14</w:t>
      </w:r>
      <w:r w:rsidRPr="00343FB2">
        <w:rPr>
          <w:rFonts w:cs="Verdana"/>
          <w:lang w:val="en-US"/>
        </w:rPr>
        <w:t xml:space="preserve">0 </w:t>
      </w:r>
      <w:r w:rsidRPr="00343FB2">
        <w:rPr>
          <w:rFonts w:cs="Verdana"/>
          <w:spacing w:val="1"/>
          <w:lang w:val="en-US"/>
        </w:rPr>
        <w:t>i</w:t>
      </w:r>
      <w:r w:rsidRPr="00343FB2">
        <w:rPr>
          <w:rFonts w:cs="Verdana"/>
          <w:lang w:val="en-US"/>
        </w:rPr>
        <w:t>n</w:t>
      </w:r>
      <w:r w:rsidRPr="00343FB2">
        <w:rPr>
          <w:rFonts w:cs="Verdana"/>
          <w:spacing w:val="-2"/>
          <w:lang w:val="en-US"/>
        </w:rPr>
        <w:t xml:space="preserve"> </w:t>
      </w:r>
      <w:r w:rsidRPr="00343FB2">
        <w:rPr>
          <w:rFonts w:cs="Verdana"/>
          <w:spacing w:val="-1"/>
          <w:lang w:val="en-US"/>
        </w:rPr>
        <w:t>A</w:t>
      </w:r>
      <w:r w:rsidRPr="00343FB2">
        <w:rPr>
          <w:rFonts w:cs="Verdana"/>
          <w:spacing w:val="1"/>
          <w:lang w:val="en-US"/>
        </w:rPr>
        <w:t>220</w:t>
      </w:r>
      <w:r w:rsidRPr="00343FB2">
        <w:rPr>
          <w:rFonts w:cs="Verdana"/>
          <w:lang w:val="en-US"/>
        </w:rPr>
        <w:t>1 a</w:t>
      </w:r>
      <w:r w:rsidRPr="00343FB2">
        <w:rPr>
          <w:rFonts w:cs="Verdana"/>
          <w:spacing w:val="-1"/>
          <w:lang w:val="en-US"/>
        </w:rPr>
        <w:t>n</w:t>
      </w:r>
      <w:r w:rsidRPr="00343FB2">
        <w:rPr>
          <w:rFonts w:cs="Verdana"/>
          <w:lang w:val="en-US"/>
        </w:rPr>
        <w:t xml:space="preserve">d </w:t>
      </w:r>
      <w:r w:rsidRPr="00343FB2">
        <w:rPr>
          <w:rFonts w:cs="Verdana"/>
          <w:spacing w:val="1"/>
          <w:lang w:val="en-US"/>
        </w:rPr>
        <w:t>9</w:t>
      </w:r>
      <w:r w:rsidRPr="00343FB2">
        <w:rPr>
          <w:rFonts w:cs="Verdana"/>
          <w:lang w:val="en-US"/>
        </w:rPr>
        <w:t xml:space="preserve">1 </w:t>
      </w:r>
      <w:r w:rsidRPr="00343FB2">
        <w:rPr>
          <w:rFonts w:cs="Verdana"/>
          <w:spacing w:val="1"/>
          <w:lang w:val="en-US"/>
        </w:rPr>
        <w:t>o</w:t>
      </w:r>
      <w:r w:rsidRPr="00343FB2">
        <w:rPr>
          <w:rFonts w:cs="Verdana"/>
          <w:lang w:val="en-US"/>
        </w:rPr>
        <w:t>f</w:t>
      </w:r>
      <w:r w:rsidRPr="00343FB2">
        <w:rPr>
          <w:rFonts w:cs="Verdana"/>
          <w:spacing w:val="-2"/>
          <w:lang w:val="en-US"/>
        </w:rPr>
        <w:t xml:space="preserve"> </w:t>
      </w:r>
      <w:r w:rsidRPr="00343FB2">
        <w:rPr>
          <w:rFonts w:cs="Verdana"/>
          <w:spacing w:val="1"/>
          <w:lang w:val="en-US"/>
        </w:rPr>
        <w:t>12</w:t>
      </w:r>
      <w:r w:rsidRPr="00343FB2">
        <w:rPr>
          <w:rFonts w:cs="Verdana"/>
          <w:lang w:val="en-US"/>
        </w:rPr>
        <w:t xml:space="preserve">4 </w:t>
      </w:r>
      <w:r w:rsidRPr="00343FB2">
        <w:rPr>
          <w:rFonts w:cs="Verdana"/>
          <w:spacing w:val="1"/>
          <w:lang w:val="en-US"/>
        </w:rPr>
        <w:t>i</w:t>
      </w:r>
      <w:r w:rsidRPr="00343FB2">
        <w:rPr>
          <w:rFonts w:cs="Verdana"/>
          <w:lang w:val="en-US"/>
        </w:rPr>
        <w:t>n</w:t>
      </w:r>
      <w:r w:rsidRPr="00343FB2">
        <w:rPr>
          <w:rFonts w:cs="Verdana"/>
          <w:spacing w:val="-2"/>
          <w:lang w:val="en-US"/>
        </w:rPr>
        <w:t xml:space="preserve"> </w:t>
      </w:r>
      <w:r w:rsidRPr="00343FB2">
        <w:rPr>
          <w:rFonts w:cs="Verdana"/>
          <w:spacing w:val="-1"/>
          <w:lang w:val="en-US"/>
        </w:rPr>
        <w:t>A</w:t>
      </w:r>
      <w:r w:rsidRPr="00343FB2">
        <w:rPr>
          <w:rFonts w:cs="Verdana"/>
          <w:spacing w:val="1"/>
          <w:lang w:val="en-US"/>
        </w:rPr>
        <w:t>2203</w:t>
      </w:r>
      <w:r w:rsidRPr="00343FB2">
        <w:rPr>
          <w:rFonts w:cs="Verdana"/>
          <w:lang w:val="en-US"/>
        </w:rPr>
        <w:t>).</w:t>
      </w:r>
      <w:r w:rsidRPr="00343FB2">
        <w:rPr>
          <w:rFonts w:cs="Verdana"/>
          <w:spacing w:val="-1"/>
          <w:lang w:val="en-US"/>
        </w:rPr>
        <w:t xml:space="preserve"> Th</w:t>
      </w:r>
      <w:r w:rsidRPr="00343FB2">
        <w:rPr>
          <w:rFonts w:cs="Verdana"/>
          <w:spacing w:val="1"/>
          <w:lang w:val="en-US"/>
        </w:rPr>
        <w:t>i</w:t>
      </w:r>
      <w:r w:rsidRPr="00343FB2">
        <w:rPr>
          <w:rFonts w:cs="Verdana"/>
          <w:lang w:val="en-US"/>
        </w:rPr>
        <w:t>s</w:t>
      </w:r>
      <w:r w:rsidRPr="00343FB2">
        <w:rPr>
          <w:rFonts w:cs="Verdana"/>
          <w:spacing w:val="-1"/>
          <w:lang w:val="en-US"/>
        </w:rPr>
        <w:t xml:space="preserve"> </w:t>
      </w:r>
      <w:r w:rsidRPr="00343FB2">
        <w:rPr>
          <w:rFonts w:cs="Verdana"/>
          <w:spacing w:val="3"/>
          <w:lang w:val="en-US"/>
        </w:rPr>
        <w:t>m</w:t>
      </w:r>
      <w:r w:rsidRPr="00343FB2">
        <w:rPr>
          <w:rFonts w:cs="Verdana"/>
          <w:spacing w:val="1"/>
          <w:lang w:val="en-US"/>
        </w:rPr>
        <w:t>e</w:t>
      </w:r>
      <w:r w:rsidRPr="00343FB2">
        <w:rPr>
          <w:rFonts w:cs="Verdana"/>
          <w:lang w:val="en-US"/>
        </w:rPr>
        <w:t>a</w:t>
      </w:r>
      <w:r w:rsidRPr="00343FB2">
        <w:rPr>
          <w:rFonts w:cs="Verdana"/>
          <w:spacing w:val="-1"/>
          <w:lang w:val="en-US"/>
        </w:rPr>
        <w:t>n</w:t>
      </w:r>
      <w:r w:rsidRPr="00343FB2">
        <w:rPr>
          <w:rFonts w:cs="Verdana"/>
          <w:lang w:val="en-US"/>
        </w:rPr>
        <w:t>s</w:t>
      </w:r>
      <w:r w:rsidRPr="00343FB2">
        <w:rPr>
          <w:rFonts w:cs="Verdana"/>
          <w:spacing w:val="-1"/>
          <w:lang w:val="en-US"/>
        </w:rPr>
        <w:t xml:space="preserve"> </w:t>
      </w:r>
      <w:r w:rsidRPr="00343FB2">
        <w:rPr>
          <w:rFonts w:cs="Verdana"/>
          <w:spacing w:val="1"/>
          <w:lang w:val="en-US"/>
        </w:rPr>
        <w:t>t</w:t>
      </w:r>
      <w:r w:rsidRPr="00343FB2">
        <w:rPr>
          <w:rFonts w:cs="Verdana"/>
          <w:spacing w:val="-1"/>
          <w:lang w:val="en-US"/>
        </w:rPr>
        <w:t>h</w:t>
      </w:r>
      <w:r w:rsidRPr="00343FB2">
        <w:rPr>
          <w:rFonts w:cs="Verdana"/>
          <w:lang w:val="en-US"/>
        </w:rPr>
        <w:t xml:space="preserve">at </w:t>
      </w:r>
      <w:r w:rsidRPr="00343FB2">
        <w:rPr>
          <w:rFonts w:cs="Verdana"/>
          <w:spacing w:val="-1"/>
          <w:lang w:val="en-US"/>
        </w:rPr>
        <w:t>f</w:t>
      </w:r>
      <w:r w:rsidRPr="00343FB2">
        <w:rPr>
          <w:rFonts w:cs="Verdana"/>
          <w:spacing w:val="1"/>
          <w:lang w:val="en-US"/>
        </w:rPr>
        <w:t>o</w:t>
      </w:r>
      <w:r w:rsidRPr="00343FB2">
        <w:rPr>
          <w:rFonts w:cs="Verdana"/>
          <w:lang w:val="en-US"/>
        </w:rPr>
        <w:t>r</w:t>
      </w:r>
      <w:r w:rsidRPr="00343FB2">
        <w:rPr>
          <w:rFonts w:cs="Verdana"/>
          <w:spacing w:val="-1"/>
          <w:lang w:val="en-US"/>
        </w:rPr>
        <w:t xml:space="preserve"> </w:t>
      </w:r>
      <w:r w:rsidRPr="00343FB2">
        <w:rPr>
          <w:rFonts w:cs="Verdana"/>
          <w:spacing w:val="1"/>
          <w:lang w:val="en-US"/>
        </w:rPr>
        <w:t>bot</w:t>
      </w:r>
      <w:r w:rsidRPr="00343FB2">
        <w:rPr>
          <w:rFonts w:cs="Verdana"/>
          <w:lang w:val="en-US"/>
        </w:rPr>
        <w:t xml:space="preserve">h </w:t>
      </w:r>
      <w:r w:rsidR="00B3070B">
        <w:rPr>
          <w:rFonts w:cs="Verdana"/>
          <w:spacing w:val="1"/>
          <w:lang w:val="en-US"/>
        </w:rPr>
        <w:t>Phase I</w:t>
      </w:r>
      <w:r w:rsidRPr="00343FB2">
        <w:rPr>
          <w:rFonts w:cs="Verdana"/>
          <w:lang w:val="en-US"/>
        </w:rPr>
        <w:t>I</w:t>
      </w:r>
      <w:r w:rsidRPr="00343FB2">
        <w:rPr>
          <w:rFonts w:cs="Verdana"/>
          <w:spacing w:val="-2"/>
          <w:lang w:val="en-US"/>
        </w:rPr>
        <w:t xml:space="preserve"> </w:t>
      </w:r>
      <w:r w:rsidRPr="00343FB2">
        <w:rPr>
          <w:rFonts w:cs="Verdana"/>
          <w:lang w:val="en-US"/>
        </w:rPr>
        <w:t>s</w:t>
      </w:r>
      <w:r w:rsidRPr="00343FB2">
        <w:rPr>
          <w:rFonts w:cs="Verdana"/>
          <w:spacing w:val="1"/>
          <w:lang w:val="en-US"/>
        </w:rPr>
        <w:t>t</w:t>
      </w:r>
      <w:r w:rsidRPr="00343FB2">
        <w:rPr>
          <w:rFonts w:cs="Verdana"/>
          <w:spacing w:val="-1"/>
          <w:lang w:val="en-US"/>
        </w:rPr>
        <w:t>u</w:t>
      </w:r>
      <w:r w:rsidRPr="00343FB2">
        <w:rPr>
          <w:rFonts w:cs="Verdana"/>
          <w:spacing w:val="1"/>
          <w:lang w:val="en-US"/>
        </w:rPr>
        <w:t>die</w:t>
      </w:r>
      <w:r w:rsidRPr="00343FB2">
        <w:rPr>
          <w:rFonts w:cs="Verdana"/>
          <w:lang w:val="en-US"/>
        </w:rPr>
        <w:t>s,</w:t>
      </w:r>
      <w:r w:rsidRPr="00343FB2">
        <w:rPr>
          <w:rFonts w:cs="Verdana"/>
          <w:spacing w:val="-1"/>
          <w:lang w:val="en-US"/>
        </w:rPr>
        <w:t xml:space="preserve"> </w:t>
      </w:r>
      <w:r w:rsidRPr="00343FB2">
        <w:rPr>
          <w:rFonts w:cs="Verdana"/>
          <w:lang w:val="en-US"/>
        </w:rPr>
        <w:t>a</w:t>
      </w:r>
      <w:r w:rsidRPr="00343FB2">
        <w:rPr>
          <w:rFonts w:cs="Verdana"/>
          <w:spacing w:val="1"/>
          <w:lang w:val="en-US"/>
        </w:rPr>
        <w:t>lt</w:t>
      </w:r>
      <w:r w:rsidRPr="00343FB2">
        <w:rPr>
          <w:rFonts w:cs="Verdana"/>
          <w:spacing w:val="-1"/>
          <w:lang w:val="en-US"/>
        </w:rPr>
        <w:t>h</w:t>
      </w:r>
      <w:r w:rsidRPr="00343FB2">
        <w:rPr>
          <w:rFonts w:cs="Verdana"/>
          <w:spacing w:val="1"/>
          <w:lang w:val="en-US"/>
        </w:rPr>
        <w:t>o</w:t>
      </w:r>
      <w:r w:rsidRPr="00343FB2">
        <w:rPr>
          <w:rFonts w:cs="Verdana"/>
          <w:spacing w:val="-1"/>
          <w:lang w:val="en-US"/>
        </w:rPr>
        <w:t>u</w:t>
      </w:r>
      <w:r w:rsidRPr="00343FB2">
        <w:rPr>
          <w:rFonts w:cs="Verdana"/>
          <w:spacing w:val="1"/>
          <w:lang w:val="en-US"/>
        </w:rPr>
        <w:t>g</w:t>
      </w:r>
      <w:r w:rsidRPr="00343FB2">
        <w:rPr>
          <w:rFonts w:cs="Verdana"/>
          <w:lang w:val="en-US"/>
        </w:rPr>
        <w:t xml:space="preserve">h </w:t>
      </w:r>
      <w:r w:rsidRPr="00343FB2">
        <w:rPr>
          <w:rFonts w:cs="Verdana"/>
          <w:spacing w:val="1"/>
          <w:lang w:val="en-US"/>
        </w:rPr>
        <w:t>t</w:t>
      </w:r>
      <w:r w:rsidRPr="00343FB2">
        <w:rPr>
          <w:rFonts w:cs="Verdana"/>
          <w:spacing w:val="-1"/>
          <w:lang w:val="en-US"/>
        </w:rPr>
        <w:t>h</w:t>
      </w:r>
      <w:r w:rsidRPr="00343FB2">
        <w:rPr>
          <w:rFonts w:cs="Verdana"/>
          <w:lang w:val="en-US"/>
        </w:rPr>
        <w:t xml:space="preserve">e </w:t>
      </w:r>
      <w:r w:rsidRPr="00343FB2">
        <w:rPr>
          <w:rFonts w:cs="Verdana"/>
          <w:spacing w:val="1"/>
          <w:lang w:val="en-US"/>
        </w:rPr>
        <w:t>p</w:t>
      </w:r>
      <w:r w:rsidRPr="00343FB2">
        <w:rPr>
          <w:rFonts w:cs="Verdana"/>
          <w:lang w:val="en-US"/>
        </w:rPr>
        <w:t>r</w:t>
      </w:r>
      <w:r w:rsidRPr="00343FB2">
        <w:rPr>
          <w:rFonts w:cs="Verdana"/>
          <w:spacing w:val="1"/>
          <w:lang w:val="en-US"/>
        </w:rPr>
        <w:t>i</w:t>
      </w:r>
      <w:r w:rsidRPr="00343FB2">
        <w:rPr>
          <w:rFonts w:cs="Verdana"/>
          <w:lang w:val="en-US"/>
        </w:rPr>
        <w:t>mary</w:t>
      </w:r>
      <w:r w:rsidRPr="00343FB2">
        <w:rPr>
          <w:rFonts w:cs="Verdana"/>
          <w:spacing w:val="-2"/>
          <w:lang w:val="en-US"/>
        </w:rPr>
        <w:t xml:space="preserve"> </w:t>
      </w:r>
      <w:r w:rsidRPr="00343FB2">
        <w:rPr>
          <w:rFonts w:cs="Verdana"/>
          <w:spacing w:val="1"/>
          <w:lang w:val="en-US"/>
        </w:rPr>
        <w:t>obje</w:t>
      </w:r>
      <w:r w:rsidRPr="00343FB2">
        <w:rPr>
          <w:rFonts w:cs="Verdana"/>
          <w:lang w:val="en-US"/>
        </w:rPr>
        <w:t>c</w:t>
      </w:r>
      <w:r w:rsidRPr="00343FB2">
        <w:rPr>
          <w:rFonts w:cs="Verdana"/>
          <w:spacing w:val="-1"/>
          <w:lang w:val="en-US"/>
        </w:rPr>
        <w:t>t</w:t>
      </w:r>
      <w:r w:rsidRPr="00343FB2">
        <w:rPr>
          <w:rFonts w:cs="Verdana"/>
          <w:spacing w:val="1"/>
          <w:lang w:val="en-US"/>
        </w:rPr>
        <w:t>i</w:t>
      </w:r>
      <w:r w:rsidRPr="00343FB2">
        <w:rPr>
          <w:rFonts w:cs="Verdana"/>
          <w:spacing w:val="-1"/>
          <w:lang w:val="en-US"/>
        </w:rPr>
        <w:t>v</w:t>
      </w:r>
      <w:r w:rsidRPr="00343FB2">
        <w:rPr>
          <w:rFonts w:cs="Verdana"/>
          <w:lang w:val="en-US"/>
        </w:rPr>
        <w:t xml:space="preserve">e </w:t>
      </w:r>
      <w:r w:rsidRPr="00343FB2">
        <w:rPr>
          <w:rFonts w:cs="Verdana"/>
          <w:spacing w:val="-1"/>
          <w:lang w:val="en-US"/>
        </w:rPr>
        <w:t>h</w:t>
      </w:r>
      <w:r w:rsidRPr="00343FB2">
        <w:rPr>
          <w:rFonts w:cs="Verdana"/>
          <w:lang w:val="en-US"/>
        </w:rPr>
        <w:t>as</w:t>
      </w:r>
      <w:r w:rsidRPr="00343FB2">
        <w:rPr>
          <w:rFonts w:cs="Verdana"/>
          <w:spacing w:val="1"/>
          <w:lang w:val="en-US"/>
        </w:rPr>
        <w:t xml:space="preserve"> bee</w:t>
      </w:r>
      <w:r w:rsidRPr="00343FB2">
        <w:rPr>
          <w:rFonts w:cs="Verdana"/>
          <w:lang w:val="en-US"/>
        </w:rPr>
        <w:t>n</w:t>
      </w:r>
      <w:r w:rsidRPr="00343FB2">
        <w:rPr>
          <w:rFonts w:cs="Verdana"/>
          <w:spacing w:val="-2"/>
          <w:lang w:val="en-US"/>
        </w:rPr>
        <w:t xml:space="preserve"> </w:t>
      </w:r>
      <w:r w:rsidRPr="00343FB2">
        <w:rPr>
          <w:rFonts w:cs="Verdana"/>
          <w:lang w:val="en-US"/>
        </w:rPr>
        <w:t>m</w:t>
      </w:r>
      <w:r w:rsidRPr="00343FB2">
        <w:rPr>
          <w:rFonts w:cs="Verdana"/>
          <w:spacing w:val="1"/>
          <w:lang w:val="en-US"/>
        </w:rPr>
        <w:t>et</w:t>
      </w:r>
      <w:r w:rsidRPr="00343FB2">
        <w:rPr>
          <w:rFonts w:cs="Verdana"/>
          <w:lang w:val="en-US"/>
        </w:rPr>
        <w:t>,</w:t>
      </w:r>
      <w:r w:rsidRPr="00343FB2">
        <w:rPr>
          <w:rFonts w:cs="Verdana"/>
          <w:spacing w:val="-1"/>
          <w:lang w:val="en-US"/>
        </w:rPr>
        <w:t xml:space="preserve"> fu</w:t>
      </w:r>
      <w:r w:rsidRPr="00343FB2">
        <w:rPr>
          <w:rFonts w:cs="Verdana"/>
          <w:spacing w:val="1"/>
          <w:lang w:val="en-US"/>
        </w:rPr>
        <w:t>l</w:t>
      </w:r>
      <w:r w:rsidRPr="00343FB2">
        <w:rPr>
          <w:rFonts w:cs="Verdana"/>
          <w:lang w:val="en-US"/>
        </w:rPr>
        <w:t>l OS</w:t>
      </w:r>
      <w:r w:rsidRPr="00343FB2">
        <w:rPr>
          <w:rFonts w:cs="Verdana"/>
          <w:spacing w:val="-1"/>
          <w:lang w:val="en-US"/>
        </w:rPr>
        <w:t xml:space="preserve"> </w:t>
      </w:r>
      <w:r w:rsidRPr="00343FB2">
        <w:rPr>
          <w:rFonts w:cs="Verdana"/>
          <w:spacing w:val="1"/>
          <w:lang w:val="en-US"/>
        </w:rPr>
        <w:t>d</w:t>
      </w:r>
      <w:r w:rsidRPr="00343FB2">
        <w:rPr>
          <w:rFonts w:cs="Verdana"/>
          <w:lang w:val="en-US"/>
        </w:rPr>
        <w:t>a</w:t>
      </w:r>
      <w:r w:rsidRPr="00343FB2">
        <w:rPr>
          <w:rFonts w:cs="Verdana"/>
          <w:spacing w:val="1"/>
          <w:lang w:val="en-US"/>
        </w:rPr>
        <w:t>t</w:t>
      </w:r>
      <w:r w:rsidRPr="00343FB2">
        <w:rPr>
          <w:rFonts w:cs="Verdana"/>
          <w:lang w:val="en-US"/>
        </w:rPr>
        <w:t>a</w:t>
      </w:r>
      <w:r w:rsidRPr="00343FB2">
        <w:rPr>
          <w:rFonts w:cs="Verdana"/>
          <w:spacing w:val="-1"/>
          <w:lang w:val="en-US"/>
        </w:rPr>
        <w:t xml:space="preserve"> </w:t>
      </w:r>
      <w:r w:rsidRPr="00343FB2">
        <w:rPr>
          <w:rFonts w:cs="Verdana"/>
          <w:spacing w:val="1"/>
          <w:lang w:val="en-US"/>
        </w:rPr>
        <w:t>i</w:t>
      </w:r>
      <w:r w:rsidRPr="00343FB2">
        <w:rPr>
          <w:rFonts w:cs="Verdana"/>
          <w:lang w:val="en-US"/>
        </w:rPr>
        <w:t>s</w:t>
      </w:r>
      <w:r w:rsidRPr="00343FB2">
        <w:rPr>
          <w:rFonts w:cs="Verdana"/>
          <w:spacing w:val="-1"/>
          <w:lang w:val="en-US"/>
        </w:rPr>
        <w:t xml:space="preserve"> n</w:t>
      </w:r>
      <w:r w:rsidRPr="00343FB2">
        <w:rPr>
          <w:rFonts w:cs="Verdana"/>
          <w:spacing w:val="1"/>
          <w:lang w:val="en-US"/>
        </w:rPr>
        <w:t>o</w:t>
      </w:r>
      <w:r w:rsidRPr="00343FB2">
        <w:rPr>
          <w:rFonts w:cs="Verdana"/>
          <w:lang w:val="en-US"/>
        </w:rPr>
        <w:t>t a</w:t>
      </w:r>
      <w:r w:rsidRPr="00343FB2">
        <w:rPr>
          <w:rFonts w:cs="Verdana"/>
          <w:spacing w:val="-1"/>
          <w:lang w:val="en-US"/>
        </w:rPr>
        <w:t>v</w:t>
      </w:r>
      <w:r w:rsidRPr="00343FB2">
        <w:rPr>
          <w:rFonts w:cs="Verdana"/>
          <w:lang w:val="en-US"/>
        </w:rPr>
        <w:t>a</w:t>
      </w:r>
      <w:r w:rsidRPr="00343FB2">
        <w:rPr>
          <w:rFonts w:cs="Verdana"/>
          <w:spacing w:val="1"/>
          <w:lang w:val="en-US"/>
        </w:rPr>
        <w:t>il</w:t>
      </w:r>
      <w:r w:rsidRPr="00343FB2">
        <w:rPr>
          <w:rFonts w:cs="Verdana"/>
          <w:lang w:val="en-US"/>
        </w:rPr>
        <w:t>a</w:t>
      </w:r>
      <w:r w:rsidRPr="00343FB2">
        <w:rPr>
          <w:rFonts w:cs="Verdana"/>
          <w:spacing w:val="1"/>
          <w:lang w:val="en-US"/>
        </w:rPr>
        <w:t>b</w:t>
      </w:r>
      <w:r w:rsidRPr="00343FB2">
        <w:rPr>
          <w:rFonts w:cs="Verdana"/>
          <w:spacing w:val="-1"/>
          <w:lang w:val="en-US"/>
        </w:rPr>
        <w:t>l</w:t>
      </w:r>
      <w:r w:rsidRPr="00343FB2">
        <w:rPr>
          <w:rFonts w:cs="Verdana"/>
          <w:spacing w:val="1"/>
          <w:lang w:val="en-US"/>
        </w:rPr>
        <w:t>e</w:t>
      </w:r>
      <w:r w:rsidRPr="00343FB2">
        <w:rPr>
          <w:rFonts w:cs="Verdana"/>
          <w:lang w:val="en-US"/>
        </w:rPr>
        <w:t>.</w:t>
      </w:r>
    </w:p>
    <w:p w14:paraId="0D35C9E1" w14:textId="77777777" w:rsidR="00554D4D" w:rsidRPr="00343FB2" w:rsidRDefault="00554D4D" w:rsidP="00554D4D">
      <w:pPr>
        <w:widowControl w:val="0"/>
        <w:autoSpaceDE w:val="0"/>
        <w:autoSpaceDN w:val="0"/>
        <w:adjustRightInd w:val="0"/>
        <w:ind w:left="40" w:right="226"/>
        <w:rPr>
          <w:rFonts w:cs="Verdana"/>
          <w:lang w:val="en-US"/>
        </w:rPr>
      </w:pPr>
      <w:r w:rsidRPr="00343FB2">
        <w:rPr>
          <w:rFonts w:cs="Verdana"/>
          <w:lang w:val="en-US"/>
        </w:rPr>
        <w:t>Of</w:t>
      </w:r>
      <w:r w:rsidRPr="00343FB2">
        <w:rPr>
          <w:rFonts w:cs="Verdana"/>
          <w:spacing w:val="1"/>
          <w:lang w:val="en-US"/>
        </w:rPr>
        <w:t xml:space="preserve"> t</w:t>
      </w:r>
      <w:r w:rsidRPr="00343FB2">
        <w:rPr>
          <w:rFonts w:cs="Verdana"/>
          <w:spacing w:val="-1"/>
          <w:lang w:val="en-US"/>
        </w:rPr>
        <w:t>h</w:t>
      </w:r>
      <w:r w:rsidRPr="00343FB2">
        <w:rPr>
          <w:rFonts w:cs="Verdana"/>
          <w:lang w:val="en-US"/>
        </w:rPr>
        <w:t xml:space="preserve">e </w:t>
      </w:r>
      <w:r w:rsidRPr="00343FB2">
        <w:rPr>
          <w:rFonts w:cs="Verdana"/>
          <w:spacing w:val="1"/>
          <w:lang w:val="en-US"/>
        </w:rPr>
        <w:t>24</w:t>
      </w:r>
      <w:r w:rsidRPr="00343FB2">
        <w:rPr>
          <w:rFonts w:cs="Verdana"/>
          <w:lang w:val="en-US"/>
        </w:rPr>
        <w:t>6 N</w:t>
      </w:r>
      <w:r w:rsidRPr="00343FB2">
        <w:rPr>
          <w:rFonts w:cs="Verdana"/>
          <w:spacing w:val="-1"/>
          <w:lang w:val="en-US"/>
        </w:rPr>
        <w:t>SC</w:t>
      </w:r>
      <w:r w:rsidRPr="00343FB2">
        <w:rPr>
          <w:rFonts w:cs="Verdana"/>
          <w:spacing w:val="1"/>
          <w:lang w:val="en-US"/>
        </w:rPr>
        <w:t>L</w:t>
      </w:r>
      <w:r w:rsidRPr="00343FB2">
        <w:rPr>
          <w:rFonts w:cs="Verdana"/>
          <w:spacing w:val="2"/>
          <w:lang w:val="en-US"/>
        </w:rPr>
        <w:t>C</w:t>
      </w:r>
      <w:r>
        <w:rPr>
          <w:rFonts w:cs="Verdana"/>
          <w:spacing w:val="2"/>
          <w:lang w:val="en-US"/>
        </w:rPr>
        <w:t xml:space="preserve"> patients in the </w:t>
      </w:r>
      <w:r w:rsidR="00B3070B">
        <w:rPr>
          <w:rFonts w:cs="Verdana"/>
          <w:spacing w:val="2"/>
          <w:lang w:val="en-US"/>
        </w:rPr>
        <w:t>Study X</w:t>
      </w:r>
      <w:r>
        <w:rPr>
          <w:rFonts w:cs="Verdana"/>
          <w:spacing w:val="2"/>
          <w:lang w:val="en-US"/>
        </w:rPr>
        <w:t>2101</w:t>
      </w:r>
      <w:r w:rsidRPr="00343FB2">
        <w:rPr>
          <w:rFonts w:cs="Verdana"/>
          <w:lang w:val="en-US"/>
        </w:rPr>
        <w:t>,</w:t>
      </w:r>
      <w:r w:rsidRPr="00343FB2">
        <w:rPr>
          <w:rFonts w:cs="Verdana"/>
          <w:spacing w:val="-1"/>
          <w:lang w:val="en-US"/>
        </w:rPr>
        <w:t xml:space="preserve"> </w:t>
      </w:r>
      <w:r w:rsidRPr="00343FB2">
        <w:rPr>
          <w:rFonts w:cs="Verdana"/>
          <w:spacing w:val="1"/>
          <w:lang w:val="en-US"/>
        </w:rPr>
        <w:t>18</w:t>
      </w:r>
      <w:r w:rsidRPr="00343FB2">
        <w:rPr>
          <w:rFonts w:cs="Verdana"/>
          <w:lang w:val="en-US"/>
        </w:rPr>
        <w:t xml:space="preserve">0 </w:t>
      </w:r>
      <w:r w:rsidRPr="00343FB2">
        <w:rPr>
          <w:rFonts w:cs="Verdana"/>
          <w:spacing w:val="1"/>
          <w:lang w:val="en-US"/>
        </w:rPr>
        <w:t>p</w:t>
      </w:r>
      <w:r w:rsidRPr="00343FB2">
        <w:rPr>
          <w:rFonts w:cs="Verdana"/>
          <w:lang w:val="en-US"/>
        </w:rPr>
        <w:t>a</w:t>
      </w:r>
      <w:r w:rsidRPr="00343FB2">
        <w:rPr>
          <w:rFonts w:cs="Verdana"/>
          <w:spacing w:val="1"/>
          <w:lang w:val="en-US"/>
        </w:rPr>
        <w:t>tie</w:t>
      </w:r>
      <w:r w:rsidRPr="00343FB2">
        <w:rPr>
          <w:rFonts w:cs="Verdana"/>
          <w:spacing w:val="-1"/>
          <w:lang w:val="en-US"/>
        </w:rPr>
        <w:t>n</w:t>
      </w:r>
      <w:r w:rsidRPr="00343FB2">
        <w:rPr>
          <w:rFonts w:cs="Verdana"/>
          <w:spacing w:val="1"/>
          <w:lang w:val="en-US"/>
        </w:rPr>
        <w:t>t</w:t>
      </w:r>
      <w:r w:rsidRPr="00343FB2">
        <w:rPr>
          <w:rFonts w:cs="Verdana"/>
          <w:lang w:val="en-US"/>
        </w:rPr>
        <w:t>s</w:t>
      </w:r>
      <w:r w:rsidRPr="00343FB2">
        <w:rPr>
          <w:rFonts w:cs="Verdana"/>
          <w:spacing w:val="-1"/>
          <w:lang w:val="en-US"/>
        </w:rPr>
        <w:t xml:space="preserve"> </w:t>
      </w:r>
      <w:r w:rsidRPr="00343FB2">
        <w:rPr>
          <w:rFonts w:cs="Verdana"/>
          <w:lang w:val="en-US"/>
        </w:rPr>
        <w:t>(</w:t>
      </w:r>
      <w:r w:rsidRPr="00343FB2">
        <w:rPr>
          <w:rFonts w:cs="Verdana"/>
          <w:spacing w:val="1"/>
          <w:lang w:val="en-US"/>
        </w:rPr>
        <w:t>73</w:t>
      </w:r>
      <w:r w:rsidRPr="00343FB2">
        <w:rPr>
          <w:rFonts w:cs="Verdana"/>
          <w:spacing w:val="-1"/>
          <w:lang w:val="en-US"/>
        </w:rPr>
        <w:t>.</w:t>
      </w:r>
      <w:r w:rsidRPr="00343FB2">
        <w:rPr>
          <w:rFonts w:cs="Verdana"/>
          <w:spacing w:val="-2"/>
          <w:lang w:val="en-US"/>
        </w:rPr>
        <w:t>2</w:t>
      </w:r>
      <w:r w:rsidRPr="00343FB2">
        <w:rPr>
          <w:rFonts w:cs="Verdana"/>
          <w:spacing w:val="1"/>
          <w:lang w:val="en-US"/>
        </w:rPr>
        <w:t>%</w:t>
      </w:r>
      <w:r w:rsidRPr="00343FB2">
        <w:rPr>
          <w:rFonts w:cs="Verdana"/>
          <w:lang w:val="en-US"/>
        </w:rPr>
        <w:t>)</w:t>
      </w:r>
      <w:r w:rsidRPr="00343FB2">
        <w:rPr>
          <w:rFonts w:cs="Verdana"/>
          <w:spacing w:val="-1"/>
          <w:lang w:val="en-US"/>
        </w:rPr>
        <w:t xml:space="preserve"> w</w:t>
      </w:r>
      <w:r w:rsidRPr="00343FB2">
        <w:rPr>
          <w:rFonts w:cs="Verdana"/>
          <w:spacing w:val="1"/>
          <w:lang w:val="en-US"/>
        </w:rPr>
        <w:t>h</w:t>
      </w:r>
      <w:r w:rsidRPr="00343FB2">
        <w:rPr>
          <w:rFonts w:cs="Verdana"/>
          <w:lang w:val="en-US"/>
        </w:rPr>
        <w:t>o r</w:t>
      </w:r>
      <w:r w:rsidRPr="00343FB2">
        <w:rPr>
          <w:rFonts w:cs="Verdana"/>
          <w:spacing w:val="1"/>
          <w:lang w:val="en-US"/>
        </w:rPr>
        <w:t>e</w:t>
      </w:r>
      <w:r w:rsidRPr="00343FB2">
        <w:rPr>
          <w:rFonts w:cs="Verdana"/>
          <w:lang w:val="en-US"/>
        </w:rPr>
        <w:t>c</w:t>
      </w:r>
      <w:r w:rsidRPr="00343FB2">
        <w:rPr>
          <w:rFonts w:cs="Verdana"/>
          <w:spacing w:val="1"/>
          <w:lang w:val="en-US"/>
        </w:rPr>
        <w:t>ei</w:t>
      </w:r>
      <w:r w:rsidRPr="00343FB2">
        <w:rPr>
          <w:rFonts w:cs="Verdana"/>
          <w:spacing w:val="-1"/>
          <w:lang w:val="en-US"/>
        </w:rPr>
        <w:t>v</w:t>
      </w:r>
      <w:r w:rsidRPr="00343FB2">
        <w:rPr>
          <w:rFonts w:cs="Verdana"/>
          <w:spacing w:val="1"/>
          <w:lang w:val="en-US"/>
        </w:rPr>
        <w:t>e</w:t>
      </w:r>
      <w:r w:rsidRPr="00343FB2">
        <w:rPr>
          <w:rFonts w:cs="Verdana"/>
          <w:lang w:val="en-US"/>
        </w:rPr>
        <w:t xml:space="preserve">d </w:t>
      </w:r>
      <w:r w:rsidRPr="00343FB2">
        <w:rPr>
          <w:rFonts w:cs="Verdana"/>
          <w:spacing w:val="1"/>
          <w:lang w:val="en-US"/>
        </w:rPr>
        <w:t>t</w:t>
      </w:r>
      <w:r w:rsidRPr="00343FB2">
        <w:rPr>
          <w:rFonts w:cs="Verdana"/>
          <w:spacing w:val="-1"/>
          <w:lang w:val="en-US"/>
        </w:rPr>
        <w:t>h</w:t>
      </w:r>
      <w:r w:rsidRPr="00343FB2">
        <w:rPr>
          <w:rFonts w:cs="Verdana"/>
          <w:lang w:val="en-US"/>
        </w:rPr>
        <w:t xml:space="preserve">e </w:t>
      </w:r>
      <w:r w:rsidRPr="00343FB2">
        <w:rPr>
          <w:rFonts w:cs="Verdana"/>
          <w:spacing w:val="-1"/>
          <w:lang w:val="en-US"/>
        </w:rPr>
        <w:t>f</w:t>
      </w:r>
      <w:r w:rsidRPr="00343FB2">
        <w:rPr>
          <w:rFonts w:cs="Verdana"/>
          <w:spacing w:val="1"/>
          <w:lang w:val="en-US"/>
        </w:rPr>
        <w:t>i</w:t>
      </w:r>
      <w:r w:rsidRPr="00343FB2">
        <w:rPr>
          <w:rFonts w:cs="Verdana"/>
          <w:lang w:val="en-US"/>
        </w:rPr>
        <w:t xml:space="preserve">rst </w:t>
      </w:r>
      <w:r w:rsidRPr="00343FB2">
        <w:rPr>
          <w:rFonts w:cs="Verdana"/>
          <w:spacing w:val="-2"/>
          <w:lang w:val="en-US"/>
        </w:rPr>
        <w:t>d</w:t>
      </w:r>
      <w:r w:rsidRPr="00343FB2">
        <w:rPr>
          <w:rFonts w:cs="Verdana"/>
          <w:spacing w:val="1"/>
          <w:lang w:val="en-US"/>
        </w:rPr>
        <w:t>o</w:t>
      </w:r>
      <w:r w:rsidRPr="00343FB2">
        <w:rPr>
          <w:rFonts w:cs="Verdana"/>
          <w:lang w:val="en-US"/>
        </w:rPr>
        <w:t xml:space="preserve">se </w:t>
      </w:r>
      <w:r w:rsidRPr="00343FB2">
        <w:rPr>
          <w:rFonts w:cs="Verdana"/>
          <w:spacing w:val="1"/>
          <w:lang w:val="en-US"/>
        </w:rPr>
        <w:t>o</w:t>
      </w:r>
      <w:r w:rsidRPr="00343FB2">
        <w:rPr>
          <w:rFonts w:cs="Verdana"/>
          <w:lang w:val="en-US"/>
        </w:rPr>
        <w:t>f</w:t>
      </w:r>
      <w:r w:rsidRPr="00343FB2">
        <w:rPr>
          <w:rFonts w:cs="Verdana"/>
          <w:spacing w:val="-4"/>
          <w:lang w:val="en-US"/>
        </w:rPr>
        <w:t xml:space="preserve"> </w:t>
      </w:r>
      <w:r>
        <w:rPr>
          <w:rFonts w:cs="Verdana"/>
          <w:spacing w:val="1"/>
          <w:lang w:val="en-US"/>
        </w:rPr>
        <w:t>ceritinib</w:t>
      </w:r>
      <w:r w:rsidRPr="00343FB2">
        <w:rPr>
          <w:rFonts w:cs="Verdana"/>
          <w:lang w:val="en-US"/>
        </w:rPr>
        <w:t xml:space="preserve"> at </w:t>
      </w:r>
      <w:r w:rsidRPr="00343FB2">
        <w:rPr>
          <w:rFonts w:cs="Verdana"/>
          <w:spacing w:val="1"/>
          <w:lang w:val="en-US"/>
        </w:rPr>
        <w:t>le</w:t>
      </w:r>
      <w:r w:rsidRPr="00343FB2">
        <w:rPr>
          <w:rFonts w:cs="Verdana"/>
          <w:lang w:val="en-US"/>
        </w:rPr>
        <w:t>a</w:t>
      </w:r>
      <w:r w:rsidRPr="00343FB2">
        <w:rPr>
          <w:rFonts w:cs="Verdana"/>
          <w:spacing w:val="-3"/>
          <w:lang w:val="en-US"/>
        </w:rPr>
        <w:t>s</w:t>
      </w:r>
      <w:r w:rsidRPr="00343FB2">
        <w:rPr>
          <w:rFonts w:cs="Verdana"/>
          <w:lang w:val="en-US"/>
        </w:rPr>
        <w:t xml:space="preserve">t </w:t>
      </w:r>
      <w:r w:rsidRPr="00343FB2">
        <w:rPr>
          <w:rFonts w:cs="Verdana"/>
          <w:spacing w:val="1"/>
          <w:lang w:val="en-US"/>
        </w:rPr>
        <w:t xml:space="preserve">18 </w:t>
      </w:r>
      <w:r w:rsidRPr="00343FB2">
        <w:rPr>
          <w:rFonts w:cs="Verdana"/>
          <w:spacing w:val="-1"/>
          <w:lang w:val="en-US"/>
        </w:rPr>
        <w:t>w</w:t>
      </w:r>
      <w:r w:rsidRPr="00343FB2">
        <w:rPr>
          <w:rFonts w:cs="Verdana"/>
          <w:spacing w:val="1"/>
          <w:lang w:val="en-US"/>
        </w:rPr>
        <w:t>ee</w:t>
      </w:r>
      <w:r w:rsidRPr="00343FB2">
        <w:rPr>
          <w:rFonts w:cs="Verdana"/>
          <w:spacing w:val="-1"/>
          <w:lang w:val="en-US"/>
        </w:rPr>
        <w:t>k</w:t>
      </w:r>
      <w:r w:rsidRPr="00343FB2">
        <w:rPr>
          <w:rFonts w:cs="Verdana"/>
          <w:lang w:val="en-US"/>
        </w:rPr>
        <w:t>s</w:t>
      </w:r>
      <w:r w:rsidRPr="00343FB2">
        <w:rPr>
          <w:rFonts w:cs="Verdana"/>
          <w:spacing w:val="-1"/>
          <w:lang w:val="en-US"/>
        </w:rPr>
        <w:t xml:space="preserve"> </w:t>
      </w:r>
      <w:r w:rsidRPr="00343FB2">
        <w:rPr>
          <w:rFonts w:cs="Verdana"/>
          <w:spacing w:val="1"/>
          <w:lang w:val="en-US"/>
        </w:rPr>
        <w:t>p</w:t>
      </w:r>
      <w:r w:rsidRPr="00343FB2">
        <w:rPr>
          <w:rFonts w:cs="Verdana"/>
          <w:lang w:val="en-US"/>
        </w:rPr>
        <w:t>r</w:t>
      </w:r>
      <w:r w:rsidRPr="00343FB2">
        <w:rPr>
          <w:rFonts w:cs="Verdana"/>
          <w:spacing w:val="1"/>
          <w:lang w:val="en-US"/>
        </w:rPr>
        <w:t>io</w:t>
      </w:r>
      <w:r w:rsidRPr="00343FB2">
        <w:rPr>
          <w:rFonts w:cs="Verdana"/>
          <w:lang w:val="en-US"/>
        </w:rPr>
        <w:t>r</w:t>
      </w:r>
      <w:r w:rsidRPr="00343FB2">
        <w:rPr>
          <w:rFonts w:cs="Verdana"/>
          <w:spacing w:val="-1"/>
          <w:lang w:val="en-US"/>
        </w:rPr>
        <w:t xml:space="preserve"> </w:t>
      </w:r>
      <w:r w:rsidRPr="00343FB2">
        <w:rPr>
          <w:rFonts w:cs="Verdana"/>
          <w:spacing w:val="1"/>
          <w:lang w:val="en-US"/>
        </w:rPr>
        <w:t>t</w:t>
      </w:r>
      <w:r w:rsidRPr="00343FB2">
        <w:rPr>
          <w:rFonts w:cs="Verdana"/>
          <w:lang w:val="en-US"/>
        </w:rPr>
        <w:t xml:space="preserve">o </w:t>
      </w:r>
      <w:r w:rsidRPr="00343FB2">
        <w:rPr>
          <w:rFonts w:cs="Verdana"/>
          <w:spacing w:val="1"/>
          <w:lang w:val="en-US"/>
        </w:rPr>
        <w:t>t</w:t>
      </w:r>
      <w:r w:rsidRPr="00343FB2">
        <w:rPr>
          <w:rFonts w:cs="Verdana"/>
          <w:spacing w:val="-1"/>
          <w:lang w:val="en-US"/>
        </w:rPr>
        <w:t>h</w:t>
      </w:r>
      <w:r w:rsidRPr="00343FB2">
        <w:rPr>
          <w:rFonts w:cs="Verdana"/>
          <w:lang w:val="en-US"/>
        </w:rPr>
        <w:t xml:space="preserve">e </w:t>
      </w:r>
      <w:r w:rsidRPr="00343FB2">
        <w:rPr>
          <w:rFonts w:cs="Verdana"/>
          <w:spacing w:val="1"/>
          <w:lang w:val="en-US"/>
        </w:rPr>
        <w:t>d</w:t>
      </w:r>
      <w:r w:rsidRPr="00343FB2">
        <w:rPr>
          <w:rFonts w:cs="Verdana"/>
          <w:lang w:val="en-US"/>
        </w:rPr>
        <w:t>a</w:t>
      </w:r>
      <w:r w:rsidRPr="00343FB2">
        <w:rPr>
          <w:rFonts w:cs="Verdana"/>
          <w:spacing w:val="1"/>
          <w:lang w:val="en-US"/>
        </w:rPr>
        <w:t>t</w:t>
      </w:r>
      <w:r w:rsidRPr="00343FB2">
        <w:rPr>
          <w:rFonts w:cs="Verdana"/>
          <w:lang w:val="en-US"/>
        </w:rPr>
        <w:t>a</w:t>
      </w:r>
      <w:r w:rsidRPr="00343FB2">
        <w:rPr>
          <w:rFonts w:cs="Verdana"/>
          <w:spacing w:val="-1"/>
          <w:lang w:val="en-US"/>
        </w:rPr>
        <w:t xml:space="preserve"> </w:t>
      </w:r>
      <w:r w:rsidRPr="00343FB2">
        <w:rPr>
          <w:rFonts w:cs="Verdana"/>
          <w:lang w:val="en-US"/>
        </w:rPr>
        <w:t>c</w:t>
      </w:r>
      <w:r w:rsidRPr="00343FB2">
        <w:rPr>
          <w:rFonts w:cs="Verdana"/>
          <w:spacing w:val="-1"/>
          <w:lang w:val="en-US"/>
        </w:rPr>
        <w:t>u</w:t>
      </w:r>
      <w:r w:rsidRPr="00343FB2">
        <w:rPr>
          <w:rFonts w:cs="Verdana"/>
          <w:spacing w:val="-2"/>
          <w:lang w:val="en-US"/>
        </w:rPr>
        <w:t>t</w:t>
      </w:r>
      <w:r w:rsidRPr="00343FB2">
        <w:rPr>
          <w:rFonts w:cs="Verdana"/>
          <w:lang w:val="en-US"/>
        </w:rPr>
        <w:t>-</w:t>
      </w:r>
      <w:r w:rsidRPr="00343FB2">
        <w:rPr>
          <w:rFonts w:cs="Verdana"/>
          <w:spacing w:val="1"/>
          <w:lang w:val="en-US"/>
        </w:rPr>
        <w:t>o</w:t>
      </w:r>
      <w:r w:rsidRPr="00343FB2">
        <w:rPr>
          <w:rFonts w:cs="Verdana"/>
          <w:spacing w:val="-1"/>
          <w:lang w:val="en-US"/>
        </w:rPr>
        <w:t>f</w:t>
      </w:r>
      <w:r w:rsidRPr="00343FB2">
        <w:rPr>
          <w:rFonts w:cs="Verdana"/>
          <w:lang w:val="en-US"/>
        </w:rPr>
        <w:t>f</w:t>
      </w:r>
      <w:r w:rsidRPr="00343FB2">
        <w:rPr>
          <w:rFonts w:cs="Verdana"/>
          <w:spacing w:val="-2"/>
          <w:lang w:val="en-US"/>
        </w:rPr>
        <w:t xml:space="preserve"> </w:t>
      </w:r>
      <w:r w:rsidRPr="00343FB2">
        <w:rPr>
          <w:rFonts w:cs="Verdana"/>
          <w:spacing w:val="1"/>
          <w:lang w:val="en-US"/>
        </w:rPr>
        <w:t>d</w:t>
      </w:r>
      <w:r w:rsidRPr="00343FB2">
        <w:rPr>
          <w:rFonts w:cs="Verdana"/>
          <w:lang w:val="en-US"/>
        </w:rPr>
        <w:t>a</w:t>
      </w:r>
      <w:r w:rsidRPr="00343FB2">
        <w:rPr>
          <w:rFonts w:cs="Verdana"/>
          <w:spacing w:val="1"/>
          <w:lang w:val="en-US"/>
        </w:rPr>
        <w:t>t</w:t>
      </w:r>
      <w:r w:rsidRPr="00343FB2">
        <w:rPr>
          <w:rFonts w:cs="Verdana"/>
          <w:lang w:val="en-US"/>
        </w:rPr>
        <w:t xml:space="preserve">e </w:t>
      </w:r>
      <w:r w:rsidRPr="00343FB2">
        <w:rPr>
          <w:rFonts w:cs="Verdana"/>
          <w:spacing w:val="-1"/>
          <w:lang w:val="en-US"/>
        </w:rPr>
        <w:t>w</w:t>
      </w:r>
      <w:r w:rsidRPr="00343FB2">
        <w:rPr>
          <w:rFonts w:cs="Verdana"/>
          <w:spacing w:val="1"/>
          <w:lang w:val="en-US"/>
        </w:rPr>
        <w:t>e</w:t>
      </w:r>
      <w:r w:rsidRPr="00343FB2">
        <w:rPr>
          <w:rFonts w:cs="Verdana"/>
          <w:lang w:val="en-US"/>
        </w:rPr>
        <w:t xml:space="preserve">re </w:t>
      </w:r>
      <w:r w:rsidRPr="00343FB2">
        <w:rPr>
          <w:rFonts w:cs="Verdana"/>
          <w:spacing w:val="1"/>
          <w:lang w:val="en-US"/>
        </w:rPr>
        <w:t>i</w:t>
      </w:r>
      <w:r w:rsidRPr="00343FB2">
        <w:rPr>
          <w:rFonts w:cs="Verdana"/>
          <w:spacing w:val="-1"/>
          <w:lang w:val="en-US"/>
        </w:rPr>
        <w:t>n</w:t>
      </w:r>
      <w:r w:rsidRPr="00343FB2">
        <w:rPr>
          <w:rFonts w:cs="Verdana"/>
          <w:lang w:val="en-US"/>
        </w:rPr>
        <w:t>c</w:t>
      </w:r>
      <w:r w:rsidRPr="00343FB2">
        <w:rPr>
          <w:rFonts w:cs="Verdana"/>
          <w:spacing w:val="1"/>
          <w:lang w:val="en-US"/>
        </w:rPr>
        <w:t>l</w:t>
      </w:r>
      <w:r w:rsidRPr="00343FB2">
        <w:rPr>
          <w:rFonts w:cs="Verdana"/>
          <w:spacing w:val="-1"/>
          <w:lang w:val="en-US"/>
        </w:rPr>
        <w:t>u</w:t>
      </w:r>
      <w:r w:rsidRPr="00343FB2">
        <w:rPr>
          <w:rFonts w:cs="Verdana"/>
          <w:spacing w:val="1"/>
          <w:lang w:val="en-US"/>
        </w:rPr>
        <w:t>de</w:t>
      </w:r>
      <w:r w:rsidRPr="00343FB2">
        <w:rPr>
          <w:rFonts w:cs="Verdana"/>
          <w:lang w:val="en-US"/>
        </w:rPr>
        <w:t xml:space="preserve">d </w:t>
      </w:r>
      <w:r w:rsidRPr="00343FB2">
        <w:rPr>
          <w:rFonts w:cs="Verdana"/>
          <w:spacing w:val="1"/>
          <w:lang w:val="en-US"/>
        </w:rPr>
        <w:t>i</w:t>
      </w:r>
      <w:r w:rsidRPr="00343FB2">
        <w:rPr>
          <w:rFonts w:cs="Verdana"/>
          <w:lang w:val="en-US"/>
        </w:rPr>
        <w:t>n</w:t>
      </w:r>
      <w:r w:rsidRPr="00343FB2">
        <w:rPr>
          <w:rFonts w:cs="Verdana"/>
          <w:spacing w:val="-2"/>
          <w:lang w:val="en-US"/>
        </w:rPr>
        <w:t xml:space="preserve"> </w:t>
      </w:r>
      <w:r w:rsidRPr="00343FB2">
        <w:rPr>
          <w:rFonts w:cs="Verdana"/>
          <w:spacing w:val="1"/>
          <w:lang w:val="en-US"/>
        </w:rPr>
        <w:t>t</w:t>
      </w:r>
      <w:r w:rsidRPr="00343FB2">
        <w:rPr>
          <w:rFonts w:cs="Verdana"/>
          <w:spacing w:val="-1"/>
          <w:lang w:val="en-US"/>
        </w:rPr>
        <w:t>h</w:t>
      </w:r>
      <w:r w:rsidRPr="00343FB2">
        <w:rPr>
          <w:rFonts w:cs="Verdana"/>
          <w:lang w:val="en-US"/>
        </w:rPr>
        <w:t xml:space="preserve">e </w:t>
      </w:r>
      <w:r w:rsidRPr="00343FB2">
        <w:rPr>
          <w:rFonts w:cs="Verdana"/>
          <w:spacing w:val="-1"/>
          <w:lang w:val="en-US"/>
        </w:rPr>
        <w:t>EAS</w:t>
      </w:r>
      <w:r w:rsidRPr="00343FB2">
        <w:rPr>
          <w:rFonts w:cs="Verdana"/>
          <w:lang w:val="en-US"/>
        </w:rPr>
        <w:t>-N</w:t>
      </w:r>
      <w:r w:rsidRPr="00343FB2">
        <w:rPr>
          <w:rFonts w:cs="Verdana"/>
          <w:spacing w:val="2"/>
          <w:lang w:val="en-US"/>
        </w:rPr>
        <w:t>S</w:t>
      </w:r>
      <w:r w:rsidRPr="00343FB2">
        <w:rPr>
          <w:rFonts w:cs="Verdana"/>
          <w:spacing w:val="-1"/>
          <w:lang w:val="en-US"/>
        </w:rPr>
        <w:t>C</w:t>
      </w:r>
      <w:r w:rsidRPr="00343FB2">
        <w:rPr>
          <w:rFonts w:cs="Verdana"/>
          <w:spacing w:val="1"/>
          <w:lang w:val="en-US"/>
        </w:rPr>
        <w:t>L</w:t>
      </w:r>
      <w:r w:rsidRPr="00343FB2">
        <w:rPr>
          <w:rFonts w:cs="Verdana"/>
          <w:lang w:val="en-US"/>
        </w:rPr>
        <w:t>C</w:t>
      </w:r>
      <w:r w:rsidRPr="00343FB2">
        <w:rPr>
          <w:rFonts w:cs="Verdana"/>
          <w:spacing w:val="-2"/>
          <w:lang w:val="en-US"/>
        </w:rPr>
        <w:t xml:space="preserve"> </w:t>
      </w:r>
      <w:r w:rsidRPr="00343FB2">
        <w:rPr>
          <w:rFonts w:cs="Verdana"/>
          <w:spacing w:val="1"/>
          <w:lang w:val="en-US"/>
        </w:rPr>
        <w:t>75</w:t>
      </w:r>
      <w:r w:rsidRPr="00343FB2">
        <w:rPr>
          <w:rFonts w:cs="Verdana"/>
          <w:lang w:val="en-US"/>
        </w:rPr>
        <w:t xml:space="preserve">0 mg </w:t>
      </w:r>
      <w:r w:rsidRPr="00343FB2">
        <w:rPr>
          <w:rFonts w:cs="Verdana"/>
          <w:spacing w:val="1"/>
          <w:lang w:val="en-US"/>
        </w:rPr>
        <w:t>g</w:t>
      </w:r>
      <w:r w:rsidRPr="00343FB2">
        <w:rPr>
          <w:rFonts w:cs="Verdana"/>
          <w:spacing w:val="2"/>
          <w:lang w:val="en-US"/>
        </w:rPr>
        <w:t>r</w:t>
      </w:r>
      <w:r w:rsidRPr="00343FB2">
        <w:rPr>
          <w:rFonts w:cs="Verdana"/>
          <w:spacing w:val="1"/>
          <w:lang w:val="en-US"/>
        </w:rPr>
        <w:t>o</w:t>
      </w:r>
      <w:r w:rsidRPr="00343FB2">
        <w:rPr>
          <w:rFonts w:cs="Verdana"/>
          <w:spacing w:val="-1"/>
          <w:lang w:val="en-US"/>
        </w:rPr>
        <w:t>u</w:t>
      </w:r>
      <w:r w:rsidRPr="00343FB2">
        <w:rPr>
          <w:rFonts w:cs="Verdana"/>
          <w:spacing w:val="1"/>
          <w:lang w:val="en-US"/>
        </w:rPr>
        <w:t>p</w:t>
      </w:r>
      <w:r w:rsidRPr="00343FB2">
        <w:rPr>
          <w:rFonts w:cs="Verdana"/>
          <w:lang w:val="en-US"/>
        </w:rPr>
        <w:t>.</w:t>
      </w:r>
      <w:r w:rsidRPr="00343FB2">
        <w:rPr>
          <w:rFonts w:cs="Verdana"/>
          <w:spacing w:val="-1"/>
          <w:lang w:val="en-US"/>
        </w:rPr>
        <w:t xml:space="preserve"> Th</w:t>
      </w:r>
      <w:r w:rsidRPr="00343FB2">
        <w:rPr>
          <w:rFonts w:cs="Verdana"/>
          <w:lang w:val="en-US"/>
        </w:rPr>
        <w:t xml:space="preserve">e </w:t>
      </w:r>
      <w:r w:rsidRPr="00343FB2">
        <w:rPr>
          <w:rFonts w:cs="Verdana"/>
          <w:spacing w:val="1"/>
          <w:lang w:val="en-US"/>
        </w:rPr>
        <w:t>18</w:t>
      </w:r>
      <w:r w:rsidR="00B3070B">
        <w:rPr>
          <w:rFonts w:cs="Verdana"/>
          <w:lang w:val="en-US"/>
        </w:rPr>
        <w:t xml:space="preserve"> </w:t>
      </w:r>
      <w:r w:rsidRPr="00343FB2">
        <w:rPr>
          <w:rFonts w:cs="Verdana"/>
          <w:spacing w:val="-1"/>
          <w:lang w:val="en-US"/>
        </w:rPr>
        <w:t>w</w:t>
      </w:r>
      <w:r w:rsidRPr="00343FB2">
        <w:rPr>
          <w:rFonts w:cs="Verdana"/>
          <w:spacing w:val="1"/>
          <w:lang w:val="en-US"/>
        </w:rPr>
        <w:t>ee</w:t>
      </w:r>
      <w:r w:rsidRPr="00343FB2">
        <w:rPr>
          <w:rFonts w:cs="Verdana"/>
          <w:lang w:val="en-US"/>
        </w:rPr>
        <w:t xml:space="preserve">k </w:t>
      </w:r>
      <w:r w:rsidRPr="00343FB2">
        <w:rPr>
          <w:rFonts w:cs="Verdana"/>
          <w:spacing w:val="1"/>
          <w:lang w:val="en-US"/>
        </w:rPr>
        <w:t>pe</w:t>
      </w:r>
      <w:r w:rsidRPr="00343FB2">
        <w:rPr>
          <w:rFonts w:cs="Verdana"/>
          <w:lang w:val="en-US"/>
        </w:rPr>
        <w:t>r</w:t>
      </w:r>
      <w:r w:rsidRPr="00343FB2">
        <w:rPr>
          <w:rFonts w:cs="Verdana"/>
          <w:spacing w:val="1"/>
          <w:lang w:val="en-US"/>
        </w:rPr>
        <w:t>i</w:t>
      </w:r>
      <w:r w:rsidRPr="00343FB2">
        <w:rPr>
          <w:rFonts w:cs="Verdana"/>
          <w:spacing w:val="-1"/>
          <w:lang w:val="en-US"/>
        </w:rPr>
        <w:t>o</w:t>
      </w:r>
      <w:r w:rsidRPr="00343FB2">
        <w:rPr>
          <w:rFonts w:cs="Verdana"/>
          <w:lang w:val="en-US"/>
        </w:rPr>
        <w:t xml:space="preserve">d </w:t>
      </w:r>
      <w:r w:rsidRPr="00343FB2">
        <w:rPr>
          <w:rFonts w:cs="Verdana"/>
          <w:spacing w:val="-1"/>
          <w:lang w:val="en-US"/>
        </w:rPr>
        <w:t>w</w:t>
      </w:r>
      <w:r w:rsidRPr="00343FB2">
        <w:rPr>
          <w:rFonts w:cs="Verdana"/>
          <w:lang w:val="en-US"/>
        </w:rPr>
        <w:t>as</w:t>
      </w:r>
      <w:r w:rsidRPr="00343FB2">
        <w:rPr>
          <w:rFonts w:cs="Verdana"/>
          <w:spacing w:val="-1"/>
          <w:lang w:val="en-US"/>
        </w:rPr>
        <w:t xml:space="preserve"> </w:t>
      </w:r>
      <w:r w:rsidRPr="00343FB2">
        <w:rPr>
          <w:rFonts w:cs="Verdana"/>
          <w:spacing w:val="1"/>
          <w:lang w:val="en-US"/>
        </w:rPr>
        <w:t>p</w:t>
      </w:r>
      <w:r w:rsidRPr="00343FB2">
        <w:rPr>
          <w:rFonts w:cs="Verdana"/>
          <w:lang w:val="en-US"/>
        </w:rPr>
        <w:t>r</w:t>
      </w:r>
      <w:r w:rsidRPr="00343FB2">
        <w:rPr>
          <w:rFonts w:cs="Verdana"/>
          <w:spacing w:val="1"/>
          <w:lang w:val="en-US"/>
        </w:rPr>
        <w:t>o</w:t>
      </w:r>
      <w:r w:rsidRPr="00343FB2">
        <w:rPr>
          <w:rFonts w:cs="Verdana"/>
          <w:lang w:val="en-US"/>
        </w:rPr>
        <w:t>s</w:t>
      </w:r>
      <w:r w:rsidRPr="00343FB2">
        <w:rPr>
          <w:rFonts w:cs="Verdana"/>
          <w:spacing w:val="1"/>
          <w:lang w:val="en-US"/>
        </w:rPr>
        <w:t>pe</w:t>
      </w:r>
      <w:r w:rsidRPr="00343FB2">
        <w:rPr>
          <w:rFonts w:cs="Verdana"/>
          <w:lang w:val="en-US"/>
        </w:rPr>
        <w:t>c</w:t>
      </w:r>
      <w:r w:rsidRPr="00343FB2">
        <w:rPr>
          <w:rFonts w:cs="Verdana"/>
          <w:spacing w:val="-1"/>
          <w:lang w:val="en-US"/>
        </w:rPr>
        <w:t>t</w:t>
      </w:r>
      <w:r w:rsidRPr="00343FB2">
        <w:rPr>
          <w:rFonts w:cs="Verdana"/>
          <w:spacing w:val="1"/>
          <w:lang w:val="en-US"/>
        </w:rPr>
        <w:t>i</w:t>
      </w:r>
      <w:r w:rsidRPr="00343FB2">
        <w:rPr>
          <w:rFonts w:cs="Verdana"/>
          <w:spacing w:val="-1"/>
          <w:lang w:val="en-US"/>
        </w:rPr>
        <w:t>v</w:t>
      </w:r>
      <w:r w:rsidRPr="00343FB2">
        <w:rPr>
          <w:rFonts w:cs="Verdana"/>
          <w:spacing w:val="1"/>
          <w:lang w:val="en-US"/>
        </w:rPr>
        <w:t>el</w:t>
      </w:r>
      <w:r w:rsidRPr="00343FB2">
        <w:rPr>
          <w:rFonts w:cs="Verdana"/>
          <w:lang w:val="en-US"/>
        </w:rPr>
        <w:t>y</w:t>
      </w:r>
      <w:r w:rsidRPr="00343FB2">
        <w:rPr>
          <w:rFonts w:cs="Verdana"/>
          <w:spacing w:val="-2"/>
          <w:lang w:val="en-US"/>
        </w:rPr>
        <w:t xml:space="preserve"> </w:t>
      </w:r>
      <w:r w:rsidRPr="00343FB2">
        <w:rPr>
          <w:rFonts w:cs="Verdana"/>
          <w:lang w:val="en-US"/>
        </w:rPr>
        <w:t>s</w:t>
      </w:r>
      <w:r w:rsidRPr="00343FB2">
        <w:rPr>
          <w:rFonts w:cs="Verdana"/>
          <w:spacing w:val="1"/>
          <w:lang w:val="en-US"/>
        </w:rPr>
        <w:t>ele</w:t>
      </w:r>
      <w:r w:rsidRPr="00343FB2">
        <w:rPr>
          <w:rFonts w:cs="Verdana"/>
          <w:lang w:val="en-US"/>
        </w:rPr>
        <w:t>c</w:t>
      </w:r>
      <w:r w:rsidRPr="00343FB2">
        <w:rPr>
          <w:rFonts w:cs="Verdana"/>
          <w:spacing w:val="-1"/>
          <w:lang w:val="en-US"/>
        </w:rPr>
        <w:t>t</w:t>
      </w:r>
      <w:r w:rsidRPr="00343FB2">
        <w:rPr>
          <w:rFonts w:cs="Verdana"/>
          <w:spacing w:val="1"/>
          <w:lang w:val="en-US"/>
        </w:rPr>
        <w:t>e</w:t>
      </w:r>
      <w:r w:rsidRPr="00343FB2">
        <w:rPr>
          <w:rFonts w:cs="Verdana"/>
          <w:lang w:val="en-US"/>
        </w:rPr>
        <w:t xml:space="preserve">d so </w:t>
      </w:r>
      <w:r w:rsidRPr="00343FB2">
        <w:rPr>
          <w:rFonts w:cs="Verdana"/>
          <w:spacing w:val="1"/>
          <w:lang w:val="en-US"/>
        </w:rPr>
        <w:t>t</w:t>
      </w:r>
      <w:r w:rsidRPr="00343FB2">
        <w:rPr>
          <w:rFonts w:cs="Verdana"/>
          <w:spacing w:val="-1"/>
          <w:lang w:val="en-US"/>
        </w:rPr>
        <w:t>h</w:t>
      </w:r>
      <w:r w:rsidRPr="00343FB2">
        <w:rPr>
          <w:rFonts w:cs="Verdana"/>
          <w:lang w:val="en-US"/>
        </w:rPr>
        <w:t xml:space="preserve">at </w:t>
      </w:r>
      <w:r w:rsidRPr="00343FB2">
        <w:rPr>
          <w:rFonts w:cs="Verdana"/>
          <w:spacing w:val="1"/>
          <w:lang w:val="en-US"/>
        </w:rPr>
        <w:lastRenderedPageBreak/>
        <w:t>p</w:t>
      </w:r>
      <w:r w:rsidRPr="00343FB2">
        <w:rPr>
          <w:rFonts w:cs="Verdana"/>
          <w:lang w:val="en-US"/>
        </w:rPr>
        <w:t>a</w:t>
      </w:r>
      <w:r w:rsidRPr="00343FB2">
        <w:rPr>
          <w:rFonts w:cs="Verdana"/>
          <w:spacing w:val="1"/>
          <w:lang w:val="en-US"/>
        </w:rPr>
        <w:t>ti</w:t>
      </w:r>
      <w:r w:rsidRPr="00343FB2">
        <w:rPr>
          <w:rFonts w:cs="Verdana"/>
          <w:spacing w:val="-2"/>
          <w:lang w:val="en-US"/>
        </w:rPr>
        <w:t>e</w:t>
      </w:r>
      <w:r w:rsidRPr="00343FB2">
        <w:rPr>
          <w:rFonts w:cs="Verdana"/>
          <w:spacing w:val="-1"/>
          <w:lang w:val="en-US"/>
        </w:rPr>
        <w:t>n</w:t>
      </w:r>
      <w:r w:rsidRPr="00343FB2">
        <w:rPr>
          <w:rFonts w:cs="Verdana"/>
          <w:spacing w:val="1"/>
          <w:lang w:val="en-US"/>
        </w:rPr>
        <w:t>t</w:t>
      </w:r>
      <w:r w:rsidRPr="00343FB2">
        <w:rPr>
          <w:rFonts w:cs="Verdana"/>
          <w:lang w:val="en-US"/>
        </w:rPr>
        <w:t>s</w:t>
      </w:r>
      <w:r w:rsidRPr="00343FB2">
        <w:rPr>
          <w:rFonts w:cs="Verdana"/>
          <w:spacing w:val="-1"/>
          <w:lang w:val="en-US"/>
        </w:rPr>
        <w:t xml:space="preserve"> w</w:t>
      </w:r>
      <w:r w:rsidRPr="00343FB2">
        <w:rPr>
          <w:rFonts w:cs="Verdana"/>
          <w:spacing w:val="1"/>
          <w:lang w:val="en-US"/>
        </w:rPr>
        <w:t>o</w:t>
      </w:r>
      <w:r w:rsidRPr="00343FB2">
        <w:rPr>
          <w:rFonts w:cs="Verdana"/>
          <w:spacing w:val="-1"/>
          <w:lang w:val="en-US"/>
        </w:rPr>
        <w:t>u</w:t>
      </w:r>
      <w:r w:rsidRPr="00343FB2">
        <w:rPr>
          <w:rFonts w:cs="Verdana"/>
          <w:spacing w:val="1"/>
          <w:lang w:val="en-US"/>
        </w:rPr>
        <w:t>l</w:t>
      </w:r>
      <w:r w:rsidRPr="00343FB2">
        <w:rPr>
          <w:rFonts w:cs="Verdana"/>
          <w:lang w:val="en-US"/>
        </w:rPr>
        <w:t xml:space="preserve">d </w:t>
      </w:r>
      <w:r w:rsidRPr="00343FB2">
        <w:rPr>
          <w:rFonts w:cs="Verdana"/>
          <w:spacing w:val="-1"/>
          <w:lang w:val="en-US"/>
        </w:rPr>
        <w:t>h</w:t>
      </w:r>
      <w:r w:rsidRPr="00343FB2">
        <w:rPr>
          <w:rFonts w:cs="Verdana"/>
          <w:lang w:val="en-US"/>
        </w:rPr>
        <w:t>a</w:t>
      </w:r>
      <w:r w:rsidRPr="00343FB2">
        <w:rPr>
          <w:rFonts w:cs="Verdana"/>
          <w:spacing w:val="-1"/>
          <w:lang w:val="en-US"/>
        </w:rPr>
        <w:t>v</w:t>
      </w:r>
      <w:r w:rsidRPr="00343FB2">
        <w:rPr>
          <w:rFonts w:cs="Verdana"/>
          <w:lang w:val="en-US"/>
        </w:rPr>
        <w:t>e s</w:t>
      </w:r>
      <w:r w:rsidRPr="00343FB2">
        <w:rPr>
          <w:rFonts w:cs="Verdana"/>
          <w:spacing w:val="-1"/>
          <w:lang w:val="en-US"/>
        </w:rPr>
        <w:t>uff</w:t>
      </w:r>
      <w:r w:rsidRPr="00343FB2">
        <w:rPr>
          <w:rFonts w:cs="Verdana"/>
          <w:spacing w:val="1"/>
          <w:lang w:val="en-US"/>
        </w:rPr>
        <w:t>i</w:t>
      </w:r>
      <w:r w:rsidRPr="00343FB2">
        <w:rPr>
          <w:rFonts w:cs="Verdana"/>
          <w:lang w:val="en-US"/>
        </w:rPr>
        <w:t>c</w:t>
      </w:r>
      <w:r w:rsidRPr="00343FB2">
        <w:rPr>
          <w:rFonts w:cs="Verdana"/>
          <w:spacing w:val="1"/>
          <w:lang w:val="en-US"/>
        </w:rPr>
        <w:t>ie</w:t>
      </w:r>
      <w:r w:rsidRPr="00343FB2">
        <w:rPr>
          <w:rFonts w:cs="Verdana"/>
          <w:spacing w:val="-1"/>
          <w:lang w:val="en-US"/>
        </w:rPr>
        <w:t>n</w:t>
      </w:r>
      <w:r w:rsidRPr="00343FB2">
        <w:rPr>
          <w:rFonts w:cs="Verdana"/>
          <w:lang w:val="en-US"/>
        </w:rPr>
        <w:t xml:space="preserve">t </w:t>
      </w:r>
      <w:r w:rsidRPr="00343FB2">
        <w:rPr>
          <w:rFonts w:cs="Verdana"/>
          <w:spacing w:val="-1"/>
          <w:lang w:val="en-US"/>
        </w:rPr>
        <w:t>f</w:t>
      </w:r>
      <w:r w:rsidRPr="00343FB2">
        <w:rPr>
          <w:rFonts w:cs="Verdana"/>
          <w:spacing w:val="1"/>
          <w:lang w:val="en-US"/>
        </w:rPr>
        <w:t>ollo</w:t>
      </w:r>
      <w:r w:rsidRPr="00343FB2">
        <w:rPr>
          <w:rFonts w:cs="Verdana"/>
          <w:spacing w:val="-1"/>
          <w:lang w:val="en-US"/>
        </w:rPr>
        <w:t>w</w:t>
      </w:r>
      <w:r w:rsidRPr="00343FB2">
        <w:rPr>
          <w:rFonts w:cs="Verdana"/>
          <w:lang w:val="en-US"/>
        </w:rPr>
        <w:t>-</w:t>
      </w:r>
      <w:r w:rsidRPr="00343FB2">
        <w:rPr>
          <w:rFonts w:cs="Verdana"/>
          <w:spacing w:val="-1"/>
          <w:lang w:val="en-US"/>
        </w:rPr>
        <w:t>u</w:t>
      </w:r>
      <w:r w:rsidRPr="00343FB2">
        <w:rPr>
          <w:rFonts w:cs="Verdana"/>
          <w:lang w:val="en-US"/>
        </w:rPr>
        <w:t xml:space="preserve">p </w:t>
      </w:r>
      <w:r w:rsidRPr="00343FB2">
        <w:rPr>
          <w:rFonts w:cs="Verdana"/>
          <w:spacing w:val="-1"/>
          <w:lang w:val="en-US"/>
        </w:rPr>
        <w:t>f</w:t>
      </w:r>
      <w:r w:rsidRPr="00343FB2">
        <w:rPr>
          <w:rFonts w:cs="Verdana"/>
          <w:spacing w:val="1"/>
          <w:lang w:val="en-US"/>
        </w:rPr>
        <w:t>o</w:t>
      </w:r>
      <w:r w:rsidRPr="00343FB2">
        <w:rPr>
          <w:rFonts w:cs="Verdana"/>
          <w:lang w:val="en-US"/>
        </w:rPr>
        <w:t>r</w:t>
      </w:r>
      <w:r w:rsidRPr="00343FB2">
        <w:rPr>
          <w:rFonts w:cs="Verdana"/>
          <w:spacing w:val="-1"/>
          <w:lang w:val="en-US"/>
        </w:rPr>
        <w:t xml:space="preserve"> </w:t>
      </w:r>
      <w:r w:rsidRPr="00343FB2">
        <w:rPr>
          <w:rFonts w:cs="Verdana"/>
          <w:lang w:val="en-US"/>
        </w:rPr>
        <w:t>as</w:t>
      </w:r>
      <w:r w:rsidRPr="00343FB2">
        <w:rPr>
          <w:rFonts w:cs="Verdana"/>
          <w:spacing w:val="2"/>
          <w:lang w:val="en-US"/>
        </w:rPr>
        <w:t>s</w:t>
      </w:r>
      <w:r w:rsidRPr="00343FB2">
        <w:rPr>
          <w:rFonts w:cs="Verdana"/>
          <w:spacing w:val="1"/>
          <w:lang w:val="en-US"/>
        </w:rPr>
        <w:t>e</w:t>
      </w:r>
      <w:r w:rsidRPr="00343FB2">
        <w:rPr>
          <w:rFonts w:cs="Verdana"/>
          <w:lang w:val="en-US"/>
        </w:rPr>
        <w:t>ssm</w:t>
      </w:r>
      <w:r w:rsidRPr="00343FB2">
        <w:rPr>
          <w:rFonts w:cs="Verdana"/>
          <w:spacing w:val="1"/>
          <w:lang w:val="en-US"/>
        </w:rPr>
        <w:t>e</w:t>
      </w:r>
      <w:r w:rsidRPr="00343FB2">
        <w:rPr>
          <w:rFonts w:cs="Verdana"/>
          <w:spacing w:val="-1"/>
          <w:lang w:val="en-US"/>
        </w:rPr>
        <w:t>n</w:t>
      </w:r>
      <w:r w:rsidRPr="00343FB2">
        <w:rPr>
          <w:rFonts w:cs="Verdana"/>
          <w:lang w:val="en-US"/>
        </w:rPr>
        <w:t>t a</w:t>
      </w:r>
      <w:r w:rsidRPr="00343FB2">
        <w:rPr>
          <w:rFonts w:cs="Verdana"/>
          <w:spacing w:val="-1"/>
          <w:lang w:val="en-US"/>
        </w:rPr>
        <w:t>n</w:t>
      </w:r>
      <w:r w:rsidRPr="00343FB2">
        <w:rPr>
          <w:rFonts w:cs="Verdana"/>
          <w:spacing w:val="1"/>
          <w:lang w:val="en-US"/>
        </w:rPr>
        <w:t>d</w:t>
      </w:r>
      <w:r w:rsidRPr="00343FB2">
        <w:rPr>
          <w:rFonts w:cs="Verdana"/>
          <w:spacing w:val="-1"/>
          <w:lang w:val="en-US"/>
        </w:rPr>
        <w:t xml:space="preserve"> </w:t>
      </w:r>
      <w:r w:rsidRPr="00343FB2">
        <w:rPr>
          <w:rFonts w:cs="Verdana"/>
          <w:lang w:val="en-US"/>
        </w:rPr>
        <w:t>c</w:t>
      </w:r>
      <w:r w:rsidRPr="00343FB2">
        <w:rPr>
          <w:rFonts w:cs="Verdana"/>
          <w:spacing w:val="1"/>
          <w:lang w:val="en-US"/>
        </w:rPr>
        <w:t>o</w:t>
      </w:r>
      <w:r w:rsidRPr="00343FB2">
        <w:rPr>
          <w:rFonts w:cs="Verdana"/>
          <w:spacing w:val="-1"/>
          <w:lang w:val="en-US"/>
        </w:rPr>
        <w:t>nf</w:t>
      </w:r>
      <w:r w:rsidRPr="00343FB2">
        <w:rPr>
          <w:rFonts w:cs="Verdana"/>
          <w:spacing w:val="1"/>
          <w:lang w:val="en-US"/>
        </w:rPr>
        <w:t>i</w:t>
      </w:r>
      <w:r w:rsidRPr="00343FB2">
        <w:rPr>
          <w:rFonts w:cs="Verdana"/>
          <w:lang w:val="en-US"/>
        </w:rPr>
        <w:t>rma</w:t>
      </w:r>
      <w:r w:rsidRPr="00343FB2">
        <w:rPr>
          <w:rFonts w:cs="Verdana"/>
          <w:spacing w:val="1"/>
          <w:lang w:val="en-US"/>
        </w:rPr>
        <w:t>t</w:t>
      </w:r>
      <w:r w:rsidRPr="00343FB2">
        <w:rPr>
          <w:rFonts w:cs="Verdana"/>
          <w:spacing w:val="-1"/>
          <w:lang w:val="en-US"/>
        </w:rPr>
        <w:t>i</w:t>
      </w:r>
      <w:r w:rsidRPr="00343FB2">
        <w:rPr>
          <w:rFonts w:cs="Verdana"/>
          <w:spacing w:val="1"/>
          <w:lang w:val="en-US"/>
        </w:rPr>
        <w:t>o</w:t>
      </w:r>
      <w:r w:rsidRPr="00343FB2">
        <w:rPr>
          <w:rFonts w:cs="Verdana"/>
          <w:lang w:val="en-US"/>
        </w:rPr>
        <w:t>n</w:t>
      </w:r>
      <w:r w:rsidRPr="00343FB2">
        <w:rPr>
          <w:rFonts w:cs="Verdana"/>
          <w:spacing w:val="-2"/>
          <w:lang w:val="en-US"/>
        </w:rPr>
        <w:t xml:space="preserve"> </w:t>
      </w:r>
      <w:r w:rsidRPr="00343FB2">
        <w:rPr>
          <w:rFonts w:cs="Verdana"/>
          <w:spacing w:val="1"/>
          <w:lang w:val="en-US"/>
        </w:rPr>
        <w:t>o</w:t>
      </w:r>
      <w:r w:rsidRPr="00343FB2">
        <w:rPr>
          <w:rFonts w:cs="Verdana"/>
          <w:lang w:val="en-US"/>
        </w:rPr>
        <w:t>f</w:t>
      </w:r>
      <w:r w:rsidRPr="00343FB2">
        <w:rPr>
          <w:rFonts w:cs="Verdana"/>
          <w:spacing w:val="-2"/>
          <w:lang w:val="en-US"/>
        </w:rPr>
        <w:t xml:space="preserve"> </w:t>
      </w:r>
      <w:r w:rsidRPr="00343FB2">
        <w:rPr>
          <w:rFonts w:cs="Verdana"/>
          <w:lang w:val="en-US"/>
        </w:rPr>
        <w:t>r</w:t>
      </w:r>
      <w:r w:rsidRPr="00343FB2">
        <w:rPr>
          <w:rFonts w:cs="Verdana"/>
          <w:spacing w:val="1"/>
          <w:lang w:val="en-US"/>
        </w:rPr>
        <w:t>e</w:t>
      </w:r>
      <w:r w:rsidRPr="00343FB2">
        <w:rPr>
          <w:rFonts w:cs="Verdana"/>
          <w:lang w:val="en-US"/>
        </w:rPr>
        <w:t>s</w:t>
      </w:r>
      <w:r w:rsidRPr="00343FB2">
        <w:rPr>
          <w:rFonts w:cs="Verdana"/>
          <w:spacing w:val="1"/>
          <w:lang w:val="en-US"/>
        </w:rPr>
        <w:t>po</w:t>
      </w:r>
      <w:r w:rsidRPr="00343FB2">
        <w:rPr>
          <w:rFonts w:cs="Verdana"/>
          <w:spacing w:val="-1"/>
          <w:lang w:val="en-US"/>
        </w:rPr>
        <w:t>n</w:t>
      </w:r>
      <w:r w:rsidRPr="00343FB2">
        <w:rPr>
          <w:rFonts w:cs="Verdana"/>
          <w:lang w:val="en-US"/>
        </w:rPr>
        <w:t>s</w:t>
      </w:r>
      <w:r w:rsidRPr="00343FB2">
        <w:rPr>
          <w:rFonts w:cs="Verdana"/>
          <w:spacing w:val="1"/>
          <w:lang w:val="en-US"/>
        </w:rPr>
        <w:t>e</w:t>
      </w:r>
      <w:r w:rsidRPr="00343FB2">
        <w:rPr>
          <w:rFonts w:cs="Verdana"/>
          <w:lang w:val="en-US"/>
        </w:rPr>
        <w:t>.</w:t>
      </w:r>
      <w:r>
        <w:rPr>
          <w:rFonts w:cs="Verdana"/>
          <w:lang w:val="en-US"/>
        </w:rPr>
        <w:t xml:space="preserve"> </w:t>
      </w:r>
      <w:r w:rsidRPr="00343FB2">
        <w:rPr>
          <w:rFonts w:cs="Verdana"/>
          <w:spacing w:val="-1"/>
          <w:lang w:val="en-US"/>
        </w:rPr>
        <w:t>Th</w:t>
      </w:r>
      <w:r w:rsidRPr="00343FB2">
        <w:rPr>
          <w:rFonts w:cs="Verdana"/>
          <w:lang w:val="en-US"/>
        </w:rPr>
        <w:t xml:space="preserve">e </w:t>
      </w:r>
      <w:r w:rsidRPr="00343FB2">
        <w:rPr>
          <w:rFonts w:cs="Verdana"/>
          <w:spacing w:val="1"/>
          <w:lang w:val="en-US"/>
        </w:rPr>
        <w:t>p</w:t>
      </w:r>
      <w:r w:rsidRPr="00343FB2">
        <w:rPr>
          <w:rFonts w:cs="Verdana"/>
          <w:lang w:val="en-US"/>
        </w:rPr>
        <w:t>r</w:t>
      </w:r>
      <w:r w:rsidRPr="00343FB2">
        <w:rPr>
          <w:rFonts w:cs="Verdana"/>
          <w:spacing w:val="1"/>
          <w:lang w:val="en-US"/>
        </w:rPr>
        <w:t>i</w:t>
      </w:r>
      <w:r w:rsidRPr="00343FB2">
        <w:rPr>
          <w:rFonts w:cs="Verdana"/>
          <w:lang w:val="en-US"/>
        </w:rPr>
        <w:t>mary</w:t>
      </w:r>
      <w:r w:rsidRPr="00343FB2">
        <w:rPr>
          <w:rFonts w:cs="Verdana"/>
          <w:spacing w:val="-2"/>
          <w:lang w:val="en-US"/>
        </w:rPr>
        <w:t xml:space="preserve"> </w:t>
      </w:r>
      <w:r w:rsidRPr="00343FB2">
        <w:rPr>
          <w:rFonts w:cs="Verdana"/>
          <w:spacing w:val="1"/>
          <w:lang w:val="en-US"/>
        </w:rPr>
        <w:t>e</w:t>
      </w:r>
      <w:r w:rsidRPr="00343FB2">
        <w:rPr>
          <w:rFonts w:cs="Verdana"/>
          <w:spacing w:val="-1"/>
          <w:lang w:val="en-US"/>
        </w:rPr>
        <w:t>ff</w:t>
      </w:r>
      <w:r w:rsidRPr="00343FB2">
        <w:rPr>
          <w:rFonts w:cs="Verdana"/>
          <w:spacing w:val="1"/>
          <w:lang w:val="en-US"/>
        </w:rPr>
        <w:t>i</w:t>
      </w:r>
      <w:r w:rsidRPr="00343FB2">
        <w:rPr>
          <w:rFonts w:cs="Verdana"/>
          <w:lang w:val="en-US"/>
        </w:rPr>
        <w:t>cacy</w:t>
      </w:r>
      <w:r w:rsidRPr="00343FB2">
        <w:rPr>
          <w:rFonts w:cs="Verdana"/>
          <w:spacing w:val="1"/>
          <w:lang w:val="en-US"/>
        </w:rPr>
        <w:t xml:space="preserve"> e</w:t>
      </w:r>
      <w:r w:rsidRPr="00343FB2">
        <w:rPr>
          <w:rFonts w:cs="Verdana"/>
          <w:spacing w:val="-1"/>
          <w:lang w:val="en-US"/>
        </w:rPr>
        <w:t>n</w:t>
      </w:r>
      <w:r w:rsidRPr="00343FB2">
        <w:rPr>
          <w:rFonts w:cs="Verdana"/>
          <w:spacing w:val="1"/>
          <w:lang w:val="en-US"/>
        </w:rPr>
        <w:t>dpoi</w:t>
      </w:r>
      <w:r w:rsidRPr="00343FB2">
        <w:rPr>
          <w:rFonts w:cs="Verdana"/>
          <w:spacing w:val="-1"/>
          <w:lang w:val="en-US"/>
        </w:rPr>
        <w:t>n</w:t>
      </w:r>
      <w:r w:rsidRPr="00343FB2">
        <w:rPr>
          <w:rFonts w:cs="Verdana"/>
          <w:spacing w:val="1"/>
          <w:lang w:val="en-US"/>
        </w:rPr>
        <w:t>t</w:t>
      </w:r>
      <w:r w:rsidRPr="00343FB2">
        <w:rPr>
          <w:rFonts w:cs="Verdana"/>
          <w:lang w:val="en-US"/>
        </w:rPr>
        <w:t>s</w:t>
      </w:r>
      <w:r w:rsidRPr="00343FB2">
        <w:rPr>
          <w:rFonts w:cs="Verdana"/>
          <w:spacing w:val="-1"/>
          <w:lang w:val="en-US"/>
        </w:rPr>
        <w:t xml:space="preserve"> </w:t>
      </w:r>
      <w:r w:rsidRPr="00343FB2">
        <w:rPr>
          <w:rFonts w:cs="Verdana"/>
          <w:lang w:val="en-US"/>
        </w:rPr>
        <w:t xml:space="preserve">are </w:t>
      </w:r>
      <w:r w:rsidR="00B3070B" w:rsidRPr="00B3070B">
        <w:rPr>
          <w:rFonts w:cs="Verdana"/>
          <w:lang w:val="en-US"/>
        </w:rPr>
        <w:t xml:space="preserve">overall response rates </w:t>
      </w:r>
      <w:r w:rsidR="00B3070B">
        <w:rPr>
          <w:rFonts w:cs="Verdana"/>
          <w:lang w:val="en-US"/>
        </w:rPr>
        <w:t>(</w:t>
      </w:r>
      <w:r w:rsidRPr="00343FB2">
        <w:rPr>
          <w:rFonts w:cs="Verdana"/>
          <w:lang w:val="en-US"/>
        </w:rPr>
        <w:t>ORR</w:t>
      </w:r>
      <w:r w:rsidR="00B3070B">
        <w:rPr>
          <w:rFonts w:cs="Verdana"/>
          <w:lang w:val="en-US"/>
        </w:rPr>
        <w:t>)</w:t>
      </w:r>
      <w:r w:rsidRPr="00343FB2">
        <w:rPr>
          <w:rFonts w:cs="Verdana"/>
          <w:spacing w:val="-1"/>
          <w:lang w:val="en-US"/>
        </w:rPr>
        <w:t xml:space="preserve"> </w:t>
      </w:r>
      <w:r w:rsidRPr="00343FB2">
        <w:rPr>
          <w:rFonts w:cs="Verdana"/>
          <w:lang w:val="en-US"/>
        </w:rPr>
        <w:t>a</w:t>
      </w:r>
      <w:r w:rsidRPr="00343FB2">
        <w:rPr>
          <w:rFonts w:cs="Verdana"/>
          <w:spacing w:val="-1"/>
          <w:lang w:val="en-US"/>
        </w:rPr>
        <w:t>n</w:t>
      </w:r>
      <w:r w:rsidRPr="00343FB2">
        <w:rPr>
          <w:rFonts w:cs="Verdana"/>
          <w:lang w:val="en-US"/>
        </w:rPr>
        <w:t xml:space="preserve">d </w:t>
      </w:r>
      <w:r w:rsidR="00A1645B" w:rsidRPr="00A1645B">
        <w:rPr>
          <w:rFonts w:cs="Verdana"/>
          <w:lang w:val="en-US"/>
        </w:rPr>
        <w:t xml:space="preserve">duration of response </w:t>
      </w:r>
      <w:r w:rsidR="00A1645B">
        <w:rPr>
          <w:rFonts w:cs="Verdana"/>
          <w:lang w:val="en-US"/>
        </w:rPr>
        <w:t>(</w:t>
      </w:r>
      <w:r>
        <w:rPr>
          <w:rFonts w:cs="Verdana"/>
          <w:lang w:val="en-US"/>
        </w:rPr>
        <w:t>DOR</w:t>
      </w:r>
      <w:r w:rsidR="00A1645B">
        <w:rPr>
          <w:rFonts w:cs="Verdana"/>
          <w:lang w:val="en-US"/>
        </w:rPr>
        <w:t>)</w:t>
      </w:r>
      <w:r w:rsidRPr="00343FB2">
        <w:rPr>
          <w:rFonts w:cs="Verdana"/>
          <w:spacing w:val="-1"/>
          <w:lang w:val="en-US"/>
        </w:rPr>
        <w:t xml:space="preserve"> </w:t>
      </w:r>
      <w:r w:rsidRPr="00343FB2">
        <w:rPr>
          <w:rFonts w:cs="Verdana"/>
          <w:lang w:val="en-US"/>
        </w:rPr>
        <w:t>as ass</w:t>
      </w:r>
      <w:r w:rsidRPr="00343FB2">
        <w:rPr>
          <w:rFonts w:cs="Verdana"/>
          <w:spacing w:val="1"/>
          <w:lang w:val="en-US"/>
        </w:rPr>
        <w:t>e</w:t>
      </w:r>
      <w:r w:rsidRPr="00343FB2">
        <w:rPr>
          <w:rFonts w:cs="Verdana"/>
          <w:lang w:val="en-US"/>
        </w:rPr>
        <w:t>ss</w:t>
      </w:r>
      <w:r w:rsidRPr="00343FB2">
        <w:rPr>
          <w:rFonts w:cs="Verdana"/>
          <w:spacing w:val="1"/>
          <w:lang w:val="en-US"/>
        </w:rPr>
        <w:t>e</w:t>
      </w:r>
      <w:r w:rsidRPr="00343FB2">
        <w:rPr>
          <w:rFonts w:cs="Verdana"/>
          <w:lang w:val="en-US"/>
        </w:rPr>
        <w:t xml:space="preserve">d </w:t>
      </w:r>
      <w:r w:rsidRPr="00343FB2">
        <w:rPr>
          <w:rFonts w:cs="Verdana"/>
          <w:spacing w:val="1"/>
          <w:lang w:val="en-US"/>
        </w:rPr>
        <w:t>b</w:t>
      </w:r>
      <w:r w:rsidRPr="00343FB2">
        <w:rPr>
          <w:rFonts w:cs="Verdana"/>
          <w:lang w:val="en-US"/>
        </w:rPr>
        <w:t>y</w:t>
      </w:r>
      <w:r w:rsidRPr="00343FB2">
        <w:rPr>
          <w:rFonts w:cs="Verdana"/>
          <w:spacing w:val="-2"/>
          <w:lang w:val="en-US"/>
        </w:rPr>
        <w:t xml:space="preserve"> </w:t>
      </w:r>
      <w:r w:rsidRPr="00343FB2">
        <w:rPr>
          <w:rFonts w:cs="Verdana"/>
          <w:spacing w:val="1"/>
          <w:lang w:val="en-US"/>
        </w:rPr>
        <w:t>t</w:t>
      </w:r>
      <w:r w:rsidRPr="00343FB2">
        <w:rPr>
          <w:rFonts w:cs="Verdana"/>
          <w:spacing w:val="-1"/>
          <w:lang w:val="en-US"/>
        </w:rPr>
        <w:t>h</w:t>
      </w:r>
      <w:r w:rsidRPr="00343FB2">
        <w:rPr>
          <w:rFonts w:cs="Verdana"/>
          <w:lang w:val="en-US"/>
        </w:rPr>
        <w:t xml:space="preserve">e </w:t>
      </w:r>
      <w:r w:rsidRPr="00343FB2">
        <w:rPr>
          <w:rFonts w:cs="Verdana"/>
          <w:spacing w:val="-1"/>
          <w:lang w:val="en-US"/>
        </w:rPr>
        <w:t>I</w:t>
      </w:r>
      <w:r w:rsidRPr="00343FB2">
        <w:rPr>
          <w:rFonts w:cs="Verdana"/>
          <w:spacing w:val="1"/>
          <w:lang w:val="en-US"/>
        </w:rPr>
        <w:t>n</w:t>
      </w:r>
      <w:r w:rsidRPr="00343FB2">
        <w:rPr>
          <w:rFonts w:cs="Verdana"/>
          <w:spacing w:val="-1"/>
          <w:lang w:val="en-US"/>
        </w:rPr>
        <w:t>v</w:t>
      </w:r>
      <w:r w:rsidRPr="00343FB2">
        <w:rPr>
          <w:rFonts w:cs="Verdana"/>
          <w:spacing w:val="1"/>
          <w:lang w:val="en-US"/>
        </w:rPr>
        <w:t>e</w:t>
      </w:r>
      <w:r w:rsidRPr="00343FB2">
        <w:rPr>
          <w:rFonts w:cs="Verdana"/>
          <w:lang w:val="en-US"/>
        </w:rPr>
        <w:t>s</w:t>
      </w:r>
      <w:r w:rsidRPr="00343FB2">
        <w:rPr>
          <w:rFonts w:cs="Verdana"/>
          <w:spacing w:val="1"/>
          <w:lang w:val="en-US"/>
        </w:rPr>
        <w:t>tig</w:t>
      </w:r>
      <w:r w:rsidRPr="00343FB2">
        <w:rPr>
          <w:rFonts w:cs="Verdana"/>
          <w:lang w:val="en-US"/>
        </w:rPr>
        <w:t>a</w:t>
      </w:r>
      <w:r w:rsidRPr="00343FB2">
        <w:rPr>
          <w:rFonts w:cs="Verdana"/>
          <w:spacing w:val="-1"/>
          <w:lang w:val="en-US"/>
        </w:rPr>
        <w:t>t</w:t>
      </w:r>
      <w:r w:rsidRPr="00343FB2">
        <w:rPr>
          <w:rFonts w:cs="Verdana"/>
          <w:spacing w:val="1"/>
          <w:lang w:val="en-US"/>
        </w:rPr>
        <w:t>o</w:t>
      </w:r>
      <w:r w:rsidRPr="00343FB2">
        <w:rPr>
          <w:rFonts w:cs="Verdana"/>
          <w:lang w:val="en-US"/>
        </w:rPr>
        <w:t>r</w:t>
      </w:r>
      <w:r w:rsidRPr="00343FB2">
        <w:rPr>
          <w:rFonts w:cs="Verdana"/>
          <w:spacing w:val="-1"/>
          <w:lang w:val="en-US"/>
        </w:rPr>
        <w:t xml:space="preserve"> </w:t>
      </w:r>
      <w:r w:rsidRPr="00343FB2">
        <w:rPr>
          <w:rFonts w:cs="Verdana"/>
          <w:spacing w:val="1"/>
          <w:lang w:val="en-US"/>
        </w:rPr>
        <w:t>pe</w:t>
      </w:r>
      <w:r w:rsidRPr="00343FB2">
        <w:rPr>
          <w:rFonts w:cs="Verdana"/>
          <w:lang w:val="en-US"/>
        </w:rPr>
        <w:t>r</w:t>
      </w:r>
      <w:r w:rsidRPr="00343FB2">
        <w:rPr>
          <w:rFonts w:cs="Verdana"/>
          <w:spacing w:val="-1"/>
          <w:lang w:val="en-US"/>
        </w:rPr>
        <w:t xml:space="preserve"> </w:t>
      </w:r>
      <w:r w:rsidR="00A1645B" w:rsidRPr="00A1645B">
        <w:rPr>
          <w:rFonts w:cs="Verdana"/>
          <w:spacing w:val="-1"/>
          <w:lang w:val="en-US"/>
        </w:rPr>
        <w:t xml:space="preserve">Response Evaluation Criteria </w:t>
      </w:r>
      <w:proofErr w:type="gramStart"/>
      <w:r w:rsidR="00A1645B" w:rsidRPr="00A1645B">
        <w:rPr>
          <w:rFonts w:cs="Verdana"/>
          <w:spacing w:val="-1"/>
          <w:lang w:val="en-US"/>
        </w:rPr>
        <w:t>In</w:t>
      </w:r>
      <w:proofErr w:type="gramEnd"/>
      <w:r w:rsidR="00A1645B" w:rsidRPr="00A1645B">
        <w:rPr>
          <w:rFonts w:cs="Verdana"/>
          <w:spacing w:val="-1"/>
          <w:lang w:val="en-US"/>
        </w:rPr>
        <w:t xml:space="preserve"> Solid Tumors (RECIST)</w:t>
      </w:r>
      <w:r w:rsidR="00A1645B">
        <w:rPr>
          <w:rFonts w:cs="Verdana"/>
          <w:spacing w:val="-1"/>
          <w:lang w:val="en-US"/>
        </w:rPr>
        <w:t xml:space="preserve"> </w:t>
      </w:r>
      <w:r w:rsidRPr="00343FB2">
        <w:rPr>
          <w:rFonts w:cs="Verdana"/>
          <w:spacing w:val="1"/>
          <w:lang w:val="en-US"/>
        </w:rPr>
        <w:t>1</w:t>
      </w:r>
      <w:r w:rsidRPr="00343FB2">
        <w:rPr>
          <w:rFonts w:cs="Verdana"/>
          <w:spacing w:val="-1"/>
          <w:lang w:val="en-US"/>
        </w:rPr>
        <w:t>.</w:t>
      </w:r>
      <w:r w:rsidRPr="00343FB2">
        <w:rPr>
          <w:rFonts w:cs="Verdana"/>
          <w:spacing w:val="1"/>
          <w:lang w:val="en-US"/>
        </w:rPr>
        <w:t>0</w:t>
      </w:r>
      <w:r w:rsidR="00A1645B">
        <w:rPr>
          <w:rStyle w:val="FootnoteReference"/>
          <w:rFonts w:cs="Verdana"/>
          <w:spacing w:val="1"/>
          <w:lang w:val="en-US"/>
        </w:rPr>
        <w:footnoteReference w:id="34"/>
      </w:r>
      <w:r w:rsidRPr="00343FB2">
        <w:rPr>
          <w:rFonts w:cs="Verdana"/>
          <w:lang w:val="en-US"/>
        </w:rPr>
        <w:t>.</w:t>
      </w:r>
      <w:r w:rsidRPr="00343FB2">
        <w:rPr>
          <w:rFonts w:cs="Verdana"/>
          <w:spacing w:val="1"/>
          <w:lang w:val="en-US"/>
        </w:rPr>
        <w:t xml:space="preserve"> </w:t>
      </w:r>
      <w:r w:rsidRPr="00343FB2">
        <w:rPr>
          <w:rFonts w:cs="Verdana"/>
          <w:spacing w:val="-1"/>
          <w:lang w:val="en-US"/>
        </w:rPr>
        <w:t>T</w:t>
      </w:r>
      <w:r w:rsidRPr="00343FB2">
        <w:rPr>
          <w:rFonts w:cs="Verdana"/>
          <w:lang w:val="en-US"/>
        </w:rPr>
        <w:t>a</w:t>
      </w:r>
      <w:r w:rsidRPr="00343FB2">
        <w:rPr>
          <w:rFonts w:cs="Verdana"/>
          <w:spacing w:val="-1"/>
          <w:lang w:val="en-US"/>
        </w:rPr>
        <w:t>k</w:t>
      </w:r>
      <w:r w:rsidRPr="00343FB2">
        <w:rPr>
          <w:rFonts w:cs="Verdana"/>
          <w:spacing w:val="1"/>
          <w:lang w:val="en-US"/>
        </w:rPr>
        <w:t>i</w:t>
      </w:r>
      <w:r w:rsidRPr="00343FB2">
        <w:rPr>
          <w:rFonts w:cs="Verdana"/>
          <w:spacing w:val="-1"/>
          <w:lang w:val="en-US"/>
        </w:rPr>
        <w:t>n</w:t>
      </w:r>
      <w:r w:rsidRPr="00343FB2">
        <w:rPr>
          <w:rFonts w:cs="Verdana"/>
          <w:lang w:val="en-US"/>
        </w:rPr>
        <w:t>g</w:t>
      </w:r>
      <w:r w:rsidRPr="00343FB2">
        <w:rPr>
          <w:rFonts w:cs="Verdana"/>
          <w:spacing w:val="2"/>
          <w:lang w:val="en-US"/>
        </w:rPr>
        <w:t xml:space="preserve"> </w:t>
      </w:r>
      <w:r w:rsidRPr="00343FB2">
        <w:rPr>
          <w:rFonts w:cs="Verdana"/>
          <w:spacing w:val="1"/>
          <w:lang w:val="en-US"/>
        </w:rPr>
        <w:t>i</w:t>
      </w:r>
      <w:r w:rsidRPr="00343FB2">
        <w:rPr>
          <w:rFonts w:cs="Verdana"/>
          <w:spacing w:val="-1"/>
          <w:lang w:val="en-US"/>
        </w:rPr>
        <w:t>n</w:t>
      </w:r>
      <w:r w:rsidRPr="00343FB2">
        <w:rPr>
          <w:rFonts w:cs="Verdana"/>
          <w:spacing w:val="1"/>
          <w:lang w:val="en-US"/>
        </w:rPr>
        <w:t>t</w:t>
      </w:r>
      <w:r w:rsidRPr="00343FB2">
        <w:rPr>
          <w:rFonts w:cs="Verdana"/>
          <w:lang w:val="en-US"/>
        </w:rPr>
        <w:t>o c</w:t>
      </w:r>
      <w:r w:rsidRPr="00343FB2">
        <w:rPr>
          <w:rFonts w:cs="Verdana"/>
          <w:spacing w:val="1"/>
          <w:lang w:val="en-US"/>
        </w:rPr>
        <w:t>o</w:t>
      </w:r>
      <w:r w:rsidRPr="00343FB2">
        <w:rPr>
          <w:rFonts w:cs="Verdana"/>
          <w:spacing w:val="-1"/>
          <w:lang w:val="en-US"/>
        </w:rPr>
        <w:t>n</w:t>
      </w:r>
      <w:r w:rsidRPr="00343FB2">
        <w:rPr>
          <w:rFonts w:cs="Verdana"/>
          <w:lang w:val="en-US"/>
        </w:rPr>
        <w:t>s</w:t>
      </w:r>
      <w:r w:rsidRPr="00343FB2">
        <w:rPr>
          <w:rFonts w:cs="Verdana"/>
          <w:spacing w:val="1"/>
          <w:lang w:val="en-US"/>
        </w:rPr>
        <w:t>ide</w:t>
      </w:r>
      <w:r w:rsidRPr="00343FB2">
        <w:rPr>
          <w:rFonts w:cs="Verdana"/>
          <w:lang w:val="en-US"/>
        </w:rPr>
        <w:t>r</w:t>
      </w:r>
      <w:r w:rsidRPr="00343FB2">
        <w:rPr>
          <w:rFonts w:cs="Verdana"/>
          <w:spacing w:val="-3"/>
          <w:lang w:val="en-US"/>
        </w:rPr>
        <w:t>a</w:t>
      </w:r>
      <w:r w:rsidRPr="00343FB2">
        <w:rPr>
          <w:rFonts w:cs="Verdana"/>
          <w:spacing w:val="1"/>
          <w:lang w:val="en-US"/>
        </w:rPr>
        <w:t>t</w:t>
      </w:r>
      <w:r w:rsidRPr="00343FB2">
        <w:rPr>
          <w:rFonts w:cs="Verdana"/>
          <w:spacing w:val="-1"/>
          <w:lang w:val="en-US"/>
        </w:rPr>
        <w:t>i</w:t>
      </w:r>
      <w:r w:rsidRPr="00343FB2">
        <w:rPr>
          <w:rFonts w:cs="Verdana"/>
          <w:spacing w:val="1"/>
          <w:lang w:val="en-US"/>
        </w:rPr>
        <w:t>o</w:t>
      </w:r>
      <w:r w:rsidRPr="00343FB2">
        <w:rPr>
          <w:rFonts w:cs="Verdana"/>
          <w:lang w:val="en-US"/>
        </w:rPr>
        <w:t>n</w:t>
      </w:r>
      <w:r w:rsidRPr="00343FB2">
        <w:rPr>
          <w:rFonts w:cs="Verdana"/>
          <w:spacing w:val="-2"/>
          <w:lang w:val="en-US"/>
        </w:rPr>
        <w:t xml:space="preserve"> </w:t>
      </w:r>
      <w:r w:rsidRPr="00343FB2">
        <w:rPr>
          <w:rFonts w:cs="Verdana"/>
          <w:spacing w:val="1"/>
          <w:lang w:val="en-US"/>
        </w:rPr>
        <w:t>t</w:t>
      </w:r>
      <w:r w:rsidRPr="00343FB2">
        <w:rPr>
          <w:rFonts w:cs="Verdana"/>
          <w:spacing w:val="-1"/>
          <w:lang w:val="en-US"/>
        </w:rPr>
        <w:t>h</w:t>
      </w:r>
      <w:r w:rsidRPr="00343FB2">
        <w:rPr>
          <w:rFonts w:cs="Verdana"/>
          <w:lang w:val="en-US"/>
        </w:rPr>
        <w:t>at ORR</w:t>
      </w:r>
      <w:r w:rsidRPr="00343FB2">
        <w:rPr>
          <w:rFonts w:cs="Verdana"/>
          <w:spacing w:val="-1"/>
          <w:lang w:val="en-US"/>
        </w:rPr>
        <w:t xml:space="preserve"> </w:t>
      </w:r>
      <w:r w:rsidRPr="00343FB2">
        <w:rPr>
          <w:rFonts w:cs="Verdana"/>
          <w:spacing w:val="1"/>
          <w:lang w:val="en-US"/>
        </w:rPr>
        <w:t>i</w:t>
      </w:r>
      <w:r w:rsidRPr="00343FB2">
        <w:rPr>
          <w:rFonts w:cs="Verdana"/>
          <w:lang w:val="en-US"/>
        </w:rPr>
        <w:t>s</w:t>
      </w:r>
      <w:r w:rsidRPr="00343FB2">
        <w:rPr>
          <w:rFonts w:cs="Verdana"/>
          <w:spacing w:val="-1"/>
          <w:lang w:val="en-US"/>
        </w:rPr>
        <w:t xml:space="preserve"> </w:t>
      </w:r>
      <w:r w:rsidRPr="00343FB2">
        <w:rPr>
          <w:rFonts w:cs="Verdana"/>
          <w:lang w:val="en-US"/>
        </w:rPr>
        <w:t>a</w:t>
      </w:r>
      <w:r w:rsidRPr="00343FB2">
        <w:rPr>
          <w:rFonts w:cs="Verdana"/>
          <w:spacing w:val="-1"/>
          <w:lang w:val="en-US"/>
        </w:rPr>
        <w:t xml:space="preserve"> </w:t>
      </w:r>
      <w:r w:rsidRPr="00343FB2">
        <w:rPr>
          <w:rFonts w:cs="Verdana"/>
          <w:lang w:val="en-US"/>
        </w:rPr>
        <w:t>m</w:t>
      </w:r>
      <w:r w:rsidRPr="00343FB2">
        <w:rPr>
          <w:rFonts w:cs="Verdana"/>
          <w:spacing w:val="1"/>
          <w:lang w:val="en-US"/>
        </w:rPr>
        <w:t>e</w:t>
      </w:r>
      <w:r w:rsidRPr="00343FB2">
        <w:rPr>
          <w:rFonts w:cs="Verdana"/>
          <w:lang w:val="en-US"/>
        </w:rPr>
        <w:t>as</w:t>
      </w:r>
      <w:r w:rsidRPr="00343FB2">
        <w:rPr>
          <w:rFonts w:cs="Verdana"/>
          <w:spacing w:val="-1"/>
          <w:lang w:val="en-US"/>
        </w:rPr>
        <w:t>u</w:t>
      </w:r>
      <w:r w:rsidRPr="00343FB2">
        <w:rPr>
          <w:rFonts w:cs="Verdana"/>
          <w:lang w:val="en-US"/>
        </w:rPr>
        <w:t>re of</w:t>
      </w:r>
      <w:r w:rsidRPr="00343FB2">
        <w:rPr>
          <w:rFonts w:cs="Verdana"/>
          <w:spacing w:val="1"/>
          <w:lang w:val="en-US"/>
        </w:rPr>
        <w:t xml:space="preserve"> </w:t>
      </w:r>
      <w:r w:rsidRPr="00343FB2">
        <w:rPr>
          <w:rFonts w:cs="Verdana"/>
          <w:lang w:val="en-US"/>
        </w:rPr>
        <w:t>a</w:t>
      </w:r>
      <w:r w:rsidRPr="00343FB2">
        <w:rPr>
          <w:rFonts w:cs="Verdana"/>
          <w:spacing w:val="-1"/>
          <w:lang w:val="en-US"/>
        </w:rPr>
        <w:t>n</w:t>
      </w:r>
      <w:r w:rsidRPr="00343FB2">
        <w:rPr>
          <w:rFonts w:cs="Verdana"/>
          <w:spacing w:val="1"/>
          <w:lang w:val="en-US"/>
        </w:rPr>
        <w:t>ti</w:t>
      </w:r>
      <w:r w:rsidRPr="00343FB2">
        <w:rPr>
          <w:rFonts w:cs="Verdana"/>
          <w:lang w:val="en-US"/>
        </w:rPr>
        <w:t>-</w:t>
      </w:r>
      <w:r w:rsidRPr="00343FB2">
        <w:rPr>
          <w:rFonts w:cs="Verdana"/>
          <w:spacing w:val="1"/>
          <w:lang w:val="en-US"/>
        </w:rPr>
        <w:t>t</w:t>
      </w:r>
      <w:r w:rsidRPr="00343FB2">
        <w:rPr>
          <w:rFonts w:cs="Verdana"/>
          <w:spacing w:val="-1"/>
          <w:lang w:val="en-US"/>
        </w:rPr>
        <w:t>u</w:t>
      </w:r>
      <w:r w:rsidRPr="00343FB2">
        <w:rPr>
          <w:rFonts w:cs="Verdana"/>
          <w:lang w:val="en-US"/>
        </w:rPr>
        <w:t>m</w:t>
      </w:r>
      <w:r w:rsidRPr="00343FB2">
        <w:rPr>
          <w:rFonts w:cs="Verdana"/>
          <w:spacing w:val="1"/>
          <w:lang w:val="en-US"/>
        </w:rPr>
        <w:t>o</w:t>
      </w:r>
      <w:r w:rsidRPr="00343FB2">
        <w:rPr>
          <w:rFonts w:cs="Verdana"/>
          <w:spacing w:val="-1"/>
          <w:lang w:val="en-US"/>
        </w:rPr>
        <w:t>u</w:t>
      </w:r>
      <w:r w:rsidRPr="00343FB2">
        <w:rPr>
          <w:rFonts w:cs="Verdana"/>
          <w:lang w:val="en-US"/>
        </w:rPr>
        <w:t>r</w:t>
      </w:r>
      <w:r w:rsidRPr="00343FB2">
        <w:rPr>
          <w:rFonts w:cs="Verdana"/>
          <w:spacing w:val="-1"/>
          <w:lang w:val="en-US"/>
        </w:rPr>
        <w:t xml:space="preserve"> </w:t>
      </w:r>
      <w:r w:rsidRPr="00343FB2">
        <w:rPr>
          <w:rFonts w:cs="Verdana"/>
          <w:lang w:val="en-US"/>
        </w:rPr>
        <w:t>ac</w:t>
      </w:r>
      <w:r w:rsidRPr="00343FB2">
        <w:rPr>
          <w:rFonts w:cs="Verdana"/>
          <w:spacing w:val="1"/>
          <w:lang w:val="en-US"/>
        </w:rPr>
        <w:t>ti</w:t>
      </w:r>
      <w:r w:rsidRPr="00343FB2">
        <w:rPr>
          <w:rFonts w:cs="Verdana"/>
          <w:spacing w:val="-1"/>
          <w:lang w:val="en-US"/>
        </w:rPr>
        <w:t>v</w:t>
      </w:r>
      <w:r w:rsidRPr="00343FB2">
        <w:rPr>
          <w:rFonts w:cs="Verdana"/>
          <w:spacing w:val="1"/>
          <w:lang w:val="en-US"/>
        </w:rPr>
        <w:t>it</w:t>
      </w:r>
      <w:r w:rsidRPr="00343FB2">
        <w:rPr>
          <w:rFonts w:cs="Verdana"/>
          <w:lang w:val="en-US"/>
        </w:rPr>
        <w:t>y</w:t>
      </w:r>
      <w:r w:rsidRPr="00343FB2">
        <w:rPr>
          <w:rFonts w:cs="Verdana"/>
          <w:spacing w:val="-2"/>
          <w:lang w:val="en-US"/>
        </w:rPr>
        <w:t xml:space="preserve"> </w:t>
      </w:r>
      <w:r w:rsidRPr="00343FB2">
        <w:rPr>
          <w:rFonts w:cs="Verdana"/>
          <w:lang w:val="en-US"/>
        </w:rPr>
        <w:t>a</w:t>
      </w:r>
      <w:r w:rsidRPr="00343FB2">
        <w:rPr>
          <w:rFonts w:cs="Verdana"/>
          <w:spacing w:val="-1"/>
          <w:lang w:val="en-US"/>
        </w:rPr>
        <w:t>n</w:t>
      </w:r>
      <w:r w:rsidRPr="00343FB2">
        <w:rPr>
          <w:rFonts w:cs="Verdana"/>
          <w:lang w:val="en-US"/>
        </w:rPr>
        <w:t xml:space="preserve">d </w:t>
      </w:r>
      <w:r w:rsidRPr="00343FB2">
        <w:rPr>
          <w:rFonts w:cs="Verdana"/>
          <w:spacing w:val="1"/>
          <w:lang w:val="en-US"/>
        </w:rPr>
        <w:t>doe</w:t>
      </w:r>
      <w:r w:rsidRPr="00343FB2">
        <w:rPr>
          <w:rFonts w:cs="Verdana"/>
          <w:lang w:val="en-US"/>
        </w:rPr>
        <w:t>s</w:t>
      </w:r>
      <w:r w:rsidRPr="00343FB2">
        <w:rPr>
          <w:rFonts w:cs="Verdana"/>
          <w:spacing w:val="-1"/>
          <w:lang w:val="en-US"/>
        </w:rPr>
        <w:t xml:space="preserve"> n</w:t>
      </w:r>
      <w:r w:rsidRPr="00343FB2">
        <w:rPr>
          <w:rFonts w:cs="Verdana"/>
          <w:spacing w:val="1"/>
          <w:lang w:val="en-US"/>
        </w:rPr>
        <w:t>o</w:t>
      </w:r>
      <w:r w:rsidRPr="00343FB2">
        <w:rPr>
          <w:rFonts w:cs="Verdana"/>
          <w:lang w:val="en-US"/>
        </w:rPr>
        <w:t xml:space="preserve">t </w:t>
      </w:r>
      <w:r w:rsidRPr="00343FB2">
        <w:rPr>
          <w:rFonts w:cs="Verdana"/>
          <w:spacing w:val="1"/>
          <w:lang w:val="en-US"/>
        </w:rPr>
        <w:t>p</w:t>
      </w:r>
      <w:r w:rsidRPr="00343FB2">
        <w:rPr>
          <w:rFonts w:cs="Verdana"/>
          <w:lang w:val="en-US"/>
        </w:rPr>
        <w:t>r</w:t>
      </w:r>
      <w:r w:rsidRPr="00343FB2">
        <w:rPr>
          <w:rFonts w:cs="Verdana"/>
          <w:spacing w:val="1"/>
          <w:lang w:val="en-US"/>
        </w:rPr>
        <w:t>o</w:t>
      </w:r>
      <w:r w:rsidRPr="00343FB2">
        <w:rPr>
          <w:rFonts w:cs="Verdana"/>
          <w:spacing w:val="-1"/>
          <w:lang w:val="en-US"/>
        </w:rPr>
        <w:t>vi</w:t>
      </w:r>
      <w:r w:rsidRPr="00343FB2">
        <w:rPr>
          <w:rFonts w:cs="Verdana"/>
          <w:spacing w:val="1"/>
          <w:lang w:val="en-US"/>
        </w:rPr>
        <w:t>d</w:t>
      </w:r>
      <w:r w:rsidRPr="00343FB2">
        <w:rPr>
          <w:rFonts w:cs="Verdana"/>
          <w:lang w:val="en-US"/>
        </w:rPr>
        <w:t xml:space="preserve">e </w:t>
      </w:r>
      <w:r w:rsidRPr="00343FB2">
        <w:rPr>
          <w:rFonts w:cs="Verdana"/>
          <w:spacing w:val="1"/>
          <w:lang w:val="en-US"/>
        </w:rPr>
        <w:t>di</w:t>
      </w:r>
      <w:r w:rsidRPr="00343FB2">
        <w:rPr>
          <w:rFonts w:cs="Verdana"/>
          <w:spacing w:val="-3"/>
          <w:lang w:val="en-US"/>
        </w:rPr>
        <w:t>r</w:t>
      </w:r>
      <w:r w:rsidRPr="00343FB2">
        <w:rPr>
          <w:rFonts w:cs="Verdana"/>
          <w:spacing w:val="1"/>
          <w:lang w:val="en-US"/>
        </w:rPr>
        <w:t>e</w:t>
      </w:r>
      <w:r w:rsidRPr="00343FB2">
        <w:rPr>
          <w:rFonts w:cs="Verdana"/>
          <w:lang w:val="en-US"/>
        </w:rPr>
        <w:t xml:space="preserve">ct </w:t>
      </w:r>
      <w:r w:rsidRPr="00343FB2">
        <w:rPr>
          <w:rFonts w:cs="Verdana"/>
          <w:spacing w:val="1"/>
          <w:lang w:val="en-US"/>
        </w:rPr>
        <w:t>e</w:t>
      </w:r>
      <w:r w:rsidRPr="00343FB2">
        <w:rPr>
          <w:rFonts w:cs="Verdana"/>
          <w:spacing w:val="-1"/>
          <w:lang w:val="en-US"/>
        </w:rPr>
        <w:t>v</w:t>
      </w:r>
      <w:r w:rsidRPr="00343FB2">
        <w:rPr>
          <w:rFonts w:cs="Verdana"/>
          <w:spacing w:val="1"/>
          <w:lang w:val="en-US"/>
        </w:rPr>
        <w:t>ide</w:t>
      </w:r>
      <w:r w:rsidRPr="00343FB2">
        <w:rPr>
          <w:rFonts w:cs="Verdana"/>
          <w:spacing w:val="-1"/>
          <w:lang w:val="en-US"/>
        </w:rPr>
        <w:t>n</w:t>
      </w:r>
      <w:r w:rsidRPr="00343FB2">
        <w:rPr>
          <w:rFonts w:cs="Verdana"/>
          <w:lang w:val="en-US"/>
        </w:rPr>
        <w:t>ce</w:t>
      </w:r>
      <w:r w:rsidRPr="00343FB2">
        <w:rPr>
          <w:rFonts w:cs="Verdana"/>
          <w:spacing w:val="-3"/>
          <w:lang w:val="en-US"/>
        </w:rPr>
        <w:t xml:space="preserve"> </w:t>
      </w:r>
      <w:r w:rsidRPr="00343FB2">
        <w:rPr>
          <w:rFonts w:cs="Verdana"/>
          <w:spacing w:val="1"/>
          <w:lang w:val="en-US"/>
        </w:rPr>
        <w:t>o</w:t>
      </w:r>
      <w:r w:rsidRPr="00343FB2">
        <w:rPr>
          <w:rFonts w:cs="Verdana"/>
          <w:lang w:val="en-US"/>
        </w:rPr>
        <w:t>n</w:t>
      </w:r>
      <w:r w:rsidRPr="00343FB2">
        <w:rPr>
          <w:rFonts w:cs="Verdana"/>
          <w:spacing w:val="-2"/>
          <w:lang w:val="en-US"/>
        </w:rPr>
        <w:t xml:space="preserve"> </w:t>
      </w:r>
      <w:r w:rsidRPr="00343FB2">
        <w:rPr>
          <w:rFonts w:cs="Verdana"/>
          <w:spacing w:val="1"/>
          <w:lang w:val="en-US"/>
        </w:rPr>
        <w:t>p</w:t>
      </w:r>
      <w:r w:rsidRPr="00343FB2">
        <w:rPr>
          <w:rFonts w:cs="Verdana"/>
          <w:lang w:val="en-US"/>
        </w:rPr>
        <w:t>a</w:t>
      </w:r>
      <w:r w:rsidRPr="00343FB2">
        <w:rPr>
          <w:rFonts w:cs="Verdana"/>
          <w:spacing w:val="1"/>
          <w:lang w:val="en-US"/>
        </w:rPr>
        <w:t>tie</w:t>
      </w:r>
      <w:r w:rsidRPr="00343FB2">
        <w:rPr>
          <w:rFonts w:cs="Verdana"/>
          <w:spacing w:val="-1"/>
          <w:lang w:val="en-US"/>
        </w:rPr>
        <w:t>n</w:t>
      </w:r>
      <w:r w:rsidRPr="00343FB2">
        <w:rPr>
          <w:rFonts w:cs="Verdana"/>
          <w:spacing w:val="1"/>
          <w:lang w:val="en-US"/>
        </w:rPr>
        <w:t>t</w:t>
      </w:r>
      <w:r w:rsidRPr="00343FB2">
        <w:rPr>
          <w:rFonts w:cs="Verdana"/>
          <w:lang w:val="en-US"/>
        </w:rPr>
        <w:t>’s</w:t>
      </w:r>
      <w:r w:rsidRPr="00343FB2">
        <w:rPr>
          <w:rFonts w:cs="Verdana"/>
          <w:spacing w:val="-1"/>
          <w:lang w:val="en-US"/>
        </w:rPr>
        <w:t xml:space="preserve"> </w:t>
      </w:r>
      <w:r w:rsidRPr="00343FB2">
        <w:rPr>
          <w:rFonts w:cs="Verdana"/>
          <w:spacing w:val="1"/>
          <w:lang w:val="en-US"/>
        </w:rPr>
        <w:t>be</w:t>
      </w:r>
      <w:r w:rsidRPr="00343FB2">
        <w:rPr>
          <w:rFonts w:cs="Verdana"/>
          <w:spacing w:val="-1"/>
          <w:lang w:val="en-US"/>
        </w:rPr>
        <w:t>n</w:t>
      </w:r>
      <w:r w:rsidRPr="00343FB2">
        <w:rPr>
          <w:rFonts w:cs="Verdana"/>
          <w:spacing w:val="1"/>
          <w:lang w:val="en-US"/>
        </w:rPr>
        <w:t>e</w:t>
      </w:r>
      <w:r w:rsidRPr="00343FB2">
        <w:rPr>
          <w:rFonts w:cs="Verdana"/>
          <w:spacing w:val="-1"/>
          <w:lang w:val="en-US"/>
        </w:rPr>
        <w:t>f</w:t>
      </w:r>
      <w:r w:rsidRPr="00343FB2">
        <w:rPr>
          <w:rFonts w:cs="Verdana"/>
          <w:spacing w:val="1"/>
          <w:lang w:val="en-US"/>
        </w:rPr>
        <w:t>it</w:t>
      </w:r>
      <w:r w:rsidRPr="00343FB2">
        <w:rPr>
          <w:rFonts w:cs="Verdana"/>
          <w:lang w:val="en-US"/>
        </w:rPr>
        <w:t>,</w:t>
      </w:r>
      <w:r w:rsidRPr="00343FB2">
        <w:rPr>
          <w:rFonts w:cs="Verdana"/>
          <w:spacing w:val="-1"/>
          <w:lang w:val="en-US"/>
        </w:rPr>
        <w:t xml:space="preserve"> P</w:t>
      </w:r>
      <w:r w:rsidRPr="00343FB2">
        <w:rPr>
          <w:rFonts w:cs="Verdana"/>
          <w:lang w:val="en-US"/>
        </w:rPr>
        <w:t>F</w:t>
      </w:r>
      <w:r w:rsidRPr="00343FB2">
        <w:rPr>
          <w:rFonts w:cs="Verdana"/>
          <w:spacing w:val="-1"/>
          <w:lang w:val="en-US"/>
        </w:rPr>
        <w:t>S</w:t>
      </w:r>
      <w:r w:rsidRPr="00343FB2">
        <w:rPr>
          <w:rFonts w:cs="Verdana"/>
          <w:lang w:val="en-US"/>
        </w:rPr>
        <w:t>/OS</w:t>
      </w:r>
      <w:r w:rsidRPr="00343FB2">
        <w:rPr>
          <w:rFonts w:cs="Verdana"/>
          <w:spacing w:val="-1"/>
          <w:lang w:val="en-US"/>
        </w:rPr>
        <w:t xml:space="preserve"> </w:t>
      </w:r>
      <w:r w:rsidRPr="00343FB2">
        <w:rPr>
          <w:rFonts w:cs="Verdana"/>
          <w:lang w:val="en-US"/>
        </w:rPr>
        <w:t>(</w:t>
      </w:r>
      <w:r w:rsidRPr="00343FB2">
        <w:rPr>
          <w:rFonts w:cs="Verdana"/>
          <w:spacing w:val="1"/>
          <w:lang w:val="en-US"/>
        </w:rPr>
        <w:t>i</w:t>
      </w:r>
      <w:r w:rsidRPr="00343FB2">
        <w:rPr>
          <w:rFonts w:cs="Verdana"/>
          <w:spacing w:val="-1"/>
          <w:lang w:val="en-US"/>
        </w:rPr>
        <w:t>n</w:t>
      </w:r>
      <w:r w:rsidRPr="00343FB2">
        <w:rPr>
          <w:rFonts w:cs="Verdana"/>
          <w:lang w:val="en-US"/>
        </w:rPr>
        <w:t>c</w:t>
      </w:r>
      <w:r w:rsidRPr="00343FB2">
        <w:rPr>
          <w:rFonts w:cs="Verdana"/>
          <w:spacing w:val="1"/>
          <w:lang w:val="en-US"/>
        </w:rPr>
        <w:t>l</w:t>
      </w:r>
      <w:r w:rsidRPr="00343FB2">
        <w:rPr>
          <w:rFonts w:cs="Verdana"/>
          <w:spacing w:val="-1"/>
          <w:lang w:val="en-US"/>
        </w:rPr>
        <w:t>u</w:t>
      </w:r>
      <w:r w:rsidRPr="00343FB2">
        <w:rPr>
          <w:rFonts w:cs="Verdana"/>
          <w:spacing w:val="1"/>
          <w:lang w:val="en-US"/>
        </w:rPr>
        <w:t>de</w:t>
      </w:r>
      <w:r w:rsidRPr="00343FB2">
        <w:rPr>
          <w:rFonts w:cs="Verdana"/>
          <w:lang w:val="en-US"/>
        </w:rPr>
        <w:t>d as s</w:t>
      </w:r>
      <w:r w:rsidRPr="00343FB2">
        <w:rPr>
          <w:rFonts w:cs="Verdana"/>
          <w:spacing w:val="1"/>
          <w:lang w:val="en-US"/>
        </w:rPr>
        <w:t>e</w:t>
      </w:r>
      <w:r w:rsidRPr="00343FB2">
        <w:rPr>
          <w:rFonts w:cs="Verdana"/>
          <w:lang w:val="en-US"/>
        </w:rPr>
        <w:t>c</w:t>
      </w:r>
      <w:r w:rsidRPr="00343FB2">
        <w:rPr>
          <w:rFonts w:cs="Verdana"/>
          <w:spacing w:val="1"/>
          <w:lang w:val="en-US"/>
        </w:rPr>
        <w:t>o</w:t>
      </w:r>
      <w:r w:rsidRPr="00343FB2">
        <w:rPr>
          <w:rFonts w:cs="Verdana"/>
          <w:spacing w:val="-1"/>
          <w:lang w:val="en-US"/>
        </w:rPr>
        <w:t>n</w:t>
      </w:r>
      <w:r w:rsidRPr="00343FB2">
        <w:rPr>
          <w:rFonts w:cs="Verdana"/>
          <w:spacing w:val="1"/>
          <w:lang w:val="en-US"/>
        </w:rPr>
        <w:t>d</w:t>
      </w:r>
      <w:r w:rsidRPr="00343FB2">
        <w:rPr>
          <w:rFonts w:cs="Verdana"/>
          <w:lang w:val="en-US"/>
        </w:rPr>
        <w:t>ary</w:t>
      </w:r>
      <w:r w:rsidRPr="00343FB2">
        <w:rPr>
          <w:rFonts w:cs="Verdana"/>
          <w:spacing w:val="-2"/>
          <w:lang w:val="en-US"/>
        </w:rPr>
        <w:t xml:space="preserve"> </w:t>
      </w:r>
      <w:r w:rsidRPr="00343FB2">
        <w:rPr>
          <w:rFonts w:cs="Verdana"/>
          <w:spacing w:val="1"/>
          <w:lang w:val="en-US"/>
        </w:rPr>
        <w:t>e</w:t>
      </w:r>
      <w:r w:rsidRPr="00343FB2">
        <w:rPr>
          <w:rFonts w:cs="Verdana"/>
          <w:spacing w:val="-1"/>
          <w:lang w:val="en-US"/>
        </w:rPr>
        <w:t>n</w:t>
      </w:r>
      <w:r w:rsidRPr="00343FB2">
        <w:rPr>
          <w:rFonts w:cs="Verdana"/>
          <w:spacing w:val="1"/>
          <w:lang w:val="en-US"/>
        </w:rPr>
        <w:t>dpoi</w:t>
      </w:r>
      <w:r w:rsidRPr="00343FB2">
        <w:rPr>
          <w:rFonts w:cs="Verdana"/>
          <w:spacing w:val="-1"/>
          <w:lang w:val="en-US"/>
        </w:rPr>
        <w:t>n</w:t>
      </w:r>
      <w:r w:rsidRPr="00343FB2">
        <w:rPr>
          <w:rFonts w:cs="Verdana"/>
          <w:spacing w:val="1"/>
          <w:lang w:val="en-US"/>
        </w:rPr>
        <w:t>t</w:t>
      </w:r>
      <w:r w:rsidRPr="00343FB2">
        <w:rPr>
          <w:rFonts w:cs="Verdana"/>
          <w:lang w:val="en-US"/>
        </w:rPr>
        <w:t>s</w:t>
      </w:r>
      <w:r w:rsidRPr="00343FB2">
        <w:rPr>
          <w:rFonts w:cs="Verdana"/>
          <w:spacing w:val="-1"/>
          <w:lang w:val="en-US"/>
        </w:rPr>
        <w:t xml:space="preserve"> </w:t>
      </w:r>
      <w:r w:rsidRPr="00343FB2">
        <w:rPr>
          <w:rFonts w:cs="Verdana"/>
          <w:spacing w:val="1"/>
          <w:lang w:val="en-US"/>
        </w:rPr>
        <w:t>i</w:t>
      </w:r>
      <w:r w:rsidRPr="00343FB2">
        <w:rPr>
          <w:rFonts w:cs="Verdana"/>
          <w:lang w:val="en-US"/>
        </w:rPr>
        <w:t>n</w:t>
      </w:r>
      <w:r w:rsidRPr="00343FB2">
        <w:rPr>
          <w:rFonts w:cs="Verdana"/>
          <w:spacing w:val="-2"/>
          <w:lang w:val="en-US"/>
        </w:rPr>
        <w:t xml:space="preserve"> </w:t>
      </w:r>
      <w:r>
        <w:rPr>
          <w:rFonts w:cs="Verdana"/>
          <w:spacing w:val="1"/>
          <w:lang w:val="en-US"/>
        </w:rPr>
        <w:t>this pivotal efficacy study</w:t>
      </w:r>
      <w:r w:rsidRPr="00343FB2">
        <w:rPr>
          <w:rFonts w:cs="Verdana"/>
          <w:lang w:val="en-US"/>
        </w:rPr>
        <w:t>)</w:t>
      </w:r>
      <w:r w:rsidRPr="00343FB2">
        <w:rPr>
          <w:rFonts w:cs="Verdana"/>
          <w:spacing w:val="-1"/>
          <w:lang w:val="en-US"/>
        </w:rPr>
        <w:t xml:space="preserve"> </w:t>
      </w:r>
      <w:r>
        <w:rPr>
          <w:rFonts w:cs="Verdana"/>
          <w:spacing w:val="-1"/>
          <w:lang w:val="en-US"/>
        </w:rPr>
        <w:t>should have been considered.</w:t>
      </w:r>
      <w:r w:rsidR="000E3918">
        <w:rPr>
          <w:rFonts w:cs="Verdana"/>
          <w:spacing w:val="-1"/>
          <w:lang w:val="en-US"/>
        </w:rPr>
        <w:t xml:space="preserve"> </w:t>
      </w:r>
      <w:r>
        <w:rPr>
          <w:rFonts w:cs="Verdana"/>
          <w:spacing w:val="-1"/>
          <w:lang w:val="en-US"/>
        </w:rPr>
        <w:t xml:space="preserve">However, given ceritinib has a clear mechanism of action where it targets ALK, </w:t>
      </w:r>
      <w:r w:rsidR="00A1645B">
        <w:rPr>
          <w:rFonts w:cs="Verdana"/>
          <w:spacing w:val="-1"/>
          <w:lang w:val="en-US"/>
        </w:rPr>
        <w:t>the evaluator thinks</w:t>
      </w:r>
      <w:r>
        <w:rPr>
          <w:rFonts w:cs="Verdana"/>
          <w:spacing w:val="-1"/>
          <w:lang w:val="en-US"/>
        </w:rPr>
        <w:t xml:space="preserve"> the ORR will likely translate into clinical benefit such as PFS and patient reported outcomes (PRO). This was the case for crizotinib (an ALK-inhibitor that is registered in Australia)</w:t>
      </w:r>
      <w:r>
        <w:rPr>
          <w:rFonts w:cs="Verdana"/>
          <w:lang w:val="en-US"/>
        </w:rPr>
        <w:t xml:space="preserve"> </w:t>
      </w:r>
      <w:r>
        <w:rPr>
          <w:rFonts w:cs="Verdana"/>
          <w:spacing w:val="-1"/>
          <w:lang w:val="en-US"/>
        </w:rPr>
        <w:t xml:space="preserve">where the </w:t>
      </w:r>
      <w:r w:rsidR="00B3070B">
        <w:rPr>
          <w:rFonts w:cs="Verdana"/>
          <w:spacing w:val="-1"/>
          <w:lang w:val="en-US"/>
        </w:rPr>
        <w:t>Phase I</w:t>
      </w:r>
      <w:r>
        <w:rPr>
          <w:rFonts w:cs="Verdana"/>
          <w:spacing w:val="-1"/>
          <w:lang w:val="en-US"/>
        </w:rPr>
        <w:t xml:space="preserve">II trials confirmed the clinical benefit that was hinted by impressive ORR in earlier phase trials. Therefore </w:t>
      </w:r>
      <w:r w:rsidR="00A1645B">
        <w:rPr>
          <w:rFonts w:cs="Verdana"/>
          <w:spacing w:val="-1"/>
          <w:lang w:val="en-US"/>
        </w:rPr>
        <w:t>the evaluator thinks</w:t>
      </w:r>
      <w:r>
        <w:rPr>
          <w:rFonts w:cs="Verdana"/>
          <w:spacing w:val="-1"/>
          <w:lang w:val="en-US"/>
        </w:rPr>
        <w:t xml:space="preserve"> the endpoint of ORR is reasonable at this point. Study A2303 is a </w:t>
      </w:r>
      <w:r w:rsidR="00A1645B">
        <w:rPr>
          <w:rFonts w:cs="Verdana"/>
          <w:spacing w:val="-1"/>
          <w:lang w:val="en-US"/>
        </w:rPr>
        <w:t>P</w:t>
      </w:r>
      <w:r>
        <w:rPr>
          <w:rFonts w:cs="Verdana"/>
          <w:spacing w:val="-1"/>
          <w:lang w:val="en-US"/>
        </w:rPr>
        <w:t xml:space="preserve">hase </w:t>
      </w:r>
      <w:r w:rsidR="00A1645B">
        <w:rPr>
          <w:rFonts w:cs="Verdana"/>
          <w:spacing w:val="-1"/>
          <w:lang w:val="en-US"/>
        </w:rPr>
        <w:t>III</w:t>
      </w:r>
      <w:r>
        <w:rPr>
          <w:rFonts w:cs="Verdana"/>
          <w:spacing w:val="-1"/>
          <w:lang w:val="en-US"/>
        </w:rPr>
        <w:t>, multi-centre, randomised open-label study of ceritinib v</w:t>
      </w:r>
      <w:r w:rsidR="00A1645B">
        <w:rPr>
          <w:rFonts w:cs="Verdana"/>
          <w:spacing w:val="-1"/>
          <w:lang w:val="en-US"/>
        </w:rPr>
        <w:t>ersu</w:t>
      </w:r>
      <w:r>
        <w:rPr>
          <w:rFonts w:cs="Verdana"/>
          <w:spacing w:val="-1"/>
          <w:lang w:val="en-US"/>
        </w:rPr>
        <w:t xml:space="preserve">s standard second-line chemotherapy (pemetrexed or docetaxel) in patients previously treated with chemotherapy and crizotinib, and is currently enrolling patients. </w:t>
      </w:r>
    </w:p>
    <w:p w14:paraId="638E6DD1" w14:textId="77777777" w:rsidR="00554D4D" w:rsidRPr="00343FB2" w:rsidRDefault="00554D4D" w:rsidP="00554D4D">
      <w:pPr>
        <w:widowControl w:val="0"/>
        <w:autoSpaceDE w:val="0"/>
        <w:autoSpaceDN w:val="0"/>
        <w:adjustRightInd w:val="0"/>
        <w:ind w:left="40" w:right="160"/>
        <w:rPr>
          <w:rFonts w:cs="Verdana"/>
          <w:lang w:val="en-US"/>
        </w:rPr>
      </w:pPr>
      <w:r w:rsidRPr="00343FB2">
        <w:rPr>
          <w:rFonts w:cs="Verdana"/>
          <w:lang w:val="en-US"/>
        </w:rPr>
        <w:t>O</w:t>
      </w:r>
      <w:r w:rsidRPr="00343FB2">
        <w:rPr>
          <w:rFonts w:cs="Verdana"/>
          <w:spacing w:val="-1"/>
          <w:lang w:val="en-US"/>
        </w:rPr>
        <w:t>v</w:t>
      </w:r>
      <w:r w:rsidRPr="00343FB2">
        <w:rPr>
          <w:rFonts w:cs="Verdana"/>
          <w:spacing w:val="1"/>
          <w:lang w:val="en-US"/>
        </w:rPr>
        <w:t>e</w:t>
      </w:r>
      <w:r w:rsidRPr="00343FB2">
        <w:rPr>
          <w:rFonts w:cs="Verdana"/>
          <w:lang w:val="en-US"/>
        </w:rPr>
        <w:t>ra</w:t>
      </w:r>
      <w:r w:rsidRPr="00343FB2">
        <w:rPr>
          <w:rFonts w:cs="Verdana"/>
          <w:spacing w:val="1"/>
          <w:lang w:val="en-US"/>
        </w:rPr>
        <w:t>ll</w:t>
      </w:r>
      <w:r w:rsidRPr="00343FB2">
        <w:rPr>
          <w:rFonts w:cs="Verdana"/>
          <w:lang w:val="en-US"/>
        </w:rPr>
        <w:t>,</w:t>
      </w:r>
      <w:r w:rsidRPr="00343FB2">
        <w:rPr>
          <w:rFonts w:cs="Verdana"/>
          <w:spacing w:val="-1"/>
          <w:lang w:val="en-US"/>
        </w:rPr>
        <w:t xml:space="preserve"> </w:t>
      </w:r>
      <w:r w:rsidRPr="00343FB2">
        <w:rPr>
          <w:rFonts w:cs="Verdana"/>
          <w:spacing w:val="1"/>
          <w:lang w:val="en-US"/>
        </w:rPr>
        <w:t>t</w:t>
      </w:r>
      <w:r w:rsidRPr="00343FB2">
        <w:rPr>
          <w:rFonts w:cs="Verdana"/>
          <w:spacing w:val="-1"/>
          <w:lang w:val="en-US"/>
        </w:rPr>
        <w:t>h</w:t>
      </w:r>
      <w:r w:rsidRPr="00343FB2">
        <w:rPr>
          <w:rFonts w:cs="Verdana"/>
          <w:lang w:val="en-US"/>
        </w:rPr>
        <w:t xml:space="preserve">e </w:t>
      </w:r>
      <w:r w:rsidRPr="00343FB2">
        <w:rPr>
          <w:rFonts w:cs="Verdana"/>
          <w:spacing w:val="1"/>
          <w:lang w:val="en-US"/>
        </w:rPr>
        <w:t>p</w:t>
      </w:r>
      <w:r w:rsidRPr="00343FB2">
        <w:rPr>
          <w:rFonts w:cs="Verdana"/>
          <w:lang w:val="en-US"/>
        </w:rPr>
        <w:t>r</w:t>
      </w:r>
      <w:r w:rsidRPr="00343FB2">
        <w:rPr>
          <w:rFonts w:cs="Verdana"/>
          <w:spacing w:val="1"/>
          <w:lang w:val="en-US"/>
        </w:rPr>
        <w:t>o</w:t>
      </w:r>
      <w:r w:rsidRPr="00343FB2">
        <w:rPr>
          <w:rFonts w:cs="Verdana"/>
          <w:spacing w:val="-1"/>
          <w:lang w:val="en-US"/>
        </w:rPr>
        <w:t>f</w:t>
      </w:r>
      <w:r w:rsidRPr="00343FB2">
        <w:rPr>
          <w:rFonts w:cs="Verdana"/>
          <w:spacing w:val="1"/>
          <w:lang w:val="en-US"/>
        </w:rPr>
        <w:t>il</w:t>
      </w:r>
      <w:r w:rsidRPr="00343FB2">
        <w:rPr>
          <w:rFonts w:cs="Verdana"/>
          <w:lang w:val="en-US"/>
        </w:rPr>
        <w:t>e</w:t>
      </w:r>
      <w:r w:rsidRPr="00343FB2">
        <w:rPr>
          <w:rFonts w:cs="Verdana"/>
          <w:spacing w:val="-3"/>
          <w:lang w:val="en-US"/>
        </w:rPr>
        <w:t xml:space="preserve"> </w:t>
      </w:r>
      <w:r w:rsidRPr="00343FB2">
        <w:rPr>
          <w:rFonts w:cs="Verdana"/>
          <w:spacing w:val="1"/>
          <w:lang w:val="en-US"/>
        </w:rPr>
        <w:t>o</w:t>
      </w:r>
      <w:r w:rsidRPr="00343FB2">
        <w:rPr>
          <w:rFonts w:cs="Verdana"/>
          <w:lang w:val="en-US"/>
        </w:rPr>
        <w:t>f</w:t>
      </w:r>
      <w:r w:rsidRPr="00343FB2">
        <w:rPr>
          <w:rFonts w:cs="Verdana"/>
          <w:spacing w:val="-2"/>
          <w:lang w:val="en-US"/>
        </w:rPr>
        <w:t xml:space="preserve"> </w:t>
      </w:r>
      <w:r w:rsidRPr="00343FB2">
        <w:rPr>
          <w:rFonts w:cs="Verdana"/>
          <w:spacing w:val="1"/>
          <w:lang w:val="en-US"/>
        </w:rPr>
        <w:t>t</w:t>
      </w:r>
      <w:r w:rsidRPr="00343FB2">
        <w:rPr>
          <w:rFonts w:cs="Verdana"/>
          <w:spacing w:val="-1"/>
          <w:lang w:val="en-US"/>
        </w:rPr>
        <w:t>h</w:t>
      </w:r>
      <w:r w:rsidRPr="00343FB2">
        <w:rPr>
          <w:rFonts w:cs="Verdana"/>
          <w:lang w:val="en-US"/>
        </w:rPr>
        <w:t xml:space="preserve">e </w:t>
      </w:r>
      <w:r w:rsidRPr="00343FB2">
        <w:rPr>
          <w:rFonts w:cs="Verdana"/>
          <w:spacing w:val="1"/>
          <w:lang w:val="en-US"/>
        </w:rPr>
        <w:t>p</w:t>
      </w:r>
      <w:r w:rsidRPr="00343FB2">
        <w:rPr>
          <w:rFonts w:cs="Verdana"/>
          <w:lang w:val="en-US"/>
        </w:rPr>
        <w:t>a</w:t>
      </w:r>
      <w:r w:rsidRPr="00343FB2">
        <w:rPr>
          <w:rFonts w:cs="Verdana"/>
          <w:spacing w:val="1"/>
          <w:lang w:val="en-US"/>
        </w:rPr>
        <w:t>tie</w:t>
      </w:r>
      <w:r w:rsidRPr="00343FB2">
        <w:rPr>
          <w:rFonts w:cs="Verdana"/>
          <w:spacing w:val="-1"/>
          <w:lang w:val="en-US"/>
        </w:rPr>
        <w:t>n</w:t>
      </w:r>
      <w:r w:rsidRPr="00343FB2">
        <w:rPr>
          <w:rFonts w:cs="Verdana"/>
          <w:lang w:val="en-US"/>
        </w:rPr>
        <w:t xml:space="preserve">t </w:t>
      </w:r>
      <w:r w:rsidRPr="00343FB2">
        <w:rPr>
          <w:rFonts w:cs="Verdana"/>
          <w:spacing w:val="-2"/>
          <w:lang w:val="en-US"/>
        </w:rPr>
        <w:t>p</w:t>
      </w:r>
      <w:r w:rsidRPr="00343FB2">
        <w:rPr>
          <w:rFonts w:cs="Verdana"/>
          <w:spacing w:val="1"/>
          <w:lang w:val="en-US"/>
        </w:rPr>
        <w:t>op</w:t>
      </w:r>
      <w:r w:rsidRPr="00343FB2">
        <w:rPr>
          <w:rFonts w:cs="Verdana"/>
          <w:spacing w:val="-1"/>
          <w:lang w:val="en-US"/>
        </w:rPr>
        <w:t>u</w:t>
      </w:r>
      <w:r w:rsidRPr="00343FB2">
        <w:rPr>
          <w:rFonts w:cs="Verdana"/>
          <w:spacing w:val="1"/>
          <w:lang w:val="en-US"/>
        </w:rPr>
        <w:t>l</w:t>
      </w:r>
      <w:r w:rsidRPr="00343FB2">
        <w:rPr>
          <w:rFonts w:cs="Verdana"/>
          <w:lang w:val="en-US"/>
        </w:rPr>
        <w:t>a</w:t>
      </w:r>
      <w:r w:rsidRPr="00343FB2">
        <w:rPr>
          <w:rFonts w:cs="Verdana"/>
          <w:spacing w:val="-1"/>
          <w:lang w:val="en-US"/>
        </w:rPr>
        <w:t>t</w:t>
      </w:r>
      <w:r w:rsidRPr="00343FB2">
        <w:rPr>
          <w:rFonts w:cs="Verdana"/>
          <w:spacing w:val="1"/>
          <w:lang w:val="en-US"/>
        </w:rPr>
        <w:t>io</w:t>
      </w:r>
      <w:r w:rsidRPr="00343FB2">
        <w:rPr>
          <w:rFonts w:cs="Verdana"/>
          <w:lang w:val="en-US"/>
        </w:rPr>
        <w:t>n</w:t>
      </w:r>
      <w:r w:rsidRPr="00343FB2">
        <w:rPr>
          <w:rFonts w:cs="Verdana"/>
          <w:spacing w:val="-2"/>
          <w:lang w:val="en-US"/>
        </w:rPr>
        <w:t xml:space="preserve"> </w:t>
      </w:r>
      <w:r w:rsidRPr="00343FB2">
        <w:rPr>
          <w:rFonts w:cs="Verdana"/>
          <w:spacing w:val="1"/>
          <w:lang w:val="en-US"/>
        </w:rPr>
        <w:t>i</w:t>
      </w:r>
      <w:r w:rsidRPr="00343FB2">
        <w:rPr>
          <w:rFonts w:cs="Verdana"/>
          <w:lang w:val="en-US"/>
        </w:rPr>
        <w:t>n</w:t>
      </w:r>
      <w:r w:rsidRPr="00343FB2">
        <w:rPr>
          <w:rFonts w:cs="Verdana"/>
          <w:spacing w:val="-2"/>
          <w:lang w:val="en-US"/>
        </w:rPr>
        <w:t xml:space="preserve"> </w:t>
      </w:r>
      <w:r w:rsidR="00B3070B">
        <w:rPr>
          <w:rFonts w:cs="Verdana"/>
          <w:lang w:val="en-US"/>
        </w:rPr>
        <w:t>Study X</w:t>
      </w:r>
      <w:r w:rsidRPr="00343FB2">
        <w:rPr>
          <w:rFonts w:cs="Verdana"/>
          <w:spacing w:val="1"/>
          <w:lang w:val="en-US"/>
        </w:rPr>
        <w:t>210</w:t>
      </w:r>
      <w:r w:rsidRPr="00343FB2">
        <w:rPr>
          <w:rFonts w:cs="Verdana"/>
          <w:lang w:val="en-US"/>
        </w:rPr>
        <w:t xml:space="preserve">1 </w:t>
      </w:r>
      <w:r>
        <w:rPr>
          <w:rFonts w:cs="Verdana"/>
          <w:lang w:val="en-US"/>
        </w:rPr>
        <w:t xml:space="preserve">and A2201 </w:t>
      </w:r>
      <w:r w:rsidRPr="00343FB2">
        <w:rPr>
          <w:rFonts w:cs="Verdana"/>
          <w:spacing w:val="1"/>
          <w:lang w:val="en-US"/>
        </w:rPr>
        <w:t>l</w:t>
      </w:r>
      <w:r w:rsidRPr="00343FB2">
        <w:rPr>
          <w:rFonts w:cs="Verdana"/>
          <w:lang w:val="en-US"/>
        </w:rPr>
        <w:t>ar</w:t>
      </w:r>
      <w:r w:rsidRPr="00343FB2">
        <w:rPr>
          <w:rFonts w:cs="Verdana"/>
          <w:spacing w:val="1"/>
          <w:lang w:val="en-US"/>
        </w:rPr>
        <w:t>g</w:t>
      </w:r>
      <w:r w:rsidRPr="00343FB2">
        <w:rPr>
          <w:rFonts w:cs="Verdana"/>
          <w:spacing w:val="-2"/>
          <w:lang w:val="en-US"/>
        </w:rPr>
        <w:t>e</w:t>
      </w:r>
      <w:r w:rsidRPr="00343FB2">
        <w:rPr>
          <w:rFonts w:cs="Verdana"/>
          <w:spacing w:val="1"/>
          <w:lang w:val="en-US"/>
        </w:rPr>
        <w:t>l</w:t>
      </w:r>
      <w:r w:rsidRPr="00343FB2">
        <w:rPr>
          <w:rFonts w:cs="Verdana"/>
          <w:lang w:val="en-US"/>
        </w:rPr>
        <w:t>y</w:t>
      </w:r>
      <w:r w:rsidRPr="00343FB2">
        <w:rPr>
          <w:rFonts w:cs="Verdana"/>
          <w:spacing w:val="-2"/>
          <w:lang w:val="en-US"/>
        </w:rPr>
        <w:t xml:space="preserve"> </w:t>
      </w:r>
      <w:r w:rsidRPr="00343FB2">
        <w:rPr>
          <w:rFonts w:cs="Verdana"/>
          <w:lang w:val="en-US"/>
        </w:rPr>
        <w:t>r</w:t>
      </w:r>
      <w:r w:rsidRPr="00343FB2">
        <w:rPr>
          <w:rFonts w:cs="Verdana"/>
          <w:spacing w:val="1"/>
          <w:lang w:val="en-US"/>
        </w:rPr>
        <w:t>e</w:t>
      </w:r>
      <w:r w:rsidRPr="00343FB2">
        <w:rPr>
          <w:rFonts w:cs="Verdana"/>
          <w:lang w:val="en-US"/>
        </w:rPr>
        <w:t>s</w:t>
      </w:r>
      <w:r w:rsidRPr="00343FB2">
        <w:rPr>
          <w:rFonts w:cs="Verdana"/>
          <w:spacing w:val="1"/>
          <w:lang w:val="en-US"/>
        </w:rPr>
        <w:t>e</w:t>
      </w:r>
      <w:r w:rsidRPr="00343FB2">
        <w:rPr>
          <w:rFonts w:cs="Verdana"/>
          <w:lang w:val="en-US"/>
        </w:rPr>
        <w:t>m</w:t>
      </w:r>
      <w:r w:rsidRPr="00343FB2">
        <w:rPr>
          <w:rFonts w:cs="Verdana"/>
          <w:spacing w:val="1"/>
          <w:lang w:val="en-US"/>
        </w:rPr>
        <w:t>ble</w:t>
      </w:r>
      <w:r w:rsidRPr="00343FB2">
        <w:rPr>
          <w:rFonts w:cs="Verdana"/>
          <w:lang w:val="en-US"/>
        </w:rPr>
        <w:t>s</w:t>
      </w:r>
      <w:r w:rsidRPr="00343FB2">
        <w:rPr>
          <w:rFonts w:cs="Verdana"/>
          <w:spacing w:val="-1"/>
          <w:lang w:val="en-US"/>
        </w:rPr>
        <w:t xml:space="preserve"> th</w:t>
      </w:r>
      <w:r w:rsidRPr="00343FB2">
        <w:rPr>
          <w:rFonts w:cs="Verdana"/>
          <w:lang w:val="en-US"/>
        </w:rPr>
        <w:t xml:space="preserve">e </w:t>
      </w:r>
      <w:r w:rsidRPr="00343FB2">
        <w:rPr>
          <w:rFonts w:cs="Verdana"/>
          <w:spacing w:val="1"/>
          <w:lang w:val="en-US"/>
        </w:rPr>
        <w:t>pop</w:t>
      </w:r>
      <w:r w:rsidRPr="00343FB2">
        <w:rPr>
          <w:rFonts w:cs="Verdana"/>
          <w:spacing w:val="-1"/>
          <w:lang w:val="en-US"/>
        </w:rPr>
        <w:t>u</w:t>
      </w:r>
      <w:r w:rsidRPr="00343FB2">
        <w:rPr>
          <w:rFonts w:cs="Verdana"/>
          <w:spacing w:val="1"/>
          <w:lang w:val="en-US"/>
        </w:rPr>
        <w:t>l</w:t>
      </w:r>
      <w:r w:rsidRPr="00343FB2">
        <w:rPr>
          <w:rFonts w:cs="Verdana"/>
          <w:lang w:val="en-US"/>
        </w:rPr>
        <w:t>a</w:t>
      </w:r>
      <w:r w:rsidRPr="00343FB2">
        <w:rPr>
          <w:rFonts w:cs="Verdana"/>
          <w:spacing w:val="1"/>
          <w:lang w:val="en-US"/>
        </w:rPr>
        <w:t>t</w:t>
      </w:r>
      <w:r w:rsidRPr="00343FB2">
        <w:rPr>
          <w:rFonts w:cs="Verdana"/>
          <w:spacing w:val="-1"/>
          <w:lang w:val="en-US"/>
        </w:rPr>
        <w:t>i</w:t>
      </w:r>
      <w:r w:rsidRPr="00343FB2">
        <w:rPr>
          <w:rFonts w:cs="Verdana"/>
          <w:spacing w:val="1"/>
          <w:lang w:val="en-US"/>
        </w:rPr>
        <w:t>o</w:t>
      </w:r>
      <w:r w:rsidRPr="00343FB2">
        <w:rPr>
          <w:rFonts w:cs="Verdana"/>
          <w:lang w:val="en-US"/>
        </w:rPr>
        <w:t>n</w:t>
      </w:r>
      <w:r w:rsidRPr="00343FB2">
        <w:rPr>
          <w:rFonts w:cs="Verdana"/>
          <w:spacing w:val="-2"/>
          <w:lang w:val="en-US"/>
        </w:rPr>
        <w:t xml:space="preserve"> </w:t>
      </w:r>
      <w:r w:rsidRPr="00343FB2">
        <w:rPr>
          <w:rFonts w:cs="Verdana"/>
          <w:spacing w:val="1"/>
          <w:lang w:val="en-US"/>
        </w:rPr>
        <w:t>i</w:t>
      </w:r>
      <w:r w:rsidRPr="00343FB2">
        <w:rPr>
          <w:rFonts w:cs="Verdana"/>
          <w:spacing w:val="-1"/>
          <w:lang w:val="en-US"/>
        </w:rPr>
        <w:t>n</w:t>
      </w:r>
      <w:r w:rsidRPr="00343FB2">
        <w:rPr>
          <w:rFonts w:cs="Verdana"/>
          <w:lang w:val="en-US"/>
        </w:rPr>
        <w:t>c</w:t>
      </w:r>
      <w:r w:rsidRPr="00343FB2">
        <w:rPr>
          <w:rFonts w:cs="Verdana"/>
          <w:spacing w:val="1"/>
          <w:lang w:val="en-US"/>
        </w:rPr>
        <w:t>l</w:t>
      </w:r>
      <w:r w:rsidRPr="00343FB2">
        <w:rPr>
          <w:rFonts w:cs="Verdana"/>
          <w:spacing w:val="-1"/>
          <w:lang w:val="en-US"/>
        </w:rPr>
        <w:t>u</w:t>
      </w:r>
      <w:r w:rsidRPr="00343FB2">
        <w:rPr>
          <w:rFonts w:cs="Verdana"/>
          <w:spacing w:val="1"/>
          <w:lang w:val="en-US"/>
        </w:rPr>
        <w:t>de</w:t>
      </w:r>
      <w:r w:rsidRPr="00343FB2">
        <w:rPr>
          <w:rFonts w:cs="Verdana"/>
          <w:lang w:val="en-US"/>
        </w:rPr>
        <w:t xml:space="preserve">d </w:t>
      </w:r>
      <w:r w:rsidRPr="00343FB2">
        <w:rPr>
          <w:rFonts w:cs="Verdana"/>
          <w:spacing w:val="1"/>
          <w:lang w:val="en-US"/>
        </w:rPr>
        <w:t>i</w:t>
      </w:r>
      <w:r w:rsidRPr="00343FB2">
        <w:rPr>
          <w:rFonts w:cs="Verdana"/>
          <w:lang w:val="en-US"/>
        </w:rPr>
        <w:t>n</w:t>
      </w:r>
      <w:r w:rsidRPr="00343FB2">
        <w:rPr>
          <w:rFonts w:cs="Verdana"/>
          <w:spacing w:val="-2"/>
          <w:lang w:val="en-US"/>
        </w:rPr>
        <w:t xml:space="preserve"> </w:t>
      </w:r>
      <w:r w:rsidRPr="00343FB2">
        <w:rPr>
          <w:rFonts w:cs="Verdana"/>
          <w:spacing w:val="1"/>
          <w:lang w:val="en-US"/>
        </w:rPr>
        <w:t>t</w:t>
      </w:r>
      <w:r w:rsidRPr="00343FB2">
        <w:rPr>
          <w:rFonts w:cs="Verdana"/>
          <w:spacing w:val="-1"/>
          <w:lang w:val="en-US"/>
        </w:rPr>
        <w:t>h</w:t>
      </w:r>
      <w:r w:rsidRPr="00343FB2">
        <w:rPr>
          <w:rFonts w:cs="Verdana"/>
          <w:lang w:val="en-US"/>
        </w:rPr>
        <w:t xml:space="preserve">e </w:t>
      </w:r>
      <w:r w:rsidRPr="00343FB2">
        <w:rPr>
          <w:rFonts w:cs="Verdana"/>
          <w:spacing w:val="1"/>
          <w:lang w:val="en-US"/>
        </w:rPr>
        <w:t>pi</w:t>
      </w:r>
      <w:r w:rsidRPr="00343FB2">
        <w:rPr>
          <w:rFonts w:cs="Verdana"/>
          <w:spacing w:val="-1"/>
          <w:lang w:val="en-US"/>
        </w:rPr>
        <w:t>v</w:t>
      </w:r>
      <w:r w:rsidRPr="00343FB2">
        <w:rPr>
          <w:rFonts w:cs="Verdana"/>
          <w:spacing w:val="1"/>
          <w:lang w:val="en-US"/>
        </w:rPr>
        <w:t>ot</w:t>
      </w:r>
      <w:r w:rsidRPr="00343FB2">
        <w:rPr>
          <w:rFonts w:cs="Verdana"/>
          <w:lang w:val="en-US"/>
        </w:rPr>
        <w:t>al s</w:t>
      </w:r>
      <w:r w:rsidRPr="00343FB2">
        <w:rPr>
          <w:rFonts w:cs="Verdana"/>
          <w:spacing w:val="1"/>
          <w:lang w:val="en-US"/>
        </w:rPr>
        <w:t>t</w:t>
      </w:r>
      <w:r w:rsidRPr="00343FB2">
        <w:rPr>
          <w:rFonts w:cs="Verdana"/>
          <w:spacing w:val="-1"/>
          <w:lang w:val="en-US"/>
        </w:rPr>
        <w:t>u</w:t>
      </w:r>
      <w:r w:rsidRPr="00343FB2">
        <w:rPr>
          <w:rFonts w:cs="Verdana"/>
          <w:spacing w:val="1"/>
          <w:lang w:val="en-US"/>
        </w:rPr>
        <w:t>d</w:t>
      </w:r>
      <w:r w:rsidRPr="00343FB2">
        <w:rPr>
          <w:rFonts w:cs="Verdana"/>
          <w:spacing w:val="-1"/>
          <w:lang w:val="en-US"/>
        </w:rPr>
        <w:t>i</w:t>
      </w:r>
      <w:r w:rsidRPr="00343FB2">
        <w:rPr>
          <w:rFonts w:cs="Verdana"/>
          <w:spacing w:val="1"/>
          <w:lang w:val="en-US"/>
        </w:rPr>
        <w:t>e</w:t>
      </w:r>
      <w:r w:rsidRPr="00343FB2">
        <w:rPr>
          <w:rFonts w:cs="Verdana"/>
          <w:lang w:val="en-US"/>
        </w:rPr>
        <w:t>s</w:t>
      </w:r>
      <w:r w:rsidRPr="00343FB2">
        <w:rPr>
          <w:rFonts w:cs="Verdana"/>
          <w:spacing w:val="-1"/>
          <w:lang w:val="en-US"/>
        </w:rPr>
        <w:t xml:space="preserve"> </w:t>
      </w:r>
      <w:r w:rsidRPr="00343FB2">
        <w:rPr>
          <w:rFonts w:cs="Verdana"/>
          <w:spacing w:val="1"/>
          <w:lang w:val="en-US"/>
        </w:rPr>
        <w:t>t</w:t>
      </w:r>
      <w:r w:rsidRPr="00343FB2">
        <w:rPr>
          <w:rFonts w:cs="Verdana"/>
          <w:spacing w:val="-1"/>
          <w:lang w:val="en-US"/>
        </w:rPr>
        <w:t>h</w:t>
      </w:r>
      <w:r w:rsidRPr="00343FB2">
        <w:rPr>
          <w:rFonts w:cs="Verdana"/>
          <w:lang w:val="en-US"/>
        </w:rPr>
        <w:t xml:space="preserve">at </w:t>
      </w:r>
      <w:r>
        <w:rPr>
          <w:rFonts w:cs="Verdana"/>
          <w:spacing w:val="-1"/>
          <w:lang w:val="en-US"/>
        </w:rPr>
        <w:t xml:space="preserve">supported the approval of </w:t>
      </w:r>
      <w:r w:rsidRPr="00343FB2">
        <w:rPr>
          <w:rFonts w:cs="Verdana"/>
          <w:lang w:val="en-US"/>
        </w:rPr>
        <w:t>cr</w:t>
      </w:r>
      <w:r w:rsidRPr="00343FB2">
        <w:rPr>
          <w:rFonts w:cs="Verdana"/>
          <w:spacing w:val="1"/>
          <w:lang w:val="en-US"/>
        </w:rPr>
        <w:t>i</w:t>
      </w:r>
      <w:r w:rsidRPr="00343FB2">
        <w:rPr>
          <w:rFonts w:cs="Verdana"/>
          <w:spacing w:val="-1"/>
          <w:lang w:val="en-US"/>
        </w:rPr>
        <w:t>zo</w:t>
      </w:r>
      <w:r w:rsidRPr="00343FB2">
        <w:rPr>
          <w:rFonts w:cs="Verdana"/>
          <w:spacing w:val="1"/>
          <w:lang w:val="en-US"/>
        </w:rPr>
        <w:t>ti</w:t>
      </w:r>
      <w:r w:rsidRPr="00343FB2">
        <w:rPr>
          <w:rFonts w:cs="Verdana"/>
          <w:spacing w:val="-1"/>
          <w:lang w:val="en-US"/>
        </w:rPr>
        <w:t>n</w:t>
      </w:r>
      <w:r w:rsidRPr="00343FB2">
        <w:rPr>
          <w:rFonts w:cs="Verdana"/>
          <w:spacing w:val="1"/>
          <w:lang w:val="en-US"/>
        </w:rPr>
        <w:t>i</w:t>
      </w:r>
      <w:r w:rsidRPr="00343FB2">
        <w:rPr>
          <w:rFonts w:cs="Verdana"/>
          <w:lang w:val="en-US"/>
        </w:rPr>
        <w:t>b</w:t>
      </w:r>
      <w:r w:rsidRPr="00343FB2">
        <w:rPr>
          <w:rFonts w:cs="Verdana"/>
          <w:spacing w:val="1"/>
          <w:lang w:val="en-US"/>
        </w:rPr>
        <w:t>.</w:t>
      </w:r>
    </w:p>
    <w:p w14:paraId="6A17C3CA" w14:textId="77777777" w:rsidR="00554D4D" w:rsidRDefault="00554D4D" w:rsidP="00554D4D">
      <w:pPr>
        <w:widowControl w:val="0"/>
        <w:autoSpaceDE w:val="0"/>
        <w:autoSpaceDN w:val="0"/>
        <w:adjustRightInd w:val="0"/>
        <w:ind w:left="40" w:right="61"/>
        <w:rPr>
          <w:rFonts w:cs="Verdana"/>
          <w:spacing w:val="-1"/>
          <w:lang w:val="en-US"/>
        </w:rPr>
      </w:pPr>
      <w:r>
        <w:rPr>
          <w:rFonts w:cs="Verdana"/>
          <w:lang w:val="en-US"/>
        </w:rPr>
        <w:t>It is interesting to note that the primary endpoint of</w:t>
      </w:r>
      <w:r w:rsidRPr="00343FB2">
        <w:rPr>
          <w:rFonts w:cs="Verdana"/>
          <w:spacing w:val="-1"/>
          <w:lang w:val="en-US"/>
        </w:rPr>
        <w:t xml:space="preserve"> </w:t>
      </w:r>
      <w:r w:rsidRPr="00343FB2">
        <w:rPr>
          <w:rFonts w:cs="Verdana"/>
          <w:lang w:val="en-US"/>
        </w:rPr>
        <w:t>ORR</w:t>
      </w:r>
      <w:r w:rsidRPr="00343FB2">
        <w:rPr>
          <w:rFonts w:cs="Verdana"/>
          <w:spacing w:val="-1"/>
          <w:lang w:val="en-US"/>
        </w:rPr>
        <w:t xml:space="preserve"> </w:t>
      </w:r>
      <w:r w:rsidRPr="00343FB2">
        <w:rPr>
          <w:rFonts w:cs="Verdana"/>
          <w:spacing w:val="1"/>
          <w:lang w:val="en-US"/>
        </w:rPr>
        <w:t>pe</w:t>
      </w:r>
      <w:r w:rsidRPr="00343FB2">
        <w:rPr>
          <w:rFonts w:cs="Verdana"/>
          <w:lang w:val="en-US"/>
        </w:rPr>
        <w:t>r</w:t>
      </w:r>
      <w:r w:rsidRPr="00343FB2">
        <w:rPr>
          <w:rFonts w:cs="Verdana"/>
          <w:spacing w:val="-1"/>
          <w:lang w:val="en-US"/>
        </w:rPr>
        <w:t xml:space="preserve"> </w:t>
      </w:r>
      <w:r w:rsidRPr="00343FB2">
        <w:rPr>
          <w:rFonts w:cs="Verdana"/>
          <w:spacing w:val="1"/>
          <w:lang w:val="en-US"/>
        </w:rPr>
        <w:t>i</w:t>
      </w:r>
      <w:r w:rsidRPr="00343FB2">
        <w:rPr>
          <w:rFonts w:cs="Verdana"/>
          <w:spacing w:val="-1"/>
          <w:lang w:val="en-US"/>
        </w:rPr>
        <w:t>nv</w:t>
      </w:r>
      <w:r w:rsidRPr="00343FB2">
        <w:rPr>
          <w:rFonts w:cs="Verdana"/>
          <w:spacing w:val="1"/>
          <w:lang w:val="en-US"/>
        </w:rPr>
        <w:t>e</w:t>
      </w:r>
      <w:r w:rsidRPr="00343FB2">
        <w:rPr>
          <w:rFonts w:cs="Verdana"/>
          <w:lang w:val="en-US"/>
        </w:rPr>
        <w:t>s</w:t>
      </w:r>
      <w:r w:rsidRPr="00343FB2">
        <w:rPr>
          <w:rFonts w:cs="Verdana"/>
          <w:spacing w:val="1"/>
          <w:lang w:val="en-US"/>
        </w:rPr>
        <w:t>ti</w:t>
      </w:r>
      <w:r w:rsidRPr="00343FB2">
        <w:rPr>
          <w:rFonts w:cs="Verdana"/>
          <w:spacing w:val="-1"/>
          <w:lang w:val="en-US"/>
        </w:rPr>
        <w:t>g</w:t>
      </w:r>
      <w:r w:rsidRPr="00343FB2">
        <w:rPr>
          <w:rFonts w:cs="Verdana"/>
          <w:spacing w:val="-3"/>
          <w:lang w:val="en-US"/>
        </w:rPr>
        <w:t>a</w:t>
      </w:r>
      <w:r w:rsidRPr="00343FB2">
        <w:rPr>
          <w:rFonts w:cs="Verdana"/>
          <w:spacing w:val="1"/>
          <w:lang w:val="en-US"/>
        </w:rPr>
        <w:t>to</w:t>
      </w:r>
      <w:r w:rsidRPr="00343FB2">
        <w:rPr>
          <w:rFonts w:cs="Verdana"/>
          <w:lang w:val="en-US"/>
        </w:rPr>
        <w:t>r</w:t>
      </w:r>
      <w:r w:rsidRPr="00343FB2">
        <w:rPr>
          <w:rFonts w:cs="Verdana"/>
          <w:spacing w:val="-1"/>
          <w:lang w:val="en-US"/>
        </w:rPr>
        <w:t xml:space="preserve"> </w:t>
      </w:r>
      <w:r w:rsidRPr="00343FB2">
        <w:rPr>
          <w:rFonts w:cs="Verdana"/>
          <w:lang w:val="en-US"/>
        </w:rPr>
        <w:t>s</w:t>
      </w:r>
      <w:r w:rsidRPr="00343FB2">
        <w:rPr>
          <w:rFonts w:cs="Verdana"/>
          <w:spacing w:val="-1"/>
          <w:lang w:val="en-US"/>
        </w:rPr>
        <w:t>h</w:t>
      </w:r>
      <w:r w:rsidRPr="00343FB2">
        <w:rPr>
          <w:rFonts w:cs="Verdana"/>
          <w:spacing w:val="1"/>
          <w:lang w:val="en-US"/>
        </w:rPr>
        <w:t>o</w:t>
      </w:r>
      <w:r w:rsidRPr="00343FB2">
        <w:rPr>
          <w:rFonts w:cs="Verdana"/>
          <w:lang w:val="en-US"/>
        </w:rPr>
        <w:t>w</w:t>
      </w:r>
      <w:r>
        <w:rPr>
          <w:rFonts w:cs="Verdana"/>
          <w:lang w:val="en-US"/>
        </w:rPr>
        <w:t>ed</w:t>
      </w:r>
      <w:r w:rsidRPr="00343FB2">
        <w:rPr>
          <w:rFonts w:cs="Verdana"/>
          <w:spacing w:val="-2"/>
          <w:lang w:val="en-US"/>
        </w:rPr>
        <w:t xml:space="preserve"> </w:t>
      </w:r>
      <w:r w:rsidRPr="00343FB2">
        <w:rPr>
          <w:rFonts w:cs="Verdana"/>
          <w:spacing w:val="1"/>
          <w:lang w:val="en-US"/>
        </w:rPr>
        <w:t>le</w:t>
      </w:r>
      <w:r w:rsidRPr="00343FB2">
        <w:rPr>
          <w:rFonts w:cs="Verdana"/>
          <w:lang w:val="en-US"/>
        </w:rPr>
        <w:t>ss</w:t>
      </w:r>
      <w:r w:rsidRPr="00343FB2">
        <w:rPr>
          <w:rFonts w:cs="Verdana"/>
          <w:spacing w:val="-1"/>
          <w:lang w:val="en-US"/>
        </w:rPr>
        <w:t xml:space="preserve"> </w:t>
      </w:r>
      <w:r w:rsidRPr="00343FB2">
        <w:rPr>
          <w:rFonts w:cs="Verdana"/>
          <w:lang w:val="en-US"/>
        </w:rPr>
        <w:t>ma</w:t>
      </w:r>
      <w:r w:rsidRPr="00343FB2">
        <w:rPr>
          <w:rFonts w:cs="Verdana"/>
          <w:spacing w:val="1"/>
          <w:lang w:val="en-US"/>
        </w:rPr>
        <w:t>g</w:t>
      </w:r>
      <w:r w:rsidRPr="00343FB2">
        <w:rPr>
          <w:rFonts w:cs="Verdana"/>
          <w:spacing w:val="-1"/>
          <w:lang w:val="en-US"/>
        </w:rPr>
        <w:t>n</w:t>
      </w:r>
      <w:r w:rsidRPr="00343FB2">
        <w:rPr>
          <w:rFonts w:cs="Verdana"/>
          <w:spacing w:val="1"/>
          <w:lang w:val="en-US"/>
        </w:rPr>
        <w:t>it</w:t>
      </w:r>
      <w:r w:rsidRPr="00343FB2">
        <w:rPr>
          <w:rFonts w:cs="Verdana"/>
          <w:spacing w:val="-1"/>
          <w:lang w:val="en-US"/>
        </w:rPr>
        <w:t>u</w:t>
      </w:r>
      <w:r w:rsidRPr="00343FB2">
        <w:rPr>
          <w:rFonts w:cs="Verdana"/>
          <w:spacing w:val="1"/>
          <w:lang w:val="en-US"/>
        </w:rPr>
        <w:t>d</w:t>
      </w:r>
      <w:r w:rsidRPr="00343FB2">
        <w:rPr>
          <w:rFonts w:cs="Verdana"/>
          <w:lang w:val="en-US"/>
        </w:rPr>
        <w:t xml:space="preserve">e </w:t>
      </w:r>
      <w:r w:rsidRPr="00343FB2">
        <w:rPr>
          <w:rFonts w:cs="Verdana"/>
          <w:spacing w:val="1"/>
          <w:lang w:val="en-US"/>
        </w:rPr>
        <w:t>o</w:t>
      </w:r>
      <w:r w:rsidRPr="00343FB2">
        <w:rPr>
          <w:rFonts w:cs="Verdana"/>
          <w:lang w:val="en-US"/>
        </w:rPr>
        <w:t>f</w:t>
      </w:r>
      <w:r w:rsidRPr="00343FB2">
        <w:rPr>
          <w:rFonts w:cs="Verdana"/>
          <w:spacing w:val="-2"/>
          <w:lang w:val="en-US"/>
        </w:rPr>
        <w:t xml:space="preserve"> </w:t>
      </w:r>
      <w:r w:rsidRPr="00343FB2">
        <w:rPr>
          <w:rFonts w:cs="Verdana"/>
          <w:spacing w:val="1"/>
          <w:lang w:val="en-US"/>
        </w:rPr>
        <w:t>e</w:t>
      </w:r>
      <w:r w:rsidRPr="00343FB2">
        <w:rPr>
          <w:rFonts w:cs="Verdana"/>
          <w:spacing w:val="-1"/>
          <w:lang w:val="en-US"/>
        </w:rPr>
        <w:t>ff</w:t>
      </w:r>
      <w:r w:rsidRPr="00343FB2">
        <w:rPr>
          <w:rFonts w:cs="Verdana"/>
          <w:spacing w:val="1"/>
          <w:lang w:val="en-US"/>
        </w:rPr>
        <w:t>e</w:t>
      </w:r>
      <w:r w:rsidRPr="00343FB2">
        <w:rPr>
          <w:rFonts w:cs="Verdana"/>
          <w:lang w:val="en-US"/>
        </w:rPr>
        <w:t xml:space="preserve">ct </w:t>
      </w:r>
      <w:r w:rsidRPr="00343FB2">
        <w:rPr>
          <w:rFonts w:cs="Verdana"/>
          <w:spacing w:val="1"/>
          <w:lang w:val="en-US"/>
        </w:rPr>
        <w:t>i</w:t>
      </w:r>
      <w:r w:rsidRPr="00343FB2">
        <w:rPr>
          <w:rFonts w:cs="Verdana"/>
          <w:lang w:val="en-US"/>
        </w:rPr>
        <w:t>n</w:t>
      </w:r>
      <w:r w:rsidRPr="00343FB2">
        <w:rPr>
          <w:rFonts w:cs="Verdana"/>
          <w:spacing w:val="-2"/>
          <w:lang w:val="en-US"/>
        </w:rPr>
        <w:t xml:space="preserve"> </w:t>
      </w:r>
      <w:r w:rsidRPr="00343FB2">
        <w:rPr>
          <w:rFonts w:cs="Verdana"/>
          <w:spacing w:val="1"/>
          <w:lang w:val="en-US"/>
        </w:rPr>
        <w:t>t</w:t>
      </w:r>
      <w:r w:rsidRPr="00343FB2">
        <w:rPr>
          <w:rFonts w:cs="Verdana"/>
          <w:spacing w:val="-1"/>
          <w:lang w:val="en-US"/>
        </w:rPr>
        <w:t>h</w:t>
      </w:r>
      <w:r w:rsidRPr="00343FB2">
        <w:rPr>
          <w:rFonts w:cs="Verdana"/>
          <w:lang w:val="en-US"/>
        </w:rPr>
        <w:t xml:space="preserve">e </w:t>
      </w:r>
      <w:r w:rsidR="00B3070B">
        <w:rPr>
          <w:rFonts w:cs="Verdana"/>
          <w:spacing w:val="1"/>
          <w:lang w:val="en-US"/>
        </w:rPr>
        <w:t>Phase I</w:t>
      </w:r>
      <w:r w:rsidRPr="00343FB2">
        <w:rPr>
          <w:rFonts w:cs="Verdana"/>
          <w:lang w:val="en-US"/>
        </w:rPr>
        <w:t>I</w:t>
      </w:r>
      <w:r w:rsidRPr="00343FB2">
        <w:rPr>
          <w:rFonts w:cs="Verdana"/>
          <w:spacing w:val="-2"/>
          <w:lang w:val="en-US"/>
        </w:rPr>
        <w:t xml:space="preserve"> </w:t>
      </w:r>
      <w:r w:rsidRPr="00343FB2">
        <w:rPr>
          <w:rFonts w:cs="Verdana"/>
          <w:lang w:val="en-US"/>
        </w:rPr>
        <w:t>s</w:t>
      </w:r>
      <w:r w:rsidRPr="00343FB2">
        <w:rPr>
          <w:rFonts w:cs="Verdana"/>
          <w:spacing w:val="1"/>
          <w:lang w:val="en-US"/>
        </w:rPr>
        <w:t>t</w:t>
      </w:r>
      <w:r w:rsidRPr="00343FB2">
        <w:rPr>
          <w:rFonts w:cs="Verdana"/>
          <w:spacing w:val="-1"/>
          <w:lang w:val="en-US"/>
        </w:rPr>
        <w:t>u</w:t>
      </w:r>
      <w:r>
        <w:rPr>
          <w:rFonts w:cs="Verdana"/>
          <w:spacing w:val="1"/>
          <w:lang w:val="en-US"/>
        </w:rPr>
        <w:t>dy of A2201</w:t>
      </w:r>
      <w:r w:rsidRPr="00343FB2">
        <w:rPr>
          <w:rFonts w:cs="Verdana"/>
          <w:spacing w:val="-1"/>
          <w:lang w:val="en-US"/>
        </w:rPr>
        <w:t xml:space="preserve"> </w:t>
      </w:r>
      <w:r>
        <w:rPr>
          <w:rFonts w:cs="Verdana"/>
          <w:spacing w:val="-1"/>
          <w:lang w:val="en-US"/>
        </w:rPr>
        <w:t xml:space="preserve">(37.1%) </w:t>
      </w:r>
      <w:r w:rsidRPr="00343FB2">
        <w:rPr>
          <w:rFonts w:cs="Verdana"/>
          <w:spacing w:val="1"/>
          <w:lang w:val="en-US"/>
        </w:rPr>
        <w:t>t</w:t>
      </w:r>
      <w:r w:rsidRPr="00343FB2">
        <w:rPr>
          <w:rFonts w:cs="Verdana"/>
          <w:spacing w:val="-1"/>
          <w:lang w:val="en-US"/>
        </w:rPr>
        <w:t>h</w:t>
      </w:r>
      <w:r w:rsidRPr="00343FB2">
        <w:rPr>
          <w:rFonts w:cs="Verdana"/>
          <w:lang w:val="en-US"/>
        </w:rPr>
        <w:t>an</w:t>
      </w:r>
      <w:r w:rsidRPr="00343FB2">
        <w:rPr>
          <w:rFonts w:cs="Verdana"/>
          <w:spacing w:val="-2"/>
          <w:lang w:val="en-US"/>
        </w:rPr>
        <w:t xml:space="preserve"> </w:t>
      </w:r>
      <w:r w:rsidRPr="00343FB2">
        <w:rPr>
          <w:rFonts w:cs="Verdana"/>
          <w:spacing w:val="1"/>
          <w:lang w:val="en-US"/>
        </w:rPr>
        <w:t>i</w:t>
      </w:r>
      <w:r w:rsidRPr="00343FB2">
        <w:rPr>
          <w:rFonts w:cs="Verdana"/>
          <w:lang w:val="en-US"/>
        </w:rPr>
        <w:t xml:space="preserve">n </w:t>
      </w:r>
      <w:r w:rsidRPr="00343FB2">
        <w:rPr>
          <w:rFonts w:cs="Verdana"/>
          <w:spacing w:val="1"/>
          <w:lang w:val="en-US"/>
        </w:rPr>
        <w:t>t</w:t>
      </w:r>
      <w:r w:rsidRPr="00343FB2">
        <w:rPr>
          <w:rFonts w:cs="Verdana"/>
          <w:spacing w:val="-1"/>
          <w:lang w:val="en-US"/>
        </w:rPr>
        <w:t>h</w:t>
      </w:r>
      <w:r w:rsidRPr="00343FB2">
        <w:rPr>
          <w:rFonts w:cs="Verdana"/>
          <w:lang w:val="en-US"/>
        </w:rPr>
        <w:t xml:space="preserve">e </w:t>
      </w:r>
      <w:r w:rsidR="00B3070B">
        <w:rPr>
          <w:rFonts w:cs="Verdana"/>
          <w:spacing w:val="1"/>
          <w:lang w:val="en-US"/>
        </w:rPr>
        <w:t>Phase I</w:t>
      </w:r>
      <w:r w:rsidRPr="00343FB2">
        <w:rPr>
          <w:rFonts w:cs="Verdana"/>
          <w:lang w:val="en-US"/>
        </w:rPr>
        <w:t xml:space="preserve"> s</w:t>
      </w:r>
      <w:r w:rsidRPr="00343FB2">
        <w:rPr>
          <w:rFonts w:cs="Verdana"/>
          <w:spacing w:val="1"/>
          <w:lang w:val="en-US"/>
        </w:rPr>
        <w:t>t</w:t>
      </w:r>
      <w:r w:rsidRPr="00343FB2">
        <w:rPr>
          <w:rFonts w:cs="Verdana"/>
          <w:spacing w:val="-1"/>
          <w:lang w:val="en-US"/>
        </w:rPr>
        <w:t>u</w:t>
      </w:r>
      <w:r w:rsidRPr="00343FB2">
        <w:rPr>
          <w:rFonts w:cs="Verdana"/>
          <w:spacing w:val="1"/>
          <w:lang w:val="en-US"/>
        </w:rPr>
        <w:t>d</w:t>
      </w:r>
      <w:r w:rsidRPr="00343FB2">
        <w:rPr>
          <w:rFonts w:cs="Verdana"/>
          <w:spacing w:val="-1"/>
          <w:lang w:val="en-US"/>
        </w:rPr>
        <w:t>y</w:t>
      </w:r>
      <w:r>
        <w:rPr>
          <w:rFonts w:cs="Verdana"/>
          <w:spacing w:val="-1"/>
          <w:lang w:val="en-US"/>
        </w:rPr>
        <w:t xml:space="preserve"> of X2101 (55.4%) in ALK inhibitor-treated NSCLC patients</w:t>
      </w:r>
      <w:r w:rsidRPr="00343FB2">
        <w:rPr>
          <w:rFonts w:cs="Verdana"/>
          <w:lang w:val="en-US"/>
        </w:rPr>
        <w:t>.</w:t>
      </w:r>
      <w:r w:rsidRPr="00343FB2">
        <w:rPr>
          <w:rFonts w:cs="Verdana"/>
          <w:spacing w:val="-1"/>
          <w:lang w:val="en-US"/>
        </w:rPr>
        <w:t xml:space="preserve"> </w:t>
      </w:r>
      <w:r w:rsidRPr="00343FB2">
        <w:rPr>
          <w:rFonts w:cs="Verdana"/>
          <w:spacing w:val="2"/>
          <w:lang w:val="en-US"/>
        </w:rPr>
        <w:t>S</w:t>
      </w:r>
      <w:r w:rsidRPr="00343FB2">
        <w:rPr>
          <w:rFonts w:cs="Verdana"/>
          <w:spacing w:val="-1"/>
          <w:lang w:val="en-US"/>
        </w:rPr>
        <w:t>u</w:t>
      </w:r>
      <w:r w:rsidRPr="00343FB2">
        <w:rPr>
          <w:rFonts w:cs="Verdana"/>
          <w:spacing w:val="1"/>
          <w:lang w:val="en-US"/>
        </w:rPr>
        <w:t>ppo</w:t>
      </w:r>
      <w:r w:rsidRPr="00343FB2">
        <w:rPr>
          <w:rFonts w:cs="Verdana"/>
          <w:lang w:val="en-US"/>
        </w:rPr>
        <w:t>r</w:t>
      </w:r>
      <w:r w:rsidRPr="00343FB2">
        <w:rPr>
          <w:rFonts w:cs="Verdana"/>
          <w:spacing w:val="1"/>
          <w:lang w:val="en-US"/>
        </w:rPr>
        <w:t>ti</w:t>
      </w:r>
      <w:r w:rsidRPr="00343FB2">
        <w:rPr>
          <w:rFonts w:cs="Verdana"/>
          <w:spacing w:val="-1"/>
          <w:lang w:val="en-US"/>
        </w:rPr>
        <w:t>v</w:t>
      </w:r>
      <w:r w:rsidRPr="00343FB2">
        <w:rPr>
          <w:rFonts w:cs="Verdana"/>
          <w:lang w:val="en-US"/>
        </w:rPr>
        <w:t xml:space="preserve">e </w:t>
      </w:r>
      <w:r w:rsidRPr="00343FB2">
        <w:rPr>
          <w:rFonts w:cs="Verdana"/>
          <w:spacing w:val="-1"/>
          <w:lang w:val="en-US"/>
        </w:rPr>
        <w:t>P</w:t>
      </w:r>
      <w:r w:rsidRPr="00343FB2">
        <w:rPr>
          <w:rFonts w:cs="Verdana"/>
          <w:lang w:val="en-US"/>
        </w:rPr>
        <w:t>FS</w:t>
      </w:r>
      <w:r w:rsidRPr="00343FB2">
        <w:rPr>
          <w:rFonts w:cs="Verdana"/>
          <w:spacing w:val="-1"/>
          <w:lang w:val="en-US"/>
        </w:rPr>
        <w:t xml:space="preserve"> </w:t>
      </w:r>
      <w:r w:rsidRPr="00343FB2">
        <w:rPr>
          <w:rFonts w:cs="Verdana"/>
          <w:spacing w:val="1"/>
          <w:lang w:val="en-US"/>
        </w:rPr>
        <w:t>e</w:t>
      </w:r>
      <w:r w:rsidRPr="00343FB2">
        <w:rPr>
          <w:rFonts w:cs="Verdana"/>
          <w:spacing w:val="-1"/>
          <w:lang w:val="en-US"/>
        </w:rPr>
        <w:t>n</w:t>
      </w:r>
      <w:r w:rsidRPr="00343FB2">
        <w:rPr>
          <w:rFonts w:cs="Verdana"/>
          <w:spacing w:val="1"/>
          <w:lang w:val="en-US"/>
        </w:rPr>
        <w:t>dpoi</w:t>
      </w:r>
      <w:r w:rsidRPr="00343FB2">
        <w:rPr>
          <w:rFonts w:cs="Verdana"/>
          <w:spacing w:val="-1"/>
          <w:lang w:val="en-US"/>
        </w:rPr>
        <w:t>n</w:t>
      </w:r>
      <w:r w:rsidRPr="00343FB2">
        <w:rPr>
          <w:rFonts w:cs="Verdana"/>
          <w:spacing w:val="1"/>
          <w:lang w:val="en-US"/>
        </w:rPr>
        <w:t>t</w:t>
      </w:r>
      <w:r w:rsidRPr="00343FB2">
        <w:rPr>
          <w:rFonts w:cs="Verdana"/>
          <w:spacing w:val="-1"/>
          <w:lang w:val="en-US"/>
        </w:rPr>
        <w:t xml:space="preserve"> </w:t>
      </w:r>
      <w:r>
        <w:rPr>
          <w:rFonts w:cs="Verdana"/>
          <w:spacing w:val="-1"/>
          <w:lang w:val="en-US"/>
        </w:rPr>
        <w:t xml:space="preserve">also </w:t>
      </w:r>
      <w:r w:rsidRPr="00343FB2">
        <w:rPr>
          <w:rFonts w:cs="Verdana"/>
          <w:lang w:val="en-US"/>
        </w:rPr>
        <w:t>s</w:t>
      </w:r>
      <w:r w:rsidRPr="00343FB2">
        <w:rPr>
          <w:rFonts w:cs="Verdana"/>
          <w:spacing w:val="-1"/>
          <w:lang w:val="en-US"/>
        </w:rPr>
        <w:t>h</w:t>
      </w:r>
      <w:r w:rsidRPr="00343FB2">
        <w:rPr>
          <w:rFonts w:cs="Verdana"/>
          <w:spacing w:val="1"/>
          <w:lang w:val="en-US"/>
        </w:rPr>
        <w:t>o</w:t>
      </w:r>
      <w:r w:rsidRPr="00343FB2">
        <w:rPr>
          <w:rFonts w:cs="Verdana"/>
          <w:lang w:val="en-US"/>
        </w:rPr>
        <w:t>w</w:t>
      </w:r>
      <w:r>
        <w:rPr>
          <w:rFonts w:cs="Verdana"/>
          <w:lang w:val="en-US"/>
        </w:rPr>
        <w:t>ed</w:t>
      </w:r>
      <w:r w:rsidRPr="00343FB2">
        <w:rPr>
          <w:rFonts w:cs="Verdana"/>
          <w:spacing w:val="-2"/>
          <w:lang w:val="en-US"/>
        </w:rPr>
        <w:t xml:space="preserve"> </w:t>
      </w:r>
      <w:r w:rsidRPr="00343FB2">
        <w:rPr>
          <w:rFonts w:cs="Verdana"/>
          <w:spacing w:val="1"/>
          <w:lang w:val="en-US"/>
        </w:rPr>
        <w:t>t</w:t>
      </w:r>
      <w:r w:rsidRPr="00343FB2">
        <w:rPr>
          <w:rFonts w:cs="Verdana"/>
          <w:spacing w:val="-1"/>
          <w:lang w:val="en-US"/>
        </w:rPr>
        <w:t>h</w:t>
      </w:r>
      <w:r w:rsidRPr="00343FB2">
        <w:rPr>
          <w:rFonts w:cs="Verdana"/>
          <w:lang w:val="en-US"/>
        </w:rPr>
        <w:t>e s</w:t>
      </w:r>
      <w:r w:rsidRPr="00343FB2">
        <w:rPr>
          <w:rFonts w:cs="Verdana"/>
          <w:spacing w:val="2"/>
          <w:lang w:val="en-US"/>
        </w:rPr>
        <w:t>a</w:t>
      </w:r>
      <w:r w:rsidRPr="00343FB2">
        <w:rPr>
          <w:rFonts w:cs="Verdana"/>
          <w:lang w:val="en-US"/>
        </w:rPr>
        <w:t xml:space="preserve">me </w:t>
      </w:r>
      <w:r w:rsidRPr="00343FB2">
        <w:rPr>
          <w:rFonts w:cs="Verdana"/>
          <w:spacing w:val="1"/>
          <w:lang w:val="en-US"/>
        </w:rPr>
        <w:t>t</w:t>
      </w:r>
      <w:r w:rsidRPr="00343FB2">
        <w:rPr>
          <w:rFonts w:cs="Verdana"/>
          <w:lang w:val="en-US"/>
        </w:rPr>
        <w:t>r</w:t>
      </w:r>
      <w:r w:rsidRPr="00343FB2">
        <w:rPr>
          <w:rFonts w:cs="Verdana"/>
          <w:spacing w:val="1"/>
          <w:lang w:val="en-US"/>
        </w:rPr>
        <w:t>e</w:t>
      </w:r>
      <w:r w:rsidRPr="00343FB2">
        <w:rPr>
          <w:rFonts w:cs="Verdana"/>
          <w:spacing w:val="-1"/>
          <w:lang w:val="en-US"/>
        </w:rPr>
        <w:t>n</w:t>
      </w:r>
      <w:r w:rsidRPr="00343FB2">
        <w:rPr>
          <w:rFonts w:cs="Verdana"/>
          <w:spacing w:val="1"/>
          <w:lang w:val="en-US"/>
        </w:rPr>
        <w:t>d</w:t>
      </w:r>
      <w:r w:rsidRPr="00343FB2">
        <w:rPr>
          <w:rFonts w:cs="Verdana"/>
          <w:lang w:val="en-US"/>
        </w:rPr>
        <w:t>.</w:t>
      </w:r>
      <w:r w:rsidR="000E3918">
        <w:rPr>
          <w:rFonts w:cs="Verdana"/>
          <w:spacing w:val="-1"/>
          <w:lang w:val="en-US"/>
        </w:rPr>
        <w:t xml:space="preserve"> </w:t>
      </w:r>
      <w:r>
        <w:rPr>
          <w:rFonts w:cs="Verdana"/>
          <w:spacing w:val="-1"/>
          <w:lang w:val="en-US"/>
        </w:rPr>
        <w:t>However, patients in both studies appeared to have a similar clinical benefit. The DCR was similarly high in both studies (77.1% in Study A2201 and 74.2% in Study X2101). The differences in the ORR in the two studies may be explained by several factors, including a higher rate of baseline brain metastases (71.4% in A2201</w:t>
      </w:r>
      <w:r w:rsidR="002E3E15">
        <w:rPr>
          <w:rFonts w:cs="Verdana"/>
          <w:spacing w:val="-1"/>
          <w:lang w:val="en-US"/>
        </w:rPr>
        <w:t xml:space="preserve"> versus</w:t>
      </w:r>
      <w:r>
        <w:rPr>
          <w:rFonts w:cs="Verdana"/>
          <w:spacing w:val="-1"/>
          <w:lang w:val="en-US"/>
        </w:rPr>
        <w:t xml:space="preserve"> 60.1% in X2101) and more advanced disease in Study A2201 than in Study X2101 (median time from diagnosis to first dose of ceritinib of 26.2 months in Study A2201</w:t>
      </w:r>
      <w:r w:rsidR="002E3E15">
        <w:rPr>
          <w:rFonts w:cs="Verdana"/>
          <w:spacing w:val="-1"/>
          <w:lang w:val="en-US"/>
        </w:rPr>
        <w:t xml:space="preserve"> versus</w:t>
      </w:r>
      <w:r>
        <w:rPr>
          <w:rFonts w:cs="Verdana"/>
          <w:spacing w:val="-1"/>
          <w:lang w:val="en-US"/>
        </w:rPr>
        <w:t xml:space="preserve"> 21.2 months in Study X2101). In addition, different RECIST criteria were used to evaluate ORR in the two studies (RECIST 1.0 in Study X2101</w:t>
      </w:r>
      <w:r w:rsidR="002E3E15">
        <w:rPr>
          <w:rFonts w:cs="Verdana"/>
          <w:spacing w:val="-1"/>
          <w:lang w:val="en-US"/>
        </w:rPr>
        <w:t xml:space="preserve"> versus</w:t>
      </w:r>
      <w:r>
        <w:rPr>
          <w:rFonts w:cs="Verdana"/>
          <w:spacing w:val="-1"/>
          <w:lang w:val="en-US"/>
        </w:rPr>
        <w:t xml:space="preserve"> RECIST 1.1 in Study A2201), making direct comparison inaccurate.</w:t>
      </w:r>
    </w:p>
    <w:p w14:paraId="2CBF068F" w14:textId="77777777" w:rsidR="00554D4D" w:rsidRDefault="00554D4D" w:rsidP="00554D4D">
      <w:pPr>
        <w:widowControl w:val="0"/>
        <w:autoSpaceDE w:val="0"/>
        <w:autoSpaceDN w:val="0"/>
        <w:adjustRightInd w:val="0"/>
        <w:spacing w:before="9"/>
        <w:rPr>
          <w:rFonts w:cs="Verdana"/>
          <w:lang w:val="en-US"/>
        </w:rPr>
      </w:pPr>
      <w:r>
        <w:t xml:space="preserve">While investigator determined </w:t>
      </w:r>
      <w:r w:rsidR="002E3E15" w:rsidRPr="002E3E15">
        <w:t xml:space="preserve">best overall response </w:t>
      </w:r>
      <w:r w:rsidR="002E3E15">
        <w:t>(BOR)</w:t>
      </w:r>
      <w:r>
        <w:t xml:space="preserve"> is subject to bias and therefore questionable as the primary endpoint, the supportive analyses in Study A2201 suggested that overall efficacy results were similar between investigator versus BIRC assessments including ORR, DOR and PFS. </w:t>
      </w:r>
    </w:p>
    <w:p w14:paraId="376B5E30" w14:textId="77777777" w:rsidR="00554D4D" w:rsidRPr="00343FB2" w:rsidRDefault="00554D4D" w:rsidP="00554D4D">
      <w:pPr>
        <w:widowControl w:val="0"/>
        <w:autoSpaceDE w:val="0"/>
        <w:autoSpaceDN w:val="0"/>
        <w:adjustRightInd w:val="0"/>
        <w:ind w:left="40" w:right="48"/>
        <w:rPr>
          <w:rFonts w:cs="Verdana"/>
          <w:lang w:val="en-US"/>
        </w:rPr>
      </w:pPr>
      <w:r w:rsidRPr="00343FB2">
        <w:rPr>
          <w:rFonts w:cs="Verdana"/>
          <w:spacing w:val="-1"/>
          <w:lang w:val="en-US"/>
        </w:rPr>
        <w:t>I</w:t>
      </w:r>
      <w:r w:rsidRPr="00343FB2">
        <w:rPr>
          <w:rFonts w:cs="Verdana"/>
          <w:lang w:val="en-US"/>
        </w:rPr>
        <w:t>n</w:t>
      </w:r>
      <w:r w:rsidRPr="00343FB2">
        <w:rPr>
          <w:rFonts w:cs="Verdana"/>
          <w:spacing w:val="-2"/>
          <w:lang w:val="en-US"/>
        </w:rPr>
        <w:t xml:space="preserve"> </w:t>
      </w:r>
      <w:r w:rsidRPr="00343FB2">
        <w:rPr>
          <w:rFonts w:cs="Verdana"/>
          <w:lang w:val="en-US"/>
        </w:rPr>
        <w:t>c</w:t>
      </w:r>
      <w:r w:rsidRPr="00343FB2">
        <w:rPr>
          <w:rFonts w:cs="Verdana"/>
          <w:spacing w:val="1"/>
          <w:lang w:val="en-US"/>
        </w:rPr>
        <w:t>on</w:t>
      </w:r>
      <w:r w:rsidRPr="00343FB2">
        <w:rPr>
          <w:rFonts w:cs="Verdana"/>
          <w:lang w:val="en-US"/>
        </w:rPr>
        <w:t>c</w:t>
      </w:r>
      <w:r w:rsidRPr="00343FB2">
        <w:rPr>
          <w:rFonts w:cs="Verdana"/>
          <w:spacing w:val="1"/>
          <w:lang w:val="en-US"/>
        </w:rPr>
        <w:t>l</w:t>
      </w:r>
      <w:r w:rsidRPr="00343FB2">
        <w:rPr>
          <w:rFonts w:cs="Verdana"/>
          <w:spacing w:val="-1"/>
          <w:lang w:val="en-US"/>
        </w:rPr>
        <w:t>u</w:t>
      </w:r>
      <w:r w:rsidRPr="00343FB2">
        <w:rPr>
          <w:rFonts w:cs="Verdana"/>
          <w:lang w:val="en-US"/>
        </w:rPr>
        <w:t>s</w:t>
      </w:r>
      <w:r w:rsidRPr="00343FB2">
        <w:rPr>
          <w:rFonts w:cs="Verdana"/>
          <w:spacing w:val="1"/>
          <w:lang w:val="en-US"/>
        </w:rPr>
        <w:t>io</w:t>
      </w:r>
      <w:r w:rsidRPr="00343FB2">
        <w:rPr>
          <w:rFonts w:cs="Verdana"/>
          <w:spacing w:val="-1"/>
          <w:lang w:val="en-US"/>
        </w:rPr>
        <w:t>n</w:t>
      </w:r>
      <w:r w:rsidRPr="00343FB2">
        <w:rPr>
          <w:rFonts w:cs="Verdana"/>
          <w:lang w:val="en-US"/>
        </w:rPr>
        <w:t>,</w:t>
      </w:r>
      <w:r w:rsidRPr="00343FB2">
        <w:rPr>
          <w:rFonts w:cs="Verdana"/>
          <w:spacing w:val="-1"/>
          <w:lang w:val="en-US"/>
        </w:rPr>
        <w:t xml:space="preserve"> </w:t>
      </w:r>
      <w:r w:rsidRPr="00343FB2">
        <w:rPr>
          <w:rFonts w:cs="Verdana"/>
          <w:spacing w:val="1"/>
          <w:lang w:val="en-US"/>
        </w:rPr>
        <w:t>t</w:t>
      </w:r>
      <w:r w:rsidRPr="00343FB2">
        <w:rPr>
          <w:rFonts w:cs="Verdana"/>
          <w:spacing w:val="-1"/>
          <w:lang w:val="en-US"/>
        </w:rPr>
        <w:t>h</w:t>
      </w:r>
      <w:r w:rsidRPr="00343FB2">
        <w:rPr>
          <w:rFonts w:cs="Verdana"/>
          <w:lang w:val="en-US"/>
        </w:rPr>
        <w:t xml:space="preserve">e </w:t>
      </w:r>
      <w:r>
        <w:rPr>
          <w:rFonts w:cs="Verdana"/>
          <w:lang w:val="en-US"/>
        </w:rPr>
        <w:t xml:space="preserve">overall </w:t>
      </w:r>
      <w:r w:rsidRPr="00343FB2">
        <w:rPr>
          <w:rFonts w:cs="Verdana"/>
          <w:spacing w:val="1"/>
          <w:lang w:val="en-US"/>
        </w:rPr>
        <w:t>e</w:t>
      </w:r>
      <w:r w:rsidRPr="00343FB2">
        <w:rPr>
          <w:rFonts w:cs="Verdana"/>
          <w:spacing w:val="-1"/>
          <w:lang w:val="en-US"/>
        </w:rPr>
        <w:t>ff</w:t>
      </w:r>
      <w:r w:rsidRPr="00343FB2">
        <w:rPr>
          <w:rFonts w:cs="Verdana"/>
          <w:spacing w:val="1"/>
          <w:lang w:val="en-US"/>
        </w:rPr>
        <w:t>i</w:t>
      </w:r>
      <w:r w:rsidRPr="00343FB2">
        <w:rPr>
          <w:rFonts w:cs="Verdana"/>
          <w:lang w:val="en-US"/>
        </w:rPr>
        <w:t>ca</w:t>
      </w:r>
      <w:r w:rsidRPr="00343FB2">
        <w:rPr>
          <w:rFonts w:cs="Verdana"/>
          <w:spacing w:val="2"/>
          <w:lang w:val="en-US"/>
        </w:rPr>
        <w:t>c</w:t>
      </w:r>
      <w:r w:rsidRPr="00343FB2">
        <w:rPr>
          <w:rFonts w:cs="Verdana"/>
          <w:lang w:val="en-US"/>
        </w:rPr>
        <w:t>y</w:t>
      </w:r>
      <w:r w:rsidRPr="00343FB2">
        <w:rPr>
          <w:rFonts w:cs="Verdana"/>
          <w:spacing w:val="1"/>
          <w:lang w:val="en-US"/>
        </w:rPr>
        <w:t xml:space="preserve"> o</w:t>
      </w:r>
      <w:r w:rsidRPr="00343FB2">
        <w:rPr>
          <w:rFonts w:cs="Verdana"/>
          <w:lang w:val="en-US"/>
        </w:rPr>
        <w:t>f</w:t>
      </w:r>
      <w:r w:rsidRPr="00343FB2">
        <w:rPr>
          <w:rFonts w:cs="Verdana"/>
          <w:spacing w:val="-2"/>
          <w:lang w:val="en-US"/>
        </w:rPr>
        <w:t xml:space="preserve"> </w:t>
      </w:r>
      <w:r w:rsidRPr="00343FB2">
        <w:rPr>
          <w:rFonts w:cs="Verdana"/>
          <w:lang w:val="en-US"/>
        </w:rPr>
        <w:t>c</w:t>
      </w:r>
      <w:r w:rsidRPr="00343FB2">
        <w:rPr>
          <w:rFonts w:cs="Verdana"/>
          <w:spacing w:val="1"/>
          <w:lang w:val="en-US"/>
        </w:rPr>
        <w:t>e</w:t>
      </w:r>
      <w:r w:rsidRPr="00343FB2">
        <w:rPr>
          <w:rFonts w:cs="Verdana"/>
          <w:lang w:val="en-US"/>
        </w:rPr>
        <w:t>r</w:t>
      </w:r>
      <w:r w:rsidRPr="00343FB2">
        <w:rPr>
          <w:rFonts w:cs="Verdana"/>
          <w:spacing w:val="1"/>
          <w:lang w:val="en-US"/>
        </w:rPr>
        <w:t>iti</w:t>
      </w:r>
      <w:r w:rsidRPr="00343FB2">
        <w:rPr>
          <w:rFonts w:cs="Verdana"/>
          <w:spacing w:val="-1"/>
          <w:lang w:val="en-US"/>
        </w:rPr>
        <w:t>n</w:t>
      </w:r>
      <w:r w:rsidRPr="00343FB2">
        <w:rPr>
          <w:rFonts w:cs="Verdana"/>
          <w:spacing w:val="1"/>
          <w:lang w:val="en-US"/>
        </w:rPr>
        <w:t>i</w:t>
      </w:r>
      <w:r w:rsidRPr="00343FB2">
        <w:rPr>
          <w:rFonts w:cs="Verdana"/>
          <w:lang w:val="en-US"/>
        </w:rPr>
        <w:t>b</w:t>
      </w:r>
      <w:r w:rsidRPr="00343FB2">
        <w:rPr>
          <w:rFonts w:cs="Verdana"/>
          <w:spacing w:val="-3"/>
          <w:lang w:val="en-US"/>
        </w:rPr>
        <w:t xml:space="preserve"> </w:t>
      </w:r>
      <w:r w:rsidRPr="00343FB2">
        <w:rPr>
          <w:rFonts w:cs="Verdana"/>
          <w:spacing w:val="1"/>
          <w:lang w:val="en-US"/>
        </w:rPr>
        <w:t>i</w:t>
      </w:r>
      <w:r w:rsidRPr="00343FB2">
        <w:rPr>
          <w:rFonts w:cs="Verdana"/>
          <w:lang w:val="en-US"/>
        </w:rPr>
        <w:t>n</w:t>
      </w:r>
      <w:r w:rsidRPr="00343FB2">
        <w:rPr>
          <w:rFonts w:cs="Verdana"/>
          <w:spacing w:val="-2"/>
          <w:lang w:val="en-US"/>
        </w:rPr>
        <w:t xml:space="preserve"> </w:t>
      </w:r>
      <w:r w:rsidRPr="00343FB2">
        <w:rPr>
          <w:rFonts w:cs="Verdana"/>
          <w:spacing w:val="1"/>
          <w:lang w:val="en-US"/>
        </w:rPr>
        <w:t>t</w:t>
      </w:r>
      <w:r w:rsidRPr="00343FB2">
        <w:rPr>
          <w:rFonts w:cs="Verdana"/>
          <w:spacing w:val="-1"/>
          <w:lang w:val="en-US"/>
        </w:rPr>
        <w:t>h</w:t>
      </w:r>
      <w:r w:rsidRPr="00343FB2">
        <w:rPr>
          <w:rFonts w:cs="Verdana"/>
          <w:lang w:val="en-US"/>
        </w:rPr>
        <w:t xml:space="preserve">e </w:t>
      </w:r>
      <w:r w:rsidRPr="00343FB2">
        <w:rPr>
          <w:rFonts w:cs="Verdana"/>
          <w:spacing w:val="1"/>
          <w:lang w:val="en-US"/>
        </w:rPr>
        <w:t>t</w:t>
      </w:r>
      <w:r w:rsidRPr="00343FB2">
        <w:rPr>
          <w:rFonts w:cs="Verdana"/>
          <w:lang w:val="en-US"/>
        </w:rPr>
        <w:t>r</w:t>
      </w:r>
      <w:r w:rsidRPr="00343FB2">
        <w:rPr>
          <w:rFonts w:cs="Verdana"/>
          <w:spacing w:val="1"/>
          <w:lang w:val="en-US"/>
        </w:rPr>
        <w:t>e</w:t>
      </w:r>
      <w:r w:rsidRPr="00343FB2">
        <w:rPr>
          <w:rFonts w:cs="Verdana"/>
          <w:lang w:val="en-US"/>
        </w:rPr>
        <w:t>a</w:t>
      </w:r>
      <w:r w:rsidRPr="00343FB2">
        <w:rPr>
          <w:rFonts w:cs="Verdana"/>
          <w:spacing w:val="1"/>
          <w:lang w:val="en-US"/>
        </w:rPr>
        <w:t>t</w:t>
      </w:r>
      <w:r w:rsidRPr="00343FB2">
        <w:rPr>
          <w:rFonts w:cs="Verdana"/>
          <w:lang w:val="en-US"/>
        </w:rPr>
        <w:t>m</w:t>
      </w:r>
      <w:r w:rsidRPr="00343FB2">
        <w:rPr>
          <w:rFonts w:cs="Verdana"/>
          <w:spacing w:val="1"/>
          <w:lang w:val="en-US"/>
        </w:rPr>
        <w:t>e</w:t>
      </w:r>
      <w:r w:rsidRPr="00343FB2">
        <w:rPr>
          <w:rFonts w:cs="Verdana"/>
          <w:spacing w:val="-4"/>
          <w:lang w:val="en-US"/>
        </w:rPr>
        <w:t>n</w:t>
      </w:r>
      <w:r w:rsidRPr="00343FB2">
        <w:rPr>
          <w:rFonts w:cs="Verdana"/>
          <w:lang w:val="en-US"/>
        </w:rPr>
        <w:t xml:space="preserve">t </w:t>
      </w:r>
      <w:r w:rsidRPr="00343FB2">
        <w:rPr>
          <w:rFonts w:cs="Verdana"/>
          <w:spacing w:val="1"/>
          <w:lang w:val="en-US"/>
        </w:rPr>
        <w:t>o</w:t>
      </w:r>
      <w:r w:rsidRPr="00343FB2">
        <w:rPr>
          <w:rFonts w:cs="Verdana"/>
          <w:lang w:val="en-US"/>
        </w:rPr>
        <w:t>f</w:t>
      </w:r>
      <w:r w:rsidRPr="00343FB2">
        <w:rPr>
          <w:rFonts w:cs="Verdana"/>
          <w:spacing w:val="-2"/>
          <w:lang w:val="en-US"/>
        </w:rPr>
        <w:t xml:space="preserve"> </w:t>
      </w:r>
      <w:r w:rsidRPr="00343FB2">
        <w:rPr>
          <w:rFonts w:cs="Verdana"/>
          <w:spacing w:val="-1"/>
          <w:lang w:val="en-US"/>
        </w:rPr>
        <w:t>A</w:t>
      </w:r>
      <w:r w:rsidRPr="00343FB2">
        <w:rPr>
          <w:rFonts w:cs="Verdana"/>
          <w:spacing w:val="1"/>
          <w:lang w:val="en-US"/>
        </w:rPr>
        <w:t>L</w:t>
      </w:r>
      <w:r w:rsidRPr="00343FB2">
        <w:rPr>
          <w:rFonts w:cs="Verdana"/>
          <w:spacing w:val="-1"/>
          <w:lang w:val="en-US"/>
        </w:rPr>
        <w:t>K</w:t>
      </w:r>
      <w:r w:rsidRPr="00343FB2">
        <w:rPr>
          <w:rFonts w:cs="Verdana"/>
          <w:lang w:val="en-US"/>
        </w:rPr>
        <w:t>-</w:t>
      </w:r>
      <w:r w:rsidRPr="00343FB2">
        <w:rPr>
          <w:rFonts w:cs="Verdana"/>
          <w:spacing w:val="1"/>
          <w:lang w:val="en-US"/>
        </w:rPr>
        <w:t>po</w:t>
      </w:r>
      <w:r w:rsidRPr="00343FB2">
        <w:rPr>
          <w:rFonts w:cs="Verdana"/>
          <w:lang w:val="en-US"/>
        </w:rPr>
        <w:t>s</w:t>
      </w:r>
      <w:r w:rsidRPr="00343FB2">
        <w:rPr>
          <w:rFonts w:cs="Verdana"/>
          <w:spacing w:val="1"/>
          <w:lang w:val="en-US"/>
        </w:rPr>
        <w:t>i</w:t>
      </w:r>
      <w:r w:rsidRPr="00343FB2">
        <w:rPr>
          <w:rFonts w:cs="Verdana"/>
          <w:spacing w:val="-1"/>
          <w:lang w:val="en-US"/>
        </w:rPr>
        <w:t>t</w:t>
      </w:r>
      <w:r w:rsidRPr="00343FB2">
        <w:rPr>
          <w:rFonts w:cs="Verdana"/>
          <w:spacing w:val="1"/>
          <w:lang w:val="en-US"/>
        </w:rPr>
        <w:t>i</w:t>
      </w:r>
      <w:r w:rsidRPr="00343FB2">
        <w:rPr>
          <w:rFonts w:cs="Verdana"/>
          <w:spacing w:val="-1"/>
          <w:lang w:val="en-US"/>
        </w:rPr>
        <w:t>v</w:t>
      </w:r>
      <w:r w:rsidRPr="00343FB2">
        <w:rPr>
          <w:rFonts w:cs="Verdana"/>
          <w:lang w:val="en-US"/>
        </w:rPr>
        <w:t>e N</w:t>
      </w:r>
      <w:r w:rsidRPr="00343FB2">
        <w:rPr>
          <w:rFonts w:cs="Verdana"/>
          <w:spacing w:val="-1"/>
          <w:lang w:val="en-US"/>
        </w:rPr>
        <w:t>SC</w:t>
      </w:r>
      <w:r w:rsidRPr="00343FB2">
        <w:rPr>
          <w:rFonts w:cs="Verdana"/>
          <w:spacing w:val="1"/>
          <w:lang w:val="en-US"/>
        </w:rPr>
        <w:t>L</w:t>
      </w:r>
      <w:r w:rsidRPr="00343FB2">
        <w:rPr>
          <w:rFonts w:cs="Verdana"/>
          <w:lang w:val="en-US"/>
        </w:rPr>
        <w:t>C</w:t>
      </w:r>
      <w:r w:rsidRPr="00343FB2">
        <w:rPr>
          <w:rFonts w:cs="Verdana"/>
          <w:spacing w:val="-2"/>
          <w:lang w:val="en-US"/>
        </w:rPr>
        <w:t xml:space="preserve"> </w:t>
      </w:r>
      <w:r w:rsidRPr="00343FB2">
        <w:rPr>
          <w:rFonts w:cs="Verdana"/>
          <w:spacing w:val="1"/>
          <w:lang w:val="en-US"/>
        </w:rPr>
        <w:t>i</w:t>
      </w:r>
      <w:r w:rsidRPr="00343FB2">
        <w:rPr>
          <w:rFonts w:cs="Verdana"/>
          <w:lang w:val="en-US"/>
        </w:rPr>
        <w:t>s</w:t>
      </w:r>
      <w:r w:rsidRPr="00343FB2">
        <w:rPr>
          <w:rFonts w:cs="Verdana"/>
          <w:spacing w:val="1"/>
          <w:lang w:val="en-US"/>
        </w:rPr>
        <w:t xml:space="preserve"> b</w:t>
      </w:r>
      <w:r w:rsidRPr="00343FB2">
        <w:rPr>
          <w:rFonts w:cs="Verdana"/>
          <w:lang w:val="en-US"/>
        </w:rPr>
        <w:t>as</w:t>
      </w:r>
      <w:r w:rsidRPr="00343FB2">
        <w:rPr>
          <w:rFonts w:cs="Verdana"/>
          <w:spacing w:val="1"/>
          <w:lang w:val="en-US"/>
        </w:rPr>
        <w:t>e</w:t>
      </w:r>
      <w:r w:rsidRPr="00343FB2">
        <w:rPr>
          <w:rFonts w:cs="Verdana"/>
          <w:lang w:val="en-US"/>
        </w:rPr>
        <w:t xml:space="preserve">d </w:t>
      </w:r>
      <w:r w:rsidRPr="00343FB2">
        <w:rPr>
          <w:rFonts w:cs="Verdana"/>
          <w:spacing w:val="1"/>
          <w:lang w:val="en-US"/>
        </w:rPr>
        <w:t>o</w:t>
      </w:r>
      <w:r w:rsidRPr="00343FB2">
        <w:rPr>
          <w:rFonts w:cs="Verdana"/>
          <w:lang w:val="en-US"/>
        </w:rPr>
        <w:t>n</w:t>
      </w:r>
      <w:r w:rsidRPr="00343FB2">
        <w:rPr>
          <w:rFonts w:cs="Verdana"/>
          <w:spacing w:val="-2"/>
          <w:lang w:val="en-US"/>
        </w:rPr>
        <w:t xml:space="preserve"> </w:t>
      </w:r>
      <w:r w:rsidRPr="00343FB2">
        <w:rPr>
          <w:rFonts w:cs="Verdana"/>
          <w:spacing w:val="1"/>
          <w:lang w:val="en-US"/>
        </w:rPr>
        <w:t>t</w:t>
      </w:r>
      <w:r w:rsidRPr="00343FB2">
        <w:rPr>
          <w:rFonts w:cs="Verdana"/>
          <w:spacing w:val="-1"/>
          <w:lang w:val="en-US"/>
        </w:rPr>
        <w:t>h</w:t>
      </w:r>
      <w:r w:rsidRPr="00343FB2">
        <w:rPr>
          <w:rFonts w:cs="Verdana"/>
          <w:lang w:val="en-US"/>
        </w:rPr>
        <w:t>e r</w:t>
      </w:r>
      <w:r w:rsidRPr="00343FB2">
        <w:rPr>
          <w:rFonts w:cs="Verdana"/>
          <w:spacing w:val="1"/>
          <w:lang w:val="en-US"/>
        </w:rPr>
        <w:t>e</w:t>
      </w:r>
      <w:r w:rsidRPr="00343FB2">
        <w:rPr>
          <w:rFonts w:cs="Verdana"/>
          <w:lang w:val="en-US"/>
        </w:rPr>
        <w:t>s</w:t>
      </w:r>
      <w:r w:rsidRPr="00343FB2">
        <w:rPr>
          <w:rFonts w:cs="Verdana"/>
          <w:spacing w:val="-1"/>
          <w:lang w:val="en-US"/>
        </w:rPr>
        <w:t>u</w:t>
      </w:r>
      <w:r w:rsidRPr="00343FB2">
        <w:rPr>
          <w:rFonts w:cs="Verdana"/>
          <w:spacing w:val="1"/>
          <w:lang w:val="en-US"/>
        </w:rPr>
        <w:t>lt</w:t>
      </w:r>
      <w:r w:rsidRPr="00343FB2">
        <w:rPr>
          <w:rFonts w:cs="Verdana"/>
          <w:lang w:val="en-US"/>
        </w:rPr>
        <w:t>s</w:t>
      </w:r>
      <w:r w:rsidRPr="00343FB2">
        <w:rPr>
          <w:rFonts w:cs="Verdana"/>
          <w:spacing w:val="-1"/>
          <w:lang w:val="en-US"/>
        </w:rPr>
        <w:t xml:space="preserve"> </w:t>
      </w:r>
      <w:r w:rsidRPr="00343FB2">
        <w:rPr>
          <w:rFonts w:cs="Verdana"/>
          <w:spacing w:val="1"/>
          <w:lang w:val="en-US"/>
        </w:rPr>
        <w:t>o</w:t>
      </w:r>
      <w:r w:rsidRPr="00343FB2">
        <w:rPr>
          <w:rFonts w:cs="Verdana"/>
          <w:lang w:val="en-US"/>
        </w:rPr>
        <w:t>f</w:t>
      </w:r>
      <w:r w:rsidRPr="00343FB2">
        <w:rPr>
          <w:rFonts w:cs="Verdana"/>
          <w:spacing w:val="-2"/>
          <w:lang w:val="en-US"/>
        </w:rPr>
        <w:t xml:space="preserve"> </w:t>
      </w:r>
      <w:r w:rsidRPr="00343FB2">
        <w:rPr>
          <w:rFonts w:cs="Verdana"/>
          <w:spacing w:val="1"/>
          <w:lang w:val="en-US"/>
        </w:rPr>
        <w:t>t</w:t>
      </w:r>
      <w:r w:rsidRPr="00343FB2">
        <w:rPr>
          <w:rFonts w:cs="Verdana"/>
          <w:spacing w:val="-1"/>
          <w:lang w:val="en-US"/>
        </w:rPr>
        <w:t>h</w:t>
      </w:r>
      <w:r w:rsidRPr="00343FB2">
        <w:rPr>
          <w:rFonts w:cs="Verdana"/>
          <w:lang w:val="en-US"/>
        </w:rPr>
        <w:t>r</w:t>
      </w:r>
      <w:r w:rsidRPr="00343FB2">
        <w:rPr>
          <w:rFonts w:cs="Verdana"/>
          <w:spacing w:val="1"/>
          <w:lang w:val="en-US"/>
        </w:rPr>
        <w:t>e</w:t>
      </w:r>
      <w:r w:rsidRPr="00343FB2">
        <w:rPr>
          <w:rFonts w:cs="Verdana"/>
          <w:lang w:val="en-US"/>
        </w:rPr>
        <w:t xml:space="preserve">e </w:t>
      </w:r>
      <w:r w:rsidRPr="00343FB2">
        <w:rPr>
          <w:rFonts w:cs="Verdana"/>
          <w:spacing w:val="-1"/>
          <w:lang w:val="en-US"/>
        </w:rPr>
        <w:t>un</w:t>
      </w:r>
      <w:r w:rsidRPr="00343FB2">
        <w:rPr>
          <w:rFonts w:cs="Verdana"/>
          <w:lang w:val="en-US"/>
        </w:rPr>
        <w:t>c</w:t>
      </w:r>
      <w:r w:rsidRPr="00343FB2">
        <w:rPr>
          <w:rFonts w:cs="Verdana"/>
          <w:spacing w:val="1"/>
          <w:lang w:val="en-US"/>
        </w:rPr>
        <w:t>o</w:t>
      </w:r>
      <w:r w:rsidRPr="00343FB2">
        <w:rPr>
          <w:rFonts w:cs="Verdana"/>
          <w:spacing w:val="-1"/>
          <w:lang w:val="en-US"/>
        </w:rPr>
        <w:t>n</w:t>
      </w:r>
      <w:r w:rsidRPr="00343FB2">
        <w:rPr>
          <w:rFonts w:cs="Verdana"/>
          <w:spacing w:val="1"/>
          <w:lang w:val="en-US"/>
        </w:rPr>
        <w:t>t</w:t>
      </w:r>
      <w:r w:rsidRPr="00343FB2">
        <w:rPr>
          <w:rFonts w:cs="Verdana"/>
          <w:lang w:val="en-US"/>
        </w:rPr>
        <w:t>r</w:t>
      </w:r>
      <w:r w:rsidRPr="00343FB2">
        <w:rPr>
          <w:rFonts w:cs="Verdana"/>
          <w:spacing w:val="1"/>
          <w:lang w:val="en-US"/>
        </w:rPr>
        <w:t>oll</w:t>
      </w:r>
      <w:r w:rsidRPr="00343FB2">
        <w:rPr>
          <w:rFonts w:cs="Verdana"/>
          <w:spacing w:val="-2"/>
          <w:lang w:val="en-US"/>
        </w:rPr>
        <w:t>e</w:t>
      </w:r>
      <w:r w:rsidRPr="00343FB2">
        <w:rPr>
          <w:rFonts w:cs="Verdana"/>
          <w:spacing w:val="1"/>
          <w:lang w:val="en-US"/>
        </w:rPr>
        <w:t>d</w:t>
      </w:r>
      <w:r w:rsidRPr="00343FB2">
        <w:rPr>
          <w:rFonts w:cs="Verdana"/>
          <w:lang w:val="en-US"/>
        </w:rPr>
        <w:t>,</w:t>
      </w:r>
      <w:r w:rsidRPr="00343FB2">
        <w:rPr>
          <w:rFonts w:cs="Verdana"/>
          <w:spacing w:val="-1"/>
          <w:lang w:val="en-US"/>
        </w:rPr>
        <w:t xml:space="preserve"> </w:t>
      </w:r>
      <w:r w:rsidRPr="00343FB2">
        <w:rPr>
          <w:rFonts w:cs="Verdana"/>
          <w:spacing w:val="1"/>
          <w:lang w:val="en-US"/>
        </w:rPr>
        <w:t>ope</w:t>
      </w:r>
      <w:r w:rsidRPr="00343FB2">
        <w:rPr>
          <w:rFonts w:cs="Verdana"/>
          <w:lang w:val="en-US"/>
        </w:rPr>
        <w:t>n</w:t>
      </w:r>
      <w:r w:rsidRPr="00343FB2">
        <w:rPr>
          <w:rFonts w:cs="Verdana"/>
          <w:spacing w:val="-2"/>
          <w:lang w:val="en-US"/>
        </w:rPr>
        <w:t xml:space="preserve"> </w:t>
      </w:r>
      <w:r w:rsidRPr="00343FB2">
        <w:rPr>
          <w:rFonts w:cs="Verdana"/>
          <w:spacing w:val="1"/>
          <w:lang w:val="en-US"/>
        </w:rPr>
        <w:t>l</w:t>
      </w:r>
      <w:r w:rsidRPr="00343FB2">
        <w:rPr>
          <w:rFonts w:cs="Verdana"/>
          <w:lang w:val="en-US"/>
        </w:rPr>
        <w:t>a</w:t>
      </w:r>
      <w:r w:rsidRPr="00343FB2">
        <w:rPr>
          <w:rFonts w:cs="Verdana"/>
          <w:spacing w:val="1"/>
          <w:lang w:val="en-US"/>
        </w:rPr>
        <w:t>be</w:t>
      </w:r>
      <w:r w:rsidRPr="00343FB2">
        <w:rPr>
          <w:rFonts w:cs="Verdana"/>
          <w:lang w:val="en-US"/>
        </w:rPr>
        <w:t>l s</w:t>
      </w:r>
      <w:r w:rsidRPr="00343FB2">
        <w:rPr>
          <w:rFonts w:cs="Verdana"/>
          <w:spacing w:val="1"/>
          <w:lang w:val="en-US"/>
        </w:rPr>
        <w:t>t</w:t>
      </w:r>
      <w:r w:rsidRPr="00343FB2">
        <w:rPr>
          <w:rFonts w:cs="Verdana"/>
          <w:spacing w:val="-1"/>
          <w:lang w:val="en-US"/>
        </w:rPr>
        <w:t>u</w:t>
      </w:r>
      <w:r w:rsidRPr="00343FB2">
        <w:rPr>
          <w:rFonts w:cs="Verdana"/>
          <w:spacing w:val="1"/>
          <w:lang w:val="en-US"/>
        </w:rPr>
        <w:t>d</w:t>
      </w:r>
      <w:r w:rsidRPr="00343FB2">
        <w:rPr>
          <w:rFonts w:cs="Verdana"/>
          <w:spacing w:val="-1"/>
          <w:lang w:val="en-US"/>
        </w:rPr>
        <w:t>i</w:t>
      </w:r>
      <w:r w:rsidRPr="00343FB2">
        <w:rPr>
          <w:rFonts w:cs="Verdana"/>
          <w:spacing w:val="1"/>
          <w:lang w:val="en-US"/>
        </w:rPr>
        <w:t>e</w:t>
      </w:r>
      <w:r w:rsidRPr="00343FB2">
        <w:rPr>
          <w:rFonts w:cs="Verdana"/>
          <w:lang w:val="en-US"/>
        </w:rPr>
        <w:t>s</w:t>
      </w:r>
      <w:r w:rsidRPr="00343FB2">
        <w:rPr>
          <w:rFonts w:cs="Verdana"/>
          <w:spacing w:val="-1"/>
          <w:lang w:val="en-US"/>
        </w:rPr>
        <w:t xml:space="preserve"> </w:t>
      </w:r>
      <w:r w:rsidRPr="00343FB2">
        <w:rPr>
          <w:rFonts w:cs="Verdana"/>
          <w:lang w:val="en-US"/>
        </w:rPr>
        <w:t>(</w:t>
      </w:r>
      <w:r w:rsidRPr="00343FB2">
        <w:rPr>
          <w:rFonts w:cs="Verdana"/>
          <w:spacing w:val="1"/>
          <w:lang w:val="en-US"/>
        </w:rPr>
        <w:t>t</w:t>
      </w:r>
      <w:r w:rsidRPr="00343FB2">
        <w:rPr>
          <w:rFonts w:cs="Verdana"/>
          <w:spacing w:val="-1"/>
          <w:lang w:val="en-US"/>
        </w:rPr>
        <w:t>h</w:t>
      </w:r>
      <w:r w:rsidRPr="00343FB2">
        <w:rPr>
          <w:rFonts w:cs="Verdana"/>
          <w:lang w:val="en-US"/>
        </w:rPr>
        <w:t xml:space="preserve">e </w:t>
      </w:r>
      <w:r w:rsidRPr="00343FB2">
        <w:rPr>
          <w:rFonts w:cs="Verdana"/>
          <w:spacing w:val="1"/>
          <w:lang w:val="en-US"/>
        </w:rPr>
        <w:t>e</w:t>
      </w:r>
      <w:r w:rsidRPr="00343FB2">
        <w:rPr>
          <w:rFonts w:cs="Verdana"/>
          <w:spacing w:val="-1"/>
          <w:lang w:val="en-US"/>
        </w:rPr>
        <w:t>x</w:t>
      </w:r>
      <w:r w:rsidRPr="00343FB2">
        <w:rPr>
          <w:rFonts w:cs="Verdana"/>
          <w:spacing w:val="1"/>
          <w:lang w:val="en-US"/>
        </w:rPr>
        <w:t>te</w:t>
      </w:r>
      <w:r w:rsidRPr="00343FB2">
        <w:rPr>
          <w:rFonts w:cs="Verdana"/>
          <w:spacing w:val="-1"/>
          <w:lang w:val="en-US"/>
        </w:rPr>
        <w:t>n</w:t>
      </w:r>
      <w:r w:rsidRPr="00343FB2">
        <w:rPr>
          <w:rFonts w:cs="Verdana"/>
          <w:lang w:val="en-US"/>
        </w:rPr>
        <w:t>s</w:t>
      </w:r>
      <w:r w:rsidRPr="00343FB2">
        <w:rPr>
          <w:rFonts w:cs="Verdana"/>
          <w:spacing w:val="1"/>
          <w:lang w:val="en-US"/>
        </w:rPr>
        <w:t>io</w:t>
      </w:r>
      <w:r w:rsidRPr="00343FB2">
        <w:rPr>
          <w:rFonts w:cs="Verdana"/>
          <w:lang w:val="en-US"/>
        </w:rPr>
        <w:t>n</w:t>
      </w:r>
      <w:r w:rsidRPr="00343FB2">
        <w:rPr>
          <w:rFonts w:cs="Verdana"/>
          <w:spacing w:val="-2"/>
          <w:lang w:val="en-US"/>
        </w:rPr>
        <w:t xml:space="preserve"> </w:t>
      </w:r>
      <w:r w:rsidRPr="00343FB2">
        <w:rPr>
          <w:rFonts w:cs="Verdana"/>
          <w:spacing w:val="1"/>
          <w:lang w:val="en-US"/>
        </w:rPr>
        <w:t>p</w:t>
      </w:r>
      <w:r w:rsidRPr="00343FB2">
        <w:rPr>
          <w:rFonts w:cs="Verdana"/>
          <w:spacing w:val="-1"/>
          <w:lang w:val="en-US"/>
        </w:rPr>
        <w:t>h</w:t>
      </w:r>
      <w:r w:rsidRPr="00343FB2">
        <w:rPr>
          <w:rFonts w:cs="Verdana"/>
          <w:lang w:val="en-US"/>
        </w:rPr>
        <w:t xml:space="preserve">ase </w:t>
      </w:r>
      <w:r w:rsidRPr="00343FB2">
        <w:rPr>
          <w:rFonts w:cs="Verdana"/>
          <w:spacing w:val="1"/>
          <w:lang w:val="en-US"/>
        </w:rPr>
        <w:t>o</w:t>
      </w:r>
      <w:r w:rsidRPr="00343FB2">
        <w:rPr>
          <w:rFonts w:cs="Verdana"/>
          <w:lang w:val="en-US"/>
        </w:rPr>
        <w:t>f</w:t>
      </w:r>
      <w:r w:rsidRPr="00343FB2">
        <w:rPr>
          <w:rFonts w:cs="Verdana"/>
          <w:spacing w:val="-2"/>
          <w:lang w:val="en-US"/>
        </w:rPr>
        <w:t xml:space="preserve"> </w:t>
      </w:r>
      <w:r w:rsidRPr="00343FB2">
        <w:rPr>
          <w:rFonts w:cs="Verdana"/>
          <w:spacing w:val="1"/>
          <w:lang w:val="en-US"/>
        </w:rPr>
        <w:t>o</w:t>
      </w:r>
      <w:r w:rsidRPr="00343FB2">
        <w:rPr>
          <w:rFonts w:cs="Verdana"/>
          <w:spacing w:val="-1"/>
          <w:lang w:val="en-US"/>
        </w:rPr>
        <w:t>n</w:t>
      </w:r>
      <w:r w:rsidRPr="00343FB2">
        <w:rPr>
          <w:rFonts w:cs="Verdana"/>
          <w:lang w:val="en-US"/>
        </w:rPr>
        <w:t xml:space="preserve">e </w:t>
      </w:r>
      <w:r w:rsidR="00B3070B">
        <w:rPr>
          <w:rFonts w:cs="Verdana"/>
          <w:spacing w:val="1"/>
          <w:lang w:val="en-US"/>
        </w:rPr>
        <w:t>Phase I</w:t>
      </w:r>
      <w:r w:rsidRPr="00343FB2">
        <w:rPr>
          <w:rFonts w:cs="Verdana"/>
          <w:spacing w:val="-2"/>
          <w:lang w:val="en-US"/>
        </w:rPr>
        <w:t xml:space="preserve"> </w:t>
      </w:r>
      <w:r w:rsidRPr="00343FB2">
        <w:rPr>
          <w:rFonts w:cs="Verdana"/>
          <w:spacing w:val="2"/>
          <w:lang w:val="en-US"/>
        </w:rPr>
        <w:t>a</w:t>
      </w:r>
      <w:r w:rsidRPr="00343FB2">
        <w:rPr>
          <w:rFonts w:cs="Verdana"/>
          <w:spacing w:val="-1"/>
          <w:lang w:val="en-US"/>
        </w:rPr>
        <w:t>n</w:t>
      </w:r>
      <w:r w:rsidRPr="00343FB2">
        <w:rPr>
          <w:rFonts w:cs="Verdana"/>
          <w:lang w:val="en-US"/>
        </w:rPr>
        <w:t xml:space="preserve">d </w:t>
      </w:r>
      <w:r w:rsidRPr="00343FB2">
        <w:rPr>
          <w:rFonts w:cs="Verdana"/>
          <w:spacing w:val="1"/>
          <w:lang w:val="en-US"/>
        </w:rPr>
        <w:t>t</w:t>
      </w:r>
      <w:r w:rsidRPr="00343FB2">
        <w:rPr>
          <w:rFonts w:cs="Verdana"/>
          <w:spacing w:val="-1"/>
          <w:lang w:val="en-US"/>
        </w:rPr>
        <w:t>w</w:t>
      </w:r>
      <w:r w:rsidRPr="00343FB2">
        <w:rPr>
          <w:rFonts w:cs="Verdana"/>
          <w:lang w:val="en-US"/>
        </w:rPr>
        <w:t xml:space="preserve">o </w:t>
      </w:r>
      <w:r w:rsidR="00B3070B">
        <w:rPr>
          <w:rFonts w:cs="Verdana"/>
          <w:spacing w:val="1"/>
          <w:lang w:val="en-US"/>
        </w:rPr>
        <w:t>Phase I</w:t>
      </w:r>
      <w:r w:rsidRPr="00343FB2">
        <w:rPr>
          <w:rFonts w:cs="Verdana"/>
          <w:spacing w:val="-1"/>
          <w:lang w:val="en-US"/>
        </w:rPr>
        <w:t xml:space="preserve">I </w:t>
      </w:r>
      <w:r w:rsidRPr="00343FB2">
        <w:rPr>
          <w:rFonts w:cs="Verdana"/>
          <w:lang w:val="en-US"/>
        </w:rPr>
        <w:t>c</w:t>
      </w:r>
      <w:r w:rsidRPr="00343FB2">
        <w:rPr>
          <w:rFonts w:cs="Verdana"/>
          <w:spacing w:val="1"/>
          <w:lang w:val="en-US"/>
        </w:rPr>
        <w:t>li</w:t>
      </w:r>
      <w:r w:rsidRPr="00343FB2">
        <w:rPr>
          <w:rFonts w:cs="Verdana"/>
          <w:spacing w:val="-1"/>
          <w:lang w:val="en-US"/>
        </w:rPr>
        <w:t>n</w:t>
      </w:r>
      <w:r w:rsidRPr="00343FB2">
        <w:rPr>
          <w:rFonts w:cs="Verdana"/>
          <w:spacing w:val="1"/>
          <w:lang w:val="en-US"/>
        </w:rPr>
        <w:t>i</w:t>
      </w:r>
      <w:r w:rsidRPr="00343FB2">
        <w:rPr>
          <w:rFonts w:cs="Verdana"/>
          <w:lang w:val="en-US"/>
        </w:rPr>
        <w:t xml:space="preserve">cal </w:t>
      </w:r>
      <w:r w:rsidRPr="00343FB2">
        <w:rPr>
          <w:rFonts w:cs="Verdana"/>
          <w:spacing w:val="1"/>
          <w:lang w:val="en-US"/>
        </w:rPr>
        <w:t>t</w:t>
      </w:r>
      <w:r w:rsidRPr="00343FB2">
        <w:rPr>
          <w:rFonts w:cs="Verdana"/>
          <w:lang w:val="en-US"/>
        </w:rPr>
        <w:t>r</w:t>
      </w:r>
      <w:r w:rsidRPr="00343FB2">
        <w:rPr>
          <w:rFonts w:cs="Verdana"/>
          <w:spacing w:val="1"/>
          <w:lang w:val="en-US"/>
        </w:rPr>
        <w:t>i</w:t>
      </w:r>
      <w:r w:rsidRPr="00343FB2">
        <w:rPr>
          <w:rFonts w:cs="Verdana"/>
          <w:spacing w:val="-3"/>
          <w:lang w:val="en-US"/>
        </w:rPr>
        <w:t>a</w:t>
      </w:r>
      <w:r w:rsidRPr="00343FB2">
        <w:rPr>
          <w:rFonts w:cs="Verdana"/>
          <w:spacing w:val="1"/>
          <w:lang w:val="en-US"/>
        </w:rPr>
        <w:t>l</w:t>
      </w:r>
      <w:r w:rsidRPr="00343FB2">
        <w:rPr>
          <w:rFonts w:cs="Verdana"/>
          <w:lang w:val="en-US"/>
        </w:rPr>
        <w:t>s).</w:t>
      </w:r>
      <w:r w:rsidRPr="00343FB2">
        <w:rPr>
          <w:rFonts w:cs="Verdana"/>
          <w:spacing w:val="-1"/>
          <w:lang w:val="en-US"/>
        </w:rPr>
        <w:t xml:space="preserve"> </w:t>
      </w:r>
      <w:r>
        <w:rPr>
          <w:rFonts w:cs="Verdana"/>
          <w:spacing w:val="-1"/>
          <w:lang w:val="en-US"/>
        </w:rPr>
        <w:t>The efficacy of ceritinib in the treatment of ALK-positive NSCLC patients who have had a prior ALK inhibitor (</w:t>
      </w:r>
      <w:r w:rsidR="002E3E15">
        <w:rPr>
          <w:rFonts w:cs="Verdana"/>
          <w:spacing w:val="-1"/>
          <w:lang w:val="en-US"/>
        </w:rPr>
        <w:t xml:space="preserve">the </w:t>
      </w:r>
      <w:r>
        <w:rPr>
          <w:rFonts w:cs="Verdana"/>
          <w:spacing w:val="-1"/>
          <w:lang w:val="en-US"/>
        </w:rPr>
        <w:t xml:space="preserve">indication sought) is based on a subgroup of the </w:t>
      </w:r>
      <w:r w:rsidR="00B3070B">
        <w:rPr>
          <w:rFonts w:cs="Verdana"/>
          <w:spacing w:val="-1"/>
          <w:lang w:val="en-US"/>
        </w:rPr>
        <w:t>Phase I</w:t>
      </w:r>
      <w:r w:rsidR="002E3E15">
        <w:rPr>
          <w:rFonts w:cs="Verdana"/>
          <w:spacing w:val="-1"/>
          <w:lang w:val="en-US"/>
        </w:rPr>
        <w:t xml:space="preserve"> trial as well as the A2201 P</w:t>
      </w:r>
      <w:r>
        <w:rPr>
          <w:rFonts w:cs="Verdana"/>
          <w:spacing w:val="-1"/>
          <w:lang w:val="en-US"/>
        </w:rPr>
        <w:t xml:space="preserve">hase </w:t>
      </w:r>
      <w:r w:rsidR="002E3E15">
        <w:rPr>
          <w:rFonts w:cs="Verdana"/>
          <w:spacing w:val="-1"/>
          <w:lang w:val="en-US"/>
        </w:rPr>
        <w:t>II</w:t>
      </w:r>
      <w:r>
        <w:rPr>
          <w:rFonts w:cs="Verdana"/>
          <w:spacing w:val="-1"/>
          <w:lang w:val="en-US"/>
        </w:rPr>
        <w:t xml:space="preserve"> study. </w:t>
      </w:r>
      <w:r w:rsidRPr="00343FB2">
        <w:rPr>
          <w:rFonts w:cs="Verdana"/>
          <w:spacing w:val="-1"/>
          <w:lang w:val="en-US"/>
        </w:rPr>
        <w:t>Th</w:t>
      </w:r>
      <w:r w:rsidRPr="00343FB2">
        <w:rPr>
          <w:rFonts w:cs="Verdana"/>
          <w:lang w:val="en-US"/>
        </w:rPr>
        <w:t>e a</w:t>
      </w:r>
      <w:r w:rsidRPr="00343FB2">
        <w:rPr>
          <w:rFonts w:cs="Verdana"/>
          <w:spacing w:val="1"/>
          <w:lang w:val="en-US"/>
        </w:rPr>
        <w:t>b</w:t>
      </w:r>
      <w:r w:rsidRPr="00343FB2">
        <w:rPr>
          <w:rFonts w:cs="Verdana"/>
          <w:lang w:val="en-US"/>
        </w:rPr>
        <w:t>s</w:t>
      </w:r>
      <w:r w:rsidRPr="00343FB2">
        <w:rPr>
          <w:rFonts w:cs="Verdana"/>
          <w:spacing w:val="1"/>
          <w:lang w:val="en-US"/>
        </w:rPr>
        <w:t>e</w:t>
      </w:r>
      <w:r w:rsidRPr="00343FB2">
        <w:rPr>
          <w:rFonts w:cs="Verdana"/>
          <w:spacing w:val="-1"/>
          <w:lang w:val="en-US"/>
        </w:rPr>
        <w:t>n</w:t>
      </w:r>
      <w:r w:rsidRPr="00343FB2">
        <w:rPr>
          <w:rFonts w:cs="Verdana"/>
          <w:spacing w:val="2"/>
          <w:lang w:val="en-US"/>
        </w:rPr>
        <w:t>c</w:t>
      </w:r>
      <w:r w:rsidRPr="00343FB2">
        <w:rPr>
          <w:rFonts w:cs="Verdana"/>
          <w:lang w:val="en-US"/>
        </w:rPr>
        <w:t xml:space="preserve">e </w:t>
      </w:r>
      <w:r w:rsidRPr="00343FB2">
        <w:rPr>
          <w:rFonts w:cs="Verdana"/>
          <w:spacing w:val="1"/>
          <w:lang w:val="en-US"/>
        </w:rPr>
        <w:t>o</w:t>
      </w:r>
      <w:r w:rsidRPr="00343FB2">
        <w:rPr>
          <w:rFonts w:cs="Verdana"/>
          <w:lang w:val="en-US"/>
        </w:rPr>
        <w:t>f</w:t>
      </w:r>
      <w:r w:rsidRPr="00343FB2">
        <w:rPr>
          <w:rFonts w:cs="Verdana"/>
          <w:spacing w:val="-2"/>
          <w:lang w:val="en-US"/>
        </w:rPr>
        <w:t xml:space="preserve"> </w:t>
      </w:r>
      <w:r w:rsidRPr="00343FB2">
        <w:rPr>
          <w:rFonts w:cs="Verdana"/>
          <w:spacing w:val="1"/>
          <w:lang w:val="en-US"/>
        </w:rPr>
        <w:t>di</w:t>
      </w:r>
      <w:r w:rsidRPr="00343FB2">
        <w:rPr>
          <w:rFonts w:cs="Verdana"/>
          <w:lang w:val="en-US"/>
        </w:rPr>
        <w:t>r</w:t>
      </w:r>
      <w:r w:rsidRPr="00343FB2">
        <w:rPr>
          <w:rFonts w:cs="Verdana"/>
          <w:spacing w:val="1"/>
          <w:lang w:val="en-US"/>
        </w:rPr>
        <w:t>e</w:t>
      </w:r>
      <w:r w:rsidRPr="00343FB2">
        <w:rPr>
          <w:rFonts w:cs="Verdana"/>
          <w:lang w:val="en-US"/>
        </w:rPr>
        <w:t>ct c</w:t>
      </w:r>
      <w:r w:rsidRPr="00343FB2">
        <w:rPr>
          <w:rFonts w:cs="Verdana"/>
          <w:spacing w:val="1"/>
          <w:lang w:val="en-US"/>
        </w:rPr>
        <w:t>o</w:t>
      </w:r>
      <w:r w:rsidRPr="00343FB2">
        <w:rPr>
          <w:rFonts w:cs="Verdana"/>
          <w:lang w:val="en-US"/>
        </w:rPr>
        <w:t>m</w:t>
      </w:r>
      <w:r w:rsidRPr="00343FB2">
        <w:rPr>
          <w:rFonts w:cs="Verdana"/>
          <w:spacing w:val="1"/>
          <w:lang w:val="en-US"/>
        </w:rPr>
        <w:t>p</w:t>
      </w:r>
      <w:r w:rsidRPr="00343FB2">
        <w:rPr>
          <w:rFonts w:cs="Verdana"/>
          <w:lang w:val="en-US"/>
        </w:rPr>
        <w:t>ar</w:t>
      </w:r>
      <w:r w:rsidRPr="00343FB2">
        <w:rPr>
          <w:rFonts w:cs="Verdana"/>
          <w:spacing w:val="-3"/>
          <w:lang w:val="en-US"/>
        </w:rPr>
        <w:t>a</w:t>
      </w:r>
      <w:r w:rsidRPr="00343FB2">
        <w:rPr>
          <w:rFonts w:cs="Verdana"/>
          <w:spacing w:val="1"/>
          <w:lang w:val="en-US"/>
        </w:rPr>
        <w:t>ti</w:t>
      </w:r>
      <w:r w:rsidRPr="00343FB2">
        <w:rPr>
          <w:rFonts w:cs="Verdana"/>
          <w:spacing w:val="-1"/>
          <w:lang w:val="en-US"/>
        </w:rPr>
        <w:t>v</w:t>
      </w:r>
      <w:r w:rsidRPr="00343FB2">
        <w:rPr>
          <w:rFonts w:cs="Verdana"/>
          <w:lang w:val="en-US"/>
        </w:rPr>
        <w:t xml:space="preserve">e </w:t>
      </w:r>
      <w:r w:rsidRPr="00343FB2">
        <w:rPr>
          <w:rFonts w:cs="Verdana"/>
          <w:spacing w:val="1"/>
          <w:lang w:val="en-US"/>
        </w:rPr>
        <w:t>d</w:t>
      </w:r>
      <w:r w:rsidRPr="00343FB2">
        <w:rPr>
          <w:rFonts w:cs="Verdana"/>
          <w:lang w:val="en-US"/>
        </w:rPr>
        <w:t>a</w:t>
      </w:r>
      <w:r w:rsidRPr="00343FB2">
        <w:rPr>
          <w:rFonts w:cs="Verdana"/>
          <w:spacing w:val="-1"/>
          <w:lang w:val="en-US"/>
        </w:rPr>
        <w:t>t</w:t>
      </w:r>
      <w:r w:rsidRPr="00343FB2">
        <w:rPr>
          <w:rFonts w:cs="Verdana"/>
          <w:lang w:val="en-US"/>
        </w:rPr>
        <w:t>a</w:t>
      </w:r>
      <w:r w:rsidRPr="00343FB2">
        <w:rPr>
          <w:rFonts w:cs="Verdana"/>
          <w:spacing w:val="-1"/>
          <w:lang w:val="en-US"/>
        </w:rPr>
        <w:t xml:space="preserve"> w</w:t>
      </w:r>
      <w:r w:rsidRPr="00343FB2">
        <w:rPr>
          <w:rFonts w:cs="Verdana"/>
          <w:spacing w:val="1"/>
          <w:lang w:val="en-US"/>
        </w:rPr>
        <w:t>it</w:t>
      </w:r>
      <w:r w:rsidRPr="00343FB2">
        <w:rPr>
          <w:rFonts w:cs="Verdana"/>
          <w:lang w:val="en-US"/>
        </w:rPr>
        <w:t>h</w:t>
      </w:r>
      <w:r w:rsidRPr="00343FB2">
        <w:rPr>
          <w:rFonts w:cs="Verdana"/>
          <w:spacing w:val="-2"/>
          <w:lang w:val="en-US"/>
        </w:rPr>
        <w:t xml:space="preserve"> </w:t>
      </w:r>
      <w:r w:rsidRPr="00343FB2">
        <w:rPr>
          <w:rFonts w:cs="Verdana"/>
          <w:spacing w:val="1"/>
          <w:lang w:val="en-US"/>
        </w:rPr>
        <w:t>ot</w:t>
      </w:r>
      <w:r w:rsidRPr="00343FB2">
        <w:rPr>
          <w:rFonts w:cs="Verdana"/>
          <w:spacing w:val="-1"/>
          <w:lang w:val="en-US"/>
        </w:rPr>
        <w:t>h</w:t>
      </w:r>
      <w:r w:rsidRPr="00343FB2">
        <w:rPr>
          <w:rFonts w:cs="Verdana"/>
          <w:spacing w:val="1"/>
          <w:lang w:val="en-US"/>
        </w:rPr>
        <w:t>e</w:t>
      </w:r>
      <w:r w:rsidRPr="00343FB2">
        <w:rPr>
          <w:rFonts w:cs="Verdana"/>
          <w:lang w:val="en-US"/>
        </w:rPr>
        <w:t>r</w:t>
      </w:r>
      <w:r w:rsidRPr="00343FB2">
        <w:rPr>
          <w:rFonts w:cs="Verdana"/>
          <w:spacing w:val="-1"/>
          <w:lang w:val="en-US"/>
        </w:rPr>
        <w:t xml:space="preserve"> </w:t>
      </w:r>
      <w:r w:rsidRPr="00343FB2">
        <w:rPr>
          <w:rFonts w:cs="Verdana"/>
          <w:lang w:val="en-US"/>
        </w:rPr>
        <w:t>a</w:t>
      </w:r>
      <w:r w:rsidRPr="00343FB2">
        <w:rPr>
          <w:rFonts w:cs="Verdana"/>
          <w:spacing w:val="1"/>
          <w:lang w:val="en-US"/>
        </w:rPr>
        <w:t>ge</w:t>
      </w:r>
      <w:r w:rsidRPr="00343FB2">
        <w:rPr>
          <w:rFonts w:cs="Verdana"/>
          <w:spacing w:val="-1"/>
          <w:lang w:val="en-US"/>
        </w:rPr>
        <w:t>n</w:t>
      </w:r>
      <w:r w:rsidRPr="00343FB2">
        <w:rPr>
          <w:rFonts w:cs="Verdana"/>
          <w:spacing w:val="1"/>
          <w:lang w:val="en-US"/>
        </w:rPr>
        <w:t>t</w:t>
      </w:r>
      <w:r w:rsidRPr="00343FB2">
        <w:rPr>
          <w:rFonts w:cs="Verdana"/>
          <w:lang w:val="en-US"/>
        </w:rPr>
        <w:t>s</w:t>
      </w:r>
      <w:r>
        <w:rPr>
          <w:rFonts w:cs="Verdana"/>
          <w:lang w:val="en-US"/>
        </w:rPr>
        <w:t xml:space="preserve"> such as, chemotherapy in the crizotinib-treated patients</w:t>
      </w:r>
      <w:r w:rsidRPr="00343FB2">
        <w:rPr>
          <w:rFonts w:cs="Verdana"/>
          <w:spacing w:val="-1"/>
          <w:lang w:val="en-US"/>
        </w:rPr>
        <w:t xml:space="preserve"> </w:t>
      </w:r>
      <w:r>
        <w:rPr>
          <w:rFonts w:cs="Verdana"/>
          <w:lang w:val="en-US"/>
        </w:rPr>
        <w:t>is</w:t>
      </w:r>
      <w:r w:rsidRPr="00343FB2">
        <w:rPr>
          <w:rFonts w:cs="Verdana"/>
          <w:lang w:val="en-US"/>
        </w:rPr>
        <w:t xml:space="preserve"> an</w:t>
      </w:r>
      <w:r w:rsidRPr="00343FB2">
        <w:rPr>
          <w:rFonts w:cs="Verdana"/>
          <w:spacing w:val="-2"/>
          <w:lang w:val="en-US"/>
        </w:rPr>
        <w:t xml:space="preserve"> </w:t>
      </w:r>
      <w:r w:rsidRPr="00343FB2">
        <w:rPr>
          <w:rFonts w:cs="Verdana"/>
          <w:spacing w:val="1"/>
          <w:lang w:val="en-US"/>
        </w:rPr>
        <w:t>i</w:t>
      </w:r>
      <w:r w:rsidRPr="00343FB2">
        <w:rPr>
          <w:rFonts w:cs="Verdana"/>
          <w:lang w:val="en-US"/>
        </w:rPr>
        <w:t>m</w:t>
      </w:r>
      <w:r w:rsidRPr="00343FB2">
        <w:rPr>
          <w:rFonts w:cs="Verdana"/>
          <w:spacing w:val="1"/>
          <w:lang w:val="en-US"/>
        </w:rPr>
        <w:t>po</w:t>
      </w:r>
      <w:r w:rsidRPr="00343FB2">
        <w:rPr>
          <w:rFonts w:cs="Verdana"/>
          <w:lang w:val="en-US"/>
        </w:rPr>
        <w:t>r</w:t>
      </w:r>
      <w:r w:rsidRPr="00343FB2">
        <w:rPr>
          <w:rFonts w:cs="Verdana"/>
          <w:spacing w:val="1"/>
          <w:lang w:val="en-US"/>
        </w:rPr>
        <w:t>t</w:t>
      </w:r>
      <w:r w:rsidRPr="00343FB2">
        <w:rPr>
          <w:rFonts w:cs="Verdana"/>
          <w:lang w:val="en-US"/>
        </w:rPr>
        <w:t>a</w:t>
      </w:r>
      <w:r w:rsidRPr="00343FB2">
        <w:rPr>
          <w:rFonts w:cs="Verdana"/>
          <w:spacing w:val="-1"/>
          <w:lang w:val="en-US"/>
        </w:rPr>
        <w:t>n</w:t>
      </w:r>
      <w:r w:rsidRPr="00343FB2">
        <w:rPr>
          <w:rFonts w:cs="Verdana"/>
          <w:lang w:val="en-US"/>
        </w:rPr>
        <w:t xml:space="preserve">t </w:t>
      </w:r>
      <w:r w:rsidRPr="00343FB2">
        <w:rPr>
          <w:rFonts w:cs="Verdana"/>
          <w:spacing w:val="1"/>
          <w:lang w:val="en-US"/>
        </w:rPr>
        <w:t>li</w:t>
      </w:r>
      <w:r w:rsidRPr="00343FB2">
        <w:rPr>
          <w:rFonts w:cs="Verdana"/>
          <w:lang w:val="en-US"/>
        </w:rPr>
        <w:t>m</w:t>
      </w:r>
      <w:r w:rsidRPr="00343FB2">
        <w:rPr>
          <w:rFonts w:cs="Verdana"/>
          <w:spacing w:val="-1"/>
          <w:lang w:val="en-US"/>
        </w:rPr>
        <w:t>i</w:t>
      </w:r>
      <w:r w:rsidRPr="00343FB2">
        <w:rPr>
          <w:rFonts w:cs="Verdana"/>
          <w:spacing w:val="1"/>
          <w:lang w:val="en-US"/>
        </w:rPr>
        <w:t>t</w:t>
      </w:r>
      <w:r w:rsidRPr="00343FB2">
        <w:rPr>
          <w:rFonts w:cs="Verdana"/>
          <w:lang w:val="en-US"/>
        </w:rPr>
        <w:t>a</w:t>
      </w:r>
      <w:r w:rsidRPr="00343FB2">
        <w:rPr>
          <w:rFonts w:cs="Verdana"/>
          <w:spacing w:val="-1"/>
          <w:lang w:val="en-US"/>
        </w:rPr>
        <w:t>t</w:t>
      </w:r>
      <w:r w:rsidRPr="00343FB2">
        <w:rPr>
          <w:rFonts w:cs="Verdana"/>
          <w:spacing w:val="1"/>
          <w:lang w:val="en-US"/>
        </w:rPr>
        <w:t>io</w:t>
      </w:r>
      <w:r w:rsidRPr="00343FB2">
        <w:rPr>
          <w:rFonts w:cs="Verdana"/>
          <w:spacing w:val="-1"/>
          <w:lang w:val="en-US"/>
        </w:rPr>
        <w:t>n</w:t>
      </w:r>
      <w:r w:rsidRPr="00343FB2">
        <w:rPr>
          <w:rFonts w:cs="Verdana"/>
          <w:lang w:val="en-US"/>
        </w:rPr>
        <w:t>.</w:t>
      </w:r>
      <w:r w:rsidRPr="00343FB2">
        <w:rPr>
          <w:rFonts w:cs="Verdana"/>
          <w:spacing w:val="-1"/>
          <w:lang w:val="en-US"/>
        </w:rPr>
        <w:t xml:space="preserve"> </w:t>
      </w:r>
      <w:r>
        <w:rPr>
          <w:rFonts w:cs="Verdana"/>
          <w:spacing w:val="1"/>
          <w:lang w:val="en-US"/>
        </w:rPr>
        <w:t>T</w:t>
      </w:r>
      <w:r w:rsidRPr="00343FB2">
        <w:rPr>
          <w:rFonts w:cs="Verdana"/>
          <w:spacing w:val="-1"/>
          <w:lang w:val="en-US"/>
        </w:rPr>
        <w:t>h</w:t>
      </w:r>
      <w:r w:rsidRPr="00343FB2">
        <w:rPr>
          <w:rFonts w:cs="Verdana"/>
          <w:lang w:val="en-US"/>
        </w:rPr>
        <w:t xml:space="preserve">e </w:t>
      </w:r>
      <w:r w:rsidRPr="00343FB2">
        <w:rPr>
          <w:rFonts w:cs="Verdana"/>
          <w:spacing w:val="1"/>
          <w:lang w:val="en-US"/>
        </w:rPr>
        <w:t>l</w:t>
      </w:r>
      <w:r w:rsidRPr="00343FB2">
        <w:rPr>
          <w:rFonts w:cs="Verdana"/>
          <w:lang w:val="en-US"/>
        </w:rPr>
        <w:t>ack</w:t>
      </w:r>
      <w:r w:rsidRPr="00343FB2">
        <w:rPr>
          <w:rFonts w:cs="Verdana"/>
          <w:spacing w:val="-2"/>
          <w:lang w:val="en-US"/>
        </w:rPr>
        <w:t xml:space="preserve"> </w:t>
      </w:r>
      <w:r w:rsidRPr="00343FB2">
        <w:rPr>
          <w:rFonts w:cs="Verdana"/>
          <w:spacing w:val="1"/>
          <w:lang w:val="en-US"/>
        </w:rPr>
        <w:t>o</w:t>
      </w:r>
      <w:r w:rsidRPr="00343FB2">
        <w:rPr>
          <w:rFonts w:cs="Verdana"/>
          <w:lang w:val="en-US"/>
        </w:rPr>
        <w:t>f</w:t>
      </w:r>
      <w:r w:rsidRPr="00343FB2">
        <w:rPr>
          <w:rFonts w:cs="Verdana"/>
          <w:spacing w:val="-2"/>
          <w:lang w:val="en-US"/>
        </w:rPr>
        <w:t xml:space="preserve"> </w:t>
      </w:r>
      <w:r w:rsidRPr="00343FB2">
        <w:rPr>
          <w:rFonts w:cs="Verdana"/>
          <w:lang w:val="en-US"/>
        </w:rPr>
        <w:t>c</w:t>
      </w:r>
      <w:r w:rsidRPr="00343FB2">
        <w:rPr>
          <w:rFonts w:cs="Verdana"/>
          <w:spacing w:val="1"/>
          <w:lang w:val="en-US"/>
        </w:rPr>
        <w:t>o</w:t>
      </w:r>
      <w:r w:rsidRPr="00343FB2">
        <w:rPr>
          <w:rFonts w:cs="Verdana"/>
          <w:spacing w:val="-1"/>
          <w:lang w:val="en-US"/>
        </w:rPr>
        <w:t>n</w:t>
      </w:r>
      <w:r w:rsidRPr="00343FB2">
        <w:rPr>
          <w:rFonts w:cs="Verdana"/>
          <w:spacing w:val="1"/>
          <w:lang w:val="en-US"/>
        </w:rPr>
        <w:t>t</w:t>
      </w:r>
      <w:r w:rsidRPr="00343FB2">
        <w:rPr>
          <w:rFonts w:cs="Verdana"/>
          <w:lang w:val="en-US"/>
        </w:rPr>
        <w:t>r</w:t>
      </w:r>
      <w:r w:rsidRPr="00343FB2">
        <w:rPr>
          <w:rFonts w:cs="Verdana"/>
          <w:spacing w:val="1"/>
          <w:lang w:val="en-US"/>
        </w:rPr>
        <w:t>oll</w:t>
      </w:r>
      <w:r w:rsidRPr="00343FB2">
        <w:rPr>
          <w:rFonts w:cs="Verdana"/>
          <w:spacing w:val="-2"/>
          <w:lang w:val="en-US"/>
        </w:rPr>
        <w:t>e</w:t>
      </w:r>
      <w:r w:rsidRPr="00343FB2">
        <w:rPr>
          <w:rFonts w:cs="Verdana"/>
          <w:lang w:val="en-US"/>
        </w:rPr>
        <w:t>d s</w:t>
      </w:r>
      <w:r w:rsidRPr="00343FB2">
        <w:rPr>
          <w:rFonts w:cs="Verdana"/>
          <w:spacing w:val="1"/>
          <w:lang w:val="en-US"/>
        </w:rPr>
        <w:t>t</w:t>
      </w:r>
      <w:r w:rsidRPr="00343FB2">
        <w:rPr>
          <w:rFonts w:cs="Verdana"/>
          <w:spacing w:val="-1"/>
          <w:lang w:val="en-US"/>
        </w:rPr>
        <w:t>u</w:t>
      </w:r>
      <w:r w:rsidRPr="00343FB2">
        <w:rPr>
          <w:rFonts w:cs="Verdana"/>
          <w:spacing w:val="1"/>
          <w:lang w:val="en-US"/>
        </w:rPr>
        <w:t>die</w:t>
      </w:r>
      <w:r w:rsidRPr="00343FB2">
        <w:rPr>
          <w:rFonts w:cs="Verdana"/>
          <w:lang w:val="en-US"/>
        </w:rPr>
        <w:t>s</w:t>
      </w:r>
      <w:r w:rsidRPr="00343FB2">
        <w:rPr>
          <w:rFonts w:cs="Verdana"/>
          <w:spacing w:val="-1"/>
          <w:lang w:val="en-US"/>
        </w:rPr>
        <w:t xml:space="preserve"> </w:t>
      </w:r>
      <w:r>
        <w:rPr>
          <w:rFonts w:cs="Verdana"/>
          <w:lang w:val="en-US"/>
        </w:rPr>
        <w:t>leaves</w:t>
      </w:r>
      <w:r w:rsidRPr="00343FB2">
        <w:rPr>
          <w:rFonts w:cs="Verdana"/>
          <w:spacing w:val="-1"/>
          <w:lang w:val="en-US"/>
        </w:rPr>
        <w:t xml:space="preserve"> </w:t>
      </w:r>
      <w:r w:rsidRPr="00343FB2">
        <w:rPr>
          <w:rFonts w:cs="Verdana"/>
          <w:spacing w:val="1"/>
          <w:lang w:val="en-US"/>
        </w:rPr>
        <w:t>t</w:t>
      </w:r>
      <w:r w:rsidRPr="00343FB2">
        <w:rPr>
          <w:rFonts w:cs="Verdana"/>
          <w:spacing w:val="-1"/>
          <w:lang w:val="en-US"/>
        </w:rPr>
        <w:t>h</w:t>
      </w:r>
      <w:r w:rsidRPr="00343FB2">
        <w:rPr>
          <w:rFonts w:cs="Verdana"/>
          <w:lang w:val="en-US"/>
        </w:rPr>
        <w:t>e c</w:t>
      </w:r>
      <w:r w:rsidRPr="00343FB2">
        <w:rPr>
          <w:rFonts w:cs="Verdana"/>
          <w:spacing w:val="1"/>
          <w:lang w:val="en-US"/>
        </w:rPr>
        <w:t>o</w:t>
      </w:r>
      <w:r w:rsidRPr="00343FB2">
        <w:rPr>
          <w:rFonts w:cs="Verdana"/>
          <w:lang w:val="en-US"/>
        </w:rPr>
        <w:t>m</w:t>
      </w:r>
      <w:r w:rsidRPr="00343FB2">
        <w:rPr>
          <w:rFonts w:cs="Verdana"/>
          <w:spacing w:val="1"/>
          <w:lang w:val="en-US"/>
        </w:rPr>
        <w:t>p</w:t>
      </w:r>
      <w:r w:rsidRPr="00343FB2">
        <w:rPr>
          <w:rFonts w:cs="Verdana"/>
          <w:lang w:val="en-US"/>
        </w:rPr>
        <w:t>ara</w:t>
      </w:r>
      <w:r w:rsidRPr="00343FB2">
        <w:rPr>
          <w:rFonts w:cs="Verdana"/>
          <w:spacing w:val="1"/>
          <w:lang w:val="en-US"/>
        </w:rPr>
        <w:t>ti</w:t>
      </w:r>
      <w:r w:rsidRPr="00343FB2">
        <w:rPr>
          <w:rFonts w:cs="Verdana"/>
          <w:spacing w:val="-1"/>
          <w:lang w:val="en-US"/>
        </w:rPr>
        <w:t>v</w:t>
      </w:r>
      <w:r w:rsidRPr="00343FB2">
        <w:rPr>
          <w:rFonts w:cs="Verdana"/>
          <w:lang w:val="en-US"/>
        </w:rPr>
        <w:t>e s</w:t>
      </w:r>
      <w:r w:rsidRPr="00343FB2">
        <w:rPr>
          <w:rFonts w:cs="Verdana"/>
          <w:spacing w:val="1"/>
          <w:lang w:val="en-US"/>
        </w:rPr>
        <w:t>i</w:t>
      </w:r>
      <w:r w:rsidRPr="00343FB2">
        <w:rPr>
          <w:rFonts w:cs="Verdana"/>
          <w:spacing w:val="-1"/>
          <w:lang w:val="en-US"/>
        </w:rPr>
        <w:t>z</w:t>
      </w:r>
      <w:r w:rsidRPr="00343FB2">
        <w:rPr>
          <w:rFonts w:cs="Verdana"/>
          <w:lang w:val="en-US"/>
        </w:rPr>
        <w:t xml:space="preserve">e </w:t>
      </w:r>
      <w:r w:rsidRPr="00343FB2">
        <w:rPr>
          <w:rFonts w:cs="Verdana"/>
          <w:spacing w:val="1"/>
          <w:lang w:val="en-US"/>
        </w:rPr>
        <w:t>o</w:t>
      </w:r>
      <w:r w:rsidRPr="00343FB2">
        <w:rPr>
          <w:rFonts w:cs="Verdana"/>
          <w:lang w:val="en-US"/>
        </w:rPr>
        <w:t>f</w:t>
      </w:r>
      <w:r w:rsidRPr="00343FB2">
        <w:rPr>
          <w:rFonts w:cs="Verdana"/>
          <w:spacing w:val="-2"/>
          <w:lang w:val="en-US"/>
        </w:rPr>
        <w:t xml:space="preserve"> </w:t>
      </w:r>
      <w:r w:rsidRPr="00343FB2">
        <w:rPr>
          <w:rFonts w:cs="Verdana"/>
          <w:spacing w:val="1"/>
          <w:lang w:val="en-US"/>
        </w:rPr>
        <w:t>t</w:t>
      </w:r>
      <w:r w:rsidRPr="00343FB2">
        <w:rPr>
          <w:rFonts w:cs="Verdana"/>
          <w:spacing w:val="-1"/>
          <w:lang w:val="en-US"/>
        </w:rPr>
        <w:t>h</w:t>
      </w:r>
      <w:r w:rsidRPr="00343FB2">
        <w:rPr>
          <w:rFonts w:cs="Verdana"/>
          <w:lang w:val="en-US"/>
        </w:rPr>
        <w:t xml:space="preserve">e </w:t>
      </w:r>
      <w:r w:rsidRPr="00343FB2">
        <w:rPr>
          <w:rFonts w:cs="Verdana"/>
          <w:spacing w:val="1"/>
          <w:lang w:val="en-US"/>
        </w:rPr>
        <w:t>b</w:t>
      </w:r>
      <w:r w:rsidRPr="00343FB2">
        <w:rPr>
          <w:rFonts w:cs="Verdana"/>
          <w:spacing w:val="-2"/>
          <w:lang w:val="en-US"/>
        </w:rPr>
        <w:t>e</w:t>
      </w:r>
      <w:r w:rsidRPr="00343FB2">
        <w:rPr>
          <w:rFonts w:cs="Verdana"/>
          <w:spacing w:val="-1"/>
          <w:lang w:val="en-US"/>
        </w:rPr>
        <w:t>n</w:t>
      </w:r>
      <w:r w:rsidRPr="00343FB2">
        <w:rPr>
          <w:rFonts w:cs="Verdana"/>
          <w:spacing w:val="1"/>
          <w:lang w:val="en-US"/>
        </w:rPr>
        <w:t>e</w:t>
      </w:r>
      <w:r w:rsidRPr="00343FB2">
        <w:rPr>
          <w:rFonts w:cs="Verdana"/>
          <w:spacing w:val="-1"/>
          <w:lang w:val="en-US"/>
        </w:rPr>
        <w:t>f</w:t>
      </w:r>
      <w:r w:rsidRPr="00343FB2">
        <w:rPr>
          <w:rFonts w:cs="Verdana"/>
          <w:spacing w:val="1"/>
          <w:lang w:val="en-US"/>
        </w:rPr>
        <w:t>i</w:t>
      </w:r>
      <w:r w:rsidRPr="00343FB2">
        <w:rPr>
          <w:rFonts w:cs="Verdana"/>
          <w:lang w:val="en-US"/>
        </w:rPr>
        <w:t xml:space="preserve">t </w:t>
      </w:r>
      <w:r w:rsidRPr="00343FB2">
        <w:rPr>
          <w:rFonts w:cs="Verdana"/>
          <w:spacing w:val="1"/>
          <w:lang w:val="en-US"/>
        </w:rPr>
        <w:t>o</w:t>
      </w:r>
      <w:r w:rsidRPr="00343FB2">
        <w:rPr>
          <w:rFonts w:cs="Verdana"/>
          <w:lang w:val="en-US"/>
        </w:rPr>
        <w:t>n</w:t>
      </w:r>
      <w:r w:rsidRPr="00343FB2">
        <w:rPr>
          <w:rFonts w:cs="Verdana"/>
          <w:spacing w:val="-2"/>
          <w:lang w:val="en-US"/>
        </w:rPr>
        <w:t xml:space="preserve"> </w:t>
      </w:r>
      <w:r w:rsidRPr="00343FB2">
        <w:rPr>
          <w:rFonts w:cs="Verdana"/>
          <w:spacing w:val="-1"/>
          <w:lang w:val="en-US"/>
        </w:rPr>
        <w:t>P</w:t>
      </w:r>
      <w:r w:rsidRPr="00343FB2">
        <w:rPr>
          <w:rFonts w:cs="Verdana"/>
          <w:lang w:val="en-US"/>
        </w:rPr>
        <w:t>FS</w:t>
      </w:r>
      <w:r>
        <w:rPr>
          <w:rFonts w:cs="Verdana"/>
          <w:spacing w:val="2"/>
          <w:lang w:val="en-US"/>
        </w:rPr>
        <w:t>,</w:t>
      </w:r>
      <w:r w:rsidRPr="00343FB2">
        <w:rPr>
          <w:rFonts w:cs="Verdana"/>
          <w:lang w:val="en-US"/>
        </w:rPr>
        <w:t xml:space="preserve"> </w:t>
      </w:r>
      <w:r w:rsidRPr="00343FB2">
        <w:rPr>
          <w:rFonts w:cs="Verdana"/>
          <w:spacing w:val="1"/>
          <w:lang w:val="en-US"/>
        </w:rPr>
        <w:t>t</w:t>
      </w:r>
      <w:r w:rsidRPr="00343FB2">
        <w:rPr>
          <w:rFonts w:cs="Verdana"/>
          <w:spacing w:val="-1"/>
          <w:lang w:val="en-US"/>
        </w:rPr>
        <w:t>h</w:t>
      </w:r>
      <w:r w:rsidRPr="00343FB2">
        <w:rPr>
          <w:rFonts w:cs="Verdana"/>
          <w:lang w:val="en-US"/>
        </w:rPr>
        <w:t>e r</w:t>
      </w:r>
      <w:r w:rsidRPr="00343FB2">
        <w:rPr>
          <w:rFonts w:cs="Verdana"/>
          <w:spacing w:val="1"/>
          <w:lang w:val="en-US"/>
        </w:rPr>
        <w:t>e</w:t>
      </w:r>
      <w:r w:rsidRPr="00343FB2">
        <w:rPr>
          <w:rFonts w:cs="Verdana"/>
          <w:lang w:val="en-US"/>
        </w:rPr>
        <w:t xml:space="preserve">al </w:t>
      </w:r>
      <w:r w:rsidRPr="00343FB2">
        <w:rPr>
          <w:rFonts w:cs="Verdana"/>
          <w:spacing w:val="1"/>
          <w:lang w:val="en-US"/>
        </w:rPr>
        <w:t>e</w:t>
      </w:r>
      <w:r w:rsidRPr="00343FB2">
        <w:rPr>
          <w:rFonts w:cs="Verdana"/>
          <w:spacing w:val="-1"/>
          <w:lang w:val="en-US"/>
        </w:rPr>
        <w:t>ff</w:t>
      </w:r>
      <w:r w:rsidRPr="00343FB2">
        <w:rPr>
          <w:rFonts w:cs="Verdana"/>
          <w:spacing w:val="1"/>
          <w:lang w:val="en-US"/>
        </w:rPr>
        <w:t>e</w:t>
      </w:r>
      <w:r w:rsidRPr="00343FB2">
        <w:rPr>
          <w:rFonts w:cs="Verdana"/>
          <w:lang w:val="en-US"/>
        </w:rPr>
        <w:t xml:space="preserve">ct </w:t>
      </w:r>
      <w:r w:rsidRPr="00343FB2">
        <w:rPr>
          <w:rFonts w:cs="Verdana"/>
          <w:spacing w:val="1"/>
          <w:lang w:val="en-US"/>
        </w:rPr>
        <w:t>o</w:t>
      </w:r>
      <w:r w:rsidRPr="00343FB2">
        <w:rPr>
          <w:rFonts w:cs="Verdana"/>
          <w:lang w:val="en-US"/>
        </w:rPr>
        <w:t>n</w:t>
      </w:r>
      <w:r w:rsidRPr="00343FB2">
        <w:rPr>
          <w:rFonts w:cs="Verdana"/>
          <w:spacing w:val="-2"/>
          <w:lang w:val="en-US"/>
        </w:rPr>
        <w:t xml:space="preserve"> </w:t>
      </w:r>
      <w:r>
        <w:rPr>
          <w:rFonts w:cs="Verdana"/>
          <w:spacing w:val="-2"/>
          <w:lang w:val="en-US"/>
        </w:rPr>
        <w:t>patient reported outcomes (</w:t>
      </w:r>
      <w:r w:rsidRPr="00343FB2">
        <w:rPr>
          <w:rFonts w:cs="Verdana"/>
          <w:spacing w:val="-1"/>
          <w:lang w:val="en-US"/>
        </w:rPr>
        <w:t>P</w:t>
      </w:r>
      <w:r w:rsidRPr="00343FB2">
        <w:rPr>
          <w:rFonts w:cs="Verdana"/>
          <w:lang w:val="en-US"/>
        </w:rPr>
        <w:t>ROs</w:t>
      </w:r>
      <w:r>
        <w:rPr>
          <w:rFonts w:cs="Verdana"/>
          <w:lang w:val="en-US"/>
        </w:rPr>
        <w:t xml:space="preserve">) </w:t>
      </w:r>
      <w:r w:rsidRPr="00343FB2">
        <w:rPr>
          <w:rFonts w:cs="Verdana"/>
          <w:lang w:val="en-US"/>
        </w:rPr>
        <w:t>a</w:t>
      </w:r>
      <w:r w:rsidRPr="00343FB2">
        <w:rPr>
          <w:rFonts w:cs="Verdana"/>
          <w:spacing w:val="-1"/>
          <w:lang w:val="en-US"/>
        </w:rPr>
        <w:t>n</w:t>
      </w:r>
      <w:r w:rsidRPr="00343FB2">
        <w:rPr>
          <w:rFonts w:cs="Verdana"/>
          <w:lang w:val="en-US"/>
        </w:rPr>
        <w:t>d OS</w:t>
      </w:r>
      <w:r w:rsidRPr="00343FB2">
        <w:rPr>
          <w:rFonts w:cs="Verdana"/>
          <w:spacing w:val="-1"/>
          <w:lang w:val="en-US"/>
        </w:rPr>
        <w:t xml:space="preserve"> </w:t>
      </w:r>
      <w:r>
        <w:rPr>
          <w:rFonts w:cs="Verdana"/>
          <w:spacing w:val="3"/>
          <w:lang w:val="en-US"/>
        </w:rPr>
        <w:t>as unknown</w:t>
      </w:r>
      <w:r w:rsidRPr="00343FB2">
        <w:rPr>
          <w:rFonts w:cs="Verdana"/>
          <w:lang w:val="en-US"/>
        </w:rPr>
        <w:t xml:space="preserve">. </w:t>
      </w:r>
      <w:r>
        <w:rPr>
          <w:rFonts w:cs="Verdana"/>
          <w:lang w:val="en-US"/>
        </w:rPr>
        <w:t>However, d</w:t>
      </w:r>
      <w:r w:rsidRPr="00343FB2">
        <w:rPr>
          <w:rFonts w:cs="Verdana"/>
          <w:spacing w:val="1"/>
          <w:lang w:val="en-US"/>
        </w:rPr>
        <w:t>e</w:t>
      </w:r>
      <w:r w:rsidRPr="00343FB2">
        <w:rPr>
          <w:rFonts w:cs="Verdana"/>
          <w:lang w:val="en-US"/>
        </w:rPr>
        <w:t>s</w:t>
      </w:r>
      <w:r w:rsidRPr="00343FB2">
        <w:rPr>
          <w:rFonts w:cs="Verdana"/>
          <w:spacing w:val="1"/>
          <w:lang w:val="en-US"/>
        </w:rPr>
        <w:t>p</w:t>
      </w:r>
      <w:r w:rsidRPr="00343FB2">
        <w:rPr>
          <w:rFonts w:cs="Verdana"/>
          <w:spacing w:val="-1"/>
          <w:lang w:val="en-US"/>
        </w:rPr>
        <w:t>i</w:t>
      </w:r>
      <w:r w:rsidRPr="00343FB2">
        <w:rPr>
          <w:rFonts w:cs="Verdana"/>
          <w:spacing w:val="1"/>
          <w:lang w:val="en-US"/>
        </w:rPr>
        <w:t>t</w:t>
      </w:r>
      <w:r w:rsidRPr="00343FB2">
        <w:rPr>
          <w:rFonts w:cs="Verdana"/>
          <w:lang w:val="en-US"/>
        </w:rPr>
        <w:t xml:space="preserve">e </w:t>
      </w:r>
      <w:r w:rsidRPr="00343FB2">
        <w:rPr>
          <w:rFonts w:cs="Verdana"/>
          <w:spacing w:val="1"/>
          <w:lang w:val="en-US"/>
        </w:rPr>
        <w:t>t</w:t>
      </w:r>
      <w:r w:rsidRPr="00343FB2">
        <w:rPr>
          <w:rFonts w:cs="Verdana"/>
          <w:spacing w:val="-1"/>
          <w:lang w:val="en-US"/>
        </w:rPr>
        <w:t>h</w:t>
      </w:r>
      <w:r w:rsidRPr="00343FB2">
        <w:rPr>
          <w:rFonts w:cs="Verdana"/>
          <w:spacing w:val="1"/>
          <w:lang w:val="en-US"/>
        </w:rPr>
        <w:t>e</w:t>
      </w:r>
      <w:r w:rsidRPr="00343FB2">
        <w:rPr>
          <w:rFonts w:cs="Verdana"/>
          <w:lang w:val="en-US"/>
        </w:rPr>
        <w:t xml:space="preserve">se </w:t>
      </w:r>
      <w:r w:rsidRPr="00343FB2">
        <w:rPr>
          <w:rFonts w:cs="Verdana"/>
          <w:spacing w:val="-1"/>
          <w:lang w:val="en-US"/>
        </w:rPr>
        <w:t>l</w:t>
      </w:r>
      <w:r w:rsidRPr="00343FB2">
        <w:rPr>
          <w:rFonts w:cs="Verdana"/>
          <w:spacing w:val="1"/>
          <w:lang w:val="en-US"/>
        </w:rPr>
        <w:t>i</w:t>
      </w:r>
      <w:r w:rsidRPr="00343FB2">
        <w:rPr>
          <w:rFonts w:cs="Verdana"/>
          <w:lang w:val="en-US"/>
        </w:rPr>
        <w:t>m</w:t>
      </w:r>
      <w:r w:rsidRPr="00343FB2">
        <w:rPr>
          <w:rFonts w:cs="Verdana"/>
          <w:spacing w:val="1"/>
          <w:lang w:val="en-US"/>
        </w:rPr>
        <w:t>it</w:t>
      </w:r>
      <w:r w:rsidRPr="00343FB2">
        <w:rPr>
          <w:rFonts w:cs="Verdana"/>
          <w:spacing w:val="-3"/>
          <w:lang w:val="en-US"/>
        </w:rPr>
        <w:t>a</w:t>
      </w:r>
      <w:r w:rsidRPr="00343FB2">
        <w:rPr>
          <w:rFonts w:cs="Verdana"/>
          <w:spacing w:val="1"/>
          <w:lang w:val="en-US"/>
        </w:rPr>
        <w:t>t</w:t>
      </w:r>
      <w:r w:rsidRPr="00343FB2">
        <w:rPr>
          <w:rFonts w:cs="Verdana"/>
          <w:spacing w:val="-1"/>
          <w:lang w:val="en-US"/>
        </w:rPr>
        <w:t>i</w:t>
      </w:r>
      <w:r w:rsidRPr="00343FB2">
        <w:rPr>
          <w:rFonts w:cs="Verdana"/>
          <w:spacing w:val="1"/>
          <w:lang w:val="en-US"/>
        </w:rPr>
        <w:t>o</w:t>
      </w:r>
      <w:r w:rsidRPr="00343FB2">
        <w:rPr>
          <w:rFonts w:cs="Verdana"/>
          <w:spacing w:val="-1"/>
          <w:lang w:val="en-US"/>
        </w:rPr>
        <w:t>n</w:t>
      </w:r>
      <w:r w:rsidRPr="00343FB2">
        <w:rPr>
          <w:rFonts w:cs="Verdana"/>
          <w:lang w:val="en-US"/>
        </w:rPr>
        <w:t>s,</w:t>
      </w:r>
      <w:r w:rsidRPr="00343FB2">
        <w:rPr>
          <w:rFonts w:cs="Verdana"/>
          <w:spacing w:val="-1"/>
          <w:lang w:val="en-US"/>
        </w:rPr>
        <w:t xml:space="preserve"> </w:t>
      </w:r>
      <w:r>
        <w:rPr>
          <w:rFonts w:cs="Verdana"/>
          <w:spacing w:val="1"/>
          <w:lang w:val="en-US"/>
        </w:rPr>
        <w:t>the</w:t>
      </w:r>
      <w:r w:rsidRPr="00343FB2">
        <w:rPr>
          <w:rFonts w:cs="Verdana"/>
          <w:lang w:val="en-US"/>
        </w:rPr>
        <w:t xml:space="preserve"> r</w:t>
      </w:r>
      <w:r w:rsidRPr="00343FB2">
        <w:rPr>
          <w:rFonts w:cs="Verdana"/>
          <w:spacing w:val="1"/>
          <w:lang w:val="en-US"/>
        </w:rPr>
        <w:t>e</w:t>
      </w:r>
      <w:r w:rsidRPr="00343FB2">
        <w:rPr>
          <w:rFonts w:cs="Verdana"/>
          <w:spacing w:val="-3"/>
          <w:lang w:val="en-US"/>
        </w:rPr>
        <w:t>s</w:t>
      </w:r>
      <w:r w:rsidRPr="00343FB2">
        <w:rPr>
          <w:rFonts w:cs="Verdana"/>
          <w:spacing w:val="-1"/>
          <w:lang w:val="en-US"/>
        </w:rPr>
        <w:t>u</w:t>
      </w:r>
      <w:r w:rsidRPr="00343FB2">
        <w:rPr>
          <w:rFonts w:cs="Verdana"/>
          <w:spacing w:val="1"/>
          <w:lang w:val="en-US"/>
        </w:rPr>
        <w:t>lt</w:t>
      </w:r>
      <w:r w:rsidRPr="00343FB2">
        <w:rPr>
          <w:rFonts w:cs="Verdana"/>
          <w:lang w:val="en-US"/>
        </w:rPr>
        <w:t>s</w:t>
      </w:r>
      <w:r w:rsidRPr="00343FB2">
        <w:rPr>
          <w:rFonts w:cs="Verdana"/>
          <w:spacing w:val="-1"/>
          <w:lang w:val="en-US"/>
        </w:rPr>
        <w:t xml:space="preserve"> </w:t>
      </w:r>
      <w:r>
        <w:rPr>
          <w:rFonts w:cs="Verdana"/>
          <w:lang w:val="en-US"/>
        </w:rPr>
        <w:t xml:space="preserve">represent a clinically meaningful </w:t>
      </w:r>
      <w:r w:rsidRPr="00343FB2">
        <w:rPr>
          <w:rFonts w:cs="Verdana"/>
          <w:spacing w:val="-1"/>
          <w:lang w:val="en-US"/>
        </w:rPr>
        <w:t>v</w:t>
      </w:r>
      <w:r w:rsidRPr="00343FB2">
        <w:rPr>
          <w:rFonts w:cs="Verdana"/>
          <w:lang w:val="en-US"/>
        </w:rPr>
        <w:t>a</w:t>
      </w:r>
      <w:r w:rsidRPr="00343FB2">
        <w:rPr>
          <w:rFonts w:cs="Verdana"/>
          <w:spacing w:val="1"/>
          <w:lang w:val="en-US"/>
        </w:rPr>
        <w:t>l</w:t>
      </w:r>
      <w:r w:rsidRPr="00343FB2">
        <w:rPr>
          <w:rFonts w:cs="Verdana"/>
          <w:spacing w:val="-1"/>
          <w:lang w:val="en-US"/>
        </w:rPr>
        <w:t>u</w:t>
      </w:r>
      <w:r w:rsidRPr="00343FB2">
        <w:rPr>
          <w:rFonts w:cs="Verdana"/>
          <w:spacing w:val="1"/>
          <w:lang w:val="en-US"/>
        </w:rPr>
        <w:t>e</w:t>
      </w:r>
      <w:r w:rsidRPr="00343FB2">
        <w:rPr>
          <w:rFonts w:cs="Verdana"/>
          <w:spacing w:val="-1"/>
          <w:lang w:val="en-US"/>
        </w:rPr>
        <w:t xml:space="preserve"> </w:t>
      </w:r>
      <w:r>
        <w:rPr>
          <w:rFonts w:cs="Verdana"/>
          <w:lang w:val="en-US"/>
        </w:rPr>
        <w:t>for</w:t>
      </w:r>
      <w:r w:rsidRPr="00343FB2">
        <w:rPr>
          <w:rFonts w:cs="Verdana"/>
          <w:lang w:val="en-US"/>
        </w:rPr>
        <w:t xml:space="preserve"> </w:t>
      </w:r>
      <w:r w:rsidRPr="00343FB2">
        <w:rPr>
          <w:rFonts w:cs="Verdana"/>
          <w:spacing w:val="1"/>
          <w:lang w:val="en-US"/>
        </w:rPr>
        <w:t>p</w:t>
      </w:r>
      <w:r w:rsidRPr="00343FB2">
        <w:rPr>
          <w:rFonts w:cs="Verdana"/>
          <w:lang w:val="en-US"/>
        </w:rPr>
        <w:t>a</w:t>
      </w:r>
      <w:r w:rsidRPr="00343FB2">
        <w:rPr>
          <w:rFonts w:cs="Verdana"/>
          <w:spacing w:val="1"/>
          <w:lang w:val="en-US"/>
        </w:rPr>
        <w:t>tie</w:t>
      </w:r>
      <w:r w:rsidRPr="00343FB2">
        <w:rPr>
          <w:rFonts w:cs="Verdana"/>
          <w:spacing w:val="-1"/>
          <w:lang w:val="en-US"/>
        </w:rPr>
        <w:t>n</w:t>
      </w:r>
      <w:r w:rsidRPr="00343FB2">
        <w:rPr>
          <w:rFonts w:cs="Verdana"/>
          <w:spacing w:val="1"/>
          <w:lang w:val="en-US"/>
        </w:rPr>
        <w:t>t</w:t>
      </w:r>
      <w:r w:rsidRPr="00343FB2">
        <w:rPr>
          <w:rFonts w:cs="Verdana"/>
          <w:lang w:val="en-US"/>
        </w:rPr>
        <w:t>s</w:t>
      </w:r>
      <w:r w:rsidRPr="00343FB2">
        <w:rPr>
          <w:rFonts w:cs="Verdana"/>
          <w:spacing w:val="-1"/>
          <w:lang w:val="en-US"/>
        </w:rPr>
        <w:t xml:space="preserve"> w</w:t>
      </w:r>
      <w:r w:rsidRPr="00343FB2">
        <w:rPr>
          <w:rFonts w:cs="Verdana"/>
          <w:spacing w:val="1"/>
          <w:lang w:val="en-US"/>
        </w:rPr>
        <w:t>it</w:t>
      </w:r>
      <w:r w:rsidRPr="00343FB2">
        <w:rPr>
          <w:rFonts w:cs="Verdana"/>
          <w:lang w:val="en-US"/>
        </w:rPr>
        <w:t>h</w:t>
      </w:r>
      <w:r w:rsidRPr="00343FB2">
        <w:rPr>
          <w:rFonts w:cs="Verdana"/>
          <w:spacing w:val="-2"/>
          <w:lang w:val="en-US"/>
        </w:rPr>
        <w:t xml:space="preserve"> </w:t>
      </w:r>
      <w:r w:rsidRPr="00343FB2">
        <w:rPr>
          <w:rFonts w:cs="Verdana"/>
          <w:spacing w:val="1"/>
          <w:lang w:val="en-US"/>
        </w:rPr>
        <w:t>p</w:t>
      </w:r>
      <w:r w:rsidRPr="00343FB2">
        <w:rPr>
          <w:rFonts w:cs="Verdana"/>
          <w:lang w:val="en-US"/>
        </w:rPr>
        <w:t>r</w:t>
      </w:r>
      <w:r w:rsidRPr="00343FB2">
        <w:rPr>
          <w:rFonts w:cs="Verdana"/>
          <w:spacing w:val="1"/>
          <w:lang w:val="en-US"/>
        </w:rPr>
        <w:t>io</w:t>
      </w:r>
      <w:r w:rsidRPr="00343FB2">
        <w:rPr>
          <w:rFonts w:cs="Verdana"/>
          <w:lang w:val="en-US"/>
        </w:rPr>
        <w:t>r</w:t>
      </w:r>
      <w:r w:rsidRPr="00343FB2">
        <w:rPr>
          <w:rFonts w:cs="Verdana"/>
          <w:spacing w:val="-1"/>
          <w:lang w:val="en-US"/>
        </w:rPr>
        <w:t xml:space="preserve"> A</w:t>
      </w:r>
      <w:r w:rsidRPr="00343FB2">
        <w:rPr>
          <w:rFonts w:cs="Verdana"/>
          <w:spacing w:val="1"/>
          <w:lang w:val="en-US"/>
        </w:rPr>
        <w:t>L</w:t>
      </w:r>
      <w:r w:rsidRPr="00343FB2">
        <w:rPr>
          <w:rFonts w:cs="Verdana"/>
          <w:lang w:val="en-US"/>
        </w:rPr>
        <w:t>K</w:t>
      </w:r>
      <w:r w:rsidRPr="00343FB2">
        <w:rPr>
          <w:rFonts w:cs="Verdana"/>
          <w:spacing w:val="-1"/>
          <w:lang w:val="en-US"/>
        </w:rPr>
        <w:t xml:space="preserve"> </w:t>
      </w:r>
      <w:r w:rsidRPr="00343FB2">
        <w:rPr>
          <w:rFonts w:cs="Verdana"/>
          <w:spacing w:val="1"/>
          <w:lang w:val="en-US"/>
        </w:rPr>
        <w:t>i</w:t>
      </w:r>
      <w:r w:rsidRPr="00343FB2">
        <w:rPr>
          <w:rFonts w:cs="Verdana"/>
          <w:spacing w:val="-1"/>
          <w:lang w:val="en-US"/>
        </w:rPr>
        <w:t>nh</w:t>
      </w:r>
      <w:r w:rsidRPr="00343FB2">
        <w:rPr>
          <w:rFonts w:cs="Verdana"/>
          <w:spacing w:val="1"/>
          <w:lang w:val="en-US"/>
        </w:rPr>
        <w:t>ibi</w:t>
      </w:r>
      <w:r w:rsidRPr="00343FB2">
        <w:rPr>
          <w:rFonts w:cs="Verdana"/>
          <w:spacing w:val="-1"/>
          <w:lang w:val="en-US"/>
        </w:rPr>
        <w:t>t</w:t>
      </w:r>
      <w:r w:rsidRPr="00343FB2">
        <w:rPr>
          <w:rFonts w:cs="Verdana"/>
          <w:spacing w:val="1"/>
          <w:lang w:val="en-US"/>
        </w:rPr>
        <w:t>o</w:t>
      </w:r>
      <w:r w:rsidRPr="00343FB2">
        <w:rPr>
          <w:rFonts w:cs="Verdana"/>
          <w:lang w:val="en-US"/>
        </w:rPr>
        <w:t>r</w:t>
      </w:r>
      <w:r w:rsidRPr="00343FB2">
        <w:rPr>
          <w:rFonts w:cs="Verdana"/>
          <w:spacing w:val="-1"/>
          <w:lang w:val="en-US"/>
        </w:rPr>
        <w:t xml:space="preserve"> </w:t>
      </w:r>
      <w:r w:rsidRPr="00343FB2">
        <w:rPr>
          <w:rFonts w:cs="Verdana"/>
          <w:spacing w:val="1"/>
          <w:lang w:val="en-US"/>
        </w:rPr>
        <w:t>t</w:t>
      </w:r>
      <w:r w:rsidRPr="00343FB2">
        <w:rPr>
          <w:rFonts w:cs="Verdana"/>
          <w:lang w:val="en-US"/>
        </w:rPr>
        <w:t>r</w:t>
      </w:r>
      <w:r w:rsidRPr="00343FB2">
        <w:rPr>
          <w:rFonts w:cs="Verdana"/>
          <w:spacing w:val="1"/>
          <w:lang w:val="en-US"/>
        </w:rPr>
        <w:t>e</w:t>
      </w:r>
      <w:r w:rsidRPr="00343FB2">
        <w:rPr>
          <w:rFonts w:cs="Verdana"/>
          <w:spacing w:val="-3"/>
          <w:lang w:val="en-US"/>
        </w:rPr>
        <w:t>a</w:t>
      </w:r>
      <w:r w:rsidRPr="00343FB2">
        <w:rPr>
          <w:rFonts w:cs="Verdana"/>
          <w:spacing w:val="-1"/>
          <w:lang w:val="en-US"/>
        </w:rPr>
        <w:t>t</w:t>
      </w:r>
      <w:r w:rsidRPr="00343FB2">
        <w:rPr>
          <w:rFonts w:cs="Verdana"/>
          <w:lang w:val="en-US"/>
        </w:rPr>
        <w:t>m</w:t>
      </w:r>
      <w:r w:rsidRPr="00343FB2">
        <w:rPr>
          <w:rFonts w:cs="Verdana"/>
          <w:spacing w:val="1"/>
          <w:lang w:val="en-US"/>
        </w:rPr>
        <w:t>e</w:t>
      </w:r>
      <w:r w:rsidRPr="00343FB2">
        <w:rPr>
          <w:rFonts w:cs="Verdana"/>
          <w:spacing w:val="-1"/>
          <w:lang w:val="en-US"/>
        </w:rPr>
        <w:t>n</w:t>
      </w:r>
      <w:r w:rsidRPr="00343FB2">
        <w:rPr>
          <w:rFonts w:cs="Verdana"/>
          <w:lang w:val="en-US"/>
        </w:rPr>
        <w:t xml:space="preserve">t </w:t>
      </w:r>
      <w:r w:rsidRPr="00343FB2">
        <w:rPr>
          <w:rFonts w:cs="Verdana"/>
          <w:spacing w:val="-1"/>
          <w:lang w:val="en-US"/>
        </w:rPr>
        <w:t>f</w:t>
      </w:r>
      <w:r w:rsidRPr="00343FB2">
        <w:rPr>
          <w:rFonts w:cs="Verdana"/>
          <w:spacing w:val="1"/>
          <w:lang w:val="en-US"/>
        </w:rPr>
        <w:t>o</w:t>
      </w:r>
      <w:r w:rsidRPr="00343FB2">
        <w:rPr>
          <w:rFonts w:cs="Verdana"/>
          <w:lang w:val="en-US"/>
        </w:rPr>
        <w:t>r</w:t>
      </w:r>
      <w:r w:rsidRPr="00343FB2">
        <w:rPr>
          <w:rFonts w:cs="Verdana"/>
          <w:spacing w:val="-1"/>
          <w:lang w:val="en-US"/>
        </w:rPr>
        <w:t xml:space="preserve"> wh</w:t>
      </w:r>
      <w:r w:rsidRPr="00343FB2">
        <w:rPr>
          <w:rFonts w:cs="Verdana"/>
          <w:spacing w:val="1"/>
          <w:lang w:val="en-US"/>
        </w:rPr>
        <w:t>o</w:t>
      </w:r>
      <w:r w:rsidRPr="00343FB2">
        <w:rPr>
          <w:rFonts w:cs="Verdana"/>
          <w:lang w:val="en-US"/>
        </w:rPr>
        <w:t>m</w:t>
      </w:r>
      <w:r w:rsidRPr="00343FB2">
        <w:rPr>
          <w:rFonts w:cs="Verdana"/>
          <w:spacing w:val="-1"/>
          <w:lang w:val="en-US"/>
        </w:rPr>
        <w:t xml:space="preserve"> </w:t>
      </w:r>
      <w:r w:rsidRPr="00343FB2">
        <w:rPr>
          <w:rFonts w:cs="Verdana"/>
          <w:spacing w:val="1"/>
          <w:lang w:val="en-US"/>
        </w:rPr>
        <w:t>t</w:t>
      </w:r>
      <w:r w:rsidRPr="00343FB2">
        <w:rPr>
          <w:rFonts w:cs="Verdana"/>
          <w:spacing w:val="-1"/>
          <w:lang w:val="en-US"/>
        </w:rPr>
        <w:t>h</w:t>
      </w:r>
      <w:r w:rsidRPr="00343FB2">
        <w:rPr>
          <w:rFonts w:cs="Verdana"/>
          <w:spacing w:val="1"/>
          <w:lang w:val="en-US"/>
        </w:rPr>
        <w:t>e</w:t>
      </w:r>
      <w:r w:rsidRPr="00343FB2">
        <w:rPr>
          <w:rFonts w:cs="Verdana"/>
          <w:lang w:val="en-US"/>
        </w:rPr>
        <w:t xml:space="preserve">re </w:t>
      </w:r>
      <w:r w:rsidRPr="00343FB2">
        <w:rPr>
          <w:rFonts w:cs="Verdana"/>
          <w:spacing w:val="1"/>
          <w:lang w:val="en-US"/>
        </w:rPr>
        <w:t>e</w:t>
      </w:r>
      <w:r w:rsidRPr="00343FB2">
        <w:rPr>
          <w:rFonts w:cs="Verdana"/>
          <w:spacing w:val="-1"/>
          <w:lang w:val="en-US"/>
        </w:rPr>
        <w:t>x</w:t>
      </w:r>
      <w:r w:rsidRPr="00343FB2">
        <w:rPr>
          <w:rFonts w:cs="Verdana"/>
          <w:spacing w:val="1"/>
          <w:lang w:val="en-US"/>
        </w:rPr>
        <w:t>i</w:t>
      </w:r>
      <w:r w:rsidRPr="00343FB2">
        <w:rPr>
          <w:rFonts w:cs="Verdana"/>
          <w:lang w:val="en-US"/>
        </w:rPr>
        <w:t>s</w:t>
      </w:r>
      <w:r w:rsidRPr="00343FB2">
        <w:rPr>
          <w:rFonts w:cs="Verdana"/>
          <w:spacing w:val="1"/>
          <w:lang w:val="en-US"/>
        </w:rPr>
        <w:t>t</w:t>
      </w:r>
      <w:r w:rsidRPr="00343FB2">
        <w:rPr>
          <w:rFonts w:cs="Verdana"/>
          <w:lang w:val="en-US"/>
        </w:rPr>
        <w:t>s</w:t>
      </w:r>
      <w:r w:rsidRPr="00343FB2">
        <w:rPr>
          <w:rFonts w:cs="Verdana"/>
          <w:spacing w:val="-1"/>
          <w:lang w:val="en-US"/>
        </w:rPr>
        <w:t xml:space="preserve"> </w:t>
      </w:r>
      <w:r w:rsidRPr="00343FB2">
        <w:rPr>
          <w:rFonts w:cs="Verdana"/>
          <w:lang w:val="en-US"/>
        </w:rPr>
        <w:t xml:space="preserve">an </w:t>
      </w:r>
      <w:r w:rsidRPr="00343FB2">
        <w:rPr>
          <w:rFonts w:cs="Verdana"/>
          <w:spacing w:val="-1"/>
          <w:lang w:val="en-US"/>
        </w:rPr>
        <w:t>un</w:t>
      </w:r>
      <w:r w:rsidRPr="00343FB2">
        <w:rPr>
          <w:rFonts w:cs="Verdana"/>
          <w:lang w:val="en-US"/>
        </w:rPr>
        <w:t>m</w:t>
      </w:r>
      <w:r w:rsidRPr="00343FB2">
        <w:rPr>
          <w:rFonts w:cs="Verdana"/>
          <w:spacing w:val="1"/>
          <w:lang w:val="en-US"/>
        </w:rPr>
        <w:t>e</w:t>
      </w:r>
      <w:r w:rsidRPr="00343FB2">
        <w:rPr>
          <w:rFonts w:cs="Verdana"/>
          <w:lang w:val="en-US"/>
        </w:rPr>
        <w:t>t m</w:t>
      </w:r>
      <w:r w:rsidRPr="00343FB2">
        <w:rPr>
          <w:rFonts w:cs="Verdana"/>
          <w:spacing w:val="1"/>
          <w:lang w:val="en-US"/>
        </w:rPr>
        <w:t>edi</w:t>
      </w:r>
      <w:r w:rsidRPr="00343FB2">
        <w:rPr>
          <w:rFonts w:cs="Verdana"/>
          <w:lang w:val="en-US"/>
        </w:rPr>
        <w:t xml:space="preserve">cal </w:t>
      </w:r>
      <w:r w:rsidRPr="00343FB2">
        <w:rPr>
          <w:rFonts w:cs="Verdana"/>
          <w:spacing w:val="-1"/>
          <w:lang w:val="en-US"/>
        </w:rPr>
        <w:t>n</w:t>
      </w:r>
      <w:r w:rsidRPr="00343FB2">
        <w:rPr>
          <w:rFonts w:cs="Verdana"/>
          <w:spacing w:val="1"/>
          <w:lang w:val="en-US"/>
        </w:rPr>
        <w:t>eed</w:t>
      </w:r>
      <w:r w:rsidRPr="00343FB2">
        <w:rPr>
          <w:rFonts w:cs="Verdana"/>
          <w:lang w:val="en-US"/>
        </w:rPr>
        <w:t>.</w:t>
      </w:r>
      <w:r w:rsidR="000E3918">
        <w:rPr>
          <w:rFonts w:cs="Verdana"/>
          <w:spacing w:val="-1"/>
          <w:lang w:val="en-US"/>
        </w:rPr>
        <w:t xml:space="preserve"> </w:t>
      </w:r>
      <w:r>
        <w:rPr>
          <w:rFonts w:cs="Verdana"/>
          <w:spacing w:val="-1"/>
          <w:lang w:val="en-US"/>
        </w:rPr>
        <w:t xml:space="preserve">The efficacy results in the generally heavily pre-treated patients included in the trial </w:t>
      </w:r>
      <w:r w:rsidR="002E3E15">
        <w:rPr>
          <w:rFonts w:cs="Verdana"/>
          <w:spacing w:val="-1"/>
          <w:lang w:val="en-US"/>
        </w:rPr>
        <w:t>are</w:t>
      </w:r>
      <w:r>
        <w:rPr>
          <w:rFonts w:cs="Verdana"/>
          <w:spacing w:val="-1"/>
          <w:lang w:val="en-US"/>
        </w:rPr>
        <w:t xml:space="preserve"> better than would have been expected if treated with conventional chemotherapy only. For example, the estimated ORR for second line chemotherapy was only 20% and a median PFS of 3.0months in the </w:t>
      </w:r>
      <w:r w:rsidR="00B3070B">
        <w:rPr>
          <w:rFonts w:cs="Verdana"/>
          <w:spacing w:val="-1"/>
          <w:lang w:val="en-US"/>
        </w:rPr>
        <w:t>Phase I</w:t>
      </w:r>
      <w:r>
        <w:rPr>
          <w:rFonts w:cs="Verdana"/>
          <w:spacing w:val="-1"/>
          <w:lang w:val="en-US"/>
        </w:rPr>
        <w:t>II crizotinib trial (Shaw AT et al, 2013).</w:t>
      </w:r>
      <w:r w:rsidR="000E3918">
        <w:rPr>
          <w:rFonts w:cs="Verdana"/>
          <w:spacing w:val="-1"/>
          <w:lang w:val="en-US"/>
        </w:rPr>
        <w:t xml:space="preserve"> </w:t>
      </w:r>
      <w:r>
        <w:rPr>
          <w:rFonts w:cs="Verdana"/>
          <w:spacing w:val="-1"/>
          <w:lang w:val="en-US"/>
        </w:rPr>
        <w:t xml:space="preserve">Therefore there is a favourable benefit risk balance for the proposed indication where patients were previously treated with an ALK inhibitor. </w:t>
      </w:r>
    </w:p>
    <w:p w14:paraId="2D0920CB" w14:textId="64556A84" w:rsidR="00554D4D" w:rsidRDefault="00554D4D" w:rsidP="00554D4D">
      <w:pPr>
        <w:widowControl w:val="0"/>
        <w:autoSpaceDE w:val="0"/>
        <w:autoSpaceDN w:val="0"/>
        <w:adjustRightInd w:val="0"/>
        <w:ind w:left="40" w:right="48"/>
        <w:rPr>
          <w:rFonts w:cs="Verdana"/>
          <w:lang w:val="en-US"/>
        </w:rPr>
      </w:pPr>
      <w:r w:rsidRPr="006863FF">
        <w:rPr>
          <w:rFonts w:cs="Verdana"/>
          <w:lang w:val="en-US"/>
        </w:rPr>
        <w:lastRenderedPageBreak/>
        <w:t>In contrast,</w:t>
      </w:r>
      <w:r w:rsidRPr="006863FF">
        <w:rPr>
          <w:rFonts w:cs="Verdana"/>
          <w:spacing w:val="-1"/>
          <w:lang w:val="en-US"/>
        </w:rPr>
        <w:t xml:space="preserve"> A</w:t>
      </w:r>
      <w:r w:rsidRPr="00D052A8">
        <w:rPr>
          <w:rFonts w:cs="Verdana"/>
          <w:spacing w:val="3"/>
          <w:lang w:val="en-US"/>
        </w:rPr>
        <w:t>L</w:t>
      </w:r>
      <w:r w:rsidRPr="002B0DA6">
        <w:rPr>
          <w:rFonts w:cs="Verdana"/>
          <w:lang w:val="en-US"/>
        </w:rPr>
        <w:t>K</w:t>
      </w:r>
      <w:r w:rsidRPr="002B0DA6">
        <w:rPr>
          <w:rFonts w:cs="Verdana"/>
          <w:spacing w:val="-1"/>
          <w:lang w:val="en-US"/>
        </w:rPr>
        <w:t xml:space="preserve"> </w:t>
      </w:r>
      <w:r w:rsidRPr="002B0DA6">
        <w:rPr>
          <w:rFonts w:cs="Verdana"/>
          <w:spacing w:val="1"/>
          <w:lang w:val="en-US"/>
        </w:rPr>
        <w:t>i</w:t>
      </w:r>
      <w:r w:rsidRPr="002B0DA6">
        <w:rPr>
          <w:rFonts w:cs="Verdana"/>
          <w:spacing w:val="-1"/>
          <w:lang w:val="en-US"/>
        </w:rPr>
        <w:t>nh</w:t>
      </w:r>
      <w:r w:rsidRPr="002B0DA6">
        <w:rPr>
          <w:rFonts w:cs="Verdana"/>
          <w:spacing w:val="1"/>
          <w:lang w:val="en-US"/>
        </w:rPr>
        <w:t>ibito</w:t>
      </w:r>
      <w:r w:rsidRPr="002B0DA6">
        <w:rPr>
          <w:rFonts w:cs="Verdana"/>
          <w:lang w:val="en-US"/>
        </w:rPr>
        <w:t>r</w:t>
      </w:r>
      <w:r w:rsidRPr="006863FF">
        <w:rPr>
          <w:rFonts w:cs="Verdana"/>
          <w:spacing w:val="-1"/>
          <w:lang w:val="en-US"/>
        </w:rPr>
        <w:t xml:space="preserve"> n</w:t>
      </w:r>
      <w:r w:rsidRPr="006863FF">
        <w:rPr>
          <w:rFonts w:cs="Verdana"/>
          <w:lang w:val="en-US"/>
        </w:rPr>
        <w:t>a</w:t>
      </w:r>
      <w:r w:rsidRPr="006863FF">
        <w:rPr>
          <w:rFonts w:cs="Verdana"/>
          <w:spacing w:val="1"/>
          <w:lang w:val="en-US"/>
        </w:rPr>
        <w:t>ï</w:t>
      </w:r>
      <w:r w:rsidRPr="006863FF">
        <w:rPr>
          <w:rFonts w:cs="Verdana"/>
          <w:spacing w:val="-1"/>
          <w:lang w:val="en-US"/>
        </w:rPr>
        <w:t>v</w:t>
      </w:r>
      <w:r w:rsidRPr="006863FF">
        <w:rPr>
          <w:rFonts w:cs="Verdana"/>
          <w:lang w:val="en-US"/>
        </w:rPr>
        <w:t xml:space="preserve">e </w:t>
      </w:r>
      <w:r w:rsidRPr="006863FF">
        <w:rPr>
          <w:rFonts w:cs="Verdana"/>
          <w:spacing w:val="1"/>
          <w:lang w:val="en-US"/>
        </w:rPr>
        <w:t>p</w:t>
      </w:r>
      <w:r w:rsidRPr="006863FF">
        <w:rPr>
          <w:rFonts w:cs="Verdana"/>
          <w:lang w:val="en-US"/>
        </w:rPr>
        <w:t>a</w:t>
      </w:r>
      <w:r w:rsidRPr="006863FF">
        <w:rPr>
          <w:rFonts w:cs="Verdana"/>
          <w:spacing w:val="1"/>
          <w:lang w:val="en-US"/>
        </w:rPr>
        <w:t>t</w:t>
      </w:r>
      <w:r w:rsidRPr="006863FF">
        <w:rPr>
          <w:rFonts w:cs="Verdana"/>
          <w:spacing w:val="-1"/>
          <w:lang w:val="en-US"/>
        </w:rPr>
        <w:t>i</w:t>
      </w:r>
      <w:r w:rsidRPr="006863FF">
        <w:rPr>
          <w:rFonts w:cs="Verdana"/>
          <w:spacing w:val="1"/>
          <w:lang w:val="en-US"/>
        </w:rPr>
        <w:t>e</w:t>
      </w:r>
      <w:r w:rsidRPr="006863FF">
        <w:rPr>
          <w:rFonts w:cs="Verdana"/>
          <w:spacing w:val="-1"/>
          <w:lang w:val="en-US"/>
        </w:rPr>
        <w:t>n</w:t>
      </w:r>
      <w:r w:rsidRPr="006863FF">
        <w:rPr>
          <w:rFonts w:cs="Verdana"/>
          <w:spacing w:val="1"/>
          <w:lang w:val="en-US"/>
        </w:rPr>
        <w:t>t</w:t>
      </w:r>
      <w:r w:rsidRPr="006863FF">
        <w:rPr>
          <w:rFonts w:cs="Verdana"/>
          <w:lang w:val="en-US"/>
        </w:rPr>
        <w:t>s</w:t>
      </w:r>
      <w:r w:rsidRPr="006863FF">
        <w:rPr>
          <w:rFonts w:cs="Verdana"/>
          <w:spacing w:val="-1"/>
          <w:lang w:val="en-US"/>
        </w:rPr>
        <w:t xml:space="preserve"> have </w:t>
      </w:r>
      <w:r w:rsidR="008D4800" w:rsidRPr="006863FF">
        <w:rPr>
          <w:rFonts w:cs="Verdana"/>
          <w:spacing w:val="-1"/>
          <w:lang w:val="en-US"/>
        </w:rPr>
        <w:t xml:space="preserve">access to </w:t>
      </w:r>
      <w:r w:rsidRPr="006863FF">
        <w:rPr>
          <w:rFonts w:cs="Verdana"/>
          <w:spacing w:val="1"/>
          <w:lang w:val="en-US"/>
        </w:rPr>
        <w:t xml:space="preserve">crizotinib </w:t>
      </w:r>
      <w:r w:rsidR="004E0828" w:rsidRPr="006863FF">
        <w:rPr>
          <w:rFonts w:cs="Verdana"/>
          <w:spacing w:val="1"/>
          <w:lang w:val="en-US"/>
        </w:rPr>
        <w:t xml:space="preserve">which </w:t>
      </w:r>
      <w:r w:rsidRPr="002B0DA6">
        <w:rPr>
          <w:rFonts w:cs="Verdana"/>
          <w:spacing w:val="1"/>
          <w:lang w:val="en-US"/>
        </w:rPr>
        <w:t xml:space="preserve">is registered and reimbursed here in Australia. </w:t>
      </w:r>
      <w:r w:rsidRPr="002B0DA6">
        <w:rPr>
          <w:rFonts w:cs="Verdana"/>
          <w:spacing w:val="-1"/>
          <w:lang w:val="en-US"/>
        </w:rPr>
        <w:t>C</w:t>
      </w:r>
      <w:r w:rsidRPr="002B0DA6">
        <w:rPr>
          <w:rFonts w:cs="Verdana"/>
          <w:spacing w:val="1"/>
          <w:lang w:val="en-US"/>
        </w:rPr>
        <w:t>o</w:t>
      </w:r>
      <w:r w:rsidRPr="006863FF">
        <w:rPr>
          <w:rFonts w:cs="Verdana"/>
          <w:spacing w:val="-1"/>
          <w:lang w:val="en-US"/>
        </w:rPr>
        <w:t>n</w:t>
      </w:r>
      <w:r w:rsidRPr="006863FF">
        <w:rPr>
          <w:rFonts w:cs="Verdana"/>
          <w:lang w:val="en-US"/>
        </w:rPr>
        <w:t>s</w:t>
      </w:r>
      <w:r w:rsidRPr="006863FF">
        <w:rPr>
          <w:rFonts w:cs="Verdana"/>
          <w:spacing w:val="1"/>
          <w:lang w:val="en-US"/>
        </w:rPr>
        <w:t>eq</w:t>
      </w:r>
      <w:r w:rsidRPr="006863FF">
        <w:rPr>
          <w:rFonts w:cs="Verdana"/>
          <w:spacing w:val="-1"/>
          <w:lang w:val="en-US"/>
        </w:rPr>
        <w:t>u</w:t>
      </w:r>
      <w:r w:rsidRPr="006863FF">
        <w:rPr>
          <w:rFonts w:cs="Verdana"/>
          <w:spacing w:val="1"/>
          <w:lang w:val="en-US"/>
        </w:rPr>
        <w:t>e</w:t>
      </w:r>
      <w:r w:rsidRPr="006863FF">
        <w:rPr>
          <w:rFonts w:cs="Verdana"/>
          <w:spacing w:val="-1"/>
          <w:lang w:val="en-US"/>
        </w:rPr>
        <w:t>n</w:t>
      </w:r>
      <w:r w:rsidRPr="006863FF">
        <w:rPr>
          <w:rFonts w:cs="Verdana"/>
          <w:spacing w:val="1"/>
          <w:lang w:val="en-US"/>
        </w:rPr>
        <w:t>tl</w:t>
      </w:r>
      <w:r w:rsidRPr="006863FF">
        <w:rPr>
          <w:rFonts w:cs="Verdana"/>
          <w:spacing w:val="-1"/>
          <w:lang w:val="en-US"/>
        </w:rPr>
        <w:t>y</w:t>
      </w:r>
      <w:r w:rsidRPr="00343FB2">
        <w:rPr>
          <w:rFonts w:cs="Verdana"/>
          <w:lang w:val="en-US"/>
        </w:rPr>
        <w:t>,</w:t>
      </w:r>
      <w:r w:rsidRPr="00343FB2">
        <w:rPr>
          <w:rFonts w:cs="Verdana"/>
          <w:spacing w:val="-1"/>
          <w:lang w:val="en-US"/>
        </w:rPr>
        <w:t xml:space="preserve"> </w:t>
      </w:r>
      <w:r w:rsidRPr="00343FB2">
        <w:rPr>
          <w:rFonts w:cs="Verdana"/>
          <w:spacing w:val="1"/>
          <w:lang w:val="en-US"/>
        </w:rPr>
        <w:t>t</w:t>
      </w:r>
      <w:r w:rsidRPr="00343FB2">
        <w:rPr>
          <w:rFonts w:cs="Verdana"/>
          <w:spacing w:val="-1"/>
          <w:lang w:val="en-US"/>
        </w:rPr>
        <w:t>h</w:t>
      </w:r>
      <w:r w:rsidRPr="00343FB2">
        <w:rPr>
          <w:rFonts w:cs="Verdana"/>
          <w:lang w:val="en-US"/>
        </w:rPr>
        <w:t>e a</w:t>
      </w:r>
      <w:r w:rsidRPr="00343FB2">
        <w:rPr>
          <w:rFonts w:cs="Verdana"/>
          <w:spacing w:val="1"/>
          <w:lang w:val="en-US"/>
        </w:rPr>
        <w:t>pp</w:t>
      </w:r>
      <w:r w:rsidRPr="00343FB2">
        <w:rPr>
          <w:rFonts w:cs="Verdana"/>
          <w:lang w:val="en-US"/>
        </w:rPr>
        <w:t>r</w:t>
      </w:r>
      <w:r w:rsidRPr="00343FB2">
        <w:rPr>
          <w:rFonts w:cs="Verdana"/>
          <w:spacing w:val="1"/>
          <w:lang w:val="en-US"/>
        </w:rPr>
        <w:t>op</w:t>
      </w:r>
      <w:r w:rsidRPr="00343FB2">
        <w:rPr>
          <w:rFonts w:cs="Verdana"/>
          <w:lang w:val="en-US"/>
        </w:rPr>
        <w:t>r</w:t>
      </w:r>
      <w:r w:rsidRPr="00343FB2">
        <w:rPr>
          <w:rFonts w:cs="Verdana"/>
          <w:spacing w:val="1"/>
          <w:lang w:val="en-US"/>
        </w:rPr>
        <w:t>i</w:t>
      </w:r>
      <w:r w:rsidRPr="00343FB2">
        <w:rPr>
          <w:rFonts w:cs="Verdana"/>
          <w:spacing w:val="-3"/>
          <w:lang w:val="en-US"/>
        </w:rPr>
        <w:t>a</w:t>
      </w:r>
      <w:r w:rsidRPr="00343FB2">
        <w:rPr>
          <w:rFonts w:cs="Verdana"/>
          <w:spacing w:val="1"/>
          <w:lang w:val="en-US"/>
        </w:rPr>
        <w:t>te</w:t>
      </w:r>
      <w:r w:rsidRPr="00343FB2">
        <w:rPr>
          <w:rFonts w:cs="Verdana"/>
          <w:spacing w:val="-1"/>
          <w:lang w:val="en-US"/>
        </w:rPr>
        <w:t>n</w:t>
      </w:r>
      <w:r w:rsidRPr="00343FB2">
        <w:rPr>
          <w:rFonts w:cs="Verdana"/>
          <w:spacing w:val="1"/>
          <w:lang w:val="en-US"/>
        </w:rPr>
        <w:t>e</w:t>
      </w:r>
      <w:r w:rsidRPr="00343FB2">
        <w:rPr>
          <w:rFonts w:cs="Verdana"/>
          <w:lang w:val="en-US"/>
        </w:rPr>
        <w:t>ss</w:t>
      </w:r>
      <w:r w:rsidRPr="00343FB2">
        <w:rPr>
          <w:rFonts w:cs="Verdana"/>
          <w:spacing w:val="-1"/>
          <w:lang w:val="en-US"/>
        </w:rPr>
        <w:t xml:space="preserve"> </w:t>
      </w:r>
      <w:r w:rsidRPr="00343FB2">
        <w:rPr>
          <w:rFonts w:cs="Verdana"/>
          <w:spacing w:val="1"/>
          <w:lang w:val="en-US"/>
        </w:rPr>
        <w:t>o</w:t>
      </w:r>
      <w:r w:rsidRPr="00343FB2">
        <w:rPr>
          <w:rFonts w:cs="Verdana"/>
          <w:lang w:val="en-US"/>
        </w:rPr>
        <w:t>f</w:t>
      </w:r>
      <w:r w:rsidRPr="00343FB2">
        <w:rPr>
          <w:rFonts w:cs="Verdana"/>
          <w:spacing w:val="-4"/>
          <w:lang w:val="en-US"/>
        </w:rPr>
        <w:t xml:space="preserve"> </w:t>
      </w:r>
      <w:r w:rsidRPr="00343FB2">
        <w:rPr>
          <w:rFonts w:cs="Verdana"/>
          <w:spacing w:val="-1"/>
          <w:lang w:val="en-US"/>
        </w:rPr>
        <w:t>u</w:t>
      </w:r>
      <w:r w:rsidRPr="00343FB2">
        <w:rPr>
          <w:rFonts w:cs="Verdana"/>
          <w:lang w:val="en-US"/>
        </w:rPr>
        <w:t>s</w:t>
      </w:r>
      <w:r w:rsidRPr="00343FB2">
        <w:rPr>
          <w:rFonts w:cs="Verdana"/>
          <w:spacing w:val="1"/>
          <w:lang w:val="en-US"/>
        </w:rPr>
        <w:t>i</w:t>
      </w:r>
      <w:r w:rsidRPr="00343FB2">
        <w:rPr>
          <w:rFonts w:cs="Verdana"/>
          <w:spacing w:val="-1"/>
          <w:lang w:val="en-US"/>
        </w:rPr>
        <w:t>n</w:t>
      </w:r>
      <w:r w:rsidRPr="00343FB2">
        <w:rPr>
          <w:rFonts w:cs="Verdana"/>
          <w:lang w:val="en-US"/>
        </w:rPr>
        <w:t>g a</w:t>
      </w:r>
      <w:r w:rsidRPr="00343FB2">
        <w:rPr>
          <w:rFonts w:cs="Verdana"/>
          <w:spacing w:val="1"/>
          <w:lang w:val="en-US"/>
        </w:rPr>
        <w:t xml:space="preserve"> </w:t>
      </w:r>
      <w:r w:rsidRPr="00343FB2">
        <w:rPr>
          <w:rFonts w:cs="Verdana"/>
          <w:lang w:val="en-US"/>
        </w:rPr>
        <w:t>s</w:t>
      </w:r>
      <w:r w:rsidRPr="00343FB2">
        <w:rPr>
          <w:rFonts w:cs="Verdana"/>
          <w:spacing w:val="1"/>
          <w:lang w:val="en-US"/>
        </w:rPr>
        <w:t>i</w:t>
      </w:r>
      <w:r w:rsidRPr="00343FB2">
        <w:rPr>
          <w:rFonts w:cs="Verdana"/>
          <w:spacing w:val="-1"/>
          <w:lang w:val="en-US"/>
        </w:rPr>
        <w:t>n</w:t>
      </w:r>
      <w:r w:rsidRPr="00343FB2">
        <w:rPr>
          <w:rFonts w:cs="Verdana"/>
          <w:spacing w:val="1"/>
          <w:lang w:val="en-US"/>
        </w:rPr>
        <w:t>gl</w:t>
      </w:r>
      <w:r w:rsidRPr="00343FB2">
        <w:rPr>
          <w:rFonts w:cs="Verdana"/>
          <w:lang w:val="en-US"/>
        </w:rPr>
        <w:t>e arm</w:t>
      </w:r>
      <w:r w:rsidRPr="00343FB2">
        <w:rPr>
          <w:rFonts w:cs="Verdana"/>
          <w:spacing w:val="-1"/>
          <w:lang w:val="en-US"/>
        </w:rPr>
        <w:t xml:space="preserve"> </w:t>
      </w:r>
      <w:r w:rsidRPr="00343FB2">
        <w:rPr>
          <w:rFonts w:cs="Verdana"/>
          <w:lang w:val="en-US"/>
        </w:rPr>
        <w:t>s</w:t>
      </w:r>
      <w:r w:rsidRPr="00343FB2">
        <w:rPr>
          <w:rFonts w:cs="Verdana"/>
          <w:spacing w:val="1"/>
          <w:lang w:val="en-US"/>
        </w:rPr>
        <w:t>t</w:t>
      </w:r>
      <w:r w:rsidRPr="00343FB2">
        <w:rPr>
          <w:rFonts w:cs="Verdana"/>
          <w:spacing w:val="-1"/>
          <w:lang w:val="en-US"/>
        </w:rPr>
        <w:t>u</w:t>
      </w:r>
      <w:r w:rsidRPr="00343FB2">
        <w:rPr>
          <w:rFonts w:cs="Verdana"/>
          <w:spacing w:val="1"/>
          <w:lang w:val="en-US"/>
        </w:rPr>
        <w:t>d</w:t>
      </w:r>
      <w:r w:rsidRPr="00343FB2">
        <w:rPr>
          <w:rFonts w:cs="Verdana"/>
          <w:lang w:val="en-US"/>
        </w:rPr>
        <w:t>y</w:t>
      </w:r>
      <w:r w:rsidRPr="00343FB2">
        <w:rPr>
          <w:rFonts w:cs="Verdana"/>
          <w:spacing w:val="-2"/>
          <w:lang w:val="en-US"/>
        </w:rPr>
        <w:t xml:space="preserve"> </w:t>
      </w:r>
      <w:r w:rsidRPr="00343FB2">
        <w:rPr>
          <w:rFonts w:cs="Verdana"/>
          <w:spacing w:val="2"/>
          <w:lang w:val="en-US"/>
        </w:rPr>
        <w:t>(</w:t>
      </w:r>
      <w:r w:rsidRPr="00343FB2">
        <w:rPr>
          <w:rFonts w:cs="Verdana"/>
          <w:spacing w:val="-1"/>
          <w:lang w:val="en-US"/>
        </w:rPr>
        <w:t>w</w:t>
      </w:r>
      <w:r w:rsidRPr="00343FB2">
        <w:rPr>
          <w:rFonts w:cs="Verdana"/>
          <w:spacing w:val="1"/>
          <w:lang w:val="en-US"/>
        </w:rPr>
        <w:t>it</w:t>
      </w:r>
      <w:r w:rsidRPr="00343FB2">
        <w:rPr>
          <w:rFonts w:cs="Verdana"/>
          <w:lang w:val="en-US"/>
        </w:rPr>
        <w:t>h</w:t>
      </w:r>
      <w:r w:rsidRPr="00343FB2">
        <w:rPr>
          <w:rFonts w:cs="Verdana"/>
          <w:spacing w:val="-2"/>
          <w:lang w:val="en-US"/>
        </w:rPr>
        <w:t xml:space="preserve"> </w:t>
      </w:r>
      <w:r w:rsidRPr="00343FB2">
        <w:rPr>
          <w:rFonts w:cs="Verdana"/>
          <w:lang w:val="en-US"/>
        </w:rPr>
        <w:t>ORR</w:t>
      </w:r>
      <w:r w:rsidRPr="00343FB2">
        <w:rPr>
          <w:rFonts w:cs="Verdana"/>
          <w:spacing w:val="-1"/>
          <w:lang w:val="en-US"/>
        </w:rPr>
        <w:t xml:space="preserve"> </w:t>
      </w:r>
      <w:r w:rsidRPr="00343FB2">
        <w:rPr>
          <w:rFonts w:cs="Verdana"/>
          <w:lang w:val="en-US"/>
        </w:rPr>
        <w:t>as</w:t>
      </w:r>
      <w:r w:rsidRPr="00343FB2">
        <w:rPr>
          <w:rFonts w:cs="Verdana"/>
          <w:spacing w:val="1"/>
          <w:lang w:val="en-US"/>
        </w:rPr>
        <w:t xml:space="preserve"> p</w:t>
      </w:r>
      <w:r w:rsidRPr="00343FB2">
        <w:rPr>
          <w:rFonts w:cs="Verdana"/>
          <w:lang w:val="en-US"/>
        </w:rPr>
        <w:t>r</w:t>
      </w:r>
      <w:r w:rsidRPr="00343FB2">
        <w:rPr>
          <w:rFonts w:cs="Verdana"/>
          <w:spacing w:val="1"/>
          <w:lang w:val="en-US"/>
        </w:rPr>
        <w:t>i</w:t>
      </w:r>
      <w:r w:rsidRPr="00343FB2">
        <w:rPr>
          <w:rFonts w:cs="Verdana"/>
          <w:lang w:val="en-US"/>
        </w:rPr>
        <w:t xml:space="preserve">mary </w:t>
      </w:r>
      <w:r w:rsidRPr="00343FB2">
        <w:rPr>
          <w:rFonts w:cs="Verdana"/>
          <w:spacing w:val="1"/>
          <w:lang w:val="en-US"/>
        </w:rPr>
        <w:t>e</w:t>
      </w:r>
      <w:r w:rsidRPr="00343FB2">
        <w:rPr>
          <w:rFonts w:cs="Verdana"/>
          <w:spacing w:val="-1"/>
          <w:lang w:val="en-US"/>
        </w:rPr>
        <w:t>n</w:t>
      </w:r>
      <w:r w:rsidRPr="00343FB2">
        <w:rPr>
          <w:rFonts w:cs="Verdana"/>
          <w:spacing w:val="1"/>
          <w:lang w:val="en-US"/>
        </w:rPr>
        <w:t>dpoi</w:t>
      </w:r>
      <w:r w:rsidRPr="00343FB2">
        <w:rPr>
          <w:rFonts w:cs="Verdana"/>
          <w:spacing w:val="-1"/>
          <w:lang w:val="en-US"/>
        </w:rPr>
        <w:t>n</w:t>
      </w:r>
      <w:r w:rsidRPr="00343FB2">
        <w:rPr>
          <w:rFonts w:cs="Verdana"/>
          <w:spacing w:val="1"/>
          <w:lang w:val="en-US"/>
        </w:rPr>
        <w:t>t</w:t>
      </w:r>
      <w:r w:rsidRPr="00343FB2">
        <w:rPr>
          <w:rFonts w:cs="Verdana"/>
          <w:lang w:val="en-US"/>
        </w:rPr>
        <w:t>)</w:t>
      </w:r>
      <w:r w:rsidRPr="00343FB2">
        <w:rPr>
          <w:rFonts w:cs="Verdana"/>
          <w:spacing w:val="-1"/>
          <w:lang w:val="en-US"/>
        </w:rPr>
        <w:t xml:space="preserve"> t</w:t>
      </w:r>
      <w:r w:rsidRPr="00343FB2">
        <w:rPr>
          <w:rFonts w:cs="Verdana"/>
          <w:lang w:val="en-US"/>
        </w:rPr>
        <w:t>o ass</w:t>
      </w:r>
      <w:r w:rsidRPr="00343FB2">
        <w:rPr>
          <w:rFonts w:cs="Verdana"/>
          <w:spacing w:val="1"/>
          <w:lang w:val="en-US"/>
        </w:rPr>
        <w:t>e</w:t>
      </w:r>
      <w:r w:rsidRPr="00343FB2">
        <w:rPr>
          <w:rFonts w:cs="Verdana"/>
          <w:lang w:val="en-US"/>
        </w:rPr>
        <w:t>ss</w:t>
      </w:r>
      <w:r w:rsidRPr="00343FB2">
        <w:rPr>
          <w:rFonts w:cs="Verdana"/>
          <w:spacing w:val="-1"/>
          <w:lang w:val="en-US"/>
        </w:rPr>
        <w:t xml:space="preserve"> </w:t>
      </w:r>
      <w:r w:rsidRPr="00343FB2">
        <w:rPr>
          <w:rFonts w:cs="Verdana"/>
          <w:spacing w:val="1"/>
          <w:lang w:val="en-US"/>
        </w:rPr>
        <w:t>e</w:t>
      </w:r>
      <w:r w:rsidRPr="00343FB2">
        <w:rPr>
          <w:rFonts w:cs="Verdana"/>
          <w:spacing w:val="-1"/>
          <w:lang w:val="en-US"/>
        </w:rPr>
        <w:t>ff</w:t>
      </w:r>
      <w:r w:rsidRPr="00343FB2">
        <w:rPr>
          <w:rFonts w:cs="Verdana"/>
          <w:spacing w:val="1"/>
          <w:lang w:val="en-US"/>
        </w:rPr>
        <w:t>i</w:t>
      </w:r>
      <w:r w:rsidRPr="00343FB2">
        <w:rPr>
          <w:rFonts w:cs="Verdana"/>
          <w:lang w:val="en-US"/>
        </w:rPr>
        <w:t>cacy</w:t>
      </w:r>
      <w:r w:rsidRPr="00343FB2">
        <w:rPr>
          <w:rFonts w:cs="Verdana"/>
          <w:spacing w:val="-2"/>
          <w:lang w:val="en-US"/>
        </w:rPr>
        <w:t xml:space="preserve"> </w:t>
      </w:r>
      <w:r w:rsidRPr="00343FB2">
        <w:rPr>
          <w:rFonts w:cs="Verdana"/>
          <w:spacing w:val="1"/>
          <w:lang w:val="en-US"/>
        </w:rPr>
        <w:t>i</w:t>
      </w:r>
      <w:r w:rsidRPr="00343FB2">
        <w:rPr>
          <w:rFonts w:cs="Verdana"/>
          <w:lang w:val="en-US"/>
        </w:rPr>
        <w:t>n</w:t>
      </w:r>
      <w:r w:rsidRPr="00343FB2">
        <w:rPr>
          <w:rFonts w:cs="Verdana"/>
          <w:spacing w:val="-2"/>
          <w:lang w:val="en-US"/>
        </w:rPr>
        <w:t xml:space="preserve"> </w:t>
      </w:r>
      <w:r w:rsidRPr="00343FB2">
        <w:rPr>
          <w:rFonts w:cs="Verdana"/>
          <w:spacing w:val="-1"/>
          <w:lang w:val="en-US"/>
        </w:rPr>
        <w:t>A</w:t>
      </w:r>
      <w:r w:rsidRPr="00343FB2">
        <w:rPr>
          <w:rFonts w:cs="Verdana"/>
          <w:spacing w:val="1"/>
          <w:lang w:val="en-US"/>
        </w:rPr>
        <w:t>L</w:t>
      </w:r>
      <w:r w:rsidRPr="00343FB2">
        <w:rPr>
          <w:rFonts w:cs="Verdana"/>
          <w:lang w:val="en-US"/>
        </w:rPr>
        <w:t>K</w:t>
      </w:r>
      <w:r w:rsidRPr="00343FB2">
        <w:rPr>
          <w:rFonts w:cs="Verdana"/>
          <w:spacing w:val="2"/>
          <w:lang w:val="en-US"/>
        </w:rPr>
        <w:t xml:space="preserve"> </w:t>
      </w:r>
      <w:r w:rsidRPr="00343FB2">
        <w:rPr>
          <w:rFonts w:cs="Verdana"/>
          <w:spacing w:val="1"/>
          <w:lang w:val="en-US"/>
        </w:rPr>
        <w:t>i</w:t>
      </w:r>
      <w:r w:rsidRPr="00343FB2">
        <w:rPr>
          <w:rFonts w:cs="Verdana"/>
          <w:spacing w:val="-1"/>
          <w:lang w:val="en-US"/>
        </w:rPr>
        <w:t>nh</w:t>
      </w:r>
      <w:r w:rsidRPr="00343FB2">
        <w:rPr>
          <w:rFonts w:cs="Verdana"/>
          <w:spacing w:val="1"/>
          <w:lang w:val="en-US"/>
        </w:rPr>
        <w:t>ibito</w:t>
      </w:r>
      <w:r w:rsidRPr="00343FB2">
        <w:rPr>
          <w:rFonts w:cs="Verdana"/>
          <w:lang w:val="en-US"/>
        </w:rPr>
        <w:t>r</w:t>
      </w:r>
      <w:r w:rsidRPr="00343FB2">
        <w:rPr>
          <w:rFonts w:cs="Verdana"/>
          <w:spacing w:val="-1"/>
          <w:lang w:val="en-US"/>
        </w:rPr>
        <w:t xml:space="preserve"> n</w:t>
      </w:r>
      <w:r w:rsidRPr="00343FB2">
        <w:rPr>
          <w:rFonts w:cs="Verdana"/>
          <w:lang w:val="en-US"/>
        </w:rPr>
        <w:t>a</w:t>
      </w:r>
      <w:r w:rsidRPr="00343FB2">
        <w:rPr>
          <w:rFonts w:cs="Verdana"/>
          <w:spacing w:val="1"/>
          <w:lang w:val="en-US"/>
        </w:rPr>
        <w:t>ï</w:t>
      </w:r>
      <w:r w:rsidRPr="00343FB2">
        <w:rPr>
          <w:rFonts w:cs="Verdana"/>
          <w:spacing w:val="-1"/>
          <w:lang w:val="en-US"/>
        </w:rPr>
        <w:t>v</w:t>
      </w:r>
      <w:r w:rsidRPr="00343FB2">
        <w:rPr>
          <w:rFonts w:cs="Verdana"/>
          <w:lang w:val="en-US"/>
        </w:rPr>
        <w:t xml:space="preserve">e </w:t>
      </w:r>
      <w:r w:rsidRPr="00343FB2">
        <w:rPr>
          <w:rFonts w:cs="Verdana"/>
          <w:spacing w:val="1"/>
          <w:lang w:val="en-US"/>
        </w:rPr>
        <w:t>p</w:t>
      </w:r>
      <w:r w:rsidRPr="00343FB2">
        <w:rPr>
          <w:rFonts w:cs="Verdana"/>
          <w:lang w:val="en-US"/>
        </w:rPr>
        <w:t>a</w:t>
      </w:r>
      <w:r w:rsidRPr="00343FB2">
        <w:rPr>
          <w:rFonts w:cs="Verdana"/>
          <w:spacing w:val="-1"/>
          <w:lang w:val="en-US"/>
        </w:rPr>
        <w:t>t</w:t>
      </w:r>
      <w:r w:rsidRPr="00343FB2">
        <w:rPr>
          <w:rFonts w:cs="Verdana"/>
          <w:spacing w:val="1"/>
          <w:lang w:val="en-US"/>
        </w:rPr>
        <w:t>ie</w:t>
      </w:r>
      <w:r w:rsidRPr="00343FB2">
        <w:rPr>
          <w:rFonts w:cs="Verdana"/>
          <w:spacing w:val="-1"/>
          <w:lang w:val="en-US"/>
        </w:rPr>
        <w:t>n</w:t>
      </w:r>
      <w:r w:rsidRPr="00343FB2">
        <w:rPr>
          <w:rFonts w:cs="Verdana"/>
          <w:spacing w:val="1"/>
          <w:lang w:val="en-US"/>
        </w:rPr>
        <w:t>t</w:t>
      </w:r>
      <w:r w:rsidRPr="00343FB2">
        <w:rPr>
          <w:rFonts w:cs="Verdana"/>
          <w:lang w:val="en-US"/>
        </w:rPr>
        <w:t>s</w:t>
      </w:r>
      <w:r w:rsidRPr="00343FB2">
        <w:rPr>
          <w:rFonts w:cs="Verdana"/>
          <w:spacing w:val="-1"/>
          <w:lang w:val="en-US"/>
        </w:rPr>
        <w:t xml:space="preserve"> </w:t>
      </w:r>
      <w:r w:rsidRPr="00343FB2">
        <w:rPr>
          <w:rFonts w:cs="Verdana"/>
          <w:spacing w:val="1"/>
          <w:lang w:val="en-US"/>
        </w:rPr>
        <w:t>i</w:t>
      </w:r>
      <w:r w:rsidRPr="00343FB2">
        <w:rPr>
          <w:rFonts w:cs="Verdana"/>
          <w:lang w:val="en-US"/>
        </w:rPr>
        <w:t>s</w:t>
      </w:r>
      <w:r w:rsidRPr="00343FB2">
        <w:rPr>
          <w:rFonts w:cs="Verdana"/>
          <w:spacing w:val="-1"/>
          <w:lang w:val="en-US"/>
        </w:rPr>
        <w:t xml:space="preserve"> </w:t>
      </w:r>
      <w:r>
        <w:rPr>
          <w:rFonts w:cs="Verdana"/>
          <w:spacing w:val="-1"/>
          <w:lang w:val="en-US"/>
        </w:rPr>
        <w:t xml:space="preserve">not appropriate in view of the </w:t>
      </w:r>
      <w:r>
        <w:rPr>
          <w:rFonts w:cs="Verdana"/>
          <w:lang w:val="en-US"/>
        </w:rPr>
        <w:t>absence of controlled studies with robust endpoints.</w:t>
      </w:r>
      <w:r w:rsidR="000E3918">
        <w:rPr>
          <w:rFonts w:cs="Verdana"/>
          <w:lang w:val="en-US"/>
        </w:rPr>
        <w:t xml:space="preserve"> </w:t>
      </w:r>
      <w:r w:rsidRPr="00343FB2">
        <w:rPr>
          <w:rFonts w:cs="Verdana"/>
          <w:spacing w:val="-1"/>
          <w:lang w:val="en-US"/>
        </w:rPr>
        <w:t>M</w:t>
      </w:r>
      <w:r w:rsidRPr="00343FB2">
        <w:rPr>
          <w:rFonts w:cs="Verdana"/>
          <w:spacing w:val="1"/>
          <w:lang w:val="en-US"/>
        </w:rPr>
        <w:t>o</w:t>
      </w:r>
      <w:r w:rsidRPr="00343FB2">
        <w:rPr>
          <w:rFonts w:cs="Verdana"/>
          <w:lang w:val="en-US"/>
        </w:rPr>
        <w:t>r</w:t>
      </w:r>
      <w:r w:rsidRPr="00343FB2">
        <w:rPr>
          <w:rFonts w:cs="Verdana"/>
          <w:spacing w:val="1"/>
          <w:lang w:val="en-US"/>
        </w:rPr>
        <w:t>eo</w:t>
      </w:r>
      <w:r w:rsidRPr="00343FB2">
        <w:rPr>
          <w:rFonts w:cs="Verdana"/>
          <w:spacing w:val="-1"/>
          <w:lang w:val="en-US"/>
        </w:rPr>
        <w:t>v</w:t>
      </w:r>
      <w:r w:rsidRPr="00343FB2">
        <w:rPr>
          <w:rFonts w:cs="Verdana"/>
          <w:spacing w:val="1"/>
          <w:lang w:val="en-US"/>
        </w:rPr>
        <w:t>e</w:t>
      </w:r>
      <w:r w:rsidRPr="00343FB2">
        <w:rPr>
          <w:rFonts w:cs="Verdana"/>
          <w:lang w:val="en-US"/>
        </w:rPr>
        <w:t>r,</w:t>
      </w:r>
      <w:r w:rsidRPr="00343FB2">
        <w:rPr>
          <w:rFonts w:cs="Verdana"/>
          <w:spacing w:val="-1"/>
          <w:lang w:val="en-US"/>
        </w:rPr>
        <w:t xml:space="preserve"> </w:t>
      </w:r>
      <w:r w:rsidRPr="00343FB2">
        <w:rPr>
          <w:rFonts w:cs="Verdana"/>
          <w:lang w:val="en-US"/>
        </w:rPr>
        <w:t>a</w:t>
      </w:r>
      <w:r w:rsidRPr="00343FB2">
        <w:rPr>
          <w:rFonts w:cs="Verdana"/>
          <w:spacing w:val="1"/>
          <w:lang w:val="en-US"/>
        </w:rPr>
        <w:t>le</w:t>
      </w:r>
      <w:r w:rsidRPr="00343FB2">
        <w:rPr>
          <w:rFonts w:cs="Verdana"/>
          <w:lang w:val="en-US"/>
        </w:rPr>
        <w:t>c</w:t>
      </w:r>
      <w:r w:rsidRPr="00343FB2">
        <w:rPr>
          <w:rFonts w:cs="Verdana"/>
          <w:spacing w:val="-1"/>
          <w:lang w:val="en-US"/>
        </w:rPr>
        <w:t>t</w:t>
      </w:r>
      <w:r w:rsidRPr="00343FB2">
        <w:rPr>
          <w:rFonts w:cs="Verdana"/>
          <w:spacing w:val="1"/>
          <w:lang w:val="en-US"/>
        </w:rPr>
        <w:t>i</w:t>
      </w:r>
      <w:r w:rsidRPr="00343FB2">
        <w:rPr>
          <w:rFonts w:cs="Verdana"/>
          <w:spacing w:val="-1"/>
          <w:lang w:val="en-US"/>
        </w:rPr>
        <w:t>n</w:t>
      </w:r>
      <w:r w:rsidRPr="00343FB2">
        <w:rPr>
          <w:rFonts w:cs="Verdana"/>
          <w:spacing w:val="1"/>
          <w:lang w:val="en-US"/>
        </w:rPr>
        <w:t>ib</w:t>
      </w:r>
      <w:r w:rsidRPr="00343FB2">
        <w:rPr>
          <w:rFonts w:cs="Verdana"/>
          <w:lang w:val="en-US"/>
        </w:rPr>
        <w:t>,</w:t>
      </w:r>
      <w:r w:rsidRPr="00343FB2">
        <w:rPr>
          <w:rFonts w:cs="Verdana"/>
          <w:spacing w:val="-1"/>
          <w:lang w:val="en-US"/>
        </w:rPr>
        <w:t xml:space="preserve"> </w:t>
      </w:r>
      <w:r w:rsidRPr="00343FB2">
        <w:rPr>
          <w:rFonts w:cs="Verdana"/>
          <w:lang w:val="en-US"/>
        </w:rPr>
        <w:t>a</w:t>
      </w:r>
      <w:r>
        <w:rPr>
          <w:rFonts w:cs="Verdana"/>
          <w:lang w:val="en-US"/>
        </w:rPr>
        <w:t>nother</w:t>
      </w:r>
      <w:r w:rsidRPr="00343FB2">
        <w:rPr>
          <w:rFonts w:cs="Verdana"/>
          <w:spacing w:val="-1"/>
          <w:lang w:val="en-US"/>
        </w:rPr>
        <w:t xml:space="preserve"> n</w:t>
      </w:r>
      <w:r w:rsidRPr="00343FB2">
        <w:rPr>
          <w:rFonts w:cs="Verdana"/>
          <w:spacing w:val="1"/>
          <w:lang w:val="en-US"/>
        </w:rPr>
        <w:t>o</w:t>
      </w:r>
      <w:r w:rsidRPr="00343FB2">
        <w:rPr>
          <w:rFonts w:cs="Verdana"/>
          <w:spacing w:val="-1"/>
          <w:lang w:val="en-US"/>
        </w:rPr>
        <w:t>v</w:t>
      </w:r>
      <w:r w:rsidRPr="00343FB2">
        <w:rPr>
          <w:rFonts w:cs="Verdana"/>
          <w:spacing w:val="1"/>
          <w:lang w:val="en-US"/>
        </w:rPr>
        <w:t>e</w:t>
      </w:r>
      <w:r w:rsidRPr="00343FB2">
        <w:rPr>
          <w:rFonts w:cs="Verdana"/>
          <w:lang w:val="en-US"/>
        </w:rPr>
        <w:t xml:space="preserve">l </w:t>
      </w:r>
      <w:r w:rsidRPr="00343FB2">
        <w:rPr>
          <w:rFonts w:cs="Verdana"/>
          <w:spacing w:val="-1"/>
          <w:lang w:val="en-US"/>
        </w:rPr>
        <w:t>A</w:t>
      </w:r>
      <w:r w:rsidRPr="00343FB2">
        <w:rPr>
          <w:rFonts w:cs="Verdana"/>
          <w:spacing w:val="1"/>
          <w:lang w:val="en-US"/>
        </w:rPr>
        <w:t>L</w:t>
      </w:r>
      <w:r>
        <w:rPr>
          <w:rFonts w:cs="Verdana"/>
          <w:lang w:val="en-US"/>
        </w:rPr>
        <w:t xml:space="preserve">K inhibitor </w:t>
      </w:r>
      <w:r w:rsidRPr="00343FB2">
        <w:rPr>
          <w:rFonts w:cs="Verdana"/>
          <w:spacing w:val="1"/>
          <w:lang w:val="en-US"/>
        </w:rPr>
        <w:t>is bei</w:t>
      </w:r>
      <w:r w:rsidRPr="00343FB2">
        <w:rPr>
          <w:rFonts w:cs="Verdana"/>
          <w:spacing w:val="-1"/>
          <w:lang w:val="en-US"/>
        </w:rPr>
        <w:t>n</w:t>
      </w:r>
      <w:r w:rsidRPr="00343FB2">
        <w:rPr>
          <w:rFonts w:cs="Verdana"/>
          <w:lang w:val="en-US"/>
        </w:rPr>
        <w:t>g c</w:t>
      </w:r>
      <w:r w:rsidRPr="00343FB2">
        <w:rPr>
          <w:rFonts w:cs="Verdana"/>
          <w:spacing w:val="1"/>
          <w:lang w:val="en-US"/>
        </w:rPr>
        <w:t>o</w:t>
      </w:r>
      <w:r w:rsidRPr="00343FB2">
        <w:rPr>
          <w:rFonts w:cs="Verdana"/>
          <w:lang w:val="en-US"/>
        </w:rPr>
        <w:t>m</w:t>
      </w:r>
      <w:r w:rsidRPr="00343FB2">
        <w:rPr>
          <w:rFonts w:cs="Verdana"/>
          <w:spacing w:val="1"/>
          <w:lang w:val="en-US"/>
        </w:rPr>
        <w:t>p</w:t>
      </w:r>
      <w:r w:rsidRPr="00343FB2">
        <w:rPr>
          <w:rFonts w:cs="Verdana"/>
          <w:lang w:val="en-US"/>
        </w:rPr>
        <w:t>ar</w:t>
      </w:r>
      <w:r w:rsidRPr="00343FB2">
        <w:rPr>
          <w:rFonts w:cs="Verdana"/>
          <w:spacing w:val="-2"/>
          <w:lang w:val="en-US"/>
        </w:rPr>
        <w:t>e</w:t>
      </w:r>
      <w:r w:rsidRPr="00343FB2">
        <w:rPr>
          <w:rFonts w:cs="Verdana"/>
          <w:lang w:val="en-US"/>
        </w:rPr>
        <w:t xml:space="preserve">d </w:t>
      </w:r>
      <w:r>
        <w:rPr>
          <w:rFonts w:cs="Verdana"/>
          <w:spacing w:val="-1"/>
          <w:lang w:val="en-US"/>
        </w:rPr>
        <w:t>with</w:t>
      </w:r>
      <w:r w:rsidRPr="00343FB2">
        <w:rPr>
          <w:rFonts w:cs="Verdana"/>
          <w:spacing w:val="-1"/>
          <w:lang w:val="en-US"/>
        </w:rPr>
        <w:t xml:space="preserve"> </w:t>
      </w:r>
      <w:r w:rsidRPr="00343FB2">
        <w:rPr>
          <w:rFonts w:cs="Verdana"/>
          <w:lang w:val="en-US"/>
        </w:rPr>
        <w:t>cr</w:t>
      </w:r>
      <w:r w:rsidRPr="00343FB2">
        <w:rPr>
          <w:rFonts w:cs="Verdana"/>
          <w:spacing w:val="1"/>
          <w:lang w:val="en-US"/>
        </w:rPr>
        <w:t>i</w:t>
      </w:r>
      <w:r w:rsidRPr="00343FB2">
        <w:rPr>
          <w:rFonts w:cs="Verdana"/>
          <w:spacing w:val="-1"/>
          <w:lang w:val="en-US"/>
        </w:rPr>
        <w:t>z</w:t>
      </w:r>
      <w:r w:rsidRPr="00343FB2">
        <w:rPr>
          <w:rFonts w:cs="Verdana"/>
          <w:spacing w:val="1"/>
          <w:lang w:val="en-US"/>
        </w:rPr>
        <w:t>oti</w:t>
      </w:r>
      <w:r w:rsidRPr="00343FB2">
        <w:rPr>
          <w:rFonts w:cs="Verdana"/>
          <w:spacing w:val="-1"/>
          <w:lang w:val="en-US"/>
        </w:rPr>
        <w:t>n</w:t>
      </w:r>
      <w:r w:rsidRPr="00343FB2">
        <w:rPr>
          <w:rFonts w:cs="Verdana"/>
          <w:spacing w:val="1"/>
          <w:lang w:val="en-US"/>
        </w:rPr>
        <w:t>i</w:t>
      </w:r>
      <w:r w:rsidRPr="00343FB2">
        <w:rPr>
          <w:rFonts w:cs="Verdana"/>
          <w:lang w:val="en-US"/>
        </w:rPr>
        <w:t xml:space="preserve">b </w:t>
      </w:r>
      <w:r w:rsidRPr="00343FB2">
        <w:rPr>
          <w:rFonts w:cs="Verdana"/>
          <w:spacing w:val="1"/>
          <w:lang w:val="en-US"/>
        </w:rPr>
        <w:t>i</w:t>
      </w:r>
      <w:r w:rsidRPr="00343FB2">
        <w:rPr>
          <w:rFonts w:cs="Verdana"/>
          <w:lang w:val="en-US"/>
        </w:rPr>
        <w:t>n</w:t>
      </w:r>
      <w:r w:rsidRPr="00343FB2">
        <w:rPr>
          <w:rFonts w:cs="Verdana"/>
          <w:spacing w:val="-2"/>
          <w:lang w:val="en-US"/>
        </w:rPr>
        <w:t xml:space="preserve"> </w:t>
      </w:r>
      <w:r w:rsidRPr="00343FB2">
        <w:rPr>
          <w:rFonts w:cs="Verdana"/>
          <w:spacing w:val="-1"/>
          <w:lang w:val="en-US"/>
        </w:rPr>
        <w:t>A</w:t>
      </w:r>
      <w:r w:rsidRPr="00343FB2">
        <w:rPr>
          <w:rFonts w:cs="Verdana"/>
          <w:spacing w:val="1"/>
          <w:lang w:val="en-US"/>
        </w:rPr>
        <w:t>L</w:t>
      </w:r>
      <w:r>
        <w:rPr>
          <w:rFonts w:cs="Verdana"/>
          <w:lang w:val="en-US"/>
        </w:rPr>
        <w:t>K inhibitor</w:t>
      </w:r>
      <w:r w:rsidRPr="00343FB2">
        <w:rPr>
          <w:rFonts w:cs="Verdana"/>
          <w:lang w:val="en-US"/>
        </w:rPr>
        <w:t xml:space="preserve"> </w:t>
      </w:r>
      <w:r w:rsidRPr="00343FB2">
        <w:rPr>
          <w:rFonts w:cs="Verdana"/>
          <w:spacing w:val="-1"/>
          <w:lang w:val="en-US"/>
        </w:rPr>
        <w:t>n</w:t>
      </w:r>
      <w:r w:rsidRPr="00343FB2">
        <w:rPr>
          <w:rFonts w:cs="Verdana"/>
          <w:lang w:val="en-US"/>
        </w:rPr>
        <w:t>a</w:t>
      </w:r>
      <w:r w:rsidRPr="00343FB2">
        <w:rPr>
          <w:rFonts w:cs="Verdana"/>
          <w:spacing w:val="1"/>
          <w:lang w:val="en-US"/>
        </w:rPr>
        <w:t>ï</w:t>
      </w:r>
      <w:r w:rsidRPr="00343FB2">
        <w:rPr>
          <w:rFonts w:cs="Verdana"/>
          <w:spacing w:val="-1"/>
          <w:lang w:val="en-US"/>
        </w:rPr>
        <w:t>v</w:t>
      </w:r>
      <w:r w:rsidRPr="00343FB2">
        <w:rPr>
          <w:rFonts w:cs="Verdana"/>
          <w:lang w:val="en-US"/>
        </w:rPr>
        <w:t xml:space="preserve">e </w:t>
      </w:r>
      <w:r w:rsidRPr="00343FB2">
        <w:rPr>
          <w:rFonts w:cs="Verdana"/>
          <w:spacing w:val="1"/>
          <w:lang w:val="en-US"/>
        </w:rPr>
        <w:t>p</w:t>
      </w:r>
      <w:r w:rsidRPr="00343FB2">
        <w:rPr>
          <w:rFonts w:cs="Verdana"/>
          <w:lang w:val="en-US"/>
        </w:rPr>
        <w:t>a</w:t>
      </w:r>
      <w:r w:rsidRPr="00343FB2">
        <w:rPr>
          <w:rFonts w:cs="Verdana"/>
          <w:spacing w:val="1"/>
          <w:lang w:val="en-US"/>
        </w:rPr>
        <w:t>tie</w:t>
      </w:r>
      <w:r w:rsidRPr="00343FB2">
        <w:rPr>
          <w:rFonts w:cs="Verdana"/>
          <w:spacing w:val="-1"/>
          <w:lang w:val="en-US"/>
        </w:rPr>
        <w:t>n</w:t>
      </w:r>
      <w:r w:rsidRPr="00343FB2">
        <w:rPr>
          <w:rFonts w:cs="Verdana"/>
          <w:spacing w:val="1"/>
          <w:lang w:val="en-US"/>
        </w:rPr>
        <w:t>t</w:t>
      </w:r>
      <w:r w:rsidRPr="00343FB2">
        <w:rPr>
          <w:rFonts w:cs="Verdana"/>
          <w:lang w:val="en-US"/>
        </w:rPr>
        <w:t>s</w:t>
      </w:r>
      <w:r w:rsidRPr="00343FB2">
        <w:rPr>
          <w:rFonts w:cs="Verdana"/>
          <w:spacing w:val="-1"/>
          <w:lang w:val="en-US"/>
        </w:rPr>
        <w:t xml:space="preserve"> </w:t>
      </w:r>
      <w:r>
        <w:rPr>
          <w:rFonts w:cs="Verdana"/>
          <w:spacing w:val="-1"/>
          <w:lang w:val="en-US"/>
        </w:rPr>
        <w:t xml:space="preserve">in a </w:t>
      </w:r>
      <w:r w:rsidR="002E3E15">
        <w:rPr>
          <w:rFonts w:cs="Verdana"/>
          <w:spacing w:val="-1"/>
          <w:lang w:val="en-US"/>
        </w:rPr>
        <w:t>P</w:t>
      </w:r>
      <w:r>
        <w:rPr>
          <w:rFonts w:cs="Verdana"/>
          <w:spacing w:val="-1"/>
          <w:lang w:val="en-US"/>
        </w:rPr>
        <w:t xml:space="preserve">hase </w:t>
      </w:r>
      <w:r w:rsidR="002E3E15">
        <w:rPr>
          <w:rFonts w:cs="Verdana"/>
          <w:spacing w:val="-1"/>
          <w:lang w:val="en-US"/>
        </w:rPr>
        <w:t>III</w:t>
      </w:r>
      <w:r>
        <w:rPr>
          <w:rFonts w:cs="Verdana"/>
          <w:spacing w:val="-1"/>
          <w:lang w:val="en-US"/>
        </w:rPr>
        <w:t xml:space="preserve"> trial </w:t>
      </w:r>
      <w:r w:rsidRPr="00343FB2">
        <w:rPr>
          <w:rFonts w:cs="Verdana"/>
          <w:lang w:val="en-US"/>
        </w:rPr>
        <w:t>(</w:t>
      </w:r>
      <w:r w:rsidRPr="00343FB2">
        <w:rPr>
          <w:rFonts w:cs="Verdana"/>
          <w:spacing w:val="-1"/>
          <w:lang w:val="en-US"/>
        </w:rPr>
        <w:t>A</w:t>
      </w:r>
      <w:r w:rsidRPr="00343FB2">
        <w:rPr>
          <w:rFonts w:cs="Verdana"/>
          <w:spacing w:val="1"/>
          <w:lang w:val="en-US"/>
        </w:rPr>
        <w:t>L</w:t>
      </w:r>
      <w:r w:rsidRPr="00343FB2">
        <w:rPr>
          <w:rFonts w:cs="Verdana"/>
          <w:spacing w:val="-1"/>
          <w:lang w:val="en-US"/>
        </w:rPr>
        <w:t>E</w:t>
      </w:r>
      <w:r w:rsidRPr="00343FB2">
        <w:rPr>
          <w:rFonts w:cs="Verdana"/>
          <w:lang w:val="en-US"/>
        </w:rPr>
        <w:t>X</w:t>
      </w:r>
      <w:r w:rsidRPr="00343FB2">
        <w:rPr>
          <w:rFonts w:cs="Verdana"/>
          <w:spacing w:val="-2"/>
          <w:lang w:val="en-US"/>
        </w:rPr>
        <w:t xml:space="preserve"> </w:t>
      </w:r>
      <w:r w:rsidRPr="00343FB2">
        <w:rPr>
          <w:rFonts w:cs="Verdana"/>
          <w:lang w:val="en-US"/>
        </w:rPr>
        <w:t>s</w:t>
      </w:r>
      <w:r w:rsidRPr="00343FB2">
        <w:rPr>
          <w:rFonts w:cs="Verdana"/>
          <w:spacing w:val="1"/>
          <w:lang w:val="en-US"/>
        </w:rPr>
        <w:t>t</w:t>
      </w:r>
      <w:r w:rsidRPr="00343FB2">
        <w:rPr>
          <w:rFonts w:cs="Verdana"/>
          <w:spacing w:val="-1"/>
          <w:lang w:val="en-US"/>
        </w:rPr>
        <w:t>u</w:t>
      </w:r>
      <w:r w:rsidRPr="00343FB2">
        <w:rPr>
          <w:rFonts w:cs="Verdana"/>
          <w:spacing w:val="1"/>
          <w:lang w:val="en-US"/>
        </w:rPr>
        <w:t>d</w:t>
      </w:r>
      <w:r w:rsidRPr="00343FB2">
        <w:rPr>
          <w:rFonts w:cs="Verdana"/>
          <w:spacing w:val="-1"/>
          <w:lang w:val="en-US"/>
        </w:rPr>
        <w:t>y</w:t>
      </w:r>
      <w:r w:rsidRPr="00343FB2">
        <w:rPr>
          <w:rFonts w:cs="Verdana"/>
          <w:lang w:val="en-US"/>
        </w:rPr>
        <w:t>;</w:t>
      </w:r>
      <w:r w:rsidRPr="00343FB2">
        <w:rPr>
          <w:rFonts w:cs="Verdana"/>
          <w:spacing w:val="2"/>
          <w:lang w:val="en-US"/>
        </w:rPr>
        <w:t xml:space="preserve"> </w:t>
      </w:r>
      <w:r w:rsidRPr="00343FB2">
        <w:rPr>
          <w:rFonts w:cs="Verdana"/>
          <w:lang w:val="en-US"/>
        </w:rPr>
        <w:t>N</w:t>
      </w:r>
      <w:r w:rsidRPr="00343FB2">
        <w:rPr>
          <w:rFonts w:cs="Verdana"/>
          <w:spacing w:val="-1"/>
          <w:lang w:val="en-US"/>
        </w:rPr>
        <w:t>CT</w:t>
      </w:r>
      <w:r w:rsidRPr="00343FB2">
        <w:rPr>
          <w:rFonts w:cs="Verdana"/>
          <w:spacing w:val="1"/>
          <w:lang w:val="en-US"/>
        </w:rPr>
        <w:t>02075840</w:t>
      </w:r>
      <w:r w:rsidRPr="00343FB2">
        <w:rPr>
          <w:rFonts w:cs="Verdana"/>
          <w:lang w:val="en-US"/>
        </w:rPr>
        <w:t>)</w:t>
      </w:r>
      <w:r>
        <w:rPr>
          <w:rFonts w:cs="Verdana"/>
          <w:lang w:val="en-US"/>
        </w:rPr>
        <w:t xml:space="preserve"> and the lack of direct comparison between ceritinib </w:t>
      </w:r>
      <w:r w:rsidRPr="006863FF">
        <w:rPr>
          <w:rFonts w:cs="Verdana"/>
          <w:lang w:val="en-US"/>
        </w:rPr>
        <w:t>and crizotinib is a deficit in the application.</w:t>
      </w:r>
      <w:r w:rsidRPr="00D052A8">
        <w:rPr>
          <w:rFonts w:cs="Verdana"/>
          <w:spacing w:val="-1"/>
          <w:lang w:val="en-US"/>
        </w:rPr>
        <w:t xml:space="preserve"> In addition, it </w:t>
      </w:r>
      <w:r w:rsidRPr="002B0DA6">
        <w:rPr>
          <w:rFonts w:cs="Verdana"/>
          <w:spacing w:val="1"/>
          <w:lang w:val="en-US"/>
        </w:rPr>
        <w:t>i</w:t>
      </w:r>
      <w:r w:rsidRPr="002B0DA6">
        <w:rPr>
          <w:rFonts w:cs="Verdana"/>
          <w:lang w:val="en-US"/>
        </w:rPr>
        <w:t>s</w:t>
      </w:r>
      <w:r w:rsidRPr="002B0DA6">
        <w:rPr>
          <w:rFonts w:cs="Verdana"/>
          <w:spacing w:val="-1"/>
          <w:lang w:val="en-US"/>
        </w:rPr>
        <w:t xml:space="preserve"> w</w:t>
      </w:r>
      <w:r w:rsidRPr="002B0DA6">
        <w:rPr>
          <w:rFonts w:cs="Verdana"/>
          <w:spacing w:val="1"/>
          <w:lang w:val="en-US"/>
        </w:rPr>
        <w:t>o</w:t>
      </w:r>
      <w:r w:rsidRPr="002B0DA6">
        <w:rPr>
          <w:rFonts w:cs="Verdana"/>
          <w:lang w:val="en-US"/>
        </w:rPr>
        <w:t>r</w:t>
      </w:r>
      <w:r w:rsidRPr="006863FF">
        <w:rPr>
          <w:rFonts w:cs="Verdana"/>
          <w:spacing w:val="1"/>
          <w:lang w:val="en-US"/>
        </w:rPr>
        <w:t>t</w:t>
      </w:r>
      <w:r w:rsidRPr="006863FF">
        <w:rPr>
          <w:rFonts w:cs="Verdana"/>
          <w:lang w:val="en-US"/>
        </w:rPr>
        <w:t>h</w:t>
      </w:r>
      <w:r w:rsidRPr="006863FF">
        <w:rPr>
          <w:rFonts w:cs="Verdana"/>
          <w:spacing w:val="-2"/>
          <w:lang w:val="en-US"/>
        </w:rPr>
        <w:t xml:space="preserve"> </w:t>
      </w:r>
      <w:r w:rsidRPr="006863FF">
        <w:rPr>
          <w:rFonts w:cs="Verdana"/>
          <w:lang w:val="en-US"/>
        </w:rPr>
        <w:t>m</w:t>
      </w:r>
      <w:r w:rsidRPr="006863FF">
        <w:rPr>
          <w:rFonts w:cs="Verdana"/>
          <w:spacing w:val="1"/>
          <w:lang w:val="en-US"/>
        </w:rPr>
        <w:t>e</w:t>
      </w:r>
      <w:r w:rsidRPr="006863FF">
        <w:rPr>
          <w:rFonts w:cs="Verdana"/>
          <w:spacing w:val="-1"/>
          <w:lang w:val="en-US"/>
        </w:rPr>
        <w:t>n</w:t>
      </w:r>
      <w:r w:rsidRPr="006863FF">
        <w:rPr>
          <w:rFonts w:cs="Verdana"/>
          <w:spacing w:val="1"/>
          <w:lang w:val="en-US"/>
        </w:rPr>
        <w:t>ti</w:t>
      </w:r>
      <w:r w:rsidRPr="006863FF">
        <w:rPr>
          <w:rFonts w:cs="Verdana"/>
          <w:spacing w:val="-1"/>
          <w:lang w:val="en-US"/>
        </w:rPr>
        <w:t>on</w:t>
      </w:r>
      <w:r w:rsidRPr="006863FF">
        <w:rPr>
          <w:rFonts w:cs="Verdana"/>
          <w:spacing w:val="1"/>
          <w:lang w:val="en-US"/>
        </w:rPr>
        <w:t>i</w:t>
      </w:r>
      <w:r w:rsidRPr="006863FF">
        <w:rPr>
          <w:rFonts w:cs="Verdana"/>
          <w:spacing w:val="-1"/>
          <w:lang w:val="en-US"/>
        </w:rPr>
        <w:t>n</w:t>
      </w:r>
      <w:r w:rsidRPr="006863FF">
        <w:rPr>
          <w:rFonts w:cs="Verdana"/>
          <w:lang w:val="en-US"/>
        </w:rPr>
        <w:t xml:space="preserve">g </w:t>
      </w:r>
      <w:r w:rsidRPr="006863FF">
        <w:rPr>
          <w:rFonts w:cs="Verdana"/>
          <w:spacing w:val="1"/>
          <w:lang w:val="en-US"/>
        </w:rPr>
        <w:t>t</w:t>
      </w:r>
      <w:r w:rsidRPr="006863FF">
        <w:rPr>
          <w:rFonts w:cs="Verdana"/>
          <w:spacing w:val="-1"/>
          <w:lang w:val="en-US"/>
        </w:rPr>
        <w:t>h</w:t>
      </w:r>
      <w:r w:rsidRPr="006863FF">
        <w:rPr>
          <w:rFonts w:cs="Verdana"/>
          <w:lang w:val="en-US"/>
        </w:rPr>
        <w:t>e r</w:t>
      </w:r>
      <w:r w:rsidRPr="006863FF">
        <w:rPr>
          <w:rFonts w:cs="Verdana"/>
          <w:spacing w:val="1"/>
          <w:lang w:val="en-US"/>
        </w:rPr>
        <w:t>e</w:t>
      </w:r>
      <w:r w:rsidRPr="006863FF">
        <w:rPr>
          <w:rFonts w:cs="Verdana"/>
          <w:lang w:val="en-US"/>
        </w:rPr>
        <w:t>s</w:t>
      </w:r>
      <w:r w:rsidRPr="006863FF">
        <w:rPr>
          <w:rFonts w:cs="Verdana"/>
          <w:spacing w:val="-1"/>
          <w:lang w:val="en-US"/>
        </w:rPr>
        <w:t>u</w:t>
      </w:r>
      <w:r w:rsidRPr="006863FF">
        <w:rPr>
          <w:rFonts w:cs="Verdana"/>
          <w:spacing w:val="1"/>
          <w:lang w:val="en-US"/>
        </w:rPr>
        <w:t>lt</w:t>
      </w:r>
      <w:r w:rsidRPr="006863FF">
        <w:rPr>
          <w:rFonts w:cs="Verdana"/>
          <w:lang w:val="en-US"/>
        </w:rPr>
        <w:t>s</w:t>
      </w:r>
      <w:r w:rsidRPr="006863FF">
        <w:rPr>
          <w:rFonts w:cs="Verdana"/>
          <w:spacing w:val="-1"/>
          <w:lang w:val="en-US"/>
        </w:rPr>
        <w:t xml:space="preserve"> f</w:t>
      </w:r>
      <w:r w:rsidRPr="006863FF">
        <w:rPr>
          <w:rFonts w:cs="Verdana"/>
          <w:lang w:val="en-US"/>
        </w:rPr>
        <w:t>r</w:t>
      </w:r>
      <w:r w:rsidRPr="006863FF">
        <w:rPr>
          <w:rFonts w:cs="Verdana"/>
          <w:spacing w:val="1"/>
          <w:lang w:val="en-US"/>
        </w:rPr>
        <w:t>o</w:t>
      </w:r>
      <w:r w:rsidRPr="006863FF">
        <w:rPr>
          <w:rFonts w:cs="Verdana"/>
          <w:lang w:val="en-US"/>
        </w:rPr>
        <w:t>m</w:t>
      </w:r>
      <w:r w:rsidRPr="006863FF">
        <w:rPr>
          <w:rFonts w:cs="Verdana"/>
          <w:spacing w:val="-1"/>
          <w:lang w:val="en-US"/>
        </w:rPr>
        <w:t xml:space="preserve"> </w:t>
      </w:r>
      <w:r w:rsidRPr="006863FF">
        <w:rPr>
          <w:rFonts w:cs="Verdana"/>
          <w:lang w:val="en-US"/>
        </w:rPr>
        <w:t>cr</w:t>
      </w:r>
      <w:r w:rsidRPr="006863FF">
        <w:rPr>
          <w:rFonts w:cs="Verdana"/>
          <w:spacing w:val="1"/>
          <w:lang w:val="en-US"/>
        </w:rPr>
        <w:t>i</w:t>
      </w:r>
      <w:r w:rsidRPr="006863FF">
        <w:rPr>
          <w:rFonts w:cs="Verdana"/>
          <w:spacing w:val="-1"/>
          <w:lang w:val="en-US"/>
        </w:rPr>
        <w:t>z</w:t>
      </w:r>
      <w:r w:rsidRPr="006863FF">
        <w:rPr>
          <w:rFonts w:cs="Verdana"/>
          <w:spacing w:val="1"/>
          <w:lang w:val="en-US"/>
        </w:rPr>
        <w:t>oti</w:t>
      </w:r>
      <w:r w:rsidRPr="006863FF">
        <w:rPr>
          <w:rFonts w:cs="Verdana"/>
          <w:spacing w:val="-1"/>
          <w:lang w:val="en-US"/>
        </w:rPr>
        <w:t>n</w:t>
      </w:r>
      <w:r w:rsidRPr="006863FF">
        <w:rPr>
          <w:rFonts w:cs="Verdana"/>
          <w:spacing w:val="1"/>
          <w:lang w:val="en-US"/>
        </w:rPr>
        <w:t>i</w:t>
      </w:r>
      <w:r w:rsidRPr="006863FF">
        <w:rPr>
          <w:rFonts w:cs="Verdana"/>
          <w:lang w:val="en-US"/>
        </w:rPr>
        <w:t xml:space="preserve">b </w:t>
      </w:r>
      <w:r w:rsidR="00B3070B" w:rsidRPr="006863FF">
        <w:rPr>
          <w:rFonts w:cs="Verdana"/>
          <w:spacing w:val="1"/>
          <w:lang w:val="en-US"/>
        </w:rPr>
        <w:t>Phase I</w:t>
      </w:r>
      <w:r w:rsidRPr="006863FF">
        <w:rPr>
          <w:rFonts w:cs="Verdana"/>
          <w:spacing w:val="-1"/>
          <w:lang w:val="en-US"/>
        </w:rPr>
        <w:t>I</w:t>
      </w:r>
      <w:r w:rsidRPr="006863FF">
        <w:rPr>
          <w:rFonts w:cs="Verdana"/>
          <w:lang w:val="en-US"/>
        </w:rPr>
        <w:t xml:space="preserve">I </w:t>
      </w:r>
      <w:r w:rsidRPr="006863FF">
        <w:rPr>
          <w:rFonts w:cs="Verdana"/>
          <w:spacing w:val="1"/>
          <w:lang w:val="en-US"/>
        </w:rPr>
        <w:t>t</w:t>
      </w:r>
      <w:r w:rsidRPr="006863FF">
        <w:rPr>
          <w:rFonts w:cs="Verdana"/>
          <w:lang w:val="en-US"/>
        </w:rPr>
        <w:t>r</w:t>
      </w:r>
      <w:r w:rsidRPr="006863FF">
        <w:rPr>
          <w:rFonts w:cs="Verdana"/>
          <w:spacing w:val="1"/>
          <w:lang w:val="en-US"/>
        </w:rPr>
        <w:t>i</w:t>
      </w:r>
      <w:r w:rsidRPr="006863FF">
        <w:rPr>
          <w:rFonts w:cs="Verdana"/>
          <w:lang w:val="en-US"/>
        </w:rPr>
        <w:t>al where patients were ALK inhibitor naïve but chemotherapy pre-treated.</w:t>
      </w:r>
      <w:r w:rsidR="001058EB" w:rsidRPr="002B0DA6">
        <w:rPr>
          <w:rFonts w:cs="Verdana"/>
          <w:vertAlign w:val="superscript"/>
          <w:lang w:val="en-US"/>
        </w:rPr>
        <w:fldChar w:fldCharType="begin"/>
      </w:r>
      <w:r w:rsidR="001058EB" w:rsidRPr="006863FF">
        <w:rPr>
          <w:rFonts w:cs="Verdana"/>
          <w:vertAlign w:val="superscript"/>
          <w:lang w:val="en-US"/>
        </w:rPr>
        <w:instrText xml:space="preserve"> NOTEREF _Ref500765120 \h  \* MERGEFORMAT </w:instrText>
      </w:r>
      <w:r w:rsidR="001058EB" w:rsidRPr="002B0DA6">
        <w:rPr>
          <w:rFonts w:cs="Verdana"/>
          <w:vertAlign w:val="superscript"/>
          <w:lang w:val="en-US"/>
        </w:rPr>
      </w:r>
      <w:r w:rsidR="001058EB" w:rsidRPr="002B0DA6">
        <w:rPr>
          <w:rFonts w:cs="Verdana"/>
          <w:vertAlign w:val="superscript"/>
          <w:lang w:val="en-US"/>
        </w:rPr>
        <w:fldChar w:fldCharType="separate"/>
      </w:r>
      <w:r w:rsidR="00951361">
        <w:rPr>
          <w:rFonts w:cs="Verdana"/>
          <w:vertAlign w:val="superscript"/>
          <w:lang w:val="en-US"/>
        </w:rPr>
        <w:t>1</w:t>
      </w:r>
      <w:r w:rsidR="001058EB" w:rsidRPr="002B0DA6">
        <w:rPr>
          <w:rFonts w:cs="Verdana"/>
          <w:vertAlign w:val="superscript"/>
          <w:lang w:val="en-US"/>
        </w:rPr>
        <w:fldChar w:fldCharType="end"/>
      </w:r>
      <w:r w:rsidRPr="002B0DA6">
        <w:rPr>
          <w:rFonts w:cs="Verdana"/>
          <w:lang w:val="en-US"/>
        </w:rPr>
        <w:t xml:space="preserve"> In the trial, </w:t>
      </w:r>
      <w:r w:rsidRPr="002B0DA6">
        <w:rPr>
          <w:rFonts w:cs="Verdana"/>
          <w:spacing w:val="1"/>
          <w:lang w:val="en-US"/>
        </w:rPr>
        <w:t>6</w:t>
      </w:r>
      <w:r w:rsidRPr="002B0DA6">
        <w:rPr>
          <w:rFonts w:cs="Verdana"/>
          <w:spacing w:val="-2"/>
          <w:lang w:val="en-US"/>
        </w:rPr>
        <w:t>5</w:t>
      </w:r>
      <w:r w:rsidRPr="006863FF">
        <w:rPr>
          <w:rFonts w:cs="Verdana"/>
          <w:lang w:val="en-US"/>
        </w:rPr>
        <w:t xml:space="preserve">% </w:t>
      </w:r>
      <w:r w:rsidRPr="006863FF">
        <w:rPr>
          <w:rFonts w:cs="Verdana"/>
          <w:spacing w:val="1"/>
          <w:lang w:val="en-US"/>
        </w:rPr>
        <w:t>o</w:t>
      </w:r>
      <w:r w:rsidRPr="006863FF">
        <w:rPr>
          <w:rFonts w:cs="Verdana"/>
          <w:lang w:val="en-US"/>
        </w:rPr>
        <w:t>f</w:t>
      </w:r>
      <w:r w:rsidRPr="006863FF">
        <w:rPr>
          <w:rFonts w:cs="Verdana"/>
          <w:spacing w:val="-2"/>
          <w:lang w:val="en-US"/>
        </w:rPr>
        <w:t xml:space="preserve"> </w:t>
      </w:r>
      <w:r w:rsidRPr="006863FF">
        <w:rPr>
          <w:rFonts w:cs="Verdana"/>
          <w:spacing w:val="1"/>
          <w:lang w:val="en-US"/>
        </w:rPr>
        <w:t>t</w:t>
      </w:r>
      <w:r w:rsidRPr="006863FF">
        <w:rPr>
          <w:rFonts w:cs="Verdana"/>
          <w:spacing w:val="-1"/>
          <w:lang w:val="en-US"/>
        </w:rPr>
        <w:t>h</w:t>
      </w:r>
      <w:r w:rsidRPr="006863FF">
        <w:rPr>
          <w:rFonts w:cs="Verdana"/>
          <w:lang w:val="en-US"/>
        </w:rPr>
        <w:t xml:space="preserve">e </w:t>
      </w:r>
      <w:r w:rsidRPr="006863FF">
        <w:rPr>
          <w:rFonts w:cs="Verdana"/>
          <w:spacing w:val="1"/>
          <w:lang w:val="en-US"/>
        </w:rPr>
        <w:t>p</w:t>
      </w:r>
      <w:r w:rsidRPr="006863FF">
        <w:rPr>
          <w:rFonts w:cs="Verdana"/>
          <w:lang w:val="en-US"/>
        </w:rPr>
        <w:t>a</w:t>
      </w:r>
      <w:r w:rsidRPr="006863FF">
        <w:rPr>
          <w:rFonts w:cs="Verdana"/>
          <w:spacing w:val="1"/>
          <w:lang w:val="en-US"/>
        </w:rPr>
        <w:t>tie</w:t>
      </w:r>
      <w:r w:rsidRPr="006863FF">
        <w:rPr>
          <w:rFonts w:cs="Verdana"/>
          <w:spacing w:val="-1"/>
          <w:lang w:val="en-US"/>
        </w:rPr>
        <w:t>n</w:t>
      </w:r>
      <w:r w:rsidRPr="006863FF">
        <w:rPr>
          <w:rFonts w:cs="Verdana"/>
          <w:spacing w:val="1"/>
          <w:lang w:val="en-US"/>
        </w:rPr>
        <w:t>t</w:t>
      </w:r>
      <w:r w:rsidRPr="006863FF">
        <w:rPr>
          <w:rFonts w:cs="Verdana"/>
          <w:lang w:val="en-US"/>
        </w:rPr>
        <w:t>s</w:t>
      </w:r>
      <w:r w:rsidRPr="006863FF">
        <w:rPr>
          <w:rFonts w:cs="Verdana"/>
          <w:spacing w:val="-1"/>
          <w:lang w:val="en-US"/>
        </w:rPr>
        <w:t xml:space="preserve"> h</w:t>
      </w:r>
      <w:r w:rsidRPr="006863FF">
        <w:rPr>
          <w:rFonts w:cs="Verdana"/>
          <w:lang w:val="en-US"/>
        </w:rPr>
        <w:t>ad a</w:t>
      </w:r>
      <w:r w:rsidRPr="006863FF">
        <w:rPr>
          <w:rFonts w:cs="Verdana"/>
          <w:spacing w:val="-1"/>
          <w:lang w:val="en-US"/>
        </w:rPr>
        <w:t xml:space="preserve"> P</w:t>
      </w:r>
      <w:r w:rsidRPr="006863FF">
        <w:rPr>
          <w:rFonts w:cs="Verdana"/>
          <w:lang w:val="en-US"/>
        </w:rPr>
        <w:t>R</w:t>
      </w:r>
      <w:r w:rsidRPr="006863FF">
        <w:rPr>
          <w:rFonts w:cs="Verdana"/>
          <w:spacing w:val="1"/>
          <w:lang w:val="en-US"/>
        </w:rPr>
        <w:t xml:space="preserve"> </w:t>
      </w:r>
      <w:r w:rsidRPr="006863FF">
        <w:rPr>
          <w:rFonts w:cs="Verdana"/>
          <w:lang w:val="en-US"/>
        </w:rPr>
        <w:t xml:space="preserve">with </w:t>
      </w:r>
      <w:r w:rsidR="001762D3" w:rsidRPr="006863FF">
        <w:rPr>
          <w:rFonts w:cs="Verdana"/>
          <w:lang w:val="en-US"/>
        </w:rPr>
        <w:t xml:space="preserve">approximately </w:t>
      </w:r>
      <w:r w:rsidRPr="006863FF">
        <w:rPr>
          <w:rFonts w:cs="Verdana"/>
          <w:lang w:val="en-US"/>
        </w:rPr>
        <w:t>8 m</w:t>
      </w:r>
      <w:r w:rsidRPr="006863FF">
        <w:rPr>
          <w:rFonts w:cs="Verdana"/>
          <w:spacing w:val="1"/>
          <w:lang w:val="en-US"/>
        </w:rPr>
        <w:t>o</w:t>
      </w:r>
      <w:r w:rsidRPr="006863FF">
        <w:rPr>
          <w:rFonts w:cs="Verdana"/>
          <w:spacing w:val="-1"/>
          <w:lang w:val="en-US"/>
        </w:rPr>
        <w:t>n</w:t>
      </w:r>
      <w:r w:rsidRPr="006863FF">
        <w:rPr>
          <w:rFonts w:cs="Verdana"/>
          <w:spacing w:val="1"/>
          <w:lang w:val="en-US"/>
        </w:rPr>
        <w:t>t</w:t>
      </w:r>
      <w:r w:rsidRPr="006863FF">
        <w:rPr>
          <w:rFonts w:cs="Verdana"/>
          <w:spacing w:val="-1"/>
          <w:lang w:val="en-US"/>
        </w:rPr>
        <w:t>h</w:t>
      </w:r>
      <w:r w:rsidRPr="006863FF">
        <w:rPr>
          <w:rFonts w:cs="Verdana"/>
          <w:lang w:val="en-US"/>
        </w:rPr>
        <w:t>s</w:t>
      </w:r>
      <w:r w:rsidRPr="006863FF">
        <w:rPr>
          <w:rFonts w:cs="Verdana"/>
          <w:spacing w:val="-1"/>
          <w:lang w:val="en-US"/>
        </w:rPr>
        <w:t xml:space="preserve"> </w:t>
      </w:r>
      <w:r w:rsidRPr="006863FF">
        <w:rPr>
          <w:rFonts w:cs="Verdana"/>
          <w:spacing w:val="1"/>
          <w:lang w:val="en-US"/>
        </w:rPr>
        <w:t>o</w:t>
      </w:r>
      <w:r w:rsidRPr="006863FF">
        <w:rPr>
          <w:rFonts w:cs="Verdana"/>
          <w:lang w:val="en-US"/>
        </w:rPr>
        <w:t>f</w:t>
      </w:r>
      <w:r w:rsidRPr="006863FF">
        <w:rPr>
          <w:rFonts w:cs="Verdana"/>
          <w:spacing w:val="1"/>
          <w:lang w:val="en-US"/>
        </w:rPr>
        <w:t xml:space="preserve"> DOR and</w:t>
      </w:r>
      <w:r w:rsidRPr="006863FF">
        <w:rPr>
          <w:rFonts w:cs="Verdana"/>
          <w:lang w:val="en-US"/>
        </w:rPr>
        <w:t xml:space="preserve"> </w:t>
      </w:r>
      <w:r w:rsidRPr="006863FF">
        <w:rPr>
          <w:rFonts w:cs="Verdana"/>
          <w:spacing w:val="1"/>
          <w:lang w:val="en-US"/>
        </w:rPr>
        <w:t>7</w:t>
      </w:r>
      <w:r w:rsidRPr="006863FF">
        <w:rPr>
          <w:rFonts w:cs="Verdana"/>
          <w:spacing w:val="-1"/>
          <w:lang w:val="en-US"/>
        </w:rPr>
        <w:t>.</w:t>
      </w:r>
      <w:r w:rsidRPr="006863FF">
        <w:rPr>
          <w:rFonts w:cs="Verdana"/>
          <w:lang w:val="en-US"/>
        </w:rPr>
        <w:t>7 m</w:t>
      </w:r>
      <w:r w:rsidRPr="006863FF">
        <w:rPr>
          <w:rFonts w:cs="Verdana"/>
          <w:spacing w:val="1"/>
          <w:lang w:val="en-US"/>
        </w:rPr>
        <w:t>o</w:t>
      </w:r>
      <w:r w:rsidRPr="006863FF">
        <w:rPr>
          <w:rFonts w:cs="Verdana"/>
          <w:spacing w:val="-1"/>
          <w:lang w:val="en-US"/>
        </w:rPr>
        <w:t>n</w:t>
      </w:r>
      <w:r w:rsidRPr="006863FF">
        <w:rPr>
          <w:rFonts w:cs="Verdana"/>
          <w:spacing w:val="1"/>
          <w:lang w:val="en-US"/>
        </w:rPr>
        <w:t>t</w:t>
      </w:r>
      <w:r w:rsidRPr="006863FF">
        <w:rPr>
          <w:rFonts w:cs="Verdana"/>
          <w:spacing w:val="-1"/>
          <w:lang w:val="en-US"/>
        </w:rPr>
        <w:t>h</w:t>
      </w:r>
      <w:r w:rsidRPr="006863FF">
        <w:rPr>
          <w:rFonts w:cs="Verdana"/>
          <w:lang w:val="en-US"/>
        </w:rPr>
        <w:t>s</w:t>
      </w:r>
      <w:r w:rsidRPr="006863FF">
        <w:rPr>
          <w:rFonts w:cs="Verdana"/>
          <w:spacing w:val="-1"/>
          <w:lang w:val="en-US"/>
        </w:rPr>
        <w:t xml:space="preserve"> </w:t>
      </w:r>
      <w:r w:rsidRPr="006863FF">
        <w:rPr>
          <w:rFonts w:cs="Verdana"/>
          <w:spacing w:val="1"/>
          <w:lang w:val="en-US"/>
        </w:rPr>
        <w:t>o</w:t>
      </w:r>
      <w:r w:rsidRPr="006863FF">
        <w:rPr>
          <w:rFonts w:cs="Verdana"/>
          <w:lang w:val="en-US"/>
        </w:rPr>
        <w:t>f</w:t>
      </w:r>
      <w:r w:rsidRPr="006863FF">
        <w:rPr>
          <w:rFonts w:cs="Verdana"/>
          <w:spacing w:val="-2"/>
          <w:lang w:val="en-US"/>
        </w:rPr>
        <w:t xml:space="preserve"> </w:t>
      </w:r>
      <w:r w:rsidRPr="006863FF">
        <w:rPr>
          <w:rFonts w:cs="Verdana"/>
          <w:lang w:val="en-US"/>
        </w:rPr>
        <w:t>m</w:t>
      </w:r>
      <w:r w:rsidRPr="006863FF">
        <w:rPr>
          <w:rFonts w:cs="Verdana"/>
          <w:spacing w:val="1"/>
          <w:lang w:val="en-US"/>
        </w:rPr>
        <w:t>edi</w:t>
      </w:r>
      <w:r w:rsidRPr="006863FF">
        <w:rPr>
          <w:rFonts w:cs="Verdana"/>
          <w:lang w:val="en-US"/>
        </w:rPr>
        <w:t>an</w:t>
      </w:r>
      <w:r w:rsidRPr="006863FF">
        <w:rPr>
          <w:rFonts w:cs="Verdana"/>
          <w:spacing w:val="-2"/>
          <w:lang w:val="en-US"/>
        </w:rPr>
        <w:t xml:space="preserve"> </w:t>
      </w:r>
      <w:r w:rsidRPr="006863FF">
        <w:rPr>
          <w:rFonts w:cs="Verdana"/>
          <w:spacing w:val="-1"/>
          <w:lang w:val="en-US"/>
        </w:rPr>
        <w:t>P</w:t>
      </w:r>
      <w:r w:rsidRPr="006863FF">
        <w:rPr>
          <w:rFonts w:cs="Verdana"/>
          <w:lang w:val="en-US"/>
        </w:rPr>
        <w:t>F</w:t>
      </w:r>
      <w:r w:rsidRPr="006863FF">
        <w:rPr>
          <w:rFonts w:cs="Verdana"/>
          <w:spacing w:val="2"/>
          <w:lang w:val="en-US"/>
        </w:rPr>
        <w:t>S</w:t>
      </w:r>
      <w:r w:rsidRPr="006863FF">
        <w:rPr>
          <w:rFonts w:cs="Verdana"/>
          <w:lang w:val="en-US"/>
        </w:rPr>
        <w:t>.</w:t>
      </w:r>
      <w:r w:rsidRPr="006863FF">
        <w:rPr>
          <w:rFonts w:cs="Verdana"/>
          <w:spacing w:val="-1"/>
          <w:lang w:val="en-US"/>
        </w:rPr>
        <w:t xml:space="preserve"> </w:t>
      </w:r>
      <w:r w:rsidRPr="006863FF">
        <w:rPr>
          <w:rFonts w:cs="Verdana"/>
          <w:lang w:val="en-US"/>
        </w:rPr>
        <w:t>While direct cross-trial comparison should not be made, there is no convincing signal</w:t>
      </w:r>
      <w:r w:rsidR="004E0828" w:rsidRPr="006863FF">
        <w:rPr>
          <w:rFonts w:cs="Verdana"/>
          <w:lang w:val="en-US"/>
        </w:rPr>
        <w:t>, as yet reported</w:t>
      </w:r>
      <w:r w:rsidR="004E0828" w:rsidRPr="002B0DA6">
        <w:rPr>
          <w:rFonts w:cs="Verdana"/>
          <w:lang w:val="en-US"/>
        </w:rPr>
        <w:t xml:space="preserve">, </w:t>
      </w:r>
      <w:r w:rsidRPr="002B0DA6">
        <w:rPr>
          <w:rFonts w:cs="Verdana"/>
          <w:lang w:val="en-US"/>
        </w:rPr>
        <w:t xml:space="preserve"> that ceritinib in the ALK-inhibitor naïve patients is superior.</w:t>
      </w:r>
      <w:r w:rsidR="000E3918" w:rsidRPr="006863FF">
        <w:rPr>
          <w:rFonts w:cs="Verdana"/>
          <w:lang w:val="en-US"/>
        </w:rPr>
        <w:t xml:space="preserve"> </w:t>
      </w:r>
    </w:p>
    <w:p w14:paraId="523BDEEA" w14:textId="77777777" w:rsidR="00554D4D" w:rsidRDefault="00554D4D" w:rsidP="00554D4D">
      <w:pPr>
        <w:widowControl w:val="0"/>
        <w:autoSpaceDE w:val="0"/>
        <w:autoSpaceDN w:val="0"/>
        <w:adjustRightInd w:val="0"/>
        <w:ind w:left="40" w:right="48"/>
        <w:rPr>
          <w:rFonts w:cs="Verdana"/>
          <w:lang w:val="en-US"/>
        </w:rPr>
      </w:pPr>
      <w:r>
        <w:rPr>
          <w:rFonts w:cs="Verdana"/>
          <w:lang w:val="en-US"/>
        </w:rPr>
        <w:t>Currently there is insufficient evidence to support a first line indication.</w:t>
      </w:r>
    </w:p>
    <w:p w14:paraId="5DE3A8AC" w14:textId="77777777" w:rsidR="00554D4D" w:rsidRDefault="00554D4D" w:rsidP="00554D4D">
      <w:pPr>
        <w:widowControl w:val="0"/>
        <w:autoSpaceDE w:val="0"/>
        <w:autoSpaceDN w:val="0"/>
        <w:adjustRightInd w:val="0"/>
        <w:ind w:left="40" w:right="48"/>
        <w:rPr>
          <w:rFonts w:cs="Verdana"/>
          <w:lang w:val="en-US"/>
        </w:rPr>
      </w:pPr>
      <w:r>
        <w:rPr>
          <w:rFonts w:cs="Verdana"/>
          <w:lang w:val="en-US"/>
        </w:rPr>
        <w:t xml:space="preserve">Figure </w:t>
      </w:r>
      <w:r w:rsidR="002E3E15">
        <w:rPr>
          <w:rFonts w:cs="Verdana"/>
          <w:lang w:val="en-US"/>
        </w:rPr>
        <w:t>2</w:t>
      </w:r>
      <w:r>
        <w:rPr>
          <w:rFonts w:cs="Verdana"/>
          <w:lang w:val="en-US"/>
        </w:rPr>
        <w:t xml:space="preserve"> illustrates a suggested Australian algorithm for treatment for ALK-positive NSCLC in 2015, if ceritinib becomes available for use. This obviously may change depending on the outcome of the </w:t>
      </w:r>
      <w:r w:rsidR="002E3E15">
        <w:rPr>
          <w:rFonts w:cs="Verdana"/>
          <w:lang w:val="en-US"/>
        </w:rPr>
        <w:t>P</w:t>
      </w:r>
      <w:r>
        <w:rPr>
          <w:rFonts w:cs="Verdana"/>
          <w:lang w:val="en-US"/>
        </w:rPr>
        <w:t xml:space="preserve">hase </w:t>
      </w:r>
      <w:r w:rsidR="002E3E15">
        <w:rPr>
          <w:rFonts w:cs="Verdana"/>
          <w:lang w:val="en-US"/>
        </w:rPr>
        <w:t>III</w:t>
      </w:r>
      <w:r>
        <w:rPr>
          <w:rFonts w:cs="Verdana"/>
          <w:lang w:val="en-US"/>
        </w:rPr>
        <w:t xml:space="preserve"> randomised trials of alectinib</w:t>
      </w:r>
      <w:r w:rsidR="002E3E15">
        <w:rPr>
          <w:rFonts w:cs="Verdana"/>
          <w:lang w:val="en-US"/>
        </w:rPr>
        <w:t xml:space="preserve"> versus</w:t>
      </w:r>
      <w:r>
        <w:rPr>
          <w:rFonts w:cs="Verdana"/>
          <w:lang w:val="en-US"/>
        </w:rPr>
        <w:t xml:space="preserve"> crizotinib and ceritinib</w:t>
      </w:r>
      <w:r w:rsidR="002E3E15">
        <w:rPr>
          <w:rFonts w:cs="Verdana"/>
          <w:lang w:val="en-US"/>
        </w:rPr>
        <w:t xml:space="preserve"> versus</w:t>
      </w:r>
      <w:r>
        <w:rPr>
          <w:rFonts w:cs="Verdana"/>
          <w:lang w:val="en-US"/>
        </w:rPr>
        <w:t xml:space="preserve"> chemotherapy in the first line setting. Understanding in the mechanism of resistance for ALK inhibitors may also assist in the sequential use of different ALK inhibitors.</w:t>
      </w:r>
    </w:p>
    <w:p w14:paraId="01CABD62" w14:textId="77777777" w:rsidR="00554D4D" w:rsidRDefault="00554D4D" w:rsidP="002E3E15">
      <w:pPr>
        <w:pStyle w:val="FigureTitle"/>
      </w:pPr>
      <w:bookmarkStart w:id="94" w:name="_Toc300498694"/>
      <w:r w:rsidRPr="00EB355D">
        <w:t xml:space="preserve">Figure </w:t>
      </w:r>
      <w:r w:rsidR="002E3E15">
        <w:t>2:</w:t>
      </w:r>
      <w:r w:rsidR="000E3918">
        <w:t xml:space="preserve"> </w:t>
      </w:r>
      <w:r>
        <w:t>A suggested</w:t>
      </w:r>
      <w:r w:rsidRPr="005E3278">
        <w:t xml:space="preserve"> Australian algorithm for treatment of ALK-positive NSCLC in 2015 if ceritinib is registered</w:t>
      </w:r>
      <w:r>
        <w:t xml:space="preserve"> for use</w:t>
      </w:r>
      <w:bookmarkEnd w:id="94"/>
    </w:p>
    <w:p w14:paraId="59D0057B" w14:textId="77777777" w:rsidR="00554D4D" w:rsidRDefault="00554D4D" w:rsidP="00554D4D">
      <w:pPr>
        <w:widowControl w:val="0"/>
        <w:autoSpaceDE w:val="0"/>
        <w:autoSpaceDN w:val="0"/>
        <w:adjustRightInd w:val="0"/>
        <w:ind w:left="40" w:right="48"/>
        <w:rPr>
          <w:rFonts w:cs="Verdana"/>
          <w:lang w:val="en-US"/>
        </w:rPr>
      </w:pPr>
      <w:r>
        <w:rPr>
          <w:rFonts w:cs="Verdana"/>
          <w:noProof/>
          <w:lang w:eastAsia="en-AU"/>
        </w:rPr>
        <w:drawing>
          <wp:inline distT="0" distB="0" distL="0" distR="0" wp14:anchorId="154DD9DC" wp14:editId="7A844D8E">
            <wp:extent cx="4420812" cy="5352157"/>
            <wp:effectExtent l="0" t="0" r="0" b="1270"/>
            <wp:docPr id="17" name="Picture 17" descr="Figure 2 is a flowchart showing the suggested Australian algorithm for treatment of ALK-positive NSCLC in 2015 if ceritinib is registered for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ven%20Diagram%20-%20white%20background%281%29.png"/>
                    <pic:cNvPicPr/>
                  </pic:nvPicPr>
                  <pic:blipFill>
                    <a:blip r:embed="rId17">
                      <a:extLst>
                        <a:ext uri="{28A0092B-C50C-407E-A947-70E740481C1C}">
                          <a14:useLocalDpi xmlns:a14="http://schemas.microsoft.com/office/drawing/2010/main" val="0"/>
                        </a:ext>
                      </a:extLst>
                    </a:blip>
                    <a:stretch>
                      <a:fillRect/>
                    </a:stretch>
                  </pic:blipFill>
                  <pic:spPr>
                    <a:xfrm>
                      <a:off x="0" y="0"/>
                      <a:ext cx="4424942" cy="5357156"/>
                    </a:xfrm>
                    <a:prstGeom prst="rect">
                      <a:avLst/>
                    </a:prstGeom>
                  </pic:spPr>
                </pic:pic>
              </a:graphicData>
            </a:graphic>
          </wp:inline>
        </w:drawing>
      </w:r>
    </w:p>
    <w:p w14:paraId="1C6F3853" w14:textId="77777777" w:rsidR="008E7846" w:rsidRPr="002E238E" w:rsidRDefault="008E7846" w:rsidP="008E7846">
      <w:pPr>
        <w:pStyle w:val="Heading3"/>
      </w:pPr>
      <w:bookmarkStart w:id="95" w:name="_Toc163441378"/>
      <w:bookmarkStart w:id="96" w:name="_Toc196046495"/>
      <w:bookmarkStart w:id="97" w:name="_Toc247691522"/>
      <w:bookmarkStart w:id="98" w:name="_Toc314842505"/>
      <w:bookmarkStart w:id="99" w:name="_Toc507501113"/>
      <w:bookmarkEnd w:id="90"/>
      <w:bookmarkEnd w:id="91"/>
      <w:bookmarkEnd w:id="92"/>
      <w:bookmarkEnd w:id="93"/>
      <w:r w:rsidRPr="002E238E">
        <w:lastRenderedPageBreak/>
        <w:t>Safety</w:t>
      </w:r>
      <w:bookmarkEnd w:id="95"/>
      <w:bookmarkEnd w:id="96"/>
      <w:bookmarkEnd w:id="97"/>
      <w:bookmarkEnd w:id="98"/>
      <w:bookmarkEnd w:id="99"/>
    </w:p>
    <w:p w14:paraId="71D07D33" w14:textId="77777777" w:rsidR="00605AD4" w:rsidRDefault="00605AD4" w:rsidP="002E3E15">
      <w:pPr>
        <w:pStyle w:val="Heading4"/>
      </w:pPr>
      <w:bookmarkStart w:id="100" w:name="_Toc247691524"/>
      <w:bookmarkStart w:id="101" w:name="_Toc314842508"/>
      <w:bookmarkStart w:id="102" w:name="_Toc196046504"/>
      <w:bookmarkStart w:id="103" w:name="_Toc163441390"/>
      <w:r w:rsidRPr="00605AD4">
        <w:t xml:space="preserve">Studies </w:t>
      </w:r>
      <w:r w:rsidRPr="002E3E15">
        <w:t>providing</w:t>
      </w:r>
      <w:r w:rsidRPr="00605AD4">
        <w:t xml:space="preserve"> safety data</w:t>
      </w:r>
    </w:p>
    <w:p w14:paraId="665FFE71" w14:textId="77777777" w:rsidR="00554D4D" w:rsidRDefault="00554D4D" w:rsidP="002E3E15">
      <w:bookmarkStart w:id="104" w:name="_Ref268776745"/>
      <w:r>
        <w:t>The following studies provided evaluable safety data: X2101, X1101, A2201 and A2203.</w:t>
      </w:r>
    </w:p>
    <w:bookmarkEnd w:id="104"/>
    <w:p w14:paraId="0BB12B11" w14:textId="77777777" w:rsidR="00554D4D" w:rsidRDefault="009357E4" w:rsidP="00554D4D">
      <w:r>
        <w:t>In the pivotal efficacy S</w:t>
      </w:r>
      <w:r w:rsidR="00554D4D">
        <w:t>tudy of X2101 safety data w</w:t>
      </w:r>
      <w:r>
        <w:t>as</w:t>
      </w:r>
      <w:r w:rsidR="00554D4D">
        <w:t xml:space="preserve"> collected</w:t>
      </w:r>
      <w:r w:rsidR="00326B43">
        <w:t xml:space="preserve"> </w:t>
      </w:r>
      <w:r w:rsidR="00554D4D">
        <w:t>but there was no single pivotal study that assessed safety as a primary outcome</w:t>
      </w:r>
      <w:r w:rsidRPr="009357E4">
        <w:t xml:space="preserve"> </w:t>
      </w:r>
      <w:r>
        <w:t>(see Attachment 2).</w:t>
      </w:r>
      <w:r w:rsidR="00554D4D">
        <w:t xml:space="preserve"> </w:t>
      </w:r>
      <w:r>
        <w:t xml:space="preserve">The </w:t>
      </w:r>
      <w:r w:rsidR="00554D4D">
        <w:t>design</w:t>
      </w:r>
      <w:r>
        <w:t>s</w:t>
      </w:r>
      <w:r w:rsidR="00554D4D">
        <w:t xml:space="preserve"> </w:t>
      </w:r>
      <w:r>
        <w:t>of the studies have</w:t>
      </w:r>
      <w:r w:rsidR="00554D4D">
        <w:t xml:space="preserve"> been described in detail </w:t>
      </w:r>
      <w:r>
        <w:t>in Attachment 2</w:t>
      </w:r>
      <w:r w:rsidR="00554D4D">
        <w:t>.</w:t>
      </w:r>
    </w:p>
    <w:p w14:paraId="26CDE1E0" w14:textId="77777777" w:rsidR="00605AD4" w:rsidRDefault="00605AD4" w:rsidP="00605AD4">
      <w:pPr>
        <w:pStyle w:val="Heading4"/>
      </w:pPr>
      <w:r w:rsidRPr="00605AD4">
        <w:t>Patient exposure</w:t>
      </w:r>
    </w:p>
    <w:p w14:paraId="435F18C7" w14:textId="77777777" w:rsidR="00554D4D" w:rsidRDefault="00554D4D" w:rsidP="00554D4D">
      <w:r>
        <w:t>The safety dataset includes 525 patients exposed to ceri</w:t>
      </w:r>
      <w:r w:rsidR="009357E4">
        <w:t>tinib in the clinical studies (S</w:t>
      </w:r>
      <w:r>
        <w:t>tudies X2101, A2201, A2203 and X1101) and treated at the proposed dose of 750</w:t>
      </w:r>
      <w:r w:rsidR="009357E4">
        <w:t xml:space="preserve"> </w:t>
      </w:r>
      <w:r>
        <w:t xml:space="preserve">mg as well as 62 patients treated with lower doses (from </w:t>
      </w:r>
      <w:r w:rsidR="009357E4">
        <w:t>S</w:t>
      </w:r>
      <w:r>
        <w:t xml:space="preserve">tudies X2101 and X1101). Information on deaths and SAE reported to the Novartis safety database has also been provided. The median duration of exposure was 33 weeks (range: 0.3 to 106.1 weeks): 71.6% of patients had been exposed for at least 24 weeks and 25.7% of patients had been exposed for at least 48 weeks. The duration of exposure in the pooled dataset is summarised in the Table </w:t>
      </w:r>
      <w:r w:rsidR="009357E4">
        <w:t>6</w:t>
      </w:r>
      <w:r>
        <w:t>.</w:t>
      </w:r>
    </w:p>
    <w:p w14:paraId="3246724B" w14:textId="77777777" w:rsidR="00554D4D" w:rsidRDefault="00554D4D" w:rsidP="009357E4">
      <w:pPr>
        <w:pStyle w:val="TableTitle"/>
      </w:pPr>
      <w:bookmarkStart w:id="105" w:name="_Toc300498657"/>
      <w:r w:rsidRPr="00C06B62">
        <w:t xml:space="preserve">Table </w:t>
      </w:r>
      <w:r w:rsidR="009357E4">
        <w:t>6:</w:t>
      </w:r>
      <w:r>
        <w:t xml:space="preserve"> Duration of exposure to study drug in the pooled dataset (Safety set)</w:t>
      </w:r>
      <w:bookmarkEnd w:id="105"/>
    </w:p>
    <w:p w14:paraId="539B8594" w14:textId="77777777" w:rsidR="00554D4D" w:rsidRDefault="00554D4D" w:rsidP="00554D4D">
      <w:pPr>
        <w:autoSpaceDE w:val="0"/>
        <w:autoSpaceDN w:val="0"/>
        <w:adjustRightInd w:val="0"/>
      </w:pPr>
      <w:r>
        <w:rPr>
          <w:noProof/>
          <w:lang w:eastAsia="en-AU"/>
        </w:rPr>
        <w:drawing>
          <wp:inline distT="0" distB="0" distL="0" distR="0" wp14:anchorId="5D7D8E4F" wp14:editId="34C96077">
            <wp:extent cx="5264594" cy="3057098"/>
            <wp:effectExtent l="0" t="0" r="0" b="0"/>
            <wp:docPr id="47" name="Picture 47" descr="Table 6: Duration of exposure to study drug in the pooled dataset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7-26 at 10.32.38 AM.png"/>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267394" cy="3058724"/>
                    </a:xfrm>
                    <a:prstGeom prst="rect">
                      <a:avLst/>
                    </a:prstGeom>
                  </pic:spPr>
                </pic:pic>
              </a:graphicData>
            </a:graphic>
          </wp:inline>
        </w:drawing>
      </w:r>
    </w:p>
    <w:p w14:paraId="106072E8" w14:textId="77777777" w:rsidR="00605AD4" w:rsidRPr="000E356D" w:rsidRDefault="00605AD4" w:rsidP="000E356D">
      <w:pPr>
        <w:pStyle w:val="Heading4"/>
      </w:pPr>
      <w:r w:rsidRPr="00605AD4">
        <w:t>Safety issues with the potential for major regulatory impact</w:t>
      </w:r>
    </w:p>
    <w:p w14:paraId="5F24F696" w14:textId="77777777" w:rsidR="00554D4D" w:rsidRPr="0007529C" w:rsidRDefault="00554D4D" w:rsidP="000E356D">
      <w:pPr>
        <w:pStyle w:val="Heading5"/>
      </w:pPr>
      <w:bookmarkStart w:id="106" w:name="_Toc272414681"/>
      <w:bookmarkStart w:id="107" w:name="_Toc290846319"/>
      <w:bookmarkStart w:id="108" w:name="_Toc300495408"/>
      <w:bookmarkStart w:id="109" w:name="_Toc300495678"/>
      <w:bookmarkStart w:id="110" w:name="_Toc300498591"/>
      <w:r w:rsidRPr="0007529C">
        <w:t>Liver toxicity</w:t>
      </w:r>
      <w:bookmarkEnd w:id="106"/>
      <w:bookmarkEnd w:id="107"/>
      <w:bookmarkEnd w:id="108"/>
      <w:bookmarkEnd w:id="109"/>
      <w:bookmarkEnd w:id="110"/>
    </w:p>
    <w:p w14:paraId="2814BD33" w14:textId="77777777" w:rsidR="00554D4D" w:rsidRDefault="00554D4D" w:rsidP="00554D4D">
      <w:pPr>
        <w:autoSpaceDE w:val="0"/>
        <w:autoSpaceDN w:val="0"/>
        <w:adjustRightInd w:val="0"/>
      </w:pPr>
      <w:r>
        <w:t xml:space="preserve">There are currently no cases of Hy’s law or death due to hepatic failure, although hepatotoxicity AEs were common. A continuing Pharmacovigilance plan is important, particularly given the lack of data in ceritinib use in patients with moderate and severe hepatic impairment. </w:t>
      </w:r>
    </w:p>
    <w:p w14:paraId="3EAB05CD" w14:textId="77777777" w:rsidR="00554D4D" w:rsidRPr="0007529C" w:rsidRDefault="00554D4D" w:rsidP="000E356D">
      <w:pPr>
        <w:pStyle w:val="Heading5"/>
      </w:pPr>
      <w:bookmarkStart w:id="111" w:name="_Toc272414684"/>
      <w:bookmarkStart w:id="112" w:name="_Toc290846322"/>
      <w:bookmarkStart w:id="113" w:name="_Toc300495409"/>
      <w:bookmarkStart w:id="114" w:name="_Toc300495679"/>
      <w:bookmarkStart w:id="115" w:name="_Toc300498592"/>
      <w:r w:rsidRPr="0007529C">
        <w:t>Cardiovascular safety</w:t>
      </w:r>
      <w:bookmarkEnd w:id="111"/>
      <w:bookmarkEnd w:id="112"/>
      <w:bookmarkEnd w:id="113"/>
      <w:bookmarkEnd w:id="114"/>
      <w:bookmarkEnd w:id="115"/>
    </w:p>
    <w:p w14:paraId="420A4CC2" w14:textId="77777777" w:rsidR="00554D4D" w:rsidRDefault="00554D4D" w:rsidP="00554D4D">
      <w:pPr>
        <w:autoSpaceDE w:val="0"/>
        <w:autoSpaceDN w:val="0"/>
        <w:adjustRightInd w:val="0"/>
      </w:pPr>
      <w:r>
        <w:t>There is good clinical evidence of ceritinib prolonging QT interval but there were no deaths or Torsade de Pointes.</w:t>
      </w:r>
      <w:r w:rsidR="000E3918">
        <w:t xml:space="preserve"> </w:t>
      </w:r>
      <w:r>
        <w:t>Warning and recommendation regarding monitoring and dose adjustment is well documented in the draft PI. A Pharmacovigilance plan is in place to monitor this on an ongoing basis.</w:t>
      </w:r>
    </w:p>
    <w:p w14:paraId="202F8CAA" w14:textId="77777777" w:rsidR="00554D4D" w:rsidRPr="0007529C" w:rsidRDefault="00554D4D" w:rsidP="000E356D">
      <w:pPr>
        <w:pStyle w:val="Heading5"/>
      </w:pPr>
      <w:bookmarkStart w:id="116" w:name="_Toc300495410"/>
      <w:bookmarkStart w:id="117" w:name="_Toc300495680"/>
      <w:bookmarkStart w:id="118" w:name="_Toc300498593"/>
      <w:r>
        <w:lastRenderedPageBreak/>
        <w:t>Interstitial lung disease/Pneumonitis</w:t>
      </w:r>
      <w:bookmarkEnd w:id="116"/>
      <w:bookmarkEnd w:id="117"/>
      <w:bookmarkEnd w:id="118"/>
    </w:p>
    <w:p w14:paraId="5B341598" w14:textId="1EA6F6B0" w:rsidR="00554D4D" w:rsidRDefault="00554D4D" w:rsidP="00554D4D">
      <w:r>
        <w:t xml:space="preserve">This is potentially an issue for major regulatory impact. One death was observed attributed to this AE due to ceritinib in the clinical trials and a further patient was captured in the Novartis Global Pharmacovigilance safety database. Recommendation is made regarding monitoring patients for pulmonary symptoms indicative of pneumonitis is made in the draft PI. Ongoing surveillance of this </w:t>
      </w:r>
      <w:r w:rsidR="000E356D" w:rsidRPr="000E356D">
        <w:t>Tyrosine kinase inhibitors (TKI)</w:t>
      </w:r>
      <w:r w:rsidR="000E356D">
        <w:t xml:space="preserve"> </w:t>
      </w:r>
      <w:r w:rsidR="00EE3F1D">
        <w:t>effect is required.</w:t>
      </w:r>
    </w:p>
    <w:p w14:paraId="782D5F20" w14:textId="77777777" w:rsidR="00554D4D" w:rsidRPr="0007529C" w:rsidRDefault="00554D4D" w:rsidP="000E356D">
      <w:pPr>
        <w:pStyle w:val="Heading5"/>
      </w:pPr>
      <w:bookmarkStart w:id="119" w:name="_Toc272414683"/>
      <w:bookmarkStart w:id="120" w:name="_Toc290846321"/>
      <w:bookmarkStart w:id="121" w:name="_Toc300495412"/>
      <w:bookmarkStart w:id="122" w:name="_Toc300495682"/>
      <w:bookmarkStart w:id="123" w:name="_Toc300498595"/>
      <w:r w:rsidRPr="0007529C">
        <w:t>Serious skin reactions</w:t>
      </w:r>
      <w:bookmarkEnd w:id="119"/>
      <w:bookmarkEnd w:id="120"/>
      <w:bookmarkEnd w:id="121"/>
      <w:bookmarkEnd w:id="122"/>
      <w:bookmarkEnd w:id="123"/>
    </w:p>
    <w:p w14:paraId="7FA758F0" w14:textId="065280B4" w:rsidR="00554D4D" w:rsidRPr="0007529C" w:rsidRDefault="00554D4D" w:rsidP="00554D4D">
      <w:pPr>
        <w:autoSpaceDE w:val="0"/>
        <w:autoSpaceDN w:val="0"/>
        <w:adjustRightInd w:val="0"/>
      </w:pPr>
      <w:r>
        <w:t xml:space="preserve">AEs in </w:t>
      </w:r>
      <w:r w:rsidR="0089512A">
        <w:t>‘</w:t>
      </w:r>
      <w:r>
        <w:t>Skin and subcutaneous tissue disorder</w:t>
      </w:r>
      <w:r w:rsidR="0089512A">
        <w:t>’</w:t>
      </w:r>
      <w:r>
        <w:t xml:space="preserve"> as a system organ class was documented in 189 patients (36%) with very low incidence of </w:t>
      </w:r>
      <w:r w:rsidR="000E356D">
        <w:t>G</w:t>
      </w:r>
      <w:r>
        <w:t>rade 3 to 4 reactions (0.8%).</w:t>
      </w:r>
      <w:r w:rsidR="000E3918">
        <w:t xml:space="preserve"> </w:t>
      </w:r>
      <w:r>
        <w:t xml:space="preserve">Pruritus and dry skin occurred in 6.7% and 6.5% of patients </w:t>
      </w:r>
      <w:r w:rsidR="000E356D">
        <w:t>respectively, with 0.2% and 0% G</w:t>
      </w:r>
      <w:r>
        <w:t xml:space="preserve">rade 3 to 4 </w:t>
      </w:r>
      <w:proofErr w:type="gramStart"/>
      <w:r>
        <w:t>severity</w:t>
      </w:r>
      <w:proofErr w:type="gramEnd"/>
      <w:r w:rsidR="000E356D">
        <w:t>,</w:t>
      </w:r>
      <w:r>
        <w:t xml:space="preserve"> respectively. Ceritinib does not appear to have significant skin toxicity that would have major regulatory impact.</w:t>
      </w:r>
    </w:p>
    <w:p w14:paraId="520BFB61" w14:textId="77777777" w:rsidR="00605AD4" w:rsidRDefault="00605AD4" w:rsidP="00605AD4">
      <w:pPr>
        <w:pStyle w:val="Heading4"/>
      </w:pPr>
      <w:r w:rsidRPr="00605AD4">
        <w:t>Postmarketing data</w:t>
      </w:r>
    </w:p>
    <w:p w14:paraId="30B78C62" w14:textId="3A4BF11C" w:rsidR="00554D4D" w:rsidRPr="00ED1DA9" w:rsidRDefault="00554D4D" w:rsidP="00554D4D">
      <w:pPr>
        <w:autoSpaceDE w:val="0"/>
        <w:autoSpaceDN w:val="0"/>
        <w:adjustRightInd w:val="0"/>
      </w:pPr>
      <w:r w:rsidRPr="00ED1DA9">
        <w:t>Up to June 2014, there were a total of 20 cases identified and retrieved from the Novartis global pharmacovigilance safety database. Fifteen (15) cases were solicited reports from post-marketing studies [all assessed as related] including 3 serious and 12 non-serious. Five (5) cases of spontaneous reports were identified including 3 serious and 2 non-serious. The majority of the cases had events that either were considered as expected for Zykadia (</w:t>
      </w:r>
      <w:r w:rsidR="000E356D">
        <w:t>such as</w:t>
      </w:r>
      <w:r w:rsidRPr="00ED1DA9">
        <w:t xml:space="preserve"> diarrhoea, nausea, vomiting</w:t>
      </w:r>
      <w:r w:rsidR="000E356D">
        <w:t xml:space="preserve"> and</w:t>
      </w:r>
      <w:r w:rsidRPr="00ED1DA9">
        <w:t xml:space="preserve"> abdominal pain) or required more information to allow a meaningful assessment.</w:t>
      </w:r>
    </w:p>
    <w:p w14:paraId="0C9164C5" w14:textId="77777777" w:rsidR="00605AD4" w:rsidRPr="00605AD4" w:rsidRDefault="00605AD4" w:rsidP="00605AD4">
      <w:pPr>
        <w:pStyle w:val="Heading4"/>
      </w:pPr>
      <w:r w:rsidRPr="00605AD4">
        <w:t>Evaluator’s conclusions on safety</w:t>
      </w:r>
    </w:p>
    <w:p w14:paraId="40D392E3" w14:textId="3A7D3CCC" w:rsidR="00554D4D" w:rsidRDefault="00554D4D" w:rsidP="00843F0B">
      <w:r>
        <w:t>The</w:t>
      </w:r>
      <w:r w:rsidRPr="00FA19CA">
        <w:t xml:space="preserve"> median duration of exposure to ceritinib 750 mg up to the data cut-off date is the foll</w:t>
      </w:r>
      <w:r>
        <w:t>owing: 38.7 weeks (range 0.4-106.1</w:t>
      </w:r>
      <w:r w:rsidRPr="00FA19CA">
        <w:t xml:space="preserve">) in Study X2101; 28.1 weeks (range 0.3-60.1) in </w:t>
      </w:r>
      <w:r w:rsidR="00B3070B">
        <w:t>Study A2</w:t>
      </w:r>
      <w:r w:rsidRPr="00FA19CA">
        <w:t xml:space="preserve">201; 34.9 weeks (range 0.4-70.3) in </w:t>
      </w:r>
      <w:r w:rsidR="00B3070B">
        <w:t>Study A2</w:t>
      </w:r>
      <w:r w:rsidRPr="00FA19CA">
        <w:t>203; and 33.0 weeks (range 0.</w:t>
      </w:r>
      <w:r w:rsidR="00EE3F1D">
        <w:t>3-106.1) in the pooled dataset.</w:t>
      </w:r>
    </w:p>
    <w:p w14:paraId="0FB6E695" w14:textId="77777777" w:rsidR="00554D4D" w:rsidRPr="007F69C3" w:rsidRDefault="00554D4D" w:rsidP="00843F0B">
      <w:r>
        <w:t>AEs occurred commonly in patients treated with ceritinib at a daily dose of 750</w:t>
      </w:r>
      <w:r w:rsidR="00843F0B">
        <w:t xml:space="preserve"> </w:t>
      </w:r>
      <w:r>
        <w:t>mg in the clinical development programme. A</w:t>
      </w:r>
      <w:r w:rsidRPr="00FA19CA">
        <w:t xml:space="preserve">lmost </w:t>
      </w:r>
      <w:r>
        <w:t xml:space="preserve">all patients (99.8%) experienced an AE, with </w:t>
      </w:r>
      <w:r w:rsidRPr="00FA19CA">
        <w:t>73</w:t>
      </w:r>
      <w:r>
        <w:t>.1</w:t>
      </w:r>
      <w:r w:rsidRPr="00FA19CA">
        <w:t xml:space="preserve">% </w:t>
      </w:r>
      <w:r>
        <w:t>of AEs being graded as</w:t>
      </w:r>
      <w:r w:rsidRPr="00FA19CA">
        <w:t xml:space="preserve"> </w:t>
      </w:r>
      <w:r>
        <w:t xml:space="preserve">3 to 4. In addition </w:t>
      </w:r>
      <w:r w:rsidRPr="00FA19CA">
        <w:t>over half of the AEs were suspected to be drug-related.</w:t>
      </w:r>
      <w:r w:rsidR="000E3918">
        <w:t xml:space="preserve"> </w:t>
      </w:r>
      <w:r w:rsidRPr="00FA19CA">
        <w:t xml:space="preserve">The most common </w:t>
      </w:r>
      <w:r>
        <w:t>AEs</w:t>
      </w:r>
      <w:r w:rsidRPr="00FA19CA">
        <w:t xml:space="preserve"> observed across studies w</w:t>
      </w:r>
      <w:r>
        <w:t>ere GI disorders</w:t>
      </w:r>
      <w:r w:rsidRPr="00FA19CA">
        <w:t xml:space="preserve">, followed by </w:t>
      </w:r>
      <w:r w:rsidR="00843F0B">
        <w:t xml:space="preserve">General disorders and </w:t>
      </w:r>
      <w:r w:rsidR="00AA2267">
        <w:t>a</w:t>
      </w:r>
      <w:r w:rsidRPr="00FA19CA">
        <w:t>dministrative site condition</w:t>
      </w:r>
      <w:r w:rsidR="00843F0B">
        <w:t>s, and I</w:t>
      </w:r>
      <w:r w:rsidRPr="00FA19CA">
        <w:t xml:space="preserve">nvestigations. The most frequently reported Grade 3-4 </w:t>
      </w:r>
      <w:r>
        <w:t xml:space="preserve">AEs were increased ALT, increased </w:t>
      </w:r>
      <w:r w:rsidR="00AA2267" w:rsidRPr="00AA2267">
        <w:t xml:space="preserve">gamma-glutamyl transferase </w:t>
      </w:r>
      <w:r w:rsidR="00AA2267">
        <w:t>(</w:t>
      </w:r>
      <w:r>
        <w:t>GGT</w:t>
      </w:r>
      <w:r w:rsidR="00AA2267">
        <w:t>)</w:t>
      </w:r>
      <w:r>
        <w:t>, i</w:t>
      </w:r>
      <w:r w:rsidRPr="00FA19CA">
        <w:t xml:space="preserve">ncreased AST, </w:t>
      </w:r>
      <w:r>
        <w:t xml:space="preserve">fatigue, </w:t>
      </w:r>
      <w:r w:rsidRPr="00FA19CA">
        <w:t xml:space="preserve">diarrhoea, </w:t>
      </w:r>
      <w:r>
        <w:t>nausea</w:t>
      </w:r>
      <w:r w:rsidRPr="00FA19CA">
        <w:t xml:space="preserve"> </w:t>
      </w:r>
      <w:r>
        <w:t xml:space="preserve">and hyperglycaemia. </w:t>
      </w:r>
      <w:r>
        <w:rPr>
          <w:spacing w:val="-1"/>
        </w:rPr>
        <w:t>The AEs experienced by patients also tended to be</w:t>
      </w:r>
      <w:r w:rsidRPr="007F69C3">
        <w:rPr>
          <w:spacing w:val="-1"/>
        </w:rPr>
        <w:t xml:space="preserve"> </w:t>
      </w:r>
      <w:r w:rsidRPr="007F69C3">
        <w:rPr>
          <w:spacing w:val="1"/>
        </w:rPr>
        <w:t>t</w:t>
      </w:r>
      <w:r w:rsidRPr="007F69C3">
        <w:rPr>
          <w:spacing w:val="-1"/>
        </w:rPr>
        <w:t>h</w:t>
      </w:r>
      <w:r w:rsidRPr="007F69C3">
        <w:rPr>
          <w:spacing w:val="1"/>
        </w:rPr>
        <w:t>e</w:t>
      </w:r>
      <w:r w:rsidRPr="007F69C3">
        <w:t xml:space="preserve">se </w:t>
      </w:r>
      <w:r w:rsidRPr="007F69C3">
        <w:rPr>
          <w:spacing w:val="1"/>
        </w:rPr>
        <w:t>e</w:t>
      </w:r>
      <w:r w:rsidRPr="007F69C3">
        <w:rPr>
          <w:spacing w:val="-1"/>
        </w:rPr>
        <w:t>v</w:t>
      </w:r>
      <w:r w:rsidRPr="007F69C3">
        <w:rPr>
          <w:spacing w:val="1"/>
        </w:rPr>
        <w:t>e</w:t>
      </w:r>
      <w:r w:rsidRPr="007F69C3">
        <w:rPr>
          <w:spacing w:val="-1"/>
        </w:rPr>
        <w:t>n</w:t>
      </w:r>
      <w:r w:rsidRPr="007F69C3">
        <w:rPr>
          <w:spacing w:val="1"/>
        </w:rPr>
        <w:t>t</w:t>
      </w:r>
      <w:r w:rsidRPr="007F69C3">
        <w:t>s</w:t>
      </w:r>
      <w:r w:rsidRPr="007F69C3">
        <w:rPr>
          <w:spacing w:val="-1"/>
        </w:rPr>
        <w:t xml:space="preserve"> w</w:t>
      </w:r>
      <w:r w:rsidRPr="007F69C3">
        <w:rPr>
          <w:spacing w:val="1"/>
        </w:rPr>
        <w:t>e</w:t>
      </w:r>
      <w:r w:rsidRPr="007F69C3">
        <w:t xml:space="preserve">re </w:t>
      </w:r>
      <w:r w:rsidRPr="007F69C3">
        <w:rPr>
          <w:spacing w:val="1"/>
        </w:rPr>
        <w:t>pe</w:t>
      </w:r>
      <w:r w:rsidRPr="007F69C3">
        <w:t>rs</w:t>
      </w:r>
      <w:r w:rsidRPr="007F69C3">
        <w:rPr>
          <w:spacing w:val="1"/>
        </w:rPr>
        <w:t>i</w:t>
      </w:r>
      <w:r w:rsidRPr="007F69C3">
        <w:t>s</w:t>
      </w:r>
      <w:r w:rsidRPr="007F69C3">
        <w:rPr>
          <w:spacing w:val="1"/>
        </w:rPr>
        <w:t>te</w:t>
      </w:r>
      <w:r w:rsidRPr="007F69C3">
        <w:rPr>
          <w:spacing w:val="-1"/>
        </w:rPr>
        <w:t>n</w:t>
      </w:r>
      <w:r w:rsidRPr="007F69C3">
        <w:t>t a</w:t>
      </w:r>
      <w:r w:rsidRPr="007F69C3">
        <w:rPr>
          <w:spacing w:val="-1"/>
        </w:rPr>
        <w:t>n</w:t>
      </w:r>
      <w:r w:rsidRPr="007F69C3">
        <w:t>d r</w:t>
      </w:r>
      <w:r w:rsidRPr="007F69C3">
        <w:rPr>
          <w:spacing w:val="1"/>
        </w:rPr>
        <w:t>e</w:t>
      </w:r>
      <w:r w:rsidRPr="007F69C3">
        <w:t>c</w:t>
      </w:r>
      <w:r w:rsidRPr="007F69C3">
        <w:rPr>
          <w:spacing w:val="-1"/>
        </w:rPr>
        <w:t>u</w:t>
      </w:r>
      <w:r w:rsidRPr="007F69C3">
        <w:t>rr</w:t>
      </w:r>
      <w:r w:rsidRPr="007F69C3">
        <w:rPr>
          <w:spacing w:val="1"/>
        </w:rPr>
        <w:t>e</w:t>
      </w:r>
      <w:r w:rsidRPr="007F69C3">
        <w:rPr>
          <w:spacing w:val="-1"/>
        </w:rPr>
        <w:t>n</w:t>
      </w:r>
      <w:r w:rsidRPr="007F69C3">
        <w:rPr>
          <w:spacing w:val="1"/>
        </w:rPr>
        <w:t>t</w:t>
      </w:r>
      <w:r>
        <w:rPr>
          <w:spacing w:val="1"/>
        </w:rPr>
        <w:t>, and the AEs requiring dose adjustments or interruptions was also reported for a large proportion of patients (74.9%).</w:t>
      </w:r>
      <w:r>
        <w:t xml:space="preserve"> Furthermore significant proportion of patients (84.8%) required supportive medications for management of their GI AEs. </w:t>
      </w:r>
      <w:r>
        <w:rPr>
          <w:spacing w:val="-1"/>
        </w:rPr>
        <w:t>Despite this, treatment discontinuation was not</w:t>
      </w:r>
      <w:r w:rsidRPr="007F69C3">
        <w:t xml:space="preserve"> </w:t>
      </w:r>
      <w:r>
        <w:t>frequent</w:t>
      </w:r>
      <w:r w:rsidRPr="007F69C3">
        <w:t xml:space="preserve"> (</w:t>
      </w:r>
      <w:r>
        <w:t>8.8%</w:t>
      </w:r>
      <w:r w:rsidRPr="007F69C3">
        <w:t>).</w:t>
      </w:r>
      <w:r>
        <w:t xml:space="preserve"> It is however important to bear in mind that the target population in these studies included heavily pre-treated NSCLC where symptom burden is typically high.</w:t>
      </w:r>
    </w:p>
    <w:p w14:paraId="76B8ACFB" w14:textId="77777777" w:rsidR="00554D4D" w:rsidRDefault="00554D4D" w:rsidP="00843F0B">
      <w:r>
        <w:t>There were no clinically meaningful differences in the safety findings of ceritinib in patients previously treated with ALK inhibitor and ALK inhibitor naïve patients.</w:t>
      </w:r>
    </w:p>
    <w:p w14:paraId="25D104A2" w14:textId="71922C08" w:rsidR="00554D4D" w:rsidRDefault="00554D4D" w:rsidP="00843F0B">
      <w:r>
        <w:t>Although h</w:t>
      </w:r>
      <w:r w:rsidRPr="00FA19CA">
        <w:t xml:space="preserve">epatic enzyme elevations were frequently reported and led to dose adjustments or temporary interruptions, </w:t>
      </w:r>
      <w:r>
        <w:t>very few patients had to discontinue ceritinib due to hepatic AEs (0.8%)</w:t>
      </w:r>
      <w:r w:rsidRPr="00FA19CA">
        <w:t xml:space="preserve">. </w:t>
      </w:r>
      <w:r>
        <w:t>Importantly, no cases of Hy’s law or deaths due to hepatic failure have been reported in the ceritini</w:t>
      </w:r>
      <w:r w:rsidR="00AA2267">
        <w:t>b programme, up to the data cut-</w:t>
      </w:r>
      <w:r>
        <w:t>off date.</w:t>
      </w:r>
    </w:p>
    <w:p w14:paraId="5EAB809C" w14:textId="74821D20" w:rsidR="00554D4D" w:rsidRDefault="00554D4D" w:rsidP="00843F0B">
      <w:r w:rsidRPr="00FA19CA">
        <w:t xml:space="preserve">Ceritinib has been associated with </w:t>
      </w:r>
      <w:r w:rsidR="00AA2267" w:rsidRPr="00AA2267">
        <w:t xml:space="preserve">interstitial lung disease </w:t>
      </w:r>
      <w:r w:rsidR="00AA2267">
        <w:t>(</w:t>
      </w:r>
      <w:r>
        <w:t>ILD</w:t>
      </w:r>
      <w:r w:rsidR="00AA2267">
        <w:t>)</w:t>
      </w:r>
      <w:r>
        <w:t>/pneumonitis</w:t>
      </w:r>
      <w:r w:rsidRPr="00FA19CA">
        <w:t xml:space="preserve">, a class-effect </w:t>
      </w:r>
      <w:r>
        <w:t>in</w:t>
      </w:r>
      <w:r w:rsidRPr="00FA19CA">
        <w:t xml:space="preserve"> some </w:t>
      </w:r>
      <w:r>
        <w:t>TKIs. A total of 18</w:t>
      </w:r>
      <w:r w:rsidRPr="00FA19CA">
        <w:t xml:space="preserve"> cases were detected in </w:t>
      </w:r>
      <w:r>
        <w:t>all</w:t>
      </w:r>
      <w:r w:rsidRPr="00FA19CA">
        <w:t xml:space="preserve"> studies</w:t>
      </w:r>
      <w:r>
        <w:t xml:space="preserve"> (n=525)</w:t>
      </w:r>
      <w:r w:rsidRPr="00FA19CA">
        <w:t xml:space="preserve">, including one </w:t>
      </w:r>
      <w:r w:rsidRPr="00FA19CA">
        <w:lastRenderedPageBreak/>
        <w:t>case of pneumonitis with fatal outco</w:t>
      </w:r>
      <w:r w:rsidRPr="003D6062">
        <w:t xml:space="preserve">me. </w:t>
      </w:r>
      <w:r>
        <w:t>There was another case with ceritinib-related ILD/pneumonitis leading to an outcome of death in the Novartis Global</w:t>
      </w:r>
      <w:r w:rsidR="00EE3F1D">
        <w:t xml:space="preserve"> Pharmacovigilance safety data.</w:t>
      </w:r>
    </w:p>
    <w:p w14:paraId="7471BEA1" w14:textId="3EA43AFA" w:rsidR="00554D4D" w:rsidRPr="003D6062" w:rsidRDefault="00554D4D" w:rsidP="00843F0B">
      <w:r w:rsidRPr="003D6062">
        <w:t xml:space="preserve">Cardiac disorders including bradycardia and </w:t>
      </w:r>
      <w:r w:rsidR="00AA2267">
        <w:t>electrocardiogram (</w:t>
      </w:r>
      <w:r w:rsidRPr="003D6062">
        <w:t>ECG</w:t>
      </w:r>
      <w:r w:rsidR="00AA2267">
        <w:t>)</w:t>
      </w:r>
      <w:r w:rsidRPr="003D6062">
        <w:t xml:space="preserve"> abnormalities have also been observed during the </w:t>
      </w:r>
      <w:r>
        <w:t>ceritinib development programme</w:t>
      </w:r>
      <w:r w:rsidRPr="003D6062">
        <w:t>. Taking into consideration that QTc prolongation is a pharmacological class effect and an important safety concern for TKIs (including crizotinib)</w:t>
      </w:r>
      <w:r w:rsidR="00E56C47" w:rsidRPr="003D6062">
        <w:t>;</w:t>
      </w:r>
      <w:r w:rsidRPr="003D6062">
        <w:t xml:space="preserve"> QTc effect </w:t>
      </w:r>
      <w:r>
        <w:t xml:space="preserve">was documented in the studies. QT prolongation AEs were reported in 7.6% of patients (Grade 3-4 in 1.5%), but there were no deaths or cases of Torsades de Pointes. It is interesting to note that Study X2101 showed that increased exposure of ceritinib was associated with increased </w:t>
      </w:r>
      <w:r w:rsidR="00AA2267" w:rsidRPr="00AA2267">
        <w:t xml:space="preserve">population-corrected QT </w:t>
      </w:r>
      <w:r w:rsidR="00AA2267">
        <w:t>(</w:t>
      </w:r>
      <w:r>
        <w:t>QTcP</w:t>
      </w:r>
      <w:r w:rsidR="00AA2267">
        <w:t>)</w:t>
      </w:r>
      <w:r>
        <w:t>, indicating a modest QT prolongation effect of ceritinib. This needs clear documentation in the PI and warning regarding drug interaction and monitoring is required.</w:t>
      </w:r>
    </w:p>
    <w:p w14:paraId="4AAB1E26" w14:textId="77777777" w:rsidR="00554D4D" w:rsidRPr="00FA19CA" w:rsidRDefault="00554D4D" w:rsidP="00843F0B">
      <w:pPr>
        <w:rPr>
          <w:rFonts w:cs="Verdana"/>
          <w:lang w:val="en-US"/>
        </w:rPr>
      </w:pPr>
      <w:r w:rsidRPr="00FA19CA">
        <w:rPr>
          <w:rFonts w:cs="Verdana"/>
          <w:lang w:val="en-US"/>
        </w:rPr>
        <w:t>O</w:t>
      </w:r>
      <w:r w:rsidRPr="00FA19CA">
        <w:rPr>
          <w:rFonts w:cs="Verdana"/>
          <w:spacing w:val="1"/>
          <w:lang w:val="en-US"/>
        </w:rPr>
        <w:t>t</w:t>
      </w:r>
      <w:r w:rsidRPr="00FA19CA">
        <w:rPr>
          <w:rFonts w:cs="Verdana"/>
          <w:spacing w:val="-1"/>
          <w:lang w:val="en-US"/>
        </w:rPr>
        <w:t>h</w:t>
      </w:r>
      <w:r w:rsidRPr="00FA19CA">
        <w:rPr>
          <w:rFonts w:cs="Verdana"/>
          <w:spacing w:val="1"/>
          <w:lang w:val="en-US"/>
        </w:rPr>
        <w:t>e</w:t>
      </w:r>
      <w:r w:rsidRPr="00FA19CA">
        <w:rPr>
          <w:rFonts w:cs="Verdana"/>
          <w:lang w:val="en-US"/>
        </w:rPr>
        <w:t>r</w:t>
      </w:r>
      <w:r w:rsidRPr="00FA19CA">
        <w:rPr>
          <w:rFonts w:cs="Verdana"/>
          <w:spacing w:val="-1"/>
          <w:lang w:val="en-US"/>
        </w:rPr>
        <w:t xml:space="preserve"> </w:t>
      </w:r>
      <w:r w:rsidRPr="00FA19CA">
        <w:rPr>
          <w:rFonts w:cs="Verdana"/>
          <w:lang w:val="en-US"/>
        </w:rPr>
        <w:t>sa</w:t>
      </w:r>
      <w:r w:rsidRPr="00FA19CA">
        <w:rPr>
          <w:rFonts w:cs="Verdana"/>
          <w:spacing w:val="-1"/>
          <w:lang w:val="en-US"/>
        </w:rPr>
        <w:t>f</w:t>
      </w:r>
      <w:r w:rsidRPr="00FA19CA">
        <w:rPr>
          <w:rFonts w:cs="Verdana"/>
          <w:spacing w:val="1"/>
          <w:lang w:val="en-US"/>
        </w:rPr>
        <w:t>et</w:t>
      </w:r>
      <w:r w:rsidRPr="00FA19CA">
        <w:rPr>
          <w:rFonts w:cs="Verdana"/>
          <w:lang w:val="en-US"/>
        </w:rPr>
        <w:t>y</w:t>
      </w:r>
      <w:r w:rsidRPr="00FA19CA">
        <w:rPr>
          <w:rFonts w:cs="Verdana"/>
          <w:spacing w:val="-2"/>
          <w:lang w:val="en-US"/>
        </w:rPr>
        <w:t xml:space="preserve"> </w:t>
      </w:r>
      <w:r w:rsidRPr="00FA19CA">
        <w:rPr>
          <w:rFonts w:cs="Verdana"/>
          <w:lang w:val="en-US"/>
        </w:rPr>
        <w:t>c</w:t>
      </w:r>
      <w:r w:rsidRPr="00FA19CA">
        <w:rPr>
          <w:rFonts w:cs="Verdana"/>
          <w:spacing w:val="1"/>
          <w:lang w:val="en-US"/>
        </w:rPr>
        <w:t>o</w:t>
      </w:r>
      <w:r w:rsidRPr="00FA19CA">
        <w:rPr>
          <w:rFonts w:cs="Verdana"/>
          <w:spacing w:val="-1"/>
          <w:lang w:val="en-US"/>
        </w:rPr>
        <w:t>n</w:t>
      </w:r>
      <w:r w:rsidRPr="00FA19CA">
        <w:rPr>
          <w:rFonts w:cs="Verdana"/>
          <w:lang w:val="en-US"/>
        </w:rPr>
        <w:t>c</w:t>
      </w:r>
      <w:r w:rsidRPr="00FA19CA">
        <w:rPr>
          <w:rFonts w:cs="Verdana"/>
          <w:spacing w:val="1"/>
          <w:lang w:val="en-US"/>
        </w:rPr>
        <w:t>e</w:t>
      </w:r>
      <w:r w:rsidRPr="00FA19CA">
        <w:rPr>
          <w:rFonts w:cs="Verdana"/>
          <w:lang w:val="en-US"/>
        </w:rPr>
        <w:t>r</w:t>
      </w:r>
      <w:r w:rsidRPr="00FA19CA">
        <w:rPr>
          <w:rFonts w:cs="Verdana"/>
          <w:spacing w:val="-1"/>
          <w:lang w:val="en-US"/>
        </w:rPr>
        <w:t>n</w:t>
      </w:r>
      <w:r w:rsidRPr="00FA19CA">
        <w:rPr>
          <w:rFonts w:cs="Verdana"/>
          <w:lang w:val="en-US"/>
        </w:rPr>
        <w:t>s</w:t>
      </w:r>
      <w:r w:rsidRPr="00FA19CA">
        <w:rPr>
          <w:rFonts w:cs="Verdana"/>
          <w:spacing w:val="-1"/>
          <w:lang w:val="en-US"/>
        </w:rPr>
        <w:t xml:space="preserve"> </w:t>
      </w:r>
      <w:r w:rsidRPr="00FA19CA">
        <w:rPr>
          <w:rFonts w:cs="Verdana"/>
          <w:spacing w:val="1"/>
          <w:lang w:val="en-US"/>
        </w:rPr>
        <w:t>identi</w:t>
      </w:r>
      <w:r w:rsidRPr="00FA19CA">
        <w:rPr>
          <w:rFonts w:cs="Verdana"/>
          <w:spacing w:val="-1"/>
          <w:lang w:val="en-US"/>
        </w:rPr>
        <w:t>f</w:t>
      </w:r>
      <w:r w:rsidRPr="00FA19CA">
        <w:rPr>
          <w:rFonts w:cs="Verdana"/>
          <w:spacing w:val="1"/>
          <w:lang w:val="en-US"/>
        </w:rPr>
        <w:t>ie</w:t>
      </w:r>
      <w:r w:rsidRPr="00FA19CA">
        <w:rPr>
          <w:rFonts w:cs="Verdana"/>
          <w:lang w:val="en-US"/>
        </w:rPr>
        <w:t xml:space="preserve">d </w:t>
      </w:r>
      <w:r>
        <w:rPr>
          <w:rFonts w:cs="Verdana"/>
          <w:lang w:val="en-US"/>
        </w:rPr>
        <w:t>were</w:t>
      </w:r>
      <w:r w:rsidRPr="00FA19CA">
        <w:rPr>
          <w:rFonts w:cs="Verdana"/>
          <w:lang w:val="en-US"/>
        </w:rPr>
        <w:t>:</w:t>
      </w:r>
      <w:r w:rsidRPr="00FA19CA">
        <w:rPr>
          <w:rFonts w:cs="Verdana"/>
          <w:spacing w:val="-1"/>
          <w:lang w:val="en-US"/>
        </w:rPr>
        <w:t xml:space="preserve"> hy</w:t>
      </w:r>
      <w:r w:rsidRPr="00FA19CA">
        <w:rPr>
          <w:rFonts w:cs="Verdana"/>
          <w:spacing w:val="1"/>
          <w:lang w:val="en-US"/>
        </w:rPr>
        <w:t>pe</w:t>
      </w:r>
      <w:r w:rsidRPr="00FA19CA">
        <w:rPr>
          <w:rFonts w:cs="Verdana"/>
          <w:lang w:val="en-US"/>
        </w:rPr>
        <w:t>r</w:t>
      </w:r>
      <w:r w:rsidRPr="00FA19CA">
        <w:rPr>
          <w:rFonts w:cs="Verdana"/>
          <w:spacing w:val="1"/>
          <w:lang w:val="en-US"/>
        </w:rPr>
        <w:t>gl</w:t>
      </w:r>
      <w:r w:rsidRPr="00FA19CA">
        <w:rPr>
          <w:rFonts w:cs="Verdana"/>
          <w:spacing w:val="-1"/>
          <w:lang w:val="en-US"/>
        </w:rPr>
        <w:t>y</w:t>
      </w:r>
      <w:r w:rsidRPr="00FA19CA">
        <w:rPr>
          <w:rFonts w:cs="Verdana"/>
          <w:lang w:val="en-US"/>
        </w:rPr>
        <w:t>c</w:t>
      </w:r>
      <w:r w:rsidRPr="00FA19CA">
        <w:rPr>
          <w:rFonts w:cs="Verdana"/>
          <w:spacing w:val="1"/>
          <w:lang w:val="en-US"/>
        </w:rPr>
        <w:t>e</w:t>
      </w:r>
      <w:r w:rsidRPr="00FA19CA">
        <w:rPr>
          <w:rFonts w:cs="Verdana"/>
          <w:spacing w:val="-2"/>
          <w:lang w:val="en-US"/>
        </w:rPr>
        <w:t>m</w:t>
      </w:r>
      <w:r w:rsidRPr="00FA19CA">
        <w:rPr>
          <w:rFonts w:cs="Verdana"/>
          <w:spacing w:val="1"/>
          <w:lang w:val="en-US"/>
        </w:rPr>
        <w:t>i</w:t>
      </w:r>
      <w:r w:rsidRPr="00FA19CA">
        <w:rPr>
          <w:rFonts w:cs="Verdana"/>
          <w:lang w:val="en-US"/>
        </w:rPr>
        <w:t>a,</w:t>
      </w:r>
      <w:r w:rsidRPr="00FA19CA">
        <w:rPr>
          <w:rFonts w:cs="Verdana"/>
          <w:spacing w:val="-1"/>
          <w:lang w:val="en-US"/>
        </w:rPr>
        <w:t xml:space="preserve"> </w:t>
      </w:r>
      <w:r w:rsidRPr="00FA19CA">
        <w:rPr>
          <w:rFonts w:cs="Verdana"/>
          <w:spacing w:val="1"/>
          <w:lang w:val="en-US"/>
        </w:rPr>
        <w:t>i</w:t>
      </w:r>
      <w:r w:rsidRPr="00FA19CA">
        <w:rPr>
          <w:rFonts w:cs="Verdana"/>
          <w:spacing w:val="-1"/>
          <w:lang w:val="en-US"/>
        </w:rPr>
        <w:t>n</w:t>
      </w:r>
      <w:r w:rsidRPr="00FA19CA">
        <w:rPr>
          <w:rFonts w:cs="Verdana"/>
          <w:lang w:val="en-US"/>
        </w:rPr>
        <w:t>cr</w:t>
      </w:r>
      <w:r w:rsidRPr="00FA19CA">
        <w:rPr>
          <w:rFonts w:cs="Verdana"/>
          <w:spacing w:val="1"/>
          <w:lang w:val="en-US"/>
        </w:rPr>
        <w:t>e</w:t>
      </w:r>
      <w:r w:rsidRPr="00FA19CA">
        <w:rPr>
          <w:rFonts w:cs="Verdana"/>
          <w:lang w:val="en-US"/>
        </w:rPr>
        <w:t>as</w:t>
      </w:r>
      <w:r w:rsidRPr="00FA19CA">
        <w:rPr>
          <w:rFonts w:cs="Verdana"/>
          <w:spacing w:val="1"/>
          <w:lang w:val="en-US"/>
        </w:rPr>
        <w:t>e</w:t>
      </w:r>
      <w:r w:rsidRPr="00FA19CA">
        <w:rPr>
          <w:rFonts w:cs="Verdana"/>
          <w:lang w:val="en-US"/>
        </w:rPr>
        <w:t xml:space="preserve">d </w:t>
      </w:r>
      <w:r w:rsidRPr="00FA19CA">
        <w:rPr>
          <w:rFonts w:cs="Verdana"/>
          <w:spacing w:val="1"/>
          <w:lang w:val="en-US"/>
        </w:rPr>
        <w:t>lip</w:t>
      </w:r>
      <w:r w:rsidRPr="00FA19CA">
        <w:rPr>
          <w:rFonts w:cs="Verdana"/>
          <w:lang w:val="en-US"/>
        </w:rPr>
        <w:t>as</w:t>
      </w:r>
      <w:r w:rsidRPr="00FA19CA">
        <w:rPr>
          <w:rFonts w:cs="Verdana"/>
          <w:spacing w:val="1"/>
          <w:lang w:val="en-US"/>
        </w:rPr>
        <w:t>e</w:t>
      </w:r>
      <w:r w:rsidRPr="00FA19CA">
        <w:rPr>
          <w:rFonts w:cs="Verdana"/>
          <w:lang w:val="en-US"/>
        </w:rPr>
        <w:t>,</w:t>
      </w:r>
      <w:r w:rsidRPr="00FA19CA">
        <w:rPr>
          <w:rFonts w:cs="Verdana"/>
          <w:spacing w:val="-1"/>
          <w:lang w:val="en-US"/>
        </w:rPr>
        <w:t xml:space="preserve"> v</w:t>
      </w:r>
      <w:r w:rsidRPr="00FA19CA">
        <w:rPr>
          <w:rFonts w:cs="Verdana"/>
          <w:spacing w:val="1"/>
          <w:lang w:val="en-US"/>
        </w:rPr>
        <w:t>i</w:t>
      </w:r>
      <w:r w:rsidRPr="00FA19CA">
        <w:rPr>
          <w:rFonts w:cs="Verdana"/>
          <w:lang w:val="en-US"/>
        </w:rPr>
        <w:t>s</w:t>
      </w:r>
      <w:r w:rsidRPr="00FA19CA">
        <w:rPr>
          <w:rFonts w:cs="Verdana"/>
          <w:spacing w:val="-1"/>
          <w:lang w:val="en-US"/>
        </w:rPr>
        <w:t>u</w:t>
      </w:r>
      <w:r w:rsidRPr="00FA19CA">
        <w:rPr>
          <w:rFonts w:cs="Verdana"/>
          <w:lang w:val="en-US"/>
        </w:rPr>
        <w:t xml:space="preserve">al </w:t>
      </w:r>
      <w:r w:rsidRPr="00FA19CA">
        <w:rPr>
          <w:rFonts w:cs="Verdana"/>
          <w:spacing w:val="1"/>
          <w:lang w:val="en-US"/>
        </w:rPr>
        <w:t>di</w:t>
      </w:r>
      <w:r w:rsidRPr="00FA19CA">
        <w:rPr>
          <w:rFonts w:cs="Verdana"/>
          <w:spacing w:val="-3"/>
          <w:lang w:val="en-US"/>
        </w:rPr>
        <w:t>s</w:t>
      </w:r>
      <w:r w:rsidRPr="00FA19CA">
        <w:rPr>
          <w:rFonts w:cs="Verdana"/>
          <w:spacing w:val="1"/>
          <w:lang w:val="en-US"/>
        </w:rPr>
        <w:t>o</w:t>
      </w:r>
      <w:r w:rsidRPr="00FA19CA">
        <w:rPr>
          <w:rFonts w:cs="Verdana"/>
          <w:lang w:val="en-US"/>
        </w:rPr>
        <w:t>r</w:t>
      </w:r>
      <w:r w:rsidRPr="00FA19CA">
        <w:rPr>
          <w:rFonts w:cs="Verdana"/>
          <w:spacing w:val="1"/>
          <w:lang w:val="en-US"/>
        </w:rPr>
        <w:t>de</w:t>
      </w:r>
      <w:r w:rsidRPr="00FA19CA">
        <w:rPr>
          <w:rFonts w:cs="Verdana"/>
          <w:lang w:val="en-US"/>
        </w:rPr>
        <w:t>rs,</w:t>
      </w:r>
      <w:r w:rsidRPr="00FA19CA">
        <w:rPr>
          <w:rFonts w:cs="Verdana"/>
          <w:spacing w:val="-1"/>
          <w:lang w:val="en-US"/>
        </w:rPr>
        <w:t xml:space="preserve"> </w:t>
      </w:r>
      <w:r w:rsidRPr="00FA19CA">
        <w:rPr>
          <w:rFonts w:cs="Verdana"/>
          <w:spacing w:val="1"/>
          <w:lang w:val="en-US"/>
        </w:rPr>
        <w:t>b</w:t>
      </w:r>
      <w:r w:rsidRPr="00FA19CA">
        <w:rPr>
          <w:rFonts w:cs="Verdana"/>
          <w:lang w:val="en-US"/>
        </w:rPr>
        <w:t>ra</w:t>
      </w:r>
      <w:r w:rsidRPr="00FA19CA">
        <w:rPr>
          <w:rFonts w:cs="Verdana"/>
          <w:spacing w:val="1"/>
          <w:lang w:val="en-US"/>
        </w:rPr>
        <w:t>d</w:t>
      </w:r>
      <w:r w:rsidRPr="00FA19CA">
        <w:rPr>
          <w:rFonts w:cs="Verdana"/>
          <w:spacing w:val="-1"/>
          <w:lang w:val="en-US"/>
        </w:rPr>
        <w:t>y</w:t>
      </w:r>
      <w:r w:rsidRPr="00FA19CA">
        <w:rPr>
          <w:rFonts w:cs="Verdana"/>
          <w:lang w:val="en-US"/>
        </w:rPr>
        <w:t>car</w:t>
      </w:r>
      <w:r w:rsidRPr="00FA19CA">
        <w:rPr>
          <w:rFonts w:cs="Verdana"/>
          <w:spacing w:val="1"/>
          <w:lang w:val="en-US"/>
        </w:rPr>
        <w:t>di</w:t>
      </w:r>
      <w:r w:rsidRPr="00FA19CA">
        <w:rPr>
          <w:rFonts w:cs="Verdana"/>
          <w:lang w:val="en-US"/>
        </w:rPr>
        <w:t xml:space="preserve">a, </w:t>
      </w:r>
      <w:r w:rsidRPr="00FA19CA">
        <w:rPr>
          <w:rFonts w:cs="Verdana"/>
          <w:spacing w:val="-1"/>
          <w:lang w:val="en-US"/>
        </w:rPr>
        <w:t>n</w:t>
      </w:r>
      <w:r w:rsidRPr="00FA19CA">
        <w:rPr>
          <w:rFonts w:cs="Verdana"/>
          <w:spacing w:val="1"/>
          <w:lang w:val="en-US"/>
        </w:rPr>
        <w:t>e</w:t>
      </w:r>
      <w:r w:rsidRPr="00FA19CA">
        <w:rPr>
          <w:rFonts w:cs="Verdana"/>
          <w:spacing w:val="-1"/>
          <w:lang w:val="en-US"/>
        </w:rPr>
        <w:t>u</w:t>
      </w:r>
      <w:r w:rsidRPr="00FA19CA">
        <w:rPr>
          <w:rFonts w:cs="Verdana"/>
          <w:lang w:val="en-US"/>
        </w:rPr>
        <w:t>r</w:t>
      </w:r>
      <w:r w:rsidRPr="00FA19CA">
        <w:rPr>
          <w:rFonts w:cs="Verdana"/>
          <w:spacing w:val="1"/>
          <w:lang w:val="en-US"/>
        </w:rPr>
        <w:t>op</w:t>
      </w:r>
      <w:r w:rsidRPr="00FA19CA">
        <w:rPr>
          <w:rFonts w:cs="Verdana"/>
          <w:lang w:val="en-US"/>
        </w:rPr>
        <w:t>a</w:t>
      </w:r>
      <w:r w:rsidRPr="00FA19CA">
        <w:rPr>
          <w:rFonts w:cs="Verdana"/>
          <w:spacing w:val="1"/>
          <w:lang w:val="en-US"/>
        </w:rPr>
        <w:t>t</w:t>
      </w:r>
      <w:r w:rsidRPr="00FA19CA">
        <w:rPr>
          <w:rFonts w:cs="Verdana"/>
          <w:spacing w:val="-1"/>
          <w:lang w:val="en-US"/>
        </w:rPr>
        <w:t>hy</w:t>
      </w:r>
      <w:r w:rsidRPr="00FA19CA">
        <w:rPr>
          <w:rFonts w:cs="Verdana"/>
          <w:lang w:val="en-US"/>
        </w:rPr>
        <w:t>,</w:t>
      </w:r>
      <w:r w:rsidRPr="00FA19CA">
        <w:rPr>
          <w:rFonts w:cs="Verdana"/>
          <w:spacing w:val="-1"/>
          <w:lang w:val="en-US"/>
        </w:rPr>
        <w:t xml:space="preserve"> </w:t>
      </w:r>
      <w:r w:rsidRPr="00FA19CA">
        <w:rPr>
          <w:rFonts w:cs="Verdana"/>
          <w:spacing w:val="1"/>
          <w:lang w:val="en-US"/>
        </w:rPr>
        <w:t>i</w:t>
      </w:r>
      <w:r w:rsidRPr="00FA19CA">
        <w:rPr>
          <w:rFonts w:cs="Verdana"/>
          <w:spacing w:val="-1"/>
          <w:lang w:val="en-US"/>
        </w:rPr>
        <w:t>n</w:t>
      </w:r>
      <w:r w:rsidRPr="00FA19CA">
        <w:rPr>
          <w:rFonts w:cs="Verdana"/>
          <w:lang w:val="en-US"/>
        </w:rPr>
        <w:t>cr</w:t>
      </w:r>
      <w:r w:rsidRPr="00FA19CA">
        <w:rPr>
          <w:rFonts w:cs="Verdana"/>
          <w:spacing w:val="1"/>
          <w:lang w:val="en-US"/>
        </w:rPr>
        <w:t>e</w:t>
      </w:r>
      <w:r w:rsidRPr="00FA19CA">
        <w:rPr>
          <w:rFonts w:cs="Verdana"/>
          <w:lang w:val="en-US"/>
        </w:rPr>
        <w:t>ase cr</w:t>
      </w:r>
      <w:r w:rsidRPr="00FA19CA">
        <w:rPr>
          <w:rFonts w:cs="Verdana"/>
          <w:spacing w:val="1"/>
          <w:lang w:val="en-US"/>
        </w:rPr>
        <w:t>e</w:t>
      </w:r>
      <w:r w:rsidRPr="00FA19CA">
        <w:rPr>
          <w:rFonts w:cs="Verdana"/>
          <w:lang w:val="en-US"/>
        </w:rPr>
        <w:t>a</w:t>
      </w:r>
      <w:r w:rsidRPr="00FA19CA">
        <w:rPr>
          <w:rFonts w:cs="Verdana"/>
          <w:spacing w:val="1"/>
          <w:lang w:val="en-US"/>
        </w:rPr>
        <w:t>ti</w:t>
      </w:r>
      <w:r w:rsidRPr="00FA19CA">
        <w:rPr>
          <w:rFonts w:cs="Verdana"/>
          <w:spacing w:val="-1"/>
          <w:lang w:val="en-US"/>
        </w:rPr>
        <w:t>n</w:t>
      </w:r>
      <w:r w:rsidRPr="00FA19CA">
        <w:rPr>
          <w:rFonts w:cs="Verdana"/>
          <w:spacing w:val="1"/>
          <w:lang w:val="en-US"/>
        </w:rPr>
        <w:t>i</w:t>
      </w:r>
      <w:r w:rsidRPr="00FA19CA">
        <w:rPr>
          <w:rFonts w:cs="Verdana"/>
          <w:spacing w:val="-1"/>
          <w:lang w:val="en-US"/>
        </w:rPr>
        <w:t>n</w:t>
      </w:r>
      <w:r w:rsidRPr="00FA19CA">
        <w:rPr>
          <w:rFonts w:cs="Verdana"/>
          <w:lang w:val="en-US"/>
        </w:rPr>
        <w:t xml:space="preserve">e </w:t>
      </w:r>
      <w:r w:rsidRPr="00FA19CA">
        <w:rPr>
          <w:rFonts w:cs="Verdana"/>
          <w:spacing w:val="1"/>
          <w:lang w:val="en-US"/>
        </w:rPr>
        <w:t>le</w:t>
      </w:r>
      <w:r w:rsidRPr="00FA19CA">
        <w:rPr>
          <w:rFonts w:cs="Verdana"/>
          <w:spacing w:val="-1"/>
          <w:lang w:val="en-US"/>
        </w:rPr>
        <w:t>v</w:t>
      </w:r>
      <w:r w:rsidRPr="00FA19CA">
        <w:rPr>
          <w:rFonts w:cs="Verdana"/>
          <w:spacing w:val="1"/>
          <w:lang w:val="en-US"/>
        </w:rPr>
        <w:t>el</w:t>
      </w:r>
      <w:r w:rsidRPr="00FA19CA">
        <w:rPr>
          <w:rFonts w:cs="Verdana"/>
          <w:lang w:val="en-US"/>
        </w:rPr>
        <w:t>s/r</w:t>
      </w:r>
      <w:r w:rsidRPr="00FA19CA">
        <w:rPr>
          <w:rFonts w:cs="Verdana"/>
          <w:spacing w:val="1"/>
          <w:lang w:val="en-US"/>
        </w:rPr>
        <w:t>e</w:t>
      </w:r>
      <w:r w:rsidRPr="00FA19CA">
        <w:rPr>
          <w:rFonts w:cs="Verdana"/>
          <w:spacing w:val="-1"/>
          <w:lang w:val="en-US"/>
        </w:rPr>
        <w:t>n</w:t>
      </w:r>
      <w:r w:rsidRPr="00FA19CA">
        <w:rPr>
          <w:rFonts w:cs="Verdana"/>
          <w:lang w:val="en-US"/>
        </w:rPr>
        <w:t xml:space="preserve">al </w:t>
      </w:r>
      <w:r w:rsidRPr="00FA19CA">
        <w:rPr>
          <w:rFonts w:cs="Verdana"/>
          <w:spacing w:val="-1"/>
          <w:lang w:val="en-US"/>
        </w:rPr>
        <w:t>f</w:t>
      </w:r>
      <w:r w:rsidRPr="00FA19CA">
        <w:rPr>
          <w:rFonts w:cs="Verdana"/>
          <w:lang w:val="en-US"/>
        </w:rPr>
        <w:t>a</w:t>
      </w:r>
      <w:r w:rsidRPr="00FA19CA">
        <w:rPr>
          <w:rFonts w:cs="Verdana"/>
          <w:spacing w:val="1"/>
          <w:lang w:val="en-US"/>
        </w:rPr>
        <w:t>il</w:t>
      </w:r>
      <w:r w:rsidRPr="00FA19CA">
        <w:rPr>
          <w:rFonts w:cs="Verdana"/>
          <w:spacing w:val="-1"/>
          <w:lang w:val="en-US"/>
        </w:rPr>
        <w:t>u</w:t>
      </w:r>
      <w:r w:rsidRPr="00FA19CA">
        <w:rPr>
          <w:rFonts w:cs="Verdana"/>
          <w:lang w:val="en-US"/>
        </w:rPr>
        <w:t>r</w:t>
      </w:r>
      <w:r w:rsidRPr="00FA19CA">
        <w:rPr>
          <w:rFonts w:cs="Verdana"/>
          <w:spacing w:val="1"/>
          <w:lang w:val="en-US"/>
        </w:rPr>
        <w:t>e</w:t>
      </w:r>
      <w:r w:rsidRPr="00FA19CA">
        <w:rPr>
          <w:rFonts w:cs="Verdana"/>
          <w:lang w:val="en-US"/>
        </w:rPr>
        <w:t>,</w:t>
      </w:r>
      <w:r w:rsidRPr="00FA19CA">
        <w:rPr>
          <w:rFonts w:cs="Verdana"/>
          <w:spacing w:val="-1"/>
          <w:lang w:val="en-US"/>
        </w:rPr>
        <w:t xml:space="preserve"> </w:t>
      </w:r>
      <w:r w:rsidRPr="00FA19CA">
        <w:rPr>
          <w:rFonts w:cs="Verdana"/>
          <w:lang w:val="en-US"/>
        </w:rPr>
        <w:t>a</w:t>
      </w:r>
      <w:r w:rsidRPr="00FA19CA">
        <w:rPr>
          <w:rFonts w:cs="Verdana"/>
          <w:spacing w:val="-1"/>
          <w:lang w:val="en-US"/>
        </w:rPr>
        <w:t>n</w:t>
      </w:r>
      <w:r w:rsidRPr="00FA19CA">
        <w:rPr>
          <w:rFonts w:cs="Verdana"/>
          <w:lang w:val="en-US"/>
        </w:rPr>
        <w:t xml:space="preserve">d </w:t>
      </w:r>
      <w:r>
        <w:rPr>
          <w:rFonts w:cs="Verdana"/>
          <w:lang w:val="en-US"/>
        </w:rPr>
        <w:t>o</w:t>
      </w:r>
      <w:r w:rsidRPr="00FA19CA">
        <w:rPr>
          <w:rFonts w:cs="Verdana"/>
          <w:spacing w:val="1"/>
          <w:lang w:val="en-US"/>
        </w:rPr>
        <w:t>ede</w:t>
      </w:r>
      <w:r w:rsidRPr="00FA19CA">
        <w:rPr>
          <w:rFonts w:cs="Verdana"/>
          <w:lang w:val="en-US"/>
        </w:rPr>
        <w:t>ma.</w:t>
      </w:r>
      <w:r w:rsidRPr="00FA19CA">
        <w:rPr>
          <w:rFonts w:cs="Verdana"/>
          <w:spacing w:val="-3"/>
          <w:lang w:val="en-US"/>
        </w:rPr>
        <w:t xml:space="preserve"> </w:t>
      </w:r>
    </w:p>
    <w:p w14:paraId="21B074CB" w14:textId="77777777" w:rsidR="00554D4D" w:rsidRPr="00FA19CA" w:rsidRDefault="00554D4D" w:rsidP="00843F0B">
      <w:r w:rsidRPr="00FA19CA">
        <w:t xml:space="preserve">In conclusion, the available safety findings suggest that, although the AEs seem to be manageable, ceritinib is not </w:t>
      </w:r>
      <w:r>
        <w:t xml:space="preserve">particularly </w:t>
      </w:r>
      <w:r w:rsidRPr="00FA19CA">
        <w:t>well tolerated. This is further supported by the persistent and recurrent n</w:t>
      </w:r>
      <w:r>
        <w:t>ature of the most frequent AEs and the need for dose reduction in majority of patients.</w:t>
      </w:r>
    </w:p>
    <w:p w14:paraId="097D532F" w14:textId="77777777" w:rsidR="00605AD4" w:rsidRPr="00605AD4" w:rsidRDefault="00605AD4" w:rsidP="00605AD4">
      <w:pPr>
        <w:pStyle w:val="Heading3"/>
        <w:rPr>
          <w:rFonts w:eastAsia="Cambria"/>
        </w:rPr>
      </w:pPr>
      <w:bookmarkStart w:id="124" w:name="_Toc507501114"/>
      <w:r w:rsidRPr="00605AD4">
        <w:rPr>
          <w:rFonts w:eastAsia="Cambria"/>
        </w:rPr>
        <w:t>First Round Benefit-Risk Assessment</w:t>
      </w:r>
      <w:bookmarkEnd w:id="124"/>
    </w:p>
    <w:p w14:paraId="27ECF7D6" w14:textId="77777777" w:rsidR="00554D4D" w:rsidRDefault="00554D4D" w:rsidP="00AA2267">
      <w:pPr>
        <w:pStyle w:val="Heading4"/>
      </w:pPr>
      <w:bookmarkStart w:id="125" w:name="_Toc236802592"/>
      <w:bookmarkStart w:id="126" w:name="_Toc241374331"/>
      <w:bookmarkStart w:id="127" w:name="_Ref272160836"/>
      <w:bookmarkStart w:id="128" w:name="_Toc272414693"/>
      <w:bookmarkStart w:id="129" w:name="_Toc290846331"/>
      <w:bookmarkStart w:id="130" w:name="_Toc300495420"/>
      <w:bookmarkStart w:id="131" w:name="_Toc300495690"/>
      <w:bookmarkStart w:id="132" w:name="_Toc300498603"/>
      <w:r>
        <w:t xml:space="preserve">First round assessment of </w:t>
      </w:r>
      <w:r w:rsidRPr="00AA2267">
        <w:t>benefits</w:t>
      </w:r>
      <w:bookmarkEnd w:id="125"/>
      <w:bookmarkEnd w:id="126"/>
      <w:bookmarkEnd w:id="127"/>
      <w:bookmarkEnd w:id="128"/>
      <w:bookmarkEnd w:id="129"/>
      <w:bookmarkEnd w:id="130"/>
      <w:bookmarkEnd w:id="131"/>
      <w:bookmarkEnd w:id="132"/>
    </w:p>
    <w:p w14:paraId="48EC8457" w14:textId="77777777" w:rsidR="00554D4D" w:rsidRDefault="00554D4D" w:rsidP="00AA2267">
      <w:r>
        <w:t>The benefits of Zykadia in the proposed usage (in ALK-positive locally advanced or metastatic NSCLC previously treated with an ALK-inhibitor) are:</w:t>
      </w:r>
    </w:p>
    <w:p w14:paraId="349DCEE7" w14:textId="77777777" w:rsidR="00554D4D" w:rsidRDefault="00554D4D" w:rsidP="00AA2267">
      <w:pPr>
        <w:pStyle w:val="ListBullet"/>
      </w:pPr>
      <w:r>
        <w:t>Zykadia has an ORR of 37.1% in A2201 and 55.4% in X2101 in patients who were heavily pre-treated, with more than half of the patients having received at least 3 prior regimens including crizotinib. Similarly, the duration of response was similarly long in both studies (median 9.2 months and 7.39 months, respectively).</w:t>
      </w:r>
    </w:p>
    <w:p w14:paraId="251750D5" w14:textId="77777777" w:rsidR="00554D4D" w:rsidRDefault="00554D4D" w:rsidP="00AA2267">
      <w:pPr>
        <w:pStyle w:val="ListBullet"/>
      </w:pPr>
      <w:r>
        <w:t xml:space="preserve">Furthermore, the PFS seen in these patients ranged from a median of 5.7 months in Study A2201 to 6.9 months in Study X2101, while preliminary median OS ranged from a median of 14 months in Study A2201 to not </w:t>
      </w:r>
      <w:r w:rsidR="00E56C47">
        <w:t xml:space="preserve">being </w:t>
      </w:r>
      <w:r>
        <w:t>reached in Study X2101. These secondary efficacy measures were immature to draw definitive conclusions.</w:t>
      </w:r>
    </w:p>
    <w:p w14:paraId="0A84B7DA" w14:textId="77777777" w:rsidR="00554D4D" w:rsidRDefault="00554D4D" w:rsidP="00AA2267">
      <w:pPr>
        <w:pStyle w:val="ListBullet"/>
      </w:pPr>
      <w:r>
        <w:t xml:space="preserve">While these results came from uncontrolled, open-label clinical trials and the primary endpoint was ORR based on investigator assessment, these ORR rates exceed what is expected with chemotherapy in this setting (ORR of 20% and PFS of 3 months in chemotherapy arm of the </w:t>
      </w:r>
      <w:r w:rsidR="00B3070B">
        <w:t>Phase I</w:t>
      </w:r>
      <w:r>
        <w:t>II crizotinib trial) and indicates that patients who have progressed on a prior ALK inhibitor would have a high likelihood of responding to ceritinib and therefore derive a clinical benefit.</w:t>
      </w:r>
    </w:p>
    <w:p w14:paraId="208DC9B7" w14:textId="77777777" w:rsidR="00554D4D" w:rsidRDefault="00554D4D" w:rsidP="00AA2267">
      <w:pPr>
        <w:pStyle w:val="ListBullet"/>
      </w:pPr>
      <w:r>
        <w:t>Phase III comparative study in ALK-positive NSCLC previously treated with platinum doublet and crizotinib (ceritinib</w:t>
      </w:r>
      <w:r w:rsidR="002E3E15">
        <w:t xml:space="preserve"> versus</w:t>
      </w:r>
      <w:r w:rsidR="00AA2267">
        <w:t xml:space="preserve"> chemotherapy) is ongoing</w:t>
      </w:r>
      <w:r w:rsidR="00AA2267">
        <w:rPr>
          <w:rStyle w:val="FootnoteReference"/>
        </w:rPr>
        <w:footnoteReference w:id="35"/>
      </w:r>
      <w:r>
        <w:t>.</w:t>
      </w:r>
    </w:p>
    <w:p w14:paraId="7A8028B3" w14:textId="77777777" w:rsidR="00554D4D" w:rsidRDefault="00554D4D" w:rsidP="00AA2267">
      <w:pPr>
        <w:pStyle w:val="ListBullet"/>
      </w:pPr>
      <w:r>
        <w:t>Consideration should be made to include a warning for decreasing effectiveness of oral contraceptives with concomitant use of Zykadia and the potential effect of gastric acid-reducing agents on Zykadia (subject of an ongoing clinical trial) as discussed in the Pharmacokinetics section.</w:t>
      </w:r>
    </w:p>
    <w:p w14:paraId="21A65636" w14:textId="77777777" w:rsidR="00554D4D" w:rsidRDefault="00554D4D" w:rsidP="00554D4D">
      <w:pPr>
        <w:pStyle w:val="Heading4"/>
      </w:pPr>
      <w:bookmarkStart w:id="133" w:name="_Toc236802596"/>
      <w:bookmarkStart w:id="134" w:name="_Toc241374334"/>
      <w:bookmarkStart w:id="135" w:name="_Ref272160964"/>
      <w:bookmarkStart w:id="136" w:name="_Toc272414694"/>
      <w:bookmarkStart w:id="137" w:name="_Toc290846332"/>
      <w:bookmarkStart w:id="138" w:name="_Toc300495421"/>
      <w:bookmarkStart w:id="139" w:name="_Toc300495691"/>
      <w:bookmarkStart w:id="140" w:name="_Toc300498604"/>
      <w:r>
        <w:lastRenderedPageBreak/>
        <w:t>First round assessment of risks</w:t>
      </w:r>
      <w:bookmarkEnd w:id="133"/>
      <w:bookmarkEnd w:id="134"/>
      <w:bookmarkEnd w:id="135"/>
      <w:bookmarkEnd w:id="136"/>
      <w:bookmarkEnd w:id="137"/>
      <w:bookmarkEnd w:id="138"/>
      <w:bookmarkEnd w:id="139"/>
      <w:bookmarkEnd w:id="140"/>
    </w:p>
    <w:p w14:paraId="054620C6" w14:textId="77777777" w:rsidR="00554D4D" w:rsidRDefault="00554D4D" w:rsidP="00554D4D">
      <w:r>
        <w:t>The risks of Zykadia in the proposed usage are:</w:t>
      </w:r>
    </w:p>
    <w:p w14:paraId="6E640685" w14:textId="77777777" w:rsidR="00554D4D" w:rsidRDefault="00554D4D" w:rsidP="00AA2267">
      <w:pPr>
        <w:pStyle w:val="ListBullet"/>
      </w:pPr>
      <w:r>
        <w:t>The most common adverse events observed across studies (comprising 525 patients exposed to ceritinib 75</w:t>
      </w:r>
      <w:r w:rsidR="00326B43">
        <w:t>0 mg</w:t>
      </w:r>
      <w:r>
        <w:t>, with a median duration of treatment of 33 weeks) were GI disorders (nausea, diarrhoea, vomiting and constipation), followed by general disorders and administrative site conditions, and investigations. The most frequently reported Grade 3-4 adverse events were increased ALT, increased GGT, increased AST, fatigue, diarrhoea, nausea and hyperglycaemia.</w:t>
      </w:r>
    </w:p>
    <w:p w14:paraId="0E5B1E2C" w14:textId="77777777" w:rsidR="00554D4D" w:rsidRDefault="00554D4D" w:rsidP="00AA2267">
      <w:pPr>
        <w:pStyle w:val="ListBullet"/>
      </w:pPr>
      <w:r>
        <w:t>Hepatic enzyme elevations were frequently reported and led to dose adjustments or temporary interruptions and discontinuation (only 0.8% of patients). There were no AEs leading to death or cases of Hy’s law.</w:t>
      </w:r>
    </w:p>
    <w:p w14:paraId="58A12938" w14:textId="77777777" w:rsidR="00554D4D" w:rsidRDefault="00554D4D" w:rsidP="00AA2267">
      <w:pPr>
        <w:pStyle w:val="ListBullet"/>
      </w:pPr>
      <w:r>
        <w:t>Interstitial lung disease/pneumonitis has been associated with Zykadia, a class-effect known for some TKIs. A total of 18 cases were detected in the trials presented in the dossier, with one outcome of death.</w:t>
      </w:r>
    </w:p>
    <w:p w14:paraId="39B71BC4" w14:textId="28C2F70D" w:rsidR="00554D4D" w:rsidRDefault="00554D4D" w:rsidP="00AA2267">
      <w:pPr>
        <w:pStyle w:val="ListBullet"/>
      </w:pPr>
      <w:r>
        <w:t>Cardiac disorders including QT prolongation and bradycardia were observed. No deaths or Torsades de Pointes were observed. It appears that increased exposure of ceritinib was associated with inc</w:t>
      </w:r>
      <w:r w:rsidR="00EE3F1D">
        <w:t xml:space="preserve">reased </w:t>
      </w:r>
      <w:proofErr w:type="spellStart"/>
      <w:r w:rsidR="00EE3F1D">
        <w:t>QTc</w:t>
      </w:r>
      <w:proofErr w:type="spellEnd"/>
      <w:r w:rsidR="00EE3F1D">
        <w:t>.</w:t>
      </w:r>
    </w:p>
    <w:p w14:paraId="40B1008D" w14:textId="77777777" w:rsidR="00554D4D" w:rsidRDefault="00554D4D" w:rsidP="00AA2267">
      <w:pPr>
        <w:pStyle w:val="ListBullet"/>
      </w:pPr>
      <w:r>
        <w:t>While Zykadia</w:t>
      </w:r>
      <w:r w:rsidR="004D41A4">
        <w:t xml:space="preserve"> </w:t>
      </w:r>
      <w:r>
        <w:t>associated AEs appears manageable, Zykadia is not well tolerated. This is supported by the persistent and recurrent nature of the frequent AEs.</w:t>
      </w:r>
    </w:p>
    <w:p w14:paraId="616EEC99" w14:textId="77777777" w:rsidR="00554D4D" w:rsidRDefault="00554D4D" w:rsidP="00554D4D">
      <w:pPr>
        <w:pStyle w:val="Heading4"/>
      </w:pPr>
      <w:bookmarkStart w:id="141" w:name="_Toc236802597"/>
      <w:bookmarkStart w:id="142" w:name="_Toc241374335"/>
      <w:bookmarkStart w:id="143" w:name="_Toc272414695"/>
      <w:bookmarkStart w:id="144" w:name="_Toc290846333"/>
      <w:bookmarkStart w:id="145" w:name="_Toc300495422"/>
      <w:bookmarkStart w:id="146" w:name="_Toc300495692"/>
      <w:bookmarkStart w:id="147" w:name="_Toc300498605"/>
      <w:r>
        <w:t>First round assessment of benefit-risk balance</w:t>
      </w:r>
      <w:bookmarkEnd w:id="141"/>
      <w:bookmarkEnd w:id="142"/>
      <w:bookmarkEnd w:id="143"/>
      <w:bookmarkEnd w:id="144"/>
      <w:bookmarkEnd w:id="145"/>
      <w:bookmarkEnd w:id="146"/>
      <w:bookmarkEnd w:id="147"/>
    </w:p>
    <w:p w14:paraId="77779F71" w14:textId="77777777" w:rsidR="00554D4D" w:rsidRDefault="00554D4D" w:rsidP="00554D4D">
      <w:r>
        <w:t>The benefit-risk balance of Zykadia, given the proposed usage, is favourable.</w:t>
      </w:r>
    </w:p>
    <w:p w14:paraId="432CA78A" w14:textId="77777777" w:rsidR="00554D4D" w:rsidRDefault="00554D4D" w:rsidP="00554D4D">
      <w:pPr>
        <w:autoSpaceDE w:val="0"/>
        <w:autoSpaceDN w:val="0"/>
        <w:adjustRightInd w:val="0"/>
      </w:pPr>
      <w:r>
        <w:t>Although the true clinical benefit of Zykadia is unknown due to the limitations of immature PFS and OS data and the uncontrolled nature of the clinical trials, the impressive effect of Zykadia on tumour burden in previously heavily pre-treated patients is clinically meaningful in a population with limited options of treatment. From the literature, we know that this degree of ORR is not usually observed in solid tumours including ALK-positive NSCLC after several lines of chemotherapy.</w:t>
      </w:r>
      <w:r w:rsidR="000E3918">
        <w:t xml:space="preserve"> </w:t>
      </w:r>
      <w:r>
        <w:t xml:space="preserve">In the </w:t>
      </w:r>
      <w:r w:rsidR="00B3070B">
        <w:t>Phase I</w:t>
      </w:r>
      <w:r w:rsidR="001058EB">
        <w:t xml:space="preserve">II </w:t>
      </w:r>
      <w:proofErr w:type="spellStart"/>
      <w:r w:rsidR="001058EB">
        <w:t>crizotinib</w:t>
      </w:r>
      <w:proofErr w:type="spellEnd"/>
      <w:r w:rsidR="001058EB">
        <w:t xml:space="preserve"> trial</w:t>
      </w:r>
      <w:r w:rsidR="001058EB" w:rsidRPr="001058EB">
        <w:rPr>
          <w:vertAlign w:val="superscript"/>
        </w:rPr>
        <w:fldChar w:fldCharType="begin"/>
      </w:r>
      <w:r w:rsidR="001058EB" w:rsidRPr="001058EB">
        <w:rPr>
          <w:vertAlign w:val="superscript"/>
        </w:rPr>
        <w:instrText xml:space="preserve"> NOTEREF _Ref500765120 \h </w:instrText>
      </w:r>
      <w:r w:rsidR="001058EB">
        <w:rPr>
          <w:vertAlign w:val="superscript"/>
        </w:rPr>
        <w:instrText xml:space="preserve"> \* MERGEFORMAT </w:instrText>
      </w:r>
      <w:r w:rsidR="001058EB" w:rsidRPr="001058EB">
        <w:rPr>
          <w:vertAlign w:val="superscript"/>
        </w:rPr>
      </w:r>
      <w:r w:rsidR="001058EB" w:rsidRPr="001058EB">
        <w:rPr>
          <w:vertAlign w:val="superscript"/>
        </w:rPr>
        <w:fldChar w:fldCharType="separate"/>
      </w:r>
      <w:r w:rsidR="00951361">
        <w:rPr>
          <w:vertAlign w:val="superscript"/>
        </w:rPr>
        <w:t>1</w:t>
      </w:r>
      <w:r w:rsidR="001058EB" w:rsidRPr="001058EB">
        <w:rPr>
          <w:vertAlign w:val="superscript"/>
        </w:rPr>
        <w:fldChar w:fldCharType="end"/>
      </w:r>
      <w:r>
        <w:t>, patients treated with chemotherapy in second line have shown a</w:t>
      </w:r>
      <w:r w:rsidR="004D41A4">
        <w:t>n</w:t>
      </w:r>
      <w:r>
        <w:t xml:space="preserve"> ORR of 20% only and a median PFS of 3.0 months.</w:t>
      </w:r>
    </w:p>
    <w:p w14:paraId="23242BC8" w14:textId="585C9D79" w:rsidR="00554D4D" w:rsidRDefault="00554D4D" w:rsidP="00554D4D">
      <w:pPr>
        <w:autoSpaceDE w:val="0"/>
        <w:autoSpaceDN w:val="0"/>
        <w:adjustRightInd w:val="0"/>
      </w:pPr>
      <w:r>
        <w:t xml:space="preserve">Previous experience </w:t>
      </w:r>
      <w:r w:rsidR="004D41A4">
        <w:t>with</w:t>
      </w:r>
      <w:r>
        <w:t xml:space="preserve"> crizotinib showed a clear initial response rate translating into true clinical benefit in ALK-positive lung cancer patients in </w:t>
      </w:r>
      <w:r w:rsidR="00B3070B">
        <w:t>Phase I</w:t>
      </w:r>
      <w:r>
        <w:t>II trials</w:t>
      </w:r>
      <w:r w:rsidR="004D41A4">
        <w:t xml:space="preserve"> and</w:t>
      </w:r>
      <w:r>
        <w:t xml:space="preserve"> </w:t>
      </w:r>
      <w:r w:rsidR="00A1645B">
        <w:t>the evaluator thinks</w:t>
      </w:r>
      <w:r>
        <w:t xml:space="preserve"> the currently available data could support approval of Zykadia given the similar mechanism of action, provided confirmatory data of the benefit of Zykadia could be provided through the ongoing </w:t>
      </w:r>
      <w:r w:rsidR="00B3070B">
        <w:t>Phase I</w:t>
      </w:r>
      <w:r w:rsidR="00EE3F1D">
        <w:t>II clinical trial.</w:t>
      </w:r>
    </w:p>
    <w:p w14:paraId="3DB0588B" w14:textId="77777777" w:rsidR="00554D4D" w:rsidRDefault="00554D4D" w:rsidP="00554D4D">
      <w:pPr>
        <w:autoSpaceDE w:val="0"/>
        <w:autoSpaceDN w:val="0"/>
        <w:adjustRightInd w:val="0"/>
      </w:pPr>
      <w:r>
        <w:t xml:space="preserve">While ceritinib did not seem to be well tolerated based on the data, it was manageable. The high AE rates may also be related to the inherent nature of the target population in the studies, </w:t>
      </w:r>
      <w:r w:rsidR="004D41A4">
        <w:t>that is</w:t>
      </w:r>
      <w:r>
        <w:t xml:space="preserve"> heavily pre-treated patients. In view of the likely clinical benefit in an area of unmet needs, the profile of AEs presented is acceptable. In addition the Risk management plan is satisfactory in ongoing monitoring of </w:t>
      </w:r>
      <w:r w:rsidR="00E56C47">
        <w:t xml:space="preserve">the safety profile of </w:t>
      </w:r>
      <w:r>
        <w:t>Zykadia.</w:t>
      </w:r>
    </w:p>
    <w:p w14:paraId="3141B1E0" w14:textId="77777777" w:rsidR="00554D4D" w:rsidRPr="004D41A4" w:rsidRDefault="004D41A4" w:rsidP="004D41A4">
      <w:pPr>
        <w:pStyle w:val="Heading3"/>
      </w:pPr>
      <w:bookmarkStart w:id="148" w:name="_Ref272160564"/>
      <w:bookmarkStart w:id="149" w:name="_Ref272161481"/>
      <w:bookmarkStart w:id="150" w:name="_Toc272414697"/>
      <w:bookmarkStart w:id="151" w:name="_Toc290846334"/>
      <w:bookmarkStart w:id="152" w:name="_Toc300495423"/>
      <w:bookmarkStart w:id="153" w:name="_Toc300495693"/>
      <w:bookmarkStart w:id="154" w:name="_Toc300498606"/>
      <w:bookmarkStart w:id="155" w:name="_Toc507501115"/>
      <w:r w:rsidRPr="004D41A4">
        <w:t>First round recommendation regarding authorisation</w:t>
      </w:r>
      <w:bookmarkEnd w:id="148"/>
      <w:bookmarkEnd w:id="149"/>
      <w:bookmarkEnd w:id="150"/>
      <w:bookmarkEnd w:id="151"/>
      <w:bookmarkEnd w:id="152"/>
      <w:bookmarkEnd w:id="153"/>
      <w:bookmarkEnd w:id="154"/>
      <w:bookmarkEnd w:id="155"/>
      <w:r w:rsidRPr="004D41A4">
        <w:t xml:space="preserve"> </w:t>
      </w:r>
    </w:p>
    <w:p w14:paraId="4051AF00" w14:textId="71F89BA9" w:rsidR="00554D4D" w:rsidRDefault="00554D4D" w:rsidP="00554D4D">
      <w:r>
        <w:t>Based on the clinical data submitted the evaluator recommends that the appli</w:t>
      </w:r>
      <w:r w:rsidR="00EE3F1D">
        <w:t xml:space="preserve">cation for </w:t>
      </w:r>
      <w:proofErr w:type="spellStart"/>
      <w:r w:rsidR="00EE3F1D">
        <w:t>Zykadia</w:t>
      </w:r>
      <w:proofErr w:type="spellEnd"/>
      <w:r w:rsidR="00EE3F1D">
        <w:t xml:space="preserve"> be approved.</w:t>
      </w:r>
    </w:p>
    <w:p w14:paraId="18B35790" w14:textId="77777777" w:rsidR="00605AD4" w:rsidRPr="00605AD4" w:rsidRDefault="00605AD4" w:rsidP="00605AD4">
      <w:pPr>
        <w:pStyle w:val="Heading3"/>
        <w:rPr>
          <w:rFonts w:eastAsia="Cambria"/>
        </w:rPr>
      </w:pPr>
      <w:bookmarkStart w:id="156" w:name="_Toc507501116"/>
      <w:r w:rsidRPr="00605AD4">
        <w:rPr>
          <w:rFonts w:eastAsia="Cambria"/>
        </w:rPr>
        <w:lastRenderedPageBreak/>
        <w:t>Second Round Evaluation of clinical data submitted in response to questions</w:t>
      </w:r>
      <w:bookmarkEnd w:id="156"/>
    </w:p>
    <w:p w14:paraId="3332EA82" w14:textId="77777777" w:rsidR="006136D7" w:rsidRPr="00605AD4" w:rsidRDefault="006136D7" w:rsidP="006136D7">
      <w:r>
        <w:t>For details of the sponsor’s responses and the evaluation of these responses please see Attachment 2.</w:t>
      </w:r>
    </w:p>
    <w:p w14:paraId="435B43BC" w14:textId="77777777" w:rsidR="00605AD4" w:rsidRPr="00554D4D" w:rsidRDefault="00605AD4" w:rsidP="00554D4D">
      <w:pPr>
        <w:pStyle w:val="Heading3"/>
        <w:rPr>
          <w:rFonts w:eastAsia="Cambria"/>
        </w:rPr>
      </w:pPr>
      <w:bookmarkStart w:id="157" w:name="_Toc507501117"/>
      <w:r w:rsidRPr="00605AD4">
        <w:rPr>
          <w:rFonts w:eastAsia="Cambria"/>
        </w:rPr>
        <w:t>Second Round Benefit-Risk Assessment</w:t>
      </w:r>
      <w:bookmarkEnd w:id="157"/>
    </w:p>
    <w:p w14:paraId="1F425A37" w14:textId="77777777" w:rsidR="00554D4D" w:rsidRDefault="00554D4D" w:rsidP="00554D4D">
      <w:pPr>
        <w:pStyle w:val="Heading4"/>
      </w:pPr>
      <w:bookmarkStart w:id="158" w:name="_Toc272414710"/>
      <w:bookmarkStart w:id="159" w:name="_Toc290846350"/>
      <w:bookmarkStart w:id="160" w:name="_Toc295131117"/>
      <w:bookmarkStart w:id="161" w:name="_Toc300495432"/>
      <w:bookmarkStart w:id="162" w:name="_Toc300495702"/>
      <w:bookmarkStart w:id="163" w:name="_Toc300498615"/>
      <w:r w:rsidRPr="00D14F63">
        <w:t>Second round assessment of benefits</w:t>
      </w:r>
    </w:p>
    <w:p w14:paraId="4F8BBE6E" w14:textId="4F794D93" w:rsidR="00554D4D" w:rsidRDefault="00554D4D" w:rsidP="00554D4D">
      <w:r>
        <w:t xml:space="preserve">The responses to the Clinical questions have not altered </w:t>
      </w:r>
      <w:r w:rsidR="00BC66DD">
        <w:t>the evaluator’s</w:t>
      </w:r>
      <w:r>
        <w:t xml:space="preserve"> initial assessment of benefits</w:t>
      </w:r>
      <w:r w:rsidR="00BC66DD">
        <w:t xml:space="preserve"> (see above fore details)</w:t>
      </w:r>
      <w:r w:rsidR="00EE3F1D">
        <w:t>.</w:t>
      </w:r>
    </w:p>
    <w:p w14:paraId="3F15629E" w14:textId="77777777" w:rsidR="00554D4D" w:rsidRDefault="00554D4D" w:rsidP="00BC66DD">
      <w:pPr>
        <w:pStyle w:val="Heading4"/>
      </w:pPr>
      <w:r w:rsidRPr="00D14F63">
        <w:t>Second round assessment of risks</w:t>
      </w:r>
      <w:bookmarkEnd w:id="158"/>
      <w:bookmarkEnd w:id="159"/>
      <w:bookmarkEnd w:id="160"/>
      <w:bookmarkEnd w:id="161"/>
      <w:bookmarkEnd w:id="162"/>
      <w:bookmarkEnd w:id="163"/>
    </w:p>
    <w:p w14:paraId="32752D61" w14:textId="0E82C891" w:rsidR="00554D4D" w:rsidRDefault="00554D4D" w:rsidP="00554D4D">
      <w:r>
        <w:t>The responses to the Clinical S31 questions have not altered my initial assessment of risks</w:t>
      </w:r>
      <w:r w:rsidR="00BC66DD">
        <w:t xml:space="preserve"> (see above fore details)</w:t>
      </w:r>
      <w:r w:rsidR="00EE3F1D">
        <w:t>.</w:t>
      </w:r>
    </w:p>
    <w:p w14:paraId="545A9DE1" w14:textId="77777777" w:rsidR="00554D4D" w:rsidRDefault="00554D4D" w:rsidP="00554D4D">
      <w:pPr>
        <w:pStyle w:val="Heading4"/>
      </w:pPr>
      <w:bookmarkStart w:id="164" w:name="_Toc272414711"/>
      <w:bookmarkStart w:id="165" w:name="_Toc290846351"/>
      <w:bookmarkStart w:id="166" w:name="_Toc295131118"/>
      <w:bookmarkStart w:id="167" w:name="_Toc300495433"/>
      <w:bookmarkStart w:id="168" w:name="_Toc300495703"/>
      <w:bookmarkStart w:id="169" w:name="_Toc300498616"/>
      <w:r w:rsidRPr="00D14F63">
        <w:t>Second round assessment of benefit-risk balance</w:t>
      </w:r>
      <w:bookmarkEnd w:id="164"/>
      <w:bookmarkEnd w:id="165"/>
      <w:bookmarkEnd w:id="166"/>
      <w:bookmarkEnd w:id="167"/>
      <w:bookmarkEnd w:id="168"/>
      <w:bookmarkEnd w:id="169"/>
    </w:p>
    <w:p w14:paraId="3367B10F" w14:textId="77777777" w:rsidR="00554D4D" w:rsidRDefault="00554D4D" w:rsidP="00554D4D">
      <w:r>
        <w:t xml:space="preserve">The responses to the Clinical questions have not altered </w:t>
      </w:r>
      <w:r w:rsidR="00BC66DD">
        <w:t>the</w:t>
      </w:r>
      <w:r>
        <w:t xml:space="preserve"> initial assessment of benefit-risk balance. </w:t>
      </w:r>
      <w:r w:rsidR="00BC66DD">
        <w:t>The evaluator</w:t>
      </w:r>
      <w:r>
        <w:t xml:space="preserve"> continue</w:t>
      </w:r>
      <w:r w:rsidR="00BC66DD">
        <w:t>s</w:t>
      </w:r>
      <w:r>
        <w:t xml:space="preserve"> to believe that the benefit-risk balance of Zykadia, given the proposed usage, is favourable</w:t>
      </w:r>
      <w:r w:rsidR="00BC66DD">
        <w:t xml:space="preserve"> (see above for details)</w:t>
      </w:r>
      <w:r>
        <w:t>.</w:t>
      </w:r>
    </w:p>
    <w:p w14:paraId="2C004AA4" w14:textId="77777777" w:rsidR="00554D4D" w:rsidRDefault="00BC66DD" w:rsidP="00554D4D">
      <w:pPr>
        <w:autoSpaceDE w:val="0"/>
        <w:autoSpaceDN w:val="0"/>
        <w:adjustRightInd w:val="0"/>
      </w:pPr>
      <w:r>
        <w:t>The evaluator</w:t>
      </w:r>
      <w:r w:rsidR="00554D4D">
        <w:t xml:space="preserve"> believe</w:t>
      </w:r>
      <w:r>
        <w:t>s</w:t>
      </w:r>
      <w:r w:rsidR="00554D4D">
        <w:t xml:space="preserve"> the revised changes made to the Australian PI clearly communicate the potential risks and drug interactions to the prescribers. In addition the Risk management plan is satisfactory in</w:t>
      </w:r>
      <w:r w:rsidR="00E56C47">
        <w:t xml:space="preserve"> ongoing monitoring of the safety profile of Zykadia</w:t>
      </w:r>
      <w:r w:rsidR="00554D4D">
        <w:t>.</w:t>
      </w:r>
    </w:p>
    <w:p w14:paraId="223C4647" w14:textId="4A550BD0" w:rsidR="00554D4D" w:rsidRPr="00D14F63" w:rsidRDefault="00BC66DD" w:rsidP="00554D4D">
      <w:pPr>
        <w:pStyle w:val="Heading3"/>
      </w:pPr>
      <w:bookmarkStart w:id="170" w:name="_Ref272160677"/>
      <w:bookmarkStart w:id="171" w:name="_Toc272414713"/>
      <w:bookmarkStart w:id="172" w:name="_Toc290846352"/>
      <w:bookmarkStart w:id="173" w:name="_Toc295131119"/>
      <w:bookmarkStart w:id="174" w:name="_Toc300495434"/>
      <w:bookmarkStart w:id="175" w:name="_Toc300495704"/>
      <w:bookmarkStart w:id="176" w:name="_Toc300498617"/>
      <w:bookmarkStart w:id="177" w:name="_Toc507501118"/>
      <w:r w:rsidRPr="00D14F63">
        <w:t>Second round recommendation regarding authorisation</w:t>
      </w:r>
      <w:bookmarkEnd w:id="170"/>
      <w:bookmarkEnd w:id="171"/>
      <w:bookmarkEnd w:id="172"/>
      <w:bookmarkEnd w:id="173"/>
      <w:bookmarkEnd w:id="174"/>
      <w:bookmarkEnd w:id="175"/>
      <w:bookmarkEnd w:id="176"/>
      <w:bookmarkEnd w:id="177"/>
    </w:p>
    <w:p w14:paraId="7D60DD51" w14:textId="77777777" w:rsidR="00554D4D" w:rsidRDefault="00554D4D" w:rsidP="00554D4D">
      <w:r>
        <w:t xml:space="preserve">Based on the clinical data originally submitted, as well as the responses to the Clinical questions, the evaluator recommends that the application for Zykadia be approved. </w:t>
      </w:r>
    </w:p>
    <w:p w14:paraId="0817703A" w14:textId="5C3B5150" w:rsidR="008E7846" w:rsidRPr="00E41208" w:rsidRDefault="008E7846" w:rsidP="00546154">
      <w:pPr>
        <w:pStyle w:val="Heading2"/>
      </w:pPr>
      <w:bookmarkStart w:id="178" w:name="_Toc507501119"/>
      <w:r w:rsidRPr="00E41208">
        <w:t>V</w:t>
      </w:r>
      <w:r w:rsidR="002B0DA6">
        <w:t>I</w:t>
      </w:r>
      <w:r w:rsidRPr="00E41208">
        <w:t xml:space="preserve">. Pharmacovigilance </w:t>
      </w:r>
      <w:r>
        <w:t>f</w:t>
      </w:r>
      <w:r w:rsidRPr="00E41208">
        <w:t>indings</w:t>
      </w:r>
      <w:bookmarkEnd w:id="100"/>
      <w:bookmarkEnd w:id="101"/>
      <w:bookmarkEnd w:id="178"/>
    </w:p>
    <w:p w14:paraId="06392808" w14:textId="77777777" w:rsidR="008E7846" w:rsidRDefault="00386150" w:rsidP="008E7846">
      <w:pPr>
        <w:pStyle w:val="Heading3"/>
        <w:rPr>
          <w:lang w:eastAsia="en-AU"/>
        </w:rPr>
      </w:pPr>
      <w:bookmarkStart w:id="179" w:name="_Toc247691526"/>
      <w:bookmarkStart w:id="180" w:name="_Toc314842509"/>
      <w:bookmarkStart w:id="181" w:name="_Toc507501120"/>
      <w:r>
        <w:rPr>
          <w:lang w:eastAsia="en-AU"/>
        </w:rPr>
        <w:t>Risk m</w:t>
      </w:r>
      <w:r w:rsidR="008E7846">
        <w:rPr>
          <w:lang w:eastAsia="en-AU"/>
        </w:rPr>
        <w:t xml:space="preserve">anagement </w:t>
      </w:r>
      <w:r>
        <w:rPr>
          <w:lang w:eastAsia="en-AU"/>
        </w:rPr>
        <w:t>p</w:t>
      </w:r>
      <w:r w:rsidR="008E7846">
        <w:rPr>
          <w:lang w:eastAsia="en-AU"/>
        </w:rPr>
        <w:t>lan</w:t>
      </w:r>
      <w:bookmarkEnd w:id="179"/>
      <w:bookmarkEnd w:id="180"/>
      <w:bookmarkEnd w:id="181"/>
    </w:p>
    <w:p w14:paraId="59C16EE8" w14:textId="77777777" w:rsidR="008E7846" w:rsidRPr="00F95E3B" w:rsidRDefault="008E7846" w:rsidP="008E7846">
      <w:r>
        <w:rPr>
          <w:lang w:eastAsia="en-AU"/>
        </w:rPr>
        <w:t xml:space="preserve">The sponsor submitted a Risk </w:t>
      </w:r>
      <w:r w:rsidRPr="00F95E3B">
        <w:t>Management Plan</w:t>
      </w:r>
      <w:r w:rsidR="006F25B8" w:rsidRPr="00F95E3B">
        <w:t xml:space="preserve"> (</w:t>
      </w:r>
      <w:r w:rsidR="00F95E3B" w:rsidRPr="00F95E3B">
        <w:rPr>
          <w:lang w:eastAsia="en-AU"/>
        </w:rPr>
        <w:t>EU-RMP (Version: 2.4, dated 27 February 2015) with an Australian Specific Annex (ASA) Version: 1.0, dated 31 March 2015</w:t>
      </w:r>
      <w:r w:rsidR="006F25B8" w:rsidRPr="00F95E3B">
        <w:t>)</w:t>
      </w:r>
      <w:r w:rsidRPr="00F95E3B">
        <w:t xml:space="preserve"> which was reviewed by the </w:t>
      </w:r>
      <w:r w:rsidR="00FC1FCA" w:rsidRPr="00F95E3B">
        <w:t>RMP evaluator.</w:t>
      </w:r>
    </w:p>
    <w:p w14:paraId="6CC8965E" w14:textId="77777777" w:rsidR="008E7846" w:rsidRDefault="003A7F6C" w:rsidP="008E7846">
      <w:pPr>
        <w:pStyle w:val="Heading4"/>
        <w:rPr>
          <w:lang w:eastAsia="en-AU"/>
        </w:rPr>
      </w:pPr>
      <w:r>
        <w:rPr>
          <w:lang w:eastAsia="en-AU"/>
        </w:rPr>
        <w:t>Safety s</w:t>
      </w:r>
      <w:r w:rsidR="008E7846">
        <w:rPr>
          <w:lang w:eastAsia="en-AU"/>
        </w:rPr>
        <w:t>pecification</w:t>
      </w:r>
    </w:p>
    <w:p w14:paraId="663D770D" w14:textId="77777777" w:rsidR="008E7846" w:rsidRDefault="008E7846" w:rsidP="008E784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on</w:t>
      </w:r>
      <w:r w:rsidR="00BC66DD">
        <w:rPr>
          <w:lang w:eastAsia="en-AU"/>
        </w:rPr>
        <w:t>cerns which are shown at Table 7</w:t>
      </w:r>
      <w:r>
        <w:rPr>
          <w:lang w:eastAsia="en-AU"/>
        </w:rPr>
        <w:t>.</w:t>
      </w:r>
    </w:p>
    <w:p w14:paraId="5F0D24EF" w14:textId="77777777" w:rsidR="00BC66DD" w:rsidRDefault="00BC66DD" w:rsidP="00BC66DD">
      <w:pPr>
        <w:pStyle w:val="TableTitle"/>
        <w:rPr>
          <w:lang w:eastAsia="en-AU"/>
        </w:rPr>
      </w:pPr>
      <w:r>
        <w:rPr>
          <w:lang w:eastAsia="en-AU"/>
        </w:rPr>
        <w:lastRenderedPageBreak/>
        <w:t>Table 7: Sponsor’s summary of ongoing safety concerns</w:t>
      </w:r>
    </w:p>
    <w:p w14:paraId="164EBE4B" w14:textId="77777777" w:rsidR="00BC66DD" w:rsidRDefault="00F95E3B" w:rsidP="00BC66DD">
      <w:pPr>
        <w:rPr>
          <w:lang w:eastAsia="en-AU"/>
        </w:rPr>
      </w:pPr>
      <w:r>
        <w:rPr>
          <w:noProof/>
          <w:lang w:eastAsia="en-AU"/>
        </w:rPr>
        <w:drawing>
          <wp:inline distT="0" distB="0" distL="0" distR="0" wp14:anchorId="2C86810F" wp14:editId="3B4C4365">
            <wp:extent cx="4660711" cy="2859206"/>
            <wp:effectExtent l="0" t="0" r="6985" b="0"/>
            <wp:docPr id="5" name="Picture 5" descr="Image of table 7 showing the Sponsor’s summary of ongoing safety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2065" b="1781"/>
                    <a:stretch/>
                  </pic:blipFill>
                  <pic:spPr bwMode="auto">
                    <a:xfrm>
                      <a:off x="0" y="0"/>
                      <a:ext cx="4665352" cy="2862053"/>
                    </a:xfrm>
                    <a:prstGeom prst="rect">
                      <a:avLst/>
                    </a:prstGeom>
                    <a:ln>
                      <a:noFill/>
                    </a:ln>
                    <a:extLst>
                      <a:ext uri="{53640926-AAD7-44D8-BBD7-CCE9431645EC}">
                        <a14:shadowObscured xmlns:a14="http://schemas.microsoft.com/office/drawing/2010/main"/>
                      </a:ext>
                    </a:extLst>
                  </pic:spPr>
                </pic:pic>
              </a:graphicData>
            </a:graphic>
          </wp:inline>
        </w:drawing>
      </w:r>
    </w:p>
    <w:p w14:paraId="65E6F213" w14:textId="77777777" w:rsidR="008E7846" w:rsidRDefault="008E7846" w:rsidP="00BC66DD">
      <w:pPr>
        <w:pStyle w:val="Heading4"/>
        <w:rPr>
          <w:lang w:eastAsia="en-AU"/>
        </w:rPr>
      </w:pPr>
      <w:r>
        <w:rPr>
          <w:lang w:eastAsia="en-AU"/>
        </w:rPr>
        <w:t xml:space="preserve">Pharmacovigilance </w:t>
      </w:r>
      <w:r w:rsidR="003A7F6C">
        <w:rPr>
          <w:lang w:eastAsia="en-AU"/>
        </w:rPr>
        <w:t>p</w:t>
      </w:r>
      <w:r>
        <w:rPr>
          <w:lang w:eastAsia="en-AU"/>
        </w:rPr>
        <w:t>lan</w:t>
      </w:r>
    </w:p>
    <w:p w14:paraId="67E1B0E5" w14:textId="77777777" w:rsidR="00F95E3B" w:rsidRDefault="00F95E3B" w:rsidP="00BC66DD">
      <w:pPr>
        <w:rPr>
          <w:lang w:eastAsia="en-AU"/>
        </w:rPr>
      </w:pPr>
      <w:r w:rsidRPr="00F95E3B">
        <w:rPr>
          <w:lang w:eastAsia="en-AU"/>
        </w:rPr>
        <w:t>The sponsor proposes routine pharmacovigilance activities to monitor all the specified safety concerns and missing information.</w:t>
      </w:r>
      <w:r w:rsidR="000E3918">
        <w:rPr>
          <w:lang w:eastAsia="en-AU"/>
        </w:rPr>
        <w:t xml:space="preserve"> </w:t>
      </w:r>
      <w:r w:rsidRPr="00F95E3B">
        <w:rPr>
          <w:lang w:eastAsia="en-AU"/>
        </w:rPr>
        <w:t xml:space="preserve">Additional pharmacovigilance activities, in the form of ongoing Phase I clinical trials are proposed to further characterise the missing information: ‘Patients with hepatic impairment’, ‘Concomitant use of ceritinib and CYP3A, CYP2C9, CYP2A6, or CYP2E1 substrates; ceritinib and drugs that may prolong the QT interval’ </w:t>
      </w:r>
      <w:r w:rsidR="00BC66DD">
        <w:rPr>
          <w:lang w:eastAsia="en-AU"/>
        </w:rPr>
        <w:t>and</w:t>
      </w:r>
      <w:r w:rsidRPr="00F95E3B">
        <w:rPr>
          <w:lang w:eastAsia="en-AU"/>
        </w:rPr>
        <w:t xml:space="preserve"> ‘Concomitant use of ceritinib and gastric aci</w:t>
      </w:r>
      <w:r w:rsidR="00BC66DD">
        <w:rPr>
          <w:lang w:eastAsia="en-AU"/>
        </w:rPr>
        <w:t>d reducing agents such as PPIs’.</w:t>
      </w:r>
    </w:p>
    <w:p w14:paraId="584C33E8" w14:textId="77777777" w:rsidR="008E7846" w:rsidRPr="00BC66DD" w:rsidRDefault="008E7846" w:rsidP="00BC66DD">
      <w:pPr>
        <w:pStyle w:val="Heading4"/>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14:paraId="7E7028A3" w14:textId="77777777" w:rsidR="00F95E3B" w:rsidRDefault="00F95E3B" w:rsidP="00BC66DD">
      <w:pPr>
        <w:rPr>
          <w:lang w:eastAsia="en-AU"/>
        </w:rPr>
      </w:pPr>
      <w:bookmarkStart w:id="182" w:name="_Toc247691527"/>
      <w:r w:rsidRPr="00F95E3B">
        <w:rPr>
          <w:lang w:eastAsia="en-AU"/>
        </w:rPr>
        <w:t xml:space="preserve">The sponsor concludes that routine risk minimisation activities for all the specified safety concerns and missing information are sufficient, except for the important potential risk: ‘Neuropathy’ and the missing information: ‘Patients with severe cardiac impairment’, ‘Long-term safety’ </w:t>
      </w:r>
      <w:r w:rsidR="00F56FEC">
        <w:rPr>
          <w:lang w:eastAsia="en-AU"/>
        </w:rPr>
        <w:t>and</w:t>
      </w:r>
      <w:r w:rsidRPr="00F95E3B">
        <w:rPr>
          <w:lang w:eastAsia="en-AU"/>
        </w:rPr>
        <w:t xml:space="preserve"> ‘Concomitant use of ceritinib and gastric acid reducing agents such as PPIs’ for which no risk minim</w:t>
      </w:r>
      <w:r w:rsidR="00F56FEC">
        <w:rPr>
          <w:lang w:eastAsia="en-AU"/>
        </w:rPr>
        <w:t>isation activities are proposed</w:t>
      </w:r>
      <w:r w:rsidRPr="00F95E3B">
        <w:rPr>
          <w:lang w:eastAsia="en-AU"/>
        </w:rPr>
        <w:t xml:space="preserve">. </w:t>
      </w:r>
    </w:p>
    <w:p w14:paraId="2FD401DB" w14:textId="77777777" w:rsidR="006F25B8" w:rsidRDefault="006F25B8" w:rsidP="006F25B8">
      <w:pPr>
        <w:pStyle w:val="Heading4"/>
        <w:rPr>
          <w:lang w:eastAsia="en-AU"/>
        </w:rPr>
      </w:pPr>
      <w:r w:rsidRPr="006F25B8">
        <w:rPr>
          <w:lang w:eastAsia="en-AU"/>
        </w:rPr>
        <w:t xml:space="preserve">Reconciliation of issues outlined in the RMP report </w:t>
      </w:r>
    </w:p>
    <w:p w14:paraId="73580626" w14:textId="77777777" w:rsidR="006F25B8" w:rsidRDefault="006F25B8" w:rsidP="006F25B8">
      <w:pPr>
        <w:rPr>
          <w:lang w:eastAsia="en-AU"/>
        </w:rPr>
      </w:pPr>
      <w:r>
        <w:rPr>
          <w:lang w:eastAsia="en-AU"/>
        </w:rPr>
        <w:t xml:space="preserve">Table </w:t>
      </w:r>
      <w:r w:rsidR="00F56FEC">
        <w:rPr>
          <w:lang w:eastAsia="en-AU"/>
        </w:rPr>
        <w:t>8</w:t>
      </w:r>
      <w:r>
        <w:rPr>
          <w:lang w:eastAsia="en-AU"/>
        </w:rPr>
        <w:t xml:space="preserve"> summarises the first round evaluation of the RMP, the sponsor’s responses to issues raised by the </w:t>
      </w:r>
      <w:r w:rsidR="00F56FEC">
        <w:rPr>
          <w:lang w:eastAsia="en-AU"/>
        </w:rPr>
        <w:t>evaluator</w:t>
      </w:r>
      <w:r>
        <w:rPr>
          <w:lang w:eastAsia="en-AU"/>
        </w:rPr>
        <w:t xml:space="preserve"> and the evaluat</w:t>
      </w:r>
      <w:r w:rsidR="00F95E3B">
        <w:rPr>
          <w:lang w:eastAsia="en-AU"/>
        </w:rPr>
        <w:t>ion of the sponsor’s responses.</w:t>
      </w:r>
    </w:p>
    <w:p w14:paraId="12F0C69C" w14:textId="77777777" w:rsidR="00F95E3B" w:rsidRPr="00C31998" w:rsidRDefault="00F56FEC" w:rsidP="00F56FEC">
      <w:pPr>
        <w:pStyle w:val="TableTitle"/>
      </w:pPr>
      <w:r>
        <w:t xml:space="preserve">Table 8: </w:t>
      </w:r>
      <w:r w:rsidR="00F95E3B" w:rsidRPr="00C31998">
        <w:t xml:space="preserve">Reconciliation of issues outlined in the RMP </w:t>
      </w:r>
      <w:r w:rsidR="00F95E3B">
        <w:t>Evaluation Report</w:t>
      </w:r>
    </w:p>
    <w:tbl>
      <w:tblPr>
        <w:tblStyle w:val="TableTGAblue"/>
        <w:tblW w:w="4758" w:type="pct"/>
        <w:tblLayout w:type="fixed"/>
        <w:tblLook w:val="04A0" w:firstRow="1" w:lastRow="0" w:firstColumn="1" w:lastColumn="0" w:noHBand="0" w:noVBand="1"/>
        <w:tblDescription w:val="Table 8: Reconciliation of issues outlined in the RMP Evaluation Report"/>
      </w:tblPr>
      <w:tblGrid>
        <w:gridCol w:w="3196"/>
        <w:gridCol w:w="251"/>
        <w:gridCol w:w="2342"/>
        <w:gridCol w:w="2509"/>
      </w:tblGrid>
      <w:tr w:rsidR="00F95E3B" w:rsidRPr="00F56FEC" w14:paraId="6B5ECC3D" w14:textId="77777777" w:rsidTr="00F56FEC">
        <w:trPr>
          <w:cnfStyle w:val="100000000000" w:firstRow="1" w:lastRow="0" w:firstColumn="0" w:lastColumn="0" w:oddVBand="0" w:evenVBand="0" w:oddHBand="0" w:evenHBand="0" w:firstRowFirstColumn="0" w:firstRowLastColumn="0" w:lastRowFirstColumn="0" w:lastRowLastColumn="0"/>
          <w:trHeight w:val="657"/>
        </w:trPr>
        <w:tc>
          <w:tcPr>
            <w:tcW w:w="1926" w:type="pct"/>
            <w:noWrap/>
          </w:tcPr>
          <w:p w14:paraId="3A000A3E" w14:textId="77777777" w:rsidR="00F95E3B" w:rsidRPr="00F56FEC" w:rsidRDefault="00F95E3B" w:rsidP="002343D4">
            <w:pPr>
              <w:spacing w:before="100" w:beforeAutospacing="1" w:after="100" w:afterAutospacing="1"/>
              <w:jc w:val="center"/>
              <w:rPr>
                <w:rFonts w:asciiTheme="minorHAnsi" w:hAnsiTheme="minorHAnsi"/>
                <w:sz w:val="20"/>
                <w:szCs w:val="20"/>
              </w:rPr>
            </w:pPr>
            <w:r w:rsidRPr="00F56FEC">
              <w:rPr>
                <w:rFonts w:asciiTheme="minorHAnsi" w:hAnsiTheme="minorHAnsi"/>
                <w:sz w:val="20"/>
                <w:szCs w:val="20"/>
              </w:rPr>
              <w:t>Recommendation in RMP evaluation report</w:t>
            </w:r>
          </w:p>
        </w:tc>
        <w:tc>
          <w:tcPr>
            <w:tcW w:w="1562" w:type="pct"/>
            <w:gridSpan w:val="2"/>
            <w:noWrap/>
          </w:tcPr>
          <w:p w14:paraId="2E95AF83" w14:textId="77777777" w:rsidR="00F95E3B" w:rsidRPr="00F56FEC" w:rsidRDefault="00F95E3B" w:rsidP="00F56FEC">
            <w:pPr>
              <w:spacing w:before="100" w:beforeAutospacing="1" w:after="100" w:afterAutospacing="1"/>
              <w:jc w:val="center"/>
              <w:rPr>
                <w:rFonts w:asciiTheme="minorHAnsi" w:hAnsiTheme="minorHAnsi"/>
                <w:sz w:val="20"/>
                <w:szCs w:val="20"/>
              </w:rPr>
            </w:pPr>
            <w:r w:rsidRPr="00F56FEC">
              <w:rPr>
                <w:rFonts w:asciiTheme="minorHAnsi" w:hAnsiTheme="minorHAnsi"/>
                <w:sz w:val="20"/>
                <w:szCs w:val="20"/>
              </w:rPr>
              <w:t>Sponsor’s response</w:t>
            </w:r>
          </w:p>
        </w:tc>
        <w:tc>
          <w:tcPr>
            <w:tcW w:w="1512" w:type="pct"/>
            <w:noWrap/>
          </w:tcPr>
          <w:p w14:paraId="3F7AF6E7" w14:textId="77777777" w:rsidR="00F95E3B" w:rsidRPr="00F56FEC" w:rsidRDefault="00F95E3B" w:rsidP="002343D4">
            <w:pPr>
              <w:spacing w:before="100" w:beforeAutospacing="1" w:after="100" w:afterAutospacing="1"/>
              <w:jc w:val="center"/>
              <w:rPr>
                <w:rFonts w:asciiTheme="minorHAnsi" w:hAnsiTheme="minorHAnsi"/>
                <w:sz w:val="20"/>
                <w:szCs w:val="20"/>
              </w:rPr>
            </w:pPr>
            <w:r w:rsidRPr="00F56FEC">
              <w:rPr>
                <w:rFonts w:asciiTheme="minorHAnsi" w:hAnsiTheme="minorHAnsi"/>
                <w:sz w:val="20"/>
                <w:szCs w:val="20"/>
              </w:rPr>
              <w:t>RMP evaluator’s comment</w:t>
            </w:r>
          </w:p>
        </w:tc>
      </w:tr>
      <w:tr w:rsidR="00F95E3B" w:rsidRPr="00F56FEC" w14:paraId="5E7D721B" w14:textId="77777777" w:rsidTr="00F56FEC">
        <w:trPr>
          <w:trHeight w:val="1250"/>
        </w:trPr>
        <w:tc>
          <w:tcPr>
            <w:tcW w:w="2077" w:type="pct"/>
            <w:gridSpan w:val="2"/>
            <w:noWrap/>
          </w:tcPr>
          <w:p w14:paraId="2ECE3593" w14:textId="77777777" w:rsidR="00F95E3B" w:rsidRPr="00EE3F1D" w:rsidRDefault="00F95E3B" w:rsidP="00F56FEC">
            <w:pPr>
              <w:pStyle w:val="ListParagraph"/>
              <w:numPr>
                <w:ilvl w:val="0"/>
                <w:numId w:val="37"/>
              </w:numPr>
              <w:rPr>
                <w:rFonts w:asciiTheme="minorHAnsi" w:hAnsiTheme="minorHAnsi"/>
                <w:sz w:val="22"/>
                <w:szCs w:val="22"/>
              </w:rPr>
            </w:pPr>
            <w:r w:rsidRPr="00EE3F1D">
              <w:rPr>
                <w:rFonts w:asciiTheme="minorHAnsi" w:hAnsiTheme="minorHAnsi"/>
                <w:color w:val="000000"/>
                <w:sz w:val="22"/>
                <w:szCs w:val="22"/>
              </w:rPr>
              <w:t>Safety considerations may be raised by the nonclinical and clinical evaluators through the consolidated section request and/or the Nonclinical and Clinical Evaluation Reports respectively.</w:t>
            </w:r>
            <w:r w:rsidR="000E3918" w:rsidRPr="00EE3F1D">
              <w:rPr>
                <w:rFonts w:asciiTheme="minorHAnsi" w:hAnsiTheme="minorHAnsi"/>
                <w:color w:val="000000"/>
                <w:sz w:val="22"/>
                <w:szCs w:val="22"/>
              </w:rPr>
              <w:t xml:space="preserve"> </w:t>
            </w:r>
            <w:r w:rsidRPr="00EE3F1D">
              <w:rPr>
                <w:rFonts w:asciiTheme="minorHAnsi" w:hAnsiTheme="minorHAnsi"/>
                <w:color w:val="000000"/>
                <w:sz w:val="22"/>
                <w:szCs w:val="22"/>
              </w:rPr>
              <w:t xml:space="preserve">It is important to ensure that </w:t>
            </w:r>
            <w:r w:rsidRPr="00EE3F1D">
              <w:rPr>
                <w:rFonts w:asciiTheme="minorHAnsi" w:hAnsiTheme="minorHAnsi"/>
                <w:color w:val="000000"/>
                <w:sz w:val="22"/>
                <w:szCs w:val="22"/>
              </w:rPr>
              <w:lastRenderedPageBreak/>
              <w:t>the information provided in response to these include</w:t>
            </w:r>
            <w:r w:rsidR="00F56FEC" w:rsidRPr="00EE3F1D">
              <w:rPr>
                <w:rFonts w:asciiTheme="minorHAnsi" w:hAnsiTheme="minorHAnsi"/>
                <w:color w:val="000000"/>
                <w:sz w:val="22"/>
                <w:szCs w:val="22"/>
              </w:rPr>
              <w:t>s</w:t>
            </w:r>
            <w:r w:rsidRPr="00EE3F1D">
              <w:rPr>
                <w:rFonts w:asciiTheme="minorHAnsi" w:hAnsiTheme="minorHAnsi"/>
                <w:color w:val="000000"/>
                <w:sz w:val="22"/>
                <w:szCs w:val="22"/>
              </w:rPr>
              <w:t xml:space="preserve"> a consideration of the relevance for the Risk Management Plan and any specific information needed to address this issue in the RMP.</w:t>
            </w:r>
            <w:r w:rsidR="000E3918" w:rsidRPr="00EE3F1D">
              <w:rPr>
                <w:rFonts w:asciiTheme="minorHAnsi" w:hAnsiTheme="minorHAnsi"/>
                <w:sz w:val="22"/>
                <w:szCs w:val="22"/>
              </w:rPr>
              <w:t xml:space="preserve"> </w:t>
            </w:r>
            <w:r w:rsidRPr="00EE3F1D">
              <w:rPr>
                <w:rFonts w:asciiTheme="minorHAnsi" w:hAnsiTheme="minorHAnsi"/>
                <w:bCs/>
                <w:color w:val="000000"/>
                <w:sz w:val="22"/>
                <w:szCs w:val="22"/>
              </w:rPr>
              <w:t xml:space="preserve">For any safety considerations so raised, </w:t>
            </w:r>
            <w:r w:rsidRPr="00EE3F1D">
              <w:rPr>
                <w:rFonts w:asciiTheme="minorHAnsi" w:hAnsiTheme="minorHAnsi"/>
                <w:sz w:val="22"/>
                <w:szCs w:val="22"/>
              </w:rPr>
              <w:t>the sponsor should</w:t>
            </w:r>
            <w:r w:rsidRPr="00EE3F1D">
              <w:rPr>
                <w:rFonts w:asciiTheme="minorHAnsi" w:hAnsiTheme="minorHAnsi"/>
                <w:bCs/>
                <w:color w:val="000000"/>
                <w:sz w:val="22"/>
                <w:szCs w:val="22"/>
              </w:rPr>
              <w:t xml:space="preserve"> provide information that is relevant and necessary to address the issue in the RMP.</w:t>
            </w:r>
          </w:p>
        </w:tc>
        <w:tc>
          <w:tcPr>
            <w:tcW w:w="1411" w:type="pct"/>
            <w:noWrap/>
          </w:tcPr>
          <w:p w14:paraId="37EA1428" w14:textId="77777777" w:rsidR="00F95E3B" w:rsidRPr="00EE3F1D" w:rsidRDefault="00F95E3B" w:rsidP="00F56FEC">
            <w:pPr>
              <w:autoSpaceDE w:val="0"/>
              <w:autoSpaceDN w:val="0"/>
              <w:adjustRightInd w:val="0"/>
              <w:rPr>
                <w:rFonts w:asciiTheme="minorHAnsi" w:eastAsia="TimesNewRoman" w:hAnsiTheme="minorHAnsi" w:cs="TimesNewRoman"/>
                <w:szCs w:val="22"/>
              </w:rPr>
            </w:pPr>
            <w:r w:rsidRPr="00EE3F1D">
              <w:rPr>
                <w:rFonts w:asciiTheme="minorHAnsi" w:hAnsiTheme="minorHAnsi"/>
                <w:szCs w:val="22"/>
              </w:rPr>
              <w:lastRenderedPageBreak/>
              <w:t xml:space="preserve">The sponsor states: </w:t>
            </w:r>
            <w:r w:rsidR="0089512A" w:rsidRPr="00EE3F1D">
              <w:rPr>
                <w:rFonts w:asciiTheme="minorHAnsi" w:hAnsiTheme="minorHAnsi"/>
                <w:i/>
                <w:szCs w:val="22"/>
              </w:rPr>
              <w:t>‘</w:t>
            </w:r>
            <w:r w:rsidRPr="00EE3F1D">
              <w:rPr>
                <w:i/>
                <w:szCs w:val="22"/>
              </w:rPr>
              <w:t>At this time no specific issues have been raised by the Clinical Evaluator regarding the EU RMP submitted and the Non</w:t>
            </w:r>
            <w:r w:rsidR="00F56FEC" w:rsidRPr="00EE3F1D">
              <w:rPr>
                <w:i/>
                <w:szCs w:val="22"/>
              </w:rPr>
              <w:t>c</w:t>
            </w:r>
            <w:r w:rsidRPr="00EE3F1D">
              <w:rPr>
                <w:i/>
                <w:szCs w:val="22"/>
              </w:rPr>
              <w:t xml:space="preserve">linical </w:t>
            </w:r>
            <w:r w:rsidRPr="00EE3F1D">
              <w:rPr>
                <w:i/>
                <w:szCs w:val="22"/>
              </w:rPr>
              <w:lastRenderedPageBreak/>
              <w:t xml:space="preserve">Evaluation Report </w:t>
            </w:r>
            <w:r w:rsidR="00F56FEC" w:rsidRPr="00EE3F1D">
              <w:rPr>
                <w:i/>
                <w:szCs w:val="22"/>
              </w:rPr>
              <w:t>first r</w:t>
            </w:r>
            <w:r w:rsidRPr="00EE3F1D">
              <w:rPr>
                <w:i/>
                <w:szCs w:val="22"/>
              </w:rPr>
              <w:t>ound</w:t>
            </w:r>
            <w:r w:rsidR="00326B43" w:rsidRPr="00EE3F1D">
              <w:rPr>
                <w:i/>
                <w:szCs w:val="22"/>
              </w:rPr>
              <w:t xml:space="preserve"> </w:t>
            </w:r>
            <w:r w:rsidRPr="00EE3F1D">
              <w:rPr>
                <w:i/>
                <w:szCs w:val="22"/>
              </w:rPr>
              <w:t>is not available at this time</w:t>
            </w:r>
            <w:r w:rsidR="0089512A" w:rsidRPr="00EE3F1D">
              <w:rPr>
                <w:i/>
                <w:szCs w:val="22"/>
              </w:rPr>
              <w:t>’</w:t>
            </w:r>
            <w:r w:rsidRPr="00EE3F1D">
              <w:rPr>
                <w:i/>
                <w:szCs w:val="22"/>
              </w:rPr>
              <w:t>.</w:t>
            </w:r>
            <w:r w:rsidR="000E3918" w:rsidRPr="00EE3F1D">
              <w:rPr>
                <w:i/>
                <w:szCs w:val="22"/>
              </w:rPr>
              <w:t xml:space="preserve"> </w:t>
            </w:r>
          </w:p>
        </w:tc>
        <w:tc>
          <w:tcPr>
            <w:tcW w:w="1512" w:type="pct"/>
            <w:noWrap/>
          </w:tcPr>
          <w:p w14:paraId="2A140E83" w14:textId="77777777" w:rsidR="00F95E3B" w:rsidRPr="00EE3F1D" w:rsidRDefault="00F95E3B" w:rsidP="00F56FEC">
            <w:pPr>
              <w:spacing w:before="100" w:beforeAutospacing="1" w:after="100" w:afterAutospacing="1"/>
              <w:rPr>
                <w:rFonts w:asciiTheme="minorHAnsi" w:hAnsiTheme="minorHAnsi"/>
                <w:szCs w:val="22"/>
              </w:rPr>
            </w:pPr>
            <w:r w:rsidRPr="00EE3F1D">
              <w:rPr>
                <w:szCs w:val="22"/>
              </w:rPr>
              <w:lastRenderedPageBreak/>
              <w:t xml:space="preserve">The </w:t>
            </w:r>
            <w:r w:rsidR="00F56FEC" w:rsidRPr="00EE3F1D">
              <w:rPr>
                <w:szCs w:val="22"/>
              </w:rPr>
              <w:t>nonclinical report</w:t>
            </w:r>
            <w:r w:rsidRPr="00EE3F1D">
              <w:rPr>
                <w:szCs w:val="22"/>
              </w:rPr>
              <w:t xml:space="preserve"> have now become available and the sponsor should now adequately address any outstanding issues (see Section 2: ‘</w:t>
            </w:r>
            <w:r w:rsidRPr="00EE3F1D">
              <w:rPr>
                <w:rFonts w:asciiTheme="minorHAnsi" w:hAnsiTheme="minorHAnsi"/>
                <w:szCs w:val="22"/>
              </w:rPr>
              <w:t xml:space="preserve">Comments on the safety specification </w:t>
            </w:r>
            <w:r w:rsidRPr="00EE3F1D">
              <w:rPr>
                <w:rFonts w:asciiTheme="minorHAnsi" w:hAnsiTheme="minorHAnsi"/>
                <w:szCs w:val="22"/>
              </w:rPr>
              <w:lastRenderedPageBreak/>
              <w:t>of the RMP’</w:t>
            </w:r>
            <w:r w:rsidRPr="00EE3F1D">
              <w:rPr>
                <w:szCs w:val="22"/>
              </w:rPr>
              <w:t>),</w:t>
            </w:r>
            <w:r w:rsidRPr="00EE3F1D">
              <w:rPr>
                <w:rFonts w:asciiTheme="minorHAnsi" w:eastAsiaTheme="minorHAnsi" w:hAnsiTheme="minorHAnsi" w:cs="Arial"/>
                <w:szCs w:val="22"/>
              </w:rPr>
              <w:t xml:space="preserve"> preferably </w:t>
            </w:r>
            <w:r w:rsidRPr="00EE3F1D">
              <w:rPr>
                <w:rFonts w:asciiTheme="minorHAnsi" w:hAnsiTheme="minorHAnsi"/>
                <w:szCs w:val="22"/>
              </w:rPr>
              <w:t xml:space="preserve">before </w:t>
            </w:r>
            <w:r w:rsidRPr="00EE3F1D">
              <w:rPr>
                <w:rFonts w:asciiTheme="minorHAnsi" w:hAnsiTheme="minorHAnsi"/>
                <w:color w:val="000000"/>
                <w:szCs w:val="22"/>
              </w:rPr>
              <w:t>this application is approved.</w:t>
            </w:r>
          </w:p>
        </w:tc>
      </w:tr>
      <w:tr w:rsidR="00F95E3B" w:rsidRPr="00F56FEC" w14:paraId="2C7BA344" w14:textId="77777777" w:rsidTr="00F56FEC">
        <w:trPr>
          <w:trHeight w:val="1084"/>
        </w:trPr>
        <w:tc>
          <w:tcPr>
            <w:tcW w:w="2077" w:type="pct"/>
            <w:gridSpan w:val="2"/>
            <w:noWrap/>
          </w:tcPr>
          <w:p w14:paraId="0D8F70B2" w14:textId="77777777" w:rsidR="00F95E3B" w:rsidRPr="00EE3F1D" w:rsidRDefault="00F95E3B" w:rsidP="00F56FEC">
            <w:pPr>
              <w:pStyle w:val="ListParagraph"/>
              <w:numPr>
                <w:ilvl w:val="0"/>
                <w:numId w:val="37"/>
              </w:numPr>
              <w:rPr>
                <w:rFonts w:asciiTheme="minorHAnsi" w:hAnsiTheme="minorHAnsi"/>
                <w:sz w:val="22"/>
                <w:szCs w:val="22"/>
              </w:rPr>
            </w:pPr>
            <w:r w:rsidRPr="00EE3F1D">
              <w:rPr>
                <w:rFonts w:asciiTheme="minorHAnsi" w:hAnsiTheme="minorHAnsi"/>
                <w:sz w:val="22"/>
                <w:szCs w:val="22"/>
              </w:rPr>
              <w:lastRenderedPageBreak/>
              <w:t xml:space="preserve">Consistent with the US FDA </w:t>
            </w:r>
            <w:r w:rsidRPr="00EE3F1D">
              <w:rPr>
                <w:rFonts w:asciiTheme="minorHAnsi" w:eastAsiaTheme="minorHAnsi" w:hAnsiTheme="minorHAnsi"/>
                <w:color w:val="000000"/>
                <w:sz w:val="22"/>
                <w:szCs w:val="22"/>
              </w:rPr>
              <w:t>‘Postmarketing Requirements’, t</w:t>
            </w:r>
            <w:r w:rsidRPr="00EE3F1D">
              <w:rPr>
                <w:rFonts w:asciiTheme="minorHAnsi" w:hAnsiTheme="minorHAnsi"/>
                <w:sz w:val="22"/>
                <w:szCs w:val="22"/>
              </w:rPr>
              <w:t>he important potential risk: ‘Toxicity from drug over-exposure when taken with food’ should be included as a new safety concern.</w:t>
            </w:r>
            <w:r w:rsidR="000E3918" w:rsidRPr="00EE3F1D">
              <w:rPr>
                <w:rFonts w:asciiTheme="minorHAnsi" w:hAnsiTheme="minorHAnsi"/>
                <w:sz w:val="22"/>
                <w:szCs w:val="22"/>
              </w:rPr>
              <w:t xml:space="preserve"> </w:t>
            </w:r>
            <w:r w:rsidRPr="00EE3F1D">
              <w:rPr>
                <w:rFonts w:asciiTheme="minorHAnsi" w:hAnsiTheme="minorHAnsi"/>
                <w:iCs/>
                <w:sz w:val="22"/>
                <w:szCs w:val="22"/>
              </w:rPr>
              <w:t xml:space="preserve">Consideration must be given as to what </w:t>
            </w:r>
            <w:r w:rsidRPr="00EE3F1D">
              <w:rPr>
                <w:rFonts w:asciiTheme="minorHAnsi" w:hAnsiTheme="minorHAnsi"/>
                <w:kern w:val="0"/>
                <w:sz w:val="22"/>
                <w:szCs w:val="22"/>
              </w:rPr>
              <w:t xml:space="preserve">pharmacovigilance and risk minimisation activities will be proposed for </w:t>
            </w:r>
            <w:r w:rsidRPr="00EE3F1D">
              <w:rPr>
                <w:rFonts w:asciiTheme="minorHAnsi" w:hAnsiTheme="minorHAnsi"/>
                <w:sz w:val="22"/>
                <w:szCs w:val="22"/>
              </w:rPr>
              <w:t>this new safety concern</w:t>
            </w:r>
            <w:r w:rsidRPr="00EE3F1D">
              <w:rPr>
                <w:rFonts w:asciiTheme="minorHAnsi" w:hAnsiTheme="minorHAnsi"/>
                <w:kern w:val="0"/>
                <w:sz w:val="22"/>
                <w:szCs w:val="22"/>
              </w:rPr>
              <w:t xml:space="preserve"> and only the ASA need be revised accordingly.</w:t>
            </w:r>
          </w:p>
        </w:tc>
        <w:tc>
          <w:tcPr>
            <w:tcW w:w="1411" w:type="pct"/>
            <w:noWrap/>
          </w:tcPr>
          <w:p w14:paraId="52E30BF1" w14:textId="77777777" w:rsidR="00F95E3B" w:rsidRPr="00EE3F1D" w:rsidRDefault="00F95E3B" w:rsidP="002343D4">
            <w:pPr>
              <w:autoSpaceDE w:val="0"/>
              <w:autoSpaceDN w:val="0"/>
              <w:adjustRightInd w:val="0"/>
              <w:rPr>
                <w:rFonts w:asciiTheme="minorHAnsi" w:hAnsiTheme="minorHAnsi" w:cs="Calibri"/>
                <w:szCs w:val="22"/>
              </w:rPr>
            </w:pPr>
            <w:r w:rsidRPr="00EE3F1D">
              <w:rPr>
                <w:rFonts w:asciiTheme="minorHAnsi" w:hAnsiTheme="minorHAnsi"/>
                <w:szCs w:val="22"/>
              </w:rPr>
              <w:t xml:space="preserve">The sponsor has provided justification and concluded: </w:t>
            </w:r>
            <w:r w:rsidR="0089512A" w:rsidRPr="00EE3F1D">
              <w:rPr>
                <w:rFonts w:asciiTheme="minorHAnsi" w:hAnsiTheme="minorHAnsi"/>
                <w:i/>
                <w:szCs w:val="22"/>
              </w:rPr>
              <w:t>‘</w:t>
            </w:r>
            <w:r w:rsidRPr="00EE3F1D">
              <w:rPr>
                <w:rFonts w:asciiTheme="minorHAnsi" w:hAnsiTheme="minorHAnsi"/>
                <w:i/>
                <w:szCs w:val="22"/>
              </w:rPr>
              <w:t>modeling demonstrates that even if a patient took ceritinib at 750 mg daily with food, the expected increased exposure would not result in a QT prolongation beyond 21.6 ms, indicating a low risk of increased toxicity driven by increased systemic exposure caused by food intake. Therefore, the applicant does not consider that that ‘Toxicity from drug over</w:t>
            </w:r>
            <w:r w:rsidRPr="00EE3F1D">
              <w:rPr>
                <w:rFonts w:asciiTheme="minorHAnsi" w:hAnsiTheme="minorHAnsi" w:cs="Cambria Math"/>
                <w:i/>
                <w:szCs w:val="22"/>
              </w:rPr>
              <w:t>‐</w:t>
            </w:r>
            <w:r w:rsidRPr="00EE3F1D">
              <w:rPr>
                <w:rFonts w:asciiTheme="minorHAnsi" w:hAnsiTheme="minorHAnsi"/>
                <w:i/>
                <w:szCs w:val="22"/>
              </w:rPr>
              <w:t>exposure when taken with food’ should be included as a new safety concern</w:t>
            </w:r>
            <w:r w:rsidR="0089512A" w:rsidRPr="00EE3F1D">
              <w:rPr>
                <w:rFonts w:asciiTheme="minorHAnsi" w:hAnsiTheme="minorHAnsi"/>
                <w:i/>
                <w:szCs w:val="22"/>
              </w:rPr>
              <w:t>’</w:t>
            </w:r>
            <w:r w:rsidRPr="00EE3F1D">
              <w:rPr>
                <w:rFonts w:asciiTheme="minorHAnsi" w:hAnsiTheme="minorHAnsi"/>
                <w:i/>
                <w:szCs w:val="22"/>
              </w:rPr>
              <w:t>.</w:t>
            </w:r>
            <w:r w:rsidRPr="00EE3F1D">
              <w:rPr>
                <w:rFonts w:asciiTheme="minorHAnsi" w:hAnsiTheme="minorHAnsi"/>
                <w:szCs w:val="22"/>
              </w:rPr>
              <w:t xml:space="preserve"> </w:t>
            </w:r>
          </w:p>
        </w:tc>
        <w:tc>
          <w:tcPr>
            <w:tcW w:w="1512" w:type="pct"/>
            <w:noWrap/>
          </w:tcPr>
          <w:p w14:paraId="6B4E0DFD" w14:textId="77777777" w:rsidR="00F95E3B" w:rsidRPr="00F56FEC" w:rsidRDefault="00F95E3B" w:rsidP="002343D4">
            <w:pPr>
              <w:spacing w:before="100" w:beforeAutospacing="1" w:after="100" w:afterAutospacing="1"/>
              <w:rPr>
                <w:rFonts w:asciiTheme="minorHAnsi" w:hAnsiTheme="minorHAnsi"/>
                <w:sz w:val="20"/>
                <w:szCs w:val="20"/>
              </w:rPr>
            </w:pPr>
            <w:r w:rsidRPr="00F56FEC">
              <w:rPr>
                <w:rFonts w:asciiTheme="minorHAnsi" w:hAnsiTheme="minorHAnsi" w:cs="TimesNewRoman"/>
                <w:sz w:val="20"/>
                <w:szCs w:val="20"/>
              </w:rPr>
              <w:t>This is acceptable</w:t>
            </w:r>
            <w:r w:rsidRPr="00F56FEC">
              <w:rPr>
                <w:rFonts w:asciiTheme="minorHAnsi" w:eastAsia="TimesNewRoman" w:hAnsiTheme="minorHAnsi"/>
                <w:sz w:val="20"/>
                <w:szCs w:val="20"/>
              </w:rPr>
              <w:t>.</w:t>
            </w:r>
          </w:p>
        </w:tc>
      </w:tr>
      <w:tr w:rsidR="00F95E3B" w:rsidRPr="00F56FEC" w14:paraId="6A932350" w14:textId="77777777" w:rsidTr="00F56FEC">
        <w:trPr>
          <w:trHeight w:val="1153"/>
        </w:trPr>
        <w:tc>
          <w:tcPr>
            <w:tcW w:w="2077" w:type="pct"/>
            <w:gridSpan w:val="2"/>
            <w:noWrap/>
          </w:tcPr>
          <w:p w14:paraId="1E332107" w14:textId="77777777" w:rsidR="00F95E3B" w:rsidRPr="00EE3F1D" w:rsidRDefault="00F95E3B" w:rsidP="00F56FEC">
            <w:pPr>
              <w:pStyle w:val="ListParagraph"/>
              <w:numPr>
                <w:ilvl w:val="0"/>
                <w:numId w:val="37"/>
              </w:numPr>
              <w:rPr>
                <w:rFonts w:asciiTheme="minorHAnsi" w:hAnsiTheme="minorHAnsi"/>
                <w:sz w:val="22"/>
                <w:szCs w:val="22"/>
              </w:rPr>
            </w:pPr>
            <w:r w:rsidRPr="00EE3F1D">
              <w:rPr>
                <w:rFonts w:asciiTheme="minorHAnsi" w:hAnsiTheme="minorHAnsi"/>
                <w:sz w:val="22"/>
                <w:szCs w:val="22"/>
              </w:rPr>
              <w:t>As previously stated c</w:t>
            </w:r>
            <w:r w:rsidRPr="00EE3F1D">
              <w:rPr>
                <w:rFonts w:asciiTheme="minorHAnsi" w:hAnsiTheme="minorHAnsi"/>
                <w:iCs/>
                <w:sz w:val="22"/>
                <w:szCs w:val="22"/>
              </w:rPr>
              <w:t xml:space="preserve">onsideration must be given as to what </w:t>
            </w:r>
            <w:r w:rsidRPr="00EE3F1D">
              <w:rPr>
                <w:rFonts w:asciiTheme="minorHAnsi" w:hAnsiTheme="minorHAnsi"/>
                <w:sz w:val="22"/>
                <w:szCs w:val="22"/>
              </w:rPr>
              <w:t xml:space="preserve">pharmacovigilance activities will be proposed for the new important potential risk: ‘Toxicity from drug over-exposure </w:t>
            </w:r>
            <w:r w:rsidRPr="00EE3F1D">
              <w:rPr>
                <w:rFonts w:asciiTheme="minorHAnsi" w:hAnsiTheme="minorHAnsi"/>
                <w:sz w:val="22"/>
                <w:szCs w:val="22"/>
              </w:rPr>
              <w:lastRenderedPageBreak/>
              <w:t>when taken with food’.</w:t>
            </w:r>
            <w:r w:rsidR="000E3918" w:rsidRPr="00EE3F1D">
              <w:rPr>
                <w:rFonts w:asciiTheme="minorHAnsi" w:hAnsiTheme="minorHAnsi"/>
                <w:sz w:val="22"/>
                <w:szCs w:val="22"/>
              </w:rPr>
              <w:t xml:space="preserve"> </w:t>
            </w:r>
            <w:r w:rsidRPr="00EE3F1D">
              <w:rPr>
                <w:rFonts w:asciiTheme="minorHAnsi" w:hAnsiTheme="minorHAnsi"/>
                <w:sz w:val="22"/>
                <w:szCs w:val="22"/>
              </w:rPr>
              <w:t xml:space="preserve">To that end the sponsor should at least include the US FDA required </w:t>
            </w:r>
            <w:r w:rsidRPr="00EE3F1D">
              <w:rPr>
                <w:rFonts w:asciiTheme="minorHAnsi" w:hAnsiTheme="minorHAnsi"/>
                <w:color w:val="000000"/>
                <w:sz w:val="22"/>
                <w:szCs w:val="22"/>
              </w:rPr>
              <w:t xml:space="preserve">clinical trial to evaluate the systemic exposure and safety of 450 mg Zykadia (ceritinib) taken with a meal and 600 mg Zykadia (ceritinib) taken with a light meal as compared with that of 750 mg Zykadia (ceritinib) taken in the fasted state in metastatic ALK-positive NSCLC patients as an additional </w:t>
            </w:r>
            <w:r w:rsidRPr="00EE3F1D">
              <w:rPr>
                <w:rFonts w:asciiTheme="minorHAnsi" w:hAnsiTheme="minorHAnsi"/>
                <w:sz w:val="22"/>
                <w:szCs w:val="22"/>
              </w:rPr>
              <w:t>pharmacovigilance activity for this new safety concern</w:t>
            </w:r>
            <w:r w:rsidRPr="00EE3F1D">
              <w:rPr>
                <w:rFonts w:asciiTheme="minorHAnsi" w:hAnsiTheme="minorHAnsi"/>
                <w:color w:val="000000"/>
                <w:sz w:val="22"/>
                <w:szCs w:val="22"/>
              </w:rPr>
              <w:t>.</w:t>
            </w:r>
            <w:r w:rsidR="000E3918" w:rsidRPr="00EE3F1D">
              <w:rPr>
                <w:rFonts w:asciiTheme="minorHAnsi" w:hAnsiTheme="minorHAnsi"/>
                <w:sz w:val="22"/>
                <w:szCs w:val="22"/>
              </w:rPr>
              <w:t xml:space="preserve"> </w:t>
            </w:r>
            <w:r w:rsidRPr="00EE3F1D">
              <w:rPr>
                <w:rFonts w:asciiTheme="minorHAnsi" w:hAnsiTheme="minorHAnsi"/>
                <w:sz w:val="22"/>
                <w:szCs w:val="22"/>
              </w:rPr>
              <w:t>Only the ASA need be revised accordingly</w:t>
            </w:r>
            <w:r w:rsidRPr="00EE3F1D">
              <w:rPr>
                <w:rFonts w:asciiTheme="minorHAnsi" w:hAnsiTheme="minorHAnsi"/>
                <w:iCs/>
                <w:sz w:val="22"/>
                <w:szCs w:val="22"/>
              </w:rPr>
              <w:t xml:space="preserve"> and it is expected that at least a draft protocol for this study will be attached to the revised ASA. </w:t>
            </w:r>
          </w:p>
        </w:tc>
        <w:tc>
          <w:tcPr>
            <w:tcW w:w="1411" w:type="pct"/>
            <w:noWrap/>
          </w:tcPr>
          <w:p w14:paraId="2A86BB4C" w14:textId="1C33E21B" w:rsidR="00F95E3B" w:rsidRPr="00EE3F1D" w:rsidRDefault="00F95E3B" w:rsidP="00CA67B1">
            <w:pPr>
              <w:autoSpaceDE w:val="0"/>
              <w:autoSpaceDN w:val="0"/>
              <w:adjustRightInd w:val="0"/>
              <w:rPr>
                <w:rFonts w:asciiTheme="minorHAnsi" w:hAnsiTheme="minorHAnsi"/>
                <w:szCs w:val="22"/>
              </w:rPr>
            </w:pPr>
            <w:r w:rsidRPr="00EE3F1D">
              <w:rPr>
                <w:rFonts w:asciiTheme="minorHAnsi" w:hAnsiTheme="minorHAnsi"/>
                <w:szCs w:val="22"/>
              </w:rPr>
              <w:lastRenderedPageBreak/>
              <w:t>The sponsor states</w:t>
            </w:r>
            <w:r w:rsidRPr="00EE3F1D">
              <w:rPr>
                <w:rFonts w:asciiTheme="minorHAnsi" w:hAnsiTheme="minorHAnsi"/>
                <w:i/>
                <w:szCs w:val="22"/>
              </w:rPr>
              <w:t xml:space="preserve">: </w:t>
            </w:r>
            <w:r w:rsidR="0089512A" w:rsidRPr="00EE3F1D">
              <w:rPr>
                <w:rFonts w:asciiTheme="minorHAnsi" w:hAnsiTheme="minorHAnsi"/>
                <w:i/>
                <w:szCs w:val="22"/>
              </w:rPr>
              <w:t>‘</w:t>
            </w:r>
            <w:r w:rsidRPr="00EE3F1D">
              <w:rPr>
                <w:rFonts w:asciiTheme="minorHAnsi" w:eastAsiaTheme="minorHAnsi" w:hAnsiTheme="minorHAnsi"/>
                <w:i/>
                <w:color w:val="000000"/>
                <w:szCs w:val="22"/>
              </w:rPr>
              <w:t xml:space="preserve">As indicated in response to Recommendation 2, the Applicant does not consider that ‘Toxicity from </w:t>
            </w:r>
            <w:r w:rsidRPr="00EE3F1D">
              <w:rPr>
                <w:rFonts w:asciiTheme="minorHAnsi" w:eastAsiaTheme="minorHAnsi" w:hAnsiTheme="minorHAnsi"/>
                <w:i/>
                <w:color w:val="000000"/>
                <w:szCs w:val="22"/>
              </w:rPr>
              <w:lastRenderedPageBreak/>
              <w:t>drug over</w:t>
            </w:r>
            <w:r w:rsidRPr="00EE3F1D">
              <w:rPr>
                <w:rFonts w:asciiTheme="minorHAnsi" w:eastAsiaTheme="minorHAnsi" w:hAnsiTheme="minorHAnsi" w:cs="Cambria Math"/>
                <w:i/>
                <w:color w:val="000000"/>
                <w:szCs w:val="22"/>
              </w:rPr>
              <w:t>‐</w:t>
            </w:r>
            <w:r w:rsidRPr="00EE3F1D">
              <w:rPr>
                <w:rFonts w:asciiTheme="minorHAnsi" w:eastAsiaTheme="minorHAnsi" w:hAnsiTheme="minorHAnsi"/>
                <w:i/>
                <w:color w:val="000000"/>
                <w:szCs w:val="22"/>
              </w:rPr>
              <w:t xml:space="preserve">exposure when taken with food’ should be included as a new safety concern, therefore no pharmacovigilance activities are proposed. </w:t>
            </w:r>
            <w:r w:rsidRPr="00EE3F1D">
              <w:rPr>
                <w:rFonts w:asciiTheme="minorHAnsi" w:eastAsiaTheme="minorHAnsi" w:hAnsiTheme="minorHAnsi"/>
                <w:i/>
                <w:color w:val="000000"/>
                <w:szCs w:val="22"/>
                <w:lang w:eastAsia="en-US"/>
              </w:rPr>
              <w:t>Although Novartis does not propose to add ‘Toxicity from drug over</w:t>
            </w:r>
            <w:r w:rsidRPr="00EE3F1D">
              <w:rPr>
                <w:rFonts w:asciiTheme="minorHAnsi" w:eastAsiaTheme="minorHAnsi" w:hAnsiTheme="minorHAnsi" w:cs="Cambria Math"/>
                <w:i/>
                <w:color w:val="000000"/>
                <w:szCs w:val="22"/>
                <w:lang w:eastAsia="en-US"/>
              </w:rPr>
              <w:t>‐</w:t>
            </w:r>
            <w:r w:rsidRPr="00EE3F1D">
              <w:rPr>
                <w:rFonts w:asciiTheme="minorHAnsi" w:eastAsiaTheme="minorHAnsi" w:hAnsiTheme="minorHAnsi"/>
                <w:i/>
                <w:color w:val="000000"/>
                <w:szCs w:val="22"/>
                <w:lang w:eastAsia="en-US"/>
              </w:rPr>
              <w:t xml:space="preserve">exposure when taken with food’ to the summary of ongoing safety concerns at this time, effects on drug exposure due to food interactions will be evaluated in Study A2112 as previously discussed. </w:t>
            </w:r>
          </w:p>
        </w:tc>
        <w:tc>
          <w:tcPr>
            <w:tcW w:w="1512" w:type="pct"/>
            <w:noWrap/>
          </w:tcPr>
          <w:p w14:paraId="0DCC1D77" w14:textId="77777777" w:rsidR="00F95E3B" w:rsidRPr="00EE3F1D" w:rsidRDefault="00F95E3B" w:rsidP="002343D4">
            <w:pPr>
              <w:autoSpaceDE w:val="0"/>
              <w:autoSpaceDN w:val="0"/>
              <w:adjustRightInd w:val="0"/>
              <w:rPr>
                <w:rFonts w:asciiTheme="minorHAnsi" w:hAnsiTheme="minorHAnsi"/>
                <w:szCs w:val="22"/>
              </w:rPr>
            </w:pPr>
            <w:r w:rsidRPr="00EE3F1D">
              <w:rPr>
                <w:rFonts w:asciiTheme="minorHAnsi" w:hAnsiTheme="minorHAnsi" w:cs="TimesNewRoman"/>
                <w:szCs w:val="22"/>
              </w:rPr>
              <w:lastRenderedPageBreak/>
              <w:t>The sponsor has documented this undertaking in the updated ASA and this is acceptable</w:t>
            </w:r>
            <w:r w:rsidRPr="00EE3F1D">
              <w:rPr>
                <w:rFonts w:asciiTheme="minorHAnsi" w:eastAsia="TimesNewRoman" w:hAnsiTheme="minorHAnsi"/>
                <w:szCs w:val="22"/>
              </w:rPr>
              <w:t>.</w:t>
            </w:r>
          </w:p>
        </w:tc>
      </w:tr>
      <w:tr w:rsidR="00F95E3B" w:rsidRPr="00F56FEC" w14:paraId="6D4B4A2E" w14:textId="77777777" w:rsidTr="00F56FEC">
        <w:trPr>
          <w:trHeight w:val="1153"/>
        </w:trPr>
        <w:tc>
          <w:tcPr>
            <w:tcW w:w="2077" w:type="pct"/>
            <w:gridSpan w:val="2"/>
            <w:noWrap/>
          </w:tcPr>
          <w:p w14:paraId="29BEA009" w14:textId="77777777" w:rsidR="00F95E3B" w:rsidRPr="00EE3F1D" w:rsidRDefault="00F95E3B" w:rsidP="00F151E8">
            <w:pPr>
              <w:pStyle w:val="ListParagraph"/>
              <w:numPr>
                <w:ilvl w:val="0"/>
                <w:numId w:val="37"/>
              </w:numPr>
              <w:rPr>
                <w:rFonts w:asciiTheme="minorHAnsi" w:hAnsiTheme="minorHAnsi" w:cstheme="minorHAnsi"/>
                <w:bCs/>
                <w:sz w:val="22"/>
                <w:szCs w:val="22"/>
              </w:rPr>
            </w:pPr>
            <w:r w:rsidRPr="00EE3F1D">
              <w:rPr>
                <w:rFonts w:asciiTheme="minorHAnsi" w:hAnsiTheme="minorHAnsi"/>
                <w:sz w:val="22"/>
                <w:szCs w:val="22"/>
              </w:rPr>
              <w:lastRenderedPageBreak/>
              <w:t xml:space="preserve">When the US FDA approved the ALK-positive NSCLC indication this approval stated: </w:t>
            </w:r>
            <w:r w:rsidR="0089512A" w:rsidRPr="00EE3F1D">
              <w:rPr>
                <w:rFonts w:asciiTheme="minorHAnsi" w:hAnsiTheme="minorHAnsi"/>
                <w:i/>
                <w:sz w:val="22"/>
                <w:szCs w:val="22"/>
              </w:rPr>
              <w:t>‘</w:t>
            </w:r>
            <w:r w:rsidRPr="00EE3F1D">
              <w:rPr>
                <w:rFonts w:asciiTheme="minorHAnsi" w:hAnsiTheme="minorHAnsi"/>
                <w:i/>
                <w:sz w:val="22"/>
                <w:szCs w:val="22"/>
              </w:rPr>
              <w:t>This indication is approved under accelerated approval based on tumor response rate and duration of response. An improvement in survival or disease-related symptoms has not been established. Continued approval for this indication may be contingent upon verification and description of clinical benefit in confirmatory trials</w:t>
            </w:r>
            <w:r w:rsidR="0089512A" w:rsidRPr="00EE3F1D">
              <w:rPr>
                <w:rFonts w:asciiTheme="minorHAnsi" w:hAnsiTheme="minorHAnsi"/>
                <w:i/>
                <w:sz w:val="22"/>
                <w:szCs w:val="22"/>
              </w:rPr>
              <w:t>’</w:t>
            </w:r>
            <w:r w:rsidRPr="00EE3F1D">
              <w:rPr>
                <w:rFonts w:asciiTheme="minorHAnsi" w:hAnsiTheme="minorHAnsi"/>
                <w:sz w:val="22"/>
                <w:szCs w:val="22"/>
              </w:rPr>
              <w:t>.</w:t>
            </w:r>
            <w:r w:rsidR="000E3918" w:rsidRPr="00EE3F1D">
              <w:rPr>
                <w:rFonts w:asciiTheme="minorHAnsi" w:hAnsiTheme="minorHAnsi"/>
                <w:sz w:val="22"/>
                <w:szCs w:val="22"/>
              </w:rPr>
              <w:t xml:space="preserve"> </w:t>
            </w:r>
            <w:r w:rsidRPr="00EE3F1D">
              <w:rPr>
                <w:rFonts w:asciiTheme="minorHAnsi" w:hAnsiTheme="minorHAnsi"/>
                <w:sz w:val="22"/>
                <w:szCs w:val="22"/>
              </w:rPr>
              <w:t xml:space="preserve">If applicable, it is recommended to the Delegate that similar statements alluding to an absence of efficacy data be included in the </w:t>
            </w:r>
            <w:r w:rsidR="00F151E8" w:rsidRPr="00EE3F1D">
              <w:rPr>
                <w:rFonts w:asciiTheme="minorHAnsi" w:hAnsiTheme="minorHAnsi"/>
                <w:sz w:val="22"/>
                <w:szCs w:val="22"/>
              </w:rPr>
              <w:t xml:space="preserve">Indications </w:t>
            </w:r>
            <w:r w:rsidRPr="00EE3F1D">
              <w:rPr>
                <w:rFonts w:asciiTheme="minorHAnsi" w:hAnsiTheme="minorHAnsi"/>
                <w:sz w:val="22"/>
                <w:szCs w:val="22"/>
              </w:rPr>
              <w:t>section of the Australian PI.</w:t>
            </w:r>
            <w:r w:rsidR="000E3918" w:rsidRPr="00EE3F1D">
              <w:rPr>
                <w:rFonts w:asciiTheme="minorHAnsi" w:hAnsiTheme="minorHAnsi"/>
                <w:sz w:val="22"/>
                <w:szCs w:val="22"/>
              </w:rPr>
              <w:t xml:space="preserve"> </w:t>
            </w:r>
            <w:r w:rsidRPr="00EE3F1D">
              <w:rPr>
                <w:rFonts w:asciiTheme="minorHAnsi" w:hAnsiTheme="minorHAnsi"/>
                <w:sz w:val="22"/>
                <w:szCs w:val="22"/>
              </w:rPr>
              <w:t xml:space="preserve">Any such change should be adequately </w:t>
            </w:r>
            <w:r w:rsidRPr="00EE3F1D">
              <w:rPr>
                <w:rFonts w:asciiTheme="minorHAnsi" w:hAnsiTheme="minorHAnsi"/>
                <w:sz w:val="22"/>
                <w:szCs w:val="22"/>
              </w:rPr>
              <w:lastRenderedPageBreak/>
              <w:t>reflected in the draft consumer medicine information document.</w:t>
            </w:r>
          </w:p>
        </w:tc>
        <w:tc>
          <w:tcPr>
            <w:tcW w:w="1411" w:type="pct"/>
            <w:noWrap/>
          </w:tcPr>
          <w:p w14:paraId="110E494C" w14:textId="77777777" w:rsidR="00F95E3B" w:rsidRPr="00EE3F1D" w:rsidRDefault="00F95E3B" w:rsidP="002343D4">
            <w:pPr>
              <w:autoSpaceDE w:val="0"/>
              <w:autoSpaceDN w:val="0"/>
              <w:adjustRightInd w:val="0"/>
              <w:rPr>
                <w:rFonts w:asciiTheme="minorHAnsi" w:hAnsiTheme="minorHAnsi"/>
                <w:szCs w:val="22"/>
              </w:rPr>
            </w:pPr>
            <w:r w:rsidRPr="00EE3F1D">
              <w:rPr>
                <w:rFonts w:asciiTheme="minorHAnsi" w:hAnsiTheme="minorHAnsi"/>
                <w:szCs w:val="22"/>
              </w:rPr>
              <w:lastRenderedPageBreak/>
              <w:t xml:space="preserve">The sponsor </w:t>
            </w:r>
            <w:r w:rsidRPr="00EE3F1D">
              <w:rPr>
                <w:rFonts w:asciiTheme="minorHAnsi" w:hAnsiTheme="minorHAnsi"/>
                <w:color w:val="000000"/>
                <w:szCs w:val="22"/>
              </w:rPr>
              <w:t>has objected to this recommendation and provided justification for their position.</w:t>
            </w:r>
          </w:p>
        </w:tc>
        <w:tc>
          <w:tcPr>
            <w:tcW w:w="1512" w:type="pct"/>
            <w:noWrap/>
          </w:tcPr>
          <w:p w14:paraId="6C1E9BC8" w14:textId="77777777" w:rsidR="00F95E3B" w:rsidRPr="00EE3F1D" w:rsidRDefault="00F95E3B" w:rsidP="002343D4">
            <w:pPr>
              <w:autoSpaceDE w:val="0"/>
              <w:autoSpaceDN w:val="0"/>
              <w:adjustRightInd w:val="0"/>
              <w:rPr>
                <w:rFonts w:asciiTheme="minorHAnsi" w:hAnsiTheme="minorHAnsi" w:cs="TimesNewRoman"/>
                <w:szCs w:val="22"/>
              </w:rPr>
            </w:pPr>
            <w:r w:rsidRPr="00EE3F1D">
              <w:rPr>
                <w:rFonts w:asciiTheme="minorHAnsi" w:hAnsiTheme="minorHAnsi"/>
                <w:color w:val="000000"/>
                <w:szCs w:val="22"/>
              </w:rPr>
              <w:t xml:space="preserve">This </w:t>
            </w:r>
            <w:r w:rsidRPr="00EE3F1D">
              <w:rPr>
                <w:rFonts w:asciiTheme="minorHAnsi" w:hAnsiTheme="minorHAnsi"/>
                <w:szCs w:val="22"/>
              </w:rPr>
              <w:t>recommendation remains outstanding for the Delegate’s consideration.</w:t>
            </w:r>
          </w:p>
        </w:tc>
      </w:tr>
      <w:tr w:rsidR="00F95E3B" w:rsidRPr="00F56FEC" w14:paraId="15B2919A" w14:textId="77777777" w:rsidTr="00F56FEC">
        <w:trPr>
          <w:trHeight w:val="1153"/>
        </w:trPr>
        <w:tc>
          <w:tcPr>
            <w:tcW w:w="2077" w:type="pct"/>
            <w:gridSpan w:val="2"/>
            <w:noWrap/>
          </w:tcPr>
          <w:p w14:paraId="7C69B0BB" w14:textId="77777777" w:rsidR="00F95E3B" w:rsidRPr="00EE3F1D" w:rsidRDefault="00F95E3B" w:rsidP="00F56FEC">
            <w:pPr>
              <w:pStyle w:val="ListParagraph"/>
              <w:numPr>
                <w:ilvl w:val="0"/>
                <w:numId w:val="37"/>
              </w:numPr>
              <w:rPr>
                <w:rFonts w:asciiTheme="minorHAnsi" w:hAnsiTheme="minorHAnsi" w:cs="Arial"/>
                <w:bCs/>
                <w:sz w:val="22"/>
                <w:szCs w:val="22"/>
              </w:rPr>
            </w:pPr>
            <w:r w:rsidRPr="00EE3F1D">
              <w:rPr>
                <w:rFonts w:asciiTheme="minorHAnsi" w:hAnsiTheme="minorHAnsi" w:cs="Arial"/>
                <w:bCs/>
                <w:sz w:val="22"/>
                <w:szCs w:val="22"/>
              </w:rPr>
              <w:lastRenderedPageBreak/>
              <w:t>As previously stated consideration must be given as to what risk minimisation activities will be proposed for the new important potential risk: ‘Toxicity from drug over-exposure when taken with food’.</w:t>
            </w:r>
            <w:r w:rsidR="000E3918" w:rsidRPr="00EE3F1D">
              <w:rPr>
                <w:rFonts w:asciiTheme="minorHAnsi" w:hAnsiTheme="minorHAnsi" w:cs="Arial"/>
                <w:bCs/>
                <w:sz w:val="22"/>
                <w:szCs w:val="22"/>
              </w:rPr>
              <w:t xml:space="preserve"> </w:t>
            </w:r>
            <w:r w:rsidRPr="00EE3F1D">
              <w:rPr>
                <w:rFonts w:asciiTheme="minorHAnsi" w:hAnsiTheme="minorHAnsi" w:cs="Arial"/>
                <w:bCs/>
                <w:sz w:val="22"/>
                <w:szCs w:val="22"/>
              </w:rPr>
              <w:t xml:space="preserve">It is acknowledged that the following routine risk minimisation is already included under the ‘Drug-food/drink interactions’ subheading and in the </w:t>
            </w:r>
            <w:r w:rsidR="00F151E8" w:rsidRPr="00EE3F1D">
              <w:rPr>
                <w:rFonts w:asciiTheme="minorHAnsi" w:hAnsiTheme="minorHAnsi" w:cs="Arial"/>
                <w:bCs/>
                <w:sz w:val="22"/>
                <w:szCs w:val="22"/>
              </w:rPr>
              <w:t xml:space="preserve">Dosage and Administration </w:t>
            </w:r>
            <w:r w:rsidRPr="00EE3F1D">
              <w:rPr>
                <w:rFonts w:asciiTheme="minorHAnsi" w:hAnsiTheme="minorHAnsi" w:cs="Arial"/>
                <w:bCs/>
                <w:sz w:val="22"/>
                <w:szCs w:val="22"/>
              </w:rPr>
              <w:t xml:space="preserve">section of the draft Australian PI respectively: </w:t>
            </w:r>
          </w:p>
          <w:p w14:paraId="7DADF708" w14:textId="77777777" w:rsidR="00F95E3B" w:rsidRPr="00EE3F1D" w:rsidRDefault="00F95E3B" w:rsidP="00EE3F1D">
            <w:pPr>
              <w:pStyle w:val="Default"/>
              <w:numPr>
                <w:ilvl w:val="0"/>
                <w:numId w:val="12"/>
              </w:numPr>
              <w:ind w:left="567" w:hanging="567"/>
              <w:rPr>
                <w:rFonts w:asciiTheme="minorHAnsi" w:hAnsiTheme="minorHAnsi"/>
                <w:i/>
                <w:sz w:val="22"/>
                <w:szCs w:val="22"/>
              </w:rPr>
            </w:pPr>
            <w:r w:rsidRPr="00EE3F1D">
              <w:rPr>
                <w:rFonts w:asciiTheme="minorHAnsi" w:hAnsiTheme="minorHAnsi"/>
                <w:i/>
                <w:sz w:val="22"/>
                <w:szCs w:val="22"/>
              </w:rPr>
              <w:t>The bioavailability of ceritinib is increased in the presence of food depending on the fat content in the meal (see Pharmacokinetics; Absorption). Ceritinib should be taken on an empty stomach. No food should be eaten for at least two hours before and two hours after the dose of ZYKADIA is taken.</w:t>
            </w:r>
          </w:p>
          <w:p w14:paraId="15EAECEA" w14:textId="77777777" w:rsidR="00F95E3B" w:rsidRPr="00EE3F1D" w:rsidRDefault="00F95E3B" w:rsidP="00EE3F1D">
            <w:pPr>
              <w:pStyle w:val="Default"/>
              <w:numPr>
                <w:ilvl w:val="0"/>
                <w:numId w:val="12"/>
              </w:numPr>
              <w:ind w:left="567" w:hanging="567"/>
              <w:rPr>
                <w:rFonts w:asciiTheme="minorHAnsi" w:hAnsiTheme="minorHAnsi"/>
                <w:sz w:val="22"/>
                <w:szCs w:val="22"/>
              </w:rPr>
            </w:pPr>
            <w:r w:rsidRPr="00EE3F1D">
              <w:rPr>
                <w:rFonts w:asciiTheme="minorHAnsi" w:hAnsiTheme="minorHAnsi"/>
                <w:i/>
                <w:sz w:val="22"/>
                <w:szCs w:val="22"/>
              </w:rPr>
              <w:t xml:space="preserve">ZYKADIA should be administered orally once daily at the same time every day. ZYKADIA capsules should be swallowed whole with water. The capsules should not be chewed or crushed. ZYKADIA capsules must be taken on an empty stomach. No food should be eaten for at least two hours before and two hours after the dose of ZYKADIA is taken (see Pharmacokinetics; </w:t>
            </w:r>
            <w:r w:rsidRPr="00EE3F1D">
              <w:rPr>
                <w:rFonts w:asciiTheme="minorHAnsi" w:hAnsiTheme="minorHAnsi"/>
                <w:i/>
                <w:sz w:val="22"/>
                <w:szCs w:val="22"/>
              </w:rPr>
              <w:lastRenderedPageBreak/>
              <w:t>Absorption).</w:t>
            </w:r>
          </w:p>
          <w:p w14:paraId="708F7BFC" w14:textId="77777777" w:rsidR="00F95E3B" w:rsidRPr="00EE3F1D" w:rsidRDefault="00F95E3B" w:rsidP="00F151E8">
            <w:pPr>
              <w:pStyle w:val="Default"/>
              <w:ind w:left="426"/>
              <w:rPr>
                <w:rFonts w:asciiTheme="minorHAnsi" w:hAnsiTheme="minorHAnsi"/>
                <w:sz w:val="22"/>
                <w:szCs w:val="22"/>
              </w:rPr>
            </w:pPr>
            <w:r w:rsidRPr="00EE3F1D">
              <w:rPr>
                <w:rFonts w:asciiTheme="minorHAnsi" w:hAnsiTheme="minorHAnsi"/>
                <w:sz w:val="22"/>
                <w:szCs w:val="22"/>
              </w:rPr>
              <w:t xml:space="preserve">However, it is recommended to the Delegate that the last identical sentence be strengthened as follows and all these sections of the Australian PI be cross-referenced to each other: </w:t>
            </w:r>
            <w:r w:rsidR="0089512A" w:rsidRPr="00EE3F1D">
              <w:rPr>
                <w:rFonts w:asciiTheme="minorHAnsi" w:hAnsiTheme="minorHAnsi"/>
                <w:i/>
                <w:sz w:val="22"/>
                <w:szCs w:val="22"/>
              </w:rPr>
              <w:t>‘</w:t>
            </w:r>
            <w:r w:rsidRPr="00EE3F1D">
              <w:rPr>
                <w:rFonts w:asciiTheme="minorHAnsi" w:hAnsiTheme="minorHAnsi"/>
                <w:i/>
                <w:sz w:val="22"/>
                <w:szCs w:val="22"/>
              </w:rPr>
              <w:t xml:space="preserve">No food should be eaten for at least two hours before and two hours after the dose of ZYKADIA is taken </w:t>
            </w:r>
            <w:r w:rsidRPr="00EE3F1D">
              <w:rPr>
                <w:rFonts w:asciiTheme="minorHAnsi" w:hAnsiTheme="minorHAnsi"/>
                <w:i/>
                <w:sz w:val="22"/>
                <w:szCs w:val="22"/>
                <w:u w:val="single"/>
              </w:rPr>
              <w:t>in order to avoid the serious risk of toxicity from drug over-exposure</w:t>
            </w:r>
            <w:r w:rsidR="0089512A" w:rsidRPr="00EE3F1D">
              <w:rPr>
                <w:rFonts w:asciiTheme="minorHAnsi" w:hAnsiTheme="minorHAnsi"/>
                <w:i/>
                <w:sz w:val="22"/>
                <w:szCs w:val="22"/>
                <w:u w:val="single"/>
              </w:rPr>
              <w:t>’</w:t>
            </w:r>
            <w:r w:rsidRPr="00EE3F1D">
              <w:rPr>
                <w:rFonts w:asciiTheme="minorHAnsi" w:hAnsiTheme="minorHAnsi"/>
                <w:i/>
                <w:sz w:val="22"/>
                <w:szCs w:val="22"/>
              </w:rPr>
              <w:t>.</w:t>
            </w:r>
            <w:r w:rsidR="000E3918" w:rsidRPr="00EE3F1D">
              <w:rPr>
                <w:rFonts w:asciiTheme="minorHAnsi" w:hAnsiTheme="minorHAnsi"/>
                <w:i/>
                <w:sz w:val="22"/>
                <w:szCs w:val="22"/>
              </w:rPr>
              <w:t xml:space="preserve"> </w:t>
            </w:r>
            <w:r w:rsidRPr="00EE3F1D">
              <w:rPr>
                <w:rFonts w:asciiTheme="minorHAnsi" w:hAnsiTheme="minorHAnsi"/>
                <w:sz w:val="22"/>
                <w:szCs w:val="22"/>
              </w:rPr>
              <w:t>Any such change should be adequately reflected in the draft consumer medicine information document.</w:t>
            </w:r>
          </w:p>
        </w:tc>
        <w:tc>
          <w:tcPr>
            <w:tcW w:w="1411" w:type="pct"/>
            <w:noWrap/>
          </w:tcPr>
          <w:p w14:paraId="4B946E7A" w14:textId="77777777" w:rsidR="00F95E3B" w:rsidRPr="00EE3F1D" w:rsidRDefault="00F95E3B" w:rsidP="002343D4">
            <w:pPr>
              <w:autoSpaceDE w:val="0"/>
              <w:autoSpaceDN w:val="0"/>
              <w:adjustRightInd w:val="0"/>
              <w:rPr>
                <w:rFonts w:asciiTheme="minorHAnsi" w:hAnsiTheme="minorHAnsi"/>
                <w:szCs w:val="22"/>
              </w:rPr>
            </w:pPr>
            <w:r w:rsidRPr="00EE3F1D">
              <w:rPr>
                <w:rFonts w:asciiTheme="minorHAnsi" w:hAnsiTheme="minorHAnsi"/>
                <w:szCs w:val="22"/>
              </w:rPr>
              <w:lastRenderedPageBreak/>
              <w:t xml:space="preserve">The sponsor has objected to this wording and proposed alternative wording as follows: </w:t>
            </w:r>
            <w:r w:rsidR="0089512A" w:rsidRPr="00EE3F1D">
              <w:rPr>
                <w:szCs w:val="22"/>
              </w:rPr>
              <w:t>‘</w:t>
            </w:r>
            <w:r w:rsidRPr="00EE3F1D">
              <w:rPr>
                <w:i/>
                <w:iCs/>
                <w:szCs w:val="22"/>
              </w:rPr>
              <w:t xml:space="preserve">No food should be eaten for at least two hours before and two hours after the dose of ZYKADIA is taken </w:t>
            </w:r>
            <w:r w:rsidRPr="00EE3F1D">
              <w:rPr>
                <w:bCs/>
                <w:i/>
                <w:iCs/>
                <w:szCs w:val="22"/>
                <w:u w:val="single"/>
              </w:rPr>
              <w:t>in order to avoid systemic exposure exceeding that of a 750 mg ZYKADIA dose taken in the fasted state, which may increase adverse drug reactions</w:t>
            </w:r>
            <w:r w:rsidR="0089512A" w:rsidRPr="00EE3F1D">
              <w:rPr>
                <w:bCs/>
                <w:i/>
                <w:iCs/>
                <w:szCs w:val="22"/>
              </w:rPr>
              <w:t>’</w:t>
            </w:r>
            <w:r w:rsidRPr="00EE3F1D">
              <w:rPr>
                <w:i/>
                <w:iCs/>
                <w:szCs w:val="22"/>
              </w:rPr>
              <w:t>.</w:t>
            </w:r>
            <w:r w:rsidRPr="00EE3F1D">
              <w:rPr>
                <w:iCs/>
                <w:szCs w:val="22"/>
              </w:rPr>
              <w:t xml:space="preserve"> </w:t>
            </w:r>
          </w:p>
        </w:tc>
        <w:tc>
          <w:tcPr>
            <w:tcW w:w="1512" w:type="pct"/>
            <w:noWrap/>
          </w:tcPr>
          <w:p w14:paraId="185F28F2" w14:textId="77777777" w:rsidR="00F95E3B" w:rsidRPr="00EE3F1D" w:rsidRDefault="00F95E3B" w:rsidP="002343D4">
            <w:pPr>
              <w:autoSpaceDE w:val="0"/>
              <w:autoSpaceDN w:val="0"/>
              <w:adjustRightInd w:val="0"/>
              <w:rPr>
                <w:rFonts w:asciiTheme="minorHAnsi" w:hAnsiTheme="minorHAnsi"/>
                <w:color w:val="000000"/>
                <w:szCs w:val="22"/>
              </w:rPr>
            </w:pPr>
            <w:r w:rsidRPr="00EE3F1D">
              <w:rPr>
                <w:iCs/>
                <w:szCs w:val="22"/>
              </w:rPr>
              <w:t xml:space="preserve">The sponsor’s overall proposed approach to this matter is generally acceptable, although it is </w:t>
            </w:r>
            <w:r w:rsidRPr="00EE3F1D">
              <w:rPr>
                <w:rFonts w:asciiTheme="minorHAnsi" w:hAnsiTheme="minorHAnsi"/>
                <w:szCs w:val="22"/>
              </w:rPr>
              <w:t xml:space="preserve">recommended to the Delegate that the following text from the corresponding US FDA monograph be included in the </w:t>
            </w:r>
            <w:r w:rsidRPr="00EE3F1D">
              <w:rPr>
                <w:szCs w:val="22"/>
              </w:rPr>
              <w:t xml:space="preserve">Pharmacokinetics; Absorption section of the Australian PI: </w:t>
            </w:r>
            <w:r w:rsidR="0089512A" w:rsidRPr="00EE3F1D">
              <w:rPr>
                <w:i/>
                <w:szCs w:val="22"/>
              </w:rPr>
              <w:t>‘</w:t>
            </w:r>
            <w:r w:rsidRPr="00EE3F1D">
              <w:rPr>
                <w:rFonts w:asciiTheme="minorHAnsi" w:eastAsiaTheme="minorHAnsi" w:hAnsiTheme="minorHAnsi"/>
                <w:i/>
                <w:color w:val="000000"/>
                <w:szCs w:val="22"/>
              </w:rPr>
              <w:t xml:space="preserve">A 600 </w:t>
            </w:r>
            <w:r w:rsidRPr="00EE3F1D">
              <w:rPr>
                <w:rFonts w:asciiTheme="minorHAnsi" w:eastAsiaTheme="minorHAnsi" w:hAnsiTheme="minorHAnsi"/>
                <w:i/>
                <w:szCs w:val="22"/>
              </w:rPr>
              <w:t>mg or higher ZYKADIA dose taken with a meal is expected to result in systemic exposure exceeding that of a 750 mg ZYKADIA dose taken in the fasted state, and may increase adverse drug reactions</w:t>
            </w:r>
            <w:r w:rsidR="0089512A" w:rsidRPr="00EE3F1D">
              <w:rPr>
                <w:rFonts w:asciiTheme="minorHAnsi" w:eastAsiaTheme="minorHAnsi" w:hAnsiTheme="minorHAnsi"/>
                <w:i/>
                <w:szCs w:val="22"/>
              </w:rPr>
              <w:t>’</w:t>
            </w:r>
            <w:r w:rsidRPr="00EE3F1D">
              <w:rPr>
                <w:rFonts w:asciiTheme="minorHAnsi" w:eastAsiaTheme="minorHAnsi" w:hAnsiTheme="minorHAnsi"/>
                <w:i/>
                <w:szCs w:val="22"/>
              </w:rPr>
              <w:t>.</w:t>
            </w:r>
            <w:r w:rsidR="000E3918" w:rsidRPr="00EE3F1D">
              <w:rPr>
                <w:rFonts w:asciiTheme="minorHAnsi" w:hAnsiTheme="minorHAnsi"/>
                <w:szCs w:val="22"/>
              </w:rPr>
              <w:t xml:space="preserve"> </w:t>
            </w:r>
            <w:r w:rsidRPr="00EE3F1D">
              <w:rPr>
                <w:rFonts w:asciiTheme="minorHAnsi" w:hAnsiTheme="minorHAnsi"/>
                <w:szCs w:val="22"/>
              </w:rPr>
              <w:t>The ASA should be amended accordingly, preferably before this application is approved.</w:t>
            </w:r>
          </w:p>
        </w:tc>
      </w:tr>
      <w:tr w:rsidR="00F95E3B" w:rsidRPr="00F56FEC" w14:paraId="6D80ED74" w14:textId="77777777" w:rsidTr="00F56FEC">
        <w:trPr>
          <w:trHeight w:val="1153"/>
        </w:trPr>
        <w:tc>
          <w:tcPr>
            <w:tcW w:w="2077" w:type="pct"/>
            <w:gridSpan w:val="2"/>
            <w:noWrap/>
          </w:tcPr>
          <w:p w14:paraId="7E887192" w14:textId="77777777" w:rsidR="00F95E3B" w:rsidRPr="00EE3F1D" w:rsidRDefault="00F95E3B" w:rsidP="00F56FEC">
            <w:pPr>
              <w:pStyle w:val="ListParagraph"/>
              <w:numPr>
                <w:ilvl w:val="0"/>
                <w:numId w:val="37"/>
              </w:numPr>
              <w:rPr>
                <w:rFonts w:asciiTheme="minorHAnsi" w:hAnsiTheme="minorHAnsi"/>
                <w:sz w:val="22"/>
                <w:szCs w:val="22"/>
              </w:rPr>
            </w:pPr>
            <w:r w:rsidRPr="00EE3F1D">
              <w:rPr>
                <w:rFonts w:asciiTheme="minorHAnsi" w:hAnsiTheme="minorHAnsi"/>
                <w:sz w:val="22"/>
                <w:szCs w:val="22"/>
              </w:rPr>
              <w:lastRenderedPageBreak/>
              <w:t>In regard to the proposed routine risk minimisation activities, it is recommended to the Delegate that the draft product information document be revised as follows:</w:t>
            </w:r>
          </w:p>
          <w:p w14:paraId="5379E9D2" w14:textId="77777777" w:rsidR="00F95E3B" w:rsidRPr="00EE3F1D" w:rsidRDefault="00F95E3B" w:rsidP="00EE3F1D">
            <w:pPr>
              <w:pStyle w:val="ListParagraph"/>
              <w:numPr>
                <w:ilvl w:val="0"/>
                <w:numId w:val="14"/>
              </w:numPr>
              <w:tabs>
                <w:tab w:val="clear" w:pos="284"/>
                <w:tab w:val="clear" w:pos="1134"/>
                <w:tab w:val="left" w:pos="426"/>
              </w:tabs>
              <w:ind w:left="426" w:hanging="426"/>
              <w:rPr>
                <w:rFonts w:asciiTheme="minorHAnsi" w:hAnsiTheme="minorHAnsi"/>
                <w:sz w:val="22"/>
                <w:szCs w:val="22"/>
              </w:rPr>
            </w:pPr>
            <w:r w:rsidRPr="00EE3F1D">
              <w:rPr>
                <w:rFonts w:asciiTheme="minorHAnsi" w:hAnsiTheme="minorHAnsi"/>
                <w:sz w:val="22"/>
                <w:szCs w:val="22"/>
              </w:rPr>
              <w:t>For the important identified risk: ‘</w:t>
            </w:r>
            <w:r w:rsidRPr="00EE3F1D">
              <w:rPr>
                <w:rFonts w:asciiTheme="minorHAnsi" w:eastAsiaTheme="minorHAnsi" w:hAnsiTheme="minorHAnsi"/>
                <w:sz w:val="22"/>
                <w:szCs w:val="22"/>
              </w:rPr>
              <w:t xml:space="preserve">Hepatotoxicity’, the sentence in the </w:t>
            </w:r>
            <w:r w:rsidRPr="00EE3F1D">
              <w:rPr>
                <w:rFonts w:asciiTheme="minorHAnsi" w:eastAsia="TimesNewRoman" w:hAnsiTheme="minorHAnsi"/>
                <w:sz w:val="22"/>
                <w:szCs w:val="22"/>
              </w:rPr>
              <w:t xml:space="preserve">PRECAUTIONS section of the Australian PI: </w:t>
            </w:r>
            <w:r w:rsidR="0089512A" w:rsidRPr="00EE3F1D">
              <w:rPr>
                <w:rFonts w:asciiTheme="minorHAnsi" w:eastAsia="TimesNewRoman" w:hAnsiTheme="minorHAnsi"/>
                <w:i/>
                <w:sz w:val="22"/>
                <w:szCs w:val="22"/>
              </w:rPr>
              <w:t>‘</w:t>
            </w:r>
            <w:r w:rsidRPr="00EE3F1D">
              <w:rPr>
                <w:rFonts w:asciiTheme="minorHAnsi" w:hAnsiTheme="minorHAnsi"/>
                <w:i/>
                <w:sz w:val="22"/>
                <w:szCs w:val="22"/>
              </w:rPr>
              <w:t>Monitor with liver laboratory tests (including ALT, AST, and total bilirubin) prior to the start of treatment and monthly thereafter</w:t>
            </w:r>
            <w:r w:rsidR="0089512A" w:rsidRPr="00EE3F1D">
              <w:rPr>
                <w:rFonts w:asciiTheme="minorHAnsi" w:hAnsiTheme="minorHAnsi"/>
                <w:i/>
                <w:sz w:val="22"/>
                <w:szCs w:val="22"/>
              </w:rPr>
              <w:t>’</w:t>
            </w:r>
            <w:r w:rsidRPr="00EE3F1D">
              <w:rPr>
                <w:rFonts w:asciiTheme="minorHAnsi" w:hAnsiTheme="minorHAnsi"/>
                <w:sz w:val="22"/>
                <w:szCs w:val="22"/>
              </w:rPr>
              <w:t xml:space="preserve"> should be amended to: </w:t>
            </w:r>
            <w:r w:rsidR="0089512A" w:rsidRPr="00EE3F1D">
              <w:rPr>
                <w:rFonts w:asciiTheme="minorHAnsi" w:eastAsia="TimesNewRoman" w:hAnsiTheme="minorHAnsi"/>
                <w:i/>
                <w:sz w:val="22"/>
                <w:szCs w:val="22"/>
              </w:rPr>
              <w:t>‘</w:t>
            </w:r>
            <w:r w:rsidRPr="00EE3F1D">
              <w:rPr>
                <w:rFonts w:asciiTheme="minorHAnsi" w:hAnsiTheme="minorHAnsi"/>
                <w:i/>
                <w:sz w:val="22"/>
                <w:szCs w:val="22"/>
              </w:rPr>
              <w:t xml:space="preserve">Monitor with liver laboratory tests (including ALT, AST, and total bilirubin) prior to the start of treatment, </w:t>
            </w:r>
            <w:r w:rsidRPr="00EE3F1D">
              <w:rPr>
                <w:rFonts w:asciiTheme="minorHAnsi" w:eastAsiaTheme="minorHAnsi" w:hAnsiTheme="minorHAnsi"/>
                <w:i/>
                <w:sz w:val="22"/>
                <w:szCs w:val="22"/>
                <w:u w:val="single"/>
              </w:rPr>
              <w:t>every 2 weeks for the first month of treatment</w:t>
            </w:r>
            <w:r w:rsidRPr="00EE3F1D">
              <w:rPr>
                <w:rFonts w:asciiTheme="minorHAnsi" w:eastAsiaTheme="minorHAnsi" w:hAnsiTheme="minorHAnsi"/>
                <w:i/>
                <w:sz w:val="22"/>
                <w:szCs w:val="22"/>
              </w:rPr>
              <w:t xml:space="preserve"> </w:t>
            </w:r>
            <w:r w:rsidRPr="00EE3F1D">
              <w:rPr>
                <w:rFonts w:asciiTheme="minorHAnsi" w:hAnsiTheme="minorHAnsi"/>
                <w:i/>
                <w:sz w:val="22"/>
                <w:szCs w:val="22"/>
              </w:rPr>
              <w:t>and monthly thereafter</w:t>
            </w:r>
            <w:r w:rsidR="0089512A" w:rsidRPr="00EE3F1D">
              <w:rPr>
                <w:rFonts w:asciiTheme="minorHAnsi" w:hAnsiTheme="minorHAnsi"/>
                <w:i/>
                <w:sz w:val="22"/>
                <w:szCs w:val="22"/>
              </w:rPr>
              <w:t>’</w:t>
            </w:r>
            <w:r w:rsidRPr="00EE3F1D">
              <w:rPr>
                <w:rFonts w:asciiTheme="minorHAnsi" w:hAnsiTheme="minorHAnsi"/>
                <w:i/>
                <w:sz w:val="22"/>
                <w:szCs w:val="22"/>
              </w:rPr>
              <w:t>.</w:t>
            </w:r>
            <w:r w:rsidR="000E3918" w:rsidRPr="00EE3F1D">
              <w:rPr>
                <w:rFonts w:asciiTheme="minorHAnsi" w:hAnsiTheme="minorHAnsi"/>
                <w:sz w:val="22"/>
                <w:szCs w:val="22"/>
              </w:rPr>
              <w:t xml:space="preserve"> </w:t>
            </w:r>
            <w:r w:rsidRPr="00EE3F1D">
              <w:rPr>
                <w:rFonts w:asciiTheme="minorHAnsi" w:eastAsia="TimesNewRoman" w:hAnsiTheme="minorHAnsi"/>
                <w:sz w:val="22"/>
                <w:szCs w:val="22"/>
              </w:rPr>
              <w:t xml:space="preserve">This would align with the approved EU </w:t>
            </w:r>
            <w:r w:rsidRPr="00EE3F1D">
              <w:rPr>
                <w:rFonts w:asciiTheme="minorHAnsi" w:hAnsiTheme="minorHAnsi"/>
                <w:sz w:val="22"/>
                <w:szCs w:val="22"/>
              </w:rPr>
              <w:t>SmPC and enhance the safe use of this medicine.</w:t>
            </w:r>
          </w:p>
          <w:p w14:paraId="070BF9D4" w14:textId="77777777" w:rsidR="00F95E3B" w:rsidRPr="00EE3F1D" w:rsidRDefault="00F95E3B" w:rsidP="00EE3F1D">
            <w:pPr>
              <w:pStyle w:val="ListParagraph"/>
              <w:numPr>
                <w:ilvl w:val="0"/>
                <w:numId w:val="13"/>
              </w:numPr>
              <w:tabs>
                <w:tab w:val="clear" w:pos="284"/>
                <w:tab w:val="clear" w:pos="1134"/>
                <w:tab w:val="left" w:pos="426"/>
              </w:tabs>
              <w:autoSpaceDE w:val="0"/>
              <w:autoSpaceDN w:val="0"/>
              <w:adjustRightInd w:val="0"/>
              <w:ind w:left="426" w:hanging="426"/>
              <w:rPr>
                <w:rFonts w:asciiTheme="minorHAnsi" w:hAnsiTheme="minorHAnsi"/>
                <w:sz w:val="22"/>
                <w:szCs w:val="22"/>
              </w:rPr>
            </w:pPr>
            <w:r w:rsidRPr="00EE3F1D">
              <w:rPr>
                <w:rFonts w:asciiTheme="minorHAnsi" w:hAnsiTheme="minorHAnsi"/>
                <w:sz w:val="22"/>
                <w:szCs w:val="22"/>
              </w:rPr>
              <w:t>For the important identified risk: ‘</w:t>
            </w:r>
            <w:r w:rsidRPr="00EE3F1D">
              <w:rPr>
                <w:rFonts w:asciiTheme="minorHAnsi" w:eastAsiaTheme="minorHAnsi" w:hAnsiTheme="minorHAnsi"/>
                <w:sz w:val="22"/>
                <w:szCs w:val="22"/>
              </w:rPr>
              <w:t xml:space="preserve">Hepatotoxicity’ and the missing information: </w:t>
            </w:r>
            <w:r w:rsidRPr="00EE3F1D">
              <w:rPr>
                <w:rFonts w:asciiTheme="minorHAnsi" w:eastAsiaTheme="minorHAnsi" w:hAnsiTheme="minorHAnsi"/>
                <w:sz w:val="22"/>
                <w:szCs w:val="22"/>
              </w:rPr>
              <w:lastRenderedPageBreak/>
              <w:t xml:space="preserve">‘Patients with hepatic impairment’, </w:t>
            </w:r>
            <w:r w:rsidRPr="00EE3F1D">
              <w:rPr>
                <w:rFonts w:asciiTheme="minorHAnsi" w:eastAsia="TimesNewRoman" w:hAnsiTheme="minorHAnsi"/>
                <w:sz w:val="22"/>
                <w:szCs w:val="22"/>
              </w:rPr>
              <w:t xml:space="preserve">the </w:t>
            </w:r>
            <w:r w:rsidR="00F151E8" w:rsidRPr="00EE3F1D">
              <w:rPr>
                <w:rFonts w:asciiTheme="minorHAnsi" w:eastAsia="TimesNewRoman" w:hAnsiTheme="minorHAnsi"/>
                <w:sz w:val="22"/>
                <w:szCs w:val="22"/>
              </w:rPr>
              <w:t xml:space="preserve">Dosage and Administration </w:t>
            </w:r>
            <w:r w:rsidRPr="00EE3F1D">
              <w:rPr>
                <w:rFonts w:asciiTheme="minorHAnsi" w:eastAsia="TimesNewRoman" w:hAnsiTheme="minorHAnsi"/>
                <w:sz w:val="22"/>
                <w:szCs w:val="22"/>
              </w:rPr>
              <w:t xml:space="preserve">section of the Australian PI states: </w:t>
            </w:r>
            <w:r w:rsidR="0089512A" w:rsidRPr="00EE3F1D">
              <w:rPr>
                <w:rFonts w:asciiTheme="minorHAnsi" w:hAnsiTheme="minorHAnsi"/>
                <w:i/>
                <w:sz w:val="22"/>
                <w:szCs w:val="22"/>
              </w:rPr>
              <w:t>‘</w:t>
            </w:r>
            <w:r w:rsidRPr="00EE3F1D">
              <w:rPr>
                <w:rFonts w:asciiTheme="minorHAnsi" w:hAnsiTheme="minorHAnsi"/>
                <w:i/>
                <w:sz w:val="22"/>
                <w:szCs w:val="22"/>
              </w:rPr>
              <w:t>Caution should be used in patients with severe renal impairment as there is no experience with ZYKADIA in this population (see Pharmacokinetics; Special Populations)</w:t>
            </w:r>
            <w:r w:rsidR="0089512A" w:rsidRPr="00EE3F1D">
              <w:rPr>
                <w:rFonts w:asciiTheme="minorHAnsi" w:hAnsiTheme="minorHAnsi"/>
                <w:i/>
                <w:sz w:val="22"/>
                <w:szCs w:val="22"/>
              </w:rPr>
              <w:t>’</w:t>
            </w:r>
            <w:r w:rsidRPr="00EE3F1D">
              <w:rPr>
                <w:rFonts w:asciiTheme="minorHAnsi" w:hAnsiTheme="minorHAnsi"/>
                <w:i/>
                <w:sz w:val="22"/>
                <w:szCs w:val="22"/>
              </w:rPr>
              <w:t>.</w:t>
            </w:r>
            <w:r w:rsidR="000E3918" w:rsidRPr="00EE3F1D">
              <w:rPr>
                <w:rFonts w:asciiTheme="minorHAnsi" w:hAnsiTheme="minorHAnsi"/>
                <w:sz w:val="22"/>
                <w:szCs w:val="22"/>
              </w:rPr>
              <w:t xml:space="preserve"> </w:t>
            </w:r>
            <w:r w:rsidRPr="00EE3F1D">
              <w:rPr>
                <w:rFonts w:asciiTheme="minorHAnsi" w:hAnsiTheme="minorHAnsi"/>
                <w:sz w:val="22"/>
                <w:szCs w:val="22"/>
              </w:rPr>
              <w:t xml:space="preserve">However this internal cross reference states: </w:t>
            </w:r>
            <w:r w:rsidR="0089512A" w:rsidRPr="00EE3F1D">
              <w:rPr>
                <w:rFonts w:asciiTheme="minorHAnsi" w:hAnsiTheme="minorHAnsi"/>
                <w:i/>
                <w:sz w:val="22"/>
                <w:szCs w:val="22"/>
              </w:rPr>
              <w:t>‘</w:t>
            </w:r>
            <w:r w:rsidRPr="00EE3F1D">
              <w:rPr>
                <w:rFonts w:asciiTheme="minorHAnsi" w:hAnsiTheme="minorHAnsi"/>
                <w:i/>
                <w:sz w:val="22"/>
                <w:szCs w:val="22"/>
              </w:rPr>
              <w:t>The pharmacokinetics of ceritinib has not been studied in patients with moderate to severe hepatic impairment. A recommended dose has not been determined for patients with moderate to severe hepatic impairment</w:t>
            </w:r>
            <w:r w:rsidR="0089512A" w:rsidRPr="00EE3F1D">
              <w:rPr>
                <w:rFonts w:asciiTheme="minorHAnsi" w:hAnsiTheme="minorHAnsi"/>
                <w:i/>
                <w:sz w:val="22"/>
                <w:szCs w:val="22"/>
              </w:rPr>
              <w:t>’</w:t>
            </w:r>
            <w:r w:rsidRPr="00EE3F1D">
              <w:rPr>
                <w:rFonts w:asciiTheme="minorHAnsi" w:hAnsiTheme="minorHAnsi"/>
                <w:i/>
                <w:sz w:val="22"/>
                <w:szCs w:val="22"/>
              </w:rPr>
              <w:t>.</w:t>
            </w:r>
            <w:r w:rsidR="000E3918" w:rsidRPr="00EE3F1D">
              <w:rPr>
                <w:rFonts w:asciiTheme="minorHAnsi" w:hAnsiTheme="minorHAnsi"/>
                <w:sz w:val="22"/>
                <w:szCs w:val="22"/>
              </w:rPr>
              <w:t xml:space="preserve"> </w:t>
            </w:r>
            <w:r w:rsidRPr="00EE3F1D">
              <w:rPr>
                <w:rFonts w:asciiTheme="minorHAnsi" w:hAnsiTheme="minorHAnsi"/>
                <w:sz w:val="22"/>
                <w:szCs w:val="22"/>
              </w:rPr>
              <w:t xml:space="preserve">Consequently the cautionary statement should be amended to: </w:t>
            </w:r>
            <w:r w:rsidR="0089512A" w:rsidRPr="00EE3F1D">
              <w:rPr>
                <w:rFonts w:asciiTheme="minorHAnsi" w:hAnsiTheme="minorHAnsi"/>
                <w:i/>
                <w:sz w:val="22"/>
                <w:szCs w:val="22"/>
              </w:rPr>
              <w:t>‘</w:t>
            </w:r>
            <w:r w:rsidRPr="00EE3F1D">
              <w:rPr>
                <w:rFonts w:asciiTheme="minorHAnsi" w:eastAsiaTheme="minorHAnsi" w:hAnsiTheme="minorHAnsi"/>
                <w:i/>
                <w:sz w:val="22"/>
                <w:szCs w:val="22"/>
                <w:u w:val="single"/>
              </w:rPr>
              <w:t>Ceritinib is not recommended for patients with moderate to severe hepatic impairment</w:t>
            </w:r>
            <w:r w:rsidR="0089512A" w:rsidRPr="00EE3F1D">
              <w:rPr>
                <w:rFonts w:asciiTheme="minorHAnsi" w:eastAsiaTheme="minorHAnsi" w:hAnsiTheme="minorHAnsi"/>
                <w:i/>
                <w:sz w:val="22"/>
                <w:szCs w:val="22"/>
              </w:rPr>
              <w:t>’</w:t>
            </w:r>
            <w:r w:rsidRPr="00EE3F1D">
              <w:rPr>
                <w:rFonts w:asciiTheme="minorHAnsi" w:eastAsiaTheme="minorHAnsi" w:hAnsiTheme="minorHAnsi"/>
                <w:sz w:val="22"/>
                <w:szCs w:val="22"/>
              </w:rPr>
              <w:t xml:space="preserve"> or words to that effect.</w:t>
            </w:r>
            <w:r w:rsidR="000E3918" w:rsidRPr="00EE3F1D">
              <w:rPr>
                <w:rFonts w:asciiTheme="minorHAnsi" w:eastAsiaTheme="minorHAnsi" w:hAnsiTheme="minorHAnsi"/>
                <w:sz w:val="22"/>
                <w:szCs w:val="22"/>
              </w:rPr>
              <w:t xml:space="preserve"> </w:t>
            </w:r>
            <w:r w:rsidRPr="00EE3F1D">
              <w:rPr>
                <w:rFonts w:asciiTheme="minorHAnsi" w:eastAsia="TimesNewRoman" w:hAnsiTheme="minorHAnsi"/>
                <w:sz w:val="22"/>
                <w:szCs w:val="22"/>
              </w:rPr>
              <w:t xml:space="preserve">This would ensure internal consistency within the Australian PI, align with the approved EU </w:t>
            </w:r>
            <w:r w:rsidRPr="00EE3F1D">
              <w:rPr>
                <w:rFonts w:asciiTheme="minorHAnsi" w:hAnsiTheme="minorHAnsi"/>
                <w:sz w:val="22"/>
                <w:szCs w:val="22"/>
              </w:rPr>
              <w:t>SmPC and enhance the safe use of this medicine.</w:t>
            </w:r>
          </w:p>
          <w:p w14:paraId="717BFA00" w14:textId="77777777" w:rsidR="00F95E3B" w:rsidRPr="00EE3F1D" w:rsidRDefault="00F95E3B" w:rsidP="00EE3F1D">
            <w:pPr>
              <w:pStyle w:val="ListParagraph"/>
              <w:numPr>
                <w:ilvl w:val="0"/>
                <w:numId w:val="13"/>
              </w:numPr>
              <w:tabs>
                <w:tab w:val="clear" w:pos="284"/>
                <w:tab w:val="clear" w:pos="1134"/>
                <w:tab w:val="left" w:pos="426"/>
              </w:tabs>
              <w:ind w:left="426" w:hanging="426"/>
              <w:rPr>
                <w:rFonts w:asciiTheme="minorHAnsi" w:hAnsiTheme="minorHAnsi"/>
                <w:sz w:val="22"/>
                <w:szCs w:val="22"/>
              </w:rPr>
            </w:pPr>
            <w:r w:rsidRPr="00EE3F1D">
              <w:rPr>
                <w:rFonts w:asciiTheme="minorHAnsi" w:hAnsiTheme="minorHAnsi"/>
                <w:sz w:val="22"/>
                <w:szCs w:val="22"/>
              </w:rPr>
              <w:t>For the important potential risk: ‘</w:t>
            </w:r>
            <w:r w:rsidRPr="00EE3F1D">
              <w:rPr>
                <w:rFonts w:asciiTheme="minorHAnsi" w:eastAsiaTheme="minorHAnsi" w:hAnsiTheme="minorHAnsi"/>
                <w:sz w:val="22"/>
                <w:szCs w:val="22"/>
              </w:rPr>
              <w:t xml:space="preserve">Concomitant use of ceritinib and strong CYP3A inhibitors or strong CYP3A inducers’, </w:t>
            </w:r>
            <w:r w:rsidRPr="00EE3F1D">
              <w:rPr>
                <w:rFonts w:asciiTheme="minorHAnsi" w:eastAsia="TimesNewRoman" w:hAnsiTheme="minorHAnsi"/>
                <w:sz w:val="22"/>
                <w:szCs w:val="22"/>
              </w:rPr>
              <w:t xml:space="preserve">the </w:t>
            </w:r>
            <w:r w:rsidR="00F151E8" w:rsidRPr="00EE3F1D">
              <w:rPr>
                <w:rFonts w:asciiTheme="minorHAnsi" w:eastAsia="TimesNewRoman" w:hAnsiTheme="minorHAnsi"/>
                <w:sz w:val="22"/>
                <w:szCs w:val="22"/>
              </w:rPr>
              <w:t xml:space="preserve">Dosage and Administration </w:t>
            </w:r>
            <w:r w:rsidRPr="00EE3F1D">
              <w:rPr>
                <w:rFonts w:asciiTheme="minorHAnsi" w:eastAsia="TimesNewRoman" w:hAnsiTheme="minorHAnsi"/>
                <w:sz w:val="22"/>
                <w:szCs w:val="22"/>
              </w:rPr>
              <w:t xml:space="preserve">section of the Australian PI may be amended as follows: </w:t>
            </w:r>
            <w:r w:rsidR="0089512A" w:rsidRPr="00EE3F1D">
              <w:rPr>
                <w:rFonts w:asciiTheme="minorHAnsi" w:hAnsiTheme="minorHAnsi"/>
                <w:i/>
                <w:sz w:val="22"/>
                <w:szCs w:val="22"/>
              </w:rPr>
              <w:t>‘</w:t>
            </w:r>
            <w:r w:rsidRPr="00EE3F1D">
              <w:rPr>
                <w:rFonts w:asciiTheme="minorHAnsi" w:hAnsiTheme="minorHAnsi"/>
                <w:i/>
                <w:sz w:val="22"/>
                <w:szCs w:val="22"/>
              </w:rPr>
              <w:t xml:space="preserve">Avoid concurrent use of strong CYP3A inhibitors during treatment with ZYKADIA (see Interactions with other Medicines). If concomitant use of a strong CYP3A inhibitor is unavoidable, reduce the ZYKADIA dose by </w:t>
            </w:r>
            <w:r w:rsidR="001762D3" w:rsidRPr="00EE3F1D">
              <w:rPr>
                <w:rFonts w:asciiTheme="minorHAnsi" w:hAnsiTheme="minorHAnsi"/>
                <w:i/>
                <w:sz w:val="22"/>
                <w:szCs w:val="22"/>
              </w:rPr>
              <w:lastRenderedPageBreak/>
              <w:t xml:space="preserve">approximately </w:t>
            </w:r>
            <w:r w:rsidRPr="00EE3F1D">
              <w:rPr>
                <w:rFonts w:asciiTheme="minorHAnsi" w:hAnsiTheme="minorHAnsi"/>
                <w:i/>
                <w:sz w:val="22"/>
                <w:szCs w:val="22"/>
              </w:rPr>
              <w:t>one-third, rounded to the nearest multiple of the 150 mg dosage strength.</w:t>
            </w:r>
            <w:r w:rsidR="000E3918" w:rsidRPr="00EE3F1D">
              <w:rPr>
                <w:rFonts w:asciiTheme="minorHAnsi" w:hAnsiTheme="minorHAnsi"/>
                <w:i/>
                <w:sz w:val="22"/>
                <w:szCs w:val="22"/>
              </w:rPr>
              <w:t xml:space="preserve"> </w:t>
            </w:r>
            <w:r w:rsidRPr="00EE3F1D">
              <w:rPr>
                <w:rFonts w:asciiTheme="minorHAnsi" w:hAnsiTheme="minorHAnsi"/>
                <w:i/>
                <w:sz w:val="22"/>
                <w:szCs w:val="22"/>
                <w:u w:val="single"/>
              </w:rPr>
              <w:t>Patients should be carefully monitored for safety.</w:t>
            </w:r>
            <w:r w:rsidR="000E3918" w:rsidRPr="00EE3F1D">
              <w:rPr>
                <w:rFonts w:asciiTheme="minorHAnsi" w:hAnsiTheme="minorHAnsi"/>
                <w:i/>
                <w:sz w:val="22"/>
                <w:szCs w:val="22"/>
                <w:u w:val="single"/>
              </w:rPr>
              <w:t xml:space="preserve"> </w:t>
            </w:r>
            <w:r w:rsidRPr="00EE3F1D">
              <w:rPr>
                <w:rFonts w:asciiTheme="minorHAnsi" w:hAnsiTheme="minorHAnsi"/>
                <w:i/>
                <w:sz w:val="22"/>
                <w:szCs w:val="22"/>
                <w:u w:val="single"/>
              </w:rPr>
              <w:t>If long-term concomitant treatment with a strong CYP3A inhibitor is necessary and the patient tolerates the reduced dose well, the dose may be increased again with careful monitoring for safety, to avoid potential under-treatment</w:t>
            </w:r>
            <w:r w:rsidRPr="00EE3F1D">
              <w:rPr>
                <w:rFonts w:asciiTheme="minorHAnsi" w:hAnsiTheme="minorHAnsi"/>
                <w:i/>
                <w:sz w:val="22"/>
                <w:szCs w:val="22"/>
              </w:rPr>
              <w:t>. After discontinuation of a strong CYP3A inhibitor, resume the ZYKADIA dose that was taken prior to initiating the strong CYP3A4 inhibitor</w:t>
            </w:r>
            <w:r w:rsidR="0089512A" w:rsidRPr="00EE3F1D">
              <w:rPr>
                <w:rFonts w:asciiTheme="minorHAnsi" w:hAnsiTheme="minorHAnsi"/>
                <w:i/>
                <w:sz w:val="22"/>
                <w:szCs w:val="22"/>
              </w:rPr>
              <w:t>’</w:t>
            </w:r>
            <w:r w:rsidRPr="00EE3F1D">
              <w:rPr>
                <w:rFonts w:asciiTheme="minorHAnsi" w:hAnsiTheme="minorHAnsi"/>
                <w:i/>
                <w:sz w:val="22"/>
                <w:szCs w:val="22"/>
              </w:rPr>
              <w:t>.</w:t>
            </w:r>
            <w:r w:rsidR="000E3918" w:rsidRPr="00EE3F1D">
              <w:rPr>
                <w:rFonts w:asciiTheme="minorHAnsi" w:hAnsiTheme="minorHAnsi"/>
                <w:sz w:val="22"/>
                <w:szCs w:val="22"/>
              </w:rPr>
              <w:t xml:space="preserve"> </w:t>
            </w:r>
            <w:r w:rsidRPr="00EE3F1D">
              <w:rPr>
                <w:rFonts w:asciiTheme="minorHAnsi" w:eastAsia="TimesNewRoman" w:hAnsiTheme="minorHAnsi"/>
                <w:sz w:val="22"/>
                <w:szCs w:val="22"/>
              </w:rPr>
              <w:t xml:space="preserve">This would align with the approved EU </w:t>
            </w:r>
            <w:r w:rsidRPr="00EE3F1D">
              <w:rPr>
                <w:rFonts w:asciiTheme="minorHAnsi" w:hAnsiTheme="minorHAnsi"/>
                <w:sz w:val="22"/>
                <w:szCs w:val="22"/>
              </w:rPr>
              <w:t>SmPC and enhance the safe and effective use of this medicine.</w:t>
            </w:r>
          </w:p>
          <w:p w14:paraId="3C32D6D9" w14:textId="77777777" w:rsidR="00F95E3B" w:rsidRPr="00EE3F1D" w:rsidRDefault="00F95E3B" w:rsidP="00EE3F1D">
            <w:pPr>
              <w:pStyle w:val="ListParagraph"/>
              <w:numPr>
                <w:ilvl w:val="0"/>
                <w:numId w:val="13"/>
              </w:numPr>
              <w:tabs>
                <w:tab w:val="clear" w:pos="284"/>
                <w:tab w:val="clear" w:pos="1134"/>
                <w:tab w:val="left" w:pos="426"/>
              </w:tabs>
              <w:ind w:left="426" w:hanging="426"/>
              <w:rPr>
                <w:rFonts w:asciiTheme="minorHAnsi" w:hAnsiTheme="minorHAnsi" w:cs="Arial"/>
                <w:bCs/>
                <w:sz w:val="22"/>
                <w:szCs w:val="22"/>
              </w:rPr>
            </w:pPr>
            <w:r w:rsidRPr="00EE3F1D">
              <w:rPr>
                <w:rFonts w:asciiTheme="minorHAnsi" w:hAnsiTheme="minorHAnsi"/>
                <w:sz w:val="22"/>
                <w:szCs w:val="22"/>
              </w:rPr>
              <w:t xml:space="preserve">For the </w:t>
            </w:r>
            <w:r w:rsidRPr="00EE3F1D">
              <w:rPr>
                <w:rFonts w:asciiTheme="minorHAnsi" w:eastAsiaTheme="minorHAnsi" w:hAnsiTheme="minorHAnsi"/>
                <w:sz w:val="22"/>
                <w:szCs w:val="22"/>
              </w:rPr>
              <w:t>missing information: ‘</w:t>
            </w:r>
            <w:r w:rsidRPr="00EE3F1D">
              <w:rPr>
                <w:rFonts w:asciiTheme="minorHAnsi" w:eastAsiaTheme="minorHAnsi" w:hAnsiTheme="minorHAnsi" w:cs="Arial"/>
                <w:sz w:val="22"/>
                <w:szCs w:val="22"/>
              </w:rPr>
              <w:t>Concomitant use of ceritinib and gastric acid reducing agents such as PPIs’, the following information may be included under the subheading: ‘</w:t>
            </w:r>
            <w:r w:rsidRPr="00EE3F1D">
              <w:rPr>
                <w:rFonts w:asciiTheme="minorHAnsi" w:hAnsiTheme="minorHAnsi"/>
                <w:bCs/>
                <w:sz w:val="22"/>
                <w:szCs w:val="22"/>
              </w:rPr>
              <w:t xml:space="preserve">Agents that may decrease ceritinib plasma concentrations’ in the </w:t>
            </w:r>
            <w:r w:rsidR="00F151E8" w:rsidRPr="00EE3F1D">
              <w:rPr>
                <w:rFonts w:asciiTheme="minorHAnsi" w:hAnsiTheme="minorHAnsi"/>
                <w:bCs/>
                <w:sz w:val="22"/>
                <w:szCs w:val="22"/>
              </w:rPr>
              <w:t xml:space="preserve">Interactions with Other Medicines </w:t>
            </w:r>
            <w:r w:rsidRPr="00EE3F1D">
              <w:rPr>
                <w:rFonts w:asciiTheme="minorHAnsi" w:hAnsiTheme="minorHAnsi"/>
                <w:bCs/>
                <w:sz w:val="22"/>
                <w:szCs w:val="22"/>
              </w:rPr>
              <w:t>section</w:t>
            </w:r>
            <w:r w:rsidRPr="00EE3F1D">
              <w:rPr>
                <w:rFonts w:asciiTheme="minorHAnsi" w:eastAsia="TimesNewRoman" w:hAnsiTheme="minorHAnsi"/>
                <w:sz w:val="22"/>
                <w:szCs w:val="22"/>
              </w:rPr>
              <w:t xml:space="preserve"> of the Australian PI: </w:t>
            </w:r>
            <w:r w:rsidR="0089512A" w:rsidRPr="00EE3F1D">
              <w:rPr>
                <w:rFonts w:asciiTheme="minorHAnsi" w:eastAsia="TimesNewRoman" w:hAnsiTheme="minorHAnsi"/>
                <w:i/>
                <w:sz w:val="22"/>
                <w:szCs w:val="22"/>
              </w:rPr>
              <w:t>‘</w:t>
            </w:r>
            <w:r w:rsidRPr="00EE3F1D">
              <w:rPr>
                <w:rFonts w:asciiTheme="minorHAnsi" w:eastAsiaTheme="minorHAnsi" w:hAnsiTheme="minorHAnsi"/>
                <w:i/>
                <w:sz w:val="22"/>
                <w:szCs w:val="22"/>
                <w:u w:val="single"/>
              </w:rPr>
              <w:t xml:space="preserve">Caution should be exercised with concomitant use of P-gp inducers. Gastric acid-reducing agents (e.g. proton pump inhibitors, H2-receptor antagonists, antacids) may alter the solubility of ceritinib and reduce its bioavailability as ceritinib demonstrates pH-dependent solubility and becomes poorly soluble as pH increases </w:t>
            </w:r>
            <w:r w:rsidRPr="00EE3F1D">
              <w:rPr>
                <w:rFonts w:asciiTheme="minorHAnsi" w:eastAsiaTheme="minorHAnsi" w:hAnsiTheme="minorHAnsi" w:cs="Times New Roman,Italic"/>
                <w:i/>
                <w:iCs/>
                <w:sz w:val="22"/>
                <w:szCs w:val="22"/>
                <w:u w:val="single"/>
              </w:rPr>
              <w:t>in vitro</w:t>
            </w:r>
            <w:r w:rsidRPr="00EE3F1D">
              <w:rPr>
                <w:rFonts w:asciiTheme="minorHAnsi" w:eastAsiaTheme="minorHAnsi" w:hAnsiTheme="minorHAnsi"/>
                <w:i/>
                <w:sz w:val="22"/>
                <w:szCs w:val="22"/>
                <w:u w:val="single"/>
              </w:rPr>
              <w:t xml:space="preserve">. A dedicated study to evaluate </w:t>
            </w:r>
            <w:r w:rsidRPr="00EE3F1D">
              <w:rPr>
                <w:rFonts w:asciiTheme="minorHAnsi" w:eastAsiaTheme="minorHAnsi" w:hAnsiTheme="minorHAnsi"/>
                <w:i/>
                <w:sz w:val="22"/>
                <w:szCs w:val="22"/>
                <w:u w:val="single"/>
              </w:rPr>
              <w:lastRenderedPageBreak/>
              <w:t>the effect of gastric acid-reducing agents on the bioavailability of ceritinib has not been conducted</w:t>
            </w:r>
            <w:r w:rsidR="0089512A" w:rsidRPr="00EE3F1D">
              <w:rPr>
                <w:rFonts w:asciiTheme="minorHAnsi" w:eastAsiaTheme="minorHAnsi" w:hAnsiTheme="minorHAnsi"/>
                <w:i/>
                <w:sz w:val="22"/>
                <w:szCs w:val="22"/>
              </w:rPr>
              <w:t>’</w:t>
            </w:r>
            <w:r w:rsidRPr="00EE3F1D">
              <w:rPr>
                <w:rFonts w:asciiTheme="minorHAnsi" w:eastAsiaTheme="minorHAnsi" w:hAnsiTheme="minorHAnsi"/>
                <w:i/>
                <w:sz w:val="22"/>
                <w:szCs w:val="22"/>
              </w:rPr>
              <w:t>.</w:t>
            </w:r>
            <w:r w:rsidR="000E3918" w:rsidRPr="00EE3F1D">
              <w:rPr>
                <w:rFonts w:asciiTheme="minorHAnsi" w:eastAsiaTheme="minorHAnsi" w:hAnsiTheme="minorHAnsi"/>
                <w:sz w:val="22"/>
                <w:szCs w:val="22"/>
              </w:rPr>
              <w:t xml:space="preserve"> </w:t>
            </w:r>
            <w:r w:rsidRPr="00EE3F1D">
              <w:rPr>
                <w:rFonts w:asciiTheme="minorHAnsi" w:eastAsia="TimesNewRoman" w:hAnsiTheme="minorHAnsi"/>
                <w:sz w:val="22"/>
                <w:szCs w:val="22"/>
              </w:rPr>
              <w:t xml:space="preserve">This would align with the approved EU </w:t>
            </w:r>
            <w:r w:rsidRPr="00EE3F1D">
              <w:rPr>
                <w:rFonts w:asciiTheme="minorHAnsi" w:hAnsiTheme="minorHAnsi"/>
                <w:sz w:val="22"/>
                <w:szCs w:val="22"/>
              </w:rPr>
              <w:t xml:space="preserve">SmPC and enhance the safe use of this medicine. </w:t>
            </w:r>
          </w:p>
        </w:tc>
        <w:tc>
          <w:tcPr>
            <w:tcW w:w="1411" w:type="pct"/>
            <w:noWrap/>
          </w:tcPr>
          <w:p w14:paraId="05691EA0" w14:textId="77777777" w:rsidR="00F95E3B" w:rsidRPr="00EE3F1D" w:rsidRDefault="00F95E3B" w:rsidP="002343D4">
            <w:pPr>
              <w:autoSpaceDE w:val="0"/>
              <w:autoSpaceDN w:val="0"/>
              <w:adjustRightInd w:val="0"/>
              <w:rPr>
                <w:i/>
                <w:szCs w:val="22"/>
              </w:rPr>
            </w:pPr>
            <w:r w:rsidRPr="00EE3F1D">
              <w:rPr>
                <w:rFonts w:asciiTheme="minorHAnsi" w:hAnsiTheme="minorHAnsi"/>
                <w:szCs w:val="22"/>
              </w:rPr>
              <w:lastRenderedPageBreak/>
              <w:t xml:space="preserve">The sponsor </w:t>
            </w:r>
            <w:r w:rsidRPr="00EE3F1D">
              <w:rPr>
                <w:rFonts w:asciiTheme="minorHAnsi" w:hAnsiTheme="minorHAnsi"/>
                <w:color w:val="000000"/>
                <w:szCs w:val="22"/>
              </w:rPr>
              <w:t>has objected to this recommendation and provided justification for their position.</w:t>
            </w:r>
            <w:r w:rsidR="000E3918" w:rsidRPr="00EE3F1D">
              <w:rPr>
                <w:rFonts w:asciiTheme="minorHAnsi" w:hAnsiTheme="minorHAnsi"/>
                <w:color w:val="000000"/>
                <w:szCs w:val="22"/>
              </w:rPr>
              <w:t xml:space="preserve"> </w:t>
            </w:r>
            <w:r w:rsidRPr="00EE3F1D">
              <w:rPr>
                <w:rFonts w:asciiTheme="minorHAnsi" w:hAnsiTheme="minorHAnsi"/>
                <w:color w:val="000000"/>
                <w:szCs w:val="22"/>
              </w:rPr>
              <w:t xml:space="preserve">The sponsor has concluded: </w:t>
            </w:r>
            <w:r w:rsidR="0089512A" w:rsidRPr="00EE3F1D">
              <w:rPr>
                <w:rFonts w:asciiTheme="minorHAnsi" w:hAnsiTheme="minorHAnsi"/>
                <w:i/>
                <w:color w:val="000000"/>
                <w:szCs w:val="22"/>
              </w:rPr>
              <w:t>‘</w:t>
            </w:r>
            <w:r w:rsidRPr="00EE3F1D">
              <w:rPr>
                <w:i/>
                <w:szCs w:val="22"/>
              </w:rPr>
              <w:t>Therefore, monthly evaluation of liver laboratory tests is acceptable to follow patients for hepatotoxicity. The AU PI recommendation is based on the US PI, the Canadian Product Monograph, and the Swiss label</w:t>
            </w:r>
            <w:r w:rsidR="0089512A" w:rsidRPr="00EE3F1D">
              <w:rPr>
                <w:i/>
                <w:szCs w:val="22"/>
              </w:rPr>
              <w:t>’</w:t>
            </w:r>
            <w:r w:rsidRPr="00EE3F1D">
              <w:rPr>
                <w:i/>
                <w:szCs w:val="22"/>
              </w:rPr>
              <w:t>.</w:t>
            </w:r>
          </w:p>
          <w:p w14:paraId="2CC880CC" w14:textId="77777777" w:rsidR="00F95E3B" w:rsidRPr="00EE3F1D" w:rsidRDefault="00F95E3B" w:rsidP="002343D4">
            <w:pPr>
              <w:autoSpaceDE w:val="0"/>
              <w:autoSpaceDN w:val="0"/>
              <w:adjustRightInd w:val="0"/>
              <w:rPr>
                <w:i/>
                <w:szCs w:val="22"/>
              </w:rPr>
            </w:pPr>
            <w:r w:rsidRPr="00EE3F1D">
              <w:rPr>
                <w:szCs w:val="22"/>
              </w:rPr>
              <w:t xml:space="preserve">The sponsor states: </w:t>
            </w:r>
            <w:r w:rsidR="0089512A" w:rsidRPr="00EE3F1D">
              <w:rPr>
                <w:i/>
                <w:szCs w:val="22"/>
              </w:rPr>
              <w:t>‘</w:t>
            </w:r>
            <w:r w:rsidRPr="00EE3F1D">
              <w:rPr>
                <w:i/>
                <w:szCs w:val="22"/>
              </w:rPr>
              <w:t xml:space="preserve">Novartis acknowledges that the clinical and exposure data in patients with pre-existing moderate to severe hepatic impairment are not currently </w:t>
            </w:r>
            <w:r w:rsidRPr="00EE3F1D">
              <w:rPr>
                <w:i/>
                <w:szCs w:val="22"/>
              </w:rPr>
              <w:lastRenderedPageBreak/>
              <w:t>available, and therefore, agrees that ceritinib should not be recommended in patients with moderate to severe hepatic impairment. The Australian PI Dosage and Administration section [module 1.3.1.2], Precautions section [module 1.3.1.2] and Pharmacodynamics section [module 1.3.1.2] have been amended to align with the EU SmPC language</w:t>
            </w:r>
            <w:r w:rsidR="0089512A" w:rsidRPr="00EE3F1D">
              <w:rPr>
                <w:i/>
                <w:szCs w:val="22"/>
              </w:rPr>
              <w:t>’</w:t>
            </w:r>
            <w:r w:rsidRPr="00EE3F1D">
              <w:rPr>
                <w:i/>
                <w:szCs w:val="22"/>
              </w:rPr>
              <w:t>.</w:t>
            </w:r>
          </w:p>
          <w:p w14:paraId="504E5B8B" w14:textId="77777777" w:rsidR="00F95E3B" w:rsidRPr="00EE3F1D" w:rsidRDefault="00F95E3B" w:rsidP="002343D4">
            <w:pPr>
              <w:autoSpaceDE w:val="0"/>
              <w:autoSpaceDN w:val="0"/>
              <w:adjustRightInd w:val="0"/>
              <w:rPr>
                <w:i/>
                <w:szCs w:val="22"/>
              </w:rPr>
            </w:pPr>
            <w:r w:rsidRPr="00EE3F1D">
              <w:rPr>
                <w:szCs w:val="22"/>
              </w:rPr>
              <w:t xml:space="preserve">The sponsor states: </w:t>
            </w:r>
            <w:r w:rsidR="0089512A" w:rsidRPr="00EE3F1D">
              <w:rPr>
                <w:i/>
                <w:szCs w:val="22"/>
              </w:rPr>
              <w:t>‘</w:t>
            </w:r>
            <w:r w:rsidRPr="00EE3F1D">
              <w:rPr>
                <w:i/>
                <w:szCs w:val="22"/>
              </w:rPr>
              <w:t>Novartis agrees to include in the DOSAGE AND ADMINISTRATION section of the Australian PI [module 1.3.1.2] the additional information regarding strong CYP3A inhibitors</w:t>
            </w:r>
            <w:r w:rsidR="0089512A" w:rsidRPr="00EE3F1D">
              <w:rPr>
                <w:i/>
                <w:szCs w:val="22"/>
              </w:rPr>
              <w:t>’</w:t>
            </w:r>
            <w:r w:rsidRPr="00EE3F1D">
              <w:rPr>
                <w:i/>
                <w:szCs w:val="22"/>
              </w:rPr>
              <w:t>.</w:t>
            </w:r>
          </w:p>
          <w:p w14:paraId="558A5928" w14:textId="77777777" w:rsidR="00F95E3B" w:rsidRPr="00EE3F1D" w:rsidRDefault="00F95E3B" w:rsidP="002343D4">
            <w:pPr>
              <w:autoSpaceDE w:val="0"/>
              <w:autoSpaceDN w:val="0"/>
              <w:adjustRightInd w:val="0"/>
              <w:rPr>
                <w:rFonts w:asciiTheme="minorHAnsi" w:hAnsiTheme="minorHAnsi"/>
                <w:szCs w:val="22"/>
              </w:rPr>
            </w:pPr>
            <w:r w:rsidRPr="00EE3F1D">
              <w:rPr>
                <w:szCs w:val="22"/>
              </w:rPr>
              <w:t xml:space="preserve">The sponsor states: </w:t>
            </w:r>
            <w:r w:rsidR="0089512A" w:rsidRPr="00EE3F1D">
              <w:rPr>
                <w:i/>
                <w:szCs w:val="22"/>
              </w:rPr>
              <w:t>‘</w:t>
            </w:r>
            <w:r w:rsidRPr="00EE3F1D">
              <w:rPr>
                <w:i/>
                <w:szCs w:val="22"/>
              </w:rPr>
              <w:t xml:space="preserve">The applicant acknowledged that data regarding the potential interaction of ceritinib with H2-blockers/proton pump inhibitors are not currently available and therefore agrees to add this information in the Australian PI </w:t>
            </w:r>
            <w:r w:rsidR="00F151E8" w:rsidRPr="00EE3F1D">
              <w:rPr>
                <w:i/>
                <w:szCs w:val="22"/>
              </w:rPr>
              <w:lastRenderedPageBreak/>
              <w:t xml:space="preserve">Interactions </w:t>
            </w:r>
            <w:r w:rsidRPr="00EE3F1D">
              <w:rPr>
                <w:i/>
                <w:szCs w:val="22"/>
              </w:rPr>
              <w:t>section [module 1.3.1.2]</w:t>
            </w:r>
            <w:r w:rsidR="0089512A" w:rsidRPr="00EE3F1D">
              <w:rPr>
                <w:i/>
                <w:szCs w:val="22"/>
              </w:rPr>
              <w:t>’</w:t>
            </w:r>
            <w:r w:rsidRPr="00EE3F1D">
              <w:rPr>
                <w:i/>
                <w:szCs w:val="22"/>
              </w:rPr>
              <w:t>.</w:t>
            </w:r>
          </w:p>
        </w:tc>
        <w:tc>
          <w:tcPr>
            <w:tcW w:w="1512" w:type="pct"/>
            <w:noWrap/>
          </w:tcPr>
          <w:p w14:paraId="0200E3CD" w14:textId="77777777" w:rsidR="00F95E3B" w:rsidRPr="00EE3F1D" w:rsidRDefault="00F95E3B" w:rsidP="002343D4">
            <w:pPr>
              <w:autoSpaceDE w:val="0"/>
              <w:autoSpaceDN w:val="0"/>
              <w:adjustRightInd w:val="0"/>
              <w:rPr>
                <w:rFonts w:asciiTheme="minorHAnsi" w:eastAsia="TimesNewRoman" w:hAnsiTheme="minorHAnsi"/>
                <w:szCs w:val="22"/>
              </w:rPr>
            </w:pPr>
            <w:r w:rsidRPr="00EE3F1D">
              <w:rPr>
                <w:rFonts w:asciiTheme="minorHAnsi" w:hAnsiTheme="minorHAnsi" w:cs="TimesNewRoman"/>
                <w:szCs w:val="22"/>
              </w:rPr>
              <w:lastRenderedPageBreak/>
              <w:t>This is acceptable</w:t>
            </w:r>
            <w:r w:rsidRPr="00EE3F1D">
              <w:rPr>
                <w:rFonts w:asciiTheme="minorHAnsi" w:eastAsia="TimesNewRoman" w:hAnsiTheme="minorHAnsi"/>
                <w:szCs w:val="22"/>
              </w:rPr>
              <w:t>.</w:t>
            </w:r>
          </w:p>
          <w:p w14:paraId="2F64037F" w14:textId="77777777" w:rsidR="00F95E3B" w:rsidRPr="00EE3F1D" w:rsidRDefault="00F95E3B" w:rsidP="002343D4">
            <w:pPr>
              <w:autoSpaceDE w:val="0"/>
              <w:autoSpaceDN w:val="0"/>
              <w:adjustRightInd w:val="0"/>
              <w:rPr>
                <w:rFonts w:asciiTheme="minorHAnsi" w:eastAsia="TimesNewRoman" w:hAnsiTheme="minorHAnsi"/>
                <w:szCs w:val="22"/>
              </w:rPr>
            </w:pPr>
            <w:r w:rsidRPr="00EE3F1D">
              <w:rPr>
                <w:rFonts w:asciiTheme="minorHAnsi" w:hAnsiTheme="minorHAnsi" w:cs="TimesNewRoman"/>
                <w:szCs w:val="22"/>
              </w:rPr>
              <w:t>This is acceptable</w:t>
            </w:r>
            <w:r w:rsidRPr="00EE3F1D">
              <w:rPr>
                <w:rFonts w:asciiTheme="minorHAnsi" w:eastAsia="TimesNewRoman" w:hAnsiTheme="minorHAnsi"/>
                <w:szCs w:val="22"/>
              </w:rPr>
              <w:t xml:space="preserve">. </w:t>
            </w:r>
          </w:p>
          <w:p w14:paraId="364AA7A0" w14:textId="77777777" w:rsidR="00F95E3B" w:rsidRPr="00EE3F1D" w:rsidRDefault="00F95E3B" w:rsidP="002343D4">
            <w:pPr>
              <w:autoSpaceDE w:val="0"/>
              <w:autoSpaceDN w:val="0"/>
              <w:adjustRightInd w:val="0"/>
              <w:rPr>
                <w:rFonts w:asciiTheme="minorHAnsi" w:eastAsia="TimesNewRoman" w:hAnsiTheme="minorHAnsi"/>
                <w:szCs w:val="22"/>
              </w:rPr>
            </w:pPr>
            <w:r w:rsidRPr="00EE3F1D">
              <w:rPr>
                <w:rFonts w:asciiTheme="minorHAnsi" w:hAnsiTheme="minorHAnsi" w:cs="TimesNewRoman"/>
                <w:szCs w:val="22"/>
              </w:rPr>
              <w:t>This is acceptable</w:t>
            </w:r>
            <w:r w:rsidRPr="00EE3F1D">
              <w:rPr>
                <w:rFonts w:asciiTheme="minorHAnsi" w:eastAsia="TimesNewRoman" w:hAnsiTheme="minorHAnsi"/>
                <w:szCs w:val="22"/>
              </w:rPr>
              <w:t>.</w:t>
            </w:r>
          </w:p>
          <w:p w14:paraId="61EA1DAA" w14:textId="77777777" w:rsidR="00F95E3B" w:rsidRPr="00EE3F1D" w:rsidRDefault="00F95E3B" w:rsidP="002343D4">
            <w:pPr>
              <w:autoSpaceDE w:val="0"/>
              <w:autoSpaceDN w:val="0"/>
              <w:adjustRightInd w:val="0"/>
              <w:rPr>
                <w:rFonts w:asciiTheme="minorHAnsi" w:hAnsiTheme="minorHAnsi"/>
                <w:color w:val="000000"/>
                <w:szCs w:val="22"/>
              </w:rPr>
            </w:pPr>
            <w:r w:rsidRPr="00EE3F1D">
              <w:rPr>
                <w:rFonts w:asciiTheme="minorHAnsi" w:hAnsiTheme="minorHAnsi" w:cs="TimesNewRoman"/>
                <w:szCs w:val="22"/>
              </w:rPr>
              <w:t>This is acceptable</w:t>
            </w:r>
            <w:r w:rsidRPr="00EE3F1D">
              <w:rPr>
                <w:rFonts w:asciiTheme="minorHAnsi" w:eastAsia="TimesNewRoman" w:hAnsiTheme="minorHAnsi"/>
                <w:szCs w:val="22"/>
              </w:rPr>
              <w:t>.</w:t>
            </w:r>
          </w:p>
        </w:tc>
      </w:tr>
      <w:tr w:rsidR="00F95E3B" w:rsidRPr="00F56FEC" w14:paraId="588DAAAC" w14:textId="77777777" w:rsidTr="00F56FEC">
        <w:trPr>
          <w:trHeight w:val="1153"/>
        </w:trPr>
        <w:tc>
          <w:tcPr>
            <w:tcW w:w="2077" w:type="pct"/>
            <w:gridSpan w:val="2"/>
            <w:noWrap/>
          </w:tcPr>
          <w:p w14:paraId="06226E29" w14:textId="77777777" w:rsidR="00F95E3B" w:rsidRPr="00EE3F1D" w:rsidRDefault="00F95E3B" w:rsidP="00F56FEC">
            <w:pPr>
              <w:pStyle w:val="ListParagraph"/>
              <w:numPr>
                <w:ilvl w:val="0"/>
                <w:numId w:val="37"/>
              </w:numPr>
              <w:rPr>
                <w:rFonts w:asciiTheme="minorHAnsi" w:hAnsiTheme="minorHAnsi"/>
                <w:sz w:val="22"/>
                <w:szCs w:val="22"/>
              </w:rPr>
            </w:pPr>
            <w:r w:rsidRPr="00EE3F1D">
              <w:rPr>
                <w:rFonts w:asciiTheme="minorHAnsi" w:hAnsiTheme="minorHAnsi"/>
                <w:sz w:val="22"/>
                <w:szCs w:val="22"/>
              </w:rPr>
              <w:lastRenderedPageBreak/>
              <w:t xml:space="preserve">In regard to the proposed routine risk minimisation activities, it is recommended to the Delegate that the draft consumer medicine information document be revised to adequately reflect any changes made to the Australian PI as a result of the above recommendations. </w:t>
            </w:r>
          </w:p>
        </w:tc>
        <w:tc>
          <w:tcPr>
            <w:tcW w:w="1411" w:type="pct"/>
            <w:noWrap/>
          </w:tcPr>
          <w:p w14:paraId="71E8C779" w14:textId="77777777" w:rsidR="00F95E3B" w:rsidRPr="00EE3F1D" w:rsidRDefault="00F95E3B" w:rsidP="002343D4">
            <w:pPr>
              <w:autoSpaceDE w:val="0"/>
              <w:autoSpaceDN w:val="0"/>
              <w:adjustRightInd w:val="0"/>
              <w:rPr>
                <w:rFonts w:asciiTheme="minorHAnsi" w:hAnsiTheme="minorHAnsi"/>
                <w:szCs w:val="22"/>
              </w:rPr>
            </w:pPr>
            <w:r w:rsidRPr="00EE3F1D">
              <w:rPr>
                <w:szCs w:val="22"/>
              </w:rPr>
              <w:t xml:space="preserve">The sponsor states: </w:t>
            </w:r>
            <w:r w:rsidR="0089512A" w:rsidRPr="00EE3F1D">
              <w:rPr>
                <w:i/>
                <w:szCs w:val="22"/>
              </w:rPr>
              <w:t>‘</w:t>
            </w:r>
            <w:r w:rsidRPr="00EE3F1D">
              <w:rPr>
                <w:i/>
                <w:szCs w:val="22"/>
              </w:rPr>
              <w:t>Novartis agrees to amend the CMI in line with the PI changes [module 1.3.2]</w:t>
            </w:r>
            <w:r w:rsidR="0089512A" w:rsidRPr="00EE3F1D">
              <w:rPr>
                <w:i/>
                <w:szCs w:val="22"/>
              </w:rPr>
              <w:t>’</w:t>
            </w:r>
            <w:r w:rsidRPr="00EE3F1D">
              <w:rPr>
                <w:i/>
                <w:szCs w:val="22"/>
              </w:rPr>
              <w:t>.</w:t>
            </w:r>
          </w:p>
        </w:tc>
        <w:tc>
          <w:tcPr>
            <w:tcW w:w="1512" w:type="pct"/>
            <w:noWrap/>
          </w:tcPr>
          <w:p w14:paraId="0A397016" w14:textId="77777777" w:rsidR="00F95E3B" w:rsidRPr="00EE3F1D" w:rsidRDefault="00F95E3B" w:rsidP="002343D4">
            <w:pPr>
              <w:autoSpaceDE w:val="0"/>
              <w:autoSpaceDN w:val="0"/>
              <w:adjustRightInd w:val="0"/>
              <w:rPr>
                <w:rFonts w:asciiTheme="minorHAnsi" w:hAnsiTheme="minorHAnsi"/>
                <w:color w:val="000000"/>
                <w:szCs w:val="22"/>
              </w:rPr>
            </w:pPr>
            <w:r w:rsidRPr="00EE3F1D">
              <w:rPr>
                <w:rFonts w:asciiTheme="minorHAnsi" w:hAnsiTheme="minorHAnsi" w:cs="TimesNewRoman"/>
                <w:szCs w:val="22"/>
              </w:rPr>
              <w:t>This is acceptable</w:t>
            </w:r>
            <w:r w:rsidRPr="00EE3F1D">
              <w:rPr>
                <w:rFonts w:asciiTheme="minorHAnsi" w:eastAsia="TimesNewRoman" w:hAnsiTheme="minorHAnsi"/>
                <w:szCs w:val="22"/>
              </w:rPr>
              <w:t xml:space="preserve">. </w:t>
            </w:r>
          </w:p>
        </w:tc>
      </w:tr>
    </w:tbl>
    <w:p w14:paraId="4DD9688B" w14:textId="77777777" w:rsidR="006646C1" w:rsidRDefault="008E7846" w:rsidP="006646C1">
      <w:pPr>
        <w:pStyle w:val="Heading4"/>
        <w:rPr>
          <w:lang w:eastAsia="en-AU"/>
        </w:rPr>
      </w:pPr>
      <w:r>
        <w:rPr>
          <w:lang w:eastAsia="en-AU"/>
        </w:rPr>
        <w:t xml:space="preserve">Summary of </w:t>
      </w:r>
      <w:r w:rsidR="003A7F6C">
        <w:rPr>
          <w:lang w:eastAsia="en-AU"/>
        </w:rPr>
        <w:t>r</w:t>
      </w:r>
      <w:r>
        <w:rPr>
          <w:lang w:eastAsia="en-AU"/>
        </w:rPr>
        <w:t>ecommendations</w:t>
      </w:r>
    </w:p>
    <w:p w14:paraId="288C7118" w14:textId="77777777" w:rsidR="00F151E8" w:rsidRPr="006646C1" w:rsidRDefault="00F151E8" w:rsidP="006646C1">
      <w:pPr>
        <w:rPr>
          <w:szCs w:val="21"/>
          <w:lang w:eastAsia="en-AU"/>
        </w:rPr>
      </w:pPr>
      <w:r w:rsidRPr="009F15FD">
        <w:t>This document seeks to reconcile issues identified in the RMP evaluation report for the above submission with consideration of the following documents:</w:t>
      </w:r>
    </w:p>
    <w:p w14:paraId="2EDB5BF8" w14:textId="77777777" w:rsidR="00F151E8" w:rsidRPr="00157D91" w:rsidRDefault="00F151E8" w:rsidP="006646C1">
      <w:pPr>
        <w:pStyle w:val="Numberbullet0"/>
        <w:rPr>
          <w:rFonts w:cstheme="majorHAnsi"/>
          <w:szCs w:val="21"/>
        </w:rPr>
      </w:pPr>
      <w:r w:rsidRPr="00157D91">
        <w:t xml:space="preserve">The </w:t>
      </w:r>
      <w:r>
        <w:t>updated EU-RMP for Ceritinib (Version 2.5</w:t>
      </w:r>
      <w:r w:rsidRPr="00157D91">
        <w:t xml:space="preserve">, dated </w:t>
      </w:r>
      <w:r>
        <w:t>29 April</w:t>
      </w:r>
      <w:r w:rsidRPr="00157D91">
        <w:t xml:space="preserve"> 201</w:t>
      </w:r>
      <w:r>
        <w:t>5</w:t>
      </w:r>
      <w:r w:rsidRPr="00157D91">
        <w:t xml:space="preserve">) </w:t>
      </w:r>
      <w:r>
        <w:t>with an updated ASA (Version</w:t>
      </w:r>
      <w:r>
        <w:sym w:font="Symbol" w:char="F020"/>
      </w:r>
      <w:r>
        <w:t>2.0</w:t>
      </w:r>
      <w:r w:rsidRPr="00157D91">
        <w:t xml:space="preserve">, dated </w:t>
      </w:r>
      <w:r>
        <w:t>23 November</w:t>
      </w:r>
      <w:r w:rsidRPr="00157D91">
        <w:t xml:space="preserve"> 2015)</w:t>
      </w:r>
    </w:p>
    <w:p w14:paraId="3064000D" w14:textId="77777777" w:rsidR="00F151E8" w:rsidRPr="00157D91" w:rsidRDefault="00F151E8" w:rsidP="006646C1">
      <w:pPr>
        <w:pStyle w:val="Numberbullet0"/>
        <w:rPr>
          <w:rFonts w:cstheme="majorHAnsi"/>
        </w:rPr>
      </w:pPr>
      <w:r w:rsidRPr="00157D91">
        <w:rPr>
          <w:rFonts w:cstheme="majorHAnsi"/>
        </w:rPr>
        <w:t>Sponsor’s response to TGA</w:t>
      </w:r>
      <w:r w:rsidR="006646C1">
        <w:rPr>
          <w:rFonts w:cstheme="majorHAnsi"/>
        </w:rPr>
        <w:t>’s</w:t>
      </w:r>
      <w:r w:rsidRPr="00157D91">
        <w:rPr>
          <w:rFonts w:cstheme="majorHAnsi"/>
        </w:rPr>
        <w:t xml:space="preserve"> </w:t>
      </w:r>
      <w:r w:rsidR="006646C1">
        <w:rPr>
          <w:rFonts w:cstheme="majorHAnsi"/>
        </w:rPr>
        <w:t>r</w:t>
      </w:r>
      <w:r w:rsidRPr="00157D91">
        <w:rPr>
          <w:rFonts w:cstheme="majorHAnsi"/>
        </w:rPr>
        <w:t>equest</w:t>
      </w:r>
      <w:r w:rsidR="006646C1">
        <w:rPr>
          <w:rFonts w:cstheme="majorHAnsi"/>
        </w:rPr>
        <w:t xml:space="preserve"> for further information</w:t>
      </w:r>
      <w:r w:rsidRPr="00157D91">
        <w:rPr>
          <w:rFonts w:cstheme="majorHAnsi"/>
        </w:rPr>
        <w:t xml:space="preserve"> </w:t>
      </w:r>
      <w:bookmarkStart w:id="183" w:name="_Toc341615860"/>
      <w:r w:rsidRPr="00157D91">
        <w:rPr>
          <w:rFonts w:cstheme="majorHAnsi"/>
        </w:rPr>
        <w:t>(</w:t>
      </w:r>
      <w:r>
        <w:rPr>
          <w:rFonts w:cstheme="majorHAnsi"/>
        </w:rPr>
        <w:t xml:space="preserve">25 November </w:t>
      </w:r>
      <w:r w:rsidRPr="00157D91">
        <w:rPr>
          <w:rFonts w:cstheme="majorHAnsi"/>
        </w:rPr>
        <w:t>2015)</w:t>
      </w:r>
    </w:p>
    <w:p w14:paraId="0762CD17" w14:textId="77777777" w:rsidR="00F151E8" w:rsidRDefault="00F151E8" w:rsidP="006646C1">
      <w:pPr>
        <w:pStyle w:val="Numberbullet0"/>
        <w:rPr>
          <w:rFonts w:cstheme="majorHAnsi"/>
        </w:rPr>
      </w:pPr>
      <w:bookmarkStart w:id="184" w:name="_Toc341615861"/>
      <w:bookmarkEnd w:id="183"/>
      <w:r>
        <w:rPr>
          <w:rFonts w:cstheme="majorHAnsi"/>
        </w:rPr>
        <w:t xml:space="preserve">Prescription </w:t>
      </w:r>
      <w:r w:rsidRPr="00157D91">
        <w:rPr>
          <w:rFonts w:cstheme="majorHAnsi"/>
        </w:rPr>
        <w:t xml:space="preserve">Medicines </w:t>
      </w:r>
      <w:r w:rsidRPr="00313ABA">
        <w:rPr>
          <w:rFonts w:cstheme="majorHAnsi"/>
        </w:rPr>
        <w:t>Authorisation Branch (PMAB) of the TGA Clinical Evaluation Report</w:t>
      </w:r>
      <w:bookmarkEnd w:id="184"/>
      <w:r w:rsidRPr="00313ABA">
        <w:rPr>
          <w:rFonts w:cstheme="majorHAnsi"/>
        </w:rPr>
        <w:t xml:space="preserve"> (CER) for </w:t>
      </w:r>
      <w:r w:rsidR="006646C1">
        <w:t>Zykadia</w:t>
      </w:r>
      <w:r w:rsidR="006646C1" w:rsidRPr="00313ABA">
        <w:rPr>
          <w:rFonts w:cstheme="majorHAnsi"/>
        </w:rPr>
        <w:t xml:space="preserve"> </w:t>
      </w:r>
      <w:r w:rsidRPr="00313ABA">
        <w:rPr>
          <w:rFonts w:cstheme="majorHAnsi"/>
        </w:rPr>
        <w:t>(</w:t>
      </w:r>
      <w:r>
        <w:rPr>
          <w:rFonts w:cstheme="majorHAnsi"/>
        </w:rPr>
        <w:t xml:space="preserve">7 October </w:t>
      </w:r>
      <w:r w:rsidRPr="00157D91">
        <w:rPr>
          <w:rFonts w:cstheme="majorHAnsi"/>
        </w:rPr>
        <w:t>2015)</w:t>
      </w:r>
    </w:p>
    <w:p w14:paraId="7462A114" w14:textId="77777777" w:rsidR="006646C1" w:rsidRDefault="00F151E8" w:rsidP="006646C1">
      <w:pPr>
        <w:pStyle w:val="Numberbullet0"/>
        <w:rPr>
          <w:lang w:eastAsia="en-AU"/>
        </w:rPr>
      </w:pPr>
      <w:r w:rsidRPr="00E534E0">
        <w:t xml:space="preserve">Scientific Evaluation Branch (SEB) Nonclinical Evaluation Report (NCER) for </w:t>
      </w:r>
      <w:r w:rsidR="006646C1">
        <w:t>Zykadia</w:t>
      </w:r>
      <w:r w:rsidR="006646C1" w:rsidRPr="00E534E0">
        <w:rPr>
          <w:rFonts w:cs="Arial"/>
        </w:rPr>
        <w:t xml:space="preserve"> </w:t>
      </w:r>
      <w:r w:rsidRPr="00E534E0">
        <w:rPr>
          <w:rFonts w:cs="Arial"/>
        </w:rPr>
        <w:t>(1</w:t>
      </w:r>
      <w:r>
        <w:rPr>
          <w:rFonts w:cs="Arial"/>
        </w:rPr>
        <w:t>1</w:t>
      </w:r>
      <w:r>
        <w:rPr>
          <w:rFonts w:cs="Arial"/>
        </w:rPr>
        <w:sym w:font="Symbol" w:char="F020"/>
      </w:r>
      <w:r>
        <w:rPr>
          <w:rFonts w:cs="Arial"/>
        </w:rPr>
        <w:t>December 2015 &amp; 7</w:t>
      </w:r>
      <w:r w:rsidRPr="00E534E0">
        <w:rPr>
          <w:rFonts w:cs="Arial"/>
        </w:rPr>
        <w:t xml:space="preserve"> January 2016)</w:t>
      </w:r>
      <w:bookmarkStart w:id="185" w:name="_Toc314842510"/>
    </w:p>
    <w:p w14:paraId="06CA5F2D" w14:textId="77777777" w:rsidR="00F95E3B" w:rsidRPr="006646C1" w:rsidRDefault="00F95E3B" w:rsidP="006646C1">
      <w:pPr>
        <w:rPr>
          <w:lang w:eastAsia="en-AU"/>
        </w:rPr>
      </w:pPr>
      <w:r w:rsidRPr="009F15FD">
        <w:t>It is considered that the sponsor’s response to the TGA</w:t>
      </w:r>
      <w:r w:rsidR="006646C1">
        <w:t>’s r</w:t>
      </w:r>
      <w:r w:rsidRPr="009F15FD">
        <w:t xml:space="preserve">equest </w:t>
      </w:r>
      <w:r w:rsidRPr="004D61F9">
        <w:t>has</w:t>
      </w:r>
      <w:r>
        <w:t xml:space="preserve"> not </w:t>
      </w:r>
      <w:r w:rsidRPr="004D61F9">
        <w:t>adequately</w:t>
      </w:r>
      <w:r w:rsidRPr="009F15FD">
        <w:t xml:space="preserve"> addressed all of the issues identifi</w:t>
      </w:r>
      <w:r>
        <w:t>ed in the RMP evaluation report.</w:t>
      </w:r>
      <w:r w:rsidRPr="00A7137A">
        <w:t xml:space="preserve"> </w:t>
      </w:r>
    </w:p>
    <w:p w14:paraId="1CB1EBD6" w14:textId="77777777" w:rsidR="00F95E3B" w:rsidRPr="009F15FD" w:rsidRDefault="00F95E3B" w:rsidP="006646C1">
      <w:pPr>
        <w:pStyle w:val="Heading5"/>
      </w:pPr>
      <w:r w:rsidRPr="009F15FD">
        <w:t>Outstanding issues</w:t>
      </w:r>
    </w:p>
    <w:p w14:paraId="70B123D7" w14:textId="77777777" w:rsidR="00F95E3B" w:rsidRPr="009F15FD" w:rsidRDefault="00F95E3B" w:rsidP="006646C1">
      <w:pPr>
        <w:pStyle w:val="Heading6"/>
      </w:pPr>
      <w:r w:rsidRPr="009F15FD">
        <w:t xml:space="preserve">Issues in relation to the RMP </w:t>
      </w:r>
    </w:p>
    <w:p w14:paraId="56B8EAA9" w14:textId="77777777" w:rsidR="00F95E3B" w:rsidRDefault="00F95E3B" w:rsidP="006646C1">
      <w:pPr>
        <w:rPr>
          <w:rFonts w:eastAsiaTheme="minorHAnsi" w:cs="Arial"/>
        </w:rPr>
      </w:pPr>
      <w:r w:rsidRPr="003C3AFA">
        <w:rPr>
          <w:iCs/>
        </w:rPr>
        <w:t xml:space="preserve">The </w:t>
      </w:r>
      <w:r w:rsidRPr="003C3AFA">
        <w:t xml:space="preserve">sponsor was asked to respond to safety considerations raised by the </w:t>
      </w:r>
      <w:r w:rsidRPr="000A76BE">
        <w:rPr>
          <w:rFonts w:cstheme="majorHAnsi"/>
        </w:rPr>
        <w:t xml:space="preserve">nonclinical and clinical evaluators </w:t>
      </w:r>
      <w:r w:rsidRPr="003C3AFA">
        <w:t xml:space="preserve">through the consolidated request </w:t>
      </w:r>
      <w:r w:rsidR="006646C1">
        <w:t xml:space="preserve">for information </w:t>
      </w:r>
      <w:r w:rsidRPr="003C3AFA">
        <w:t xml:space="preserve">and/or the </w:t>
      </w:r>
      <w:r w:rsidR="006646C1">
        <w:t>n</w:t>
      </w:r>
      <w:r w:rsidRPr="000A76BE">
        <w:rPr>
          <w:rFonts w:cstheme="majorHAnsi"/>
        </w:rPr>
        <w:t xml:space="preserve">onclinical and </w:t>
      </w:r>
      <w:r w:rsidR="006646C1">
        <w:rPr>
          <w:rFonts w:cstheme="majorHAnsi"/>
        </w:rPr>
        <w:t>c</w:t>
      </w:r>
      <w:r w:rsidR="006646C1">
        <w:t>linical evaluation r</w:t>
      </w:r>
      <w:r>
        <w:t>eports</w:t>
      </w:r>
      <w:r w:rsidRPr="003C3AFA">
        <w:t xml:space="preserve">, in the context of </w:t>
      </w:r>
      <w:r>
        <w:t>relevance to the RMP.</w:t>
      </w:r>
      <w:r w:rsidR="000E3918">
        <w:t xml:space="preserve"> </w:t>
      </w:r>
      <w:r>
        <w:t xml:space="preserve">The sponsor states: </w:t>
      </w:r>
      <w:r w:rsidR="0089512A">
        <w:rPr>
          <w:i/>
        </w:rPr>
        <w:t>‘</w:t>
      </w:r>
      <w:r w:rsidRPr="00E46E78">
        <w:rPr>
          <w:i/>
        </w:rPr>
        <w:t>At this time no specific issues have been raised by the Clinical Evaluator regarding the EU RMP submitted and the Non-Clinical Evaluation Report Round 1 is not available at this time</w:t>
      </w:r>
      <w:r w:rsidR="0089512A">
        <w:rPr>
          <w:i/>
        </w:rPr>
        <w:t>’</w:t>
      </w:r>
      <w:r w:rsidRPr="00E46E78">
        <w:rPr>
          <w:i/>
        </w:rPr>
        <w:t>.</w:t>
      </w:r>
      <w:r w:rsidR="000E3918">
        <w:rPr>
          <w:i/>
        </w:rPr>
        <w:t xml:space="preserve"> </w:t>
      </w:r>
      <w:r w:rsidRPr="00E46E78">
        <w:t>Nevertheless</w:t>
      </w:r>
      <w:r>
        <w:t xml:space="preserve"> the </w:t>
      </w:r>
      <w:r w:rsidR="006646C1">
        <w:t>nonclinical evaluation report</w:t>
      </w:r>
      <w:r>
        <w:t xml:space="preserve"> ha</w:t>
      </w:r>
      <w:r w:rsidR="006646C1">
        <w:t>s</w:t>
      </w:r>
      <w:r>
        <w:t xml:space="preserve"> now become available and the sponsor should now adequately </w:t>
      </w:r>
      <w:r w:rsidR="006646C1">
        <w:t>address any outstanding issues</w:t>
      </w:r>
      <w:r>
        <w:t>,</w:t>
      </w:r>
      <w:r w:rsidRPr="00E46E78">
        <w:rPr>
          <w:rFonts w:eastAsiaTheme="minorHAnsi" w:cs="Arial"/>
        </w:rPr>
        <w:t xml:space="preserve"> </w:t>
      </w:r>
      <w:r>
        <w:rPr>
          <w:rFonts w:eastAsiaTheme="minorHAnsi" w:cs="Arial"/>
        </w:rPr>
        <w:t xml:space="preserve">preferably </w:t>
      </w:r>
      <w:r w:rsidRPr="00E315A7">
        <w:t>before this application is approved.</w:t>
      </w:r>
    </w:p>
    <w:p w14:paraId="0F0F4378" w14:textId="77777777" w:rsidR="006646C1" w:rsidRDefault="00F95E3B" w:rsidP="006646C1">
      <w:r w:rsidRPr="00351AFF">
        <w:t xml:space="preserve">Consistent with the US FDA </w:t>
      </w:r>
      <w:r w:rsidRPr="00351AFF">
        <w:rPr>
          <w:rFonts w:eastAsiaTheme="minorHAnsi"/>
        </w:rPr>
        <w:t>‘Postmarketing Requirements’, t</w:t>
      </w:r>
      <w:r w:rsidRPr="00351AFF">
        <w:t xml:space="preserve">he </w:t>
      </w:r>
      <w:r>
        <w:t xml:space="preserve">sponsor was asked to include the </w:t>
      </w:r>
      <w:r w:rsidRPr="00351AFF">
        <w:t>important potential risk: ‘Toxicity from drug over-exposure when taken with food’ as a new safety concern</w:t>
      </w:r>
      <w:r>
        <w:t>.</w:t>
      </w:r>
      <w:r w:rsidR="000E3918">
        <w:t xml:space="preserve"> </w:t>
      </w:r>
      <w:r>
        <w:t xml:space="preserve">The sponsor has provided justification and concluded: </w:t>
      </w:r>
      <w:r w:rsidR="0089512A">
        <w:rPr>
          <w:i/>
        </w:rPr>
        <w:t>‘</w:t>
      </w:r>
      <w:r w:rsidRPr="00351AFF">
        <w:rPr>
          <w:i/>
        </w:rPr>
        <w:t xml:space="preserve">modeling demonstrates that even if a patient took ceritinib at 750 mg daily with food, the </w:t>
      </w:r>
      <w:r w:rsidRPr="00351AFF">
        <w:rPr>
          <w:i/>
        </w:rPr>
        <w:lastRenderedPageBreak/>
        <w:t>expected increased exposure would not result in a QT prolongation beyond 21.6 ms, indicating a low risk of increased toxicity driven by increased systemic exposure caused by food intake. Therefore, the applicant does not consider that that ‘Toxicity from drug over</w:t>
      </w:r>
      <w:r w:rsidRPr="00351AFF">
        <w:rPr>
          <w:rFonts w:cs="Cambria Math"/>
          <w:i/>
        </w:rPr>
        <w:t>‐</w:t>
      </w:r>
      <w:r w:rsidRPr="00351AFF">
        <w:rPr>
          <w:i/>
        </w:rPr>
        <w:t>exposure when taken with food’ should be included as a new safety concern</w:t>
      </w:r>
      <w:r w:rsidR="0089512A">
        <w:rPr>
          <w:i/>
        </w:rPr>
        <w:t>’</w:t>
      </w:r>
      <w:r w:rsidRPr="00351AFF">
        <w:rPr>
          <w:i/>
        </w:rPr>
        <w:t>.</w:t>
      </w:r>
      <w:r w:rsidR="000E3918">
        <w:t xml:space="preserve"> </w:t>
      </w:r>
      <w:r>
        <w:t xml:space="preserve">Despite this position the </w:t>
      </w:r>
      <w:r w:rsidRPr="00A932B3">
        <w:t>effects on drug exposure due to food interactions will be evaluated in Study A2112</w:t>
      </w:r>
      <w:r>
        <w:t xml:space="preserve"> being conducted in the USA and the sponsor has provided an undertaking (as documented in the updated ASA) </w:t>
      </w:r>
      <w:r w:rsidR="0089512A">
        <w:rPr>
          <w:i/>
        </w:rPr>
        <w:t>‘</w:t>
      </w:r>
      <w:r w:rsidRPr="003D0925">
        <w:rPr>
          <w:i/>
        </w:rPr>
        <w:t>to include ‘Toxicity from drug over</w:t>
      </w:r>
      <w:r w:rsidRPr="003D0925">
        <w:rPr>
          <w:rFonts w:cs="Cambria Math"/>
          <w:i/>
        </w:rPr>
        <w:t>‐</w:t>
      </w:r>
      <w:r w:rsidRPr="003D0925">
        <w:rPr>
          <w:i/>
        </w:rPr>
        <w:t>exposure when taken with food’ in the RMP if the results of Study A2112 warrant an amendment to the summary of ongoing safety concerns. Study results from A2112 can be provided to the TGA upon request</w:t>
      </w:r>
      <w:r w:rsidR="0089512A">
        <w:rPr>
          <w:i/>
        </w:rPr>
        <w:t>’</w:t>
      </w:r>
      <w:r w:rsidRPr="003D0925">
        <w:rPr>
          <w:i/>
        </w:rPr>
        <w:t>.</w:t>
      </w:r>
      <w:r w:rsidR="000E3918">
        <w:t xml:space="preserve"> </w:t>
      </w:r>
      <w:r>
        <w:t>The sponsor has advised that this study achieved FPFV in April 2015 and a full study report is anticipated on 31</w:t>
      </w:r>
      <w:r>
        <w:sym w:font="Symbol" w:char="F020"/>
      </w:r>
      <w:r>
        <w:t>September 2017.</w:t>
      </w:r>
      <w:r w:rsidR="000E3918">
        <w:t xml:space="preserve"> </w:t>
      </w:r>
      <w:r>
        <w:t xml:space="preserve">Furthermore it was </w:t>
      </w:r>
      <w:r w:rsidRPr="003628F1">
        <w:t>acknowledged that routine risk min</w:t>
      </w:r>
      <w:r>
        <w:t>imisation wa</w:t>
      </w:r>
      <w:r w:rsidRPr="003628F1">
        <w:t>s already included under the ‘</w:t>
      </w:r>
      <w:r w:rsidRPr="003628F1">
        <w:rPr>
          <w:bCs/>
        </w:rPr>
        <w:t xml:space="preserve">Drug-food/drink interactions’ subheading and in the </w:t>
      </w:r>
      <w:r w:rsidR="006646C1" w:rsidRPr="003628F1">
        <w:rPr>
          <w:rFonts w:eastAsia="TimesNewRoman"/>
        </w:rPr>
        <w:t>D</w:t>
      </w:r>
      <w:r w:rsidR="006646C1">
        <w:rPr>
          <w:rFonts w:eastAsia="TimesNewRoman"/>
        </w:rPr>
        <w:t>osage a</w:t>
      </w:r>
      <w:r w:rsidR="006646C1" w:rsidRPr="003628F1">
        <w:rPr>
          <w:rFonts w:eastAsia="TimesNewRoman"/>
        </w:rPr>
        <w:t xml:space="preserve">nd Administration </w:t>
      </w:r>
      <w:r w:rsidRPr="003628F1">
        <w:rPr>
          <w:rFonts w:eastAsia="TimesNewRoman"/>
        </w:rPr>
        <w:t>section of the</w:t>
      </w:r>
      <w:r w:rsidRPr="003628F1">
        <w:t xml:space="preserve"> draft Australian PI</w:t>
      </w:r>
      <w:r>
        <w:t xml:space="preserve"> for this safety concern.</w:t>
      </w:r>
      <w:r w:rsidR="000E3918">
        <w:t xml:space="preserve"> </w:t>
      </w:r>
      <w:r w:rsidRPr="00D945B3">
        <w:t xml:space="preserve">However, </w:t>
      </w:r>
      <w:r>
        <w:t>it wa</w:t>
      </w:r>
      <w:r w:rsidRPr="00D945B3">
        <w:t xml:space="preserve">s recommended to the Delegate that all these sections of the Australian PI be cross-referenced to each other </w:t>
      </w:r>
      <w:r>
        <w:t xml:space="preserve">and </w:t>
      </w:r>
      <w:r w:rsidRPr="00D945B3">
        <w:t xml:space="preserve">the </w:t>
      </w:r>
      <w:r>
        <w:t>following</w:t>
      </w:r>
      <w:r w:rsidRPr="00D945B3">
        <w:t xml:space="preserve"> sentence be strengthened as follows: </w:t>
      </w:r>
    </w:p>
    <w:p w14:paraId="579BFF8D" w14:textId="77777777" w:rsidR="006646C1" w:rsidRDefault="0089512A" w:rsidP="006646C1">
      <w:pPr>
        <w:rPr>
          <w:iCs/>
        </w:rPr>
      </w:pPr>
      <w:r>
        <w:rPr>
          <w:i/>
        </w:rPr>
        <w:t>‘</w:t>
      </w:r>
      <w:r w:rsidR="00F95E3B" w:rsidRPr="00D945B3">
        <w:rPr>
          <w:i/>
        </w:rPr>
        <w:t xml:space="preserve">No food should be eaten for at least two hours before and two hours after the dose of ZYKADIA is taken </w:t>
      </w:r>
      <w:r w:rsidR="00F95E3B" w:rsidRPr="00D945B3">
        <w:rPr>
          <w:i/>
          <w:u w:val="single"/>
        </w:rPr>
        <w:t>in order to avoid the serious risk of toxicity from drug over-exposure</w:t>
      </w:r>
      <w:r>
        <w:rPr>
          <w:i/>
          <w:u w:val="single"/>
        </w:rPr>
        <w:t>’</w:t>
      </w:r>
      <w:r w:rsidR="00F95E3B" w:rsidRPr="00D945B3">
        <w:rPr>
          <w:i/>
        </w:rPr>
        <w:t>.</w:t>
      </w:r>
      <w:r w:rsidR="000E3918">
        <w:rPr>
          <w:i/>
        </w:rPr>
        <w:t xml:space="preserve"> </w:t>
      </w:r>
      <w:r w:rsidR="00F95E3B">
        <w:t xml:space="preserve">The sponsor has objected to this wording and proposed alternative wording as follows: </w:t>
      </w:r>
      <w:r>
        <w:t>‘</w:t>
      </w:r>
      <w:r w:rsidR="00F95E3B" w:rsidRPr="00D945B3">
        <w:rPr>
          <w:i/>
          <w:iCs/>
        </w:rPr>
        <w:t xml:space="preserve">No food should be eaten for at least two hours before and two hours after the dose of ZYKADIA is taken </w:t>
      </w:r>
      <w:r w:rsidR="00F95E3B" w:rsidRPr="00D945B3">
        <w:rPr>
          <w:bCs/>
          <w:i/>
          <w:iCs/>
          <w:u w:val="single"/>
        </w:rPr>
        <w:t>in order to avoid systemic exposure exceeding that of a 750 mg ZYKADIA dose taken in the fasted state, which may increase adverse drug reactions</w:t>
      </w:r>
      <w:r>
        <w:rPr>
          <w:bCs/>
          <w:i/>
          <w:iCs/>
        </w:rPr>
        <w:t>’</w:t>
      </w:r>
      <w:r w:rsidR="00F95E3B" w:rsidRPr="00D945B3">
        <w:rPr>
          <w:i/>
          <w:iCs/>
        </w:rPr>
        <w:t>.</w:t>
      </w:r>
    </w:p>
    <w:p w14:paraId="16A79D77" w14:textId="77777777" w:rsidR="00F95E3B" w:rsidRDefault="00F95E3B" w:rsidP="006646C1">
      <w:r>
        <w:rPr>
          <w:iCs/>
        </w:rPr>
        <w:t xml:space="preserve">The sponsor’s overall proposed approach to this matter is generally acceptable although it is </w:t>
      </w:r>
      <w:r w:rsidRPr="00D945B3">
        <w:t>recommended to the Delegate</w:t>
      </w:r>
      <w:r>
        <w:t xml:space="preserve"> that the following text from the corresponding US FDA monograph be included in the Pharmacokinetics; Absorption section of the Australian PI: </w:t>
      </w:r>
      <w:r w:rsidR="0089512A">
        <w:rPr>
          <w:i/>
        </w:rPr>
        <w:t>‘</w:t>
      </w:r>
      <w:r w:rsidRPr="009605B2">
        <w:rPr>
          <w:rFonts w:eastAsiaTheme="minorHAnsi"/>
          <w:i/>
        </w:rPr>
        <w:t>A 600 mg or higher ZYKADIA dose taken with a meal is expected to result in systemic exposure exceeding that of a 750 mg ZYKADIA dose taken in the fasted state, and may increase adverse drug reactions</w:t>
      </w:r>
      <w:r w:rsidR="0089512A">
        <w:rPr>
          <w:rFonts w:eastAsiaTheme="minorHAnsi"/>
          <w:i/>
        </w:rPr>
        <w:t>’</w:t>
      </w:r>
      <w:r w:rsidRPr="009605B2">
        <w:rPr>
          <w:rFonts w:eastAsiaTheme="minorHAnsi"/>
          <w:i/>
        </w:rPr>
        <w:t>.</w:t>
      </w:r>
      <w:r w:rsidR="000E3918">
        <w:t xml:space="preserve"> </w:t>
      </w:r>
      <w:r>
        <w:t>The ASA should be amended accordingly, preferably before this application is approved.</w:t>
      </w:r>
    </w:p>
    <w:p w14:paraId="37509E85" w14:textId="77777777" w:rsidR="00F95E3B" w:rsidRPr="007B5F65" w:rsidRDefault="00F95E3B" w:rsidP="006646C1">
      <w:r>
        <w:t>It wa</w:t>
      </w:r>
      <w:r w:rsidRPr="00C27DED">
        <w:t>s recommended to the Delegate that statements alluding</w:t>
      </w:r>
      <w:r>
        <w:t xml:space="preserve"> to an absence of efficacy data, similar to the corresponding US FDA monograph, </w:t>
      </w:r>
      <w:r w:rsidRPr="00C27DED">
        <w:t xml:space="preserve">be included in the </w:t>
      </w:r>
      <w:r w:rsidR="006646C1" w:rsidRPr="00C27DED">
        <w:t xml:space="preserve">Indications </w:t>
      </w:r>
      <w:r w:rsidRPr="00C27DED">
        <w:t>section of the Australian PI.</w:t>
      </w:r>
      <w:r w:rsidR="000E3918">
        <w:t xml:space="preserve"> </w:t>
      </w:r>
      <w:r>
        <w:t>The sponsor has objected to this recommendation and provided justification for their position.</w:t>
      </w:r>
      <w:r w:rsidR="000E3918">
        <w:t xml:space="preserve"> </w:t>
      </w:r>
      <w:r>
        <w:t xml:space="preserve">Nevertheless this </w:t>
      </w:r>
      <w:r w:rsidRPr="00C75C0D">
        <w:t>recommendation remain</w:t>
      </w:r>
      <w:r>
        <w:t>s</w:t>
      </w:r>
      <w:r w:rsidRPr="00C75C0D">
        <w:t xml:space="preserve"> outstanding for the Delegate’s consideration</w:t>
      </w:r>
      <w:r>
        <w:t>.</w:t>
      </w:r>
    </w:p>
    <w:p w14:paraId="2ADE2850" w14:textId="77777777" w:rsidR="00F95E3B" w:rsidRDefault="00F95E3B" w:rsidP="006646C1">
      <w:r w:rsidRPr="002A1AFE">
        <w:t>A</w:t>
      </w:r>
      <w:r w:rsidR="006646C1">
        <w:t>dvisory Committee on the Safety of Medicines (A</w:t>
      </w:r>
      <w:r w:rsidRPr="002A1AFE">
        <w:t>CSOM</w:t>
      </w:r>
      <w:r w:rsidR="006646C1">
        <w:t>)</w:t>
      </w:r>
      <w:r w:rsidRPr="002A1AFE">
        <w:t xml:space="preserve"> advice was not sought for this submission.</w:t>
      </w:r>
    </w:p>
    <w:p w14:paraId="27BD504B" w14:textId="77777777" w:rsidR="00F95E3B" w:rsidRPr="009F15FD" w:rsidRDefault="00F95E3B" w:rsidP="006646C1">
      <w:pPr>
        <w:pStyle w:val="Heading5"/>
      </w:pPr>
      <w:r w:rsidRPr="009F15FD">
        <w:t xml:space="preserve">Key changes to the updated RMP </w:t>
      </w:r>
    </w:p>
    <w:p w14:paraId="24BE0ECF" w14:textId="77777777" w:rsidR="00F95E3B" w:rsidRPr="002E39E2" w:rsidRDefault="006646C1" w:rsidP="006646C1">
      <w:pPr>
        <w:rPr>
          <w:b/>
          <w:u w:val="single"/>
        </w:rPr>
      </w:pPr>
      <w:r>
        <w:t>In their response to the TGA’s r</w:t>
      </w:r>
      <w:r w:rsidR="00F95E3B" w:rsidRPr="002E39E2">
        <w:t xml:space="preserve">equests the sponsor provided </w:t>
      </w:r>
      <w:r w:rsidR="00F95E3B" w:rsidRPr="002E39E2">
        <w:rPr>
          <w:iCs/>
        </w:rPr>
        <w:t xml:space="preserve">an </w:t>
      </w:r>
      <w:r w:rsidR="00F95E3B" w:rsidRPr="002E39E2">
        <w:t>updated EU-RMP (</w:t>
      </w:r>
      <w:r w:rsidR="00F95E3B" w:rsidRPr="00E534E0">
        <w:t>Version 2.5, dated 29 April 2015</w:t>
      </w:r>
      <w:r w:rsidR="00F95E3B" w:rsidRPr="002E39E2">
        <w:t>) with an updated ASA (</w:t>
      </w:r>
      <w:r w:rsidR="00F95E3B">
        <w:t>Version</w:t>
      </w:r>
      <w:r w:rsidR="00F95E3B">
        <w:sym w:font="Symbol" w:char="F020"/>
      </w:r>
      <w:r w:rsidR="00F95E3B">
        <w:t>2.0</w:t>
      </w:r>
      <w:r w:rsidR="00F95E3B" w:rsidRPr="00157D91">
        <w:t xml:space="preserve">, dated </w:t>
      </w:r>
      <w:r w:rsidR="00F95E3B">
        <w:t>23 November</w:t>
      </w:r>
      <w:r w:rsidR="00F95E3B" w:rsidRPr="00157D91">
        <w:t xml:space="preserve"> 2015)</w:t>
      </w:r>
      <w:r w:rsidR="00F95E3B" w:rsidRPr="002E39E2">
        <w:t>.</w:t>
      </w:r>
      <w:r w:rsidR="000E3918">
        <w:t xml:space="preserve"> </w:t>
      </w:r>
      <w:r w:rsidR="00F95E3B" w:rsidRPr="002E39E2">
        <w:t xml:space="preserve">Key changes from the versions evaluated </w:t>
      </w:r>
      <w:r>
        <w:t xml:space="preserve">in the first round </w:t>
      </w:r>
      <w:r w:rsidR="00F95E3B" w:rsidRPr="002E39E2">
        <w:t>are summarised below:</w:t>
      </w:r>
    </w:p>
    <w:tbl>
      <w:tblPr>
        <w:tblStyle w:val="TableTGAblue"/>
        <w:tblW w:w="0" w:type="auto"/>
        <w:tblLook w:val="04A0" w:firstRow="1" w:lastRow="0" w:firstColumn="1" w:lastColumn="0" w:noHBand="0" w:noVBand="1"/>
        <w:tblDescription w:val="This table list the k ey changes from the versions evaluated in the first round "/>
      </w:tblPr>
      <w:tblGrid>
        <w:gridCol w:w="1121"/>
        <w:gridCol w:w="7599"/>
      </w:tblGrid>
      <w:tr w:rsidR="00F95E3B" w:rsidRPr="006646C1" w14:paraId="2EF9AD56" w14:textId="77777777" w:rsidTr="006646C1">
        <w:trPr>
          <w:cnfStyle w:val="100000000000" w:firstRow="1" w:lastRow="0" w:firstColumn="0" w:lastColumn="0" w:oddVBand="0" w:evenVBand="0" w:oddHBand="0" w:evenHBand="0" w:firstRowFirstColumn="0" w:firstRowLastColumn="0" w:lastRowFirstColumn="0" w:lastRowLastColumn="0"/>
          <w:trHeight w:val="536"/>
        </w:trPr>
        <w:tc>
          <w:tcPr>
            <w:tcW w:w="1134" w:type="dxa"/>
          </w:tcPr>
          <w:p w14:paraId="2A4AF291" w14:textId="77777777" w:rsidR="00F95E3B" w:rsidRPr="006646C1" w:rsidRDefault="00F95E3B" w:rsidP="002343D4">
            <w:pPr>
              <w:spacing w:before="100" w:beforeAutospacing="1" w:after="100" w:afterAutospacing="1"/>
              <w:rPr>
                <w:rFonts w:asciiTheme="minorHAnsi" w:hAnsiTheme="minorHAnsi"/>
                <w:sz w:val="20"/>
                <w:szCs w:val="20"/>
                <w:highlight w:val="yellow"/>
              </w:rPr>
            </w:pPr>
          </w:p>
        </w:tc>
        <w:tc>
          <w:tcPr>
            <w:tcW w:w="8079" w:type="dxa"/>
          </w:tcPr>
          <w:p w14:paraId="18487693" w14:textId="2846D564" w:rsidR="00F95E3B" w:rsidRPr="006646C1" w:rsidRDefault="00227769" w:rsidP="002343D4">
            <w:pPr>
              <w:spacing w:before="100" w:beforeAutospacing="1" w:after="100" w:afterAutospacing="1"/>
              <w:rPr>
                <w:rFonts w:asciiTheme="minorHAnsi" w:hAnsiTheme="minorHAnsi"/>
                <w:sz w:val="20"/>
                <w:szCs w:val="20"/>
                <w:highlight w:val="yellow"/>
              </w:rPr>
            </w:pPr>
            <w:r w:rsidRPr="00227769">
              <w:rPr>
                <w:rFonts w:asciiTheme="minorHAnsi" w:hAnsiTheme="minorHAnsi"/>
                <w:sz w:val="20"/>
                <w:szCs w:val="20"/>
              </w:rPr>
              <w:t>Key changes</w:t>
            </w:r>
          </w:p>
        </w:tc>
      </w:tr>
      <w:tr w:rsidR="00F95E3B" w:rsidRPr="006646C1" w14:paraId="52518759" w14:textId="77777777" w:rsidTr="006646C1">
        <w:trPr>
          <w:trHeight w:val="524"/>
        </w:trPr>
        <w:tc>
          <w:tcPr>
            <w:tcW w:w="1134" w:type="dxa"/>
            <w:hideMark/>
          </w:tcPr>
          <w:p w14:paraId="3B7B7E1B" w14:textId="77777777" w:rsidR="00F95E3B" w:rsidRPr="006646C1" w:rsidRDefault="00F95E3B" w:rsidP="002343D4">
            <w:pPr>
              <w:spacing w:before="100" w:beforeAutospacing="1" w:after="100" w:afterAutospacing="1"/>
              <w:rPr>
                <w:rFonts w:asciiTheme="minorHAnsi" w:hAnsiTheme="minorHAnsi"/>
                <w:b/>
                <w:sz w:val="20"/>
                <w:szCs w:val="20"/>
              </w:rPr>
            </w:pPr>
            <w:r w:rsidRPr="006646C1">
              <w:rPr>
                <w:rFonts w:asciiTheme="minorHAnsi" w:hAnsiTheme="minorHAnsi"/>
                <w:b/>
                <w:sz w:val="20"/>
                <w:szCs w:val="20"/>
              </w:rPr>
              <w:t>EU-RMP</w:t>
            </w:r>
          </w:p>
        </w:tc>
        <w:tc>
          <w:tcPr>
            <w:tcW w:w="8079" w:type="dxa"/>
          </w:tcPr>
          <w:p w14:paraId="0BA19EB0" w14:textId="77777777" w:rsidR="00F95E3B" w:rsidRPr="00227769" w:rsidRDefault="00F95E3B" w:rsidP="00554D4D">
            <w:pPr>
              <w:pStyle w:val="ListParagraph"/>
              <w:numPr>
                <w:ilvl w:val="0"/>
                <w:numId w:val="9"/>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autoSpaceDE w:val="0"/>
              <w:autoSpaceDN w:val="0"/>
              <w:adjustRightInd w:val="0"/>
              <w:rPr>
                <w:rFonts w:asciiTheme="minorHAnsi" w:eastAsiaTheme="minorHAnsi" w:hAnsiTheme="minorHAnsi" w:cs="Arial"/>
                <w:sz w:val="22"/>
                <w:szCs w:val="22"/>
              </w:rPr>
            </w:pPr>
            <w:r w:rsidRPr="00227769">
              <w:rPr>
                <w:rFonts w:asciiTheme="minorHAnsi" w:eastAsiaTheme="minorHAnsi" w:hAnsiTheme="minorHAnsi" w:cs="Arial"/>
                <w:color w:val="auto"/>
                <w:sz w:val="22"/>
                <w:szCs w:val="22"/>
              </w:rPr>
              <w:t>The important identified risk:</w:t>
            </w:r>
            <w:r w:rsidRPr="00227769">
              <w:rPr>
                <w:rFonts w:asciiTheme="minorHAnsi" w:eastAsiaTheme="minorHAnsi" w:hAnsiTheme="minorHAnsi" w:cs="Arial"/>
                <w:sz w:val="22"/>
                <w:szCs w:val="22"/>
              </w:rPr>
              <w:t xml:space="preserve"> ‘Pancreatitis’ has been included as a new safety concern, for which routine pharmacovigilance and routine risk minimisation are proposed.</w:t>
            </w:r>
          </w:p>
        </w:tc>
      </w:tr>
      <w:tr w:rsidR="00F95E3B" w:rsidRPr="006646C1" w14:paraId="724BD0BC" w14:textId="77777777" w:rsidTr="006646C1">
        <w:trPr>
          <w:trHeight w:val="524"/>
        </w:trPr>
        <w:tc>
          <w:tcPr>
            <w:tcW w:w="1134" w:type="dxa"/>
          </w:tcPr>
          <w:p w14:paraId="1CC25121" w14:textId="77777777" w:rsidR="00F95E3B" w:rsidRPr="006646C1" w:rsidRDefault="00F95E3B" w:rsidP="002343D4">
            <w:pPr>
              <w:spacing w:before="100" w:beforeAutospacing="1" w:after="100" w:afterAutospacing="1"/>
              <w:rPr>
                <w:rFonts w:asciiTheme="minorHAnsi" w:hAnsiTheme="minorHAnsi"/>
                <w:b/>
                <w:sz w:val="20"/>
                <w:szCs w:val="20"/>
              </w:rPr>
            </w:pPr>
            <w:r w:rsidRPr="006646C1">
              <w:rPr>
                <w:rFonts w:asciiTheme="minorHAnsi" w:hAnsiTheme="minorHAnsi"/>
                <w:b/>
                <w:sz w:val="20"/>
                <w:szCs w:val="20"/>
              </w:rPr>
              <w:t>ASA</w:t>
            </w:r>
          </w:p>
        </w:tc>
        <w:tc>
          <w:tcPr>
            <w:tcW w:w="8079" w:type="dxa"/>
          </w:tcPr>
          <w:p w14:paraId="65AF12C3" w14:textId="77777777" w:rsidR="00F95E3B" w:rsidRPr="00227769" w:rsidRDefault="00F95E3B" w:rsidP="00554D4D">
            <w:pPr>
              <w:pStyle w:val="ListParagraph"/>
              <w:numPr>
                <w:ilvl w:val="0"/>
                <w:numId w:val="10"/>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autoSpaceDE w:val="0"/>
              <w:autoSpaceDN w:val="0"/>
              <w:adjustRightInd w:val="0"/>
              <w:rPr>
                <w:rFonts w:asciiTheme="minorHAnsi" w:hAnsiTheme="minorHAnsi"/>
                <w:sz w:val="22"/>
                <w:szCs w:val="22"/>
              </w:rPr>
            </w:pPr>
            <w:r w:rsidRPr="00227769">
              <w:rPr>
                <w:rFonts w:asciiTheme="minorHAnsi" w:eastAsiaTheme="minorHAnsi" w:hAnsiTheme="minorHAnsi" w:cs="Arial"/>
                <w:sz w:val="22"/>
                <w:szCs w:val="22"/>
              </w:rPr>
              <w:t>Section 5.2.2: ‘</w:t>
            </w:r>
            <w:r w:rsidRPr="00227769">
              <w:rPr>
                <w:rFonts w:asciiTheme="minorHAnsi" w:hAnsiTheme="minorHAnsi"/>
                <w:bCs/>
                <w:color w:val="auto"/>
                <w:sz w:val="22"/>
                <w:szCs w:val="22"/>
              </w:rPr>
              <w:t>Additional studies not part of the Pharmacovigilance Plan of the EU RMP</w:t>
            </w:r>
            <w:r w:rsidRPr="00227769">
              <w:rPr>
                <w:rFonts w:asciiTheme="minorHAnsi" w:eastAsiaTheme="minorHAnsi" w:hAnsiTheme="minorHAnsi" w:cs="Arial"/>
                <w:sz w:val="22"/>
                <w:szCs w:val="22"/>
              </w:rPr>
              <w:t>’, which references the food effect study (A2112) being conducted in the USA, has been added.</w:t>
            </w:r>
          </w:p>
          <w:p w14:paraId="086FB064" w14:textId="77777777" w:rsidR="00F95E3B" w:rsidRPr="00227769" w:rsidRDefault="00F95E3B" w:rsidP="00554D4D">
            <w:pPr>
              <w:pStyle w:val="ListParagraph"/>
              <w:numPr>
                <w:ilvl w:val="0"/>
                <w:numId w:val="10"/>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autoSpaceDE w:val="0"/>
              <w:autoSpaceDN w:val="0"/>
              <w:adjustRightInd w:val="0"/>
              <w:rPr>
                <w:rFonts w:asciiTheme="minorHAnsi" w:hAnsiTheme="minorHAnsi"/>
                <w:sz w:val="22"/>
                <w:szCs w:val="22"/>
              </w:rPr>
            </w:pPr>
            <w:r w:rsidRPr="00227769">
              <w:rPr>
                <w:rFonts w:asciiTheme="minorHAnsi" w:hAnsiTheme="minorHAnsi"/>
                <w:bCs/>
                <w:sz w:val="22"/>
                <w:szCs w:val="22"/>
              </w:rPr>
              <w:t xml:space="preserve">Table 2: ‘Details by safety concern of information proposed to be included in the Australia Product Information and EU SmPC and justification for any differences’ has been updated to incorporate </w:t>
            </w:r>
            <w:r w:rsidRPr="00227769">
              <w:rPr>
                <w:rFonts w:asciiTheme="minorHAnsi" w:hAnsiTheme="minorHAnsi"/>
                <w:bCs/>
                <w:sz w:val="22"/>
                <w:szCs w:val="22"/>
              </w:rPr>
              <w:lastRenderedPageBreak/>
              <w:t>changes requested by the TGA and to align with the EU-RMP.</w:t>
            </w:r>
          </w:p>
          <w:p w14:paraId="3FCE8EDF" w14:textId="77777777" w:rsidR="00F95E3B" w:rsidRPr="00227769" w:rsidRDefault="00F95E3B" w:rsidP="00554D4D">
            <w:pPr>
              <w:pStyle w:val="ListParagraph"/>
              <w:numPr>
                <w:ilvl w:val="0"/>
                <w:numId w:val="10"/>
              </w:num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clear" w:pos="4253"/>
                <w:tab w:val="clear" w:pos="4536"/>
                <w:tab w:val="clear" w:pos="5103"/>
                <w:tab w:val="clear" w:pos="5670"/>
                <w:tab w:val="clear" w:pos="6237"/>
                <w:tab w:val="clear" w:pos="6804"/>
                <w:tab w:val="clear" w:pos="7371"/>
                <w:tab w:val="clear" w:pos="7938"/>
                <w:tab w:val="clear" w:pos="8505"/>
              </w:tabs>
              <w:autoSpaceDE w:val="0"/>
              <w:autoSpaceDN w:val="0"/>
              <w:adjustRightInd w:val="0"/>
              <w:rPr>
                <w:rFonts w:asciiTheme="minorHAnsi" w:hAnsiTheme="minorHAnsi"/>
                <w:sz w:val="22"/>
                <w:szCs w:val="22"/>
              </w:rPr>
            </w:pPr>
            <w:r w:rsidRPr="00227769">
              <w:rPr>
                <w:rFonts w:asciiTheme="minorHAnsi" w:hAnsiTheme="minorHAnsi"/>
                <w:bCs/>
                <w:sz w:val="22"/>
                <w:szCs w:val="22"/>
              </w:rPr>
              <w:t xml:space="preserve">Table 3: ‘Summary of safety specification, pharmacovigilance plan and planned risk minimisation measures in Australia’ has been updated to incorporate changes requested by the TGA and to align with the EU-RMP. </w:t>
            </w:r>
          </w:p>
        </w:tc>
      </w:tr>
    </w:tbl>
    <w:p w14:paraId="6193A053" w14:textId="77777777" w:rsidR="00F95E3B" w:rsidRPr="009F15FD" w:rsidRDefault="00F95E3B" w:rsidP="006646C1">
      <w:pPr>
        <w:pStyle w:val="Heading5"/>
      </w:pPr>
      <w:r w:rsidRPr="009F15FD">
        <w:lastRenderedPageBreak/>
        <w:t xml:space="preserve">Suggested wording for conditions of registration </w:t>
      </w:r>
    </w:p>
    <w:p w14:paraId="777A7CDF" w14:textId="77777777" w:rsidR="00F95E3B" w:rsidRPr="009F15FD" w:rsidRDefault="00F95E3B" w:rsidP="006646C1">
      <w:pPr>
        <w:pStyle w:val="Heading6"/>
      </w:pPr>
      <w:r w:rsidRPr="009F15FD">
        <w:t>RMP</w:t>
      </w:r>
    </w:p>
    <w:p w14:paraId="3115665B" w14:textId="77777777" w:rsidR="00F95E3B" w:rsidRPr="002A1AFE" w:rsidRDefault="00F95E3B" w:rsidP="006646C1">
      <w:r w:rsidRPr="00CA4A65">
        <w:t xml:space="preserve">Any changes to which the sponsor agreed become part of the risk management system, whether they are included in the currently available version of the RMP document, or </w:t>
      </w:r>
      <w:r w:rsidRPr="00B5517B">
        <w:t>not included, inadvertently or otherwise.</w:t>
      </w:r>
      <w:r w:rsidR="00C6191F">
        <w:t xml:space="preserve"> </w:t>
      </w:r>
      <w:r w:rsidRPr="00E315A7">
        <w:t>At this time no wording can be provided, as it is</w:t>
      </w:r>
      <w:r>
        <w:t xml:space="preserve"> recommended that an acceptably </w:t>
      </w:r>
      <w:r w:rsidRPr="00E315A7">
        <w:t xml:space="preserve">revised ASA be submitted before </w:t>
      </w:r>
      <w:r w:rsidRPr="00E315A7">
        <w:rPr>
          <w:color w:val="000000"/>
        </w:rPr>
        <w:t>this application is approved.</w:t>
      </w:r>
    </w:p>
    <w:p w14:paraId="1D0487E7" w14:textId="6AAB44F3" w:rsidR="008E7846" w:rsidRPr="00792A32" w:rsidRDefault="008E7846" w:rsidP="008E7846">
      <w:pPr>
        <w:pStyle w:val="Heading2"/>
      </w:pPr>
      <w:bookmarkStart w:id="186" w:name="_Toc507501121"/>
      <w:r>
        <w:t>VI</w:t>
      </w:r>
      <w:r w:rsidR="002B0DA6">
        <w:t>I</w:t>
      </w:r>
      <w:r>
        <w:t xml:space="preserve">.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02"/>
      <w:bookmarkEnd w:id="182"/>
      <w:bookmarkEnd w:id="185"/>
      <w:bookmarkEnd w:id="186"/>
    </w:p>
    <w:p w14:paraId="51DE7066" w14:textId="77777777" w:rsidR="008E7846" w:rsidRDefault="008E7846" w:rsidP="008E7846">
      <w:bookmarkStart w:id="187" w:name="_Toc247691528"/>
      <w:r>
        <w:t xml:space="preserve">The submission was summarised in the following </w:t>
      </w:r>
      <w:r w:rsidRPr="00EF5C48">
        <w:t xml:space="preserve">Delegate’s </w:t>
      </w:r>
      <w:r>
        <w:t>overview</w:t>
      </w:r>
      <w:r w:rsidRPr="00EF5C48">
        <w:t xml:space="preserve"> and recommendation</w:t>
      </w:r>
      <w:r>
        <w:t>s:</w:t>
      </w:r>
    </w:p>
    <w:p w14:paraId="5D8ADDD5" w14:textId="77777777" w:rsidR="008E7846" w:rsidRDefault="008E7846" w:rsidP="008E7846">
      <w:pPr>
        <w:pStyle w:val="Heading3"/>
      </w:pPr>
      <w:bookmarkStart w:id="188" w:name="_Toc314842511"/>
      <w:bookmarkStart w:id="189" w:name="_Toc507501122"/>
      <w:r>
        <w:t>Quality</w:t>
      </w:r>
      <w:bookmarkEnd w:id="187"/>
      <w:bookmarkEnd w:id="188"/>
      <w:bookmarkEnd w:id="189"/>
    </w:p>
    <w:p w14:paraId="336D19FC" w14:textId="3B02F393" w:rsidR="002343D4" w:rsidRPr="00AA2315" w:rsidRDefault="002343D4" w:rsidP="002343D4">
      <w:pPr>
        <w:spacing w:before="0" w:after="0"/>
        <w:ind w:right="-285"/>
        <w:jc w:val="both"/>
      </w:pPr>
      <w:bookmarkStart w:id="190" w:name="_Toc314842512"/>
      <w:r>
        <w:t>T</w:t>
      </w:r>
      <w:r w:rsidRPr="00AA2315">
        <w:t xml:space="preserve">he </w:t>
      </w:r>
      <w:r w:rsidR="001B365F">
        <w:t>quality</w:t>
      </w:r>
      <w:r w:rsidR="001B365F" w:rsidRPr="00AA2315">
        <w:t xml:space="preserve"> </w:t>
      </w:r>
      <w:r w:rsidRPr="00AA2315">
        <w:t xml:space="preserve">evaluator had issues still outstanding and the </w:t>
      </w:r>
      <w:r w:rsidR="00AA2315" w:rsidRPr="00AA2315">
        <w:t>s</w:t>
      </w:r>
      <w:r w:rsidRPr="00AA2315">
        <w:t>ponsor is requested to comment if these have been resolved (see Questions for Sponsor):</w:t>
      </w:r>
    </w:p>
    <w:p w14:paraId="7B8A97B5" w14:textId="77777777" w:rsidR="002343D4" w:rsidRPr="00C321EE" w:rsidRDefault="002343D4" w:rsidP="00AA2315">
      <w:pPr>
        <w:pStyle w:val="Numberbullet0"/>
        <w:numPr>
          <w:ilvl w:val="0"/>
          <w:numId w:val="38"/>
        </w:numPr>
      </w:pPr>
      <w:r w:rsidRPr="00C321EE">
        <w:t>Some changes to the Provisional ARTG Records are requ</w:t>
      </w:r>
      <w:r w:rsidR="00AA2315">
        <w:t>ired.</w:t>
      </w:r>
    </w:p>
    <w:p w14:paraId="0EEAFFAE" w14:textId="77777777" w:rsidR="002343D4" w:rsidRPr="00C321EE" w:rsidRDefault="002343D4" w:rsidP="00AA2315">
      <w:pPr>
        <w:pStyle w:val="Numberbullet0"/>
        <w:numPr>
          <w:ilvl w:val="0"/>
          <w:numId w:val="38"/>
        </w:numPr>
      </w:pPr>
      <w:r w:rsidRPr="00C321EE">
        <w:t>The labels require revision.</w:t>
      </w:r>
    </w:p>
    <w:p w14:paraId="685F72AD" w14:textId="20FC8B87" w:rsidR="002343D4" w:rsidRPr="00C321EE" w:rsidRDefault="002343D4" w:rsidP="00AA2315">
      <w:pPr>
        <w:pStyle w:val="Numberbullet0"/>
        <w:numPr>
          <w:ilvl w:val="0"/>
          <w:numId w:val="38"/>
        </w:numPr>
      </w:pPr>
      <w:r w:rsidRPr="00C321EE">
        <w:t>The capsule dissolution l</w:t>
      </w:r>
      <w:r w:rsidR="00AA2315">
        <w:t>imit should be reviewed by the s</w:t>
      </w:r>
      <w:r w:rsidRPr="00C321EE">
        <w:t>ponsor (or a tighter limit could be made a condition of registration).</w:t>
      </w:r>
    </w:p>
    <w:p w14:paraId="30BF4717" w14:textId="77777777" w:rsidR="002343D4" w:rsidRPr="00AA2315" w:rsidRDefault="002343D4" w:rsidP="00AA2315">
      <w:r w:rsidRPr="00AA2315">
        <w:t xml:space="preserve">Acceptability of the proposed trade name Zykadia to </w:t>
      </w:r>
      <w:r w:rsidR="00AA2315" w:rsidRPr="00AA2315">
        <w:t xml:space="preserve">Kadian </w:t>
      </w:r>
      <w:r w:rsidRPr="00AA2315">
        <w:t>morphine sulfate sustained release capsule Mayne Pharma (which are export only).</w:t>
      </w:r>
    </w:p>
    <w:p w14:paraId="35171AF1" w14:textId="77777777" w:rsidR="002343D4" w:rsidRPr="00AA2315" w:rsidRDefault="00AA2315" w:rsidP="00AA2315">
      <w:r w:rsidRPr="00AA2315">
        <w:t xml:space="preserve">The </w:t>
      </w:r>
      <w:r w:rsidR="002343D4" w:rsidRPr="00AA2315">
        <w:t>Delegate comment</w:t>
      </w:r>
      <w:r w:rsidRPr="00AA2315">
        <w:t>ed that</w:t>
      </w:r>
      <w:r w:rsidR="002343D4" w:rsidRPr="00AA2315">
        <w:t xml:space="preserve"> the similarity to, Kadian, the morphine sulphate medicine is noted and is of concern given this could well be used in lung cancer patients. However, this is not marketed in Australia limiting the risk.</w:t>
      </w:r>
    </w:p>
    <w:p w14:paraId="5271645E" w14:textId="77777777" w:rsidR="002343D4" w:rsidRPr="00AA2315" w:rsidRDefault="002343D4" w:rsidP="00AA2315">
      <w:r w:rsidRPr="00AA2315">
        <w:t xml:space="preserve">The low solubility except in acid is drawn to </w:t>
      </w:r>
      <w:r w:rsidR="00AA2315" w:rsidRPr="00AA2315">
        <w:t>the attention of the delegate (that is,</w:t>
      </w:r>
      <w:r w:rsidRPr="00AA2315">
        <w:t xml:space="preserve"> the potential risk of low bioavailability in achlorhydric patients or if dosed with antacids etc). </w:t>
      </w:r>
    </w:p>
    <w:p w14:paraId="63245BAA" w14:textId="77777777" w:rsidR="002343D4" w:rsidRPr="00AA2315" w:rsidRDefault="00AA2315" w:rsidP="00AA2315">
      <w:r w:rsidRPr="00AA2315">
        <w:t xml:space="preserve">The </w:t>
      </w:r>
      <w:r w:rsidR="002343D4" w:rsidRPr="00AA2315">
        <w:t>Delegate comment</w:t>
      </w:r>
      <w:r w:rsidRPr="00AA2315">
        <w:t>ed that i</w:t>
      </w:r>
      <w:r w:rsidR="002343D4" w:rsidRPr="00AA2315">
        <w:t>nformation is included in the PI regarding this and there is a study of the effect of esomeprazole on ceritinib absorption to be submitted as a Condition of Registration upon completion.</w:t>
      </w:r>
    </w:p>
    <w:p w14:paraId="04DD69B8" w14:textId="77777777" w:rsidR="002343D4" w:rsidRDefault="002343D4" w:rsidP="00AA2315">
      <w:r w:rsidRPr="008D5CDD">
        <w:t xml:space="preserve">Otherwise registration is recommended with respect to </w:t>
      </w:r>
      <w:r w:rsidR="00AA2315" w:rsidRPr="00AA2315">
        <w:t xml:space="preserve">Chemistry, Manufacturing, and Controls (CMC) </w:t>
      </w:r>
      <w:r w:rsidRPr="008D5CDD">
        <w:t>and bioavailability aspects.</w:t>
      </w:r>
    </w:p>
    <w:p w14:paraId="3D2D6CF8" w14:textId="77777777" w:rsidR="008E7846" w:rsidRDefault="008E7846" w:rsidP="002343D4">
      <w:pPr>
        <w:pStyle w:val="Heading3"/>
      </w:pPr>
      <w:bookmarkStart w:id="191" w:name="_Toc507501123"/>
      <w:r>
        <w:t>Nonclinical</w:t>
      </w:r>
      <w:bookmarkEnd w:id="190"/>
      <w:bookmarkEnd w:id="191"/>
    </w:p>
    <w:p w14:paraId="12BA379E" w14:textId="77777777" w:rsidR="002343D4" w:rsidRDefault="002343D4" w:rsidP="002343D4">
      <w:pPr>
        <w:adjustRightInd w:val="0"/>
        <w:snapToGrid w:val="0"/>
        <w:spacing w:before="0" w:after="0" w:line="240" w:lineRule="auto"/>
        <w:jc w:val="both"/>
        <w:rPr>
          <w:rFonts w:asciiTheme="minorHAnsi" w:eastAsia="MS Mincho" w:hAnsiTheme="minorHAnsi"/>
          <w:lang w:eastAsia="ja-JP"/>
        </w:rPr>
      </w:pPr>
      <w:r w:rsidRPr="00A27A97">
        <w:rPr>
          <w:rFonts w:asciiTheme="minorHAnsi" w:eastAsia="MS Mincho" w:hAnsiTheme="minorHAnsi"/>
          <w:lang w:eastAsia="ja-JP"/>
        </w:rPr>
        <w:t xml:space="preserve">The non-clinical evaluator had no objections on nonclinical grounds to registration </w:t>
      </w:r>
      <w:r>
        <w:rPr>
          <w:rFonts w:asciiTheme="minorHAnsi" w:eastAsia="MS Mincho" w:hAnsiTheme="minorHAnsi"/>
          <w:lang w:eastAsia="ja-JP"/>
        </w:rPr>
        <w:t>of ceritinib</w:t>
      </w:r>
      <w:r w:rsidRPr="00A27A97">
        <w:rPr>
          <w:rFonts w:asciiTheme="minorHAnsi" w:eastAsia="MS Mincho" w:hAnsiTheme="minorHAnsi"/>
          <w:lang w:eastAsia="ja-JP"/>
        </w:rPr>
        <w:t xml:space="preserve"> for the proposed indication.</w:t>
      </w:r>
    </w:p>
    <w:p w14:paraId="0CF473DB" w14:textId="77777777" w:rsidR="002343D4" w:rsidRPr="00B75C49" w:rsidRDefault="002343D4" w:rsidP="00AA2315">
      <w:pPr>
        <w:rPr>
          <w:lang w:eastAsia="ja-JP"/>
        </w:rPr>
      </w:pPr>
      <w:r w:rsidRPr="00B75C49">
        <w:rPr>
          <w:lang w:eastAsia="ja-JP"/>
        </w:rPr>
        <w:t>The following conclus</w:t>
      </w:r>
      <w:r>
        <w:rPr>
          <w:lang w:eastAsia="ja-JP"/>
        </w:rPr>
        <w:t>i</w:t>
      </w:r>
      <w:r w:rsidRPr="00B75C49">
        <w:rPr>
          <w:lang w:eastAsia="ja-JP"/>
        </w:rPr>
        <w:t>ons and recommendations were made</w:t>
      </w:r>
      <w:r w:rsidR="00AA2315">
        <w:rPr>
          <w:lang w:eastAsia="ja-JP"/>
        </w:rPr>
        <w:t>:</w:t>
      </w:r>
    </w:p>
    <w:p w14:paraId="190D48AA" w14:textId="77777777" w:rsidR="002343D4" w:rsidRPr="00B75C49" w:rsidRDefault="00AA2315" w:rsidP="00AA2315">
      <w:pPr>
        <w:pStyle w:val="ListBullet"/>
      </w:pPr>
      <w:r>
        <w:t>The nonclinical data</w:t>
      </w:r>
      <w:r w:rsidR="002343D4" w:rsidRPr="00B75C49">
        <w:t xml:space="preserve"> dossier was adequate with no major deficiencies.</w:t>
      </w:r>
    </w:p>
    <w:p w14:paraId="2DA96CC3" w14:textId="77777777" w:rsidR="002343D4" w:rsidRPr="00B75C49" w:rsidRDefault="002343D4" w:rsidP="00AA2315">
      <w:pPr>
        <w:pStyle w:val="ListBullet"/>
      </w:pPr>
      <w:r w:rsidRPr="00B75C49">
        <w:rPr>
          <w:rFonts w:eastAsia="TimesNewRoman"/>
        </w:rPr>
        <w:lastRenderedPageBreak/>
        <w:t xml:space="preserve">Primary pharmacology studies demonstrated the ALK inhibitory activity of ceritinib and activity against </w:t>
      </w:r>
      <w:r w:rsidR="00AA2315">
        <w:t xml:space="preserve">crizotinib </w:t>
      </w:r>
      <w:r w:rsidRPr="00B75C49">
        <w:t>resistant tumours, supporting the proposed indication. Other insul</w:t>
      </w:r>
      <w:r w:rsidR="00AA2315">
        <w:t>in receptor superfamily members such as</w:t>
      </w:r>
      <w:r w:rsidRPr="00B75C49">
        <w:t xml:space="preserve"> I</w:t>
      </w:r>
      <w:r w:rsidR="00AA2315">
        <w:t>nsR, IGF-1R and ROS1</w:t>
      </w:r>
      <w:r w:rsidRPr="00B75C49">
        <w:t xml:space="preserve"> are also potential targets.</w:t>
      </w:r>
    </w:p>
    <w:p w14:paraId="57BE47DC" w14:textId="77777777" w:rsidR="002343D4" w:rsidRPr="00B75C49" w:rsidRDefault="002343D4" w:rsidP="00AA2315">
      <w:pPr>
        <w:pStyle w:val="ListBullet"/>
      </w:pPr>
      <w:r w:rsidRPr="00B75C49">
        <w:t>Safety pharmacology studies indicate that ceritinib</w:t>
      </w:r>
      <w:r w:rsidRPr="00B75C49">
        <w:rPr>
          <w:rFonts w:eastAsia="TimesNewRoman"/>
        </w:rPr>
        <w:t xml:space="preserve"> may prolong </w:t>
      </w:r>
      <w:r w:rsidR="00AA2315">
        <w:rPr>
          <w:rFonts w:eastAsia="TimesNewRoman"/>
        </w:rPr>
        <w:t xml:space="preserve">the </w:t>
      </w:r>
      <w:r w:rsidRPr="00B75C49">
        <w:rPr>
          <w:rFonts w:eastAsia="TimesNewRoman"/>
        </w:rPr>
        <w:t xml:space="preserve">QT interval in patients. </w:t>
      </w:r>
    </w:p>
    <w:p w14:paraId="39D7A6A7" w14:textId="77777777" w:rsidR="002343D4" w:rsidRPr="00B75C49" w:rsidRDefault="002343D4" w:rsidP="00AA2315">
      <w:pPr>
        <w:pStyle w:val="ListBullet"/>
      </w:pPr>
      <w:r w:rsidRPr="00B75C49">
        <w:t>Pharmacokinetic profiles of ceritinib in rats and monkeys were sufficiently similar to that in humans. The animal species were appropriate models for the assessment of drug toxicity in humans.</w:t>
      </w:r>
      <w:r w:rsidR="000E3918">
        <w:t xml:space="preserve"> </w:t>
      </w:r>
    </w:p>
    <w:p w14:paraId="21212571" w14:textId="77777777" w:rsidR="002343D4" w:rsidRPr="00B75C49" w:rsidRDefault="002343D4" w:rsidP="00AA2315">
      <w:pPr>
        <w:pStyle w:val="ListBullet"/>
      </w:pPr>
      <w:r w:rsidRPr="00B75C49">
        <w:t xml:space="preserve">Ceritinib is a substrate of P-gp and metabolised by CYP3A. It inhibits CYP3A, 2A6 and 2C9 at clinically relevant concentrations. Pharmacokinetic interactions with CYP3A and P-gp inhibitors and inducers and drugs predominantly metabolised by CYP3A, 2A6 or 2C9 are expected to occur in patients. </w:t>
      </w:r>
    </w:p>
    <w:p w14:paraId="0FA6328D" w14:textId="77777777" w:rsidR="002343D4" w:rsidRPr="00B75C49" w:rsidRDefault="002343D4" w:rsidP="00AA2315">
      <w:pPr>
        <w:pStyle w:val="ListBullet"/>
      </w:pPr>
      <w:r w:rsidRPr="00B75C49">
        <w:t xml:space="preserve">Most findings in repeat dose toxicity studies were class effects of tyrosine kinase inhibitors and are expected to occur in patients. </w:t>
      </w:r>
    </w:p>
    <w:p w14:paraId="75EDFE2C" w14:textId="77777777" w:rsidR="002343D4" w:rsidRPr="00B75C49" w:rsidRDefault="002343D4" w:rsidP="00AA2315">
      <w:pPr>
        <w:pStyle w:val="ListBullet"/>
      </w:pPr>
      <w:r w:rsidRPr="00B75C49">
        <w:rPr>
          <w:rFonts w:eastAsia="MS Mincho"/>
        </w:rPr>
        <w:t>Ceritinib has a low risk of genotoxicity in patients.</w:t>
      </w:r>
    </w:p>
    <w:p w14:paraId="463CCB9B" w14:textId="77777777" w:rsidR="002343D4" w:rsidRPr="00B75C49" w:rsidRDefault="002343D4" w:rsidP="00AA2315">
      <w:pPr>
        <w:pStyle w:val="ListBullet"/>
        <w:rPr>
          <w:rFonts w:asciiTheme="minorHAnsi" w:hAnsiTheme="minorHAnsi"/>
        </w:rPr>
      </w:pPr>
      <w:r w:rsidRPr="00B75C49">
        <w:rPr>
          <w:rFonts w:eastAsia="SimSun"/>
        </w:rPr>
        <w:t xml:space="preserve">Embryofetal development studies in rats and rabbits and the potential inhibition of IGF-1R suggest embryofetal toxicity in patients. Pregnancy category D is considered appropriate. Ceritinib might affect fertility in patients, since IGF-1 deficiency causes infertility in mice. Ceritinib may impair growth and development </w:t>
      </w:r>
      <w:r w:rsidRPr="00B75C49">
        <w:rPr>
          <w:rFonts w:asciiTheme="minorHAnsi" w:eastAsia="SimSun" w:hAnsiTheme="minorHAnsi"/>
        </w:rPr>
        <w:t>of children.</w:t>
      </w:r>
    </w:p>
    <w:p w14:paraId="255BC942" w14:textId="77777777" w:rsidR="002343D4" w:rsidRPr="00B75C49" w:rsidRDefault="0051707E" w:rsidP="002343D4">
      <w:pPr>
        <w:pStyle w:val="Bulletpoint"/>
        <w:numPr>
          <w:ilvl w:val="0"/>
          <w:numId w:val="0"/>
        </w:numPr>
        <w:jc w:val="both"/>
        <w:rPr>
          <w:spacing w:val="-2"/>
          <w:sz w:val="22"/>
          <w:szCs w:val="22"/>
        </w:rPr>
      </w:pPr>
      <w:r>
        <w:rPr>
          <w:spacing w:val="-2"/>
          <w:sz w:val="22"/>
          <w:szCs w:val="22"/>
        </w:rPr>
        <w:t>The n</w:t>
      </w:r>
      <w:r w:rsidR="002343D4" w:rsidRPr="00B75C49">
        <w:rPr>
          <w:spacing w:val="-2"/>
          <w:sz w:val="22"/>
          <w:szCs w:val="22"/>
        </w:rPr>
        <w:t xml:space="preserve">onclinical </w:t>
      </w:r>
      <w:r>
        <w:rPr>
          <w:spacing w:val="-2"/>
          <w:sz w:val="22"/>
          <w:szCs w:val="22"/>
        </w:rPr>
        <w:t>e</w:t>
      </w:r>
      <w:r w:rsidR="002343D4" w:rsidRPr="00B75C49">
        <w:rPr>
          <w:spacing w:val="-2"/>
          <w:sz w:val="22"/>
          <w:szCs w:val="22"/>
        </w:rPr>
        <w:t xml:space="preserve">valuator noted: </w:t>
      </w:r>
    </w:p>
    <w:p w14:paraId="4D44BB8C" w14:textId="77777777" w:rsidR="002343D4" w:rsidRPr="0051707E" w:rsidRDefault="0051707E" w:rsidP="0051707E">
      <w:pPr>
        <w:ind w:left="720"/>
        <w:rPr>
          <w:i/>
        </w:rPr>
      </w:pPr>
      <w:r w:rsidRPr="0051707E">
        <w:rPr>
          <w:i/>
          <w:spacing w:val="-2"/>
        </w:rPr>
        <w:t>‘</w:t>
      </w:r>
      <w:r w:rsidR="002343D4" w:rsidRPr="0051707E">
        <w:rPr>
          <w:i/>
          <w:spacing w:val="-2"/>
        </w:rPr>
        <w:t>The</w:t>
      </w:r>
      <w:r w:rsidR="002343D4" w:rsidRPr="0051707E">
        <w:rPr>
          <w:i/>
        </w:rPr>
        <w:t xml:space="preserve"> longest </w:t>
      </w:r>
      <w:r w:rsidR="002343D4" w:rsidRPr="0051707E">
        <w:rPr>
          <w:i/>
          <w:spacing w:val="-2"/>
        </w:rPr>
        <w:t>duration</w:t>
      </w:r>
      <w:r w:rsidR="002343D4" w:rsidRPr="0051707E">
        <w:rPr>
          <w:i/>
          <w:spacing w:val="1"/>
        </w:rPr>
        <w:t xml:space="preserve"> </w:t>
      </w:r>
      <w:r w:rsidR="002343D4" w:rsidRPr="0051707E">
        <w:rPr>
          <w:i/>
        </w:rPr>
        <w:t>of</w:t>
      </w:r>
      <w:r w:rsidR="002343D4" w:rsidRPr="0051707E">
        <w:rPr>
          <w:i/>
          <w:spacing w:val="-3"/>
        </w:rPr>
        <w:t xml:space="preserve"> </w:t>
      </w:r>
      <w:r w:rsidR="002343D4" w:rsidRPr="0051707E">
        <w:rPr>
          <w:i/>
        </w:rPr>
        <w:t>toxicity</w:t>
      </w:r>
      <w:r w:rsidR="002343D4" w:rsidRPr="0051707E">
        <w:rPr>
          <w:i/>
          <w:spacing w:val="-2"/>
        </w:rPr>
        <w:t xml:space="preserve"> </w:t>
      </w:r>
      <w:r w:rsidR="002343D4" w:rsidRPr="0051707E">
        <w:rPr>
          <w:i/>
        </w:rPr>
        <w:t>studies</w:t>
      </w:r>
      <w:r w:rsidR="002343D4" w:rsidRPr="0051707E">
        <w:rPr>
          <w:i/>
          <w:spacing w:val="1"/>
        </w:rPr>
        <w:t xml:space="preserve"> </w:t>
      </w:r>
      <w:r w:rsidR="002343D4" w:rsidRPr="0051707E">
        <w:rPr>
          <w:i/>
          <w:spacing w:val="-2"/>
        </w:rPr>
        <w:t>was</w:t>
      </w:r>
      <w:r w:rsidR="002343D4" w:rsidRPr="0051707E">
        <w:rPr>
          <w:i/>
          <w:spacing w:val="1"/>
        </w:rPr>
        <w:t xml:space="preserve"> </w:t>
      </w:r>
      <w:r w:rsidR="002343D4" w:rsidRPr="0051707E">
        <w:rPr>
          <w:i/>
        </w:rPr>
        <w:t>13</w:t>
      </w:r>
      <w:r w:rsidR="002343D4" w:rsidRPr="0051707E">
        <w:rPr>
          <w:i/>
          <w:spacing w:val="-2"/>
        </w:rPr>
        <w:t xml:space="preserve"> weeks</w:t>
      </w:r>
      <w:r w:rsidR="002343D4" w:rsidRPr="0051707E">
        <w:rPr>
          <w:i/>
          <w:spacing w:val="-4"/>
        </w:rPr>
        <w:t xml:space="preserve"> </w:t>
      </w:r>
      <w:r w:rsidR="002343D4" w:rsidRPr="0051707E">
        <w:rPr>
          <w:i/>
          <w:spacing w:val="-2"/>
        </w:rPr>
        <w:t>in</w:t>
      </w:r>
      <w:r w:rsidR="002343D4" w:rsidRPr="0051707E">
        <w:rPr>
          <w:i/>
          <w:spacing w:val="1"/>
        </w:rPr>
        <w:t xml:space="preserve"> </w:t>
      </w:r>
      <w:r w:rsidR="002343D4" w:rsidRPr="0051707E">
        <w:rPr>
          <w:i/>
        </w:rPr>
        <w:t>rats</w:t>
      </w:r>
      <w:r w:rsidR="002343D4" w:rsidRPr="0051707E">
        <w:rPr>
          <w:i/>
          <w:spacing w:val="1"/>
        </w:rPr>
        <w:t xml:space="preserve"> </w:t>
      </w:r>
      <w:r w:rsidR="002343D4" w:rsidRPr="0051707E">
        <w:rPr>
          <w:i/>
          <w:spacing w:val="-2"/>
        </w:rPr>
        <w:t>and</w:t>
      </w:r>
      <w:r w:rsidR="002343D4" w:rsidRPr="0051707E">
        <w:rPr>
          <w:i/>
        </w:rPr>
        <w:t xml:space="preserve"> </w:t>
      </w:r>
      <w:r w:rsidR="002343D4" w:rsidRPr="0051707E">
        <w:rPr>
          <w:i/>
          <w:spacing w:val="-2"/>
        </w:rPr>
        <w:t xml:space="preserve">monkeys. </w:t>
      </w:r>
      <w:r w:rsidR="002343D4" w:rsidRPr="0051707E">
        <w:rPr>
          <w:i/>
        </w:rPr>
        <w:t xml:space="preserve">It </w:t>
      </w:r>
      <w:r w:rsidR="002343D4" w:rsidRPr="0051707E">
        <w:rPr>
          <w:i/>
          <w:spacing w:val="-2"/>
        </w:rPr>
        <w:t>is</w:t>
      </w:r>
      <w:r w:rsidR="002343D4" w:rsidRPr="0051707E">
        <w:rPr>
          <w:i/>
          <w:spacing w:val="1"/>
        </w:rPr>
        <w:t xml:space="preserve"> </w:t>
      </w:r>
      <w:r w:rsidR="002343D4" w:rsidRPr="0051707E">
        <w:rPr>
          <w:i/>
          <w:spacing w:val="-2"/>
        </w:rPr>
        <w:t>unclear</w:t>
      </w:r>
      <w:r w:rsidR="002343D4" w:rsidRPr="0051707E">
        <w:rPr>
          <w:i/>
        </w:rPr>
        <w:t xml:space="preserve"> </w:t>
      </w:r>
      <w:r w:rsidR="002343D4" w:rsidRPr="0051707E">
        <w:rPr>
          <w:i/>
          <w:spacing w:val="-4"/>
        </w:rPr>
        <w:t>why</w:t>
      </w:r>
      <w:r w:rsidR="002343D4" w:rsidRPr="0051707E">
        <w:rPr>
          <w:i/>
          <w:spacing w:val="-2"/>
        </w:rPr>
        <w:t xml:space="preserve"> </w:t>
      </w:r>
      <w:r w:rsidR="002343D4" w:rsidRPr="0051707E">
        <w:rPr>
          <w:i/>
        </w:rPr>
        <w:t>a</w:t>
      </w:r>
      <w:r w:rsidR="002343D4" w:rsidRPr="0051707E">
        <w:rPr>
          <w:i/>
          <w:spacing w:val="-2"/>
        </w:rPr>
        <w:t xml:space="preserve"> </w:t>
      </w:r>
      <w:r w:rsidR="002343D4" w:rsidRPr="0051707E">
        <w:rPr>
          <w:i/>
        </w:rPr>
        <w:t>rat</w:t>
      </w:r>
      <w:r w:rsidR="002343D4" w:rsidRPr="0051707E">
        <w:rPr>
          <w:i/>
          <w:spacing w:val="73"/>
        </w:rPr>
        <w:t xml:space="preserve"> </w:t>
      </w:r>
      <w:r w:rsidR="002343D4" w:rsidRPr="0051707E">
        <w:rPr>
          <w:i/>
          <w:spacing w:val="-2"/>
        </w:rPr>
        <w:t>26-week</w:t>
      </w:r>
      <w:r w:rsidR="002343D4" w:rsidRPr="0051707E">
        <w:rPr>
          <w:i/>
        </w:rPr>
        <w:t xml:space="preserve"> study</w:t>
      </w:r>
      <w:r w:rsidR="002343D4" w:rsidRPr="0051707E">
        <w:rPr>
          <w:i/>
          <w:spacing w:val="-2"/>
        </w:rPr>
        <w:t xml:space="preserve"> was</w:t>
      </w:r>
      <w:r w:rsidR="002343D4" w:rsidRPr="0051707E">
        <w:rPr>
          <w:i/>
          <w:spacing w:val="1"/>
        </w:rPr>
        <w:t xml:space="preserve"> </w:t>
      </w:r>
      <w:r w:rsidR="002343D4" w:rsidRPr="0051707E">
        <w:rPr>
          <w:i/>
          <w:spacing w:val="-2"/>
        </w:rPr>
        <w:t>referenced</w:t>
      </w:r>
      <w:r w:rsidR="002343D4" w:rsidRPr="0051707E">
        <w:rPr>
          <w:i/>
        </w:rPr>
        <w:t xml:space="preserve"> </w:t>
      </w:r>
      <w:r w:rsidR="002343D4" w:rsidRPr="0051707E">
        <w:rPr>
          <w:i/>
          <w:spacing w:val="-2"/>
        </w:rPr>
        <w:t>in</w:t>
      </w:r>
      <w:r w:rsidR="002343D4" w:rsidRPr="0051707E">
        <w:rPr>
          <w:i/>
          <w:spacing w:val="1"/>
        </w:rPr>
        <w:t xml:space="preserve"> </w:t>
      </w:r>
      <w:r w:rsidR="002343D4" w:rsidRPr="0051707E">
        <w:rPr>
          <w:i/>
        </w:rPr>
        <w:t xml:space="preserve">the </w:t>
      </w:r>
      <w:r w:rsidR="002343D4" w:rsidRPr="0051707E">
        <w:rPr>
          <w:i/>
          <w:spacing w:val="-2"/>
        </w:rPr>
        <w:t>RMP</w:t>
      </w:r>
      <w:r w:rsidR="002343D4" w:rsidRPr="0051707E">
        <w:rPr>
          <w:i/>
          <w:spacing w:val="1"/>
        </w:rPr>
        <w:t xml:space="preserve"> </w:t>
      </w:r>
      <w:r w:rsidR="002343D4" w:rsidRPr="0051707E">
        <w:rPr>
          <w:i/>
        </w:rPr>
        <w:t>(under Respiratory</w:t>
      </w:r>
      <w:r w:rsidR="002343D4" w:rsidRPr="0051707E">
        <w:rPr>
          <w:i/>
          <w:spacing w:val="-2"/>
        </w:rPr>
        <w:t xml:space="preserve"> </w:t>
      </w:r>
      <w:r w:rsidR="002343D4" w:rsidRPr="0051707E">
        <w:rPr>
          <w:i/>
        </w:rPr>
        <w:t>tract,</w:t>
      </w:r>
      <w:r w:rsidR="002343D4" w:rsidRPr="0051707E">
        <w:rPr>
          <w:i/>
          <w:spacing w:val="-2"/>
        </w:rPr>
        <w:t xml:space="preserve"> </w:t>
      </w:r>
      <w:r w:rsidR="002343D4" w:rsidRPr="0051707E">
        <w:rPr>
          <w:i/>
        </w:rPr>
        <w:t>and</w:t>
      </w:r>
      <w:r w:rsidR="002343D4" w:rsidRPr="0051707E">
        <w:rPr>
          <w:i/>
          <w:spacing w:val="-6"/>
        </w:rPr>
        <w:t xml:space="preserve"> </w:t>
      </w:r>
      <w:r w:rsidR="002343D4" w:rsidRPr="0051707E">
        <w:rPr>
          <w:i/>
        </w:rPr>
        <w:t>Hepatobiliary</w:t>
      </w:r>
      <w:r w:rsidR="002343D4" w:rsidRPr="0051707E">
        <w:rPr>
          <w:i/>
          <w:spacing w:val="-2"/>
        </w:rPr>
        <w:t xml:space="preserve"> </w:t>
      </w:r>
      <w:r w:rsidR="002343D4" w:rsidRPr="0051707E">
        <w:rPr>
          <w:i/>
        </w:rPr>
        <w:t>system and</w:t>
      </w:r>
      <w:r w:rsidR="002343D4" w:rsidRPr="0051707E">
        <w:rPr>
          <w:i/>
          <w:spacing w:val="55"/>
        </w:rPr>
        <w:t xml:space="preserve"> </w:t>
      </w:r>
      <w:r w:rsidR="002343D4" w:rsidRPr="0051707E">
        <w:rPr>
          <w:i/>
        </w:rPr>
        <w:t>pancreas).</w:t>
      </w:r>
      <w:r w:rsidR="0089512A" w:rsidRPr="0051707E">
        <w:rPr>
          <w:i/>
        </w:rPr>
        <w:t>’</w:t>
      </w:r>
    </w:p>
    <w:p w14:paraId="60DBCA24" w14:textId="77777777" w:rsidR="002343D4" w:rsidRPr="0051707E" w:rsidRDefault="002343D4" w:rsidP="0051707E">
      <w:pPr>
        <w:ind w:left="720"/>
        <w:rPr>
          <w:i/>
        </w:rPr>
      </w:pPr>
      <w:r w:rsidRPr="0051707E">
        <w:rPr>
          <w:i/>
          <w:spacing w:val="-2"/>
        </w:rPr>
        <w:t>The</w:t>
      </w:r>
      <w:r w:rsidRPr="0051707E">
        <w:rPr>
          <w:i/>
          <w:spacing w:val="-3"/>
        </w:rPr>
        <w:t xml:space="preserve"> </w:t>
      </w:r>
      <w:r w:rsidRPr="0051707E">
        <w:rPr>
          <w:i/>
        </w:rPr>
        <w:t>sponsor stated</w:t>
      </w:r>
      <w:r w:rsidRPr="0051707E">
        <w:rPr>
          <w:i/>
          <w:spacing w:val="1"/>
        </w:rPr>
        <w:t xml:space="preserve"> </w:t>
      </w:r>
      <w:r w:rsidRPr="0051707E">
        <w:rPr>
          <w:i/>
        </w:rPr>
        <w:t>that</w:t>
      </w:r>
      <w:r w:rsidRPr="0051707E">
        <w:rPr>
          <w:i/>
          <w:spacing w:val="1"/>
        </w:rPr>
        <w:t xml:space="preserve"> </w:t>
      </w:r>
      <w:r w:rsidRPr="0051707E">
        <w:rPr>
          <w:i/>
        </w:rPr>
        <w:t>a</w:t>
      </w:r>
      <w:r w:rsidRPr="0051707E">
        <w:rPr>
          <w:i/>
          <w:spacing w:val="-3"/>
        </w:rPr>
        <w:t xml:space="preserve"> </w:t>
      </w:r>
      <w:r w:rsidRPr="0051707E">
        <w:rPr>
          <w:i/>
          <w:spacing w:val="-2"/>
        </w:rPr>
        <w:t xml:space="preserve">26-week </w:t>
      </w:r>
      <w:r w:rsidRPr="0051707E">
        <w:rPr>
          <w:i/>
          <w:spacing w:val="-3"/>
        </w:rPr>
        <w:t>rat</w:t>
      </w:r>
      <w:r w:rsidRPr="0051707E">
        <w:rPr>
          <w:i/>
          <w:spacing w:val="1"/>
        </w:rPr>
        <w:t xml:space="preserve"> </w:t>
      </w:r>
      <w:r w:rsidRPr="0051707E">
        <w:rPr>
          <w:i/>
        </w:rPr>
        <w:t>study</w:t>
      </w:r>
      <w:r w:rsidRPr="0051707E">
        <w:rPr>
          <w:i/>
          <w:spacing w:val="-2"/>
        </w:rPr>
        <w:t xml:space="preserve"> </w:t>
      </w:r>
      <w:r w:rsidRPr="0051707E">
        <w:rPr>
          <w:i/>
        </w:rPr>
        <w:t>and</w:t>
      </w:r>
      <w:r w:rsidRPr="0051707E">
        <w:rPr>
          <w:i/>
          <w:spacing w:val="1"/>
        </w:rPr>
        <w:t xml:space="preserve"> </w:t>
      </w:r>
      <w:r w:rsidRPr="0051707E">
        <w:rPr>
          <w:i/>
        </w:rPr>
        <w:t>a</w:t>
      </w:r>
      <w:r w:rsidRPr="0051707E">
        <w:rPr>
          <w:i/>
          <w:spacing w:val="-3"/>
        </w:rPr>
        <w:t xml:space="preserve"> </w:t>
      </w:r>
      <w:r w:rsidRPr="0051707E">
        <w:rPr>
          <w:i/>
          <w:spacing w:val="-2"/>
        </w:rPr>
        <w:t xml:space="preserve">39-week </w:t>
      </w:r>
      <w:r w:rsidRPr="0051707E">
        <w:rPr>
          <w:i/>
        </w:rPr>
        <w:t>toxicity</w:t>
      </w:r>
      <w:r w:rsidRPr="0051707E">
        <w:rPr>
          <w:i/>
          <w:spacing w:val="-2"/>
        </w:rPr>
        <w:t xml:space="preserve"> </w:t>
      </w:r>
      <w:r w:rsidRPr="0051707E">
        <w:rPr>
          <w:i/>
        </w:rPr>
        <w:t>study</w:t>
      </w:r>
      <w:r w:rsidRPr="0051707E">
        <w:rPr>
          <w:i/>
          <w:spacing w:val="-2"/>
        </w:rPr>
        <w:t xml:space="preserve"> had</w:t>
      </w:r>
      <w:r w:rsidRPr="0051707E">
        <w:rPr>
          <w:i/>
          <w:spacing w:val="1"/>
        </w:rPr>
        <w:t xml:space="preserve"> </w:t>
      </w:r>
      <w:r w:rsidRPr="0051707E">
        <w:rPr>
          <w:i/>
          <w:spacing w:val="-2"/>
        </w:rPr>
        <w:t>been</w:t>
      </w:r>
      <w:r w:rsidRPr="0051707E">
        <w:rPr>
          <w:i/>
          <w:spacing w:val="1"/>
        </w:rPr>
        <w:t xml:space="preserve"> </w:t>
      </w:r>
      <w:r w:rsidRPr="0051707E">
        <w:rPr>
          <w:i/>
          <w:spacing w:val="-2"/>
        </w:rPr>
        <w:t>conducted</w:t>
      </w:r>
      <w:r w:rsidRPr="0051707E">
        <w:rPr>
          <w:i/>
          <w:spacing w:val="2"/>
        </w:rPr>
        <w:t xml:space="preserve"> </w:t>
      </w:r>
      <w:r w:rsidRPr="0051707E">
        <w:rPr>
          <w:i/>
          <w:spacing w:val="-3"/>
        </w:rPr>
        <w:t>but</w:t>
      </w:r>
      <w:r w:rsidRPr="0051707E">
        <w:rPr>
          <w:i/>
          <w:spacing w:val="60"/>
        </w:rPr>
        <w:t xml:space="preserve"> </w:t>
      </w:r>
      <w:r w:rsidRPr="0051707E">
        <w:rPr>
          <w:i/>
          <w:spacing w:val="-4"/>
        </w:rPr>
        <w:t>have</w:t>
      </w:r>
      <w:r w:rsidRPr="0051707E">
        <w:rPr>
          <w:i/>
          <w:spacing w:val="-3"/>
        </w:rPr>
        <w:t xml:space="preserve"> </w:t>
      </w:r>
      <w:r w:rsidRPr="0051707E">
        <w:rPr>
          <w:i/>
        </w:rPr>
        <w:t>not</w:t>
      </w:r>
      <w:r w:rsidRPr="0051707E">
        <w:rPr>
          <w:i/>
          <w:spacing w:val="1"/>
        </w:rPr>
        <w:t xml:space="preserve"> </w:t>
      </w:r>
      <w:r w:rsidRPr="0051707E">
        <w:rPr>
          <w:i/>
        </w:rPr>
        <w:t>been</w:t>
      </w:r>
      <w:r w:rsidRPr="0051707E">
        <w:rPr>
          <w:i/>
          <w:spacing w:val="1"/>
        </w:rPr>
        <w:t xml:space="preserve"> </w:t>
      </w:r>
      <w:r w:rsidRPr="0051707E">
        <w:rPr>
          <w:i/>
          <w:spacing w:val="-2"/>
        </w:rPr>
        <w:t>provided</w:t>
      </w:r>
      <w:r w:rsidRPr="0051707E">
        <w:rPr>
          <w:i/>
          <w:spacing w:val="1"/>
        </w:rPr>
        <w:t xml:space="preserve"> </w:t>
      </w:r>
      <w:r w:rsidRPr="0051707E">
        <w:rPr>
          <w:i/>
          <w:spacing w:val="-3"/>
        </w:rPr>
        <w:t>for</w:t>
      </w:r>
      <w:r w:rsidRPr="0051707E">
        <w:rPr>
          <w:i/>
        </w:rPr>
        <w:t xml:space="preserve"> </w:t>
      </w:r>
      <w:r w:rsidRPr="0051707E">
        <w:rPr>
          <w:i/>
          <w:spacing w:val="-2"/>
        </w:rPr>
        <w:t>evaluation.</w:t>
      </w:r>
      <w:r w:rsidRPr="0051707E">
        <w:rPr>
          <w:i/>
          <w:spacing w:val="-3"/>
        </w:rPr>
        <w:t xml:space="preserve"> </w:t>
      </w:r>
      <w:r w:rsidRPr="0051707E">
        <w:rPr>
          <w:i/>
        </w:rPr>
        <w:t>No</w:t>
      </w:r>
      <w:r w:rsidRPr="0051707E">
        <w:rPr>
          <w:i/>
          <w:spacing w:val="-3"/>
        </w:rPr>
        <w:t xml:space="preserve"> </w:t>
      </w:r>
      <w:r w:rsidRPr="0051707E">
        <w:rPr>
          <w:i/>
        </w:rPr>
        <w:t>new</w:t>
      </w:r>
      <w:r w:rsidRPr="0051707E">
        <w:rPr>
          <w:i/>
          <w:spacing w:val="1"/>
        </w:rPr>
        <w:t xml:space="preserve"> </w:t>
      </w:r>
      <w:r w:rsidRPr="0051707E">
        <w:rPr>
          <w:i/>
        </w:rPr>
        <w:t>toxicology</w:t>
      </w:r>
      <w:r w:rsidRPr="0051707E">
        <w:rPr>
          <w:i/>
          <w:spacing w:val="-2"/>
        </w:rPr>
        <w:t xml:space="preserve"> </w:t>
      </w:r>
      <w:r w:rsidRPr="0051707E">
        <w:rPr>
          <w:i/>
        </w:rPr>
        <w:t xml:space="preserve">findings </w:t>
      </w:r>
      <w:r w:rsidRPr="0051707E">
        <w:rPr>
          <w:i/>
          <w:spacing w:val="-3"/>
        </w:rPr>
        <w:t xml:space="preserve">were </w:t>
      </w:r>
      <w:r w:rsidRPr="0051707E">
        <w:rPr>
          <w:i/>
        </w:rPr>
        <w:t>identified</w:t>
      </w:r>
      <w:r w:rsidRPr="0051707E">
        <w:rPr>
          <w:i/>
          <w:spacing w:val="1"/>
        </w:rPr>
        <w:t xml:space="preserve"> </w:t>
      </w:r>
      <w:r w:rsidRPr="0051707E">
        <w:rPr>
          <w:i/>
          <w:spacing w:val="-2"/>
        </w:rPr>
        <w:t>in</w:t>
      </w:r>
      <w:r w:rsidRPr="0051707E">
        <w:rPr>
          <w:i/>
          <w:spacing w:val="1"/>
        </w:rPr>
        <w:t xml:space="preserve"> </w:t>
      </w:r>
      <w:r w:rsidRPr="0051707E">
        <w:rPr>
          <w:i/>
        </w:rPr>
        <w:t>these</w:t>
      </w:r>
      <w:r w:rsidRPr="0051707E">
        <w:rPr>
          <w:i/>
          <w:spacing w:val="-3"/>
        </w:rPr>
        <w:t xml:space="preserve"> </w:t>
      </w:r>
      <w:r w:rsidRPr="0051707E">
        <w:rPr>
          <w:i/>
        </w:rPr>
        <w:t>studies.</w:t>
      </w:r>
      <w:r w:rsidRPr="0051707E">
        <w:rPr>
          <w:i/>
          <w:spacing w:val="81"/>
        </w:rPr>
        <w:t xml:space="preserve"> </w:t>
      </w:r>
      <w:r w:rsidRPr="0051707E">
        <w:rPr>
          <w:i/>
          <w:spacing w:val="-2"/>
        </w:rPr>
        <w:t>The</w:t>
      </w:r>
      <w:r w:rsidRPr="0051707E">
        <w:rPr>
          <w:i/>
          <w:spacing w:val="-3"/>
        </w:rPr>
        <w:t xml:space="preserve"> </w:t>
      </w:r>
      <w:r w:rsidRPr="0051707E">
        <w:rPr>
          <w:i/>
        </w:rPr>
        <w:t>study</w:t>
      </w:r>
      <w:r w:rsidRPr="0051707E">
        <w:rPr>
          <w:i/>
          <w:spacing w:val="-2"/>
        </w:rPr>
        <w:t xml:space="preserve"> </w:t>
      </w:r>
      <w:r w:rsidRPr="0051707E">
        <w:rPr>
          <w:i/>
        </w:rPr>
        <w:t xml:space="preserve">reports </w:t>
      </w:r>
      <w:r w:rsidRPr="0051707E">
        <w:rPr>
          <w:i/>
          <w:spacing w:val="-2"/>
        </w:rPr>
        <w:t>should</w:t>
      </w:r>
      <w:r w:rsidRPr="0051707E">
        <w:rPr>
          <w:i/>
          <w:spacing w:val="1"/>
        </w:rPr>
        <w:t xml:space="preserve"> </w:t>
      </w:r>
      <w:r w:rsidRPr="0051707E">
        <w:rPr>
          <w:i/>
        </w:rPr>
        <w:t>be</w:t>
      </w:r>
      <w:r w:rsidRPr="0051707E">
        <w:rPr>
          <w:i/>
          <w:spacing w:val="-3"/>
        </w:rPr>
        <w:t xml:space="preserve"> </w:t>
      </w:r>
      <w:r w:rsidRPr="0051707E">
        <w:rPr>
          <w:i/>
          <w:spacing w:val="-2"/>
        </w:rPr>
        <w:t>provided</w:t>
      </w:r>
      <w:r w:rsidRPr="0051707E">
        <w:rPr>
          <w:i/>
          <w:spacing w:val="1"/>
        </w:rPr>
        <w:t xml:space="preserve"> to</w:t>
      </w:r>
      <w:r w:rsidRPr="0051707E">
        <w:rPr>
          <w:i/>
          <w:spacing w:val="-3"/>
        </w:rPr>
        <w:t xml:space="preserve"> TGA</w:t>
      </w:r>
      <w:r w:rsidRPr="0051707E">
        <w:rPr>
          <w:i/>
          <w:spacing w:val="1"/>
        </w:rPr>
        <w:t xml:space="preserve"> </w:t>
      </w:r>
      <w:r w:rsidRPr="0051707E">
        <w:rPr>
          <w:i/>
          <w:spacing w:val="-3"/>
        </w:rPr>
        <w:t>for</w:t>
      </w:r>
      <w:r w:rsidRPr="0051707E">
        <w:rPr>
          <w:i/>
        </w:rPr>
        <w:t xml:space="preserve"> </w:t>
      </w:r>
      <w:r w:rsidRPr="0051707E">
        <w:rPr>
          <w:i/>
          <w:spacing w:val="-2"/>
        </w:rPr>
        <w:t>evaluation</w:t>
      </w:r>
      <w:r w:rsidRPr="0051707E">
        <w:rPr>
          <w:i/>
          <w:spacing w:val="1"/>
        </w:rPr>
        <w:t xml:space="preserve"> </w:t>
      </w:r>
      <w:r w:rsidRPr="0051707E">
        <w:rPr>
          <w:i/>
        </w:rPr>
        <w:t>in</w:t>
      </w:r>
      <w:r w:rsidRPr="0051707E">
        <w:rPr>
          <w:i/>
          <w:spacing w:val="1"/>
        </w:rPr>
        <w:t xml:space="preserve"> </w:t>
      </w:r>
      <w:r w:rsidRPr="0051707E">
        <w:rPr>
          <w:i/>
          <w:spacing w:val="-2"/>
        </w:rPr>
        <w:t>future</w:t>
      </w:r>
      <w:r w:rsidRPr="0051707E">
        <w:rPr>
          <w:i/>
          <w:spacing w:val="-3"/>
        </w:rPr>
        <w:t xml:space="preserve"> </w:t>
      </w:r>
      <w:r w:rsidRPr="0051707E">
        <w:rPr>
          <w:i/>
        </w:rPr>
        <w:t xml:space="preserve">applications </w:t>
      </w:r>
      <w:r w:rsidRPr="0051707E">
        <w:rPr>
          <w:i/>
          <w:spacing w:val="-3"/>
        </w:rPr>
        <w:t>for</w:t>
      </w:r>
      <w:r w:rsidRPr="0051707E">
        <w:rPr>
          <w:i/>
        </w:rPr>
        <w:t xml:space="preserve"> ceritinib.’</w:t>
      </w:r>
    </w:p>
    <w:p w14:paraId="6AE6B093" w14:textId="77777777" w:rsidR="002343D4" w:rsidRPr="0051707E" w:rsidRDefault="0051707E" w:rsidP="0051707E">
      <w:r w:rsidRPr="0051707E">
        <w:t xml:space="preserve">The </w:t>
      </w:r>
      <w:r w:rsidR="002343D4" w:rsidRPr="0051707E">
        <w:t>Delegate comment</w:t>
      </w:r>
      <w:r w:rsidRPr="0051707E">
        <w:t>ed that</w:t>
      </w:r>
      <w:r w:rsidR="002343D4" w:rsidRPr="0051707E">
        <w:t xml:space="preserve"> </w:t>
      </w:r>
      <w:r w:rsidRPr="0051707E">
        <w:t xml:space="preserve">the submission of the 26 and 30 </w:t>
      </w:r>
      <w:r w:rsidR="002343D4" w:rsidRPr="0051707E">
        <w:t>week toxicity study with the next Category application, for evaluation by the TGA is a condition of registration (see Conditions of Registration).</w:t>
      </w:r>
      <w:bookmarkStart w:id="192" w:name="2.3._Comment_3"/>
      <w:bookmarkStart w:id="193" w:name="2.2._Comment_2"/>
      <w:bookmarkStart w:id="194" w:name="1.5._Use_in_Pregnancy"/>
      <w:bookmarkStart w:id="195" w:name="1.6._Genotoxicity"/>
      <w:bookmarkStart w:id="196" w:name="1.7._Interactions_with_other_Medicines"/>
      <w:bookmarkStart w:id="197" w:name="2._Comments_on_the_Safety_Specification_"/>
      <w:bookmarkStart w:id="198" w:name="2.1._Comment_1"/>
      <w:bookmarkEnd w:id="192"/>
      <w:bookmarkEnd w:id="193"/>
      <w:bookmarkEnd w:id="194"/>
      <w:bookmarkEnd w:id="195"/>
      <w:bookmarkEnd w:id="196"/>
      <w:bookmarkEnd w:id="197"/>
      <w:bookmarkEnd w:id="198"/>
    </w:p>
    <w:p w14:paraId="2F10EE04" w14:textId="77777777" w:rsidR="008E7846" w:rsidRDefault="008E7846" w:rsidP="008E7846">
      <w:pPr>
        <w:pStyle w:val="Heading3"/>
      </w:pPr>
      <w:bookmarkStart w:id="199" w:name="_Toc247691530"/>
      <w:bookmarkStart w:id="200" w:name="_Toc314842513"/>
      <w:bookmarkStart w:id="201" w:name="_Toc507501124"/>
      <w:r>
        <w:t>Clinical</w:t>
      </w:r>
      <w:bookmarkEnd w:id="199"/>
      <w:bookmarkEnd w:id="200"/>
      <w:bookmarkEnd w:id="201"/>
    </w:p>
    <w:p w14:paraId="09C7EC53" w14:textId="74AC993D" w:rsidR="002343D4" w:rsidRPr="00097F14" w:rsidRDefault="002343D4" w:rsidP="002343D4">
      <w:pPr>
        <w:adjustRightInd w:val="0"/>
        <w:snapToGrid w:val="0"/>
        <w:spacing w:before="0" w:after="0" w:line="240" w:lineRule="auto"/>
        <w:jc w:val="both"/>
        <w:rPr>
          <w:rFonts w:asciiTheme="minorHAnsi" w:hAnsiTheme="minorHAnsi"/>
        </w:rPr>
      </w:pPr>
      <w:bookmarkStart w:id="202" w:name="_Toc314842514"/>
      <w:r w:rsidRPr="00097F14">
        <w:rPr>
          <w:rFonts w:asciiTheme="minorHAnsi" w:hAnsiTheme="minorHAnsi"/>
        </w:rPr>
        <w:t>The submitted data was evaluated using TGA adopted EMA Guidelines as follows:</w:t>
      </w:r>
    </w:p>
    <w:p w14:paraId="55C1E313" w14:textId="4EF3D302" w:rsidR="002343D4" w:rsidRPr="00097F14" w:rsidRDefault="002343D4" w:rsidP="0051707E">
      <w:pPr>
        <w:pStyle w:val="ListBullet"/>
      </w:pPr>
      <w:r w:rsidRPr="00097F14">
        <w:t>Guideline on the evaluation of anticancer medicinal products in man</w:t>
      </w:r>
      <w:r w:rsidR="0051707E" w:rsidRPr="00097F14">
        <w:t xml:space="preserve"> </w:t>
      </w:r>
      <w:r w:rsidRPr="00097F14">
        <w:t>Points to consider on application with1. Meta-analyses; 2. One pivotal study.</w:t>
      </w:r>
    </w:p>
    <w:p w14:paraId="0A312F37" w14:textId="4E5ADA0D" w:rsidR="002343D4" w:rsidRPr="00097F14" w:rsidRDefault="0051707E" w:rsidP="002343D4">
      <w:pPr>
        <w:adjustRightInd w:val="0"/>
        <w:snapToGrid w:val="0"/>
        <w:spacing w:before="0" w:after="0" w:line="240" w:lineRule="auto"/>
        <w:jc w:val="both"/>
        <w:rPr>
          <w:rFonts w:asciiTheme="minorHAnsi" w:hAnsiTheme="minorHAnsi"/>
        </w:rPr>
      </w:pPr>
      <w:r w:rsidRPr="00097F14">
        <w:rPr>
          <w:rFonts w:asciiTheme="minorHAnsi" w:hAnsiTheme="minorHAnsi"/>
        </w:rPr>
        <w:t>The following r</w:t>
      </w:r>
      <w:r w:rsidR="002343D4" w:rsidRPr="00097F14">
        <w:rPr>
          <w:rFonts w:asciiTheme="minorHAnsi" w:hAnsiTheme="minorHAnsi"/>
        </w:rPr>
        <w:t xml:space="preserve">eferences </w:t>
      </w:r>
      <w:r w:rsidRPr="00097F14">
        <w:rPr>
          <w:rFonts w:asciiTheme="minorHAnsi" w:hAnsiTheme="minorHAnsi"/>
        </w:rPr>
        <w:t>were used:</w:t>
      </w:r>
    </w:p>
    <w:p w14:paraId="1BED0642" w14:textId="5E4B806B" w:rsidR="002343D4" w:rsidRPr="00097F14" w:rsidRDefault="002343D4" w:rsidP="0051707E">
      <w:pPr>
        <w:pStyle w:val="ListBullet"/>
      </w:pPr>
      <w:r w:rsidRPr="00097F14">
        <w:t>European Medicines Agency Public Assessment Record accessed 18 February 2016</w:t>
      </w:r>
    </w:p>
    <w:p w14:paraId="6F15CB12" w14:textId="06FC4967" w:rsidR="002343D4" w:rsidRPr="00097F14" w:rsidRDefault="00E437C3" w:rsidP="0051707E">
      <w:pPr>
        <w:pStyle w:val="ListBullet"/>
      </w:pPr>
      <w:hyperlink r:id="rId21" w:history="1">
        <w:r w:rsidR="002343D4" w:rsidRPr="00E437C3">
          <w:rPr>
            <w:rStyle w:val="Hyperlink"/>
          </w:rPr>
          <w:t>FDA Medical Review</w:t>
        </w:r>
      </w:hyperlink>
      <w:r w:rsidR="002343D4" w:rsidRPr="00097F14">
        <w:t xml:space="preserve"> and label accessed online 18 February 2016 </w:t>
      </w:r>
      <w:r w:rsidR="002343D4" w:rsidRPr="00E437C3">
        <w:t>http://www.accessdata.fda.gov/scripts/cder/drugsatfda/index.cfm?fuseaction=Search.DrugDetails</w:t>
      </w:r>
    </w:p>
    <w:p w14:paraId="321C5B1D" w14:textId="77777777" w:rsidR="002343D4" w:rsidRPr="00097F14" w:rsidRDefault="002343D4" w:rsidP="00326B43">
      <w:pPr>
        <w:pStyle w:val="Heading4"/>
      </w:pPr>
      <w:r w:rsidRPr="00097F14">
        <w:t xml:space="preserve">Clinical </w:t>
      </w:r>
      <w:r w:rsidR="00326B43" w:rsidRPr="00097F14">
        <w:t>e</w:t>
      </w:r>
      <w:r w:rsidRPr="00097F14">
        <w:t>valuator’s recommendation</w:t>
      </w:r>
    </w:p>
    <w:p w14:paraId="04E03ED5" w14:textId="77777777" w:rsidR="002343D4" w:rsidRPr="004936C0" w:rsidRDefault="002343D4" w:rsidP="0088547D">
      <w:bookmarkStart w:id="203" w:name="_Toc290846235"/>
      <w:bookmarkStart w:id="204" w:name="_Toc224202687"/>
      <w:r w:rsidRPr="00097F14">
        <w:t xml:space="preserve">The </w:t>
      </w:r>
      <w:r w:rsidR="00326B43" w:rsidRPr="00097F14">
        <w:t>clinical e</w:t>
      </w:r>
      <w:r w:rsidRPr="00097F14">
        <w:t>valuator recommended that the</w:t>
      </w:r>
      <w:r w:rsidRPr="004936C0">
        <w:t xml:space="preserve"> application </w:t>
      </w:r>
      <w:r>
        <w:t>should be approved on the limited evidence available on the grounds of unmet need.</w:t>
      </w:r>
    </w:p>
    <w:p w14:paraId="29D715F2" w14:textId="77777777" w:rsidR="002343D4" w:rsidRPr="002224C0" w:rsidRDefault="002343D4" w:rsidP="00326B43">
      <w:pPr>
        <w:pStyle w:val="Heading4"/>
      </w:pPr>
      <w:r w:rsidRPr="002224C0">
        <w:lastRenderedPageBreak/>
        <w:t>Paediatric data</w:t>
      </w:r>
      <w:bookmarkEnd w:id="203"/>
      <w:bookmarkEnd w:id="204"/>
    </w:p>
    <w:p w14:paraId="3B71B0F8" w14:textId="77777777" w:rsidR="002343D4" w:rsidRDefault="002343D4" w:rsidP="002343D4">
      <w:pPr>
        <w:adjustRightInd w:val="0"/>
        <w:snapToGrid w:val="0"/>
        <w:spacing w:before="0" w:after="0" w:line="240" w:lineRule="auto"/>
        <w:jc w:val="both"/>
      </w:pPr>
      <w:r w:rsidRPr="002224C0">
        <w:t>The submission did not include paediatric</w:t>
      </w:r>
      <w:r>
        <w:t xml:space="preserve"> data which is acceptable.</w:t>
      </w:r>
    </w:p>
    <w:p w14:paraId="139EDB96" w14:textId="77777777" w:rsidR="002343D4" w:rsidRPr="00326B43" w:rsidRDefault="002343D4" w:rsidP="00326B43">
      <w:pPr>
        <w:pStyle w:val="Heading4"/>
        <w:rPr>
          <w:lang w:eastAsia="ja-JP"/>
        </w:rPr>
      </w:pPr>
      <w:r w:rsidRPr="002224C0">
        <w:rPr>
          <w:lang w:eastAsia="ja-JP"/>
        </w:rPr>
        <w:t>Pharmacokinetics/Pharmacodynamics</w:t>
      </w:r>
    </w:p>
    <w:p w14:paraId="505AB387" w14:textId="77777777" w:rsidR="002343D4" w:rsidRDefault="002343D4" w:rsidP="00326B43">
      <w:pPr>
        <w:pStyle w:val="Heading5"/>
      </w:pPr>
      <w:r w:rsidRPr="002224C0">
        <w:t>Summary of PK data</w:t>
      </w:r>
    </w:p>
    <w:p w14:paraId="42A61810" w14:textId="77777777" w:rsidR="002343D4" w:rsidRDefault="002343D4" w:rsidP="00326B43">
      <w:r>
        <w:t>Ceritinib is slowly absorbed</w:t>
      </w:r>
      <w:r w:rsidR="00326B43">
        <w:t xml:space="preserve"> and</w:t>
      </w:r>
      <w:r>
        <w:t xml:space="preserve"> plasma concentrations peaked at </w:t>
      </w:r>
      <w:r w:rsidR="001762D3">
        <w:t xml:space="preserve">approximately </w:t>
      </w:r>
      <w:r>
        <w:t>6 to 8 hours in healthy subjects. The terminal half-life ranged from 36 to 48 hours across doses of 450 to 750</w:t>
      </w:r>
      <w:r w:rsidR="00326B43">
        <w:t xml:space="preserve"> </w:t>
      </w:r>
      <w:r>
        <w:t>mg in healthy subjects.</w:t>
      </w:r>
    </w:p>
    <w:p w14:paraId="78F5E55E" w14:textId="77777777" w:rsidR="002343D4" w:rsidRPr="00F34F00" w:rsidRDefault="002343D4" w:rsidP="00326B43">
      <w:r w:rsidRPr="00F34F00">
        <w:t xml:space="preserve">The geometric </w:t>
      </w:r>
      <w:r>
        <w:t>median</w:t>
      </w:r>
      <w:r w:rsidRPr="00F34F00">
        <w:t xml:space="preserve"> apparent volume of distribution (Vz/F) </w:t>
      </w:r>
      <w:r>
        <w:t>was 4670 L (range:</w:t>
      </w:r>
      <w:r w:rsidRPr="00F34F00">
        <w:t xml:space="preserve"> </w:t>
      </w:r>
      <w:r>
        <w:t>2280</w:t>
      </w:r>
      <w:r w:rsidRPr="00F34F00">
        <w:t xml:space="preserve"> to </w:t>
      </w:r>
      <w:r>
        <w:t>9100</w:t>
      </w:r>
      <w:r w:rsidRPr="00F34F00">
        <w:t xml:space="preserve"> L</w:t>
      </w:r>
      <w:r>
        <w:t>) in healthy volunteers receiving a single dose of ceritinib 75</w:t>
      </w:r>
      <w:r w:rsidR="00326B43">
        <w:t>0 mg</w:t>
      </w:r>
      <w:r>
        <w:t>,</w:t>
      </w:r>
      <w:r w:rsidRPr="00F34F00">
        <w:t xml:space="preserve"> suggesting that </w:t>
      </w:r>
      <w:r>
        <w:t>ceritinib</w:t>
      </w:r>
      <w:r w:rsidRPr="00F34F00">
        <w:t xml:space="preserve"> is extensively distributed. </w:t>
      </w:r>
    </w:p>
    <w:p w14:paraId="0C6D32E6" w14:textId="77777777" w:rsidR="002343D4" w:rsidRDefault="002343D4" w:rsidP="00326B43">
      <w:r>
        <w:t>The geometric mean apparent terminal half-life ranged from 36 to 48 hours across the 450 to 75</w:t>
      </w:r>
      <w:r w:rsidR="00326B43">
        <w:t>0 mg</w:t>
      </w:r>
      <w:r>
        <w:t xml:space="preserve"> dose groups in healthy subjects. There was significant inter-individual variability.</w:t>
      </w:r>
    </w:p>
    <w:p w14:paraId="54465CD2" w14:textId="77777777" w:rsidR="002343D4" w:rsidRPr="00D83899" w:rsidRDefault="002343D4" w:rsidP="00326B43">
      <w:r w:rsidRPr="00D83899">
        <w:t xml:space="preserve">Unchanged </w:t>
      </w:r>
      <w:r>
        <w:t>ceritinib</w:t>
      </w:r>
      <w:r w:rsidRPr="00D83899">
        <w:t xml:space="preserve"> was the most abundant drug-related chemical species found in both the plasma and excreta. On average, 82% of the circulating radioactivity in plasma was attributable to </w:t>
      </w:r>
      <w:r>
        <w:t>ceritinib</w:t>
      </w:r>
      <w:r w:rsidRPr="00D83899">
        <w:t xml:space="preserve">. A total of eleven metabolites were found circulating in plasma at low levels (mean contribution to the radioactivity AUC </w:t>
      </w:r>
      <w:r w:rsidR="00326B43">
        <w:t>≤</w:t>
      </w:r>
      <w:r w:rsidRPr="00D83899">
        <w:t xml:space="preserve"> 2.3% for each metabolite). Additionally, no single metabolite contributed &gt;5.8% to the plasma radioactivity AUC of any individual subject in the study.</w:t>
      </w:r>
      <w:r>
        <w:t xml:space="preserve"> 91% of ceritinib was found in the faeces suggesting minimal renal clearance and hepatic metabolism +/- biliary excretion. </w:t>
      </w:r>
    </w:p>
    <w:p w14:paraId="2A63D821" w14:textId="77777777" w:rsidR="002343D4" w:rsidRDefault="00326B43" w:rsidP="00326B43">
      <w:r w:rsidRPr="004933DC">
        <w:t>C</w:t>
      </w:r>
      <w:r w:rsidRPr="00326B43">
        <w:rPr>
          <w:vertAlign w:val="subscript"/>
        </w:rPr>
        <w:t>max</w:t>
      </w:r>
      <w:r>
        <w:t xml:space="preserve"> </w:t>
      </w:r>
      <w:r w:rsidR="002343D4" w:rsidRPr="004933DC">
        <w:t xml:space="preserve">and </w:t>
      </w:r>
      <w:r w:rsidRPr="004933DC">
        <w:t>AUC</w:t>
      </w:r>
      <w:r w:rsidRPr="00326B43">
        <w:rPr>
          <w:vertAlign w:val="subscript"/>
        </w:rPr>
        <w:t>last</w:t>
      </w:r>
      <w:r w:rsidR="002343D4" w:rsidRPr="004933DC">
        <w:t xml:space="preserve"> increased dose-proportionally across the 50</w:t>
      </w:r>
      <w:r>
        <w:t xml:space="preserve"> to </w:t>
      </w:r>
      <w:r w:rsidR="002343D4" w:rsidRPr="004933DC">
        <w:t xml:space="preserve">750 mg dose range following a single oral dose; however, pre-dose </w:t>
      </w:r>
      <w:r>
        <w:t>lowest plasma concentration (</w:t>
      </w:r>
      <w:r w:rsidRPr="004933DC">
        <w:t>C</w:t>
      </w:r>
      <w:r w:rsidRPr="00326B43">
        <w:rPr>
          <w:vertAlign w:val="subscript"/>
        </w:rPr>
        <w:t>trough</w:t>
      </w:r>
      <w:r>
        <w:t>)</w:t>
      </w:r>
      <w:r w:rsidR="002343D4" w:rsidRPr="004933DC">
        <w:t xml:space="preserve"> appeared to increase with dose in a greater than-proportional manner following multiple daily doses at steady-state.</w:t>
      </w:r>
    </w:p>
    <w:p w14:paraId="53673CC8" w14:textId="77777777" w:rsidR="002343D4" w:rsidRDefault="002343D4" w:rsidP="00326B43">
      <w:r w:rsidRPr="004933DC">
        <w:t xml:space="preserve">Ceritinib demonstrated non-linear PK in patients over time with lower apparent clearance at steady state after daily oral dosing at </w:t>
      </w:r>
      <w:r>
        <w:t>maximum tolerated dose (</w:t>
      </w:r>
      <w:r w:rsidRPr="004933DC">
        <w:t>MTD</w:t>
      </w:r>
      <w:r>
        <w:t>)</w:t>
      </w:r>
      <w:r w:rsidRPr="004933DC">
        <w:t xml:space="preserve"> of 750 mg than after a single oral dose. Highest dose investigated in the dose-escalation study was 750 mg; thus PK above this dose is not known</w:t>
      </w:r>
      <w:r>
        <w:t xml:space="preserve">. </w:t>
      </w:r>
    </w:p>
    <w:p w14:paraId="3A93B9D8" w14:textId="77777777" w:rsidR="002343D4" w:rsidRPr="00301922" w:rsidRDefault="002343D4" w:rsidP="00326B43">
      <w:r w:rsidRPr="004933DC">
        <w:t>Overall, the inter-patient variability in exposure parameter estimates was high</w:t>
      </w:r>
      <w:r>
        <w:t xml:space="preserve"> in target population also</w:t>
      </w:r>
      <w:r w:rsidRPr="004933DC">
        <w:t xml:space="preserve">, with coefficients of variation of 93% and 87% for </w:t>
      </w:r>
      <w:r w:rsidR="00326B43" w:rsidRPr="004933DC">
        <w:t>AUC</w:t>
      </w:r>
      <w:r w:rsidR="00326B43" w:rsidRPr="00326B43">
        <w:rPr>
          <w:vertAlign w:val="subscript"/>
        </w:rPr>
        <w:t>last</w:t>
      </w:r>
      <w:r w:rsidRPr="004933DC">
        <w:t xml:space="preserve"> and </w:t>
      </w:r>
      <w:r w:rsidR="00326B43" w:rsidRPr="004933DC">
        <w:t>C</w:t>
      </w:r>
      <w:r w:rsidR="00326B43" w:rsidRPr="00326B43">
        <w:rPr>
          <w:vertAlign w:val="subscript"/>
        </w:rPr>
        <w:t>max</w:t>
      </w:r>
      <w:r w:rsidRPr="004933DC">
        <w:t>, respectively</w:t>
      </w:r>
      <w:r>
        <w:t>, based on a model developed for dose proportionality analysis</w:t>
      </w:r>
      <w:r w:rsidRPr="004933DC">
        <w:t>.</w:t>
      </w:r>
      <w:r>
        <w:t xml:space="preserve"> Intra-patient </w:t>
      </w:r>
      <w:r w:rsidR="00326B43" w:rsidRPr="004933DC">
        <w:t>C</w:t>
      </w:r>
      <w:r w:rsidR="00326B43" w:rsidRPr="00326B43">
        <w:rPr>
          <w:vertAlign w:val="subscript"/>
        </w:rPr>
        <w:t>trough</w:t>
      </w:r>
      <w:r>
        <w:t xml:space="preserve"> variability was also demonstrated.</w:t>
      </w:r>
    </w:p>
    <w:p w14:paraId="504D709B" w14:textId="77777777" w:rsidR="002343D4" w:rsidRPr="00DF5C1E" w:rsidRDefault="002343D4" w:rsidP="00326B43">
      <w:pPr>
        <w:pStyle w:val="Heading5"/>
      </w:pPr>
      <w:bookmarkStart w:id="205" w:name="_Toc272414633"/>
      <w:bookmarkStart w:id="206" w:name="_Toc290846256"/>
      <w:bookmarkStart w:id="207" w:name="_Toc381783613"/>
      <w:bookmarkStart w:id="208" w:name="_Toc241374293"/>
      <w:bookmarkStart w:id="209" w:name="_Toc272414626"/>
      <w:bookmarkStart w:id="210" w:name="_Toc290846249"/>
      <w:bookmarkStart w:id="211" w:name="_Toc381783610"/>
      <w:r w:rsidRPr="00DF5C1E">
        <w:t xml:space="preserve">Pharmacokinetic interactions demonstrated </w:t>
      </w:r>
      <w:r w:rsidRPr="00326B43">
        <w:t>in</w:t>
      </w:r>
      <w:r w:rsidRPr="00DF5C1E">
        <w:t xml:space="preserve"> human studies</w:t>
      </w:r>
      <w:bookmarkEnd w:id="205"/>
      <w:bookmarkEnd w:id="206"/>
      <w:bookmarkEnd w:id="207"/>
    </w:p>
    <w:p w14:paraId="45E5BBAE" w14:textId="77777777" w:rsidR="002343D4" w:rsidRPr="006C6E44" w:rsidRDefault="002343D4" w:rsidP="00326B43">
      <w:pPr>
        <w:pStyle w:val="Heading6"/>
      </w:pPr>
      <w:r w:rsidRPr="006C6E44">
        <w:t>Hepatic impairment</w:t>
      </w:r>
    </w:p>
    <w:p w14:paraId="195DE618" w14:textId="77777777" w:rsidR="002343D4" w:rsidRPr="005C6E80" w:rsidRDefault="002343D4" w:rsidP="00326B43">
      <w:r>
        <w:t>A formal study has not been submitted for evaluation and a trial is underway to investigate this and submission is a condition of registration. Hepatotoxicity is a significant toxicity with ceritinib (25% patients had Grade 3-4 elevations in transaminases), therefore the PI contains a statement advising that it is not recommended in patients with pre-existing hepatic impairment. The PI information is contradictory at present and is likely to confuse prescribers due to use of preferred terms that are not in use in routine clinical medicine. See PI changes.</w:t>
      </w:r>
    </w:p>
    <w:p w14:paraId="4250DF11" w14:textId="77777777" w:rsidR="002343D4" w:rsidRPr="006C6E44" w:rsidRDefault="002343D4" w:rsidP="00326B43">
      <w:pPr>
        <w:pStyle w:val="Heading6"/>
      </w:pPr>
      <w:r w:rsidRPr="006C6E44">
        <w:t>Renal impairment</w:t>
      </w:r>
    </w:p>
    <w:p w14:paraId="338A596E" w14:textId="77777777" w:rsidR="002343D4" w:rsidRDefault="002343D4" w:rsidP="00326B43">
      <w:r>
        <w:t>Renal clearance appears to be low. No studies have been carried out in patients with severe renal impairment. This is stated in the PI.</w:t>
      </w:r>
    </w:p>
    <w:p w14:paraId="5D95AB06" w14:textId="77777777" w:rsidR="002343D4" w:rsidRDefault="002343D4" w:rsidP="00326B43">
      <w:pPr>
        <w:pStyle w:val="Heading6"/>
      </w:pPr>
      <w:bookmarkStart w:id="212" w:name="_Toc241374300"/>
      <w:bookmarkStart w:id="213" w:name="_Toc272414641"/>
      <w:bookmarkStart w:id="214" w:name="_Toc290846263"/>
      <w:bookmarkStart w:id="215" w:name="_Toc381783620"/>
      <w:bookmarkEnd w:id="208"/>
      <w:bookmarkEnd w:id="209"/>
      <w:bookmarkEnd w:id="210"/>
      <w:bookmarkEnd w:id="211"/>
      <w:r>
        <w:t>Gender, race and other factors</w:t>
      </w:r>
    </w:p>
    <w:p w14:paraId="51CEEBC1" w14:textId="77777777" w:rsidR="002343D4" w:rsidRDefault="002343D4" w:rsidP="00326B43">
      <w:r>
        <w:t xml:space="preserve">While the clearance was reported not to be significantly affected by gender or race, the clinical studies raise uncertainty about the conclusion that race has no effect on adverse </w:t>
      </w:r>
      <w:r>
        <w:lastRenderedPageBreak/>
        <w:t xml:space="preserve">events and therefore whether special dose adjustments are required. Study X1101 in 19 Japanese patients indicated a higher risk of a range of AEs (‘drug-induced liver injury’ and grade 3 elevation in amylase) across a range of doses and required discontinuation in 2 patients due to </w:t>
      </w:r>
      <w:r w:rsidR="0089512A">
        <w:t>‘</w:t>
      </w:r>
      <w:r>
        <w:t>hepatic injury</w:t>
      </w:r>
      <w:r w:rsidR="0089512A">
        <w:t>’</w:t>
      </w:r>
      <w:r>
        <w:t xml:space="preserve"> (10.5% of population).</w:t>
      </w:r>
    </w:p>
    <w:p w14:paraId="0A373E82" w14:textId="77777777" w:rsidR="002343D4" w:rsidRPr="00185786" w:rsidRDefault="002343D4" w:rsidP="00326B43">
      <w:r w:rsidRPr="00E47557">
        <w:t>Although</w:t>
      </w:r>
      <w:r>
        <w:t xml:space="preserve"> a small study, the higher rate of severe AEs and discontinuations across a range of doses raises uncertainties about potential ethnic differences and with the limited information available to date, it has not been established satisfactorily that there is no ethnic </w:t>
      </w:r>
      <w:r w:rsidRPr="008F067A">
        <w:t>variation in AEs. Therefore, the</w:t>
      </w:r>
      <w:r>
        <w:t xml:space="preserve"> following are required:</w:t>
      </w:r>
      <w:r w:rsidRPr="00185786">
        <w:t xml:space="preserve"> </w:t>
      </w:r>
    </w:p>
    <w:p w14:paraId="0465AA37" w14:textId="77777777" w:rsidR="002343D4" w:rsidRDefault="002343D4" w:rsidP="00E94BD9">
      <w:pPr>
        <w:pStyle w:val="Numberbullet0"/>
        <w:numPr>
          <w:ilvl w:val="0"/>
          <w:numId w:val="39"/>
        </w:numPr>
      </w:pPr>
      <w:r>
        <w:t xml:space="preserve">The </w:t>
      </w:r>
      <w:r w:rsidR="00E94BD9">
        <w:t>s</w:t>
      </w:r>
      <w:r>
        <w:t>ponsor is requested to analyse and present the safety including all grade AEs in Asian patients versus non-Asian patients.</w:t>
      </w:r>
    </w:p>
    <w:p w14:paraId="4B3FC12B" w14:textId="77777777" w:rsidR="002343D4" w:rsidRDefault="002343D4" w:rsidP="00E94BD9">
      <w:pPr>
        <w:pStyle w:val="Numberbullet0"/>
      </w:pPr>
      <w:r w:rsidRPr="008F067A">
        <w:t xml:space="preserve">Increased toxicity in Asian </w:t>
      </w:r>
      <w:proofErr w:type="spellStart"/>
      <w:r w:rsidRPr="008F067A">
        <w:t>patients</w:t>
      </w:r>
      <w:proofErr w:type="spellEnd"/>
      <w:r w:rsidRPr="008F067A">
        <w:t xml:space="preserve"> needs to be in the RMP as an important potential risk. </w:t>
      </w:r>
    </w:p>
    <w:p w14:paraId="67E26982" w14:textId="77777777" w:rsidR="002343D4" w:rsidRPr="008F067A" w:rsidRDefault="002343D4" w:rsidP="00E94BD9">
      <w:pPr>
        <w:pStyle w:val="Numberbullet0"/>
      </w:pPr>
      <w:r>
        <w:t>A study in Phase I/II study in Chinese patien</w:t>
      </w:r>
      <w:r w:rsidR="00E94BD9">
        <w:t xml:space="preserve">ts </w:t>
      </w:r>
      <w:proofErr w:type="gramStart"/>
      <w:r w:rsidR="00E94BD9">
        <w:t>is</w:t>
      </w:r>
      <w:proofErr w:type="gramEnd"/>
      <w:r w:rsidR="00E94BD9">
        <w:t xml:space="preserve"> being undertaken and the s</w:t>
      </w:r>
      <w:r>
        <w:t>ponsor is requested to provide a update on the accrual and likely completion date plus clarify if this was a dose finding study.</w:t>
      </w:r>
      <w:r w:rsidR="00E94BD9">
        <w:t xml:space="preserve"> Depending upon the outcome of Q</w:t>
      </w:r>
      <w:r>
        <w:t>uestion 1, submission of this study for evaluation may be required as a condition of registration.</w:t>
      </w:r>
    </w:p>
    <w:p w14:paraId="73F686BA" w14:textId="77777777" w:rsidR="002343D4" w:rsidRPr="008F067A" w:rsidRDefault="002343D4" w:rsidP="00E94BD9">
      <w:r w:rsidRPr="008F067A">
        <w:t xml:space="preserve">The </w:t>
      </w:r>
      <w:r w:rsidR="00E94BD9">
        <w:t>clinical e</w:t>
      </w:r>
      <w:r w:rsidRPr="008F067A">
        <w:t>valuator was concerned that the relationship between AEs and ceritinib exposure might have implications for patients with low body weight receiving the fixed dose.</w:t>
      </w:r>
    </w:p>
    <w:p w14:paraId="539B79FE" w14:textId="77777777" w:rsidR="002343D4" w:rsidRPr="008F067A" w:rsidRDefault="002343D4" w:rsidP="008A3389">
      <w:pPr>
        <w:pStyle w:val="Heading6"/>
      </w:pPr>
      <w:r w:rsidRPr="008F067A">
        <w:t>Influence of food</w:t>
      </w:r>
    </w:p>
    <w:p w14:paraId="0EA3D8D2" w14:textId="77777777" w:rsidR="002343D4" w:rsidRDefault="002343D4" w:rsidP="00E94BD9">
      <w:r w:rsidRPr="008F067A">
        <w:t xml:space="preserve">Results from the food effect </w:t>
      </w:r>
      <w:r w:rsidR="00B3070B">
        <w:t>Study A2</w:t>
      </w:r>
      <w:r w:rsidRPr="008F067A">
        <w:t xml:space="preserve">101 in healthy subjects showed that the bioavailability of ceritinib was increased when given with a meal. Compared with the fasted state, a low-fat meal increased mean </w:t>
      </w:r>
      <w:r w:rsidR="00326B43" w:rsidRPr="004933DC">
        <w:t>C</w:t>
      </w:r>
      <w:r w:rsidR="00326B43" w:rsidRPr="00326B43">
        <w:rPr>
          <w:vertAlign w:val="subscript"/>
        </w:rPr>
        <w:t>max</w:t>
      </w:r>
      <w:r w:rsidR="00326B43">
        <w:t xml:space="preserve"> </w:t>
      </w:r>
      <w:r w:rsidRPr="008F067A">
        <w:t xml:space="preserve">and mean </w:t>
      </w:r>
      <w:r w:rsidR="00E94BD9" w:rsidRPr="008F067A">
        <w:t>AUC</w:t>
      </w:r>
      <w:r w:rsidR="00E94BD9" w:rsidRPr="00E94BD9">
        <w:rPr>
          <w:vertAlign w:val="subscript"/>
        </w:rPr>
        <w:t>inf</w:t>
      </w:r>
      <w:r w:rsidRPr="008F067A">
        <w:t xml:space="preserve"> of a single oral dose of ceritinib 500 mg by 43% and 58%, respectively, whereas a high-fat meal increased mean </w:t>
      </w:r>
      <w:r w:rsidR="00326B43" w:rsidRPr="004933DC">
        <w:t>C</w:t>
      </w:r>
      <w:r w:rsidR="00326B43" w:rsidRPr="00326B43">
        <w:rPr>
          <w:vertAlign w:val="subscript"/>
        </w:rPr>
        <w:t>max</w:t>
      </w:r>
      <w:r w:rsidR="00326B43">
        <w:t xml:space="preserve"> </w:t>
      </w:r>
      <w:r w:rsidRPr="008F067A">
        <w:t xml:space="preserve">and mean </w:t>
      </w:r>
      <w:r w:rsidR="00E94BD9" w:rsidRPr="008F067A">
        <w:t>AUC</w:t>
      </w:r>
      <w:r w:rsidR="00E94BD9" w:rsidRPr="00E94BD9">
        <w:rPr>
          <w:vertAlign w:val="subscript"/>
        </w:rPr>
        <w:t>inf</w:t>
      </w:r>
      <w:r w:rsidRPr="008F067A">
        <w:t xml:space="preserve"> by 41% and 73%, respectively. The upper limit for the effects of a low-fat or high fat meals on </w:t>
      </w:r>
      <w:r w:rsidR="00E94BD9" w:rsidRPr="008F067A">
        <w:t>AUC</w:t>
      </w:r>
      <w:r w:rsidR="00E94BD9" w:rsidRPr="00E94BD9">
        <w:rPr>
          <w:vertAlign w:val="subscript"/>
        </w:rPr>
        <w:t>inf</w:t>
      </w:r>
      <w:r w:rsidRPr="008F067A">
        <w:t xml:space="preserve"> were 86% increase and more than 2</w:t>
      </w:r>
      <w:r w:rsidR="00E94BD9">
        <w:t xml:space="preserve"> </w:t>
      </w:r>
      <w:r w:rsidRPr="008F067A">
        <w:t xml:space="preserve">fold increase. It should be noted that there are significant inter-individual variability </w:t>
      </w:r>
      <w:r w:rsidR="00E94BD9">
        <w:t xml:space="preserve">in the </w:t>
      </w:r>
      <w:r w:rsidRPr="008F067A">
        <w:t>means</w:t>
      </w:r>
      <w:r w:rsidR="00E94BD9">
        <w:t>.</w:t>
      </w:r>
      <w:r w:rsidRPr="008F067A">
        <w:t xml:space="preserve"> No food should be eaten for at least 2 hours before, and for 2 hours after the dose of ceritinib is taken. </w:t>
      </w:r>
    </w:p>
    <w:p w14:paraId="3EC1B812" w14:textId="77777777" w:rsidR="002343D4" w:rsidRPr="00E94BD9" w:rsidRDefault="00E94BD9" w:rsidP="00E94BD9">
      <w:r w:rsidRPr="00E94BD9">
        <w:t xml:space="preserve">The </w:t>
      </w:r>
      <w:r w:rsidR="002343D4" w:rsidRPr="00E94BD9">
        <w:t>Delegate comment</w:t>
      </w:r>
      <w:r w:rsidRPr="00E94BD9">
        <w:t>ed that</w:t>
      </w:r>
      <w:r w:rsidR="002343D4" w:rsidRPr="00E94BD9">
        <w:t xml:space="preserve"> no standard deviations for these mean values are presented but wide inter</w:t>
      </w:r>
      <w:r w:rsidRPr="00E94BD9">
        <w:t>-</w:t>
      </w:r>
      <w:r w:rsidR="002343D4" w:rsidRPr="00E94BD9">
        <w:t>individual variability in the PK parameters above would suggest there will be significant variation.</w:t>
      </w:r>
    </w:p>
    <w:p w14:paraId="28BF64D4" w14:textId="77777777" w:rsidR="002343D4" w:rsidRPr="00E718E4" w:rsidRDefault="002343D4" w:rsidP="00E94BD9">
      <w:pPr>
        <w:pStyle w:val="TableTitle"/>
      </w:pPr>
      <w:bookmarkStart w:id="216" w:name="_Toc300498639"/>
      <w:r>
        <w:lastRenderedPageBreak/>
        <w:t>Table</w:t>
      </w:r>
      <w:r w:rsidR="00E94BD9">
        <w:t xml:space="preserve"> 9</w:t>
      </w:r>
      <w:r w:rsidR="00E94BD9">
        <w:rPr>
          <w:noProof/>
        </w:rPr>
        <w:t>:</w:t>
      </w:r>
      <w:r>
        <w:t xml:space="preserve"> </w:t>
      </w:r>
      <w:r w:rsidRPr="00E718E4">
        <w:t xml:space="preserve">Summary statistics of </w:t>
      </w:r>
      <w:r>
        <w:t>ceritinib</w:t>
      </w:r>
      <w:r w:rsidRPr="00E718E4">
        <w:t xml:space="preserve"> pharmacokinetic parameters under fasted or fed conditions (Study A2101-PAS)</w:t>
      </w:r>
      <w:bookmarkEnd w:id="216"/>
    </w:p>
    <w:p w14:paraId="518BEE22" w14:textId="77777777" w:rsidR="002343D4" w:rsidRPr="005B2726" w:rsidRDefault="002343D4" w:rsidP="002343D4">
      <w:pPr>
        <w:autoSpaceDE w:val="0"/>
        <w:autoSpaceDN w:val="0"/>
        <w:adjustRightInd w:val="0"/>
        <w:jc w:val="both"/>
      </w:pPr>
      <w:r>
        <w:rPr>
          <w:noProof/>
          <w:lang w:eastAsia="en-AU"/>
        </w:rPr>
        <w:drawing>
          <wp:inline distT="0" distB="0" distL="0" distR="0" wp14:anchorId="2E19D274" wp14:editId="37094CAB">
            <wp:extent cx="5112521" cy="3009331"/>
            <wp:effectExtent l="0" t="0" r="0" b="635"/>
            <wp:docPr id="12" name="Picture 12" descr="Image of table 9 showing the summary statistics of ceritinib pharmacokinetic parameters under fasted or fed conditions (Study A2101-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02 at 11.18.18 AM.png"/>
                    <pic:cNvPicPr/>
                  </pic:nvPicPr>
                  <pic:blipFill>
                    <a:blip r:embed="rId22">
                      <a:extLst>
                        <a:ext uri="{28A0092B-C50C-407E-A947-70E740481C1C}">
                          <a14:useLocalDpi xmlns:a14="http://schemas.microsoft.com/office/drawing/2010/main" val="0"/>
                        </a:ext>
                      </a:extLst>
                    </a:blip>
                    <a:stretch>
                      <a:fillRect/>
                    </a:stretch>
                  </pic:blipFill>
                  <pic:spPr>
                    <a:xfrm>
                      <a:off x="0" y="0"/>
                      <a:ext cx="5114845" cy="3010699"/>
                    </a:xfrm>
                    <a:prstGeom prst="rect">
                      <a:avLst/>
                    </a:prstGeom>
                  </pic:spPr>
                </pic:pic>
              </a:graphicData>
            </a:graphic>
          </wp:inline>
        </w:drawing>
      </w:r>
    </w:p>
    <w:p w14:paraId="003B7562" w14:textId="77777777" w:rsidR="002343D4" w:rsidRPr="00FC6190" w:rsidRDefault="00E94BD9" w:rsidP="00E94BD9">
      <w:pPr>
        <w:rPr>
          <w:rFonts w:asciiTheme="minorHAnsi" w:hAnsiTheme="minorHAnsi"/>
          <w:b/>
        </w:rPr>
      </w:pPr>
      <w:r w:rsidRPr="00E94BD9">
        <w:t xml:space="preserve">The </w:t>
      </w:r>
      <w:r w:rsidR="002343D4" w:rsidRPr="00E94BD9">
        <w:t>Delegate comment</w:t>
      </w:r>
      <w:r w:rsidRPr="00E94BD9">
        <w:t>ed that c</w:t>
      </w:r>
      <w:r w:rsidR="002343D4" w:rsidRPr="00E94BD9">
        <w:t xml:space="preserve">urrently this information is not presented adequately to reflect its potential critical and indeed, uncertain impact on patient safety; its current location in the PI in </w:t>
      </w:r>
      <w:r w:rsidR="0089512A" w:rsidRPr="00E94BD9">
        <w:t>‘</w:t>
      </w:r>
      <w:r w:rsidR="002343D4" w:rsidRPr="00E94BD9">
        <w:t>Method of Administration</w:t>
      </w:r>
      <w:r w:rsidR="0089512A" w:rsidRPr="00E94BD9">
        <w:t>’</w:t>
      </w:r>
      <w:r w:rsidR="002343D4" w:rsidRPr="00E94BD9">
        <w:t>, is 2</w:t>
      </w:r>
      <w:r w:rsidRPr="00E94BD9">
        <w:t xml:space="preserve">.5 </w:t>
      </w:r>
      <w:r w:rsidR="002343D4" w:rsidRPr="00E94BD9">
        <w:t>pages after the start of the ‘Dosage and Administration</w:t>
      </w:r>
      <w:r w:rsidR="0089512A" w:rsidRPr="00E94BD9">
        <w:t>’</w:t>
      </w:r>
      <w:r w:rsidR="002343D4" w:rsidRPr="00E94BD9">
        <w:t xml:space="preserve"> section. Information about the timing with food should be included in a Boxed Warning and in a boxed warning at the start of the </w:t>
      </w:r>
      <w:r w:rsidRPr="00E94BD9">
        <w:t>Consumer Medicine Information (</w:t>
      </w:r>
      <w:r w:rsidR="002343D4" w:rsidRPr="00E94BD9">
        <w:t>CMI</w:t>
      </w:r>
      <w:r w:rsidRPr="00E94BD9">
        <w:t>)</w:t>
      </w:r>
      <w:r w:rsidR="002343D4" w:rsidRPr="00E94BD9">
        <w:t xml:space="preserve"> in appropriately worded language</w:t>
      </w:r>
      <w:r w:rsidR="002343D4" w:rsidRPr="00E94BD9">
        <w:rPr>
          <w:rFonts w:asciiTheme="minorHAnsi" w:hAnsiTheme="minorHAnsi"/>
        </w:rPr>
        <w:t>, for the following reasons:</w:t>
      </w:r>
    </w:p>
    <w:p w14:paraId="0412DAB7" w14:textId="77777777" w:rsidR="002343D4" w:rsidRPr="00FC6190" w:rsidRDefault="002343D4" w:rsidP="008A3389">
      <w:pPr>
        <w:pStyle w:val="Numberbullet0"/>
        <w:numPr>
          <w:ilvl w:val="0"/>
          <w:numId w:val="40"/>
        </w:numPr>
      </w:pPr>
      <w:r w:rsidRPr="00FC6190">
        <w:t xml:space="preserve">The starting dose is associated with substantial toxicities (requiring dose reduction in </w:t>
      </w:r>
      <w:r>
        <w:t>&gt;</w:t>
      </w:r>
      <w:r w:rsidR="008A3389">
        <w:t xml:space="preserve"> </w:t>
      </w:r>
      <w:r w:rsidRPr="00FC6190">
        <w:t>50%), and the severities of the toxicities increase with increasing exposure (including QTc prolongation).</w:t>
      </w:r>
    </w:p>
    <w:p w14:paraId="625D551A" w14:textId="77777777" w:rsidR="002343D4" w:rsidRDefault="002343D4" w:rsidP="00E94BD9">
      <w:pPr>
        <w:pStyle w:val="Numberbullet0"/>
      </w:pPr>
      <w:r>
        <w:t>No higher doses were tested</w:t>
      </w:r>
      <w:r w:rsidRPr="00FC6190">
        <w:t xml:space="preserve"> investigated doses beyond 75</w:t>
      </w:r>
      <w:r w:rsidR="00326B43">
        <w:t>0 mg</w:t>
      </w:r>
      <w:r>
        <w:t xml:space="preserve"> due to persistent Grade 2 gastrointestinal toxicities and </w:t>
      </w:r>
      <w:r w:rsidR="008A3389">
        <w:t>G</w:t>
      </w:r>
      <w:r>
        <w:t>rade 3 transaminase elevations.</w:t>
      </w:r>
      <w:bookmarkStart w:id="217" w:name="_Ref500854615"/>
      <w:r w:rsidR="00E92891">
        <w:rPr>
          <w:rStyle w:val="FootnoteReference"/>
        </w:rPr>
        <w:footnoteReference w:id="36"/>
      </w:r>
      <w:bookmarkEnd w:id="217"/>
      <w:r>
        <w:t xml:space="preserve"> S</w:t>
      </w:r>
      <w:r w:rsidRPr="00FC6190">
        <w:t>o the safety profile is not known</w:t>
      </w:r>
      <w:r>
        <w:t xml:space="preserve"> for any potential increase in exposure above the starting dose is unknown. Thus the consequences of food ingestion with the starting dose are unknown and potentially severe.</w:t>
      </w:r>
    </w:p>
    <w:p w14:paraId="3196BE9E" w14:textId="71CBC8FF" w:rsidR="002343D4" w:rsidRPr="00E92891" w:rsidRDefault="002343D4" w:rsidP="00E94BD9">
      <w:pPr>
        <w:pStyle w:val="Numberbullet0"/>
      </w:pPr>
      <w:r>
        <w:t xml:space="preserve">The </w:t>
      </w:r>
      <w:r w:rsidRPr="00E92891">
        <w:t>Delegate notes that this NEJM publication</w:t>
      </w:r>
      <w:r w:rsidR="00E92891" w:rsidRPr="00E92891">
        <w:rPr>
          <w:vertAlign w:val="superscript"/>
        </w:rPr>
        <w:fldChar w:fldCharType="begin"/>
      </w:r>
      <w:r w:rsidR="00E92891" w:rsidRPr="00E92891">
        <w:rPr>
          <w:vertAlign w:val="superscript"/>
        </w:rPr>
        <w:instrText xml:space="preserve"> NOTEREF _Ref500854615 \h  \* MERGEFORMAT </w:instrText>
      </w:r>
      <w:r w:rsidR="00E92891" w:rsidRPr="00E92891">
        <w:rPr>
          <w:vertAlign w:val="superscript"/>
        </w:rPr>
      </w:r>
      <w:r w:rsidR="00E92891" w:rsidRPr="00E92891">
        <w:rPr>
          <w:vertAlign w:val="superscript"/>
        </w:rPr>
        <w:fldChar w:fldCharType="separate"/>
      </w:r>
      <w:r w:rsidR="00951361">
        <w:rPr>
          <w:vertAlign w:val="superscript"/>
        </w:rPr>
        <w:t>36</w:t>
      </w:r>
      <w:r w:rsidR="00E92891" w:rsidRPr="00E92891">
        <w:rPr>
          <w:vertAlign w:val="superscript"/>
        </w:rPr>
        <w:fldChar w:fldCharType="end"/>
      </w:r>
      <w:r w:rsidRPr="00E92891">
        <w:t xml:space="preserve"> where practitioners</w:t>
      </w:r>
      <w:r w:rsidR="000E3918" w:rsidRPr="00E92891">
        <w:t xml:space="preserve"> </w:t>
      </w:r>
      <w:r w:rsidRPr="00E92891">
        <w:t>may seek PK, safety and efficacy information does not mention the method of administration or potential effect of food.</w:t>
      </w:r>
    </w:p>
    <w:p w14:paraId="7F1B83DE" w14:textId="77777777" w:rsidR="002343D4" w:rsidRPr="00FC6190" w:rsidRDefault="002343D4" w:rsidP="00E94BD9">
      <w:pPr>
        <w:pStyle w:val="Numberbullet0"/>
      </w:pPr>
      <w:r w:rsidRPr="00FC6190">
        <w:t>The food study used a 50</w:t>
      </w:r>
      <w:r w:rsidR="00326B43">
        <w:t>0 mg</w:t>
      </w:r>
      <w:r w:rsidRPr="00FC6190">
        <w:t xml:space="preserve"> dose, not the proposed starting dose so the food effect for 75</w:t>
      </w:r>
      <w:r w:rsidR="00326B43">
        <w:t>0 mg</w:t>
      </w:r>
      <w:r w:rsidRPr="00FC6190">
        <w:t xml:space="preserve"> is unknown</w:t>
      </w:r>
      <w:r>
        <w:t>.</w:t>
      </w:r>
    </w:p>
    <w:p w14:paraId="5D9EDEFF" w14:textId="7ACF10F0" w:rsidR="002343D4" w:rsidRDefault="002343D4" w:rsidP="00E94BD9">
      <w:pPr>
        <w:pStyle w:val="Numberbullet0"/>
      </w:pPr>
      <w:r w:rsidRPr="00FC6190">
        <w:t>Any patient noncompliance, accidental or otherwise,</w:t>
      </w:r>
      <w:r>
        <w:t xml:space="preserve"> could have severe </w:t>
      </w:r>
      <w:r w:rsidRPr="00FC6190">
        <w:t xml:space="preserve">consequences. The Delegate notes the indication requires previous treatment with crizotinib which can be taken without regard to food, potentially increasing the likelihood of </w:t>
      </w:r>
      <w:r>
        <w:t xml:space="preserve">prescriber error, and </w:t>
      </w:r>
      <w:r w:rsidRPr="00FC6190">
        <w:t>patient error or noncompliance</w:t>
      </w:r>
      <w:r>
        <w:t xml:space="preserve"> if not made aware</w:t>
      </w:r>
      <w:r w:rsidRPr="00FC6190">
        <w:t>.</w:t>
      </w:r>
    </w:p>
    <w:p w14:paraId="32DDC683" w14:textId="77777777" w:rsidR="002343D4" w:rsidRPr="00B504AD" w:rsidRDefault="002343D4" w:rsidP="00E94BD9">
      <w:pPr>
        <w:pStyle w:val="Numberbullet0"/>
      </w:pPr>
      <w:r>
        <w:t>With AEs of</w:t>
      </w:r>
      <w:r w:rsidRPr="00B504AD">
        <w:t xml:space="preserve"> nausea and vomiting</w:t>
      </w:r>
      <w:r w:rsidR="000E3918">
        <w:t xml:space="preserve"> </w:t>
      </w:r>
      <w:r>
        <w:t>in &gt;</w:t>
      </w:r>
      <w:r w:rsidR="008A3389">
        <w:t xml:space="preserve"> </w:t>
      </w:r>
      <w:r>
        <w:t>80%,</w:t>
      </w:r>
      <w:r w:rsidRPr="00B504AD">
        <w:t xml:space="preserve"> patients may experiment with food and dose timing to try and manage this </w:t>
      </w:r>
      <w:r w:rsidR="00E56C47">
        <w:t xml:space="preserve">by </w:t>
      </w:r>
      <w:proofErr w:type="gramStart"/>
      <w:r w:rsidRPr="00B504AD">
        <w:t>themselves</w:t>
      </w:r>
      <w:proofErr w:type="gramEnd"/>
      <w:r w:rsidRPr="00B504AD">
        <w:t>.</w:t>
      </w:r>
      <w:r>
        <w:t xml:space="preserve"> They must be made aware not to.</w:t>
      </w:r>
    </w:p>
    <w:p w14:paraId="01155C52" w14:textId="77777777" w:rsidR="002343D4" w:rsidRPr="00FC6190" w:rsidRDefault="002343D4" w:rsidP="00E94BD9">
      <w:pPr>
        <w:pStyle w:val="Numberbullet0"/>
      </w:pPr>
      <w:r w:rsidRPr="00FC6190">
        <w:t xml:space="preserve">Australian oncologists’ and institutions’ </w:t>
      </w:r>
      <w:r>
        <w:t xml:space="preserve">prescribing </w:t>
      </w:r>
      <w:r w:rsidRPr="00FC6190">
        <w:t>experience</w:t>
      </w:r>
      <w:r>
        <w:t xml:space="preserve"> </w:t>
      </w:r>
      <w:r w:rsidRPr="00FC6190">
        <w:t>with ceritinib is</w:t>
      </w:r>
      <w:r>
        <w:t xml:space="preserve"> </w:t>
      </w:r>
      <w:r w:rsidRPr="00FC6190">
        <w:t>very limited because:</w:t>
      </w:r>
    </w:p>
    <w:p w14:paraId="2B836944" w14:textId="77777777" w:rsidR="002343D4" w:rsidRPr="00FC6190" w:rsidRDefault="002343D4" w:rsidP="00E94BD9">
      <w:pPr>
        <w:pStyle w:val="Numberbullet2"/>
      </w:pPr>
      <w:r w:rsidRPr="00FC6190">
        <w:lastRenderedPageBreak/>
        <w:t>ALK</w:t>
      </w:r>
      <w:r w:rsidR="00487677">
        <w:t>-positive</w:t>
      </w:r>
      <w:r w:rsidRPr="00FC6190">
        <w:t xml:space="preserve"> </w:t>
      </w:r>
      <w:r>
        <w:t>NSCLC</w:t>
      </w:r>
      <w:r w:rsidRPr="00FC6190">
        <w:t xml:space="preserve"> is</w:t>
      </w:r>
      <w:r>
        <w:t xml:space="preserve"> rare</w:t>
      </w:r>
      <w:r w:rsidRPr="00FC6190">
        <w:t xml:space="preserve"> (orphan designation granted)</w:t>
      </w:r>
    </w:p>
    <w:p w14:paraId="6B6A2760" w14:textId="77777777" w:rsidR="002343D4" w:rsidRPr="00FC6190" w:rsidRDefault="00E94BD9" w:rsidP="00E94BD9">
      <w:pPr>
        <w:pStyle w:val="Numberbullet2"/>
      </w:pPr>
      <w:r>
        <w:t>Re</w:t>
      </w:r>
      <w:r w:rsidR="002343D4" w:rsidRPr="00FC6190">
        <w:t>gistration is being sought at a very early stage in the development</w:t>
      </w:r>
    </w:p>
    <w:p w14:paraId="627572C4" w14:textId="77777777" w:rsidR="002343D4" w:rsidRPr="00FC6190" w:rsidRDefault="00E94BD9" w:rsidP="00E94BD9">
      <w:pPr>
        <w:pStyle w:val="Numberbullet2"/>
      </w:pPr>
      <w:r>
        <w:t>F</w:t>
      </w:r>
      <w:r w:rsidR="002343D4" w:rsidRPr="00FC6190">
        <w:t>ew Australian sites were involved in the clinical trials presented here. The following is taken from the dossier:</w:t>
      </w:r>
    </w:p>
    <w:p w14:paraId="4EC0A630" w14:textId="77777777" w:rsidR="002343D4" w:rsidRPr="00FC6190" w:rsidRDefault="002343D4" w:rsidP="00E94BD9">
      <w:pPr>
        <w:pStyle w:val="Numberbullet3"/>
      </w:pPr>
      <w:r w:rsidRPr="00FC6190">
        <w:t>no Australian sites in the Phase II pivotal trial</w:t>
      </w:r>
    </w:p>
    <w:p w14:paraId="4FB4693C" w14:textId="77777777" w:rsidR="002343D4" w:rsidRPr="00FC6190" w:rsidRDefault="002343D4" w:rsidP="00E94BD9">
      <w:pPr>
        <w:pStyle w:val="Numberbullet3"/>
      </w:pPr>
      <w:r w:rsidRPr="00FC6190">
        <w:t xml:space="preserve">9 Australian patients in the Phase I study from a single trial site </w:t>
      </w:r>
    </w:p>
    <w:p w14:paraId="57360EEB" w14:textId="77777777" w:rsidR="002343D4" w:rsidRPr="00FC6190" w:rsidRDefault="002343D4" w:rsidP="00E94BD9">
      <w:pPr>
        <w:pStyle w:val="Numberbullet3"/>
      </w:pPr>
      <w:r w:rsidRPr="00FC6190">
        <w:t xml:space="preserve">3 patients treated in a Phase II study not contributing efficacy information for this application (3 </w:t>
      </w:r>
      <w:r>
        <w:t>clinicians in 3 registered sites</w:t>
      </w:r>
      <w:r w:rsidRPr="00FC6190">
        <w:t xml:space="preserve">) </w:t>
      </w:r>
    </w:p>
    <w:p w14:paraId="4FE72B55" w14:textId="411E1D90" w:rsidR="002343D4" w:rsidRPr="006609CF" w:rsidRDefault="002343D4" w:rsidP="008A3389">
      <w:pPr>
        <w:rPr>
          <w:rFonts w:eastAsia="MS Mincho"/>
          <w:lang w:eastAsia="ja-JP"/>
        </w:rPr>
      </w:pPr>
      <w:r w:rsidRPr="00FC6190">
        <w:rPr>
          <w:rFonts w:asciiTheme="minorHAnsi" w:hAnsiTheme="minorHAnsi"/>
        </w:rPr>
        <w:t xml:space="preserve">This issue is being clarified further </w:t>
      </w:r>
      <w:r>
        <w:rPr>
          <w:rFonts w:asciiTheme="minorHAnsi" w:hAnsiTheme="minorHAnsi"/>
        </w:rPr>
        <w:t xml:space="preserve">somewhat </w:t>
      </w:r>
      <w:r w:rsidRPr="00FC6190">
        <w:rPr>
          <w:rFonts w:asciiTheme="minorHAnsi" w:hAnsiTheme="minorHAnsi"/>
        </w:rPr>
        <w:t xml:space="preserve">with a study planned </w:t>
      </w:r>
      <w:r w:rsidRPr="00FC6190">
        <w:t>to assess the steady-state PK and safety of reduced doses of ceritinib taken with a low-fat meal, as compared with 750 mg ceritinib taken in the fasted state: a randomized food effect study. Submission of this</w:t>
      </w:r>
      <w:r>
        <w:t xml:space="preserve"> for evaluation</w:t>
      </w:r>
      <w:r w:rsidRPr="00FC6190">
        <w:t xml:space="preserve"> is a condition of registration (see Conditions of Registration).</w:t>
      </w:r>
    </w:p>
    <w:p w14:paraId="72762D2C" w14:textId="77777777" w:rsidR="002343D4" w:rsidRDefault="002343D4" w:rsidP="008A3389">
      <w:pPr>
        <w:pStyle w:val="Heading6"/>
      </w:pPr>
      <w:r>
        <w:t>Pharmacokinetic Interactions</w:t>
      </w:r>
    </w:p>
    <w:p w14:paraId="3AAFF442" w14:textId="77777777" w:rsidR="002343D4" w:rsidRDefault="002343D4" w:rsidP="008A3389">
      <w:r>
        <w:t>The</w:t>
      </w:r>
      <w:r w:rsidRPr="002D137E">
        <w:t xml:space="preserve"> concomitant use of CYP3A/P-gp inhibitors can increase the ceritinib plasma concentrations</w:t>
      </w:r>
      <w:r>
        <w:t>;</w:t>
      </w:r>
      <w:r w:rsidRPr="002D137E">
        <w:t xml:space="preserve"> the ketoconazole study</w:t>
      </w:r>
      <w:r>
        <w:t xml:space="preserve"> (CYP3A inhibitor)</w:t>
      </w:r>
      <w:r w:rsidRPr="002D137E">
        <w:t xml:space="preserve">, show that the estimated geometric mean ratios for </w:t>
      </w:r>
      <w:r w:rsidR="00E94BD9" w:rsidRPr="008F067A">
        <w:t>AUC</w:t>
      </w:r>
      <w:r w:rsidR="00E94BD9" w:rsidRPr="00E94BD9">
        <w:rPr>
          <w:vertAlign w:val="subscript"/>
        </w:rPr>
        <w:t>inf</w:t>
      </w:r>
      <w:r w:rsidRPr="002D137E">
        <w:t xml:space="preserve"> and </w:t>
      </w:r>
      <w:r w:rsidR="00326B43" w:rsidRPr="004933DC">
        <w:t>C</w:t>
      </w:r>
      <w:r w:rsidR="00326B43" w:rsidRPr="00326B43">
        <w:rPr>
          <w:vertAlign w:val="subscript"/>
        </w:rPr>
        <w:t>max</w:t>
      </w:r>
      <w:r w:rsidR="00326B43">
        <w:t xml:space="preserve"> </w:t>
      </w:r>
      <w:r w:rsidRPr="002D137E">
        <w:t>were increased almost 3 fold and 1 fold respectively.</w:t>
      </w:r>
      <w:r w:rsidR="000E3918">
        <w:t xml:space="preserve"> </w:t>
      </w:r>
      <w:r>
        <w:t xml:space="preserve">Results from the </w:t>
      </w:r>
      <w:r w:rsidRPr="002D137E">
        <w:t xml:space="preserve">DDI study with rifampin </w:t>
      </w:r>
      <w:r>
        <w:t xml:space="preserve">(a CYP3A inducer) </w:t>
      </w:r>
      <w:r w:rsidRPr="002D137E">
        <w:t xml:space="preserve">clearly indicate that strong CYP3A inducer decreases the ceritinib concentrations, leading to </w:t>
      </w:r>
      <w:r>
        <w:t>a reduction of</w:t>
      </w:r>
      <w:r w:rsidRPr="002D137E">
        <w:t xml:space="preserve"> both the </w:t>
      </w:r>
      <w:r w:rsidR="00326B43" w:rsidRPr="004933DC">
        <w:t>C</w:t>
      </w:r>
      <w:r w:rsidR="00326B43" w:rsidRPr="00326B43">
        <w:rPr>
          <w:vertAlign w:val="subscript"/>
        </w:rPr>
        <w:t>max</w:t>
      </w:r>
      <w:r w:rsidR="00326B43">
        <w:t xml:space="preserve"> </w:t>
      </w:r>
      <w:r w:rsidRPr="002D137E">
        <w:t xml:space="preserve">and </w:t>
      </w:r>
      <w:r w:rsidR="00E94BD9" w:rsidRPr="008F067A">
        <w:t>AUC</w:t>
      </w:r>
      <w:r w:rsidR="00E94BD9" w:rsidRPr="00E94BD9">
        <w:rPr>
          <w:vertAlign w:val="subscript"/>
        </w:rPr>
        <w:t>inf</w:t>
      </w:r>
      <w:r w:rsidRPr="002D137E">
        <w:t xml:space="preserve"> (44% and 70%, respectively). </w:t>
      </w:r>
    </w:p>
    <w:p w14:paraId="0B3A6ACF" w14:textId="77777777" w:rsidR="002343D4" w:rsidRPr="008A3389" w:rsidRDefault="008A3389" w:rsidP="008A3389">
      <w:r w:rsidRPr="008A3389">
        <w:t xml:space="preserve">The </w:t>
      </w:r>
      <w:r w:rsidR="002343D4" w:rsidRPr="008A3389">
        <w:t>Delegate comment</w:t>
      </w:r>
      <w:r w:rsidRPr="008A3389">
        <w:t>ed that i</w:t>
      </w:r>
      <w:r w:rsidR="002343D4" w:rsidRPr="008A3389">
        <w:t xml:space="preserve">nformation is clearly stated in the PI regarding this. Dose reduction may be needed for co-administered medications that are predominantly metabolised by CYP3A and CYP2C9. </w:t>
      </w:r>
    </w:p>
    <w:p w14:paraId="5B205114" w14:textId="77777777" w:rsidR="002343D4" w:rsidRPr="008A3389" w:rsidRDefault="002343D4" w:rsidP="008A3389">
      <w:r w:rsidRPr="008A3389">
        <w:t xml:space="preserve">Ceritinib also inhibits CYP2A6 and CYP2E1 at clinically relevant concentrations. Therefore, ceritinib may have the potential to increase plasma concentrations of co-administered drugs that are predominantly metabolised by these enzymes. </w:t>
      </w:r>
    </w:p>
    <w:p w14:paraId="01D349DB" w14:textId="77777777" w:rsidR="002343D4" w:rsidRPr="006609CF" w:rsidRDefault="002343D4" w:rsidP="008A3389">
      <w:pPr>
        <w:pStyle w:val="Heading6"/>
      </w:pPr>
      <w:r w:rsidRPr="006609CF">
        <w:t>Gastric pH</w:t>
      </w:r>
    </w:p>
    <w:p w14:paraId="21C50504" w14:textId="77777777" w:rsidR="002343D4" w:rsidRDefault="002343D4" w:rsidP="008A3389">
      <w:r>
        <w:t>Ceritinib solubility decreases with increasing gastric pH. Currently there is no</w:t>
      </w:r>
      <w:r w:rsidR="000E3918">
        <w:t xml:space="preserve"> </w:t>
      </w:r>
      <w:r w:rsidRPr="00D55FE2">
        <w:t>information regarding the interaction with pH-el</w:t>
      </w:r>
      <w:r>
        <w:t xml:space="preserve">evating agents, such as H2-blockers or </w:t>
      </w:r>
      <w:r w:rsidRPr="00D55FE2">
        <w:t>proton pump inhibitors.</w:t>
      </w:r>
      <w:r w:rsidR="000E3918">
        <w:t xml:space="preserve"> </w:t>
      </w:r>
      <w:r>
        <w:t>The study investigating the effect of esomeprazole is underway and submission for evaluation is a Condition of Registration. In the interim, the PI provides information to avoid concomitant use where possible.</w:t>
      </w:r>
    </w:p>
    <w:p w14:paraId="1E5E359C" w14:textId="77777777" w:rsidR="002343D4" w:rsidRDefault="002343D4" w:rsidP="008A3389">
      <w:pPr>
        <w:pStyle w:val="Heading5"/>
      </w:pPr>
      <w:r w:rsidRPr="009C01C6">
        <w:t>Pharmacodynamic effects</w:t>
      </w:r>
      <w:bookmarkEnd w:id="212"/>
      <w:bookmarkEnd w:id="213"/>
      <w:bookmarkEnd w:id="214"/>
      <w:bookmarkEnd w:id="215"/>
    </w:p>
    <w:p w14:paraId="1F3B7345" w14:textId="77777777" w:rsidR="002343D4" w:rsidRDefault="002343D4" w:rsidP="008A3389">
      <w:pPr>
        <w:pStyle w:val="Heading6"/>
      </w:pPr>
      <w:r>
        <w:t>Mechanism of action</w:t>
      </w:r>
    </w:p>
    <w:p w14:paraId="46C1F07D" w14:textId="77777777" w:rsidR="002343D4" w:rsidRDefault="002343D4" w:rsidP="008A3389">
      <w:r>
        <w:t>No data on clinical pharmacodynamics were submitted, with a total reliance on nonclinical data to support the mechanism of action. In response to EMA q</w:t>
      </w:r>
      <w:r w:rsidR="008A3389">
        <w:t>uestions (Day 180 Report), the s</w:t>
      </w:r>
      <w:r>
        <w:t>ponsor has indicated that biomarkers to characterise resistance mechanisms to ceritinib and predict respon</w:t>
      </w:r>
      <w:r w:rsidR="008A3389">
        <w:t>se rates were under development</w:t>
      </w:r>
      <w:r>
        <w:t xml:space="preserve"> but these were not provided for evaluation.</w:t>
      </w:r>
    </w:p>
    <w:p w14:paraId="1933BDC2" w14:textId="77777777" w:rsidR="002343D4" w:rsidRDefault="002343D4" w:rsidP="008A3389">
      <w:r>
        <w:t xml:space="preserve">The cut-off used to determine ALK positivity was </w:t>
      </w:r>
      <w:r w:rsidR="008A3389">
        <w:t xml:space="preserve">≥ </w:t>
      </w:r>
      <w:r>
        <w:t>15% based on crizotinib studies. Data provided to the EMA showed response rates above this level by independent and investigator assessment but it did not predict response to therapy; non-responders also had similar levels of detection by FISH or immunohistochemistry.</w:t>
      </w:r>
    </w:p>
    <w:p w14:paraId="710386DA" w14:textId="77777777" w:rsidR="002343D4" w:rsidRPr="003B5F0C" w:rsidRDefault="002343D4" w:rsidP="008A3389">
      <w:pPr>
        <w:pStyle w:val="Heading5"/>
      </w:pPr>
      <w:r w:rsidRPr="003B5F0C">
        <w:t>Other</w:t>
      </w:r>
    </w:p>
    <w:p w14:paraId="2F594F0F" w14:textId="77777777" w:rsidR="002343D4" w:rsidRDefault="002343D4" w:rsidP="008A3389">
      <w:r>
        <w:t>The EMA report noted that higher exposure to ceritinib was not strongly matched by an increasing ORR. However, increase</w:t>
      </w:r>
      <w:r w:rsidR="008A3389">
        <w:t>s</w:t>
      </w:r>
      <w:r>
        <w:t xml:space="preserve"> in toxicities and in particular QTc prolongation were clearly linked with increasing exposure. This risk was apparent in animal studies (see </w:t>
      </w:r>
      <w:r>
        <w:lastRenderedPageBreak/>
        <w:t>above). QTc prolongation was noted in 6% of patients in the overall safety population, with 3.3% suspected to be treatment-related.</w:t>
      </w:r>
    </w:p>
    <w:p w14:paraId="103AC1A7" w14:textId="77777777" w:rsidR="002343D4" w:rsidRPr="008A3389" w:rsidRDefault="008A3389" w:rsidP="008A3389">
      <w:r w:rsidRPr="008A3389">
        <w:t>T</w:t>
      </w:r>
      <w:r w:rsidR="002343D4" w:rsidRPr="008A3389">
        <w:t>his information is key</w:t>
      </w:r>
      <w:r w:rsidR="00E56C47">
        <w:t>,</w:t>
      </w:r>
      <w:r w:rsidR="002343D4" w:rsidRPr="008A3389">
        <w:t xml:space="preserve"> as there is the existing risk which may be further increased with increased exposure if taken with food. QTc prolongation is included in the proposed Boxed Warning.</w:t>
      </w:r>
    </w:p>
    <w:p w14:paraId="3923D6EB" w14:textId="77777777" w:rsidR="002343D4" w:rsidRDefault="008A3389" w:rsidP="008A3389">
      <w:r>
        <w:t>The s</w:t>
      </w:r>
      <w:r w:rsidR="002343D4" w:rsidRPr="0061144A">
        <w:t>ponso</w:t>
      </w:r>
      <w:r>
        <w:t>r has justified that lack of a T</w:t>
      </w:r>
      <w:r w:rsidR="002343D4" w:rsidRPr="0061144A">
        <w:t>horough QT/QTC study based on the collection of</w:t>
      </w:r>
      <w:r w:rsidR="002343D4" w:rsidRPr="00AF5D0D">
        <w:t xml:space="preserve"> ECGs along with time-matched ceritinib plasma concentrations in Study X2101 and given the wide ranges of doses studied in this trial (50 to 75</w:t>
      </w:r>
      <w:r w:rsidR="00326B43">
        <w:t>0 mg</w:t>
      </w:r>
      <w:r w:rsidR="002343D4" w:rsidRPr="00AF5D0D">
        <w:t xml:space="preserve">), that these </w:t>
      </w:r>
      <w:r w:rsidR="00FF3DC8">
        <w:t>data enable a robust characteris</w:t>
      </w:r>
      <w:r w:rsidR="002343D4" w:rsidRPr="00AF5D0D">
        <w:t xml:space="preserve">ation of the ceritinib concentration-QTc relationship. Further data will come from the two </w:t>
      </w:r>
      <w:r w:rsidR="00B3070B">
        <w:t>Phase I</w:t>
      </w:r>
      <w:r w:rsidR="002343D4" w:rsidRPr="00AF5D0D">
        <w:t xml:space="preserve">I studies (A2201 and A2203) and ongoing </w:t>
      </w:r>
      <w:r w:rsidR="00B3070B">
        <w:t>Phase I</w:t>
      </w:r>
      <w:r w:rsidR="002343D4" w:rsidRPr="00AF5D0D">
        <w:t>II studies (A2303 and A2301), where t</w:t>
      </w:r>
      <w:r w:rsidR="00FF3DC8">
        <w:t xml:space="preserve">riplicate ECGSs along with time </w:t>
      </w:r>
      <w:r w:rsidR="002343D4" w:rsidRPr="00AF5D0D">
        <w:t xml:space="preserve">matched ceritinib plasma concentrations at pre-dose and at various post-dose time-points will be obtained and analysed. </w:t>
      </w:r>
    </w:p>
    <w:p w14:paraId="2EF8D881" w14:textId="77777777" w:rsidR="002343D4" w:rsidRDefault="00FF3DC8" w:rsidP="002343D4">
      <w:pPr>
        <w:jc w:val="both"/>
      </w:pPr>
      <w:r w:rsidRPr="00FF3DC8">
        <w:t>I</w:t>
      </w:r>
      <w:r w:rsidR="002343D4" w:rsidRPr="00FF3DC8">
        <w:t>t is unclear whether the triplicate ECGs and matched plasma concentrations are just being undertaken in the Phase III trials. No such data could be locate</w:t>
      </w:r>
      <w:r>
        <w:t>d in the Phase II studies. The s</w:t>
      </w:r>
      <w:r w:rsidR="002343D4" w:rsidRPr="00FF3DC8">
        <w:t>ponsor is requested</w:t>
      </w:r>
      <w:r w:rsidR="002343D4">
        <w:t xml:space="preserve"> to comment</w:t>
      </w:r>
      <w:r>
        <w:t xml:space="preserve"> on this</w:t>
      </w:r>
      <w:r w:rsidR="002343D4">
        <w:t>.</w:t>
      </w:r>
    </w:p>
    <w:p w14:paraId="1B968C41" w14:textId="77777777" w:rsidR="002343D4" w:rsidRDefault="002343D4" w:rsidP="00FF3DC8">
      <w:pPr>
        <w:pStyle w:val="Heading5"/>
      </w:pPr>
      <w:r w:rsidRPr="000E67C5">
        <w:t>Dose Selec</w:t>
      </w:r>
      <w:r>
        <w:t>tion</w:t>
      </w:r>
    </w:p>
    <w:p w14:paraId="798F66B6" w14:textId="77777777" w:rsidR="002343D4" w:rsidRPr="00672C55" w:rsidRDefault="002343D4" w:rsidP="002343D4">
      <w:pPr>
        <w:autoSpaceDE w:val="0"/>
        <w:autoSpaceDN w:val="0"/>
        <w:adjustRightInd w:val="0"/>
        <w:jc w:val="both"/>
      </w:pPr>
      <w:r w:rsidRPr="00672C55">
        <w:t>This</w:t>
      </w:r>
      <w:r>
        <w:t xml:space="preserve"> was undertaken as part of the Phase I S</w:t>
      </w:r>
      <w:r w:rsidRPr="00672C55">
        <w:t xml:space="preserve">tudy </w:t>
      </w:r>
      <w:r>
        <w:t>X2101,</w:t>
      </w:r>
      <w:r w:rsidR="00FF3DC8">
        <w:t xml:space="preserve"> a P</w:t>
      </w:r>
      <w:r w:rsidRPr="00672C55">
        <w:t xml:space="preserve">hase </w:t>
      </w:r>
      <w:r w:rsidR="00FF3DC8">
        <w:t>I</w:t>
      </w:r>
      <w:r w:rsidRPr="00672C55">
        <w:t xml:space="preserve"> dose escalation trial for the </w:t>
      </w:r>
      <w:r>
        <w:t>determination</w:t>
      </w:r>
      <w:r w:rsidRPr="00672C55">
        <w:t xml:space="preserve"> of the MTD</w:t>
      </w:r>
      <w:r>
        <w:t>, with</w:t>
      </w:r>
      <w:r w:rsidRPr="00672C55">
        <w:t xml:space="preserve"> a dose-escalation phase (to determine the MTD and RD) and a</w:t>
      </w:r>
      <w:r>
        <w:t>n expansion phase to characteris</w:t>
      </w:r>
      <w:r w:rsidRPr="00672C55">
        <w:t>e the efficacy, safety and pharmacokinetics (PK) of ceritinib.</w:t>
      </w:r>
    </w:p>
    <w:p w14:paraId="0D6450CD" w14:textId="77777777" w:rsidR="002343D4" w:rsidRPr="00D55246" w:rsidRDefault="002343D4" w:rsidP="002343D4">
      <w:pPr>
        <w:autoSpaceDE w:val="0"/>
        <w:autoSpaceDN w:val="0"/>
        <w:adjustRightInd w:val="0"/>
        <w:jc w:val="both"/>
      </w:pPr>
      <w:r w:rsidRPr="00672C55">
        <w:t xml:space="preserve">At the time that the MTD was determined, eight </w:t>
      </w:r>
      <w:r w:rsidR="00FF3DC8" w:rsidRPr="00FF3DC8">
        <w:t>Dose Limiting Toxicit</w:t>
      </w:r>
      <w:r w:rsidR="00FF3DC8">
        <w:t>ies</w:t>
      </w:r>
      <w:r w:rsidR="00FF3DC8" w:rsidRPr="00FF3DC8">
        <w:t xml:space="preserve"> </w:t>
      </w:r>
      <w:r w:rsidR="00FF3DC8">
        <w:t>(</w:t>
      </w:r>
      <w:r w:rsidRPr="00672C55">
        <w:t>DLTs</w:t>
      </w:r>
      <w:r w:rsidR="00FF3DC8">
        <w:t>)</w:t>
      </w:r>
      <w:r w:rsidRPr="00672C55">
        <w:t xml:space="preserve"> had occurred during the first cycle of </w:t>
      </w:r>
      <w:r w:rsidRPr="00D55246">
        <w:t>treatment in six patients</w:t>
      </w:r>
      <w:r w:rsidR="00FF3DC8">
        <w:t>:</w:t>
      </w:r>
    </w:p>
    <w:p w14:paraId="5C7C858A" w14:textId="77777777" w:rsidR="002343D4" w:rsidRPr="00D55246" w:rsidRDefault="00FF3DC8" w:rsidP="00FF3DC8">
      <w:pPr>
        <w:pStyle w:val="ListBullet"/>
      </w:pPr>
      <w:r>
        <w:t>At 400 mg: G</w:t>
      </w:r>
      <w:r w:rsidR="002343D4" w:rsidRPr="00D55246">
        <w:t>rade 3 hypoph</w:t>
      </w:r>
      <w:r>
        <w:t>osphatemia in one patient and G</w:t>
      </w:r>
      <w:r w:rsidR="002343D4" w:rsidRPr="00D55246">
        <w:t>rade 3 transaminase increased evolving from grade 2 ALT increased in one patient.</w:t>
      </w:r>
    </w:p>
    <w:p w14:paraId="301BDA66" w14:textId="77777777" w:rsidR="002343D4" w:rsidRPr="00D55246" w:rsidRDefault="00FF3DC8" w:rsidP="00FF3DC8">
      <w:pPr>
        <w:pStyle w:val="ListBullet"/>
      </w:pPr>
      <w:r>
        <w:t>At 600 mg: Grade 3 diarrhoea and G</w:t>
      </w:r>
      <w:r w:rsidR="002343D4" w:rsidRPr="00D55246">
        <w:t>rade 3 dehydration in one patient each.</w:t>
      </w:r>
    </w:p>
    <w:p w14:paraId="379637AC" w14:textId="77777777" w:rsidR="002343D4" w:rsidRPr="00D55246" w:rsidRDefault="00FF3DC8" w:rsidP="00FF3DC8">
      <w:pPr>
        <w:pStyle w:val="ListBullet"/>
      </w:pPr>
      <w:r>
        <w:t>At 750 mg: G</w:t>
      </w:r>
      <w:r w:rsidR="002343D4" w:rsidRPr="00D55246">
        <w:t xml:space="preserve">rade 3 diarrhoea with grade 3 vomiting </w:t>
      </w:r>
      <w:r>
        <w:t>in one patient and intolerable G</w:t>
      </w:r>
      <w:r w:rsidR="002343D4" w:rsidRPr="00D55246">
        <w:t>rade 2 diarrhoea in one patient.</w:t>
      </w:r>
    </w:p>
    <w:p w14:paraId="18E2994E" w14:textId="77777777" w:rsidR="002343D4" w:rsidRPr="00672C55" w:rsidRDefault="002343D4" w:rsidP="00FF3DC8">
      <w:r>
        <w:t xml:space="preserve">Additional claimed </w:t>
      </w:r>
      <w:r w:rsidRPr="00672C55">
        <w:t>support to establish MTD/RD at 750 mg came from the experience of the first 10 patients in the expansion phase (no DLTs were observed) and the preliminary data on tumour activity, which had shown tumour response with doses &gt;40</w:t>
      </w:r>
      <w:r w:rsidR="00326B43">
        <w:t>0 mg</w:t>
      </w:r>
      <w:r w:rsidRPr="00672C55">
        <w:t>.</w:t>
      </w:r>
    </w:p>
    <w:p w14:paraId="481FF451" w14:textId="77777777" w:rsidR="002343D4" w:rsidRPr="004F1939" w:rsidRDefault="002343D4" w:rsidP="00FF3DC8">
      <w:r w:rsidRPr="004F1939">
        <w:t xml:space="preserve">Delegate </w:t>
      </w:r>
      <w:r w:rsidR="00FF3DC8">
        <w:t>noted</w:t>
      </w:r>
      <w:r w:rsidRPr="004F1939">
        <w:t>:</w:t>
      </w:r>
    </w:p>
    <w:p w14:paraId="0CEC9CFF" w14:textId="77777777" w:rsidR="002343D4" w:rsidRPr="00271DFD" w:rsidRDefault="002343D4" w:rsidP="00FF3DC8">
      <w:pPr>
        <w:pStyle w:val="Numberbullet0"/>
        <w:numPr>
          <w:ilvl w:val="0"/>
          <w:numId w:val="41"/>
        </w:numPr>
      </w:pPr>
      <w:r w:rsidRPr="00523284">
        <w:t>The substantial toxicities and dose reductions required in the clinical trials do not support that the MTD was established adequately. Furthermore, with increases in AUC when taken with food demonstrated and serious toxicities such as QTc prolongation occurring with increasing exposure</w:t>
      </w:r>
      <w:r>
        <w:t>.</w:t>
      </w:r>
    </w:p>
    <w:p w14:paraId="6C4FA6BF" w14:textId="77777777" w:rsidR="002343D4" w:rsidRDefault="002343D4" w:rsidP="00FF3DC8">
      <w:pPr>
        <w:pStyle w:val="Numberbullet0"/>
        <w:numPr>
          <w:ilvl w:val="0"/>
          <w:numId w:val="41"/>
        </w:numPr>
      </w:pPr>
      <w:r w:rsidRPr="00523284">
        <w:t>The toxicities, lack of predictive biomarkers, and uncertain improvement of effic</w:t>
      </w:r>
      <w:r>
        <w:t>acy with higher exposure support</w:t>
      </w:r>
      <w:r w:rsidRPr="00523284">
        <w:t xml:space="preserve"> that 75</w:t>
      </w:r>
      <w:r w:rsidR="00326B43">
        <w:t>0 mg</w:t>
      </w:r>
      <w:r w:rsidRPr="00523284">
        <w:t xml:space="preserve"> may be unnecessarily high as a starting dose.</w:t>
      </w:r>
    </w:p>
    <w:p w14:paraId="46BCCB7F" w14:textId="77777777" w:rsidR="002343D4" w:rsidRPr="00523284" w:rsidRDefault="002343D4" w:rsidP="00FF3DC8">
      <w:pPr>
        <w:pStyle w:val="Numberbullet0"/>
        <w:numPr>
          <w:ilvl w:val="0"/>
          <w:numId w:val="41"/>
        </w:numPr>
      </w:pPr>
      <w:r>
        <w:t>It is noted that most toxicities were manageable with dose reduction (expert comment in response to specific TGA question on this in the presubmission meeting, and the relatively low discontinuation rates support this). The Delegate considers it likely that oncologists, familiar with managing toxicities, will have a low threshold for reducing the dose early and introducing supportive therapies to manage this.</w:t>
      </w:r>
    </w:p>
    <w:p w14:paraId="53D7A65F" w14:textId="77777777" w:rsidR="002343D4" w:rsidRPr="00143C73" w:rsidRDefault="002343D4" w:rsidP="00FF3DC8">
      <w:pPr>
        <w:pStyle w:val="Heading4"/>
      </w:pPr>
      <w:r w:rsidRPr="00143C73">
        <w:lastRenderedPageBreak/>
        <w:t xml:space="preserve">Efficacy </w:t>
      </w:r>
    </w:p>
    <w:p w14:paraId="13165F2F" w14:textId="77777777" w:rsidR="002343D4" w:rsidRDefault="002343D4" w:rsidP="00FF3DC8">
      <w:pPr>
        <w:pStyle w:val="Heading5"/>
      </w:pPr>
      <w:r>
        <w:t>Pivotal study</w:t>
      </w:r>
    </w:p>
    <w:p w14:paraId="5C4E4B4A" w14:textId="77777777" w:rsidR="002343D4" w:rsidRDefault="002343D4" w:rsidP="00FF3DC8">
      <w:r>
        <w:t xml:space="preserve">Study A2201 was </w:t>
      </w:r>
      <w:r w:rsidR="00B3070B">
        <w:t>Phase I</w:t>
      </w:r>
      <w:r>
        <w:t>I, multicentre, single-arm, open label study of ceritinib in adult patients with locally advanced or metastatic ALK-positive non-small cell lung cancer previously treated with chemotherapy (1-3 prior lines, of which one must have been a platinum doublet), and most recently progressed on or within 30 days of</w:t>
      </w:r>
      <w:r w:rsidR="000E3918">
        <w:t xml:space="preserve"> </w:t>
      </w:r>
      <w:r>
        <w:t>crizotinib.</w:t>
      </w:r>
    </w:p>
    <w:p w14:paraId="42AB3F15" w14:textId="77777777" w:rsidR="002343D4" w:rsidRDefault="002343D4" w:rsidP="002343D4">
      <w:pPr>
        <w:autoSpaceDE w:val="0"/>
        <w:autoSpaceDN w:val="0"/>
        <w:adjustRightInd w:val="0"/>
        <w:jc w:val="both"/>
      </w:pPr>
      <w:r w:rsidRPr="00FF3DC8">
        <w:rPr>
          <w:rStyle w:val="Heading6Char"/>
          <w:rFonts w:eastAsia="Cambria"/>
        </w:rPr>
        <w:t>Primary objective:</w:t>
      </w:r>
      <w:r>
        <w:rPr>
          <w:b/>
        </w:rPr>
        <w:t xml:space="preserve"> </w:t>
      </w:r>
      <w:r>
        <w:t>Overall response rate (ORR) by investigator assessment</w:t>
      </w:r>
    </w:p>
    <w:p w14:paraId="3E9FE35E" w14:textId="77777777" w:rsidR="002343D4" w:rsidRPr="004F1939" w:rsidRDefault="002343D4" w:rsidP="002343D4">
      <w:pPr>
        <w:autoSpaceDE w:val="0"/>
        <w:autoSpaceDN w:val="0"/>
        <w:adjustRightInd w:val="0"/>
        <w:jc w:val="both"/>
        <w:rPr>
          <w:b/>
        </w:rPr>
      </w:pPr>
      <w:r>
        <w:t xml:space="preserve">The study targeted an ORR of 38%, with &lt;25% considered insufficient activity </w:t>
      </w:r>
      <w:r w:rsidRPr="005A4FF1">
        <w:rPr>
          <w:lang w:val="en-US"/>
        </w:rPr>
        <w:t xml:space="preserve">H0: ORR </w:t>
      </w:r>
      <w:r w:rsidRPr="005A4FF1">
        <w:rPr>
          <w:rFonts w:cs="$˜$x›ˇø\ÜÂ'1"/>
          <w:lang w:val="en-US"/>
        </w:rPr>
        <w:t>≤</w:t>
      </w:r>
      <w:r w:rsidR="00FF3DC8">
        <w:rPr>
          <w:rFonts w:cs="$˜$x›ˇø\ÜÂ'1"/>
          <w:lang w:val="en-US"/>
        </w:rPr>
        <w:t> </w:t>
      </w:r>
      <w:r w:rsidRPr="005A4FF1">
        <w:rPr>
          <w:lang w:val="en-US"/>
        </w:rPr>
        <w:t>25% was tested</w:t>
      </w:r>
      <w:r w:rsidR="002E3E15">
        <w:rPr>
          <w:lang w:val="en-US"/>
        </w:rPr>
        <w:t xml:space="preserve"> versus</w:t>
      </w:r>
      <w:r w:rsidRPr="005A4FF1">
        <w:rPr>
          <w:lang w:val="en-US"/>
        </w:rPr>
        <w:t xml:space="preserve"> H1: ORR &gt; 25%</w:t>
      </w:r>
      <w:r>
        <w:rPr>
          <w:lang w:val="en-US"/>
        </w:rPr>
        <w:t xml:space="preserve">, </w:t>
      </w:r>
      <w:r w:rsidRPr="005A4FF1">
        <w:rPr>
          <w:lang w:val="en-US"/>
        </w:rPr>
        <w:t xml:space="preserve">using a one-sided test with </w:t>
      </w:r>
      <w:r w:rsidRPr="005A4FF1">
        <w:rPr>
          <w:rFonts w:cs="$˜$x›ˇø\ÜÂ'1"/>
          <w:lang w:val="en-US"/>
        </w:rPr>
        <w:t>α</w:t>
      </w:r>
      <w:r w:rsidRPr="005A4FF1">
        <w:rPr>
          <w:lang w:val="en-US"/>
        </w:rPr>
        <w:t xml:space="preserve">=0.025 based on the exact </w:t>
      </w:r>
      <w:r w:rsidRPr="004F1939">
        <w:rPr>
          <w:lang w:val="en-US"/>
        </w:rPr>
        <w:t>binomial distribution</w:t>
      </w:r>
    </w:p>
    <w:p w14:paraId="16E265B7" w14:textId="77777777" w:rsidR="002343D4" w:rsidRPr="004F1939" w:rsidRDefault="002343D4" w:rsidP="00FF3DC8">
      <w:pPr>
        <w:pStyle w:val="Heading6"/>
      </w:pPr>
      <w:r w:rsidRPr="004F1939">
        <w:t>Secondary Objectives:</w:t>
      </w:r>
    </w:p>
    <w:p w14:paraId="0664EBC9" w14:textId="77777777" w:rsidR="002343D4" w:rsidRPr="004F1939" w:rsidRDefault="002343D4" w:rsidP="00FF3DC8">
      <w:pPr>
        <w:pStyle w:val="ListBullet"/>
      </w:pPr>
      <w:r w:rsidRPr="004F1939">
        <w:t>duration of response (DOR)</w:t>
      </w:r>
    </w:p>
    <w:p w14:paraId="68B62A60" w14:textId="77777777" w:rsidR="002343D4" w:rsidRPr="004F1939" w:rsidRDefault="002343D4" w:rsidP="00FF3DC8">
      <w:pPr>
        <w:pStyle w:val="ListBullet"/>
      </w:pPr>
      <w:r w:rsidRPr="004F1939">
        <w:t>disease control rate (DCR)</w:t>
      </w:r>
    </w:p>
    <w:p w14:paraId="2F849319" w14:textId="77777777" w:rsidR="002343D4" w:rsidRPr="004F1939" w:rsidRDefault="002343D4" w:rsidP="00FF3DC8">
      <w:pPr>
        <w:pStyle w:val="ListBullet"/>
      </w:pPr>
      <w:r w:rsidRPr="004F1939">
        <w:t>time to response (TTR), overall intracranial response rate</w:t>
      </w:r>
    </w:p>
    <w:p w14:paraId="0C0BE0FB" w14:textId="77777777" w:rsidR="002343D4" w:rsidRPr="004F1939" w:rsidRDefault="002343D4" w:rsidP="00FF3DC8">
      <w:pPr>
        <w:pStyle w:val="ListBullet"/>
      </w:pPr>
      <w:r w:rsidRPr="004F1939">
        <w:t>ORR as assessed by blinded independent review committee (BIRC)</w:t>
      </w:r>
    </w:p>
    <w:p w14:paraId="3EC2A7D1" w14:textId="77777777" w:rsidR="002343D4" w:rsidRPr="004F1939" w:rsidRDefault="002343D4" w:rsidP="00FF3DC8">
      <w:pPr>
        <w:pStyle w:val="ListBullet"/>
      </w:pPr>
      <w:r w:rsidRPr="004F1939">
        <w:t xml:space="preserve">safety </w:t>
      </w:r>
    </w:p>
    <w:p w14:paraId="4CACE454" w14:textId="77777777" w:rsidR="002343D4" w:rsidRPr="004F1939" w:rsidRDefault="002343D4" w:rsidP="00FF3DC8">
      <w:pPr>
        <w:pStyle w:val="ListBullet"/>
      </w:pPr>
      <w:r w:rsidRPr="004F1939">
        <w:t>progression-free survival (PFS)</w:t>
      </w:r>
    </w:p>
    <w:p w14:paraId="1FC03778" w14:textId="77777777" w:rsidR="002343D4" w:rsidRDefault="002343D4" w:rsidP="00FF3DC8">
      <w:pPr>
        <w:pStyle w:val="ListBullet"/>
      </w:pPr>
      <w:r w:rsidRPr="004F1939">
        <w:t>overall survival (OS)</w:t>
      </w:r>
      <w:bookmarkStart w:id="218" w:name="_Toc290846278"/>
      <w:bookmarkStart w:id="219" w:name="_Toc290888815"/>
      <w:bookmarkStart w:id="220" w:name="_Toc371611811"/>
      <w:bookmarkStart w:id="221" w:name="_Toc371612393"/>
      <w:bookmarkStart w:id="222" w:name="_Toc371612657"/>
      <w:bookmarkStart w:id="223" w:name="_Toc371613188"/>
    </w:p>
    <w:p w14:paraId="2C1CBEFA" w14:textId="77777777" w:rsidR="002343D4" w:rsidRPr="00C8349A" w:rsidRDefault="002343D4" w:rsidP="002343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jc w:val="both"/>
      </w:pPr>
      <w:r w:rsidRPr="00C8349A">
        <w:t>Key inclusion and exclusion criteria</w:t>
      </w:r>
      <w:r w:rsidR="00C418AD">
        <w:t>:</w:t>
      </w:r>
    </w:p>
    <w:p w14:paraId="65D74221" w14:textId="77777777" w:rsidR="002343D4" w:rsidRPr="00747A3E" w:rsidRDefault="002343D4" w:rsidP="00C418AD">
      <w:pPr>
        <w:pStyle w:val="ListBullet"/>
      </w:pPr>
      <w:r w:rsidRPr="004F1939">
        <w:t xml:space="preserve">Stage IIIb or IV NSCLC that is </w:t>
      </w:r>
      <w:r w:rsidR="006041DD">
        <w:t>ALK-positive</w:t>
      </w:r>
      <w:r w:rsidRPr="004F1939">
        <w:t xml:space="preserve"> as detected by FISH in ≥ 15% of tumour cells</w:t>
      </w:r>
    </w:p>
    <w:p w14:paraId="0E10C681" w14:textId="77777777" w:rsidR="002343D4" w:rsidRPr="004F1939" w:rsidRDefault="002343D4" w:rsidP="00C418AD">
      <w:r w:rsidRPr="004F1939">
        <w:t>The Full Analysis Set (FAS) consisted of all patients who received at least one dose of ceritinib (n=140). All patients received at least one dose.</w:t>
      </w:r>
    </w:p>
    <w:p w14:paraId="349C0686" w14:textId="77777777" w:rsidR="002343D4" w:rsidRPr="004F1939" w:rsidRDefault="002343D4" w:rsidP="00C418AD">
      <w:r w:rsidRPr="004F1939">
        <w:t>The demographics were representative, including a median age of 51, half were women, and most had ECOG 0 or 1 performance status. 95% of patients had metastatic disease, including 71% with brain metastases and the median number of prior treatments was 3 (range 2-7).</w:t>
      </w:r>
    </w:p>
    <w:p w14:paraId="60B31D57" w14:textId="77777777" w:rsidR="002343D4" w:rsidRDefault="002343D4" w:rsidP="00C418AD">
      <w:pPr>
        <w:pStyle w:val="Heading6"/>
      </w:pPr>
      <w:r w:rsidRPr="000946B1">
        <w:t>Results for the primary efficacy outcome</w:t>
      </w:r>
    </w:p>
    <w:p w14:paraId="52798A91" w14:textId="77777777" w:rsidR="002343D4" w:rsidRDefault="002343D4" w:rsidP="00C418AD">
      <w:r>
        <w:t>The median duration of follow-up from the start of study drug to last contact date on or prior to the data cut-off date for the 140 patients in the FAS was 7.39 months (range: 0.1 to 14.0 months).</w:t>
      </w:r>
    </w:p>
    <w:p w14:paraId="1BC5AF19" w14:textId="77777777" w:rsidR="002343D4" w:rsidRPr="00C06B62" w:rsidRDefault="002343D4" w:rsidP="00C418AD">
      <w:pPr>
        <w:pStyle w:val="TableTitle"/>
      </w:pPr>
      <w:bookmarkStart w:id="224" w:name="_Toc300498645"/>
      <w:r w:rsidRPr="00C06B62">
        <w:t xml:space="preserve">Table </w:t>
      </w:r>
      <w:r w:rsidR="00C418AD">
        <w:t>10:</w:t>
      </w:r>
      <w:r w:rsidRPr="00C06B62">
        <w:t xml:space="preserve"> </w:t>
      </w:r>
      <w:r>
        <w:t>Best overall response by investigator assessment (FAS)</w:t>
      </w:r>
      <w:bookmarkEnd w:id="224"/>
    </w:p>
    <w:tbl>
      <w:tblPr>
        <w:tblStyle w:val="TableTGAblue"/>
        <w:tblW w:w="0" w:type="auto"/>
        <w:tblLook w:val="04A0" w:firstRow="1" w:lastRow="0" w:firstColumn="1" w:lastColumn="0" w:noHBand="0" w:noVBand="1"/>
        <w:tblDescription w:val="Table 10: Best overall response by investigator assessment (FAS)"/>
      </w:tblPr>
      <w:tblGrid>
        <w:gridCol w:w="3998"/>
        <w:gridCol w:w="1315"/>
        <w:gridCol w:w="1898"/>
        <w:gridCol w:w="1391"/>
      </w:tblGrid>
      <w:tr w:rsidR="002343D4" w14:paraId="3B7A22EF" w14:textId="77777777" w:rsidTr="00C418AD">
        <w:trPr>
          <w:cnfStyle w:val="100000000000" w:firstRow="1" w:lastRow="0" w:firstColumn="0" w:lastColumn="0" w:oddVBand="0" w:evenVBand="0" w:oddHBand="0" w:evenHBand="0" w:firstRowFirstColumn="0" w:firstRowLastColumn="0" w:lastRowFirstColumn="0" w:lastRowLastColumn="0"/>
          <w:cantSplit/>
          <w:trHeight w:val="547"/>
        </w:trPr>
        <w:tc>
          <w:tcPr>
            <w:tcW w:w="3998" w:type="dxa"/>
          </w:tcPr>
          <w:p w14:paraId="09DB246F" w14:textId="77777777" w:rsidR="002343D4" w:rsidRPr="00C418AD" w:rsidRDefault="002343D4" w:rsidP="002343D4">
            <w:pPr>
              <w:spacing w:before="0" w:after="0" w:line="240" w:lineRule="auto"/>
              <w:jc w:val="both"/>
              <w:rPr>
                <w:sz w:val="20"/>
                <w:szCs w:val="20"/>
              </w:rPr>
            </w:pPr>
          </w:p>
        </w:tc>
        <w:tc>
          <w:tcPr>
            <w:tcW w:w="4604" w:type="dxa"/>
            <w:gridSpan w:val="3"/>
          </w:tcPr>
          <w:p w14:paraId="37115B57" w14:textId="77777777" w:rsidR="002343D4" w:rsidRPr="00C418AD" w:rsidRDefault="002343D4" w:rsidP="002343D4">
            <w:pPr>
              <w:spacing w:before="0" w:after="0" w:line="240" w:lineRule="auto"/>
              <w:jc w:val="both"/>
              <w:rPr>
                <w:sz w:val="20"/>
                <w:szCs w:val="20"/>
              </w:rPr>
            </w:pPr>
            <w:r w:rsidRPr="00C418AD">
              <w:rPr>
                <w:sz w:val="20"/>
                <w:szCs w:val="20"/>
              </w:rPr>
              <w:t>Ceritinib 75</w:t>
            </w:r>
            <w:r w:rsidR="00326B43" w:rsidRPr="00C418AD">
              <w:rPr>
                <w:sz w:val="20"/>
                <w:szCs w:val="20"/>
              </w:rPr>
              <w:t>0 mg</w:t>
            </w:r>
          </w:p>
          <w:p w14:paraId="2FE9E81B" w14:textId="77777777" w:rsidR="002343D4" w:rsidRPr="00C418AD" w:rsidRDefault="002343D4" w:rsidP="002343D4">
            <w:pPr>
              <w:spacing w:before="0" w:after="0" w:line="240" w:lineRule="auto"/>
              <w:jc w:val="both"/>
              <w:rPr>
                <w:sz w:val="20"/>
                <w:szCs w:val="20"/>
              </w:rPr>
            </w:pPr>
            <w:r w:rsidRPr="00C418AD">
              <w:rPr>
                <w:sz w:val="20"/>
                <w:szCs w:val="20"/>
              </w:rPr>
              <w:t>N=140</w:t>
            </w:r>
          </w:p>
        </w:tc>
      </w:tr>
      <w:tr w:rsidR="002343D4" w14:paraId="62B59FEF" w14:textId="77777777" w:rsidTr="00C418AD">
        <w:trPr>
          <w:trHeight w:val="320"/>
        </w:trPr>
        <w:tc>
          <w:tcPr>
            <w:tcW w:w="3998" w:type="dxa"/>
          </w:tcPr>
          <w:p w14:paraId="579AFD78" w14:textId="77777777" w:rsidR="002343D4" w:rsidRPr="00227769" w:rsidRDefault="002343D4" w:rsidP="002343D4">
            <w:pPr>
              <w:spacing w:before="0" w:after="0" w:line="240" w:lineRule="auto"/>
              <w:jc w:val="both"/>
              <w:rPr>
                <w:szCs w:val="22"/>
              </w:rPr>
            </w:pPr>
          </w:p>
        </w:tc>
        <w:tc>
          <w:tcPr>
            <w:tcW w:w="1315" w:type="dxa"/>
          </w:tcPr>
          <w:p w14:paraId="6FFACBD8" w14:textId="77777777" w:rsidR="002343D4" w:rsidRPr="00227769" w:rsidRDefault="002343D4" w:rsidP="002343D4">
            <w:pPr>
              <w:spacing w:before="0" w:after="0" w:line="240" w:lineRule="auto"/>
              <w:jc w:val="both"/>
              <w:rPr>
                <w:b/>
                <w:szCs w:val="22"/>
              </w:rPr>
            </w:pPr>
            <w:proofErr w:type="gramStart"/>
            <w:r w:rsidRPr="00227769">
              <w:rPr>
                <w:b/>
                <w:szCs w:val="22"/>
              </w:rPr>
              <w:t>n</w:t>
            </w:r>
            <w:proofErr w:type="gramEnd"/>
            <w:r w:rsidRPr="00227769">
              <w:rPr>
                <w:b/>
                <w:szCs w:val="22"/>
              </w:rPr>
              <w:t xml:space="preserve"> (%)</w:t>
            </w:r>
          </w:p>
        </w:tc>
        <w:tc>
          <w:tcPr>
            <w:tcW w:w="1898" w:type="dxa"/>
          </w:tcPr>
          <w:p w14:paraId="036B02DA" w14:textId="77777777" w:rsidR="002343D4" w:rsidRPr="00227769" w:rsidRDefault="002343D4" w:rsidP="002343D4">
            <w:pPr>
              <w:spacing w:before="0" w:after="0" w:line="240" w:lineRule="auto"/>
              <w:jc w:val="both"/>
              <w:rPr>
                <w:b/>
                <w:szCs w:val="22"/>
              </w:rPr>
            </w:pPr>
            <w:r w:rsidRPr="00227769">
              <w:rPr>
                <w:b/>
                <w:szCs w:val="22"/>
              </w:rPr>
              <w:t xml:space="preserve">95% CI </w:t>
            </w:r>
            <w:r w:rsidRPr="00227769">
              <w:rPr>
                <w:b/>
                <w:szCs w:val="22"/>
                <w:vertAlign w:val="superscript"/>
              </w:rPr>
              <w:t>(1)</w:t>
            </w:r>
          </w:p>
        </w:tc>
        <w:tc>
          <w:tcPr>
            <w:tcW w:w="1390" w:type="dxa"/>
          </w:tcPr>
          <w:p w14:paraId="3B590F88" w14:textId="77777777" w:rsidR="002343D4" w:rsidRPr="00227769" w:rsidRDefault="002343D4" w:rsidP="002343D4">
            <w:pPr>
              <w:spacing w:before="0" w:after="0" w:line="240" w:lineRule="auto"/>
              <w:jc w:val="both"/>
              <w:rPr>
                <w:b/>
                <w:szCs w:val="22"/>
              </w:rPr>
            </w:pPr>
            <w:r w:rsidRPr="00227769">
              <w:rPr>
                <w:b/>
                <w:szCs w:val="22"/>
              </w:rPr>
              <w:t xml:space="preserve">p-value </w:t>
            </w:r>
            <w:r w:rsidRPr="00227769">
              <w:rPr>
                <w:b/>
                <w:szCs w:val="22"/>
                <w:vertAlign w:val="superscript"/>
              </w:rPr>
              <w:t>(2)</w:t>
            </w:r>
          </w:p>
        </w:tc>
      </w:tr>
      <w:tr w:rsidR="002343D4" w14:paraId="6D96DE38" w14:textId="77777777" w:rsidTr="00C418AD">
        <w:trPr>
          <w:trHeight w:val="320"/>
        </w:trPr>
        <w:tc>
          <w:tcPr>
            <w:tcW w:w="8602" w:type="dxa"/>
            <w:gridSpan w:val="4"/>
          </w:tcPr>
          <w:p w14:paraId="6CC57142" w14:textId="77777777" w:rsidR="002343D4" w:rsidRPr="00227769" w:rsidRDefault="002343D4" w:rsidP="002343D4">
            <w:pPr>
              <w:spacing w:before="0" w:after="0" w:line="240" w:lineRule="auto"/>
              <w:jc w:val="both"/>
              <w:rPr>
                <w:b/>
                <w:szCs w:val="22"/>
              </w:rPr>
            </w:pPr>
            <w:r w:rsidRPr="00227769">
              <w:rPr>
                <w:b/>
                <w:szCs w:val="22"/>
              </w:rPr>
              <w:t>Best overall response</w:t>
            </w:r>
          </w:p>
        </w:tc>
      </w:tr>
      <w:tr w:rsidR="002343D4" w14:paraId="49F8E447" w14:textId="77777777" w:rsidTr="00C418AD">
        <w:trPr>
          <w:trHeight w:val="320"/>
        </w:trPr>
        <w:tc>
          <w:tcPr>
            <w:tcW w:w="3998" w:type="dxa"/>
          </w:tcPr>
          <w:p w14:paraId="4FD80440" w14:textId="77777777" w:rsidR="002343D4" w:rsidRPr="00227769" w:rsidRDefault="002343D4" w:rsidP="002343D4">
            <w:pPr>
              <w:spacing w:before="0" w:after="0" w:line="240" w:lineRule="auto"/>
              <w:ind w:firstLine="567"/>
              <w:jc w:val="both"/>
              <w:rPr>
                <w:szCs w:val="22"/>
              </w:rPr>
            </w:pPr>
            <w:r w:rsidRPr="00227769">
              <w:rPr>
                <w:szCs w:val="22"/>
              </w:rPr>
              <w:t>Complete response (CR)</w:t>
            </w:r>
          </w:p>
        </w:tc>
        <w:tc>
          <w:tcPr>
            <w:tcW w:w="1315" w:type="dxa"/>
          </w:tcPr>
          <w:p w14:paraId="2D27F979" w14:textId="77777777" w:rsidR="002343D4" w:rsidRPr="00227769" w:rsidRDefault="002343D4" w:rsidP="002343D4">
            <w:pPr>
              <w:spacing w:before="0" w:after="0" w:line="240" w:lineRule="auto"/>
              <w:jc w:val="both"/>
              <w:rPr>
                <w:szCs w:val="22"/>
              </w:rPr>
            </w:pPr>
            <w:r w:rsidRPr="00227769">
              <w:rPr>
                <w:szCs w:val="22"/>
              </w:rPr>
              <w:t>3 (2.1)</w:t>
            </w:r>
          </w:p>
        </w:tc>
        <w:tc>
          <w:tcPr>
            <w:tcW w:w="1898" w:type="dxa"/>
            <w:vMerge w:val="restart"/>
          </w:tcPr>
          <w:p w14:paraId="719A51D9" w14:textId="77777777" w:rsidR="002343D4" w:rsidRPr="00227769" w:rsidRDefault="002343D4" w:rsidP="002343D4">
            <w:pPr>
              <w:spacing w:before="0" w:after="0" w:line="240" w:lineRule="auto"/>
              <w:jc w:val="both"/>
              <w:rPr>
                <w:szCs w:val="22"/>
              </w:rPr>
            </w:pPr>
          </w:p>
        </w:tc>
        <w:tc>
          <w:tcPr>
            <w:tcW w:w="1390" w:type="dxa"/>
            <w:vMerge w:val="restart"/>
          </w:tcPr>
          <w:p w14:paraId="4842E931" w14:textId="77777777" w:rsidR="002343D4" w:rsidRPr="00227769" w:rsidRDefault="002343D4" w:rsidP="002343D4">
            <w:pPr>
              <w:spacing w:before="0" w:after="0" w:line="240" w:lineRule="auto"/>
              <w:jc w:val="both"/>
              <w:rPr>
                <w:szCs w:val="22"/>
              </w:rPr>
            </w:pPr>
          </w:p>
        </w:tc>
      </w:tr>
      <w:tr w:rsidR="002343D4" w14:paraId="04CD15B3" w14:textId="77777777" w:rsidTr="00C418AD">
        <w:trPr>
          <w:trHeight w:val="312"/>
        </w:trPr>
        <w:tc>
          <w:tcPr>
            <w:tcW w:w="3998" w:type="dxa"/>
          </w:tcPr>
          <w:p w14:paraId="6C5A4BB6" w14:textId="77777777" w:rsidR="002343D4" w:rsidRPr="00227769" w:rsidRDefault="002343D4" w:rsidP="002343D4">
            <w:pPr>
              <w:spacing w:before="0" w:after="0" w:line="240" w:lineRule="auto"/>
              <w:ind w:firstLine="567"/>
              <w:jc w:val="both"/>
              <w:rPr>
                <w:szCs w:val="22"/>
              </w:rPr>
            </w:pPr>
            <w:r w:rsidRPr="00227769">
              <w:rPr>
                <w:szCs w:val="22"/>
              </w:rPr>
              <w:t>Partial response (PR)</w:t>
            </w:r>
          </w:p>
        </w:tc>
        <w:tc>
          <w:tcPr>
            <w:tcW w:w="1315" w:type="dxa"/>
          </w:tcPr>
          <w:p w14:paraId="5F176FBD" w14:textId="77777777" w:rsidR="002343D4" w:rsidRPr="00227769" w:rsidRDefault="002343D4" w:rsidP="002343D4">
            <w:pPr>
              <w:spacing w:before="0" w:after="0" w:line="240" w:lineRule="auto"/>
              <w:jc w:val="both"/>
              <w:rPr>
                <w:szCs w:val="22"/>
              </w:rPr>
            </w:pPr>
            <w:r w:rsidRPr="00227769">
              <w:rPr>
                <w:szCs w:val="22"/>
              </w:rPr>
              <w:t>49 (35%)</w:t>
            </w:r>
          </w:p>
        </w:tc>
        <w:tc>
          <w:tcPr>
            <w:tcW w:w="1898" w:type="dxa"/>
            <w:vMerge/>
          </w:tcPr>
          <w:p w14:paraId="212691C9" w14:textId="77777777" w:rsidR="002343D4" w:rsidRPr="00227769" w:rsidRDefault="002343D4" w:rsidP="002343D4">
            <w:pPr>
              <w:spacing w:before="0" w:after="0" w:line="240" w:lineRule="auto"/>
              <w:jc w:val="both"/>
              <w:rPr>
                <w:szCs w:val="22"/>
              </w:rPr>
            </w:pPr>
          </w:p>
        </w:tc>
        <w:tc>
          <w:tcPr>
            <w:tcW w:w="1390" w:type="dxa"/>
            <w:vMerge/>
          </w:tcPr>
          <w:p w14:paraId="5FB3839D" w14:textId="77777777" w:rsidR="002343D4" w:rsidRPr="00227769" w:rsidRDefault="002343D4" w:rsidP="002343D4">
            <w:pPr>
              <w:spacing w:before="0" w:after="0" w:line="240" w:lineRule="auto"/>
              <w:jc w:val="both"/>
              <w:rPr>
                <w:szCs w:val="22"/>
              </w:rPr>
            </w:pPr>
          </w:p>
        </w:tc>
      </w:tr>
      <w:tr w:rsidR="002343D4" w14:paraId="3E61F438" w14:textId="77777777" w:rsidTr="00C418AD">
        <w:trPr>
          <w:trHeight w:val="320"/>
        </w:trPr>
        <w:tc>
          <w:tcPr>
            <w:tcW w:w="3998" w:type="dxa"/>
          </w:tcPr>
          <w:p w14:paraId="4AC62A93" w14:textId="77777777" w:rsidR="002343D4" w:rsidRPr="00227769" w:rsidRDefault="002343D4" w:rsidP="002343D4">
            <w:pPr>
              <w:spacing w:before="0" w:after="0" w:line="240" w:lineRule="auto"/>
              <w:ind w:firstLine="567"/>
              <w:jc w:val="both"/>
              <w:rPr>
                <w:szCs w:val="22"/>
              </w:rPr>
            </w:pPr>
            <w:r w:rsidRPr="00227769">
              <w:rPr>
                <w:szCs w:val="22"/>
              </w:rPr>
              <w:t>Stable disease (SD)</w:t>
            </w:r>
          </w:p>
        </w:tc>
        <w:tc>
          <w:tcPr>
            <w:tcW w:w="1315" w:type="dxa"/>
          </w:tcPr>
          <w:p w14:paraId="2F5C2C3C" w14:textId="77777777" w:rsidR="002343D4" w:rsidRPr="00227769" w:rsidRDefault="002343D4" w:rsidP="002343D4">
            <w:pPr>
              <w:spacing w:before="0" w:after="0" w:line="240" w:lineRule="auto"/>
              <w:jc w:val="both"/>
              <w:rPr>
                <w:szCs w:val="22"/>
              </w:rPr>
            </w:pPr>
            <w:r w:rsidRPr="00227769">
              <w:rPr>
                <w:szCs w:val="22"/>
              </w:rPr>
              <w:t>56 (40.0)</w:t>
            </w:r>
          </w:p>
        </w:tc>
        <w:tc>
          <w:tcPr>
            <w:tcW w:w="1898" w:type="dxa"/>
            <w:vMerge/>
          </w:tcPr>
          <w:p w14:paraId="7E19C3AC" w14:textId="77777777" w:rsidR="002343D4" w:rsidRPr="00227769" w:rsidRDefault="002343D4" w:rsidP="002343D4">
            <w:pPr>
              <w:spacing w:before="0" w:after="0" w:line="240" w:lineRule="auto"/>
              <w:jc w:val="both"/>
              <w:rPr>
                <w:szCs w:val="22"/>
              </w:rPr>
            </w:pPr>
          </w:p>
        </w:tc>
        <w:tc>
          <w:tcPr>
            <w:tcW w:w="1390" w:type="dxa"/>
            <w:vMerge/>
          </w:tcPr>
          <w:p w14:paraId="3D74A16F" w14:textId="77777777" w:rsidR="002343D4" w:rsidRPr="00227769" w:rsidRDefault="002343D4" w:rsidP="002343D4">
            <w:pPr>
              <w:spacing w:before="0" w:after="0" w:line="240" w:lineRule="auto"/>
              <w:jc w:val="both"/>
              <w:rPr>
                <w:szCs w:val="22"/>
              </w:rPr>
            </w:pPr>
          </w:p>
        </w:tc>
      </w:tr>
      <w:tr w:rsidR="002343D4" w14:paraId="6B3EF8CD" w14:textId="77777777" w:rsidTr="00C418AD">
        <w:trPr>
          <w:trHeight w:val="320"/>
        </w:trPr>
        <w:tc>
          <w:tcPr>
            <w:tcW w:w="3998" w:type="dxa"/>
          </w:tcPr>
          <w:p w14:paraId="4EE2DA77" w14:textId="77777777" w:rsidR="002343D4" w:rsidRPr="00227769" w:rsidRDefault="002343D4" w:rsidP="002343D4">
            <w:pPr>
              <w:spacing w:before="0" w:after="0" w:line="240" w:lineRule="auto"/>
              <w:ind w:firstLine="567"/>
              <w:jc w:val="both"/>
              <w:rPr>
                <w:szCs w:val="22"/>
              </w:rPr>
            </w:pPr>
            <w:r w:rsidRPr="00227769">
              <w:rPr>
                <w:szCs w:val="22"/>
              </w:rPr>
              <w:t>Progressive disease (PD)</w:t>
            </w:r>
          </w:p>
        </w:tc>
        <w:tc>
          <w:tcPr>
            <w:tcW w:w="1315" w:type="dxa"/>
          </w:tcPr>
          <w:p w14:paraId="6FE3E410" w14:textId="77777777" w:rsidR="002343D4" w:rsidRPr="00227769" w:rsidRDefault="002343D4" w:rsidP="002343D4">
            <w:pPr>
              <w:spacing w:before="0" w:after="0" w:line="240" w:lineRule="auto"/>
              <w:jc w:val="both"/>
              <w:rPr>
                <w:szCs w:val="22"/>
              </w:rPr>
            </w:pPr>
            <w:r w:rsidRPr="00227769">
              <w:rPr>
                <w:szCs w:val="22"/>
              </w:rPr>
              <w:t>19 (13.6)</w:t>
            </w:r>
          </w:p>
        </w:tc>
        <w:tc>
          <w:tcPr>
            <w:tcW w:w="1898" w:type="dxa"/>
            <w:vMerge/>
          </w:tcPr>
          <w:p w14:paraId="14B13C0A" w14:textId="77777777" w:rsidR="002343D4" w:rsidRPr="00227769" w:rsidRDefault="002343D4" w:rsidP="002343D4">
            <w:pPr>
              <w:spacing w:before="0" w:after="0" w:line="240" w:lineRule="auto"/>
              <w:jc w:val="both"/>
              <w:rPr>
                <w:szCs w:val="22"/>
              </w:rPr>
            </w:pPr>
          </w:p>
        </w:tc>
        <w:tc>
          <w:tcPr>
            <w:tcW w:w="1390" w:type="dxa"/>
            <w:vMerge/>
          </w:tcPr>
          <w:p w14:paraId="6E5919C8" w14:textId="77777777" w:rsidR="002343D4" w:rsidRPr="00227769" w:rsidRDefault="002343D4" w:rsidP="002343D4">
            <w:pPr>
              <w:spacing w:before="0" w:after="0" w:line="240" w:lineRule="auto"/>
              <w:jc w:val="both"/>
              <w:rPr>
                <w:szCs w:val="22"/>
              </w:rPr>
            </w:pPr>
          </w:p>
        </w:tc>
      </w:tr>
      <w:tr w:rsidR="002343D4" w14:paraId="54BFE7E8" w14:textId="77777777" w:rsidTr="00C418AD">
        <w:trPr>
          <w:trHeight w:val="320"/>
        </w:trPr>
        <w:tc>
          <w:tcPr>
            <w:tcW w:w="3998" w:type="dxa"/>
          </w:tcPr>
          <w:p w14:paraId="69DBC715" w14:textId="77777777" w:rsidR="002343D4" w:rsidRPr="00227769" w:rsidRDefault="002343D4" w:rsidP="002343D4">
            <w:pPr>
              <w:spacing w:before="0" w:after="0" w:line="240" w:lineRule="auto"/>
              <w:ind w:firstLine="567"/>
              <w:jc w:val="both"/>
              <w:rPr>
                <w:szCs w:val="22"/>
              </w:rPr>
            </w:pPr>
            <w:r w:rsidRPr="00227769">
              <w:rPr>
                <w:szCs w:val="22"/>
              </w:rPr>
              <w:lastRenderedPageBreak/>
              <w:t>Unknown (UNK)</w:t>
            </w:r>
          </w:p>
        </w:tc>
        <w:tc>
          <w:tcPr>
            <w:tcW w:w="1315" w:type="dxa"/>
          </w:tcPr>
          <w:p w14:paraId="2F715F26" w14:textId="77777777" w:rsidR="002343D4" w:rsidRPr="00227769" w:rsidRDefault="002343D4" w:rsidP="002343D4">
            <w:pPr>
              <w:spacing w:before="0" w:after="0" w:line="240" w:lineRule="auto"/>
              <w:jc w:val="both"/>
              <w:rPr>
                <w:szCs w:val="22"/>
              </w:rPr>
            </w:pPr>
            <w:r w:rsidRPr="00227769">
              <w:rPr>
                <w:szCs w:val="22"/>
              </w:rPr>
              <w:t>13 (9.3)</w:t>
            </w:r>
          </w:p>
        </w:tc>
        <w:tc>
          <w:tcPr>
            <w:tcW w:w="1898" w:type="dxa"/>
            <w:vMerge/>
          </w:tcPr>
          <w:p w14:paraId="2B5C0B93" w14:textId="77777777" w:rsidR="002343D4" w:rsidRPr="00227769" w:rsidRDefault="002343D4" w:rsidP="002343D4">
            <w:pPr>
              <w:spacing w:before="0" w:after="0" w:line="240" w:lineRule="auto"/>
              <w:jc w:val="both"/>
              <w:rPr>
                <w:szCs w:val="22"/>
              </w:rPr>
            </w:pPr>
          </w:p>
        </w:tc>
        <w:tc>
          <w:tcPr>
            <w:tcW w:w="1390" w:type="dxa"/>
            <w:vMerge/>
          </w:tcPr>
          <w:p w14:paraId="0534C6EB" w14:textId="77777777" w:rsidR="002343D4" w:rsidRPr="00227769" w:rsidRDefault="002343D4" w:rsidP="002343D4">
            <w:pPr>
              <w:spacing w:before="0" w:after="0" w:line="240" w:lineRule="auto"/>
              <w:jc w:val="both"/>
              <w:rPr>
                <w:szCs w:val="22"/>
              </w:rPr>
            </w:pPr>
          </w:p>
        </w:tc>
      </w:tr>
      <w:tr w:rsidR="002343D4" w14:paraId="0AFF9A19" w14:textId="77777777" w:rsidTr="00C418AD">
        <w:trPr>
          <w:trHeight w:val="320"/>
        </w:trPr>
        <w:tc>
          <w:tcPr>
            <w:tcW w:w="3998" w:type="dxa"/>
          </w:tcPr>
          <w:p w14:paraId="61309482" w14:textId="77777777" w:rsidR="002343D4" w:rsidRPr="00227769" w:rsidRDefault="002343D4" w:rsidP="002343D4">
            <w:pPr>
              <w:spacing w:before="0" w:after="0" w:line="240" w:lineRule="auto"/>
              <w:jc w:val="both"/>
              <w:rPr>
                <w:szCs w:val="22"/>
              </w:rPr>
            </w:pPr>
            <w:r w:rsidRPr="00227769">
              <w:rPr>
                <w:b/>
                <w:szCs w:val="22"/>
              </w:rPr>
              <w:t xml:space="preserve">Overall response rate </w:t>
            </w:r>
            <w:r w:rsidRPr="00227769">
              <w:rPr>
                <w:szCs w:val="22"/>
              </w:rPr>
              <w:t>(ORR: CR + PR)</w:t>
            </w:r>
          </w:p>
        </w:tc>
        <w:tc>
          <w:tcPr>
            <w:tcW w:w="1315" w:type="dxa"/>
          </w:tcPr>
          <w:p w14:paraId="1FBE2847" w14:textId="77777777" w:rsidR="002343D4" w:rsidRPr="00227769" w:rsidRDefault="002343D4" w:rsidP="002343D4">
            <w:pPr>
              <w:spacing w:before="0" w:after="0" w:line="240" w:lineRule="auto"/>
              <w:jc w:val="both"/>
              <w:rPr>
                <w:szCs w:val="22"/>
              </w:rPr>
            </w:pPr>
            <w:r w:rsidRPr="00227769">
              <w:rPr>
                <w:szCs w:val="22"/>
              </w:rPr>
              <w:t>52 (37.1)</w:t>
            </w:r>
          </w:p>
        </w:tc>
        <w:tc>
          <w:tcPr>
            <w:tcW w:w="1898" w:type="dxa"/>
          </w:tcPr>
          <w:p w14:paraId="5D1BF898" w14:textId="77777777" w:rsidR="002343D4" w:rsidRPr="00227769" w:rsidRDefault="002343D4" w:rsidP="002343D4">
            <w:pPr>
              <w:spacing w:before="0" w:after="0" w:line="240" w:lineRule="auto"/>
              <w:jc w:val="both"/>
              <w:rPr>
                <w:szCs w:val="22"/>
              </w:rPr>
            </w:pPr>
            <w:r w:rsidRPr="00227769">
              <w:rPr>
                <w:szCs w:val="22"/>
              </w:rPr>
              <w:t>29.1, 45.7</w:t>
            </w:r>
          </w:p>
        </w:tc>
        <w:tc>
          <w:tcPr>
            <w:tcW w:w="1390" w:type="dxa"/>
          </w:tcPr>
          <w:p w14:paraId="151CC007" w14:textId="77777777" w:rsidR="002343D4" w:rsidRPr="00227769" w:rsidRDefault="002343D4" w:rsidP="002343D4">
            <w:pPr>
              <w:spacing w:before="0" w:after="0" w:line="240" w:lineRule="auto"/>
              <w:jc w:val="both"/>
              <w:rPr>
                <w:szCs w:val="22"/>
              </w:rPr>
            </w:pPr>
            <w:r w:rsidRPr="00227769">
              <w:rPr>
                <w:szCs w:val="22"/>
              </w:rPr>
              <w:t>&lt; 0.001*</w:t>
            </w:r>
          </w:p>
        </w:tc>
      </w:tr>
      <w:tr w:rsidR="002343D4" w14:paraId="61521913" w14:textId="77777777" w:rsidTr="00C418AD">
        <w:trPr>
          <w:trHeight w:val="461"/>
        </w:trPr>
        <w:tc>
          <w:tcPr>
            <w:tcW w:w="3998" w:type="dxa"/>
          </w:tcPr>
          <w:p w14:paraId="0AC7647D" w14:textId="77777777" w:rsidR="002343D4" w:rsidRPr="00227769" w:rsidRDefault="002343D4" w:rsidP="002343D4">
            <w:pPr>
              <w:spacing w:before="0" w:after="0" w:line="240" w:lineRule="auto"/>
              <w:jc w:val="both"/>
              <w:rPr>
                <w:szCs w:val="22"/>
              </w:rPr>
            </w:pPr>
            <w:r w:rsidRPr="00227769">
              <w:rPr>
                <w:b/>
                <w:szCs w:val="22"/>
              </w:rPr>
              <w:t>Disease control rate</w:t>
            </w:r>
            <w:r w:rsidRPr="00227769">
              <w:rPr>
                <w:szCs w:val="22"/>
              </w:rPr>
              <w:t xml:space="preserve"> (DCR: CR + PR + SD)</w:t>
            </w:r>
          </w:p>
        </w:tc>
        <w:tc>
          <w:tcPr>
            <w:tcW w:w="1315" w:type="dxa"/>
          </w:tcPr>
          <w:p w14:paraId="1E66B3C1" w14:textId="77777777" w:rsidR="002343D4" w:rsidRPr="00227769" w:rsidRDefault="002343D4" w:rsidP="002343D4">
            <w:pPr>
              <w:spacing w:before="0" w:after="0" w:line="240" w:lineRule="auto"/>
              <w:jc w:val="both"/>
              <w:rPr>
                <w:szCs w:val="22"/>
              </w:rPr>
            </w:pPr>
            <w:r w:rsidRPr="00227769">
              <w:rPr>
                <w:szCs w:val="22"/>
              </w:rPr>
              <w:t>108 (77.1)</w:t>
            </w:r>
          </w:p>
        </w:tc>
        <w:tc>
          <w:tcPr>
            <w:tcW w:w="1898" w:type="dxa"/>
          </w:tcPr>
          <w:p w14:paraId="650AAA42" w14:textId="77777777" w:rsidR="002343D4" w:rsidRPr="00227769" w:rsidRDefault="002343D4" w:rsidP="002343D4">
            <w:pPr>
              <w:spacing w:before="0" w:after="0" w:line="240" w:lineRule="auto"/>
              <w:jc w:val="both"/>
              <w:rPr>
                <w:szCs w:val="22"/>
              </w:rPr>
            </w:pPr>
            <w:r w:rsidRPr="00227769">
              <w:rPr>
                <w:szCs w:val="22"/>
              </w:rPr>
              <w:t>69.3, 83.8</w:t>
            </w:r>
          </w:p>
        </w:tc>
        <w:tc>
          <w:tcPr>
            <w:tcW w:w="1390" w:type="dxa"/>
          </w:tcPr>
          <w:p w14:paraId="65329A30" w14:textId="77777777" w:rsidR="002343D4" w:rsidRPr="00227769" w:rsidRDefault="002343D4" w:rsidP="002343D4">
            <w:pPr>
              <w:spacing w:before="0" w:after="0" w:line="240" w:lineRule="auto"/>
              <w:jc w:val="both"/>
              <w:rPr>
                <w:szCs w:val="22"/>
              </w:rPr>
            </w:pPr>
          </w:p>
        </w:tc>
      </w:tr>
    </w:tbl>
    <w:p w14:paraId="2598CE7D" w14:textId="77777777" w:rsidR="002343D4" w:rsidRDefault="002343D4" w:rsidP="00C418AD">
      <w:pPr>
        <w:pStyle w:val="TableDescription"/>
      </w:pPr>
      <w:r>
        <w:t>N: the total number of patients in FAS. It is the denominator for percentage calculation</w:t>
      </w:r>
      <w:r w:rsidR="00C418AD">
        <w:t xml:space="preserve">. </w:t>
      </w:r>
      <w:proofErr w:type="gramStart"/>
      <w:r>
        <w:t>n</w:t>
      </w:r>
      <w:proofErr w:type="gramEnd"/>
      <w:r>
        <w:t>: number of patients who are in the corresponding category</w:t>
      </w:r>
      <w:r w:rsidR="00C418AD">
        <w:t xml:space="preserve">. </w:t>
      </w:r>
      <w:r w:rsidRPr="00425232">
        <w:rPr>
          <w:vertAlign w:val="superscript"/>
        </w:rPr>
        <w:t>(1</w:t>
      </w:r>
      <w:r w:rsidRPr="00C418AD">
        <w:rPr>
          <w:vertAlign w:val="superscript"/>
        </w:rPr>
        <w:t>)</w:t>
      </w:r>
      <w:r>
        <w:t xml:space="preserve"> </w:t>
      </w:r>
      <w:proofErr w:type="gramStart"/>
      <w:r>
        <w:t>exact</w:t>
      </w:r>
      <w:proofErr w:type="gramEnd"/>
      <w:r>
        <w:t xml:space="preserve"> binomial 95% confidence interval</w:t>
      </w:r>
      <w:r w:rsidR="00C418AD">
        <w:t xml:space="preserve">. </w:t>
      </w:r>
      <w:r>
        <w:rPr>
          <w:vertAlign w:val="superscript"/>
        </w:rPr>
        <w:t xml:space="preserve">(2) </w:t>
      </w:r>
      <w:r>
        <w:t>p-value associated with exact test of H</w:t>
      </w:r>
      <w:r>
        <w:rPr>
          <w:vertAlign w:val="subscript"/>
        </w:rPr>
        <w:t>0</w:t>
      </w:r>
      <w:r>
        <w:t>: ORR ≤ 25%</w:t>
      </w:r>
      <w:r w:rsidR="002E3E15">
        <w:t xml:space="preserve"> versus</w:t>
      </w:r>
      <w:r>
        <w:t xml:space="preserve"> H</w:t>
      </w:r>
      <w:r>
        <w:rPr>
          <w:vertAlign w:val="subscript"/>
        </w:rPr>
        <w:t>1</w:t>
      </w:r>
      <w:r>
        <w:t>: ORR &gt; 25% based on exact binomial distribution.</w:t>
      </w:r>
    </w:p>
    <w:p w14:paraId="72364A0E" w14:textId="77777777" w:rsidR="002343D4" w:rsidRDefault="002343D4" w:rsidP="00C418AD">
      <w:pPr>
        <w:pStyle w:val="TableDescription"/>
      </w:pPr>
      <w:r>
        <w:t>* indicates statistical significance (one-sided) at the 0.025 level.</w:t>
      </w:r>
    </w:p>
    <w:p w14:paraId="27C3E137" w14:textId="77777777" w:rsidR="002343D4" w:rsidRPr="00C06B62" w:rsidRDefault="002343D4" w:rsidP="00C418AD">
      <w:pPr>
        <w:pStyle w:val="TableTitle"/>
      </w:pPr>
      <w:bookmarkStart w:id="225" w:name="_Toc300498646"/>
      <w:r w:rsidRPr="00C06B62">
        <w:t>Table</w:t>
      </w:r>
      <w:r>
        <w:t xml:space="preserve"> </w:t>
      </w:r>
      <w:r w:rsidR="00C418AD">
        <w:t>11:</w:t>
      </w:r>
      <w:r w:rsidRPr="00C06B62">
        <w:t xml:space="preserve"> Summary</w:t>
      </w:r>
      <w:r w:rsidRPr="006E75EE">
        <w:t xml:space="preserve"> efficacy results (ORR, DOR and PFS) by investigator and BIRC assessment</w:t>
      </w:r>
      <w:bookmarkEnd w:id="225"/>
    </w:p>
    <w:tbl>
      <w:tblPr>
        <w:tblStyle w:val="TableTGAblue"/>
        <w:tblW w:w="9606" w:type="dxa"/>
        <w:tblLook w:val="04A0" w:firstRow="1" w:lastRow="0" w:firstColumn="1" w:lastColumn="0" w:noHBand="0" w:noVBand="1"/>
        <w:tblDescription w:val="Table 11: Summary efficacy results (ORR, DOR and PFS) by investigator and BIRC assessment"/>
      </w:tblPr>
      <w:tblGrid>
        <w:gridCol w:w="5495"/>
        <w:gridCol w:w="2077"/>
        <w:gridCol w:w="2034"/>
      </w:tblGrid>
      <w:tr w:rsidR="002343D4" w:rsidRPr="00C418AD" w14:paraId="7056C7E7" w14:textId="77777777" w:rsidTr="00C418AD">
        <w:trPr>
          <w:cnfStyle w:val="100000000000" w:firstRow="1" w:lastRow="0" w:firstColumn="0" w:lastColumn="0" w:oddVBand="0" w:evenVBand="0" w:oddHBand="0" w:evenHBand="0" w:firstRowFirstColumn="0" w:firstRowLastColumn="0" w:lastRowFirstColumn="0" w:lastRowLastColumn="0"/>
          <w:cantSplit/>
        </w:trPr>
        <w:tc>
          <w:tcPr>
            <w:tcW w:w="5495" w:type="dxa"/>
          </w:tcPr>
          <w:p w14:paraId="20A3C4A3" w14:textId="77777777" w:rsidR="002343D4" w:rsidRPr="00C418AD" w:rsidRDefault="002343D4" w:rsidP="002343D4">
            <w:pPr>
              <w:spacing w:before="0" w:after="0"/>
              <w:jc w:val="both"/>
              <w:rPr>
                <w:sz w:val="20"/>
                <w:szCs w:val="20"/>
              </w:rPr>
            </w:pPr>
            <w:r w:rsidRPr="00C418AD">
              <w:rPr>
                <w:sz w:val="20"/>
                <w:szCs w:val="20"/>
              </w:rPr>
              <w:t>Efficacy Parameter</w:t>
            </w:r>
          </w:p>
        </w:tc>
        <w:tc>
          <w:tcPr>
            <w:tcW w:w="2077" w:type="dxa"/>
          </w:tcPr>
          <w:p w14:paraId="45BB69E5" w14:textId="77777777" w:rsidR="002343D4" w:rsidRPr="00C418AD" w:rsidRDefault="002343D4" w:rsidP="002343D4">
            <w:pPr>
              <w:tabs>
                <w:tab w:val="left" w:pos="362"/>
              </w:tabs>
              <w:spacing w:before="0" w:after="0"/>
              <w:jc w:val="both"/>
              <w:rPr>
                <w:sz w:val="20"/>
                <w:szCs w:val="20"/>
              </w:rPr>
            </w:pPr>
            <w:r w:rsidRPr="00C418AD">
              <w:rPr>
                <w:sz w:val="20"/>
                <w:szCs w:val="20"/>
              </w:rPr>
              <w:t>By investigator assessment</w:t>
            </w:r>
          </w:p>
        </w:tc>
        <w:tc>
          <w:tcPr>
            <w:tcW w:w="2034" w:type="dxa"/>
          </w:tcPr>
          <w:p w14:paraId="41DA5760" w14:textId="77777777" w:rsidR="002343D4" w:rsidRPr="00C418AD" w:rsidRDefault="002343D4" w:rsidP="002343D4">
            <w:pPr>
              <w:spacing w:before="0" w:after="0"/>
              <w:jc w:val="both"/>
              <w:rPr>
                <w:sz w:val="20"/>
                <w:szCs w:val="20"/>
              </w:rPr>
            </w:pPr>
            <w:r w:rsidRPr="00C418AD">
              <w:rPr>
                <w:sz w:val="20"/>
                <w:szCs w:val="20"/>
              </w:rPr>
              <w:t>By BIRC assessment</w:t>
            </w:r>
          </w:p>
        </w:tc>
      </w:tr>
      <w:tr w:rsidR="002343D4" w14:paraId="3A19F322" w14:textId="77777777" w:rsidTr="00C418AD">
        <w:tc>
          <w:tcPr>
            <w:tcW w:w="5495" w:type="dxa"/>
          </w:tcPr>
          <w:p w14:paraId="4C3FD471" w14:textId="77777777" w:rsidR="002343D4" w:rsidRPr="00C418AD" w:rsidRDefault="002343D4" w:rsidP="002343D4">
            <w:pPr>
              <w:spacing w:before="0" w:after="0"/>
              <w:jc w:val="both"/>
              <w:rPr>
                <w:b/>
                <w:sz w:val="20"/>
                <w:szCs w:val="20"/>
              </w:rPr>
            </w:pPr>
            <w:r w:rsidRPr="00C418AD">
              <w:rPr>
                <w:b/>
                <w:sz w:val="20"/>
                <w:szCs w:val="20"/>
              </w:rPr>
              <w:t>In Full Analysis Set (FAS)</w:t>
            </w:r>
          </w:p>
        </w:tc>
        <w:tc>
          <w:tcPr>
            <w:tcW w:w="2077" w:type="dxa"/>
          </w:tcPr>
          <w:p w14:paraId="47C5BFB4" w14:textId="77777777" w:rsidR="002343D4" w:rsidRPr="00C418AD" w:rsidRDefault="002343D4" w:rsidP="002343D4">
            <w:pPr>
              <w:tabs>
                <w:tab w:val="left" w:pos="362"/>
              </w:tabs>
              <w:spacing w:before="0" w:after="0"/>
              <w:ind w:right="34"/>
              <w:jc w:val="both"/>
              <w:rPr>
                <w:b/>
                <w:sz w:val="20"/>
                <w:szCs w:val="20"/>
              </w:rPr>
            </w:pPr>
            <w:r w:rsidRPr="00C418AD">
              <w:rPr>
                <w:b/>
                <w:sz w:val="20"/>
                <w:szCs w:val="20"/>
              </w:rPr>
              <w:t>N=140</w:t>
            </w:r>
          </w:p>
        </w:tc>
        <w:tc>
          <w:tcPr>
            <w:tcW w:w="2034" w:type="dxa"/>
          </w:tcPr>
          <w:p w14:paraId="08582F44" w14:textId="77777777" w:rsidR="002343D4" w:rsidRPr="00C418AD" w:rsidRDefault="002343D4" w:rsidP="002343D4">
            <w:pPr>
              <w:spacing w:before="0" w:after="0"/>
              <w:jc w:val="both"/>
              <w:rPr>
                <w:b/>
                <w:sz w:val="20"/>
                <w:szCs w:val="20"/>
              </w:rPr>
            </w:pPr>
            <w:r w:rsidRPr="00C418AD">
              <w:rPr>
                <w:b/>
                <w:sz w:val="20"/>
                <w:szCs w:val="20"/>
              </w:rPr>
              <w:t>N=140</w:t>
            </w:r>
          </w:p>
        </w:tc>
      </w:tr>
      <w:tr w:rsidR="002343D4" w14:paraId="0DB9E345" w14:textId="77777777" w:rsidTr="00C418AD">
        <w:tc>
          <w:tcPr>
            <w:tcW w:w="5495" w:type="dxa"/>
          </w:tcPr>
          <w:p w14:paraId="1091385F" w14:textId="77777777" w:rsidR="002343D4" w:rsidRPr="00227769" w:rsidRDefault="002343D4" w:rsidP="002343D4">
            <w:pPr>
              <w:spacing w:before="0" w:after="0"/>
              <w:jc w:val="both"/>
              <w:rPr>
                <w:szCs w:val="22"/>
              </w:rPr>
            </w:pPr>
            <w:r w:rsidRPr="00227769">
              <w:rPr>
                <w:szCs w:val="22"/>
              </w:rPr>
              <w:t xml:space="preserve">Overall response rate (CR+PR) </w:t>
            </w:r>
            <w:r w:rsidRPr="00227769">
              <w:rPr>
                <w:szCs w:val="22"/>
                <w:vertAlign w:val="superscript"/>
              </w:rPr>
              <w:t>(1)</w:t>
            </w:r>
            <w:r w:rsidRPr="00227769">
              <w:rPr>
                <w:szCs w:val="22"/>
              </w:rPr>
              <w:t>, n (%) [95% CI]</w:t>
            </w:r>
          </w:p>
        </w:tc>
        <w:tc>
          <w:tcPr>
            <w:tcW w:w="2077" w:type="dxa"/>
          </w:tcPr>
          <w:p w14:paraId="2E2C3FE6" w14:textId="77777777" w:rsidR="002343D4" w:rsidRPr="00227769" w:rsidRDefault="002343D4" w:rsidP="002343D4">
            <w:pPr>
              <w:tabs>
                <w:tab w:val="left" w:pos="362"/>
              </w:tabs>
              <w:spacing w:before="0" w:after="0"/>
              <w:jc w:val="both"/>
              <w:rPr>
                <w:szCs w:val="22"/>
              </w:rPr>
            </w:pPr>
            <w:r w:rsidRPr="00227769">
              <w:rPr>
                <w:szCs w:val="22"/>
              </w:rPr>
              <w:t>52 (37.1)</w:t>
            </w:r>
          </w:p>
          <w:p w14:paraId="729C148C" w14:textId="77777777" w:rsidR="002343D4" w:rsidRPr="00227769" w:rsidRDefault="002343D4" w:rsidP="002343D4">
            <w:pPr>
              <w:tabs>
                <w:tab w:val="left" w:pos="362"/>
              </w:tabs>
              <w:spacing w:before="0" w:after="0"/>
              <w:jc w:val="both"/>
              <w:rPr>
                <w:szCs w:val="22"/>
              </w:rPr>
            </w:pPr>
            <w:r w:rsidRPr="00227769">
              <w:rPr>
                <w:szCs w:val="22"/>
              </w:rPr>
              <w:t>[29.1, 45.7]</w:t>
            </w:r>
          </w:p>
        </w:tc>
        <w:tc>
          <w:tcPr>
            <w:tcW w:w="2034" w:type="dxa"/>
          </w:tcPr>
          <w:p w14:paraId="68CD2F53" w14:textId="77777777" w:rsidR="002343D4" w:rsidRPr="00227769" w:rsidRDefault="002343D4" w:rsidP="002343D4">
            <w:pPr>
              <w:spacing w:before="0" w:after="0"/>
              <w:jc w:val="both"/>
              <w:rPr>
                <w:szCs w:val="22"/>
              </w:rPr>
            </w:pPr>
            <w:r w:rsidRPr="00227769">
              <w:rPr>
                <w:szCs w:val="22"/>
              </w:rPr>
              <w:t>48 (34.3)</w:t>
            </w:r>
          </w:p>
          <w:p w14:paraId="229D75B8" w14:textId="77777777" w:rsidR="002343D4" w:rsidRPr="00227769" w:rsidRDefault="002343D4" w:rsidP="002343D4">
            <w:pPr>
              <w:spacing w:before="0" w:after="0"/>
              <w:jc w:val="both"/>
              <w:rPr>
                <w:szCs w:val="22"/>
              </w:rPr>
            </w:pPr>
            <w:r w:rsidRPr="00227769">
              <w:rPr>
                <w:szCs w:val="22"/>
              </w:rPr>
              <w:t>[26.5, 42.8]</w:t>
            </w:r>
          </w:p>
        </w:tc>
      </w:tr>
      <w:tr w:rsidR="002343D4" w14:paraId="2FC018F1" w14:textId="77777777" w:rsidTr="00C418AD">
        <w:tc>
          <w:tcPr>
            <w:tcW w:w="5495" w:type="dxa"/>
          </w:tcPr>
          <w:p w14:paraId="2F509639" w14:textId="77777777" w:rsidR="002343D4" w:rsidRPr="00227769" w:rsidRDefault="002343D4" w:rsidP="002343D4">
            <w:pPr>
              <w:spacing w:before="0" w:after="0"/>
              <w:jc w:val="both"/>
              <w:rPr>
                <w:szCs w:val="22"/>
              </w:rPr>
            </w:pPr>
            <w:r w:rsidRPr="00227769">
              <w:rPr>
                <w:szCs w:val="22"/>
              </w:rPr>
              <w:t>Duration of response (median [95% CI]), months</w:t>
            </w:r>
          </w:p>
        </w:tc>
        <w:tc>
          <w:tcPr>
            <w:tcW w:w="2077" w:type="dxa"/>
          </w:tcPr>
          <w:p w14:paraId="419FDF79" w14:textId="77777777" w:rsidR="002343D4" w:rsidRPr="00227769" w:rsidRDefault="002343D4" w:rsidP="002343D4">
            <w:pPr>
              <w:tabs>
                <w:tab w:val="left" w:pos="362"/>
              </w:tabs>
              <w:spacing w:before="0" w:after="0"/>
              <w:jc w:val="both"/>
              <w:rPr>
                <w:szCs w:val="22"/>
              </w:rPr>
            </w:pPr>
            <w:r w:rsidRPr="00227769">
              <w:rPr>
                <w:szCs w:val="22"/>
              </w:rPr>
              <w:t>9.2</w:t>
            </w:r>
          </w:p>
          <w:p w14:paraId="2D4D0BD6" w14:textId="77777777" w:rsidR="002343D4" w:rsidRPr="00227769" w:rsidRDefault="002343D4" w:rsidP="002343D4">
            <w:pPr>
              <w:tabs>
                <w:tab w:val="left" w:pos="362"/>
              </w:tabs>
              <w:spacing w:before="0" w:after="0"/>
              <w:jc w:val="both"/>
              <w:rPr>
                <w:szCs w:val="22"/>
              </w:rPr>
            </w:pPr>
            <w:r w:rsidRPr="00227769">
              <w:rPr>
                <w:szCs w:val="22"/>
              </w:rPr>
              <w:t>[5.6, NE]</w:t>
            </w:r>
          </w:p>
        </w:tc>
        <w:tc>
          <w:tcPr>
            <w:tcW w:w="2034" w:type="dxa"/>
          </w:tcPr>
          <w:p w14:paraId="7FCBD346" w14:textId="77777777" w:rsidR="002343D4" w:rsidRPr="00227769" w:rsidRDefault="002343D4" w:rsidP="002343D4">
            <w:pPr>
              <w:spacing w:before="0" w:after="0"/>
              <w:jc w:val="both"/>
              <w:rPr>
                <w:szCs w:val="22"/>
              </w:rPr>
            </w:pPr>
            <w:r w:rsidRPr="00227769">
              <w:rPr>
                <w:szCs w:val="22"/>
              </w:rPr>
              <w:t>9.2</w:t>
            </w:r>
          </w:p>
          <w:p w14:paraId="49753005" w14:textId="77777777" w:rsidR="002343D4" w:rsidRPr="00227769" w:rsidRDefault="002343D4" w:rsidP="002343D4">
            <w:pPr>
              <w:spacing w:before="0" w:after="0"/>
              <w:jc w:val="both"/>
              <w:rPr>
                <w:szCs w:val="22"/>
              </w:rPr>
            </w:pPr>
            <w:r w:rsidRPr="00227769">
              <w:rPr>
                <w:szCs w:val="22"/>
              </w:rPr>
              <w:t>[5.5, NE]</w:t>
            </w:r>
          </w:p>
        </w:tc>
      </w:tr>
      <w:tr w:rsidR="002343D4" w14:paraId="47D05341" w14:textId="77777777" w:rsidTr="00C418AD">
        <w:tc>
          <w:tcPr>
            <w:tcW w:w="5495" w:type="dxa"/>
          </w:tcPr>
          <w:p w14:paraId="7789A951" w14:textId="77777777" w:rsidR="002343D4" w:rsidRPr="00227769" w:rsidRDefault="002343D4" w:rsidP="002343D4">
            <w:pPr>
              <w:spacing w:before="0" w:after="0"/>
              <w:jc w:val="both"/>
              <w:rPr>
                <w:szCs w:val="22"/>
              </w:rPr>
            </w:pPr>
            <w:r w:rsidRPr="00227769">
              <w:rPr>
                <w:szCs w:val="22"/>
              </w:rPr>
              <w:t>Progression-free survival (median [95% CI]), months</w:t>
            </w:r>
          </w:p>
        </w:tc>
        <w:tc>
          <w:tcPr>
            <w:tcW w:w="2077" w:type="dxa"/>
          </w:tcPr>
          <w:p w14:paraId="77318B79" w14:textId="77777777" w:rsidR="002343D4" w:rsidRPr="00227769" w:rsidRDefault="002343D4" w:rsidP="002343D4">
            <w:pPr>
              <w:tabs>
                <w:tab w:val="left" w:pos="362"/>
              </w:tabs>
              <w:spacing w:before="0" w:after="0"/>
              <w:jc w:val="both"/>
              <w:rPr>
                <w:szCs w:val="22"/>
              </w:rPr>
            </w:pPr>
            <w:r w:rsidRPr="00227769">
              <w:rPr>
                <w:szCs w:val="22"/>
              </w:rPr>
              <w:t>5.7</w:t>
            </w:r>
          </w:p>
          <w:p w14:paraId="42C09552" w14:textId="77777777" w:rsidR="002343D4" w:rsidRPr="00227769" w:rsidRDefault="002343D4" w:rsidP="002343D4">
            <w:pPr>
              <w:tabs>
                <w:tab w:val="left" w:pos="362"/>
              </w:tabs>
              <w:spacing w:before="0" w:after="0"/>
              <w:jc w:val="both"/>
              <w:rPr>
                <w:szCs w:val="22"/>
              </w:rPr>
            </w:pPr>
            <w:r w:rsidRPr="00227769">
              <w:rPr>
                <w:szCs w:val="22"/>
              </w:rPr>
              <w:t>[5.3, 7.4]</w:t>
            </w:r>
          </w:p>
        </w:tc>
        <w:tc>
          <w:tcPr>
            <w:tcW w:w="2034" w:type="dxa"/>
          </w:tcPr>
          <w:p w14:paraId="712D4812" w14:textId="77777777" w:rsidR="002343D4" w:rsidRPr="00227769" w:rsidRDefault="002343D4" w:rsidP="002343D4">
            <w:pPr>
              <w:spacing w:before="0" w:after="0"/>
              <w:jc w:val="both"/>
              <w:rPr>
                <w:szCs w:val="22"/>
              </w:rPr>
            </w:pPr>
            <w:r w:rsidRPr="00227769">
              <w:rPr>
                <w:szCs w:val="22"/>
              </w:rPr>
              <w:t>6.1</w:t>
            </w:r>
          </w:p>
          <w:p w14:paraId="7132E035" w14:textId="77777777" w:rsidR="002343D4" w:rsidRPr="00227769" w:rsidRDefault="002343D4" w:rsidP="002343D4">
            <w:pPr>
              <w:spacing w:before="0" w:after="0"/>
              <w:jc w:val="both"/>
              <w:rPr>
                <w:szCs w:val="22"/>
              </w:rPr>
            </w:pPr>
            <w:r w:rsidRPr="00227769">
              <w:rPr>
                <w:szCs w:val="22"/>
              </w:rPr>
              <w:t>[5.4, 7.4]</w:t>
            </w:r>
          </w:p>
        </w:tc>
      </w:tr>
      <w:tr w:rsidR="002343D4" w14:paraId="15AD6347" w14:textId="77777777" w:rsidTr="00C418AD">
        <w:tc>
          <w:tcPr>
            <w:tcW w:w="5495" w:type="dxa"/>
          </w:tcPr>
          <w:p w14:paraId="1E16C426" w14:textId="77777777" w:rsidR="002343D4" w:rsidRPr="00227769" w:rsidRDefault="002343D4" w:rsidP="002343D4">
            <w:pPr>
              <w:spacing w:before="0" w:after="0"/>
              <w:jc w:val="both"/>
              <w:rPr>
                <w:szCs w:val="22"/>
                <w:vertAlign w:val="superscript"/>
                <w:lang w:val="it-IT"/>
              </w:rPr>
            </w:pPr>
            <w:r w:rsidRPr="00227769">
              <w:rPr>
                <w:b/>
                <w:szCs w:val="22"/>
                <w:lang w:val="it-IT"/>
              </w:rPr>
              <w:t>In Per Protocol Set (PPS)</w:t>
            </w:r>
          </w:p>
        </w:tc>
        <w:tc>
          <w:tcPr>
            <w:tcW w:w="2077" w:type="dxa"/>
          </w:tcPr>
          <w:p w14:paraId="6A6FAFFB" w14:textId="77777777" w:rsidR="002343D4" w:rsidRPr="00227769" w:rsidRDefault="002343D4" w:rsidP="002343D4">
            <w:pPr>
              <w:tabs>
                <w:tab w:val="left" w:pos="362"/>
              </w:tabs>
              <w:spacing w:before="0" w:after="0"/>
              <w:jc w:val="both"/>
              <w:rPr>
                <w:b/>
                <w:szCs w:val="22"/>
              </w:rPr>
            </w:pPr>
            <w:r w:rsidRPr="00227769">
              <w:rPr>
                <w:b/>
                <w:szCs w:val="22"/>
              </w:rPr>
              <w:t>N=128</w:t>
            </w:r>
          </w:p>
        </w:tc>
        <w:tc>
          <w:tcPr>
            <w:tcW w:w="2034" w:type="dxa"/>
          </w:tcPr>
          <w:p w14:paraId="59BF29A4" w14:textId="77777777" w:rsidR="002343D4" w:rsidRPr="00227769" w:rsidRDefault="002343D4" w:rsidP="002343D4">
            <w:pPr>
              <w:spacing w:before="0" w:after="0"/>
              <w:jc w:val="both"/>
              <w:rPr>
                <w:b/>
                <w:szCs w:val="22"/>
              </w:rPr>
            </w:pPr>
            <w:r w:rsidRPr="00227769">
              <w:rPr>
                <w:b/>
                <w:szCs w:val="22"/>
              </w:rPr>
              <w:t>N=104</w:t>
            </w:r>
          </w:p>
        </w:tc>
      </w:tr>
      <w:tr w:rsidR="002343D4" w14:paraId="5F8AFE73" w14:textId="77777777" w:rsidTr="00C418AD">
        <w:tc>
          <w:tcPr>
            <w:tcW w:w="5495" w:type="dxa"/>
          </w:tcPr>
          <w:p w14:paraId="37C66772" w14:textId="77777777" w:rsidR="002343D4" w:rsidRPr="00227769" w:rsidRDefault="002343D4" w:rsidP="002343D4">
            <w:pPr>
              <w:spacing w:before="0" w:after="0"/>
              <w:jc w:val="both"/>
              <w:rPr>
                <w:szCs w:val="22"/>
              </w:rPr>
            </w:pPr>
            <w:r w:rsidRPr="00227769">
              <w:rPr>
                <w:szCs w:val="22"/>
              </w:rPr>
              <w:t xml:space="preserve">Overall response rate (CR+PR) </w:t>
            </w:r>
            <w:r w:rsidRPr="00227769">
              <w:rPr>
                <w:szCs w:val="22"/>
                <w:vertAlign w:val="superscript"/>
              </w:rPr>
              <w:t>(1)</w:t>
            </w:r>
            <w:r w:rsidRPr="00227769">
              <w:rPr>
                <w:szCs w:val="22"/>
              </w:rPr>
              <w:t>, n (%) [95% CI]</w:t>
            </w:r>
          </w:p>
        </w:tc>
        <w:tc>
          <w:tcPr>
            <w:tcW w:w="2077" w:type="dxa"/>
          </w:tcPr>
          <w:p w14:paraId="517B5349" w14:textId="77777777" w:rsidR="002343D4" w:rsidRPr="00227769" w:rsidRDefault="002343D4" w:rsidP="002343D4">
            <w:pPr>
              <w:tabs>
                <w:tab w:val="left" w:pos="362"/>
              </w:tabs>
              <w:spacing w:before="0" w:after="0"/>
              <w:jc w:val="both"/>
              <w:rPr>
                <w:szCs w:val="22"/>
              </w:rPr>
            </w:pPr>
            <w:r w:rsidRPr="00227769">
              <w:rPr>
                <w:szCs w:val="22"/>
              </w:rPr>
              <w:t>52 (40.6)</w:t>
            </w:r>
          </w:p>
          <w:p w14:paraId="0336ED51" w14:textId="77777777" w:rsidR="002343D4" w:rsidRPr="00227769" w:rsidRDefault="002343D4" w:rsidP="002343D4">
            <w:pPr>
              <w:tabs>
                <w:tab w:val="left" w:pos="362"/>
              </w:tabs>
              <w:spacing w:before="0" w:after="0"/>
              <w:jc w:val="both"/>
              <w:rPr>
                <w:szCs w:val="22"/>
              </w:rPr>
            </w:pPr>
            <w:r w:rsidRPr="00227769">
              <w:rPr>
                <w:szCs w:val="22"/>
              </w:rPr>
              <w:t>[32.0, 49.7]</w:t>
            </w:r>
          </w:p>
        </w:tc>
        <w:tc>
          <w:tcPr>
            <w:tcW w:w="2034" w:type="dxa"/>
          </w:tcPr>
          <w:p w14:paraId="6D3AEF13" w14:textId="77777777" w:rsidR="002343D4" w:rsidRPr="00227769" w:rsidRDefault="002343D4" w:rsidP="002343D4">
            <w:pPr>
              <w:spacing w:before="0" w:after="0"/>
              <w:jc w:val="both"/>
              <w:rPr>
                <w:szCs w:val="22"/>
              </w:rPr>
            </w:pPr>
            <w:r w:rsidRPr="00227769">
              <w:rPr>
                <w:szCs w:val="22"/>
              </w:rPr>
              <w:t>48 (46.2)</w:t>
            </w:r>
          </w:p>
          <w:p w14:paraId="08F2A405" w14:textId="77777777" w:rsidR="002343D4" w:rsidRPr="00227769" w:rsidRDefault="002343D4" w:rsidP="002343D4">
            <w:pPr>
              <w:spacing w:before="0" w:after="0"/>
              <w:jc w:val="both"/>
              <w:rPr>
                <w:szCs w:val="22"/>
              </w:rPr>
            </w:pPr>
            <w:r w:rsidRPr="00227769">
              <w:rPr>
                <w:szCs w:val="22"/>
              </w:rPr>
              <w:t>[36.3, 56.2]</w:t>
            </w:r>
          </w:p>
        </w:tc>
      </w:tr>
    </w:tbl>
    <w:p w14:paraId="7250692D" w14:textId="77777777" w:rsidR="002343D4" w:rsidRDefault="002343D4" w:rsidP="00C418AD">
      <w:pPr>
        <w:pStyle w:val="TableDescription"/>
      </w:pPr>
      <w:r w:rsidRPr="00BD5FC5">
        <w:rPr>
          <w:vertAlign w:val="superscript"/>
        </w:rPr>
        <w:t>(1</w:t>
      </w:r>
      <w:r w:rsidRPr="00FC363E">
        <w:rPr>
          <w:vertAlign w:val="superscript"/>
        </w:rPr>
        <w:t>)</w:t>
      </w:r>
      <w:r>
        <w:t xml:space="preserve"> CR, PR confirmed</w:t>
      </w:r>
      <w:r w:rsidR="00C418AD">
        <w:t xml:space="preserve">. </w:t>
      </w:r>
      <w:r>
        <w:t>NE = not estimable</w:t>
      </w:r>
      <w:r w:rsidR="00C418AD">
        <w:t xml:space="preserve">. </w:t>
      </w:r>
    </w:p>
    <w:p w14:paraId="11DFD6AA" w14:textId="77777777" w:rsidR="002343D4" w:rsidRDefault="00C418AD" w:rsidP="002343D4">
      <w:pPr>
        <w:jc w:val="both"/>
      </w:pPr>
      <w:r w:rsidRPr="00C418AD">
        <w:t>I</w:t>
      </w:r>
      <w:r w:rsidR="002343D4" w:rsidRPr="00C418AD">
        <w:t>nvestigator assessment, especially in a single arm, open label study is a potential source of bias. There is however, fairly strong concordance between the investigator and independent review committee’s assessments. For those with no major protocol deviations and full data for analysis</w:t>
      </w:r>
      <w:r w:rsidR="002343D4">
        <w:t xml:space="preserve">, the ORR results by the BIRC assessment were higher. </w:t>
      </w:r>
    </w:p>
    <w:p w14:paraId="533B0036" w14:textId="77777777" w:rsidR="002343D4" w:rsidRPr="004D2EBF" w:rsidRDefault="002343D4" w:rsidP="00C418AD">
      <w:pPr>
        <w:pStyle w:val="Heading6"/>
      </w:pPr>
      <w:r w:rsidRPr="004D2EBF">
        <w:t>Patients with brain metastases</w:t>
      </w:r>
    </w:p>
    <w:p w14:paraId="19840A43" w14:textId="77777777" w:rsidR="002343D4" w:rsidRDefault="002343D4" w:rsidP="00C418AD">
      <w:r>
        <w:t>Among the 100 patients (71.4%) with brain metastases, the ORR was 33.0% (95% CI: 23.9, 43.1.).</w:t>
      </w:r>
      <w:r w:rsidR="000E3918">
        <w:t xml:space="preserve"> </w:t>
      </w:r>
      <w:r>
        <w:t>Furthermore in the FAS, 20 out of the 140 patients had brain metastases at baseline considered to be target lesions by the Investigator per the RECIST 1.1 criteria. In these patients, the overall intracranial response rate (OIRR) based on Investigator assessment was 35% (95% CI: 15.4, 59.2). The intracranial DCR (CR+PR+SD) based on Investigator assessment was 80% (95% CI: 56.3, 94.3).</w:t>
      </w:r>
    </w:p>
    <w:p w14:paraId="798A5C5E" w14:textId="77777777" w:rsidR="002343D4" w:rsidRPr="004D2EBF" w:rsidRDefault="002343D4" w:rsidP="00C418AD">
      <w:pPr>
        <w:pStyle w:val="Heading6"/>
      </w:pPr>
      <w:r w:rsidRPr="004D2EBF">
        <w:t>Median survival</w:t>
      </w:r>
    </w:p>
    <w:p w14:paraId="4C066C8C" w14:textId="77777777" w:rsidR="002343D4" w:rsidRDefault="002343D4" w:rsidP="00C418AD">
      <w:r>
        <w:t>The median OS was 14 months (95% CI: 10.3, 14.0). A total of 101 patients (72.1%) were censored for survival including 100 patients who were alive and one patient who was lost to follow-up as of the data cut-off date. Given the majority of patients are alive the OS data is immature and should be interpreted with caution.</w:t>
      </w:r>
    </w:p>
    <w:p w14:paraId="2D7F0E01" w14:textId="77777777" w:rsidR="002343D4" w:rsidRDefault="00C418AD" w:rsidP="00C418AD">
      <w:r w:rsidRPr="00C418AD">
        <w:t>I</w:t>
      </w:r>
      <w:r w:rsidR="002343D4" w:rsidRPr="00C418AD">
        <w:t>t i</w:t>
      </w:r>
      <w:r w:rsidR="002343D4">
        <w:t>s difficult to interpret the PFS, OS results without a comparator but this is a heavily pretreated population who had recently progressed on crizotinib, with few remaining options. Therefore, the ORR, DCR and duration of response when taken together, represent a clinically meaningful response to this treatment. The high rate of disease control rate for those with brain metastases is also highly relevant.</w:t>
      </w:r>
    </w:p>
    <w:p w14:paraId="7E48F95A" w14:textId="77777777" w:rsidR="002343D4" w:rsidRDefault="002343D4" w:rsidP="00C418AD">
      <w:r>
        <w:t>A significant deficiency of this study is the absence of quality of life data to support these findings. This is especially in light of the substantial toxicities.</w:t>
      </w:r>
    </w:p>
    <w:p w14:paraId="5092EC5A" w14:textId="77777777" w:rsidR="002343D4" w:rsidRPr="004F1939" w:rsidRDefault="002343D4" w:rsidP="00C418AD">
      <w:pPr>
        <w:pStyle w:val="Heading5"/>
      </w:pPr>
      <w:bookmarkStart w:id="226" w:name="_Toc290846276"/>
      <w:bookmarkStart w:id="227" w:name="_Toc300495381"/>
      <w:bookmarkStart w:id="228" w:name="_Toc300495651"/>
      <w:bookmarkStart w:id="229" w:name="_Toc300498564"/>
      <w:r w:rsidRPr="004F1939">
        <w:lastRenderedPageBreak/>
        <w:t xml:space="preserve">Study </w:t>
      </w:r>
      <w:bookmarkEnd w:id="226"/>
      <w:r w:rsidRPr="004F1939">
        <w:t>X2101</w:t>
      </w:r>
      <w:bookmarkEnd w:id="227"/>
      <w:bookmarkEnd w:id="228"/>
      <w:bookmarkEnd w:id="229"/>
    </w:p>
    <w:p w14:paraId="2F821FDF" w14:textId="77777777" w:rsidR="002343D4" w:rsidRDefault="002343D4" w:rsidP="002343D4">
      <w:pPr>
        <w:jc w:val="both"/>
      </w:pPr>
      <w:r>
        <w:t xml:space="preserve">This is a first-in-human, </w:t>
      </w:r>
      <w:r w:rsidR="00C418AD">
        <w:t>Phase I</w:t>
      </w:r>
      <w:r>
        <w:t>, open label, dose-escalation and expansion study investigating the safety, pharmacokinetics, and anti-tumour activity of oral, once-daily, continuous dosing of ceritinib in adult patients with advanced tumours confirmed to have genetic abnormalities in ALK.</w:t>
      </w:r>
    </w:p>
    <w:p w14:paraId="2E0D8C6C" w14:textId="77777777" w:rsidR="002343D4" w:rsidRPr="00D65B11" w:rsidRDefault="002343D4" w:rsidP="00C418AD">
      <w:pPr>
        <w:pStyle w:val="Heading6"/>
      </w:pPr>
      <w:r w:rsidRPr="00D65B11">
        <w:t>ORR results</w:t>
      </w:r>
      <w:r>
        <w:t xml:space="preserve"> (reported for those receiving 750 mg dose, with first dose at least 18 weeks prior to cut-off date: 121/163 )</w:t>
      </w:r>
    </w:p>
    <w:p w14:paraId="58D0DFFA" w14:textId="77777777" w:rsidR="002343D4" w:rsidRDefault="002343D4" w:rsidP="00C418AD">
      <w:r>
        <w:t>Only efficacy outcomes for those 121/163 patients with a prior exposure to crizotinib receiving 75</w:t>
      </w:r>
      <w:r w:rsidR="00326B43">
        <w:t>0 mg</w:t>
      </w:r>
      <w:r>
        <w:t xml:space="preserve"> dose at least 18 weeks before the cut-off date are considered. All patients had been previously treated with crizotinib, on which</w:t>
      </w:r>
      <w:r w:rsidR="000E3918">
        <w:t xml:space="preserve"> </w:t>
      </w:r>
      <w:r>
        <w:t>110 (92%) had experienced disease progression, or much less commonly discontinued due to an adverse event. The investigator ORR was 55.4% (95% CI</w:t>
      </w:r>
      <w:proofErr w:type="gramStart"/>
      <w:r>
        <w:t>:46.1</w:t>
      </w:r>
      <w:proofErr w:type="gramEnd"/>
      <w:r>
        <w:t>,</w:t>
      </w:r>
      <w:r w:rsidR="003F630A">
        <w:t xml:space="preserve"> </w:t>
      </w:r>
      <w:r>
        <w:t>64.4) with 53.7% having a PR, and 1.7% a CR).</w:t>
      </w:r>
      <w:r w:rsidR="000E3918">
        <w:t xml:space="preserve"> </w:t>
      </w:r>
    </w:p>
    <w:p w14:paraId="602D645E" w14:textId="77777777" w:rsidR="002343D4" w:rsidRPr="006E589A" w:rsidRDefault="002343D4" w:rsidP="00C418AD">
      <w:pPr>
        <w:rPr>
          <w:lang w:val="en-US"/>
        </w:rPr>
      </w:pPr>
      <w:r>
        <w:rPr>
          <w:lang w:val="en-US"/>
        </w:rPr>
        <w:t>The BIRC assessment identified</w:t>
      </w:r>
      <w:r w:rsidRPr="006E589A">
        <w:rPr>
          <w:lang w:val="en-US"/>
        </w:rPr>
        <w:t xml:space="preserve"> 118 patients </w:t>
      </w:r>
      <w:r>
        <w:rPr>
          <w:lang w:val="en-US"/>
        </w:rPr>
        <w:t xml:space="preserve">with an ORR of 44.1% (95% CI: 34.9%, </w:t>
      </w:r>
      <w:r w:rsidRPr="006E589A">
        <w:rPr>
          <w:lang w:val="en-US"/>
        </w:rPr>
        <w:t>53.5%). Of note, most of these patients (n=108) had PD during treatment with the last</w:t>
      </w:r>
      <w:r>
        <w:rPr>
          <w:lang w:val="en-US"/>
        </w:rPr>
        <w:t xml:space="preserve"> </w:t>
      </w:r>
      <w:r w:rsidRPr="006E589A">
        <w:rPr>
          <w:lang w:val="en-US"/>
        </w:rPr>
        <w:t>prior ALK inhibitor and the ORR in these patients was 46.3% (95% CI: 36.7, 56.2).</w:t>
      </w:r>
    </w:p>
    <w:p w14:paraId="48704F3A" w14:textId="77777777" w:rsidR="002343D4" w:rsidRPr="00D65B11" w:rsidRDefault="002343D4" w:rsidP="003F630A">
      <w:pPr>
        <w:pStyle w:val="Heading6"/>
      </w:pPr>
      <w:r w:rsidRPr="00D65B11">
        <w:t>Duration of response results</w:t>
      </w:r>
    </w:p>
    <w:p w14:paraId="179C3F30" w14:textId="77777777" w:rsidR="002343D4" w:rsidRDefault="002343D4" w:rsidP="003F630A">
      <w:pPr>
        <w:rPr>
          <w:color w:val="000000"/>
          <w:lang w:val="en-US"/>
        </w:rPr>
      </w:pPr>
      <w:r>
        <w:t xml:space="preserve">For the population relevant to the indication proposed here, </w:t>
      </w:r>
      <w:r w:rsidR="003F630A">
        <w:t>that is</w:t>
      </w:r>
      <w:r>
        <w:t xml:space="preserve"> 67 patients treated with prior ALK inhibitor with a confirmed PR or CR, the investigator estimated median DOR was 7.39 months (95% CI: 5.42, 10.12). </w:t>
      </w:r>
      <w:r>
        <w:rPr>
          <w:color w:val="000000"/>
          <w:lang w:val="en-US"/>
        </w:rPr>
        <w:t>By BIRC assessment,</w:t>
      </w:r>
      <w:r w:rsidRPr="006E589A">
        <w:rPr>
          <w:color w:val="000000"/>
          <w:lang w:val="en-US"/>
        </w:rPr>
        <w:t xml:space="preserve"> the 52 patients treated with a prior ALK inhibitor with a confirmed PR or CR, the</w:t>
      </w:r>
      <w:r>
        <w:rPr>
          <w:color w:val="000000"/>
          <w:lang w:val="en-US"/>
        </w:rPr>
        <w:t xml:space="preserve"> </w:t>
      </w:r>
      <w:r w:rsidRPr="006E589A">
        <w:rPr>
          <w:color w:val="000000"/>
          <w:lang w:val="en-US"/>
        </w:rPr>
        <w:t>estimated median DOR was 7.06 months (95% CI: 4.80, NE). All these patients had</w:t>
      </w:r>
      <w:r>
        <w:rPr>
          <w:color w:val="000000"/>
          <w:lang w:val="en-US"/>
        </w:rPr>
        <w:t xml:space="preserve"> </w:t>
      </w:r>
      <w:r w:rsidRPr="006E589A">
        <w:rPr>
          <w:color w:val="000000"/>
          <w:lang w:val="en-US"/>
        </w:rPr>
        <w:t>received prior treatment with crizotinib. Of note, most of these patients (n=50) had PD</w:t>
      </w:r>
      <w:r>
        <w:rPr>
          <w:color w:val="000000"/>
          <w:lang w:val="en-US"/>
        </w:rPr>
        <w:t xml:space="preserve"> </w:t>
      </w:r>
      <w:r w:rsidRPr="006E589A">
        <w:rPr>
          <w:color w:val="000000"/>
          <w:lang w:val="en-US"/>
        </w:rPr>
        <w:t>during treatment with the last prior ALK inhibitor and the median DOR in these patients</w:t>
      </w:r>
      <w:r>
        <w:rPr>
          <w:color w:val="000000"/>
          <w:lang w:val="en-US"/>
        </w:rPr>
        <w:t xml:space="preserve"> </w:t>
      </w:r>
      <w:r w:rsidRPr="006E589A">
        <w:rPr>
          <w:color w:val="000000"/>
          <w:lang w:val="en-US"/>
        </w:rPr>
        <w:t>was: 7.06 months (95% CI: 5.52, NE).</w:t>
      </w:r>
    </w:p>
    <w:p w14:paraId="6030C31E" w14:textId="1E775463" w:rsidR="002343D4" w:rsidRPr="00792218" w:rsidRDefault="00227769" w:rsidP="003F630A">
      <w:pPr>
        <w:pStyle w:val="Heading6"/>
        <w:rPr>
          <w:lang w:val="en-US"/>
        </w:rPr>
      </w:pPr>
      <w:r>
        <w:rPr>
          <w:lang w:val="en-US"/>
        </w:rPr>
        <w:t>PFS</w:t>
      </w:r>
    </w:p>
    <w:p w14:paraId="49BA35F5" w14:textId="77777777" w:rsidR="002343D4" w:rsidRDefault="002343D4" w:rsidP="003F630A">
      <w:pPr>
        <w:rPr>
          <w:lang w:val="en-US"/>
        </w:rPr>
      </w:pPr>
      <w:r w:rsidRPr="006E589A">
        <w:rPr>
          <w:lang w:val="en-US"/>
        </w:rPr>
        <w:t>The estimated median PFS was 6.90 months (95% CI: 5.39, 8.67) in patients previously</w:t>
      </w:r>
      <w:r>
        <w:rPr>
          <w:lang w:val="en-US"/>
        </w:rPr>
        <w:t xml:space="preserve"> </w:t>
      </w:r>
      <w:r w:rsidRPr="006E589A">
        <w:rPr>
          <w:lang w:val="en-US"/>
        </w:rPr>
        <w:t>treated with an ALK inhibitor</w:t>
      </w:r>
      <w:r>
        <w:rPr>
          <w:lang w:val="en-US"/>
        </w:rPr>
        <w:t>, although there was censoring in 23.4% of patients still alive due to reasons such as commencement of further antineoplastic treatments, withdrawal of consent</w:t>
      </w:r>
      <w:r w:rsidR="003F630A">
        <w:rPr>
          <w:lang w:val="en-US"/>
        </w:rPr>
        <w:t xml:space="preserve"> and so on.</w:t>
      </w:r>
    </w:p>
    <w:p w14:paraId="07B4CC9A" w14:textId="77777777" w:rsidR="002343D4" w:rsidRPr="00FE10DD" w:rsidRDefault="002343D4" w:rsidP="003F630A">
      <w:pPr>
        <w:pStyle w:val="Heading6"/>
        <w:rPr>
          <w:lang w:val="en-US"/>
        </w:rPr>
      </w:pPr>
      <w:r w:rsidRPr="00FE10DD">
        <w:rPr>
          <w:lang w:val="en-US"/>
        </w:rPr>
        <w:t>OS</w:t>
      </w:r>
    </w:p>
    <w:p w14:paraId="3E19E632" w14:textId="77777777" w:rsidR="002343D4" w:rsidRDefault="002343D4" w:rsidP="003F630A">
      <w:pPr>
        <w:rPr>
          <w:lang w:val="en-US"/>
        </w:rPr>
      </w:pPr>
      <w:r>
        <w:rPr>
          <w:lang w:val="en-US"/>
        </w:rPr>
        <w:t>These data are immature, and no conclusions can be drawn due to the non-comparative nature of the study.</w:t>
      </w:r>
    </w:p>
    <w:p w14:paraId="02A0D320" w14:textId="77777777" w:rsidR="002343D4" w:rsidRDefault="003F630A" w:rsidP="003F630A">
      <w:r w:rsidRPr="003F630A">
        <w:rPr>
          <w:lang w:val="en-US"/>
        </w:rPr>
        <w:t>T</w:t>
      </w:r>
      <w:r w:rsidR="002343D4">
        <w:rPr>
          <w:lang w:val="en-US"/>
        </w:rPr>
        <w:t>he BIRC assessment of ORR was lower but the duration of response was the same for these heavily pretreated patients, made up of a vast majority whose disease no longer responded to crizotinib. The treatment options are very limited and this supports a treatment effect and an option for such patients.</w:t>
      </w:r>
    </w:p>
    <w:p w14:paraId="6ED0269F" w14:textId="77777777" w:rsidR="002343D4" w:rsidRPr="003F630A" w:rsidRDefault="002343D4" w:rsidP="003F630A">
      <w:pPr>
        <w:pStyle w:val="Heading5"/>
      </w:pPr>
      <w:r>
        <w:t>Other studies</w:t>
      </w:r>
    </w:p>
    <w:p w14:paraId="4266A437" w14:textId="77777777" w:rsidR="002343D4" w:rsidRPr="003F630A" w:rsidRDefault="002343D4" w:rsidP="003F630A">
      <w:r w:rsidRPr="003F630A">
        <w:rPr>
          <w:rStyle w:val="Heading6Char"/>
          <w:rFonts w:eastAsia="Cambria"/>
        </w:rPr>
        <w:t>Study A2203</w:t>
      </w:r>
      <w:r w:rsidRPr="003F630A">
        <w:t xml:space="preserve"> recruited patients with no prior ALK-inhibitor treatment and as this does not inform the decision in the population for whom registration is being sought, this was not formally evaluated other than for safety signals. Any submission in the future that might rely upon this study to provide direct evidence of efficacy and safety would require a full evaluation. </w:t>
      </w:r>
    </w:p>
    <w:p w14:paraId="76B6A586" w14:textId="77777777" w:rsidR="002343D4" w:rsidRPr="003F630A" w:rsidRDefault="003F630A" w:rsidP="003F630A">
      <w:pPr>
        <w:pStyle w:val="ListBullet"/>
      </w:pPr>
      <w:r w:rsidRPr="003F630A">
        <w:t>A</w:t>
      </w:r>
      <w:r w:rsidR="002343D4" w:rsidRPr="003F630A">
        <w:t>ll reference and claims currently in the PI Clinical Trials section must be removed.</w:t>
      </w:r>
    </w:p>
    <w:p w14:paraId="57F8F3D3" w14:textId="77777777" w:rsidR="002343D4" w:rsidRPr="003F630A" w:rsidRDefault="002343D4" w:rsidP="003F630A">
      <w:r w:rsidRPr="003F630A">
        <w:rPr>
          <w:rStyle w:val="Heading6Char"/>
          <w:rFonts w:eastAsia="Cambria"/>
        </w:rPr>
        <w:t>Study X1101</w:t>
      </w:r>
      <w:r w:rsidRPr="003F630A">
        <w:t xml:space="preserve"> was a small dose escalation Phase I study conducted in Japan, involving 19 patients treated in 4 dose cohorts: 30</w:t>
      </w:r>
      <w:r w:rsidR="00326B43" w:rsidRPr="003F630A">
        <w:t>0 mg</w:t>
      </w:r>
      <w:r w:rsidRPr="003F630A">
        <w:t>, 45</w:t>
      </w:r>
      <w:r w:rsidR="00326B43" w:rsidRPr="003F630A">
        <w:t>0 mg</w:t>
      </w:r>
      <w:r w:rsidRPr="003F630A">
        <w:t>, 60</w:t>
      </w:r>
      <w:r w:rsidR="00326B43" w:rsidRPr="003F630A">
        <w:t>0 mg</w:t>
      </w:r>
      <w:r w:rsidRPr="003F630A">
        <w:t xml:space="preserve"> and 75</w:t>
      </w:r>
      <w:r w:rsidR="00326B43" w:rsidRPr="003F630A">
        <w:t>0 mg</w:t>
      </w:r>
      <w:r w:rsidRPr="003F630A">
        <w:t>. Efficacy was noted across all dose levels, with the highest ORR and PFS in the 30</w:t>
      </w:r>
      <w:r w:rsidR="00326B43" w:rsidRPr="003F630A">
        <w:t>0 mg</w:t>
      </w:r>
      <w:r w:rsidRPr="003F630A">
        <w:t xml:space="preserve">/day cohort. The small number limit definitive conclusions but together with the safety profile may indicate that Asian patients metabolise the drug differently and/or a lower starting dose should be used in such patients. </w:t>
      </w:r>
    </w:p>
    <w:p w14:paraId="04AEC018" w14:textId="77777777" w:rsidR="002343D4" w:rsidRPr="003F630A" w:rsidRDefault="002343D4" w:rsidP="003F630A">
      <w:r w:rsidRPr="003F630A">
        <w:lastRenderedPageBreak/>
        <w:t>The following summary from the dossier raises concerns about safety in this population:</w:t>
      </w:r>
    </w:p>
    <w:p w14:paraId="3F0C1569" w14:textId="77777777" w:rsidR="002343D4" w:rsidRPr="003F630A" w:rsidRDefault="0089512A" w:rsidP="003F630A">
      <w:pPr>
        <w:ind w:left="720"/>
        <w:rPr>
          <w:i/>
        </w:rPr>
      </w:pPr>
      <w:r w:rsidRPr="003F630A">
        <w:rPr>
          <w:i/>
        </w:rPr>
        <w:t>‘</w:t>
      </w:r>
      <w:r w:rsidR="002343D4" w:rsidRPr="003F630A">
        <w:rPr>
          <w:i/>
        </w:rPr>
        <w:t>Two DLTs occurred during the first cycle (in</w:t>
      </w:r>
      <w:r w:rsidR="003F630A" w:rsidRPr="003F630A">
        <w:rPr>
          <w:i/>
        </w:rPr>
        <w:t>cluding the PK run-in period): G</w:t>
      </w:r>
      <w:r w:rsidR="002343D4" w:rsidRPr="003F630A">
        <w:rPr>
          <w:i/>
        </w:rPr>
        <w:t>rade 3 lipase</w:t>
      </w:r>
      <w:r w:rsidR="003F630A" w:rsidRPr="003F630A">
        <w:rPr>
          <w:i/>
        </w:rPr>
        <w:t xml:space="preserve"> </w:t>
      </w:r>
      <w:r w:rsidR="002343D4" w:rsidRPr="003F630A">
        <w:rPr>
          <w:i/>
        </w:rPr>
        <w:t xml:space="preserve">increased at 600 mg/day, and grade 3 drug-induced liver </w:t>
      </w:r>
      <w:proofErr w:type="gramStart"/>
      <w:r w:rsidR="002343D4" w:rsidRPr="003F630A">
        <w:rPr>
          <w:i/>
        </w:rPr>
        <w:t>injury</w:t>
      </w:r>
      <w:proofErr w:type="gramEnd"/>
      <w:r w:rsidR="002343D4" w:rsidRPr="003F630A">
        <w:rPr>
          <w:i/>
        </w:rPr>
        <w:t xml:space="preserve"> at 750 mg/day. The MTD was determined</w:t>
      </w:r>
      <w:r w:rsidR="000E3918" w:rsidRPr="003F630A">
        <w:rPr>
          <w:i/>
        </w:rPr>
        <w:t xml:space="preserve"> </w:t>
      </w:r>
      <w:r w:rsidR="002343D4" w:rsidRPr="003F630A">
        <w:rPr>
          <w:i/>
        </w:rPr>
        <w:t>to be 750 mg/day considering the safety and PK profile of LDK378. Two patients discontinued treatment in this study due to hepatic injury (10.5%).</w:t>
      </w:r>
      <w:r w:rsidRPr="003F630A">
        <w:rPr>
          <w:i/>
        </w:rPr>
        <w:t>’</w:t>
      </w:r>
    </w:p>
    <w:p w14:paraId="4D9E3BEE" w14:textId="77777777" w:rsidR="002343D4" w:rsidRPr="00474286" w:rsidRDefault="003F630A" w:rsidP="003F630A">
      <w:r>
        <w:t xml:space="preserve">The </w:t>
      </w:r>
      <w:r w:rsidR="002343D4" w:rsidRPr="00474286">
        <w:t>Delegate comment</w:t>
      </w:r>
      <w:r>
        <w:t>ed as follows:</w:t>
      </w:r>
      <w:r w:rsidR="002343D4" w:rsidRPr="00474286">
        <w:t xml:space="preserve"> </w:t>
      </w:r>
    </w:p>
    <w:p w14:paraId="4A6DEAAF" w14:textId="77777777" w:rsidR="002343D4" w:rsidRPr="00474286" w:rsidRDefault="002343D4" w:rsidP="003F630A">
      <w:pPr>
        <w:pStyle w:val="Numberbullet0"/>
        <w:numPr>
          <w:ilvl w:val="0"/>
          <w:numId w:val="42"/>
        </w:numPr>
      </w:pPr>
      <w:proofErr w:type="gramStart"/>
      <w:r w:rsidRPr="00474286">
        <w:t>These efficacy</w:t>
      </w:r>
      <w:proofErr w:type="gramEnd"/>
      <w:r w:rsidRPr="00474286">
        <w:t xml:space="preserve"> and safety events further underscore the Delegate’s concern that the MTD was not adequately established and that 2/19 patients experiencing a severe event should result in the next lower dose level being selected. </w:t>
      </w:r>
    </w:p>
    <w:p w14:paraId="75D11184" w14:textId="77777777" w:rsidR="002343D4" w:rsidRPr="00694EAF" w:rsidRDefault="002343D4" w:rsidP="003F630A">
      <w:pPr>
        <w:pStyle w:val="Numberbullet0"/>
        <w:rPr>
          <w:rFonts w:ascii="Arial" w:hAnsi="Arial"/>
          <w:sz w:val="18"/>
          <w:szCs w:val="18"/>
        </w:rPr>
      </w:pPr>
      <w:r w:rsidRPr="00694EAF">
        <w:t xml:space="preserve">It is unclear whether this might be due to ethnic differences in metabolism or just chance, with low numbers in the development program contributing to the low chance of detection. Population PK analyses are not adequate to explore these signals, and therefore, the Delegate considers increased toxicity in Asian patients should be listed as an uncertainty in the PI under ethnic differences until further clarification otherwise, and added to the RMP. </w:t>
      </w:r>
    </w:p>
    <w:p w14:paraId="7099DBE7" w14:textId="77777777" w:rsidR="002343D4" w:rsidRPr="004936A4" w:rsidRDefault="003F630A" w:rsidP="003F630A">
      <w:pPr>
        <w:pStyle w:val="Numberbullet0"/>
        <w:rPr>
          <w:rFonts w:ascii="Arial" w:hAnsi="Arial"/>
          <w:sz w:val="18"/>
          <w:szCs w:val="18"/>
        </w:rPr>
      </w:pPr>
      <w:r>
        <w:t>The s</w:t>
      </w:r>
      <w:r w:rsidR="002343D4">
        <w:t>ponsor has been requested to present an analysis of all grades of AEs in Asian patients versus non-Asian patients in the Studies done to date.</w:t>
      </w:r>
    </w:p>
    <w:p w14:paraId="59961CEF" w14:textId="77777777" w:rsidR="002343D4" w:rsidRPr="00694EAF" w:rsidRDefault="002343D4" w:rsidP="003F630A">
      <w:pPr>
        <w:pStyle w:val="Numberbullet0"/>
        <w:rPr>
          <w:rFonts w:ascii="Arial" w:hAnsi="Arial"/>
          <w:sz w:val="18"/>
          <w:szCs w:val="18"/>
        </w:rPr>
      </w:pPr>
      <w:r>
        <w:t>The Delegate notes that no information is provided regardin</w:t>
      </w:r>
      <w:r w:rsidR="003F630A">
        <w:t>g an application in Japan; the s</w:t>
      </w:r>
      <w:r>
        <w:t>ponsor is requested to state whether there have been any discussions with</w:t>
      </w:r>
      <w:r w:rsidR="000E3918">
        <w:t xml:space="preserve"> </w:t>
      </w:r>
      <w:r>
        <w:t>PMDA about registration in Japan, and to disclose the outcome of those discussions.</w:t>
      </w:r>
    </w:p>
    <w:bookmarkEnd w:id="218"/>
    <w:bookmarkEnd w:id="219"/>
    <w:bookmarkEnd w:id="220"/>
    <w:bookmarkEnd w:id="221"/>
    <w:bookmarkEnd w:id="222"/>
    <w:bookmarkEnd w:id="223"/>
    <w:p w14:paraId="6EE0EBF1" w14:textId="77777777" w:rsidR="002343D4" w:rsidRPr="00B30D14" w:rsidRDefault="002343D4" w:rsidP="00475E20">
      <w:pPr>
        <w:pStyle w:val="Heading4"/>
      </w:pPr>
      <w:r w:rsidRPr="00B30D14">
        <w:t>Safety data</w:t>
      </w:r>
    </w:p>
    <w:p w14:paraId="45C864B3" w14:textId="77777777" w:rsidR="002343D4" w:rsidRDefault="002343D4" w:rsidP="00475E20">
      <w:bookmarkStart w:id="230" w:name="_Toc300498660"/>
      <w:r>
        <w:t>The safety dataset includes 525 patients exposed to ceri</w:t>
      </w:r>
      <w:r w:rsidR="00475E20">
        <w:t>tinib in the clinical studies (S</w:t>
      </w:r>
      <w:r>
        <w:t>tudies X2101, A2201, A2203 and X1101) and treated at the proposed dose of 75</w:t>
      </w:r>
      <w:r w:rsidR="00326B43">
        <w:t>0 mg</w:t>
      </w:r>
      <w:r>
        <w:t xml:space="preserve">, as well as 62 patients </w:t>
      </w:r>
      <w:r w:rsidR="00475E20">
        <w:t>treated with lower doses (from S</w:t>
      </w:r>
      <w:r>
        <w:t xml:space="preserve">tudies X2101 and X1101). Information on deaths and SAE reported to the Novartis safety database has also been provided. The median duration of exposure was 33 weeks (range: 0.3 to 106.1 weeks): 71.6% of patients had been exposed for at least 24 weeks and 25.7% of patients had been exposed for at least 48 weeks. </w:t>
      </w:r>
      <w:r w:rsidRPr="00B85670">
        <w:rPr>
          <w:rFonts w:asciiTheme="minorHAnsi" w:hAnsiTheme="minorHAnsi"/>
        </w:rPr>
        <w:t xml:space="preserve">The following studies provided evaluable safety data: </w:t>
      </w:r>
      <w:r w:rsidR="00475E20">
        <w:rPr>
          <w:rFonts w:asciiTheme="minorHAnsi" w:hAnsiTheme="minorHAnsi"/>
        </w:rPr>
        <w:t xml:space="preserve">Studies </w:t>
      </w:r>
      <w:r w:rsidRPr="00B85670">
        <w:rPr>
          <w:rFonts w:asciiTheme="minorHAnsi" w:hAnsiTheme="minorHAnsi"/>
        </w:rPr>
        <w:t>X2101, X1101, A2201 and A2203.</w:t>
      </w:r>
      <w:r>
        <w:rPr>
          <w:rFonts w:asciiTheme="minorHAnsi" w:hAnsiTheme="minorHAnsi"/>
        </w:rPr>
        <w:t xml:space="preserve"> </w:t>
      </w:r>
      <w:r>
        <w:t>AEs of particular interest includ</w:t>
      </w:r>
      <w:r w:rsidR="00475E20">
        <w:t>ed</w:t>
      </w:r>
      <w:r>
        <w:t xml:space="preserve"> hepatotoxicity, interstitial lung disease/pneumonitis and QT prolongation, </w:t>
      </w:r>
      <w:r w:rsidR="00475E20">
        <w:t>b</w:t>
      </w:r>
      <w:r>
        <w:t xml:space="preserve">radycardia, </w:t>
      </w:r>
      <w:r w:rsidR="00475E20">
        <w:t>h</w:t>
      </w:r>
      <w:r>
        <w:t>yperglycaemia and GI toxicity (diarrhoea, nausea</w:t>
      </w:r>
      <w:r w:rsidR="00475E20">
        <w:t xml:space="preserve"> and</w:t>
      </w:r>
      <w:r>
        <w:t xml:space="preserve"> vomiting).</w:t>
      </w:r>
    </w:p>
    <w:p w14:paraId="33CC1373" w14:textId="3B20DA1C" w:rsidR="002343D4" w:rsidRPr="00697B72" w:rsidRDefault="002343D4" w:rsidP="00475E20">
      <w:r w:rsidRPr="00697B72">
        <w:t>AEs suspected to be stu</w:t>
      </w:r>
      <w:r>
        <w:t>dy drug related (all grades</w:t>
      </w:r>
      <w:r w:rsidRPr="00697B72">
        <w:t xml:space="preserve">) </w:t>
      </w:r>
      <w:r>
        <w:t xml:space="preserve">were </w:t>
      </w:r>
      <w:r w:rsidRPr="00697B72">
        <w:t>reported in ≥ 25% of the patients in the Study X2101</w:t>
      </w:r>
      <w:r w:rsidR="00475E20">
        <w:t xml:space="preserve"> </w:t>
      </w:r>
      <w:r w:rsidRPr="00697B72">
        <w:t>were: diarrhoea (78.6%), nausea (74%), vomiting (53.3%), ALT increased (31.3%), abdominal pain (26.3%), and fatigue (25.3%). Most of the patients experienced mild-moderate AEs. Grade 3-4 AEs were reported in 168 patients (66%), the most common being elevated ALT (in 21.2% of patients), followed by elevated AST (in 7.5% of patients). Majority of adverse events (95.7%) in patients treated with the proposed dose of 75</w:t>
      </w:r>
      <w:r w:rsidR="00326B43">
        <w:t>0 mg</w:t>
      </w:r>
      <w:r w:rsidRPr="00697B72">
        <w:t xml:space="preserve"> were assessed as treatment</w:t>
      </w:r>
      <w:r w:rsidR="00475E20">
        <w:t xml:space="preserve"> </w:t>
      </w:r>
      <w:r w:rsidRPr="00697B72">
        <w:t>related b</w:t>
      </w:r>
      <w:r w:rsidR="00227769">
        <w:t>y the investigators.</w:t>
      </w:r>
    </w:p>
    <w:p w14:paraId="3712F640" w14:textId="77777777" w:rsidR="002343D4" w:rsidRPr="00C06B62" w:rsidRDefault="002343D4" w:rsidP="00227769">
      <w:pPr>
        <w:pStyle w:val="TableTitle"/>
      </w:pPr>
      <w:r w:rsidRPr="00C06B62">
        <w:lastRenderedPageBreak/>
        <w:t xml:space="preserve">Table </w:t>
      </w:r>
      <w:r w:rsidR="00475E20">
        <w:t>12:</w:t>
      </w:r>
      <w:r w:rsidRPr="00C06B62">
        <w:t xml:space="preserve"> Integrated</w:t>
      </w:r>
      <w:r w:rsidRPr="00FE3947">
        <w:t xml:space="preserve"> summary of adverse drug reactions in the ceritinib 75</w:t>
      </w:r>
      <w:r w:rsidR="00326B43">
        <w:t>0 mg</w:t>
      </w:r>
      <w:r w:rsidRPr="00FE3947">
        <w:t xml:space="preserve"> dose group (Safety set)</w:t>
      </w:r>
      <w:bookmarkEnd w:id="230"/>
    </w:p>
    <w:p w14:paraId="6D7DB60F" w14:textId="77777777" w:rsidR="002343D4" w:rsidRPr="00B85670" w:rsidRDefault="00475E20" w:rsidP="00475E20">
      <w:pPr>
        <w:autoSpaceDE w:val="0"/>
        <w:autoSpaceDN w:val="0"/>
        <w:adjustRightInd w:val="0"/>
        <w:jc w:val="both"/>
        <w:rPr>
          <w:rFonts w:asciiTheme="minorHAnsi" w:hAnsiTheme="minorHAnsi"/>
        </w:rPr>
      </w:pPr>
      <w:r>
        <w:rPr>
          <w:noProof/>
          <w:lang w:eastAsia="en-AU"/>
        </w:rPr>
        <w:drawing>
          <wp:inline distT="0" distB="0" distL="0" distR="0" wp14:anchorId="61820864" wp14:editId="02FA1C59">
            <wp:extent cx="3743325" cy="6949565"/>
            <wp:effectExtent l="0" t="0" r="0" b="3810"/>
            <wp:docPr id="1" name="Picture 1" descr="Table 12: Integrated summary of adverse drug reactions in the ceritinib 750 mg dose group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582" b="-1"/>
                    <a:stretch/>
                  </pic:blipFill>
                  <pic:spPr bwMode="auto">
                    <a:xfrm>
                      <a:off x="0" y="0"/>
                      <a:ext cx="3745943" cy="6954425"/>
                    </a:xfrm>
                    <a:prstGeom prst="rect">
                      <a:avLst/>
                    </a:prstGeom>
                    <a:ln>
                      <a:noFill/>
                    </a:ln>
                    <a:extLst>
                      <a:ext uri="{53640926-AAD7-44D8-BBD7-CCE9431645EC}">
                        <a14:shadowObscured xmlns:a14="http://schemas.microsoft.com/office/drawing/2010/main"/>
                      </a:ext>
                    </a:extLst>
                  </pic:spPr>
                </pic:pic>
              </a:graphicData>
            </a:graphic>
          </wp:inline>
        </w:drawing>
      </w:r>
    </w:p>
    <w:p w14:paraId="0ABE623A" w14:textId="77777777" w:rsidR="002343D4" w:rsidRPr="00821929" w:rsidRDefault="002343D4" w:rsidP="00475E20">
      <w:pPr>
        <w:pStyle w:val="Heading5"/>
      </w:pPr>
      <w:r w:rsidRPr="00821929">
        <w:t>Deaths</w:t>
      </w:r>
    </w:p>
    <w:p w14:paraId="44CAF973" w14:textId="77777777" w:rsidR="002343D4" w:rsidRDefault="002343D4" w:rsidP="00B8324C">
      <w:r>
        <w:t>Ceritinib related SAEs were reported in 13.1% of patients. Ceritinib-related SAEs were each reported in &lt;</w:t>
      </w:r>
      <w:r w:rsidR="00B8324C">
        <w:t xml:space="preserve"> </w:t>
      </w:r>
      <w:r>
        <w:t>1% of patients, with the exception of pneumonitis (1.9%), pericarditis (1.5%), nausea (1.1%) and pneumonia (1.0%).</w:t>
      </w:r>
    </w:p>
    <w:p w14:paraId="39D09B53" w14:textId="77777777" w:rsidR="002343D4" w:rsidRDefault="002343D4" w:rsidP="00B8324C">
      <w:r w:rsidRPr="007F6632">
        <w:t xml:space="preserve">With regards to deaths, a total of </w:t>
      </w:r>
      <w:r>
        <w:t>68 on-treatment deaths (13.0</w:t>
      </w:r>
      <w:r w:rsidRPr="007F6632">
        <w:t>%) were reported in the safety set (all patients</w:t>
      </w:r>
      <w:r>
        <w:t>; n=525</w:t>
      </w:r>
      <w:r w:rsidRPr="007F6632">
        <w:t>). All</w:t>
      </w:r>
      <w:r>
        <w:t xml:space="preserve"> deaths, with the exception of 3</w:t>
      </w:r>
      <w:r w:rsidRPr="007F6632">
        <w:t xml:space="preserve"> death</w:t>
      </w:r>
      <w:r>
        <w:t>s</w:t>
      </w:r>
      <w:r w:rsidRPr="007F6632">
        <w:t xml:space="preserve">, were not suspected to be related to study drug. </w:t>
      </w:r>
      <w:r>
        <w:t>These included:</w:t>
      </w:r>
    </w:p>
    <w:p w14:paraId="12E3A43C" w14:textId="77777777" w:rsidR="002343D4" w:rsidRDefault="002343D4" w:rsidP="00B8324C">
      <w:pPr>
        <w:pStyle w:val="ListBullet"/>
      </w:pPr>
      <w:r>
        <w:t>One death due to ILD (Study X2101)</w:t>
      </w:r>
    </w:p>
    <w:p w14:paraId="4220468C" w14:textId="77777777" w:rsidR="002343D4" w:rsidRDefault="002343D4" w:rsidP="00B8324C">
      <w:pPr>
        <w:pStyle w:val="ListBullet"/>
      </w:pPr>
      <w:r>
        <w:lastRenderedPageBreak/>
        <w:t>One death due to multi-organ failure that occurred in the context of infection and ischaemic hepatitis (Study X2101)</w:t>
      </w:r>
    </w:p>
    <w:p w14:paraId="6B3F3DE7" w14:textId="77777777" w:rsidR="002343D4" w:rsidRDefault="002343D4" w:rsidP="00B8324C">
      <w:pPr>
        <w:pStyle w:val="ListBullet"/>
      </w:pPr>
      <w:r>
        <w:t>One death due to pneumonia (Study A2201).</w:t>
      </w:r>
    </w:p>
    <w:p w14:paraId="7436A6F9" w14:textId="7B97B043" w:rsidR="002343D4" w:rsidRDefault="00B8324C" w:rsidP="00B8324C">
      <w:r w:rsidRPr="00B8324C">
        <w:t>C</w:t>
      </w:r>
      <w:r w:rsidR="002343D4">
        <w:t>urrently the PI does not adequately present the risks associated with ceritinib treatment</w:t>
      </w:r>
      <w:r>
        <w:t>;</w:t>
      </w:r>
      <w:r w:rsidR="002343D4">
        <w:t xml:space="preserve"> acceptance of the proposed boxed warning for communication of the risks is required, and the Delegate proposes inclusion of the deaths from ILD (See ILD s</w:t>
      </w:r>
      <w:r w:rsidR="00227769">
        <w:t>ection below).</w:t>
      </w:r>
    </w:p>
    <w:p w14:paraId="6FB09990" w14:textId="77777777" w:rsidR="002343D4" w:rsidRPr="001B6543" w:rsidRDefault="002343D4" w:rsidP="00B8324C">
      <w:pPr>
        <w:pStyle w:val="Heading5"/>
      </w:pPr>
      <w:r w:rsidRPr="001B6543">
        <w:t>Serious Adverse Events</w:t>
      </w:r>
    </w:p>
    <w:p w14:paraId="650013EF" w14:textId="77777777" w:rsidR="002343D4" w:rsidRDefault="002343D4" w:rsidP="00B8324C">
      <w:r>
        <w:t>Ceritinib related SAEs were reported in 13.1% of patients. Ceritinib-related SAEs were each reported in &lt;1% of patients, with the exception of pneumonitis (1.9%), pericarditis (1.5%), nausea (1.1%) and pneumonia (1.0%).</w:t>
      </w:r>
    </w:p>
    <w:p w14:paraId="4F09A3F2" w14:textId="77777777" w:rsidR="002343D4" w:rsidRDefault="00B8324C" w:rsidP="00B8324C">
      <w:pPr>
        <w:rPr>
          <w:rFonts w:asciiTheme="minorHAnsi" w:hAnsiTheme="minorHAnsi"/>
        </w:rPr>
      </w:pPr>
      <w:bookmarkStart w:id="231" w:name="_Toc300498661"/>
      <w:r w:rsidRPr="00B8324C">
        <w:t>C</w:t>
      </w:r>
      <w:r w:rsidR="002343D4" w:rsidRPr="00B8324C">
        <w:t>urrently the PI does not adequately present the risks associated with ceritinib treatment</w:t>
      </w:r>
      <w:r>
        <w:t>;</w:t>
      </w:r>
      <w:r w:rsidR="002343D4" w:rsidRPr="00B8324C">
        <w:t xml:space="preserve"> acceptance of the proposed boxed warning for communication of the risks is required and the Delegate proposes inclusion</w:t>
      </w:r>
      <w:r w:rsidR="002343D4">
        <w:rPr>
          <w:rFonts w:asciiTheme="minorHAnsi" w:hAnsiTheme="minorHAnsi"/>
        </w:rPr>
        <w:t xml:space="preserve"> of the death from ILD. </w:t>
      </w:r>
    </w:p>
    <w:p w14:paraId="3FE358E0" w14:textId="77777777" w:rsidR="002343D4" w:rsidRPr="00297200" w:rsidRDefault="002343D4" w:rsidP="00B8324C">
      <w:pPr>
        <w:pStyle w:val="TableTitle"/>
      </w:pPr>
      <w:r w:rsidRPr="00297200">
        <w:t xml:space="preserve">Table </w:t>
      </w:r>
      <w:r w:rsidR="00B8324C">
        <w:t>13:</w:t>
      </w:r>
      <w:r w:rsidRPr="00297200">
        <w:t xml:space="preserve"> Overview of deaths and other serious or clinically relevant adverse events in the pooled dataset (Safety Set)</w:t>
      </w:r>
      <w:bookmarkEnd w:id="231"/>
    </w:p>
    <w:p w14:paraId="0FD55AAD" w14:textId="77777777" w:rsidR="002343D4" w:rsidRPr="007F6632" w:rsidRDefault="00B8324C" w:rsidP="002343D4">
      <w:pPr>
        <w:jc w:val="both"/>
      </w:pPr>
      <w:r>
        <w:rPr>
          <w:noProof/>
          <w:lang w:eastAsia="en-AU"/>
        </w:rPr>
        <w:drawing>
          <wp:inline distT="0" distB="0" distL="0" distR="0" wp14:anchorId="1D67441F" wp14:editId="62B772CD">
            <wp:extent cx="5124450" cy="3694422"/>
            <wp:effectExtent l="0" t="0" r="0" b="1905"/>
            <wp:docPr id="2" name="Picture 2" descr="Image of table 13 showing the overview of deaths and other serious or clinically relevant adverse events in the pooled dataset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123847" cy="3693988"/>
                    </a:xfrm>
                    <a:prstGeom prst="rect">
                      <a:avLst/>
                    </a:prstGeom>
                  </pic:spPr>
                </pic:pic>
              </a:graphicData>
            </a:graphic>
          </wp:inline>
        </w:drawing>
      </w:r>
    </w:p>
    <w:p w14:paraId="07045566" w14:textId="77777777" w:rsidR="002343D4" w:rsidRPr="00E01ACB" w:rsidRDefault="002343D4" w:rsidP="00B8324C">
      <w:pPr>
        <w:pStyle w:val="TableTitle"/>
      </w:pPr>
      <w:bookmarkStart w:id="232" w:name="_Toc300498662"/>
      <w:r w:rsidRPr="00C06B62">
        <w:t>Table</w:t>
      </w:r>
      <w:r>
        <w:t xml:space="preserve"> </w:t>
      </w:r>
      <w:r w:rsidR="00B8324C">
        <w:t>14:</w:t>
      </w:r>
      <w:r w:rsidRPr="00C06B62">
        <w:t xml:space="preserve"> Summary of adverse events leading to study drug discontinuation for ceritinib 75</w:t>
      </w:r>
      <w:r w:rsidR="00326B43">
        <w:t>0 mg</w:t>
      </w:r>
      <w:r w:rsidRPr="00C06B62">
        <w:t xml:space="preserve"> group (n</w:t>
      </w:r>
      <w:r>
        <w:t xml:space="preserve"> ≥ 2 </w:t>
      </w:r>
      <w:r w:rsidRPr="00C06B62">
        <w:t>in all grades) by preferred term in pooled dataset (n=525), including Study X2101, X1101, A2201 and A2203.</w:t>
      </w:r>
      <w:bookmarkEnd w:id="232"/>
      <w:r w:rsidR="000E3918">
        <w:t xml:space="preserve"> </w:t>
      </w:r>
    </w:p>
    <w:tbl>
      <w:tblPr>
        <w:tblStyle w:val="TableTGAblue"/>
        <w:tblW w:w="8613" w:type="dxa"/>
        <w:tblLayout w:type="fixed"/>
        <w:tblLook w:val="04A0" w:firstRow="1" w:lastRow="0" w:firstColumn="1" w:lastColumn="0" w:noHBand="0" w:noVBand="1"/>
        <w:tblDescription w:val="Table 14: Summary of adverse events leading to study drug discontinuation for ceritinib 750 mg group (n ≥ 2 in all grades) by preferred term in pooled dataset (n=525), including Study X2101, X1101, A2201 and A2203. "/>
      </w:tblPr>
      <w:tblGrid>
        <w:gridCol w:w="4219"/>
        <w:gridCol w:w="2410"/>
        <w:gridCol w:w="1984"/>
      </w:tblGrid>
      <w:tr w:rsidR="002343D4" w:rsidRPr="00B8324C" w14:paraId="3CB53D10" w14:textId="77777777" w:rsidTr="00DE3455">
        <w:trPr>
          <w:cnfStyle w:val="100000000000" w:firstRow="1" w:lastRow="0" w:firstColumn="0" w:lastColumn="0" w:oddVBand="0" w:evenVBand="0" w:oddHBand="0" w:evenHBand="0" w:firstRowFirstColumn="0" w:firstRowLastColumn="0" w:lastRowFirstColumn="0" w:lastRowLastColumn="0"/>
          <w:cantSplit/>
        </w:trPr>
        <w:tc>
          <w:tcPr>
            <w:tcW w:w="4219" w:type="dxa"/>
            <w:vMerge w:val="restart"/>
          </w:tcPr>
          <w:p w14:paraId="639D6796" w14:textId="77777777" w:rsidR="002343D4" w:rsidRPr="00B8324C" w:rsidRDefault="002343D4" w:rsidP="002343D4">
            <w:pPr>
              <w:autoSpaceDE w:val="0"/>
              <w:autoSpaceDN w:val="0"/>
              <w:adjustRightInd w:val="0"/>
              <w:spacing w:before="0" w:after="0"/>
              <w:jc w:val="both"/>
              <w:rPr>
                <w:sz w:val="20"/>
                <w:szCs w:val="20"/>
              </w:rPr>
            </w:pPr>
            <w:r w:rsidRPr="00B8324C">
              <w:rPr>
                <w:sz w:val="20"/>
                <w:szCs w:val="20"/>
              </w:rPr>
              <w:t>Preferred Term</w:t>
            </w:r>
          </w:p>
        </w:tc>
        <w:tc>
          <w:tcPr>
            <w:tcW w:w="4394" w:type="dxa"/>
            <w:gridSpan w:val="2"/>
          </w:tcPr>
          <w:p w14:paraId="289BD703" w14:textId="77777777" w:rsidR="002343D4" w:rsidRPr="00B8324C" w:rsidRDefault="002343D4" w:rsidP="002343D4">
            <w:pPr>
              <w:autoSpaceDE w:val="0"/>
              <w:autoSpaceDN w:val="0"/>
              <w:adjustRightInd w:val="0"/>
              <w:spacing w:before="0" w:after="0"/>
              <w:jc w:val="both"/>
              <w:rPr>
                <w:sz w:val="20"/>
                <w:szCs w:val="20"/>
              </w:rPr>
            </w:pPr>
            <w:r w:rsidRPr="00B8324C">
              <w:rPr>
                <w:sz w:val="20"/>
                <w:szCs w:val="20"/>
              </w:rPr>
              <w:t>All patients</w:t>
            </w:r>
          </w:p>
          <w:p w14:paraId="7D9448AE" w14:textId="77777777" w:rsidR="002343D4" w:rsidRPr="00B8324C" w:rsidRDefault="002343D4" w:rsidP="002343D4">
            <w:pPr>
              <w:autoSpaceDE w:val="0"/>
              <w:autoSpaceDN w:val="0"/>
              <w:adjustRightInd w:val="0"/>
              <w:spacing w:before="0" w:after="0"/>
              <w:jc w:val="both"/>
              <w:rPr>
                <w:sz w:val="20"/>
                <w:szCs w:val="20"/>
              </w:rPr>
            </w:pPr>
            <w:r w:rsidRPr="00B8324C">
              <w:rPr>
                <w:sz w:val="20"/>
                <w:szCs w:val="20"/>
              </w:rPr>
              <w:t>N=525</w:t>
            </w:r>
          </w:p>
        </w:tc>
      </w:tr>
      <w:tr w:rsidR="002343D4" w:rsidRPr="00B8324C" w14:paraId="0C0CBBE8" w14:textId="77777777" w:rsidTr="00DE3455">
        <w:trPr>
          <w:cantSplit/>
        </w:trPr>
        <w:tc>
          <w:tcPr>
            <w:tcW w:w="4219" w:type="dxa"/>
            <w:vMerge/>
          </w:tcPr>
          <w:p w14:paraId="0FF4606A" w14:textId="77777777" w:rsidR="002343D4" w:rsidRPr="00B8324C" w:rsidRDefault="002343D4" w:rsidP="002343D4">
            <w:pPr>
              <w:autoSpaceDE w:val="0"/>
              <w:autoSpaceDN w:val="0"/>
              <w:adjustRightInd w:val="0"/>
              <w:spacing w:before="0" w:after="0"/>
              <w:jc w:val="both"/>
              <w:rPr>
                <w:sz w:val="20"/>
                <w:szCs w:val="20"/>
              </w:rPr>
            </w:pPr>
          </w:p>
        </w:tc>
        <w:tc>
          <w:tcPr>
            <w:tcW w:w="2410" w:type="dxa"/>
          </w:tcPr>
          <w:p w14:paraId="2D236E91" w14:textId="77777777" w:rsidR="002343D4" w:rsidRPr="00227769" w:rsidRDefault="002343D4" w:rsidP="002343D4">
            <w:pPr>
              <w:autoSpaceDE w:val="0"/>
              <w:autoSpaceDN w:val="0"/>
              <w:adjustRightInd w:val="0"/>
              <w:spacing w:before="0" w:after="0"/>
              <w:jc w:val="both"/>
              <w:rPr>
                <w:szCs w:val="22"/>
              </w:rPr>
            </w:pPr>
            <w:r w:rsidRPr="00227769">
              <w:rPr>
                <w:szCs w:val="22"/>
              </w:rPr>
              <w:t>All grades</w:t>
            </w:r>
          </w:p>
          <w:p w14:paraId="43558306" w14:textId="77777777" w:rsidR="002343D4" w:rsidRPr="00227769" w:rsidRDefault="002343D4" w:rsidP="002343D4">
            <w:pPr>
              <w:autoSpaceDE w:val="0"/>
              <w:autoSpaceDN w:val="0"/>
              <w:adjustRightInd w:val="0"/>
              <w:spacing w:before="0" w:after="0"/>
              <w:jc w:val="both"/>
              <w:rPr>
                <w:szCs w:val="22"/>
              </w:rPr>
            </w:pPr>
            <w:r w:rsidRPr="00227769">
              <w:rPr>
                <w:szCs w:val="22"/>
              </w:rPr>
              <w:t>N (%)</w:t>
            </w:r>
          </w:p>
        </w:tc>
        <w:tc>
          <w:tcPr>
            <w:tcW w:w="1984" w:type="dxa"/>
          </w:tcPr>
          <w:p w14:paraId="4290488F" w14:textId="77777777" w:rsidR="002343D4" w:rsidRPr="00227769" w:rsidRDefault="002343D4" w:rsidP="002343D4">
            <w:pPr>
              <w:autoSpaceDE w:val="0"/>
              <w:autoSpaceDN w:val="0"/>
              <w:adjustRightInd w:val="0"/>
              <w:spacing w:before="0" w:after="0"/>
              <w:jc w:val="both"/>
              <w:rPr>
                <w:szCs w:val="22"/>
              </w:rPr>
            </w:pPr>
            <w:r w:rsidRPr="00227769">
              <w:rPr>
                <w:szCs w:val="22"/>
              </w:rPr>
              <w:t>Grade 3/4</w:t>
            </w:r>
          </w:p>
          <w:p w14:paraId="343C6573" w14:textId="77777777" w:rsidR="002343D4" w:rsidRPr="00227769" w:rsidRDefault="002343D4" w:rsidP="002343D4">
            <w:pPr>
              <w:autoSpaceDE w:val="0"/>
              <w:autoSpaceDN w:val="0"/>
              <w:adjustRightInd w:val="0"/>
              <w:spacing w:before="0" w:after="0"/>
              <w:jc w:val="both"/>
              <w:rPr>
                <w:szCs w:val="22"/>
              </w:rPr>
            </w:pPr>
            <w:r w:rsidRPr="00227769">
              <w:rPr>
                <w:szCs w:val="22"/>
              </w:rPr>
              <w:t>N (%)</w:t>
            </w:r>
          </w:p>
        </w:tc>
      </w:tr>
      <w:tr w:rsidR="002343D4" w:rsidRPr="0007648E" w14:paraId="5993B9EC" w14:textId="77777777" w:rsidTr="00DE3455">
        <w:tc>
          <w:tcPr>
            <w:tcW w:w="4219" w:type="dxa"/>
          </w:tcPr>
          <w:p w14:paraId="5F915F90" w14:textId="77777777" w:rsidR="002343D4" w:rsidRPr="00227769" w:rsidRDefault="002343D4" w:rsidP="002343D4">
            <w:pPr>
              <w:autoSpaceDE w:val="0"/>
              <w:autoSpaceDN w:val="0"/>
              <w:adjustRightInd w:val="0"/>
              <w:spacing w:before="0" w:after="0"/>
              <w:jc w:val="both"/>
              <w:rPr>
                <w:szCs w:val="22"/>
              </w:rPr>
            </w:pPr>
            <w:r w:rsidRPr="00227769">
              <w:rPr>
                <w:szCs w:val="22"/>
              </w:rPr>
              <w:t xml:space="preserve">- Total </w:t>
            </w:r>
          </w:p>
        </w:tc>
        <w:tc>
          <w:tcPr>
            <w:tcW w:w="2410" w:type="dxa"/>
          </w:tcPr>
          <w:p w14:paraId="670BFE90" w14:textId="77777777" w:rsidR="002343D4" w:rsidRPr="00227769" w:rsidRDefault="002343D4" w:rsidP="002343D4">
            <w:pPr>
              <w:autoSpaceDE w:val="0"/>
              <w:autoSpaceDN w:val="0"/>
              <w:adjustRightInd w:val="0"/>
              <w:spacing w:before="0" w:after="0"/>
              <w:jc w:val="both"/>
              <w:rPr>
                <w:szCs w:val="22"/>
              </w:rPr>
            </w:pPr>
            <w:r w:rsidRPr="00227769">
              <w:rPr>
                <w:szCs w:val="22"/>
              </w:rPr>
              <w:t>46 (8.8%)</w:t>
            </w:r>
          </w:p>
        </w:tc>
        <w:tc>
          <w:tcPr>
            <w:tcW w:w="1984" w:type="dxa"/>
          </w:tcPr>
          <w:p w14:paraId="5231BFB1" w14:textId="77777777" w:rsidR="002343D4" w:rsidRPr="00227769" w:rsidRDefault="002343D4" w:rsidP="002343D4">
            <w:pPr>
              <w:autoSpaceDE w:val="0"/>
              <w:autoSpaceDN w:val="0"/>
              <w:adjustRightInd w:val="0"/>
              <w:spacing w:before="0" w:after="0"/>
              <w:jc w:val="both"/>
              <w:rPr>
                <w:szCs w:val="22"/>
              </w:rPr>
            </w:pPr>
            <w:r w:rsidRPr="00227769">
              <w:rPr>
                <w:szCs w:val="22"/>
              </w:rPr>
              <w:t>37 (7.0%)</w:t>
            </w:r>
          </w:p>
        </w:tc>
      </w:tr>
      <w:tr w:rsidR="002343D4" w:rsidRPr="0007648E" w14:paraId="5CB2A0B3" w14:textId="77777777" w:rsidTr="00DE3455">
        <w:tc>
          <w:tcPr>
            <w:tcW w:w="4219" w:type="dxa"/>
          </w:tcPr>
          <w:p w14:paraId="13507DA9" w14:textId="77777777" w:rsidR="002343D4" w:rsidRPr="00227769" w:rsidRDefault="002343D4" w:rsidP="002343D4">
            <w:pPr>
              <w:autoSpaceDE w:val="0"/>
              <w:autoSpaceDN w:val="0"/>
              <w:adjustRightInd w:val="0"/>
              <w:spacing w:before="0" w:after="0"/>
              <w:jc w:val="both"/>
              <w:rPr>
                <w:szCs w:val="22"/>
              </w:rPr>
            </w:pPr>
            <w:r w:rsidRPr="00227769">
              <w:rPr>
                <w:szCs w:val="22"/>
              </w:rPr>
              <w:t>Pneumonitis</w:t>
            </w:r>
          </w:p>
        </w:tc>
        <w:tc>
          <w:tcPr>
            <w:tcW w:w="2410" w:type="dxa"/>
          </w:tcPr>
          <w:p w14:paraId="11F17797" w14:textId="77777777" w:rsidR="002343D4" w:rsidRPr="00227769" w:rsidRDefault="002343D4" w:rsidP="002343D4">
            <w:pPr>
              <w:autoSpaceDE w:val="0"/>
              <w:autoSpaceDN w:val="0"/>
              <w:adjustRightInd w:val="0"/>
              <w:spacing w:before="0" w:after="0"/>
              <w:jc w:val="both"/>
              <w:rPr>
                <w:szCs w:val="22"/>
              </w:rPr>
            </w:pPr>
            <w:r w:rsidRPr="00227769">
              <w:rPr>
                <w:szCs w:val="22"/>
              </w:rPr>
              <w:t>4 (0.8%)</w:t>
            </w:r>
          </w:p>
        </w:tc>
        <w:tc>
          <w:tcPr>
            <w:tcW w:w="1984" w:type="dxa"/>
          </w:tcPr>
          <w:p w14:paraId="7785A25C" w14:textId="77777777" w:rsidR="002343D4" w:rsidRPr="00227769" w:rsidRDefault="002343D4" w:rsidP="002343D4">
            <w:pPr>
              <w:autoSpaceDE w:val="0"/>
              <w:autoSpaceDN w:val="0"/>
              <w:adjustRightInd w:val="0"/>
              <w:spacing w:before="0" w:after="0"/>
              <w:jc w:val="both"/>
              <w:rPr>
                <w:szCs w:val="22"/>
              </w:rPr>
            </w:pPr>
            <w:r w:rsidRPr="00227769">
              <w:rPr>
                <w:szCs w:val="22"/>
              </w:rPr>
              <w:t>3 (0.6%)</w:t>
            </w:r>
          </w:p>
        </w:tc>
      </w:tr>
      <w:tr w:rsidR="002343D4" w:rsidRPr="0007648E" w14:paraId="6F8074EE" w14:textId="77777777" w:rsidTr="00DE3455">
        <w:tc>
          <w:tcPr>
            <w:tcW w:w="4219" w:type="dxa"/>
          </w:tcPr>
          <w:p w14:paraId="4BCBE7D7" w14:textId="77777777" w:rsidR="002343D4" w:rsidRPr="00227769" w:rsidRDefault="002343D4" w:rsidP="002343D4">
            <w:pPr>
              <w:autoSpaceDE w:val="0"/>
              <w:autoSpaceDN w:val="0"/>
              <w:adjustRightInd w:val="0"/>
              <w:spacing w:before="0" w:after="0"/>
              <w:jc w:val="both"/>
              <w:rPr>
                <w:szCs w:val="22"/>
              </w:rPr>
            </w:pPr>
            <w:r w:rsidRPr="00227769">
              <w:rPr>
                <w:szCs w:val="22"/>
              </w:rPr>
              <w:t>Interstitial lung disease</w:t>
            </w:r>
          </w:p>
        </w:tc>
        <w:tc>
          <w:tcPr>
            <w:tcW w:w="2410" w:type="dxa"/>
          </w:tcPr>
          <w:p w14:paraId="688A03C3" w14:textId="77777777" w:rsidR="002343D4" w:rsidRPr="00227769" w:rsidRDefault="002343D4" w:rsidP="002343D4">
            <w:pPr>
              <w:autoSpaceDE w:val="0"/>
              <w:autoSpaceDN w:val="0"/>
              <w:adjustRightInd w:val="0"/>
              <w:spacing w:before="0" w:after="0"/>
              <w:jc w:val="both"/>
              <w:rPr>
                <w:szCs w:val="22"/>
              </w:rPr>
            </w:pPr>
            <w:r w:rsidRPr="00227769">
              <w:rPr>
                <w:szCs w:val="22"/>
              </w:rPr>
              <w:t>2 (0.4%)</w:t>
            </w:r>
          </w:p>
        </w:tc>
        <w:tc>
          <w:tcPr>
            <w:tcW w:w="1984" w:type="dxa"/>
          </w:tcPr>
          <w:p w14:paraId="11BF35D2" w14:textId="77777777" w:rsidR="002343D4" w:rsidRPr="00227769" w:rsidRDefault="002343D4" w:rsidP="002343D4">
            <w:pPr>
              <w:autoSpaceDE w:val="0"/>
              <w:autoSpaceDN w:val="0"/>
              <w:adjustRightInd w:val="0"/>
              <w:spacing w:before="0" w:after="0"/>
              <w:jc w:val="both"/>
              <w:rPr>
                <w:szCs w:val="22"/>
              </w:rPr>
            </w:pPr>
            <w:r w:rsidRPr="00227769">
              <w:rPr>
                <w:szCs w:val="22"/>
              </w:rPr>
              <w:t>1 (0.2%)</w:t>
            </w:r>
          </w:p>
        </w:tc>
      </w:tr>
      <w:tr w:rsidR="002343D4" w:rsidRPr="0007648E" w14:paraId="6F3213D2" w14:textId="77777777" w:rsidTr="00DE3455">
        <w:tc>
          <w:tcPr>
            <w:tcW w:w="4219" w:type="dxa"/>
          </w:tcPr>
          <w:p w14:paraId="2E12BEC8" w14:textId="77777777" w:rsidR="002343D4" w:rsidRPr="00227769" w:rsidRDefault="002343D4" w:rsidP="002343D4">
            <w:pPr>
              <w:autoSpaceDE w:val="0"/>
              <w:autoSpaceDN w:val="0"/>
              <w:adjustRightInd w:val="0"/>
              <w:spacing w:before="0" w:after="0"/>
              <w:jc w:val="both"/>
              <w:rPr>
                <w:szCs w:val="22"/>
              </w:rPr>
            </w:pPr>
            <w:r w:rsidRPr="00227769">
              <w:rPr>
                <w:szCs w:val="22"/>
              </w:rPr>
              <w:t>Pneumonia aspiration</w:t>
            </w:r>
          </w:p>
        </w:tc>
        <w:tc>
          <w:tcPr>
            <w:tcW w:w="2410" w:type="dxa"/>
          </w:tcPr>
          <w:p w14:paraId="202DBCED" w14:textId="77777777" w:rsidR="002343D4" w:rsidRPr="00227769" w:rsidRDefault="002343D4" w:rsidP="002343D4">
            <w:pPr>
              <w:autoSpaceDE w:val="0"/>
              <w:autoSpaceDN w:val="0"/>
              <w:adjustRightInd w:val="0"/>
              <w:spacing w:before="0" w:after="0"/>
              <w:jc w:val="both"/>
              <w:rPr>
                <w:szCs w:val="22"/>
              </w:rPr>
            </w:pPr>
            <w:r w:rsidRPr="00227769">
              <w:rPr>
                <w:szCs w:val="22"/>
              </w:rPr>
              <w:t>2 (0.4%)</w:t>
            </w:r>
          </w:p>
        </w:tc>
        <w:tc>
          <w:tcPr>
            <w:tcW w:w="1984" w:type="dxa"/>
          </w:tcPr>
          <w:p w14:paraId="15B58167" w14:textId="77777777" w:rsidR="002343D4" w:rsidRPr="00227769" w:rsidRDefault="002343D4" w:rsidP="002343D4">
            <w:pPr>
              <w:autoSpaceDE w:val="0"/>
              <w:autoSpaceDN w:val="0"/>
              <w:adjustRightInd w:val="0"/>
              <w:spacing w:before="0" w:after="0"/>
              <w:jc w:val="both"/>
              <w:rPr>
                <w:szCs w:val="22"/>
              </w:rPr>
            </w:pPr>
            <w:r w:rsidRPr="00227769">
              <w:rPr>
                <w:szCs w:val="22"/>
              </w:rPr>
              <w:t>2 (0.4%)</w:t>
            </w:r>
          </w:p>
        </w:tc>
      </w:tr>
      <w:tr w:rsidR="002343D4" w:rsidRPr="0007648E" w14:paraId="505E03AD" w14:textId="77777777" w:rsidTr="00DE3455">
        <w:tc>
          <w:tcPr>
            <w:tcW w:w="4219" w:type="dxa"/>
          </w:tcPr>
          <w:p w14:paraId="6F2F6376" w14:textId="77777777" w:rsidR="002343D4" w:rsidRPr="00227769" w:rsidRDefault="002343D4" w:rsidP="002343D4">
            <w:pPr>
              <w:autoSpaceDE w:val="0"/>
              <w:autoSpaceDN w:val="0"/>
              <w:adjustRightInd w:val="0"/>
              <w:spacing w:before="0" w:after="0"/>
              <w:jc w:val="both"/>
              <w:rPr>
                <w:szCs w:val="22"/>
              </w:rPr>
            </w:pPr>
            <w:r w:rsidRPr="00227769">
              <w:rPr>
                <w:szCs w:val="22"/>
              </w:rPr>
              <w:t>Respiratory failure</w:t>
            </w:r>
          </w:p>
        </w:tc>
        <w:tc>
          <w:tcPr>
            <w:tcW w:w="2410" w:type="dxa"/>
          </w:tcPr>
          <w:p w14:paraId="08078F98" w14:textId="77777777" w:rsidR="002343D4" w:rsidRPr="00227769" w:rsidRDefault="002343D4" w:rsidP="002343D4">
            <w:pPr>
              <w:autoSpaceDE w:val="0"/>
              <w:autoSpaceDN w:val="0"/>
              <w:adjustRightInd w:val="0"/>
              <w:spacing w:before="0" w:after="0"/>
              <w:jc w:val="both"/>
              <w:rPr>
                <w:szCs w:val="22"/>
              </w:rPr>
            </w:pPr>
            <w:r w:rsidRPr="00227769">
              <w:rPr>
                <w:szCs w:val="22"/>
              </w:rPr>
              <w:t>2 (0.4%)</w:t>
            </w:r>
          </w:p>
        </w:tc>
        <w:tc>
          <w:tcPr>
            <w:tcW w:w="1984" w:type="dxa"/>
          </w:tcPr>
          <w:p w14:paraId="251C7916" w14:textId="77777777" w:rsidR="002343D4" w:rsidRPr="00227769" w:rsidRDefault="002343D4" w:rsidP="002343D4">
            <w:pPr>
              <w:autoSpaceDE w:val="0"/>
              <w:autoSpaceDN w:val="0"/>
              <w:adjustRightInd w:val="0"/>
              <w:spacing w:before="0" w:after="0"/>
              <w:jc w:val="both"/>
              <w:rPr>
                <w:szCs w:val="22"/>
              </w:rPr>
            </w:pPr>
            <w:r w:rsidRPr="00227769">
              <w:rPr>
                <w:szCs w:val="22"/>
              </w:rPr>
              <w:t>2 (0.4%)</w:t>
            </w:r>
          </w:p>
        </w:tc>
      </w:tr>
      <w:tr w:rsidR="002343D4" w:rsidRPr="0007648E" w14:paraId="56EFF4A6" w14:textId="77777777" w:rsidTr="00DE3455">
        <w:tc>
          <w:tcPr>
            <w:tcW w:w="4219" w:type="dxa"/>
          </w:tcPr>
          <w:p w14:paraId="41BFF703" w14:textId="77777777" w:rsidR="002343D4" w:rsidRPr="00227769" w:rsidRDefault="002343D4" w:rsidP="002343D4">
            <w:pPr>
              <w:autoSpaceDE w:val="0"/>
              <w:autoSpaceDN w:val="0"/>
              <w:adjustRightInd w:val="0"/>
              <w:spacing w:before="0" w:after="0"/>
              <w:jc w:val="both"/>
              <w:rPr>
                <w:szCs w:val="22"/>
              </w:rPr>
            </w:pPr>
            <w:r w:rsidRPr="00227769">
              <w:rPr>
                <w:szCs w:val="22"/>
              </w:rPr>
              <w:t>Infection/infestations</w:t>
            </w:r>
          </w:p>
        </w:tc>
        <w:tc>
          <w:tcPr>
            <w:tcW w:w="2410" w:type="dxa"/>
          </w:tcPr>
          <w:p w14:paraId="7C740EE5" w14:textId="77777777" w:rsidR="002343D4" w:rsidRPr="00227769" w:rsidRDefault="002343D4" w:rsidP="002343D4">
            <w:pPr>
              <w:autoSpaceDE w:val="0"/>
              <w:autoSpaceDN w:val="0"/>
              <w:adjustRightInd w:val="0"/>
              <w:spacing w:before="0" w:after="0"/>
              <w:jc w:val="both"/>
              <w:rPr>
                <w:szCs w:val="22"/>
              </w:rPr>
            </w:pPr>
            <w:r w:rsidRPr="00227769">
              <w:rPr>
                <w:szCs w:val="22"/>
              </w:rPr>
              <w:t>7 (1.3%)</w:t>
            </w:r>
          </w:p>
        </w:tc>
        <w:tc>
          <w:tcPr>
            <w:tcW w:w="1984" w:type="dxa"/>
          </w:tcPr>
          <w:p w14:paraId="0B6C5B1C" w14:textId="77777777" w:rsidR="002343D4" w:rsidRPr="00227769" w:rsidRDefault="002343D4" w:rsidP="002343D4">
            <w:pPr>
              <w:autoSpaceDE w:val="0"/>
              <w:autoSpaceDN w:val="0"/>
              <w:adjustRightInd w:val="0"/>
              <w:spacing w:before="0" w:after="0"/>
              <w:jc w:val="both"/>
              <w:rPr>
                <w:szCs w:val="22"/>
              </w:rPr>
            </w:pPr>
            <w:r w:rsidRPr="00227769">
              <w:rPr>
                <w:szCs w:val="22"/>
              </w:rPr>
              <w:t>7 (1.3%)</w:t>
            </w:r>
          </w:p>
        </w:tc>
      </w:tr>
      <w:tr w:rsidR="002343D4" w:rsidRPr="0007648E" w14:paraId="1D69D439" w14:textId="77777777" w:rsidTr="00DE3455">
        <w:tc>
          <w:tcPr>
            <w:tcW w:w="4219" w:type="dxa"/>
          </w:tcPr>
          <w:p w14:paraId="4E8955FA" w14:textId="77777777" w:rsidR="002343D4" w:rsidRPr="00227769" w:rsidRDefault="002343D4" w:rsidP="002343D4">
            <w:pPr>
              <w:autoSpaceDE w:val="0"/>
              <w:autoSpaceDN w:val="0"/>
              <w:adjustRightInd w:val="0"/>
              <w:spacing w:before="0" w:after="0"/>
              <w:jc w:val="both"/>
              <w:rPr>
                <w:szCs w:val="22"/>
              </w:rPr>
            </w:pPr>
            <w:r w:rsidRPr="00227769">
              <w:rPr>
                <w:szCs w:val="22"/>
              </w:rPr>
              <w:lastRenderedPageBreak/>
              <w:t>Pneumonia</w:t>
            </w:r>
          </w:p>
        </w:tc>
        <w:tc>
          <w:tcPr>
            <w:tcW w:w="2410" w:type="dxa"/>
          </w:tcPr>
          <w:p w14:paraId="05B43137" w14:textId="77777777" w:rsidR="002343D4" w:rsidRPr="00227769" w:rsidRDefault="002343D4" w:rsidP="002343D4">
            <w:pPr>
              <w:autoSpaceDE w:val="0"/>
              <w:autoSpaceDN w:val="0"/>
              <w:adjustRightInd w:val="0"/>
              <w:spacing w:before="0" w:after="0"/>
              <w:jc w:val="both"/>
              <w:rPr>
                <w:szCs w:val="22"/>
              </w:rPr>
            </w:pPr>
            <w:r w:rsidRPr="00227769">
              <w:rPr>
                <w:szCs w:val="22"/>
              </w:rPr>
              <w:t>4 (0.8%)</w:t>
            </w:r>
          </w:p>
        </w:tc>
        <w:tc>
          <w:tcPr>
            <w:tcW w:w="1984" w:type="dxa"/>
          </w:tcPr>
          <w:p w14:paraId="6CD0B2D7" w14:textId="77777777" w:rsidR="002343D4" w:rsidRPr="00227769" w:rsidRDefault="002343D4" w:rsidP="002343D4">
            <w:pPr>
              <w:autoSpaceDE w:val="0"/>
              <w:autoSpaceDN w:val="0"/>
              <w:adjustRightInd w:val="0"/>
              <w:spacing w:before="0" w:after="0"/>
              <w:jc w:val="both"/>
              <w:rPr>
                <w:szCs w:val="22"/>
              </w:rPr>
            </w:pPr>
            <w:r w:rsidRPr="00227769">
              <w:rPr>
                <w:szCs w:val="22"/>
              </w:rPr>
              <w:t>4 (0.8%)</w:t>
            </w:r>
          </w:p>
        </w:tc>
      </w:tr>
      <w:tr w:rsidR="002343D4" w:rsidRPr="0007648E" w14:paraId="3C67C0C5" w14:textId="77777777" w:rsidTr="00DE3455">
        <w:tc>
          <w:tcPr>
            <w:tcW w:w="4219" w:type="dxa"/>
          </w:tcPr>
          <w:p w14:paraId="7FFF5AC1" w14:textId="77777777" w:rsidR="002343D4" w:rsidRPr="00227769" w:rsidRDefault="002343D4" w:rsidP="002343D4">
            <w:pPr>
              <w:autoSpaceDE w:val="0"/>
              <w:autoSpaceDN w:val="0"/>
              <w:adjustRightInd w:val="0"/>
              <w:spacing w:before="0" w:after="0"/>
              <w:jc w:val="both"/>
              <w:rPr>
                <w:szCs w:val="22"/>
              </w:rPr>
            </w:pPr>
            <w:r w:rsidRPr="00227769">
              <w:rPr>
                <w:szCs w:val="22"/>
              </w:rPr>
              <w:t>Nausea</w:t>
            </w:r>
          </w:p>
        </w:tc>
        <w:tc>
          <w:tcPr>
            <w:tcW w:w="2410" w:type="dxa"/>
          </w:tcPr>
          <w:p w14:paraId="0249AC55" w14:textId="77777777" w:rsidR="002343D4" w:rsidRPr="00227769" w:rsidRDefault="002343D4" w:rsidP="002343D4">
            <w:pPr>
              <w:autoSpaceDE w:val="0"/>
              <w:autoSpaceDN w:val="0"/>
              <w:adjustRightInd w:val="0"/>
              <w:spacing w:before="0" w:after="0"/>
              <w:jc w:val="both"/>
              <w:rPr>
                <w:szCs w:val="22"/>
              </w:rPr>
            </w:pPr>
            <w:r w:rsidRPr="00227769">
              <w:rPr>
                <w:szCs w:val="22"/>
              </w:rPr>
              <w:t>3 (0.6%)</w:t>
            </w:r>
          </w:p>
        </w:tc>
        <w:tc>
          <w:tcPr>
            <w:tcW w:w="1984" w:type="dxa"/>
          </w:tcPr>
          <w:p w14:paraId="5F64E310" w14:textId="77777777" w:rsidR="002343D4" w:rsidRPr="00227769" w:rsidRDefault="002343D4" w:rsidP="002343D4">
            <w:pPr>
              <w:autoSpaceDE w:val="0"/>
              <w:autoSpaceDN w:val="0"/>
              <w:adjustRightInd w:val="0"/>
              <w:spacing w:before="0" w:after="0"/>
              <w:jc w:val="both"/>
              <w:rPr>
                <w:szCs w:val="22"/>
              </w:rPr>
            </w:pPr>
            <w:r w:rsidRPr="00227769">
              <w:rPr>
                <w:szCs w:val="22"/>
              </w:rPr>
              <w:t>1 (0.2%)</w:t>
            </w:r>
          </w:p>
        </w:tc>
      </w:tr>
      <w:tr w:rsidR="002343D4" w:rsidRPr="0007648E" w14:paraId="6F363EF8" w14:textId="77777777" w:rsidTr="00DE3455">
        <w:tc>
          <w:tcPr>
            <w:tcW w:w="4219" w:type="dxa"/>
          </w:tcPr>
          <w:p w14:paraId="735B1BE2" w14:textId="77777777" w:rsidR="002343D4" w:rsidRPr="00227769" w:rsidRDefault="002343D4" w:rsidP="002343D4">
            <w:pPr>
              <w:autoSpaceDE w:val="0"/>
              <w:autoSpaceDN w:val="0"/>
              <w:adjustRightInd w:val="0"/>
              <w:spacing w:before="0" w:after="0"/>
              <w:jc w:val="both"/>
              <w:rPr>
                <w:szCs w:val="22"/>
              </w:rPr>
            </w:pPr>
            <w:r w:rsidRPr="00227769">
              <w:rPr>
                <w:szCs w:val="22"/>
              </w:rPr>
              <w:t>Fatigue</w:t>
            </w:r>
          </w:p>
        </w:tc>
        <w:tc>
          <w:tcPr>
            <w:tcW w:w="2410" w:type="dxa"/>
          </w:tcPr>
          <w:p w14:paraId="09499089" w14:textId="77777777" w:rsidR="002343D4" w:rsidRPr="00227769" w:rsidRDefault="002343D4" w:rsidP="002343D4">
            <w:pPr>
              <w:autoSpaceDE w:val="0"/>
              <w:autoSpaceDN w:val="0"/>
              <w:adjustRightInd w:val="0"/>
              <w:spacing w:before="0" w:after="0"/>
              <w:jc w:val="both"/>
              <w:rPr>
                <w:szCs w:val="22"/>
              </w:rPr>
            </w:pPr>
            <w:r w:rsidRPr="00227769">
              <w:rPr>
                <w:szCs w:val="22"/>
              </w:rPr>
              <w:t>2 (0.4%)</w:t>
            </w:r>
          </w:p>
        </w:tc>
        <w:tc>
          <w:tcPr>
            <w:tcW w:w="1984" w:type="dxa"/>
          </w:tcPr>
          <w:p w14:paraId="663A8CBE" w14:textId="77777777" w:rsidR="002343D4" w:rsidRPr="00227769" w:rsidRDefault="002343D4" w:rsidP="002343D4">
            <w:pPr>
              <w:autoSpaceDE w:val="0"/>
              <w:autoSpaceDN w:val="0"/>
              <w:adjustRightInd w:val="0"/>
              <w:spacing w:before="0" w:after="0"/>
              <w:jc w:val="both"/>
              <w:rPr>
                <w:szCs w:val="22"/>
              </w:rPr>
            </w:pPr>
            <w:r w:rsidRPr="00227769">
              <w:rPr>
                <w:szCs w:val="22"/>
              </w:rPr>
              <w:t>2 (0.4%)</w:t>
            </w:r>
          </w:p>
        </w:tc>
      </w:tr>
      <w:tr w:rsidR="002343D4" w:rsidRPr="0007648E" w14:paraId="39E6C659" w14:textId="77777777" w:rsidTr="00DE3455">
        <w:tc>
          <w:tcPr>
            <w:tcW w:w="4219" w:type="dxa"/>
          </w:tcPr>
          <w:p w14:paraId="0F1AAA28" w14:textId="77777777" w:rsidR="002343D4" w:rsidRPr="00227769" w:rsidRDefault="002343D4" w:rsidP="002343D4">
            <w:pPr>
              <w:autoSpaceDE w:val="0"/>
              <w:autoSpaceDN w:val="0"/>
              <w:adjustRightInd w:val="0"/>
              <w:spacing w:before="0" w:after="0"/>
              <w:jc w:val="both"/>
              <w:rPr>
                <w:szCs w:val="22"/>
              </w:rPr>
            </w:pPr>
            <w:r w:rsidRPr="00227769">
              <w:rPr>
                <w:szCs w:val="22"/>
              </w:rPr>
              <w:t>General physical health deterioration</w:t>
            </w:r>
          </w:p>
        </w:tc>
        <w:tc>
          <w:tcPr>
            <w:tcW w:w="2410" w:type="dxa"/>
          </w:tcPr>
          <w:p w14:paraId="0CFE6FF7" w14:textId="77777777" w:rsidR="002343D4" w:rsidRPr="00227769" w:rsidRDefault="002343D4" w:rsidP="002343D4">
            <w:pPr>
              <w:autoSpaceDE w:val="0"/>
              <w:autoSpaceDN w:val="0"/>
              <w:adjustRightInd w:val="0"/>
              <w:spacing w:before="0" w:after="0"/>
              <w:jc w:val="both"/>
              <w:rPr>
                <w:szCs w:val="22"/>
              </w:rPr>
            </w:pPr>
            <w:r w:rsidRPr="00227769">
              <w:rPr>
                <w:szCs w:val="22"/>
              </w:rPr>
              <w:t>2 (0.4%)</w:t>
            </w:r>
          </w:p>
        </w:tc>
        <w:tc>
          <w:tcPr>
            <w:tcW w:w="1984" w:type="dxa"/>
          </w:tcPr>
          <w:p w14:paraId="181A0962" w14:textId="77777777" w:rsidR="002343D4" w:rsidRPr="00227769" w:rsidRDefault="002343D4" w:rsidP="002343D4">
            <w:pPr>
              <w:autoSpaceDE w:val="0"/>
              <w:autoSpaceDN w:val="0"/>
              <w:adjustRightInd w:val="0"/>
              <w:spacing w:before="0" w:after="0"/>
              <w:jc w:val="both"/>
              <w:rPr>
                <w:szCs w:val="22"/>
              </w:rPr>
            </w:pPr>
            <w:r w:rsidRPr="00227769">
              <w:rPr>
                <w:szCs w:val="22"/>
              </w:rPr>
              <w:t>2 (0.4%)</w:t>
            </w:r>
          </w:p>
        </w:tc>
      </w:tr>
      <w:tr w:rsidR="002343D4" w:rsidRPr="0007648E" w14:paraId="1597741A" w14:textId="77777777" w:rsidTr="00DE3455">
        <w:tc>
          <w:tcPr>
            <w:tcW w:w="4219" w:type="dxa"/>
          </w:tcPr>
          <w:p w14:paraId="655424B0" w14:textId="77777777" w:rsidR="002343D4" w:rsidRPr="00227769" w:rsidRDefault="002343D4" w:rsidP="002343D4">
            <w:pPr>
              <w:autoSpaceDE w:val="0"/>
              <w:autoSpaceDN w:val="0"/>
              <w:adjustRightInd w:val="0"/>
              <w:spacing w:before="0" w:after="0"/>
              <w:jc w:val="both"/>
              <w:rPr>
                <w:szCs w:val="22"/>
              </w:rPr>
            </w:pPr>
            <w:r w:rsidRPr="00227769">
              <w:rPr>
                <w:szCs w:val="22"/>
              </w:rPr>
              <w:t>Increased AST</w:t>
            </w:r>
          </w:p>
        </w:tc>
        <w:tc>
          <w:tcPr>
            <w:tcW w:w="2410" w:type="dxa"/>
          </w:tcPr>
          <w:p w14:paraId="68106467" w14:textId="77777777" w:rsidR="002343D4" w:rsidRPr="00227769" w:rsidRDefault="002343D4" w:rsidP="002343D4">
            <w:pPr>
              <w:autoSpaceDE w:val="0"/>
              <w:autoSpaceDN w:val="0"/>
              <w:adjustRightInd w:val="0"/>
              <w:spacing w:before="0" w:after="0"/>
              <w:jc w:val="both"/>
              <w:rPr>
                <w:szCs w:val="22"/>
              </w:rPr>
            </w:pPr>
            <w:r w:rsidRPr="00227769">
              <w:rPr>
                <w:szCs w:val="22"/>
              </w:rPr>
              <w:t>2 (0.4%)</w:t>
            </w:r>
          </w:p>
        </w:tc>
        <w:tc>
          <w:tcPr>
            <w:tcW w:w="1984" w:type="dxa"/>
          </w:tcPr>
          <w:p w14:paraId="57E8B5E8" w14:textId="77777777" w:rsidR="002343D4" w:rsidRPr="00227769" w:rsidRDefault="002343D4" w:rsidP="002343D4">
            <w:pPr>
              <w:autoSpaceDE w:val="0"/>
              <w:autoSpaceDN w:val="0"/>
              <w:adjustRightInd w:val="0"/>
              <w:spacing w:before="0" w:after="0"/>
              <w:jc w:val="both"/>
              <w:rPr>
                <w:szCs w:val="22"/>
              </w:rPr>
            </w:pPr>
            <w:r w:rsidRPr="00227769">
              <w:rPr>
                <w:szCs w:val="22"/>
              </w:rPr>
              <w:t>1 (0.2%)</w:t>
            </w:r>
          </w:p>
        </w:tc>
      </w:tr>
      <w:tr w:rsidR="002343D4" w:rsidRPr="0007648E" w14:paraId="437CDF32" w14:textId="77777777" w:rsidTr="00DE3455">
        <w:tc>
          <w:tcPr>
            <w:tcW w:w="4219" w:type="dxa"/>
          </w:tcPr>
          <w:p w14:paraId="6E4DD5B8" w14:textId="77777777" w:rsidR="002343D4" w:rsidRPr="00227769" w:rsidRDefault="002343D4" w:rsidP="002343D4">
            <w:pPr>
              <w:autoSpaceDE w:val="0"/>
              <w:autoSpaceDN w:val="0"/>
              <w:adjustRightInd w:val="0"/>
              <w:spacing w:before="0" w:after="0"/>
              <w:jc w:val="both"/>
              <w:rPr>
                <w:szCs w:val="22"/>
              </w:rPr>
            </w:pPr>
            <w:r w:rsidRPr="00227769">
              <w:rPr>
                <w:szCs w:val="22"/>
              </w:rPr>
              <w:t>Cardiac tamponade</w:t>
            </w:r>
          </w:p>
        </w:tc>
        <w:tc>
          <w:tcPr>
            <w:tcW w:w="2410" w:type="dxa"/>
          </w:tcPr>
          <w:p w14:paraId="3B0CF09A" w14:textId="77777777" w:rsidR="002343D4" w:rsidRPr="00227769" w:rsidRDefault="002343D4" w:rsidP="002343D4">
            <w:pPr>
              <w:autoSpaceDE w:val="0"/>
              <w:autoSpaceDN w:val="0"/>
              <w:adjustRightInd w:val="0"/>
              <w:spacing w:before="0" w:after="0"/>
              <w:jc w:val="both"/>
              <w:rPr>
                <w:szCs w:val="22"/>
              </w:rPr>
            </w:pPr>
            <w:r w:rsidRPr="00227769">
              <w:rPr>
                <w:szCs w:val="22"/>
              </w:rPr>
              <w:t>2 (0.4%)</w:t>
            </w:r>
          </w:p>
        </w:tc>
        <w:tc>
          <w:tcPr>
            <w:tcW w:w="1984" w:type="dxa"/>
          </w:tcPr>
          <w:p w14:paraId="7A77080D" w14:textId="77777777" w:rsidR="002343D4" w:rsidRPr="00227769" w:rsidRDefault="002343D4" w:rsidP="002343D4">
            <w:pPr>
              <w:autoSpaceDE w:val="0"/>
              <w:autoSpaceDN w:val="0"/>
              <w:adjustRightInd w:val="0"/>
              <w:spacing w:before="0" w:after="0"/>
              <w:jc w:val="both"/>
              <w:rPr>
                <w:szCs w:val="22"/>
              </w:rPr>
            </w:pPr>
            <w:r w:rsidRPr="00227769">
              <w:rPr>
                <w:szCs w:val="22"/>
              </w:rPr>
              <w:t>2 (0.4%)</w:t>
            </w:r>
          </w:p>
        </w:tc>
      </w:tr>
      <w:tr w:rsidR="002343D4" w:rsidRPr="0007648E" w14:paraId="7B485937" w14:textId="77777777" w:rsidTr="00DE3455">
        <w:tc>
          <w:tcPr>
            <w:tcW w:w="4219" w:type="dxa"/>
          </w:tcPr>
          <w:p w14:paraId="288B6066" w14:textId="77777777" w:rsidR="002343D4" w:rsidRPr="00227769" w:rsidRDefault="002343D4" w:rsidP="002343D4">
            <w:pPr>
              <w:autoSpaceDE w:val="0"/>
              <w:autoSpaceDN w:val="0"/>
              <w:adjustRightInd w:val="0"/>
              <w:spacing w:before="0" w:after="0"/>
              <w:jc w:val="both"/>
              <w:rPr>
                <w:szCs w:val="22"/>
              </w:rPr>
            </w:pPr>
            <w:r w:rsidRPr="00227769">
              <w:rPr>
                <w:szCs w:val="22"/>
              </w:rPr>
              <w:t>Decreased appetite</w:t>
            </w:r>
          </w:p>
        </w:tc>
        <w:tc>
          <w:tcPr>
            <w:tcW w:w="2410" w:type="dxa"/>
          </w:tcPr>
          <w:p w14:paraId="05FDFDBA" w14:textId="77777777" w:rsidR="002343D4" w:rsidRPr="00227769" w:rsidRDefault="002343D4" w:rsidP="002343D4">
            <w:pPr>
              <w:autoSpaceDE w:val="0"/>
              <w:autoSpaceDN w:val="0"/>
              <w:adjustRightInd w:val="0"/>
              <w:spacing w:before="0" w:after="0"/>
              <w:jc w:val="both"/>
              <w:rPr>
                <w:szCs w:val="22"/>
              </w:rPr>
            </w:pPr>
            <w:r w:rsidRPr="00227769">
              <w:rPr>
                <w:szCs w:val="22"/>
              </w:rPr>
              <w:t>2 (0.4%)</w:t>
            </w:r>
          </w:p>
        </w:tc>
        <w:tc>
          <w:tcPr>
            <w:tcW w:w="1984" w:type="dxa"/>
          </w:tcPr>
          <w:p w14:paraId="7BFB85C9" w14:textId="77777777" w:rsidR="002343D4" w:rsidRPr="00227769" w:rsidRDefault="002343D4" w:rsidP="002343D4">
            <w:pPr>
              <w:autoSpaceDE w:val="0"/>
              <w:autoSpaceDN w:val="0"/>
              <w:adjustRightInd w:val="0"/>
              <w:spacing w:before="0" w:after="0"/>
              <w:jc w:val="both"/>
              <w:rPr>
                <w:szCs w:val="22"/>
              </w:rPr>
            </w:pPr>
            <w:r w:rsidRPr="00227769">
              <w:rPr>
                <w:szCs w:val="22"/>
              </w:rPr>
              <w:t>1 (0.2%)</w:t>
            </w:r>
          </w:p>
        </w:tc>
      </w:tr>
    </w:tbl>
    <w:p w14:paraId="21939416" w14:textId="77777777" w:rsidR="002343D4" w:rsidRDefault="00B8324C" w:rsidP="00450F2D">
      <w:r>
        <w:t>T</w:t>
      </w:r>
      <w:r w:rsidR="002343D4">
        <w:t xml:space="preserve">he presentation of data </w:t>
      </w:r>
      <w:r w:rsidR="002343D4" w:rsidRPr="00B8324C">
        <w:t>by n</w:t>
      </w:r>
      <w:r w:rsidRPr="00B8324C">
        <w:t xml:space="preserve"> ≥ </w:t>
      </w:r>
      <w:r w:rsidR="002343D4" w:rsidRPr="00B8324C">
        <w:t>2 in</w:t>
      </w:r>
      <w:r w:rsidR="002343D4">
        <w:t xml:space="preserve"> a small dataset, with variable duration of exposure means less common but severe events will not be presented or may not even have been captured, especially as no randomised controlled trials had been completed and presented. Of note, the single case of drug</w:t>
      </w:r>
      <w:r w:rsidR="00450F2D">
        <w:t xml:space="preserve"> </w:t>
      </w:r>
      <w:r w:rsidR="002343D4">
        <w:t>induced liver injury requiring discontinuation in Study X1101 has not been presented, but appears to be captured in the overall figure of 46 discontinuations.</w:t>
      </w:r>
    </w:p>
    <w:p w14:paraId="35A4C245" w14:textId="77777777" w:rsidR="002343D4" w:rsidRDefault="002343D4" w:rsidP="00450F2D">
      <w:r>
        <w:rPr>
          <w:rFonts w:asciiTheme="minorHAnsi" w:hAnsiTheme="minorHAnsi"/>
        </w:rPr>
        <w:t xml:space="preserve">Consistent with the high rate of AEs, dose adjustments (57.8% reported in the </w:t>
      </w:r>
      <w:r w:rsidR="00450F2D">
        <w:rPr>
          <w:rFonts w:asciiTheme="minorHAnsi" w:hAnsiTheme="minorHAnsi"/>
        </w:rPr>
        <w:t>European Public Assessment Report (</w:t>
      </w:r>
      <w:r>
        <w:rPr>
          <w:rFonts w:asciiTheme="minorHAnsi" w:hAnsiTheme="minorHAnsi"/>
        </w:rPr>
        <w:t>EPAR</w:t>
      </w:r>
      <w:r w:rsidR="00450F2D">
        <w:rPr>
          <w:rFonts w:asciiTheme="minorHAnsi" w:hAnsiTheme="minorHAnsi"/>
        </w:rPr>
        <w:t>)</w:t>
      </w:r>
      <w:r>
        <w:rPr>
          <w:rFonts w:asciiTheme="minorHAnsi" w:hAnsiTheme="minorHAnsi"/>
        </w:rPr>
        <w:t xml:space="preserve">) and delays were frequent: 74.9% in the pooled dataset with 49.5% due to a Grade 3-4 AE. </w:t>
      </w:r>
      <w:r>
        <w:t xml:space="preserve">The most frequent (any grade, ≥ 5% of patients) AEs requiring dose adjustment or interruption were increased transaminases (ALT 29.0%, AST 15.6%), GI toxicity (nausea 18.7%, vomiting 18.7%, diarrhoea 16.0%), fatigue (6.9%), abdominal pain (6.1%) and decreased appetite (5.3%). </w:t>
      </w:r>
    </w:p>
    <w:p w14:paraId="0CBDA657" w14:textId="77777777" w:rsidR="002343D4" w:rsidRPr="00A311D4" w:rsidRDefault="002343D4" w:rsidP="00450F2D">
      <w:pPr>
        <w:rPr>
          <w:rFonts w:asciiTheme="minorHAnsi" w:hAnsiTheme="minorHAnsi"/>
        </w:rPr>
      </w:pPr>
      <w:r>
        <w:rPr>
          <w:rFonts w:asciiTheme="minorHAnsi" w:hAnsiTheme="minorHAnsi"/>
        </w:rPr>
        <w:t>G</w:t>
      </w:r>
      <w:r w:rsidRPr="00A311D4">
        <w:rPr>
          <w:rFonts w:asciiTheme="minorHAnsi" w:hAnsiTheme="minorHAnsi"/>
        </w:rPr>
        <w:t>rade 3-4 AEs requiring dose adjustment or interruption were increased transaminases (ALT 20.6%, AST 6.5%), GI toxicity (diarrhoea 4.4%, nausea 3.8%</w:t>
      </w:r>
      <w:r w:rsidR="00450F2D">
        <w:rPr>
          <w:rFonts w:asciiTheme="minorHAnsi" w:hAnsiTheme="minorHAnsi"/>
        </w:rPr>
        <w:t xml:space="preserve"> and</w:t>
      </w:r>
      <w:r w:rsidRPr="00A311D4">
        <w:rPr>
          <w:rFonts w:asciiTheme="minorHAnsi" w:hAnsiTheme="minorHAnsi"/>
        </w:rPr>
        <w:t xml:space="preserve"> vomiting 3.6%), and fatigue (3.0%).</w:t>
      </w:r>
    </w:p>
    <w:p w14:paraId="62A2FFD7" w14:textId="77777777" w:rsidR="002343D4" w:rsidRDefault="00450F2D" w:rsidP="002343D4">
      <w:pPr>
        <w:pStyle w:val="NormalWeb"/>
        <w:rPr>
          <w:rFonts w:asciiTheme="minorHAnsi" w:hAnsiTheme="minorHAnsi"/>
          <w:sz w:val="22"/>
          <w:szCs w:val="22"/>
        </w:rPr>
      </w:pPr>
      <w:r>
        <w:rPr>
          <w:rFonts w:asciiTheme="minorHAnsi" w:hAnsiTheme="minorHAnsi"/>
          <w:sz w:val="22"/>
          <w:szCs w:val="22"/>
        </w:rPr>
        <w:t>The Delegate agrees with the clinical e</w:t>
      </w:r>
      <w:r w:rsidR="002343D4">
        <w:rPr>
          <w:rFonts w:asciiTheme="minorHAnsi" w:hAnsiTheme="minorHAnsi"/>
          <w:sz w:val="22"/>
          <w:szCs w:val="22"/>
        </w:rPr>
        <w:t>valuator that the high rate of dose adjustment indicates that the starting dose is too high. It is unclear why the next dose level down was not used as the starting dose, particularly as so many patients were then reduced to that dose. There are no pharmacodynamic data to support the higher dose and efficacy did not appear to be strongly linked to exposure. The detrimental impact of the gastrointestinal toxicities on quality of life should not be underestimated. The Delegate is concerned that some patients may take ceritinib with food in an attempt to manage the severe nausea, vomiting inadvertently increasing exposure and the risk of other severe AEs</w:t>
      </w:r>
      <w:r>
        <w:rPr>
          <w:rFonts w:asciiTheme="minorHAnsi" w:hAnsiTheme="minorHAnsi"/>
          <w:sz w:val="22"/>
          <w:szCs w:val="22"/>
        </w:rPr>
        <w:t>. T</w:t>
      </w:r>
      <w:r w:rsidR="002343D4">
        <w:rPr>
          <w:rFonts w:asciiTheme="minorHAnsi" w:hAnsiTheme="minorHAnsi"/>
          <w:sz w:val="22"/>
          <w:szCs w:val="22"/>
        </w:rPr>
        <w:t>he boxed warning in both the PI and CMI is required to reduce that risk. The relatively low discontinuation rate supports that the AEs are manageable with additional medications or dose modification but also indicates the motivation of the patients with this disease.</w:t>
      </w:r>
    </w:p>
    <w:p w14:paraId="223DC9B4" w14:textId="77777777" w:rsidR="002343D4" w:rsidRPr="00915C4B" w:rsidRDefault="002343D4" w:rsidP="00450F2D">
      <w:pPr>
        <w:pStyle w:val="Heading5"/>
      </w:pPr>
      <w:r w:rsidRPr="00915C4B">
        <w:t>Adverse events of special interest</w:t>
      </w:r>
    </w:p>
    <w:p w14:paraId="376FB5C3" w14:textId="77777777" w:rsidR="002343D4" w:rsidRPr="001F4564" w:rsidRDefault="00450F2D" w:rsidP="002343D4">
      <w:pPr>
        <w:jc w:val="both"/>
      </w:pPr>
      <w:r>
        <w:t>The s</w:t>
      </w:r>
      <w:r w:rsidR="002343D4">
        <w:t xml:space="preserve">ponsor identified the following as </w:t>
      </w:r>
      <w:r w:rsidR="002343D4" w:rsidRPr="001F4564">
        <w:t>hepatotoxicity, interstitial lung disease (ILD)/pneumonitis, QT prolongation, bradycardia, hyperglycaemia and GI toxicity.</w:t>
      </w:r>
      <w:r w:rsidR="002343D4">
        <w:t xml:space="preserve"> Some of the following summaries are taken from the EMA’s EPAR</w:t>
      </w:r>
      <w:r>
        <w:t>:</w:t>
      </w:r>
    </w:p>
    <w:p w14:paraId="539CDC98" w14:textId="77777777" w:rsidR="002343D4" w:rsidRPr="009D0970" w:rsidRDefault="002343D4" w:rsidP="00450F2D">
      <w:pPr>
        <w:pStyle w:val="Heading6"/>
      </w:pPr>
      <w:r w:rsidRPr="009D0970">
        <w:t>Hepatoxicity</w:t>
      </w:r>
    </w:p>
    <w:p w14:paraId="43C79C7E" w14:textId="77777777" w:rsidR="002343D4" w:rsidRPr="00450F2D" w:rsidRDefault="0089512A" w:rsidP="00450F2D">
      <w:pPr>
        <w:autoSpaceDE w:val="0"/>
        <w:autoSpaceDN w:val="0"/>
        <w:adjustRightInd w:val="0"/>
        <w:spacing w:before="0" w:after="140" w:line="240" w:lineRule="auto"/>
        <w:ind w:left="720"/>
        <w:jc w:val="both"/>
        <w:rPr>
          <w:rFonts w:asciiTheme="minorHAnsi" w:hAnsiTheme="minorHAnsi" w:cs="Verdana"/>
          <w:i/>
          <w:color w:val="000000"/>
        </w:rPr>
      </w:pPr>
      <w:r w:rsidRPr="00450F2D">
        <w:rPr>
          <w:rFonts w:asciiTheme="minorHAnsi" w:hAnsiTheme="minorHAnsi" w:cs="Verdana"/>
          <w:i/>
          <w:color w:val="000000"/>
        </w:rPr>
        <w:t>‘</w:t>
      </w:r>
      <w:r w:rsidR="002343D4" w:rsidRPr="00450F2D">
        <w:rPr>
          <w:rFonts w:asciiTheme="minorHAnsi" w:hAnsiTheme="minorHAnsi" w:cs="Verdana"/>
          <w:i/>
          <w:color w:val="000000"/>
        </w:rPr>
        <w:t xml:space="preserve">Hepatotoxicity AEs (primarily ALT increased and AST increased) were reported in 53.1% of patients, with grade 3-4 AEs reported in 31.0% of patients. The event required dose adjustment or interruption in 34.9% of patients and led to discontinuation in 0.8% of patients. The event was serious in 2.3% of patients. There were no deaths due to a hepatotoxicity AE. </w:t>
      </w:r>
    </w:p>
    <w:p w14:paraId="5BCB6F7B" w14:textId="77777777" w:rsidR="002343D4" w:rsidRPr="00450F2D" w:rsidRDefault="002343D4" w:rsidP="00450F2D">
      <w:pPr>
        <w:ind w:left="720"/>
        <w:jc w:val="both"/>
        <w:rPr>
          <w:rFonts w:asciiTheme="minorHAnsi" w:hAnsiTheme="minorHAnsi"/>
          <w:b/>
          <w:i/>
        </w:rPr>
      </w:pPr>
      <w:r w:rsidRPr="00450F2D">
        <w:rPr>
          <w:rFonts w:asciiTheme="minorHAnsi" w:hAnsiTheme="minorHAnsi" w:cs="Verdana"/>
          <w:i/>
          <w:color w:val="000000"/>
        </w:rPr>
        <w:t>Concurrent elevations of ALT greater than 3× ULN and total bilirubin greater than 2× ULN without elevated alkaline phosphatase have been observed in less than 1% of patients in clinical studies with ceritinib. Increases to grade 3 or 4 ALT elevations were observed in 25% of patients receiving ceritinib.</w:t>
      </w:r>
      <w:r w:rsidR="0089512A" w:rsidRPr="00450F2D">
        <w:rPr>
          <w:rFonts w:asciiTheme="minorHAnsi" w:hAnsiTheme="minorHAnsi" w:cs="Verdana"/>
          <w:i/>
          <w:color w:val="000000"/>
        </w:rPr>
        <w:t>’</w:t>
      </w:r>
    </w:p>
    <w:p w14:paraId="26809621" w14:textId="77777777" w:rsidR="002343D4" w:rsidRPr="006E0EB3" w:rsidRDefault="00450F2D" w:rsidP="006E0EB3">
      <w:r w:rsidRPr="006E0EB3">
        <w:lastRenderedPageBreak/>
        <w:t>The Delegate commented that t</w:t>
      </w:r>
      <w:r w:rsidR="002343D4" w:rsidRPr="006E0EB3">
        <w:t>he current wording in the PI may be confusing to clinicians as striking elevations of transaminases are reported, but the term</w:t>
      </w:r>
      <w:r w:rsidR="000E3918" w:rsidRPr="006E0EB3">
        <w:t xml:space="preserve"> </w:t>
      </w:r>
      <w:r w:rsidR="002343D4" w:rsidRPr="006E0EB3">
        <w:t xml:space="preserve">‘hepatotoxicity’ has been reserved to be used as a synonym for the most severe outcome of drug-induced liver injury. The Delegate has recommended changes to clarify this, including statement using the words </w:t>
      </w:r>
      <w:r w:rsidR="0089512A" w:rsidRPr="006E0EB3">
        <w:t>‘</w:t>
      </w:r>
      <w:r w:rsidR="002343D4" w:rsidRPr="006E0EB3">
        <w:t>drug-induced liver injury</w:t>
      </w:r>
      <w:r w:rsidR="0089512A" w:rsidRPr="006E0EB3">
        <w:t>’</w:t>
      </w:r>
      <w:r w:rsidR="002343D4" w:rsidRPr="006E0EB3">
        <w:t xml:space="preserve"> used in the </w:t>
      </w:r>
      <w:r w:rsidRPr="006E0EB3">
        <w:t>s</w:t>
      </w:r>
      <w:r w:rsidR="002343D4" w:rsidRPr="006E0EB3">
        <w:t xml:space="preserve">ponsor’s own description of the outcome (Study X1101). </w:t>
      </w:r>
    </w:p>
    <w:p w14:paraId="2E0C3EAA" w14:textId="77777777" w:rsidR="002343D4" w:rsidRPr="00CC0A3A" w:rsidRDefault="002343D4" w:rsidP="006E0EB3">
      <w:pPr>
        <w:pStyle w:val="Heading6"/>
      </w:pPr>
      <w:r w:rsidRPr="00CC0A3A">
        <w:t>ILD/Pneumonitis</w:t>
      </w:r>
    </w:p>
    <w:p w14:paraId="26CCCEF5" w14:textId="77777777" w:rsidR="002343D4" w:rsidRDefault="002343D4" w:rsidP="00450F2D">
      <w:r w:rsidRPr="00CC0A3A">
        <w:t>ILD/pneumonitis AEs were repo</w:t>
      </w:r>
      <w:r w:rsidR="00450F2D">
        <w:t>rted in 3.4% of patients, with G</w:t>
      </w:r>
      <w:r w:rsidRPr="00CC0A3A">
        <w:t xml:space="preserve">rade 3-4 AEs reported in 1.9% of patients. The event required dose adjustment or interruption in 2.1% of patients and led to discontinuation in 1.1% of patients. The event was serious in 2.9% of patients. Fifteen patients in the pooled dataset had an ILD/pneumonitis SAE, </w:t>
      </w:r>
      <w:r>
        <w:t>causing</w:t>
      </w:r>
      <w:r w:rsidRPr="00CC0A3A">
        <w:t xml:space="preserve"> death</w:t>
      </w:r>
      <w:r>
        <w:t xml:space="preserve"> in one patient.</w:t>
      </w:r>
    </w:p>
    <w:p w14:paraId="1A2C669F" w14:textId="77777777" w:rsidR="002343D4" w:rsidRDefault="00450F2D" w:rsidP="00450F2D">
      <w:r>
        <w:t>The clinical e</w:t>
      </w:r>
      <w:r w:rsidR="002343D4">
        <w:t xml:space="preserve">valuator noted an additional death from ILD in Study X2102 (ceritinib + AUY922 combination study), that was assessed as related to study drug (which drug is uncertain). </w:t>
      </w:r>
    </w:p>
    <w:p w14:paraId="34699E88" w14:textId="77777777" w:rsidR="002343D4" w:rsidRDefault="00450F2D" w:rsidP="00450F2D">
      <w:r w:rsidRPr="00450F2D">
        <w:t>T</w:t>
      </w:r>
      <w:r w:rsidR="002343D4" w:rsidRPr="00450F2D">
        <w:t>h</w:t>
      </w:r>
      <w:r w:rsidR="002343D4">
        <w:t>e Delegate’s proposed modified indication specifying monotherapy reflects the lack of evidence regarding the safety in combination; in addition, this death in a trial involving combination treatment warrants a statement in the PI that there is no evidence to support the safety and efficacy of ceritinib in combination with other medicines, and that this should only be undertaken in the context of clinical trials (see PI changes).</w:t>
      </w:r>
    </w:p>
    <w:p w14:paraId="52F386CB" w14:textId="77777777" w:rsidR="002343D4" w:rsidRPr="008B25FF" w:rsidRDefault="002343D4" w:rsidP="006E0EB3">
      <w:pPr>
        <w:pStyle w:val="Heading6"/>
      </w:pPr>
      <w:r w:rsidRPr="008B25FF">
        <w:t>QT prolongation and related AEs</w:t>
      </w:r>
    </w:p>
    <w:p w14:paraId="63870D35" w14:textId="77777777" w:rsidR="002343D4" w:rsidRDefault="002343D4" w:rsidP="002343D4">
      <w:pPr>
        <w:pStyle w:val="BodyText"/>
        <w:kinsoku w:val="0"/>
        <w:overflowPunct w:val="0"/>
        <w:ind w:left="108"/>
        <w:jc w:val="both"/>
        <w:rPr>
          <w:rFonts w:ascii="Times New Roman" w:hAnsi="Times New Roman"/>
          <w:sz w:val="2"/>
          <w:szCs w:val="2"/>
        </w:rPr>
      </w:pPr>
      <w:r>
        <w:rPr>
          <w:rFonts w:ascii="Times New Roman" w:hAnsi="Times New Roman"/>
          <w:noProof/>
          <w:sz w:val="2"/>
          <w:szCs w:val="2"/>
          <w:lang w:val="en-AU" w:eastAsia="en-AU"/>
        </w:rPr>
        <w:drawing>
          <wp:inline distT="0" distB="0" distL="0" distR="0" wp14:anchorId="16C8128E" wp14:editId="72530150">
            <wp:extent cx="5105400" cy="9525"/>
            <wp:effectExtent l="0" t="0" r="0" b="9525"/>
            <wp:docPr id="14" name="Picture 14"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05400" cy="9525"/>
                    </a:xfrm>
                    <a:prstGeom prst="rect">
                      <a:avLst/>
                    </a:prstGeom>
                    <a:noFill/>
                    <a:ln>
                      <a:noFill/>
                    </a:ln>
                  </pic:spPr>
                </pic:pic>
              </a:graphicData>
            </a:graphic>
          </wp:inline>
        </w:drawing>
      </w:r>
    </w:p>
    <w:p w14:paraId="4F12A6EF" w14:textId="77777777" w:rsidR="00450F2D" w:rsidRDefault="002343D4" w:rsidP="00450F2D">
      <w:r w:rsidRPr="00580BDA">
        <w:t>The following is taken from the EPAR, together with the table.</w:t>
      </w:r>
      <w:r w:rsidR="000E3918">
        <w:t xml:space="preserve"> </w:t>
      </w:r>
    </w:p>
    <w:p w14:paraId="199B0242" w14:textId="77777777" w:rsidR="002343D4" w:rsidRPr="00450F2D" w:rsidRDefault="0089512A" w:rsidP="00450F2D">
      <w:pPr>
        <w:pStyle w:val="BodyText"/>
        <w:kinsoku w:val="0"/>
        <w:overflowPunct w:val="0"/>
        <w:ind w:left="284" w:right="101"/>
        <w:jc w:val="both"/>
        <w:rPr>
          <w:b w:val="0"/>
          <w:i/>
          <w:spacing w:val="-1"/>
        </w:rPr>
      </w:pPr>
      <w:r>
        <w:rPr>
          <w:b w:val="0"/>
        </w:rPr>
        <w:t>‘</w:t>
      </w:r>
      <w:r w:rsidR="002343D4" w:rsidRPr="00450F2D">
        <w:rPr>
          <w:b w:val="0"/>
          <w:i/>
        </w:rPr>
        <w:t>QT</w:t>
      </w:r>
      <w:r w:rsidR="002343D4" w:rsidRPr="00450F2D">
        <w:rPr>
          <w:b w:val="0"/>
          <w:i/>
          <w:spacing w:val="-14"/>
        </w:rPr>
        <w:t xml:space="preserve"> </w:t>
      </w:r>
      <w:r w:rsidR="002343D4" w:rsidRPr="00450F2D">
        <w:rPr>
          <w:b w:val="0"/>
          <w:i/>
        </w:rPr>
        <w:t>prolongation</w:t>
      </w:r>
      <w:r w:rsidR="002343D4" w:rsidRPr="00450F2D">
        <w:rPr>
          <w:i/>
          <w:spacing w:val="-15"/>
        </w:rPr>
        <w:t xml:space="preserve"> </w:t>
      </w:r>
      <w:r w:rsidR="002343D4" w:rsidRPr="00450F2D">
        <w:rPr>
          <w:b w:val="0"/>
          <w:i/>
          <w:spacing w:val="-1"/>
        </w:rPr>
        <w:t>AEs</w:t>
      </w:r>
      <w:r w:rsidR="002343D4" w:rsidRPr="00450F2D">
        <w:rPr>
          <w:b w:val="0"/>
          <w:i/>
          <w:spacing w:val="-11"/>
        </w:rPr>
        <w:t xml:space="preserve"> </w:t>
      </w:r>
      <w:r w:rsidR="002343D4" w:rsidRPr="00450F2D">
        <w:rPr>
          <w:b w:val="0"/>
          <w:i/>
        </w:rPr>
        <w:t>(primarily</w:t>
      </w:r>
      <w:r w:rsidR="002343D4" w:rsidRPr="00450F2D">
        <w:rPr>
          <w:b w:val="0"/>
          <w:i/>
          <w:spacing w:val="-14"/>
        </w:rPr>
        <w:t xml:space="preserve"> </w:t>
      </w:r>
      <w:r w:rsidR="002343D4" w:rsidRPr="00450F2D">
        <w:rPr>
          <w:b w:val="0"/>
          <w:i/>
          <w:spacing w:val="-1"/>
        </w:rPr>
        <w:t>ECG</w:t>
      </w:r>
      <w:r w:rsidR="002343D4" w:rsidRPr="00450F2D">
        <w:rPr>
          <w:b w:val="0"/>
          <w:i/>
          <w:spacing w:val="-11"/>
        </w:rPr>
        <w:t xml:space="preserve"> </w:t>
      </w:r>
      <w:r w:rsidR="002343D4" w:rsidRPr="00450F2D">
        <w:rPr>
          <w:b w:val="0"/>
          <w:i/>
        </w:rPr>
        <w:t>QT</w:t>
      </w:r>
      <w:r w:rsidR="002343D4" w:rsidRPr="00450F2D">
        <w:rPr>
          <w:b w:val="0"/>
          <w:i/>
          <w:spacing w:val="-11"/>
        </w:rPr>
        <w:t xml:space="preserve"> </w:t>
      </w:r>
      <w:r w:rsidR="002343D4" w:rsidRPr="00450F2D">
        <w:rPr>
          <w:b w:val="0"/>
          <w:i/>
          <w:spacing w:val="-1"/>
        </w:rPr>
        <w:t>prolonged)</w:t>
      </w:r>
      <w:r w:rsidR="002343D4" w:rsidRPr="00450F2D">
        <w:rPr>
          <w:b w:val="0"/>
          <w:i/>
          <w:spacing w:val="-14"/>
        </w:rPr>
        <w:t xml:space="preserve"> </w:t>
      </w:r>
      <w:r w:rsidR="002343D4" w:rsidRPr="00450F2D">
        <w:rPr>
          <w:b w:val="0"/>
          <w:i/>
        </w:rPr>
        <w:t>were</w:t>
      </w:r>
      <w:r w:rsidR="002343D4" w:rsidRPr="00450F2D">
        <w:rPr>
          <w:b w:val="0"/>
          <w:i/>
          <w:spacing w:val="-13"/>
        </w:rPr>
        <w:t xml:space="preserve"> </w:t>
      </w:r>
      <w:r w:rsidR="002343D4" w:rsidRPr="00450F2D">
        <w:rPr>
          <w:b w:val="0"/>
          <w:i/>
          <w:spacing w:val="-1"/>
        </w:rPr>
        <w:t>reported</w:t>
      </w:r>
      <w:r w:rsidR="002343D4" w:rsidRPr="00450F2D">
        <w:rPr>
          <w:b w:val="0"/>
          <w:i/>
          <w:spacing w:val="-13"/>
        </w:rPr>
        <w:t xml:space="preserve"> </w:t>
      </w:r>
      <w:r w:rsidR="002343D4" w:rsidRPr="00450F2D">
        <w:rPr>
          <w:b w:val="0"/>
          <w:i/>
        </w:rPr>
        <w:t>in</w:t>
      </w:r>
      <w:r w:rsidR="002343D4" w:rsidRPr="00450F2D">
        <w:rPr>
          <w:b w:val="0"/>
          <w:i/>
          <w:spacing w:val="-15"/>
        </w:rPr>
        <w:t xml:space="preserve"> </w:t>
      </w:r>
      <w:r w:rsidR="002343D4" w:rsidRPr="00450F2D">
        <w:rPr>
          <w:b w:val="0"/>
          <w:i/>
          <w:spacing w:val="-1"/>
        </w:rPr>
        <w:t>7.6%</w:t>
      </w:r>
      <w:r w:rsidR="002343D4" w:rsidRPr="00450F2D">
        <w:rPr>
          <w:b w:val="0"/>
          <w:i/>
          <w:spacing w:val="-13"/>
        </w:rPr>
        <w:t xml:space="preserve"> </w:t>
      </w:r>
      <w:r w:rsidR="002343D4" w:rsidRPr="00450F2D">
        <w:rPr>
          <w:b w:val="0"/>
          <w:i/>
        </w:rPr>
        <w:t>of</w:t>
      </w:r>
      <w:r w:rsidR="002343D4" w:rsidRPr="00450F2D">
        <w:rPr>
          <w:b w:val="0"/>
          <w:i/>
          <w:spacing w:val="-14"/>
        </w:rPr>
        <w:t xml:space="preserve"> </w:t>
      </w:r>
      <w:r w:rsidR="002343D4" w:rsidRPr="00450F2D">
        <w:rPr>
          <w:b w:val="0"/>
          <w:i/>
          <w:spacing w:val="-1"/>
        </w:rPr>
        <w:t>patients,</w:t>
      </w:r>
      <w:r w:rsidR="002343D4" w:rsidRPr="00450F2D">
        <w:rPr>
          <w:b w:val="0"/>
          <w:i/>
          <w:spacing w:val="-14"/>
        </w:rPr>
        <w:t xml:space="preserve"> </w:t>
      </w:r>
      <w:r w:rsidR="002343D4" w:rsidRPr="00450F2D">
        <w:rPr>
          <w:b w:val="0"/>
          <w:i/>
        </w:rPr>
        <w:t>with</w:t>
      </w:r>
      <w:r w:rsidR="002343D4" w:rsidRPr="00450F2D">
        <w:rPr>
          <w:b w:val="0"/>
          <w:i/>
          <w:spacing w:val="-15"/>
        </w:rPr>
        <w:t xml:space="preserve"> </w:t>
      </w:r>
      <w:r w:rsidR="002343D4" w:rsidRPr="00450F2D">
        <w:rPr>
          <w:b w:val="0"/>
          <w:i/>
          <w:spacing w:val="-1"/>
        </w:rPr>
        <w:t>grade</w:t>
      </w:r>
      <w:r w:rsidR="002343D4" w:rsidRPr="00450F2D">
        <w:rPr>
          <w:b w:val="0"/>
          <w:i/>
          <w:spacing w:val="-13"/>
        </w:rPr>
        <w:t xml:space="preserve"> </w:t>
      </w:r>
      <w:r w:rsidR="002343D4" w:rsidRPr="00450F2D">
        <w:rPr>
          <w:b w:val="0"/>
          <w:i/>
          <w:spacing w:val="-1"/>
        </w:rPr>
        <w:t>3-4</w:t>
      </w:r>
      <w:r w:rsidR="002343D4" w:rsidRPr="00450F2D">
        <w:rPr>
          <w:b w:val="0"/>
          <w:i/>
          <w:spacing w:val="-13"/>
        </w:rPr>
        <w:t xml:space="preserve"> </w:t>
      </w:r>
      <w:r w:rsidR="002343D4" w:rsidRPr="00450F2D">
        <w:rPr>
          <w:b w:val="0"/>
          <w:i/>
          <w:spacing w:val="-1"/>
        </w:rPr>
        <w:t>AEs</w:t>
      </w:r>
      <w:r w:rsidR="002343D4" w:rsidRPr="00450F2D">
        <w:rPr>
          <w:b w:val="0"/>
          <w:i/>
          <w:spacing w:val="81"/>
        </w:rPr>
        <w:t xml:space="preserve"> </w:t>
      </w:r>
      <w:r w:rsidR="002343D4" w:rsidRPr="00450F2D">
        <w:rPr>
          <w:b w:val="0"/>
          <w:i/>
          <w:spacing w:val="-1"/>
        </w:rPr>
        <w:t>reported</w:t>
      </w:r>
      <w:r w:rsidR="002343D4" w:rsidRPr="00450F2D">
        <w:rPr>
          <w:b w:val="0"/>
          <w:i/>
          <w:spacing w:val="-10"/>
        </w:rPr>
        <w:t xml:space="preserve"> </w:t>
      </w:r>
      <w:r w:rsidR="002343D4" w:rsidRPr="00450F2D">
        <w:rPr>
          <w:b w:val="0"/>
          <w:i/>
        </w:rPr>
        <w:t>in</w:t>
      </w:r>
      <w:r w:rsidR="002343D4" w:rsidRPr="00450F2D">
        <w:rPr>
          <w:b w:val="0"/>
          <w:i/>
          <w:spacing w:val="-12"/>
        </w:rPr>
        <w:t xml:space="preserve"> </w:t>
      </w:r>
      <w:r w:rsidR="002343D4" w:rsidRPr="00450F2D">
        <w:rPr>
          <w:b w:val="0"/>
          <w:i/>
          <w:spacing w:val="-1"/>
        </w:rPr>
        <w:t>1.5%</w:t>
      </w:r>
      <w:r w:rsidR="002343D4" w:rsidRPr="00450F2D">
        <w:rPr>
          <w:b w:val="0"/>
          <w:i/>
          <w:spacing w:val="-10"/>
        </w:rPr>
        <w:t xml:space="preserve"> </w:t>
      </w:r>
      <w:r w:rsidR="002343D4" w:rsidRPr="00450F2D">
        <w:rPr>
          <w:b w:val="0"/>
          <w:i/>
        </w:rPr>
        <w:t>of</w:t>
      </w:r>
      <w:r w:rsidR="002343D4" w:rsidRPr="00450F2D">
        <w:rPr>
          <w:b w:val="0"/>
          <w:i/>
          <w:spacing w:val="-12"/>
        </w:rPr>
        <w:t xml:space="preserve"> </w:t>
      </w:r>
      <w:r w:rsidR="002343D4" w:rsidRPr="00450F2D">
        <w:rPr>
          <w:b w:val="0"/>
          <w:i/>
          <w:spacing w:val="-1"/>
        </w:rPr>
        <w:t>patients.</w:t>
      </w:r>
      <w:r w:rsidR="002343D4" w:rsidRPr="00450F2D">
        <w:rPr>
          <w:b w:val="0"/>
          <w:i/>
          <w:spacing w:val="-12"/>
        </w:rPr>
        <w:t xml:space="preserve"> </w:t>
      </w:r>
      <w:r w:rsidR="002343D4" w:rsidRPr="00450F2D">
        <w:rPr>
          <w:b w:val="0"/>
          <w:i/>
          <w:spacing w:val="-1"/>
        </w:rPr>
        <w:t>The</w:t>
      </w:r>
      <w:r w:rsidR="002343D4" w:rsidRPr="00450F2D">
        <w:rPr>
          <w:b w:val="0"/>
          <w:i/>
          <w:spacing w:val="-10"/>
        </w:rPr>
        <w:t xml:space="preserve"> </w:t>
      </w:r>
      <w:r w:rsidR="002343D4" w:rsidRPr="00450F2D">
        <w:rPr>
          <w:b w:val="0"/>
          <w:i/>
          <w:spacing w:val="-1"/>
        </w:rPr>
        <w:t>event</w:t>
      </w:r>
      <w:r w:rsidR="002343D4" w:rsidRPr="00450F2D">
        <w:rPr>
          <w:b w:val="0"/>
          <w:i/>
          <w:spacing w:val="-10"/>
        </w:rPr>
        <w:t xml:space="preserve"> </w:t>
      </w:r>
      <w:r w:rsidR="002343D4" w:rsidRPr="00450F2D">
        <w:rPr>
          <w:b w:val="0"/>
          <w:i/>
          <w:spacing w:val="-1"/>
        </w:rPr>
        <w:t>required</w:t>
      </w:r>
      <w:r w:rsidR="002343D4" w:rsidRPr="00450F2D">
        <w:rPr>
          <w:b w:val="0"/>
          <w:i/>
          <w:spacing w:val="-10"/>
        </w:rPr>
        <w:t xml:space="preserve"> </w:t>
      </w:r>
      <w:r w:rsidR="002343D4" w:rsidRPr="00450F2D">
        <w:rPr>
          <w:b w:val="0"/>
          <w:i/>
          <w:spacing w:val="-1"/>
        </w:rPr>
        <w:t>dose</w:t>
      </w:r>
      <w:r w:rsidR="002343D4" w:rsidRPr="00450F2D">
        <w:rPr>
          <w:b w:val="0"/>
          <w:i/>
          <w:spacing w:val="-10"/>
        </w:rPr>
        <w:t xml:space="preserve"> </w:t>
      </w:r>
      <w:r w:rsidR="002343D4" w:rsidRPr="00450F2D">
        <w:rPr>
          <w:b w:val="0"/>
          <w:i/>
          <w:spacing w:val="-1"/>
        </w:rPr>
        <w:t>adjustment</w:t>
      </w:r>
      <w:r w:rsidR="002343D4" w:rsidRPr="00450F2D">
        <w:rPr>
          <w:b w:val="0"/>
          <w:i/>
          <w:spacing w:val="-10"/>
        </w:rPr>
        <w:t xml:space="preserve"> </w:t>
      </w:r>
      <w:r w:rsidR="002343D4" w:rsidRPr="00450F2D">
        <w:rPr>
          <w:b w:val="0"/>
          <w:i/>
        </w:rPr>
        <w:t>or</w:t>
      </w:r>
      <w:r w:rsidR="002343D4" w:rsidRPr="00450F2D">
        <w:rPr>
          <w:b w:val="0"/>
          <w:i/>
          <w:spacing w:val="-11"/>
        </w:rPr>
        <w:t xml:space="preserve"> </w:t>
      </w:r>
      <w:r w:rsidR="002343D4" w:rsidRPr="00450F2D">
        <w:rPr>
          <w:b w:val="0"/>
          <w:i/>
          <w:spacing w:val="-1"/>
        </w:rPr>
        <w:t>interruption</w:t>
      </w:r>
      <w:r w:rsidR="002343D4" w:rsidRPr="00450F2D">
        <w:rPr>
          <w:b w:val="0"/>
          <w:i/>
          <w:spacing w:val="-12"/>
        </w:rPr>
        <w:t xml:space="preserve"> </w:t>
      </w:r>
      <w:r w:rsidR="002343D4" w:rsidRPr="00450F2D">
        <w:rPr>
          <w:b w:val="0"/>
          <w:i/>
        </w:rPr>
        <w:t>in</w:t>
      </w:r>
      <w:r w:rsidR="002343D4" w:rsidRPr="00450F2D">
        <w:rPr>
          <w:b w:val="0"/>
          <w:i/>
          <w:spacing w:val="-12"/>
        </w:rPr>
        <w:t xml:space="preserve"> </w:t>
      </w:r>
      <w:r w:rsidR="002343D4" w:rsidRPr="00450F2D">
        <w:rPr>
          <w:b w:val="0"/>
          <w:i/>
          <w:spacing w:val="-1"/>
        </w:rPr>
        <w:t>1.0%</w:t>
      </w:r>
      <w:r w:rsidR="002343D4" w:rsidRPr="00450F2D">
        <w:rPr>
          <w:b w:val="0"/>
          <w:i/>
          <w:spacing w:val="-10"/>
        </w:rPr>
        <w:t xml:space="preserve"> </w:t>
      </w:r>
      <w:r w:rsidR="002343D4" w:rsidRPr="00450F2D">
        <w:rPr>
          <w:b w:val="0"/>
          <w:i/>
        </w:rPr>
        <w:t>of</w:t>
      </w:r>
      <w:r w:rsidR="002343D4" w:rsidRPr="00450F2D">
        <w:rPr>
          <w:b w:val="0"/>
          <w:i/>
          <w:spacing w:val="-12"/>
        </w:rPr>
        <w:t xml:space="preserve"> </w:t>
      </w:r>
      <w:r w:rsidR="002343D4" w:rsidRPr="00450F2D">
        <w:rPr>
          <w:b w:val="0"/>
          <w:i/>
          <w:spacing w:val="-1"/>
        </w:rPr>
        <w:t>patients</w:t>
      </w:r>
      <w:r w:rsidR="002343D4" w:rsidRPr="00450F2D">
        <w:rPr>
          <w:b w:val="0"/>
          <w:i/>
          <w:spacing w:val="-11"/>
        </w:rPr>
        <w:t xml:space="preserve"> </w:t>
      </w:r>
      <w:r w:rsidR="002343D4" w:rsidRPr="00450F2D">
        <w:rPr>
          <w:b w:val="0"/>
          <w:i/>
          <w:spacing w:val="-2"/>
        </w:rPr>
        <w:t>and</w:t>
      </w:r>
      <w:r w:rsidR="002343D4" w:rsidRPr="00450F2D">
        <w:rPr>
          <w:b w:val="0"/>
          <w:i/>
          <w:spacing w:val="95"/>
        </w:rPr>
        <w:t xml:space="preserve"> </w:t>
      </w:r>
      <w:r w:rsidR="002343D4" w:rsidRPr="00450F2D">
        <w:rPr>
          <w:b w:val="0"/>
          <w:i/>
        </w:rPr>
        <w:t>led</w:t>
      </w:r>
      <w:r w:rsidR="002343D4" w:rsidRPr="00450F2D">
        <w:rPr>
          <w:b w:val="0"/>
          <w:i/>
          <w:spacing w:val="-1"/>
        </w:rPr>
        <w:t xml:space="preserve"> to</w:t>
      </w:r>
      <w:r w:rsidR="002343D4" w:rsidRPr="00450F2D">
        <w:rPr>
          <w:b w:val="0"/>
          <w:i/>
        </w:rPr>
        <w:t xml:space="preserve"> </w:t>
      </w:r>
      <w:r w:rsidR="002343D4" w:rsidRPr="00450F2D">
        <w:rPr>
          <w:b w:val="0"/>
          <w:i/>
          <w:spacing w:val="-1"/>
        </w:rPr>
        <w:t>discontinuation</w:t>
      </w:r>
      <w:r w:rsidR="002343D4" w:rsidRPr="00450F2D">
        <w:rPr>
          <w:b w:val="0"/>
          <w:i/>
          <w:spacing w:val="-2"/>
        </w:rPr>
        <w:t xml:space="preserve"> </w:t>
      </w:r>
      <w:r w:rsidR="002343D4" w:rsidRPr="00450F2D">
        <w:rPr>
          <w:b w:val="0"/>
          <w:i/>
        </w:rPr>
        <w:t>in</w:t>
      </w:r>
      <w:r w:rsidR="002343D4" w:rsidRPr="00450F2D">
        <w:rPr>
          <w:b w:val="0"/>
          <w:i/>
          <w:spacing w:val="-2"/>
        </w:rPr>
        <w:t xml:space="preserve"> </w:t>
      </w:r>
      <w:r w:rsidR="002343D4" w:rsidRPr="00450F2D">
        <w:rPr>
          <w:b w:val="0"/>
          <w:i/>
          <w:spacing w:val="-1"/>
        </w:rPr>
        <w:t xml:space="preserve">0.2% </w:t>
      </w:r>
      <w:r w:rsidR="002343D4" w:rsidRPr="00450F2D">
        <w:rPr>
          <w:b w:val="0"/>
          <w:i/>
        </w:rPr>
        <w:t>of</w:t>
      </w:r>
      <w:r w:rsidR="002343D4" w:rsidRPr="00450F2D">
        <w:rPr>
          <w:b w:val="0"/>
          <w:i/>
          <w:spacing w:val="-2"/>
        </w:rPr>
        <w:t xml:space="preserve"> </w:t>
      </w:r>
      <w:r w:rsidR="002343D4" w:rsidRPr="00450F2D">
        <w:rPr>
          <w:b w:val="0"/>
          <w:i/>
          <w:spacing w:val="-1"/>
        </w:rPr>
        <w:t>patients.</w:t>
      </w:r>
      <w:r w:rsidR="002343D4" w:rsidRPr="00450F2D">
        <w:rPr>
          <w:b w:val="0"/>
          <w:i/>
          <w:spacing w:val="-2"/>
        </w:rPr>
        <w:t xml:space="preserve"> </w:t>
      </w:r>
      <w:r w:rsidR="002343D4" w:rsidRPr="00450F2D">
        <w:rPr>
          <w:b w:val="0"/>
          <w:i/>
          <w:spacing w:val="-1"/>
        </w:rPr>
        <w:t>The event</w:t>
      </w:r>
      <w:r w:rsidR="002343D4" w:rsidRPr="00450F2D">
        <w:rPr>
          <w:b w:val="0"/>
          <w:i/>
        </w:rPr>
        <w:t xml:space="preserve"> </w:t>
      </w:r>
      <w:r w:rsidR="002343D4" w:rsidRPr="00450F2D">
        <w:rPr>
          <w:b w:val="0"/>
          <w:i/>
          <w:spacing w:val="-1"/>
        </w:rPr>
        <w:t>was</w:t>
      </w:r>
      <w:r w:rsidR="002343D4" w:rsidRPr="00450F2D">
        <w:rPr>
          <w:b w:val="0"/>
          <w:i/>
          <w:spacing w:val="-2"/>
        </w:rPr>
        <w:t xml:space="preserve"> </w:t>
      </w:r>
      <w:r w:rsidR="002343D4" w:rsidRPr="00450F2D">
        <w:rPr>
          <w:b w:val="0"/>
          <w:i/>
          <w:spacing w:val="-1"/>
        </w:rPr>
        <w:t>serious</w:t>
      </w:r>
      <w:r w:rsidR="002343D4" w:rsidRPr="00450F2D">
        <w:rPr>
          <w:b w:val="0"/>
          <w:i/>
          <w:spacing w:val="-2"/>
        </w:rPr>
        <w:t xml:space="preserve"> </w:t>
      </w:r>
      <w:r w:rsidR="002343D4" w:rsidRPr="00450F2D">
        <w:rPr>
          <w:b w:val="0"/>
          <w:i/>
        </w:rPr>
        <w:t>in</w:t>
      </w:r>
      <w:r w:rsidR="002343D4" w:rsidRPr="00450F2D">
        <w:rPr>
          <w:b w:val="0"/>
          <w:i/>
          <w:spacing w:val="-2"/>
        </w:rPr>
        <w:t xml:space="preserve"> </w:t>
      </w:r>
      <w:r w:rsidR="002343D4" w:rsidRPr="00450F2D">
        <w:rPr>
          <w:b w:val="0"/>
          <w:i/>
          <w:spacing w:val="-1"/>
        </w:rPr>
        <w:t xml:space="preserve">0.4% </w:t>
      </w:r>
      <w:r w:rsidR="002343D4" w:rsidRPr="00450F2D">
        <w:rPr>
          <w:b w:val="0"/>
          <w:i/>
        </w:rPr>
        <w:t>of</w:t>
      </w:r>
      <w:r w:rsidR="002343D4" w:rsidRPr="00450F2D">
        <w:rPr>
          <w:b w:val="0"/>
          <w:i/>
          <w:spacing w:val="-2"/>
        </w:rPr>
        <w:t xml:space="preserve"> </w:t>
      </w:r>
      <w:r w:rsidR="002343D4" w:rsidRPr="00450F2D">
        <w:rPr>
          <w:b w:val="0"/>
          <w:i/>
          <w:spacing w:val="-1"/>
        </w:rPr>
        <w:t>patients.</w:t>
      </w:r>
      <w:r w:rsidRPr="00450F2D">
        <w:rPr>
          <w:b w:val="0"/>
          <w:i/>
          <w:spacing w:val="-1"/>
        </w:rPr>
        <w:t>’</w:t>
      </w:r>
    </w:p>
    <w:p w14:paraId="6AB252E0" w14:textId="77777777" w:rsidR="002343D4" w:rsidRDefault="002343D4" w:rsidP="006E0EB3">
      <w:pPr>
        <w:pStyle w:val="TableTitle"/>
        <w:keepLines/>
      </w:pPr>
      <w:r>
        <w:t xml:space="preserve">Table </w:t>
      </w:r>
      <w:r w:rsidR="006E0EB3">
        <w:t>1</w:t>
      </w:r>
      <w:r w:rsidR="00383D66">
        <w:t>5</w:t>
      </w:r>
      <w:r>
        <w:t xml:space="preserve">: </w:t>
      </w:r>
      <w:r>
        <w:rPr>
          <w:spacing w:val="-2"/>
        </w:rPr>
        <w:t xml:space="preserve">QT </w:t>
      </w:r>
      <w:r>
        <w:t>prolongation</w:t>
      </w:r>
      <w:r>
        <w:rPr>
          <w:spacing w:val="-2"/>
        </w:rPr>
        <w:t xml:space="preserve"> </w:t>
      </w:r>
      <w:r>
        <w:t>events</w:t>
      </w:r>
      <w:r>
        <w:rPr>
          <w:spacing w:val="1"/>
        </w:rPr>
        <w:t xml:space="preserve"> </w:t>
      </w:r>
      <w:r>
        <w:rPr>
          <w:spacing w:val="-2"/>
        </w:rPr>
        <w:t>in</w:t>
      </w:r>
      <w:r>
        <w:rPr>
          <w:spacing w:val="1"/>
        </w:rPr>
        <w:t xml:space="preserve"> </w:t>
      </w:r>
      <w:r>
        <w:t>the pooled</w:t>
      </w:r>
      <w:r>
        <w:rPr>
          <w:spacing w:val="-2"/>
        </w:rPr>
        <w:t xml:space="preserve"> </w:t>
      </w:r>
      <w:r>
        <w:t>dataset</w:t>
      </w:r>
      <w:r>
        <w:rPr>
          <w:spacing w:val="1"/>
        </w:rPr>
        <w:t xml:space="preserve"> </w:t>
      </w:r>
      <w:r>
        <w:t xml:space="preserve">(Safety </w:t>
      </w:r>
      <w:r w:rsidRPr="006E0EB3">
        <w:t>set</w:t>
      </w:r>
      <w:r>
        <w:t>)</w:t>
      </w:r>
    </w:p>
    <w:p w14:paraId="56223E5B" w14:textId="77777777" w:rsidR="002343D4" w:rsidRDefault="002343D4" w:rsidP="006E0EB3">
      <w:pPr>
        <w:pStyle w:val="BodyText"/>
        <w:keepNext/>
        <w:kinsoku w:val="0"/>
        <w:overflowPunct w:val="0"/>
        <w:spacing w:line="200" w:lineRule="atLeast"/>
        <w:ind w:left="108"/>
        <w:rPr>
          <w:sz w:val="20"/>
          <w:szCs w:val="20"/>
        </w:rPr>
      </w:pPr>
      <w:r>
        <w:rPr>
          <w:noProof/>
          <w:sz w:val="20"/>
          <w:szCs w:val="20"/>
          <w:lang w:val="en-AU" w:eastAsia="en-AU"/>
        </w:rPr>
        <w:drawing>
          <wp:inline distT="0" distB="0" distL="0" distR="0" wp14:anchorId="07D00B13" wp14:editId="18548A91">
            <wp:extent cx="4193381" cy="3122380"/>
            <wp:effectExtent l="0" t="0" r="0" b="1905"/>
            <wp:docPr id="15" name="Picture 15" descr="image of table 15 showing the QT prolongation events in the pooled dataset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1323" cy="3120847"/>
                    </a:xfrm>
                    <a:prstGeom prst="rect">
                      <a:avLst/>
                    </a:prstGeom>
                    <a:noFill/>
                    <a:ln>
                      <a:noFill/>
                    </a:ln>
                  </pic:spPr>
                </pic:pic>
              </a:graphicData>
            </a:graphic>
          </wp:inline>
        </w:drawing>
      </w:r>
    </w:p>
    <w:p w14:paraId="7ABF00DF" w14:textId="77777777" w:rsidR="002343D4" w:rsidRPr="00CC0A3A" w:rsidRDefault="003241A0" w:rsidP="002343D4">
      <w:pPr>
        <w:jc w:val="both"/>
      </w:pPr>
      <w:r w:rsidRPr="003241A0">
        <w:t>T</w:t>
      </w:r>
      <w:r w:rsidR="002343D4" w:rsidRPr="003241A0">
        <w:t>h</w:t>
      </w:r>
      <w:r w:rsidR="002343D4">
        <w:t>e higher figure of 7.6% reflects consideration of events likely to be related to QT prolongation, which are largely inferred, as well as actual ECG recording abnormalities. The PI currently reports the ECG findings alone under the heading QT prolongation which is adequate, as this is the means of detection and management.</w:t>
      </w:r>
    </w:p>
    <w:p w14:paraId="0C9166B9" w14:textId="77777777" w:rsidR="002343D4" w:rsidRPr="00D51147" w:rsidRDefault="002343D4" w:rsidP="003241A0">
      <w:pPr>
        <w:pStyle w:val="Heading6"/>
      </w:pPr>
      <w:r w:rsidRPr="00D51147">
        <w:lastRenderedPageBreak/>
        <w:t>Bradycardia</w:t>
      </w:r>
    </w:p>
    <w:p w14:paraId="411E767D" w14:textId="77777777" w:rsidR="002343D4" w:rsidRPr="00D51147" w:rsidRDefault="002343D4" w:rsidP="002343D4">
      <w:pPr>
        <w:jc w:val="both"/>
        <w:rPr>
          <w:rFonts w:asciiTheme="minorHAnsi" w:hAnsiTheme="minorHAnsi" w:cs="Verdana"/>
          <w:color w:val="000000"/>
        </w:rPr>
      </w:pPr>
      <w:r w:rsidRPr="00D51147">
        <w:rPr>
          <w:rFonts w:asciiTheme="minorHAnsi" w:hAnsiTheme="minorHAnsi" w:cs="Verdana"/>
          <w:color w:val="000000"/>
        </w:rPr>
        <w:t xml:space="preserve">Bradycardia and sinus bradycardia AEs were reported in 1.0% of patients each (all </w:t>
      </w:r>
      <w:r w:rsidR="003241A0">
        <w:rPr>
          <w:rFonts w:asciiTheme="minorHAnsi" w:hAnsiTheme="minorHAnsi" w:cs="Verdana"/>
          <w:color w:val="000000"/>
        </w:rPr>
        <w:t>G</w:t>
      </w:r>
      <w:r w:rsidRPr="00D51147">
        <w:rPr>
          <w:rFonts w:asciiTheme="minorHAnsi" w:hAnsiTheme="minorHAnsi" w:cs="Verdana"/>
          <w:color w:val="000000"/>
        </w:rPr>
        <w:t>rade 1), with 1.9% of patients having either a bradycardia and/or a sinus bradycardia event. No bradycardia SAEs or deaths due to bradycardia were reported.</w:t>
      </w:r>
    </w:p>
    <w:p w14:paraId="48B4647D" w14:textId="77777777" w:rsidR="002343D4" w:rsidRPr="003241A0" w:rsidRDefault="002343D4" w:rsidP="003241A0">
      <w:r w:rsidRPr="003241A0">
        <w:t xml:space="preserve">Delegate </w:t>
      </w:r>
      <w:r w:rsidR="003241A0" w:rsidRPr="003241A0">
        <w:t xml:space="preserve">noted that </w:t>
      </w:r>
      <w:r w:rsidRPr="003241A0">
        <w:t>with the recommended changes to the PI, this will be adequately conveyed.</w:t>
      </w:r>
      <w:r w:rsidR="000E3918" w:rsidRPr="003241A0">
        <w:t xml:space="preserve"> </w:t>
      </w:r>
    </w:p>
    <w:p w14:paraId="4B7FE966" w14:textId="77777777" w:rsidR="002343D4" w:rsidRPr="00915C4B" w:rsidRDefault="002343D4" w:rsidP="003241A0">
      <w:pPr>
        <w:pStyle w:val="Heading6"/>
      </w:pPr>
      <w:r w:rsidRPr="00915C4B">
        <w:t>Hyperglycaemia (including all preferred terms such as diabetes mellitus etc)</w:t>
      </w:r>
    </w:p>
    <w:p w14:paraId="0529CDAB" w14:textId="77777777" w:rsidR="002343D4" w:rsidRDefault="002343D4" w:rsidP="002343D4">
      <w:pPr>
        <w:jc w:val="both"/>
      </w:pPr>
      <w:r>
        <w:t xml:space="preserve">The rates reported in the CER are 11.4% for all grades, with 6.1% of patients experiencing </w:t>
      </w:r>
      <w:r w:rsidR="003241A0">
        <w:t>G</w:t>
      </w:r>
      <w:r>
        <w:t>rade 3-4 AEs in the pooled dataset</w:t>
      </w:r>
      <w:r w:rsidRPr="00D42277">
        <w:t xml:space="preserve">. 259/517 patients (50.1%) had new or worsened post-baseline increases (any grade) in glucose. New or worsened </w:t>
      </w:r>
      <w:r w:rsidR="003241A0">
        <w:t>G</w:t>
      </w:r>
      <w:r w:rsidRPr="00D42277">
        <w:t xml:space="preserve">rade 3 and </w:t>
      </w:r>
      <w:r w:rsidR="003241A0">
        <w:t>G</w:t>
      </w:r>
      <w:r w:rsidRPr="00D42277">
        <w:t>rade 4 increased glucose was seen in 11.1% (57/515) and 1.0% (5/517), respectively.</w:t>
      </w:r>
      <w:r>
        <w:t xml:space="preserve"> 7 patients developed de novo diabetes.</w:t>
      </w:r>
      <w:r w:rsidRPr="00D42277">
        <w:t xml:space="preserve"> The event required dose adjustment or interruption in 2.1% of patients and led to discontinuation in 0.2% (2 patients</w:t>
      </w:r>
      <w:r>
        <w:t xml:space="preserve">). The event was serious in 2.3% of patients but there were no deaths. One </w:t>
      </w:r>
      <w:r w:rsidR="003241A0">
        <w:t>G</w:t>
      </w:r>
      <w:r>
        <w:t xml:space="preserve">rade 4 event developed on </w:t>
      </w:r>
      <w:r w:rsidR="003241A0">
        <w:t>D</w:t>
      </w:r>
      <w:r>
        <w:t xml:space="preserve">ay 77 indicating this is not immediate and ongoing monitoring is clearly important. </w:t>
      </w:r>
    </w:p>
    <w:p w14:paraId="2FC3C3E8" w14:textId="77777777" w:rsidR="002343D4" w:rsidRPr="006D5BB6" w:rsidRDefault="002343D4" w:rsidP="003241A0">
      <w:r w:rsidRPr="006D5BB6">
        <w:t>Delegate comment</w:t>
      </w:r>
      <w:r w:rsidR="003241A0">
        <w:t>s</w:t>
      </w:r>
      <w:r w:rsidRPr="006D5BB6">
        <w:t xml:space="preserve">: </w:t>
      </w:r>
    </w:p>
    <w:p w14:paraId="043F6A42" w14:textId="77777777" w:rsidR="002343D4" w:rsidRPr="006D5BB6" w:rsidRDefault="003241A0" w:rsidP="003241A0">
      <w:pPr>
        <w:pStyle w:val="Numberbullet0"/>
        <w:numPr>
          <w:ilvl w:val="0"/>
          <w:numId w:val="43"/>
        </w:numPr>
      </w:pPr>
      <w:r>
        <w:t>T</w:t>
      </w:r>
      <w:r w:rsidR="002343D4" w:rsidRPr="006D5BB6">
        <w:t>he use of the isolated term hyperglycaemia, when diabetes</w:t>
      </w:r>
      <w:r w:rsidR="002343D4">
        <w:t>, glucose abnormal</w:t>
      </w:r>
      <w:r w:rsidR="002343D4" w:rsidRPr="006D5BB6">
        <w:t xml:space="preserve"> </w:t>
      </w:r>
      <w:r>
        <w:t>and so on</w:t>
      </w:r>
      <w:r w:rsidR="002343D4" w:rsidRPr="006D5BB6">
        <w:t xml:space="preserve"> </w:t>
      </w:r>
      <w:proofErr w:type="gramStart"/>
      <w:r w:rsidR="002343D4" w:rsidRPr="006D5BB6">
        <w:t>are</w:t>
      </w:r>
      <w:proofErr w:type="gramEnd"/>
      <w:r w:rsidR="002343D4" w:rsidRPr="006D5BB6">
        <w:t xml:space="preserve"> also listed potentially </w:t>
      </w:r>
      <w:r w:rsidR="002343D4">
        <w:t>under</w:t>
      </w:r>
      <w:r w:rsidR="002343D4" w:rsidRPr="006D5BB6">
        <w:t xml:space="preserve">represents the risk as these are synonymous. The </w:t>
      </w:r>
      <w:r w:rsidR="002343D4">
        <w:t xml:space="preserve">de novo development and to a lesser extent worsening </w:t>
      </w:r>
      <w:r w:rsidR="002343D4" w:rsidRPr="006D5BB6">
        <w:t>of diabetes</w:t>
      </w:r>
      <w:r w:rsidR="002343D4">
        <w:t>,</w:t>
      </w:r>
      <w:r w:rsidR="002343D4" w:rsidRPr="006D5BB6">
        <w:t xml:space="preserve"> is a major medical AE requiring intensive management and is a significant quality of life issue, and was sufficiently severe to result in discontinuation in 2 patients. </w:t>
      </w:r>
    </w:p>
    <w:p w14:paraId="0FDC2AB0" w14:textId="77777777" w:rsidR="002343D4" w:rsidRDefault="002343D4" w:rsidP="003241A0">
      <w:pPr>
        <w:pStyle w:val="Numberbullet0"/>
        <w:numPr>
          <w:ilvl w:val="0"/>
          <w:numId w:val="43"/>
        </w:numPr>
      </w:pPr>
      <w:r w:rsidRPr="006D5BB6">
        <w:t xml:space="preserve">The PI needs to reflect the risk by representing this under a heading of hyperglycaemia and diabetes and incorporate appropriate figures. The PI currently states that the rate was below 10% and this needs to be </w:t>
      </w:r>
      <w:r>
        <w:t>amended</w:t>
      </w:r>
      <w:r w:rsidRPr="006D5BB6">
        <w:t>.</w:t>
      </w:r>
    </w:p>
    <w:p w14:paraId="0C5E6B12" w14:textId="77777777" w:rsidR="002343D4" w:rsidRDefault="002343D4" w:rsidP="003241A0">
      <w:pPr>
        <w:pStyle w:val="Numberbullet0"/>
        <w:numPr>
          <w:ilvl w:val="0"/>
          <w:numId w:val="43"/>
        </w:numPr>
      </w:pPr>
      <w:r>
        <w:t>The additional effect of other medications such as corticosteroids, especially with the large number of patients with brain metastases is acknowledged but this can only be clarified with randomized trial data which are awaited.</w:t>
      </w:r>
    </w:p>
    <w:p w14:paraId="1D3E4FCF" w14:textId="77777777" w:rsidR="002343D4" w:rsidRPr="00D85D3A" w:rsidRDefault="002343D4" w:rsidP="003241A0">
      <w:pPr>
        <w:pStyle w:val="Heading6"/>
        <w:rPr>
          <w:spacing w:val="-1"/>
        </w:rPr>
      </w:pPr>
      <w:r>
        <w:t>Gastrointestinal</w:t>
      </w:r>
      <w:r w:rsidRPr="00D85D3A">
        <w:rPr>
          <w:spacing w:val="1"/>
        </w:rPr>
        <w:t xml:space="preserve"> </w:t>
      </w:r>
      <w:r w:rsidRPr="00D85D3A">
        <w:rPr>
          <w:spacing w:val="-1"/>
        </w:rPr>
        <w:t>toxicity</w:t>
      </w:r>
    </w:p>
    <w:p w14:paraId="7A886980" w14:textId="77777777" w:rsidR="002343D4" w:rsidRDefault="002343D4" w:rsidP="003241A0">
      <w:r>
        <w:t xml:space="preserve">The EPAR states the following: </w:t>
      </w:r>
      <w:r w:rsidRPr="00F8457A">
        <w:t>GI</w:t>
      </w:r>
      <w:r w:rsidRPr="00F8457A">
        <w:rPr>
          <w:spacing w:val="-3"/>
        </w:rPr>
        <w:t xml:space="preserve"> </w:t>
      </w:r>
      <w:r>
        <w:t>AEs</w:t>
      </w:r>
      <w:r w:rsidRPr="00F8457A">
        <w:rPr>
          <w:spacing w:val="-2"/>
        </w:rPr>
        <w:t xml:space="preserve"> </w:t>
      </w:r>
      <w:r w:rsidRPr="00F8457A">
        <w:t>(</w:t>
      </w:r>
      <w:r w:rsidR="003241A0">
        <w:t>that is</w:t>
      </w:r>
      <w:r w:rsidRPr="00F8457A">
        <w:t>,</w:t>
      </w:r>
      <w:r>
        <w:t xml:space="preserve"> </w:t>
      </w:r>
      <w:r w:rsidRPr="00F8457A">
        <w:t>diarrhoea,</w:t>
      </w:r>
      <w:r w:rsidRPr="00F8457A">
        <w:rPr>
          <w:spacing w:val="-2"/>
        </w:rPr>
        <w:t xml:space="preserve"> </w:t>
      </w:r>
      <w:r w:rsidRPr="00F8457A">
        <w:t>nausea,</w:t>
      </w:r>
      <w:r w:rsidRPr="00F8457A">
        <w:rPr>
          <w:spacing w:val="-2"/>
        </w:rPr>
        <w:t xml:space="preserve"> </w:t>
      </w:r>
      <w:r>
        <w:t>vomiting)</w:t>
      </w:r>
      <w:r w:rsidRPr="00F8457A">
        <w:rPr>
          <w:spacing w:val="-2"/>
        </w:rPr>
        <w:t xml:space="preserve"> </w:t>
      </w:r>
      <w:r w:rsidRPr="00F8457A">
        <w:t xml:space="preserve">were reported </w:t>
      </w:r>
      <w:r>
        <w:t>in</w:t>
      </w:r>
      <w:r w:rsidRPr="00F8457A">
        <w:rPr>
          <w:spacing w:val="-2"/>
        </w:rPr>
        <w:t xml:space="preserve"> </w:t>
      </w:r>
      <w:r w:rsidRPr="00F8457A">
        <w:t>96.0% patients</w:t>
      </w:r>
      <w:r w:rsidRPr="00F8457A">
        <w:rPr>
          <w:spacing w:val="-2"/>
        </w:rPr>
        <w:t xml:space="preserve"> </w:t>
      </w:r>
      <w:r w:rsidRPr="00F8457A">
        <w:t xml:space="preserve">and were suspected </w:t>
      </w:r>
      <w:r>
        <w:t>to be</w:t>
      </w:r>
      <w:r w:rsidRPr="00F8457A">
        <w:rPr>
          <w:spacing w:val="93"/>
        </w:rPr>
        <w:t xml:space="preserve"> </w:t>
      </w:r>
      <w:r w:rsidRPr="00F8457A">
        <w:t>related</w:t>
      </w:r>
      <w:r w:rsidRPr="00F8457A">
        <w:rPr>
          <w:spacing w:val="-8"/>
        </w:rPr>
        <w:t xml:space="preserve"> </w:t>
      </w:r>
      <w:r>
        <w:t>to</w:t>
      </w:r>
      <w:r w:rsidRPr="00F8457A">
        <w:rPr>
          <w:spacing w:val="-7"/>
        </w:rPr>
        <w:t xml:space="preserve"> </w:t>
      </w:r>
      <w:r w:rsidRPr="00F8457A">
        <w:t>study</w:t>
      </w:r>
      <w:r w:rsidRPr="00F8457A">
        <w:rPr>
          <w:spacing w:val="-9"/>
        </w:rPr>
        <w:t xml:space="preserve"> </w:t>
      </w:r>
      <w:r w:rsidRPr="00F8457A">
        <w:t>drug</w:t>
      </w:r>
      <w:r w:rsidRPr="00F8457A">
        <w:rPr>
          <w:spacing w:val="-6"/>
        </w:rPr>
        <w:t xml:space="preserve"> </w:t>
      </w:r>
      <w:r>
        <w:t>by</w:t>
      </w:r>
      <w:r w:rsidRPr="00F8457A">
        <w:rPr>
          <w:spacing w:val="-7"/>
        </w:rPr>
        <w:t xml:space="preserve"> </w:t>
      </w:r>
      <w:r>
        <w:t>the</w:t>
      </w:r>
      <w:r w:rsidRPr="00F8457A">
        <w:rPr>
          <w:spacing w:val="-8"/>
        </w:rPr>
        <w:t xml:space="preserve"> </w:t>
      </w:r>
      <w:r w:rsidR="003241A0">
        <w:t>i</w:t>
      </w:r>
      <w:r>
        <w:t>nvestigator</w:t>
      </w:r>
      <w:r w:rsidRPr="00F8457A">
        <w:rPr>
          <w:spacing w:val="-9"/>
        </w:rPr>
        <w:t xml:space="preserve"> </w:t>
      </w:r>
      <w:r>
        <w:t>in</w:t>
      </w:r>
      <w:r w:rsidRPr="00F8457A">
        <w:rPr>
          <w:spacing w:val="-10"/>
        </w:rPr>
        <w:t xml:space="preserve"> </w:t>
      </w:r>
      <w:r w:rsidRPr="00F8457A">
        <w:t>94.9%.</w:t>
      </w:r>
      <w:r w:rsidRPr="00F8457A">
        <w:rPr>
          <w:spacing w:val="-9"/>
        </w:rPr>
        <w:t xml:space="preserve"> </w:t>
      </w:r>
      <w:r>
        <w:t>Most</w:t>
      </w:r>
      <w:r w:rsidRPr="00F8457A">
        <w:rPr>
          <w:spacing w:val="-7"/>
        </w:rPr>
        <w:t xml:space="preserve"> </w:t>
      </w:r>
      <w:r>
        <w:t>of</w:t>
      </w:r>
      <w:r w:rsidRPr="00F8457A">
        <w:rPr>
          <w:spacing w:val="-9"/>
        </w:rPr>
        <w:t xml:space="preserve"> </w:t>
      </w:r>
      <w:r w:rsidRPr="00F8457A">
        <w:t>the</w:t>
      </w:r>
      <w:r w:rsidRPr="00F8457A">
        <w:rPr>
          <w:spacing w:val="-6"/>
        </w:rPr>
        <w:t xml:space="preserve"> </w:t>
      </w:r>
      <w:r w:rsidRPr="00F8457A">
        <w:t>AEs</w:t>
      </w:r>
      <w:r w:rsidRPr="00F8457A">
        <w:rPr>
          <w:spacing w:val="-6"/>
        </w:rPr>
        <w:t xml:space="preserve"> </w:t>
      </w:r>
      <w:r w:rsidRPr="00F8457A">
        <w:t>were</w:t>
      </w:r>
      <w:r w:rsidRPr="00F8457A">
        <w:rPr>
          <w:spacing w:val="-6"/>
        </w:rPr>
        <w:t xml:space="preserve"> </w:t>
      </w:r>
      <w:r w:rsidR="003241A0">
        <w:rPr>
          <w:spacing w:val="-6"/>
        </w:rPr>
        <w:t>G</w:t>
      </w:r>
      <w:r w:rsidRPr="00F8457A">
        <w:t>rade</w:t>
      </w:r>
      <w:r w:rsidRPr="00F8457A">
        <w:rPr>
          <w:spacing w:val="-6"/>
        </w:rPr>
        <w:t xml:space="preserve"> </w:t>
      </w:r>
      <w:r w:rsidRPr="00F8457A">
        <w:t>1-2;</w:t>
      </w:r>
      <w:r w:rsidRPr="00F8457A">
        <w:rPr>
          <w:spacing w:val="-9"/>
        </w:rPr>
        <w:t xml:space="preserve"> </w:t>
      </w:r>
      <w:r w:rsidR="003241A0">
        <w:t>G</w:t>
      </w:r>
      <w:r w:rsidRPr="00F8457A">
        <w:t>rade</w:t>
      </w:r>
      <w:r w:rsidRPr="00F8457A">
        <w:rPr>
          <w:spacing w:val="-8"/>
        </w:rPr>
        <w:t xml:space="preserve"> </w:t>
      </w:r>
      <w:r w:rsidRPr="00F8457A">
        <w:t>3-4</w:t>
      </w:r>
      <w:r w:rsidRPr="00F8457A">
        <w:rPr>
          <w:spacing w:val="-8"/>
        </w:rPr>
        <w:t xml:space="preserve"> </w:t>
      </w:r>
      <w:r w:rsidRPr="00F8457A">
        <w:t>AEs</w:t>
      </w:r>
      <w:r w:rsidRPr="00F8457A">
        <w:rPr>
          <w:spacing w:val="-4"/>
        </w:rPr>
        <w:t xml:space="preserve"> </w:t>
      </w:r>
      <w:r w:rsidRPr="00F8457A">
        <w:t>were</w:t>
      </w:r>
      <w:r w:rsidR="003241A0">
        <w:t xml:space="preserve"> </w:t>
      </w:r>
      <w:r w:rsidRPr="00F8457A">
        <w:t>reported</w:t>
      </w:r>
      <w:r w:rsidRPr="00F8457A">
        <w:rPr>
          <w:spacing w:val="-6"/>
        </w:rPr>
        <w:t xml:space="preserve"> </w:t>
      </w:r>
      <w:r>
        <w:t>in</w:t>
      </w:r>
      <w:r w:rsidRPr="00F8457A">
        <w:rPr>
          <w:spacing w:val="-7"/>
        </w:rPr>
        <w:t xml:space="preserve"> </w:t>
      </w:r>
      <w:r w:rsidRPr="00F8457A">
        <w:t>12.2%</w:t>
      </w:r>
      <w:r w:rsidRPr="00F8457A">
        <w:rPr>
          <w:spacing w:val="-6"/>
        </w:rPr>
        <w:t xml:space="preserve"> </w:t>
      </w:r>
      <w:r>
        <w:t>of</w:t>
      </w:r>
      <w:r w:rsidRPr="00F8457A">
        <w:rPr>
          <w:spacing w:val="-7"/>
        </w:rPr>
        <w:t xml:space="preserve"> </w:t>
      </w:r>
      <w:r w:rsidRPr="00F8457A">
        <w:t>patients.</w:t>
      </w:r>
      <w:r w:rsidRPr="00F8457A">
        <w:rPr>
          <w:spacing w:val="-7"/>
        </w:rPr>
        <w:t xml:space="preserve"> </w:t>
      </w:r>
      <w:r w:rsidRPr="00F8457A">
        <w:t>The</w:t>
      </w:r>
      <w:r w:rsidRPr="00F8457A">
        <w:rPr>
          <w:spacing w:val="-6"/>
        </w:rPr>
        <w:t xml:space="preserve"> </w:t>
      </w:r>
      <w:r w:rsidRPr="00F8457A">
        <w:t>event</w:t>
      </w:r>
      <w:r w:rsidRPr="00F8457A">
        <w:rPr>
          <w:spacing w:val="-5"/>
        </w:rPr>
        <w:t xml:space="preserve"> </w:t>
      </w:r>
      <w:r w:rsidRPr="00F8457A">
        <w:t>required</w:t>
      </w:r>
      <w:r w:rsidRPr="00F8457A">
        <w:rPr>
          <w:spacing w:val="-6"/>
        </w:rPr>
        <w:t xml:space="preserve"> </w:t>
      </w:r>
      <w:r>
        <w:t>dose</w:t>
      </w:r>
      <w:r w:rsidRPr="00F8457A">
        <w:rPr>
          <w:spacing w:val="-6"/>
        </w:rPr>
        <w:t xml:space="preserve"> </w:t>
      </w:r>
      <w:r w:rsidRPr="00F8457A">
        <w:t>adjustment</w:t>
      </w:r>
      <w:r w:rsidRPr="00F8457A">
        <w:rPr>
          <w:spacing w:val="-5"/>
        </w:rPr>
        <w:t xml:space="preserve"> </w:t>
      </w:r>
      <w:r>
        <w:t>or</w:t>
      </w:r>
      <w:r w:rsidRPr="00F8457A">
        <w:rPr>
          <w:spacing w:val="-6"/>
        </w:rPr>
        <w:t xml:space="preserve"> </w:t>
      </w:r>
      <w:r w:rsidRPr="00F8457A">
        <w:t>interruption</w:t>
      </w:r>
      <w:r w:rsidRPr="00F8457A">
        <w:rPr>
          <w:spacing w:val="-7"/>
        </w:rPr>
        <w:t xml:space="preserve"> </w:t>
      </w:r>
      <w:r>
        <w:t>in</w:t>
      </w:r>
      <w:r w:rsidRPr="00F8457A">
        <w:rPr>
          <w:spacing w:val="-7"/>
        </w:rPr>
        <w:t xml:space="preserve"> </w:t>
      </w:r>
      <w:r w:rsidRPr="00F8457A">
        <w:t>33.0%</w:t>
      </w:r>
      <w:r w:rsidRPr="00F8457A">
        <w:rPr>
          <w:spacing w:val="-6"/>
        </w:rPr>
        <w:t xml:space="preserve"> </w:t>
      </w:r>
      <w:r>
        <w:t>of</w:t>
      </w:r>
      <w:r w:rsidRPr="00F8457A">
        <w:rPr>
          <w:spacing w:val="-7"/>
        </w:rPr>
        <w:t xml:space="preserve"> </w:t>
      </w:r>
      <w:r w:rsidRPr="00F8457A">
        <w:t>patients.</w:t>
      </w:r>
      <w:r w:rsidR="003241A0">
        <w:t xml:space="preserve"> </w:t>
      </w:r>
      <w:r w:rsidRPr="00F8457A">
        <w:t>The</w:t>
      </w:r>
      <w:r w:rsidRPr="00F8457A">
        <w:rPr>
          <w:spacing w:val="-3"/>
        </w:rPr>
        <w:t xml:space="preserve"> </w:t>
      </w:r>
      <w:r>
        <w:t>proportion</w:t>
      </w:r>
      <w:r w:rsidRPr="00F8457A">
        <w:rPr>
          <w:spacing w:val="-5"/>
        </w:rPr>
        <w:t xml:space="preserve"> </w:t>
      </w:r>
      <w:r>
        <w:t>of</w:t>
      </w:r>
      <w:r w:rsidRPr="00F8457A">
        <w:rPr>
          <w:spacing w:val="-5"/>
        </w:rPr>
        <w:t xml:space="preserve"> </w:t>
      </w:r>
      <w:r>
        <w:t>patients</w:t>
      </w:r>
      <w:r w:rsidRPr="00F8457A">
        <w:rPr>
          <w:spacing w:val="-4"/>
        </w:rPr>
        <w:t xml:space="preserve"> </w:t>
      </w:r>
      <w:r>
        <w:t>with</w:t>
      </w:r>
      <w:r w:rsidRPr="00F8457A">
        <w:rPr>
          <w:spacing w:val="-5"/>
        </w:rPr>
        <w:t xml:space="preserve"> </w:t>
      </w:r>
      <w:r w:rsidRPr="00F8457A">
        <w:t>SAEs</w:t>
      </w:r>
      <w:r w:rsidRPr="00F8457A">
        <w:rPr>
          <w:spacing w:val="-4"/>
        </w:rPr>
        <w:t xml:space="preserve"> </w:t>
      </w:r>
      <w:r>
        <w:t>was</w:t>
      </w:r>
      <w:r w:rsidRPr="00F8457A">
        <w:rPr>
          <w:spacing w:val="-4"/>
        </w:rPr>
        <w:t xml:space="preserve"> </w:t>
      </w:r>
      <w:r>
        <w:t>low</w:t>
      </w:r>
      <w:r w:rsidRPr="00F8457A">
        <w:rPr>
          <w:spacing w:val="-5"/>
        </w:rPr>
        <w:t xml:space="preserve"> </w:t>
      </w:r>
      <w:r w:rsidRPr="00F8457A">
        <w:t>(3.6%)</w:t>
      </w:r>
      <w:r w:rsidRPr="00F8457A">
        <w:rPr>
          <w:spacing w:val="-2"/>
        </w:rPr>
        <w:t xml:space="preserve"> </w:t>
      </w:r>
      <w:r w:rsidRPr="00F8457A">
        <w:t>the</w:t>
      </w:r>
      <w:r w:rsidRPr="00F8457A">
        <w:rPr>
          <w:spacing w:val="-3"/>
        </w:rPr>
        <w:t xml:space="preserve"> </w:t>
      </w:r>
      <w:r w:rsidRPr="00F8457A">
        <w:t>AEs</w:t>
      </w:r>
      <w:r w:rsidRPr="00F8457A">
        <w:rPr>
          <w:spacing w:val="-2"/>
        </w:rPr>
        <w:t xml:space="preserve"> </w:t>
      </w:r>
      <w:r>
        <w:t>led</w:t>
      </w:r>
      <w:r w:rsidRPr="00F8457A">
        <w:rPr>
          <w:spacing w:val="-3"/>
        </w:rPr>
        <w:t xml:space="preserve"> </w:t>
      </w:r>
      <w:r>
        <w:t>to</w:t>
      </w:r>
      <w:r w:rsidRPr="00F8457A">
        <w:rPr>
          <w:spacing w:val="-3"/>
        </w:rPr>
        <w:t xml:space="preserve"> </w:t>
      </w:r>
      <w:r w:rsidRPr="00F8457A">
        <w:t>discontinuation</w:t>
      </w:r>
      <w:r w:rsidRPr="00F8457A">
        <w:rPr>
          <w:spacing w:val="-5"/>
        </w:rPr>
        <w:t xml:space="preserve"> </w:t>
      </w:r>
      <w:r>
        <w:t>in</w:t>
      </w:r>
      <w:r w:rsidRPr="00F8457A">
        <w:rPr>
          <w:spacing w:val="-5"/>
        </w:rPr>
        <w:t xml:space="preserve"> </w:t>
      </w:r>
      <w:r w:rsidRPr="00F8457A">
        <w:t>0.6%</w:t>
      </w:r>
      <w:r w:rsidRPr="00F8457A">
        <w:rPr>
          <w:spacing w:val="-3"/>
        </w:rPr>
        <w:t xml:space="preserve"> </w:t>
      </w:r>
      <w:r>
        <w:t>of</w:t>
      </w:r>
      <w:r w:rsidRPr="00F8457A">
        <w:rPr>
          <w:spacing w:val="-5"/>
        </w:rPr>
        <w:t xml:space="preserve"> </w:t>
      </w:r>
      <w:r w:rsidRPr="00F8457A">
        <w:t>patients.</w:t>
      </w:r>
      <w:r w:rsidRPr="00F8457A">
        <w:rPr>
          <w:spacing w:val="85"/>
        </w:rPr>
        <w:t xml:space="preserve"> </w:t>
      </w:r>
      <w:r w:rsidRPr="00F8457A">
        <w:t>GI</w:t>
      </w:r>
      <w:r w:rsidRPr="00F8457A">
        <w:rPr>
          <w:spacing w:val="-3"/>
        </w:rPr>
        <w:t xml:space="preserve"> </w:t>
      </w:r>
      <w:r>
        <w:t>AEs</w:t>
      </w:r>
      <w:r w:rsidRPr="00F8457A">
        <w:rPr>
          <w:spacing w:val="1"/>
        </w:rPr>
        <w:t xml:space="preserve"> </w:t>
      </w:r>
      <w:r w:rsidRPr="00F8457A">
        <w:t xml:space="preserve">were managed </w:t>
      </w:r>
      <w:r>
        <w:t>primarily</w:t>
      </w:r>
      <w:r w:rsidRPr="00F8457A">
        <w:rPr>
          <w:spacing w:val="-2"/>
        </w:rPr>
        <w:t xml:space="preserve"> </w:t>
      </w:r>
      <w:r>
        <w:t>with</w:t>
      </w:r>
      <w:r w:rsidRPr="00F8457A">
        <w:rPr>
          <w:spacing w:val="-2"/>
        </w:rPr>
        <w:t xml:space="preserve"> </w:t>
      </w:r>
      <w:r w:rsidRPr="00F8457A">
        <w:t>concomitant</w:t>
      </w:r>
      <w:r>
        <w:t xml:space="preserve"> </w:t>
      </w:r>
      <w:r w:rsidRPr="00F8457A">
        <w:t>medications</w:t>
      </w:r>
      <w:r w:rsidRPr="00F8457A">
        <w:rPr>
          <w:spacing w:val="-2"/>
        </w:rPr>
        <w:t xml:space="preserve"> </w:t>
      </w:r>
      <w:r w:rsidRPr="00F8457A">
        <w:t xml:space="preserve">(reported </w:t>
      </w:r>
      <w:r>
        <w:t>in</w:t>
      </w:r>
      <w:r w:rsidRPr="00F8457A">
        <w:rPr>
          <w:spacing w:val="-2"/>
        </w:rPr>
        <w:t xml:space="preserve"> </w:t>
      </w:r>
      <w:r w:rsidRPr="00F8457A">
        <w:t xml:space="preserve">84.8% </w:t>
      </w:r>
      <w:r>
        <w:t>of</w:t>
      </w:r>
      <w:r w:rsidRPr="00F8457A">
        <w:rPr>
          <w:spacing w:val="-2"/>
        </w:rPr>
        <w:t xml:space="preserve"> </w:t>
      </w:r>
      <w:r w:rsidRPr="00F8457A">
        <w:t>patients)</w:t>
      </w:r>
      <w:r w:rsidRPr="00F8457A">
        <w:rPr>
          <w:spacing w:val="-2"/>
        </w:rPr>
        <w:t xml:space="preserve"> </w:t>
      </w:r>
      <w:r w:rsidRPr="00F8457A">
        <w:t>and/or</w:t>
      </w:r>
      <w:r w:rsidRPr="00F8457A">
        <w:rPr>
          <w:spacing w:val="90"/>
        </w:rPr>
        <w:t xml:space="preserve"> </w:t>
      </w:r>
      <w:r>
        <w:t>with</w:t>
      </w:r>
      <w:r w:rsidRPr="00F8457A">
        <w:rPr>
          <w:spacing w:val="-2"/>
        </w:rPr>
        <w:t xml:space="preserve"> </w:t>
      </w:r>
      <w:r>
        <w:t>dose</w:t>
      </w:r>
      <w:r w:rsidRPr="00F8457A">
        <w:t xml:space="preserve"> adjustment</w:t>
      </w:r>
      <w:r>
        <w:t xml:space="preserve"> or</w:t>
      </w:r>
      <w:r w:rsidRPr="00F8457A">
        <w:t xml:space="preserve"> interruption</w:t>
      </w:r>
      <w:r w:rsidRPr="00F8457A">
        <w:rPr>
          <w:spacing w:val="-2"/>
        </w:rPr>
        <w:t xml:space="preserve"> </w:t>
      </w:r>
      <w:r>
        <w:t>of</w:t>
      </w:r>
      <w:r w:rsidRPr="00F8457A">
        <w:rPr>
          <w:spacing w:val="-2"/>
        </w:rPr>
        <w:t xml:space="preserve"> </w:t>
      </w:r>
      <w:r w:rsidRPr="00F8457A">
        <w:t>study</w:t>
      </w:r>
      <w:r w:rsidRPr="00F8457A">
        <w:rPr>
          <w:spacing w:val="-2"/>
        </w:rPr>
        <w:t xml:space="preserve"> </w:t>
      </w:r>
      <w:r w:rsidRPr="00F8457A">
        <w:t xml:space="preserve">drug </w:t>
      </w:r>
      <w:r>
        <w:t>(reported</w:t>
      </w:r>
      <w:r w:rsidRPr="00F8457A">
        <w:t xml:space="preserve"> </w:t>
      </w:r>
      <w:r>
        <w:t>in</w:t>
      </w:r>
      <w:r w:rsidRPr="00F8457A">
        <w:rPr>
          <w:spacing w:val="-2"/>
        </w:rPr>
        <w:t xml:space="preserve"> </w:t>
      </w:r>
      <w:r w:rsidRPr="00F8457A">
        <w:t xml:space="preserve">33.0% </w:t>
      </w:r>
      <w:r>
        <w:t>of</w:t>
      </w:r>
      <w:r w:rsidRPr="00F8457A">
        <w:rPr>
          <w:spacing w:val="-2"/>
        </w:rPr>
        <w:t xml:space="preserve"> </w:t>
      </w:r>
      <w:r w:rsidRPr="00F8457A">
        <w:t>patients).</w:t>
      </w:r>
    </w:p>
    <w:p w14:paraId="5E444145" w14:textId="77777777" w:rsidR="002343D4" w:rsidRDefault="003241A0" w:rsidP="002343D4">
      <w:pPr>
        <w:jc w:val="both"/>
        <w:rPr>
          <w:rFonts w:asciiTheme="minorHAnsi" w:hAnsiTheme="minorHAnsi"/>
          <w:b/>
        </w:rPr>
      </w:pPr>
      <w:r w:rsidRPr="003241A0">
        <w:rPr>
          <w:rFonts w:asciiTheme="minorHAnsi" w:hAnsiTheme="minorHAnsi" w:cs="Verdana"/>
          <w:color w:val="000000"/>
        </w:rPr>
        <w:t>W</w:t>
      </w:r>
      <w:r w:rsidR="002343D4" w:rsidRPr="003241A0">
        <w:rPr>
          <w:rFonts w:asciiTheme="minorHAnsi" w:hAnsiTheme="minorHAnsi" w:cs="Verdana"/>
          <w:color w:val="000000"/>
        </w:rPr>
        <w:t>ith the</w:t>
      </w:r>
      <w:r w:rsidR="002343D4" w:rsidRPr="00D51147">
        <w:rPr>
          <w:rFonts w:asciiTheme="minorHAnsi" w:hAnsiTheme="minorHAnsi" w:cs="Verdana"/>
          <w:color w:val="000000"/>
        </w:rPr>
        <w:t xml:space="preserve"> recommended changes to the PI, this will be adequately conveyed.</w:t>
      </w:r>
      <w:r w:rsidR="000E3918">
        <w:rPr>
          <w:rFonts w:asciiTheme="minorHAnsi" w:hAnsiTheme="minorHAnsi" w:cs="Verdana"/>
          <w:color w:val="000000"/>
        </w:rPr>
        <w:t xml:space="preserve"> </w:t>
      </w:r>
    </w:p>
    <w:p w14:paraId="7B88D1F3" w14:textId="77777777" w:rsidR="002343D4" w:rsidRDefault="002343D4" w:rsidP="003241A0">
      <w:pPr>
        <w:pStyle w:val="Heading6"/>
      </w:pPr>
      <w:r>
        <w:t>Pancreatic toxicity</w:t>
      </w:r>
    </w:p>
    <w:p w14:paraId="4AEB47F8" w14:textId="77777777" w:rsidR="002343D4" w:rsidRPr="00DA48BE" w:rsidRDefault="002343D4" w:rsidP="002343D4">
      <w:pPr>
        <w:jc w:val="both"/>
        <w:rPr>
          <w:rFonts w:asciiTheme="minorHAnsi" w:hAnsiTheme="minorHAnsi"/>
        </w:rPr>
      </w:pPr>
      <w:r>
        <w:rPr>
          <w:rFonts w:asciiTheme="minorHAnsi" w:hAnsiTheme="minorHAnsi"/>
        </w:rPr>
        <w:t>Elevations in lipase and amylase were frequent and together with abdominal pain. The PI needs to inform of the frequency in the trials and it is important that this is included in the patient safety card, as this is an unusual toxicity from a cancer therapy, and patients may seek attention out of hours.</w:t>
      </w:r>
    </w:p>
    <w:p w14:paraId="3F34D620" w14:textId="77777777" w:rsidR="002343D4" w:rsidRDefault="002343D4" w:rsidP="003241A0">
      <w:pPr>
        <w:pStyle w:val="Heading6"/>
      </w:pPr>
      <w:r>
        <w:t>Other</w:t>
      </w:r>
    </w:p>
    <w:p w14:paraId="69076C14" w14:textId="77777777" w:rsidR="002343D4" w:rsidRPr="00C01A1D" w:rsidRDefault="002343D4" w:rsidP="003241A0">
      <w:pPr>
        <w:rPr>
          <w:color w:val="000000"/>
          <w:lang w:val="en-US"/>
        </w:rPr>
      </w:pPr>
      <w:r>
        <w:t>Renal impairment, indicated by a rise in creatinine, as well as acute renal failure occurred in 63% patients on cer</w:t>
      </w:r>
      <w:r w:rsidR="003241A0">
        <w:t>itinib, with the majority being G</w:t>
      </w:r>
      <w:r>
        <w:t xml:space="preserve">rade 1 or 2 and </w:t>
      </w:r>
      <w:r>
        <w:rPr>
          <w:color w:val="000000"/>
          <w:lang w:val="en-US"/>
        </w:rPr>
        <w:t>only 1.5% were</w:t>
      </w:r>
      <w:r w:rsidR="003241A0">
        <w:rPr>
          <w:color w:val="000000"/>
          <w:lang w:val="en-US"/>
        </w:rPr>
        <w:t xml:space="preserve"> G</w:t>
      </w:r>
      <w:r w:rsidRPr="00C01A1D">
        <w:rPr>
          <w:color w:val="000000"/>
          <w:lang w:val="en-US"/>
        </w:rPr>
        <w:t>rade 3</w:t>
      </w:r>
      <w:r>
        <w:rPr>
          <w:color w:val="000000"/>
          <w:lang w:val="en-US"/>
        </w:rPr>
        <w:t xml:space="preserve"> and none were </w:t>
      </w:r>
      <w:r w:rsidR="003241A0">
        <w:rPr>
          <w:color w:val="000000"/>
          <w:lang w:val="en-US"/>
        </w:rPr>
        <w:t>G</w:t>
      </w:r>
      <w:r>
        <w:rPr>
          <w:color w:val="000000"/>
          <w:lang w:val="en-US"/>
        </w:rPr>
        <w:t xml:space="preserve">rade 4. </w:t>
      </w:r>
      <w:r w:rsidRPr="00C01A1D">
        <w:rPr>
          <w:color w:val="000000"/>
          <w:lang w:val="en-US"/>
        </w:rPr>
        <w:t>The</w:t>
      </w:r>
      <w:r>
        <w:rPr>
          <w:color w:val="000000"/>
          <w:lang w:val="en-US"/>
        </w:rPr>
        <w:t xml:space="preserve"> renal</w:t>
      </w:r>
      <w:r w:rsidRPr="00C01A1D">
        <w:rPr>
          <w:color w:val="000000"/>
          <w:lang w:val="en-US"/>
        </w:rPr>
        <w:t xml:space="preserve"> events were serious in 1.1% of patients, </w:t>
      </w:r>
      <w:r>
        <w:rPr>
          <w:color w:val="000000"/>
          <w:lang w:val="en-US"/>
        </w:rPr>
        <w:t>leading to</w:t>
      </w:r>
      <w:r w:rsidRPr="00C01A1D">
        <w:rPr>
          <w:color w:val="000000"/>
          <w:lang w:val="en-US"/>
        </w:rPr>
        <w:t xml:space="preserve"> </w:t>
      </w:r>
      <w:r>
        <w:rPr>
          <w:color w:val="000000"/>
          <w:lang w:val="en-US"/>
        </w:rPr>
        <w:t xml:space="preserve">dose modification or delay </w:t>
      </w:r>
      <w:r w:rsidRPr="00C01A1D">
        <w:rPr>
          <w:color w:val="000000"/>
          <w:lang w:val="en-US"/>
        </w:rPr>
        <w:t>in 4.8% of patients, discon</w:t>
      </w:r>
      <w:r>
        <w:rPr>
          <w:color w:val="000000"/>
          <w:lang w:val="en-US"/>
        </w:rPr>
        <w:t>tinuation in 0.2% of patients (one</w:t>
      </w:r>
      <w:r w:rsidRPr="00C01A1D">
        <w:rPr>
          <w:color w:val="000000"/>
          <w:lang w:val="en-US"/>
        </w:rPr>
        <w:t xml:space="preserve"> </w:t>
      </w:r>
      <w:r>
        <w:rPr>
          <w:color w:val="000000"/>
          <w:lang w:val="en-US"/>
        </w:rPr>
        <w:t xml:space="preserve">patient </w:t>
      </w:r>
      <w:r w:rsidRPr="00C01A1D">
        <w:rPr>
          <w:color w:val="000000"/>
          <w:lang w:val="en-US"/>
        </w:rPr>
        <w:t>due to acute renal failure).</w:t>
      </w:r>
    </w:p>
    <w:p w14:paraId="5CCA2F07" w14:textId="77777777" w:rsidR="002343D4" w:rsidRDefault="003241A0" w:rsidP="003241A0">
      <w:r w:rsidRPr="003241A0">
        <w:lastRenderedPageBreak/>
        <w:t>T</w:t>
      </w:r>
      <w:r w:rsidR="002343D4">
        <w:t xml:space="preserve">he cause is unclear but may be related to the dehydration secondary to the significant GI toxicity. </w:t>
      </w:r>
    </w:p>
    <w:p w14:paraId="537B11BC" w14:textId="77777777" w:rsidR="002343D4" w:rsidRPr="00401D87" w:rsidRDefault="002343D4" w:rsidP="003241A0">
      <w:r>
        <w:t>No clinically significant haematological abnormalities occurred and those that did were generally easily managed and seldom required dose modification or interruption.</w:t>
      </w:r>
    </w:p>
    <w:p w14:paraId="33642C3E" w14:textId="77777777" w:rsidR="002343D4" w:rsidRPr="00233210" w:rsidRDefault="00EC6D66" w:rsidP="00EC6D66">
      <w:pPr>
        <w:pStyle w:val="Heading4"/>
      </w:pPr>
      <w:r>
        <w:t>Clinical s</w:t>
      </w:r>
      <w:r w:rsidR="002343D4" w:rsidRPr="00233210">
        <w:t>ummary</w:t>
      </w:r>
    </w:p>
    <w:p w14:paraId="25022349" w14:textId="77777777" w:rsidR="002343D4" w:rsidRPr="00691489" w:rsidRDefault="002343D4" w:rsidP="003241A0">
      <w:r w:rsidRPr="00233210">
        <w:t>Efficacy in support of the proposed usage comes from 2 non</w:t>
      </w:r>
      <w:r w:rsidR="00EC6D66">
        <w:t>-</w:t>
      </w:r>
      <w:r w:rsidRPr="00233210">
        <w:t>randomised, open label studies involving 303 patients who have previously received crizotinib:</w:t>
      </w:r>
      <w:r w:rsidRPr="00691489">
        <w:t xml:space="preserve"> 163 </w:t>
      </w:r>
      <w:r w:rsidRPr="00233210">
        <w:t xml:space="preserve">in </w:t>
      </w:r>
      <w:r w:rsidR="00B3070B">
        <w:t>Study X</w:t>
      </w:r>
      <w:r w:rsidRPr="00233210">
        <w:t>2101 and</w:t>
      </w:r>
      <w:r w:rsidRPr="00691489">
        <w:t xml:space="preserve"> 140 ALK inhibitor pretreated patients in </w:t>
      </w:r>
      <w:r w:rsidR="00B3070B">
        <w:t>Study A2</w:t>
      </w:r>
      <w:r w:rsidRPr="00691489">
        <w:t>201</w:t>
      </w:r>
      <w:r w:rsidRPr="00233210">
        <w:t>.</w:t>
      </w:r>
      <w:r w:rsidRPr="00691489">
        <w:t xml:space="preserve"> </w:t>
      </w:r>
    </w:p>
    <w:p w14:paraId="5E107C69" w14:textId="77777777" w:rsidR="002343D4" w:rsidRDefault="002343D4" w:rsidP="003241A0">
      <w:r w:rsidRPr="00233210">
        <w:rPr>
          <w:iCs/>
        </w:rPr>
        <w:t>I</w:t>
      </w:r>
      <w:r>
        <w:rPr>
          <w:iCs/>
        </w:rPr>
        <w:t>n</w:t>
      </w:r>
      <w:r w:rsidRPr="00233210">
        <w:rPr>
          <w:iCs/>
        </w:rPr>
        <w:t xml:space="preserve"> these heavily pretreated patients (1-3 prior lines of chemotherapy) and essentially no remaining treatment options, </w:t>
      </w:r>
      <w:r w:rsidRPr="00233210">
        <w:t>ceritinib had an investigator</w:t>
      </w:r>
      <w:r w:rsidR="00EC6D66">
        <w:t xml:space="preserve"> </w:t>
      </w:r>
      <w:r w:rsidRPr="00233210">
        <w:t>assessed ORR of 37.1% in A2201 and 55.4% in X2101. The duration of response was similarly long in both studies (median 9.2 months and 7.39 months</w:t>
      </w:r>
      <w:r>
        <w:t>, respectively). Blinded independent review yielded generally concordant results although was lower for ORR in Study A2201 (44.1%</w:t>
      </w:r>
      <w:r w:rsidR="002E3E15">
        <w:t xml:space="preserve"> versus</w:t>
      </w:r>
      <w:r>
        <w:t xml:space="preserve"> 55.4%). Nonetheless, these results suggest strongly that ceritinib is effective after progression on crizotinib and compare favourably with the only ORR reported in an </w:t>
      </w:r>
      <w:r w:rsidR="006041DD">
        <w:t>ALK-positive</w:t>
      </w:r>
      <w:r>
        <w:t xml:space="preserve"> population receiving chemotherapy of 20% ORR (from the randomised Phase III trial randomised trial comparing crizotinib versus single agent chemotherapy in a much less heavily pretreated population). Thus, together with the duration of response, this offers a clinical benefit. The median PFS data support a meaningful delay in progression </w:t>
      </w:r>
      <w:r w:rsidRPr="00143C73">
        <w:t xml:space="preserve">(6.9 months in Study X2101 to a median of 5.7 months in Study A2201) </w:t>
      </w:r>
      <w:r>
        <w:t>and OS data are too immature but favourable, but these findings should be interpreted cautiously in the absence of a control arm. Ceritinib appears to have activity in patients with brain metastases, although this requires randomised controlled trial to establish the true clinical benefit. There is a randomised, controlled Phase III clinical trial underway comparing ceritinib with chemotherapy in patients whose disease has progressed on crizotinib, which will provide further evidence of safety and efficacy in this population.</w:t>
      </w:r>
    </w:p>
    <w:p w14:paraId="3981C0A1" w14:textId="77777777" w:rsidR="002343D4" w:rsidRPr="008B586F" w:rsidRDefault="002343D4" w:rsidP="003241A0">
      <w:r>
        <w:t>The pooled safety set included 525 patients provided information about the risks with the proposed 75</w:t>
      </w:r>
      <w:r w:rsidR="00326B43">
        <w:t>0 mg</w:t>
      </w:r>
      <w:r>
        <w:t xml:space="preserve"> dose. Toxicities are significant, especially the gastrointestinal side effects of nausea, vomiting and diarrhoea which occurred in &gt;</w:t>
      </w:r>
      <w:r w:rsidR="00EC6D66">
        <w:t xml:space="preserve"> </w:t>
      </w:r>
      <w:r>
        <w:t>80% and often required dose reduction and/or supportive medications and were likely to cause some of the rises in creatinine/renal failure observed. Other significant adverse events include frequent hepatotoxicity with 2 cases of drug</w:t>
      </w:r>
      <w:r w:rsidR="00EC6D66">
        <w:t xml:space="preserve"> </w:t>
      </w:r>
      <w:r>
        <w:t>induced liver injury, interstitial lung disease/pneumonitis (including 2 fatalities), pancreatitis, hyperglycaemia, QT prolongation and bradycardia. These were largely manageable with dose reductions and supportive measures but the high rate does suggest very strongly that the maximum tolerated dose was not 75</w:t>
      </w:r>
      <w:r w:rsidR="00326B43">
        <w:t>0 mg</w:t>
      </w:r>
      <w:r>
        <w:t xml:space="preserve"> and with efficacy not strongly linked to exposure, a low threshold for managing these with a dose reduction would seem reasonable (and was required in 54%).</w:t>
      </w:r>
      <w:bookmarkStart w:id="233" w:name="Table_12.2.3.10-3:_Adverse_Events_in_the"/>
      <w:bookmarkStart w:id="234" w:name="12.2.5_Safety_in_Patient_Subgroups"/>
      <w:bookmarkStart w:id="235" w:name="12.2.4_Listing_of_Adverse_Events_by_Pati"/>
      <w:bookmarkStart w:id="236" w:name="12.2.3.11_Vascular_Disorders"/>
      <w:bookmarkEnd w:id="233"/>
      <w:bookmarkEnd w:id="234"/>
      <w:bookmarkEnd w:id="235"/>
      <w:bookmarkEnd w:id="236"/>
      <w:r>
        <w:t xml:space="preserve"> An additional risk is possible increased exposure and adverse events</w:t>
      </w:r>
      <w:r w:rsidR="000E3918">
        <w:t xml:space="preserve"> </w:t>
      </w:r>
      <w:r>
        <w:t>from an error or noncompliance with the unusual requirement for ceritinib to be taken with no food for 2 hours either side of administration.</w:t>
      </w:r>
    </w:p>
    <w:p w14:paraId="41C7BD53" w14:textId="77777777" w:rsidR="008E7846" w:rsidRPr="00144C3F" w:rsidRDefault="00386150" w:rsidP="00144C3F">
      <w:pPr>
        <w:pStyle w:val="Heading3"/>
      </w:pPr>
      <w:bookmarkStart w:id="237" w:name="_Toc507501125"/>
      <w:r>
        <w:rPr>
          <w:lang w:eastAsia="en-AU"/>
        </w:rPr>
        <w:t>Risk m</w:t>
      </w:r>
      <w:r w:rsidR="008E7846">
        <w:rPr>
          <w:lang w:eastAsia="en-AU"/>
        </w:rPr>
        <w:t xml:space="preserve">anagement </w:t>
      </w:r>
      <w:r>
        <w:rPr>
          <w:lang w:eastAsia="en-AU"/>
        </w:rPr>
        <w:t>p</w:t>
      </w:r>
      <w:r w:rsidR="008E7846">
        <w:rPr>
          <w:lang w:eastAsia="en-AU"/>
        </w:rPr>
        <w:t>lan</w:t>
      </w:r>
      <w:bookmarkEnd w:id="202"/>
      <w:bookmarkEnd w:id="237"/>
    </w:p>
    <w:p w14:paraId="26B6F504" w14:textId="77777777" w:rsidR="002343D4" w:rsidRDefault="002343D4" w:rsidP="00144C3F">
      <w:r w:rsidRPr="00115EAC">
        <w:t xml:space="preserve">The </w:t>
      </w:r>
      <w:r w:rsidR="003208D3">
        <w:t>TGA</w:t>
      </w:r>
      <w:r>
        <w:t xml:space="preserve"> has reviewed an updated EU-RMP for Ceritinib (Version 2.5</w:t>
      </w:r>
      <w:r w:rsidRPr="00157D91">
        <w:t xml:space="preserve">, dated </w:t>
      </w:r>
      <w:r>
        <w:t>29 April</w:t>
      </w:r>
      <w:r w:rsidRPr="00157D91">
        <w:t xml:space="preserve"> 201</w:t>
      </w:r>
      <w:r>
        <w:t>5</w:t>
      </w:r>
      <w:r w:rsidRPr="00157D91">
        <w:t xml:space="preserve">) </w:t>
      </w:r>
      <w:r>
        <w:t>with an updated ASA (Version</w:t>
      </w:r>
      <w:r>
        <w:sym w:font="Symbol" w:char="F020"/>
      </w:r>
      <w:r>
        <w:t>2.0</w:t>
      </w:r>
      <w:r w:rsidRPr="00157D91">
        <w:t xml:space="preserve">, dated </w:t>
      </w:r>
      <w:r>
        <w:t>23 November</w:t>
      </w:r>
      <w:r w:rsidRPr="00157D91">
        <w:t xml:space="preserve"> 2015</w:t>
      </w:r>
      <w:r w:rsidR="003208D3">
        <w:t>)</w:t>
      </w:r>
      <w:r>
        <w:t xml:space="preserve"> but currently the ASA to the EU-RMP does not adequately addresses the outstanding issues and therefore the Branch has not been able to provide a recommended wording as a condition of registration.</w:t>
      </w:r>
      <w:r w:rsidRPr="00115EAC">
        <w:t xml:space="preserve"> </w:t>
      </w:r>
    </w:p>
    <w:p w14:paraId="53E26874" w14:textId="77777777" w:rsidR="002343D4" w:rsidRPr="00B06EA7" w:rsidRDefault="002343D4" w:rsidP="00144C3F">
      <w:pPr>
        <w:rPr>
          <w:lang w:eastAsia="ja-JP"/>
        </w:rPr>
      </w:pPr>
      <w:r>
        <w:rPr>
          <w:lang w:eastAsia="ja-JP"/>
        </w:rPr>
        <w:t xml:space="preserve">The </w:t>
      </w:r>
      <w:r w:rsidRPr="00B06EA7">
        <w:rPr>
          <w:lang w:eastAsia="ja-JP"/>
        </w:rPr>
        <w:t>outstanding issues are:</w:t>
      </w:r>
    </w:p>
    <w:p w14:paraId="2FCE075A" w14:textId="77777777" w:rsidR="002343D4" w:rsidRPr="00B06EA7" w:rsidRDefault="002343D4" w:rsidP="003208D3">
      <w:pPr>
        <w:pStyle w:val="Numberbullet0"/>
        <w:numPr>
          <w:ilvl w:val="0"/>
          <w:numId w:val="44"/>
        </w:numPr>
        <w:rPr>
          <w:lang w:eastAsia="ja-JP"/>
        </w:rPr>
      </w:pPr>
      <w:r w:rsidRPr="00B06EA7">
        <w:rPr>
          <w:lang w:eastAsia="ja-JP"/>
        </w:rPr>
        <w:t>Inadequate information and cross-referencing of the risk of taking ceritinib with food</w:t>
      </w:r>
      <w:r w:rsidR="002E3E15">
        <w:rPr>
          <w:lang w:eastAsia="ja-JP"/>
        </w:rPr>
        <w:t xml:space="preserve"> versus</w:t>
      </w:r>
      <w:r w:rsidRPr="00B06EA7">
        <w:rPr>
          <w:lang w:eastAsia="ja-JP"/>
        </w:rPr>
        <w:t xml:space="preserve"> in a fasting state (see Delegate’s proposed PI change</w:t>
      </w:r>
      <w:r>
        <w:rPr>
          <w:lang w:eastAsia="ja-JP"/>
        </w:rPr>
        <w:t>s</w:t>
      </w:r>
      <w:r w:rsidRPr="00B06EA7">
        <w:rPr>
          <w:lang w:eastAsia="ja-JP"/>
        </w:rPr>
        <w:t xml:space="preserve"> to address this concern)</w:t>
      </w:r>
    </w:p>
    <w:p w14:paraId="0DFCE00A" w14:textId="77777777" w:rsidR="002343D4" w:rsidRPr="00B06EA7" w:rsidRDefault="002343D4" w:rsidP="003208D3">
      <w:pPr>
        <w:pStyle w:val="Numberbullet0"/>
        <w:numPr>
          <w:ilvl w:val="0"/>
          <w:numId w:val="44"/>
        </w:numPr>
        <w:rPr>
          <w:lang w:eastAsia="ja-JP"/>
        </w:rPr>
      </w:pPr>
      <w:r w:rsidRPr="00B06EA7">
        <w:rPr>
          <w:lang w:eastAsia="ja-JP"/>
        </w:rPr>
        <w:lastRenderedPageBreak/>
        <w:t>Inclusion of the evidence base on which the decision was made, particularly including the efficacy endpoints. The Delegate shares this concern (see Delegate’s proposed Note to the Indication and Condition of Registration that this be marketed) and this is key matter in consideration of any decision to register this product.</w:t>
      </w:r>
    </w:p>
    <w:p w14:paraId="392B9907" w14:textId="77777777" w:rsidR="002343D4" w:rsidRDefault="002343D4" w:rsidP="00144C3F">
      <w:r w:rsidRPr="00115EAC">
        <w:t>A number of recommendations for the RMP have been provided by the RMP evaluator and the sponsor should address these matters in the Pre-</w:t>
      </w:r>
      <w:r w:rsidR="003208D3">
        <w:t>Advisory Committee on Prescription Medicines (</w:t>
      </w:r>
      <w:r w:rsidRPr="00115EAC">
        <w:t>ACPM</w:t>
      </w:r>
      <w:r w:rsidR="003208D3">
        <w:t>)</w:t>
      </w:r>
      <w:r w:rsidRPr="00115EAC">
        <w:t xml:space="preserve"> Response and follow up where appropriate wi</w:t>
      </w:r>
      <w:r>
        <w:t xml:space="preserve">th the </w:t>
      </w:r>
      <w:r w:rsidR="003208D3">
        <w:t>RMP evaluator</w:t>
      </w:r>
      <w:r>
        <w:t>.</w:t>
      </w:r>
    </w:p>
    <w:p w14:paraId="589A80A0" w14:textId="77777777" w:rsidR="002343D4" w:rsidRPr="00C35655" w:rsidRDefault="002343D4" w:rsidP="00144C3F">
      <w:r w:rsidRPr="00C35655">
        <w:t>The Delegate considers that the following risk minimisation activities and pharmacovigilance are required, in addition to those proposed:</w:t>
      </w:r>
    </w:p>
    <w:p w14:paraId="3A456739" w14:textId="77777777" w:rsidR="002343D4" w:rsidRPr="000B2EA4" w:rsidRDefault="002343D4" w:rsidP="003208D3">
      <w:pPr>
        <w:pStyle w:val="Numberbullet0"/>
        <w:numPr>
          <w:ilvl w:val="0"/>
          <w:numId w:val="45"/>
        </w:numPr>
      </w:pPr>
      <w:r w:rsidRPr="00C35655">
        <w:t>Wallet-sized safety information card for patient/doctor for presentation to any treating doctor.</w:t>
      </w:r>
    </w:p>
    <w:p w14:paraId="1395BB2B" w14:textId="77777777" w:rsidR="002343D4" w:rsidRPr="00C35655" w:rsidRDefault="002343D4" w:rsidP="003208D3">
      <w:pPr>
        <w:pStyle w:val="Numberbullet0"/>
        <w:numPr>
          <w:ilvl w:val="0"/>
          <w:numId w:val="45"/>
        </w:numPr>
      </w:pPr>
      <w:r w:rsidRPr="00C35655">
        <w:t>Boxed warning for adverse events</w:t>
      </w:r>
      <w:r>
        <w:t xml:space="preserve"> and risk of food increasing exposure</w:t>
      </w:r>
      <w:r w:rsidRPr="00C35655">
        <w:t>.</w:t>
      </w:r>
    </w:p>
    <w:p w14:paraId="723A22B5" w14:textId="77777777" w:rsidR="002343D4" w:rsidRPr="00C35655" w:rsidRDefault="002343D4" w:rsidP="003208D3">
      <w:pPr>
        <w:pStyle w:val="Numberbullet0"/>
        <w:numPr>
          <w:ilvl w:val="0"/>
          <w:numId w:val="45"/>
        </w:numPr>
      </w:pPr>
      <w:r w:rsidRPr="00C35655">
        <w:t xml:space="preserve">Inclusion of identified potential risk of increased in toxicity in Asian </w:t>
      </w:r>
      <w:r>
        <w:t>patients</w:t>
      </w:r>
    </w:p>
    <w:p w14:paraId="3B525B89" w14:textId="77777777" w:rsidR="002343D4" w:rsidRDefault="002343D4" w:rsidP="003208D3">
      <w:pPr>
        <w:pStyle w:val="Numberbullet0"/>
        <w:numPr>
          <w:ilvl w:val="0"/>
          <w:numId w:val="45"/>
        </w:numPr>
      </w:pPr>
      <w:r w:rsidRPr="00C35655">
        <w:t xml:space="preserve">Inclusion as potential identified </w:t>
      </w:r>
      <w:r>
        <w:t>risk of</w:t>
      </w:r>
      <w:r w:rsidRPr="00C35655">
        <w:t xml:space="preserve"> drug errors related to ingestion with food</w:t>
      </w:r>
    </w:p>
    <w:p w14:paraId="618E7241" w14:textId="133B736E" w:rsidR="002343D4" w:rsidRPr="00C35655" w:rsidRDefault="002343D4" w:rsidP="003208D3">
      <w:pPr>
        <w:pStyle w:val="Numberbullet0"/>
        <w:numPr>
          <w:ilvl w:val="0"/>
          <w:numId w:val="45"/>
        </w:numPr>
      </w:pPr>
      <w:r>
        <w:t xml:space="preserve">A registry or equivalent to capture efficacy and safety outcomes in patients using this prior to the availability of the CSR for the  </w:t>
      </w:r>
      <w:r w:rsidR="001B365F">
        <w:t>P</w:t>
      </w:r>
      <w:r w:rsidR="00F23ACD">
        <w:t xml:space="preserve">hase III </w:t>
      </w:r>
      <w:r>
        <w:t>study in the same population</w:t>
      </w:r>
    </w:p>
    <w:p w14:paraId="30C21F80" w14:textId="77777777" w:rsidR="008E7846" w:rsidRDefault="00AA0ED0" w:rsidP="008E7846">
      <w:pPr>
        <w:pStyle w:val="Heading3"/>
      </w:pPr>
      <w:bookmarkStart w:id="238" w:name="_Toc247691531"/>
      <w:bookmarkStart w:id="239" w:name="_Toc314842515"/>
      <w:bookmarkStart w:id="240" w:name="_Toc507501126"/>
      <w:bookmarkStart w:id="241" w:name="_Toc196046505"/>
      <w:bookmarkStart w:id="242" w:name="_Toc196046949"/>
      <w:r>
        <w:t>Risk-benefit a</w:t>
      </w:r>
      <w:r w:rsidR="008E7846">
        <w:t>nalysis</w:t>
      </w:r>
      <w:bookmarkEnd w:id="238"/>
      <w:bookmarkEnd w:id="239"/>
      <w:bookmarkEnd w:id="240"/>
    </w:p>
    <w:p w14:paraId="223F3CF4" w14:textId="77777777" w:rsidR="00D23139" w:rsidRPr="003208D3" w:rsidRDefault="002343D4" w:rsidP="003208D3">
      <w:pPr>
        <w:pStyle w:val="Heading4"/>
      </w:pPr>
      <w:r>
        <w:t>Delegate’s considerations</w:t>
      </w:r>
    </w:p>
    <w:p w14:paraId="6F12331B" w14:textId="77777777" w:rsidR="002343D4" w:rsidRDefault="002343D4" w:rsidP="003208D3">
      <w:r>
        <w:t>Registration is being sought at a very early stage of the ceritinib development program for a population where no effective alternative treatments exist, on the grounds of unmet need</w:t>
      </w:r>
      <w:r w:rsidR="003208D3">
        <w:t>. T</w:t>
      </w:r>
      <w:r>
        <w:rPr>
          <w:rFonts w:asciiTheme="minorHAnsi" w:hAnsiTheme="minorHAnsi"/>
        </w:rPr>
        <w:t>he</w:t>
      </w:r>
      <w:r w:rsidRPr="00C47998">
        <w:rPr>
          <w:rFonts w:asciiTheme="minorHAnsi" w:hAnsiTheme="minorHAnsi"/>
        </w:rPr>
        <w:t xml:space="preserve"> benefit-risk is considered positive for those with essentially no remaining tre</w:t>
      </w:r>
      <w:r>
        <w:rPr>
          <w:rFonts w:asciiTheme="minorHAnsi" w:hAnsiTheme="minorHAnsi"/>
        </w:rPr>
        <w:t xml:space="preserve">atment alternatives. </w:t>
      </w:r>
      <w:r>
        <w:t xml:space="preserve">The Delegate considers the limited but clinically relevant demonstration of efficacy to date as determined by the early endpoints ORR and DoR is likely to be acceptable to a patient informed about the known significant toxicities as well as the existence of uncertainties about longer term efficacy and other potential adverse events. </w:t>
      </w:r>
      <w:r w:rsidRPr="00C47998">
        <w:rPr>
          <w:rFonts w:asciiTheme="minorHAnsi" w:hAnsiTheme="minorHAnsi"/>
        </w:rPr>
        <w:t xml:space="preserve">Clear presentation of the evidence base is </w:t>
      </w:r>
      <w:r>
        <w:rPr>
          <w:rFonts w:asciiTheme="minorHAnsi" w:hAnsiTheme="minorHAnsi"/>
        </w:rPr>
        <w:t>important</w:t>
      </w:r>
      <w:r w:rsidRPr="00C47998">
        <w:t xml:space="preserve"> to inform patients prior to making their decision to commence treatment.</w:t>
      </w:r>
      <w:r>
        <w:t xml:space="preserve"> However, currently the information proposed in the PI and CMI require extensive revision support a treatment decision that is based upon informed consent.</w:t>
      </w:r>
    </w:p>
    <w:p w14:paraId="283F842D" w14:textId="77777777" w:rsidR="002343D4" w:rsidRDefault="002343D4" w:rsidP="003208D3">
      <w:r>
        <w:rPr>
          <w:rFonts w:asciiTheme="minorHAnsi" w:hAnsiTheme="minorHAnsi"/>
        </w:rPr>
        <w:t>T</w:t>
      </w:r>
      <w:r w:rsidRPr="00C47998">
        <w:rPr>
          <w:rFonts w:asciiTheme="minorHAnsi" w:hAnsiTheme="minorHAnsi"/>
        </w:rPr>
        <w:t xml:space="preserve">here are uncertainties with approval based on earlier datasets when </w:t>
      </w:r>
      <w:r>
        <w:rPr>
          <w:rFonts w:asciiTheme="minorHAnsi" w:hAnsiTheme="minorHAnsi"/>
        </w:rPr>
        <w:t>only non-comparative</w:t>
      </w:r>
      <w:r w:rsidRPr="00C47998">
        <w:rPr>
          <w:rFonts w:asciiTheme="minorHAnsi" w:hAnsiTheme="minorHAnsi"/>
        </w:rPr>
        <w:t xml:space="preserve"> information is available (treatment in 304 patients to inform efficacy for the proposed usage in two single </w:t>
      </w:r>
      <w:r w:rsidR="00E56C47" w:rsidRPr="00C47998">
        <w:rPr>
          <w:rFonts w:asciiTheme="minorHAnsi" w:hAnsiTheme="minorHAnsi"/>
        </w:rPr>
        <w:t>arms</w:t>
      </w:r>
      <w:r w:rsidRPr="00C47998">
        <w:rPr>
          <w:rFonts w:asciiTheme="minorHAnsi" w:hAnsiTheme="minorHAnsi"/>
        </w:rPr>
        <w:t>, open label Phase I/II and Phase II trials and 525 patients in total who have received the proposed 75</w:t>
      </w:r>
      <w:r w:rsidR="00326B43">
        <w:rPr>
          <w:rFonts w:asciiTheme="minorHAnsi" w:hAnsiTheme="minorHAnsi"/>
        </w:rPr>
        <w:t>0 mg</w:t>
      </w:r>
      <w:r w:rsidRPr="00C47998">
        <w:rPr>
          <w:rFonts w:asciiTheme="minorHAnsi" w:hAnsiTheme="minorHAnsi"/>
        </w:rPr>
        <w:t xml:space="preserve"> dose including patients who are less heavily pretreated).</w:t>
      </w:r>
    </w:p>
    <w:p w14:paraId="27BE8572" w14:textId="02E9D7CD" w:rsidR="002343D4" w:rsidRDefault="002343D4" w:rsidP="003208D3">
      <w:r>
        <w:t xml:space="preserve">The Delegate notes that ceritinib has only received conditional marketing authorisation (or its equivalent) from the EMA, FDA and </w:t>
      </w:r>
      <w:r w:rsidR="003208D3">
        <w:t>Health Canada</w:t>
      </w:r>
      <w:r>
        <w:t>. The Delegate believes that patients in Australia should not be excluded from early access; however, approval is predicated upon a clear communication of the risks in a Boxed Warning, of the early nature of the endpoints supporting registration in a Note to the Indication</w:t>
      </w:r>
      <w:r w:rsidR="003208D3">
        <w:t>;</w:t>
      </w:r>
      <w:r>
        <w:t xml:space="preserve"> both of which must be marketed with any promotional material. In addition, a statement is included in the Clinical Trials section</w:t>
      </w:r>
      <w:r w:rsidR="003208D3">
        <w:t xml:space="preserve"> of the proposed PI</w:t>
      </w:r>
      <w:r>
        <w:t>, but needs rewording. Similarly, the CMI must contain the same information as the boxed warning in language that is appropriately worded for consumers. In a</w:t>
      </w:r>
      <w:r w:rsidR="00B240AC">
        <w:t>ddition, it is recommended the s</w:t>
      </w:r>
      <w:r>
        <w:t xml:space="preserve">ponsor set up a registry to capture better both relevant efficacy and safety outcomes, acknowledging that earlier registration, while providing access, necessarily reduces the information that would otherwise have been captured in clinical trials. This should inform about key efficacy questions such as longer term outcomes, efficacy in patients with brain metastases and in </w:t>
      </w:r>
      <w:r>
        <w:lastRenderedPageBreak/>
        <w:t xml:space="preserve">populations excluded from clinical trials. The </w:t>
      </w:r>
      <w:r w:rsidR="00B240AC">
        <w:t>s</w:t>
      </w:r>
      <w:r>
        <w:t>ponsor is responsible for setting up a registry (or its equivalent) to ensure this cr</w:t>
      </w:r>
      <w:r w:rsidR="00E437C3">
        <w:t>itical information is not lost.</w:t>
      </w:r>
    </w:p>
    <w:p w14:paraId="53122ABF" w14:textId="77777777" w:rsidR="002343D4" w:rsidRDefault="002343D4" w:rsidP="003208D3">
      <w:r>
        <w:t>Due to the rarity of this particular cancer, and the early stage of the development program, there is very limited experience of Australian clinicians to date and in institutions in prescribing and monitoring patients on ceritinib (4 clinicians across 4 sites treated 12 patients involved in the clinical trials presented in the dossier). Some of the adverse events are more frequent with ceritinib than crizotinib (</w:t>
      </w:r>
      <w:r w:rsidR="00B240AC">
        <w:t>for example,</w:t>
      </w:r>
      <w:r>
        <w:t xml:space="preserve"> hepatotoxicity) and/or severe (</w:t>
      </w:r>
      <w:r w:rsidR="00B240AC">
        <w:t>for example,</w:t>
      </w:r>
      <w:r>
        <w:t xml:space="preserve"> gastrointestinal side effects) or new (pancreatitis</w:t>
      </w:r>
      <w:r w:rsidR="00B240AC">
        <w:t xml:space="preserve"> and</w:t>
      </w:r>
      <w:r>
        <w:t xml:space="preserve"> hyperglycaemia), so do not represent a ‘class effect’. To facilitate management this adverse event profile by both patients and doct</w:t>
      </w:r>
      <w:r w:rsidR="00B240AC">
        <w:t>ors, the Delegate requires the s</w:t>
      </w:r>
      <w:r>
        <w:t xml:space="preserve">ponsor </w:t>
      </w:r>
      <w:r w:rsidR="00B240AC">
        <w:t xml:space="preserve">to </w:t>
      </w:r>
      <w:r>
        <w:t xml:space="preserve">prepare a patient safety card as these patients are likely to present to their local practitioner or to Accident and Emergency Departments with adverse events such as bradycardia, pancreatitis </w:t>
      </w:r>
      <w:r w:rsidR="00B240AC">
        <w:t>and so on as</w:t>
      </w:r>
      <w:r>
        <w:t xml:space="preserve"> these clinicians would not be expected to be aware of the safety profile of this drug. Oncologists would be familiar with the majority of the adverse events as these occur with other TKIs but the boxed warning will promote awareness of some of the key differences.</w:t>
      </w:r>
    </w:p>
    <w:p w14:paraId="7AFED466" w14:textId="77777777" w:rsidR="002343D4" w:rsidRDefault="00B240AC" w:rsidP="003208D3">
      <w:r>
        <w:t>Approval of the D</w:t>
      </w:r>
      <w:r w:rsidR="002343D4">
        <w:t xml:space="preserve">elegate’s proposed modified indication (which includes a note to the indication) is dependent upon the </w:t>
      </w:r>
      <w:r>
        <w:t>s</w:t>
      </w:r>
      <w:r w:rsidR="002343D4">
        <w:t>ponsor’s adequate response to the PI changes and acceptance of the Conditions of Registration. The advice of the ACPM is sought as to any other additional risk minimisation activities that would be required to ensure safe use of this medicine.</w:t>
      </w:r>
    </w:p>
    <w:p w14:paraId="1D27464B" w14:textId="77777777" w:rsidR="002343D4" w:rsidRDefault="002343D4" w:rsidP="00B240AC">
      <w:pPr>
        <w:pStyle w:val="Heading4"/>
        <w:rPr>
          <w:lang w:eastAsia="ja-JP"/>
        </w:rPr>
      </w:pPr>
      <w:r>
        <w:rPr>
          <w:lang w:eastAsia="ja-JP"/>
        </w:rPr>
        <w:t>Data deficiencies/limitations</w:t>
      </w:r>
    </w:p>
    <w:p w14:paraId="06C05AD4" w14:textId="77777777" w:rsidR="002343D4" w:rsidRDefault="002343D4" w:rsidP="00B240AC">
      <w:pPr>
        <w:rPr>
          <w:lang w:eastAsia="ja-JP"/>
        </w:rPr>
      </w:pPr>
      <w:r w:rsidRPr="00EA409D">
        <w:rPr>
          <w:lang w:eastAsia="ja-JP"/>
        </w:rPr>
        <w:t>There are no quality of life data which is a significant limitation given the severity of the adverse events</w:t>
      </w:r>
      <w:r>
        <w:rPr>
          <w:lang w:eastAsia="ja-JP"/>
        </w:rPr>
        <w:t xml:space="preserve"> and the palliative treatment intent</w:t>
      </w:r>
      <w:r w:rsidRPr="00EA409D">
        <w:rPr>
          <w:lang w:eastAsia="ja-JP"/>
        </w:rPr>
        <w:t>.</w:t>
      </w:r>
    </w:p>
    <w:p w14:paraId="1C69379B" w14:textId="77777777" w:rsidR="002343D4" w:rsidRPr="00EA409D" w:rsidRDefault="002343D4" w:rsidP="00B240AC">
      <w:pPr>
        <w:rPr>
          <w:lang w:eastAsia="ja-JP"/>
        </w:rPr>
      </w:pPr>
      <w:r>
        <w:t xml:space="preserve">The </w:t>
      </w:r>
      <w:r w:rsidR="00B240AC">
        <w:t>clinical e</w:t>
      </w:r>
      <w:r>
        <w:t xml:space="preserve">valuator noted that the </w:t>
      </w:r>
      <w:r w:rsidR="00B240AC">
        <w:t>s</w:t>
      </w:r>
      <w:r>
        <w:t xml:space="preserve">ponsor had presented information from the global pharmacovigilance safety database for 20 adverse events of which just 5 were reported spontaneously, with the remainder coming from postmarketing studies. The majority were expected toxicities of ceritinib or </w:t>
      </w:r>
      <w:r w:rsidR="0089512A">
        <w:t>‘</w:t>
      </w:r>
      <w:r w:rsidRPr="00ED1DA9">
        <w:t>required more information to allow a meaningful assessment</w:t>
      </w:r>
      <w:r w:rsidR="0089512A">
        <w:t>’</w:t>
      </w:r>
      <w:r>
        <w:t xml:space="preserve">. The latter suggests very strongly that for any new event outside of a clinical trial, insufficient information is being gathered to inform whether this might be related to ceritinib. To this </w:t>
      </w:r>
      <w:r w:rsidR="00B240AC">
        <w:t>end, the Delegate proposes the s</w:t>
      </w:r>
      <w:r>
        <w:t>ponsor consider</w:t>
      </w:r>
      <w:r w:rsidR="00B240AC">
        <w:t>s</w:t>
      </w:r>
      <w:r>
        <w:t xml:space="preserve"> either a registry or a more effective way to collect information about outcomes for both safety and efficacy for patients using ceritinib until randomised data from the planned Phase III trials are available for evaluation.</w:t>
      </w:r>
    </w:p>
    <w:p w14:paraId="0B86FED1" w14:textId="77777777" w:rsidR="002F5D46" w:rsidRPr="00B240AC" w:rsidRDefault="00B240AC" w:rsidP="00B240AC">
      <w:pPr>
        <w:pStyle w:val="Heading4"/>
      </w:pPr>
      <w:r>
        <w:t>Summary of i</w:t>
      </w:r>
      <w:r w:rsidR="002F5D46">
        <w:t>ssues</w:t>
      </w:r>
    </w:p>
    <w:p w14:paraId="54EA52AB" w14:textId="600882FA" w:rsidR="002F5D46" w:rsidRDefault="002F5D46" w:rsidP="002F5D46">
      <w:r w:rsidRPr="002F5D46">
        <w:t>Registration is being sought at an early stage of the development program in a population with no treatment alternatives following disease progression on crizotinib. There are substantial toxicities but overall the benefit risk is considered favourable given the improvement in overall response rate and duration of response on the grounds of unmet need. Verification of a clinical benefit is to follow with submission of a randomised Phase III trial</w:t>
      </w:r>
      <w:r w:rsidR="00F23ACD">
        <w:t xml:space="preserve"> in the same population.</w:t>
      </w:r>
    </w:p>
    <w:p w14:paraId="3C72538C" w14:textId="77777777" w:rsidR="00D23139" w:rsidRPr="00B240AC" w:rsidRDefault="00D23139" w:rsidP="00B240AC">
      <w:pPr>
        <w:pStyle w:val="Heading4"/>
      </w:pPr>
      <w:r w:rsidRPr="00D23139">
        <w:t>Proposed action</w:t>
      </w:r>
    </w:p>
    <w:p w14:paraId="08FBEB25" w14:textId="77777777" w:rsidR="00B240AC" w:rsidRDefault="002F5D46" w:rsidP="00B240AC">
      <w:pPr>
        <w:pStyle w:val="Heading5"/>
        <w:rPr>
          <w:lang w:eastAsia="ja-JP"/>
        </w:rPr>
      </w:pPr>
      <w:r w:rsidRPr="002F5D46">
        <w:rPr>
          <w:lang w:eastAsia="ja-JP"/>
        </w:rPr>
        <w:t>Pre ACPM preliminary assessment</w:t>
      </w:r>
    </w:p>
    <w:p w14:paraId="43789048" w14:textId="77777777" w:rsidR="002F5D46" w:rsidRPr="002F5D46" w:rsidRDefault="002F5D46" w:rsidP="002F5D46">
      <w:pPr>
        <w:rPr>
          <w:lang w:eastAsia="ja-JP"/>
        </w:rPr>
      </w:pPr>
      <w:r w:rsidRPr="002F5D46">
        <w:rPr>
          <w:lang w:eastAsia="ja-JP"/>
        </w:rPr>
        <w:t>Subject to the extensive PI changes that are required being made (including a Boxed Warning), agreement to the additional risk management strategies and agreement to the Conditions of Registration, the Delegate considers the following modified indication (inclusive of the Note to the Indication)</w:t>
      </w:r>
      <w:r w:rsidR="000E3918">
        <w:rPr>
          <w:lang w:eastAsia="ja-JP"/>
        </w:rPr>
        <w:t xml:space="preserve"> </w:t>
      </w:r>
      <w:r w:rsidRPr="002F5D46">
        <w:rPr>
          <w:lang w:eastAsia="ja-JP"/>
        </w:rPr>
        <w:t>approvable:</w:t>
      </w:r>
    </w:p>
    <w:p w14:paraId="0343E996" w14:textId="77777777" w:rsidR="002F5D46" w:rsidRPr="00B240AC" w:rsidRDefault="002F5D46" w:rsidP="00B240AC">
      <w:pPr>
        <w:ind w:left="720"/>
        <w:rPr>
          <w:i/>
          <w:lang w:eastAsia="ja-JP"/>
        </w:rPr>
      </w:pPr>
      <w:r w:rsidRPr="00B240AC">
        <w:rPr>
          <w:i/>
          <w:lang w:eastAsia="ja-JP"/>
        </w:rPr>
        <w:lastRenderedPageBreak/>
        <w:t>Zykadia is indicated as monotherapy for the treatment of adult patients with ALK-positive locally advanced or metastatic non-small cell lung cancer (NSCLC) whose disease has progressed on or who are intolerant of crizotinib.</w:t>
      </w:r>
    </w:p>
    <w:p w14:paraId="5F64C149" w14:textId="77777777" w:rsidR="002F5D46" w:rsidRPr="00B240AC" w:rsidRDefault="002F5D46" w:rsidP="00B240AC">
      <w:pPr>
        <w:ind w:left="720"/>
        <w:rPr>
          <w:i/>
          <w:lang w:eastAsia="ja-JP"/>
        </w:rPr>
      </w:pPr>
      <w:r w:rsidRPr="00B240AC">
        <w:rPr>
          <w:i/>
          <w:lang w:eastAsia="ja-JP"/>
        </w:rPr>
        <w:t>Note to the Indication: This indication is approved based on tumour response rate and duration of response. An improvement in survival or disease-related symptoms has not been established.</w:t>
      </w:r>
    </w:p>
    <w:p w14:paraId="3757E44A" w14:textId="77777777" w:rsidR="00B240AC" w:rsidRDefault="002F5D46" w:rsidP="00B240AC">
      <w:pPr>
        <w:pStyle w:val="Heading5"/>
        <w:rPr>
          <w:rFonts w:eastAsia="MS Mincho"/>
          <w:lang w:eastAsia="ja-JP"/>
        </w:rPr>
      </w:pPr>
      <w:r w:rsidRPr="00241F7A">
        <w:rPr>
          <w:rFonts w:eastAsia="MS Mincho"/>
          <w:lang w:eastAsia="ja-JP"/>
        </w:rPr>
        <w:t>Conditions of registration</w:t>
      </w:r>
    </w:p>
    <w:p w14:paraId="41DDC266" w14:textId="77777777" w:rsidR="002F5D46" w:rsidRPr="00241F7A" w:rsidRDefault="00B240AC" w:rsidP="002F5D46">
      <w:pPr>
        <w:spacing w:after="200"/>
        <w:jc w:val="both"/>
        <w:rPr>
          <w:rFonts w:eastAsia="MS Mincho"/>
          <w:lang w:eastAsia="ja-JP"/>
        </w:rPr>
      </w:pPr>
      <w:r>
        <w:rPr>
          <w:rFonts w:eastAsia="MS Mincho"/>
          <w:lang w:eastAsia="ja-JP"/>
        </w:rPr>
        <w:t>T</w:t>
      </w:r>
      <w:r w:rsidR="002F5D46" w:rsidRPr="00241F7A">
        <w:rPr>
          <w:rFonts w:eastAsia="MS Mincho"/>
          <w:lang w:eastAsia="ja-JP"/>
        </w:rPr>
        <w:t>he following are proposed as conditions of registration:</w:t>
      </w:r>
    </w:p>
    <w:p w14:paraId="7377A2E3" w14:textId="77777777" w:rsidR="002F5D46" w:rsidRPr="00B240AC" w:rsidRDefault="002F5D46" w:rsidP="00B240AC">
      <w:pPr>
        <w:pStyle w:val="Numberbullet0"/>
        <w:numPr>
          <w:ilvl w:val="0"/>
          <w:numId w:val="46"/>
        </w:numPr>
        <w:rPr>
          <w:rFonts w:eastAsia="MS Mincho"/>
          <w:lang w:eastAsia="ja-JP"/>
        </w:rPr>
      </w:pPr>
      <w:r w:rsidRPr="00574B21">
        <w:t xml:space="preserve">Implementation of the EU-RMP Version and ASA is a standard condition of registration but no wording can be provided as yet as an updated ASA has not been evaluated by the RMP evaluator. </w:t>
      </w:r>
    </w:p>
    <w:p w14:paraId="4FB0C484" w14:textId="52AB245A" w:rsidR="002F5D46" w:rsidRPr="00E57D34" w:rsidRDefault="002F5D46" w:rsidP="00B240AC">
      <w:pPr>
        <w:pStyle w:val="Numberbullet0"/>
        <w:numPr>
          <w:ilvl w:val="0"/>
          <w:numId w:val="46"/>
        </w:numPr>
      </w:pPr>
      <w:r w:rsidRPr="00B240AC">
        <w:rPr>
          <w:rFonts w:eastAsia="MS Mincho"/>
          <w:lang w:eastAsia="ja-JP"/>
        </w:rPr>
        <w:t xml:space="preserve">Submission for evaluation </w:t>
      </w:r>
      <w:r w:rsidR="008E0A37">
        <w:rPr>
          <w:rFonts w:eastAsia="MS Mincho"/>
          <w:lang w:eastAsia="ja-JP"/>
        </w:rPr>
        <w:t>[information redacted]</w:t>
      </w:r>
      <w:r w:rsidRPr="00B240AC">
        <w:rPr>
          <w:rFonts w:eastAsia="MS Mincho"/>
          <w:lang w:eastAsia="ja-JP"/>
        </w:rPr>
        <w:t xml:space="preserve">, </w:t>
      </w:r>
      <w:r w:rsidRPr="00E57D34">
        <w:t>the</w:t>
      </w:r>
      <w:r w:rsidRPr="00B240AC">
        <w:rPr>
          <w:spacing w:val="-3"/>
        </w:rPr>
        <w:t xml:space="preserve"> </w:t>
      </w:r>
      <w:r w:rsidRPr="00B240AC">
        <w:rPr>
          <w:spacing w:val="-2"/>
        </w:rPr>
        <w:t>26</w:t>
      </w:r>
      <w:r w:rsidR="00B240AC">
        <w:rPr>
          <w:spacing w:val="-2"/>
        </w:rPr>
        <w:t xml:space="preserve"> </w:t>
      </w:r>
      <w:r w:rsidRPr="00B240AC">
        <w:rPr>
          <w:spacing w:val="-2"/>
        </w:rPr>
        <w:t xml:space="preserve">week </w:t>
      </w:r>
      <w:r w:rsidRPr="00B240AC">
        <w:rPr>
          <w:spacing w:val="-3"/>
        </w:rPr>
        <w:t>rat</w:t>
      </w:r>
      <w:r w:rsidRPr="00B240AC">
        <w:rPr>
          <w:spacing w:val="1"/>
        </w:rPr>
        <w:t xml:space="preserve"> </w:t>
      </w:r>
      <w:r w:rsidRPr="00E57D34">
        <w:t>study</w:t>
      </w:r>
      <w:r w:rsidRPr="00B240AC">
        <w:rPr>
          <w:spacing w:val="-2"/>
        </w:rPr>
        <w:t xml:space="preserve"> </w:t>
      </w:r>
      <w:r w:rsidRPr="00E57D34">
        <w:t>and</w:t>
      </w:r>
      <w:r w:rsidRPr="00B240AC">
        <w:rPr>
          <w:spacing w:val="1"/>
        </w:rPr>
        <w:t xml:space="preserve"> </w:t>
      </w:r>
      <w:r w:rsidRPr="00E57D34">
        <w:t>a</w:t>
      </w:r>
      <w:r w:rsidRPr="00B240AC">
        <w:rPr>
          <w:spacing w:val="-3"/>
        </w:rPr>
        <w:t xml:space="preserve"> </w:t>
      </w:r>
      <w:r w:rsidRPr="00B240AC">
        <w:rPr>
          <w:spacing w:val="-2"/>
        </w:rPr>
        <w:t>39</w:t>
      </w:r>
      <w:r w:rsidR="00B240AC">
        <w:rPr>
          <w:spacing w:val="-2"/>
        </w:rPr>
        <w:t xml:space="preserve"> </w:t>
      </w:r>
      <w:r w:rsidRPr="00B240AC">
        <w:rPr>
          <w:spacing w:val="-2"/>
        </w:rPr>
        <w:t xml:space="preserve">week </w:t>
      </w:r>
      <w:r w:rsidRPr="00E57D34">
        <w:t>toxicity</w:t>
      </w:r>
      <w:r w:rsidRPr="00B240AC">
        <w:rPr>
          <w:spacing w:val="-2"/>
        </w:rPr>
        <w:t xml:space="preserve"> </w:t>
      </w:r>
      <w:r w:rsidRPr="00E57D34">
        <w:t>study</w:t>
      </w:r>
      <w:r w:rsidRPr="00B240AC">
        <w:rPr>
          <w:spacing w:val="-2"/>
        </w:rPr>
        <w:t xml:space="preserve"> that was</w:t>
      </w:r>
      <w:r w:rsidRPr="00B240AC">
        <w:rPr>
          <w:spacing w:val="1"/>
        </w:rPr>
        <w:t xml:space="preserve"> </w:t>
      </w:r>
      <w:r w:rsidRPr="00B240AC">
        <w:rPr>
          <w:spacing w:val="-2"/>
        </w:rPr>
        <w:t>referenced</w:t>
      </w:r>
      <w:r w:rsidRPr="00E57D34">
        <w:t xml:space="preserve"> </w:t>
      </w:r>
      <w:r w:rsidRPr="00B240AC">
        <w:rPr>
          <w:spacing w:val="-2"/>
        </w:rPr>
        <w:t>in</w:t>
      </w:r>
      <w:r w:rsidRPr="00B240AC">
        <w:rPr>
          <w:spacing w:val="1"/>
        </w:rPr>
        <w:t xml:space="preserve"> </w:t>
      </w:r>
      <w:r w:rsidRPr="00E57D34">
        <w:t xml:space="preserve">the </w:t>
      </w:r>
      <w:r w:rsidRPr="00B240AC">
        <w:rPr>
          <w:spacing w:val="-2"/>
        </w:rPr>
        <w:t>RMP</w:t>
      </w:r>
      <w:r w:rsidRPr="00B240AC">
        <w:rPr>
          <w:spacing w:val="1"/>
        </w:rPr>
        <w:t xml:space="preserve"> for this application </w:t>
      </w:r>
      <w:r w:rsidRPr="00E57D34">
        <w:t>(under Respiratory</w:t>
      </w:r>
      <w:r w:rsidRPr="00B240AC">
        <w:rPr>
          <w:spacing w:val="-2"/>
        </w:rPr>
        <w:t xml:space="preserve"> </w:t>
      </w:r>
      <w:r w:rsidRPr="00E57D34">
        <w:t>tract,</w:t>
      </w:r>
      <w:r w:rsidRPr="00B240AC">
        <w:rPr>
          <w:spacing w:val="-2"/>
        </w:rPr>
        <w:t xml:space="preserve"> </w:t>
      </w:r>
      <w:r w:rsidRPr="00E57D34">
        <w:t>and</w:t>
      </w:r>
      <w:r w:rsidRPr="00B240AC">
        <w:rPr>
          <w:spacing w:val="-6"/>
        </w:rPr>
        <w:t xml:space="preserve"> </w:t>
      </w:r>
      <w:r w:rsidRPr="00E57D34">
        <w:t>Hepatobiliary</w:t>
      </w:r>
      <w:r w:rsidRPr="00B240AC">
        <w:rPr>
          <w:spacing w:val="-2"/>
        </w:rPr>
        <w:t xml:space="preserve"> </w:t>
      </w:r>
      <w:r w:rsidRPr="00E57D34">
        <w:t>system and</w:t>
      </w:r>
      <w:r w:rsidR="00144C3F">
        <w:rPr>
          <w:spacing w:val="55"/>
        </w:rPr>
        <w:t xml:space="preserve"> </w:t>
      </w:r>
      <w:r w:rsidRPr="00E57D34">
        <w:t>pancreas).</w:t>
      </w:r>
    </w:p>
    <w:p w14:paraId="4B6FE514" w14:textId="1E8F7D3A" w:rsidR="002F5D46" w:rsidRPr="00574B21" w:rsidRDefault="002F5D46" w:rsidP="00B240AC">
      <w:pPr>
        <w:pStyle w:val="Numberbullet0"/>
        <w:rPr>
          <w:lang w:eastAsia="ja-JP"/>
        </w:rPr>
      </w:pPr>
      <w:r w:rsidRPr="00574B21">
        <w:rPr>
          <w:lang w:eastAsia="ja-JP"/>
        </w:rPr>
        <w:t xml:space="preserve">Submission of the following clinical trial(s) </w:t>
      </w:r>
      <w:r w:rsidR="008E0A37">
        <w:rPr>
          <w:rFonts w:eastAsia="MS Mincho"/>
          <w:lang w:eastAsia="ja-JP"/>
        </w:rPr>
        <w:t>[information redacted]</w:t>
      </w:r>
      <w:r w:rsidR="008E0A37" w:rsidRPr="00B240AC">
        <w:rPr>
          <w:rFonts w:eastAsia="MS Mincho"/>
          <w:lang w:eastAsia="ja-JP"/>
        </w:rPr>
        <w:t>,</w:t>
      </w:r>
      <w:r w:rsidRPr="00574B21">
        <w:rPr>
          <w:lang w:eastAsia="ja-JP"/>
        </w:rPr>
        <w:t xml:space="preserve">which were designed to examine/assess: </w:t>
      </w:r>
    </w:p>
    <w:p w14:paraId="1EB4040A" w14:textId="01C3E9E0" w:rsidR="002F5D46" w:rsidRPr="00574B21" w:rsidRDefault="00B240AC" w:rsidP="00B240AC">
      <w:pPr>
        <w:pStyle w:val="Numberbullet2"/>
        <w:rPr>
          <w:rFonts w:eastAsia="MS Mincho"/>
          <w:lang w:eastAsia="ja-JP"/>
        </w:rPr>
      </w:pPr>
      <w:r>
        <w:t>C</w:t>
      </w:r>
      <w:r w:rsidR="002F5D46" w:rsidRPr="00574B21">
        <w:t xml:space="preserve">eritinib in patients with hepatic impairment </w:t>
      </w:r>
      <w:r w:rsidR="008E0A37">
        <w:rPr>
          <w:rFonts w:eastAsia="MS Mincho"/>
          <w:lang w:eastAsia="ja-JP"/>
        </w:rPr>
        <w:t>[information redacted]</w:t>
      </w:r>
      <w:r w:rsidR="008E0A37" w:rsidRPr="00B240AC">
        <w:rPr>
          <w:rFonts w:eastAsia="MS Mincho"/>
          <w:lang w:eastAsia="ja-JP"/>
        </w:rPr>
        <w:t>,</w:t>
      </w:r>
    </w:p>
    <w:p w14:paraId="7B0BA9F4" w14:textId="53EFD4A5" w:rsidR="002F5D46" w:rsidRPr="00574B21" w:rsidRDefault="00B240AC" w:rsidP="00B240AC">
      <w:pPr>
        <w:pStyle w:val="Numberbullet2"/>
        <w:rPr>
          <w:rFonts w:eastAsia="MS Mincho"/>
          <w:lang w:eastAsia="ja-JP"/>
        </w:rPr>
      </w:pPr>
      <w:r>
        <w:t>T</w:t>
      </w:r>
      <w:r w:rsidR="002F5D46" w:rsidRPr="00574B21">
        <w:t xml:space="preserve">he interaction with warfarin and midazolam </w:t>
      </w:r>
      <w:r w:rsidR="008E0A37">
        <w:rPr>
          <w:rFonts w:eastAsia="MS Mincho"/>
          <w:lang w:eastAsia="ja-JP"/>
        </w:rPr>
        <w:t>[information redacted]</w:t>
      </w:r>
      <w:r w:rsidR="008E0A37" w:rsidRPr="00B240AC">
        <w:rPr>
          <w:rFonts w:eastAsia="MS Mincho"/>
          <w:lang w:eastAsia="ja-JP"/>
        </w:rPr>
        <w:t>,</w:t>
      </w:r>
    </w:p>
    <w:p w14:paraId="0983E9EF" w14:textId="32BDA678" w:rsidR="002F5D46" w:rsidRPr="00574B21" w:rsidRDefault="00B240AC" w:rsidP="00B240AC">
      <w:pPr>
        <w:pStyle w:val="Numberbullet2"/>
        <w:rPr>
          <w:rFonts w:eastAsia="MS Mincho"/>
          <w:lang w:eastAsia="ja-JP"/>
        </w:rPr>
      </w:pPr>
      <w:r>
        <w:t>T</w:t>
      </w:r>
      <w:r w:rsidR="002F5D46" w:rsidRPr="00574B21">
        <w:t xml:space="preserve">he effect of esomeprazole on the PK of ceritinib </w:t>
      </w:r>
      <w:r w:rsidR="008E0A37">
        <w:rPr>
          <w:rFonts w:eastAsia="MS Mincho"/>
          <w:lang w:eastAsia="ja-JP"/>
        </w:rPr>
        <w:t>[information redacted]</w:t>
      </w:r>
      <w:proofErr w:type="gramStart"/>
      <w:r w:rsidR="008E0A37" w:rsidRPr="00B240AC">
        <w:rPr>
          <w:rFonts w:eastAsia="MS Mincho"/>
          <w:lang w:eastAsia="ja-JP"/>
        </w:rPr>
        <w:t>,</w:t>
      </w:r>
      <w:r w:rsidR="002F5D46" w:rsidRPr="00574B21">
        <w:t>.</w:t>
      </w:r>
      <w:proofErr w:type="gramEnd"/>
    </w:p>
    <w:p w14:paraId="24B225B5" w14:textId="30A822FC" w:rsidR="002F5D46" w:rsidRPr="00574B21" w:rsidRDefault="00B240AC" w:rsidP="007F63DF">
      <w:pPr>
        <w:pStyle w:val="Numberbullet2"/>
        <w:rPr>
          <w:rFonts w:eastAsia="MS Mincho"/>
          <w:lang w:eastAsia="ja-JP"/>
        </w:rPr>
      </w:pPr>
      <w:r>
        <w:t>T</w:t>
      </w:r>
      <w:r w:rsidR="002F5D46" w:rsidRPr="00574B21">
        <w:t xml:space="preserve">he steady-state PK and safety of reduced doses of ceritinib taken with a low-fat meal, as compared with 750 mg ceritinib taken in the fasted state: a randomized food effect study </w:t>
      </w:r>
      <w:r w:rsidR="007F63DF" w:rsidRPr="007F63DF">
        <w:t>[information redacted]</w:t>
      </w:r>
      <w:r w:rsidR="002F5D46" w:rsidRPr="00574B21">
        <w:t>.</w:t>
      </w:r>
    </w:p>
    <w:p w14:paraId="615D46DA" w14:textId="7516B566" w:rsidR="002F5D46" w:rsidRPr="00D00293" w:rsidRDefault="00B240AC" w:rsidP="007F63DF">
      <w:pPr>
        <w:pStyle w:val="Numberbullet2"/>
        <w:rPr>
          <w:rFonts w:eastAsia="MS Mincho"/>
          <w:lang w:eastAsia="ja-JP"/>
        </w:rPr>
      </w:pPr>
      <w:r>
        <w:t>O</w:t>
      </w:r>
      <w:r w:rsidR="002F5D46" w:rsidRPr="00574B21">
        <w:t>ral</w:t>
      </w:r>
      <w:r w:rsidR="002F5D46" w:rsidRPr="00574B21">
        <w:rPr>
          <w:spacing w:val="-7"/>
        </w:rPr>
        <w:t xml:space="preserve"> </w:t>
      </w:r>
      <w:r w:rsidR="002F5D46" w:rsidRPr="00574B21">
        <w:rPr>
          <w:spacing w:val="-1"/>
        </w:rPr>
        <w:t>ceritinib</w:t>
      </w:r>
      <w:r w:rsidR="002F5D46" w:rsidRPr="00574B21">
        <w:rPr>
          <w:spacing w:val="-6"/>
        </w:rPr>
        <w:t xml:space="preserve"> </w:t>
      </w:r>
      <w:r w:rsidR="002F5D46" w:rsidRPr="00574B21">
        <w:rPr>
          <w:spacing w:val="-1"/>
        </w:rPr>
        <w:t>versus</w:t>
      </w:r>
      <w:r w:rsidR="002F5D46" w:rsidRPr="00574B21">
        <w:rPr>
          <w:spacing w:val="-8"/>
        </w:rPr>
        <w:t xml:space="preserve"> </w:t>
      </w:r>
      <w:r w:rsidR="002F5D46" w:rsidRPr="00574B21">
        <w:t>standard</w:t>
      </w:r>
      <w:r w:rsidR="002F5D46" w:rsidRPr="00574B21">
        <w:rPr>
          <w:spacing w:val="-6"/>
        </w:rPr>
        <w:t xml:space="preserve"> </w:t>
      </w:r>
      <w:r w:rsidR="002F5D46" w:rsidRPr="00574B21">
        <w:t>chemotherapy</w:t>
      </w:r>
      <w:r w:rsidR="002F5D46" w:rsidRPr="00574B21">
        <w:rPr>
          <w:spacing w:val="-10"/>
        </w:rPr>
        <w:t xml:space="preserve"> </w:t>
      </w:r>
      <w:r w:rsidR="002F5D46" w:rsidRPr="00574B21">
        <w:rPr>
          <w:spacing w:val="1"/>
        </w:rPr>
        <w:t xml:space="preserve">in </w:t>
      </w:r>
      <w:r w:rsidR="002F5D46" w:rsidRPr="00574B21">
        <w:rPr>
          <w:spacing w:val="-1"/>
        </w:rPr>
        <w:t>adult</w:t>
      </w:r>
      <w:r w:rsidR="002F5D46" w:rsidRPr="00574B21">
        <w:rPr>
          <w:spacing w:val="-11"/>
        </w:rPr>
        <w:t xml:space="preserve"> </w:t>
      </w:r>
      <w:r w:rsidR="002F5D46" w:rsidRPr="00574B21">
        <w:t>patients</w:t>
      </w:r>
      <w:r w:rsidR="002F5D46" w:rsidRPr="00574B21">
        <w:rPr>
          <w:spacing w:val="-8"/>
        </w:rPr>
        <w:t xml:space="preserve"> </w:t>
      </w:r>
      <w:r w:rsidR="002F5D46" w:rsidRPr="00574B21">
        <w:rPr>
          <w:spacing w:val="-1"/>
        </w:rPr>
        <w:t>with</w:t>
      </w:r>
      <w:r w:rsidR="002F5D46" w:rsidRPr="00574B21">
        <w:rPr>
          <w:spacing w:val="-9"/>
        </w:rPr>
        <w:t xml:space="preserve"> </w:t>
      </w:r>
      <w:r w:rsidR="002F5D46" w:rsidRPr="00574B21">
        <w:rPr>
          <w:spacing w:val="-1"/>
        </w:rPr>
        <w:t>ALK-rearranged</w:t>
      </w:r>
      <w:r w:rsidR="002F5D46" w:rsidRPr="00574B21">
        <w:rPr>
          <w:spacing w:val="-9"/>
        </w:rPr>
        <w:t xml:space="preserve"> </w:t>
      </w:r>
      <w:r w:rsidR="002F5D46" w:rsidRPr="00574B21">
        <w:t>(ALK-positive)</w:t>
      </w:r>
      <w:r w:rsidR="002F5D46" w:rsidRPr="00574B21">
        <w:rPr>
          <w:spacing w:val="44"/>
          <w:w w:val="99"/>
        </w:rPr>
        <w:t xml:space="preserve"> </w:t>
      </w:r>
      <w:r w:rsidR="002F5D46" w:rsidRPr="00574B21">
        <w:t>locally</w:t>
      </w:r>
      <w:r w:rsidR="002F5D46" w:rsidRPr="00574B21">
        <w:rPr>
          <w:spacing w:val="-10"/>
        </w:rPr>
        <w:t xml:space="preserve"> </w:t>
      </w:r>
      <w:r w:rsidR="002F5D46" w:rsidRPr="00574B21">
        <w:rPr>
          <w:spacing w:val="-1"/>
        </w:rPr>
        <w:t>advanced</w:t>
      </w:r>
      <w:r w:rsidR="002F5D46" w:rsidRPr="00574B21">
        <w:rPr>
          <w:spacing w:val="-5"/>
        </w:rPr>
        <w:t xml:space="preserve"> </w:t>
      </w:r>
      <w:r w:rsidR="002F5D46" w:rsidRPr="00574B21">
        <w:t>or</w:t>
      </w:r>
      <w:r w:rsidR="002F5D46" w:rsidRPr="00574B21">
        <w:rPr>
          <w:spacing w:val="-6"/>
        </w:rPr>
        <w:t xml:space="preserve"> </w:t>
      </w:r>
      <w:r w:rsidR="002F5D46" w:rsidRPr="00574B21">
        <w:rPr>
          <w:spacing w:val="-1"/>
        </w:rPr>
        <w:t>metastatic</w:t>
      </w:r>
      <w:r w:rsidR="002F5D46" w:rsidRPr="00574B21">
        <w:rPr>
          <w:spacing w:val="-5"/>
        </w:rPr>
        <w:t xml:space="preserve"> </w:t>
      </w:r>
      <w:r w:rsidR="002F5D46" w:rsidRPr="00574B21">
        <w:rPr>
          <w:spacing w:val="-1"/>
        </w:rPr>
        <w:t>NSCLC</w:t>
      </w:r>
      <w:r w:rsidR="002F5D46" w:rsidRPr="00574B21">
        <w:rPr>
          <w:spacing w:val="-5"/>
        </w:rPr>
        <w:t xml:space="preserve"> </w:t>
      </w:r>
      <w:r w:rsidR="002F5D46" w:rsidRPr="00574B21">
        <w:rPr>
          <w:spacing w:val="-1"/>
        </w:rPr>
        <w:t>who</w:t>
      </w:r>
      <w:r w:rsidR="002F5D46" w:rsidRPr="00574B21">
        <w:rPr>
          <w:spacing w:val="-5"/>
        </w:rPr>
        <w:t xml:space="preserve"> </w:t>
      </w:r>
      <w:r w:rsidR="002F5D46" w:rsidRPr="00574B21">
        <w:rPr>
          <w:spacing w:val="-1"/>
        </w:rPr>
        <w:t>have</w:t>
      </w:r>
      <w:r w:rsidR="002F5D46" w:rsidRPr="00574B21">
        <w:rPr>
          <w:spacing w:val="47"/>
          <w:w w:val="99"/>
        </w:rPr>
        <w:t xml:space="preserve"> </w:t>
      </w:r>
      <w:r w:rsidR="002F5D46" w:rsidRPr="00574B21">
        <w:t>been</w:t>
      </w:r>
      <w:r w:rsidR="002F5D46" w:rsidRPr="00574B21">
        <w:rPr>
          <w:spacing w:val="-8"/>
        </w:rPr>
        <w:t xml:space="preserve"> </w:t>
      </w:r>
      <w:r w:rsidR="002F5D46" w:rsidRPr="00574B21">
        <w:t>treated</w:t>
      </w:r>
      <w:r w:rsidR="002F5D46" w:rsidRPr="00574B21">
        <w:rPr>
          <w:spacing w:val="-6"/>
        </w:rPr>
        <w:t xml:space="preserve"> </w:t>
      </w:r>
      <w:r w:rsidR="002F5D46" w:rsidRPr="00574B21">
        <w:rPr>
          <w:spacing w:val="-1"/>
        </w:rPr>
        <w:t>previously</w:t>
      </w:r>
      <w:r w:rsidR="002F5D46" w:rsidRPr="00574B21">
        <w:rPr>
          <w:spacing w:val="-7"/>
        </w:rPr>
        <w:t xml:space="preserve"> </w:t>
      </w:r>
      <w:r w:rsidR="002F5D46" w:rsidRPr="00574B21">
        <w:rPr>
          <w:spacing w:val="-1"/>
        </w:rPr>
        <w:t>with</w:t>
      </w:r>
      <w:r w:rsidR="002F5D46" w:rsidRPr="00574B21">
        <w:rPr>
          <w:spacing w:val="-7"/>
        </w:rPr>
        <w:t xml:space="preserve"> </w:t>
      </w:r>
      <w:r w:rsidR="002F5D46" w:rsidRPr="00574B21">
        <w:rPr>
          <w:spacing w:val="-1"/>
        </w:rPr>
        <w:t>one</w:t>
      </w:r>
      <w:r w:rsidR="002F5D46" w:rsidRPr="00574B21">
        <w:rPr>
          <w:spacing w:val="-5"/>
        </w:rPr>
        <w:t xml:space="preserve"> </w:t>
      </w:r>
      <w:r w:rsidR="002F5D46" w:rsidRPr="00574B21">
        <w:t>chemotherapy</w:t>
      </w:r>
      <w:r w:rsidR="002F5D46" w:rsidRPr="00574B21">
        <w:rPr>
          <w:spacing w:val="32"/>
          <w:w w:val="99"/>
        </w:rPr>
        <w:t xml:space="preserve"> </w:t>
      </w:r>
      <w:r w:rsidR="002F5D46" w:rsidRPr="00574B21">
        <w:rPr>
          <w:spacing w:val="-1"/>
        </w:rPr>
        <w:t>regimen</w:t>
      </w:r>
      <w:r w:rsidR="002F5D46" w:rsidRPr="00574B21">
        <w:rPr>
          <w:spacing w:val="-9"/>
        </w:rPr>
        <w:t xml:space="preserve"> </w:t>
      </w:r>
      <w:r w:rsidR="002F5D46" w:rsidRPr="00574B21">
        <w:t>(platinum</w:t>
      </w:r>
      <w:r w:rsidR="002F5D46" w:rsidRPr="00574B21">
        <w:rPr>
          <w:spacing w:val="-10"/>
        </w:rPr>
        <w:t xml:space="preserve"> </w:t>
      </w:r>
      <w:r w:rsidR="002F5D46" w:rsidRPr="00574B21">
        <w:t>doublet)</w:t>
      </w:r>
      <w:r w:rsidR="002F5D46" w:rsidRPr="00574B21">
        <w:rPr>
          <w:spacing w:val="-8"/>
        </w:rPr>
        <w:t xml:space="preserve"> </w:t>
      </w:r>
      <w:r w:rsidR="002F5D46" w:rsidRPr="00574B21">
        <w:t>and</w:t>
      </w:r>
      <w:r w:rsidR="002F5D46" w:rsidRPr="00574B21">
        <w:rPr>
          <w:spacing w:val="-7"/>
        </w:rPr>
        <w:t xml:space="preserve"> </w:t>
      </w:r>
      <w:r w:rsidR="002F5D46" w:rsidRPr="00574B21">
        <w:t>crizotinib</w:t>
      </w:r>
      <w:r w:rsidR="000E3918">
        <w:t xml:space="preserve"> </w:t>
      </w:r>
      <w:r w:rsidR="002F5D46" w:rsidRPr="00574B21">
        <w:t>(</w:t>
      </w:r>
      <w:r w:rsidR="007F63DF" w:rsidRPr="007F63DF">
        <w:t>[information redacted]</w:t>
      </w:r>
      <w:r w:rsidR="002F5D46" w:rsidRPr="00574B21">
        <w:rPr>
          <w:spacing w:val="-7"/>
        </w:rPr>
        <w:t xml:space="preserve"> </w:t>
      </w:r>
      <w:r w:rsidR="002F5D46" w:rsidRPr="00574B21">
        <w:t>A</w:t>
      </w:r>
      <w:r w:rsidR="002F5D46" w:rsidRPr="00574B21">
        <w:rPr>
          <w:spacing w:val="-7"/>
        </w:rPr>
        <w:t xml:space="preserve"> </w:t>
      </w:r>
      <w:r w:rsidR="00B3070B">
        <w:t>Phase I</w:t>
      </w:r>
      <w:r w:rsidR="002F5D46" w:rsidRPr="00574B21">
        <w:t>II</w:t>
      </w:r>
      <w:r w:rsidR="002F5D46" w:rsidRPr="00574B21">
        <w:rPr>
          <w:spacing w:val="-6"/>
        </w:rPr>
        <w:t xml:space="preserve"> </w:t>
      </w:r>
      <w:r w:rsidR="002F5D46" w:rsidRPr="00574B21">
        <w:rPr>
          <w:spacing w:val="-1"/>
        </w:rPr>
        <w:t>multicentre,</w:t>
      </w:r>
      <w:r w:rsidR="002F5D46" w:rsidRPr="00574B21">
        <w:rPr>
          <w:spacing w:val="-2"/>
        </w:rPr>
        <w:t xml:space="preserve"> </w:t>
      </w:r>
      <w:r w:rsidR="002F5D46" w:rsidRPr="00574B21">
        <w:rPr>
          <w:spacing w:val="-1"/>
        </w:rPr>
        <w:t>randomized</w:t>
      </w:r>
      <w:r w:rsidR="002F5D46" w:rsidRPr="00574B21">
        <w:rPr>
          <w:spacing w:val="-3"/>
        </w:rPr>
        <w:t xml:space="preserve"> </w:t>
      </w:r>
      <w:r w:rsidR="002F5D46" w:rsidRPr="00574B21">
        <w:t>study</w:t>
      </w:r>
      <w:r w:rsidR="002F5D46" w:rsidRPr="00574B21">
        <w:rPr>
          <w:spacing w:val="-10"/>
        </w:rPr>
        <w:t>)</w:t>
      </w:r>
    </w:p>
    <w:p w14:paraId="5273F894" w14:textId="312BD6AF" w:rsidR="002F5D46" w:rsidRPr="00E97D01" w:rsidRDefault="00B240AC" w:rsidP="00B240AC">
      <w:pPr>
        <w:pStyle w:val="Numberbullet0"/>
        <w:rPr>
          <w:rFonts w:eastAsia="MS Mincho"/>
          <w:lang w:eastAsia="ja-JP"/>
        </w:rPr>
      </w:pPr>
      <w:r>
        <w:t>S</w:t>
      </w:r>
      <w:r w:rsidR="002F5D46" w:rsidRPr="00E97D01">
        <w:t xml:space="preserve">ubmit </w:t>
      </w:r>
      <w:r w:rsidR="008E0A37">
        <w:rPr>
          <w:rFonts w:eastAsia="MS Mincho"/>
          <w:lang w:eastAsia="ja-JP"/>
        </w:rPr>
        <w:t>[information redacted]</w:t>
      </w:r>
      <w:r w:rsidR="008E0A37" w:rsidRPr="00B240AC">
        <w:rPr>
          <w:rFonts w:eastAsia="MS Mincho"/>
          <w:lang w:eastAsia="ja-JP"/>
        </w:rPr>
        <w:t>,</w:t>
      </w:r>
      <w:r w:rsidR="002F5D46" w:rsidRPr="00E97D01">
        <w:t>for evaluation as soon as available:</w:t>
      </w:r>
      <w:r w:rsidR="002F5D46" w:rsidRPr="00E97D01">
        <w:rPr>
          <w:spacing w:val="1"/>
        </w:rPr>
        <w:t xml:space="preserve"> </w:t>
      </w:r>
    </w:p>
    <w:p w14:paraId="4614285F" w14:textId="6575D91A" w:rsidR="002F5D46" w:rsidRPr="00653715" w:rsidRDefault="00E56C47" w:rsidP="007F63DF">
      <w:pPr>
        <w:pStyle w:val="Numberbullet2"/>
        <w:rPr>
          <w:rFonts w:eastAsia="MS Mincho"/>
          <w:lang w:eastAsia="ja-JP"/>
        </w:rPr>
      </w:pPr>
      <w:r w:rsidRPr="00E97D01">
        <w:t>The</w:t>
      </w:r>
      <w:r w:rsidR="002F5D46" w:rsidRPr="00E97D01">
        <w:t xml:space="preserve"> </w:t>
      </w:r>
      <w:r w:rsidR="002F5D46" w:rsidRPr="00E97D01">
        <w:rPr>
          <w:spacing w:val="-2"/>
        </w:rPr>
        <w:t xml:space="preserve">CSR with the </w:t>
      </w:r>
      <w:r w:rsidR="002F5D46" w:rsidRPr="00E97D01">
        <w:t>final</w:t>
      </w:r>
      <w:r w:rsidR="002F5D46" w:rsidRPr="00E97D01">
        <w:rPr>
          <w:spacing w:val="-2"/>
        </w:rPr>
        <w:t xml:space="preserve"> </w:t>
      </w:r>
      <w:r w:rsidR="002F5D46" w:rsidRPr="00E97D01">
        <w:t>results of</w:t>
      </w:r>
      <w:r w:rsidR="002F5D46" w:rsidRPr="00E97D01">
        <w:rPr>
          <w:spacing w:val="43"/>
        </w:rPr>
        <w:t xml:space="preserve"> </w:t>
      </w:r>
      <w:r w:rsidR="002F5D46" w:rsidRPr="00E97D01">
        <w:t xml:space="preserve">the </w:t>
      </w:r>
      <w:r w:rsidR="00B3070B">
        <w:t>Phase I</w:t>
      </w:r>
      <w:r w:rsidR="002F5D46" w:rsidRPr="00E97D01">
        <w:t>I</w:t>
      </w:r>
      <w:r w:rsidR="002F5D46" w:rsidRPr="00E97D01">
        <w:rPr>
          <w:spacing w:val="-4"/>
        </w:rPr>
        <w:t xml:space="preserve"> </w:t>
      </w:r>
      <w:r w:rsidR="002F5D46" w:rsidRPr="00E97D01">
        <w:t>single-arm</w:t>
      </w:r>
      <w:r w:rsidR="002F5D46" w:rsidRPr="00E97D01">
        <w:rPr>
          <w:spacing w:val="-4"/>
        </w:rPr>
        <w:t xml:space="preserve"> </w:t>
      </w:r>
      <w:r w:rsidR="002F5D46" w:rsidRPr="00E97D01">
        <w:t>efficacy</w:t>
      </w:r>
      <w:r w:rsidR="002F5D46" w:rsidRPr="00E97D01">
        <w:rPr>
          <w:spacing w:val="-2"/>
        </w:rPr>
        <w:t xml:space="preserve"> </w:t>
      </w:r>
      <w:r w:rsidR="007F63DF" w:rsidRPr="007F63DF">
        <w:t>[information redacted]</w:t>
      </w:r>
      <w:r w:rsidR="002F5D46" w:rsidRPr="00E97D01">
        <w:t>.</w:t>
      </w:r>
    </w:p>
    <w:p w14:paraId="0E5D9FDA" w14:textId="77777777" w:rsidR="002F5D46" w:rsidRPr="00E97D01" w:rsidRDefault="002F5D46" w:rsidP="00B240AC">
      <w:pPr>
        <w:pStyle w:val="Numberbullet2"/>
        <w:rPr>
          <w:rFonts w:eastAsia="MS Mincho"/>
          <w:lang w:eastAsia="ja-JP"/>
        </w:rPr>
      </w:pPr>
      <w:r>
        <w:t>The CSR for the Phase I/II study of ceritinib in adult Chinese patients with ALK-rearranged (ALK+) advanced NSCLC previously treated with crizotinib</w:t>
      </w:r>
    </w:p>
    <w:p w14:paraId="38CA31C8" w14:textId="77777777" w:rsidR="002F5D46" w:rsidRPr="00F37D57" w:rsidRDefault="002F5D46" w:rsidP="00A80CF2">
      <w:pPr>
        <w:pStyle w:val="Numberbullet0"/>
        <w:rPr>
          <w:lang w:eastAsia="ja-JP"/>
        </w:rPr>
      </w:pPr>
      <w:r>
        <w:rPr>
          <w:lang w:eastAsia="ja-JP"/>
        </w:rPr>
        <w:t xml:space="preserve">The Note to the Indication must follow the Indication in any promotional material; and the </w:t>
      </w:r>
      <w:r w:rsidRPr="00F37D57">
        <w:rPr>
          <w:lang w:eastAsia="ja-JP"/>
        </w:rPr>
        <w:t>Boxed Warning must be marketed together with the indication</w:t>
      </w:r>
      <w:r>
        <w:rPr>
          <w:lang w:eastAsia="ja-JP"/>
        </w:rPr>
        <w:t xml:space="preserve"> and note to the indication</w:t>
      </w:r>
      <w:r w:rsidRPr="00F37D57">
        <w:rPr>
          <w:lang w:eastAsia="ja-JP"/>
        </w:rPr>
        <w:t xml:space="preserve"> in any promotional material.</w:t>
      </w:r>
    </w:p>
    <w:p w14:paraId="3FE4995A" w14:textId="77777777" w:rsidR="00D23139" w:rsidRDefault="00D23139" w:rsidP="00A80CF2">
      <w:pPr>
        <w:pStyle w:val="Heading4"/>
      </w:pPr>
      <w:r w:rsidRPr="00D23139">
        <w:t xml:space="preserve">Request for ACPM </w:t>
      </w:r>
      <w:r w:rsidRPr="00A80CF2">
        <w:t>advice</w:t>
      </w:r>
    </w:p>
    <w:p w14:paraId="3FDBE76A" w14:textId="77777777" w:rsidR="002F5D46" w:rsidRPr="002F5D46" w:rsidRDefault="002F5D46" w:rsidP="002F5D46">
      <w:r w:rsidRPr="002F5D46">
        <w:t>The committee is requested to provide advice on any pharmacovigilance activities considered necessary, including requirement for a registry to capture safety and efficacy outcomes in more detail than present routine pharmacovigilance.</w:t>
      </w:r>
    </w:p>
    <w:p w14:paraId="72499F8D" w14:textId="77777777" w:rsidR="002F5D46" w:rsidRPr="007C7848" w:rsidRDefault="002F5D46" w:rsidP="00A80CF2">
      <w:pPr>
        <w:pStyle w:val="Heading4"/>
        <w:rPr>
          <w:lang w:eastAsia="ja-JP"/>
        </w:rPr>
      </w:pPr>
      <w:r w:rsidRPr="007C7848">
        <w:rPr>
          <w:lang w:eastAsia="ja-JP"/>
        </w:rPr>
        <w:t xml:space="preserve">Questions for the </w:t>
      </w:r>
      <w:r w:rsidR="00A80CF2">
        <w:rPr>
          <w:lang w:eastAsia="ja-JP"/>
        </w:rPr>
        <w:t>s</w:t>
      </w:r>
      <w:r w:rsidRPr="007C7848">
        <w:rPr>
          <w:lang w:eastAsia="ja-JP"/>
        </w:rPr>
        <w:t>ponsor</w:t>
      </w:r>
    </w:p>
    <w:p w14:paraId="0D7AE075" w14:textId="77777777" w:rsidR="002F5D46" w:rsidRDefault="00A80CF2" w:rsidP="00A80CF2">
      <w:pPr>
        <w:pStyle w:val="Numberbullet0"/>
        <w:numPr>
          <w:ilvl w:val="0"/>
          <w:numId w:val="47"/>
        </w:numPr>
      </w:pPr>
      <w:r>
        <w:t>The s</w:t>
      </w:r>
      <w:r w:rsidR="002F5D46">
        <w:t>ponsor is requested to clarify the maximum dose tested in the dose escalation phase of Study X2101.</w:t>
      </w:r>
    </w:p>
    <w:p w14:paraId="3E01A246" w14:textId="77777777" w:rsidR="002F5D46" w:rsidRDefault="002F5D46" w:rsidP="00A80CF2">
      <w:pPr>
        <w:pStyle w:val="Numberbullet0"/>
        <w:numPr>
          <w:ilvl w:val="0"/>
          <w:numId w:val="47"/>
        </w:numPr>
      </w:pPr>
      <w:r w:rsidRPr="007B7CB8">
        <w:t xml:space="preserve">It is unclear whether the triplicate ECGs and matched plasma concentrations are just </w:t>
      </w:r>
      <w:r w:rsidRPr="007B6E55">
        <w:t>being undertaken in the Phase III trials. No such data could be located in the Phase II studi</w:t>
      </w:r>
      <w:r w:rsidR="00A80CF2">
        <w:t>es. The s</w:t>
      </w:r>
      <w:r w:rsidRPr="007B6E55">
        <w:t>ponsor is requested to comment.</w:t>
      </w:r>
    </w:p>
    <w:p w14:paraId="5FBB32FE" w14:textId="77777777" w:rsidR="002F5D46" w:rsidRDefault="00A80CF2" w:rsidP="00A80CF2">
      <w:pPr>
        <w:pStyle w:val="Numberbullet0"/>
        <w:numPr>
          <w:ilvl w:val="0"/>
          <w:numId w:val="47"/>
        </w:numPr>
      </w:pPr>
      <w:r>
        <w:lastRenderedPageBreak/>
        <w:t>The s</w:t>
      </w:r>
      <w:r w:rsidR="002F5D46">
        <w:t xml:space="preserve">ponsor is requested to present an analysis of all grade adverse events in Asian versus non-Asian patients to inform about concerns identified regarding the adverse event rates in the Study X1101 in Japanese patients. </w:t>
      </w:r>
    </w:p>
    <w:p w14:paraId="2BA012C4" w14:textId="77777777" w:rsidR="002F5D46" w:rsidRPr="00F774CB" w:rsidRDefault="00A80CF2" w:rsidP="00A80CF2">
      <w:pPr>
        <w:pStyle w:val="Numberbullet0"/>
        <w:numPr>
          <w:ilvl w:val="0"/>
          <w:numId w:val="47"/>
        </w:numPr>
      </w:pPr>
      <w:r>
        <w:t>The s</w:t>
      </w:r>
      <w:r w:rsidR="002F5D46">
        <w:t>ponsor is also requested to advise on the accrual status, study design (including whether this is a dose-finding study vs PK study at fixed dose of 75</w:t>
      </w:r>
      <w:r w:rsidR="00326B43">
        <w:t>0 mg</w:t>
      </w:r>
      <w:r w:rsidR="002F5D46">
        <w:t xml:space="preserve">) and likely completion date for the Phase I/II study of ceritinib in adult Chinese patients with ALK-rearranged (ALK+) advanced NSCLC previously treated with crizotinib. </w:t>
      </w:r>
      <w:r w:rsidR="002F5D46" w:rsidRPr="00F774CB">
        <w:t>Given this directly informs of the conc</w:t>
      </w:r>
      <w:r>
        <w:t>ern the Delegate has prompting Q</w:t>
      </w:r>
      <w:r w:rsidR="002F5D46" w:rsidRPr="00F774CB">
        <w:t xml:space="preserve">uestion 3, submission of the CSR for evaluation of this as a condition of registration may be required (see </w:t>
      </w:r>
      <w:r w:rsidR="002F5D46" w:rsidRPr="00A80CF2">
        <w:rPr>
          <w:i/>
        </w:rPr>
        <w:t xml:space="preserve">Questions for </w:t>
      </w:r>
      <w:r w:rsidRPr="00A80CF2">
        <w:rPr>
          <w:i/>
        </w:rPr>
        <w:t>s</w:t>
      </w:r>
      <w:r w:rsidR="002F5D46" w:rsidRPr="00A80CF2">
        <w:rPr>
          <w:i/>
        </w:rPr>
        <w:t>ponsor, Conditions of Registration</w:t>
      </w:r>
      <w:r w:rsidR="002F5D46" w:rsidRPr="00F774CB">
        <w:t xml:space="preserve">). </w:t>
      </w:r>
    </w:p>
    <w:p w14:paraId="36FCB089" w14:textId="77777777" w:rsidR="002F5D46" w:rsidRPr="00A80CF2" w:rsidRDefault="002F5D46" w:rsidP="00A80CF2">
      <w:pPr>
        <w:pStyle w:val="Numberbullet0"/>
        <w:numPr>
          <w:ilvl w:val="0"/>
          <w:numId w:val="47"/>
        </w:numPr>
        <w:rPr>
          <w:rFonts w:ascii="Arial" w:hAnsi="Arial" w:cs="Arial"/>
          <w:sz w:val="18"/>
          <w:szCs w:val="18"/>
        </w:rPr>
      </w:pPr>
      <w:r w:rsidRPr="00A80CF2">
        <w:rPr>
          <w:rFonts w:cs="Arial"/>
        </w:rPr>
        <w:t xml:space="preserve">The Delegate notes that no information is provided regarding an application in Japan; has </w:t>
      </w:r>
      <w:r w:rsidR="00A80CF2">
        <w:rPr>
          <w:rFonts w:cs="Arial"/>
        </w:rPr>
        <w:t>s</w:t>
      </w:r>
      <w:r w:rsidRPr="00A80CF2">
        <w:rPr>
          <w:rFonts w:cs="Arial"/>
        </w:rPr>
        <w:t>ponsor approached PMDA about registration in Japan, and if so, what was the outcome of those discussions?</w:t>
      </w:r>
    </w:p>
    <w:p w14:paraId="170D4E9D" w14:textId="0A9E68E4" w:rsidR="002F5D46" w:rsidRPr="00A80CF2" w:rsidRDefault="002F5D46" w:rsidP="00A80CF2">
      <w:pPr>
        <w:pStyle w:val="Numberbullet0"/>
        <w:numPr>
          <w:ilvl w:val="0"/>
          <w:numId w:val="47"/>
        </w:numPr>
        <w:rPr>
          <w:rFonts w:eastAsia="MS Mincho"/>
          <w:lang w:eastAsia="ja-JP"/>
        </w:rPr>
      </w:pPr>
      <w:r w:rsidRPr="00A80CF2">
        <w:rPr>
          <w:rFonts w:eastAsia="MS Mincho"/>
          <w:lang w:eastAsia="ja-JP"/>
        </w:rPr>
        <w:t xml:space="preserve">What is the current accrual status of </w:t>
      </w:r>
      <w:r w:rsidR="00F23ACD">
        <w:rPr>
          <w:rFonts w:eastAsia="MS Mincho"/>
          <w:lang w:eastAsia="ja-JP"/>
        </w:rPr>
        <w:t xml:space="preserve">the </w:t>
      </w:r>
      <w:r w:rsidR="003750CE">
        <w:rPr>
          <w:rFonts w:eastAsia="MS Mincho"/>
          <w:lang w:eastAsia="ja-JP"/>
        </w:rPr>
        <w:t>P</w:t>
      </w:r>
      <w:r w:rsidR="00F23ACD">
        <w:rPr>
          <w:rFonts w:eastAsia="MS Mincho"/>
          <w:lang w:eastAsia="ja-JP"/>
        </w:rPr>
        <w:t xml:space="preserve">hase III </w:t>
      </w:r>
      <w:r w:rsidRPr="00A80CF2">
        <w:rPr>
          <w:rFonts w:eastAsia="MS Mincho"/>
          <w:lang w:eastAsia="ja-JP"/>
        </w:rPr>
        <w:t xml:space="preserve">Study </w:t>
      </w:r>
      <w:r w:rsidR="00F23ACD">
        <w:rPr>
          <w:rFonts w:eastAsia="MS Mincho"/>
          <w:lang w:eastAsia="ja-JP"/>
        </w:rPr>
        <w:t>of the same population</w:t>
      </w:r>
      <w:r w:rsidRPr="00A80CF2">
        <w:rPr>
          <w:rFonts w:eastAsia="MS Mincho"/>
          <w:lang w:eastAsia="ja-JP"/>
        </w:rPr>
        <w:t xml:space="preserve"> and anticipated date for the primary analysis and the CSR to be available?</w:t>
      </w:r>
    </w:p>
    <w:p w14:paraId="748DA484" w14:textId="77777777" w:rsidR="002F5D46" w:rsidRPr="00A80CF2" w:rsidRDefault="002F5D46" w:rsidP="00A80CF2">
      <w:pPr>
        <w:pStyle w:val="Numberbullet0"/>
        <w:numPr>
          <w:ilvl w:val="0"/>
          <w:numId w:val="47"/>
        </w:numPr>
        <w:rPr>
          <w:rFonts w:eastAsia="MS Mincho"/>
          <w:lang w:eastAsia="ja-JP"/>
        </w:rPr>
      </w:pPr>
      <w:r w:rsidRPr="00633043">
        <w:t xml:space="preserve">The </w:t>
      </w:r>
      <w:r w:rsidR="00A80CF2">
        <w:t>s</w:t>
      </w:r>
      <w:r w:rsidRPr="00633043">
        <w:t xml:space="preserve">ponsor is requested to </w:t>
      </w:r>
      <w:r>
        <w:t>present</w:t>
      </w:r>
      <w:r w:rsidRPr="00633043">
        <w:t xml:space="preserve"> a registry or a more effective way to collect information about outcomes for both safety and efficacy for patients using ceritinib, given the limitations described in the pharmacovigilance to date.</w:t>
      </w:r>
    </w:p>
    <w:p w14:paraId="78ED40BB" w14:textId="77777777" w:rsidR="00D23139" w:rsidRDefault="00D23139" w:rsidP="00D23139">
      <w:pPr>
        <w:pStyle w:val="Heading4"/>
      </w:pPr>
      <w:r w:rsidRPr="00D23139">
        <w:t xml:space="preserve">Response from </w:t>
      </w:r>
      <w:r w:rsidR="00A80CF2">
        <w:t>s</w:t>
      </w:r>
      <w:r w:rsidRPr="00D23139">
        <w:t xml:space="preserve">ponsor </w:t>
      </w:r>
    </w:p>
    <w:p w14:paraId="40D92B9D" w14:textId="77777777" w:rsidR="00C95ED7" w:rsidRPr="00C95ED7" w:rsidRDefault="00C95ED7" w:rsidP="00C6191F">
      <w:r w:rsidRPr="00C95ED7">
        <w:t xml:space="preserve">This document provides responses to the TGA Delegate’s </w:t>
      </w:r>
      <w:r w:rsidRPr="00A80CF2">
        <w:rPr>
          <w:i/>
        </w:rPr>
        <w:t xml:space="preserve">Overview Questions for the </w:t>
      </w:r>
      <w:r w:rsidR="00A80CF2" w:rsidRPr="00A80CF2">
        <w:rPr>
          <w:i/>
        </w:rPr>
        <w:t>s</w:t>
      </w:r>
      <w:r w:rsidRPr="00A80CF2">
        <w:rPr>
          <w:i/>
        </w:rPr>
        <w:t>ponsor</w:t>
      </w:r>
      <w:r w:rsidRPr="00C95ED7">
        <w:t xml:space="preserve"> for Zykadia ceritinib (LDK378) 150 mg hard capsules, submission PM-2015-00418-1-4.</w:t>
      </w:r>
    </w:p>
    <w:p w14:paraId="666AEC3E" w14:textId="77777777" w:rsidR="00C95ED7" w:rsidRPr="00C95ED7" w:rsidRDefault="00C95ED7" w:rsidP="00A80CF2">
      <w:pPr>
        <w:pStyle w:val="Heading5"/>
      </w:pPr>
      <w:r w:rsidRPr="00C95ED7">
        <w:t>Question 1</w:t>
      </w:r>
    </w:p>
    <w:p w14:paraId="2EF5E7EE" w14:textId="77777777" w:rsidR="00C95ED7" w:rsidRPr="00A80CF2" w:rsidRDefault="00C95ED7" w:rsidP="00C6191F">
      <w:pPr>
        <w:rPr>
          <w:i/>
        </w:rPr>
      </w:pPr>
      <w:r w:rsidRPr="00A80CF2">
        <w:rPr>
          <w:i/>
        </w:rPr>
        <w:t xml:space="preserve">The </w:t>
      </w:r>
      <w:r w:rsidR="00A80CF2" w:rsidRPr="00A80CF2">
        <w:rPr>
          <w:i/>
        </w:rPr>
        <w:t>s</w:t>
      </w:r>
      <w:r w:rsidRPr="00A80CF2">
        <w:rPr>
          <w:i/>
        </w:rPr>
        <w:t>ponsor is requested to clarify the maximum dose tested in the dose escalation phase of Study X2101.</w:t>
      </w:r>
    </w:p>
    <w:p w14:paraId="2ACF7466" w14:textId="77777777" w:rsidR="00C95ED7" w:rsidRPr="00C95ED7" w:rsidRDefault="00A84F36" w:rsidP="00A80CF2">
      <w:pPr>
        <w:pStyle w:val="Heading6"/>
      </w:pPr>
      <w:r>
        <w:t>Sponsor response</w:t>
      </w:r>
      <w:r w:rsidR="00C95ED7" w:rsidRPr="00C95ED7">
        <w:t>:</w:t>
      </w:r>
    </w:p>
    <w:p w14:paraId="73B125D9" w14:textId="77777777" w:rsidR="00C95ED7" w:rsidRPr="00C95ED7" w:rsidRDefault="00C95ED7" w:rsidP="00C6191F">
      <w:r w:rsidRPr="00C95ED7">
        <w:t>The maximum dose tested in the dose escalation phase of Study X2101 was 750 mg orally once daily under fasting condition.</w:t>
      </w:r>
    </w:p>
    <w:p w14:paraId="6E05E9E5" w14:textId="77777777" w:rsidR="00C95ED7" w:rsidRPr="00C95ED7" w:rsidRDefault="00C95ED7" w:rsidP="00A80CF2">
      <w:pPr>
        <w:pStyle w:val="Heading5"/>
      </w:pPr>
      <w:r w:rsidRPr="00C95ED7">
        <w:t>Question 2</w:t>
      </w:r>
    </w:p>
    <w:p w14:paraId="73EADDF7" w14:textId="77777777" w:rsidR="00C95ED7" w:rsidRPr="00A80CF2" w:rsidRDefault="00C95ED7" w:rsidP="00C6191F">
      <w:pPr>
        <w:rPr>
          <w:i/>
        </w:rPr>
      </w:pPr>
      <w:r w:rsidRPr="00A80CF2">
        <w:rPr>
          <w:i/>
        </w:rPr>
        <w:t>It is unclear whether the triplicate ECGs and matched plasma concentrations are just being undertaken in the Phase III trials. No such data could be located in the Phase II studies. The Sponsor is requested to comment.</w:t>
      </w:r>
    </w:p>
    <w:p w14:paraId="14523C9A" w14:textId="77777777" w:rsidR="00C95ED7" w:rsidRPr="00C95ED7" w:rsidRDefault="00A84F36" w:rsidP="00A84F36">
      <w:pPr>
        <w:pStyle w:val="Heading6"/>
      </w:pPr>
      <w:r>
        <w:t>Sponsor response</w:t>
      </w:r>
    </w:p>
    <w:p w14:paraId="31EB9AC4" w14:textId="0603A743" w:rsidR="00C95ED7" w:rsidRPr="00C95ED7" w:rsidRDefault="00C95ED7" w:rsidP="00A80CF2">
      <w:r w:rsidRPr="00C95ED7">
        <w:t>Triplicate ECGs with matched plasma concentrations are collected in the Phase II studies (CLDK378A2201 and CLDK378A2203) and in the Phase III studies.</w:t>
      </w:r>
    </w:p>
    <w:p w14:paraId="3FB47368" w14:textId="4A426F8D" w:rsidR="00C95ED7" w:rsidRDefault="00C95ED7" w:rsidP="00097F14">
      <w:r w:rsidRPr="00C95ED7">
        <w:t xml:space="preserve">The details on the ECG collection (and matched PK samples) can be found in both Phase II study protocols. In addition, the results can be found in the CSRs for both Phase II studies in Section </w:t>
      </w:r>
      <w:r w:rsidR="0089512A">
        <w:t>‘</w:t>
      </w:r>
      <w:r w:rsidRPr="00C95ED7">
        <w:t>Change in QTc versus ceritinib PK concentration</w:t>
      </w:r>
      <w:r w:rsidR="0089512A">
        <w:t>’</w:t>
      </w:r>
      <w:r w:rsidRPr="00C95ED7">
        <w:t>.</w:t>
      </w:r>
    </w:p>
    <w:p w14:paraId="08BC20E5" w14:textId="76BDDF36" w:rsidR="00D64BD4" w:rsidRDefault="00D64BD4" w:rsidP="00D64BD4">
      <w:r>
        <w:t>The Phase III study protocols describe the ECG collection.</w:t>
      </w:r>
    </w:p>
    <w:p w14:paraId="3446A8F0" w14:textId="77777777" w:rsidR="00D64BD4" w:rsidRDefault="00D64BD4" w:rsidP="00A80CF2">
      <w:pPr>
        <w:pStyle w:val="Heading5"/>
      </w:pPr>
      <w:r>
        <w:t>Question 3</w:t>
      </w:r>
    </w:p>
    <w:p w14:paraId="15CBDE6D" w14:textId="77777777" w:rsidR="00D64BD4" w:rsidRPr="00A80CF2" w:rsidRDefault="00A80CF2" w:rsidP="00D64BD4">
      <w:pPr>
        <w:rPr>
          <w:i/>
        </w:rPr>
      </w:pPr>
      <w:r w:rsidRPr="00A80CF2">
        <w:rPr>
          <w:i/>
        </w:rPr>
        <w:t>The s</w:t>
      </w:r>
      <w:r w:rsidR="00D64BD4" w:rsidRPr="00A80CF2">
        <w:rPr>
          <w:i/>
        </w:rPr>
        <w:t>ponsor is requested to present an analysis of all grade adverse events in Asian versus non-Asian patients to inform about concerns identified regarding the adverse event rates in the Study X1101 in Japanese patients.</w:t>
      </w:r>
    </w:p>
    <w:p w14:paraId="4920A9E7" w14:textId="77777777" w:rsidR="00D64BD4" w:rsidRDefault="00A84F36" w:rsidP="00A84F36">
      <w:pPr>
        <w:pStyle w:val="Heading6"/>
      </w:pPr>
      <w:r>
        <w:lastRenderedPageBreak/>
        <w:t>Sponsor response</w:t>
      </w:r>
    </w:p>
    <w:p w14:paraId="0522E680" w14:textId="455F596E" w:rsidR="00690F24" w:rsidRDefault="00D64BD4" w:rsidP="00D64BD4">
      <w:r>
        <w:t>A subgroup analysis of adverse events (AE) between Asian and non-Asian patients was conducted based on the pooled dataset from patients with ALK-positive malignancies, among whom all but 10 patients had NSCLC, treated with ceritinib 750 mg</w:t>
      </w:r>
      <w:r w:rsidR="00690F24">
        <w:t>.</w:t>
      </w:r>
      <w:r>
        <w:t xml:space="preserve"> Among the 515</w:t>
      </w:r>
      <w:r w:rsidR="000E3918">
        <w:t xml:space="preserve"> </w:t>
      </w:r>
      <w:r>
        <w:t>NSCLC</w:t>
      </w:r>
      <w:r w:rsidR="000E3918">
        <w:t xml:space="preserve"> </w:t>
      </w:r>
      <w:r>
        <w:t>patients included in the pooled dataset, 214 patients were Asian and 301 were non-</w:t>
      </w:r>
      <w:proofErr w:type="gramStart"/>
      <w:r w:rsidRPr="004C37FB">
        <w:t>Asian .</w:t>
      </w:r>
      <w:proofErr w:type="gramEnd"/>
      <w:r w:rsidRPr="004C37FB">
        <w:t xml:space="preserve"> The overall occurrence of adverse events was similar in Asian and non-Asian patients. System</w:t>
      </w:r>
      <w:r>
        <w:t xml:space="preserve"> organ classes (SOCs) where higher proportions of Asian patients reported events (with ≥ 10% differences relative to non-Asian patients) included: Metabolism and Nutrition Disorders (+ 15.2%) and Skin and Subcutaneous Disorders (+ 11.6%). Non-Asian patients had a higher Psychiatric Disorders SOC than Asian patients (26.6%</w:t>
      </w:r>
      <w:r w:rsidR="002E3E15">
        <w:t xml:space="preserve"> versus</w:t>
      </w:r>
      <w:r>
        <w:t xml:space="preserve"> 16.4%). The AE Preferred Terms (PT) where higher proportions of Asian patients reported events (with ≥ 10% differences relative to non-Asian patients) included: decreased appetite (+25.9%), diarrhea (+12%), vomiting (+15.4%) and cough (+12.5%). The differences observed in the frequency of diarrhea may have been influenced by diet. Thus, there were no clinically relevant differences in the safety profile of ceritinib observed between Asian and non-Asian patients. </w:t>
      </w:r>
    </w:p>
    <w:p w14:paraId="64F9D5BF" w14:textId="7BB2441F" w:rsidR="004C37FB" w:rsidRDefault="00D64BD4" w:rsidP="00097F14">
      <w:r>
        <w:t>Hepatic function disorder was the one additional event that was reported with a higher frequency in the Asian population than in the non-Asian population (4.2% in Asian patients</w:t>
      </w:r>
      <w:r w:rsidR="002E3E15">
        <w:t xml:space="preserve"> versus</w:t>
      </w:r>
      <w:r>
        <w:t xml:space="preserve"> 0% in non- Asian patients); it is further discussed below.</w:t>
      </w:r>
    </w:p>
    <w:p w14:paraId="18E1F753" w14:textId="2AA7F940" w:rsidR="00D64BD4" w:rsidRDefault="00D64BD4" w:rsidP="00323A2F">
      <w:r>
        <w:t xml:space="preserve">The 9 Asian patients with hepatic function disorder had elevations of AST and/or ALT; 8 of the 9 cases were without elevations in total bilirubin. None of these 9 patients had any associated AEs with coagulation/bleeding or hepatic encephalopathy. One of these patients had hepatic enzyme elevations reported as an AE under the SOCs of both Investigations and Hepatobiliary Disorders. Except for Patient </w:t>
      </w:r>
      <w:r w:rsidR="004C37FB">
        <w:t>[information redacted]</w:t>
      </w:r>
      <w:r>
        <w:t xml:space="preserve"> with hypoalbuminemia, none of</w:t>
      </w:r>
      <w:r w:rsidR="000E3918">
        <w:t xml:space="preserve"> </w:t>
      </w:r>
      <w:r>
        <w:t>the other 8 patients with hepatic function abnormal had any liver protein synthesis abnormalities or symptoms from their abnormal lab values. None of these events were</w:t>
      </w:r>
      <w:r w:rsidR="000E3918">
        <w:t xml:space="preserve"> </w:t>
      </w:r>
      <w:r>
        <w:t xml:space="preserve">reported as an SAE. </w:t>
      </w:r>
    </w:p>
    <w:p w14:paraId="38BF2F35" w14:textId="77777777" w:rsidR="00D64BD4" w:rsidRDefault="00D64BD4" w:rsidP="00D64BD4">
      <w:r>
        <w:t>None of the non-Asian patients had hepatic function disorder reported as an AE; the reporting of AST, ALT and TBili elevations in the Asian and non-Asian patients was similar. Given</w:t>
      </w:r>
      <w:r w:rsidR="000E3918">
        <w:t xml:space="preserve"> </w:t>
      </w:r>
      <w:r>
        <w:t>that 8 of the 9 Asian patients had no associated coagulation/bleeding or other serious symptoms of liver dysfunctio</w:t>
      </w:r>
      <w:r w:rsidR="00323A2F">
        <w:t xml:space="preserve">n and only one patient had CTC Grade </w:t>
      </w:r>
      <w:r>
        <w:t xml:space="preserve">1-2 hypoalbuminemia, </w:t>
      </w:r>
      <w:r w:rsidR="00323A2F">
        <w:t>the sponsor</w:t>
      </w:r>
      <w:r>
        <w:t xml:space="preserve"> considers the hepatic safety profiles for Asians and non-Asians to be similar.</w:t>
      </w:r>
    </w:p>
    <w:p w14:paraId="1982CCA3" w14:textId="00EC665B" w:rsidR="00D64BD4" w:rsidRDefault="00D64BD4" w:rsidP="00097F14">
      <w:pPr>
        <w:pStyle w:val="Heading5"/>
        <w:tabs>
          <w:tab w:val="left" w:pos="4739"/>
        </w:tabs>
      </w:pPr>
      <w:r>
        <w:t>Question 4</w:t>
      </w:r>
      <w:r w:rsidR="00097F14">
        <w:tab/>
      </w:r>
    </w:p>
    <w:p w14:paraId="49F14E86" w14:textId="77777777" w:rsidR="00D64BD4" w:rsidRPr="00323A2F" w:rsidRDefault="00323A2F" w:rsidP="00D64BD4">
      <w:pPr>
        <w:rPr>
          <w:i/>
        </w:rPr>
      </w:pPr>
      <w:r w:rsidRPr="00323A2F">
        <w:rPr>
          <w:i/>
        </w:rPr>
        <w:t>The s</w:t>
      </w:r>
      <w:r w:rsidR="00D64BD4" w:rsidRPr="00323A2F">
        <w:rPr>
          <w:i/>
        </w:rPr>
        <w:t>ponsor is also requested to advise on the accrual status, study design (including whether this is a dose-finding study vs PK study at fixed dose of 75</w:t>
      </w:r>
      <w:r w:rsidR="00326B43" w:rsidRPr="00323A2F">
        <w:rPr>
          <w:i/>
        </w:rPr>
        <w:t>0 mg</w:t>
      </w:r>
      <w:r w:rsidR="00D64BD4" w:rsidRPr="00323A2F">
        <w:rPr>
          <w:i/>
        </w:rPr>
        <w:t xml:space="preserve">) and likely completion date for the Phase I/II study of ceritinib in adult Chinese patients with ALK-rearranged (ALK+) advanced NSCLC previously treated with crizotinib. Given this directly informs of the concern the Delegate has prompting Question 3 above, submission of the CSR for evaluation of this as a condition of registration may be required (see Questions for </w:t>
      </w:r>
      <w:r w:rsidRPr="00323A2F">
        <w:rPr>
          <w:i/>
        </w:rPr>
        <w:t>s</w:t>
      </w:r>
      <w:r w:rsidR="00D64BD4" w:rsidRPr="00323A2F">
        <w:rPr>
          <w:i/>
        </w:rPr>
        <w:t>ponsor, Conditions</w:t>
      </w:r>
      <w:r w:rsidR="000E3918" w:rsidRPr="00323A2F">
        <w:rPr>
          <w:i/>
        </w:rPr>
        <w:t xml:space="preserve"> </w:t>
      </w:r>
      <w:r w:rsidR="00D64BD4" w:rsidRPr="00323A2F">
        <w:rPr>
          <w:i/>
        </w:rPr>
        <w:t>of Registration below).</w:t>
      </w:r>
    </w:p>
    <w:p w14:paraId="495E4531" w14:textId="77777777" w:rsidR="00D64BD4" w:rsidRDefault="00A84F36" w:rsidP="00A84F36">
      <w:pPr>
        <w:pStyle w:val="Heading6"/>
      </w:pPr>
      <w:r>
        <w:t>Sponsor response</w:t>
      </w:r>
    </w:p>
    <w:p w14:paraId="409152D3" w14:textId="5F58227A" w:rsidR="00D64BD4" w:rsidRDefault="00690F24" w:rsidP="00D64BD4">
      <w:r>
        <w:t xml:space="preserve">The study in Chinese patients </w:t>
      </w:r>
      <w:r w:rsidR="00D64BD4">
        <w:t xml:space="preserve">is a </w:t>
      </w:r>
      <w:r w:rsidR="00B3070B">
        <w:t>Phase I</w:t>
      </w:r>
      <w:r w:rsidR="00D64BD4">
        <w:t>/II multicenter, open-label, single-arm study of LDK378, administered orally in adult Chinese patients with ALK-rearranged (ALK-positive)</w:t>
      </w:r>
      <w:r w:rsidR="000E3918">
        <w:t xml:space="preserve"> </w:t>
      </w:r>
      <w:r w:rsidR="00D64BD4">
        <w:t xml:space="preserve">advanced non-small cell lung cancer (NSCLC) previously treated with crizotinib. </w:t>
      </w:r>
      <w:r>
        <w:t xml:space="preserve">The study </w:t>
      </w:r>
      <w:r w:rsidR="00D64BD4">
        <w:t xml:space="preserve">was not a dose finding study. The LDK378 dose tested throughout the study (including during the run-in period) was 750 mg orally once daily (fasted). The study includes a </w:t>
      </w:r>
      <w:r w:rsidR="00B3070B">
        <w:t>Phase I</w:t>
      </w:r>
      <w:r w:rsidR="00D64BD4">
        <w:t xml:space="preserve"> component for the first 15 patients and a </w:t>
      </w:r>
      <w:r w:rsidR="00B3070B">
        <w:t>Phase I</w:t>
      </w:r>
      <w:r w:rsidR="00D64BD4">
        <w:t>I component for all of the patients with continuous dosing. The first 15 patients enrolled had an additional 5</w:t>
      </w:r>
      <w:r w:rsidR="00A84F36">
        <w:t xml:space="preserve"> </w:t>
      </w:r>
      <w:r w:rsidR="00D64BD4">
        <w:t>day PK run-in</w:t>
      </w:r>
      <w:r w:rsidR="000E3918">
        <w:t xml:space="preserve"> </w:t>
      </w:r>
      <w:r w:rsidR="00D64BD4">
        <w:t>period before the treatment period.</w:t>
      </w:r>
    </w:p>
    <w:p w14:paraId="22234351" w14:textId="31AFF369" w:rsidR="00D64BD4" w:rsidRDefault="00D64BD4" w:rsidP="00D64BD4">
      <w:r>
        <w:t xml:space="preserve">The study enrolled 103 (100 planned) patients in 17 sites in China. </w:t>
      </w:r>
    </w:p>
    <w:p w14:paraId="3DDA4C06" w14:textId="77777777" w:rsidR="00D64BD4" w:rsidRDefault="00D64BD4" w:rsidP="00A84F36">
      <w:pPr>
        <w:pStyle w:val="Heading5"/>
      </w:pPr>
      <w:r>
        <w:lastRenderedPageBreak/>
        <w:t>Question 5</w:t>
      </w:r>
    </w:p>
    <w:p w14:paraId="7AA35499" w14:textId="77777777" w:rsidR="00D64BD4" w:rsidRPr="00A84F36" w:rsidRDefault="00D64BD4" w:rsidP="00D64BD4">
      <w:pPr>
        <w:rPr>
          <w:i/>
        </w:rPr>
      </w:pPr>
      <w:r w:rsidRPr="00A84F36">
        <w:rPr>
          <w:i/>
        </w:rPr>
        <w:t xml:space="preserve">The Delegate notes that no information is provided regarding an application in Japan; has the </w:t>
      </w:r>
      <w:r w:rsidR="00A84F36" w:rsidRPr="00A84F36">
        <w:rPr>
          <w:i/>
        </w:rPr>
        <w:t>s</w:t>
      </w:r>
      <w:r w:rsidRPr="00A84F36">
        <w:rPr>
          <w:i/>
        </w:rPr>
        <w:t>ponsor approached PMDA about registration in Japan, and if so, what was the outcome of those discussions?</w:t>
      </w:r>
    </w:p>
    <w:p w14:paraId="66F16A4A" w14:textId="77777777" w:rsidR="00D64BD4" w:rsidRDefault="00A84F36" w:rsidP="00A84F36">
      <w:pPr>
        <w:pStyle w:val="Heading6"/>
      </w:pPr>
      <w:r>
        <w:t>Sponsor response</w:t>
      </w:r>
      <w:r w:rsidR="00D64BD4">
        <w:t>:</w:t>
      </w:r>
    </w:p>
    <w:p w14:paraId="56878AB3" w14:textId="77777777" w:rsidR="00D64BD4" w:rsidRDefault="00D64BD4" w:rsidP="00A84F36">
      <w:r>
        <w:t>The JNDA was submitted to the Japanese Health Authority (PMDA) on 24</w:t>
      </w:r>
      <w:r w:rsidR="00A84F36">
        <w:t xml:space="preserve"> </w:t>
      </w:r>
      <w:r>
        <w:t>Jun</w:t>
      </w:r>
      <w:r w:rsidR="00A84F36">
        <w:t xml:space="preserve">e </w:t>
      </w:r>
      <w:r>
        <w:t>2015. On 26</w:t>
      </w:r>
      <w:r w:rsidR="00A84F36">
        <w:t xml:space="preserve"> </w:t>
      </w:r>
      <w:r>
        <w:t>Feb</w:t>
      </w:r>
      <w:r w:rsidR="00A84F36">
        <w:t xml:space="preserve">ruary </w:t>
      </w:r>
      <w:r>
        <w:t>2016, the Drug Committee met to discuss Novartis’ application. At the conclusion of the meeting, the Drug Committee endorsed the approval of Zykadia in Japan. Approval is expected in March 2016.</w:t>
      </w:r>
    </w:p>
    <w:p w14:paraId="28E0CB7F" w14:textId="77777777" w:rsidR="00D64BD4" w:rsidRDefault="00D64BD4" w:rsidP="00A84F36">
      <w:pPr>
        <w:pStyle w:val="Heading5"/>
      </w:pPr>
      <w:r>
        <w:t>Question 6</w:t>
      </w:r>
    </w:p>
    <w:p w14:paraId="52EB9224" w14:textId="032AD297" w:rsidR="00D64BD4" w:rsidRPr="00A84F36" w:rsidRDefault="00D64BD4" w:rsidP="00D64BD4">
      <w:pPr>
        <w:rPr>
          <w:i/>
        </w:rPr>
      </w:pPr>
      <w:r w:rsidRPr="00A84F36">
        <w:rPr>
          <w:i/>
        </w:rPr>
        <w:t xml:space="preserve">What is the current accrual status of </w:t>
      </w:r>
      <w:r w:rsidR="003F5FD2">
        <w:rPr>
          <w:i/>
        </w:rPr>
        <w:t xml:space="preserve">the </w:t>
      </w:r>
      <w:r w:rsidR="003750CE">
        <w:rPr>
          <w:i/>
        </w:rPr>
        <w:t>P</w:t>
      </w:r>
      <w:r w:rsidR="003F5FD2">
        <w:rPr>
          <w:i/>
        </w:rPr>
        <w:t xml:space="preserve">hase III </w:t>
      </w:r>
      <w:r w:rsidRPr="00A84F36">
        <w:rPr>
          <w:i/>
        </w:rPr>
        <w:t>Study, and anticipated date for the primary analysis and the CSR to be available?</w:t>
      </w:r>
    </w:p>
    <w:p w14:paraId="3252421A" w14:textId="77777777" w:rsidR="00D64BD4" w:rsidRDefault="00A84F36" w:rsidP="00A84F36">
      <w:pPr>
        <w:pStyle w:val="Heading6"/>
      </w:pPr>
      <w:r>
        <w:t>Sponsor response</w:t>
      </w:r>
    </w:p>
    <w:p w14:paraId="6392A855" w14:textId="7336DC99" w:rsidR="00D64BD4" w:rsidRDefault="00D64BD4" w:rsidP="00A84F36">
      <w:r>
        <w:t xml:space="preserve">Per protocol, the primary analysis will be performed when </w:t>
      </w:r>
      <w:r w:rsidR="001762D3">
        <w:t xml:space="preserve">approximately </w:t>
      </w:r>
      <w:r>
        <w:t>161 PFS events are confirmed by the blinded independent review committ</w:t>
      </w:r>
      <w:r w:rsidR="00A84F36">
        <w:t>ee (BIRC), and when all randomis</w:t>
      </w:r>
      <w:r>
        <w:t xml:space="preserve">ed patients have completed at least 12 weeks of follow-up or have discontinued. The data are currently being cleaned so that the database can be locked. </w:t>
      </w:r>
    </w:p>
    <w:p w14:paraId="0C50BDBE" w14:textId="77777777" w:rsidR="00D64BD4" w:rsidRDefault="00D64BD4" w:rsidP="00A84F36">
      <w:pPr>
        <w:pStyle w:val="Heading5"/>
      </w:pPr>
      <w:r>
        <w:t>Question 7</w:t>
      </w:r>
    </w:p>
    <w:p w14:paraId="108BD4FA" w14:textId="77777777" w:rsidR="00D64BD4" w:rsidRPr="00A84F36" w:rsidRDefault="00D64BD4" w:rsidP="00D64BD4">
      <w:pPr>
        <w:rPr>
          <w:i/>
        </w:rPr>
      </w:pPr>
      <w:r w:rsidRPr="00A84F36">
        <w:rPr>
          <w:i/>
        </w:rPr>
        <w:t xml:space="preserve">The </w:t>
      </w:r>
      <w:r w:rsidR="00A84F36" w:rsidRPr="00A84F36">
        <w:rPr>
          <w:i/>
        </w:rPr>
        <w:t>s</w:t>
      </w:r>
      <w:r w:rsidRPr="00A84F36">
        <w:rPr>
          <w:i/>
        </w:rPr>
        <w:t>ponsor is requested to present a registry or a more effective way to collect information about outcomes for both safety and efficacy for patients using ceritinib, given the limitations described in the pharmacovigilance to date.</w:t>
      </w:r>
    </w:p>
    <w:p w14:paraId="5F764213" w14:textId="77777777" w:rsidR="00D64BD4" w:rsidRDefault="00A84F36" w:rsidP="00A84F36">
      <w:pPr>
        <w:pStyle w:val="Heading6"/>
      </w:pPr>
      <w:r>
        <w:t>Sponsor response</w:t>
      </w:r>
    </w:p>
    <w:p w14:paraId="56D1C923" w14:textId="77777777" w:rsidR="00D64BD4" w:rsidRDefault="00D64BD4" w:rsidP="00D64BD4">
      <w:r>
        <w:t xml:space="preserve">Regarding the Delegate’s request for a registry or equivalent to capture efficacy and safety outcomes in patients </w:t>
      </w:r>
      <w:r w:rsidR="00A84F36">
        <w:t>the sponsor</w:t>
      </w:r>
      <w:r>
        <w:t xml:space="preserve"> believes that the ongoing </w:t>
      </w:r>
      <w:r w:rsidR="00B3070B">
        <w:t>Phase I</w:t>
      </w:r>
      <w:r>
        <w:t>II clinical trials appear best suited to collect information about outcomes for both safety and efficacy for patients using ceritinib. Furthermore [Zykadia EU PSUR] covering the period from 29 April 2015 to 28 October 2015 is being submitted. The safety and efficacy information about Zykadia® (ceritinib) did not change during the reporting interval and the cumulative experience with</w:t>
      </w:r>
      <w:r w:rsidR="000E3918">
        <w:t xml:space="preserve"> </w:t>
      </w:r>
      <w:r>
        <w:t>the drug remained in accordance with the CDS (v 1.2; 31</w:t>
      </w:r>
      <w:r w:rsidR="00A84F36">
        <w:t xml:space="preserve"> </w:t>
      </w:r>
      <w:r>
        <w:t>Mar</w:t>
      </w:r>
      <w:r w:rsidR="00A84F36">
        <w:t xml:space="preserve">ch </w:t>
      </w:r>
      <w:r>
        <w:t>15) and the Risk Management Plan.</w:t>
      </w:r>
    </w:p>
    <w:p w14:paraId="64A663E1" w14:textId="6FDBDBC8" w:rsidR="00D64BD4" w:rsidRDefault="00D64BD4" w:rsidP="00D64BD4">
      <w:r>
        <w:t>In addition to the Australian patients who participated in the clinical trials in the submitted dossier, Australian patients are also taking part in 2 new clinical trials (</w:t>
      </w:r>
      <w:r w:rsidR="00B3070B">
        <w:t>Phase I</w:t>
      </w:r>
      <w:r>
        <w:t xml:space="preserve">I and III) at 5 additional centres. </w:t>
      </w:r>
      <w:r w:rsidR="00656486">
        <w:t>The sponsor</w:t>
      </w:r>
      <w:r>
        <w:t xml:space="preserve"> considers the limited numbers of patients that can participate may not generate the patient outcomes data TGA have requested</w:t>
      </w:r>
      <w:r w:rsidR="00295006">
        <w:t xml:space="preserve">. </w:t>
      </w:r>
      <w:r>
        <w:t xml:space="preserve">Novartis will submit Phase III </w:t>
      </w:r>
      <w:r w:rsidR="00B3070B">
        <w:t>Study</w:t>
      </w:r>
      <w:r>
        <w:t xml:space="preserve"> primary analysis </w:t>
      </w:r>
      <w:r w:rsidR="00656486">
        <w:t>as soon as possible</w:t>
      </w:r>
      <w:r>
        <w:t>, provide safety</w:t>
      </w:r>
      <w:r w:rsidR="000E3918">
        <w:t xml:space="preserve"> </w:t>
      </w:r>
      <w:r>
        <w:t>label updates in timely manner, submit EU PSUR and EU RMP updates and carry out conditions of registration promptly.</w:t>
      </w:r>
    </w:p>
    <w:p w14:paraId="5E528A60" w14:textId="77777777" w:rsidR="00D64BD4" w:rsidRDefault="00D64BD4" w:rsidP="00656486">
      <w:pPr>
        <w:pStyle w:val="Heading5"/>
      </w:pPr>
      <w:r>
        <w:t>Conditions of registration</w:t>
      </w:r>
    </w:p>
    <w:p w14:paraId="392211D9" w14:textId="77777777" w:rsidR="00D64BD4" w:rsidRDefault="00656486" w:rsidP="00D64BD4">
      <w:r>
        <w:t>The sponsor</w:t>
      </w:r>
      <w:r w:rsidR="00D64BD4">
        <w:t xml:space="preserve"> agrees with the proposed list of conditions of registration.</w:t>
      </w:r>
    </w:p>
    <w:p w14:paraId="6455C005" w14:textId="219A41D0" w:rsidR="00D64BD4" w:rsidRDefault="00D64BD4" w:rsidP="00D64BD4">
      <w:r>
        <w:t>The Delegate considers that the following risk minimisation activities and pharmacovigilance are required, in addition to those proposed (by the RMP Evaluator):</w:t>
      </w:r>
    </w:p>
    <w:p w14:paraId="48B47D9F" w14:textId="77777777" w:rsidR="00D64BD4" w:rsidRPr="00656486" w:rsidRDefault="00D64BD4" w:rsidP="00656486">
      <w:pPr>
        <w:pStyle w:val="Numberbullet0"/>
        <w:numPr>
          <w:ilvl w:val="0"/>
          <w:numId w:val="49"/>
        </w:numPr>
        <w:rPr>
          <w:b/>
          <w:i/>
        </w:rPr>
      </w:pPr>
      <w:r w:rsidRPr="00656486">
        <w:rPr>
          <w:b/>
          <w:i/>
        </w:rPr>
        <w:t>Wallet-sized safety information card for patient/doctor for presentation to any treating doctor.</w:t>
      </w:r>
    </w:p>
    <w:p w14:paraId="4F4415A0" w14:textId="77777777" w:rsidR="00D64BD4" w:rsidRDefault="00A84F36" w:rsidP="00656486">
      <w:pPr>
        <w:pStyle w:val="Heading6"/>
      </w:pPr>
      <w:r>
        <w:t>Sponsor response</w:t>
      </w:r>
    </w:p>
    <w:p w14:paraId="01FE854D" w14:textId="227C6B1F" w:rsidR="00D64BD4" w:rsidRDefault="00D64BD4" w:rsidP="0016711C">
      <w:r>
        <w:t>In</w:t>
      </w:r>
      <w:r w:rsidR="00656486">
        <w:t xml:space="preserve"> order to emphasis</w:t>
      </w:r>
      <w:r>
        <w:t xml:space="preserve">e the importance of not taking ceritinib with food, </w:t>
      </w:r>
      <w:r w:rsidR="00656486">
        <w:t>the sponsor</w:t>
      </w:r>
      <w:r>
        <w:t xml:space="preserve"> agrees to implement a patient/physician wallet ca</w:t>
      </w:r>
      <w:r w:rsidR="00656486">
        <w:t>rd as an additional risk minimis</w:t>
      </w:r>
      <w:r>
        <w:t>ation activity for Australia.</w:t>
      </w:r>
    </w:p>
    <w:p w14:paraId="7617DFA1" w14:textId="77777777" w:rsidR="00D64BD4" w:rsidRPr="0016711C" w:rsidRDefault="00D64BD4" w:rsidP="0016711C">
      <w:pPr>
        <w:pStyle w:val="Numberbullet0"/>
        <w:rPr>
          <w:b/>
          <w:i/>
        </w:rPr>
      </w:pPr>
      <w:r w:rsidRPr="0016711C">
        <w:rPr>
          <w:b/>
          <w:i/>
        </w:rPr>
        <w:lastRenderedPageBreak/>
        <w:t>Boxed warning for adverse events and risk of food increasing exposure.</w:t>
      </w:r>
    </w:p>
    <w:p w14:paraId="0CEB0C17" w14:textId="77777777" w:rsidR="00D64BD4" w:rsidRDefault="00A84F36" w:rsidP="0016711C">
      <w:pPr>
        <w:pStyle w:val="Heading6"/>
      </w:pPr>
      <w:r>
        <w:t>Sponsor response</w:t>
      </w:r>
    </w:p>
    <w:p w14:paraId="303B97B6" w14:textId="77777777" w:rsidR="00D64BD4" w:rsidRDefault="0016711C" w:rsidP="0016711C">
      <w:r>
        <w:t>The sponsor</w:t>
      </w:r>
      <w:r w:rsidR="00D64BD4">
        <w:t xml:space="preserve"> agrees with the Delegate’s proposal. A Boxed warning for adverse events and risk of food increasing exposure has been included in the product information with few exceptions as discussed in the Response to the Delegate’s Proposed Product Information Comment 1.</w:t>
      </w:r>
    </w:p>
    <w:p w14:paraId="7937F449" w14:textId="77777777" w:rsidR="00D64BD4" w:rsidRPr="0016711C" w:rsidRDefault="00D64BD4" w:rsidP="0016711C">
      <w:pPr>
        <w:pStyle w:val="Numberbullet0"/>
        <w:rPr>
          <w:b/>
          <w:i/>
        </w:rPr>
      </w:pPr>
      <w:r w:rsidRPr="0016711C">
        <w:rPr>
          <w:b/>
          <w:i/>
        </w:rPr>
        <w:t>Inclusion of identified potential risk of increased in toxicity in Asian patients</w:t>
      </w:r>
    </w:p>
    <w:p w14:paraId="72A3862F" w14:textId="77777777" w:rsidR="00D64BD4" w:rsidRDefault="00A84F36" w:rsidP="0016711C">
      <w:pPr>
        <w:pStyle w:val="Heading6"/>
      </w:pPr>
      <w:r>
        <w:t>Sponsor response</w:t>
      </w:r>
    </w:p>
    <w:p w14:paraId="065FA80C" w14:textId="77777777" w:rsidR="00D64BD4" w:rsidRDefault="0016711C" w:rsidP="00D64BD4">
      <w:r>
        <w:t>The sponsor</w:t>
      </w:r>
      <w:r w:rsidR="00D64BD4">
        <w:t xml:space="preserve"> does not agree with the inclusion on an identified potential risk of increased toxicity in Asian patients in the Australian Specific Annex. As indicated in Response to the Delegate’s Question 3, the analysis of the adverse event in Asian versus non-Asian patients shows that there is no clinically relevant difference in the safety profile of Asian versus non-Asian patients.</w:t>
      </w:r>
    </w:p>
    <w:p w14:paraId="0E7F2DA4" w14:textId="2E4C6220" w:rsidR="00D64BD4" w:rsidRDefault="00D64BD4" w:rsidP="00D64BD4">
      <w:r>
        <w:t>Of note, Zykadia is currently approved in several Asian countries including South Korea (approved on 12</w:t>
      </w:r>
      <w:r w:rsidR="0016711C">
        <w:t xml:space="preserve"> </w:t>
      </w:r>
      <w:r>
        <w:t>Jan</w:t>
      </w:r>
      <w:r w:rsidR="0016711C">
        <w:t xml:space="preserve">uary </w:t>
      </w:r>
      <w:r>
        <w:t>2015), Singapore (Approved on 24</w:t>
      </w:r>
      <w:r w:rsidR="0016711C">
        <w:t xml:space="preserve"> </w:t>
      </w:r>
      <w:r>
        <w:t>Apr</w:t>
      </w:r>
      <w:r w:rsidR="0016711C">
        <w:t xml:space="preserve">il </w:t>
      </w:r>
      <w:r>
        <w:t>2015) and Taiwan (Approved on 07</w:t>
      </w:r>
      <w:r w:rsidR="0016711C">
        <w:t xml:space="preserve"> </w:t>
      </w:r>
      <w:r>
        <w:t>Jan</w:t>
      </w:r>
      <w:r w:rsidR="0016711C">
        <w:t xml:space="preserve">uary </w:t>
      </w:r>
      <w:r>
        <w:t>2016). The approval in Japan is anticipated in March-2016.</w:t>
      </w:r>
    </w:p>
    <w:p w14:paraId="4006AD3E" w14:textId="77777777" w:rsidR="00D64BD4" w:rsidRPr="0016711C" w:rsidRDefault="00D64BD4" w:rsidP="00097F14">
      <w:pPr>
        <w:pStyle w:val="Numberbullet0"/>
        <w:keepNext/>
        <w:rPr>
          <w:b/>
          <w:i/>
        </w:rPr>
      </w:pPr>
      <w:r w:rsidRPr="0016711C">
        <w:rPr>
          <w:b/>
          <w:i/>
        </w:rPr>
        <w:t>Inclusion as potential identified risk of drug errors related to ingestion with food.</w:t>
      </w:r>
    </w:p>
    <w:p w14:paraId="5B30F3FF" w14:textId="77777777" w:rsidR="00D64BD4" w:rsidRDefault="00A84F36" w:rsidP="0016711C">
      <w:pPr>
        <w:pStyle w:val="Heading6"/>
      </w:pPr>
      <w:r>
        <w:t>Sponsor response</w:t>
      </w:r>
    </w:p>
    <w:p w14:paraId="000D5AA1" w14:textId="77777777" w:rsidR="00D64BD4" w:rsidRDefault="0016711C" w:rsidP="00D64BD4">
      <w:r>
        <w:t>The sponsor</w:t>
      </w:r>
      <w:r w:rsidR="00D64BD4">
        <w:t xml:space="preserve"> acknowledges the Delegate’s concerns regarding potential risk of drug errors related to ingestion with food. As mentioned above, the PI describes the pharmacokinetic parameters around taking ceritinib with and without food and recommends taking ceritinib on an empty stomach in the Pharmacokinetic, Interactions with Medicines, Dosage and Administration sections of the PI and the Boxed Warning on page 1 of the PI. In addition, </w:t>
      </w:r>
      <w:r>
        <w:t>the sponsor</w:t>
      </w:r>
      <w:r w:rsidR="00D64BD4">
        <w:t xml:space="preserve"> agrees to implement a patient/physician wallet card which will emphasize the need to follow the dose and administration instructions.</w:t>
      </w:r>
    </w:p>
    <w:p w14:paraId="1B5A6F90" w14:textId="77777777" w:rsidR="00D64BD4" w:rsidRPr="0016711C" w:rsidRDefault="00D64BD4" w:rsidP="0016711C">
      <w:pPr>
        <w:pStyle w:val="Numberbullet0"/>
        <w:rPr>
          <w:b/>
          <w:i/>
        </w:rPr>
      </w:pPr>
      <w:r w:rsidRPr="0016711C">
        <w:rPr>
          <w:b/>
          <w:i/>
        </w:rPr>
        <w:t>A registry or equivalent to capture efficacy and safety outcomes in patients using this prior to the availability of the CSR for the A2303 study in the same population.</w:t>
      </w:r>
    </w:p>
    <w:p w14:paraId="7776AD12" w14:textId="77777777" w:rsidR="00D64BD4" w:rsidRDefault="00A84F36" w:rsidP="00FC1F12">
      <w:pPr>
        <w:pStyle w:val="Heading6"/>
      </w:pPr>
      <w:r>
        <w:t>Sponsor response</w:t>
      </w:r>
    </w:p>
    <w:p w14:paraId="1EDA7723" w14:textId="435D3DF7" w:rsidR="00D64BD4" w:rsidRDefault="00D64BD4" w:rsidP="00D64BD4">
      <w:r>
        <w:t xml:space="preserve">As indicated in the Response to the Delegate’s Question 7, Novartis considers that submission of the </w:t>
      </w:r>
      <w:r w:rsidR="00B3070B">
        <w:t>Phase I</w:t>
      </w:r>
      <w:r>
        <w:t>II primary analysis CSR would address the TGA’s concerns regarding sufficient data to assess safety and efficacy in the proposed indicated population.</w:t>
      </w:r>
    </w:p>
    <w:p w14:paraId="3E194D43" w14:textId="77777777" w:rsidR="005E6796" w:rsidRDefault="005E6796" w:rsidP="005E6796">
      <w:pPr>
        <w:pStyle w:val="Heading4"/>
      </w:pPr>
      <w:r>
        <w:t>Advisory Committee Considerations</w:t>
      </w:r>
    </w:p>
    <w:p w14:paraId="6BB5CB1E" w14:textId="77777777" w:rsidR="005E6796" w:rsidRDefault="005E6796" w:rsidP="005E6796">
      <w:pPr>
        <w:rPr>
          <w:bCs/>
        </w:rPr>
      </w:pPr>
      <w:r>
        <w:rPr>
          <w:bCs/>
        </w:rPr>
        <w:t xml:space="preserve">Advice from the </w:t>
      </w:r>
      <w:r w:rsidRPr="00D23139">
        <w:rPr>
          <w:bCs/>
        </w:rPr>
        <w:t xml:space="preserve">Advisory Committee on Prescription Medicines (ACPM) </w:t>
      </w:r>
      <w:r>
        <w:rPr>
          <w:bCs/>
        </w:rPr>
        <w:t xml:space="preserve">was not </w:t>
      </w:r>
      <w:r w:rsidR="00FC1F12">
        <w:rPr>
          <w:bCs/>
        </w:rPr>
        <w:t>sought</w:t>
      </w:r>
      <w:r>
        <w:rPr>
          <w:bCs/>
        </w:rPr>
        <w:t xml:space="preserve"> for this application.</w:t>
      </w:r>
    </w:p>
    <w:p w14:paraId="383E3E8D" w14:textId="77777777" w:rsidR="008E7846" w:rsidRPr="002E238E" w:rsidRDefault="008E7846" w:rsidP="008E7846">
      <w:pPr>
        <w:pStyle w:val="Heading3"/>
      </w:pPr>
      <w:bookmarkStart w:id="243" w:name="_Toc247691532"/>
      <w:bookmarkStart w:id="244" w:name="_Toc314842516"/>
      <w:bookmarkStart w:id="245" w:name="_Toc507501127"/>
      <w:bookmarkEnd w:id="103"/>
      <w:bookmarkEnd w:id="241"/>
      <w:bookmarkEnd w:id="242"/>
      <w:r>
        <w:t>Outcome</w:t>
      </w:r>
      <w:bookmarkEnd w:id="243"/>
      <w:bookmarkEnd w:id="244"/>
      <w:bookmarkEnd w:id="245"/>
    </w:p>
    <w:p w14:paraId="46F27C6B" w14:textId="77777777" w:rsidR="00D23139" w:rsidRPr="00D23139" w:rsidRDefault="00D23139" w:rsidP="00F178D3">
      <w:bookmarkStart w:id="246" w:name="_Toc247691533"/>
      <w:bookmarkStart w:id="247" w:name="_Toc314842517"/>
      <w:r w:rsidRPr="00D23139">
        <w:t xml:space="preserve">Based on a review of quality, safety and efficacy, TGA approved the registration of </w:t>
      </w:r>
      <w:r w:rsidR="00F178D3">
        <w:t>Zykadia (ceritinib) 15</w:t>
      </w:r>
      <w:r w:rsidR="00326B43">
        <w:t>0 mg</w:t>
      </w:r>
      <w:r w:rsidR="00F178D3">
        <w:t xml:space="preserve"> hard capsule blister pack</w:t>
      </w:r>
      <w:r w:rsidRPr="00D23139">
        <w:t>, indicated for:</w:t>
      </w:r>
    </w:p>
    <w:p w14:paraId="5F9BDC80" w14:textId="77777777" w:rsidR="00C210BB" w:rsidRPr="00F178D3" w:rsidRDefault="00C210BB" w:rsidP="00F178D3">
      <w:pPr>
        <w:ind w:left="720"/>
        <w:rPr>
          <w:i/>
        </w:rPr>
      </w:pPr>
      <w:r w:rsidRPr="00F178D3">
        <w:rPr>
          <w:i/>
        </w:rPr>
        <w:t>Zykadia is indicated as monotherapy for the treatment of adult patients with ALK-positive locally advanced or metastatic non-small cell lung cancer (NSCLC) whose disease has progressed on or who are intolerant of crizotinib.</w:t>
      </w:r>
    </w:p>
    <w:p w14:paraId="79670D36" w14:textId="77777777" w:rsidR="00D23139" w:rsidRPr="00F178D3" w:rsidRDefault="00C210BB" w:rsidP="00F178D3">
      <w:pPr>
        <w:ind w:left="720"/>
        <w:rPr>
          <w:i/>
        </w:rPr>
      </w:pPr>
      <w:r w:rsidRPr="00F178D3">
        <w:rPr>
          <w:i/>
        </w:rPr>
        <w:lastRenderedPageBreak/>
        <w:t>Note to the Indication: This indication is approved based on tumour response rate and duration of response. An improvement in survival or disease-related symptoms has not been established.</w:t>
      </w:r>
    </w:p>
    <w:p w14:paraId="0172D458" w14:textId="77777777" w:rsidR="00D23139" w:rsidRPr="00D23139" w:rsidRDefault="00D23139" w:rsidP="00D23139">
      <w:pPr>
        <w:pStyle w:val="Heading4"/>
      </w:pPr>
      <w:r w:rsidRPr="00D23139">
        <w:t>Specific conditions of registration applying to these goods</w:t>
      </w:r>
    </w:p>
    <w:p w14:paraId="2D48F409" w14:textId="77777777" w:rsidR="00D23139" w:rsidRDefault="00C210BB" w:rsidP="00FC1F12">
      <w:pPr>
        <w:pStyle w:val="Numberbullet0"/>
        <w:numPr>
          <w:ilvl w:val="0"/>
          <w:numId w:val="50"/>
        </w:numPr>
      </w:pPr>
      <w:r>
        <w:t>Implement EU-RMP Version 2.5 (dated 29 Apr</w:t>
      </w:r>
      <w:r w:rsidR="00FC1F12">
        <w:t>il2015, DLP 27 J</w:t>
      </w:r>
      <w:r>
        <w:t>une 2014) and Australian-specific annex (AsA) Version 3.0 (dated 11 March 2016), and future updates where TGA approved, as a condition of registration.</w:t>
      </w:r>
    </w:p>
    <w:p w14:paraId="62C6BC5C" w14:textId="77777777" w:rsidR="00C210BB" w:rsidRDefault="00C210BB" w:rsidP="00FD070E">
      <w:pPr>
        <w:pStyle w:val="Numberbullet0"/>
      </w:pPr>
      <w:r>
        <w:t>Submission for evaluation with the next Category I submission, the 26-week rat study and a 39-week toxicity study that was referenced in the RMP for this application (under Respiratory tract, and Hepatobiliary system and pancreas).</w:t>
      </w:r>
    </w:p>
    <w:p w14:paraId="7D34F883" w14:textId="733242D1" w:rsidR="00C210BB" w:rsidRDefault="00C210BB" w:rsidP="008E0A37">
      <w:pPr>
        <w:pStyle w:val="Numberbullet0"/>
      </w:pPr>
      <w:r>
        <w:t xml:space="preserve">Submission of the following clinical trial(s) </w:t>
      </w:r>
      <w:r w:rsidR="008E0A37">
        <w:t xml:space="preserve">[information redacted] </w:t>
      </w:r>
      <w:r>
        <w:t>which were designed to examine/assess:</w:t>
      </w:r>
    </w:p>
    <w:p w14:paraId="742EAF13" w14:textId="77E124CC" w:rsidR="00C210BB" w:rsidRDefault="00FC1F12" w:rsidP="008E0A37">
      <w:pPr>
        <w:pStyle w:val="Numberbullet2"/>
      </w:pPr>
      <w:r>
        <w:t>C</w:t>
      </w:r>
      <w:r w:rsidR="00C210BB">
        <w:t>e</w:t>
      </w:r>
      <w:r w:rsidR="00E56C47">
        <w:t>ri</w:t>
      </w:r>
      <w:r w:rsidR="00C210BB">
        <w:t>tinib</w:t>
      </w:r>
      <w:r w:rsidR="00E56C47">
        <w:t xml:space="preserve"> </w:t>
      </w:r>
      <w:r w:rsidR="00C210BB">
        <w:t>in patients with hepatic</w:t>
      </w:r>
      <w:r w:rsidR="00E56C47">
        <w:t xml:space="preserve"> </w:t>
      </w:r>
      <w:r w:rsidR="00C210BB">
        <w:t xml:space="preserve">impairment </w:t>
      </w:r>
      <w:r w:rsidR="008E0A37" w:rsidRPr="008E0A37">
        <w:t>[information redacted]</w:t>
      </w:r>
    </w:p>
    <w:p w14:paraId="3DFF64E9" w14:textId="55AD6C05" w:rsidR="00C210BB" w:rsidRDefault="00FC1F12" w:rsidP="008E0A37">
      <w:pPr>
        <w:pStyle w:val="Numberbullet2"/>
      </w:pPr>
      <w:r>
        <w:t>T</w:t>
      </w:r>
      <w:r w:rsidR="00C210BB">
        <w:t xml:space="preserve">he interaction with warfarin and </w:t>
      </w:r>
      <w:r w:rsidR="00487677">
        <w:t xml:space="preserve">midazolam </w:t>
      </w:r>
      <w:r w:rsidR="008E0A37" w:rsidRPr="008E0A37">
        <w:t>[information redacted]</w:t>
      </w:r>
    </w:p>
    <w:p w14:paraId="09CF25F9" w14:textId="40181B6E" w:rsidR="00C210BB" w:rsidRDefault="00FC1F12" w:rsidP="008E0A37">
      <w:pPr>
        <w:pStyle w:val="Numberbullet2"/>
      </w:pPr>
      <w:r>
        <w:t>T</w:t>
      </w:r>
      <w:r w:rsidR="00C210BB">
        <w:t xml:space="preserve">he effect of esomeprazole on the PK of </w:t>
      </w:r>
      <w:r w:rsidR="00E56C47">
        <w:t xml:space="preserve">Ceritinib </w:t>
      </w:r>
      <w:r w:rsidR="008E0A37" w:rsidRPr="008E0A37">
        <w:t>[information redacted]</w:t>
      </w:r>
    </w:p>
    <w:p w14:paraId="6AF08770" w14:textId="54BE0AB2" w:rsidR="00C210BB" w:rsidRDefault="00FC1F12" w:rsidP="008E0A37">
      <w:pPr>
        <w:pStyle w:val="Numberbullet2"/>
      </w:pPr>
      <w:r>
        <w:t>T</w:t>
      </w:r>
      <w:r w:rsidR="00C210BB">
        <w:t xml:space="preserve">he steady-state PK and safety of reduced doses of </w:t>
      </w:r>
      <w:r w:rsidR="00487677">
        <w:t>c</w:t>
      </w:r>
      <w:r w:rsidR="00487677" w:rsidRPr="00487677">
        <w:t xml:space="preserve">eritinib </w:t>
      </w:r>
      <w:r w:rsidR="00C210BB">
        <w:t xml:space="preserve">taken with a low fat meal, as compared with 750 </w:t>
      </w:r>
      <w:r w:rsidR="00FD070E">
        <w:t>m</w:t>
      </w:r>
      <w:r w:rsidR="00C210BB">
        <w:t xml:space="preserve">g ceritinib taken in the fasted state: a randomized food effect study </w:t>
      </w:r>
      <w:r w:rsidR="008E0A37">
        <w:t>[information redacted]</w:t>
      </w:r>
      <w:r w:rsidR="00C210BB">
        <w:t>.</w:t>
      </w:r>
    </w:p>
    <w:p w14:paraId="2888C68E" w14:textId="19AD2D27" w:rsidR="00FD070E" w:rsidRDefault="00FC1F12" w:rsidP="00BC41CC">
      <w:pPr>
        <w:pStyle w:val="Numberbullet2"/>
      </w:pPr>
      <w:r>
        <w:t>O</w:t>
      </w:r>
      <w:r w:rsidR="00C210BB">
        <w:t xml:space="preserve">ral </w:t>
      </w:r>
      <w:r w:rsidR="00487677">
        <w:t>c</w:t>
      </w:r>
      <w:r w:rsidR="00487677" w:rsidRPr="00487677">
        <w:t xml:space="preserve">eritinib </w:t>
      </w:r>
      <w:r w:rsidR="00C210BB">
        <w:t>versus standard chemotherapy in adult patients with ALKrearranged (ALK-positive) locally advanced or metastatic NSCLC who have been treated previously with one chemotherapy regimen (platinum doublet) and crizotinib (</w:t>
      </w:r>
      <w:r w:rsidR="00BC41CC">
        <w:t>[information redacted]</w:t>
      </w:r>
      <w:r w:rsidR="00C210BB">
        <w:t xml:space="preserve"> A </w:t>
      </w:r>
      <w:r w:rsidR="00B606EB">
        <w:t>P</w:t>
      </w:r>
      <w:r w:rsidR="00C210BB">
        <w:t xml:space="preserve">hase </w:t>
      </w:r>
      <w:r w:rsidR="00D052A8">
        <w:t>I</w:t>
      </w:r>
      <w:r w:rsidR="00C210BB">
        <w:t>/</w:t>
      </w:r>
      <w:r w:rsidR="00D052A8">
        <w:t>II</w:t>
      </w:r>
      <w:r w:rsidR="00C210BB">
        <w:t xml:space="preserve"> </w:t>
      </w:r>
      <w:r w:rsidR="00D052A8">
        <w:t xml:space="preserve"> </w:t>
      </w:r>
      <w:r w:rsidR="00C210BB">
        <w:t xml:space="preserve">multicentre, randomized study) </w:t>
      </w:r>
    </w:p>
    <w:p w14:paraId="2235FA99" w14:textId="23A9E685" w:rsidR="00FD070E" w:rsidRDefault="00FD070E" w:rsidP="00BC41CC">
      <w:pPr>
        <w:pStyle w:val="Numberbullet0"/>
      </w:pPr>
      <w:r>
        <w:t xml:space="preserve">Submit </w:t>
      </w:r>
      <w:r w:rsidR="00BC41CC">
        <w:t>[information redacted]</w:t>
      </w:r>
      <w:r>
        <w:t xml:space="preserve">for evaluation as soon as available: </w:t>
      </w:r>
    </w:p>
    <w:p w14:paraId="0BDB7E3A" w14:textId="47FD3C61" w:rsidR="00FD070E" w:rsidRDefault="00FC1F12" w:rsidP="00843711">
      <w:pPr>
        <w:pStyle w:val="Numberbullet2"/>
      </w:pPr>
      <w:r>
        <w:t>T</w:t>
      </w:r>
      <w:r w:rsidR="00FD070E">
        <w:t xml:space="preserve">he CSR with the final results of the </w:t>
      </w:r>
      <w:r w:rsidR="00B606EB">
        <w:t>P</w:t>
      </w:r>
      <w:r w:rsidR="00FD070E">
        <w:t xml:space="preserve">hase </w:t>
      </w:r>
      <w:r w:rsidR="00B606EB">
        <w:t>II</w:t>
      </w:r>
      <w:r w:rsidR="00FD070E">
        <w:t xml:space="preserve"> single-arm efficacy study</w:t>
      </w:r>
      <w:r w:rsidR="00843711" w:rsidRPr="00843711">
        <w:t xml:space="preserve"> [information redacted]</w:t>
      </w:r>
      <w:r w:rsidR="00FD070E">
        <w:t>.</w:t>
      </w:r>
    </w:p>
    <w:p w14:paraId="7E8624D9" w14:textId="77777777" w:rsidR="00FD070E" w:rsidRDefault="00FD070E" w:rsidP="00FD070E">
      <w:pPr>
        <w:pStyle w:val="Numberbullet0"/>
      </w:pPr>
      <w:r>
        <w:t>The Note to the Indication must follow the Indication in any promotional material; and the Boxed Warning must be marketed together with the indication and note to the indication in any promotional material.</w:t>
      </w:r>
    </w:p>
    <w:p w14:paraId="7B40985B" w14:textId="77777777" w:rsidR="008E7846" w:rsidRDefault="00A80B5B" w:rsidP="00FD070E">
      <w:pPr>
        <w:pStyle w:val="Heading2"/>
      </w:pPr>
      <w:bookmarkStart w:id="248" w:name="_Toc507501128"/>
      <w:proofErr w:type="gramStart"/>
      <w:r>
        <w:t>Attachment 1.</w:t>
      </w:r>
      <w:proofErr w:type="gramEnd"/>
      <w:r>
        <w:t xml:space="preserve"> </w:t>
      </w:r>
      <w:r w:rsidR="008E7846">
        <w:t xml:space="preserve">Product </w:t>
      </w:r>
      <w:r w:rsidR="00AA0ED0">
        <w:t>I</w:t>
      </w:r>
      <w:r w:rsidR="008E7846">
        <w:t>nformation</w:t>
      </w:r>
      <w:bookmarkEnd w:id="246"/>
      <w:bookmarkEnd w:id="247"/>
      <w:bookmarkEnd w:id="248"/>
    </w:p>
    <w:p w14:paraId="7821E141" w14:textId="633AB222" w:rsidR="00C80137" w:rsidRDefault="006136D7" w:rsidP="00C80137">
      <w:pPr>
        <w:rPr>
          <w:color w:val="000000"/>
          <w:lang w:eastAsia="en-AU"/>
        </w:rPr>
      </w:pPr>
      <w:r w:rsidRPr="002B3624">
        <w:t xml:space="preserve">The </w:t>
      </w:r>
      <w:r>
        <w:t>PI</w:t>
      </w:r>
      <w:r w:rsidRPr="002B3624">
        <w:t xml:space="preserve"> for </w:t>
      </w:r>
      <w:r w:rsidR="00C210BB">
        <w:t>Zykadia</w:t>
      </w:r>
      <w:r w:rsidRPr="002B3624">
        <w:t xml:space="preserve"> </w:t>
      </w:r>
      <w:r>
        <w:t xml:space="preserve">approved with the submission which is described in </w:t>
      </w:r>
      <w:r w:rsidRPr="002B3624">
        <w:t xml:space="preserve">this AusPAR is at Attachment 1. For the </w:t>
      </w:r>
      <w:hyperlink r:id="rId27" w:history="1">
        <w:r w:rsidRPr="00E437C3">
          <w:rPr>
            <w:rStyle w:val="Hyperlink"/>
          </w:rPr>
          <w:t>most recent PI</w:t>
        </w:r>
      </w:hyperlink>
      <w:r>
        <w:t>,</w:t>
      </w:r>
      <w:r w:rsidRPr="002B3624">
        <w:t xml:space="preserve"> please refer to the </w:t>
      </w:r>
      <w:r w:rsidRPr="007C6B9B">
        <w:t xml:space="preserve">TGA website at </w:t>
      </w:r>
      <w:r w:rsidR="007C6B9B" w:rsidRPr="007C6B9B">
        <w:t>&lt;</w:t>
      </w:r>
      <w:r w:rsidR="007C6B9B" w:rsidRPr="00E437C3">
        <w:t>https://www.tga.gov.au/product-information-pi</w:t>
      </w:r>
      <w:r w:rsidR="00C210BB">
        <w:t>&gt;.</w:t>
      </w:r>
    </w:p>
    <w:p w14:paraId="46CB60BE" w14:textId="77777777" w:rsidR="00C80137" w:rsidRDefault="00C80137" w:rsidP="00C80137">
      <w:pPr>
        <w:pStyle w:val="Heading2"/>
        <w:rPr>
          <w:lang w:eastAsia="en-AU"/>
        </w:rPr>
      </w:pPr>
      <w:bookmarkStart w:id="249" w:name="_Toc507501129"/>
      <w:proofErr w:type="gramStart"/>
      <w:r>
        <w:rPr>
          <w:lang w:eastAsia="en-AU"/>
        </w:rPr>
        <w:t>Attachment 2.</w:t>
      </w:r>
      <w:proofErr w:type="gramEnd"/>
      <w:r w:rsidR="00A80B5B">
        <w:rPr>
          <w:lang w:eastAsia="en-AU"/>
        </w:rPr>
        <w:t xml:space="preserve"> </w:t>
      </w:r>
      <w:r>
        <w:rPr>
          <w:lang w:eastAsia="en-AU"/>
        </w:rPr>
        <w:t>Extract from the Clinical Evaluation Report</w:t>
      </w:r>
      <w:bookmarkEnd w:id="249"/>
    </w:p>
    <w:p w14:paraId="034B22AF" w14:textId="77777777" w:rsidR="00C80137" w:rsidRPr="001D043B" w:rsidRDefault="00C80137" w:rsidP="003A7F6C">
      <w:pPr>
        <w:pStyle w:val="TableTitle"/>
        <w:sectPr w:rsidR="00C80137" w:rsidRPr="001D043B" w:rsidSect="00227769">
          <w:headerReference w:type="even" r:id="rId28"/>
          <w:headerReference w:type="default" r:id="rId29"/>
          <w:headerReference w:type="first" r:id="rId30"/>
          <w:footerReference w:type="first" r:id="rId31"/>
          <w:pgSz w:w="11906" w:h="16838" w:code="9"/>
          <w:pgMar w:top="834" w:right="1701" w:bottom="85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Description w:val="Therapeutic Goods Administration&#10;PO Box 100 Woden ACT 2606 Australia&#10;Email: info@tga.gov.au Phone: 1800 020 653 Fax: 02 6232 8605&#10;https://www.tga.gov.au"/>
      </w:tblPr>
      <w:tblGrid>
        <w:gridCol w:w="9175"/>
      </w:tblGrid>
      <w:tr w:rsidR="001C32CD" w:rsidRPr="00487162" w14:paraId="28E64D04" w14:textId="77777777" w:rsidTr="00A05FA4">
        <w:trPr>
          <w:trHeight w:hRule="exact" w:val="704"/>
        </w:trPr>
        <w:tc>
          <w:tcPr>
            <w:tcW w:w="9175" w:type="dxa"/>
          </w:tcPr>
          <w:p w14:paraId="747E35E3" w14:textId="77777777" w:rsidR="001C32CD" w:rsidRPr="00487162" w:rsidRDefault="001C32CD" w:rsidP="00A05FA4">
            <w:pPr>
              <w:pStyle w:val="TGASignoff"/>
            </w:pPr>
            <w:r w:rsidRPr="00487162">
              <w:lastRenderedPageBreak/>
              <w:t>Therapeutic Goods Administration</w:t>
            </w:r>
          </w:p>
        </w:tc>
      </w:tr>
      <w:tr w:rsidR="001C32CD" w:rsidRPr="004C239D" w14:paraId="3B519CB7" w14:textId="77777777" w:rsidTr="00A05FA4">
        <w:trPr>
          <w:trHeight w:val="1221"/>
        </w:trPr>
        <w:tc>
          <w:tcPr>
            <w:tcW w:w="9175" w:type="dxa"/>
            <w:tcMar>
              <w:top w:w="28" w:type="dxa"/>
            </w:tcMar>
          </w:tcPr>
          <w:p w14:paraId="26254D20" w14:textId="77777777" w:rsidR="001C32CD" w:rsidRPr="00487162" w:rsidRDefault="001C32CD" w:rsidP="00A05FA4">
            <w:pPr>
              <w:pStyle w:val="Address"/>
            </w:pPr>
            <w:r w:rsidRPr="00487162">
              <w:t>PO Box 100 Woden ACT 2606 Australia</w:t>
            </w:r>
          </w:p>
          <w:p w14:paraId="000C80B9" w14:textId="77777777" w:rsidR="001C32CD" w:rsidRPr="00487162" w:rsidRDefault="001C32CD" w:rsidP="00A05FA4">
            <w:pPr>
              <w:pStyle w:val="Address"/>
            </w:pPr>
            <w:r w:rsidRPr="00487162">
              <w:t xml:space="preserve">Email: </w:t>
            </w:r>
            <w:hyperlink r:id="rId32" w:history="1">
              <w:r w:rsidRPr="004C239D">
                <w:rPr>
                  <w:rStyle w:val="Hyperlink"/>
                </w:rPr>
                <w:t>info@tga.gov.au</w:t>
              </w:r>
            </w:hyperlink>
            <w:r w:rsidR="000E3918">
              <w:t xml:space="preserve"> </w:t>
            </w:r>
            <w:r w:rsidRPr="00487162">
              <w:t>Phone: 1800 020 653</w:t>
            </w:r>
            <w:r w:rsidR="000E3918">
              <w:t xml:space="preserve"> </w:t>
            </w:r>
            <w:r w:rsidRPr="00487162">
              <w:t>Fax: 02 6232 8605</w:t>
            </w:r>
          </w:p>
          <w:p w14:paraId="7AB2E03E" w14:textId="77777777" w:rsidR="001C32CD" w:rsidRPr="004C239D" w:rsidRDefault="00493AFB" w:rsidP="00A05FA4">
            <w:pPr>
              <w:pStyle w:val="Address"/>
              <w:spacing w:line="260" w:lineRule="atLeast"/>
              <w:rPr>
                <w:b/>
                <w:color w:val="0000FF"/>
                <w:u w:val="single"/>
              </w:rPr>
            </w:pPr>
            <w:hyperlink r:id="rId33" w:history="1">
              <w:r w:rsidR="007C6B9B" w:rsidRPr="007C6B9B">
                <w:rPr>
                  <w:rStyle w:val="Hyperlink"/>
                  <w:b/>
                </w:rPr>
                <w:t>https://www.tga.gov.au</w:t>
              </w:r>
            </w:hyperlink>
          </w:p>
        </w:tc>
      </w:tr>
    </w:tbl>
    <w:p w14:paraId="44F5F937" w14:textId="77777777" w:rsidR="00774E1D" w:rsidRPr="008A5E0B" w:rsidRDefault="00774E1D" w:rsidP="004C239D"/>
    <w:sectPr w:rsidR="00774E1D" w:rsidRPr="008A5E0B" w:rsidSect="001C32CD">
      <w:headerReference w:type="even" r:id="rId34"/>
      <w:headerReference w:type="default" r:id="rId35"/>
      <w:footerReference w:type="default" r:id="rId36"/>
      <w:headerReference w:type="first" r:id="rId37"/>
      <w:footerReference w:type="first" r:id="rId38"/>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7E69DAD" w15:done="0"/>
  <w15:commentEx w15:paraId="05CAFC32" w15:done="0"/>
  <w15:commentEx w15:paraId="56540B97" w15:done="0"/>
  <w15:commentEx w15:paraId="625D1FBA" w15:done="0"/>
  <w15:commentEx w15:paraId="2D532FB9" w15:done="0"/>
  <w15:commentEx w15:paraId="708CF723" w15:done="0"/>
  <w15:commentEx w15:paraId="6AF1E5FC" w15:done="0"/>
  <w15:commentEx w15:paraId="4570D392" w15:done="0"/>
  <w15:commentEx w15:paraId="7BA94808" w15:done="0"/>
  <w15:commentEx w15:paraId="2931EDB4" w15:done="0"/>
  <w15:commentEx w15:paraId="121D8DC2" w15:done="0"/>
  <w15:commentEx w15:paraId="45055424" w15:done="0"/>
  <w15:commentEx w15:paraId="49C87EC6" w15:done="0"/>
  <w15:commentEx w15:paraId="79D5A903" w15:done="0"/>
  <w15:commentEx w15:paraId="6B4E8A18" w15:done="0"/>
  <w15:commentEx w15:paraId="3F14B141" w15:done="0"/>
  <w15:commentEx w15:paraId="17E0F23E" w15:done="0"/>
  <w15:commentEx w15:paraId="2BB9F005" w15:done="0"/>
  <w15:commentEx w15:paraId="1739ABD6" w15:done="0"/>
  <w15:commentEx w15:paraId="1A81F72D" w15:done="0"/>
  <w15:commentEx w15:paraId="06F4494D" w15:done="0"/>
  <w15:commentEx w15:paraId="101BC206" w15:done="0"/>
  <w15:commentEx w15:paraId="5195B3FE" w15:done="0"/>
  <w15:commentEx w15:paraId="772700C5" w15:done="0"/>
  <w15:commentEx w15:paraId="2E557C2E" w15:done="0"/>
  <w15:commentEx w15:paraId="2089B8DE" w15:done="0"/>
  <w15:commentEx w15:paraId="5E85F36A" w15:done="0"/>
  <w15:commentEx w15:paraId="4F72309C" w15:done="0"/>
  <w15:commentEx w15:paraId="22F9688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283D26" w14:textId="77777777" w:rsidR="00493AFB" w:rsidRDefault="00493AFB" w:rsidP="00C40A36">
      <w:pPr>
        <w:spacing w:after="0"/>
      </w:pPr>
      <w:r>
        <w:separator/>
      </w:r>
    </w:p>
  </w:endnote>
  <w:endnote w:type="continuationSeparator" w:id="0">
    <w:p w14:paraId="0BFC5A7B" w14:textId="77777777" w:rsidR="00493AFB" w:rsidRDefault="00493AFB"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OTNEJMQuadraat">
    <w:altName w:val="Times New Roman"/>
    <w:panose1 w:val="00000000000000000000"/>
    <w:charset w:val="00"/>
    <w:family w:val="roman"/>
    <w:notTrueType/>
    <w:pitch w:val="default"/>
  </w:font>
  <w:font w:name="TimesNewRoman">
    <w:altName w:val="MS Mincho"/>
    <w:panose1 w:val="00000000000000000000"/>
    <w:charset w:val="80"/>
    <w:family w:val="auto"/>
    <w:notTrueType/>
    <w:pitch w:val="default"/>
    <w:sig w:usb0="00000003" w:usb1="08070000" w:usb2="00000010" w:usb3="00000000" w:csb0="00020001" w:csb1="00000000"/>
  </w:font>
  <w:font w:name="TimesNewRomanPSMT">
    <w:altName w:val="Times New Roman"/>
    <w:panose1 w:val="00000000000000000000"/>
    <w:charset w:val="00"/>
    <w:family w:val="auto"/>
    <w:notTrueType/>
    <w:pitch w:val="default"/>
    <w:sig w:usb0="00000083" w:usb1="08070000" w:usb2="00000010" w:usb3="00000000" w:csb0="00020009" w:csb1="00000000"/>
  </w:font>
  <w:font w:name="Cambria Math">
    <w:panose1 w:val="02040503050406030204"/>
    <w:charset w:val="00"/>
    <w:family w:val="roman"/>
    <w:pitch w:val="variable"/>
    <w:sig w:usb0="E00002FF" w:usb1="420024FF" w:usb2="00000000" w:usb3="00000000" w:csb0="0000019F" w:csb1="00000000"/>
  </w:font>
  <w:font w:name="Times New Roman,Italic">
    <w:panose1 w:val="00000000000000000000"/>
    <w:charset w:val="00"/>
    <w:family w:val="swiss"/>
    <w:notTrueType/>
    <w:pitch w:val="default"/>
    <w:sig w:usb0="00000003" w:usb1="00000000" w:usb2="00000000" w:usb3="00000000" w:csb0="00000001" w:csb1="00000000"/>
  </w:font>
  <w:font w:name="$˜$x›ˇø\ÜÂ'1">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493AFB" w:rsidRPr="00487162" w14:paraId="68862B93" w14:textId="77777777" w:rsidTr="00DB750B">
      <w:trPr>
        <w:trHeight w:val="269"/>
      </w:trPr>
      <w:tc>
        <w:tcPr>
          <w:tcW w:w="7371" w:type="dxa"/>
          <w:tcMar>
            <w:top w:w="142" w:type="dxa"/>
            <w:bottom w:w="0" w:type="dxa"/>
          </w:tcMar>
        </w:tcPr>
        <w:p w14:paraId="7ADEF1BA" w14:textId="1F18C312" w:rsidR="00493AFB" w:rsidRPr="00487162" w:rsidRDefault="00493AFB" w:rsidP="00B52260">
          <w:pPr>
            <w:pStyle w:val="Footer"/>
          </w:pPr>
          <w:r w:rsidRPr="00487162">
            <w:t>AusPA</w:t>
          </w:r>
          <w:r>
            <w:t>R Zykadia C</w:t>
          </w:r>
          <w:r w:rsidRPr="00547DC6">
            <w:t>eritinib</w:t>
          </w:r>
          <w:r>
            <w:t xml:space="preserve"> Novartis Pharmaceuticals Aust Pty Ltd PM-2015</w:t>
          </w:r>
          <w:r w:rsidRPr="00487162">
            <w:t>-</w:t>
          </w:r>
          <w:r>
            <w:t>00418-1-4</w:t>
          </w:r>
          <w:r>
            <w:br/>
            <w:t>27 February 2018</w:t>
          </w:r>
        </w:p>
      </w:tc>
      <w:tc>
        <w:tcPr>
          <w:tcW w:w="1490" w:type="dxa"/>
          <w:tcMar>
            <w:top w:w="142" w:type="dxa"/>
            <w:bottom w:w="0" w:type="dxa"/>
          </w:tcMar>
        </w:tcPr>
        <w:p w14:paraId="55EC625B" w14:textId="77777777" w:rsidR="00493AFB" w:rsidRPr="00487162" w:rsidRDefault="00493AFB" w:rsidP="00DB750B">
          <w:pPr>
            <w:pStyle w:val="Footer"/>
            <w:jc w:val="right"/>
          </w:pPr>
          <w:r w:rsidRPr="00487162">
            <w:t xml:space="preserve">Page </w:t>
          </w:r>
          <w:r>
            <w:fldChar w:fldCharType="begin"/>
          </w:r>
          <w:r>
            <w:instrText xml:space="preserve"> PAGE  \* Arabic </w:instrText>
          </w:r>
          <w:r>
            <w:fldChar w:fldCharType="separate"/>
          </w:r>
          <w:r w:rsidR="00E437C3">
            <w:rPr>
              <w:noProof/>
            </w:rPr>
            <w:t>2</w:t>
          </w:r>
          <w:r>
            <w:fldChar w:fldCharType="end"/>
          </w:r>
          <w:r w:rsidRPr="00487162">
            <w:t xml:space="preserve"> of </w:t>
          </w:r>
          <w:r>
            <w:fldChar w:fldCharType="begin"/>
          </w:r>
          <w:r>
            <w:instrText xml:space="preserve"> NUMPAGES  \* Arabic </w:instrText>
          </w:r>
          <w:r>
            <w:fldChar w:fldCharType="separate"/>
          </w:r>
          <w:r w:rsidR="00E437C3">
            <w:rPr>
              <w:noProof/>
            </w:rPr>
            <w:t>77</w:t>
          </w:r>
          <w:r>
            <w:rPr>
              <w:noProof/>
            </w:rPr>
            <w:fldChar w:fldCharType="end"/>
          </w:r>
        </w:p>
      </w:tc>
    </w:tr>
  </w:tbl>
  <w:p w14:paraId="7E42A387" w14:textId="77777777" w:rsidR="00493AFB" w:rsidRDefault="00493AFB"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493AFB" w:rsidRPr="00487162" w14:paraId="49221A32" w14:textId="77777777" w:rsidTr="00E45619">
      <w:trPr>
        <w:trHeight w:val="269"/>
      </w:trPr>
      <w:tc>
        <w:tcPr>
          <w:tcW w:w="4519" w:type="dxa"/>
          <w:tcBorders>
            <w:top w:val="single" w:sz="4" w:space="0" w:color="auto"/>
          </w:tcBorders>
          <w:tcMar>
            <w:top w:w="142" w:type="dxa"/>
            <w:bottom w:w="0" w:type="dxa"/>
          </w:tcMar>
        </w:tcPr>
        <w:p w14:paraId="604AFF60" w14:textId="77777777" w:rsidR="00493AFB" w:rsidRPr="00487162" w:rsidRDefault="00493AFB" w:rsidP="00FE1DEE">
          <w:pPr>
            <w:pStyle w:val="Footer"/>
          </w:pPr>
          <w:r w:rsidRPr="00487162">
            <w:t>Document title, Part #, Section # - Section title</w:t>
          </w:r>
        </w:p>
        <w:p w14:paraId="3833DE97" w14:textId="77777777" w:rsidR="00493AFB" w:rsidRPr="00487162" w:rsidRDefault="00493AFB" w:rsidP="00FE1DEE">
          <w:pPr>
            <w:pStyle w:val="Footer"/>
          </w:pPr>
          <w:r w:rsidRPr="00487162">
            <w:t>V1.0 October 2010</w:t>
          </w:r>
        </w:p>
      </w:tc>
      <w:tc>
        <w:tcPr>
          <w:tcW w:w="4342" w:type="dxa"/>
          <w:tcBorders>
            <w:top w:val="single" w:sz="4" w:space="0" w:color="auto"/>
          </w:tcBorders>
          <w:tcMar>
            <w:top w:w="142" w:type="dxa"/>
            <w:bottom w:w="0" w:type="dxa"/>
          </w:tcMar>
        </w:tcPr>
        <w:p w14:paraId="38EF2318" w14:textId="3C07B461" w:rsidR="00493AFB" w:rsidRPr="00487162" w:rsidRDefault="00493AFB"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1</w:t>
          </w:r>
          <w:r>
            <w:rPr>
              <w:noProof/>
            </w:rPr>
            <w:fldChar w:fldCharType="end"/>
          </w:r>
        </w:p>
      </w:tc>
    </w:tr>
  </w:tbl>
  <w:p w14:paraId="3C53DF22" w14:textId="77777777" w:rsidR="00493AFB" w:rsidRDefault="00493AF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F8E1A" w14:textId="77777777" w:rsidR="00493AFB" w:rsidRPr="001C32CD" w:rsidRDefault="00493AFB"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493AFB" w14:paraId="253CE19A" w14:textId="77777777" w:rsidTr="0010601F">
      <w:trPr>
        <w:trHeight w:val="108"/>
      </w:trPr>
      <w:tc>
        <w:tcPr>
          <w:tcW w:w="8875" w:type="dxa"/>
          <w:gridSpan w:val="2"/>
          <w:tcBorders>
            <w:bottom w:val="single" w:sz="4" w:space="0" w:color="auto"/>
          </w:tcBorders>
          <w:tcMar>
            <w:right w:w="284" w:type="dxa"/>
          </w:tcMar>
        </w:tcPr>
        <w:p w14:paraId="756251F6" w14:textId="77777777" w:rsidR="00493AFB" w:rsidRDefault="00493AFB" w:rsidP="006E08B3">
          <w:pPr>
            <w:pStyle w:val="Heading3"/>
          </w:pPr>
          <w:r>
            <w:t>Copyright</w:t>
          </w:r>
        </w:p>
        <w:p w14:paraId="57EF50DD" w14:textId="77777777" w:rsidR="00493AFB" w:rsidRDefault="00493AFB" w:rsidP="006E08B3">
          <w:r>
            <w:rPr>
              <w:rFonts w:cs="Arial"/>
            </w:rPr>
            <w:t>©</w:t>
          </w:r>
          <w:r>
            <w:t xml:space="preserve"> Commonwealth of Australia [add year]</w:t>
          </w:r>
        </w:p>
        <w:p w14:paraId="12FE09ED" w14:textId="77777777" w:rsidR="00493AFB" w:rsidRDefault="00493AFB" w:rsidP="006E08B3"/>
        <w:p w14:paraId="36CF8232" w14:textId="77777777" w:rsidR="00493AFB" w:rsidRDefault="00493AFB"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51C27B60" w14:textId="77777777" w:rsidR="00493AFB" w:rsidRDefault="00493AFB" w:rsidP="006E08B3"/>
        <w:p w14:paraId="2D03E918" w14:textId="77777777" w:rsidR="00493AFB" w:rsidRDefault="00493AFB" w:rsidP="006E08B3">
          <w:pPr>
            <w:pStyle w:val="Heading3"/>
          </w:pPr>
          <w:r>
            <w:t>Confidentiality</w:t>
          </w:r>
        </w:p>
        <w:p w14:paraId="0A1201AF" w14:textId="77777777" w:rsidR="00493AFB" w:rsidRDefault="00493AFB"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6FD74062" w14:textId="77777777" w:rsidR="00493AFB" w:rsidRDefault="00493AFB" w:rsidP="006E08B3"/>
        <w:p w14:paraId="2FCDD714" w14:textId="77777777" w:rsidR="00493AFB" w:rsidRDefault="00493AFB" w:rsidP="006E08B3">
          <w:r>
            <w:t>For submission made by individuals, all personal details, other than your name, will be removed from your submission before it is published on the TGA’s Internet site.</w:t>
          </w:r>
        </w:p>
        <w:p w14:paraId="06C0EE44" w14:textId="77777777" w:rsidR="00493AFB" w:rsidRDefault="00493AFB" w:rsidP="006E08B3"/>
        <w:p w14:paraId="32814B92" w14:textId="77777777" w:rsidR="00493AFB" w:rsidRDefault="00493AFB" w:rsidP="006E08B3">
          <w:r>
            <w:t>In addition, a list of parties making submissions will be published. If you do not wish to be identified with your submission you must specifically request this in the space provided ib the submission coversheet.</w:t>
          </w:r>
        </w:p>
      </w:tc>
    </w:tr>
    <w:tr w:rsidR="00493AFB" w14:paraId="70B542D5" w14:textId="77777777" w:rsidTr="0010601F">
      <w:trPr>
        <w:trHeight w:val="417"/>
      </w:trPr>
      <w:tc>
        <w:tcPr>
          <w:tcW w:w="4519" w:type="dxa"/>
          <w:tcBorders>
            <w:top w:val="single" w:sz="4" w:space="0" w:color="auto"/>
          </w:tcBorders>
          <w:tcMar>
            <w:top w:w="142" w:type="dxa"/>
            <w:bottom w:w="0" w:type="dxa"/>
          </w:tcMar>
        </w:tcPr>
        <w:p w14:paraId="2BA7A850" w14:textId="77777777" w:rsidR="00493AFB" w:rsidRDefault="00493AFB" w:rsidP="006E08B3">
          <w:r>
            <w:t>Document title, Part #, Section # - Section title</w:t>
          </w:r>
        </w:p>
        <w:p w14:paraId="59F0D6F5" w14:textId="77777777" w:rsidR="00493AFB" w:rsidRDefault="00493AFB" w:rsidP="006E08B3">
          <w:r>
            <w:t>V1.0 October 2010</w:t>
          </w:r>
        </w:p>
      </w:tc>
      <w:tc>
        <w:tcPr>
          <w:tcW w:w="4356" w:type="dxa"/>
          <w:tcBorders>
            <w:top w:val="single" w:sz="4" w:space="0" w:color="auto"/>
          </w:tcBorders>
          <w:tcMar>
            <w:top w:w="142" w:type="dxa"/>
            <w:bottom w:w="0" w:type="dxa"/>
          </w:tcMar>
        </w:tcPr>
        <w:p w14:paraId="0773634D" w14:textId="429643A2" w:rsidR="00493AFB" w:rsidRDefault="00493AFB"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1</w:t>
          </w:r>
          <w:r>
            <w:rPr>
              <w:noProof/>
            </w:rPr>
            <w:fldChar w:fldCharType="end"/>
          </w:r>
          <w:bookmarkStart w:id="250" w:name="_Toc196046425"/>
          <w:bookmarkStart w:id="251" w:name="_Toc247691501"/>
          <w:r>
            <w:t xml:space="preserve"> </w:t>
          </w:r>
        </w:p>
      </w:tc>
    </w:tr>
    <w:bookmarkEnd w:id="250"/>
    <w:bookmarkEnd w:id="251"/>
  </w:tbl>
  <w:p w14:paraId="74D1D89E" w14:textId="77777777" w:rsidR="00493AFB" w:rsidRDefault="00493AF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8CC9DB" w14:textId="77777777" w:rsidR="00493AFB" w:rsidRDefault="00493AFB" w:rsidP="00C40A36">
      <w:pPr>
        <w:spacing w:after="0"/>
      </w:pPr>
      <w:r>
        <w:separator/>
      </w:r>
    </w:p>
  </w:footnote>
  <w:footnote w:type="continuationSeparator" w:id="0">
    <w:p w14:paraId="0E381F6C" w14:textId="77777777" w:rsidR="00493AFB" w:rsidRDefault="00493AFB" w:rsidP="00C40A36">
      <w:pPr>
        <w:spacing w:after="0"/>
      </w:pPr>
      <w:r>
        <w:continuationSeparator/>
      </w:r>
    </w:p>
  </w:footnote>
  <w:footnote w:id="1">
    <w:p w14:paraId="4FBF4F09" w14:textId="77777777" w:rsidR="00493AFB" w:rsidRPr="00F72EC9" w:rsidRDefault="00493AFB" w:rsidP="007D0F61">
      <w:pPr>
        <w:spacing w:line="240" w:lineRule="auto"/>
        <w:ind w:left="142" w:hanging="142"/>
        <w:rPr>
          <w:rFonts w:asciiTheme="minorHAnsi" w:hAnsiTheme="minorHAnsi"/>
          <w:sz w:val="18"/>
          <w:szCs w:val="18"/>
        </w:rPr>
      </w:pPr>
      <w:r w:rsidRPr="00F72EC9">
        <w:rPr>
          <w:rStyle w:val="FootnoteReference"/>
          <w:rFonts w:asciiTheme="minorHAnsi" w:hAnsiTheme="minorHAnsi"/>
          <w:sz w:val="18"/>
          <w:szCs w:val="18"/>
        </w:rPr>
        <w:footnoteRef/>
      </w:r>
      <w:r w:rsidRPr="00F72EC9">
        <w:rPr>
          <w:rFonts w:asciiTheme="minorHAnsi" w:hAnsiTheme="minorHAnsi"/>
          <w:sz w:val="18"/>
          <w:szCs w:val="18"/>
        </w:rPr>
        <w:t xml:space="preserve"> </w:t>
      </w:r>
      <w:proofErr w:type="gramStart"/>
      <w:r w:rsidRPr="00F72EC9">
        <w:rPr>
          <w:rFonts w:asciiTheme="minorHAnsi" w:hAnsiTheme="minorHAnsi"/>
          <w:sz w:val="18"/>
          <w:szCs w:val="18"/>
        </w:rPr>
        <w:t>Shaw AT et al. Crizotinib versus chemotherapy in ALK positive lung cancer.</w:t>
      </w:r>
      <w:proofErr w:type="gramEnd"/>
      <w:r w:rsidRPr="00F72EC9">
        <w:rPr>
          <w:rFonts w:asciiTheme="minorHAnsi" w:hAnsiTheme="minorHAnsi"/>
          <w:sz w:val="18"/>
          <w:szCs w:val="18"/>
        </w:rPr>
        <w:t xml:space="preserve"> N Engl J Med 2013;368:2385-94</w:t>
      </w:r>
    </w:p>
  </w:footnote>
  <w:footnote w:id="2">
    <w:p w14:paraId="7947FE4F" w14:textId="77777777" w:rsidR="00493AFB" w:rsidRPr="0060002F" w:rsidRDefault="00493AFB" w:rsidP="007D0F61">
      <w:pPr>
        <w:pStyle w:val="FootnoteText"/>
        <w:ind w:left="142" w:hanging="142"/>
        <w:rPr>
          <w:lang w:val="en-US"/>
        </w:rPr>
      </w:pPr>
      <w:r>
        <w:rPr>
          <w:rStyle w:val="FootnoteReference"/>
        </w:rPr>
        <w:footnoteRef/>
      </w:r>
      <w:r>
        <w:t xml:space="preserve"> KRAS (</w:t>
      </w:r>
      <w:r w:rsidRPr="0060002F">
        <w:t>K-ras or Ki-ras) is proto-oncogene corresponding to the oncogene first identified in Kirsten rat sarcoma virus and the gene product was first found as a p21 GTPase.</w:t>
      </w:r>
    </w:p>
  </w:footnote>
  <w:footnote w:id="3">
    <w:p w14:paraId="59F40812" w14:textId="77777777" w:rsidR="00493AFB" w:rsidRPr="00F72EC9" w:rsidRDefault="00493AFB" w:rsidP="00F94120">
      <w:pPr>
        <w:spacing w:before="0" w:after="0" w:line="240" w:lineRule="auto"/>
        <w:ind w:left="142" w:hanging="142"/>
        <w:rPr>
          <w:rFonts w:asciiTheme="minorHAnsi" w:hAnsiTheme="minorHAnsi"/>
          <w:sz w:val="18"/>
          <w:szCs w:val="18"/>
        </w:rPr>
      </w:pPr>
      <w:r w:rsidRPr="00F72EC9">
        <w:rPr>
          <w:rStyle w:val="FootnoteReference"/>
          <w:rFonts w:asciiTheme="minorHAnsi" w:hAnsiTheme="minorHAnsi"/>
          <w:sz w:val="18"/>
          <w:szCs w:val="18"/>
        </w:rPr>
        <w:footnoteRef/>
      </w:r>
      <w:r w:rsidRPr="00F72EC9">
        <w:rPr>
          <w:rFonts w:asciiTheme="minorHAnsi" w:hAnsiTheme="minorHAnsi"/>
          <w:sz w:val="18"/>
          <w:szCs w:val="18"/>
        </w:rPr>
        <w:t xml:space="preserve"> Gainor JF et al. ALK rearrangements are mutually exclusive with mutations in EGFR or KRAS: an analysis of 1,683 patients with non-small cell lung cancer. Clin Cancer Res 2013</w:t>
      </w:r>
      <w:proofErr w:type="gramStart"/>
      <w:r w:rsidRPr="00F72EC9">
        <w:rPr>
          <w:rFonts w:asciiTheme="minorHAnsi" w:hAnsiTheme="minorHAnsi"/>
          <w:sz w:val="18"/>
          <w:szCs w:val="18"/>
        </w:rPr>
        <w:t>;19:4273</w:t>
      </w:r>
      <w:proofErr w:type="gramEnd"/>
      <w:r w:rsidRPr="00F72EC9">
        <w:rPr>
          <w:rFonts w:asciiTheme="minorHAnsi" w:hAnsiTheme="minorHAnsi"/>
          <w:sz w:val="18"/>
          <w:szCs w:val="18"/>
        </w:rPr>
        <w:t>-81.</w:t>
      </w:r>
    </w:p>
  </w:footnote>
  <w:footnote w:id="4">
    <w:p w14:paraId="01E67F9F" w14:textId="77777777" w:rsidR="00493AFB" w:rsidRPr="00F72EC9" w:rsidRDefault="00493AFB" w:rsidP="00F94120">
      <w:pPr>
        <w:spacing w:before="0" w:after="0" w:line="240" w:lineRule="auto"/>
        <w:ind w:left="142" w:hanging="142"/>
        <w:rPr>
          <w:rFonts w:asciiTheme="minorHAnsi" w:hAnsiTheme="minorHAnsi"/>
          <w:sz w:val="18"/>
          <w:szCs w:val="18"/>
        </w:rPr>
      </w:pPr>
      <w:r w:rsidRPr="00F72EC9">
        <w:rPr>
          <w:rStyle w:val="FootnoteReference"/>
          <w:rFonts w:asciiTheme="minorHAnsi" w:hAnsiTheme="minorHAnsi"/>
          <w:sz w:val="18"/>
          <w:szCs w:val="18"/>
        </w:rPr>
        <w:footnoteRef/>
      </w:r>
      <w:r w:rsidRPr="00F72EC9">
        <w:rPr>
          <w:rFonts w:asciiTheme="minorHAnsi" w:hAnsiTheme="minorHAnsi"/>
          <w:sz w:val="18"/>
          <w:szCs w:val="18"/>
        </w:rPr>
        <w:t xml:space="preserve"> </w:t>
      </w:r>
      <w:proofErr w:type="gramStart"/>
      <w:r w:rsidRPr="00F72EC9">
        <w:rPr>
          <w:rFonts w:asciiTheme="minorHAnsi" w:hAnsiTheme="minorHAnsi"/>
          <w:sz w:val="18"/>
          <w:szCs w:val="18"/>
        </w:rPr>
        <w:t>Shaw AT et al. Clinical features and outcome of patients with non-small-cell lung cancer who harbor EML4-ALK.</w:t>
      </w:r>
      <w:proofErr w:type="gramEnd"/>
      <w:r w:rsidRPr="00F72EC9">
        <w:rPr>
          <w:rFonts w:asciiTheme="minorHAnsi" w:hAnsiTheme="minorHAnsi"/>
          <w:sz w:val="18"/>
          <w:szCs w:val="18"/>
        </w:rPr>
        <w:t xml:space="preserve"> J Clin Oncol 2009</w:t>
      </w:r>
      <w:proofErr w:type="gramStart"/>
      <w:r w:rsidRPr="00F72EC9">
        <w:rPr>
          <w:rFonts w:asciiTheme="minorHAnsi" w:hAnsiTheme="minorHAnsi"/>
          <w:sz w:val="18"/>
          <w:szCs w:val="18"/>
        </w:rPr>
        <w:t>;27:4247</w:t>
      </w:r>
      <w:proofErr w:type="gramEnd"/>
      <w:r w:rsidRPr="00F72EC9">
        <w:rPr>
          <w:rFonts w:asciiTheme="minorHAnsi" w:hAnsiTheme="minorHAnsi"/>
          <w:sz w:val="18"/>
          <w:szCs w:val="18"/>
        </w:rPr>
        <w:t>-53.</w:t>
      </w:r>
    </w:p>
  </w:footnote>
  <w:footnote w:id="5">
    <w:p w14:paraId="02BAAB84" w14:textId="77777777" w:rsidR="00493AFB" w:rsidRPr="00F72EC9" w:rsidRDefault="00493AFB" w:rsidP="00F94120">
      <w:pPr>
        <w:pStyle w:val="FootnoteText"/>
        <w:ind w:left="142" w:hanging="142"/>
        <w:rPr>
          <w:lang w:val="en-US"/>
        </w:rPr>
      </w:pPr>
      <w:r>
        <w:rPr>
          <w:rStyle w:val="FootnoteReference"/>
        </w:rPr>
        <w:footnoteRef/>
      </w:r>
      <w:r>
        <w:t xml:space="preserve"> </w:t>
      </w:r>
      <w:r w:rsidRPr="00F72EC9">
        <w:t>Ou SH. Crizotinib: a novel and first-in-class multitargeted tyrosine kinase inhibitor for the treatment of anaplastic lymphoma kinase rearranged non-small cell lung cancer and beyond. Drug Des Devel Ther 2011</w:t>
      </w:r>
      <w:proofErr w:type="gramStart"/>
      <w:r w:rsidRPr="00F72EC9">
        <w:t>;5:471</w:t>
      </w:r>
      <w:proofErr w:type="gramEnd"/>
      <w:r w:rsidRPr="00F72EC9">
        <w:t>-85.</w:t>
      </w:r>
    </w:p>
  </w:footnote>
  <w:footnote w:id="6">
    <w:p w14:paraId="4E5295A3" w14:textId="77777777" w:rsidR="00493AFB" w:rsidRPr="00BF3A1A" w:rsidRDefault="00493AFB" w:rsidP="00F94120">
      <w:pPr>
        <w:spacing w:before="0" w:after="0" w:line="240" w:lineRule="auto"/>
        <w:ind w:left="142" w:hanging="142"/>
        <w:rPr>
          <w:rFonts w:asciiTheme="minorHAnsi" w:hAnsiTheme="minorHAnsi"/>
          <w:sz w:val="18"/>
          <w:szCs w:val="18"/>
        </w:rPr>
      </w:pPr>
      <w:r w:rsidRPr="00BF3A1A">
        <w:rPr>
          <w:rStyle w:val="FootnoteReference"/>
          <w:rFonts w:asciiTheme="minorHAnsi" w:hAnsiTheme="minorHAnsi"/>
          <w:sz w:val="18"/>
          <w:szCs w:val="18"/>
        </w:rPr>
        <w:footnoteRef/>
      </w:r>
      <w:r w:rsidRPr="00BF3A1A">
        <w:rPr>
          <w:rFonts w:asciiTheme="minorHAnsi" w:hAnsiTheme="minorHAnsi"/>
          <w:sz w:val="18"/>
          <w:szCs w:val="18"/>
        </w:rPr>
        <w:t xml:space="preserve"> Solomon, B et al NEJM 2015 accessed 20 February 2016 at http://www.nejm.org/doi/full/10.1056/NEJMoa1408440</w:t>
      </w:r>
    </w:p>
  </w:footnote>
  <w:footnote w:id="7">
    <w:p w14:paraId="51435EE8" w14:textId="77777777" w:rsidR="00493AFB" w:rsidRDefault="00493AFB" w:rsidP="00B52260">
      <w:pPr>
        <w:pStyle w:val="FootnoteText"/>
        <w:ind w:left="142" w:hanging="142"/>
      </w:pPr>
      <w:r>
        <w:rPr>
          <w:rStyle w:val="FootnoteReference"/>
        </w:rPr>
        <w:footnoteRef/>
      </w:r>
      <w:r>
        <w:t xml:space="preserve"> </w:t>
      </w:r>
      <w:r w:rsidRPr="00BF3A1A">
        <w:t>Katayama R et al. Mechanisms of acquired crizotinib resistance in ALK-rearranged lung cancers. Sci Transl Med 2012;4:120ra17</w:t>
      </w:r>
    </w:p>
    <w:p w14:paraId="209CD488" w14:textId="77777777" w:rsidR="00493AFB" w:rsidRPr="00BF3A1A" w:rsidRDefault="00493AFB" w:rsidP="00B52260">
      <w:pPr>
        <w:pStyle w:val="FootnoteText"/>
        <w:ind w:left="142" w:hanging="142"/>
        <w:rPr>
          <w:lang w:val="en-US"/>
        </w:rPr>
      </w:pPr>
      <w:r w:rsidRPr="00BF3A1A">
        <w:rPr>
          <w:lang w:val="en-US"/>
        </w:rPr>
        <w:t>Doebele RC et al. Mechanisms of resistance to crizotinib in patients with ALK gene rearranged non-small cell lung cancer. Clin Cancer Res 2012;18:1472-82</w:t>
      </w:r>
    </w:p>
  </w:footnote>
  <w:footnote w:id="8">
    <w:p w14:paraId="3B922E9D" w14:textId="77777777" w:rsidR="00493AFB" w:rsidRDefault="00493AFB" w:rsidP="00B52260">
      <w:pPr>
        <w:spacing w:before="0" w:after="0" w:line="240" w:lineRule="auto"/>
        <w:ind w:left="142" w:hanging="142"/>
        <w:rPr>
          <w:rFonts w:asciiTheme="minorHAnsi" w:hAnsiTheme="minorHAnsi"/>
          <w:sz w:val="18"/>
          <w:szCs w:val="18"/>
        </w:rPr>
      </w:pPr>
      <w:r w:rsidRPr="00BF3A1A">
        <w:rPr>
          <w:rStyle w:val="FootnoteReference"/>
          <w:rFonts w:asciiTheme="minorHAnsi" w:hAnsiTheme="minorHAnsi"/>
          <w:sz w:val="18"/>
          <w:szCs w:val="18"/>
        </w:rPr>
        <w:footnoteRef/>
      </w:r>
      <w:r w:rsidRPr="00BF3A1A">
        <w:rPr>
          <w:rFonts w:asciiTheme="minorHAnsi" w:hAnsiTheme="minorHAnsi"/>
          <w:sz w:val="18"/>
          <w:szCs w:val="18"/>
        </w:rPr>
        <w:t xml:space="preserve"> Camidge DR et al. Activity and safety of crizotinib in patients with ALK-positive non-small-cell lung cancer: updated results from a phase 1 study. Lancet 2012</w:t>
      </w:r>
      <w:proofErr w:type="gramStart"/>
      <w:r w:rsidRPr="00BF3A1A">
        <w:rPr>
          <w:rFonts w:asciiTheme="minorHAnsi" w:hAnsiTheme="minorHAnsi"/>
          <w:sz w:val="18"/>
          <w:szCs w:val="18"/>
        </w:rPr>
        <w:t>;13:1011</w:t>
      </w:r>
      <w:proofErr w:type="gramEnd"/>
      <w:r w:rsidRPr="00BF3A1A">
        <w:rPr>
          <w:rFonts w:asciiTheme="minorHAnsi" w:hAnsiTheme="minorHAnsi"/>
          <w:sz w:val="18"/>
          <w:szCs w:val="18"/>
        </w:rPr>
        <w:t>-9.</w:t>
      </w:r>
      <w:r>
        <w:rPr>
          <w:rFonts w:asciiTheme="minorHAnsi" w:hAnsiTheme="minorHAnsi"/>
          <w:sz w:val="18"/>
          <w:szCs w:val="18"/>
        </w:rPr>
        <w:t xml:space="preserve"> </w:t>
      </w:r>
    </w:p>
    <w:p w14:paraId="72130244" w14:textId="77777777" w:rsidR="00493AFB" w:rsidRPr="00BF3A1A" w:rsidRDefault="00493AFB" w:rsidP="00B52260">
      <w:pPr>
        <w:spacing w:before="0" w:after="0" w:line="240" w:lineRule="auto"/>
        <w:ind w:left="142" w:hanging="142"/>
        <w:rPr>
          <w:rFonts w:asciiTheme="minorHAnsi" w:hAnsiTheme="minorHAnsi"/>
          <w:sz w:val="18"/>
          <w:szCs w:val="18"/>
        </w:rPr>
      </w:pPr>
      <w:proofErr w:type="gramStart"/>
      <w:r w:rsidRPr="005A7404">
        <w:rPr>
          <w:rFonts w:asciiTheme="minorHAnsi" w:hAnsiTheme="minorHAnsi"/>
          <w:sz w:val="18"/>
          <w:szCs w:val="18"/>
        </w:rPr>
        <w:t>Yang P et al. Worse disease-free survival in never-smokers with ALK+ lung adenocarcinoma.</w:t>
      </w:r>
      <w:proofErr w:type="gramEnd"/>
      <w:r w:rsidRPr="005A7404">
        <w:rPr>
          <w:rFonts w:asciiTheme="minorHAnsi" w:hAnsiTheme="minorHAnsi"/>
          <w:sz w:val="18"/>
          <w:szCs w:val="18"/>
        </w:rPr>
        <w:t xml:space="preserve"> J Thorac Oncol 2012</w:t>
      </w:r>
      <w:proofErr w:type="gramStart"/>
      <w:r w:rsidRPr="005A7404">
        <w:rPr>
          <w:rFonts w:asciiTheme="minorHAnsi" w:hAnsiTheme="minorHAnsi"/>
          <w:sz w:val="18"/>
          <w:szCs w:val="18"/>
        </w:rPr>
        <w:t>;7:90</w:t>
      </w:r>
      <w:proofErr w:type="gramEnd"/>
      <w:r w:rsidRPr="005A7404">
        <w:rPr>
          <w:rFonts w:asciiTheme="minorHAnsi" w:hAnsiTheme="minorHAnsi"/>
          <w:sz w:val="18"/>
          <w:szCs w:val="18"/>
        </w:rPr>
        <w:t>-7.</w:t>
      </w:r>
    </w:p>
    <w:p w14:paraId="5E4AE49C" w14:textId="77777777" w:rsidR="00493AFB" w:rsidRPr="00BF3A1A" w:rsidRDefault="00493AFB" w:rsidP="00B52260">
      <w:pPr>
        <w:pStyle w:val="FootnoteText"/>
        <w:ind w:left="142" w:hanging="142"/>
        <w:rPr>
          <w:rFonts w:asciiTheme="minorHAnsi" w:hAnsiTheme="minorHAnsi"/>
          <w:szCs w:val="18"/>
          <w:lang w:val="en-US"/>
        </w:rPr>
      </w:pPr>
      <w:proofErr w:type="gramStart"/>
      <w:r w:rsidRPr="00BF3A1A">
        <w:rPr>
          <w:rFonts w:asciiTheme="minorHAnsi" w:hAnsiTheme="minorHAnsi"/>
          <w:szCs w:val="18"/>
        </w:rPr>
        <w:t>Camidge DR and Doebele RC.</w:t>
      </w:r>
      <w:proofErr w:type="gramEnd"/>
      <w:r w:rsidRPr="00BF3A1A">
        <w:rPr>
          <w:rFonts w:asciiTheme="minorHAnsi" w:hAnsiTheme="minorHAnsi"/>
          <w:szCs w:val="18"/>
        </w:rPr>
        <w:t xml:space="preserve"> </w:t>
      </w:r>
      <w:proofErr w:type="gramStart"/>
      <w:r w:rsidRPr="00BF3A1A">
        <w:rPr>
          <w:rFonts w:asciiTheme="minorHAnsi" w:hAnsiTheme="minorHAnsi"/>
          <w:szCs w:val="18"/>
        </w:rPr>
        <w:t>Treating ALK-positive lung cancer – early successes and future challenges.</w:t>
      </w:r>
      <w:proofErr w:type="gramEnd"/>
      <w:r w:rsidRPr="00BF3A1A">
        <w:rPr>
          <w:rFonts w:asciiTheme="minorHAnsi" w:hAnsiTheme="minorHAnsi"/>
          <w:szCs w:val="18"/>
        </w:rPr>
        <w:t xml:space="preserve"> Nature 2012;9:268-77</w:t>
      </w:r>
    </w:p>
  </w:footnote>
  <w:footnote w:id="9">
    <w:p w14:paraId="7A3122E3" w14:textId="77777777" w:rsidR="00493AFB" w:rsidRPr="00AD4570" w:rsidRDefault="00493AFB">
      <w:pPr>
        <w:pStyle w:val="FootnoteText"/>
        <w:rPr>
          <w:lang w:val="en-US"/>
        </w:rPr>
      </w:pPr>
      <w:r>
        <w:rPr>
          <w:rStyle w:val="FootnoteReference"/>
        </w:rPr>
        <w:footnoteRef/>
      </w:r>
      <w:r>
        <w:t xml:space="preserve"> </w:t>
      </w:r>
      <w:r w:rsidRPr="00AD4570">
        <w:t>The drugs are classified in BCS on the basis of solubility, permeability and dissolution.</w:t>
      </w:r>
    </w:p>
  </w:footnote>
  <w:footnote w:id="10">
    <w:p w14:paraId="21077C10" w14:textId="100629EF" w:rsidR="00493AFB" w:rsidRPr="00C24127" w:rsidRDefault="00493AFB">
      <w:pPr>
        <w:pStyle w:val="FootnoteText"/>
        <w:rPr>
          <w:lang w:val="en-US"/>
        </w:rPr>
      </w:pPr>
      <w:r>
        <w:rPr>
          <w:rStyle w:val="FootnoteReference"/>
        </w:rPr>
        <w:footnoteRef/>
      </w:r>
      <w:r>
        <w:t xml:space="preserve"> </w:t>
      </w:r>
      <w:r w:rsidRPr="00F3376E">
        <w:t xml:space="preserve">The specifications were </w:t>
      </w:r>
      <w:r>
        <w:t xml:space="preserve">subsequently </w:t>
      </w:r>
      <w:r w:rsidRPr="00F3376E">
        <w:t xml:space="preserve">tightened </w:t>
      </w:r>
      <w:r>
        <w:t>by the sponsor.</w:t>
      </w:r>
    </w:p>
  </w:footnote>
  <w:footnote w:id="11">
    <w:p w14:paraId="4A146616" w14:textId="77777777" w:rsidR="00493AFB" w:rsidRPr="00C51DCA" w:rsidRDefault="00493AFB">
      <w:pPr>
        <w:pStyle w:val="FootnoteText"/>
        <w:rPr>
          <w:lang w:val="en-US"/>
        </w:rPr>
      </w:pPr>
      <w:r>
        <w:rPr>
          <w:rStyle w:val="FootnoteReference"/>
        </w:rPr>
        <w:footnoteRef/>
      </w:r>
      <w:r>
        <w:t xml:space="preserve"> Also known as</w:t>
      </w:r>
      <w:r w:rsidRPr="00C51DCA">
        <w:t xml:space="preserve"> NOD </w:t>
      </w:r>
      <w:proofErr w:type="gramStart"/>
      <w:r w:rsidRPr="00C51DCA">
        <w:t>scid</w:t>
      </w:r>
      <w:proofErr w:type="gramEnd"/>
      <w:r w:rsidRPr="00C51DCA">
        <w:t>, NOD SCID. Mice homozygous for the severe combined immune deficiency spontaneous mutation Prkdcscid, commonly refe</w:t>
      </w:r>
      <w:r>
        <w:t>rred to as scid, are characteris</w:t>
      </w:r>
      <w:r w:rsidRPr="00C51DCA">
        <w:t>ed by an absence of functional T cells and B cells, lymphopenia, hypogammaglobulin</w:t>
      </w:r>
      <w:r>
        <w:t>a</w:t>
      </w:r>
      <w:r w:rsidRPr="00C51DCA">
        <w:t>emia, and a normal h</w:t>
      </w:r>
      <w:r>
        <w:t>a</w:t>
      </w:r>
      <w:r w:rsidRPr="00C51DCA">
        <w:t>ematopoietic microenvironment.</w:t>
      </w:r>
    </w:p>
  </w:footnote>
  <w:footnote w:id="12">
    <w:p w14:paraId="0B9D2B25" w14:textId="77777777" w:rsidR="00493AFB" w:rsidRPr="006C11F8" w:rsidRDefault="00493AFB" w:rsidP="006C11F8">
      <w:pPr>
        <w:spacing w:before="0" w:after="0" w:line="240" w:lineRule="auto"/>
        <w:ind w:left="142" w:hanging="142"/>
        <w:rPr>
          <w:sz w:val="18"/>
          <w:szCs w:val="18"/>
        </w:rPr>
      </w:pPr>
      <w:r w:rsidRPr="006C11F8">
        <w:rPr>
          <w:rStyle w:val="FootnoteReference"/>
          <w:sz w:val="18"/>
          <w:szCs w:val="18"/>
        </w:rPr>
        <w:footnoteRef/>
      </w:r>
      <w:r w:rsidRPr="006C11F8">
        <w:rPr>
          <w:sz w:val="18"/>
          <w:szCs w:val="18"/>
        </w:rPr>
        <w:t xml:space="preserve"> </w:t>
      </w:r>
      <w:proofErr w:type="gramStart"/>
      <w:r w:rsidRPr="006C11F8">
        <w:rPr>
          <w:sz w:val="18"/>
          <w:szCs w:val="18"/>
        </w:rPr>
        <w:t xml:space="preserve">Janssen JAMJL and </w:t>
      </w:r>
      <w:proofErr w:type="spellStart"/>
      <w:r w:rsidRPr="006C11F8">
        <w:rPr>
          <w:sz w:val="18"/>
          <w:szCs w:val="18"/>
        </w:rPr>
        <w:t>Varewijck</w:t>
      </w:r>
      <w:proofErr w:type="spellEnd"/>
      <w:r w:rsidRPr="006C11F8">
        <w:rPr>
          <w:sz w:val="18"/>
          <w:szCs w:val="18"/>
        </w:rPr>
        <w:t xml:space="preserve"> AJ (2014).</w:t>
      </w:r>
      <w:proofErr w:type="gramEnd"/>
      <w:r w:rsidRPr="006C11F8">
        <w:rPr>
          <w:sz w:val="18"/>
          <w:szCs w:val="18"/>
        </w:rPr>
        <w:t xml:space="preserve"> IGF-IR Targeted Therapy: Past, Present and Future. Front </w:t>
      </w:r>
      <w:proofErr w:type="spellStart"/>
      <w:r w:rsidRPr="006C11F8">
        <w:rPr>
          <w:sz w:val="18"/>
          <w:szCs w:val="18"/>
        </w:rPr>
        <w:t>Endocrinol</w:t>
      </w:r>
      <w:proofErr w:type="spellEnd"/>
      <w:r w:rsidRPr="006C11F8">
        <w:rPr>
          <w:sz w:val="18"/>
          <w:szCs w:val="18"/>
        </w:rPr>
        <w:t xml:space="preserve"> (Lausanne). </w:t>
      </w:r>
      <w:proofErr w:type="gramStart"/>
      <w:r w:rsidRPr="006C11F8">
        <w:rPr>
          <w:sz w:val="18"/>
          <w:szCs w:val="18"/>
        </w:rPr>
        <w:t>2014; 5: 224.</w:t>
      </w:r>
      <w:proofErr w:type="gramEnd"/>
    </w:p>
    <w:p w14:paraId="278CD30E" w14:textId="77777777" w:rsidR="00493AFB" w:rsidRPr="006C11F8" w:rsidRDefault="00493AFB" w:rsidP="006C11F8">
      <w:pPr>
        <w:spacing w:before="0" w:after="0" w:line="240" w:lineRule="auto"/>
        <w:ind w:left="142" w:hanging="142"/>
        <w:rPr>
          <w:sz w:val="18"/>
          <w:szCs w:val="18"/>
        </w:rPr>
      </w:pPr>
      <w:proofErr w:type="gramStart"/>
      <w:r w:rsidRPr="006C11F8">
        <w:rPr>
          <w:sz w:val="18"/>
          <w:szCs w:val="18"/>
        </w:rPr>
        <w:t>Chen HX and Sharon E. (2013).</w:t>
      </w:r>
      <w:proofErr w:type="gramEnd"/>
      <w:r w:rsidRPr="006C11F8">
        <w:rPr>
          <w:sz w:val="18"/>
          <w:szCs w:val="18"/>
        </w:rPr>
        <w:t xml:space="preserve"> </w:t>
      </w:r>
      <w:proofErr w:type="gramStart"/>
      <w:r w:rsidRPr="006C11F8">
        <w:rPr>
          <w:sz w:val="18"/>
          <w:szCs w:val="18"/>
        </w:rPr>
        <w:t>IGF-1R as an anti-cancer target—trials and tribulations.</w:t>
      </w:r>
      <w:proofErr w:type="gramEnd"/>
      <w:r w:rsidRPr="006C11F8">
        <w:rPr>
          <w:sz w:val="18"/>
          <w:szCs w:val="18"/>
        </w:rPr>
        <w:t xml:space="preserve"> Chin J Cancer. 2013 May; 32(5): 242–252.</w:t>
      </w:r>
    </w:p>
  </w:footnote>
  <w:footnote w:id="13">
    <w:p w14:paraId="608984CB" w14:textId="77777777" w:rsidR="00493AFB" w:rsidRPr="00FC3A8B" w:rsidRDefault="00493AFB" w:rsidP="006C11F8">
      <w:pPr>
        <w:pStyle w:val="FootnoteText"/>
        <w:ind w:left="142" w:hanging="142"/>
        <w:rPr>
          <w:lang w:val="en-US"/>
        </w:rPr>
      </w:pPr>
      <w:r w:rsidRPr="006C11F8">
        <w:rPr>
          <w:rStyle w:val="FootnoteReference"/>
        </w:rPr>
        <w:footnoteRef/>
      </w:r>
      <w:r w:rsidRPr="006C11F8">
        <w:t>In cardiology, the QT interval is a measure of the time between the start of the Q wave and the end of the T wave in the heart's electrical cycle. The QT interval represents electrical depolarization and repolarization of the ventricles. An abnormally prolonged QT is associated with an increased risk of ventricular arrhythmias, especially Torsades de Pointes.</w:t>
      </w:r>
    </w:p>
  </w:footnote>
  <w:footnote w:id="14">
    <w:p w14:paraId="16B84F3E" w14:textId="77777777" w:rsidR="00493AFB" w:rsidRPr="009926DD" w:rsidRDefault="00493AFB" w:rsidP="007D0F61">
      <w:pPr>
        <w:pStyle w:val="FootnoteText"/>
        <w:ind w:left="142" w:hanging="142"/>
        <w:rPr>
          <w:lang w:val="en-US"/>
        </w:rPr>
      </w:pPr>
      <w:r>
        <w:rPr>
          <w:rStyle w:val="FootnoteReference"/>
        </w:rPr>
        <w:footnoteRef/>
      </w:r>
      <w:r>
        <w:t xml:space="preserve"> </w:t>
      </w:r>
      <w:r w:rsidRPr="009926DD">
        <w:t>ICH S2(R1): Guidance on genotoxicity testing and data interpretation for pharmaceuticals intended for human use</w:t>
      </w:r>
    </w:p>
  </w:footnote>
  <w:footnote w:id="15">
    <w:p w14:paraId="37C4BBCA" w14:textId="77777777" w:rsidR="00493AFB" w:rsidRPr="009926DD" w:rsidRDefault="00493AFB" w:rsidP="007D0F61">
      <w:pPr>
        <w:pStyle w:val="FootnoteText"/>
        <w:ind w:left="142" w:hanging="142"/>
        <w:rPr>
          <w:lang w:val="en-US"/>
        </w:rPr>
      </w:pPr>
      <w:r>
        <w:rPr>
          <w:rStyle w:val="FootnoteReference"/>
        </w:rPr>
        <w:footnoteRef/>
      </w:r>
      <w:r>
        <w:t xml:space="preserve"> </w:t>
      </w:r>
      <w:r w:rsidRPr="009926DD">
        <w:t>ICH guideline S1(R1): Guidance on genotoxicity testing and data interpretation for pharmaceuticals intended for human u</w:t>
      </w:r>
    </w:p>
  </w:footnote>
  <w:footnote w:id="16">
    <w:p w14:paraId="11650C0D" w14:textId="77777777" w:rsidR="00493AFB" w:rsidRPr="009926DD" w:rsidRDefault="00493AFB" w:rsidP="007D0F61">
      <w:pPr>
        <w:pStyle w:val="FootnoteText"/>
        <w:ind w:left="142" w:hanging="142"/>
        <w:rPr>
          <w:lang w:val="en-US"/>
        </w:rPr>
      </w:pPr>
      <w:r>
        <w:rPr>
          <w:rStyle w:val="FootnoteReference"/>
        </w:rPr>
        <w:footnoteRef/>
      </w:r>
      <w:r>
        <w:t xml:space="preserve"> </w:t>
      </w:r>
      <w:r w:rsidRPr="009926DD">
        <w:t>ICH S9: Nonclinical Evaluation for Anticancer Pharmaceuticals</w:t>
      </w:r>
    </w:p>
  </w:footnote>
  <w:footnote w:id="17">
    <w:p w14:paraId="6C8C1620" w14:textId="77777777" w:rsidR="00493AFB" w:rsidRDefault="00493AFB" w:rsidP="007D0F61">
      <w:pPr>
        <w:spacing w:before="0" w:after="0" w:line="240" w:lineRule="auto"/>
        <w:ind w:left="142" w:hanging="142"/>
        <w:rPr>
          <w:rFonts w:eastAsia="SimSun"/>
          <w:sz w:val="18"/>
          <w:szCs w:val="18"/>
          <w:lang w:eastAsia="zh-CN"/>
        </w:rPr>
      </w:pPr>
      <w:r>
        <w:rPr>
          <w:rStyle w:val="FootnoteReference"/>
        </w:rPr>
        <w:footnoteRef/>
      </w:r>
      <w:r>
        <w:t xml:space="preserve"> </w:t>
      </w:r>
      <w:r w:rsidRPr="00A16632">
        <w:rPr>
          <w:rFonts w:eastAsia="SimSun"/>
          <w:sz w:val="18"/>
          <w:szCs w:val="18"/>
          <w:lang w:eastAsia="zh-CN"/>
        </w:rPr>
        <w:t xml:space="preserve">Baker J et al. (1996) Effects of an Igf1 gene null mutation on mouse reproduction. </w:t>
      </w:r>
      <w:hyperlink r:id="rId1" w:tooltip="Molecular endocrinology (Baltimore, Md.)." w:history="1">
        <w:proofErr w:type="spellStart"/>
        <w:proofErr w:type="gramStart"/>
        <w:r w:rsidRPr="00A16632">
          <w:rPr>
            <w:rFonts w:eastAsia="SimSun"/>
            <w:sz w:val="18"/>
            <w:szCs w:val="18"/>
            <w:lang w:eastAsia="zh-CN"/>
          </w:rPr>
          <w:t>Mol</w:t>
        </w:r>
        <w:proofErr w:type="spellEnd"/>
        <w:r w:rsidRPr="00A16632">
          <w:rPr>
            <w:rFonts w:eastAsia="SimSun"/>
            <w:sz w:val="18"/>
            <w:szCs w:val="18"/>
            <w:lang w:eastAsia="zh-CN"/>
          </w:rPr>
          <w:t xml:space="preserve"> </w:t>
        </w:r>
        <w:proofErr w:type="spellStart"/>
        <w:r w:rsidRPr="00A16632">
          <w:rPr>
            <w:rFonts w:eastAsia="SimSun"/>
            <w:sz w:val="18"/>
            <w:szCs w:val="18"/>
            <w:lang w:eastAsia="zh-CN"/>
          </w:rPr>
          <w:t>Endocrinol</w:t>
        </w:r>
        <w:proofErr w:type="spellEnd"/>
        <w:r w:rsidRPr="00A16632">
          <w:rPr>
            <w:rFonts w:eastAsia="SimSun"/>
            <w:sz w:val="18"/>
            <w:szCs w:val="18"/>
            <w:lang w:eastAsia="zh-CN"/>
          </w:rPr>
          <w:t>.</w:t>
        </w:r>
        <w:proofErr w:type="gramEnd"/>
      </w:hyperlink>
      <w:r w:rsidRPr="00A16632">
        <w:rPr>
          <w:rFonts w:eastAsia="SimSun"/>
          <w:sz w:val="18"/>
          <w:szCs w:val="18"/>
          <w:lang w:eastAsia="zh-CN"/>
        </w:rPr>
        <w:t>  10:903-918.</w:t>
      </w:r>
    </w:p>
    <w:p w14:paraId="5539CDCC" w14:textId="77777777" w:rsidR="00493AFB" w:rsidRPr="0082682D" w:rsidRDefault="00493AFB" w:rsidP="00F94120">
      <w:pPr>
        <w:spacing w:before="0" w:after="0" w:line="240" w:lineRule="auto"/>
        <w:ind w:left="142"/>
        <w:rPr>
          <w:rFonts w:eastAsia="SimSun"/>
          <w:sz w:val="18"/>
          <w:szCs w:val="18"/>
          <w:lang w:eastAsia="zh-CN"/>
        </w:rPr>
      </w:pPr>
      <w:r w:rsidRPr="00A16632">
        <w:rPr>
          <w:rFonts w:eastAsia="SimSun"/>
          <w:sz w:val="18"/>
          <w:szCs w:val="18"/>
          <w:lang w:eastAsia="zh-CN"/>
        </w:rPr>
        <w:t xml:space="preserve">Liu ZZ et al. (1997) Developmental regulation and the role of insulin and insulin receptor in </w:t>
      </w:r>
      <w:proofErr w:type="spellStart"/>
      <w:r w:rsidRPr="00A16632">
        <w:rPr>
          <w:rFonts w:eastAsia="SimSun"/>
          <w:sz w:val="18"/>
          <w:szCs w:val="18"/>
          <w:lang w:eastAsia="zh-CN"/>
        </w:rPr>
        <w:t>metanephrogenesis</w:t>
      </w:r>
      <w:proofErr w:type="spellEnd"/>
      <w:r w:rsidRPr="00A16632">
        <w:rPr>
          <w:rFonts w:eastAsia="SimSun"/>
          <w:sz w:val="18"/>
          <w:szCs w:val="18"/>
          <w:lang w:eastAsia="zh-CN"/>
        </w:rPr>
        <w:t xml:space="preserve">. </w:t>
      </w:r>
      <w:r w:rsidRPr="00A16632">
        <w:rPr>
          <w:rFonts w:eastAsia="SimSun"/>
          <w:i/>
          <w:sz w:val="18"/>
          <w:szCs w:val="18"/>
          <w:lang w:eastAsia="zh-CN"/>
        </w:rPr>
        <w:t xml:space="preserve">Proc. Natl. Acad. Sci. USA. </w:t>
      </w:r>
      <w:r w:rsidRPr="00A16632">
        <w:rPr>
          <w:rFonts w:eastAsia="SimSun"/>
          <w:sz w:val="18"/>
          <w:szCs w:val="18"/>
          <w:lang w:eastAsia="zh-CN"/>
        </w:rPr>
        <w:t xml:space="preserve">94: 6758-6763. </w:t>
      </w:r>
    </w:p>
  </w:footnote>
  <w:footnote w:id="18">
    <w:p w14:paraId="2598F4D6" w14:textId="77777777" w:rsidR="00493AFB" w:rsidRPr="00A16632" w:rsidRDefault="00493AFB" w:rsidP="0082682D">
      <w:pPr>
        <w:spacing w:after="0"/>
        <w:ind w:left="142" w:hanging="142"/>
        <w:rPr>
          <w:rFonts w:eastAsia="SimSun"/>
          <w:sz w:val="18"/>
          <w:szCs w:val="18"/>
          <w:lang w:eastAsia="zh-CN"/>
        </w:rPr>
      </w:pPr>
      <w:r>
        <w:rPr>
          <w:rStyle w:val="FootnoteReference"/>
        </w:rPr>
        <w:footnoteRef/>
      </w:r>
      <w:proofErr w:type="gramStart"/>
      <w:r w:rsidRPr="00A16632">
        <w:rPr>
          <w:rFonts w:eastAsia="SimSun"/>
          <w:sz w:val="18"/>
          <w:szCs w:val="18"/>
          <w:lang w:eastAsia="zh-CN"/>
        </w:rPr>
        <w:t xml:space="preserve">Liu JL et al. (2000) Conditional knockout of mouse insulin-like growth factor-1 gene using the </w:t>
      </w:r>
      <w:proofErr w:type="spellStart"/>
      <w:r w:rsidRPr="00A16632">
        <w:rPr>
          <w:rFonts w:eastAsia="SimSun"/>
          <w:sz w:val="18"/>
          <w:szCs w:val="18"/>
          <w:lang w:eastAsia="zh-CN"/>
        </w:rPr>
        <w:t>Cre</w:t>
      </w:r>
      <w:proofErr w:type="spellEnd"/>
      <w:r w:rsidRPr="00A16632">
        <w:rPr>
          <w:rFonts w:eastAsia="SimSun"/>
          <w:sz w:val="18"/>
          <w:szCs w:val="18"/>
          <w:lang w:eastAsia="zh-CN"/>
        </w:rPr>
        <w:t>/</w:t>
      </w:r>
      <w:proofErr w:type="spellStart"/>
      <w:r w:rsidRPr="00A16632">
        <w:rPr>
          <w:rFonts w:eastAsia="SimSun"/>
          <w:sz w:val="18"/>
          <w:szCs w:val="18"/>
          <w:lang w:eastAsia="zh-CN"/>
        </w:rPr>
        <w:t>loxP</w:t>
      </w:r>
      <w:proofErr w:type="spellEnd"/>
      <w:r w:rsidRPr="00A16632">
        <w:rPr>
          <w:rFonts w:eastAsia="SimSun"/>
          <w:sz w:val="18"/>
          <w:szCs w:val="18"/>
          <w:lang w:eastAsia="zh-CN"/>
        </w:rPr>
        <w:t xml:space="preserve"> system.</w:t>
      </w:r>
      <w:proofErr w:type="gramEnd"/>
      <w:r w:rsidRPr="00A16632">
        <w:rPr>
          <w:rFonts w:eastAsia="SimSun"/>
          <w:sz w:val="18"/>
          <w:szCs w:val="18"/>
          <w:lang w:eastAsia="zh-CN"/>
        </w:rPr>
        <w:t xml:space="preserve"> </w:t>
      </w:r>
      <w:hyperlink r:id="rId2" w:tooltip="Proceedings of the Society for Experimental Biology and Medicine. Society for Experimental Biology and Medicine (New York, N.Y.)." w:history="1">
        <w:r w:rsidRPr="00A16632">
          <w:rPr>
            <w:rFonts w:eastAsia="SimSun"/>
            <w:sz w:val="18"/>
            <w:szCs w:val="18"/>
            <w:lang w:eastAsia="zh-CN"/>
          </w:rPr>
          <w:t xml:space="preserve">Proc </w:t>
        </w:r>
        <w:proofErr w:type="spellStart"/>
        <w:r w:rsidRPr="00A16632">
          <w:rPr>
            <w:rFonts w:eastAsia="SimSun"/>
            <w:sz w:val="18"/>
            <w:szCs w:val="18"/>
            <w:lang w:eastAsia="zh-CN"/>
          </w:rPr>
          <w:t>Soc</w:t>
        </w:r>
        <w:proofErr w:type="spellEnd"/>
        <w:r w:rsidRPr="00A16632">
          <w:rPr>
            <w:rFonts w:eastAsia="SimSun"/>
            <w:sz w:val="18"/>
            <w:szCs w:val="18"/>
            <w:lang w:eastAsia="zh-CN"/>
          </w:rPr>
          <w:t xml:space="preserve"> </w:t>
        </w:r>
        <w:proofErr w:type="spellStart"/>
        <w:r w:rsidRPr="00A16632">
          <w:rPr>
            <w:rFonts w:eastAsia="SimSun"/>
            <w:sz w:val="18"/>
            <w:szCs w:val="18"/>
            <w:lang w:eastAsia="zh-CN"/>
          </w:rPr>
          <w:t>Exp</w:t>
        </w:r>
        <w:proofErr w:type="spellEnd"/>
        <w:r w:rsidRPr="00A16632">
          <w:rPr>
            <w:rFonts w:eastAsia="SimSun"/>
            <w:sz w:val="18"/>
            <w:szCs w:val="18"/>
            <w:lang w:eastAsia="zh-CN"/>
          </w:rPr>
          <w:t xml:space="preserve"> </w:t>
        </w:r>
        <w:proofErr w:type="spellStart"/>
        <w:r w:rsidRPr="00A16632">
          <w:rPr>
            <w:rFonts w:eastAsia="SimSun"/>
            <w:sz w:val="18"/>
            <w:szCs w:val="18"/>
            <w:lang w:eastAsia="zh-CN"/>
          </w:rPr>
          <w:t>Biol</w:t>
        </w:r>
        <w:proofErr w:type="spellEnd"/>
        <w:r w:rsidRPr="00A16632">
          <w:rPr>
            <w:rFonts w:eastAsia="SimSun"/>
            <w:sz w:val="18"/>
            <w:szCs w:val="18"/>
            <w:lang w:eastAsia="zh-CN"/>
          </w:rPr>
          <w:t xml:space="preserve"> Med.</w:t>
        </w:r>
      </w:hyperlink>
      <w:r w:rsidRPr="00A16632">
        <w:rPr>
          <w:rFonts w:eastAsia="SimSun"/>
          <w:sz w:val="18"/>
          <w:szCs w:val="18"/>
          <w:lang w:eastAsia="zh-CN"/>
        </w:rPr>
        <w:t>  223:344-51.</w:t>
      </w:r>
    </w:p>
    <w:p w14:paraId="77F57487" w14:textId="77777777" w:rsidR="00493AFB" w:rsidRDefault="00493AFB" w:rsidP="0082682D">
      <w:pPr>
        <w:pStyle w:val="FootnoteText"/>
        <w:ind w:left="142" w:hanging="142"/>
        <w:rPr>
          <w:rFonts w:eastAsia="SimSun"/>
          <w:szCs w:val="18"/>
          <w:lang w:eastAsia="zh-CN"/>
        </w:rPr>
      </w:pPr>
      <w:r w:rsidRPr="00A16632">
        <w:rPr>
          <w:rFonts w:eastAsia="SimSun"/>
          <w:szCs w:val="18"/>
          <w:lang w:eastAsia="zh-CN"/>
        </w:rPr>
        <w:t xml:space="preserve">Liu ZZ et al. (1997) Developmental regulation and the role of insulin and insulin receptor in </w:t>
      </w:r>
      <w:proofErr w:type="spellStart"/>
      <w:r w:rsidRPr="00A16632">
        <w:rPr>
          <w:rFonts w:eastAsia="SimSun"/>
          <w:szCs w:val="18"/>
          <w:lang w:eastAsia="zh-CN"/>
        </w:rPr>
        <w:t>metanephrogenesis</w:t>
      </w:r>
      <w:proofErr w:type="spellEnd"/>
      <w:r w:rsidRPr="00A16632">
        <w:rPr>
          <w:rFonts w:eastAsia="SimSun"/>
          <w:szCs w:val="18"/>
          <w:lang w:eastAsia="zh-CN"/>
        </w:rPr>
        <w:t xml:space="preserve">. </w:t>
      </w:r>
      <w:r w:rsidRPr="00A16632">
        <w:rPr>
          <w:rFonts w:eastAsia="SimSun"/>
          <w:i/>
          <w:szCs w:val="18"/>
          <w:lang w:eastAsia="zh-CN"/>
        </w:rPr>
        <w:t xml:space="preserve">Proc. Natl. Acad. Sci. USA. </w:t>
      </w:r>
      <w:r w:rsidRPr="00A16632">
        <w:rPr>
          <w:rFonts w:eastAsia="SimSun"/>
          <w:szCs w:val="18"/>
          <w:lang w:eastAsia="zh-CN"/>
        </w:rPr>
        <w:t>94: 6758-6763.</w:t>
      </w:r>
    </w:p>
    <w:p w14:paraId="1E84677D" w14:textId="77777777" w:rsidR="00493AFB" w:rsidRDefault="00493AFB" w:rsidP="0082682D">
      <w:pPr>
        <w:pStyle w:val="FootnoteText"/>
        <w:ind w:left="142" w:hanging="142"/>
        <w:rPr>
          <w:lang w:val="en-US"/>
        </w:rPr>
      </w:pPr>
      <w:proofErr w:type="spellStart"/>
      <w:proofErr w:type="gramStart"/>
      <w:r w:rsidRPr="0082682D">
        <w:rPr>
          <w:lang w:val="en-US"/>
        </w:rPr>
        <w:t>Rother</w:t>
      </w:r>
      <w:proofErr w:type="spellEnd"/>
      <w:r w:rsidRPr="0082682D">
        <w:rPr>
          <w:lang w:val="en-US"/>
        </w:rPr>
        <w:t xml:space="preserve"> KI &amp; </w:t>
      </w:r>
      <w:proofErr w:type="spellStart"/>
      <w:r w:rsidRPr="0082682D">
        <w:rPr>
          <w:lang w:val="en-US"/>
        </w:rPr>
        <w:t>Accili</w:t>
      </w:r>
      <w:proofErr w:type="spellEnd"/>
      <w:r w:rsidRPr="0082682D">
        <w:rPr>
          <w:lang w:val="en-US"/>
        </w:rPr>
        <w:t xml:space="preserve"> D (2000) Role of insulin receptors and IGF receptors in growth and development.</w:t>
      </w:r>
      <w:proofErr w:type="gramEnd"/>
      <w:r w:rsidRPr="0082682D">
        <w:rPr>
          <w:lang w:val="en-US"/>
        </w:rPr>
        <w:t xml:space="preserve"> </w:t>
      </w:r>
      <w:proofErr w:type="gramStart"/>
      <w:r w:rsidRPr="0082682D">
        <w:rPr>
          <w:lang w:val="en-US"/>
        </w:rPr>
        <w:t>Pediatr.</w:t>
      </w:r>
      <w:proofErr w:type="gramEnd"/>
      <w:r w:rsidRPr="0082682D">
        <w:rPr>
          <w:lang w:val="en-US"/>
        </w:rPr>
        <w:t xml:space="preserve"> </w:t>
      </w:r>
      <w:proofErr w:type="gramStart"/>
      <w:r w:rsidRPr="0082682D">
        <w:rPr>
          <w:lang w:val="en-US"/>
        </w:rPr>
        <w:t>Nephrol.</w:t>
      </w:r>
      <w:proofErr w:type="gramEnd"/>
      <w:r w:rsidRPr="0082682D">
        <w:rPr>
          <w:lang w:val="en-US"/>
        </w:rPr>
        <w:t xml:space="preserve"> 14: 558-561</w:t>
      </w:r>
    </w:p>
    <w:p w14:paraId="5882F768" w14:textId="77777777" w:rsidR="00493AFB" w:rsidRPr="0082682D" w:rsidRDefault="00493AFB" w:rsidP="0082682D">
      <w:pPr>
        <w:pStyle w:val="FootnoteText"/>
        <w:ind w:left="142" w:hanging="142"/>
        <w:rPr>
          <w:lang w:val="en-US"/>
        </w:rPr>
      </w:pPr>
      <w:proofErr w:type="gramStart"/>
      <w:r w:rsidRPr="0082682D">
        <w:rPr>
          <w:lang w:val="en-US"/>
        </w:rPr>
        <w:t xml:space="preserve">Sonnenberg E et al (1991) Transient and locally restricted expression of the ros1i </w:t>
      </w:r>
      <w:proofErr w:type="spellStart"/>
      <w:r w:rsidRPr="0082682D">
        <w:rPr>
          <w:lang w:val="en-US"/>
        </w:rPr>
        <w:t>protooncogene</w:t>
      </w:r>
      <w:proofErr w:type="spellEnd"/>
      <w:r w:rsidRPr="0082682D">
        <w:rPr>
          <w:lang w:val="en-US"/>
        </w:rPr>
        <w:t xml:space="preserve"> during mouse development.</w:t>
      </w:r>
      <w:proofErr w:type="gramEnd"/>
      <w:r w:rsidRPr="0082682D">
        <w:rPr>
          <w:lang w:val="en-US"/>
        </w:rPr>
        <w:t xml:space="preserve"> EMBO J. 10: 3693-3702.</w:t>
      </w:r>
    </w:p>
  </w:footnote>
  <w:footnote w:id="19">
    <w:p w14:paraId="335A382F" w14:textId="77777777" w:rsidR="00493AFB" w:rsidRPr="00BD69F1" w:rsidRDefault="00493AFB" w:rsidP="00BD69F1">
      <w:pPr>
        <w:pStyle w:val="FootnoteText"/>
      </w:pPr>
      <w:r>
        <w:rPr>
          <w:rStyle w:val="FootnoteReference"/>
        </w:rPr>
        <w:footnoteRef/>
      </w:r>
      <w:r>
        <w:t xml:space="preserve"> Category D: Drugs which have </w:t>
      </w:r>
      <w:proofErr w:type="gramStart"/>
      <w:r>
        <w:t>caused,</w:t>
      </w:r>
      <w:proofErr w:type="gramEnd"/>
      <w:r>
        <w:t xml:space="preserve"> are suspected to have caused or may be expected to cause, an increased incidence of human fetal malformations or irreversible damage. These drugs may also have adverse pharmacological effects. Accompanying texts should be consulted for further details.</w:t>
      </w:r>
    </w:p>
  </w:footnote>
  <w:footnote w:id="20">
    <w:p w14:paraId="272A3007" w14:textId="77777777" w:rsidR="00493AFB" w:rsidRPr="00101225" w:rsidRDefault="00493AFB" w:rsidP="007D0F61">
      <w:pPr>
        <w:pStyle w:val="FootnoteText"/>
        <w:ind w:left="142" w:hanging="142"/>
        <w:rPr>
          <w:lang w:val="en-US"/>
        </w:rPr>
      </w:pPr>
      <w:r>
        <w:rPr>
          <w:rStyle w:val="FootnoteReference"/>
        </w:rPr>
        <w:footnoteRef/>
      </w:r>
      <w:r>
        <w:t xml:space="preserve"> </w:t>
      </w:r>
      <w:r w:rsidRPr="00101225">
        <w:t>Australian Cancer Incidence and Mortality Books</w:t>
      </w:r>
    </w:p>
  </w:footnote>
  <w:footnote w:id="21">
    <w:p w14:paraId="188144ED" w14:textId="77777777" w:rsidR="00493AFB" w:rsidRPr="0089512A" w:rsidRDefault="00493AFB" w:rsidP="007D0F61">
      <w:pPr>
        <w:pStyle w:val="FootnoteText"/>
        <w:ind w:left="142" w:hanging="142"/>
        <w:rPr>
          <w:lang w:val="en-US"/>
        </w:rPr>
      </w:pPr>
      <w:r>
        <w:rPr>
          <w:rStyle w:val="FootnoteReference"/>
        </w:rPr>
        <w:footnoteRef/>
      </w:r>
      <w:r>
        <w:t xml:space="preserve"> </w:t>
      </w:r>
      <w:r w:rsidRPr="0089512A">
        <w:t>American Cancer Society 2013</w:t>
      </w:r>
    </w:p>
  </w:footnote>
  <w:footnote w:id="22">
    <w:p w14:paraId="323DFD68" w14:textId="77777777" w:rsidR="00493AFB" w:rsidRDefault="00493AFB" w:rsidP="007D0F61">
      <w:pPr>
        <w:pStyle w:val="FootnoteText"/>
        <w:ind w:left="142" w:hanging="142"/>
      </w:pPr>
      <w:r>
        <w:rPr>
          <w:rStyle w:val="FootnoteReference"/>
        </w:rPr>
        <w:footnoteRef/>
      </w:r>
      <w:r>
        <w:t xml:space="preserve"> </w:t>
      </w:r>
      <w:r w:rsidRPr="0082682D">
        <w:t>NCCN Clinical Practice Guidelines in Oncology: Non-Small Cell Lung Cancer Version .2015</w:t>
      </w:r>
    </w:p>
    <w:p w14:paraId="0F2F594C" w14:textId="77777777" w:rsidR="00493AFB" w:rsidRPr="0082682D" w:rsidRDefault="00493AFB" w:rsidP="007D0F61">
      <w:pPr>
        <w:pStyle w:val="FootnoteText"/>
        <w:ind w:left="142" w:hanging="142"/>
        <w:rPr>
          <w:lang w:val="en-US"/>
        </w:rPr>
      </w:pPr>
      <w:r w:rsidRPr="0082682D">
        <w:t>Vansteenkiste J et al. Early and locally advanced non-small-cell lung cancer (NSCLC): ESMO Clinical Practice Guidelines for diagnosis, treatment and follow-up. Ann Oncol 2013</w:t>
      </w:r>
      <w:proofErr w:type="gramStart"/>
      <w:r w:rsidRPr="0082682D">
        <w:t>;Suppl</w:t>
      </w:r>
      <w:proofErr w:type="gramEnd"/>
      <w:r w:rsidRPr="0082682D">
        <w:t xml:space="preserve"> 6:vi89-98.</w:t>
      </w:r>
    </w:p>
  </w:footnote>
  <w:footnote w:id="23">
    <w:p w14:paraId="26817C46" w14:textId="77777777" w:rsidR="00493AFB" w:rsidRDefault="00493AFB" w:rsidP="007D0F61">
      <w:pPr>
        <w:pStyle w:val="FootnoteText"/>
        <w:ind w:left="142" w:hanging="142"/>
      </w:pPr>
      <w:r>
        <w:rPr>
          <w:rStyle w:val="FootnoteReference"/>
        </w:rPr>
        <w:footnoteRef/>
      </w:r>
      <w:r>
        <w:t xml:space="preserve"> </w:t>
      </w:r>
      <w:r w:rsidRPr="0082682D">
        <w:t xml:space="preserve">Scagliotti GV et al. Phase III study comparing cisplatin plus gemcitabine with cisplatin plus </w:t>
      </w:r>
      <w:proofErr w:type="spellStart"/>
      <w:r w:rsidRPr="0082682D">
        <w:t>pemetrexed</w:t>
      </w:r>
      <w:proofErr w:type="spellEnd"/>
      <w:r w:rsidRPr="0082682D">
        <w:t xml:space="preserve"> in </w:t>
      </w:r>
      <w:proofErr w:type="spellStart"/>
      <w:r w:rsidRPr="0082682D">
        <w:t>chemotherapy-naı̈ve</w:t>
      </w:r>
      <w:proofErr w:type="spellEnd"/>
      <w:r w:rsidRPr="0082682D">
        <w:t xml:space="preserve"> patients with advanced-stage non-small-cell lung cancer. J Clin Oncol 2008</w:t>
      </w:r>
      <w:proofErr w:type="gramStart"/>
      <w:r w:rsidRPr="0082682D">
        <w:t>;26:3543</w:t>
      </w:r>
      <w:proofErr w:type="gramEnd"/>
      <w:r w:rsidRPr="0082682D">
        <w:t>-51.</w:t>
      </w:r>
    </w:p>
    <w:p w14:paraId="50893DBB" w14:textId="77777777" w:rsidR="00493AFB" w:rsidRDefault="00493AFB" w:rsidP="007D0F61">
      <w:pPr>
        <w:pStyle w:val="FootnoteText"/>
        <w:ind w:left="142" w:hanging="142"/>
        <w:rPr>
          <w:lang w:val="en-US"/>
        </w:rPr>
      </w:pPr>
      <w:r w:rsidRPr="0082682D">
        <w:rPr>
          <w:lang w:val="en-US"/>
        </w:rPr>
        <w:t>Ciuleanu T et al. Maintenance pemetrexed plus best supportive care versus placebo plus best supportive care for non-small-cell lung cancer: a randomized, double-blind, phase 3 study. Lancet 2009: 374:1432-40.</w:t>
      </w:r>
    </w:p>
    <w:p w14:paraId="3C120088" w14:textId="77777777" w:rsidR="00493AFB" w:rsidRDefault="00493AFB" w:rsidP="007D0F61">
      <w:pPr>
        <w:pStyle w:val="FootnoteText"/>
        <w:ind w:left="142" w:hanging="142"/>
        <w:rPr>
          <w:lang w:val="en-US"/>
        </w:rPr>
      </w:pPr>
      <w:proofErr w:type="gramStart"/>
      <w:r w:rsidRPr="0082682D">
        <w:rPr>
          <w:lang w:val="en-US"/>
        </w:rPr>
        <w:t>Ettinger DS et al. Non-small cell lung cancer.</w:t>
      </w:r>
      <w:proofErr w:type="gramEnd"/>
      <w:r w:rsidRPr="0082682D">
        <w:rPr>
          <w:lang w:val="en-US"/>
        </w:rPr>
        <w:t xml:space="preserve"> J Natl </w:t>
      </w:r>
      <w:proofErr w:type="spellStart"/>
      <w:r w:rsidRPr="0082682D">
        <w:rPr>
          <w:lang w:val="en-US"/>
        </w:rPr>
        <w:t>Compr</w:t>
      </w:r>
      <w:proofErr w:type="spellEnd"/>
      <w:r w:rsidRPr="0082682D">
        <w:rPr>
          <w:lang w:val="en-US"/>
        </w:rPr>
        <w:t xml:space="preserve"> </w:t>
      </w:r>
      <w:proofErr w:type="spellStart"/>
      <w:r w:rsidRPr="0082682D">
        <w:rPr>
          <w:lang w:val="en-US"/>
        </w:rPr>
        <w:t>Canc</w:t>
      </w:r>
      <w:proofErr w:type="spellEnd"/>
      <w:r w:rsidRPr="0082682D">
        <w:rPr>
          <w:lang w:val="en-US"/>
        </w:rPr>
        <w:t xml:space="preserve"> </w:t>
      </w:r>
      <w:proofErr w:type="spellStart"/>
      <w:r w:rsidRPr="0082682D">
        <w:rPr>
          <w:lang w:val="en-US"/>
        </w:rPr>
        <w:t>Netw</w:t>
      </w:r>
      <w:proofErr w:type="spellEnd"/>
      <w:r w:rsidRPr="0082682D">
        <w:rPr>
          <w:lang w:val="en-US"/>
        </w:rPr>
        <w:t xml:space="preserve"> 2010</w:t>
      </w:r>
      <w:proofErr w:type="gramStart"/>
      <w:r w:rsidRPr="0082682D">
        <w:rPr>
          <w:lang w:val="en-US"/>
        </w:rPr>
        <w:t>;8:740</w:t>
      </w:r>
      <w:proofErr w:type="gramEnd"/>
      <w:r w:rsidRPr="0082682D">
        <w:rPr>
          <w:lang w:val="en-US"/>
        </w:rPr>
        <w:t>-801.</w:t>
      </w:r>
    </w:p>
    <w:p w14:paraId="19AB33D4" w14:textId="77777777" w:rsidR="00493AFB" w:rsidRPr="0082682D" w:rsidRDefault="00493AFB" w:rsidP="007D0F61">
      <w:pPr>
        <w:pStyle w:val="FootnoteText"/>
        <w:ind w:left="142" w:hanging="142"/>
        <w:rPr>
          <w:lang w:val="en-US"/>
        </w:rPr>
      </w:pPr>
      <w:r w:rsidRPr="005A7404">
        <w:rPr>
          <w:lang w:val="en-US"/>
        </w:rPr>
        <w:t>Paz-Ares L. Maintenance therapy with pemetrexed plus best supportive care versus placebo plus best supportive care after induction therapy with pemetrexed plus cisplatin for advanced non-squamous non-small-cell lung cancer (PARAMOUNT): a double-blind, phase 3, randomised controlled trial. Lancet Oncol 2012</w:t>
      </w:r>
      <w:proofErr w:type="gramStart"/>
      <w:r w:rsidRPr="005A7404">
        <w:rPr>
          <w:lang w:val="en-US"/>
        </w:rPr>
        <w:t>;13:247</w:t>
      </w:r>
      <w:proofErr w:type="gramEnd"/>
      <w:r w:rsidRPr="005A7404">
        <w:rPr>
          <w:lang w:val="en-US"/>
        </w:rPr>
        <w:t>-55.</w:t>
      </w:r>
    </w:p>
  </w:footnote>
  <w:footnote w:id="24">
    <w:p w14:paraId="57F01E5C" w14:textId="77777777" w:rsidR="00493AFB" w:rsidRDefault="00493AFB" w:rsidP="007D0F61">
      <w:pPr>
        <w:pStyle w:val="FootnoteText"/>
        <w:ind w:left="142" w:hanging="142"/>
      </w:pPr>
      <w:r>
        <w:rPr>
          <w:rStyle w:val="FootnoteReference"/>
        </w:rPr>
        <w:footnoteRef/>
      </w:r>
      <w:r>
        <w:t xml:space="preserve"> </w:t>
      </w:r>
      <w:r w:rsidRPr="005A7404">
        <w:t>Shepherd FA. Prospective randomized trial of docetaxel versus best supportive care in patients with non-small-cell lung cancer previously treated with platinum-based chemotherapy. J Clin Oncol 2000</w:t>
      </w:r>
      <w:proofErr w:type="gramStart"/>
      <w:r w:rsidRPr="005A7404">
        <w:t>;18:2095</w:t>
      </w:r>
      <w:proofErr w:type="gramEnd"/>
      <w:r w:rsidRPr="005A7404">
        <w:t>-103.</w:t>
      </w:r>
    </w:p>
    <w:p w14:paraId="31C9A12A" w14:textId="77777777" w:rsidR="00493AFB" w:rsidRDefault="00493AFB" w:rsidP="007D0F61">
      <w:pPr>
        <w:pStyle w:val="FootnoteText"/>
        <w:ind w:left="142" w:hanging="142"/>
        <w:rPr>
          <w:lang w:val="en-US"/>
        </w:rPr>
      </w:pPr>
      <w:r w:rsidRPr="005A7404">
        <w:rPr>
          <w:lang w:val="en-US"/>
        </w:rPr>
        <w:t xml:space="preserve">Fossella FV. Randomzied phase III trial of docetaxel versus vinorelbine or ifosfamide in patients with advanced non-small-cell lung cancer previously treated with platinum-containing chemotherapy regimens. </w:t>
      </w:r>
      <w:proofErr w:type="gramStart"/>
      <w:r w:rsidRPr="005A7404">
        <w:rPr>
          <w:lang w:val="en-US"/>
        </w:rPr>
        <w:t>The TAX320 Non-Small Cell Lung Cancer Study Group.</w:t>
      </w:r>
      <w:proofErr w:type="gramEnd"/>
      <w:r w:rsidRPr="005A7404">
        <w:rPr>
          <w:lang w:val="en-US"/>
        </w:rPr>
        <w:t xml:space="preserve"> J Clin Oncol 2000</w:t>
      </w:r>
      <w:proofErr w:type="gramStart"/>
      <w:r w:rsidRPr="005A7404">
        <w:rPr>
          <w:lang w:val="en-US"/>
        </w:rPr>
        <w:t>;18:2354</w:t>
      </w:r>
      <w:proofErr w:type="gramEnd"/>
      <w:r w:rsidRPr="005A7404">
        <w:rPr>
          <w:lang w:val="en-US"/>
        </w:rPr>
        <w:t>-62.</w:t>
      </w:r>
    </w:p>
    <w:p w14:paraId="1F3897C2" w14:textId="77777777" w:rsidR="00493AFB" w:rsidRPr="005A7404" w:rsidRDefault="00493AFB" w:rsidP="007D0F61">
      <w:pPr>
        <w:pStyle w:val="FootnoteText"/>
        <w:ind w:left="142" w:hanging="142"/>
        <w:rPr>
          <w:lang w:val="en-US"/>
        </w:rPr>
      </w:pPr>
      <w:r w:rsidRPr="005A7404">
        <w:rPr>
          <w:lang w:val="en-US"/>
        </w:rPr>
        <w:t>Hanna N et al. Randomized phase III trial of pemetrexed versus docetaxel in patients with non-small-cell lung cancer previously treated with chemotherapy. J Clin Oncol 2004</w:t>
      </w:r>
      <w:proofErr w:type="gramStart"/>
      <w:r w:rsidRPr="005A7404">
        <w:rPr>
          <w:lang w:val="en-US"/>
        </w:rPr>
        <w:t>;22:1589</w:t>
      </w:r>
      <w:proofErr w:type="gramEnd"/>
      <w:r w:rsidRPr="005A7404">
        <w:rPr>
          <w:lang w:val="en-US"/>
        </w:rPr>
        <w:t>-97.</w:t>
      </w:r>
    </w:p>
  </w:footnote>
  <w:footnote w:id="25">
    <w:p w14:paraId="5922BC9A" w14:textId="77777777" w:rsidR="00493AFB" w:rsidRPr="005A7404" w:rsidRDefault="00493AFB" w:rsidP="007D0F61">
      <w:pPr>
        <w:pStyle w:val="FootnoteText"/>
        <w:ind w:left="142" w:hanging="142"/>
        <w:rPr>
          <w:lang w:val="en-US"/>
        </w:rPr>
      </w:pPr>
      <w:r>
        <w:rPr>
          <w:rStyle w:val="FootnoteReference"/>
        </w:rPr>
        <w:footnoteRef/>
      </w:r>
      <w:r>
        <w:t xml:space="preserve"> </w:t>
      </w:r>
      <w:r w:rsidRPr="005A7404">
        <w:t xml:space="preserve">Bang YJ. The potential for crizotinib in non-small cell lung cancer: a perspective review. </w:t>
      </w:r>
      <w:proofErr w:type="spellStart"/>
      <w:r w:rsidRPr="005A7404">
        <w:t>Ther</w:t>
      </w:r>
      <w:proofErr w:type="spellEnd"/>
      <w:r w:rsidRPr="005A7404">
        <w:t xml:space="preserve"> </w:t>
      </w:r>
      <w:proofErr w:type="spellStart"/>
      <w:r w:rsidRPr="005A7404">
        <w:t>Adv</w:t>
      </w:r>
      <w:proofErr w:type="spellEnd"/>
      <w:r w:rsidRPr="005A7404">
        <w:t xml:space="preserve"> Med </w:t>
      </w:r>
      <w:proofErr w:type="spellStart"/>
      <w:r w:rsidRPr="005A7404">
        <w:t>Oncol</w:t>
      </w:r>
      <w:proofErr w:type="spellEnd"/>
      <w:r w:rsidRPr="005A7404">
        <w:t xml:space="preserve"> 2011</w:t>
      </w:r>
      <w:proofErr w:type="gramStart"/>
      <w:r w:rsidRPr="005A7404">
        <w:t>;3:279</w:t>
      </w:r>
      <w:proofErr w:type="gramEnd"/>
      <w:r w:rsidRPr="005A7404">
        <w:t>-91.</w:t>
      </w:r>
    </w:p>
  </w:footnote>
  <w:footnote w:id="26">
    <w:p w14:paraId="24AA3298" w14:textId="77777777" w:rsidR="00493AFB" w:rsidRPr="005A7404" w:rsidRDefault="00493AFB" w:rsidP="007D0F61">
      <w:pPr>
        <w:pStyle w:val="FootnoteText"/>
        <w:ind w:left="142" w:hanging="142"/>
      </w:pPr>
      <w:r>
        <w:rPr>
          <w:rStyle w:val="FootnoteReference"/>
        </w:rPr>
        <w:footnoteRef/>
      </w:r>
      <w:r>
        <w:t xml:space="preserve"> </w:t>
      </w:r>
      <w:proofErr w:type="gramStart"/>
      <w:r w:rsidRPr="005A7404">
        <w:t>Ma PC.</w:t>
      </w:r>
      <w:proofErr w:type="gramEnd"/>
      <w:r w:rsidRPr="005A7404">
        <w:t xml:space="preserve"> </w:t>
      </w:r>
      <w:proofErr w:type="gramStart"/>
      <w:r w:rsidRPr="005A7404">
        <w:t>Personalized targeted therapy in advanced non-small cell lung cancer.</w:t>
      </w:r>
      <w:proofErr w:type="gramEnd"/>
      <w:r w:rsidRPr="005A7404">
        <w:t xml:space="preserve"> Cleve Clin J Med 2012</w:t>
      </w:r>
      <w:proofErr w:type="gramStart"/>
      <w:r w:rsidRPr="005A7404">
        <w:t>;79</w:t>
      </w:r>
      <w:proofErr w:type="gramEnd"/>
      <w:r w:rsidRPr="005A7404">
        <w:t xml:space="preserve"> Electronic Suppl 1:eS56-60.</w:t>
      </w:r>
    </w:p>
  </w:footnote>
  <w:footnote w:id="27">
    <w:p w14:paraId="3063B21C" w14:textId="77777777" w:rsidR="00493AFB" w:rsidRPr="005A7404" w:rsidRDefault="00493AFB" w:rsidP="007D0F61">
      <w:pPr>
        <w:pStyle w:val="FootnoteText"/>
        <w:ind w:left="142" w:hanging="142"/>
        <w:rPr>
          <w:lang w:val="en-US"/>
        </w:rPr>
      </w:pPr>
      <w:r>
        <w:rPr>
          <w:rStyle w:val="FootnoteReference"/>
        </w:rPr>
        <w:footnoteRef/>
      </w:r>
      <w:r>
        <w:t xml:space="preserve"> </w:t>
      </w:r>
      <w:proofErr w:type="gramStart"/>
      <w:r w:rsidRPr="005A7404">
        <w:t>Yang P et al. Worse disease-free survival in never-smokers with ALK+ lung adenocarcinoma.</w:t>
      </w:r>
      <w:proofErr w:type="gramEnd"/>
      <w:r w:rsidRPr="005A7404">
        <w:t xml:space="preserve"> J Thorac Oncol 2012</w:t>
      </w:r>
      <w:proofErr w:type="gramStart"/>
      <w:r w:rsidRPr="005A7404">
        <w:t>;7:90</w:t>
      </w:r>
      <w:proofErr w:type="gramEnd"/>
      <w:r w:rsidRPr="005A7404">
        <w:t>-7.</w:t>
      </w:r>
    </w:p>
  </w:footnote>
  <w:footnote w:id="28">
    <w:p w14:paraId="7BB49B2F" w14:textId="77777777" w:rsidR="00493AFB" w:rsidRPr="00207130" w:rsidRDefault="00493AFB" w:rsidP="007D0F61">
      <w:pPr>
        <w:pStyle w:val="FootnoteText"/>
        <w:ind w:left="142" w:hanging="142"/>
        <w:rPr>
          <w:lang w:val="en-US"/>
        </w:rPr>
      </w:pPr>
      <w:r>
        <w:rPr>
          <w:rStyle w:val="FootnoteReference"/>
        </w:rPr>
        <w:footnoteRef/>
      </w:r>
      <w:r>
        <w:t xml:space="preserve"> </w:t>
      </w:r>
      <w:r w:rsidRPr="00207130">
        <w:t>Gettinger S. A decade of advances in treatment for advanced non-small cell lung cancer. Clin Chest Med 2011</w:t>
      </w:r>
      <w:proofErr w:type="gramStart"/>
      <w:r w:rsidRPr="00207130">
        <w:t>;32:839</w:t>
      </w:r>
      <w:proofErr w:type="gramEnd"/>
      <w:r w:rsidRPr="00207130">
        <w:t>-51.</w:t>
      </w:r>
    </w:p>
  </w:footnote>
  <w:footnote w:id="29">
    <w:p w14:paraId="5AB2510F" w14:textId="77777777" w:rsidR="00493AFB" w:rsidRPr="00207130" w:rsidRDefault="00493AFB" w:rsidP="007D0F61">
      <w:pPr>
        <w:pStyle w:val="FootnoteText"/>
        <w:tabs>
          <w:tab w:val="left" w:pos="142"/>
        </w:tabs>
        <w:ind w:left="142" w:hanging="142"/>
        <w:rPr>
          <w:lang w:val="en-US"/>
        </w:rPr>
      </w:pPr>
      <w:r>
        <w:rPr>
          <w:rStyle w:val="FootnoteReference"/>
        </w:rPr>
        <w:footnoteRef/>
      </w:r>
      <w:r>
        <w:t xml:space="preserve"> </w:t>
      </w:r>
      <w:proofErr w:type="gramStart"/>
      <w:r w:rsidRPr="00207130">
        <w:t>Soda M et al. Identification of the transforming EML4-ALK fusion gene in non-small-cell lung cancer.</w:t>
      </w:r>
      <w:proofErr w:type="gramEnd"/>
      <w:r w:rsidRPr="00207130">
        <w:t xml:space="preserve"> Nature 2007</w:t>
      </w:r>
      <w:proofErr w:type="gramStart"/>
      <w:r w:rsidRPr="00207130">
        <w:t>;448:561</w:t>
      </w:r>
      <w:proofErr w:type="gramEnd"/>
      <w:r w:rsidRPr="00207130">
        <w:t>-6.</w:t>
      </w:r>
    </w:p>
  </w:footnote>
  <w:footnote w:id="30">
    <w:p w14:paraId="05DC9760" w14:textId="77777777" w:rsidR="00493AFB" w:rsidRDefault="00493AFB" w:rsidP="007D0F61">
      <w:pPr>
        <w:pStyle w:val="FootnoteText"/>
        <w:tabs>
          <w:tab w:val="left" w:pos="142"/>
        </w:tabs>
        <w:ind w:left="142" w:hanging="142"/>
      </w:pPr>
      <w:r>
        <w:rPr>
          <w:rStyle w:val="FootnoteReference"/>
        </w:rPr>
        <w:footnoteRef/>
      </w:r>
      <w:r>
        <w:t xml:space="preserve"> </w:t>
      </w:r>
      <w:proofErr w:type="gramStart"/>
      <w:r w:rsidRPr="00207130">
        <w:t>Shaw AT et al. Clinical features and outcome of patients with non-small-cell lung cancer who harbor EML4-ALK.</w:t>
      </w:r>
      <w:proofErr w:type="gramEnd"/>
      <w:r w:rsidRPr="00207130">
        <w:t xml:space="preserve"> J Clin Oncol 2009</w:t>
      </w:r>
      <w:proofErr w:type="gramStart"/>
      <w:r w:rsidRPr="00207130">
        <w:t>;27:4247</w:t>
      </w:r>
      <w:proofErr w:type="gramEnd"/>
      <w:r w:rsidRPr="00207130">
        <w:t>-53.</w:t>
      </w:r>
    </w:p>
    <w:p w14:paraId="7AA7F911" w14:textId="77777777" w:rsidR="00493AFB" w:rsidRDefault="00493AFB" w:rsidP="007D0F61">
      <w:pPr>
        <w:pStyle w:val="FootnoteText"/>
        <w:tabs>
          <w:tab w:val="left" w:pos="142"/>
        </w:tabs>
        <w:ind w:left="142" w:hanging="142"/>
        <w:rPr>
          <w:lang w:val="en-US"/>
        </w:rPr>
      </w:pPr>
      <w:proofErr w:type="gramStart"/>
      <w:r w:rsidRPr="00207130">
        <w:rPr>
          <w:lang w:val="en-US"/>
        </w:rPr>
        <w:t>Wong DW et al.</w:t>
      </w:r>
      <w:proofErr w:type="gramEnd"/>
      <w:r w:rsidRPr="00207130">
        <w:rPr>
          <w:lang w:val="en-US"/>
        </w:rPr>
        <w:t xml:space="preserve"> The EML4-ALK fusion gene is involved in various histologic types of lung cancers from nonsmokers with wild-type EGFR and KRAS. Cancer 2009</w:t>
      </w:r>
      <w:proofErr w:type="gramStart"/>
      <w:r w:rsidRPr="00207130">
        <w:rPr>
          <w:lang w:val="en-US"/>
        </w:rPr>
        <w:t>;115:1723</w:t>
      </w:r>
      <w:proofErr w:type="gramEnd"/>
      <w:r w:rsidRPr="00207130">
        <w:rPr>
          <w:lang w:val="en-US"/>
        </w:rPr>
        <w:t>-33.</w:t>
      </w:r>
    </w:p>
    <w:p w14:paraId="190AEE0D" w14:textId="77777777" w:rsidR="00493AFB" w:rsidRPr="00207130" w:rsidRDefault="00493AFB" w:rsidP="007D0F61">
      <w:pPr>
        <w:pStyle w:val="FootnoteText"/>
        <w:tabs>
          <w:tab w:val="left" w:pos="142"/>
        </w:tabs>
        <w:ind w:left="142" w:hanging="142"/>
        <w:rPr>
          <w:lang w:val="en-US"/>
        </w:rPr>
      </w:pPr>
      <w:r w:rsidRPr="00207130">
        <w:rPr>
          <w:lang w:val="en-US"/>
        </w:rPr>
        <w:t xml:space="preserve">Rodig SJ et al. Unique </w:t>
      </w:r>
      <w:proofErr w:type="spellStart"/>
      <w:r w:rsidRPr="00207130">
        <w:rPr>
          <w:lang w:val="en-US"/>
        </w:rPr>
        <w:t>clinicopathologic</w:t>
      </w:r>
      <w:proofErr w:type="spellEnd"/>
      <w:r w:rsidRPr="00207130">
        <w:rPr>
          <w:lang w:val="en-US"/>
        </w:rPr>
        <w:t xml:space="preserve"> features characterize ALK-rearranged lung adenocarcinoma in the western population. Clin Cancer Res 2009</w:t>
      </w:r>
      <w:proofErr w:type="gramStart"/>
      <w:r w:rsidRPr="00207130">
        <w:rPr>
          <w:lang w:val="en-US"/>
        </w:rPr>
        <w:t>;15:5216</w:t>
      </w:r>
      <w:proofErr w:type="gramEnd"/>
      <w:r w:rsidRPr="00207130">
        <w:rPr>
          <w:lang w:val="en-US"/>
        </w:rPr>
        <w:t>-23.</w:t>
      </w:r>
    </w:p>
  </w:footnote>
  <w:footnote w:id="31">
    <w:p w14:paraId="535B195A" w14:textId="77777777" w:rsidR="00493AFB" w:rsidRDefault="00493AFB" w:rsidP="007D0F61">
      <w:pPr>
        <w:pStyle w:val="FootnoteText"/>
        <w:ind w:left="142" w:hanging="142"/>
      </w:pPr>
      <w:r>
        <w:rPr>
          <w:rStyle w:val="FootnoteReference"/>
        </w:rPr>
        <w:footnoteRef/>
      </w:r>
      <w:r>
        <w:t xml:space="preserve"> </w:t>
      </w:r>
      <w:r w:rsidRPr="00207130">
        <w:t>Katayama R et al. Mechanisms of acquired crizotinib resistance in ALK-rearranged lung cancers. Sci Transl Med 2012</w:t>
      </w:r>
      <w:proofErr w:type="gramStart"/>
      <w:r w:rsidRPr="00207130">
        <w:t>;4:120ra17</w:t>
      </w:r>
      <w:proofErr w:type="gramEnd"/>
      <w:r w:rsidRPr="00207130">
        <w:t>.</w:t>
      </w:r>
    </w:p>
    <w:p w14:paraId="68E8671D" w14:textId="77777777" w:rsidR="00493AFB" w:rsidRPr="00207130" w:rsidRDefault="00493AFB" w:rsidP="007D0F61">
      <w:pPr>
        <w:pStyle w:val="FootnoteText"/>
        <w:ind w:left="142" w:hanging="142"/>
        <w:rPr>
          <w:lang w:val="en-US"/>
        </w:rPr>
      </w:pPr>
      <w:r w:rsidRPr="00207130">
        <w:rPr>
          <w:lang w:val="en-US"/>
        </w:rPr>
        <w:t>Doebele RC et al. Mechanisms of resistance to crizotinib in patients with ALK gene rearranged non-small cell lung cancer. Clin Cancer Res 2012</w:t>
      </w:r>
      <w:proofErr w:type="gramStart"/>
      <w:r w:rsidRPr="00207130">
        <w:rPr>
          <w:lang w:val="en-US"/>
        </w:rPr>
        <w:t>;18:1472</w:t>
      </w:r>
      <w:proofErr w:type="gramEnd"/>
      <w:r w:rsidRPr="00207130">
        <w:rPr>
          <w:lang w:val="en-US"/>
        </w:rPr>
        <w:t>-82.</w:t>
      </w:r>
    </w:p>
  </w:footnote>
  <w:footnote w:id="32">
    <w:p w14:paraId="36C8A013" w14:textId="77777777" w:rsidR="00493AFB" w:rsidRDefault="00493AFB" w:rsidP="007D0F61">
      <w:pPr>
        <w:pStyle w:val="FootnoteText"/>
        <w:ind w:left="142" w:hanging="142"/>
      </w:pPr>
      <w:r>
        <w:rPr>
          <w:rStyle w:val="FootnoteReference"/>
        </w:rPr>
        <w:footnoteRef/>
      </w:r>
      <w:r>
        <w:t xml:space="preserve"> </w:t>
      </w:r>
      <w:proofErr w:type="gramStart"/>
      <w:r w:rsidRPr="001058EB">
        <w:t>Yang P et al. Worse disease-free survival in never-smokers with ALK+ lung adenocarcinoma.</w:t>
      </w:r>
      <w:proofErr w:type="gramEnd"/>
      <w:r w:rsidRPr="001058EB">
        <w:t xml:space="preserve"> J Thorac Oncol 2012</w:t>
      </w:r>
      <w:proofErr w:type="gramStart"/>
      <w:r w:rsidRPr="001058EB">
        <w:t>;7:90</w:t>
      </w:r>
      <w:proofErr w:type="gramEnd"/>
      <w:r w:rsidRPr="001058EB">
        <w:t>-7.</w:t>
      </w:r>
    </w:p>
    <w:p w14:paraId="49B1B8E4" w14:textId="77777777" w:rsidR="00493AFB" w:rsidRPr="001058EB" w:rsidRDefault="00493AFB" w:rsidP="007D0F61">
      <w:pPr>
        <w:pStyle w:val="FootnoteText"/>
        <w:ind w:left="142" w:hanging="142"/>
        <w:rPr>
          <w:lang w:val="en-US"/>
        </w:rPr>
      </w:pPr>
      <w:r w:rsidRPr="001058EB">
        <w:rPr>
          <w:lang w:val="en-US"/>
        </w:rPr>
        <w:t>Camidge DR et al. Activity and safety of crizotinib in patients with ALK-positive non-small-cell lung cancer: updated results from a phase 1 study. Lancet 2012</w:t>
      </w:r>
      <w:proofErr w:type="gramStart"/>
      <w:r w:rsidRPr="001058EB">
        <w:rPr>
          <w:lang w:val="en-US"/>
        </w:rPr>
        <w:t>;13:1011</w:t>
      </w:r>
      <w:proofErr w:type="gramEnd"/>
      <w:r w:rsidRPr="001058EB">
        <w:rPr>
          <w:lang w:val="en-US"/>
        </w:rPr>
        <w:t>-9.</w:t>
      </w:r>
    </w:p>
    <w:p w14:paraId="420EE150" w14:textId="77777777" w:rsidR="00493AFB" w:rsidRPr="001058EB" w:rsidRDefault="00493AFB" w:rsidP="007D0F61">
      <w:pPr>
        <w:pStyle w:val="FootnoteText"/>
        <w:ind w:left="142" w:hanging="142"/>
        <w:rPr>
          <w:lang w:val="en-US"/>
        </w:rPr>
      </w:pPr>
      <w:proofErr w:type="gramStart"/>
      <w:r w:rsidRPr="001058EB">
        <w:rPr>
          <w:lang w:val="en-US"/>
        </w:rPr>
        <w:t>Camidge DR and Doebele RC.</w:t>
      </w:r>
      <w:proofErr w:type="gramEnd"/>
      <w:r w:rsidRPr="001058EB">
        <w:rPr>
          <w:lang w:val="en-US"/>
        </w:rPr>
        <w:t xml:space="preserve"> </w:t>
      </w:r>
      <w:proofErr w:type="gramStart"/>
      <w:r w:rsidRPr="001058EB">
        <w:rPr>
          <w:lang w:val="en-US"/>
        </w:rPr>
        <w:t>Treating ALK-positive lung cancer – early successes and future challenges.</w:t>
      </w:r>
      <w:proofErr w:type="gramEnd"/>
      <w:r w:rsidRPr="001058EB">
        <w:rPr>
          <w:lang w:val="en-US"/>
        </w:rPr>
        <w:t xml:space="preserve"> Nature 2012</w:t>
      </w:r>
      <w:proofErr w:type="gramStart"/>
      <w:r w:rsidRPr="001058EB">
        <w:rPr>
          <w:lang w:val="en-US"/>
        </w:rPr>
        <w:t>;9:268</w:t>
      </w:r>
      <w:proofErr w:type="gramEnd"/>
      <w:r w:rsidRPr="001058EB">
        <w:rPr>
          <w:lang w:val="en-US"/>
        </w:rPr>
        <w:t>-77.</w:t>
      </w:r>
    </w:p>
  </w:footnote>
  <w:footnote w:id="33">
    <w:p w14:paraId="125B022B" w14:textId="68F9FFF2" w:rsidR="00493AFB" w:rsidRPr="00DD5AA4" w:rsidRDefault="00493AFB">
      <w:pPr>
        <w:pStyle w:val="FootnoteText"/>
        <w:rPr>
          <w:lang w:val="en-US"/>
        </w:rPr>
      </w:pPr>
      <w:r>
        <w:rPr>
          <w:rStyle w:val="FootnoteReference"/>
        </w:rPr>
        <w:footnoteRef/>
      </w:r>
      <w:r>
        <w:t xml:space="preserve"> </w:t>
      </w:r>
      <w:r w:rsidRPr="00BC6393">
        <w:t>TGA guidance at pre-submission meetings is nonbinding and without prejudice.</w:t>
      </w:r>
    </w:p>
  </w:footnote>
  <w:footnote w:id="34">
    <w:p w14:paraId="4FE695C6" w14:textId="77777777" w:rsidR="00493AFB" w:rsidRPr="00A1645B" w:rsidRDefault="00493AFB">
      <w:pPr>
        <w:pStyle w:val="FootnoteText"/>
        <w:rPr>
          <w:lang w:val="en-US"/>
        </w:rPr>
      </w:pPr>
      <w:r>
        <w:rPr>
          <w:rStyle w:val="FootnoteReference"/>
        </w:rPr>
        <w:footnoteRef/>
      </w:r>
      <w:r>
        <w:t xml:space="preserve"> </w:t>
      </w:r>
      <w:r w:rsidRPr="00A1645B">
        <w:t>Response Evaluation Criteria In Solid Tumors (RECIST) is a set of published rules that define when tumors in cancer patients improve (</w:t>
      </w:r>
      <w:r>
        <w:t>‘</w:t>
      </w:r>
      <w:r w:rsidRPr="00A1645B">
        <w:t>respond</w:t>
      </w:r>
      <w:r>
        <w:t>’</w:t>
      </w:r>
      <w:r w:rsidRPr="00A1645B">
        <w:t>), stay the same (</w:t>
      </w:r>
      <w:r>
        <w:t>‘</w:t>
      </w:r>
      <w:r w:rsidRPr="00A1645B">
        <w:t>stabilize</w:t>
      </w:r>
      <w:r>
        <w:t>’</w:t>
      </w:r>
      <w:r w:rsidRPr="00A1645B">
        <w:t>), or worsen (</w:t>
      </w:r>
      <w:r>
        <w:t>‘</w:t>
      </w:r>
      <w:r w:rsidRPr="00A1645B">
        <w:t>progress</w:t>
      </w:r>
      <w:r>
        <w:t>’</w:t>
      </w:r>
      <w:r w:rsidRPr="00A1645B">
        <w:t>) during treatment.</w:t>
      </w:r>
    </w:p>
  </w:footnote>
  <w:footnote w:id="35">
    <w:p w14:paraId="5C0CB35B" w14:textId="77777777" w:rsidR="00493AFB" w:rsidRPr="00AA2267" w:rsidRDefault="00493AFB">
      <w:pPr>
        <w:pStyle w:val="FootnoteText"/>
        <w:rPr>
          <w:lang w:val="en-US"/>
        </w:rPr>
      </w:pPr>
      <w:r>
        <w:rPr>
          <w:rStyle w:val="FootnoteReference"/>
        </w:rPr>
        <w:footnoteRef/>
      </w:r>
      <w:r>
        <w:t xml:space="preserve"> </w:t>
      </w:r>
      <w:r w:rsidRPr="00AA2267">
        <w:t>ClinicalTrials.gov Identifier: NCT0182811</w:t>
      </w:r>
      <w:r>
        <w:t>2</w:t>
      </w:r>
    </w:p>
  </w:footnote>
  <w:footnote w:id="36">
    <w:p w14:paraId="6E498F82" w14:textId="77777777" w:rsidR="00493AFB" w:rsidRPr="00E92891" w:rsidRDefault="00493AFB">
      <w:pPr>
        <w:pStyle w:val="FootnoteText"/>
        <w:rPr>
          <w:lang w:val="en-US"/>
        </w:rPr>
      </w:pPr>
      <w:r>
        <w:rPr>
          <w:rStyle w:val="FootnoteReference"/>
        </w:rPr>
        <w:footnoteRef/>
      </w:r>
      <w:r>
        <w:t xml:space="preserve"> </w:t>
      </w:r>
      <w:proofErr w:type="gramStart"/>
      <w:r>
        <w:t xml:space="preserve">Shaw AM et al (2014) </w:t>
      </w:r>
      <w:r w:rsidRPr="00E92891">
        <w:t>Ceritinib in ALK-Rearranged Non–Small-Cell Lung Cancer</w:t>
      </w:r>
      <w:r>
        <w:t>.</w:t>
      </w:r>
      <w:proofErr w:type="gramEnd"/>
      <w:r>
        <w:t xml:space="preserve"> </w:t>
      </w:r>
      <w:r w:rsidRPr="00E92891">
        <w:t>N Engl J Med 2014; 370:1189-119</w:t>
      </w:r>
      <w:r>
        <w:t>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075F7" w14:textId="77777777" w:rsidR="00493AFB" w:rsidRDefault="00493AFB"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87D621" w14:textId="77777777" w:rsidR="00493AFB" w:rsidRDefault="00493AFB">
    <w:pPr>
      <w:rPr>
        <w:noProof/>
        <w:lang w:eastAsia="en-AU"/>
      </w:rPr>
    </w:pPr>
    <w:r w:rsidRPr="00347824">
      <w:rPr>
        <w:noProof/>
        <w:lang w:eastAsia="en-AU"/>
      </w:rPr>
      <w:drawing>
        <wp:anchor distT="0" distB="0" distL="114300" distR="114300" simplePos="0" relativeHeight="251659264" behindDoc="1" locked="0" layoutInCell="1" allowOverlap="1" wp14:anchorId="716FA015" wp14:editId="625D2FCD">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6E2E9C2F" w14:textId="75665624" w:rsidR="00493AFB" w:rsidRDefault="00493AFB" w:rsidP="00593AD1">
    <w:pPr>
      <w:pStyle w:val="HeaderNoLi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F9F9E" w14:textId="77777777" w:rsidR="00493AFB" w:rsidRDefault="00493AF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7BA813" w14:textId="77777777" w:rsidR="00493AFB" w:rsidRDefault="00493AFB">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B7B2A" w14:textId="77777777" w:rsidR="00493AFB" w:rsidRDefault="00493AFB">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1089D3" w14:textId="77777777" w:rsidR="00493AFB" w:rsidRDefault="00493AF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D2BE71" w14:textId="77777777" w:rsidR="00493AFB" w:rsidRDefault="00493AFB"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20D07" w14:textId="77777777" w:rsidR="00493AFB" w:rsidRDefault="00493AFB" w:rsidP="006E08B3">
    <w:r>
      <w:t>Therapeutic Goods Administration</w:t>
    </w:r>
  </w:p>
  <w:p w14:paraId="45FA6D41" w14:textId="77777777" w:rsidR="00493AFB" w:rsidRDefault="00493AFB"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4C4C426"/>
    <w:lvl w:ilvl="0">
      <w:start w:val="1"/>
      <w:numFmt w:val="bullet"/>
      <w:lvlText w:val=""/>
      <w:lvlJc w:val="left"/>
      <w:pPr>
        <w:tabs>
          <w:tab w:val="num" w:pos="360"/>
        </w:tabs>
        <w:ind w:left="360" w:hanging="360"/>
      </w:pPr>
      <w:rPr>
        <w:rFonts w:ascii="Symbol" w:hAnsi="Symbol" w:hint="default"/>
      </w:rPr>
    </w:lvl>
  </w:abstractNum>
  <w:abstractNum w:abstractNumId="1">
    <w:nsid w:val="01A71A3C"/>
    <w:multiLevelType w:val="hybridMultilevel"/>
    <w:tmpl w:val="F9887A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6BF7763"/>
    <w:multiLevelType w:val="hybridMultilevel"/>
    <w:tmpl w:val="53D0E8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4">
    <w:nsid w:val="0A115B7B"/>
    <w:multiLevelType w:val="hybridMultilevel"/>
    <w:tmpl w:val="4670A1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nsid w:val="11E06634"/>
    <w:multiLevelType w:val="hybridMultilevel"/>
    <w:tmpl w:val="420AF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A16F27"/>
    <w:multiLevelType w:val="hybridMultilevel"/>
    <w:tmpl w:val="86F04F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1DF8715B"/>
    <w:multiLevelType w:val="hybridMultilevel"/>
    <w:tmpl w:val="425AC1AC"/>
    <w:lvl w:ilvl="0" w:tplc="EDD80FC4">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1445DC9"/>
    <w:multiLevelType w:val="hybridMultilevel"/>
    <w:tmpl w:val="75A49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7F211D"/>
    <w:multiLevelType w:val="hybridMultilevel"/>
    <w:tmpl w:val="39E0A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87763A"/>
    <w:multiLevelType w:val="hybridMultilevel"/>
    <w:tmpl w:val="433CDB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BCF57AC"/>
    <w:multiLevelType w:val="hybridMultilevel"/>
    <w:tmpl w:val="CCE64F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8483C12">
      <w:numFmt w:val="bullet"/>
      <w:lvlText w:val="•"/>
      <w:lvlJc w:val="left"/>
      <w:pPr>
        <w:ind w:left="2160" w:hanging="360"/>
      </w:pPr>
      <w:rPr>
        <w:rFonts w:ascii="Cambria" w:eastAsia="Cambria" w:hAnsi="Cambria" w:cs="Aria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E1F13C9"/>
    <w:multiLevelType w:val="hybridMultilevel"/>
    <w:tmpl w:val="7DACBA8E"/>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5">
    <w:nsid w:val="2E2A35C1"/>
    <w:multiLevelType w:val="hybridMultilevel"/>
    <w:tmpl w:val="E0D4E370"/>
    <w:lvl w:ilvl="0" w:tplc="358A6924">
      <w:start w:val="1"/>
      <w:numFmt w:val="decimal"/>
      <w:lvlText w:val="%1."/>
      <w:lvlJc w:val="left"/>
      <w:pPr>
        <w:ind w:left="750" w:hanging="360"/>
      </w:pPr>
    </w:lvl>
    <w:lvl w:ilvl="1" w:tplc="0C090019" w:tentative="1">
      <w:start w:val="1"/>
      <w:numFmt w:val="lowerLetter"/>
      <w:lvlText w:val="%2."/>
      <w:lvlJc w:val="left"/>
      <w:pPr>
        <w:ind w:left="1470" w:hanging="360"/>
      </w:pPr>
    </w:lvl>
    <w:lvl w:ilvl="2" w:tplc="0C09001B" w:tentative="1">
      <w:start w:val="1"/>
      <w:numFmt w:val="lowerRoman"/>
      <w:lvlText w:val="%3."/>
      <w:lvlJc w:val="right"/>
      <w:pPr>
        <w:ind w:left="2190" w:hanging="180"/>
      </w:pPr>
    </w:lvl>
    <w:lvl w:ilvl="3" w:tplc="0C09000F" w:tentative="1">
      <w:start w:val="1"/>
      <w:numFmt w:val="decimal"/>
      <w:lvlText w:val="%4."/>
      <w:lvlJc w:val="left"/>
      <w:pPr>
        <w:ind w:left="2910" w:hanging="360"/>
      </w:pPr>
    </w:lvl>
    <w:lvl w:ilvl="4" w:tplc="0C090019" w:tentative="1">
      <w:start w:val="1"/>
      <w:numFmt w:val="lowerLetter"/>
      <w:lvlText w:val="%5."/>
      <w:lvlJc w:val="left"/>
      <w:pPr>
        <w:ind w:left="3630" w:hanging="360"/>
      </w:pPr>
    </w:lvl>
    <w:lvl w:ilvl="5" w:tplc="0C09001B" w:tentative="1">
      <w:start w:val="1"/>
      <w:numFmt w:val="lowerRoman"/>
      <w:lvlText w:val="%6."/>
      <w:lvlJc w:val="right"/>
      <w:pPr>
        <w:ind w:left="4350" w:hanging="180"/>
      </w:pPr>
    </w:lvl>
    <w:lvl w:ilvl="6" w:tplc="0C09000F" w:tentative="1">
      <w:start w:val="1"/>
      <w:numFmt w:val="decimal"/>
      <w:lvlText w:val="%7."/>
      <w:lvlJc w:val="left"/>
      <w:pPr>
        <w:ind w:left="5070" w:hanging="360"/>
      </w:pPr>
    </w:lvl>
    <w:lvl w:ilvl="7" w:tplc="0C090019" w:tentative="1">
      <w:start w:val="1"/>
      <w:numFmt w:val="lowerLetter"/>
      <w:lvlText w:val="%8."/>
      <w:lvlJc w:val="left"/>
      <w:pPr>
        <w:ind w:left="5790" w:hanging="360"/>
      </w:pPr>
    </w:lvl>
    <w:lvl w:ilvl="8" w:tplc="0C09001B" w:tentative="1">
      <w:start w:val="1"/>
      <w:numFmt w:val="lowerRoman"/>
      <w:lvlText w:val="%9."/>
      <w:lvlJc w:val="right"/>
      <w:pPr>
        <w:ind w:left="6510" w:hanging="180"/>
      </w:pPr>
    </w:lvl>
  </w:abstractNum>
  <w:abstractNum w:abstractNumId="16">
    <w:nsid w:val="3066740A"/>
    <w:multiLevelType w:val="hybridMultilevel"/>
    <w:tmpl w:val="4AC4A154"/>
    <w:lvl w:ilvl="0" w:tplc="AAAE3F22">
      <w:start w:val="1"/>
      <w:numFmt w:val="bullet"/>
      <w:pStyle w:val="Bullet1"/>
      <w:lvlText w:val="•"/>
      <w:lvlJc w:val="left"/>
      <w:pPr>
        <w:tabs>
          <w:tab w:val="num" w:pos="568"/>
        </w:tabs>
        <w:ind w:left="568" w:hanging="284"/>
      </w:pPr>
      <w:rPr>
        <w:rFonts w:ascii="Times New Roman" w:hAnsi="Times New Roman" w:cs="Times New Roman" w:hint="default"/>
      </w:rPr>
    </w:lvl>
    <w:lvl w:ilvl="1" w:tplc="0C090003">
      <w:start w:val="1"/>
      <w:numFmt w:val="bullet"/>
      <w:lvlText w:val="o"/>
      <w:lvlJc w:val="left"/>
      <w:pPr>
        <w:tabs>
          <w:tab w:val="num" w:pos="2008"/>
        </w:tabs>
        <w:ind w:left="2008" w:hanging="360"/>
      </w:pPr>
      <w:rPr>
        <w:rFonts w:ascii="Courier New" w:hAnsi="Courier New" w:cs="Courier New" w:hint="default"/>
      </w:rPr>
    </w:lvl>
    <w:lvl w:ilvl="2" w:tplc="0C090005">
      <w:start w:val="1"/>
      <w:numFmt w:val="bullet"/>
      <w:lvlText w:val=""/>
      <w:lvlJc w:val="left"/>
      <w:pPr>
        <w:tabs>
          <w:tab w:val="num" w:pos="2728"/>
        </w:tabs>
        <w:ind w:left="2728" w:hanging="360"/>
      </w:pPr>
      <w:rPr>
        <w:rFonts w:ascii="Wingdings" w:hAnsi="Wingdings" w:cs="Times New Roman" w:hint="default"/>
      </w:rPr>
    </w:lvl>
    <w:lvl w:ilvl="3" w:tplc="0C090001">
      <w:start w:val="1"/>
      <w:numFmt w:val="bullet"/>
      <w:lvlText w:val=""/>
      <w:lvlJc w:val="left"/>
      <w:pPr>
        <w:tabs>
          <w:tab w:val="num" w:pos="3448"/>
        </w:tabs>
        <w:ind w:left="3448" w:hanging="360"/>
      </w:pPr>
      <w:rPr>
        <w:rFonts w:ascii="Symbol" w:hAnsi="Symbol" w:cs="Times New Roman" w:hint="default"/>
      </w:rPr>
    </w:lvl>
    <w:lvl w:ilvl="4" w:tplc="0C090003">
      <w:start w:val="1"/>
      <w:numFmt w:val="bullet"/>
      <w:lvlText w:val="o"/>
      <w:lvlJc w:val="left"/>
      <w:pPr>
        <w:tabs>
          <w:tab w:val="num" w:pos="4168"/>
        </w:tabs>
        <w:ind w:left="4168" w:hanging="360"/>
      </w:pPr>
      <w:rPr>
        <w:rFonts w:ascii="Courier New" w:hAnsi="Courier New" w:cs="Courier New" w:hint="default"/>
      </w:rPr>
    </w:lvl>
    <w:lvl w:ilvl="5" w:tplc="0C090005">
      <w:start w:val="1"/>
      <w:numFmt w:val="bullet"/>
      <w:lvlText w:val=""/>
      <w:lvlJc w:val="left"/>
      <w:pPr>
        <w:tabs>
          <w:tab w:val="num" w:pos="4888"/>
        </w:tabs>
        <w:ind w:left="4888" w:hanging="360"/>
      </w:pPr>
      <w:rPr>
        <w:rFonts w:ascii="Wingdings" w:hAnsi="Wingdings" w:cs="Times New Roman" w:hint="default"/>
      </w:rPr>
    </w:lvl>
    <w:lvl w:ilvl="6" w:tplc="0C090001">
      <w:start w:val="1"/>
      <w:numFmt w:val="bullet"/>
      <w:lvlText w:val=""/>
      <w:lvlJc w:val="left"/>
      <w:pPr>
        <w:tabs>
          <w:tab w:val="num" w:pos="5608"/>
        </w:tabs>
        <w:ind w:left="5608" w:hanging="360"/>
      </w:pPr>
      <w:rPr>
        <w:rFonts w:ascii="Symbol" w:hAnsi="Symbol" w:cs="Times New Roman" w:hint="default"/>
      </w:rPr>
    </w:lvl>
    <w:lvl w:ilvl="7" w:tplc="0C090003">
      <w:start w:val="1"/>
      <w:numFmt w:val="bullet"/>
      <w:lvlText w:val="o"/>
      <w:lvlJc w:val="left"/>
      <w:pPr>
        <w:tabs>
          <w:tab w:val="num" w:pos="6328"/>
        </w:tabs>
        <w:ind w:left="6328" w:hanging="360"/>
      </w:pPr>
      <w:rPr>
        <w:rFonts w:ascii="Courier New" w:hAnsi="Courier New" w:cs="Courier New" w:hint="default"/>
      </w:rPr>
    </w:lvl>
    <w:lvl w:ilvl="8" w:tplc="0C090005">
      <w:start w:val="1"/>
      <w:numFmt w:val="bullet"/>
      <w:lvlText w:val=""/>
      <w:lvlJc w:val="left"/>
      <w:pPr>
        <w:tabs>
          <w:tab w:val="num" w:pos="7048"/>
        </w:tabs>
        <w:ind w:left="7048" w:hanging="360"/>
      </w:pPr>
      <w:rPr>
        <w:rFonts w:ascii="Wingdings" w:hAnsi="Wingdings" w:cs="Times New Roman" w:hint="default"/>
      </w:rPr>
    </w:lvl>
  </w:abstractNum>
  <w:abstractNum w:abstractNumId="17">
    <w:nsid w:val="339A6B08"/>
    <w:multiLevelType w:val="hybridMultilevel"/>
    <w:tmpl w:val="E13412D8"/>
    <w:lvl w:ilvl="0" w:tplc="0C090001">
      <w:start w:val="1"/>
      <w:numFmt w:val="bullet"/>
      <w:lvlText w:val=""/>
      <w:lvlJc w:val="left"/>
      <w:pPr>
        <w:ind w:left="1110" w:hanging="360"/>
      </w:pPr>
      <w:rPr>
        <w:rFonts w:ascii="Symbol" w:hAnsi="Symbol" w:hint="default"/>
      </w:rPr>
    </w:lvl>
    <w:lvl w:ilvl="1" w:tplc="0C090019" w:tentative="1">
      <w:start w:val="1"/>
      <w:numFmt w:val="lowerLetter"/>
      <w:lvlText w:val="%2."/>
      <w:lvlJc w:val="left"/>
      <w:pPr>
        <w:ind w:left="1830" w:hanging="360"/>
      </w:pPr>
    </w:lvl>
    <w:lvl w:ilvl="2" w:tplc="0C09001B" w:tentative="1">
      <w:start w:val="1"/>
      <w:numFmt w:val="lowerRoman"/>
      <w:lvlText w:val="%3."/>
      <w:lvlJc w:val="right"/>
      <w:pPr>
        <w:ind w:left="2550" w:hanging="180"/>
      </w:pPr>
    </w:lvl>
    <w:lvl w:ilvl="3" w:tplc="0C09000F" w:tentative="1">
      <w:start w:val="1"/>
      <w:numFmt w:val="decimal"/>
      <w:lvlText w:val="%4."/>
      <w:lvlJc w:val="left"/>
      <w:pPr>
        <w:ind w:left="3270" w:hanging="360"/>
      </w:pPr>
    </w:lvl>
    <w:lvl w:ilvl="4" w:tplc="0C090019" w:tentative="1">
      <w:start w:val="1"/>
      <w:numFmt w:val="lowerLetter"/>
      <w:lvlText w:val="%5."/>
      <w:lvlJc w:val="left"/>
      <w:pPr>
        <w:ind w:left="3990" w:hanging="360"/>
      </w:pPr>
    </w:lvl>
    <w:lvl w:ilvl="5" w:tplc="0C09001B" w:tentative="1">
      <w:start w:val="1"/>
      <w:numFmt w:val="lowerRoman"/>
      <w:lvlText w:val="%6."/>
      <w:lvlJc w:val="right"/>
      <w:pPr>
        <w:ind w:left="4710" w:hanging="180"/>
      </w:pPr>
    </w:lvl>
    <w:lvl w:ilvl="6" w:tplc="0C09000F" w:tentative="1">
      <w:start w:val="1"/>
      <w:numFmt w:val="decimal"/>
      <w:lvlText w:val="%7."/>
      <w:lvlJc w:val="left"/>
      <w:pPr>
        <w:ind w:left="5430" w:hanging="360"/>
      </w:pPr>
    </w:lvl>
    <w:lvl w:ilvl="7" w:tplc="0C090019" w:tentative="1">
      <w:start w:val="1"/>
      <w:numFmt w:val="lowerLetter"/>
      <w:lvlText w:val="%8."/>
      <w:lvlJc w:val="left"/>
      <w:pPr>
        <w:ind w:left="6150" w:hanging="360"/>
      </w:pPr>
    </w:lvl>
    <w:lvl w:ilvl="8" w:tplc="0C09001B" w:tentative="1">
      <w:start w:val="1"/>
      <w:numFmt w:val="lowerRoman"/>
      <w:lvlText w:val="%9."/>
      <w:lvlJc w:val="right"/>
      <w:pPr>
        <w:ind w:left="6870" w:hanging="180"/>
      </w:pPr>
    </w:lvl>
  </w:abstractNum>
  <w:abstractNum w:abstractNumId="18">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start w:val="1"/>
      <w:numFmt w:val="bullet"/>
      <w:lvlText w:val="o"/>
      <w:lvlJc w:val="left"/>
      <w:pPr>
        <w:tabs>
          <w:tab w:val="num" w:pos="1724"/>
        </w:tabs>
        <w:ind w:left="1724" w:hanging="360"/>
      </w:pPr>
      <w:rPr>
        <w:rFonts w:ascii="Courier New" w:hAnsi="Courier New" w:cs="Times"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Times"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Times"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9">
    <w:nsid w:val="3F485F6E"/>
    <w:multiLevelType w:val="hybridMultilevel"/>
    <w:tmpl w:val="7722BE14"/>
    <w:lvl w:ilvl="0" w:tplc="0C090001">
      <w:start w:val="1"/>
      <w:numFmt w:val="bullet"/>
      <w:lvlText w:val=""/>
      <w:lvlJc w:val="left"/>
      <w:pPr>
        <w:ind w:left="1110" w:hanging="360"/>
      </w:pPr>
      <w:rPr>
        <w:rFonts w:ascii="Symbol" w:hAnsi="Symbol" w:hint="default"/>
      </w:rPr>
    </w:lvl>
    <w:lvl w:ilvl="1" w:tplc="0C090019" w:tentative="1">
      <w:start w:val="1"/>
      <w:numFmt w:val="lowerLetter"/>
      <w:lvlText w:val="%2."/>
      <w:lvlJc w:val="left"/>
      <w:pPr>
        <w:ind w:left="1830" w:hanging="360"/>
      </w:pPr>
    </w:lvl>
    <w:lvl w:ilvl="2" w:tplc="0C09001B" w:tentative="1">
      <w:start w:val="1"/>
      <w:numFmt w:val="lowerRoman"/>
      <w:lvlText w:val="%3."/>
      <w:lvlJc w:val="right"/>
      <w:pPr>
        <w:ind w:left="2550" w:hanging="180"/>
      </w:pPr>
    </w:lvl>
    <w:lvl w:ilvl="3" w:tplc="0C09000F" w:tentative="1">
      <w:start w:val="1"/>
      <w:numFmt w:val="decimal"/>
      <w:lvlText w:val="%4."/>
      <w:lvlJc w:val="left"/>
      <w:pPr>
        <w:ind w:left="3270" w:hanging="360"/>
      </w:pPr>
    </w:lvl>
    <w:lvl w:ilvl="4" w:tplc="0C090019" w:tentative="1">
      <w:start w:val="1"/>
      <w:numFmt w:val="lowerLetter"/>
      <w:lvlText w:val="%5."/>
      <w:lvlJc w:val="left"/>
      <w:pPr>
        <w:ind w:left="3990" w:hanging="360"/>
      </w:pPr>
    </w:lvl>
    <w:lvl w:ilvl="5" w:tplc="0C09001B" w:tentative="1">
      <w:start w:val="1"/>
      <w:numFmt w:val="lowerRoman"/>
      <w:lvlText w:val="%6."/>
      <w:lvlJc w:val="right"/>
      <w:pPr>
        <w:ind w:left="4710" w:hanging="180"/>
      </w:pPr>
    </w:lvl>
    <w:lvl w:ilvl="6" w:tplc="0C09000F" w:tentative="1">
      <w:start w:val="1"/>
      <w:numFmt w:val="decimal"/>
      <w:lvlText w:val="%7."/>
      <w:lvlJc w:val="left"/>
      <w:pPr>
        <w:ind w:left="5430" w:hanging="360"/>
      </w:pPr>
    </w:lvl>
    <w:lvl w:ilvl="7" w:tplc="0C090019" w:tentative="1">
      <w:start w:val="1"/>
      <w:numFmt w:val="lowerLetter"/>
      <w:lvlText w:val="%8."/>
      <w:lvlJc w:val="left"/>
      <w:pPr>
        <w:ind w:left="6150" w:hanging="360"/>
      </w:pPr>
    </w:lvl>
    <w:lvl w:ilvl="8" w:tplc="0C09001B" w:tentative="1">
      <w:start w:val="1"/>
      <w:numFmt w:val="lowerRoman"/>
      <w:lvlText w:val="%9."/>
      <w:lvlJc w:val="right"/>
      <w:pPr>
        <w:ind w:left="6870" w:hanging="180"/>
      </w:pPr>
    </w:lvl>
  </w:abstractNum>
  <w:abstractNum w:abstractNumId="20">
    <w:nsid w:val="423236D7"/>
    <w:multiLevelType w:val="hybridMultilevel"/>
    <w:tmpl w:val="4F889008"/>
    <w:lvl w:ilvl="0" w:tplc="ACDE3088">
      <w:start w:val="1"/>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6777C46"/>
    <w:multiLevelType w:val="hybridMultilevel"/>
    <w:tmpl w:val="8DDE0A4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7694CE2"/>
    <w:multiLevelType w:val="hybridMultilevel"/>
    <w:tmpl w:val="9856A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89B15D7"/>
    <w:multiLevelType w:val="hybridMultilevel"/>
    <w:tmpl w:val="15F6F434"/>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nsid w:val="509A719F"/>
    <w:multiLevelType w:val="hybridMultilevel"/>
    <w:tmpl w:val="4DF62E2A"/>
    <w:lvl w:ilvl="0" w:tplc="0C09000F">
      <w:start w:val="1"/>
      <w:numFmt w:val="decimal"/>
      <w:lvlText w:val="%1."/>
      <w:lvlJc w:val="left"/>
      <w:pPr>
        <w:ind w:left="36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5">
    <w:nsid w:val="607A7F0C"/>
    <w:multiLevelType w:val="hybridMultilevel"/>
    <w:tmpl w:val="462676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62657687"/>
    <w:multiLevelType w:val="hybridMultilevel"/>
    <w:tmpl w:val="C7B285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648B67FD"/>
    <w:multiLevelType w:val="hybridMultilevel"/>
    <w:tmpl w:val="D346C7E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9">
    <w:nsid w:val="68542C17"/>
    <w:multiLevelType w:val="hybridMultilevel"/>
    <w:tmpl w:val="A2226CF2"/>
    <w:lvl w:ilvl="0" w:tplc="A82E7E82">
      <w:start w:val="1"/>
      <w:numFmt w:val="decimal"/>
      <w:lvlText w:val="%1."/>
      <w:lvlJc w:val="left"/>
      <w:pPr>
        <w:ind w:left="530" w:hanging="360"/>
      </w:pPr>
      <w:rPr>
        <w:rFonts w:hint="default"/>
        <w:color w:val="000000"/>
      </w:rPr>
    </w:lvl>
    <w:lvl w:ilvl="1" w:tplc="0C090019" w:tentative="1">
      <w:start w:val="1"/>
      <w:numFmt w:val="lowerLetter"/>
      <w:lvlText w:val="%2."/>
      <w:lvlJc w:val="left"/>
      <w:pPr>
        <w:ind w:left="1250" w:hanging="360"/>
      </w:pPr>
    </w:lvl>
    <w:lvl w:ilvl="2" w:tplc="0C09001B" w:tentative="1">
      <w:start w:val="1"/>
      <w:numFmt w:val="lowerRoman"/>
      <w:lvlText w:val="%3."/>
      <w:lvlJc w:val="right"/>
      <w:pPr>
        <w:ind w:left="1970" w:hanging="180"/>
      </w:pPr>
    </w:lvl>
    <w:lvl w:ilvl="3" w:tplc="0C09000F" w:tentative="1">
      <w:start w:val="1"/>
      <w:numFmt w:val="decimal"/>
      <w:lvlText w:val="%4."/>
      <w:lvlJc w:val="left"/>
      <w:pPr>
        <w:ind w:left="2690" w:hanging="360"/>
      </w:pPr>
    </w:lvl>
    <w:lvl w:ilvl="4" w:tplc="0C090019" w:tentative="1">
      <w:start w:val="1"/>
      <w:numFmt w:val="lowerLetter"/>
      <w:lvlText w:val="%5."/>
      <w:lvlJc w:val="left"/>
      <w:pPr>
        <w:ind w:left="3410" w:hanging="360"/>
      </w:pPr>
    </w:lvl>
    <w:lvl w:ilvl="5" w:tplc="0C09001B" w:tentative="1">
      <w:start w:val="1"/>
      <w:numFmt w:val="lowerRoman"/>
      <w:lvlText w:val="%6."/>
      <w:lvlJc w:val="right"/>
      <w:pPr>
        <w:ind w:left="4130" w:hanging="180"/>
      </w:pPr>
    </w:lvl>
    <w:lvl w:ilvl="6" w:tplc="0C09000F" w:tentative="1">
      <w:start w:val="1"/>
      <w:numFmt w:val="decimal"/>
      <w:lvlText w:val="%7."/>
      <w:lvlJc w:val="left"/>
      <w:pPr>
        <w:ind w:left="4850" w:hanging="360"/>
      </w:pPr>
    </w:lvl>
    <w:lvl w:ilvl="7" w:tplc="0C090019" w:tentative="1">
      <w:start w:val="1"/>
      <w:numFmt w:val="lowerLetter"/>
      <w:lvlText w:val="%8."/>
      <w:lvlJc w:val="left"/>
      <w:pPr>
        <w:ind w:left="5570" w:hanging="360"/>
      </w:pPr>
    </w:lvl>
    <w:lvl w:ilvl="8" w:tplc="0C09001B" w:tentative="1">
      <w:start w:val="1"/>
      <w:numFmt w:val="lowerRoman"/>
      <w:lvlText w:val="%9."/>
      <w:lvlJc w:val="right"/>
      <w:pPr>
        <w:ind w:left="6290" w:hanging="180"/>
      </w:pPr>
    </w:lvl>
  </w:abstractNum>
  <w:abstractNum w:abstractNumId="30">
    <w:nsid w:val="6CD31A7B"/>
    <w:multiLevelType w:val="hybridMultilevel"/>
    <w:tmpl w:val="53D6B4F6"/>
    <w:lvl w:ilvl="0" w:tplc="0C090001">
      <w:start w:val="1"/>
      <w:numFmt w:val="bullet"/>
      <w:lvlText w:val=""/>
      <w:lvlJc w:val="left"/>
      <w:pPr>
        <w:ind w:left="1110" w:hanging="360"/>
      </w:pPr>
      <w:rPr>
        <w:rFonts w:ascii="Symbol" w:hAnsi="Symbol" w:hint="default"/>
      </w:rPr>
    </w:lvl>
    <w:lvl w:ilvl="1" w:tplc="0C090019" w:tentative="1">
      <w:start w:val="1"/>
      <w:numFmt w:val="lowerLetter"/>
      <w:lvlText w:val="%2."/>
      <w:lvlJc w:val="left"/>
      <w:pPr>
        <w:ind w:left="1830" w:hanging="360"/>
      </w:pPr>
    </w:lvl>
    <w:lvl w:ilvl="2" w:tplc="0C09001B" w:tentative="1">
      <w:start w:val="1"/>
      <w:numFmt w:val="lowerRoman"/>
      <w:lvlText w:val="%3."/>
      <w:lvlJc w:val="right"/>
      <w:pPr>
        <w:ind w:left="2550" w:hanging="180"/>
      </w:pPr>
    </w:lvl>
    <w:lvl w:ilvl="3" w:tplc="0C09000F" w:tentative="1">
      <w:start w:val="1"/>
      <w:numFmt w:val="decimal"/>
      <w:lvlText w:val="%4."/>
      <w:lvlJc w:val="left"/>
      <w:pPr>
        <w:ind w:left="3270" w:hanging="360"/>
      </w:pPr>
    </w:lvl>
    <w:lvl w:ilvl="4" w:tplc="0C090019" w:tentative="1">
      <w:start w:val="1"/>
      <w:numFmt w:val="lowerLetter"/>
      <w:lvlText w:val="%5."/>
      <w:lvlJc w:val="left"/>
      <w:pPr>
        <w:ind w:left="3990" w:hanging="360"/>
      </w:pPr>
    </w:lvl>
    <w:lvl w:ilvl="5" w:tplc="0C09001B" w:tentative="1">
      <w:start w:val="1"/>
      <w:numFmt w:val="lowerRoman"/>
      <w:lvlText w:val="%6."/>
      <w:lvlJc w:val="right"/>
      <w:pPr>
        <w:ind w:left="4710" w:hanging="180"/>
      </w:pPr>
    </w:lvl>
    <w:lvl w:ilvl="6" w:tplc="0C09000F" w:tentative="1">
      <w:start w:val="1"/>
      <w:numFmt w:val="decimal"/>
      <w:lvlText w:val="%7."/>
      <w:lvlJc w:val="left"/>
      <w:pPr>
        <w:ind w:left="5430" w:hanging="360"/>
      </w:pPr>
    </w:lvl>
    <w:lvl w:ilvl="7" w:tplc="0C090019" w:tentative="1">
      <w:start w:val="1"/>
      <w:numFmt w:val="lowerLetter"/>
      <w:lvlText w:val="%8."/>
      <w:lvlJc w:val="left"/>
      <w:pPr>
        <w:ind w:left="6150" w:hanging="360"/>
      </w:pPr>
    </w:lvl>
    <w:lvl w:ilvl="8" w:tplc="0C09001B" w:tentative="1">
      <w:start w:val="1"/>
      <w:numFmt w:val="lowerRoman"/>
      <w:lvlText w:val="%9."/>
      <w:lvlJc w:val="right"/>
      <w:pPr>
        <w:ind w:left="6870" w:hanging="180"/>
      </w:pPr>
    </w:lvl>
  </w:abstractNum>
  <w:abstractNum w:abstractNumId="31">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nsid w:val="78F2307D"/>
    <w:multiLevelType w:val="hybridMultilevel"/>
    <w:tmpl w:val="F4AAA24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904580C"/>
    <w:multiLevelType w:val="hybridMultilevel"/>
    <w:tmpl w:val="B57E3B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7B703D1F"/>
    <w:multiLevelType w:val="hybridMultilevel"/>
    <w:tmpl w:val="FE84CF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8"/>
  </w:num>
  <w:num w:numId="4">
    <w:abstractNumId w:val="5"/>
  </w:num>
  <w:num w:numId="5">
    <w:abstractNumId w:val="26"/>
  </w:num>
  <w:num w:numId="6">
    <w:abstractNumId w:val="32"/>
  </w:num>
  <w:num w:numId="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num>
  <w:num w:numId="9">
    <w:abstractNumId w:val="13"/>
  </w:num>
  <w:num w:numId="10">
    <w:abstractNumId w:val="22"/>
  </w:num>
  <w:num w:numId="11">
    <w:abstractNumId w:val="15"/>
  </w:num>
  <w:num w:numId="12">
    <w:abstractNumId w:val="17"/>
  </w:num>
  <w:num w:numId="13">
    <w:abstractNumId w:val="30"/>
  </w:num>
  <w:num w:numId="14">
    <w:abstractNumId w:val="19"/>
  </w:num>
  <w:num w:numId="15">
    <w:abstractNumId w:val="7"/>
  </w:num>
  <w:num w:numId="16">
    <w:abstractNumId w:val="23"/>
  </w:num>
  <w:num w:numId="17">
    <w:abstractNumId w:val="18"/>
  </w:num>
  <w:num w:numId="18">
    <w:abstractNumId w:val="16"/>
  </w:num>
  <w:num w:numId="19">
    <w:abstractNumId w:val="31"/>
  </w:num>
  <w:num w:numId="20">
    <w:abstractNumId w:val="3"/>
  </w:num>
  <w:num w:numId="21">
    <w:abstractNumId w:val="28"/>
  </w:num>
  <w:num w:numId="22">
    <w:abstractNumId w:val="27"/>
  </w:num>
  <w:num w:numId="23">
    <w:abstractNumId w:val="4"/>
  </w:num>
  <w:num w:numId="24">
    <w:abstractNumId w:val="20"/>
  </w:num>
  <w:num w:numId="25">
    <w:abstractNumId w:val="2"/>
  </w:num>
  <w:num w:numId="26">
    <w:abstractNumId w:val="10"/>
  </w:num>
  <w:num w:numId="27">
    <w:abstractNumId w:val="12"/>
  </w:num>
  <w:num w:numId="28">
    <w:abstractNumId w:val="6"/>
  </w:num>
  <w:num w:numId="29">
    <w:abstractNumId w:val="21"/>
  </w:num>
  <w:num w:numId="30">
    <w:abstractNumId w:val="9"/>
  </w:num>
  <w:num w:numId="31">
    <w:abstractNumId w:val="14"/>
  </w:num>
  <w:num w:numId="32">
    <w:abstractNumId w:val="25"/>
  </w:num>
  <w:num w:numId="33">
    <w:abstractNumId w:val="1"/>
  </w:num>
  <w:num w:numId="34">
    <w:abstractNumId w:val="33"/>
  </w:num>
  <w:num w:numId="35">
    <w:abstractNumId w:val="11"/>
  </w:num>
  <w:num w:numId="36">
    <w:abstractNumId w:val="0"/>
  </w:num>
  <w:num w:numId="37">
    <w:abstractNumId w:val="29"/>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mies, Joanne">
    <w15:presenceInfo w15:providerId="AD" w15:userId="S-1-5-21-220523388-1563985344-839522115-308234"/>
  </w15:person>
  <w15:person w15:author="Posluszny, Joseph">
    <w15:presenceInfo w15:providerId="AD" w15:userId="S-1-5-21-1202660629-813497703-682003330-3595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7DC6"/>
    <w:rsid w:val="00002031"/>
    <w:rsid w:val="00003B07"/>
    <w:rsid w:val="00004734"/>
    <w:rsid w:val="00006B22"/>
    <w:rsid w:val="0001276A"/>
    <w:rsid w:val="0002140D"/>
    <w:rsid w:val="000246AE"/>
    <w:rsid w:val="00025C67"/>
    <w:rsid w:val="00044772"/>
    <w:rsid w:val="0005559E"/>
    <w:rsid w:val="000604D6"/>
    <w:rsid w:val="000734D8"/>
    <w:rsid w:val="00077775"/>
    <w:rsid w:val="00090471"/>
    <w:rsid w:val="00096AA7"/>
    <w:rsid w:val="00097F14"/>
    <w:rsid w:val="000A3AED"/>
    <w:rsid w:val="000B3532"/>
    <w:rsid w:val="000B3A75"/>
    <w:rsid w:val="000B7B33"/>
    <w:rsid w:val="000C00C2"/>
    <w:rsid w:val="000C0512"/>
    <w:rsid w:val="000C690F"/>
    <w:rsid w:val="000D1295"/>
    <w:rsid w:val="000D391B"/>
    <w:rsid w:val="000D3D6D"/>
    <w:rsid w:val="000D4FC7"/>
    <w:rsid w:val="000E356D"/>
    <w:rsid w:val="000E3918"/>
    <w:rsid w:val="000E6196"/>
    <w:rsid w:val="000F4869"/>
    <w:rsid w:val="000F58C6"/>
    <w:rsid w:val="000F5B42"/>
    <w:rsid w:val="000F6E6F"/>
    <w:rsid w:val="00101225"/>
    <w:rsid w:val="001058EB"/>
    <w:rsid w:val="0010601F"/>
    <w:rsid w:val="0010788A"/>
    <w:rsid w:val="00107A31"/>
    <w:rsid w:val="00110EA5"/>
    <w:rsid w:val="00112F56"/>
    <w:rsid w:val="00125318"/>
    <w:rsid w:val="001305A2"/>
    <w:rsid w:val="00133238"/>
    <w:rsid w:val="00133A1B"/>
    <w:rsid w:val="0014197B"/>
    <w:rsid w:val="00143EFE"/>
    <w:rsid w:val="001447CD"/>
    <w:rsid w:val="00144C3F"/>
    <w:rsid w:val="001516B1"/>
    <w:rsid w:val="00154EBB"/>
    <w:rsid w:val="00156316"/>
    <w:rsid w:val="00161181"/>
    <w:rsid w:val="00162D14"/>
    <w:rsid w:val="00165389"/>
    <w:rsid w:val="0016711C"/>
    <w:rsid w:val="001762D3"/>
    <w:rsid w:val="0017693F"/>
    <w:rsid w:val="0018110E"/>
    <w:rsid w:val="00181684"/>
    <w:rsid w:val="001843C6"/>
    <w:rsid w:val="001850E0"/>
    <w:rsid w:val="001A2158"/>
    <w:rsid w:val="001A525F"/>
    <w:rsid w:val="001A7F25"/>
    <w:rsid w:val="001B09F9"/>
    <w:rsid w:val="001B365F"/>
    <w:rsid w:val="001B5C90"/>
    <w:rsid w:val="001B6448"/>
    <w:rsid w:val="001C32CD"/>
    <w:rsid w:val="001D2984"/>
    <w:rsid w:val="001D5E6E"/>
    <w:rsid w:val="001E07CF"/>
    <w:rsid w:val="001E59F1"/>
    <w:rsid w:val="001E72BD"/>
    <w:rsid w:val="001F145C"/>
    <w:rsid w:val="001F2CEE"/>
    <w:rsid w:val="001F49EB"/>
    <w:rsid w:val="001F6CBA"/>
    <w:rsid w:val="00201D4E"/>
    <w:rsid w:val="00207130"/>
    <w:rsid w:val="002076C9"/>
    <w:rsid w:val="00216C3B"/>
    <w:rsid w:val="00217896"/>
    <w:rsid w:val="00220B8A"/>
    <w:rsid w:val="002257F3"/>
    <w:rsid w:val="00227769"/>
    <w:rsid w:val="00233456"/>
    <w:rsid w:val="002339A5"/>
    <w:rsid w:val="002343D4"/>
    <w:rsid w:val="00257848"/>
    <w:rsid w:val="0027084A"/>
    <w:rsid w:val="0027220B"/>
    <w:rsid w:val="00286434"/>
    <w:rsid w:val="00286C59"/>
    <w:rsid w:val="00291957"/>
    <w:rsid w:val="002942D1"/>
    <w:rsid w:val="00295006"/>
    <w:rsid w:val="0029501A"/>
    <w:rsid w:val="002A3721"/>
    <w:rsid w:val="002A6578"/>
    <w:rsid w:val="002B0DA6"/>
    <w:rsid w:val="002B1638"/>
    <w:rsid w:val="002B3624"/>
    <w:rsid w:val="002D0952"/>
    <w:rsid w:val="002E1100"/>
    <w:rsid w:val="002E3E15"/>
    <w:rsid w:val="002E40B3"/>
    <w:rsid w:val="002E4C9A"/>
    <w:rsid w:val="002F11F8"/>
    <w:rsid w:val="002F3F56"/>
    <w:rsid w:val="002F44B5"/>
    <w:rsid w:val="002F5D46"/>
    <w:rsid w:val="00311AC0"/>
    <w:rsid w:val="003176FC"/>
    <w:rsid w:val="003208D3"/>
    <w:rsid w:val="00323A2F"/>
    <w:rsid w:val="003241A0"/>
    <w:rsid w:val="0032583B"/>
    <w:rsid w:val="00326B43"/>
    <w:rsid w:val="00327883"/>
    <w:rsid w:val="00335504"/>
    <w:rsid w:val="00340C18"/>
    <w:rsid w:val="003442FD"/>
    <w:rsid w:val="00347824"/>
    <w:rsid w:val="00350567"/>
    <w:rsid w:val="003521E8"/>
    <w:rsid w:val="00370CE3"/>
    <w:rsid w:val="003728F3"/>
    <w:rsid w:val="0037496E"/>
    <w:rsid w:val="003750CE"/>
    <w:rsid w:val="00383221"/>
    <w:rsid w:val="00383D66"/>
    <w:rsid w:val="00386150"/>
    <w:rsid w:val="003874CE"/>
    <w:rsid w:val="00390900"/>
    <w:rsid w:val="003A7F6C"/>
    <w:rsid w:val="003B4D60"/>
    <w:rsid w:val="003B7E39"/>
    <w:rsid w:val="003C58DC"/>
    <w:rsid w:val="003D1E62"/>
    <w:rsid w:val="003E0B99"/>
    <w:rsid w:val="003E2486"/>
    <w:rsid w:val="003E3208"/>
    <w:rsid w:val="003F0B04"/>
    <w:rsid w:val="003F4353"/>
    <w:rsid w:val="003F5FD2"/>
    <w:rsid w:val="003F630A"/>
    <w:rsid w:val="0040134E"/>
    <w:rsid w:val="004260ED"/>
    <w:rsid w:val="004334C7"/>
    <w:rsid w:val="00440A2D"/>
    <w:rsid w:val="00441C3F"/>
    <w:rsid w:val="00441FBA"/>
    <w:rsid w:val="00450F2D"/>
    <w:rsid w:val="004522CC"/>
    <w:rsid w:val="004564A7"/>
    <w:rsid w:val="004617BF"/>
    <w:rsid w:val="00463658"/>
    <w:rsid w:val="004637A0"/>
    <w:rsid w:val="00466ED5"/>
    <w:rsid w:val="004722CC"/>
    <w:rsid w:val="00475E20"/>
    <w:rsid w:val="004850C0"/>
    <w:rsid w:val="00487677"/>
    <w:rsid w:val="004936E4"/>
    <w:rsid w:val="00493AFB"/>
    <w:rsid w:val="00494E60"/>
    <w:rsid w:val="00497487"/>
    <w:rsid w:val="004A0E4E"/>
    <w:rsid w:val="004A57A7"/>
    <w:rsid w:val="004A6189"/>
    <w:rsid w:val="004A7390"/>
    <w:rsid w:val="004B7B76"/>
    <w:rsid w:val="004C239D"/>
    <w:rsid w:val="004C2DCA"/>
    <w:rsid w:val="004C37FB"/>
    <w:rsid w:val="004C61D2"/>
    <w:rsid w:val="004D41A4"/>
    <w:rsid w:val="004E0828"/>
    <w:rsid w:val="004F0C4A"/>
    <w:rsid w:val="004F0F38"/>
    <w:rsid w:val="004F47D6"/>
    <w:rsid w:val="004F59A6"/>
    <w:rsid w:val="00501921"/>
    <w:rsid w:val="0051707E"/>
    <w:rsid w:val="00530354"/>
    <w:rsid w:val="00531254"/>
    <w:rsid w:val="0053625B"/>
    <w:rsid w:val="005434C6"/>
    <w:rsid w:val="00543B39"/>
    <w:rsid w:val="00546154"/>
    <w:rsid w:val="00547DC6"/>
    <w:rsid w:val="00550096"/>
    <w:rsid w:val="00554D4D"/>
    <w:rsid w:val="00555280"/>
    <w:rsid w:val="00557FF9"/>
    <w:rsid w:val="00562327"/>
    <w:rsid w:val="005711D5"/>
    <w:rsid w:val="00576378"/>
    <w:rsid w:val="00577130"/>
    <w:rsid w:val="00577945"/>
    <w:rsid w:val="00577E38"/>
    <w:rsid w:val="00585322"/>
    <w:rsid w:val="005857C6"/>
    <w:rsid w:val="00592F6E"/>
    <w:rsid w:val="00593AD1"/>
    <w:rsid w:val="005A68B6"/>
    <w:rsid w:val="005A7404"/>
    <w:rsid w:val="005B6B77"/>
    <w:rsid w:val="005C5570"/>
    <w:rsid w:val="005C79A4"/>
    <w:rsid w:val="005D5442"/>
    <w:rsid w:val="005E6796"/>
    <w:rsid w:val="0060002F"/>
    <w:rsid w:val="00603F32"/>
    <w:rsid w:val="006041DD"/>
    <w:rsid w:val="00605AD4"/>
    <w:rsid w:val="006117C4"/>
    <w:rsid w:val="006136D7"/>
    <w:rsid w:val="00625A6E"/>
    <w:rsid w:val="00632398"/>
    <w:rsid w:val="00640FC3"/>
    <w:rsid w:val="00642020"/>
    <w:rsid w:val="0065337B"/>
    <w:rsid w:val="0065419D"/>
    <w:rsid w:val="00656486"/>
    <w:rsid w:val="006604D8"/>
    <w:rsid w:val="006646C1"/>
    <w:rsid w:val="00664A5B"/>
    <w:rsid w:val="0066735C"/>
    <w:rsid w:val="006763D2"/>
    <w:rsid w:val="00680C08"/>
    <w:rsid w:val="006863FF"/>
    <w:rsid w:val="00690F24"/>
    <w:rsid w:val="006916A0"/>
    <w:rsid w:val="006931B1"/>
    <w:rsid w:val="006A15C0"/>
    <w:rsid w:val="006C11F8"/>
    <w:rsid w:val="006C3E2A"/>
    <w:rsid w:val="006C5A22"/>
    <w:rsid w:val="006C642F"/>
    <w:rsid w:val="006D03E5"/>
    <w:rsid w:val="006D4A8C"/>
    <w:rsid w:val="006D5D3E"/>
    <w:rsid w:val="006E08B3"/>
    <w:rsid w:val="006E0EB3"/>
    <w:rsid w:val="006F17AC"/>
    <w:rsid w:val="006F25B8"/>
    <w:rsid w:val="006F4371"/>
    <w:rsid w:val="006F572E"/>
    <w:rsid w:val="007046D6"/>
    <w:rsid w:val="00705DB0"/>
    <w:rsid w:val="00722B57"/>
    <w:rsid w:val="00730F8A"/>
    <w:rsid w:val="00733D16"/>
    <w:rsid w:val="00735A8C"/>
    <w:rsid w:val="0074253D"/>
    <w:rsid w:val="0074429B"/>
    <w:rsid w:val="007615BC"/>
    <w:rsid w:val="00762F05"/>
    <w:rsid w:val="0076345B"/>
    <w:rsid w:val="007652FF"/>
    <w:rsid w:val="00770CAC"/>
    <w:rsid w:val="00770EF1"/>
    <w:rsid w:val="007726DE"/>
    <w:rsid w:val="00773815"/>
    <w:rsid w:val="00773EF7"/>
    <w:rsid w:val="00774E1D"/>
    <w:rsid w:val="007765D8"/>
    <w:rsid w:val="0077675A"/>
    <w:rsid w:val="00780355"/>
    <w:rsid w:val="007819FD"/>
    <w:rsid w:val="00785717"/>
    <w:rsid w:val="00785721"/>
    <w:rsid w:val="00787DB0"/>
    <w:rsid w:val="00793A59"/>
    <w:rsid w:val="007B6132"/>
    <w:rsid w:val="007B67F6"/>
    <w:rsid w:val="007B6E9F"/>
    <w:rsid w:val="007C1216"/>
    <w:rsid w:val="007C1AF7"/>
    <w:rsid w:val="007C62CC"/>
    <w:rsid w:val="007C6B9B"/>
    <w:rsid w:val="007D0F61"/>
    <w:rsid w:val="007E561B"/>
    <w:rsid w:val="007F63DF"/>
    <w:rsid w:val="00805D27"/>
    <w:rsid w:val="00806DCB"/>
    <w:rsid w:val="00821776"/>
    <w:rsid w:val="00826764"/>
    <w:rsid w:val="0082682D"/>
    <w:rsid w:val="008321F5"/>
    <w:rsid w:val="00832369"/>
    <w:rsid w:val="00834660"/>
    <w:rsid w:val="00836BC2"/>
    <w:rsid w:val="00843711"/>
    <w:rsid w:val="008439EB"/>
    <w:rsid w:val="00843F0B"/>
    <w:rsid w:val="00845887"/>
    <w:rsid w:val="0085059D"/>
    <w:rsid w:val="0085156D"/>
    <w:rsid w:val="00852D01"/>
    <w:rsid w:val="0085641B"/>
    <w:rsid w:val="00857136"/>
    <w:rsid w:val="00875A6B"/>
    <w:rsid w:val="00877F3E"/>
    <w:rsid w:val="0088547D"/>
    <w:rsid w:val="00885B11"/>
    <w:rsid w:val="00886D15"/>
    <w:rsid w:val="00887DD8"/>
    <w:rsid w:val="00891BA9"/>
    <w:rsid w:val="0089512A"/>
    <w:rsid w:val="00896018"/>
    <w:rsid w:val="008960DD"/>
    <w:rsid w:val="00896192"/>
    <w:rsid w:val="0089635C"/>
    <w:rsid w:val="008A2B9D"/>
    <w:rsid w:val="008A3389"/>
    <w:rsid w:val="008A3D9F"/>
    <w:rsid w:val="008A5E0B"/>
    <w:rsid w:val="008A6D59"/>
    <w:rsid w:val="008B4B03"/>
    <w:rsid w:val="008B596F"/>
    <w:rsid w:val="008C159F"/>
    <w:rsid w:val="008C1623"/>
    <w:rsid w:val="008C1850"/>
    <w:rsid w:val="008C51A9"/>
    <w:rsid w:val="008D4800"/>
    <w:rsid w:val="008E0A37"/>
    <w:rsid w:val="008E7846"/>
    <w:rsid w:val="008F02E5"/>
    <w:rsid w:val="008F1CCC"/>
    <w:rsid w:val="008F2967"/>
    <w:rsid w:val="008F6943"/>
    <w:rsid w:val="00902379"/>
    <w:rsid w:val="00902A21"/>
    <w:rsid w:val="00920330"/>
    <w:rsid w:val="009219D7"/>
    <w:rsid w:val="00922AF6"/>
    <w:rsid w:val="00922D53"/>
    <w:rsid w:val="00923B70"/>
    <w:rsid w:val="00924482"/>
    <w:rsid w:val="00930237"/>
    <w:rsid w:val="009357E4"/>
    <w:rsid w:val="00937C17"/>
    <w:rsid w:val="00940A89"/>
    <w:rsid w:val="00946EA5"/>
    <w:rsid w:val="00951361"/>
    <w:rsid w:val="00963C08"/>
    <w:rsid w:val="009752A5"/>
    <w:rsid w:val="00977BF5"/>
    <w:rsid w:val="0098585A"/>
    <w:rsid w:val="009926DD"/>
    <w:rsid w:val="009A4CED"/>
    <w:rsid w:val="009A690D"/>
    <w:rsid w:val="009B0ACD"/>
    <w:rsid w:val="009B1D12"/>
    <w:rsid w:val="009B416B"/>
    <w:rsid w:val="009C4BD5"/>
    <w:rsid w:val="009D7B77"/>
    <w:rsid w:val="009E0BB0"/>
    <w:rsid w:val="009E3FBB"/>
    <w:rsid w:val="009F7353"/>
    <w:rsid w:val="00A04F85"/>
    <w:rsid w:val="00A057EF"/>
    <w:rsid w:val="00A05FA4"/>
    <w:rsid w:val="00A102E4"/>
    <w:rsid w:val="00A12C42"/>
    <w:rsid w:val="00A1491B"/>
    <w:rsid w:val="00A14DF7"/>
    <w:rsid w:val="00A1645B"/>
    <w:rsid w:val="00A3246D"/>
    <w:rsid w:val="00A36FA7"/>
    <w:rsid w:val="00A44DDB"/>
    <w:rsid w:val="00A475B7"/>
    <w:rsid w:val="00A47AF7"/>
    <w:rsid w:val="00A47C3E"/>
    <w:rsid w:val="00A50226"/>
    <w:rsid w:val="00A60BAD"/>
    <w:rsid w:val="00A80B5B"/>
    <w:rsid w:val="00A80CF2"/>
    <w:rsid w:val="00A8121B"/>
    <w:rsid w:val="00A84E36"/>
    <w:rsid w:val="00A84F36"/>
    <w:rsid w:val="00A964D1"/>
    <w:rsid w:val="00AA0D79"/>
    <w:rsid w:val="00AA0ED0"/>
    <w:rsid w:val="00AA2267"/>
    <w:rsid w:val="00AA2315"/>
    <w:rsid w:val="00AA3F92"/>
    <w:rsid w:val="00AB3A71"/>
    <w:rsid w:val="00AC2B40"/>
    <w:rsid w:val="00AC2BB2"/>
    <w:rsid w:val="00AC2C3C"/>
    <w:rsid w:val="00AC512D"/>
    <w:rsid w:val="00AC7113"/>
    <w:rsid w:val="00AD0083"/>
    <w:rsid w:val="00AD1C8D"/>
    <w:rsid w:val="00AD3935"/>
    <w:rsid w:val="00AD4570"/>
    <w:rsid w:val="00AE65EB"/>
    <w:rsid w:val="00AE67A7"/>
    <w:rsid w:val="00AF1633"/>
    <w:rsid w:val="00AF1D94"/>
    <w:rsid w:val="00AF60C5"/>
    <w:rsid w:val="00B009C6"/>
    <w:rsid w:val="00B01548"/>
    <w:rsid w:val="00B13EBD"/>
    <w:rsid w:val="00B15D1A"/>
    <w:rsid w:val="00B21D29"/>
    <w:rsid w:val="00B240AC"/>
    <w:rsid w:val="00B25034"/>
    <w:rsid w:val="00B3070B"/>
    <w:rsid w:val="00B33588"/>
    <w:rsid w:val="00B33863"/>
    <w:rsid w:val="00B37D17"/>
    <w:rsid w:val="00B4175E"/>
    <w:rsid w:val="00B452CE"/>
    <w:rsid w:val="00B52260"/>
    <w:rsid w:val="00B54C25"/>
    <w:rsid w:val="00B606EB"/>
    <w:rsid w:val="00B76B91"/>
    <w:rsid w:val="00B77EB1"/>
    <w:rsid w:val="00B811C6"/>
    <w:rsid w:val="00B82A73"/>
    <w:rsid w:val="00B8324C"/>
    <w:rsid w:val="00B855B0"/>
    <w:rsid w:val="00B92E08"/>
    <w:rsid w:val="00BA0C9B"/>
    <w:rsid w:val="00BC41CC"/>
    <w:rsid w:val="00BC622A"/>
    <w:rsid w:val="00BC6393"/>
    <w:rsid w:val="00BC66DD"/>
    <w:rsid w:val="00BD48D5"/>
    <w:rsid w:val="00BD69F1"/>
    <w:rsid w:val="00BE0A78"/>
    <w:rsid w:val="00BE79F0"/>
    <w:rsid w:val="00BF046D"/>
    <w:rsid w:val="00BF1190"/>
    <w:rsid w:val="00BF3A1A"/>
    <w:rsid w:val="00BF5D04"/>
    <w:rsid w:val="00C009AA"/>
    <w:rsid w:val="00C1164D"/>
    <w:rsid w:val="00C16861"/>
    <w:rsid w:val="00C210BB"/>
    <w:rsid w:val="00C24127"/>
    <w:rsid w:val="00C346AB"/>
    <w:rsid w:val="00C404A6"/>
    <w:rsid w:val="00C40A36"/>
    <w:rsid w:val="00C418AD"/>
    <w:rsid w:val="00C44419"/>
    <w:rsid w:val="00C45E7B"/>
    <w:rsid w:val="00C471B1"/>
    <w:rsid w:val="00C51DCA"/>
    <w:rsid w:val="00C6191F"/>
    <w:rsid w:val="00C6316B"/>
    <w:rsid w:val="00C634A9"/>
    <w:rsid w:val="00C64586"/>
    <w:rsid w:val="00C70D53"/>
    <w:rsid w:val="00C73D0B"/>
    <w:rsid w:val="00C772FF"/>
    <w:rsid w:val="00C80137"/>
    <w:rsid w:val="00C801AF"/>
    <w:rsid w:val="00C80256"/>
    <w:rsid w:val="00C94CD4"/>
    <w:rsid w:val="00C95ED7"/>
    <w:rsid w:val="00C9747E"/>
    <w:rsid w:val="00CA67B1"/>
    <w:rsid w:val="00CB04BE"/>
    <w:rsid w:val="00CB0F1D"/>
    <w:rsid w:val="00CB12E4"/>
    <w:rsid w:val="00CB6BC0"/>
    <w:rsid w:val="00CC1B7C"/>
    <w:rsid w:val="00CC727F"/>
    <w:rsid w:val="00CD5486"/>
    <w:rsid w:val="00CF15C3"/>
    <w:rsid w:val="00CF2B6F"/>
    <w:rsid w:val="00CF2F3E"/>
    <w:rsid w:val="00CF58B6"/>
    <w:rsid w:val="00CF6EC4"/>
    <w:rsid w:val="00CF7E2D"/>
    <w:rsid w:val="00D0062D"/>
    <w:rsid w:val="00D017ED"/>
    <w:rsid w:val="00D040D3"/>
    <w:rsid w:val="00D04C65"/>
    <w:rsid w:val="00D052A8"/>
    <w:rsid w:val="00D17BAC"/>
    <w:rsid w:val="00D201D2"/>
    <w:rsid w:val="00D224FE"/>
    <w:rsid w:val="00D23139"/>
    <w:rsid w:val="00D41B99"/>
    <w:rsid w:val="00D425BB"/>
    <w:rsid w:val="00D6493E"/>
    <w:rsid w:val="00D64BD4"/>
    <w:rsid w:val="00D705CB"/>
    <w:rsid w:val="00D7195D"/>
    <w:rsid w:val="00D7301E"/>
    <w:rsid w:val="00D77564"/>
    <w:rsid w:val="00D83AE1"/>
    <w:rsid w:val="00D855D4"/>
    <w:rsid w:val="00D902C9"/>
    <w:rsid w:val="00D93466"/>
    <w:rsid w:val="00DA1124"/>
    <w:rsid w:val="00DB6124"/>
    <w:rsid w:val="00DB750B"/>
    <w:rsid w:val="00DB75B7"/>
    <w:rsid w:val="00DC2BFE"/>
    <w:rsid w:val="00DC6E02"/>
    <w:rsid w:val="00DD28CD"/>
    <w:rsid w:val="00DD5AA4"/>
    <w:rsid w:val="00DE02AE"/>
    <w:rsid w:val="00DE3455"/>
    <w:rsid w:val="00DF1D7F"/>
    <w:rsid w:val="00DF4BE4"/>
    <w:rsid w:val="00E011B7"/>
    <w:rsid w:val="00E02FB4"/>
    <w:rsid w:val="00E11FAE"/>
    <w:rsid w:val="00E13FC7"/>
    <w:rsid w:val="00E17C69"/>
    <w:rsid w:val="00E20571"/>
    <w:rsid w:val="00E235F7"/>
    <w:rsid w:val="00E23659"/>
    <w:rsid w:val="00E239D4"/>
    <w:rsid w:val="00E26130"/>
    <w:rsid w:val="00E40B22"/>
    <w:rsid w:val="00E437C3"/>
    <w:rsid w:val="00E44ED1"/>
    <w:rsid w:val="00E45619"/>
    <w:rsid w:val="00E4588F"/>
    <w:rsid w:val="00E46DA3"/>
    <w:rsid w:val="00E51BB1"/>
    <w:rsid w:val="00E56C47"/>
    <w:rsid w:val="00E624A5"/>
    <w:rsid w:val="00E63AD2"/>
    <w:rsid w:val="00E64BA4"/>
    <w:rsid w:val="00E7344E"/>
    <w:rsid w:val="00E82665"/>
    <w:rsid w:val="00E92891"/>
    <w:rsid w:val="00E94BD9"/>
    <w:rsid w:val="00EB0798"/>
    <w:rsid w:val="00EB40AD"/>
    <w:rsid w:val="00EB586E"/>
    <w:rsid w:val="00EB5FC8"/>
    <w:rsid w:val="00EC463D"/>
    <w:rsid w:val="00EC6D66"/>
    <w:rsid w:val="00EC7A85"/>
    <w:rsid w:val="00ED2922"/>
    <w:rsid w:val="00ED3CAD"/>
    <w:rsid w:val="00ED5A41"/>
    <w:rsid w:val="00EE1DE8"/>
    <w:rsid w:val="00EE27C2"/>
    <w:rsid w:val="00EE3F1D"/>
    <w:rsid w:val="00EF4BAD"/>
    <w:rsid w:val="00EF59DC"/>
    <w:rsid w:val="00F033EC"/>
    <w:rsid w:val="00F04F68"/>
    <w:rsid w:val="00F12670"/>
    <w:rsid w:val="00F14B27"/>
    <w:rsid w:val="00F151E8"/>
    <w:rsid w:val="00F178D3"/>
    <w:rsid w:val="00F23ACD"/>
    <w:rsid w:val="00F3148D"/>
    <w:rsid w:val="00F325C5"/>
    <w:rsid w:val="00F32FE0"/>
    <w:rsid w:val="00F3376E"/>
    <w:rsid w:val="00F35298"/>
    <w:rsid w:val="00F445DB"/>
    <w:rsid w:val="00F47333"/>
    <w:rsid w:val="00F476CA"/>
    <w:rsid w:val="00F47E37"/>
    <w:rsid w:val="00F53C07"/>
    <w:rsid w:val="00F54B65"/>
    <w:rsid w:val="00F56FEC"/>
    <w:rsid w:val="00F63881"/>
    <w:rsid w:val="00F640B6"/>
    <w:rsid w:val="00F66DF2"/>
    <w:rsid w:val="00F7107E"/>
    <w:rsid w:val="00F72EC9"/>
    <w:rsid w:val="00F751B3"/>
    <w:rsid w:val="00F80E40"/>
    <w:rsid w:val="00F848D9"/>
    <w:rsid w:val="00F94120"/>
    <w:rsid w:val="00F95E3B"/>
    <w:rsid w:val="00FA5B82"/>
    <w:rsid w:val="00FA639E"/>
    <w:rsid w:val="00FB5E36"/>
    <w:rsid w:val="00FC1F12"/>
    <w:rsid w:val="00FC1FCA"/>
    <w:rsid w:val="00FC25E4"/>
    <w:rsid w:val="00FC3A8B"/>
    <w:rsid w:val="00FC4EF7"/>
    <w:rsid w:val="00FC6EA4"/>
    <w:rsid w:val="00FD070E"/>
    <w:rsid w:val="00FD0824"/>
    <w:rsid w:val="00FD119B"/>
    <w:rsid w:val="00FD1EDC"/>
    <w:rsid w:val="00FD2792"/>
    <w:rsid w:val="00FE1DEE"/>
    <w:rsid w:val="00FF13DC"/>
    <w:rsid w:val="00FF2126"/>
    <w:rsid w:val="00FF3DC8"/>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71504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semiHidden="0" w:unhideWhenUsed="0"/>
    <w:lsdException w:name="FollowedHyperlink" w:uiPriority="0"/>
    <w:lsdException w:name="Strong" w:semiHidden="0" w:uiPriority="22" w:unhideWhenUsed="0"/>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8"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nhideWhenUsed/>
    <w:qFormat/>
    <w:rsid w:val="002343D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2343D4"/>
    <w:pPr>
      <w:keepNext/>
      <w:spacing w:before="0" w:line="240" w:lineRule="auto"/>
      <w:outlineLvl w:val="8"/>
    </w:pPr>
    <w:rPr>
      <w:rFonts w:ascii="Arial" w:eastAsia="Times New Roman" w:hAnsi="Arial" w:cs="Arial"/>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577130"/>
    <w:rPr>
      <w:rFonts w:ascii="Cambria" w:eastAsia="Times New Roman" w:hAnsi="Cambria" w:cs="Times New Roman"/>
      <w:bCs/>
      <w:i/>
      <w:szCs w:val="21"/>
    </w:rPr>
  </w:style>
  <w:style w:type="character" w:customStyle="1" w:styleId="Heading7Char">
    <w:name w:val="Heading 7 Char"/>
    <w:basedOn w:val="DefaultParagraphFont"/>
    <w:link w:val="Heading7"/>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2E40B3"/>
    <w:pPr>
      <w:keepNext/>
    </w:pPr>
    <w:rPr>
      <w:b/>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semiHidden/>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semiHidden/>
    <w:rsid w:val="000E6196"/>
    <w:rPr>
      <w:rFonts w:ascii="Cambria" w:eastAsia="Cambria" w:hAnsi="Cambria" w:cs="Times New Roman"/>
      <w:sz w:val="20"/>
      <w:szCs w:val="20"/>
    </w:rPr>
  </w:style>
  <w:style w:type="character" w:styleId="EndnoteReference">
    <w:name w:val="endnote reference"/>
    <w:basedOn w:val="DefaultParagraphFont"/>
    <w:semiHidden/>
    <w:unhideWhenUsed/>
    <w:rsid w:val="000E6196"/>
    <w:rPr>
      <w:vertAlign w:val="superscript"/>
    </w:rPr>
  </w:style>
  <w:style w:type="character" w:styleId="CommentReference">
    <w:name w:val="annotation reference"/>
    <w:basedOn w:val="DefaultParagraphFont"/>
    <w:unhideWhenUsed/>
    <w:rsid w:val="00EC463D"/>
    <w:rPr>
      <w:sz w:val="16"/>
      <w:szCs w:val="16"/>
    </w:rPr>
  </w:style>
  <w:style w:type="paragraph" w:styleId="CommentText">
    <w:name w:val="annotation text"/>
    <w:basedOn w:val="Normal"/>
    <w:link w:val="CommentTextChar"/>
    <w:unhideWhenUsed/>
    <w:rsid w:val="00EC463D"/>
    <w:pPr>
      <w:spacing w:line="240" w:lineRule="auto"/>
    </w:pPr>
    <w:rPr>
      <w:sz w:val="20"/>
      <w:szCs w:val="20"/>
    </w:rPr>
  </w:style>
  <w:style w:type="character" w:customStyle="1" w:styleId="CommentTextChar">
    <w:name w:val="Comment Text Char"/>
    <w:basedOn w:val="DefaultParagraphFont"/>
    <w:link w:val="CommentText"/>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EC463D"/>
    <w:rPr>
      <w:b/>
      <w:bCs/>
    </w:rPr>
  </w:style>
  <w:style w:type="character" w:customStyle="1" w:styleId="CommentSubjectChar">
    <w:name w:val="Comment Subject Char"/>
    <w:basedOn w:val="CommentTextChar"/>
    <w:link w:val="CommentSubject"/>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A-Head4">
    <w:name w:val="A-Head 4"/>
    <w:basedOn w:val="Normal"/>
    <w:rsid w:val="00F178D3"/>
    <w:pPr>
      <w:tabs>
        <w:tab w:val="left" w:pos="1418"/>
      </w:tabs>
      <w:spacing w:after="60" w:line="240" w:lineRule="auto"/>
    </w:pPr>
    <w:rPr>
      <w:rFonts w:ascii="Arial" w:eastAsia="Times New Roman" w:hAnsi="Arial"/>
      <w:b/>
      <w:sz w:val="26"/>
      <w:szCs w:val="20"/>
    </w:rPr>
  </w:style>
  <w:style w:type="paragraph" w:styleId="NormalWeb">
    <w:name w:val="Normal (Web)"/>
    <w:basedOn w:val="Normal"/>
    <w:uiPriority w:val="99"/>
    <w:rsid w:val="004F59A6"/>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Standard">
    <w:name w:val="Standard"/>
    <w:basedOn w:val="Normal"/>
    <w:link w:val="StandardChar"/>
    <w:qFormat/>
    <w:rsid w:val="004F59A6"/>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4F59A6"/>
    <w:rPr>
      <w:rFonts w:ascii="Cambria" w:eastAsia="Times New Roman" w:hAnsi="Cambria" w:cs="Times New Roman"/>
      <w:snapToGrid w:val="0"/>
      <w:kern w:val="16"/>
      <w:szCs w:val="24"/>
    </w:rPr>
  </w:style>
  <w:style w:type="paragraph" w:customStyle="1" w:styleId="AssessmentSection">
    <w:name w:val="Assessment Section"/>
    <w:basedOn w:val="Normal"/>
    <w:next w:val="Standard"/>
    <w:rsid w:val="004F59A6"/>
    <w:pPr>
      <w:keepNext/>
      <w:spacing w:before="0" w:after="110" w:line="252" w:lineRule="auto"/>
      <w:outlineLvl w:val="1"/>
    </w:pPr>
    <w:rPr>
      <w:rFonts w:eastAsia="Times New Roman"/>
      <w:b/>
      <w:snapToGrid w:val="0"/>
      <w:kern w:val="16"/>
      <w:szCs w:val="24"/>
    </w:rPr>
  </w:style>
  <w:style w:type="paragraph" w:customStyle="1" w:styleId="AssessmentSubsection">
    <w:name w:val="Assessment Subsection"/>
    <w:basedOn w:val="Standard"/>
    <w:next w:val="Standard"/>
    <w:rsid w:val="004F59A6"/>
    <w:pPr>
      <w:keepNext/>
      <w:spacing w:after="110"/>
      <w:outlineLvl w:val="2"/>
    </w:pPr>
    <w:rPr>
      <w:b/>
      <w:i/>
    </w:rPr>
  </w:style>
  <w:style w:type="paragraph" w:customStyle="1" w:styleId="AssessmentSubsection2">
    <w:name w:val="Assessment Subsection 2"/>
    <w:basedOn w:val="AssessmentSubsection"/>
    <w:next w:val="Standard"/>
    <w:rsid w:val="004F59A6"/>
    <w:pPr>
      <w:outlineLvl w:val="3"/>
    </w:pPr>
    <w:rPr>
      <w:b w:val="0"/>
    </w:rPr>
  </w:style>
  <w:style w:type="paragraph" w:customStyle="1" w:styleId="WhiteSpace">
    <w:name w:val="White Space"/>
    <w:basedOn w:val="Normal"/>
    <w:next w:val="Normal"/>
    <w:link w:val="WhiteSpaceChar"/>
    <w:rsid w:val="004F59A6"/>
    <w:pPr>
      <w:spacing w:before="0" w:after="0" w:line="252" w:lineRule="auto"/>
    </w:pPr>
    <w:rPr>
      <w:rFonts w:eastAsia="Times New Roman"/>
      <w:snapToGrid w:val="0"/>
      <w:kern w:val="16"/>
      <w:sz w:val="16"/>
      <w:szCs w:val="16"/>
    </w:rPr>
  </w:style>
  <w:style w:type="character" w:customStyle="1" w:styleId="WhiteSpaceChar">
    <w:name w:val="White Space Char"/>
    <w:basedOn w:val="DefaultParagraphFont"/>
    <w:link w:val="WhiteSpace"/>
    <w:rsid w:val="004F59A6"/>
    <w:rPr>
      <w:rFonts w:ascii="Cambria" w:eastAsia="Times New Roman" w:hAnsi="Cambria" w:cs="Times New Roman"/>
      <w:snapToGrid w:val="0"/>
      <w:kern w:val="16"/>
      <w:sz w:val="16"/>
      <w:szCs w:val="16"/>
    </w:rPr>
  </w:style>
  <w:style w:type="paragraph" w:styleId="ListParagraph">
    <w:name w:val="List Paragraph"/>
    <w:basedOn w:val="Normal"/>
    <w:uiPriority w:val="34"/>
    <w:qFormat/>
    <w:rsid w:val="00F95E3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ascii="Times New Roman" w:eastAsia="Times New Roman" w:hAnsi="Times New Roman"/>
      <w:kern w:val="16"/>
      <w:sz w:val="24"/>
      <w:szCs w:val="24"/>
      <w:lang w:eastAsia="en-AU"/>
    </w:rPr>
  </w:style>
  <w:style w:type="character" w:customStyle="1" w:styleId="st1">
    <w:name w:val="st1"/>
    <w:basedOn w:val="DefaultParagraphFont"/>
    <w:rsid w:val="00F95E3B"/>
  </w:style>
  <w:style w:type="table" w:customStyle="1" w:styleId="TableTGAblue1">
    <w:name w:val="Table TGA blue1"/>
    <w:basedOn w:val="TableNormal"/>
    <w:uiPriority w:val="99"/>
    <w:qFormat/>
    <w:rsid w:val="00F95E3B"/>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Default">
    <w:name w:val="Default"/>
    <w:rsid w:val="00F95E3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ulletpoint">
    <w:name w:val="Bullet point"/>
    <w:basedOn w:val="Standard"/>
    <w:rsid w:val="002343D4"/>
    <w:pPr>
      <w:numPr>
        <w:numId w:val="16"/>
      </w:numPr>
      <w:tabs>
        <w:tab w:val="clear" w:pos="369"/>
        <w:tab w:val="left" w:pos="397"/>
      </w:tabs>
      <w:spacing w:after="180"/>
      <w:ind w:left="720" w:hanging="360"/>
    </w:pPr>
    <w:rPr>
      <w:sz w:val="23"/>
    </w:rPr>
  </w:style>
  <w:style w:type="character" w:customStyle="1" w:styleId="Heading8Char">
    <w:name w:val="Heading 8 Char"/>
    <w:basedOn w:val="DefaultParagraphFont"/>
    <w:link w:val="Heading8"/>
    <w:rsid w:val="002343D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2343D4"/>
    <w:rPr>
      <w:rFonts w:ascii="Arial" w:eastAsia="Times New Roman" w:hAnsi="Arial" w:cs="Arial"/>
      <w:u w:val="single"/>
      <w:lang w:eastAsia="en-AU"/>
    </w:rPr>
  </w:style>
  <w:style w:type="paragraph" w:customStyle="1" w:styleId="FigureCaption">
    <w:name w:val="Figure Caption"/>
    <w:basedOn w:val="Normal"/>
    <w:qFormat/>
    <w:rsid w:val="002343D4"/>
    <w:pPr>
      <w:spacing w:before="180" w:after="0"/>
    </w:pPr>
  </w:style>
  <w:style w:type="paragraph" w:customStyle="1" w:styleId="FlowChartWhiteHeading">
    <w:name w:val="Flow Chart White Heading"/>
    <w:basedOn w:val="Normal"/>
    <w:rsid w:val="002343D4"/>
    <w:pPr>
      <w:spacing w:after="180"/>
      <w:jc w:val="center"/>
    </w:pPr>
    <w:rPr>
      <w:rFonts w:ascii="Arial" w:hAnsi="Arial"/>
      <w:b/>
      <w:color w:val="FFFFFF"/>
    </w:rPr>
  </w:style>
  <w:style w:type="paragraph" w:customStyle="1" w:styleId="FlowChartBlackHeading">
    <w:name w:val="Flow Chart Black Heading"/>
    <w:basedOn w:val="FlowChartWhiteHeading"/>
    <w:rsid w:val="002343D4"/>
    <w:rPr>
      <w:color w:val="auto"/>
    </w:rPr>
  </w:style>
  <w:style w:type="paragraph" w:customStyle="1" w:styleId="FlowChartWhiteText">
    <w:name w:val="Flow Chart White Text"/>
    <w:basedOn w:val="Normal"/>
    <w:rsid w:val="002343D4"/>
    <w:pPr>
      <w:spacing w:before="0" w:after="0"/>
      <w:jc w:val="center"/>
    </w:pPr>
    <w:rPr>
      <w:rFonts w:ascii="Arial" w:hAnsi="Arial"/>
      <w:color w:val="FFFFFF"/>
    </w:rPr>
  </w:style>
  <w:style w:type="paragraph" w:customStyle="1" w:styleId="FlowchartText">
    <w:name w:val="Flowchart Text"/>
    <w:basedOn w:val="Normal"/>
    <w:rsid w:val="002343D4"/>
    <w:pPr>
      <w:spacing w:before="0" w:after="0"/>
      <w:jc w:val="center"/>
    </w:pPr>
    <w:rPr>
      <w:rFonts w:ascii="Arial" w:hAnsi="Arial"/>
    </w:rPr>
  </w:style>
  <w:style w:type="table" w:styleId="MediumGrid3-Accent2">
    <w:name w:val="Medium Grid 3 Accent 2"/>
    <w:basedOn w:val="TableNormal"/>
    <w:uiPriority w:val="60"/>
    <w:rsid w:val="002343D4"/>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Shading1-Accent6">
    <w:name w:val="Medium Shading 1 Accent 6"/>
    <w:basedOn w:val="TableNormal"/>
    <w:uiPriority w:val="68"/>
    <w:rsid w:val="002343D4"/>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TableCaption">
    <w:name w:val="Table Caption"/>
    <w:basedOn w:val="FigureCaption"/>
    <w:qFormat/>
    <w:rsid w:val="002343D4"/>
    <w:pPr>
      <w:spacing w:after="240"/>
    </w:pPr>
    <w:rPr>
      <w:sz w:val="17"/>
    </w:rPr>
  </w:style>
  <w:style w:type="paragraph" w:customStyle="1" w:styleId="Subject">
    <w:name w:val="Subject"/>
    <w:basedOn w:val="Normal"/>
    <w:qFormat/>
    <w:rsid w:val="002343D4"/>
    <w:pPr>
      <w:spacing w:before="180" w:after="180"/>
    </w:pPr>
    <w:rPr>
      <w:b/>
    </w:rPr>
  </w:style>
  <w:style w:type="paragraph" w:customStyle="1" w:styleId="Footnote">
    <w:name w:val="Footnote"/>
    <w:qFormat/>
    <w:rsid w:val="002343D4"/>
    <w:pPr>
      <w:spacing w:after="0" w:line="240" w:lineRule="auto"/>
    </w:pPr>
    <w:rPr>
      <w:rFonts w:ascii="Cambria" w:eastAsia="Cambria" w:hAnsi="Cambria" w:cs="Times New Roman"/>
      <w:sz w:val="20"/>
      <w:szCs w:val="20"/>
    </w:rPr>
  </w:style>
  <w:style w:type="paragraph" w:customStyle="1" w:styleId="headinganchor1">
    <w:name w:val="headinganchor1"/>
    <w:basedOn w:val="Normal"/>
    <w:rsid w:val="002343D4"/>
    <w:pPr>
      <w:spacing w:before="0" w:after="150" w:line="336" w:lineRule="auto"/>
    </w:pPr>
    <w:rPr>
      <w:rFonts w:ascii="Times New Roman" w:eastAsia="Times New Roman" w:hAnsi="Times New Roman"/>
      <w:sz w:val="24"/>
      <w:szCs w:val="24"/>
      <w:lang w:eastAsia="en-AU"/>
    </w:rPr>
  </w:style>
  <w:style w:type="paragraph" w:customStyle="1" w:styleId="ColorfulList-Accent11">
    <w:name w:val="Colorful List - Accent 11"/>
    <w:basedOn w:val="Normal"/>
    <w:uiPriority w:val="34"/>
    <w:qFormat/>
    <w:locked/>
    <w:rsid w:val="002343D4"/>
    <w:pPr>
      <w:adjustRightInd w:val="0"/>
      <w:snapToGrid w:val="0"/>
      <w:spacing w:before="180" w:after="180"/>
      <w:ind w:left="720"/>
      <w:contextualSpacing/>
    </w:pPr>
    <w:rPr>
      <w:rFonts w:eastAsia="MS Mincho"/>
      <w:szCs w:val="20"/>
      <w:lang w:eastAsia="ja-JP"/>
    </w:rPr>
  </w:style>
  <w:style w:type="paragraph" w:customStyle="1" w:styleId="CM4">
    <w:name w:val="CM4"/>
    <w:basedOn w:val="Default"/>
    <w:next w:val="Default"/>
    <w:uiPriority w:val="99"/>
    <w:rsid w:val="002343D4"/>
    <w:pPr>
      <w:spacing w:line="186" w:lineRule="atLeast"/>
    </w:pPr>
    <w:rPr>
      <w:rFonts w:eastAsia="Cambria"/>
      <w:color w:val="auto"/>
      <w:lang w:eastAsia="en-AU"/>
    </w:rPr>
  </w:style>
  <w:style w:type="paragraph" w:customStyle="1" w:styleId="CM5">
    <w:name w:val="CM5"/>
    <w:basedOn w:val="Default"/>
    <w:next w:val="Default"/>
    <w:uiPriority w:val="99"/>
    <w:rsid w:val="002343D4"/>
    <w:pPr>
      <w:spacing w:line="186" w:lineRule="atLeast"/>
    </w:pPr>
    <w:rPr>
      <w:rFonts w:eastAsia="Cambria"/>
      <w:color w:val="auto"/>
      <w:lang w:eastAsia="en-AU"/>
    </w:rPr>
  </w:style>
  <w:style w:type="paragraph" w:customStyle="1" w:styleId="CM1">
    <w:name w:val="CM1"/>
    <w:basedOn w:val="Default"/>
    <w:next w:val="Default"/>
    <w:uiPriority w:val="99"/>
    <w:rsid w:val="002343D4"/>
    <w:pPr>
      <w:spacing w:line="186" w:lineRule="atLeast"/>
    </w:pPr>
    <w:rPr>
      <w:rFonts w:eastAsia="Cambria"/>
      <w:color w:val="auto"/>
      <w:lang w:eastAsia="en-AU"/>
    </w:rPr>
  </w:style>
  <w:style w:type="paragraph" w:customStyle="1" w:styleId="BodytextAgency">
    <w:name w:val="Body text (Agency)"/>
    <w:basedOn w:val="Normal"/>
    <w:link w:val="BodytextAgencyChar"/>
    <w:qFormat/>
    <w:rsid w:val="002343D4"/>
    <w:pPr>
      <w:spacing w:before="0" w:after="140" w:line="280" w:lineRule="atLeast"/>
    </w:pPr>
    <w:rPr>
      <w:rFonts w:ascii="Verdana" w:eastAsia="SimSun" w:hAnsi="Verdana" w:cs="Verdana"/>
      <w:sz w:val="18"/>
      <w:szCs w:val="18"/>
      <w:lang w:val="en-GB" w:eastAsia="en-GB"/>
    </w:rPr>
  </w:style>
  <w:style w:type="character" w:customStyle="1" w:styleId="BodytextAgencyChar">
    <w:name w:val="Body text (Agency) Char"/>
    <w:link w:val="BodytextAgency"/>
    <w:locked/>
    <w:rsid w:val="002343D4"/>
    <w:rPr>
      <w:rFonts w:ascii="Verdana" w:eastAsia="SimSun" w:hAnsi="Verdana" w:cs="Verdana"/>
      <w:sz w:val="18"/>
      <w:szCs w:val="18"/>
      <w:lang w:val="en-GB" w:eastAsia="en-GB"/>
    </w:rPr>
  </w:style>
  <w:style w:type="paragraph" w:customStyle="1" w:styleId="PISubsection">
    <w:name w:val="PI Subsection"/>
    <w:basedOn w:val="Standard"/>
    <w:next w:val="Standard"/>
    <w:rsid w:val="002343D4"/>
    <w:pPr>
      <w:spacing w:after="120"/>
    </w:pPr>
    <w:rPr>
      <w:b/>
      <w:i/>
      <w:kern w:val="2"/>
    </w:rPr>
  </w:style>
  <w:style w:type="paragraph" w:styleId="Quote">
    <w:name w:val="Quote"/>
    <w:basedOn w:val="Standard"/>
    <w:next w:val="Standard"/>
    <w:link w:val="QuoteChar"/>
    <w:qFormat/>
    <w:rsid w:val="002343D4"/>
    <w:pPr>
      <w:spacing w:after="280"/>
      <w:ind w:left="482" w:right="397" w:hanging="85"/>
    </w:pPr>
  </w:style>
  <w:style w:type="character" w:customStyle="1" w:styleId="QuoteChar">
    <w:name w:val="Quote Char"/>
    <w:basedOn w:val="DefaultParagraphFont"/>
    <w:link w:val="Quote"/>
    <w:rsid w:val="002343D4"/>
    <w:rPr>
      <w:rFonts w:ascii="Cambria" w:eastAsia="Times New Roman" w:hAnsi="Cambria" w:cs="Times New Roman"/>
      <w:snapToGrid w:val="0"/>
      <w:kern w:val="16"/>
      <w:szCs w:val="24"/>
    </w:rPr>
  </w:style>
  <w:style w:type="paragraph" w:customStyle="1" w:styleId="Bullet2">
    <w:name w:val="Bullet 2"/>
    <w:basedOn w:val="Normal"/>
    <w:rsid w:val="002343D4"/>
    <w:pPr>
      <w:numPr>
        <w:numId w:val="17"/>
      </w:numPr>
      <w:spacing w:line="240" w:lineRule="auto"/>
      <w:jc w:val="both"/>
    </w:pPr>
    <w:rPr>
      <w:rFonts w:eastAsia="Times New Roman"/>
      <w:kern w:val="24"/>
      <w:szCs w:val="24"/>
      <w:lang w:eastAsia="en-AU"/>
    </w:rPr>
  </w:style>
  <w:style w:type="paragraph" w:customStyle="1" w:styleId="Source">
    <w:name w:val="Source"/>
    <w:basedOn w:val="Normal"/>
    <w:qFormat/>
    <w:rsid w:val="002343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jc w:val="both"/>
    </w:pPr>
    <w:rPr>
      <w:rFonts w:eastAsia="Times New Roman"/>
      <w:kern w:val="16"/>
      <w:sz w:val="16"/>
      <w:szCs w:val="24"/>
      <w:lang w:val="en-US" w:eastAsia="en-AU"/>
    </w:rPr>
  </w:style>
  <w:style w:type="character" w:customStyle="1" w:styleId="nowrap1">
    <w:name w:val="nowrap1"/>
    <w:rsid w:val="002343D4"/>
  </w:style>
  <w:style w:type="paragraph" w:customStyle="1" w:styleId="Bullet1">
    <w:name w:val="Bullet 1"/>
    <w:basedOn w:val="Normal"/>
    <w:rsid w:val="002343D4"/>
    <w:pPr>
      <w:numPr>
        <w:numId w:val="18"/>
      </w:numPr>
      <w:spacing w:after="0" w:line="240" w:lineRule="auto"/>
    </w:pPr>
    <w:rPr>
      <w:rFonts w:eastAsia="Times New Roman"/>
      <w:kern w:val="24"/>
      <w:lang w:eastAsia="en-AU"/>
    </w:rPr>
  </w:style>
  <w:style w:type="character" w:customStyle="1" w:styleId="A8">
    <w:name w:val="A8"/>
    <w:uiPriority w:val="99"/>
    <w:rsid w:val="002343D4"/>
    <w:rPr>
      <w:rFonts w:cs="Garamond"/>
      <w:color w:val="221E1F"/>
      <w:sz w:val="22"/>
      <w:szCs w:val="22"/>
    </w:rPr>
  </w:style>
  <w:style w:type="paragraph" w:customStyle="1" w:styleId="Comment2">
    <w:name w:val="Comment 2"/>
    <w:basedOn w:val="Normal"/>
    <w:qFormat/>
    <w:rsid w:val="002343D4"/>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kern w:val="16"/>
      <w:lang w:eastAsia="en-AU"/>
    </w:rPr>
  </w:style>
  <w:style w:type="paragraph" w:customStyle="1" w:styleId="Comment1">
    <w:name w:val="Comment 1"/>
    <w:basedOn w:val="Normal"/>
    <w:next w:val="Comment2"/>
    <w:qFormat/>
    <w:rsid w:val="002343D4"/>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kern w:val="16"/>
      <w:lang w:eastAsia="en-AU"/>
    </w:rPr>
  </w:style>
  <w:style w:type="paragraph" w:styleId="BodyText">
    <w:name w:val="Body Text"/>
    <w:basedOn w:val="Normal"/>
    <w:link w:val="BodyTextChar"/>
    <w:semiHidden/>
    <w:rsid w:val="002343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b/>
      <w:bCs/>
      <w:lang w:val="en-US"/>
    </w:rPr>
  </w:style>
  <w:style w:type="character" w:customStyle="1" w:styleId="BodyTextChar">
    <w:name w:val="Body Text Char"/>
    <w:basedOn w:val="DefaultParagraphFont"/>
    <w:link w:val="BodyText"/>
    <w:semiHidden/>
    <w:rsid w:val="002343D4"/>
    <w:rPr>
      <w:rFonts w:ascii="Cambria" w:eastAsia="Times New Roman" w:hAnsi="Cambria" w:cs="Times New Roman"/>
      <w:b/>
      <w:bCs/>
      <w:lang w:val="en-US"/>
    </w:rPr>
  </w:style>
  <w:style w:type="paragraph" w:customStyle="1" w:styleId="Heading0inTOC">
    <w:name w:val="Heading 0 (in TOC)"/>
    <w:basedOn w:val="Heading1"/>
    <w:next w:val="Normal"/>
    <w:rsid w:val="002343D4"/>
    <w:pPr>
      <w:keepLines w:val="0"/>
      <w:spacing w:before="0" w:after="120" w:line="240" w:lineRule="auto"/>
    </w:pPr>
    <w:rPr>
      <w:rFonts w:ascii="Cambria" w:hAnsi="Cambria" w:cs="Times New Roman"/>
      <w:bCs w:val="0"/>
      <w:sz w:val="22"/>
      <w:szCs w:val="24"/>
      <w:lang w:eastAsia="en-AU"/>
    </w:rPr>
  </w:style>
  <w:style w:type="character" w:styleId="PageNumber">
    <w:name w:val="page number"/>
    <w:rsid w:val="002343D4"/>
    <w:rPr>
      <w:sz w:val="20"/>
    </w:rPr>
  </w:style>
  <w:style w:type="paragraph" w:customStyle="1" w:styleId="TableBullet">
    <w:name w:val="Table Bullet"/>
    <w:basedOn w:val="Normal"/>
    <w:rsid w:val="002343D4"/>
    <w:pPr>
      <w:numPr>
        <w:numId w:val="1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sz w:val="20"/>
      <w:szCs w:val="24"/>
      <w:lang w:eastAsia="en-AU"/>
    </w:rPr>
  </w:style>
  <w:style w:type="paragraph" w:styleId="TOC4">
    <w:name w:val="toc 4"/>
    <w:basedOn w:val="Normal"/>
    <w:next w:val="Normal"/>
    <w:uiPriority w:val="39"/>
    <w:rsid w:val="002343D4"/>
    <w:pPr>
      <w:tabs>
        <w:tab w:val="left" w:pos="1247"/>
        <w:tab w:val="right" w:leader="dot" w:pos="9356"/>
      </w:tabs>
      <w:spacing w:before="0" w:after="0" w:line="240" w:lineRule="auto"/>
      <w:ind w:left="1247" w:hanging="907"/>
    </w:pPr>
    <w:rPr>
      <w:rFonts w:eastAsia="Times New Roman"/>
      <w:sz w:val="20"/>
      <w:szCs w:val="24"/>
      <w:lang w:eastAsia="en-AU"/>
    </w:rPr>
  </w:style>
  <w:style w:type="paragraph" w:styleId="TOC5">
    <w:name w:val="toc 5"/>
    <w:basedOn w:val="Normal"/>
    <w:next w:val="Normal"/>
    <w:uiPriority w:val="39"/>
    <w:rsid w:val="002343D4"/>
    <w:pPr>
      <w:spacing w:before="0" w:after="0" w:line="240" w:lineRule="auto"/>
      <w:ind w:left="454"/>
    </w:pPr>
    <w:rPr>
      <w:rFonts w:eastAsia="Times New Roman"/>
      <w:sz w:val="20"/>
      <w:szCs w:val="24"/>
      <w:lang w:eastAsia="en-AU"/>
    </w:rPr>
  </w:style>
  <w:style w:type="paragraph" w:styleId="TOC6">
    <w:name w:val="toc 6"/>
    <w:basedOn w:val="Normal"/>
    <w:next w:val="Normal"/>
    <w:uiPriority w:val="39"/>
    <w:rsid w:val="002343D4"/>
    <w:pPr>
      <w:spacing w:before="0" w:after="0" w:line="240" w:lineRule="auto"/>
      <w:ind w:left="567"/>
    </w:pPr>
    <w:rPr>
      <w:rFonts w:eastAsia="Times New Roman"/>
      <w:sz w:val="20"/>
      <w:szCs w:val="24"/>
      <w:lang w:eastAsia="en-AU"/>
    </w:rPr>
  </w:style>
  <w:style w:type="paragraph" w:styleId="TOC7">
    <w:name w:val="toc 7"/>
    <w:basedOn w:val="Normal"/>
    <w:next w:val="Normal"/>
    <w:uiPriority w:val="39"/>
    <w:rsid w:val="002343D4"/>
    <w:pPr>
      <w:spacing w:before="0" w:after="0" w:line="240" w:lineRule="auto"/>
      <w:ind w:left="680"/>
    </w:pPr>
    <w:rPr>
      <w:rFonts w:eastAsia="Times New Roman"/>
      <w:sz w:val="20"/>
      <w:szCs w:val="24"/>
      <w:lang w:eastAsia="en-AU"/>
    </w:rPr>
  </w:style>
  <w:style w:type="paragraph" w:styleId="TOC8">
    <w:name w:val="toc 8"/>
    <w:basedOn w:val="Normal"/>
    <w:next w:val="Normal"/>
    <w:uiPriority w:val="39"/>
    <w:rsid w:val="002343D4"/>
    <w:pPr>
      <w:spacing w:before="0" w:after="0" w:line="240" w:lineRule="auto"/>
      <w:ind w:left="907"/>
    </w:pPr>
    <w:rPr>
      <w:rFonts w:eastAsia="Times New Roman"/>
      <w:sz w:val="20"/>
      <w:szCs w:val="24"/>
      <w:lang w:eastAsia="en-AU"/>
    </w:rPr>
  </w:style>
  <w:style w:type="paragraph" w:styleId="TOC9">
    <w:name w:val="toc 9"/>
    <w:basedOn w:val="Normal"/>
    <w:next w:val="Normal"/>
    <w:uiPriority w:val="39"/>
    <w:rsid w:val="002343D4"/>
    <w:pPr>
      <w:spacing w:before="0" w:after="0" w:line="240" w:lineRule="auto"/>
      <w:ind w:left="1134"/>
    </w:pPr>
    <w:rPr>
      <w:rFonts w:eastAsia="Times New Roman"/>
      <w:sz w:val="20"/>
      <w:szCs w:val="24"/>
      <w:lang w:eastAsia="en-AU"/>
    </w:rPr>
  </w:style>
  <w:style w:type="paragraph" w:customStyle="1" w:styleId="Abbreviations">
    <w:name w:val="Abbreviations"/>
    <w:basedOn w:val="Normal"/>
    <w:rsid w:val="002343D4"/>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szCs w:val="24"/>
      <w:lang w:eastAsia="en-AU"/>
    </w:rPr>
  </w:style>
  <w:style w:type="paragraph" w:styleId="TableofFigures">
    <w:name w:val="table of figures"/>
    <w:basedOn w:val="Normal"/>
    <w:next w:val="Normal"/>
    <w:uiPriority w:val="99"/>
    <w:rsid w:val="002343D4"/>
    <w:pPr>
      <w:spacing w:before="0" w:after="0" w:line="240" w:lineRule="auto"/>
      <w:ind w:left="1134" w:hanging="1134"/>
    </w:pPr>
    <w:rPr>
      <w:rFonts w:eastAsia="Times New Roman" w:cs="Calibri"/>
      <w:szCs w:val="20"/>
      <w:lang w:eastAsia="en-AU"/>
    </w:rPr>
  </w:style>
  <w:style w:type="paragraph" w:customStyle="1" w:styleId="CommentDot">
    <w:name w:val="Comment Dot"/>
    <w:basedOn w:val="Comment2"/>
    <w:qFormat/>
    <w:rsid w:val="002343D4"/>
    <w:pPr>
      <w:numPr>
        <w:numId w:val="20"/>
      </w:numPr>
      <w:tabs>
        <w:tab w:val="clear" w:pos="1134"/>
      </w:tabs>
      <w:spacing w:before="120"/>
      <w:ind w:left="1418" w:hanging="284"/>
    </w:pPr>
    <w:rPr>
      <w:rFonts w:cs="Arial"/>
      <w:kern w:val="0"/>
    </w:rPr>
  </w:style>
  <w:style w:type="paragraph" w:customStyle="1" w:styleId="Instructions1">
    <w:name w:val="Instructions 1"/>
    <w:basedOn w:val="Normal"/>
    <w:qFormat/>
    <w:rsid w:val="002343D4"/>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lang w:eastAsia="en-AU"/>
    </w:rPr>
  </w:style>
  <w:style w:type="paragraph" w:customStyle="1" w:styleId="Instructions2">
    <w:name w:val="Instructions 2"/>
    <w:basedOn w:val="Normal"/>
    <w:qFormat/>
    <w:rsid w:val="002343D4"/>
    <w:pPr>
      <w:numPr>
        <w:numId w:val="2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lang w:eastAsia="en-AU"/>
    </w:rPr>
  </w:style>
  <w:style w:type="paragraph" w:customStyle="1" w:styleId="Contentslist1">
    <w:name w:val="Contents list 1"/>
    <w:basedOn w:val="Normal"/>
    <w:qFormat/>
    <w:rsid w:val="002343D4"/>
    <w:pPr>
      <w:tabs>
        <w:tab w:val="right" w:leader="dot" w:pos="9356"/>
      </w:tabs>
      <w:spacing w:line="240" w:lineRule="auto"/>
    </w:pPr>
    <w:rPr>
      <w:rFonts w:eastAsia="Times New Roman"/>
      <w:b/>
      <w:sz w:val="20"/>
      <w:szCs w:val="24"/>
      <w:lang w:eastAsia="en-AU"/>
    </w:rPr>
  </w:style>
  <w:style w:type="paragraph" w:customStyle="1" w:styleId="Contentslist2">
    <w:name w:val="Contents list 2"/>
    <w:basedOn w:val="Contentslist1"/>
    <w:qFormat/>
    <w:rsid w:val="002343D4"/>
    <w:pPr>
      <w:spacing w:before="0" w:after="0"/>
    </w:pPr>
    <w:rPr>
      <w:b w:val="0"/>
    </w:rPr>
  </w:style>
  <w:style w:type="character" w:customStyle="1" w:styleId="Char">
    <w:name w:val="Char"/>
    <w:rsid w:val="002343D4"/>
    <w:rPr>
      <w:rFonts w:ascii="Cambria" w:eastAsia="MS Mincho" w:hAnsi="Cambria"/>
      <w:kern w:val="16"/>
      <w:sz w:val="22"/>
      <w:szCs w:val="24"/>
      <w:lang w:val="en-AU" w:eastAsia="en-AU" w:bidi="ar-SA"/>
    </w:rPr>
  </w:style>
  <w:style w:type="character" w:customStyle="1" w:styleId="Bullet1CharCharCharCharCharCharCharCharCharChar">
    <w:name w:val="Bullet 1 Char Char Char Char Char Char Char Char Char Char"/>
    <w:link w:val="Bullet1CharCharCharCharCharCharCharCharChar"/>
    <w:rsid w:val="002343D4"/>
    <w:rPr>
      <w:kern w:val="24"/>
      <w:szCs w:val="24"/>
      <w:lang w:eastAsia="en-AU"/>
    </w:rPr>
  </w:style>
  <w:style w:type="paragraph" w:customStyle="1" w:styleId="Bullet1CharCharCharCharCharCharCharCharChar">
    <w:name w:val="Bullet 1 Char Char Char Char Char Char Char Char Char"/>
    <w:basedOn w:val="Normal"/>
    <w:link w:val="Bullet1CharCharCharCharCharCharCharCharCharChar"/>
    <w:rsid w:val="002343D4"/>
    <w:pPr>
      <w:tabs>
        <w:tab w:val="num" w:pos="284"/>
      </w:tabs>
      <w:spacing w:after="0" w:line="240" w:lineRule="auto"/>
      <w:ind w:left="284" w:hanging="284"/>
    </w:pPr>
    <w:rPr>
      <w:rFonts w:asciiTheme="minorHAnsi" w:eastAsiaTheme="minorHAnsi" w:hAnsiTheme="minorHAnsi" w:cstheme="minorBidi"/>
      <w:kern w:val="24"/>
      <w:szCs w:val="24"/>
      <w:lang w:eastAsia="en-AU"/>
    </w:rPr>
  </w:style>
  <w:style w:type="paragraph" w:customStyle="1" w:styleId="t1">
    <w:name w:val="t1"/>
    <w:basedOn w:val="Normal"/>
    <w:rsid w:val="002343D4"/>
    <w:pPr>
      <w:spacing w:before="0" w:after="0" w:line="280" w:lineRule="atLeast"/>
    </w:pPr>
    <w:rPr>
      <w:rFonts w:ascii="Times New Roman" w:eastAsia="Times New Roman" w:hAnsi="Times New Roman"/>
      <w:sz w:val="24"/>
      <w:szCs w:val="20"/>
      <w:lang w:val="en-US"/>
    </w:rPr>
  </w:style>
  <w:style w:type="paragraph" w:customStyle="1" w:styleId="p7">
    <w:name w:val="p7"/>
    <w:basedOn w:val="Normal"/>
    <w:rsid w:val="002343D4"/>
    <w:pPr>
      <w:tabs>
        <w:tab w:val="left" w:pos="380"/>
      </w:tabs>
      <w:spacing w:before="0" w:after="0" w:line="280" w:lineRule="atLeast"/>
      <w:ind w:left="1008" w:hanging="432"/>
    </w:pPr>
    <w:rPr>
      <w:rFonts w:ascii="Times New Roman" w:eastAsia="Times New Roman" w:hAnsi="Times New Roman"/>
      <w:sz w:val="24"/>
      <w:szCs w:val="20"/>
      <w:lang w:val="en-US"/>
    </w:rPr>
  </w:style>
  <w:style w:type="paragraph" w:customStyle="1" w:styleId="TableParagraph">
    <w:name w:val="Table Paragraph"/>
    <w:basedOn w:val="Normal"/>
    <w:uiPriority w:val="1"/>
    <w:qFormat/>
    <w:rsid w:val="002343D4"/>
    <w:pPr>
      <w:autoSpaceDE w:val="0"/>
      <w:autoSpaceDN w:val="0"/>
      <w:adjustRightInd w:val="0"/>
      <w:spacing w:before="0" w:after="0" w:line="240" w:lineRule="auto"/>
    </w:pPr>
    <w:rPr>
      <w:rFonts w:ascii="Times New Roman" w:hAnsi="Times New Roman"/>
      <w:sz w:val="24"/>
      <w:szCs w:val="24"/>
    </w:rPr>
  </w:style>
  <w:style w:type="paragraph" w:customStyle="1" w:styleId="SectionHeading">
    <w:name w:val="Section Heading"/>
    <w:basedOn w:val="Standard"/>
    <w:next w:val="Standard"/>
    <w:link w:val="SectionHeadingCharChar"/>
    <w:rsid w:val="002343D4"/>
    <w:pPr>
      <w:keepNext/>
      <w:outlineLvl w:val="0"/>
    </w:pPr>
    <w:rPr>
      <w:b/>
      <w:caps/>
    </w:rPr>
  </w:style>
  <w:style w:type="character" w:customStyle="1" w:styleId="SectionHeadingCharChar">
    <w:name w:val="Section Heading Char Char"/>
    <w:basedOn w:val="DefaultParagraphFont"/>
    <w:link w:val="SectionHeading"/>
    <w:rsid w:val="002343D4"/>
    <w:rPr>
      <w:rFonts w:ascii="Cambria" w:eastAsia="Times New Roman" w:hAnsi="Cambria" w:cs="Times New Roman"/>
      <w:b/>
      <w:caps/>
      <w:snapToGrid w:val="0"/>
      <w:kern w:val="16"/>
      <w:szCs w:val="24"/>
    </w:rPr>
  </w:style>
  <w:style w:type="character" w:styleId="Emphasis">
    <w:name w:val="Emphasis"/>
    <w:basedOn w:val="DefaultParagraphFont"/>
    <w:uiPriority w:val="20"/>
    <w:qFormat/>
    <w:rsid w:val="002343D4"/>
    <w:rPr>
      <w:i/>
      <w:iCs/>
    </w:rPr>
  </w:style>
  <w:style w:type="paragraph" w:styleId="PlainText">
    <w:name w:val="Plain Text"/>
    <w:basedOn w:val="Normal"/>
    <w:link w:val="PlainTextChar"/>
    <w:uiPriority w:val="99"/>
    <w:semiHidden/>
    <w:unhideWhenUsed/>
    <w:rsid w:val="002343D4"/>
    <w:pPr>
      <w:spacing w:before="0" w:after="0" w:line="240" w:lineRule="auto"/>
    </w:pPr>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sid w:val="002343D4"/>
    <w:rPr>
      <w:rFonts w:ascii="Calibri" w:hAnsi="Calibri"/>
      <w:szCs w:val="21"/>
    </w:rPr>
  </w:style>
  <w:style w:type="paragraph" w:customStyle="1" w:styleId="CM21">
    <w:name w:val="CM21"/>
    <w:basedOn w:val="Default"/>
    <w:next w:val="Default"/>
    <w:uiPriority w:val="99"/>
    <w:rsid w:val="002343D4"/>
    <w:rPr>
      <w:rFonts w:eastAsia="Cambria"/>
      <w:color w:val="auto"/>
    </w:rPr>
  </w:style>
  <w:style w:type="paragraph" w:customStyle="1" w:styleId="Tabletitle0">
    <w:name w:val="Table title"/>
    <w:basedOn w:val="Normal"/>
    <w:next w:val="Normal"/>
    <w:rsid w:val="00493AFB"/>
    <w:pPr>
      <w:keepNext/>
      <w:spacing w:after="180"/>
    </w:pPr>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semiHidden="0" w:unhideWhenUsed="0"/>
    <w:lsdException w:name="FollowedHyperlink" w:uiPriority="0"/>
    <w:lsdException w:name="Strong" w:semiHidden="0" w:uiPriority="22" w:unhideWhenUsed="0"/>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0"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8"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qFormat/>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nhideWhenUsed/>
    <w:qFormat/>
    <w:rsid w:val="002343D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2343D4"/>
    <w:pPr>
      <w:keepNext/>
      <w:spacing w:before="0" w:line="240" w:lineRule="auto"/>
      <w:outlineLvl w:val="8"/>
    </w:pPr>
    <w:rPr>
      <w:rFonts w:ascii="Arial" w:eastAsia="Times New Roman" w:hAnsi="Arial" w:cs="Arial"/>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577130"/>
    <w:rPr>
      <w:rFonts w:ascii="Cambria" w:eastAsia="Times New Roman" w:hAnsi="Cambria" w:cs="Times New Roman"/>
      <w:bCs/>
      <w:i/>
      <w:szCs w:val="21"/>
    </w:rPr>
  </w:style>
  <w:style w:type="character" w:customStyle="1" w:styleId="Heading7Char">
    <w:name w:val="Heading 7 Char"/>
    <w:basedOn w:val="DefaultParagraphFont"/>
    <w:link w:val="Heading7"/>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2E40B3"/>
    <w:pPr>
      <w:keepNext/>
    </w:pPr>
    <w:rPr>
      <w:b/>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semiHidden/>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semiHidden/>
    <w:rsid w:val="000E6196"/>
    <w:rPr>
      <w:rFonts w:ascii="Cambria" w:eastAsia="Cambria" w:hAnsi="Cambria" w:cs="Times New Roman"/>
      <w:sz w:val="20"/>
      <w:szCs w:val="20"/>
    </w:rPr>
  </w:style>
  <w:style w:type="character" w:styleId="EndnoteReference">
    <w:name w:val="endnote reference"/>
    <w:basedOn w:val="DefaultParagraphFont"/>
    <w:semiHidden/>
    <w:unhideWhenUsed/>
    <w:rsid w:val="000E6196"/>
    <w:rPr>
      <w:vertAlign w:val="superscript"/>
    </w:rPr>
  </w:style>
  <w:style w:type="character" w:styleId="CommentReference">
    <w:name w:val="annotation reference"/>
    <w:basedOn w:val="DefaultParagraphFont"/>
    <w:unhideWhenUsed/>
    <w:rsid w:val="00EC463D"/>
    <w:rPr>
      <w:sz w:val="16"/>
      <w:szCs w:val="16"/>
    </w:rPr>
  </w:style>
  <w:style w:type="paragraph" w:styleId="CommentText">
    <w:name w:val="annotation text"/>
    <w:basedOn w:val="Normal"/>
    <w:link w:val="CommentTextChar"/>
    <w:unhideWhenUsed/>
    <w:rsid w:val="00EC463D"/>
    <w:pPr>
      <w:spacing w:line="240" w:lineRule="auto"/>
    </w:pPr>
    <w:rPr>
      <w:sz w:val="20"/>
      <w:szCs w:val="20"/>
    </w:rPr>
  </w:style>
  <w:style w:type="character" w:customStyle="1" w:styleId="CommentTextChar">
    <w:name w:val="Comment Text Char"/>
    <w:basedOn w:val="DefaultParagraphFont"/>
    <w:link w:val="CommentText"/>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EC463D"/>
    <w:rPr>
      <w:b/>
      <w:bCs/>
    </w:rPr>
  </w:style>
  <w:style w:type="character" w:customStyle="1" w:styleId="CommentSubjectChar">
    <w:name w:val="Comment Subject Char"/>
    <w:basedOn w:val="CommentTextChar"/>
    <w:link w:val="CommentSubject"/>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A-Head4">
    <w:name w:val="A-Head 4"/>
    <w:basedOn w:val="Normal"/>
    <w:rsid w:val="00F178D3"/>
    <w:pPr>
      <w:tabs>
        <w:tab w:val="left" w:pos="1418"/>
      </w:tabs>
      <w:spacing w:after="60" w:line="240" w:lineRule="auto"/>
    </w:pPr>
    <w:rPr>
      <w:rFonts w:ascii="Arial" w:eastAsia="Times New Roman" w:hAnsi="Arial"/>
      <w:b/>
      <w:sz w:val="26"/>
      <w:szCs w:val="20"/>
    </w:rPr>
  </w:style>
  <w:style w:type="paragraph" w:styleId="NormalWeb">
    <w:name w:val="Normal (Web)"/>
    <w:basedOn w:val="Normal"/>
    <w:uiPriority w:val="99"/>
    <w:rsid w:val="004F59A6"/>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Standard">
    <w:name w:val="Standard"/>
    <w:basedOn w:val="Normal"/>
    <w:link w:val="StandardChar"/>
    <w:qFormat/>
    <w:rsid w:val="004F59A6"/>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4F59A6"/>
    <w:rPr>
      <w:rFonts w:ascii="Cambria" w:eastAsia="Times New Roman" w:hAnsi="Cambria" w:cs="Times New Roman"/>
      <w:snapToGrid w:val="0"/>
      <w:kern w:val="16"/>
      <w:szCs w:val="24"/>
    </w:rPr>
  </w:style>
  <w:style w:type="paragraph" w:customStyle="1" w:styleId="AssessmentSection">
    <w:name w:val="Assessment Section"/>
    <w:basedOn w:val="Normal"/>
    <w:next w:val="Standard"/>
    <w:rsid w:val="004F59A6"/>
    <w:pPr>
      <w:keepNext/>
      <w:spacing w:before="0" w:after="110" w:line="252" w:lineRule="auto"/>
      <w:outlineLvl w:val="1"/>
    </w:pPr>
    <w:rPr>
      <w:rFonts w:eastAsia="Times New Roman"/>
      <w:b/>
      <w:snapToGrid w:val="0"/>
      <w:kern w:val="16"/>
      <w:szCs w:val="24"/>
    </w:rPr>
  </w:style>
  <w:style w:type="paragraph" w:customStyle="1" w:styleId="AssessmentSubsection">
    <w:name w:val="Assessment Subsection"/>
    <w:basedOn w:val="Standard"/>
    <w:next w:val="Standard"/>
    <w:rsid w:val="004F59A6"/>
    <w:pPr>
      <w:keepNext/>
      <w:spacing w:after="110"/>
      <w:outlineLvl w:val="2"/>
    </w:pPr>
    <w:rPr>
      <w:b/>
      <w:i/>
    </w:rPr>
  </w:style>
  <w:style w:type="paragraph" w:customStyle="1" w:styleId="AssessmentSubsection2">
    <w:name w:val="Assessment Subsection 2"/>
    <w:basedOn w:val="AssessmentSubsection"/>
    <w:next w:val="Standard"/>
    <w:rsid w:val="004F59A6"/>
    <w:pPr>
      <w:outlineLvl w:val="3"/>
    </w:pPr>
    <w:rPr>
      <w:b w:val="0"/>
    </w:rPr>
  </w:style>
  <w:style w:type="paragraph" w:customStyle="1" w:styleId="WhiteSpace">
    <w:name w:val="White Space"/>
    <w:basedOn w:val="Normal"/>
    <w:next w:val="Normal"/>
    <w:link w:val="WhiteSpaceChar"/>
    <w:rsid w:val="004F59A6"/>
    <w:pPr>
      <w:spacing w:before="0" w:after="0" w:line="252" w:lineRule="auto"/>
    </w:pPr>
    <w:rPr>
      <w:rFonts w:eastAsia="Times New Roman"/>
      <w:snapToGrid w:val="0"/>
      <w:kern w:val="16"/>
      <w:sz w:val="16"/>
      <w:szCs w:val="16"/>
    </w:rPr>
  </w:style>
  <w:style w:type="character" w:customStyle="1" w:styleId="WhiteSpaceChar">
    <w:name w:val="White Space Char"/>
    <w:basedOn w:val="DefaultParagraphFont"/>
    <w:link w:val="WhiteSpace"/>
    <w:rsid w:val="004F59A6"/>
    <w:rPr>
      <w:rFonts w:ascii="Cambria" w:eastAsia="Times New Roman" w:hAnsi="Cambria" w:cs="Times New Roman"/>
      <w:snapToGrid w:val="0"/>
      <w:kern w:val="16"/>
      <w:sz w:val="16"/>
      <w:szCs w:val="16"/>
    </w:rPr>
  </w:style>
  <w:style w:type="paragraph" w:styleId="ListParagraph">
    <w:name w:val="List Paragraph"/>
    <w:basedOn w:val="Normal"/>
    <w:uiPriority w:val="34"/>
    <w:qFormat/>
    <w:rsid w:val="00F95E3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ascii="Times New Roman" w:eastAsia="Times New Roman" w:hAnsi="Times New Roman"/>
      <w:kern w:val="16"/>
      <w:sz w:val="24"/>
      <w:szCs w:val="24"/>
      <w:lang w:eastAsia="en-AU"/>
    </w:rPr>
  </w:style>
  <w:style w:type="character" w:customStyle="1" w:styleId="st1">
    <w:name w:val="st1"/>
    <w:basedOn w:val="DefaultParagraphFont"/>
    <w:rsid w:val="00F95E3B"/>
  </w:style>
  <w:style w:type="table" w:customStyle="1" w:styleId="TableTGAblue1">
    <w:name w:val="Table TGA blue1"/>
    <w:basedOn w:val="TableNormal"/>
    <w:uiPriority w:val="99"/>
    <w:qFormat/>
    <w:rsid w:val="00F95E3B"/>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Default">
    <w:name w:val="Default"/>
    <w:rsid w:val="00F95E3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ulletpoint">
    <w:name w:val="Bullet point"/>
    <w:basedOn w:val="Standard"/>
    <w:rsid w:val="002343D4"/>
    <w:pPr>
      <w:numPr>
        <w:numId w:val="16"/>
      </w:numPr>
      <w:tabs>
        <w:tab w:val="clear" w:pos="369"/>
        <w:tab w:val="left" w:pos="397"/>
      </w:tabs>
      <w:spacing w:after="180"/>
      <w:ind w:left="720" w:hanging="360"/>
    </w:pPr>
    <w:rPr>
      <w:sz w:val="23"/>
    </w:rPr>
  </w:style>
  <w:style w:type="character" w:customStyle="1" w:styleId="Heading8Char">
    <w:name w:val="Heading 8 Char"/>
    <w:basedOn w:val="DefaultParagraphFont"/>
    <w:link w:val="Heading8"/>
    <w:rsid w:val="002343D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2343D4"/>
    <w:rPr>
      <w:rFonts w:ascii="Arial" w:eastAsia="Times New Roman" w:hAnsi="Arial" w:cs="Arial"/>
      <w:u w:val="single"/>
      <w:lang w:eastAsia="en-AU"/>
    </w:rPr>
  </w:style>
  <w:style w:type="paragraph" w:customStyle="1" w:styleId="FigureCaption">
    <w:name w:val="Figure Caption"/>
    <w:basedOn w:val="Normal"/>
    <w:qFormat/>
    <w:rsid w:val="002343D4"/>
    <w:pPr>
      <w:spacing w:before="180" w:after="0"/>
    </w:pPr>
  </w:style>
  <w:style w:type="paragraph" w:customStyle="1" w:styleId="FlowChartWhiteHeading">
    <w:name w:val="Flow Chart White Heading"/>
    <w:basedOn w:val="Normal"/>
    <w:rsid w:val="002343D4"/>
    <w:pPr>
      <w:spacing w:after="180"/>
      <w:jc w:val="center"/>
    </w:pPr>
    <w:rPr>
      <w:rFonts w:ascii="Arial" w:hAnsi="Arial"/>
      <w:b/>
      <w:color w:val="FFFFFF"/>
    </w:rPr>
  </w:style>
  <w:style w:type="paragraph" w:customStyle="1" w:styleId="FlowChartBlackHeading">
    <w:name w:val="Flow Chart Black Heading"/>
    <w:basedOn w:val="FlowChartWhiteHeading"/>
    <w:rsid w:val="002343D4"/>
    <w:rPr>
      <w:color w:val="auto"/>
    </w:rPr>
  </w:style>
  <w:style w:type="paragraph" w:customStyle="1" w:styleId="FlowChartWhiteText">
    <w:name w:val="Flow Chart White Text"/>
    <w:basedOn w:val="Normal"/>
    <w:rsid w:val="002343D4"/>
    <w:pPr>
      <w:spacing w:before="0" w:after="0"/>
      <w:jc w:val="center"/>
    </w:pPr>
    <w:rPr>
      <w:rFonts w:ascii="Arial" w:hAnsi="Arial"/>
      <w:color w:val="FFFFFF"/>
    </w:rPr>
  </w:style>
  <w:style w:type="paragraph" w:customStyle="1" w:styleId="FlowchartText">
    <w:name w:val="Flowchart Text"/>
    <w:basedOn w:val="Normal"/>
    <w:rsid w:val="002343D4"/>
    <w:pPr>
      <w:spacing w:before="0" w:after="0"/>
      <w:jc w:val="center"/>
    </w:pPr>
    <w:rPr>
      <w:rFonts w:ascii="Arial" w:hAnsi="Arial"/>
    </w:rPr>
  </w:style>
  <w:style w:type="table" w:styleId="MediumGrid3-Accent2">
    <w:name w:val="Medium Grid 3 Accent 2"/>
    <w:basedOn w:val="TableNormal"/>
    <w:uiPriority w:val="60"/>
    <w:rsid w:val="002343D4"/>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Shading1-Accent6">
    <w:name w:val="Medium Shading 1 Accent 6"/>
    <w:basedOn w:val="TableNormal"/>
    <w:uiPriority w:val="68"/>
    <w:rsid w:val="002343D4"/>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TableCaption">
    <w:name w:val="Table Caption"/>
    <w:basedOn w:val="FigureCaption"/>
    <w:qFormat/>
    <w:rsid w:val="002343D4"/>
    <w:pPr>
      <w:spacing w:after="240"/>
    </w:pPr>
    <w:rPr>
      <w:sz w:val="17"/>
    </w:rPr>
  </w:style>
  <w:style w:type="paragraph" w:customStyle="1" w:styleId="Subject">
    <w:name w:val="Subject"/>
    <w:basedOn w:val="Normal"/>
    <w:qFormat/>
    <w:rsid w:val="002343D4"/>
    <w:pPr>
      <w:spacing w:before="180" w:after="180"/>
    </w:pPr>
    <w:rPr>
      <w:b/>
    </w:rPr>
  </w:style>
  <w:style w:type="paragraph" w:customStyle="1" w:styleId="Footnote">
    <w:name w:val="Footnote"/>
    <w:qFormat/>
    <w:rsid w:val="002343D4"/>
    <w:pPr>
      <w:spacing w:after="0" w:line="240" w:lineRule="auto"/>
    </w:pPr>
    <w:rPr>
      <w:rFonts w:ascii="Cambria" w:eastAsia="Cambria" w:hAnsi="Cambria" w:cs="Times New Roman"/>
      <w:sz w:val="20"/>
      <w:szCs w:val="20"/>
    </w:rPr>
  </w:style>
  <w:style w:type="paragraph" w:customStyle="1" w:styleId="headinganchor1">
    <w:name w:val="headinganchor1"/>
    <w:basedOn w:val="Normal"/>
    <w:rsid w:val="002343D4"/>
    <w:pPr>
      <w:spacing w:before="0" w:after="150" w:line="336" w:lineRule="auto"/>
    </w:pPr>
    <w:rPr>
      <w:rFonts w:ascii="Times New Roman" w:eastAsia="Times New Roman" w:hAnsi="Times New Roman"/>
      <w:sz w:val="24"/>
      <w:szCs w:val="24"/>
      <w:lang w:eastAsia="en-AU"/>
    </w:rPr>
  </w:style>
  <w:style w:type="paragraph" w:customStyle="1" w:styleId="ColorfulList-Accent11">
    <w:name w:val="Colorful List - Accent 11"/>
    <w:basedOn w:val="Normal"/>
    <w:uiPriority w:val="34"/>
    <w:qFormat/>
    <w:locked/>
    <w:rsid w:val="002343D4"/>
    <w:pPr>
      <w:adjustRightInd w:val="0"/>
      <w:snapToGrid w:val="0"/>
      <w:spacing w:before="180" w:after="180"/>
      <w:ind w:left="720"/>
      <w:contextualSpacing/>
    </w:pPr>
    <w:rPr>
      <w:rFonts w:eastAsia="MS Mincho"/>
      <w:szCs w:val="20"/>
      <w:lang w:eastAsia="ja-JP"/>
    </w:rPr>
  </w:style>
  <w:style w:type="paragraph" w:customStyle="1" w:styleId="CM4">
    <w:name w:val="CM4"/>
    <w:basedOn w:val="Default"/>
    <w:next w:val="Default"/>
    <w:uiPriority w:val="99"/>
    <w:rsid w:val="002343D4"/>
    <w:pPr>
      <w:spacing w:line="186" w:lineRule="atLeast"/>
    </w:pPr>
    <w:rPr>
      <w:rFonts w:eastAsia="Cambria"/>
      <w:color w:val="auto"/>
      <w:lang w:eastAsia="en-AU"/>
    </w:rPr>
  </w:style>
  <w:style w:type="paragraph" w:customStyle="1" w:styleId="CM5">
    <w:name w:val="CM5"/>
    <w:basedOn w:val="Default"/>
    <w:next w:val="Default"/>
    <w:uiPriority w:val="99"/>
    <w:rsid w:val="002343D4"/>
    <w:pPr>
      <w:spacing w:line="186" w:lineRule="atLeast"/>
    </w:pPr>
    <w:rPr>
      <w:rFonts w:eastAsia="Cambria"/>
      <w:color w:val="auto"/>
      <w:lang w:eastAsia="en-AU"/>
    </w:rPr>
  </w:style>
  <w:style w:type="paragraph" w:customStyle="1" w:styleId="CM1">
    <w:name w:val="CM1"/>
    <w:basedOn w:val="Default"/>
    <w:next w:val="Default"/>
    <w:uiPriority w:val="99"/>
    <w:rsid w:val="002343D4"/>
    <w:pPr>
      <w:spacing w:line="186" w:lineRule="atLeast"/>
    </w:pPr>
    <w:rPr>
      <w:rFonts w:eastAsia="Cambria"/>
      <w:color w:val="auto"/>
      <w:lang w:eastAsia="en-AU"/>
    </w:rPr>
  </w:style>
  <w:style w:type="paragraph" w:customStyle="1" w:styleId="BodytextAgency">
    <w:name w:val="Body text (Agency)"/>
    <w:basedOn w:val="Normal"/>
    <w:link w:val="BodytextAgencyChar"/>
    <w:qFormat/>
    <w:rsid w:val="002343D4"/>
    <w:pPr>
      <w:spacing w:before="0" w:after="140" w:line="280" w:lineRule="atLeast"/>
    </w:pPr>
    <w:rPr>
      <w:rFonts w:ascii="Verdana" w:eastAsia="SimSun" w:hAnsi="Verdana" w:cs="Verdana"/>
      <w:sz w:val="18"/>
      <w:szCs w:val="18"/>
      <w:lang w:val="en-GB" w:eastAsia="en-GB"/>
    </w:rPr>
  </w:style>
  <w:style w:type="character" w:customStyle="1" w:styleId="BodytextAgencyChar">
    <w:name w:val="Body text (Agency) Char"/>
    <w:link w:val="BodytextAgency"/>
    <w:locked/>
    <w:rsid w:val="002343D4"/>
    <w:rPr>
      <w:rFonts w:ascii="Verdana" w:eastAsia="SimSun" w:hAnsi="Verdana" w:cs="Verdana"/>
      <w:sz w:val="18"/>
      <w:szCs w:val="18"/>
      <w:lang w:val="en-GB" w:eastAsia="en-GB"/>
    </w:rPr>
  </w:style>
  <w:style w:type="paragraph" w:customStyle="1" w:styleId="PISubsection">
    <w:name w:val="PI Subsection"/>
    <w:basedOn w:val="Standard"/>
    <w:next w:val="Standard"/>
    <w:rsid w:val="002343D4"/>
    <w:pPr>
      <w:spacing w:after="120"/>
    </w:pPr>
    <w:rPr>
      <w:b/>
      <w:i/>
      <w:kern w:val="2"/>
    </w:rPr>
  </w:style>
  <w:style w:type="paragraph" w:styleId="Quote">
    <w:name w:val="Quote"/>
    <w:basedOn w:val="Standard"/>
    <w:next w:val="Standard"/>
    <w:link w:val="QuoteChar"/>
    <w:qFormat/>
    <w:rsid w:val="002343D4"/>
    <w:pPr>
      <w:spacing w:after="280"/>
      <w:ind w:left="482" w:right="397" w:hanging="85"/>
    </w:pPr>
  </w:style>
  <w:style w:type="character" w:customStyle="1" w:styleId="QuoteChar">
    <w:name w:val="Quote Char"/>
    <w:basedOn w:val="DefaultParagraphFont"/>
    <w:link w:val="Quote"/>
    <w:rsid w:val="002343D4"/>
    <w:rPr>
      <w:rFonts w:ascii="Cambria" w:eastAsia="Times New Roman" w:hAnsi="Cambria" w:cs="Times New Roman"/>
      <w:snapToGrid w:val="0"/>
      <w:kern w:val="16"/>
      <w:szCs w:val="24"/>
    </w:rPr>
  </w:style>
  <w:style w:type="paragraph" w:customStyle="1" w:styleId="Bullet2">
    <w:name w:val="Bullet 2"/>
    <w:basedOn w:val="Normal"/>
    <w:rsid w:val="002343D4"/>
    <w:pPr>
      <w:numPr>
        <w:numId w:val="17"/>
      </w:numPr>
      <w:spacing w:line="240" w:lineRule="auto"/>
      <w:jc w:val="both"/>
    </w:pPr>
    <w:rPr>
      <w:rFonts w:eastAsia="Times New Roman"/>
      <w:kern w:val="24"/>
      <w:szCs w:val="24"/>
      <w:lang w:eastAsia="en-AU"/>
    </w:rPr>
  </w:style>
  <w:style w:type="paragraph" w:customStyle="1" w:styleId="Source">
    <w:name w:val="Source"/>
    <w:basedOn w:val="Normal"/>
    <w:qFormat/>
    <w:rsid w:val="002343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jc w:val="both"/>
    </w:pPr>
    <w:rPr>
      <w:rFonts w:eastAsia="Times New Roman"/>
      <w:kern w:val="16"/>
      <w:sz w:val="16"/>
      <w:szCs w:val="24"/>
      <w:lang w:val="en-US" w:eastAsia="en-AU"/>
    </w:rPr>
  </w:style>
  <w:style w:type="character" w:customStyle="1" w:styleId="nowrap1">
    <w:name w:val="nowrap1"/>
    <w:rsid w:val="002343D4"/>
  </w:style>
  <w:style w:type="paragraph" w:customStyle="1" w:styleId="Bullet1">
    <w:name w:val="Bullet 1"/>
    <w:basedOn w:val="Normal"/>
    <w:rsid w:val="002343D4"/>
    <w:pPr>
      <w:numPr>
        <w:numId w:val="18"/>
      </w:numPr>
      <w:spacing w:after="0" w:line="240" w:lineRule="auto"/>
    </w:pPr>
    <w:rPr>
      <w:rFonts w:eastAsia="Times New Roman"/>
      <w:kern w:val="24"/>
      <w:lang w:eastAsia="en-AU"/>
    </w:rPr>
  </w:style>
  <w:style w:type="character" w:customStyle="1" w:styleId="A8">
    <w:name w:val="A8"/>
    <w:uiPriority w:val="99"/>
    <w:rsid w:val="002343D4"/>
    <w:rPr>
      <w:rFonts w:cs="Garamond"/>
      <w:color w:val="221E1F"/>
      <w:sz w:val="22"/>
      <w:szCs w:val="22"/>
    </w:rPr>
  </w:style>
  <w:style w:type="paragraph" w:customStyle="1" w:styleId="Comment2">
    <w:name w:val="Comment 2"/>
    <w:basedOn w:val="Normal"/>
    <w:qFormat/>
    <w:rsid w:val="002343D4"/>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kern w:val="16"/>
      <w:lang w:eastAsia="en-AU"/>
    </w:rPr>
  </w:style>
  <w:style w:type="paragraph" w:customStyle="1" w:styleId="Comment1">
    <w:name w:val="Comment 1"/>
    <w:basedOn w:val="Normal"/>
    <w:next w:val="Comment2"/>
    <w:qFormat/>
    <w:rsid w:val="002343D4"/>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kern w:val="16"/>
      <w:lang w:eastAsia="en-AU"/>
    </w:rPr>
  </w:style>
  <w:style w:type="paragraph" w:styleId="BodyText">
    <w:name w:val="Body Text"/>
    <w:basedOn w:val="Normal"/>
    <w:link w:val="BodyTextChar"/>
    <w:semiHidden/>
    <w:rsid w:val="002343D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b/>
      <w:bCs/>
      <w:lang w:val="en-US"/>
    </w:rPr>
  </w:style>
  <w:style w:type="character" w:customStyle="1" w:styleId="BodyTextChar">
    <w:name w:val="Body Text Char"/>
    <w:basedOn w:val="DefaultParagraphFont"/>
    <w:link w:val="BodyText"/>
    <w:semiHidden/>
    <w:rsid w:val="002343D4"/>
    <w:rPr>
      <w:rFonts w:ascii="Cambria" w:eastAsia="Times New Roman" w:hAnsi="Cambria" w:cs="Times New Roman"/>
      <w:b/>
      <w:bCs/>
      <w:lang w:val="en-US"/>
    </w:rPr>
  </w:style>
  <w:style w:type="paragraph" w:customStyle="1" w:styleId="Heading0inTOC">
    <w:name w:val="Heading 0 (in TOC)"/>
    <w:basedOn w:val="Heading1"/>
    <w:next w:val="Normal"/>
    <w:rsid w:val="002343D4"/>
    <w:pPr>
      <w:keepLines w:val="0"/>
      <w:spacing w:before="0" w:after="120" w:line="240" w:lineRule="auto"/>
    </w:pPr>
    <w:rPr>
      <w:rFonts w:ascii="Cambria" w:hAnsi="Cambria" w:cs="Times New Roman"/>
      <w:bCs w:val="0"/>
      <w:sz w:val="22"/>
      <w:szCs w:val="24"/>
      <w:lang w:eastAsia="en-AU"/>
    </w:rPr>
  </w:style>
  <w:style w:type="character" w:styleId="PageNumber">
    <w:name w:val="page number"/>
    <w:rsid w:val="002343D4"/>
    <w:rPr>
      <w:sz w:val="20"/>
    </w:rPr>
  </w:style>
  <w:style w:type="paragraph" w:customStyle="1" w:styleId="TableBullet">
    <w:name w:val="Table Bullet"/>
    <w:basedOn w:val="Normal"/>
    <w:rsid w:val="002343D4"/>
    <w:pPr>
      <w:numPr>
        <w:numId w:val="1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sz w:val="20"/>
      <w:szCs w:val="24"/>
      <w:lang w:eastAsia="en-AU"/>
    </w:rPr>
  </w:style>
  <w:style w:type="paragraph" w:styleId="TOC4">
    <w:name w:val="toc 4"/>
    <w:basedOn w:val="Normal"/>
    <w:next w:val="Normal"/>
    <w:uiPriority w:val="39"/>
    <w:rsid w:val="002343D4"/>
    <w:pPr>
      <w:tabs>
        <w:tab w:val="left" w:pos="1247"/>
        <w:tab w:val="right" w:leader="dot" w:pos="9356"/>
      </w:tabs>
      <w:spacing w:before="0" w:after="0" w:line="240" w:lineRule="auto"/>
      <w:ind w:left="1247" w:hanging="907"/>
    </w:pPr>
    <w:rPr>
      <w:rFonts w:eastAsia="Times New Roman"/>
      <w:sz w:val="20"/>
      <w:szCs w:val="24"/>
      <w:lang w:eastAsia="en-AU"/>
    </w:rPr>
  </w:style>
  <w:style w:type="paragraph" w:styleId="TOC5">
    <w:name w:val="toc 5"/>
    <w:basedOn w:val="Normal"/>
    <w:next w:val="Normal"/>
    <w:uiPriority w:val="39"/>
    <w:rsid w:val="002343D4"/>
    <w:pPr>
      <w:spacing w:before="0" w:after="0" w:line="240" w:lineRule="auto"/>
      <w:ind w:left="454"/>
    </w:pPr>
    <w:rPr>
      <w:rFonts w:eastAsia="Times New Roman"/>
      <w:sz w:val="20"/>
      <w:szCs w:val="24"/>
      <w:lang w:eastAsia="en-AU"/>
    </w:rPr>
  </w:style>
  <w:style w:type="paragraph" w:styleId="TOC6">
    <w:name w:val="toc 6"/>
    <w:basedOn w:val="Normal"/>
    <w:next w:val="Normal"/>
    <w:uiPriority w:val="39"/>
    <w:rsid w:val="002343D4"/>
    <w:pPr>
      <w:spacing w:before="0" w:after="0" w:line="240" w:lineRule="auto"/>
      <w:ind w:left="567"/>
    </w:pPr>
    <w:rPr>
      <w:rFonts w:eastAsia="Times New Roman"/>
      <w:sz w:val="20"/>
      <w:szCs w:val="24"/>
      <w:lang w:eastAsia="en-AU"/>
    </w:rPr>
  </w:style>
  <w:style w:type="paragraph" w:styleId="TOC7">
    <w:name w:val="toc 7"/>
    <w:basedOn w:val="Normal"/>
    <w:next w:val="Normal"/>
    <w:uiPriority w:val="39"/>
    <w:rsid w:val="002343D4"/>
    <w:pPr>
      <w:spacing w:before="0" w:after="0" w:line="240" w:lineRule="auto"/>
      <w:ind w:left="680"/>
    </w:pPr>
    <w:rPr>
      <w:rFonts w:eastAsia="Times New Roman"/>
      <w:sz w:val="20"/>
      <w:szCs w:val="24"/>
      <w:lang w:eastAsia="en-AU"/>
    </w:rPr>
  </w:style>
  <w:style w:type="paragraph" w:styleId="TOC8">
    <w:name w:val="toc 8"/>
    <w:basedOn w:val="Normal"/>
    <w:next w:val="Normal"/>
    <w:uiPriority w:val="39"/>
    <w:rsid w:val="002343D4"/>
    <w:pPr>
      <w:spacing w:before="0" w:after="0" w:line="240" w:lineRule="auto"/>
      <w:ind w:left="907"/>
    </w:pPr>
    <w:rPr>
      <w:rFonts w:eastAsia="Times New Roman"/>
      <w:sz w:val="20"/>
      <w:szCs w:val="24"/>
      <w:lang w:eastAsia="en-AU"/>
    </w:rPr>
  </w:style>
  <w:style w:type="paragraph" w:styleId="TOC9">
    <w:name w:val="toc 9"/>
    <w:basedOn w:val="Normal"/>
    <w:next w:val="Normal"/>
    <w:uiPriority w:val="39"/>
    <w:rsid w:val="002343D4"/>
    <w:pPr>
      <w:spacing w:before="0" w:after="0" w:line="240" w:lineRule="auto"/>
      <w:ind w:left="1134"/>
    </w:pPr>
    <w:rPr>
      <w:rFonts w:eastAsia="Times New Roman"/>
      <w:sz w:val="20"/>
      <w:szCs w:val="24"/>
      <w:lang w:eastAsia="en-AU"/>
    </w:rPr>
  </w:style>
  <w:style w:type="paragraph" w:customStyle="1" w:styleId="Abbreviations">
    <w:name w:val="Abbreviations"/>
    <w:basedOn w:val="Normal"/>
    <w:rsid w:val="002343D4"/>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szCs w:val="24"/>
      <w:lang w:eastAsia="en-AU"/>
    </w:rPr>
  </w:style>
  <w:style w:type="paragraph" w:styleId="TableofFigures">
    <w:name w:val="table of figures"/>
    <w:basedOn w:val="Normal"/>
    <w:next w:val="Normal"/>
    <w:uiPriority w:val="99"/>
    <w:rsid w:val="002343D4"/>
    <w:pPr>
      <w:spacing w:before="0" w:after="0" w:line="240" w:lineRule="auto"/>
      <w:ind w:left="1134" w:hanging="1134"/>
    </w:pPr>
    <w:rPr>
      <w:rFonts w:eastAsia="Times New Roman" w:cs="Calibri"/>
      <w:szCs w:val="20"/>
      <w:lang w:eastAsia="en-AU"/>
    </w:rPr>
  </w:style>
  <w:style w:type="paragraph" w:customStyle="1" w:styleId="CommentDot">
    <w:name w:val="Comment Dot"/>
    <w:basedOn w:val="Comment2"/>
    <w:qFormat/>
    <w:rsid w:val="002343D4"/>
    <w:pPr>
      <w:numPr>
        <w:numId w:val="20"/>
      </w:numPr>
      <w:tabs>
        <w:tab w:val="clear" w:pos="1134"/>
      </w:tabs>
      <w:spacing w:before="120"/>
      <w:ind w:left="1418" w:hanging="284"/>
    </w:pPr>
    <w:rPr>
      <w:rFonts w:cs="Arial"/>
      <w:kern w:val="0"/>
    </w:rPr>
  </w:style>
  <w:style w:type="paragraph" w:customStyle="1" w:styleId="Instructions1">
    <w:name w:val="Instructions 1"/>
    <w:basedOn w:val="Normal"/>
    <w:qFormat/>
    <w:rsid w:val="002343D4"/>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lang w:eastAsia="en-AU"/>
    </w:rPr>
  </w:style>
  <w:style w:type="paragraph" w:customStyle="1" w:styleId="Instructions2">
    <w:name w:val="Instructions 2"/>
    <w:basedOn w:val="Normal"/>
    <w:qFormat/>
    <w:rsid w:val="002343D4"/>
    <w:pPr>
      <w:numPr>
        <w:numId w:val="2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lang w:eastAsia="en-AU"/>
    </w:rPr>
  </w:style>
  <w:style w:type="paragraph" w:customStyle="1" w:styleId="Contentslist1">
    <w:name w:val="Contents list 1"/>
    <w:basedOn w:val="Normal"/>
    <w:qFormat/>
    <w:rsid w:val="002343D4"/>
    <w:pPr>
      <w:tabs>
        <w:tab w:val="right" w:leader="dot" w:pos="9356"/>
      </w:tabs>
      <w:spacing w:line="240" w:lineRule="auto"/>
    </w:pPr>
    <w:rPr>
      <w:rFonts w:eastAsia="Times New Roman"/>
      <w:b/>
      <w:sz w:val="20"/>
      <w:szCs w:val="24"/>
      <w:lang w:eastAsia="en-AU"/>
    </w:rPr>
  </w:style>
  <w:style w:type="paragraph" w:customStyle="1" w:styleId="Contentslist2">
    <w:name w:val="Contents list 2"/>
    <w:basedOn w:val="Contentslist1"/>
    <w:qFormat/>
    <w:rsid w:val="002343D4"/>
    <w:pPr>
      <w:spacing w:before="0" w:after="0"/>
    </w:pPr>
    <w:rPr>
      <w:b w:val="0"/>
    </w:rPr>
  </w:style>
  <w:style w:type="character" w:customStyle="1" w:styleId="Char">
    <w:name w:val="Char"/>
    <w:rsid w:val="002343D4"/>
    <w:rPr>
      <w:rFonts w:ascii="Cambria" w:eastAsia="MS Mincho" w:hAnsi="Cambria"/>
      <w:kern w:val="16"/>
      <w:sz w:val="22"/>
      <w:szCs w:val="24"/>
      <w:lang w:val="en-AU" w:eastAsia="en-AU" w:bidi="ar-SA"/>
    </w:rPr>
  </w:style>
  <w:style w:type="character" w:customStyle="1" w:styleId="Bullet1CharCharCharCharCharCharCharCharCharChar">
    <w:name w:val="Bullet 1 Char Char Char Char Char Char Char Char Char Char"/>
    <w:link w:val="Bullet1CharCharCharCharCharCharCharCharChar"/>
    <w:rsid w:val="002343D4"/>
    <w:rPr>
      <w:kern w:val="24"/>
      <w:szCs w:val="24"/>
      <w:lang w:eastAsia="en-AU"/>
    </w:rPr>
  </w:style>
  <w:style w:type="paragraph" w:customStyle="1" w:styleId="Bullet1CharCharCharCharCharCharCharCharChar">
    <w:name w:val="Bullet 1 Char Char Char Char Char Char Char Char Char"/>
    <w:basedOn w:val="Normal"/>
    <w:link w:val="Bullet1CharCharCharCharCharCharCharCharCharChar"/>
    <w:rsid w:val="002343D4"/>
    <w:pPr>
      <w:tabs>
        <w:tab w:val="num" w:pos="284"/>
      </w:tabs>
      <w:spacing w:after="0" w:line="240" w:lineRule="auto"/>
      <w:ind w:left="284" w:hanging="284"/>
    </w:pPr>
    <w:rPr>
      <w:rFonts w:asciiTheme="minorHAnsi" w:eastAsiaTheme="minorHAnsi" w:hAnsiTheme="minorHAnsi" w:cstheme="minorBidi"/>
      <w:kern w:val="24"/>
      <w:szCs w:val="24"/>
      <w:lang w:eastAsia="en-AU"/>
    </w:rPr>
  </w:style>
  <w:style w:type="paragraph" w:customStyle="1" w:styleId="t1">
    <w:name w:val="t1"/>
    <w:basedOn w:val="Normal"/>
    <w:rsid w:val="002343D4"/>
    <w:pPr>
      <w:spacing w:before="0" w:after="0" w:line="280" w:lineRule="atLeast"/>
    </w:pPr>
    <w:rPr>
      <w:rFonts w:ascii="Times New Roman" w:eastAsia="Times New Roman" w:hAnsi="Times New Roman"/>
      <w:sz w:val="24"/>
      <w:szCs w:val="20"/>
      <w:lang w:val="en-US"/>
    </w:rPr>
  </w:style>
  <w:style w:type="paragraph" w:customStyle="1" w:styleId="p7">
    <w:name w:val="p7"/>
    <w:basedOn w:val="Normal"/>
    <w:rsid w:val="002343D4"/>
    <w:pPr>
      <w:tabs>
        <w:tab w:val="left" w:pos="380"/>
      </w:tabs>
      <w:spacing w:before="0" w:after="0" w:line="280" w:lineRule="atLeast"/>
      <w:ind w:left="1008" w:hanging="432"/>
    </w:pPr>
    <w:rPr>
      <w:rFonts w:ascii="Times New Roman" w:eastAsia="Times New Roman" w:hAnsi="Times New Roman"/>
      <w:sz w:val="24"/>
      <w:szCs w:val="20"/>
      <w:lang w:val="en-US"/>
    </w:rPr>
  </w:style>
  <w:style w:type="paragraph" w:customStyle="1" w:styleId="TableParagraph">
    <w:name w:val="Table Paragraph"/>
    <w:basedOn w:val="Normal"/>
    <w:uiPriority w:val="1"/>
    <w:qFormat/>
    <w:rsid w:val="002343D4"/>
    <w:pPr>
      <w:autoSpaceDE w:val="0"/>
      <w:autoSpaceDN w:val="0"/>
      <w:adjustRightInd w:val="0"/>
      <w:spacing w:before="0" w:after="0" w:line="240" w:lineRule="auto"/>
    </w:pPr>
    <w:rPr>
      <w:rFonts w:ascii="Times New Roman" w:hAnsi="Times New Roman"/>
      <w:sz w:val="24"/>
      <w:szCs w:val="24"/>
    </w:rPr>
  </w:style>
  <w:style w:type="paragraph" w:customStyle="1" w:styleId="SectionHeading">
    <w:name w:val="Section Heading"/>
    <w:basedOn w:val="Standard"/>
    <w:next w:val="Standard"/>
    <w:link w:val="SectionHeadingCharChar"/>
    <w:rsid w:val="002343D4"/>
    <w:pPr>
      <w:keepNext/>
      <w:outlineLvl w:val="0"/>
    </w:pPr>
    <w:rPr>
      <w:b/>
      <w:caps/>
    </w:rPr>
  </w:style>
  <w:style w:type="character" w:customStyle="1" w:styleId="SectionHeadingCharChar">
    <w:name w:val="Section Heading Char Char"/>
    <w:basedOn w:val="DefaultParagraphFont"/>
    <w:link w:val="SectionHeading"/>
    <w:rsid w:val="002343D4"/>
    <w:rPr>
      <w:rFonts w:ascii="Cambria" w:eastAsia="Times New Roman" w:hAnsi="Cambria" w:cs="Times New Roman"/>
      <w:b/>
      <w:caps/>
      <w:snapToGrid w:val="0"/>
      <w:kern w:val="16"/>
      <w:szCs w:val="24"/>
    </w:rPr>
  </w:style>
  <w:style w:type="character" w:styleId="Emphasis">
    <w:name w:val="Emphasis"/>
    <w:basedOn w:val="DefaultParagraphFont"/>
    <w:uiPriority w:val="20"/>
    <w:qFormat/>
    <w:rsid w:val="002343D4"/>
    <w:rPr>
      <w:i/>
      <w:iCs/>
    </w:rPr>
  </w:style>
  <w:style w:type="paragraph" w:styleId="PlainText">
    <w:name w:val="Plain Text"/>
    <w:basedOn w:val="Normal"/>
    <w:link w:val="PlainTextChar"/>
    <w:uiPriority w:val="99"/>
    <w:semiHidden/>
    <w:unhideWhenUsed/>
    <w:rsid w:val="002343D4"/>
    <w:pPr>
      <w:spacing w:before="0" w:after="0" w:line="240" w:lineRule="auto"/>
    </w:pPr>
    <w:rPr>
      <w:rFonts w:ascii="Calibri" w:eastAsiaTheme="minorHAnsi" w:hAnsi="Calibri" w:cstheme="minorBidi"/>
      <w:szCs w:val="21"/>
    </w:rPr>
  </w:style>
  <w:style w:type="character" w:customStyle="1" w:styleId="PlainTextChar">
    <w:name w:val="Plain Text Char"/>
    <w:basedOn w:val="DefaultParagraphFont"/>
    <w:link w:val="PlainText"/>
    <w:uiPriority w:val="99"/>
    <w:semiHidden/>
    <w:rsid w:val="002343D4"/>
    <w:rPr>
      <w:rFonts w:ascii="Calibri" w:hAnsi="Calibri"/>
      <w:szCs w:val="21"/>
    </w:rPr>
  </w:style>
  <w:style w:type="paragraph" w:customStyle="1" w:styleId="CM21">
    <w:name w:val="CM21"/>
    <w:basedOn w:val="Default"/>
    <w:next w:val="Default"/>
    <w:uiPriority w:val="99"/>
    <w:rsid w:val="002343D4"/>
    <w:rPr>
      <w:rFonts w:eastAsia="Cambria"/>
      <w:color w:val="auto"/>
    </w:rPr>
  </w:style>
  <w:style w:type="paragraph" w:customStyle="1" w:styleId="Tabletitle0">
    <w:name w:val="Table title"/>
    <w:basedOn w:val="Normal"/>
    <w:next w:val="Normal"/>
    <w:rsid w:val="00493AFB"/>
    <w:pPr>
      <w:keepNext/>
      <w:spacing w:after="180"/>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23286">
      <w:bodyDiv w:val="1"/>
      <w:marLeft w:val="0"/>
      <w:marRight w:val="0"/>
      <w:marTop w:val="0"/>
      <w:marBottom w:val="0"/>
      <w:divBdr>
        <w:top w:val="none" w:sz="0" w:space="0" w:color="auto"/>
        <w:left w:val="none" w:sz="0" w:space="0" w:color="auto"/>
        <w:bottom w:val="none" w:sz="0" w:space="0" w:color="auto"/>
        <w:right w:val="none" w:sz="0" w:space="0" w:color="auto"/>
      </w:divBdr>
    </w:div>
    <w:div w:id="57481303">
      <w:bodyDiv w:val="1"/>
      <w:marLeft w:val="0"/>
      <w:marRight w:val="0"/>
      <w:marTop w:val="0"/>
      <w:marBottom w:val="0"/>
      <w:divBdr>
        <w:top w:val="none" w:sz="0" w:space="0" w:color="auto"/>
        <w:left w:val="none" w:sz="0" w:space="0" w:color="auto"/>
        <w:bottom w:val="none" w:sz="0" w:space="0" w:color="auto"/>
        <w:right w:val="none" w:sz="0" w:space="0" w:color="auto"/>
      </w:divBdr>
    </w:div>
    <w:div w:id="81340173">
      <w:bodyDiv w:val="1"/>
      <w:marLeft w:val="0"/>
      <w:marRight w:val="0"/>
      <w:marTop w:val="0"/>
      <w:marBottom w:val="0"/>
      <w:divBdr>
        <w:top w:val="none" w:sz="0" w:space="0" w:color="auto"/>
        <w:left w:val="none" w:sz="0" w:space="0" w:color="auto"/>
        <w:bottom w:val="none" w:sz="0" w:space="0" w:color="auto"/>
        <w:right w:val="none" w:sz="0" w:space="0" w:color="auto"/>
      </w:divBdr>
    </w:div>
    <w:div w:id="83500525">
      <w:bodyDiv w:val="1"/>
      <w:marLeft w:val="0"/>
      <w:marRight w:val="0"/>
      <w:marTop w:val="0"/>
      <w:marBottom w:val="0"/>
      <w:divBdr>
        <w:top w:val="none" w:sz="0" w:space="0" w:color="auto"/>
        <w:left w:val="none" w:sz="0" w:space="0" w:color="auto"/>
        <w:bottom w:val="none" w:sz="0" w:space="0" w:color="auto"/>
        <w:right w:val="none" w:sz="0" w:space="0" w:color="auto"/>
      </w:divBdr>
    </w:div>
    <w:div w:id="115174444">
      <w:bodyDiv w:val="1"/>
      <w:marLeft w:val="0"/>
      <w:marRight w:val="0"/>
      <w:marTop w:val="0"/>
      <w:marBottom w:val="0"/>
      <w:divBdr>
        <w:top w:val="none" w:sz="0" w:space="0" w:color="auto"/>
        <w:left w:val="none" w:sz="0" w:space="0" w:color="auto"/>
        <w:bottom w:val="none" w:sz="0" w:space="0" w:color="auto"/>
        <w:right w:val="none" w:sz="0" w:space="0" w:color="auto"/>
      </w:divBdr>
    </w:div>
    <w:div w:id="215170521">
      <w:bodyDiv w:val="1"/>
      <w:marLeft w:val="0"/>
      <w:marRight w:val="0"/>
      <w:marTop w:val="0"/>
      <w:marBottom w:val="0"/>
      <w:divBdr>
        <w:top w:val="none" w:sz="0" w:space="0" w:color="auto"/>
        <w:left w:val="none" w:sz="0" w:space="0" w:color="auto"/>
        <w:bottom w:val="none" w:sz="0" w:space="0" w:color="auto"/>
        <w:right w:val="none" w:sz="0" w:space="0" w:color="auto"/>
      </w:divBdr>
    </w:div>
    <w:div w:id="223180411">
      <w:bodyDiv w:val="1"/>
      <w:marLeft w:val="0"/>
      <w:marRight w:val="0"/>
      <w:marTop w:val="0"/>
      <w:marBottom w:val="0"/>
      <w:divBdr>
        <w:top w:val="none" w:sz="0" w:space="0" w:color="auto"/>
        <w:left w:val="none" w:sz="0" w:space="0" w:color="auto"/>
        <w:bottom w:val="none" w:sz="0" w:space="0" w:color="auto"/>
        <w:right w:val="none" w:sz="0" w:space="0" w:color="auto"/>
      </w:divBdr>
    </w:div>
    <w:div w:id="236748122">
      <w:bodyDiv w:val="1"/>
      <w:marLeft w:val="0"/>
      <w:marRight w:val="0"/>
      <w:marTop w:val="0"/>
      <w:marBottom w:val="0"/>
      <w:divBdr>
        <w:top w:val="none" w:sz="0" w:space="0" w:color="auto"/>
        <w:left w:val="none" w:sz="0" w:space="0" w:color="auto"/>
        <w:bottom w:val="none" w:sz="0" w:space="0" w:color="auto"/>
        <w:right w:val="none" w:sz="0" w:space="0" w:color="auto"/>
      </w:divBdr>
    </w:div>
    <w:div w:id="292176333">
      <w:bodyDiv w:val="1"/>
      <w:marLeft w:val="0"/>
      <w:marRight w:val="0"/>
      <w:marTop w:val="0"/>
      <w:marBottom w:val="0"/>
      <w:divBdr>
        <w:top w:val="none" w:sz="0" w:space="0" w:color="auto"/>
        <w:left w:val="none" w:sz="0" w:space="0" w:color="auto"/>
        <w:bottom w:val="none" w:sz="0" w:space="0" w:color="auto"/>
        <w:right w:val="none" w:sz="0" w:space="0" w:color="auto"/>
      </w:divBdr>
    </w:div>
    <w:div w:id="365495687">
      <w:bodyDiv w:val="1"/>
      <w:marLeft w:val="0"/>
      <w:marRight w:val="0"/>
      <w:marTop w:val="0"/>
      <w:marBottom w:val="0"/>
      <w:divBdr>
        <w:top w:val="none" w:sz="0" w:space="0" w:color="auto"/>
        <w:left w:val="none" w:sz="0" w:space="0" w:color="auto"/>
        <w:bottom w:val="none" w:sz="0" w:space="0" w:color="auto"/>
        <w:right w:val="none" w:sz="0" w:space="0" w:color="auto"/>
      </w:divBdr>
    </w:div>
    <w:div w:id="414472838">
      <w:bodyDiv w:val="1"/>
      <w:marLeft w:val="0"/>
      <w:marRight w:val="0"/>
      <w:marTop w:val="0"/>
      <w:marBottom w:val="0"/>
      <w:divBdr>
        <w:top w:val="none" w:sz="0" w:space="0" w:color="auto"/>
        <w:left w:val="none" w:sz="0" w:space="0" w:color="auto"/>
        <w:bottom w:val="none" w:sz="0" w:space="0" w:color="auto"/>
        <w:right w:val="none" w:sz="0" w:space="0" w:color="auto"/>
      </w:divBdr>
    </w:div>
    <w:div w:id="474613389">
      <w:bodyDiv w:val="1"/>
      <w:marLeft w:val="0"/>
      <w:marRight w:val="0"/>
      <w:marTop w:val="0"/>
      <w:marBottom w:val="0"/>
      <w:divBdr>
        <w:top w:val="none" w:sz="0" w:space="0" w:color="auto"/>
        <w:left w:val="none" w:sz="0" w:space="0" w:color="auto"/>
        <w:bottom w:val="none" w:sz="0" w:space="0" w:color="auto"/>
        <w:right w:val="none" w:sz="0" w:space="0" w:color="auto"/>
      </w:divBdr>
    </w:div>
    <w:div w:id="624777285">
      <w:bodyDiv w:val="1"/>
      <w:marLeft w:val="0"/>
      <w:marRight w:val="0"/>
      <w:marTop w:val="0"/>
      <w:marBottom w:val="0"/>
      <w:divBdr>
        <w:top w:val="none" w:sz="0" w:space="0" w:color="auto"/>
        <w:left w:val="none" w:sz="0" w:space="0" w:color="auto"/>
        <w:bottom w:val="none" w:sz="0" w:space="0" w:color="auto"/>
        <w:right w:val="none" w:sz="0" w:space="0" w:color="auto"/>
      </w:divBdr>
    </w:div>
    <w:div w:id="689456011">
      <w:bodyDiv w:val="1"/>
      <w:marLeft w:val="0"/>
      <w:marRight w:val="0"/>
      <w:marTop w:val="0"/>
      <w:marBottom w:val="0"/>
      <w:divBdr>
        <w:top w:val="none" w:sz="0" w:space="0" w:color="auto"/>
        <w:left w:val="none" w:sz="0" w:space="0" w:color="auto"/>
        <w:bottom w:val="none" w:sz="0" w:space="0" w:color="auto"/>
        <w:right w:val="none" w:sz="0" w:space="0" w:color="auto"/>
      </w:divBdr>
    </w:div>
    <w:div w:id="781414090">
      <w:bodyDiv w:val="1"/>
      <w:marLeft w:val="0"/>
      <w:marRight w:val="0"/>
      <w:marTop w:val="0"/>
      <w:marBottom w:val="0"/>
      <w:divBdr>
        <w:top w:val="none" w:sz="0" w:space="0" w:color="auto"/>
        <w:left w:val="none" w:sz="0" w:space="0" w:color="auto"/>
        <w:bottom w:val="none" w:sz="0" w:space="0" w:color="auto"/>
        <w:right w:val="none" w:sz="0" w:space="0" w:color="auto"/>
      </w:divBdr>
    </w:div>
    <w:div w:id="785467760">
      <w:bodyDiv w:val="1"/>
      <w:marLeft w:val="0"/>
      <w:marRight w:val="0"/>
      <w:marTop w:val="0"/>
      <w:marBottom w:val="0"/>
      <w:divBdr>
        <w:top w:val="none" w:sz="0" w:space="0" w:color="auto"/>
        <w:left w:val="none" w:sz="0" w:space="0" w:color="auto"/>
        <w:bottom w:val="none" w:sz="0" w:space="0" w:color="auto"/>
        <w:right w:val="none" w:sz="0" w:space="0" w:color="auto"/>
      </w:divBdr>
    </w:div>
    <w:div w:id="811674238">
      <w:bodyDiv w:val="1"/>
      <w:marLeft w:val="0"/>
      <w:marRight w:val="0"/>
      <w:marTop w:val="0"/>
      <w:marBottom w:val="0"/>
      <w:divBdr>
        <w:top w:val="none" w:sz="0" w:space="0" w:color="auto"/>
        <w:left w:val="none" w:sz="0" w:space="0" w:color="auto"/>
        <w:bottom w:val="none" w:sz="0" w:space="0" w:color="auto"/>
        <w:right w:val="none" w:sz="0" w:space="0" w:color="auto"/>
      </w:divBdr>
    </w:div>
    <w:div w:id="888610052">
      <w:bodyDiv w:val="1"/>
      <w:marLeft w:val="0"/>
      <w:marRight w:val="0"/>
      <w:marTop w:val="0"/>
      <w:marBottom w:val="0"/>
      <w:divBdr>
        <w:top w:val="none" w:sz="0" w:space="0" w:color="auto"/>
        <w:left w:val="none" w:sz="0" w:space="0" w:color="auto"/>
        <w:bottom w:val="none" w:sz="0" w:space="0" w:color="auto"/>
        <w:right w:val="none" w:sz="0" w:space="0" w:color="auto"/>
      </w:divBdr>
    </w:div>
    <w:div w:id="898441335">
      <w:bodyDiv w:val="1"/>
      <w:marLeft w:val="0"/>
      <w:marRight w:val="0"/>
      <w:marTop w:val="0"/>
      <w:marBottom w:val="0"/>
      <w:divBdr>
        <w:top w:val="none" w:sz="0" w:space="0" w:color="auto"/>
        <w:left w:val="none" w:sz="0" w:space="0" w:color="auto"/>
        <w:bottom w:val="none" w:sz="0" w:space="0" w:color="auto"/>
        <w:right w:val="none" w:sz="0" w:space="0" w:color="auto"/>
      </w:divBdr>
    </w:div>
    <w:div w:id="918826573">
      <w:bodyDiv w:val="1"/>
      <w:marLeft w:val="0"/>
      <w:marRight w:val="0"/>
      <w:marTop w:val="0"/>
      <w:marBottom w:val="0"/>
      <w:divBdr>
        <w:top w:val="none" w:sz="0" w:space="0" w:color="auto"/>
        <w:left w:val="none" w:sz="0" w:space="0" w:color="auto"/>
        <w:bottom w:val="none" w:sz="0" w:space="0" w:color="auto"/>
        <w:right w:val="none" w:sz="0" w:space="0" w:color="auto"/>
      </w:divBdr>
    </w:div>
    <w:div w:id="929316891">
      <w:bodyDiv w:val="1"/>
      <w:marLeft w:val="0"/>
      <w:marRight w:val="0"/>
      <w:marTop w:val="0"/>
      <w:marBottom w:val="0"/>
      <w:divBdr>
        <w:top w:val="none" w:sz="0" w:space="0" w:color="auto"/>
        <w:left w:val="none" w:sz="0" w:space="0" w:color="auto"/>
        <w:bottom w:val="none" w:sz="0" w:space="0" w:color="auto"/>
        <w:right w:val="none" w:sz="0" w:space="0" w:color="auto"/>
      </w:divBdr>
    </w:div>
    <w:div w:id="1055736320">
      <w:bodyDiv w:val="1"/>
      <w:marLeft w:val="0"/>
      <w:marRight w:val="0"/>
      <w:marTop w:val="0"/>
      <w:marBottom w:val="0"/>
      <w:divBdr>
        <w:top w:val="none" w:sz="0" w:space="0" w:color="auto"/>
        <w:left w:val="none" w:sz="0" w:space="0" w:color="auto"/>
        <w:bottom w:val="none" w:sz="0" w:space="0" w:color="auto"/>
        <w:right w:val="none" w:sz="0" w:space="0" w:color="auto"/>
      </w:divBdr>
    </w:div>
    <w:div w:id="1086226241">
      <w:bodyDiv w:val="1"/>
      <w:marLeft w:val="0"/>
      <w:marRight w:val="0"/>
      <w:marTop w:val="0"/>
      <w:marBottom w:val="0"/>
      <w:divBdr>
        <w:top w:val="none" w:sz="0" w:space="0" w:color="auto"/>
        <w:left w:val="none" w:sz="0" w:space="0" w:color="auto"/>
        <w:bottom w:val="none" w:sz="0" w:space="0" w:color="auto"/>
        <w:right w:val="none" w:sz="0" w:space="0" w:color="auto"/>
      </w:divBdr>
      <w:divsChild>
        <w:div w:id="1755394680">
          <w:marLeft w:val="0"/>
          <w:marRight w:val="0"/>
          <w:marTop w:val="0"/>
          <w:marBottom w:val="0"/>
          <w:divBdr>
            <w:top w:val="none" w:sz="0" w:space="0" w:color="auto"/>
            <w:left w:val="none" w:sz="0" w:space="0" w:color="auto"/>
            <w:bottom w:val="none" w:sz="0" w:space="0" w:color="auto"/>
            <w:right w:val="none" w:sz="0" w:space="0" w:color="auto"/>
          </w:divBdr>
          <w:divsChild>
            <w:div w:id="1478105709">
              <w:marLeft w:val="0"/>
              <w:marRight w:val="0"/>
              <w:marTop w:val="0"/>
              <w:marBottom w:val="0"/>
              <w:divBdr>
                <w:top w:val="none" w:sz="0" w:space="0" w:color="auto"/>
                <w:left w:val="none" w:sz="0" w:space="0" w:color="auto"/>
                <w:bottom w:val="none" w:sz="0" w:space="0" w:color="auto"/>
                <w:right w:val="none" w:sz="0" w:space="0" w:color="auto"/>
              </w:divBdr>
              <w:divsChild>
                <w:div w:id="1675643982">
                  <w:marLeft w:val="0"/>
                  <w:marRight w:val="0"/>
                  <w:marTop w:val="0"/>
                  <w:marBottom w:val="0"/>
                  <w:divBdr>
                    <w:top w:val="none" w:sz="0" w:space="0" w:color="auto"/>
                    <w:left w:val="none" w:sz="0" w:space="0" w:color="auto"/>
                    <w:bottom w:val="none" w:sz="0" w:space="0" w:color="auto"/>
                    <w:right w:val="none" w:sz="0" w:space="0" w:color="auto"/>
                  </w:divBdr>
                  <w:divsChild>
                    <w:div w:id="1801995952">
                      <w:marLeft w:val="0"/>
                      <w:marRight w:val="0"/>
                      <w:marTop w:val="0"/>
                      <w:marBottom w:val="0"/>
                      <w:divBdr>
                        <w:top w:val="none" w:sz="0" w:space="0" w:color="auto"/>
                        <w:left w:val="none" w:sz="0" w:space="0" w:color="auto"/>
                        <w:bottom w:val="none" w:sz="0" w:space="0" w:color="auto"/>
                        <w:right w:val="none" w:sz="0" w:space="0" w:color="auto"/>
                      </w:divBdr>
                      <w:divsChild>
                        <w:div w:id="1455175083">
                          <w:marLeft w:val="0"/>
                          <w:marRight w:val="0"/>
                          <w:marTop w:val="0"/>
                          <w:marBottom w:val="0"/>
                          <w:divBdr>
                            <w:top w:val="none" w:sz="0" w:space="0" w:color="auto"/>
                            <w:left w:val="none" w:sz="0" w:space="0" w:color="auto"/>
                            <w:bottom w:val="none" w:sz="0" w:space="0" w:color="auto"/>
                            <w:right w:val="none" w:sz="0" w:space="0" w:color="auto"/>
                          </w:divBdr>
                          <w:divsChild>
                            <w:div w:id="164588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442298">
      <w:bodyDiv w:val="1"/>
      <w:marLeft w:val="0"/>
      <w:marRight w:val="0"/>
      <w:marTop w:val="0"/>
      <w:marBottom w:val="0"/>
      <w:divBdr>
        <w:top w:val="none" w:sz="0" w:space="0" w:color="auto"/>
        <w:left w:val="none" w:sz="0" w:space="0" w:color="auto"/>
        <w:bottom w:val="none" w:sz="0" w:space="0" w:color="auto"/>
        <w:right w:val="none" w:sz="0" w:space="0" w:color="auto"/>
      </w:divBdr>
    </w:div>
    <w:div w:id="1182208524">
      <w:bodyDiv w:val="1"/>
      <w:marLeft w:val="0"/>
      <w:marRight w:val="0"/>
      <w:marTop w:val="0"/>
      <w:marBottom w:val="0"/>
      <w:divBdr>
        <w:top w:val="none" w:sz="0" w:space="0" w:color="auto"/>
        <w:left w:val="none" w:sz="0" w:space="0" w:color="auto"/>
        <w:bottom w:val="none" w:sz="0" w:space="0" w:color="auto"/>
        <w:right w:val="none" w:sz="0" w:space="0" w:color="auto"/>
      </w:divBdr>
    </w:div>
    <w:div w:id="1197040479">
      <w:bodyDiv w:val="1"/>
      <w:marLeft w:val="0"/>
      <w:marRight w:val="0"/>
      <w:marTop w:val="0"/>
      <w:marBottom w:val="0"/>
      <w:divBdr>
        <w:top w:val="none" w:sz="0" w:space="0" w:color="auto"/>
        <w:left w:val="none" w:sz="0" w:space="0" w:color="auto"/>
        <w:bottom w:val="none" w:sz="0" w:space="0" w:color="auto"/>
        <w:right w:val="none" w:sz="0" w:space="0" w:color="auto"/>
      </w:divBdr>
    </w:div>
    <w:div w:id="1238973845">
      <w:bodyDiv w:val="1"/>
      <w:marLeft w:val="0"/>
      <w:marRight w:val="0"/>
      <w:marTop w:val="0"/>
      <w:marBottom w:val="0"/>
      <w:divBdr>
        <w:top w:val="none" w:sz="0" w:space="0" w:color="auto"/>
        <w:left w:val="none" w:sz="0" w:space="0" w:color="auto"/>
        <w:bottom w:val="none" w:sz="0" w:space="0" w:color="auto"/>
        <w:right w:val="none" w:sz="0" w:space="0" w:color="auto"/>
      </w:divBdr>
    </w:div>
    <w:div w:id="1255818081">
      <w:bodyDiv w:val="1"/>
      <w:marLeft w:val="0"/>
      <w:marRight w:val="0"/>
      <w:marTop w:val="0"/>
      <w:marBottom w:val="0"/>
      <w:divBdr>
        <w:top w:val="none" w:sz="0" w:space="0" w:color="auto"/>
        <w:left w:val="none" w:sz="0" w:space="0" w:color="auto"/>
        <w:bottom w:val="none" w:sz="0" w:space="0" w:color="auto"/>
        <w:right w:val="none" w:sz="0" w:space="0" w:color="auto"/>
      </w:divBdr>
    </w:div>
    <w:div w:id="1304852171">
      <w:bodyDiv w:val="1"/>
      <w:marLeft w:val="0"/>
      <w:marRight w:val="0"/>
      <w:marTop w:val="0"/>
      <w:marBottom w:val="0"/>
      <w:divBdr>
        <w:top w:val="none" w:sz="0" w:space="0" w:color="auto"/>
        <w:left w:val="none" w:sz="0" w:space="0" w:color="auto"/>
        <w:bottom w:val="none" w:sz="0" w:space="0" w:color="auto"/>
        <w:right w:val="none" w:sz="0" w:space="0" w:color="auto"/>
      </w:divBdr>
    </w:div>
    <w:div w:id="1362320770">
      <w:bodyDiv w:val="1"/>
      <w:marLeft w:val="0"/>
      <w:marRight w:val="0"/>
      <w:marTop w:val="0"/>
      <w:marBottom w:val="0"/>
      <w:divBdr>
        <w:top w:val="none" w:sz="0" w:space="0" w:color="auto"/>
        <w:left w:val="none" w:sz="0" w:space="0" w:color="auto"/>
        <w:bottom w:val="none" w:sz="0" w:space="0" w:color="auto"/>
        <w:right w:val="none" w:sz="0" w:space="0" w:color="auto"/>
      </w:divBdr>
    </w:div>
    <w:div w:id="1388841046">
      <w:bodyDiv w:val="1"/>
      <w:marLeft w:val="0"/>
      <w:marRight w:val="0"/>
      <w:marTop w:val="0"/>
      <w:marBottom w:val="0"/>
      <w:divBdr>
        <w:top w:val="none" w:sz="0" w:space="0" w:color="auto"/>
        <w:left w:val="none" w:sz="0" w:space="0" w:color="auto"/>
        <w:bottom w:val="none" w:sz="0" w:space="0" w:color="auto"/>
        <w:right w:val="none" w:sz="0" w:space="0" w:color="auto"/>
      </w:divBdr>
    </w:div>
    <w:div w:id="1395355886">
      <w:bodyDiv w:val="1"/>
      <w:marLeft w:val="0"/>
      <w:marRight w:val="0"/>
      <w:marTop w:val="0"/>
      <w:marBottom w:val="0"/>
      <w:divBdr>
        <w:top w:val="none" w:sz="0" w:space="0" w:color="auto"/>
        <w:left w:val="none" w:sz="0" w:space="0" w:color="auto"/>
        <w:bottom w:val="none" w:sz="0" w:space="0" w:color="auto"/>
        <w:right w:val="none" w:sz="0" w:space="0" w:color="auto"/>
      </w:divBdr>
    </w:div>
    <w:div w:id="1406998177">
      <w:bodyDiv w:val="1"/>
      <w:marLeft w:val="0"/>
      <w:marRight w:val="0"/>
      <w:marTop w:val="0"/>
      <w:marBottom w:val="0"/>
      <w:divBdr>
        <w:top w:val="none" w:sz="0" w:space="0" w:color="auto"/>
        <w:left w:val="none" w:sz="0" w:space="0" w:color="auto"/>
        <w:bottom w:val="none" w:sz="0" w:space="0" w:color="auto"/>
        <w:right w:val="none" w:sz="0" w:space="0" w:color="auto"/>
      </w:divBdr>
    </w:div>
    <w:div w:id="1478766688">
      <w:bodyDiv w:val="1"/>
      <w:marLeft w:val="0"/>
      <w:marRight w:val="0"/>
      <w:marTop w:val="0"/>
      <w:marBottom w:val="0"/>
      <w:divBdr>
        <w:top w:val="none" w:sz="0" w:space="0" w:color="auto"/>
        <w:left w:val="none" w:sz="0" w:space="0" w:color="auto"/>
        <w:bottom w:val="none" w:sz="0" w:space="0" w:color="auto"/>
        <w:right w:val="none" w:sz="0" w:space="0" w:color="auto"/>
      </w:divBdr>
    </w:div>
    <w:div w:id="1506167243">
      <w:bodyDiv w:val="1"/>
      <w:marLeft w:val="0"/>
      <w:marRight w:val="0"/>
      <w:marTop w:val="0"/>
      <w:marBottom w:val="0"/>
      <w:divBdr>
        <w:top w:val="none" w:sz="0" w:space="0" w:color="auto"/>
        <w:left w:val="none" w:sz="0" w:space="0" w:color="auto"/>
        <w:bottom w:val="none" w:sz="0" w:space="0" w:color="auto"/>
        <w:right w:val="none" w:sz="0" w:space="0" w:color="auto"/>
      </w:divBdr>
    </w:div>
    <w:div w:id="1528979252">
      <w:bodyDiv w:val="1"/>
      <w:marLeft w:val="0"/>
      <w:marRight w:val="0"/>
      <w:marTop w:val="0"/>
      <w:marBottom w:val="0"/>
      <w:divBdr>
        <w:top w:val="none" w:sz="0" w:space="0" w:color="auto"/>
        <w:left w:val="none" w:sz="0" w:space="0" w:color="auto"/>
        <w:bottom w:val="none" w:sz="0" w:space="0" w:color="auto"/>
        <w:right w:val="none" w:sz="0" w:space="0" w:color="auto"/>
      </w:divBdr>
    </w:div>
    <w:div w:id="1805151934">
      <w:bodyDiv w:val="1"/>
      <w:marLeft w:val="0"/>
      <w:marRight w:val="0"/>
      <w:marTop w:val="0"/>
      <w:marBottom w:val="0"/>
      <w:divBdr>
        <w:top w:val="none" w:sz="0" w:space="0" w:color="auto"/>
        <w:left w:val="none" w:sz="0" w:space="0" w:color="auto"/>
        <w:bottom w:val="none" w:sz="0" w:space="0" w:color="auto"/>
        <w:right w:val="none" w:sz="0" w:space="0" w:color="auto"/>
      </w:divBdr>
    </w:div>
    <w:div w:id="1820414435">
      <w:bodyDiv w:val="1"/>
      <w:marLeft w:val="0"/>
      <w:marRight w:val="0"/>
      <w:marTop w:val="0"/>
      <w:marBottom w:val="0"/>
      <w:divBdr>
        <w:top w:val="none" w:sz="0" w:space="0" w:color="auto"/>
        <w:left w:val="none" w:sz="0" w:space="0" w:color="auto"/>
        <w:bottom w:val="none" w:sz="0" w:space="0" w:color="auto"/>
        <w:right w:val="none" w:sz="0" w:space="0" w:color="auto"/>
      </w:divBdr>
    </w:div>
    <w:div w:id="1908801701">
      <w:bodyDiv w:val="1"/>
      <w:marLeft w:val="0"/>
      <w:marRight w:val="0"/>
      <w:marTop w:val="0"/>
      <w:marBottom w:val="0"/>
      <w:divBdr>
        <w:top w:val="none" w:sz="0" w:space="0" w:color="auto"/>
        <w:left w:val="none" w:sz="0" w:space="0" w:color="auto"/>
        <w:bottom w:val="none" w:sz="0" w:space="0" w:color="auto"/>
        <w:right w:val="none" w:sz="0" w:space="0" w:color="auto"/>
      </w:divBdr>
    </w:div>
    <w:div w:id="1926109031">
      <w:bodyDiv w:val="1"/>
      <w:marLeft w:val="0"/>
      <w:marRight w:val="0"/>
      <w:marTop w:val="0"/>
      <w:marBottom w:val="0"/>
      <w:divBdr>
        <w:top w:val="none" w:sz="0" w:space="0" w:color="auto"/>
        <w:left w:val="none" w:sz="0" w:space="0" w:color="auto"/>
        <w:bottom w:val="none" w:sz="0" w:space="0" w:color="auto"/>
        <w:right w:val="none" w:sz="0" w:space="0" w:color="auto"/>
      </w:divBdr>
    </w:div>
    <w:div w:id="1949463352">
      <w:bodyDiv w:val="1"/>
      <w:marLeft w:val="0"/>
      <w:marRight w:val="0"/>
      <w:marTop w:val="0"/>
      <w:marBottom w:val="0"/>
      <w:divBdr>
        <w:top w:val="none" w:sz="0" w:space="0" w:color="auto"/>
        <w:left w:val="none" w:sz="0" w:space="0" w:color="auto"/>
        <w:bottom w:val="none" w:sz="0" w:space="0" w:color="auto"/>
        <w:right w:val="none" w:sz="0" w:space="0" w:color="auto"/>
      </w:divBdr>
    </w:div>
    <w:div w:id="1961524938">
      <w:bodyDiv w:val="1"/>
      <w:marLeft w:val="0"/>
      <w:marRight w:val="0"/>
      <w:marTop w:val="0"/>
      <w:marBottom w:val="0"/>
      <w:divBdr>
        <w:top w:val="none" w:sz="0" w:space="0" w:color="auto"/>
        <w:left w:val="none" w:sz="0" w:space="0" w:color="auto"/>
        <w:bottom w:val="none" w:sz="0" w:space="0" w:color="auto"/>
        <w:right w:val="none" w:sz="0" w:space="0" w:color="auto"/>
      </w:divBdr>
    </w:div>
    <w:div w:id="2011829428">
      <w:bodyDiv w:val="1"/>
      <w:marLeft w:val="0"/>
      <w:marRight w:val="0"/>
      <w:marTop w:val="0"/>
      <w:marBottom w:val="0"/>
      <w:divBdr>
        <w:top w:val="none" w:sz="0" w:space="0" w:color="auto"/>
        <w:left w:val="none" w:sz="0" w:space="0" w:color="auto"/>
        <w:bottom w:val="none" w:sz="0" w:space="0" w:color="auto"/>
        <w:right w:val="none" w:sz="0" w:space="0" w:color="auto"/>
      </w:divBdr>
    </w:div>
    <w:div w:id="2056656535">
      <w:bodyDiv w:val="1"/>
      <w:marLeft w:val="0"/>
      <w:marRight w:val="0"/>
      <w:marTop w:val="0"/>
      <w:marBottom w:val="0"/>
      <w:divBdr>
        <w:top w:val="none" w:sz="0" w:space="0" w:color="auto"/>
        <w:left w:val="none" w:sz="0" w:space="0" w:color="auto"/>
        <w:bottom w:val="none" w:sz="0" w:space="0" w:color="auto"/>
        <w:right w:val="none" w:sz="0" w:space="0" w:color="auto"/>
      </w:divBdr>
    </w:div>
    <w:div w:id="206498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0.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accessdata.fda.gov/scripts/cder/drugsatfda/index.cfm?fuseaction=Search.DrugDetails" TargetMode="External"/><Relationship Id="rId34" Type="http://schemas.openxmlformats.org/officeDocument/2006/relationships/header" Target="header6.xml"/><Relationship Id="rId47" Type="http://schemas.microsoft.com/office/2011/relationships/people" Target="peop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hyperlink" Target="https://www.tga.gov.au" TargetMode="External"/><Relationship Id="rId38" Type="http://schemas.openxmlformats.org/officeDocument/2006/relationships/footer" Target="footer4.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5.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hyperlink" Target="mailto:info@tga.gov.au" TargetMode="External"/><Relationship Id="rId37" Type="http://schemas.openxmlformats.org/officeDocument/2006/relationships/header" Target="header8.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header" Target="header3.xml"/><Relationship Id="rId36" Type="http://schemas.openxmlformats.org/officeDocument/2006/relationships/footer" Target="footer3.xml"/><Relationship Id="rId10" Type="http://schemas.openxmlformats.org/officeDocument/2006/relationships/hyperlink" Target="mailto:tga.copyright@tga.gov.au" TargetMode="External"/><Relationship Id="rId19" Type="http://schemas.microsoft.com/office/2007/relationships/hdphoto" Target="media/hdphoto2.wdp"/><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6.png"/><Relationship Id="rId27" Type="http://schemas.openxmlformats.org/officeDocument/2006/relationships/hyperlink" Target="https://www.tga.gov.au/product-information-pi" TargetMode="External"/><Relationship Id="rId30" Type="http://schemas.openxmlformats.org/officeDocument/2006/relationships/header" Target="header5.xml"/><Relationship Id="rId35" Type="http://schemas.openxmlformats.org/officeDocument/2006/relationships/header" Target="header7.xml"/><Relationship Id="rId48" Type="http://schemas.microsoft.com/office/2011/relationships/commentsExtended" Target="commentsExtended.xml"/></Relationships>
</file>

<file path=word/_rels/footnotes.xml.rels><?xml version="1.0" encoding="UTF-8" standalone="yes"?>
<Relationships xmlns="http://schemas.openxmlformats.org/package/2006/relationships"><Relationship Id="rId2" Type="http://schemas.openxmlformats.org/officeDocument/2006/relationships/hyperlink" Target="http://www.ncbi.nlm.nih.gov/pubmed/10721003" TargetMode="External"/><Relationship Id="rId1" Type="http://schemas.openxmlformats.org/officeDocument/2006/relationships/hyperlink" Target="http://www.ncbi.nlm.nih.gov/pubmed/881373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1204\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CA03CF-9ECC-4C11-9B7A-AAEF72E63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26</TotalTime>
  <Pages>77</Pages>
  <Words>28607</Words>
  <Characters>163065</Characters>
  <Application>Microsoft Office Word</Application>
  <DocSecurity>0</DocSecurity>
  <Lines>1358</Lines>
  <Paragraphs>382</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Company>
  <LinksUpToDate>false</LinksUpToDate>
  <CharactersWithSpaces>191290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dc:title>
  <dc:subject>prescription medicine regulation</dc:subject>
  <dc:creator> Therapeutic Goods Administration</dc:creator>
  <cp:keywords>AusPARs</cp:keywords>
  <cp:lastModifiedBy>Therapeutic Goods Administration (TGA) </cp:lastModifiedBy>
  <cp:revision>7</cp:revision>
  <cp:lastPrinted>2018-01-23T22:53:00Z</cp:lastPrinted>
  <dcterms:created xsi:type="dcterms:W3CDTF">2018-02-28T01:47:00Z</dcterms:created>
  <dcterms:modified xsi:type="dcterms:W3CDTF">2018-03-13T02:01:00Z</dcterms:modified>
  <cp:category>external publication</cp:category>
</cp:coreProperties>
</file>