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3E" w:rsidRPr="00E14359" w:rsidRDefault="00636A0F" w:rsidP="00636A0F">
      <w:pPr>
        <w:pStyle w:val="Heading1"/>
        <w:rPr>
          <w:rFonts w:cs="Times New Roman"/>
        </w:rPr>
      </w:pPr>
      <w:proofErr w:type="spellStart"/>
      <w:r w:rsidRPr="00E14359">
        <w:rPr>
          <w:rFonts w:cs="Times New Roman"/>
        </w:rPr>
        <w:t>Z</w:t>
      </w:r>
      <w:r w:rsidR="005A07BD" w:rsidRPr="00E14359">
        <w:rPr>
          <w:rFonts w:cs="Times New Roman"/>
        </w:rPr>
        <w:t>onegran</w:t>
      </w:r>
      <w:proofErr w:type="spellEnd"/>
      <w:r w:rsidR="00576E76" w:rsidRPr="00E14359">
        <w:rPr>
          <w:rFonts w:cs="Times New Roman"/>
          <w:vertAlign w:val="superscript"/>
        </w:rPr>
        <w:t>®</w:t>
      </w:r>
      <w:r w:rsidR="004B623E" w:rsidRPr="00E14359">
        <w:rPr>
          <w:rFonts w:cs="Times New Roman"/>
        </w:rPr>
        <w:t xml:space="preserve"> Product Information</w:t>
      </w:r>
    </w:p>
    <w:p w:rsidR="00694EB0" w:rsidRPr="0024249E" w:rsidRDefault="00694EB0" w:rsidP="0024249E">
      <w:pPr>
        <w:pStyle w:val="Heading2"/>
      </w:pPr>
      <w:r w:rsidRPr="00E14359">
        <w:t>Name of the medicine</w:t>
      </w:r>
    </w:p>
    <w:p w:rsidR="00694EB0" w:rsidRPr="00E14359" w:rsidRDefault="005A07BD" w:rsidP="00636A0F">
      <w:pPr>
        <w:rPr>
          <w:lang w:eastAsia="ja-JP"/>
        </w:rPr>
      </w:pPr>
      <w:proofErr w:type="spellStart"/>
      <w:r w:rsidRPr="00E14359">
        <w:t>Zonisamide</w:t>
      </w:r>
      <w:proofErr w:type="spellEnd"/>
      <w:r w:rsidR="009E33C5" w:rsidRPr="00E14359">
        <w:t xml:space="preserve"> (INN, AAN)</w:t>
      </w:r>
    </w:p>
    <w:p w:rsidR="009E33C5" w:rsidRPr="00E14359" w:rsidRDefault="009E33C5" w:rsidP="00636A0F">
      <w:proofErr w:type="spellStart"/>
      <w:r w:rsidRPr="00E14359">
        <w:t>Zonisamide</w:t>
      </w:r>
      <w:proofErr w:type="spellEnd"/>
      <w:r w:rsidRPr="00E14359">
        <w:t xml:space="preserve"> has a molecular formula C</w:t>
      </w:r>
      <w:r w:rsidRPr="00E14359">
        <w:rPr>
          <w:vertAlign w:val="subscript"/>
        </w:rPr>
        <w:t>8</w:t>
      </w:r>
      <w:r w:rsidRPr="00E14359">
        <w:t>H</w:t>
      </w:r>
      <w:r w:rsidRPr="00E14359">
        <w:rPr>
          <w:vertAlign w:val="subscript"/>
        </w:rPr>
        <w:t>8</w:t>
      </w:r>
      <w:r w:rsidRPr="00E14359">
        <w:t>N</w:t>
      </w:r>
      <w:r w:rsidRPr="00E14359">
        <w:rPr>
          <w:vertAlign w:val="subscript"/>
        </w:rPr>
        <w:t>2</w:t>
      </w:r>
      <w:r w:rsidRPr="00E14359">
        <w:t>O</w:t>
      </w:r>
      <w:r w:rsidRPr="00E14359">
        <w:rPr>
          <w:vertAlign w:val="subscript"/>
        </w:rPr>
        <w:t>3</w:t>
      </w:r>
      <w:r w:rsidRPr="00E14359">
        <w:t xml:space="preserve">S and a molecular weight of 212.23. </w:t>
      </w:r>
      <w:r w:rsidR="00A15EF0" w:rsidRPr="00E14359">
        <w:t xml:space="preserve"> </w:t>
      </w:r>
      <w:r w:rsidR="00930CB8" w:rsidRPr="00E14359">
        <w:t>The chemical structure is:</w:t>
      </w:r>
    </w:p>
    <w:p w:rsidR="00930CB8" w:rsidRPr="00E14359" w:rsidRDefault="0024249E" w:rsidP="00930CB8">
      <w:r w:rsidRPr="00E14359">
        <w:object w:dxaOrig="2381"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of zonisamide" style="width:119.25pt;height:90pt" o:ole="">
            <v:imagedata r:id="rId8" o:title=""/>
          </v:shape>
          <o:OLEObject Type="Embed" ProgID="ACD.ChemSketch.20" ShapeID="_x0000_i1025" DrawAspect="Content" ObjectID="_1442838256" r:id="rId9"/>
        </w:object>
      </w:r>
    </w:p>
    <w:p w:rsidR="009E33C5" w:rsidRPr="00E14359" w:rsidRDefault="009E33C5" w:rsidP="00636A0F">
      <w:r w:rsidRPr="00E14359">
        <w:t xml:space="preserve">CAS: 68291-97-4 </w:t>
      </w:r>
    </w:p>
    <w:p w:rsidR="00694EB0" w:rsidRPr="00E14359" w:rsidRDefault="00694EB0" w:rsidP="0024249E">
      <w:pPr>
        <w:pStyle w:val="Heading2"/>
      </w:pPr>
      <w:r w:rsidRPr="00E14359">
        <w:t>Description</w:t>
      </w:r>
    </w:p>
    <w:p w:rsidR="00F8040B" w:rsidRPr="00E14359" w:rsidRDefault="009E33C5" w:rsidP="00636A0F">
      <w:pPr>
        <w:tabs>
          <w:tab w:val="left" w:pos="-1985"/>
        </w:tabs>
      </w:pPr>
      <w:r w:rsidRPr="00E14359">
        <w:t>Zonisamide forms white to pale yellow crystals or a crystalline powder.  It is freely soluble in acetone, sparingly soluble in methanol, slightly soluble in ethanol and very slightly soluble in water, diethyl ether and chloroform.</w:t>
      </w:r>
    </w:p>
    <w:p w:rsidR="009E33C5" w:rsidRPr="00E14359" w:rsidRDefault="009E33C5" w:rsidP="009E33C5">
      <w:r w:rsidRPr="00E14359">
        <w:t>The inactive ingredients in Zonegran include microcrystalline cellulose, hydrogenated vegetable oil and sodium lauryl sulphate.  The hard capsule shells contain gelatin, titanium dioxide (E171)</w:t>
      </w:r>
      <w:r w:rsidR="0035033B" w:rsidRPr="00E14359">
        <w:t>, shellac, propylene glycol, potassium hydroxide and</w:t>
      </w:r>
      <w:r w:rsidR="00200FF3" w:rsidRPr="00E14359">
        <w:t xml:space="preserve"> black iron oxide (E172)</w:t>
      </w:r>
      <w:r w:rsidR="0035033B" w:rsidRPr="00E14359">
        <w:t xml:space="preserve"> </w:t>
      </w:r>
      <w:r w:rsidR="00715EE8" w:rsidRPr="00E14359">
        <w:rPr>
          <w:lang w:eastAsia="ja-JP"/>
        </w:rPr>
        <w:t>(only in 50</w:t>
      </w:r>
      <w:r w:rsidR="007B6FA1" w:rsidRPr="00E14359">
        <w:t> </w:t>
      </w:r>
      <w:r w:rsidR="00715EE8" w:rsidRPr="00E14359">
        <w:rPr>
          <w:lang w:eastAsia="ja-JP"/>
        </w:rPr>
        <w:t>mg capsules)</w:t>
      </w:r>
      <w:r w:rsidR="00200FF3" w:rsidRPr="00E14359">
        <w:t>, sunset yellow FCF (E110</w:t>
      </w:r>
      <w:r w:rsidR="003F0AFF" w:rsidRPr="00E14359">
        <w:t>)</w:t>
      </w:r>
      <w:r w:rsidR="00715EE8" w:rsidRPr="00E14359">
        <w:rPr>
          <w:lang w:eastAsia="ja-JP"/>
        </w:rPr>
        <w:t xml:space="preserve"> (only in 100</w:t>
      </w:r>
      <w:r w:rsidR="007B6FA1" w:rsidRPr="00E14359">
        <w:t> </w:t>
      </w:r>
      <w:r w:rsidR="00715EE8" w:rsidRPr="00E14359">
        <w:rPr>
          <w:lang w:eastAsia="ja-JP"/>
        </w:rPr>
        <w:t>mg capsules)</w:t>
      </w:r>
      <w:r w:rsidR="003F0AFF" w:rsidRPr="00E14359">
        <w:t xml:space="preserve"> and allura red AC (E129)</w:t>
      </w:r>
      <w:r w:rsidR="00715EE8" w:rsidRPr="00E14359">
        <w:rPr>
          <w:lang w:eastAsia="ja-JP"/>
        </w:rPr>
        <w:t xml:space="preserve"> (only in 100</w:t>
      </w:r>
      <w:r w:rsidR="007B6FA1" w:rsidRPr="00E14359">
        <w:t> </w:t>
      </w:r>
      <w:r w:rsidR="00715EE8" w:rsidRPr="00E14359">
        <w:rPr>
          <w:lang w:eastAsia="ja-JP"/>
        </w:rPr>
        <w:t>mg capsules)</w:t>
      </w:r>
      <w:r w:rsidR="003F0AFF" w:rsidRPr="00E14359">
        <w:t>.</w:t>
      </w:r>
    </w:p>
    <w:p w:rsidR="00694EB0" w:rsidRPr="00E14359" w:rsidRDefault="00694EB0" w:rsidP="0024249E">
      <w:pPr>
        <w:pStyle w:val="Heading2"/>
      </w:pPr>
      <w:r w:rsidRPr="00E14359">
        <w:t>Pharmacology</w:t>
      </w:r>
    </w:p>
    <w:p w:rsidR="00FC2CA9" w:rsidRPr="00E14359" w:rsidRDefault="00FC2CA9" w:rsidP="00636A0F">
      <w:r w:rsidRPr="00E14359">
        <w:t>Zonisamide is</w:t>
      </w:r>
      <w:r w:rsidR="00474653" w:rsidRPr="00E14359">
        <w:t xml:space="preserve"> a</w:t>
      </w:r>
      <w:r w:rsidRPr="00E14359">
        <w:t xml:space="preserve"> </w:t>
      </w:r>
      <w:r w:rsidR="00474653" w:rsidRPr="00E14359">
        <w:t>b</w:t>
      </w:r>
      <w:r w:rsidRPr="00E14359">
        <w:t xml:space="preserve">enzisoxazole derivative.  It is an </w:t>
      </w:r>
      <w:r w:rsidR="00930CDC" w:rsidRPr="00E14359">
        <w:t>antiepileptic</w:t>
      </w:r>
      <w:r w:rsidRPr="00E14359">
        <w:t xml:space="preserve"> medicine with weak carbonic anhydrase </w:t>
      </w:r>
      <w:r w:rsidR="00BD2DC1" w:rsidRPr="00E14359">
        <w:t xml:space="preserve">inhibiting </w:t>
      </w:r>
      <w:r w:rsidRPr="00E14359">
        <w:t xml:space="preserve">activity </w:t>
      </w:r>
      <w:r w:rsidR="00C71915" w:rsidRPr="00E14359">
        <w:rPr>
          <w:i/>
        </w:rPr>
        <w:t xml:space="preserve">in </w:t>
      </w:r>
      <w:r w:rsidRPr="00E14359">
        <w:rPr>
          <w:i/>
        </w:rPr>
        <w:t>vitro</w:t>
      </w:r>
      <w:r w:rsidRPr="00E14359">
        <w:t xml:space="preserve">.  It is chemically unrelated to other </w:t>
      </w:r>
      <w:r w:rsidR="00930CDC" w:rsidRPr="00E14359">
        <w:t>antiepileptic</w:t>
      </w:r>
      <w:r w:rsidRPr="00E14359">
        <w:t xml:space="preserve"> agents.</w:t>
      </w:r>
    </w:p>
    <w:p w:rsidR="00FC2CA9" w:rsidRPr="0024249E" w:rsidRDefault="00FC2CA9" w:rsidP="0024249E">
      <w:pPr>
        <w:pStyle w:val="Heading3"/>
      </w:pPr>
      <w:proofErr w:type="spellStart"/>
      <w:r w:rsidRPr="0024249E">
        <w:t>Pharmacodynamics</w:t>
      </w:r>
      <w:proofErr w:type="spellEnd"/>
    </w:p>
    <w:p w:rsidR="008A6EE9" w:rsidRPr="00E14359" w:rsidRDefault="008A6EE9" w:rsidP="008A6EE9">
      <w:r w:rsidRPr="00E14359">
        <w:t xml:space="preserve">Zonisamide exhibits broad-spectrum anticonvulsant activity in a variety of animal models characterised by induced or innate seizures; it is effective against tonic (but not clonic) seizures, raises generalised seizure threshold, shortens cortical focal seizure duration, and suppresses interictal spikes and secondarily generalised seizures.  Zonisamide restricts seizure spread, including propagation of seizures from the </w:t>
      </w:r>
      <w:r w:rsidR="00942A42" w:rsidRPr="00E14359">
        <w:t xml:space="preserve">cortex to </w:t>
      </w:r>
      <w:r w:rsidRPr="00E14359">
        <w:t>sub-cortical structures, and suppresses epileptogenic focus activity.  Unlike phe</w:t>
      </w:r>
      <w:r w:rsidR="00942A42" w:rsidRPr="00E14359">
        <w:t>nytoin and carbamazepine</w:t>
      </w:r>
      <w:r w:rsidRPr="00E14359">
        <w:t>, zonisamide acts preferentially on seizures originating in the cortex.</w:t>
      </w:r>
    </w:p>
    <w:p w:rsidR="00261A4D" w:rsidRPr="00E14359" w:rsidRDefault="008A6EE9" w:rsidP="008A6EE9">
      <w:pPr>
        <w:sectPr w:rsidR="00261A4D" w:rsidRPr="00E14359" w:rsidSect="007F2B78">
          <w:headerReference w:type="default" r:id="rId10"/>
          <w:footerReference w:type="default" r:id="rId11"/>
          <w:pgSz w:w="11907" w:h="16840" w:code="9"/>
          <w:pgMar w:top="1418" w:right="1418" w:bottom="1418" w:left="1701" w:header="709" w:footer="709" w:gutter="0"/>
          <w:cols w:space="708"/>
          <w:docGrid w:linePitch="360"/>
        </w:sectPr>
      </w:pPr>
      <w:r w:rsidRPr="00E14359">
        <w:t>The mec</w:t>
      </w:r>
      <w:r w:rsidR="00942A42" w:rsidRPr="00E14359">
        <w:t>hanism of action of zonisamide ha</w:t>
      </w:r>
      <w:r w:rsidRPr="00E14359">
        <w:t xml:space="preserve">s not </w:t>
      </w:r>
      <w:r w:rsidR="00942A42" w:rsidRPr="00E14359">
        <w:t xml:space="preserve">been </w:t>
      </w:r>
      <w:r w:rsidRPr="00E14359">
        <w:t>fully elucidated, but it appears to act on voltage</w:t>
      </w:r>
      <w:r w:rsidRPr="00E14359">
        <w:noBreakHyphen/>
        <w:t xml:space="preserve">sensitive sodium and calcium channels, thereby disrupting synchronised </w:t>
      </w:r>
    </w:p>
    <w:p w:rsidR="008A6EE9" w:rsidRPr="00E14359" w:rsidRDefault="008A6EE9" w:rsidP="002D25E1">
      <w:r w:rsidRPr="00E14359">
        <w:lastRenderedPageBreak/>
        <w:t>neuronal firing, reducing the spread of seizure discharges and disrupting subsequent epileptic activity.  Zonisamide also has a modulatory effect on GABA</w:t>
      </w:r>
      <w:r w:rsidRPr="00E14359">
        <w:noBreakHyphen/>
        <w:t xml:space="preserve">mediated neuronal inhibition, and facilitates dopaminergic and </w:t>
      </w:r>
      <w:r w:rsidR="00C60688" w:rsidRPr="00E14359">
        <w:t>serotonergic neurotransmission.</w:t>
      </w:r>
      <w:r w:rsidRPr="00E14359">
        <w:t xml:space="preserve">  </w:t>
      </w:r>
    </w:p>
    <w:p w:rsidR="007B7938" w:rsidRPr="001D643A" w:rsidRDefault="00FC2CA9" w:rsidP="002D25E1">
      <w:pPr>
        <w:pStyle w:val="Heading3"/>
        <w:spacing w:before="120"/>
      </w:pPr>
      <w:r w:rsidRPr="001D643A">
        <w:t>Pharmacokinetics</w:t>
      </w:r>
    </w:p>
    <w:p w:rsidR="00E17EE8" w:rsidRPr="0024249E" w:rsidRDefault="00E17EE8" w:rsidP="0024249E">
      <w:pPr>
        <w:pStyle w:val="Heading4"/>
      </w:pPr>
      <w:r w:rsidRPr="0024249E">
        <w:t>Absorption</w:t>
      </w:r>
    </w:p>
    <w:p w:rsidR="00E17EE8" w:rsidRPr="00E14359" w:rsidRDefault="00E17EE8" w:rsidP="00636A0F">
      <w:proofErr w:type="spellStart"/>
      <w:r w:rsidRPr="00E14359">
        <w:t>Zonisamide</w:t>
      </w:r>
      <w:proofErr w:type="spellEnd"/>
      <w:r w:rsidRPr="00E14359">
        <w:t xml:space="preserve"> is almost completely absorbed after oral administration, generally reaching peak serum or plasma concentrations within 2 to 5 hours of dosing.  </w:t>
      </w:r>
      <w:r w:rsidR="00C60688" w:rsidRPr="00E14359">
        <w:t>F</w:t>
      </w:r>
      <w:r w:rsidRPr="00E14359">
        <w:t xml:space="preserve">irst-pass metabolism is believed to be negligible.  Absolute </w:t>
      </w:r>
      <w:r w:rsidR="00C60688" w:rsidRPr="00E14359">
        <w:t xml:space="preserve">oral </w:t>
      </w:r>
      <w:r w:rsidRPr="00E14359">
        <w:t>bioavailability is estimated to be approximately 100%</w:t>
      </w:r>
      <w:r w:rsidR="00C60688" w:rsidRPr="00E14359">
        <w:t xml:space="preserve"> and</w:t>
      </w:r>
      <w:r w:rsidRPr="00E14359">
        <w:t xml:space="preserve"> is not affected by food, although peak plasma and serum concentrations may be delayed.</w:t>
      </w:r>
    </w:p>
    <w:p w:rsidR="00E17EE8" w:rsidRPr="00E14359" w:rsidRDefault="00E17EE8" w:rsidP="00636A0F">
      <w:proofErr w:type="spellStart"/>
      <w:r w:rsidRPr="00E14359">
        <w:t>Zonisamide</w:t>
      </w:r>
      <w:proofErr w:type="spellEnd"/>
      <w:r w:rsidRPr="00E14359">
        <w:t xml:space="preserve"> </w:t>
      </w:r>
      <w:r w:rsidR="00C60688" w:rsidRPr="00E14359">
        <w:t xml:space="preserve">plasma </w:t>
      </w:r>
      <w:r w:rsidRPr="00E14359">
        <w:t>AUC and C</w:t>
      </w:r>
      <w:r w:rsidRPr="00E14359">
        <w:rPr>
          <w:vertAlign w:val="subscript"/>
        </w:rPr>
        <w:t>max</w:t>
      </w:r>
      <w:r w:rsidRPr="00E14359">
        <w:t xml:space="preserve"> values increased almost linearly after </w:t>
      </w:r>
      <w:r w:rsidR="00C60688" w:rsidRPr="00E14359">
        <w:t xml:space="preserve">a </w:t>
      </w:r>
      <w:r w:rsidRPr="00E14359">
        <w:t xml:space="preserve">single dose over the dose range of 100-800 mg and after multiple doses over the dose range of 100-400 mg once daily.  The increase </w:t>
      </w:r>
      <w:r w:rsidR="00240E0C" w:rsidRPr="00E14359">
        <w:t xml:space="preserve">following a single dose and </w:t>
      </w:r>
      <w:r w:rsidRPr="00E14359">
        <w:t xml:space="preserve">at steady state </w:t>
      </w:r>
      <w:r w:rsidR="000E0634" w:rsidRPr="00E14359">
        <w:t>were</w:t>
      </w:r>
      <w:r w:rsidRPr="00E14359">
        <w:t xml:space="preserve"> slightly more than expected on the basis of dose, probably due to the saturable binding of zonisamide to erythrocytes.  Steady state was achieved within 13 days</w:t>
      </w:r>
      <w:r w:rsidR="00D5131B" w:rsidRPr="00E14359">
        <w:t xml:space="preserve"> of a change in dose</w:t>
      </w:r>
      <w:r w:rsidRPr="00E14359">
        <w:t xml:space="preserve">.  </w:t>
      </w:r>
      <w:r w:rsidR="00D5131B" w:rsidRPr="00E14359">
        <w:t>Concentrations of zonisamide at steady state are up to six-fold higher than following an equivalent single dose at the recommended dosing interval.</w:t>
      </w:r>
    </w:p>
    <w:p w:rsidR="00E17EE8" w:rsidRPr="00E14359" w:rsidRDefault="00E17EE8" w:rsidP="0024249E">
      <w:pPr>
        <w:pStyle w:val="Heading4"/>
      </w:pPr>
      <w:r w:rsidRPr="00E14359">
        <w:t>Distribution</w:t>
      </w:r>
    </w:p>
    <w:p w:rsidR="00E17EE8" w:rsidRPr="00E14359" w:rsidRDefault="00E17EE8" w:rsidP="00636A0F">
      <w:r w:rsidRPr="00E14359">
        <w:t>Zonisamide is 40 </w:t>
      </w:r>
      <w:r w:rsidRPr="00E14359">
        <w:noBreakHyphen/>
        <w:t xml:space="preserve"> 50 % bound to human plasma proteins, with </w:t>
      </w:r>
      <w:r w:rsidRPr="00E14359">
        <w:rPr>
          <w:i/>
        </w:rPr>
        <w:t>in vitro</w:t>
      </w:r>
      <w:r w:rsidRPr="00E14359">
        <w:t xml:space="preserve"> studies showing that this is unaffected by the presence of various antiepileptic medicinal products (i.e., phenytoin, phenobarbitone, carbamazepine, and sodium valproate).  The apparent volume of distribution is about 1.1 – 1.7 l/kg in adults indicating that zonisamide is extensively distributed to tissues.  </w:t>
      </w:r>
      <w:r w:rsidR="008F653F" w:rsidRPr="00E14359">
        <w:t xml:space="preserve">Zonisamide binds saturably to </w:t>
      </w:r>
      <w:r w:rsidR="00DC771D" w:rsidRPr="00E14359">
        <w:t>erythrocytes</w:t>
      </w:r>
      <w:r w:rsidR="008F653F" w:rsidRPr="00E14359">
        <w:t>, and e</w:t>
      </w:r>
      <w:r w:rsidRPr="00E14359">
        <w:t xml:space="preserve">rythrocyte/plasma </w:t>
      </w:r>
      <w:r w:rsidR="008F653F" w:rsidRPr="00E14359">
        <w:t>C</w:t>
      </w:r>
      <w:r w:rsidR="008F653F" w:rsidRPr="00E14359">
        <w:rPr>
          <w:vertAlign w:val="subscript"/>
        </w:rPr>
        <w:t>max</w:t>
      </w:r>
      <w:r w:rsidR="008F653F" w:rsidRPr="00E14359">
        <w:t xml:space="preserve"> </w:t>
      </w:r>
      <w:r w:rsidRPr="00E14359">
        <w:t xml:space="preserve">ratios are about </w:t>
      </w:r>
      <w:r w:rsidR="008F653F" w:rsidRPr="00E14359">
        <w:t>11</w:t>
      </w:r>
      <w:r w:rsidRPr="00E14359">
        <w:t xml:space="preserve"> at low </w:t>
      </w:r>
      <w:r w:rsidR="008F653F" w:rsidRPr="00E14359">
        <w:t xml:space="preserve">drug </w:t>
      </w:r>
      <w:r w:rsidRPr="00E14359">
        <w:t xml:space="preserve">concentrations </w:t>
      </w:r>
      <w:r w:rsidR="008F653F" w:rsidRPr="00E14359">
        <w:t xml:space="preserve">in plasma </w:t>
      </w:r>
      <w:r w:rsidRPr="00E14359">
        <w:t xml:space="preserve">and about 3 at </w:t>
      </w:r>
      <w:r w:rsidR="000435E7" w:rsidRPr="00E14359">
        <w:t>therapeutic</w:t>
      </w:r>
      <w:r w:rsidRPr="00E14359">
        <w:t xml:space="preserve"> concentrations.</w:t>
      </w:r>
    </w:p>
    <w:p w:rsidR="00E17EE8" w:rsidRPr="00E14359" w:rsidRDefault="00E17EE8" w:rsidP="0024249E">
      <w:pPr>
        <w:pStyle w:val="Heading4"/>
      </w:pPr>
      <w:r w:rsidRPr="00E14359">
        <w:t>Metabolism</w:t>
      </w:r>
    </w:p>
    <w:p w:rsidR="00E17EE8" w:rsidRPr="00E14359" w:rsidRDefault="00E17EE8" w:rsidP="00636A0F">
      <w:r w:rsidRPr="00E14359">
        <w:t>Zonisamide is metabolised primarily through reductive cleavage of the benzisoxazole ring of the parent drug by CYP3A4 to form 2-sulphamoylacetylphenol (SMAP) and also by N</w:t>
      </w:r>
      <w:r w:rsidRPr="00E14359">
        <w:noBreakHyphen/>
        <w:t>acetylation</w:t>
      </w:r>
      <w:r w:rsidR="00572B83" w:rsidRPr="00E14359">
        <w:t xml:space="preserve"> to form N-acetyl zonisamide</w:t>
      </w:r>
      <w:r w:rsidRPr="00E14359">
        <w:t xml:space="preserve">.  Parent drug and SMAP can additionally be glucuronidated. </w:t>
      </w:r>
      <w:r w:rsidR="009F525E" w:rsidRPr="00E14359">
        <w:t xml:space="preserve"> </w:t>
      </w:r>
      <w:r w:rsidRPr="00E14359">
        <w:t>The metabolites, which could not be detected in plasma, are devoid of anticonvulsant activity.  There is no evidence that zonisamide induces its own metabolism.</w:t>
      </w:r>
    </w:p>
    <w:p w:rsidR="00E17EE8" w:rsidRPr="00E14359" w:rsidRDefault="00E17EE8" w:rsidP="0024249E">
      <w:pPr>
        <w:pStyle w:val="Heading4"/>
      </w:pPr>
      <w:r w:rsidRPr="00E14359">
        <w:t>Elimination</w:t>
      </w:r>
    </w:p>
    <w:p w:rsidR="00E17EE8" w:rsidRPr="00E14359" w:rsidRDefault="00E17EE8" w:rsidP="00636A0F">
      <w:r w:rsidRPr="00E14359">
        <w:t xml:space="preserve">Apparent clearance of zonisamide </w:t>
      </w:r>
      <w:r w:rsidR="000E0634" w:rsidRPr="00E14359">
        <w:t xml:space="preserve">from plasma </w:t>
      </w:r>
      <w:r w:rsidRPr="00E14359">
        <w:t>at steady</w:t>
      </w:r>
      <w:r w:rsidRPr="00E14359">
        <w:noBreakHyphen/>
        <w:t>state after oral administration is about 0.70 l/h and the terminal elimination half</w:t>
      </w:r>
      <w:r w:rsidRPr="00E14359">
        <w:noBreakHyphen/>
        <w:t xml:space="preserve">life is about 60 hours in the absence of </w:t>
      </w:r>
      <w:r w:rsidR="000E0634" w:rsidRPr="00E14359">
        <w:t xml:space="preserve">concomitant therapy with </w:t>
      </w:r>
      <w:r w:rsidRPr="00E14359">
        <w:t xml:space="preserve">CYP3A4 inducers. </w:t>
      </w:r>
      <w:r w:rsidR="00BE654F" w:rsidRPr="00E14359">
        <w:t xml:space="preserve"> </w:t>
      </w:r>
      <w:r w:rsidR="00EE0E35" w:rsidRPr="00E14359">
        <w:t xml:space="preserve">However, the apparent clearance is increased by up to 2-fold in </w:t>
      </w:r>
      <w:r w:rsidR="00DC771D" w:rsidRPr="00E14359">
        <w:t>patients also</w:t>
      </w:r>
      <w:r w:rsidR="00EE0E35" w:rsidRPr="00E14359">
        <w:t xml:space="preserve"> </w:t>
      </w:r>
      <w:r w:rsidR="00DC771D" w:rsidRPr="00E14359">
        <w:t>receiving</w:t>
      </w:r>
      <w:r w:rsidR="00EE0E35" w:rsidRPr="00E14359">
        <w:t xml:space="preserve"> the antiepileptic drugs phenobarbitone, phenytoin, carbamazepine and/or sodium valproate, and elimination half</w:t>
      </w:r>
      <w:r w:rsidR="00363ED9" w:rsidRPr="00E14359">
        <w:t xml:space="preserve">-life is reduced by up to 50%.  </w:t>
      </w:r>
      <w:r w:rsidRPr="00E14359">
        <w:t xml:space="preserve">The elimination half-life </w:t>
      </w:r>
      <w:r w:rsidR="00363ED9" w:rsidRPr="00E14359">
        <w:t>is</w:t>
      </w:r>
      <w:r w:rsidRPr="00E14359">
        <w:t xml:space="preserve"> independent of dose and not affected by repeat administration.  Fluctuation in serum or plasma </w:t>
      </w:r>
      <w:r w:rsidR="00363ED9" w:rsidRPr="00E14359">
        <w:t xml:space="preserve">zonisamide </w:t>
      </w:r>
      <w:r w:rsidRPr="00E14359">
        <w:t xml:space="preserve">concentrations over a dosing interval is low (&lt; 30 %).  </w:t>
      </w:r>
      <w:r w:rsidR="00363ED9" w:rsidRPr="00E14359">
        <w:t xml:space="preserve">The rate of clearance </w:t>
      </w:r>
      <w:r w:rsidR="00834DDA" w:rsidRPr="00E14359">
        <w:t>from erythrocytes</w:t>
      </w:r>
      <w:r w:rsidR="001E1E22" w:rsidRPr="00E14359">
        <w:t xml:space="preserve"> is approximately 0.3 L/h at steady state.  </w:t>
      </w:r>
      <w:r w:rsidRPr="00E14359">
        <w:t xml:space="preserve">The main route of excretion of zonisamide metabolites and unchanged drug is via the urine.  </w:t>
      </w:r>
      <w:r w:rsidR="001C5869" w:rsidRPr="00E14359">
        <w:t xml:space="preserve">In healthy volunteers, 62% of the dose was recovered in urine and a further 3% in </w:t>
      </w:r>
      <w:r w:rsidR="001C5869" w:rsidRPr="00E14359">
        <w:lastRenderedPageBreak/>
        <w:t xml:space="preserve">faeces over 10 days.  </w:t>
      </w:r>
      <w:r w:rsidRPr="00E14359">
        <w:t>Renal clearance of unchanged zonisamide is relatively low (approximately 3.5 ml/min); about 15 </w:t>
      </w:r>
      <w:r w:rsidRPr="00E14359">
        <w:noBreakHyphen/>
        <w:t> 30 % of the dose is eliminated unchanged</w:t>
      </w:r>
      <w:r w:rsidR="001C5869" w:rsidRPr="00E14359">
        <w:t>, with the remainder being excreted as metabolites</w:t>
      </w:r>
      <w:r w:rsidRPr="00E14359">
        <w:t>.</w:t>
      </w:r>
    </w:p>
    <w:p w:rsidR="00E723E0" w:rsidRPr="00E14359" w:rsidRDefault="00E723E0" w:rsidP="0024249E">
      <w:pPr>
        <w:pStyle w:val="Heading4"/>
      </w:pPr>
      <w:r w:rsidRPr="00E14359">
        <w:t xml:space="preserve">Effect of </w:t>
      </w:r>
      <w:proofErr w:type="spellStart"/>
      <w:r w:rsidR="00BE654F" w:rsidRPr="00E14359">
        <w:t>zonisamide</w:t>
      </w:r>
      <w:proofErr w:type="spellEnd"/>
      <w:r w:rsidR="00BE654F" w:rsidRPr="00E14359">
        <w:t xml:space="preserve"> </w:t>
      </w:r>
      <w:r w:rsidRPr="00E14359">
        <w:t xml:space="preserve">on </w:t>
      </w:r>
      <w:proofErr w:type="spellStart"/>
      <w:r w:rsidRPr="00E14359">
        <w:t>cytochrome</w:t>
      </w:r>
      <w:proofErr w:type="spellEnd"/>
      <w:r w:rsidRPr="00E14359">
        <w:t xml:space="preserve"> P450 enzymes</w:t>
      </w:r>
    </w:p>
    <w:p w:rsidR="00E723E0" w:rsidRPr="00E14359" w:rsidRDefault="00E723E0" w:rsidP="00E723E0">
      <w:r w:rsidRPr="00E14359">
        <w:rPr>
          <w:i/>
          <w:iCs/>
        </w:rPr>
        <w:t>In vitro</w:t>
      </w:r>
      <w:r w:rsidRPr="00E14359">
        <w:t xml:space="preserve"> studies using human liver microsomes show no or little (&lt;25%) inhibition of cytochrome P450 isozymes 1A2, 2A6, 2C9, 2C19, 2D6, 2E1 or 3A4 at zonisamide </w:t>
      </w:r>
      <w:r w:rsidR="00A51944" w:rsidRPr="00E14359">
        <w:t>concentrations</w:t>
      </w:r>
      <w:r w:rsidRPr="00E14359">
        <w:t xml:space="preserve"> approximately two-fold or greater than clinically relevant unbound serum concentrations.  </w:t>
      </w:r>
      <w:r w:rsidR="00B21E3C" w:rsidRPr="00E14359">
        <w:t>Clinical studies have demonstrated that zonisamide does not significantly affect the pharmacokinetics of carbamazepine, phenytoin, lamotrigine, sodium valproate, levonorgestrel</w:t>
      </w:r>
      <w:r w:rsidR="008B5368" w:rsidRPr="00E14359">
        <w:t>, norethindrone, eth</w:t>
      </w:r>
      <w:r w:rsidR="00A51944" w:rsidRPr="00E14359">
        <w:t>y</w:t>
      </w:r>
      <w:r w:rsidR="008B5368" w:rsidRPr="00E14359">
        <w:t xml:space="preserve">nylestradiol and </w:t>
      </w:r>
      <w:r w:rsidR="00DC771D" w:rsidRPr="00E14359">
        <w:t>desipramine</w:t>
      </w:r>
      <w:r w:rsidR="008B5368" w:rsidRPr="00E14359">
        <w:t xml:space="preserve"> </w:t>
      </w:r>
      <w:r w:rsidR="008B5368" w:rsidRPr="00E14359">
        <w:rPr>
          <w:i/>
        </w:rPr>
        <w:t>in vivo</w:t>
      </w:r>
      <w:r w:rsidR="008B5368" w:rsidRPr="00E14359">
        <w:t>.  The potential effects of zonisamide on the pharmacokinetics of other compounds, including phenobarbitone, are unknown.</w:t>
      </w:r>
    </w:p>
    <w:p w:rsidR="00E17EE8" w:rsidRPr="00E14359" w:rsidRDefault="00E17EE8" w:rsidP="0024249E">
      <w:pPr>
        <w:pStyle w:val="Heading4"/>
      </w:pPr>
      <w:r w:rsidRPr="00E14359">
        <w:t>Special patient groups</w:t>
      </w:r>
    </w:p>
    <w:p w:rsidR="00E17EE8" w:rsidRPr="00E14359" w:rsidRDefault="00E17EE8" w:rsidP="00636A0F">
      <w:r w:rsidRPr="00E14359">
        <w:rPr>
          <w:i/>
        </w:rPr>
        <w:t>In subjects with renal impairment</w:t>
      </w:r>
      <w:r w:rsidRPr="00E14359">
        <w:t>, renal clearance of single doses of zonisamide was positively correlated with creatinine clearance.  The plasma AUC of zonisamide was increased by 35% in subjects with creatinine clearance &lt;20 ml/min</w:t>
      </w:r>
      <w:r w:rsidR="00BE31AC" w:rsidRPr="00E14359">
        <w:t xml:space="preserve">. </w:t>
      </w:r>
    </w:p>
    <w:p w:rsidR="00E17EE8" w:rsidRPr="00E14359" w:rsidRDefault="00E17EE8" w:rsidP="00636A0F">
      <w:r w:rsidRPr="00E14359">
        <w:rPr>
          <w:i/>
        </w:rPr>
        <w:t>Patients with an impaired liver function:</w:t>
      </w:r>
      <w:r w:rsidRPr="00E14359">
        <w:t xml:space="preserve"> The pharmacokinetics of zonisamide in patients with impaired liver function have not been adequately studied.  </w:t>
      </w:r>
    </w:p>
    <w:p w:rsidR="00E17EE8" w:rsidRPr="00E14359" w:rsidRDefault="00E17EE8" w:rsidP="00636A0F">
      <w:r w:rsidRPr="00E14359">
        <w:rPr>
          <w:i/>
        </w:rPr>
        <w:t>Elderly:</w:t>
      </w:r>
      <w:r w:rsidRPr="00E14359">
        <w:t xml:space="preserve">  No clinically significant differences were observed in the pharmacokinetics between young (aged 21-40 years) and elderly (65-75 years).</w:t>
      </w:r>
    </w:p>
    <w:p w:rsidR="00E17EE8" w:rsidRPr="00E14359" w:rsidRDefault="00E17EE8" w:rsidP="00636A0F">
      <w:r w:rsidRPr="00E14359">
        <w:rPr>
          <w:i/>
        </w:rPr>
        <w:t>Adolescents (12-18 years):</w:t>
      </w:r>
      <w:r w:rsidRPr="00E14359">
        <w:t xml:space="preserve"> Limited data indicate that pharmacokinetics in adolescents dosed to steady state at 1, 7 or 12 mg/kg daily, in divided doses, are similar to those observed in adults, after adjustment for bodyweight.</w:t>
      </w:r>
    </w:p>
    <w:p w:rsidR="00E17EE8" w:rsidRPr="00E14359" w:rsidRDefault="00E17EE8" w:rsidP="0024249E">
      <w:pPr>
        <w:pStyle w:val="Heading4"/>
      </w:pPr>
      <w:r w:rsidRPr="00E14359">
        <w:t>Other characteristics</w:t>
      </w:r>
    </w:p>
    <w:p w:rsidR="00E17EE8" w:rsidRPr="00E14359" w:rsidRDefault="00E17EE8" w:rsidP="00636A0F">
      <w:r w:rsidRPr="00E14359">
        <w:t xml:space="preserve">No clear </w:t>
      </w:r>
      <w:r w:rsidR="00BE654F" w:rsidRPr="00E14359">
        <w:t xml:space="preserve">zonisamide </w:t>
      </w:r>
      <w:r w:rsidRPr="00E14359">
        <w:t>dose</w:t>
      </w:r>
      <w:r w:rsidRPr="00E14359">
        <w:noBreakHyphen/>
        <w:t>concentration</w:t>
      </w:r>
      <w:r w:rsidRPr="00E14359">
        <w:noBreakHyphen/>
        <w:t>response relationship has been defined.  When comparing the same dose level, subjects of higher total body weight appear to have lower steady</w:t>
      </w:r>
      <w:r w:rsidRPr="00E14359">
        <w:noBreakHyphen/>
        <w:t>state serum concentrations, but this effect appears to be relatively modest.  Age (</w:t>
      </w:r>
      <w:r w:rsidRPr="00E14359">
        <w:sym w:font="Symbol" w:char="F0B3"/>
      </w:r>
      <w:r w:rsidRPr="00E14359">
        <w:t> 12 years) and gender, after adjustment for body weight effects, have no apparent effect on zonisamide exposure in epileptic patients during steady</w:t>
      </w:r>
      <w:r w:rsidRPr="00E14359">
        <w:noBreakHyphen/>
        <w:t>state dosing.</w:t>
      </w:r>
    </w:p>
    <w:p w:rsidR="00694EB0" w:rsidRPr="00E14359" w:rsidRDefault="00694EB0" w:rsidP="0024249E">
      <w:pPr>
        <w:pStyle w:val="Heading2"/>
        <w:spacing w:before="480"/>
      </w:pPr>
      <w:r w:rsidRPr="00E14359">
        <w:t>Clinical trials</w:t>
      </w:r>
    </w:p>
    <w:p w:rsidR="008576D4" w:rsidRPr="00E20391" w:rsidRDefault="008576D4" w:rsidP="0024249E">
      <w:pPr>
        <w:pStyle w:val="Heading3"/>
        <w:spacing w:after="240"/>
      </w:pPr>
      <w:r w:rsidRPr="00E20391">
        <w:t>Monotherapy in the treatment of partial seizures, with or without secondary generalisation, in adults</w:t>
      </w:r>
    </w:p>
    <w:p w:rsidR="0024249E" w:rsidRDefault="008576D4" w:rsidP="008576D4">
      <w:r w:rsidRPr="00CC373E">
        <w:t xml:space="preserve">Efficacy of </w:t>
      </w:r>
      <w:proofErr w:type="spellStart"/>
      <w:r w:rsidRPr="00CC373E">
        <w:t>zonisamide</w:t>
      </w:r>
      <w:proofErr w:type="spellEnd"/>
      <w:r w:rsidRPr="00CC373E">
        <w:t xml:space="preserve"> as </w:t>
      </w:r>
      <w:proofErr w:type="spellStart"/>
      <w:r w:rsidRPr="00CC373E">
        <w:t>monotherapy</w:t>
      </w:r>
      <w:proofErr w:type="spellEnd"/>
      <w:r w:rsidRPr="00CC373E">
        <w:t xml:space="preserve"> was established in a double-blind, parallel group, non-inferiority comparison to carbamazepine prolonged release (PR) in 583 adult subjects with newly diagnosed partial seizures with or without secondary generalised tonic-clonic seizures.  Subjects were randomised to carbamazepine PR (N=301; 600 to 1200 mg/day, </w:t>
      </w:r>
    </w:p>
    <w:p w:rsidR="008576D4" w:rsidRPr="0010556D" w:rsidRDefault="0024249E" w:rsidP="008576D4">
      <w:r>
        <w:br w:type="page"/>
      </w:r>
      <w:r w:rsidR="008576D4" w:rsidRPr="00CC373E">
        <w:lastRenderedPageBreak/>
        <w:t xml:space="preserve">twice-daily) or </w:t>
      </w:r>
      <w:proofErr w:type="spellStart"/>
      <w:r w:rsidR="008576D4" w:rsidRPr="00CC373E">
        <w:t>zonisamide</w:t>
      </w:r>
      <w:proofErr w:type="spellEnd"/>
      <w:r w:rsidR="008576D4" w:rsidRPr="00CC373E">
        <w:t xml:space="preserve"> (N=282; 300 to 500 mg/day, once-daily), and received treatment for a duration of up to 24 months depending on response.</w:t>
      </w:r>
      <w:r w:rsidR="0010556D">
        <w:t xml:space="preserve">  </w:t>
      </w:r>
      <w:r w:rsidR="00337F0B" w:rsidRPr="0010556D">
        <w:t>Subjects were titrated to the initial target dose of 600 mg carbamazepine or 300 mg of zonisamide.  Subjects who experienced a seizure were titrated to the next target dose i.e. 800 mg carbamazepine or 400 mg of zonisamide.  Subjects who experienced a further seizure were titrated to the maximal target dose of 1200 mg carbamazepine or 500 mg zonisamide.  Subjects who were seizure-free for 26 weeks at a target dose level continued on this dose for another 26 weeks.</w:t>
      </w:r>
    </w:p>
    <w:p w:rsidR="004811F6" w:rsidRPr="0010556D" w:rsidRDefault="004811F6" w:rsidP="004811F6">
      <w:r w:rsidRPr="0010556D">
        <w:t>Six-month seizure freedom was achieved in 79.4% of zonisamide-treated subjects and 83.7% of carbamazepine PR treated subjects (in the per protocol population).  The adjusted absolute difference between treatments was -4.5% (95% CI:  -12.2%, 3.1%).  More than half of the subjects remained seizure-free at 12 months (67.6%% zonisamide versus 74.7%).</w:t>
      </w:r>
    </w:p>
    <w:p w:rsidR="00E32CAD" w:rsidRDefault="00E32CAD" w:rsidP="008576D4">
      <w:r w:rsidRPr="00E32CAD">
        <w:t xml:space="preserve">Main outcomes of this study are presented in </w:t>
      </w:r>
      <w:fldSimple w:instr=" REF _Ref349132294 \h  \* MERGEFORMAT ">
        <w:r w:rsidR="00F66D7C" w:rsidRPr="00F66D7C">
          <w:t>Table 1</w:t>
        </w:r>
      </w:fldSimple>
      <w:r w:rsidRPr="00284278">
        <w:t>:</w:t>
      </w:r>
    </w:p>
    <w:p w:rsidR="00337F0B" w:rsidRPr="00E32CAD" w:rsidRDefault="00E32CAD" w:rsidP="00337F0B">
      <w:pPr>
        <w:rPr>
          <w:b/>
        </w:rPr>
      </w:pPr>
      <w:bookmarkStart w:id="0" w:name="_Ref349132294"/>
      <w:r w:rsidRPr="00E32CAD">
        <w:rPr>
          <w:b/>
        </w:rPr>
        <w:t xml:space="preserve">Table </w:t>
      </w:r>
      <w:r w:rsidR="00006A40" w:rsidRPr="00E32CAD">
        <w:rPr>
          <w:b/>
        </w:rPr>
        <w:fldChar w:fldCharType="begin"/>
      </w:r>
      <w:r w:rsidRPr="00E32CAD">
        <w:rPr>
          <w:b/>
        </w:rPr>
        <w:instrText xml:space="preserve"> SEQ Table \* ARABIC </w:instrText>
      </w:r>
      <w:r w:rsidR="00006A40" w:rsidRPr="00E32CAD">
        <w:rPr>
          <w:b/>
        </w:rPr>
        <w:fldChar w:fldCharType="separate"/>
      </w:r>
      <w:r w:rsidR="00F66D7C">
        <w:rPr>
          <w:b/>
          <w:noProof/>
        </w:rPr>
        <w:t>1</w:t>
      </w:r>
      <w:r w:rsidR="00006A40" w:rsidRPr="00E32CAD">
        <w:rPr>
          <w:b/>
        </w:rPr>
        <w:fldChar w:fldCharType="end"/>
      </w:r>
      <w:bookmarkEnd w:id="0"/>
      <w:r w:rsidR="000619CC" w:rsidRPr="0010556D">
        <w:rPr>
          <w:b/>
        </w:rPr>
        <w:t xml:space="preserve">: </w:t>
      </w:r>
      <w:r w:rsidR="00337F0B" w:rsidRPr="0010556D">
        <w:rPr>
          <w:b/>
        </w:rPr>
        <w:t>Efficacy results for Monotherapy Study 310</w:t>
      </w:r>
      <w:r w:rsidR="00337F0B" w:rsidRPr="0010556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5"/>
        <w:gridCol w:w="1217"/>
        <w:gridCol w:w="1572"/>
        <w:gridCol w:w="870"/>
        <w:gridCol w:w="1680"/>
      </w:tblGrid>
      <w:tr w:rsidR="00337F0B" w:rsidRPr="0024249E" w:rsidTr="0024249E">
        <w:trPr>
          <w:tblHeader/>
        </w:trPr>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b/>
                <w:bCs/>
                <w:sz w:val="20"/>
                <w:szCs w:val="20"/>
              </w:rPr>
              <w:t>Zonisamide</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b/>
                <w:bCs/>
                <w:sz w:val="20"/>
                <w:szCs w:val="20"/>
              </w:rPr>
              <w:t>Carbamazepine</w:t>
            </w:r>
          </w:p>
        </w:tc>
        <w:tc>
          <w:tcPr>
            <w:tcW w:w="2550" w:type="dxa"/>
            <w:gridSpan w:val="2"/>
            <w:shd w:val="clear" w:color="auto" w:fill="auto"/>
            <w:hideMark/>
          </w:tcPr>
          <w:p w:rsidR="00337F0B" w:rsidRPr="0024249E" w:rsidRDefault="007E214A" w:rsidP="0024249E">
            <w:pPr>
              <w:spacing w:before="0" w:after="0"/>
              <w:rPr>
                <w:rFonts w:eastAsia="Calibri"/>
                <w:sz w:val="20"/>
                <w:szCs w:val="20"/>
              </w:rPr>
            </w:pPr>
            <w:r w:rsidRPr="00006A40">
              <w:rPr>
                <w:sz w:val="20"/>
                <w:szCs w:val="20"/>
              </w:rPr>
              <w:pict>
                <v:shape id="_x0000_i1026" type="#_x0000_t75" style="width:.75pt;height:.75pt">
                  <v:imagedata r:id="rId12" r:href="rId13"/>
                </v:shape>
              </w:pic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n (ITT population)</w:t>
            </w:r>
            <w:r w:rsidR="00D0532F" w:rsidRPr="0024249E">
              <w:rPr>
                <w:sz w:val="20"/>
                <w:szCs w:val="20"/>
              </w:rPr>
              <w:t>*</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281</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300</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w:t>
            </w:r>
          </w:p>
        </w:tc>
      </w:tr>
      <w:tr w:rsidR="00337F0B" w:rsidRPr="0024249E" w:rsidTr="00275413">
        <w:tc>
          <w:tcPr>
            <w:tcW w:w="3075" w:type="dxa"/>
            <w:shd w:val="clear" w:color="auto" w:fill="auto"/>
            <w:hideMark/>
          </w:tcPr>
          <w:p w:rsidR="00337F0B" w:rsidRPr="0024249E" w:rsidRDefault="00D0532F" w:rsidP="0024249E">
            <w:pPr>
              <w:spacing w:before="0" w:after="0"/>
              <w:ind w:left="720"/>
              <w:rPr>
                <w:rFonts w:eastAsia="Calibri"/>
                <w:sz w:val="20"/>
                <w:szCs w:val="20"/>
              </w:rPr>
            </w:pPr>
            <w:r w:rsidRPr="0024249E">
              <w:rPr>
                <w:b/>
                <w:bCs/>
                <w:sz w:val="20"/>
                <w:szCs w:val="20"/>
              </w:rPr>
              <w:t>6-</w:t>
            </w:r>
            <w:r w:rsidR="00337F0B" w:rsidRPr="0024249E">
              <w:rPr>
                <w:b/>
                <w:bCs/>
                <w:sz w:val="20"/>
                <w:szCs w:val="20"/>
              </w:rPr>
              <w:t>months seizure freedom</w:t>
            </w:r>
            <w:r w:rsidR="00E65FB6" w:rsidRPr="0024249E">
              <w:rPr>
                <w:sz w:val="20"/>
                <w:szCs w:val="20"/>
              </w:rPr>
              <w:t>***</w:t>
            </w:r>
            <w:r w:rsidR="00337F0B" w:rsidRPr="0024249E">
              <w:rPr>
                <w:b/>
                <w:bCs/>
                <w:sz w:val="20"/>
                <w:szCs w:val="20"/>
              </w:rPr>
              <w:t xml:space="preserve">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Diff</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CI</w:t>
            </w:r>
            <w:r w:rsidRPr="0024249E">
              <w:rPr>
                <w:sz w:val="20"/>
                <w:szCs w:val="20"/>
                <w:vertAlign w:val="subscript"/>
              </w:rPr>
              <w:t>95%  </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PP-population*</w:t>
            </w:r>
            <w:r w:rsidR="00923213" w:rsidRPr="0024249E">
              <w:rPr>
                <w:sz w:val="20"/>
                <w:szCs w:val="20"/>
              </w:rPr>
              <w:t>*</w:t>
            </w:r>
            <w:r w:rsidRPr="0024249E">
              <w:rPr>
                <w:sz w:val="20"/>
                <w:szCs w:val="20"/>
              </w:rPr>
              <w:t xml:space="preserve">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79.4%</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83.7%</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-4.5%</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-12.2% ; 3.1%</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 xml:space="preserve">ITT-population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69.4%</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74.7%</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-6.1%</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-13.6% ; 1.4%</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u w:val="single"/>
              </w:rPr>
              <w:t>&lt;</w:t>
            </w:r>
            <w:r w:rsidRPr="0024249E">
              <w:rPr>
                <w:sz w:val="20"/>
                <w:szCs w:val="20"/>
              </w:rPr>
              <w:t> 4 seizures during 3 month baseline period</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71.7%</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75.7%</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-4.0%</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-11.7% ; 3.7%</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&gt; 4 seizures during 3 month baseline period</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52.9%</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68.9%</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-15.9%</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-37.5% ; 5.6%</w:t>
            </w:r>
          </w:p>
        </w:tc>
      </w:tr>
      <w:tr w:rsidR="00337F0B" w:rsidRPr="0024249E" w:rsidTr="00275413">
        <w:tc>
          <w:tcPr>
            <w:tcW w:w="3075" w:type="dxa"/>
            <w:shd w:val="clear" w:color="auto" w:fill="auto"/>
            <w:hideMark/>
          </w:tcPr>
          <w:p w:rsidR="00337F0B" w:rsidRPr="0024249E" w:rsidRDefault="00D0532F" w:rsidP="0024249E">
            <w:pPr>
              <w:spacing w:before="0" w:after="0"/>
              <w:ind w:left="720"/>
              <w:rPr>
                <w:rFonts w:eastAsia="Calibri"/>
                <w:sz w:val="20"/>
                <w:szCs w:val="20"/>
              </w:rPr>
            </w:pPr>
            <w:r w:rsidRPr="0024249E">
              <w:rPr>
                <w:b/>
                <w:bCs/>
                <w:sz w:val="20"/>
                <w:szCs w:val="20"/>
              </w:rPr>
              <w:t>12-</w:t>
            </w:r>
            <w:r w:rsidR="00337F0B" w:rsidRPr="0024249E">
              <w:rPr>
                <w:b/>
                <w:bCs/>
                <w:sz w:val="20"/>
                <w:szCs w:val="20"/>
              </w:rPr>
              <w:t>months seizure freedom</w:t>
            </w:r>
            <w:r w:rsidR="00E65FB6" w:rsidRPr="0024249E">
              <w:rPr>
                <w:b/>
                <w:bCs/>
                <w:sz w:val="20"/>
                <w:szCs w:val="20"/>
              </w:rPr>
              <w:t>****</w:t>
            </w:r>
            <w:r w:rsidR="00337F0B" w:rsidRPr="0024249E">
              <w:rPr>
                <w:b/>
                <w:bCs/>
                <w:sz w:val="20"/>
                <w:szCs w:val="20"/>
              </w:rPr>
              <w:t xml:space="preserve">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 xml:space="preserve">PP-population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67.6%</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74.7%</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-7.9%</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- 17.2% ; 1.5%</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 xml:space="preserve">ITT-population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55.9%</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62.3%</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xml:space="preserve">-7.7% </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- 16.1% ; 0.7%</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u w:val="single"/>
              </w:rPr>
              <w:t>&lt;</w:t>
            </w:r>
            <w:r w:rsidRPr="0024249E">
              <w:rPr>
                <w:sz w:val="20"/>
                <w:szCs w:val="20"/>
              </w:rPr>
              <w:t> 4 seizures during 3 month baseline period</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57.4%</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64.7%</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-7.2%</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-15.7% ; 1.3%</w:t>
            </w:r>
          </w:p>
        </w:tc>
      </w:tr>
      <w:tr w:rsidR="00337F0B" w:rsidRPr="0024249E" w:rsidTr="00275413">
        <w:tc>
          <w:tcPr>
            <w:tcW w:w="3075" w:type="dxa"/>
            <w:shd w:val="clear" w:color="auto" w:fill="auto"/>
          </w:tcPr>
          <w:p w:rsidR="00337F0B" w:rsidRPr="0024249E" w:rsidRDefault="00337F0B" w:rsidP="0024249E">
            <w:pPr>
              <w:spacing w:before="0" w:after="0"/>
              <w:ind w:left="720"/>
              <w:rPr>
                <w:b/>
                <w:bCs/>
                <w:sz w:val="20"/>
                <w:szCs w:val="20"/>
              </w:rPr>
            </w:pPr>
            <w:r w:rsidRPr="0024249E">
              <w:rPr>
                <w:sz w:val="20"/>
                <w:szCs w:val="20"/>
              </w:rPr>
              <w:t>&gt; 4 seizures during 3 month baseline period</w:t>
            </w:r>
          </w:p>
        </w:tc>
        <w:tc>
          <w:tcPr>
            <w:tcW w:w="1217" w:type="dxa"/>
            <w:shd w:val="clear" w:color="auto" w:fill="auto"/>
          </w:tcPr>
          <w:p w:rsidR="00337F0B" w:rsidRPr="0024249E" w:rsidRDefault="00337F0B" w:rsidP="0024249E">
            <w:pPr>
              <w:spacing w:before="0" w:after="0"/>
              <w:rPr>
                <w:sz w:val="20"/>
                <w:szCs w:val="20"/>
              </w:rPr>
            </w:pPr>
            <w:r w:rsidRPr="0024249E">
              <w:rPr>
                <w:sz w:val="20"/>
                <w:szCs w:val="20"/>
              </w:rPr>
              <w:t>44.1%</w:t>
            </w:r>
          </w:p>
        </w:tc>
        <w:tc>
          <w:tcPr>
            <w:tcW w:w="1572" w:type="dxa"/>
            <w:shd w:val="clear" w:color="auto" w:fill="auto"/>
          </w:tcPr>
          <w:p w:rsidR="00337F0B" w:rsidRPr="0024249E" w:rsidRDefault="00337F0B" w:rsidP="0024249E">
            <w:pPr>
              <w:spacing w:before="0" w:after="0"/>
              <w:rPr>
                <w:sz w:val="20"/>
                <w:szCs w:val="20"/>
              </w:rPr>
            </w:pPr>
            <w:r w:rsidRPr="0024249E">
              <w:rPr>
                <w:sz w:val="20"/>
                <w:szCs w:val="20"/>
              </w:rPr>
              <w:t>48.9%</w:t>
            </w:r>
          </w:p>
        </w:tc>
        <w:tc>
          <w:tcPr>
            <w:tcW w:w="870" w:type="dxa"/>
            <w:shd w:val="clear" w:color="auto" w:fill="auto"/>
          </w:tcPr>
          <w:p w:rsidR="00337F0B" w:rsidRPr="0024249E" w:rsidRDefault="00337F0B" w:rsidP="0024249E">
            <w:pPr>
              <w:spacing w:before="0" w:after="0"/>
              <w:rPr>
                <w:sz w:val="20"/>
                <w:szCs w:val="20"/>
              </w:rPr>
            </w:pPr>
            <w:r w:rsidRPr="0024249E">
              <w:rPr>
                <w:sz w:val="20"/>
                <w:szCs w:val="20"/>
              </w:rPr>
              <w:t>-4.8%</w:t>
            </w:r>
          </w:p>
        </w:tc>
        <w:tc>
          <w:tcPr>
            <w:tcW w:w="1680" w:type="dxa"/>
            <w:shd w:val="clear" w:color="auto" w:fill="auto"/>
          </w:tcPr>
          <w:p w:rsidR="00337F0B" w:rsidRPr="0024249E" w:rsidRDefault="00337F0B" w:rsidP="0024249E">
            <w:pPr>
              <w:spacing w:before="0" w:after="0"/>
              <w:rPr>
                <w:sz w:val="20"/>
                <w:szCs w:val="20"/>
              </w:rPr>
            </w:pPr>
            <w:r w:rsidRPr="0024249E">
              <w:rPr>
                <w:sz w:val="20"/>
                <w:szCs w:val="20"/>
              </w:rPr>
              <w:t>-26.9% ; 17.4%</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b/>
                <w:bCs/>
                <w:sz w:val="20"/>
                <w:szCs w:val="20"/>
              </w:rPr>
              <w:t xml:space="preserve">Seizure </w:t>
            </w:r>
            <w:r w:rsidR="00D0532F" w:rsidRPr="0024249E">
              <w:rPr>
                <w:b/>
                <w:bCs/>
                <w:sz w:val="20"/>
                <w:szCs w:val="20"/>
              </w:rPr>
              <w:t>s</w:t>
            </w:r>
            <w:r w:rsidRPr="0024249E">
              <w:rPr>
                <w:b/>
                <w:bCs/>
                <w:sz w:val="20"/>
                <w:szCs w:val="20"/>
              </w:rPr>
              <w:t>ub-type (6</w:t>
            </w:r>
            <w:r w:rsidR="00D0532F" w:rsidRPr="0024249E">
              <w:rPr>
                <w:b/>
                <w:bCs/>
                <w:sz w:val="20"/>
                <w:szCs w:val="20"/>
              </w:rPr>
              <w:t>-</w:t>
            </w:r>
            <w:r w:rsidRPr="0024249E">
              <w:rPr>
                <w:b/>
                <w:bCs/>
                <w:sz w:val="20"/>
                <w:szCs w:val="20"/>
              </w:rPr>
              <w:t xml:space="preserve">month seizure freedom-PP population) </w:t>
            </w:r>
          </w:p>
        </w:tc>
        <w:tc>
          <w:tcPr>
            <w:tcW w:w="1217" w:type="dxa"/>
            <w:shd w:val="clear" w:color="auto" w:fill="auto"/>
            <w:hideMark/>
          </w:tcPr>
          <w:p w:rsidR="00337F0B" w:rsidRPr="0024249E" w:rsidRDefault="007E214A" w:rsidP="0024249E">
            <w:pPr>
              <w:spacing w:before="0" w:after="0"/>
              <w:rPr>
                <w:rFonts w:eastAsia="Calibri"/>
                <w:sz w:val="20"/>
                <w:szCs w:val="20"/>
              </w:rPr>
            </w:pPr>
            <w:r w:rsidRPr="00006A40">
              <w:rPr>
                <w:sz w:val="20"/>
                <w:szCs w:val="20"/>
              </w:rPr>
              <w:pict>
                <v:shape id="_x0000_i1027" type="#_x0000_t75" style="width:.75pt;height:.75pt">
                  <v:imagedata r:id="rId12" r:href="rId14"/>
                </v:shape>
              </w:pict>
            </w:r>
          </w:p>
        </w:tc>
        <w:tc>
          <w:tcPr>
            <w:tcW w:w="1572" w:type="dxa"/>
            <w:shd w:val="clear" w:color="auto" w:fill="auto"/>
            <w:hideMark/>
          </w:tcPr>
          <w:p w:rsidR="00337F0B" w:rsidRPr="0024249E" w:rsidRDefault="007E214A" w:rsidP="0024249E">
            <w:pPr>
              <w:spacing w:before="0" w:after="0"/>
              <w:rPr>
                <w:rFonts w:eastAsia="Calibri"/>
                <w:sz w:val="20"/>
                <w:szCs w:val="20"/>
              </w:rPr>
            </w:pPr>
            <w:r w:rsidRPr="00006A40">
              <w:rPr>
                <w:sz w:val="20"/>
                <w:szCs w:val="20"/>
              </w:rPr>
              <w:pict>
                <v:shape id="_x0000_i1028" type="#_x0000_t75" style="width:.75pt;height:.75pt">
                  <v:imagedata r:id="rId12" r:href="rId15"/>
                </v:shape>
              </w:pict>
            </w:r>
          </w:p>
        </w:tc>
        <w:tc>
          <w:tcPr>
            <w:tcW w:w="870" w:type="dxa"/>
            <w:shd w:val="clear" w:color="auto" w:fill="auto"/>
            <w:hideMark/>
          </w:tcPr>
          <w:p w:rsidR="00337F0B" w:rsidRPr="0024249E" w:rsidRDefault="007E214A" w:rsidP="0024249E">
            <w:pPr>
              <w:spacing w:before="0" w:after="0"/>
              <w:rPr>
                <w:rFonts w:eastAsia="Calibri"/>
                <w:sz w:val="20"/>
                <w:szCs w:val="20"/>
              </w:rPr>
            </w:pPr>
            <w:r w:rsidRPr="00006A40">
              <w:rPr>
                <w:sz w:val="20"/>
                <w:szCs w:val="20"/>
              </w:rPr>
              <w:pict>
                <v:shape id="_x0000_i1029" type="#_x0000_t75" style="width:.75pt;height:.75pt">
                  <v:imagedata r:id="rId12" r:href="rId16"/>
                </v:shape>
              </w:pict>
            </w:r>
          </w:p>
        </w:tc>
        <w:tc>
          <w:tcPr>
            <w:tcW w:w="1680" w:type="dxa"/>
            <w:shd w:val="clear" w:color="auto" w:fill="auto"/>
            <w:hideMark/>
          </w:tcPr>
          <w:p w:rsidR="00337F0B" w:rsidRPr="0024249E" w:rsidRDefault="007E214A" w:rsidP="0024249E">
            <w:pPr>
              <w:spacing w:before="0" w:after="0"/>
              <w:rPr>
                <w:rFonts w:eastAsia="Calibri"/>
                <w:sz w:val="20"/>
                <w:szCs w:val="20"/>
              </w:rPr>
            </w:pPr>
            <w:r w:rsidRPr="00006A40">
              <w:rPr>
                <w:sz w:val="20"/>
                <w:szCs w:val="20"/>
              </w:rPr>
              <w:pict>
                <v:shape id="_x0000_i1030" type="#_x0000_t75" style="width:.75pt;height:.75pt">
                  <v:imagedata r:id="rId12" r:href="rId17"/>
                </v:shape>
              </w:pic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 xml:space="preserve">All partial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76.4%</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86.0%</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-9.6%</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-19.2% ; 0.0%</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 xml:space="preserve">Simple partial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72.3%</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75.0%</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-2.7%</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-20.0% ; 14.7%</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 xml:space="preserve">Complex partial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76.9%</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93.0%</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-16.1%</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-26.3% ; -5.9%</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All generalized Tonic-Clonic</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78.9%</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81.6%</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 -2.8</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-11.5% ; 6.0%</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Secondary Tonic-Clonic</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77.4%</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80.0%</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-2.6%</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-12.4% ; 7.1%</w:t>
            </w:r>
          </w:p>
        </w:tc>
      </w:tr>
      <w:tr w:rsidR="00337F0B" w:rsidRPr="0024249E" w:rsidTr="00275413">
        <w:tc>
          <w:tcPr>
            <w:tcW w:w="3075" w:type="dxa"/>
            <w:shd w:val="clear" w:color="auto" w:fill="auto"/>
            <w:hideMark/>
          </w:tcPr>
          <w:p w:rsidR="00337F0B" w:rsidRPr="0024249E" w:rsidRDefault="00337F0B" w:rsidP="0024249E">
            <w:pPr>
              <w:spacing w:before="0" w:after="0"/>
              <w:ind w:left="720"/>
              <w:rPr>
                <w:rFonts w:eastAsia="Calibri"/>
                <w:sz w:val="20"/>
                <w:szCs w:val="20"/>
              </w:rPr>
            </w:pPr>
            <w:r w:rsidRPr="0024249E">
              <w:rPr>
                <w:sz w:val="20"/>
                <w:szCs w:val="20"/>
              </w:rPr>
              <w:t xml:space="preserve">Generalized Tonic-Clonic </w:t>
            </w:r>
          </w:p>
        </w:tc>
        <w:tc>
          <w:tcPr>
            <w:tcW w:w="1217"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85.7%</w:t>
            </w:r>
          </w:p>
        </w:tc>
        <w:tc>
          <w:tcPr>
            <w:tcW w:w="1572"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92.0%</w:t>
            </w:r>
          </w:p>
        </w:tc>
        <w:tc>
          <w:tcPr>
            <w:tcW w:w="87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-6.3%</w:t>
            </w:r>
          </w:p>
        </w:tc>
        <w:tc>
          <w:tcPr>
            <w:tcW w:w="1680" w:type="dxa"/>
            <w:shd w:val="clear" w:color="auto" w:fill="auto"/>
            <w:hideMark/>
          </w:tcPr>
          <w:p w:rsidR="00337F0B" w:rsidRPr="0024249E" w:rsidRDefault="00337F0B" w:rsidP="0024249E">
            <w:pPr>
              <w:spacing w:before="0" w:after="0"/>
              <w:jc w:val="center"/>
              <w:rPr>
                <w:rFonts w:eastAsia="Calibri"/>
                <w:sz w:val="20"/>
                <w:szCs w:val="20"/>
              </w:rPr>
            </w:pPr>
            <w:r w:rsidRPr="0024249E">
              <w:rPr>
                <w:sz w:val="20"/>
                <w:szCs w:val="20"/>
              </w:rPr>
              <w:t>-23.1% ; 10.5%</w:t>
            </w:r>
          </w:p>
        </w:tc>
      </w:tr>
    </w:tbl>
    <w:p w:rsidR="00E65FB6" w:rsidRPr="005D292B" w:rsidRDefault="00337F0B" w:rsidP="005D292B">
      <w:pPr>
        <w:ind w:left="284"/>
        <w:rPr>
          <w:sz w:val="20"/>
          <w:szCs w:val="20"/>
          <w:u w:val="single"/>
        </w:rPr>
      </w:pPr>
      <w:r>
        <w:rPr>
          <w:sz w:val="20"/>
          <w:szCs w:val="20"/>
          <w:u w:val="single"/>
        </w:rPr>
        <w:t>PP = Per Protocol Population; ITT = Intent To Treat Population</w:t>
      </w:r>
      <w:r>
        <w:br/>
      </w:r>
      <w:r w:rsidR="00A510BF" w:rsidRPr="005D292B">
        <w:rPr>
          <w:sz w:val="20"/>
          <w:u w:val="single"/>
        </w:rPr>
        <w:t>*Two subjects withdrew consent after randomization and before taking study medication. The Safety Population therefore comprised 581 subjects.</w:t>
      </w:r>
      <w:r w:rsidR="00E65FB6" w:rsidRPr="00E65FB6">
        <w:t xml:space="preserve"> </w:t>
      </w:r>
      <w:r w:rsidR="00E65FB6">
        <w:br/>
      </w:r>
      <w:r w:rsidR="00A510BF">
        <w:rPr>
          <w:sz w:val="20"/>
          <w:szCs w:val="20"/>
          <w:u w:val="single"/>
        </w:rPr>
        <w:t>**</w:t>
      </w:r>
      <w:r>
        <w:rPr>
          <w:sz w:val="20"/>
          <w:szCs w:val="20"/>
          <w:u w:val="single"/>
        </w:rPr>
        <w:t>Primary endpoint</w:t>
      </w:r>
      <w:r w:rsidR="0010556D">
        <w:rPr>
          <w:sz w:val="20"/>
          <w:szCs w:val="20"/>
          <w:u w:val="single"/>
        </w:rPr>
        <w:t>.</w:t>
      </w:r>
      <w:r>
        <w:br/>
      </w:r>
      <w:r w:rsidR="00E65FB6" w:rsidRPr="005D292B">
        <w:rPr>
          <w:sz w:val="20"/>
          <w:szCs w:val="20"/>
          <w:u w:val="single"/>
        </w:rPr>
        <w:t>***</w:t>
      </w:r>
      <w:r w:rsidR="00D0532F" w:rsidRPr="005D292B">
        <w:rPr>
          <w:sz w:val="20"/>
          <w:szCs w:val="20"/>
          <w:u w:val="single"/>
        </w:rPr>
        <w:t>6</w:t>
      </w:r>
      <w:r w:rsidR="00D0532F">
        <w:rPr>
          <w:sz w:val="20"/>
          <w:szCs w:val="20"/>
          <w:u w:val="single"/>
        </w:rPr>
        <w:t>-</w:t>
      </w:r>
      <w:r w:rsidR="00E65FB6" w:rsidRPr="005D292B">
        <w:rPr>
          <w:sz w:val="20"/>
          <w:szCs w:val="20"/>
          <w:u w:val="single"/>
        </w:rPr>
        <w:t>month seizure freedom: Proportion of subjects seizure free for 26 weeks</w:t>
      </w:r>
      <w:r w:rsidR="00E65FB6">
        <w:rPr>
          <w:sz w:val="20"/>
          <w:szCs w:val="20"/>
          <w:u w:val="single"/>
        </w:rPr>
        <w:t>.</w:t>
      </w:r>
    </w:p>
    <w:p w:rsidR="0056499F" w:rsidRPr="0010556D" w:rsidRDefault="00E65FB6" w:rsidP="00E65FB6">
      <w:pPr>
        <w:ind w:firstLine="284"/>
      </w:pPr>
      <w:r w:rsidRPr="005D292B">
        <w:rPr>
          <w:sz w:val="20"/>
          <w:szCs w:val="20"/>
          <w:u w:val="single"/>
        </w:rPr>
        <w:t>***</w:t>
      </w:r>
      <w:r w:rsidR="009761FF">
        <w:rPr>
          <w:sz w:val="20"/>
          <w:szCs w:val="20"/>
          <w:u w:val="single"/>
        </w:rPr>
        <w:t>*</w:t>
      </w:r>
      <w:r w:rsidR="00D0532F" w:rsidRPr="005D292B">
        <w:rPr>
          <w:sz w:val="20"/>
          <w:szCs w:val="20"/>
          <w:u w:val="single"/>
        </w:rPr>
        <w:t>12</w:t>
      </w:r>
      <w:r w:rsidR="00D0532F">
        <w:rPr>
          <w:sz w:val="20"/>
          <w:szCs w:val="20"/>
          <w:u w:val="single"/>
        </w:rPr>
        <w:t>-</w:t>
      </w:r>
      <w:r w:rsidRPr="005D292B">
        <w:rPr>
          <w:sz w:val="20"/>
          <w:szCs w:val="20"/>
          <w:u w:val="single"/>
        </w:rPr>
        <w:t>month seizure freedom: Proportion of subjects seizure free for 52 weeks</w:t>
      </w:r>
      <w:r>
        <w:rPr>
          <w:sz w:val="20"/>
          <w:szCs w:val="20"/>
          <w:u w:val="single"/>
        </w:rPr>
        <w:t>.</w:t>
      </w:r>
    </w:p>
    <w:p w:rsidR="008576D4" w:rsidRPr="006051E9" w:rsidRDefault="008576D4" w:rsidP="0024249E">
      <w:pPr>
        <w:pStyle w:val="Heading3"/>
      </w:pPr>
      <w:r w:rsidRPr="006051E9">
        <w:lastRenderedPageBreak/>
        <w:t>Adjunctive therapy in the treatment of partial seizures, with or without secondary generalisation in adults</w:t>
      </w:r>
    </w:p>
    <w:p w:rsidR="00AB4FDF" w:rsidRPr="00E14359" w:rsidRDefault="008576D4" w:rsidP="008576D4">
      <w:pPr>
        <w:pStyle w:val="BodyText3"/>
        <w:keepLines/>
        <w:tabs>
          <w:tab w:val="clear" w:pos="567"/>
        </w:tabs>
      </w:pPr>
      <w:r w:rsidRPr="006051E9">
        <w:rPr>
          <w:color w:val="auto"/>
        </w:rPr>
        <w:t>In adults, e</w:t>
      </w:r>
      <w:r w:rsidR="00AB4FDF" w:rsidRPr="006051E9">
        <w:rPr>
          <w:color w:val="auto"/>
        </w:rPr>
        <w:t>fficacy</w:t>
      </w:r>
      <w:r w:rsidR="00AB4FDF" w:rsidRPr="00E14359">
        <w:t xml:space="preserve"> has been demonstrated with </w:t>
      </w:r>
      <w:r w:rsidR="00BE654F" w:rsidRPr="00E14359">
        <w:t xml:space="preserve">zonisamide </w:t>
      </w:r>
      <w:r w:rsidR="00AB4FDF" w:rsidRPr="00E14359">
        <w:t xml:space="preserve">in 4 double-blind, placebo-controlled studies of periods of up to 24 weeks with either once or twice daily dosing.  These studies show that the median reduction in partial seizure frequency is related to </w:t>
      </w:r>
      <w:r w:rsidR="00BE654F" w:rsidRPr="00E14359">
        <w:t xml:space="preserve">zonisamide </w:t>
      </w:r>
      <w:r w:rsidR="00AB4FDF" w:rsidRPr="00E14359">
        <w:t>dose with sustained efficacy at doses of 300-500 mg per day.</w:t>
      </w:r>
    </w:p>
    <w:p w:rsidR="00B7723A" w:rsidRPr="00E14359" w:rsidRDefault="004328E4" w:rsidP="00636A0F">
      <w:pPr>
        <w:rPr>
          <w:sz w:val="22"/>
          <w:szCs w:val="22"/>
        </w:rPr>
      </w:pPr>
      <w:r w:rsidRPr="00E14359">
        <w:rPr>
          <w:sz w:val="22"/>
          <w:szCs w:val="22"/>
        </w:rPr>
        <w:t>The pivotal clinical study was a double-blind, placebo controlled</w:t>
      </w:r>
      <w:r w:rsidR="000E5D41" w:rsidRPr="00E14359">
        <w:rPr>
          <w:sz w:val="22"/>
          <w:szCs w:val="22"/>
        </w:rPr>
        <w:t xml:space="preserve"> randomised</w:t>
      </w:r>
      <w:r w:rsidRPr="00E14359">
        <w:rPr>
          <w:sz w:val="22"/>
          <w:szCs w:val="22"/>
        </w:rPr>
        <w:t xml:space="preserve">, parallel group study conducted at </w:t>
      </w:r>
      <w:r w:rsidR="00047BE6" w:rsidRPr="00E14359">
        <w:rPr>
          <w:sz w:val="22"/>
          <w:szCs w:val="22"/>
        </w:rPr>
        <w:t>54</w:t>
      </w:r>
      <w:r w:rsidRPr="00E14359">
        <w:rPr>
          <w:sz w:val="22"/>
          <w:szCs w:val="22"/>
        </w:rPr>
        <w:t xml:space="preserve"> sites in </w:t>
      </w:r>
      <w:r w:rsidR="00047BE6" w:rsidRPr="00E14359">
        <w:rPr>
          <w:sz w:val="22"/>
          <w:szCs w:val="22"/>
        </w:rPr>
        <w:t>19 countries</w:t>
      </w:r>
      <w:r w:rsidRPr="00E14359">
        <w:rPr>
          <w:sz w:val="22"/>
          <w:szCs w:val="22"/>
        </w:rPr>
        <w:t xml:space="preserve"> comparing </w:t>
      </w:r>
      <w:r w:rsidR="00BE654F" w:rsidRPr="00E14359">
        <w:rPr>
          <w:sz w:val="22"/>
          <w:szCs w:val="22"/>
        </w:rPr>
        <w:t xml:space="preserve">zonisamide </w:t>
      </w:r>
      <w:r w:rsidRPr="00E14359">
        <w:rPr>
          <w:sz w:val="22"/>
          <w:szCs w:val="22"/>
        </w:rPr>
        <w:t>at 100</w:t>
      </w:r>
      <w:r w:rsidR="007B6FA1" w:rsidRPr="00E14359">
        <w:t> </w:t>
      </w:r>
      <w:r w:rsidRPr="00E14359">
        <w:rPr>
          <w:sz w:val="22"/>
          <w:szCs w:val="22"/>
        </w:rPr>
        <w:t xml:space="preserve">mg (n= </w:t>
      </w:r>
      <w:r w:rsidR="00047BE6" w:rsidRPr="00E14359">
        <w:rPr>
          <w:sz w:val="22"/>
          <w:szCs w:val="22"/>
        </w:rPr>
        <w:t>5</w:t>
      </w:r>
      <w:r w:rsidR="000E5D41" w:rsidRPr="00E14359">
        <w:rPr>
          <w:sz w:val="22"/>
          <w:szCs w:val="22"/>
        </w:rPr>
        <w:t>6</w:t>
      </w:r>
      <w:r w:rsidRPr="00E14359">
        <w:rPr>
          <w:sz w:val="22"/>
          <w:szCs w:val="22"/>
        </w:rPr>
        <w:t>)</w:t>
      </w:r>
      <w:r w:rsidR="00047BE6" w:rsidRPr="00E14359">
        <w:rPr>
          <w:sz w:val="22"/>
          <w:szCs w:val="22"/>
        </w:rPr>
        <w:t xml:space="preserve">, at </w:t>
      </w:r>
      <w:r w:rsidRPr="00E14359">
        <w:rPr>
          <w:sz w:val="22"/>
          <w:szCs w:val="22"/>
        </w:rPr>
        <w:t>300</w:t>
      </w:r>
      <w:r w:rsidR="007B6FA1" w:rsidRPr="00E14359">
        <w:t> </w:t>
      </w:r>
      <w:r w:rsidRPr="00E14359">
        <w:rPr>
          <w:sz w:val="22"/>
          <w:szCs w:val="22"/>
        </w:rPr>
        <w:t>mg (n=</w:t>
      </w:r>
      <w:r w:rsidR="000E5D41" w:rsidRPr="00E14359">
        <w:rPr>
          <w:sz w:val="22"/>
          <w:szCs w:val="22"/>
        </w:rPr>
        <w:t>5</w:t>
      </w:r>
      <w:r w:rsidR="00047BE6" w:rsidRPr="00E14359">
        <w:rPr>
          <w:sz w:val="22"/>
          <w:szCs w:val="22"/>
        </w:rPr>
        <w:t>5</w:t>
      </w:r>
      <w:r w:rsidRPr="00E14359">
        <w:rPr>
          <w:sz w:val="22"/>
          <w:szCs w:val="22"/>
        </w:rPr>
        <w:t>)</w:t>
      </w:r>
      <w:r w:rsidR="00047BE6" w:rsidRPr="00E14359">
        <w:rPr>
          <w:sz w:val="22"/>
          <w:szCs w:val="22"/>
        </w:rPr>
        <w:t xml:space="preserve">, at </w:t>
      </w:r>
      <w:r w:rsidRPr="00E14359">
        <w:rPr>
          <w:sz w:val="22"/>
          <w:szCs w:val="22"/>
        </w:rPr>
        <w:t>500</w:t>
      </w:r>
      <w:r w:rsidR="007B6FA1" w:rsidRPr="00E14359">
        <w:t> </w:t>
      </w:r>
      <w:r w:rsidRPr="00E14359">
        <w:rPr>
          <w:sz w:val="22"/>
          <w:szCs w:val="22"/>
        </w:rPr>
        <w:t>mg (n=</w:t>
      </w:r>
      <w:r w:rsidR="00047BE6" w:rsidRPr="00E14359">
        <w:rPr>
          <w:sz w:val="22"/>
          <w:szCs w:val="22"/>
        </w:rPr>
        <w:t>11</w:t>
      </w:r>
      <w:r w:rsidR="000E5D41" w:rsidRPr="00E14359">
        <w:rPr>
          <w:sz w:val="22"/>
          <w:szCs w:val="22"/>
        </w:rPr>
        <w:t>8</w:t>
      </w:r>
      <w:r w:rsidRPr="00E14359">
        <w:rPr>
          <w:sz w:val="22"/>
          <w:szCs w:val="22"/>
        </w:rPr>
        <w:t xml:space="preserve">) </w:t>
      </w:r>
      <w:r w:rsidR="00047BE6" w:rsidRPr="00E14359">
        <w:rPr>
          <w:sz w:val="22"/>
          <w:szCs w:val="22"/>
        </w:rPr>
        <w:t xml:space="preserve">and </w:t>
      </w:r>
      <w:r w:rsidRPr="00E14359">
        <w:rPr>
          <w:sz w:val="22"/>
          <w:szCs w:val="22"/>
        </w:rPr>
        <w:t xml:space="preserve">placebo (n= </w:t>
      </w:r>
      <w:r w:rsidR="00047BE6" w:rsidRPr="00E14359">
        <w:rPr>
          <w:sz w:val="22"/>
          <w:szCs w:val="22"/>
        </w:rPr>
        <w:t>12</w:t>
      </w:r>
      <w:r w:rsidR="000E5D41" w:rsidRPr="00E14359">
        <w:rPr>
          <w:sz w:val="22"/>
          <w:szCs w:val="22"/>
        </w:rPr>
        <w:t>0</w:t>
      </w:r>
      <w:r w:rsidRPr="00E14359">
        <w:rPr>
          <w:sz w:val="22"/>
          <w:szCs w:val="22"/>
        </w:rPr>
        <w:t xml:space="preserve">).  After a </w:t>
      </w:r>
      <w:r w:rsidR="00B7723A" w:rsidRPr="00E14359">
        <w:rPr>
          <w:sz w:val="22"/>
          <w:szCs w:val="22"/>
        </w:rPr>
        <w:t xml:space="preserve">prospective baseline period of 12 </w:t>
      </w:r>
      <w:r w:rsidRPr="00E14359">
        <w:rPr>
          <w:sz w:val="22"/>
          <w:szCs w:val="22"/>
        </w:rPr>
        <w:t>weeks, patients were randomised to one of the fou</w:t>
      </w:r>
      <w:r w:rsidR="00B7723A" w:rsidRPr="00E14359">
        <w:rPr>
          <w:sz w:val="22"/>
          <w:szCs w:val="22"/>
        </w:rPr>
        <w:t xml:space="preserve">r treatment groups above.  The </w:t>
      </w:r>
      <w:r w:rsidRPr="00E14359">
        <w:rPr>
          <w:sz w:val="22"/>
          <w:szCs w:val="22"/>
        </w:rPr>
        <w:t>treatment period consi</w:t>
      </w:r>
      <w:r w:rsidR="00B7723A" w:rsidRPr="00E14359">
        <w:rPr>
          <w:sz w:val="22"/>
          <w:szCs w:val="22"/>
        </w:rPr>
        <w:t>s</w:t>
      </w:r>
      <w:r w:rsidRPr="00E14359">
        <w:rPr>
          <w:sz w:val="22"/>
          <w:szCs w:val="22"/>
        </w:rPr>
        <w:t xml:space="preserve">ted of a 6 week </w:t>
      </w:r>
      <w:r w:rsidR="00B7723A" w:rsidRPr="00E14359">
        <w:rPr>
          <w:sz w:val="22"/>
          <w:szCs w:val="22"/>
        </w:rPr>
        <w:t>up-</w:t>
      </w:r>
      <w:r w:rsidRPr="00E14359">
        <w:rPr>
          <w:sz w:val="22"/>
          <w:szCs w:val="22"/>
        </w:rPr>
        <w:t>titration period</w:t>
      </w:r>
      <w:r w:rsidR="00047BE6" w:rsidRPr="00E14359">
        <w:rPr>
          <w:sz w:val="22"/>
          <w:szCs w:val="22"/>
        </w:rPr>
        <w:t xml:space="preserve"> and</w:t>
      </w:r>
      <w:r w:rsidRPr="00E14359">
        <w:rPr>
          <w:sz w:val="22"/>
          <w:szCs w:val="22"/>
        </w:rPr>
        <w:t xml:space="preserve"> </w:t>
      </w:r>
      <w:r w:rsidR="00047BE6" w:rsidRPr="00E14359">
        <w:rPr>
          <w:sz w:val="22"/>
          <w:szCs w:val="22"/>
        </w:rPr>
        <w:t xml:space="preserve">a 2 week stabilisation period </w:t>
      </w:r>
      <w:r w:rsidRPr="00E14359">
        <w:rPr>
          <w:sz w:val="22"/>
          <w:szCs w:val="22"/>
        </w:rPr>
        <w:t xml:space="preserve">followed by a </w:t>
      </w:r>
      <w:r w:rsidR="00B7723A" w:rsidRPr="00E14359">
        <w:rPr>
          <w:sz w:val="22"/>
          <w:szCs w:val="22"/>
        </w:rPr>
        <w:t>1</w:t>
      </w:r>
      <w:r w:rsidR="00047BE6" w:rsidRPr="00E14359">
        <w:rPr>
          <w:sz w:val="22"/>
          <w:szCs w:val="22"/>
        </w:rPr>
        <w:t>6</w:t>
      </w:r>
      <w:r w:rsidRPr="00E14359">
        <w:rPr>
          <w:sz w:val="22"/>
          <w:szCs w:val="22"/>
        </w:rPr>
        <w:t xml:space="preserve"> week fixed dose evaluation period, during which concomitant </w:t>
      </w:r>
      <w:r w:rsidR="00B7723A" w:rsidRPr="00E14359">
        <w:rPr>
          <w:sz w:val="22"/>
          <w:szCs w:val="22"/>
        </w:rPr>
        <w:t xml:space="preserve">anti epileptic drug </w:t>
      </w:r>
      <w:r w:rsidRPr="00E14359">
        <w:rPr>
          <w:sz w:val="22"/>
          <w:szCs w:val="22"/>
        </w:rPr>
        <w:t xml:space="preserve">regimens were held constant.  </w:t>
      </w:r>
      <w:r w:rsidR="00B7723A" w:rsidRPr="00E14359">
        <w:rPr>
          <w:sz w:val="22"/>
          <w:szCs w:val="22"/>
        </w:rPr>
        <w:t>Patients then underwent 4 week down titration period or were included in an open label extension of the study.</w:t>
      </w:r>
    </w:p>
    <w:p w:rsidR="004328E4" w:rsidRPr="00E14359" w:rsidRDefault="004328E4" w:rsidP="00636A0F">
      <w:pPr>
        <w:rPr>
          <w:sz w:val="22"/>
          <w:szCs w:val="22"/>
        </w:rPr>
      </w:pPr>
      <w:r w:rsidRPr="00E14359">
        <w:rPr>
          <w:sz w:val="22"/>
          <w:szCs w:val="22"/>
        </w:rPr>
        <w:t xml:space="preserve">The primary measure of effectiveness was the </w:t>
      </w:r>
      <w:r w:rsidR="00B7723A" w:rsidRPr="00E14359">
        <w:rPr>
          <w:sz w:val="22"/>
          <w:szCs w:val="22"/>
        </w:rPr>
        <w:t xml:space="preserve">median </w:t>
      </w:r>
      <w:r w:rsidRPr="00E14359">
        <w:rPr>
          <w:sz w:val="22"/>
          <w:szCs w:val="22"/>
        </w:rPr>
        <w:t>percent reduction in seizure frequency from baseline.  Secondary outcomes included the percentage of responders (patients with a greater than 50% reduction in seizure frequency from baseline).  The results of the analyses of this study are provided in the table</w:t>
      </w:r>
      <w:r w:rsidR="00AD101A" w:rsidRPr="00E14359">
        <w:rPr>
          <w:sz w:val="22"/>
          <w:szCs w:val="22"/>
        </w:rPr>
        <w:t>s</w:t>
      </w:r>
      <w:r w:rsidRPr="00E14359">
        <w:rPr>
          <w:sz w:val="22"/>
          <w:szCs w:val="22"/>
        </w:rPr>
        <w:t xml:space="preserve"> below.</w:t>
      </w:r>
    </w:p>
    <w:p w:rsidR="00930CDC" w:rsidRPr="00E14359" w:rsidRDefault="006A3947" w:rsidP="006A3947">
      <w:pPr>
        <w:pStyle w:val="Caption"/>
        <w:rPr>
          <w:b w:val="0"/>
          <w:bCs w:val="0"/>
          <w:sz w:val="24"/>
          <w:szCs w:val="24"/>
        </w:rPr>
      </w:pPr>
      <w:bookmarkStart w:id="1" w:name="_Ref302393972"/>
      <w:bookmarkStart w:id="2" w:name="_Toc302397717"/>
      <w:r w:rsidRPr="006A3947">
        <w:rPr>
          <w:sz w:val="24"/>
          <w:szCs w:val="24"/>
        </w:rPr>
        <w:t xml:space="preserve">Table </w:t>
      </w:r>
      <w:r w:rsidR="00006A40" w:rsidRPr="006A3947">
        <w:rPr>
          <w:sz w:val="24"/>
          <w:szCs w:val="24"/>
        </w:rPr>
        <w:fldChar w:fldCharType="begin"/>
      </w:r>
      <w:r w:rsidRPr="006A3947">
        <w:rPr>
          <w:sz w:val="24"/>
          <w:szCs w:val="24"/>
        </w:rPr>
        <w:instrText xml:space="preserve"> SEQ Table \* ARABIC </w:instrText>
      </w:r>
      <w:r w:rsidR="00006A40" w:rsidRPr="006A3947">
        <w:rPr>
          <w:sz w:val="24"/>
          <w:szCs w:val="24"/>
        </w:rPr>
        <w:fldChar w:fldCharType="separate"/>
      </w:r>
      <w:r w:rsidR="00F66D7C">
        <w:rPr>
          <w:noProof/>
          <w:sz w:val="24"/>
          <w:szCs w:val="24"/>
        </w:rPr>
        <w:t>2</w:t>
      </w:r>
      <w:r w:rsidR="00006A40" w:rsidRPr="006A3947">
        <w:rPr>
          <w:sz w:val="24"/>
          <w:szCs w:val="24"/>
        </w:rPr>
        <w:fldChar w:fldCharType="end"/>
      </w:r>
      <w:bookmarkEnd w:id="1"/>
      <w:r w:rsidR="00FD552A" w:rsidRPr="00FD552A">
        <w:rPr>
          <w:bCs w:val="0"/>
          <w:sz w:val="24"/>
          <w:szCs w:val="24"/>
        </w:rPr>
        <w:t>:</w:t>
      </w:r>
      <w:r w:rsidR="00930CDC" w:rsidRPr="00FD552A">
        <w:rPr>
          <w:bCs w:val="0"/>
          <w:sz w:val="24"/>
          <w:szCs w:val="24"/>
        </w:rPr>
        <w:t xml:space="preserve"> Efficacy of zonisamide: seizure frequency (primary efficacy analysis population)</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1091"/>
        <w:gridCol w:w="1234"/>
        <w:gridCol w:w="1213"/>
        <w:gridCol w:w="1392"/>
        <w:gridCol w:w="1402"/>
        <w:gridCol w:w="1402"/>
      </w:tblGrid>
      <w:tr w:rsidR="00930CDC" w:rsidRPr="0024249E" w:rsidTr="0024249E">
        <w:trPr>
          <w:cantSplit/>
          <w:trHeight w:val="505"/>
          <w:tblHeader/>
        </w:trPr>
        <w:tc>
          <w:tcPr>
            <w:tcW w:w="0" w:type="auto"/>
            <w:vMerge w:val="restart"/>
          </w:tcPr>
          <w:p w:rsidR="00930CDC" w:rsidRPr="0024249E" w:rsidRDefault="00930CDC" w:rsidP="0024249E">
            <w:pPr>
              <w:spacing w:before="0" w:after="0"/>
              <w:rPr>
                <w:b/>
                <w:sz w:val="20"/>
                <w:szCs w:val="20"/>
              </w:rPr>
            </w:pPr>
            <w:r w:rsidRPr="0024249E">
              <w:rPr>
                <w:b/>
                <w:sz w:val="20"/>
                <w:szCs w:val="20"/>
              </w:rPr>
              <w:t>Treatment</w:t>
            </w:r>
          </w:p>
          <w:p w:rsidR="00930CDC" w:rsidRPr="0024249E" w:rsidRDefault="00930CDC" w:rsidP="0024249E">
            <w:pPr>
              <w:spacing w:before="0" w:after="0"/>
              <w:rPr>
                <w:b/>
                <w:sz w:val="20"/>
                <w:szCs w:val="20"/>
              </w:rPr>
            </w:pPr>
            <w:r w:rsidRPr="0024249E">
              <w:rPr>
                <w:b/>
                <w:sz w:val="20"/>
                <w:szCs w:val="20"/>
              </w:rPr>
              <w:t>(weeks 19-36)</w:t>
            </w:r>
          </w:p>
        </w:tc>
        <w:tc>
          <w:tcPr>
            <w:tcW w:w="0" w:type="auto"/>
            <w:gridSpan w:val="3"/>
          </w:tcPr>
          <w:p w:rsidR="00930CDC" w:rsidRPr="0024249E" w:rsidRDefault="00930CDC" w:rsidP="0024249E">
            <w:pPr>
              <w:spacing w:before="0" w:after="0"/>
              <w:jc w:val="center"/>
              <w:rPr>
                <w:b/>
                <w:sz w:val="20"/>
                <w:szCs w:val="20"/>
              </w:rPr>
            </w:pPr>
            <w:r w:rsidRPr="0024249E">
              <w:rPr>
                <w:b/>
                <w:sz w:val="20"/>
                <w:szCs w:val="20"/>
              </w:rPr>
              <w:t>Median % Reduction in Seizure Frequency from Baseline</w:t>
            </w:r>
          </w:p>
        </w:tc>
        <w:tc>
          <w:tcPr>
            <w:tcW w:w="0" w:type="auto"/>
            <w:gridSpan w:val="3"/>
          </w:tcPr>
          <w:p w:rsidR="00930CDC" w:rsidRPr="0024249E" w:rsidRDefault="00930CDC" w:rsidP="0024249E">
            <w:pPr>
              <w:spacing w:before="0" w:after="0"/>
              <w:jc w:val="center"/>
              <w:rPr>
                <w:b/>
                <w:sz w:val="20"/>
                <w:szCs w:val="20"/>
              </w:rPr>
            </w:pPr>
            <w:r w:rsidRPr="0024249E">
              <w:rPr>
                <w:b/>
                <w:sz w:val="20"/>
                <w:szCs w:val="20"/>
              </w:rPr>
              <w:t>Zonisamide-placebo Difference (with 95% CI) in Median % Reduction in Seizure Frequency from Baseline</w:t>
            </w:r>
          </w:p>
        </w:tc>
      </w:tr>
      <w:tr w:rsidR="00A85A9F" w:rsidRPr="0024249E" w:rsidTr="0024249E">
        <w:trPr>
          <w:cantSplit/>
          <w:trHeight w:val="1030"/>
          <w:tblHeader/>
        </w:trPr>
        <w:tc>
          <w:tcPr>
            <w:tcW w:w="0" w:type="auto"/>
            <w:vMerge/>
          </w:tcPr>
          <w:p w:rsidR="00930CDC" w:rsidRPr="0024249E" w:rsidRDefault="00930CDC" w:rsidP="0024249E">
            <w:pPr>
              <w:spacing w:before="0" w:after="0"/>
              <w:rPr>
                <w:b/>
                <w:sz w:val="20"/>
                <w:szCs w:val="20"/>
              </w:rPr>
            </w:pPr>
          </w:p>
        </w:tc>
        <w:tc>
          <w:tcPr>
            <w:tcW w:w="0" w:type="auto"/>
          </w:tcPr>
          <w:p w:rsidR="00930CDC" w:rsidRPr="0024249E" w:rsidRDefault="00930CDC" w:rsidP="0024249E">
            <w:pPr>
              <w:spacing w:before="0" w:after="0"/>
              <w:rPr>
                <w:b/>
                <w:sz w:val="20"/>
                <w:szCs w:val="20"/>
              </w:rPr>
            </w:pPr>
            <w:r w:rsidRPr="0024249E">
              <w:rPr>
                <w:b/>
                <w:sz w:val="20"/>
                <w:szCs w:val="20"/>
              </w:rPr>
              <w:t xml:space="preserve">Complex </w:t>
            </w:r>
          </w:p>
          <w:p w:rsidR="00930CDC" w:rsidRPr="0024249E" w:rsidRDefault="00930CDC" w:rsidP="0024249E">
            <w:pPr>
              <w:spacing w:before="0" w:after="0"/>
              <w:rPr>
                <w:b/>
                <w:sz w:val="20"/>
                <w:szCs w:val="20"/>
              </w:rPr>
            </w:pPr>
            <w:r w:rsidRPr="0024249E">
              <w:rPr>
                <w:b/>
                <w:sz w:val="20"/>
                <w:szCs w:val="20"/>
              </w:rPr>
              <w:t xml:space="preserve">partial </w:t>
            </w:r>
          </w:p>
          <w:p w:rsidR="00930CDC" w:rsidRPr="0024249E" w:rsidRDefault="00930CDC" w:rsidP="0024249E">
            <w:pPr>
              <w:spacing w:before="0" w:after="0"/>
              <w:rPr>
                <w:b/>
                <w:sz w:val="20"/>
                <w:szCs w:val="20"/>
              </w:rPr>
            </w:pPr>
            <w:r w:rsidRPr="0024249E">
              <w:rPr>
                <w:b/>
                <w:sz w:val="20"/>
                <w:szCs w:val="20"/>
              </w:rPr>
              <w:t>seizures</w:t>
            </w:r>
          </w:p>
        </w:tc>
        <w:tc>
          <w:tcPr>
            <w:tcW w:w="0" w:type="auto"/>
          </w:tcPr>
          <w:p w:rsidR="00930CDC" w:rsidRPr="0024249E" w:rsidRDefault="00930CDC" w:rsidP="0024249E">
            <w:pPr>
              <w:spacing w:before="0" w:after="0"/>
              <w:rPr>
                <w:b/>
                <w:sz w:val="20"/>
                <w:szCs w:val="20"/>
              </w:rPr>
            </w:pPr>
            <w:r w:rsidRPr="0024249E">
              <w:rPr>
                <w:b/>
                <w:sz w:val="20"/>
                <w:szCs w:val="20"/>
              </w:rPr>
              <w:t xml:space="preserve">All partial </w:t>
            </w:r>
          </w:p>
          <w:p w:rsidR="00930CDC" w:rsidRPr="0024249E" w:rsidRDefault="00930CDC" w:rsidP="0024249E">
            <w:pPr>
              <w:spacing w:before="0" w:after="0"/>
              <w:rPr>
                <w:b/>
                <w:sz w:val="20"/>
                <w:szCs w:val="20"/>
              </w:rPr>
            </w:pPr>
            <w:r w:rsidRPr="0024249E">
              <w:rPr>
                <w:b/>
                <w:sz w:val="20"/>
                <w:szCs w:val="20"/>
              </w:rPr>
              <w:t>seizures*</w:t>
            </w:r>
          </w:p>
        </w:tc>
        <w:tc>
          <w:tcPr>
            <w:tcW w:w="0" w:type="auto"/>
          </w:tcPr>
          <w:p w:rsidR="00930CDC" w:rsidRPr="0024249E" w:rsidRDefault="00930CDC" w:rsidP="0024249E">
            <w:pPr>
              <w:spacing w:before="0" w:after="0"/>
              <w:rPr>
                <w:b/>
                <w:sz w:val="20"/>
                <w:szCs w:val="20"/>
              </w:rPr>
            </w:pPr>
            <w:r w:rsidRPr="0024249E">
              <w:rPr>
                <w:b/>
                <w:sz w:val="20"/>
                <w:szCs w:val="20"/>
              </w:rPr>
              <w:t>All seizures**</w:t>
            </w:r>
          </w:p>
        </w:tc>
        <w:tc>
          <w:tcPr>
            <w:tcW w:w="0" w:type="auto"/>
          </w:tcPr>
          <w:p w:rsidR="00930CDC" w:rsidRPr="0024249E" w:rsidRDefault="00930CDC" w:rsidP="0024249E">
            <w:pPr>
              <w:spacing w:before="0" w:after="0"/>
              <w:rPr>
                <w:b/>
                <w:sz w:val="20"/>
                <w:szCs w:val="20"/>
              </w:rPr>
            </w:pPr>
            <w:r w:rsidRPr="0024249E">
              <w:rPr>
                <w:b/>
                <w:sz w:val="20"/>
                <w:szCs w:val="20"/>
              </w:rPr>
              <w:t xml:space="preserve">Complex </w:t>
            </w:r>
          </w:p>
          <w:p w:rsidR="00930CDC" w:rsidRPr="0024249E" w:rsidRDefault="00930CDC" w:rsidP="0024249E">
            <w:pPr>
              <w:spacing w:before="0" w:after="0"/>
              <w:rPr>
                <w:b/>
                <w:sz w:val="20"/>
                <w:szCs w:val="20"/>
              </w:rPr>
            </w:pPr>
            <w:r w:rsidRPr="0024249E">
              <w:rPr>
                <w:b/>
                <w:sz w:val="20"/>
                <w:szCs w:val="20"/>
              </w:rPr>
              <w:t xml:space="preserve">partial </w:t>
            </w:r>
          </w:p>
          <w:p w:rsidR="00930CDC" w:rsidRPr="0024249E" w:rsidRDefault="00930CDC" w:rsidP="0024249E">
            <w:pPr>
              <w:spacing w:before="0" w:after="0"/>
              <w:rPr>
                <w:b/>
                <w:sz w:val="20"/>
                <w:szCs w:val="20"/>
              </w:rPr>
            </w:pPr>
            <w:r w:rsidRPr="0024249E">
              <w:rPr>
                <w:b/>
                <w:sz w:val="20"/>
                <w:szCs w:val="20"/>
              </w:rPr>
              <w:t>seizures</w:t>
            </w:r>
          </w:p>
        </w:tc>
        <w:tc>
          <w:tcPr>
            <w:tcW w:w="0" w:type="auto"/>
          </w:tcPr>
          <w:p w:rsidR="00930CDC" w:rsidRPr="0024249E" w:rsidRDefault="00930CDC" w:rsidP="0024249E">
            <w:pPr>
              <w:spacing w:before="0" w:after="0"/>
              <w:rPr>
                <w:b/>
                <w:sz w:val="20"/>
                <w:szCs w:val="20"/>
              </w:rPr>
            </w:pPr>
            <w:r w:rsidRPr="0024249E">
              <w:rPr>
                <w:b/>
                <w:sz w:val="20"/>
                <w:szCs w:val="20"/>
              </w:rPr>
              <w:t xml:space="preserve">All partial </w:t>
            </w:r>
          </w:p>
          <w:p w:rsidR="00930CDC" w:rsidRPr="0024249E" w:rsidRDefault="00930CDC" w:rsidP="0024249E">
            <w:pPr>
              <w:spacing w:before="0" w:after="0"/>
              <w:rPr>
                <w:b/>
                <w:sz w:val="20"/>
                <w:szCs w:val="20"/>
              </w:rPr>
            </w:pPr>
            <w:r w:rsidRPr="0024249E">
              <w:rPr>
                <w:b/>
                <w:sz w:val="20"/>
                <w:szCs w:val="20"/>
              </w:rPr>
              <w:t>seizures*</w:t>
            </w:r>
          </w:p>
        </w:tc>
        <w:tc>
          <w:tcPr>
            <w:tcW w:w="0" w:type="auto"/>
          </w:tcPr>
          <w:p w:rsidR="00930CDC" w:rsidRPr="0024249E" w:rsidRDefault="00930CDC" w:rsidP="0024249E">
            <w:pPr>
              <w:spacing w:before="0" w:after="0"/>
              <w:rPr>
                <w:b/>
                <w:sz w:val="20"/>
                <w:szCs w:val="20"/>
              </w:rPr>
            </w:pPr>
            <w:r w:rsidRPr="0024249E">
              <w:rPr>
                <w:b/>
                <w:sz w:val="20"/>
                <w:szCs w:val="20"/>
              </w:rPr>
              <w:t>All seizures**</w:t>
            </w:r>
          </w:p>
        </w:tc>
      </w:tr>
      <w:tr w:rsidR="00A85A9F" w:rsidRPr="0024249E">
        <w:tc>
          <w:tcPr>
            <w:tcW w:w="0" w:type="auto"/>
          </w:tcPr>
          <w:p w:rsidR="00930CDC" w:rsidRPr="0024249E" w:rsidRDefault="00930CDC" w:rsidP="0024249E">
            <w:pPr>
              <w:spacing w:before="0" w:after="0"/>
              <w:rPr>
                <w:sz w:val="20"/>
                <w:szCs w:val="20"/>
              </w:rPr>
            </w:pPr>
            <w:r w:rsidRPr="0024249E">
              <w:rPr>
                <w:sz w:val="20"/>
                <w:szCs w:val="20"/>
              </w:rPr>
              <w:t>500 mg/day</w:t>
            </w:r>
          </w:p>
        </w:tc>
        <w:tc>
          <w:tcPr>
            <w:tcW w:w="0" w:type="auto"/>
          </w:tcPr>
          <w:p w:rsidR="00930CDC" w:rsidRPr="0024249E" w:rsidRDefault="00930CDC" w:rsidP="0024249E">
            <w:pPr>
              <w:spacing w:before="0" w:after="0"/>
              <w:jc w:val="center"/>
              <w:rPr>
                <w:sz w:val="20"/>
                <w:szCs w:val="20"/>
              </w:rPr>
            </w:pPr>
            <w:r w:rsidRPr="0024249E">
              <w:rPr>
                <w:sz w:val="20"/>
                <w:szCs w:val="20"/>
              </w:rPr>
              <w:t>51.2</w:t>
            </w:r>
          </w:p>
          <w:p w:rsidR="00930CDC" w:rsidRPr="0024249E" w:rsidRDefault="00930CDC" w:rsidP="0024249E">
            <w:pPr>
              <w:spacing w:before="0" w:after="0"/>
              <w:jc w:val="center"/>
              <w:rPr>
                <w:sz w:val="20"/>
                <w:szCs w:val="20"/>
              </w:rPr>
            </w:pPr>
            <w:r w:rsidRPr="0024249E">
              <w:rPr>
                <w:sz w:val="20"/>
                <w:szCs w:val="20"/>
              </w:rPr>
              <w:t>(p&lt;0.0001</w:t>
            </w:r>
          </w:p>
        </w:tc>
        <w:tc>
          <w:tcPr>
            <w:tcW w:w="0" w:type="auto"/>
          </w:tcPr>
          <w:p w:rsidR="00930CDC" w:rsidRPr="0024249E" w:rsidRDefault="00930CDC" w:rsidP="0024249E">
            <w:pPr>
              <w:spacing w:before="0" w:after="0"/>
              <w:jc w:val="center"/>
              <w:rPr>
                <w:sz w:val="20"/>
                <w:szCs w:val="20"/>
              </w:rPr>
            </w:pPr>
            <w:r w:rsidRPr="0024249E">
              <w:rPr>
                <w:sz w:val="20"/>
                <w:szCs w:val="20"/>
              </w:rPr>
              <w:t>50.6</w:t>
            </w:r>
          </w:p>
          <w:p w:rsidR="00930CDC" w:rsidRPr="0024249E" w:rsidRDefault="00930CDC" w:rsidP="0024249E">
            <w:pPr>
              <w:spacing w:before="0" w:after="0"/>
              <w:jc w:val="center"/>
              <w:rPr>
                <w:sz w:val="20"/>
                <w:szCs w:val="20"/>
              </w:rPr>
            </w:pPr>
            <w:r w:rsidRPr="0024249E">
              <w:rPr>
                <w:sz w:val="20"/>
                <w:szCs w:val="20"/>
              </w:rPr>
              <w:t>(p&lt;0.0001)</w:t>
            </w:r>
          </w:p>
        </w:tc>
        <w:tc>
          <w:tcPr>
            <w:tcW w:w="0" w:type="auto"/>
          </w:tcPr>
          <w:p w:rsidR="00930CDC" w:rsidRPr="0024249E" w:rsidRDefault="00930CDC" w:rsidP="0024249E">
            <w:pPr>
              <w:spacing w:before="0" w:after="0"/>
              <w:jc w:val="center"/>
              <w:rPr>
                <w:sz w:val="20"/>
                <w:szCs w:val="20"/>
              </w:rPr>
            </w:pPr>
            <w:r w:rsidRPr="0024249E">
              <w:rPr>
                <w:sz w:val="20"/>
                <w:szCs w:val="20"/>
              </w:rPr>
              <w:t>51.3</w:t>
            </w:r>
          </w:p>
          <w:p w:rsidR="00930CDC" w:rsidRPr="0024249E" w:rsidRDefault="00930CDC" w:rsidP="0024249E">
            <w:pPr>
              <w:spacing w:before="0" w:after="0"/>
              <w:jc w:val="center"/>
              <w:rPr>
                <w:sz w:val="20"/>
                <w:szCs w:val="20"/>
              </w:rPr>
            </w:pPr>
            <w:r w:rsidRPr="0024249E">
              <w:rPr>
                <w:sz w:val="20"/>
                <w:szCs w:val="20"/>
              </w:rPr>
              <w:t>(p&lt;0.0001)</w:t>
            </w:r>
          </w:p>
        </w:tc>
        <w:tc>
          <w:tcPr>
            <w:tcW w:w="0" w:type="auto"/>
          </w:tcPr>
          <w:p w:rsidR="00930CDC" w:rsidRPr="0024249E" w:rsidRDefault="00930CDC" w:rsidP="0024249E">
            <w:pPr>
              <w:spacing w:before="0" w:after="0"/>
              <w:jc w:val="center"/>
              <w:rPr>
                <w:sz w:val="20"/>
                <w:szCs w:val="20"/>
              </w:rPr>
            </w:pPr>
            <w:r w:rsidRPr="0024249E">
              <w:rPr>
                <w:sz w:val="20"/>
                <w:szCs w:val="20"/>
              </w:rPr>
              <w:t>-31.2</w:t>
            </w:r>
          </w:p>
          <w:p w:rsidR="00930CDC" w:rsidRPr="0024249E" w:rsidRDefault="00930CDC" w:rsidP="0024249E">
            <w:pPr>
              <w:spacing w:before="0" w:after="0"/>
              <w:jc w:val="center"/>
              <w:rPr>
                <w:sz w:val="20"/>
                <w:szCs w:val="20"/>
              </w:rPr>
            </w:pPr>
            <w:r w:rsidRPr="0024249E">
              <w:rPr>
                <w:sz w:val="20"/>
                <w:szCs w:val="20"/>
              </w:rPr>
              <w:t>(-44.6,-15.7) (p&lt;0.0001)</w:t>
            </w:r>
          </w:p>
        </w:tc>
        <w:tc>
          <w:tcPr>
            <w:tcW w:w="0" w:type="auto"/>
          </w:tcPr>
          <w:p w:rsidR="00930CDC" w:rsidRPr="0024249E" w:rsidRDefault="00930CDC" w:rsidP="0024249E">
            <w:pPr>
              <w:spacing w:before="0" w:after="0"/>
              <w:jc w:val="center"/>
              <w:rPr>
                <w:sz w:val="20"/>
                <w:szCs w:val="20"/>
              </w:rPr>
            </w:pPr>
            <w:r w:rsidRPr="0024249E">
              <w:rPr>
                <w:sz w:val="20"/>
                <w:szCs w:val="20"/>
              </w:rPr>
              <w:t>-27.3</w:t>
            </w:r>
          </w:p>
          <w:p w:rsidR="00930CDC" w:rsidRPr="0024249E" w:rsidRDefault="00930CDC" w:rsidP="0024249E">
            <w:pPr>
              <w:spacing w:before="0" w:after="0"/>
              <w:jc w:val="center"/>
              <w:rPr>
                <w:sz w:val="20"/>
                <w:szCs w:val="20"/>
              </w:rPr>
            </w:pPr>
            <w:r w:rsidRPr="0024249E">
              <w:rPr>
                <w:sz w:val="20"/>
                <w:szCs w:val="20"/>
              </w:rPr>
              <w:t>(-38.9, -15.8) (p&lt;0.0001)</w:t>
            </w:r>
          </w:p>
        </w:tc>
        <w:tc>
          <w:tcPr>
            <w:tcW w:w="0" w:type="auto"/>
          </w:tcPr>
          <w:p w:rsidR="00930CDC" w:rsidRPr="0024249E" w:rsidRDefault="00930CDC" w:rsidP="0024249E">
            <w:pPr>
              <w:spacing w:before="0" w:after="0"/>
              <w:jc w:val="center"/>
              <w:rPr>
                <w:sz w:val="20"/>
                <w:szCs w:val="20"/>
              </w:rPr>
            </w:pPr>
            <w:r w:rsidRPr="0024249E">
              <w:rPr>
                <w:sz w:val="20"/>
                <w:szCs w:val="20"/>
              </w:rPr>
              <w:t>-30.7</w:t>
            </w:r>
          </w:p>
          <w:p w:rsidR="00930CDC" w:rsidRPr="0024249E" w:rsidRDefault="00930CDC" w:rsidP="0024249E">
            <w:pPr>
              <w:spacing w:before="0" w:after="0"/>
              <w:jc w:val="center"/>
              <w:rPr>
                <w:sz w:val="20"/>
                <w:szCs w:val="20"/>
              </w:rPr>
            </w:pPr>
            <w:r w:rsidRPr="0024249E">
              <w:rPr>
                <w:sz w:val="20"/>
                <w:szCs w:val="20"/>
              </w:rPr>
              <w:t>(-41.3, -19.6) (p&lt;0.0001)</w:t>
            </w:r>
          </w:p>
        </w:tc>
      </w:tr>
      <w:tr w:rsidR="00A85A9F" w:rsidRPr="0024249E">
        <w:tc>
          <w:tcPr>
            <w:tcW w:w="0" w:type="auto"/>
          </w:tcPr>
          <w:p w:rsidR="00930CDC" w:rsidRPr="0024249E" w:rsidRDefault="00930CDC" w:rsidP="0024249E">
            <w:pPr>
              <w:spacing w:before="0" w:after="0"/>
              <w:rPr>
                <w:sz w:val="20"/>
                <w:szCs w:val="20"/>
              </w:rPr>
            </w:pPr>
            <w:r w:rsidRPr="0024249E">
              <w:rPr>
                <w:sz w:val="20"/>
                <w:szCs w:val="20"/>
              </w:rPr>
              <w:t>300 mg/day</w:t>
            </w:r>
          </w:p>
          <w:p w:rsidR="00930CDC" w:rsidRPr="0024249E" w:rsidRDefault="00930CDC" w:rsidP="0024249E">
            <w:pPr>
              <w:spacing w:before="0" w:after="0"/>
              <w:rPr>
                <w:sz w:val="20"/>
                <w:szCs w:val="20"/>
              </w:rPr>
            </w:pPr>
          </w:p>
        </w:tc>
        <w:tc>
          <w:tcPr>
            <w:tcW w:w="0" w:type="auto"/>
          </w:tcPr>
          <w:p w:rsidR="00930CDC" w:rsidRPr="0024249E" w:rsidRDefault="00930CDC" w:rsidP="0024249E">
            <w:pPr>
              <w:spacing w:before="0" w:after="0"/>
              <w:jc w:val="center"/>
              <w:rPr>
                <w:sz w:val="20"/>
                <w:szCs w:val="20"/>
              </w:rPr>
            </w:pPr>
            <w:r w:rsidRPr="0024249E">
              <w:rPr>
                <w:sz w:val="20"/>
                <w:szCs w:val="20"/>
              </w:rPr>
              <w:t>40.1</w:t>
            </w:r>
          </w:p>
          <w:p w:rsidR="00930CDC" w:rsidRPr="0024249E" w:rsidRDefault="00530747" w:rsidP="0024249E">
            <w:pPr>
              <w:spacing w:before="0" w:after="0"/>
              <w:jc w:val="center"/>
              <w:rPr>
                <w:sz w:val="20"/>
                <w:szCs w:val="20"/>
              </w:rPr>
            </w:pPr>
            <w:r w:rsidRPr="0024249E">
              <w:rPr>
                <w:sz w:val="20"/>
                <w:szCs w:val="20"/>
              </w:rPr>
              <w:t>(</w:t>
            </w:r>
            <w:r w:rsidR="00A85A9F" w:rsidRPr="0024249E">
              <w:rPr>
                <w:sz w:val="20"/>
                <w:szCs w:val="20"/>
              </w:rPr>
              <w:t>p=0.316)</w:t>
            </w:r>
          </w:p>
        </w:tc>
        <w:tc>
          <w:tcPr>
            <w:tcW w:w="0" w:type="auto"/>
          </w:tcPr>
          <w:p w:rsidR="00930CDC" w:rsidRPr="0024249E" w:rsidRDefault="00930CDC" w:rsidP="0024249E">
            <w:pPr>
              <w:spacing w:before="0" w:after="0"/>
              <w:jc w:val="center"/>
              <w:rPr>
                <w:sz w:val="20"/>
                <w:szCs w:val="20"/>
              </w:rPr>
            </w:pPr>
            <w:r w:rsidRPr="0024249E">
              <w:rPr>
                <w:sz w:val="20"/>
                <w:szCs w:val="20"/>
              </w:rPr>
              <w:t>46.4</w:t>
            </w:r>
          </w:p>
          <w:p w:rsidR="00930CDC" w:rsidRPr="0024249E" w:rsidRDefault="00930CDC" w:rsidP="0024249E">
            <w:pPr>
              <w:spacing w:before="0" w:after="0"/>
              <w:jc w:val="center"/>
              <w:rPr>
                <w:sz w:val="20"/>
                <w:szCs w:val="20"/>
              </w:rPr>
            </w:pPr>
            <w:r w:rsidRPr="0024249E">
              <w:rPr>
                <w:sz w:val="20"/>
                <w:szCs w:val="20"/>
              </w:rPr>
              <w:t>(p=0.0007)</w:t>
            </w:r>
          </w:p>
        </w:tc>
        <w:tc>
          <w:tcPr>
            <w:tcW w:w="0" w:type="auto"/>
          </w:tcPr>
          <w:p w:rsidR="00930CDC" w:rsidRPr="0024249E" w:rsidRDefault="00930CDC" w:rsidP="0024249E">
            <w:pPr>
              <w:spacing w:before="0" w:after="0"/>
              <w:jc w:val="center"/>
              <w:rPr>
                <w:sz w:val="20"/>
                <w:szCs w:val="20"/>
              </w:rPr>
            </w:pPr>
            <w:r w:rsidRPr="0024249E">
              <w:rPr>
                <w:sz w:val="20"/>
                <w:szCs w:val="20"/>
              </w:rPr>
              <w:t>41.8</w:t>
            </w:r>
          </w:p>
          <w:p w:rsidR="00930CDC" w:rsidRPr="0024249E" w:rsidRDefault="00930CDC" w:rsidP="0024249E">
            <w:pPr>
              <w:spacing w:before="0" w:after="0"/>
              <w:jc w:val="center"/>
              <w:rPr>
                <w:sz w:val="20"/>
                <w:szCs w:val="20"/>
              </w:rPr>
            </w:pPr>
            <w:r w:rsidRPr="0024249E">
              <w:rPr>
                <w:sz w:val="20"/>
                <w:szCs w:val="20"/>
              </w:rPr>
              <w:t>(p=0.0005)</w:t>
            </w:r>
          </w:p>
        </w:tc>
        <w:tc>
          <w:tcPr>
            <w:tcW w:w="0" w:type="auto"/>
          </w:tcPr>
          <w:p w:rsidR="00930CDC" w:rsidRPr="0024249E" w:rsidRDefault="00930CDC" w:rsidP="0024249E">
            <w:pPr>
              <w:spacing w:before="0" w:after="0"/>
              <w:jc w:val="center"/>
              <w:rPr>
                <w:sz w:val="20"/>
                <w:szCs w:val="20"/>
              </w:rPr>
            </w:pPr>
            <w:r w:rsidRPr="0024249E">
              <w:rPr>
                <w:sz w:val="20"/>
                <w:szCs w:val="20"/>
              </w:rPr>
              <w:t>-15.0</w:t>
            </w:r>
          </w:p>
          <w:p w:rsidR="00930CDC" w:rsidRPr="0024249E" w:rsidRDefault="00930CDC" w:rsidP="0024249E">
            <w:pPr>
              <w:spacing w:before="0" w:after="0"/>
              <w:jc w:val="center"/>
              <w:rPr>
                <w:sz w:val="20"/>
                <w:szCs w:val="20"/>
              </w:rPr>
            </w:pPr>
            <w:r w:rsidRPr="0024249E">
              <w:rPr>
                <w:sz w:val="20"/>
                <w:szCs w:val="20"/>
              </w:rPr>
              <w:t xml:space="preserve">(-39.7, 12.6) </w:t>
            </w:r>
            <w:r w:rsidR="00CF5512" w:rsidRPr="0024249E">
              <w:rPr>
                <w:sz w:val="20"/>
                <w:szCs w:val="20"/>
              </w:rPr>
              <w:t>(p=0.3160)</w:t>
            </w:r>
          </w:p>
        </w:tc>
        <w:tc>
          <w:tcPr>
            <w:tcW w:w="0" w:type="auto"/>
          </w:tcPr>
          <w:p w:rsidR="00930CDC" w:rsidRPr="0024249E" w:rsidRDefault="00930CDC" w:rsidP="0024249E">
            <w:pPr>
              <w:spacing w:before="0" w:after="0"/>
              <w:jc w:val="center"/>
              <w:rPr>
                <w:sz w:val="20"/>
                <w:szCs w:val="20"/>
              </w:rPr>
            </w:pPr>
            <w:r w:rsidRPr="0024249E">
              <w:rPr>
                <w:sz w:val="20"/>
                <w:szCs w:val="20"/>
              </w:rPr>
              <w:t>-26.9</w:t>
            </w:r>
          </w:p>
          <w:p w:rsidR="00930CDC" w:rsidRPr="0024249E" w:rsidRDefault="00930CDC" w:rsidP="0024249E">
            <w:pPr>
              <w:spacing w:before="0" w:after="0"/>
              <w:jc w:val="center"/>
              <w:rPr>
                <w:sz w:val="20"/>
                <w:szCs w:val="20"/>
              </w:rPr>
            </w:pPr>
            <w:r w:rsidRPr="0024249E">
              <w:rPr>
                <w:sz w:val="20"/>
                <w:szCs w:val="20"/>
              </w:rPr>
              <w:t>(-42.3, -12.9) (p=0.0007)</w:t>
            </w:r>
          </w:p>
        </w:tc>
        <w:tc>
          <w:tcPr>
            <w:tcW w:w="0" w:type="auto"/>
          </w:tcPr>
          <w:p w:rsidR="00930CDC" w:rsidRPr="0024249E" w:rsidRDefault="00930CDC" w:rsidP="0024249E">
            <w:pPr>
              <w:spacing w:before="0" w:after="0"/>
              <w:jc w:val="center"/>
              <w:rPr>
                <w:sz w:val="20"/>
                <w:szCs w:val="20"/>
              </w:rPr>
            </w:pPr>
            <w:r w:rsidRPr="0024249E">
              <w:rPr>
                <w:sz w:val="20"/>
                <w:szCs w:val="20"/>
              </w:rPr>
              <w:t>-26.1</w:t>
            </w:r>
          </w:p>
          <w:p w:rsidR="00930CDC" w:rsidRPr="0024249E" w:rsidRDefault="00930CDC" w:rsidP="0024249E">
            <w:pPr>
              <w:spacing w:before="0" w:after="0"/>
              <w:jc w:val="center"/>
              <w:rPr>
                <w:sz w:val="20"/>
                <w:szCs w:val="20"/>
              </w:rPr>
            </w:pPr>
            <w:r w:rsidRPr="0024249E">
              <w:rPr>
                <w:sz w:val="20"/>
                <w:szCs w:val="20"/>
              </w:rPr>
              <w:t>(-41.0,-12.5) (p=0.0005)</w:t>
            </w:r>
          </w:p>
        </w:tc>
      </w:tr>
      <w:tr w:rsidR="00A85A9F" w:rsidRPr="0024249E">
        <w:tc>
          <w:tcPr>
            <w:tcW w:w="0" w:type="auto"/>
          </w:tcPr>
          <w:p w:rsidR="00930CDC" w:rsidRPr="0024249E" w:rsidRDefault="00930CDC" w:rsidP="0024249E">
            <w:pPr>
              <w:spacing w:before="0" w:after="0"/>
              <w:rPr>
                <w:sz w:val="20"/>
                <w:szCs w:val="20"/>
              </w:rPr>
            </w:pPr>
            <w:r w:rsidRPr="0024249E">
              <w:rPr>
                <w:sz w:val="20"/>
                <w:szCs w:val="20"/>
              </w:rPr>
              <w:t>100 mg/day</w:t>
            </w:r>
          </w:p>
          <w:p w:rsidR="00930CDC" w:rsidRPr="0024249E" w:rsidRDefault="00930CDC" w:rsidP="0024249E">
            <w:pPr>
              <w:spacing w:before="0" w:after="0"/>
              <w:rPr>
                <w:sz w:val="20"/>
                <w:szCs w:val="20"/>
              </w:rPr>
            </w:pPr>
          </w:p>
        </w:tc>
        <w:tc>
          <w:tcPr>
            <w:tcW w:w="0" w:type="auto"/>
          </w:tcPr>
          <w:p w:rsidR="00930CDC" w:rsidRPr="0024249E" w:rsidRDefault="00930CDC" w:rsidP="0024249E">
            <w:pPr>
              <w:spacing w:before="0" w:after="0"/>
              <w:jc w:val="center"/>
              <w:rPr>
                <w:sz w:val="20"/>
                <w:szCs w:val="20"/>
              </w:rPr>
            </w:pPr>
            <w:r w:rsidRPr="0024249E">
              <w:rPr>
                <w:sz w:val="20"/>
                <w:szCs w:val="20"/>
              </w:rPr>
              <w:t>11.4</w:t>
            </w:r>
          </w:p>
          <w:p w:rsidR="00930CDC" w:rsidRPr="0024249E" w:rsidRDefault="00930CDC" w:rsidP="0024249E">
            <w:pPr>
              <w:spacing w:before="0" w:after="0"/>
              <w:jc w:val="center"/>
              <w:rPr>
                <w:sz w:val="20"/>
                <w:szCs w:val="20"/>
              </w:rPr>
            </w:pPr>
            <w:r w:rsidRPr="0024249E">
              <w:rPr>
                <w:sz w:val="20"/>
                <w:szCs w:val="20"/>
              </w:rPr>
              <w:t>(NA)</w:t>
            </w:r>
          </w:p>
        </w:tc>
        <w:tc>
          <w:tcPr>
            <w:tcW w:w="0" w:type="auto"/>
          </w:tcPr>
          <w:p w:rsidR="00930CDC" w:rsidRPr="0024249E" w:rsidRDefault="00930CDC" w:rsidP="0024249E">
            <w:pPr>
              <w:spacing w:before="0" w:after="0"/>
              <w:jc w:val="center"/>
              <w:rPr>
                <w:sz w:val="20"/>
                <w:szCs w:val="20"/>
              </w:rPr>
            </w:pPr>
            <w:r w:rsidRPr="0024249E">
              <w:rPr>
                <w:sz w:val="20"/>
                <w:szCs w:val="20"/>
              </w:rPr>
              <w:t>18.3</w:t>
            </w:r>
            <w:r w:rsidR="00CF5512" w:rsidRPr="0024249E">
              <w:rPr>
                <w:sz w:val="20"/>
                <w:szCs w:val="20"/>
              </w:rPr>
              <w:t xml:space="preserve"> (p=0.7204)</w:t>
            </w:r>
          </w:p>
        </w:tc>
        <w:tc>
          <w:tcPr>
            <w:tcW w:w="0" w:type="auto"/>
          </w:tcPr>
          <w:p w:rsidR="00930CDC" w:rsidRPr="0024249E" w:rsidRDefault="00930CDC" w:rsidP="0024249E">
            <w:pPr>
              <w:spacing w:before="0" w:after="0"/>
              <w:jc w:val="center"/>
              <w:rPr>
                <w:sz w:val="20"/>
                <w:szCs w:val="20"/>
              </w:rPr>
            </w:pPr>
            <w:r w:rsidRPr="0024249E">
              <w:rPr>
                <w:sz w:val="20"/>
                <w:szCs w:val="20"/>
              </w:rPr>
              <w:t>18.6</w:t>
            </w:r>
          </w:p>
          <w:p w:rsidR="00930CDC" w:rsidRPr="0024249E" w:rsidRDefault="00CF5512" w:rsidP="0024249E">
            <w:pPr>
              <w:spacing w:before="0" w:after="0"/>
              <w:jc w:val="center"/>
              <w:rPr>
                <w:sz w:val="20"/>
                <w:szCs w:val="20"/>
              </w:rPr>
            </w:pPr>
            <w:r w:rsidRPr="0024249E">
              <w:rPr>
                <w:sz w:val="20"/>
                <w:szCs w:val="20"/>
              </w:rPr>
              <w:t>(p=0.4452)</w:t>
            </w:r>
          </w:p>
        </w:tc>
        <w:tc>
          <w:tcPr>
            <w:tcW w:w="0" w:type="auto"/>
          </w:tcPr>
          <w:p w:rsidR="00930CDC" w:rsidRPr="0024249E" w:rsidRDefault="00930CDC" w:rsidP="0024249E">
            <w:pPr>
              <w:spacing w:before="0" w:after="0"/>
              <w:jc w:val="center"/>
              <w:rPr>
                <w:sz w:val="20"/>
                <w:szCs w:val="20"/>
              </w:rPr>
            </w:pPr>
            <w:r w:rsidRPr="0024249E">
              <w:rPr>
                <w:sz w:val="20"/>
                <w:szCs w:val="20"/>
              </w:rPr>
              <w:t>NA</w:t>
            </w:r>
          </w:p>
        </w:tc>
        <w:tc>
          <w:tcPr>
            <w:tcW w:w="0" w:type="auto"/>
          </w:tcPr>
          <w:p w:rsidR="00930CDC" w:rsidRPr="0024249E" w:rsidRDefault="00930CDC" w:rsidP="0024249E">
            <w:pPr>
              <w:spacing w:before="0" w:after="0"/>
              <w:jc w:val="center"/>
              <w:rPr>
                <w:sz w:val="20"/>
                <w:szCs w:val="20"/>
              </w:rPr>
            </w:pPr>
            <w:r w:rsidRPr="0024249E">
              <w:rPr>
                <w:sz w:val="20"/>
                <w:szCs w:val="20"/>
              </w:rPr>
              <w:t>-1.6</w:t>
            </w:r>
          </w:p>
          <w:p w:rsidR="00930CDC" w:rsidRPr="0024249E" w:rsidRDefault="00930CDC" w:rsidP="0024249E">
            <w:pPr>
              <w:spacing w:before="0" w:after="0"/>
              <w:jc w:val="center"/>
              <w:rPr>
                <w:sz w:val="20"/>
                <w:szCs w:val="20"/>
              </w:rPr>
            </w:pPr>
            <w:r w:rsidRPr="0024249E">
              <w:rPr>
                <w:sz w:val="20"/>
                <w:szCs w:val="20"/>
              </w:rPr>
              <w:t xml:space="preserve">(-17.6, 11.5) </w:t>
            </w:r>
            <w:r w:rsidR="00CF5512" w:rsidRPr="0024249E">
              <w:rPr>
                <w:sz w:val="20"/>
                <w:szCs w:val="20"/>
              </w:rPr>
              <w:t>(p=0.7204)</w:t>
            </w:r>
          </w:p>
        </w:tc>
        <w:tc>
          <w:tcPr>
            <w:tcW w:w="0" w:type="auto"/>
          </w:tcPr>
          <w:p w:rsidR="00930CDC" w:rsidRPr="0024249E" w:rsidRDefault="00930CDC" w:rsidP="0024249E">
            <w:pPr>
              <w:spacing w:before="0" w:after="0"/>
              <w:jc w:val="center"/>
              <w:rPr>
                <w:sz w:val="20"/>
                <w:szCs w:val="20"/>
              </w:rPr>
            </w:pPr>
            <w:r w:rsidRPr="0024249E">
              <w:rPr>
                <w:sz w:val="20"/>
                <w:szCs w:val="20"/>
              </w:rPr>
              <w:t>-5.8</w:t>
            </w:r>
          </w:p>
          <w:p w:rsidR="00930CDC" w:rsidRPr="0024249E" w:rsidRDefault="00930CDC" w:rsidP="0024249E">
            <w:pPr>
              <w:spacing w:before="0" w:after="0"/>
              <w:jc w:val="center"/>
              <w:rPr>
                <w:sz w:val="20"/>
                <w:szCs w:val="20"/>
              </w:rPr>
            </w:pPr>
            <w:r w:rsidRPr="0024249E">
              <w:rPr>
                <w:sz w:val="20"/>
                <w:szCs w:val="20"/>
              </w:rPr>
              <w:t xml:space="preserve">(-20.3, 8.2) </w:t>
            </w:r>
            <w:r w:rsidR="00CF5512" w:rsidRPr="0024249E">
              <w:rPr>
                <w:sz w:val="20"/>
                <w:szCs w:val="20"/>
              </w:rPr>
              <w:t>(p=0.4452)</w:t>
            </w:r>
          </w:p>
        </w:tc>
      </w:tr>
      <w:tr w:rsidR="00A85A9F" w:rsidRPr="0024249E">
        <w:tc>
          <w:tcPr>
            <w:tcW w:w="0" w:type="auto"/>
          </w:tcPr>
          <w:p w:rsidR="00930CDC" w:rsidRPr="0024249E" w:rsidRDefault="00930CDC" w:rsidP="0024249E">
            <w:pPr>
              <w:spacing w:before="0" w:after="0"/>
              <w:rPr>
                <w:sz w:val="20"/>
                <w:szCs w:val="20"/>
              </w:rPr>
            </w:pPr>
            <w:r w:rsidRPr="0024249E">
              <w:rPr>
                <w:sz w:val="20"/>
                <w:szCs w:val="20"/>
              </w:rPr>
              <w:t>Placebo</w:t>
            </w:r>
          </w:p>
          <w:p w:rsidR="00930CDC" w:rsidRPr="0024249E" w:rsidRDefault="00930CDC" w:rsidP="0024249E">
            <w:pPr>
              <w:spacing w:before="0" w:after="0"/>
              <w:rPr>
                <w:sz w:val="20"/>
                <w:szCs w:val="20"/>
              </w:rPr>
            </w:pPr>
          </w:p>
        </w:tc>
        <w:tc>
          <w:tcPr>
            <w:tcW w:w="0" w:type="auto"/>
          </w:tcPr>
          <w:p w:rsidR="00930CDC" w:rsidRPr="0024249E" w:rsidRDefault="00930CDC" w:rsidP="0024249E">
            <w:pPr>
              <w:spacing w:before="0" w:after="0"/>
              <w:jc w:val="center"/>
              <w:rPr>
                <w:sz w:val="20"/>
                <w:szCs w:val="20"/>
              </w:rPr>
            </w:pPr>
            <w:r w:rsidRPr="0024249E">
              <w:rPr>
                <w:sz w:val="20"/>
                <w:szCs w:val="20"/>
              </w:rPr>
              <w:t>16.3</w:t>
            </w:r>
          </w:p>
        </w:tc>
        <w:tc>
          <w:tcPr>
            <w:tcW w:w="0" w:type="auto"/>
          </w:tcPr>
          <w:p w:rsidR="00930CDC" w:rsidRPr="0024249E" w:rsidRDefault="00930CDC" w:rsidP="0024249E">
            <w:pPr>
              <w:spacing w:before="0" w:after="0"/>
              <w:jc w:val="center"/>
              <w:rPr>
                <w:sz w:val="20"/>
                <w:szCs w:val="20"/>
              </w:rPr>
            </w:pPr>
            <w:r w:rsidRPr="0024249E">
              <w:rPr>
                <w:sz w:val="20"/>
                <w:szCs w:val="20"/>
              </w:rPr>
              <w:t>19.4</w:t>
            </w:r>
          </w:p>
        </w:tc>
        <w:tc>
          <w:tcPr>
            <w:tcW w:w="0" w:type="auto"/>
          </w:tcPr>
          <w:p w:rsidR="00930CDC" w:rsidRPr="0024249E" w:rsidRDefault="00930CDC" w:rsidP="0024249E">
            <w:pPr>
              <w:spacing w:before="0" w:after="0"/>
              <w:jc w:val="center"/>
              <w:rPr>
                <w:sz w:val="20"/>
                <w:szCs w:val="20"/>
              </w:rPr>
            </w:pPr>
            <w:r w:rsidRPr="0024249E">
              <w:rPr>
                <w:sz w:val="20"/>
                <w:szCs w:val="20"/>
              </w:rPr>
              <w:t>18.1</w:t>
            </w:r>
          </w:p>
        </w:tc>
        <w:tc>
          <w:tcPr>
            <w:tcW w:w="0" w:type="auto"/>
          </w:tcPr>
          <w:p w:rsidR="00930CDC" w:rsidRPr="0024249E" w:rsidRDefault="00930CDC" w:rsidP="0024249E">
            <w:pPr>
              <w:spacing w:before="0" w:after="0"/>
              <w:jc w:val="center"/>
              <w:rPr>
                <w:sz w:val="20"/>
                <w:szCs w:val="20"/>
              </w:rPr>
            </w:pPr>
            <w:r w:rsidRPr="0024249E">
              <w:rPr>
                <w:sz w:val="20"/>
                <w:szCs w:val="20"/>
              </w:rPr>
              <w:t>-</w:t>
            </w:r>
          </w:p>
        </w:tc>
        <w:tc>
          <w:tcPr>
            <w:tcW w:w="0" w:type="auto"/>
          </w:tcPr>
          <w:p w:rsidR="00930CDC" w:rsidRPr="0024249E" w:rsidRDefault="00930CDC" w:rsidP="0024249E">
            <w:pPr>
              <w:spacing w:before="0" w:after="0"/>
              <w:jc w:val="center"/>
              <w:rPr>
                <w:sz w:val="20"/>
                <w:szCs w:val="20"/>
              </w:rPr>
            </w:pPr>
            <w:r w:rsidRPr="0024249E">
              <w:rPr>
                <w:sz w:val="20"/>
                <w:szCs w:val="20"/>
              </w:rPr>
              <w:t>-</w:t>
            </w:r>
          </w:p>
        </w:tc>
        <w:tc>
          <w:tcPr>
            <w:tcW w:w="0" w:type="auto"/>
          </w:tcPr>
          <w:p w:rsidR="00930CDC" w:rsidRPr="0024249E" w:rsidRDefault="00930CDC" w:rsidP="0024249E">
            <w:pPr>
              <w:spacing w:before="0" w:after="0"/>
              <w:jc w:val="center"/>
              <w:rPr>
                <w:sz w:val="20"/>
                <w:szCs w:val="20"/>
              </w:rPr>
            </w:pPr>
            <w:r w:rsidRPr="0024249E">
              <w:rPr>
                <w:sz w:val="20"/>
                <w:szCs w:val="20"/>
              </w:rPr>
              <w:t>-</w:t>
            </w:r>
          </w:p>
        </w:tc>
      </w:tr>
    </w:tbl>
    <w:p w:rsidR="000619CC" w:rsidRPr="00E14359" w:rsidRDefault="00930CDC" w:rsidP="00DF046D">
      <w:pPr>
        <w:tabs>
          <w:tab w:val="left" w:pos="540"/>
        </w:tabs>
        <w:rPr>
          <w:sz w:val="18"/>
          <w:szCs w:val="18"/>
        </w:rPr>
      </w:pPr>
      <w:r w:rsidRPr="00E14359">
        <w:rPr>
          <w:sz w:val="18"/>
          <w:szCs w:val="18"/>
        </w:rPr>
        <w:t xml:space="preserve">*     </w:t>
      </w:r>
      <w:r w:rsidRPr="00E14359">
        <w:rPr>
          <w:sz w:val="18"/>
          <w:szCs w:val="18"/>
        </w:rPr>
        <w:tab/>
        <w:t>All partial seizures without secondary generalization</w:t>
      </w:r>
      <w:r w:rsidR="0024249E">
        <w:rPr>
          <w:sz w:val="18"/>
          <w:szCs w:val="18"/>
        </w:rPr>
        <w:br/>
      </w:r>
      <w:r w:rsidRPr="00E14359">
        <w:rPr>
          <w:sz w:val="18"/>
          <w:szCs w:val="18"/>
        </w:rPr>
        <w:t xml:space="preserve">**  </w:t>
      </w:r>
      <w:r w:rsidRPr="00E14359">
        <w:rPr>
          <w:sz w:val="18"/>
          <w:szCs w:val="18"/>
        </w:rPr>
        <w:tab/>
        <w:t>All partial and secondary generalized seizures</w:t>
      </w:r>
      <w:r w:rsidR="0024249E">
        <w:rPr>
          <w:sz w:val="18"/>
          <w:szCs w:val="18"/>
        </w:rPr>
        <w:br/>
      </w:r>
      <w:r w:rsidRPr="00E14359">
        <w:rPr>
          <w:sz w:val="18"/>
          <w:szCs w:val="18"/>
        </w:rPr>
        <w:t xml:space="preserve">NA </w:t>
      </w:r>
      <w:r w:rsidRPr="00E14359">
        <w:rPr>
          <w:sz w:val="18"/>
          <w:szCs w:val="18"/>
        </w:rPr>
        <w:tab/>
        <w:t>Not assessed</w:t>
      </w:r>
      <w:r w:rsidR="0024249E">
        <w:rPr>
          <w:sz w:val="18"/>
          <w:szCs w:val="18"/>
        </w:rPr>
        <w:br/>
      </w:r>
      <w:r w:rsidRPr="00E14359">
        <w:rPr>
          <w:sz w:val="18"/>
          <w:szCs w:val="18"/>
        </w:rPr>
        <w:t xml:space="preserve">-     </w:t>
      </w:r>
      <w:r w:rsidRPr="00E14359">
        <w:rPr>
          <w:sz w:val="18"/>
          <w:szCs w:val="18"/>
        </w:rPr>
        <w:tab/>
        <w:t>Not applicable</w:t>
      </w:r>
    </w:p>
    <w:p w:rsidR="00930CDC" w:rsidRPr="00E14359" w:rsidRDefault="006A3947" w:rsidP="0024249E">
      <w:pPr>
        <w:pStyle w:val="Caption"/>
        <w:pageBreakBefore/>
        <w:rPr>
          <w:b w:val="0"/>
          <w:bCs w:val="0"/>
          <w:sz w:val="24"/>
          <w:szCs w:val="24"/>
        </w:rPr>
      </w:pPr>
      <w:bookmarkStart w:id="3" w:name="_Toc302397718"/>
      <w:r w:rsidRPr="006A3947">
        <w:rPr>
          <w:sz w:val="24"/>
          <w:szCs w:val="24"/>
        </w:rPr>
        <w:lastRenderedPageBreak/>
        <w:t xml:space="preserve">Table </w:t>
      </w:r>
      <w:r w:rsidR="00006A40" w:rsidRPr="006A3947">
        <w:rPr>
          <w:sz w:val="24"/>
          <w:szCs w:val="24"/>
        </w:rPr>
        <w:fldChar w:fldCharType="begin"/>
      </w:r>
      <w:r w:rsidRPr="006A3947">
        <w:rPr>
          <w:sz w:val="24"/>
          <w:szCs w:val="24"/>
        </w:rPr>
        <w:instrText xml:space="preserve"> SEQ Table \* ARABIC </w:instrText>
      </w:r>
      <w:r w:rsidR="00006A40" w:rsidRPr="006A3947">
        <w:rPr>
          <w:sz w:val="24"/>
          <w:szCs w:val="24"/>
        </w:rPr>
        <w:fldChar w:fldCharType="separate"/>
      </w:r>
      <w:r w:rsidR="00F66D7C">
        <w:rPr>
          <w:noProof/>
          <w:sz w:val="24"/>
          <w:szCs w:val="24"/>
        </w:rPr>
        <w:t>3</w:t>
      </w:r>
      <w:r w:rsidR="00006A40" w:rsidRPr="006A3947">
        <w:rPr>
          <w:sz w:val="24"/>
          <w:szCs w:val="24"/>
        </w:rPr>
        <w:fldChar w:fldCharType="end"/>
      </w:r>
      <w:r w:rsidR="00FD552A">
        <w:rPr>
          <w:sz w:val="24"/>
          <w:szCs w:val="24"/>
        </w:rPr>
        <w:t>:</w:t>
      </w:r>
      <w:r w:rsidR="00930CDC" w:rsidRPr="00E14359">
        <w:rPr>
          <w:b w:val="0"/>
          <w:bCs w:val="0"/>
          <w:sz w:val="24"/>
          <w:szCs w:val="24"/>
        </w:rPr>
        <w:t xml:space="preserve"> </w:t>
      </w:r>
      <w:r w:rsidR="00930CDC" w:rsidRPr="00FD552A">
        <w:rPr>
          <w:bCs w:val="0"/>
          <w:sz w:val="24"/>
          <w:szCs w:val="24"/>
        </w:rPr>
        <w:t>Efficacy of zonisamide: responders (primary efficacy analysis population)</w:t>
      </w:r>
      <w:bookmarkEnd w:id="3"/>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1680"/>
        <w:gridCol w:w="1560"/>
        <w:gridCol w:w="1560"/>
      </w:tblGrid>
      <w:tr w:rsidR="00930CDC" w:rsidRPr="0024249E" w:rsidTr="0024249E">
        <w:trPr>
          <w:cantSplit/>
          <w:trHeight w:val="505"/>
          <w:tblHeader/>
        </w:trPr>
        <w:tc>
          <w:tcPr>
            <w:tcW w:w="2040" w:type="dxa"/>
            <w:vMerge w:val="restart"/>
          </w:tcPr>
          <w:p w:rsidR="00930CDC" w:rsidRPr="0024249E" w:rsidRDefault="00930CDC" w:rsidP="0024249E">
            <w:pPr>
              <w:spacing w:before="0" w:after="0"/>
              <w:rPr>
                <w:b/>
                <w:sz w:val="20"/>
                <w:szCs w:val="20"/>
              </w:rPr>
            </w:pPr>
            <w:r w:rsidRPr="0024249E">
              <w:rPr>
                <w:b/>
                <w:sz w:val="20"/>
                <w:szCs w:val="20"/>
              </w:rPr>
              <w:t>Treatment</w:t>
            </w:r>
          </w:p>
          <w:p w:rsidR="00930CDC" w:rsidRPr="0024249E" w:rsidRDefault="00930CDC" w:rsidP="0024249E">
            <w:pPr>
              <w:spacing w:before="0" w:after="0"/>
              <w:rPr>
                <w:b/>
                <w:sz w:val="20"/>
                <w:szCs w:val="20"/>
              </w:rPr>
            </w:pPr>
            <w:r w:rsidRPr="0024249E">
              <w:rPr>
                <w:b/>
                <w:sz w:val="20"/>
                <w:szCs w:val="20"/>
              </w:rPr>
              <w:t>(weeks 19-36)</w:t>
            </w:r>
          </w:p>
        </w:tc>
        <w:tc>
          <w:tcPr>
            <w:tcW w:w="4800" w:type="dxa"/>
            <w:gridSpan w:val="3"/>
          </w:tcPr>
          <w:p w:rsidR="00930CDC" w:rsidRPr="0024249E" w:rsidRDefault="00930CDC" w:rsidP="0024249E">
            <w:pPr>
              <w:spacing w:before="0" w:after="0"/>
              <w:jc w:val="center"/>
              <w:rPr>
                <w:b/>
                <w:sz w:val="20"/>
                <w:szCs w:val="20"/>
              </w:rPr>
            </w:pPr>
            <w:r w:rsidRPr="0024249E">
              <w:rPr>
                <w:b/>
                <w:sz w:val="20"/>
                <w:szCs w:val="20"/>
              </w:rPr>
              <w:t xml:space="preserve">Percentage of Responders* and </w:t>
            </w:r>
          </w:p>
          <w:p w:rsidR="00930CDC" w:rsidRPr="0024249E" w:rsidRDefault="00930CDC" w:rsidP="0024249E">
            <w:pPr>
              <w:spacing w:before="0" w:after="0"/>
              <w:jc w:val="center"/>
              <w:rPr>
                <w:b/>
                <w:sz w:val="20"/>
                <w:szCs w:val="20"/>
              </w:rPr>
            </w:pPr>
            <w:r w:rsidRPr="0024249E">
              <w:rPr>
                <w:b/>
                <w:sz w:val="20"/>
                <w:szCs w:val="20"/>
              </w:rPr>
              <w:t>Odds Ratio for Response (with 95% CI) **</w:t>
            </w:r>
          </w:p>
        </w:tc>
      </w:tr>
      <w:tr w:rsidR="00930CDC" w:rsidRPr="0024249E" w:rsidTr="0024249E">
        <w:trPr>
          <w:cantSplit/>
          <w:trHeight w:val="1030"/>
          <w:tblHeader/>
        </w:trPr>
        <w:tc>
          <w:tcPr>
            <w:tcW w:w="2040" w:type="dxa"/>
            <w:vMerge/>
          </w:tcPr>
          <w:p w:rsidR="00930CDC" w:rsidRPr="0024249E" w:rsidRDefault="00930CDC" w:rsidP="0024249E">
            <w:pPr>
              <w:spacing w:before="0" w:after="0"/>
              <w:rPr>
                <w:b/>
                <w:sz w:val="20"/>
                <w:szCs w:val="20"/>
              </w:rPr>
            </w:pPr>
          </w:p>
        </w:tc>
        <w:tc>
          <w:tcPr>
            <w:tcW w:w="1680" w:type="dxa"/>
          </w:tcPr>
          <w:p w:rsidR="00930CDC" w:rsidRPr="0024249E" w:rsidRDefault="00930CDC" w:rsidP="0024249E">
            <w:pPr>
              <w:spacing w:before="0" w:after="0"/>
              <w:rPr>
                <w:b/>
                <w:sz w:val="20"/>
                <w:szCs w:val="20"/>
              </w:rPr>
            </w:pPr>
            <w:r w:rsidRPr="0024249E">
              <w:rPr>
                <w:b/>
                <w:sz w:val="20"/>
                <w:szCs w:val="20"/>
              </w:rPr>
              <w:t xml:space="preserve">Complex </w:t>
            </w:r>
          </w:p>
          <w:p w:rsidR="00930CDC" w:rsidRPr="0024249E" w:rsidRDefault="00930CDC" w:rsidP="0024249E">
            <w:pPr>
              <w:spacing w:before="0" w:after="0"/>
              <w:rPr>
                <w:b/>
                <w:sz w:val="20"/>
                <w:szCs w:val="20"/>
              </w:rPr>
            </w:pPr>
            <w:r w:rsidRPr="0024249E">
              <w:rPr>
                <w:b/>
                <w:sz w:val="20"/>
                <w:szCs w:val="20"/>
              </w:rPr>
              <w:t xml:space="preserve">partial </w:t>
            </w:r>
          </w:p>
          <w:p w:rsidR="00930CDC" w:rsidRPr="0024249E" w:rsidRDefault="00930CDC" w:rsidP="0024249E">
            <w:pPr>
              <w:spacing w:before="0" w:after="0"/>
              <w:rPr>
                <w:b/>
                <w:sz w:val="20"/>
                <w:szCs w:val="20"/>
              </w:rPr>
            </w:pPr>
            <w:r w:rsidRPr="0024249E">
              <w:rPr>
                <w:b/>
                <w:sz w:val="20"/>
                <w:szCs w:val="20"/>
              </w:rPr>
              <w:t>seizures</w:t>
            </w:r>
          </w:p>
        </w:tc>
        <w:tc>
          <w:tcPr>
            <w:tcW w:w="1560" w:type="dxa"/>
          </w:tcPr>
          <w:p w:rsidR="00930CDC" w:rsidRPr="0024249E" w:rsidRDefault="00930CDC" w:rsidP="0024249E">
            <w:pPr>
              <w:spacing w:before="0" w:after="0"/>
              <w:rPr>
                <w:b/>
                <w:sz w:val="20"/>
                <w:szCs w:val="20"/>
              </w:rPr>
            </w:pPr>
            <w:r w:rsidRPr="0024249E">
              <w:rPr>
                <w:b/>
                <w:sz w:val="20"/>
                <w:szCs w:val="20"/>
              </w:rPr>
              <w:t xml:space="preserve">All partial </w:t>
            </w:r>
          </w:p>
          <w:p w:rsidR="00930CDC" w:rsidRPr="0024249E" w:rsidRDefault="00930CDC" w:rsidP="0024249E">
            <w:pPr>
              <w:spacing w:before="0" w:after="0"/>
              <w:rPr>
                <w:b/>
                <w:sz w:val="20"/>
                <w:szCs w:val="20"/>
              </w:rPr>
            </w:pPr>
            <w:r w:rsidRPr="0024249E">
              <w:rPr>
                <w:b/>
                <w:sz w:val="20"/>
                <w:szCs w:val="20"/>
              </w:rPr>
              <w:t>seizures</w:t>
            </w:r>
          </w:p>
        </w:tc>
        <w:tc>
          <w:tcPr>
            <w:tcW w:w="1560" w:type="dxa"/>
          </w:tcPr>
          <w:p w:rsidR="00930CDC" w:rsidRPr="0024249E" w:rsidRDefault="00930CDC" w:rsidP="0024249E">
            <w:pPr>
              <w:spacing w:before="0" w:after="0"/>
              <w:rPr>
                <w:b/>
                <w:sz w:val="20"/>
                <w:szCs w:val="20"/>
              </w:rPr>
            </w:pPr>
            <w:r w:rsidRPr="0024249E">
              <w:rPr>
                <w:b/>
                <w:sz w:val="20"/>
                <w:szCs w:val="20"/>
              </w:rPr>
              <w:t>All seizures***</w:t>
            </w:r>
          </w:p>
        </w:tc>
      </w:tr>
      <w:tr w:rsidR="00930CDC" w:rsidRPr="0024249E">
        <w:tc>
          <w:tcPr>
            <w:tcW w:w="2040" w:type="dxa"/>
          </w:tcPr>
          <w:p w:rsidR="00930CDC" w:rsidRPr="0024249E" w:rsidRDefault="00930CDC" w:rsidP="0024249E">
            <w:pPr>
              <w:spacing w:before="0" w:after="0"/>
              <w:rPr>
                <w:sz w:val="20"/>
                <w:szCs w:val="20"/>
              </w:rPr>
            </w:pPr>
            <w:r w:rsidRPr="0024249E">
              <w:rPr>
                <w:sz w:val="20"/>
                <w:szCs w:val="20"/>
              </w:rPr>
              <w:t>500 mg/day</w:t>
            </w:r>
          </w:p>
          <w:p w:rsidR="00930CDC" w:rsidRPr="0024249E" w:rsidRDefault="00930CDC" w:rsidP="0024249E">
            <w:pPr>
              <w:spacing w:before="0" w:after="0"/>
              <w:rPr>
                <w:sz w:val="20"/>
                <w:szCs w:val="20"/>
              </w:rPr>
            </w:pPr>
          </w:p>
          <w:p w:rsidR="00930CDC" w:rsidRPr="0024249E" w:rsidRDefault="00930CDC" w:rsidP="0024249E">
            <w:pPr>
              <w:spacing w:before="0" w:after="0"/>
              <w:rPr>
                <w:sz w:val="20"/>
                <w:szCs w:val="20"/>
              </w:rPr>
            </w:pPr>
          </w:p>
          <w:p w:rsidR="00930CDC" w:rsidRPr="0024249E" w:rsidRDefault="00930CDC" w:rsidP="0024249E">
            <w:pPr>
              <w:spacing w:before="0" w:after="0"/>
              <w:rPr>
                <w:sz w:val="20"/>
                <w:szCs w:val="20"/>
              </w:rPr>
            </w:pPr>
            <w:r w:rsidRPr="0024249E">
              <w:rPr>
                <w:sz w:val="20"/>
                <w:szCs w:val="20"/>
              </w:rPr>
              <w:t>Odds Ratio</w:t>
            </w:r>
          </w:p>
          <w:p w:rsidR="00930CDC" w:rsidRPr="0024249E" w:rsidRDefault="00930CDC" w:rsidP="0024249E">
            <w:pPr>
              <w:spacing w:before="0" w:after="0"/>
              <w:rPr>
                <w:sz w:val="20"/>
                <w:szCs w:val="20"/>
              </w:rPr>
            </w:pPr>
            <w:r w:rsidRPr="0024249E">
              <w:rPr>
                <w:sz w:val="20"/>
                <w:szCs w:val="20"/>
              </w:rPr>
              <w:t>95% CI</w:t>
            </w:r>
          </w:p>
        </w:tc>
        <w:tc>
          <w:tcPr>
            <w:tcW w:w="1680" w:type="dxa"/>
          </w:tcPr>
          <w:p w:rsidR="00930CDC" w:rsidRPr="0024249E" w:rsidRDefault="00930CDC" w:rsidP="0024249E">
            <w:pPr>
              <w:spacing w:before="0" w:after="0"/>
              <w:jc w:val="center"/>
              <w:rPr>
                <w:sz w:val="20"/>
                <w:szCs w:val="20"/>
              </w:rPr>
            </w:pPr>
            <w:r w:rsidRPr="0024249E">
              <w:rPr>
                <w:sz w:val="20"/>
                <w:szCs w:val="20"/>
              </w:rPr>
              <w:t>52.3</w:t>
            </w:r>
          </w:p>
          <w:p w:rsidR="00930CDC" w:rsidRPr="0024249E" w:rsidRDefault="00930CDC" w:rsidP="0024249E">
            <w:pPr>
              <w:spacing w:before="0" w:after="0"/>
              <w:jc w:val="center"/>
              <w:rPr>
                <w:sz w:val="20"/>
                <w:szCs w:val="20"/>
              </w:rPr>
            </w:pPr>
            <w:r w:rsidRPr="0024249E">
              <w:rPr>
                <w:sz w:val="20"/>
                <w:szCs w:val="20"/>
              </w:rPr>
              <w:t>(p&lt;0.001)</w:t>
            </w:r>
          </w:p>
          <w:p w:rsidR="00930CDC" w:rsidRPr="0024249E" w:rsidRDefault="00930CDC" w:rsidP="0024249E">
            <w:pPr>
              <w:spacing w:before="0" w:after="0"/>
              <w:jc w:val="center"/>
              <w:rPr>
                <w:sz w:val="20"/>
                <w:szCs w:val="20"/>
              </w:rPr>
            </w:pPr>
          </w:p>
          <w:p w:rsidR="00930CDC" w:rsidRPr="0024249E" w:rsidRDefault="00930CDC" w:rsidP="0024249E">
            <w:pPr>
              <w:spacing w:before="0" w:after="0"/>
              <w:jc w:val="center"/>
              <w:rPr>
                <w:sz w:val="20"/>
                <w:szCs w:val="20"/>
              </w:rPr>
            </w:pPr>
            <w:r w:rsidRPr="0024249E">
              <w:rPr>
                <w:sz w:val="20"/>
                <w:szCs w:val="20"/>
              </w:rPr>
              <w:t xml:space="preserve">4.01 </w:t>
            </w:r>
          </w:p>
          <w:p w:rsidR="00930CDC" w:rsidRPr="0024249E" w:rsidRDefault="00930CDC" w:rsidP="0024249E">
            <w:pPr>
              <w:spacing w:before="0" w:after="0"/>
              <w:jc w:val="center"/>
              <w:rPr>
                <w:sz w:val="20"/>
                <w:szCs w:val="20"/>
              </w:rPr>
            </w:pPr>
            <w:r w:rsidRPr="0024249E">
              <w:rPr>
                <w:sz w:val="20"/>
                <w:szCs w:val="20"/>
              </w:rPr>
              <w:t>(1.94-8.56)</w:t>
            </w:r>
          </w:p>
          <w:p w:rsidR="00930CDC" w:rsidRPr="0024249E" w:rsidRDefault="00930CDC" w:rsidP="0024249E">
            <w:pPr>
              <w:spacing w:before="0" w:after="0"/>
              <w:jc w:val="center"/>
              <w:rPr>
                <w:sz w:val="20"/>
                <w:szCs w:val="20"/>
              </w:rPr>
            </w:pPr>
            <w:r w:rsidRPr="0024249E">
              <w:rPr>
                <w:sz w:val="20"/>
                <w:szCs w:val="20"/>
              </w:rPr>
              <w:t>(p&lt;0.001)</w:t>
            </w:r>
          </w:p>
        </w:tc>
        <w:tc>
          <w:tcPr>
            <w:tcW w:w="1560" w:type="dxa"/>
          </w:tcPr>
          <w:p w:rsidR="00930CDC" w:rsidRPr="0024249E" w:rsidRDefault="00930CDC" w:rsidP="0024249E">
            <w:pPr>
              <w:spacing w:before="0" w:after="0"/>
              <w:jc w:val="center"/>
              <w:rPr>
                <w:sz w:val="20"/>
                <w:szCs w:val="20"/>
              </w:rPr>
            </w:pPr>
            <w:r w:rsidRPr="0024249E">
              <w:rPr>
                <w:sz w:val="20"/>
                <w:szCs w:val="20"/>
              </w:rPr>
              <w:t>50.5</w:t>
            </w:r>
          </w:p>
          <w:p w:rsidR="00930CDC" w:rsidRPr="0024249E" w:rsidRDefault="00930CDC" w:rsidP="0024249E">
            <w:pPr>
              <w:spacing w:before="0" w:after="0"/>
              <w:jc w:val="center"/>
              <w:rPr>
                <w:sz w:val="20"/>
                <w:szCs w:val="20"/>
              </w:rPr>
            </w:pPr>
            <w:r w:rsidRPr="0024249E">
              <w:rPr>
                <w:sz w:val="20"/>
                <w:szCs w:val="20"/>
              </w:rPr>
              <w:t>(p&lt;0.001)</w:t>
            </w:r>
          </w:p>
          <w:p w:rsidR="00930CDC" w:rsidRPr="0024249E" w:rsidRDefault="00930CDC" w:rsidP="0024249E">
            <w:pPr>
              <w:spacing w:before="0" w:after="0"/>
              <w:jc w:val="center"/>
              <w:rPr>
                <w:sz w:val="20"/>
                <w:szCs w:val="20"/>
              </w:rPr>
            </w:pPr>
          </w:p>
          <w:p w:rsidR="00930CDC" w:rsidRPr="0024249E" w:rsidRDefault="00930CDC" w:rsidP="0024249E">
            <w:pPr>
              <w:spacing w:before="0" w:after="0"/>
              <w:jc w:val="center"/>
              <w:rPr>
                <w:sz w:val="20"/>
                <w:szCs w:val="20"/>
              </w:rPr>
            </w:pPr>
            <w:r w:rsidRPr="0024249E">
              <w:rPr>
                <w:sz w:val="20"/>
                <w:szCs w:val="20"/>
              </w:rPr>
              <w:t>4.25</w:t>
            </w:r>
          </w:p>
          <w:p w:rsidR="00930CDC" w:rsidRPr="0024249E" w:rsidRDefault="00930CDC" w:rsidP="0024249E">
            <w:pPr>
              <w:spacing w:before="0" w:after="0"/>
              <w:jc w:val="center"/>
              <w:rPr>
                <w:sz w:val="20"/>
                <w:szCs w:val="20"/>
              </w:rPr>
            </w:pPr>
            <w:r w:rsidRPr="0024249E">
              <w:rPr>
                <w:sz w:val="20"/>
                <w:szCs w:val="20"/>
              </w:rPr>
              <w:t>(2.02-8.95)</w:t>
            </w:r>
          </w:p>
          <w:p w:rsidR="00930CDC" w:rsidRPr="0024249E" w:rsidRDefault="00930CDC" w:rsidP="0024249E">
            <w:pPr>
              <w:spacing w:before="0" w:after="0"/>
              <w:jc w:val="center"/>
              <w:rPr>
                <w:sz w:val="20"/>
                <w:szCs w:val="20"/>
              </w:rPr>
            </w:pPr>
            <w:r w:rsidRPr="0024249E">
              <w:rPr>
                <w:sz w:val="20"/>
                <w:szCs w:val="20"/>
              </w:rPr>
              <w:t>(p&lt;0.001)</w:t>
            </w:r>
          </w:p>
        </w:tc>
        <w:tc>
          <w:tcPr>
            <w:tcW w:w="1560" w:type="dxa"/>
          </w:tcPr>
          <w:p w:rsidR="00930CDC" w:rsidRPr="0024249E" w:rsidRDefault="00930CDC" w:rsidP="0024249E">
            <w:pPr>
              <w:spacing w:before="0" w:after="0"/>
              <w:jc w:val="center"/>
              <w:rPr>
                <w:sz w:val="20"/>
                <w:szCs w:val="20"/>
              </w:rPr>
            </w:pPr>
            <w:r w:rsidRPr="0024249E">
              <w:rPr>
                <w:sz w:val="20"/>
                <w:szCs w:val="20"/>
              </w:rPr>
              <w:t>52.5</w:t>
            </w:r>
          </w:p>
          <w:p w:rsidR="00930CDC" w:rsidRPr="0024249E" w:rsidRDefault="00930CDC" w:rsidP="0024249E">
            <w:pPr>
              <w:spacing w:before="0" w:after="0"/>
              <w:jc w:val="center"/>
              <w:rPr>
                <w:sz w:val="20"/>
                <w:szCs w:val="20"/>
              </w:rPr>
            </w:pPr>
            <w:r w:rsidRPr="0024249E">
              <w:rPr>
                <w:sz w:val="20"/>
                <w:szCs w:val="20"/>
              </w:rPr>
              <w:t>(p&lt;0.001)</w:t>
            </w:r>
          </w:p>
          <w:p w:rsidR="00930CDC" w:rsidRPr="0024249E" w:rsidRDefault="00930CDC" w:rsidP="0024249E">
            <w:pPr>
              <w:spacing w:before="0" w:after="0"/>
              <w:jc w:val="center"/>
              <w:rPr>
                <w:sz w:val="20"/>
                <w:szCs w:val="20"/>
              </w:rPr>
            </w:pPr>
          </w:p>
          <w:p w:rsidR="00930CDC" w:rsidRPr="0024249E" w:rsidRDefault="00930CDC" w:rsidP="0024249E">
            <w:pPr>
              <w:spacing w:before="0" w:after="0"/>
              <w:jc w:val="center"/>
              <w:rPr>
                <w:sz w:val="20"/>
                <w:szCs w:val="20"/>
              </w:rPr>
            </w:pPr>
            <w:r w:rsidRPr="0024249E">
              <w:rPr>
                <w:sz w:val="20"/>
                <w:szCs w:val="20"/>
              </w:rPr>
              <w:t xml:space="preserve">4.63 </w:t>
            </w:r>
          </w:p>
          <w:p w:rsidR="00930CDC" w:rsidRPr="0024249E" w:rsidRDefault="00930CDC" w:rsidP="0024249E">
            <w:pPr>
              <w:spacing w:before="0" w:after="0"/>
              <w:jc w:val="center"/>
              <w:rPr>
                <w:sz w:val="20"/>
                <w:szCs w:val="20"/>
              </w:rPr>
            </w:pPr>
            <w:r w:rsidRPr="0024249E">
              <w:rPr>
                <w:sz w:val="20"/>
                <w:szCs w:val="20"/>
              </w:rPr>
              <w:t>(2.29-9.39)</w:t>
            </w:r>
          </w:p>
          <w:p w:rsidR="00930CDC" w:rsidRPr="0024249E" w:rsidRDefault="00930CDC" w:rsidP="0024249E">
            <w:pPr>
              <w:spacing w:before="0" w:after="0"/>
              <w:jc w:val="center"/>
              <w:rPr>
                <w:sz w:val="20"/>
                <w:szCs w:val="20"/>
              </w:rPr>
            </w:pPr>
            <w:r w:rsidRPr="0024249E">
              <w:rPr>
                <w:sz w:val="20"/>
                <w:szCs w:val="20"/>
              </w:rPr>
              <w:t>(p&lt;0.001)</w:t>
            </w:r>
          </w:p>
        </w:tc>
      </w:tr>
      <w:tr w:rsidR="00930CDC" w:rsidRPr="0024249E">
        <w:tc>
          <w:tcPr>
            <w:tcW w:w="2040" w:type="dxa"/>
          </w:tcPr>
          <w:p w:rsidR="00930CDC" w:rsidRPr="0024249E" w:rsidRDefault="00930CDC" w:rsidP="0024249E">
            <w:pPr>
              <w:spacing w:before="0"/>
              <w:rPr>
                <w:sz w:val="20"/>
                <w:szCs w:val="20"/>
              </w:rPr>
            </w:pPr>
            <w:r w:rsidRPr="0024249E">
              <w:rPr>
                <w:sz w:val="20"/>
                <w:szCs w:val="20"/>
              </w:rPr>
              <w:t>300 mg/day</w:t>
            </w:r>
          </w:p>
        </w:tc>
        <w:tc>
          <w:tcPr>
            <w:tcW w:w="1680" w:type="dxa"/>
          </w:tcPr>
          <w:p w:rsidR="00930CDC" w:rsidRPr="0024249E" w:rsidRDefault="00930CDC" w:rsidP="0024249E">
            <w:pPr>
              <w:spacing w:before="0"/>
              <w:jc w:val="center"/>
              <w:rPr>
                <w:sz w:val="20"/>
                <w:szCs w:val="20"/>
              </w:rPr>
            </w:pPr>
            <w:r w:rsidRPr="0024249E">
              <w:rPr>
                <w:sz w:val="20"/>
                <w:szCs w:val="20"/>
              </w:rPr>
              <w:t>36.0</w:t>
            </w:r>
          </w:p>
        </w:tc>
        <w:tc>
          <w:tcPr>
            <w:tcW w:w="1560" w:type="dxa"/>
          </w:tcPr>
          <w:p w:rsidR="00930CDC" w:rsidRPr="0024249E" w:rsidRDefault="00930CDC" w:rsidP="0024249E">
            <w:pPr>
              <w:spacing w:before="0"/>
              <w:jc w:val="center"/>
              <w:rPr>
                <w:sz w:val="20"/>
                <w:szCs w:val="20"/>
              </w:rPr>
            </w:pPr>
            <w:r w:rsidRPr="0024249E">
              <w:rPr>
                <w:sz w:val="20"/>
                <w:szCs w:val="20"/>
              </w:rPr>
              <w:t>42.9</w:t>
            </w:r>
          </w:p>
        </w:tc>
        <w:tc>
          <w:tcPr>
            <w:tcW w:w="1560" w:type="dxa"/>
          </w:tcPr>
          <w:p w:rsidR="00930CDC" w:rsidRPr="0024249E" w:rsidRDefault="00930CDC" w:rsidP="0024249E">
            <w:pPr>
              <w:spacing w:before="0"/>
              <w:jc w:val="center"/>
              <w:rPr>
                <w:sz w:val="20"/>
                <w:szCs w:val="20"/>
              </w:rPr>
            </w:pPr>
            <w:r w:rsidRPr="0024249E">
              <w:rPr>
                <w:sz w:val="20"/>
                <w:szCs w:val="20"/>
              </w:rPr>
              <w:t>42.2</w:t>
            </w:r>
          </w:p>
        </w:tc>
      </w:tr>
      <w:tr w:rsidR="00930CDC" w:rsidRPr="0024249E">
        <w:tc>
          <w:tcPr>
            <w:tcW w:w="2040" w:type="dxa"/>
          </w:tcPr>
          <w:p w:rsidR="00930CDC" w:rsidRPr="0024249E" w:rsidRDefault="00930CDC" w:rsidP="0024249E">
            <w:pPr>
              <w:spacing w:before="0"/>
              <w:rPr>
                <w:sz w:val="20"/>
                <w:szCs w:val="20"/>
              </w:rPr>
            </w:pPr>
            <w:r w:rsidRPr="0024249E">
              <w:rPr>
                <w:sz w:val="20"/>
                <w:szCs w:val="20"/>
              </w:rPr>
              <w:t>100 mg/day</w:t>
            </w:r>
          </w:p>
        </w:tc>
        <w:tc>
          <w:tcPr>
            <w:tcW w:w="1680" w:type="dxa"/>
          </w:tcPr>
          <w:p w:rsidR="00930CDC" w:rsidRPr="0024249E" w:rsidRDefault="00930CDC" w:rsidP="0024249E">
            <w:pPr>
              <w:spacing w:before="0"/>
              <w:jc w:val="center"/>
              <w:rPr>
                <w:sz w:val="20"/>
                <w:szCs w:val="20"/>
              </w:rPr>
            </w:pPr>
            <w:r w:rsidRPr="0024249E">
              <w:rPr>
                <w:sz w:val="20"/>
                <w:szCs w:val="20"/>
              </w:rPr>
              <w:t>22.5</w:t>
            </w:r>
          </w:p>
        </w:tc>
        <w:tc>
          <w:tcPr>
            <w:tcW w:w="1560" w:type="dxa"/>
          </w:tcPr>
          <w:p w:rsidR="00930CDC" w:rsidRPr="0024249E" w:rsidRDefault="00930CDC" w:rsidP="0024249E">
            <w:pPr>
              <w:spacing w:before="0"/>
              <w:jc w:val="center"/>
              <w:rPr>
                <w:sz w:val="20"/>
                <w:szCs w:val="20"/>
              </w:rPr>
            </w:pPr>
            <w:r w:rsidRPr="0024249E">
              <w:rPr>
                <w:sz w:val="20"/>
                <w:szCs w:val="20"/>
              </w:rPr>
              <w:t>28.8</w:t>
            </w:r>
          </w:p>
        </w:tc>
        <w:tc>
          <w:tcPr>
            <w:tcW w:w="1560" w:type="dxa"/>
          </w:tcPr>
          <w:p w:rsidR="00930CDC" w:rsidRPr="0024249E" w:rsidRDefault="00930CDC" w:rsidP="0024249E">
            <w:pPr>
              <w:spacing w:before="0"/>
              <w:jc w:val="center"/>
              <w:rPr>
                <w:sz w:val="20"/>
                <w:szCs w:val="20"/>
              </w:rPr>
            </w:pPr>
            <w:r w:rsidRPr="0024249E">
              <w:rPr>
                <w:sz w:val="20"/>
                <w:szCs w:val="20"/>
              </w:rPr>
              <w:t>29.6</w:t>
            </w:r>
          </w:p>
        </w:tc>
      </w:tr>
      <w:tr w:rsidR="00930CDC" w:rsidRPr="0024249E">
        <w:tc>
          <w:tcPr>
            <w:tcW w:w="2040" w:type="dxa"/>
          </w:tcPr>
          <w:p w:rsidR="00930CDC" w:rsidRPr="0024249E" w:rsidRDefault="00930CDC" w:rsidP="0024249E">
            <w:pPr>
              <w:spacing w:before="0"/>
              <w:rPr>
                <w:sz w:val="20"/>
                <w:szCs w:val="20"/>
              </w:rPr>
            </w:pPr>
            <w:r w:rsidRPr="0024249E">
              <w:rPr>
                <w:sz w:val="20"/>
                <w:szCs w:val="20"/>
              </w:rPr>
              <w:t>Placebo</w:t>
            </w:r>
          </w:p>
        </w:tc>
        <w:tc>
          <w:tcPr>
            <w:tcW w:w="1680" w:type="dxa"/>
          </w:tcPr>
          <w:p w:rsidR="00930CDC" w:rsidRPr="0024249E" w:rsidRDefault="00930CDC" w:rsidP="0024249E">
            <w:pPr>
              <w:spacing w:before="0"/>
              <w:jc w:val="center"/>
              <w:rPr>
                <w:sz w:val="20"/>
                <w:szCs w:val="20"/>
              </w:rPr>
            </w:pPr>
            <w:r w:rsidRPr="0024249E">
              <w:rPr>
                <w:sz w:val="20"/>
                <w:szCs w:val="20"/>
              </w:rPr>
              <w:t>21.3</w:t>
            </w:r>
          </w:p>
        </w:tc>
        <w:tc>
          <w:tcPr>
            <w:tcW w:w="1560" w:type="dxa"/>
          </w:tcPr>
          <w:p w:rsidR="00930CDC" w:rsidRPr="0024249E" w:rsidRDefault="00930CDC" w:rsidP="0024249E">
            <w:pPr>
              <w:spacing w:before="0"/>
              <w:jc w:val="center"/>
              <w:rPr>
                <w:sz w:val="20"/>
                <w:szCs w:val="20"/>
              </w:rPr>
            </w:pPr>
            <w:r w:rsidRPr="0024249E">
              <w:rPr>
                <w:sz w:val="20"/>
                <w:szCs w:val="20"/>
              </w:rPr>
              <w:t>20.2</w:t>
            </w:r>
          </w:p>
        </w:tc>
        <w:tc>
          <w:tcPr>
            <w:tcW w:w="1560" w:type="dxa"/>
          </w:tcPr>
          <w:p w:rsidR="00930CDC" w:rsidRPr="0024249E" w:rsidRDefault="00930CDC" w:rsidP="0024249E">
            <w:pPr>
              <w:spacing w:before="0"/>
              <w:jc w:val="center"/>
              <w:rPr>
                <w:sz w:val="20"/>
                <w:szCs w:val="20"/>
              </w:rPr>
            </w:pPr>
            <w:r w:rsidRPr="0024249E">
              <w:rPr>
                <w:sz w:val="20"/>
                <w:szCs w:val="20"/>
              </w:rPr>
              <w:t>17.9</w:t>
            </w:r>
          </w:p>
        </w:tc>
      </w:tr>
    </w:tbl>
    <w:p w:rsidR="00930CDC" w:rsidRPr="00E14359" w:rsidRDefault="00930CDC" w:rsidP="00930CDC">
      <w:pPr>
        <w:tabs>
          <w:tab w:val="left" w:pos="540"/>
        </w:tabs>
        <w:rPr>
          <w:sz w:val="18"/>
          <w:szCs w:val="18"/>
        </w:rPr>
      </w:pPr>
      <w:r w:rsidRPr="00E14359">
        <w:rPr>
          <w:sz w:val="18"/>
          <w:szCs w:val="18"/>
        </w:rPr>
        <w:t>*</w:t>
      </w:r>
      <w:r w:rsidRPr="00E14359">
        <w:rPr>
          <w:sz w:val="18"/>
          <w:szCs w:val="18"/>
        </w:rPr>
        <w:tab/>
        <w:t>Responders are patients with ≥50% reduction in seizure frequency compared to baseline</w:t>
      </w:r>
      <w:r w:rsidR="0024249E">
        <w:rPr>
          <w:sz w:val="18"/>
          <w:szCs w:val="18"/>
        </w:rPr>
        <w:br/>
      </w:r>
      <w:r w:rsidRPr="00E14359">
        <w:rPr>
          <w:sz w:val="18"/>
          <w:szCs w:val="18"/>
        </w:rPr>
        <w:t xml:space="preserve">** </w:t>
      </w:r>
      <w:r w:rsidRPr="00E14359">
        <w:rPr>
          <w:sz w:val="18"/>
          <w:szCs w:val="18"/>
        </w:rPr>
        <w:tab/>
        <w:t>Odds ratios were only calculated for the 500 mg group</w:t>
      </w:r>
      <w:r w:rsidR="0024249E">
        <w:rPr>
          <w:sz w:val="18"/>
          <w:szCs w:val="18"/>
        </w:rPr>
        <w:br/>
      </w:r>
      <w:r w:rsidRPr="00E14359">
        <w:rPr>
          <w:sz w:val="18"/>
          <w:szCs w:val="18"/>
        </w:rPr>
        <w:t>***</w:t>
      </w:r>
      <w:r w:rsidRPr="00E14359">
        <w:rPr>
          <w:sz w:val="18"/>
          <w:szCs w:val="18"/>
        </w:rPr>
        <w:tab/>
        <w:t>All partial and secondary generalized seizures</w:t>
      </w:r>
    </w:p>
    <w:p w:rsidR="00694EB0" w:rsidRPr="00E14359" w:rsidRDefault="00694EB0" w:rsidP="0024249E">
      <w:pPr>
        <w:pStyle w:val="Heading2"/>
      </w:pPr>
      <w:r w:rsidRPr="00E14359">
        <w:t>Indications</w:t>
      </w:r>
    </w:p>
    <w:p w:rsidR="007E2D9D" w:rsidRDefault="00F8040B" w:rsidP="00636A0F">
      <w:r w:rsidRPr="00E14359">
        <w:t>Zon</w:t>
      </w:r>
      <w:r w:rsidR="00B238BB" w:rsidRPr="00E14359">
        <w:t>isamide</w:t>
      </w:r>
      <w:r w:rsidRPr="00E14359">
        <w:t xml:space="preserve"> is indicated as</w:t>
      </w:r>
      <w:r w:rsidR="007E2D9D">
        <w:t>:</w:t>
      </w:r>
    </w:p>
    <w:p w:rsidR="007E2D9D" w:rsidRDefault="007E2D9D" w:rsidP="007E2D9D">
      <w:pPr>
        <w:numPr>
          <w:ilvl w:val="0"/>
          <w:numId w:val="1"/>
        </w:numPr>
      </w:pPr>
      <w:r w:rsidRPr="007E2D9D">
        <w:t>monotherapy in the treatment of partial seizures, with or without secondary generalisation, in adults with newly diagnosed epilepsy</w:t>
      </w:r>
      <w:r w:rsidR="006F1203">
        <w:t xml:space="preserve"> who are intolerant to other agents or where other agents are contraindicated</w:t>
      </w:r>
      <w:r w:rsidRPr="007E2D9D">
        <w:t>;</w:t>
      </w:r>
    </w:p>
    <w:p w:rsidR="00F8040B" w:rsidRPr="00E14359" w:rsidRDefault="00F8040B" w:rsidP="007E2D9D">
      <w:pPr>
        <w:numPr>
          <w:ilvl w:val="0"/>
          <w:numId w:val="1"/>
        </w:numPr>
      </w:pPr>
      <w:r w:rsidRPr="00E14359">
        <w:t>adjunctive therapy in the treatment of adult patients with partial seizures, with or without secondary generalisation.</w:t>
      </w:r>
    </w:p>
    <w:p w:rsidR="00694EB0" w:rsidRPr="00E14359" w:rsidRDefault="00694EB0" w:rsidP="0024249E">
      <w:pPr>
        <w:pStyle w:val="Heading2"/>
      </w:pPr>
      <w:r w:rsidRPr="00E14359">
        <w:t>Contraindications</w:t>
      </w:r>
    </w:p>
    <w:p w:rsidR="00F8040B" w:rsidRPr="00E14359" w:rsidRDefault="00F8040B" w:rsidP="00636A0F">
      <w:r w:rsidRPr="00E14359">
        <w:t xml:space="preserve">Hypersensitivity to zonisamide, to </w:t>
      </w:r>
      <w:r w:rsidR="00A37412" w:rsidRPr="00E14359">
        <w:t xml:space="preserve">sulphonamides or </w:t>
      </w:r>
      <w:r w:rsidRPr="00E14359">
        <w:t>any of the excipients</w:t>
      </w:r>
      <w:r w:rsidR="00A37412" w:rsidRPr="00E14359">
        <w:t xml:space="preserve">. </w:t>
      </w:r>
      <w:r w:rsidRPr="00E14359">
        <w:t xml:space="preserve"> </w:t>
      </w:r>
    </w:p>
    <w:p w:rsidR="00694EB0" w:rsidRPr="00E14359" w:rsidRDefault="00694EB0" w:rsidP="0024249E">
      <w:pPr>
        <w:pStyle w:val="Heading2"/>
      </w:pPr>
      <w:r w:rsidRPr="00E14359">
        <w:t>Precautions</w:t>
      </w:r>
    </w:p>
    <w:p w:rsidR="00B11F65" w:rsidRPr="00E14359" w:rsidRDefault="00B11F65" w:rsidP="0024249E">
      <w:pPr>
        <w:pStyle w:val="Heading3"/>
        <w:rPr>
          <w:lang w:eastAsia="ja-JP"/>
        </w:rPr>
      </w:pPr>
      <w:r w:rsidRPr="00E14359">
        <w:rPr>
          <w:lang w:eastAsia="ja-JP"/>
        </w:rPr>
        <w:t>Suicidal Behavio</w:t>
      </w:r>
      <w:r w:rsidR="00BA2878" w:rsidRPr="00E14359">
        <w:rPr>
          <w:lang w:eastAsia="ja-JP"/>
        </w:rPr>
        <w:t>u</w:t>
      </w:r>
      <w:r w:rsidRPr="00E14359">
        <w:rPr>
          <w:lang w:eastAsia="ja-JP"/>
        </w:rPr>
        <w:t>r and Ideation</w:t>
      </w:r>
    </w:p>
    <w:p w:rsidR="00B11F65" w:rsidRPr="00E14359" w:rsidRDefault="00B11F65" w:rsidP="00B11F65">
      <w:pPr>
        <w:autoSpaceDE w:val="0"/>
        <w:autoSpaceDN w:val="0"/>
        <w:adjustRightInd w:val="0"/>
        <w:rPr>
          <w:lang w:eastAsia="ja-JP"/>
        </w:rPr>
      </w:pPr>
      <w:r w:rsidRPr="00E14359">
        <w:rPr>
          <w:lang w:eastAsia="ja-JP"/>
        </w:rPr>
        <w:t>Antiepileptic drugs, including Zonegran, increase the risk of suicidal thoughts or behaviour in patients taking these drugs for any indication. Patients treated with any AED for any indication should be monitored for the emergence or worsening of depression, suicidal thoughts or behaviour, and/or any unusual changes in mood or behaviour.</w:t>
      </w:r>
    </w:p>
    <w:p w:rsidR="00B11F65" w:rsidRPr="00E14359" w:rsidRDefault="00B11F65" w:rsidP="00B11F65">
      <w:pPr>
        <w:autoSpaceDE w:val="0"/>
        <w:autoSpaceDN w:val="0"/>
        <w:adjustRightInd w:val="0"/>
        <w:rPr>
          <w:lang w:eastAsia="ja-JP"/>
        </w:rPr>
      </w:pPr>
      <w:r w:rsidRPr="00E14359">
        <w:rPr>
          <w:lang w:eastAsia="ja-JP"/>
        </w:rPr>
        <w:t xml:space="preserve">Pooled analyses of 199 placebo-controlled clinical trials (mono- and adjunctive therapy) of 11 different AEDs showed that patients randomised to one of the AEDs had approximately twice the risk (adjusted Relative Risk 1.8, 95% CI:1.2, 2.7) of suicidal thinking or behaviour compared to patients randomised to placebo. In these trials, which had a median treatment duration of 12 weeks, the estimated incidence rate of suicidal behaviour or ideation among 27,863 AED-treated patients was 0.43%, compared to 0.24% among </w:t>
      </w:r>
      <w:r w:rsidRPr="00E14359">
        <w:rPr>
          <w:lang w:eastAsia="ja-JP"/>
        </w:rPr>
        <w:lastRenderedPageBreak/>
        <w:t>16,029 placebo-treated patients, representing an increase of approximately one case of suicidal thinking or behaviour for every 530 patients treated. There were four suicides in drug-treated patients in the trials and none in placebo-treated patients, but the number is too small to allow any conclusion about drug effect on suicide.</w:t>
      </w:r>
    </w:p>
    <w:p w:rsidR="00B11F65" w:rsidRPr="00E14359" w:rsidRDefault="00B11F65" w:rsidP="00B11F65">
      <w:pPr>
        <w:autoSpaceDE w:val="0"/>
        <w:autoSpaceDN w:val="0"/>
        <w:adjustRightInd w:val="0"/>
        <w:rPr>
          <w:lang w:eastAsia="ja-JP"/>
        </w:rPr>
      </w:pPr>
      <w:r w:rsidRPr="00E14359">
        <w:rPr>
          <w:lang w:eastAsia="ja-JP"/>
        </w:rPr>
        <w:t>The increased risk of suicidal thoughts or behaviour with AEDs was observed as early as one week after starting drug treatment with AEDs and persisted for the duration of treatment assessed. Because most trials included in the analysis did not extend beyond 24 weeks, the risk of suicidal thoughts or behaviour beyond 24 weeks could not be assessed.</w:t>
      </w:r>
    </w:p>
    <w:p w:rsidR="00B11F65" w:rsidRPr="00E14359" w:rsidRDefault="00B11F65" w:rsidP="00B11F65">
      <w:pPr>
        <w:autoSpaceDE w:val="0"/>
        <w:autoSpaceDN w:val="0"/>
        <w:adjustRightInd w:val="0"/>
        <w:rPr>
          <w:lang w:eastAsia="ja-JP"/>
        </w:rPr>
      </w:pPr>
      <w:r w:rsidRPr="00E14359">
        <w:rPr>
          <w:lang w:eastAsia="ja-JP"/>
        </w:rPr>
        <w:t>The risk of suicidal thoughts or behaviour was generally consistent among drugs in the data analysed. The finding of increased risk with AEDs of varying mechanisms of action and across a range of indications suggests that the risk applies to all AEDs used for any indication. The risk did not vary substantially by age (5-100 years) in the clinical trials analysed.</w:t>
      </w:r>
    </w:p>
    <w:p w:rsidR="00B11F65" w:rsidRDefault="00006A40" w:rsidP="00B11F65">
      <w:pPr>
        <w:pStyle w:val="PlainText"/>
        <w:rPr>
          <w:rFonts w:ascii="Times New Roman" w:eastAsia="MS Mincho" w:hAnsi="Times New Roman" w:cs="Times New Roman"/>
          <w:sz w:val="24"/>
          <w:szCs w:val="24"/>
          <w:lang w:eastAsia="ja-JP"/>
        </w:rPr>
      </w:pPr>
      <w:fldSimple w:instr=" REF _Ref302394167 \h  \* MERGEFORMAT ">
        <w:r w:rsidR="00F66D7C" w:rsidRPr="00F66D7C">
          <w:rPr>
            <w:rFonts w:ascii="Times New Roman" w:hAnsi="Times New Roman" w:cs="Times New Roman"/>
            <w:sz w:val="24"/>
            <w:szCs w:val="24"/>
          </w:rPr>
          <w:t xml:space="preserve">Table </w:t>
        </w:r>
        <w:r w:rsidR="00F66D7C" w:rsidRPr="00F66D7C">
          <w:rPr>
            <w:rFonts w:ascii="Times New Roman" w:hAnsi="Times New Roman" w:cs="Times New Roman"/>
            <w:noProof/>
            <w:sz w:val="24"/>
            <w:szCs w:val="24"/>
          </w:rPr>
          <w:t>4</w:t>
        </w:r>
      </w:fldSimple>
      <w:r w:rsidR="00FD552A" w:rsidRPr="00E340E7">
        <w:rPr>
          <w:rFonts w:ascii="Times New Roman" w:eastAsia="MS Mincho" w:hAnsi="Times New Roman" w:cs="Times New Roman"/>
          <w:b/>
          <w:sz w:val="24"/>
          <w:szCs w:val="24"/>
          <w:lang w:eastAsia="ja-JP"/>
        </w:rPr>
        <w:t xml:space="preserve"> </w:t>
      </w:r>
      <w:r w:rsidR="00B11F65" w:rsidRPr="00E340E7">
        <w:rPr>
          <w:rFonts w:ascii="Times New Roman" w:eastAsia="MS Mincho" w:hAnsi="Times New Roman" w:cs="Times New Roman"/>
          <w:sz w:val="24"/>
          <w:szCs w:val="24"/>
          <w:lang w:eastAsia="ja-JP"/>
        </w:rPr>
        <w:t>shows absolute and relative risk by indication for all evaluated AEDs.</w:t>
      </w:r>
    </w:p>
    <w:p w:rsidR="00D53A29" w:rsidRPr="006A3947" w:rsidRDefault="00D53A29" w:rsidP="00D53A29">
      <w:pPr>
        <w:pStyle w:val="Caption"/>
        <w:rPr>
          <w:sz w:val="24"/>
          <w:szCs w:val="24"/>
        </w:rPr>
      </w:pPr>
      <w:bookmarkStart w:id="4" w:name="_Ref302394167"/>
      <w:bookmarkStart w:id="5" w:name="_Toc302397719"/>
      <w:r w:rsidRPr="006A3947">
        <w:rPr>
          <w:sz w:val="24"/>
          <w:szCs w:val="24"/>
        </w:rPr>
        <w:t xml:space="preserve">Table </w:t>
      </w:r>
      <w:r w:rsidR="00006A40" w:rsidRPr="006A3947">
        <w:rPr>
          <w:sz w:val="24"/>
          <w:szCs w:val="24"/>
        </w:rPr>
        <w:fldChar w:fldCharType="begin"/>
      </w:r>
      <w:r w:rsidRPr="006A3947">
        <w:rPr>
          <w:sz w:val="24"/>
          <w:szCs w:val="24"/>
        </w:rPr>
        <w:instrText xml:space="preserve"> SEQ Table \* ARABIC </w:instrText>
      </w:r>
      <w:r w:rsidR="00006A40" w:rsidRPr="006A3947">
        <w:rPr>
          <w:sz w:val="24"/>
          <w:szCs w:val="24"/>
        </w:rPr>
        <w:fldChar w:fldCharType="separate"/>
      </w:r>
      <w:r>
        <w:rPr>
          <w:noProof/>
          <w:sz w:val="24"/>
          <w:szCs w:val="24"/>
        </w:rPr>
        <w:t>4</w:t>
      </w:r>
      <w:r w:rsidR="00006A40" w:rsidRPr="006A3947">
        <w:rPr>
          <w:sz w:val="24"/>
          <w:szCs w:val="24"/>
        </w:rPr>
        <w:fldChar w:fldCharType="end"/>
      </w:r>
      <w:bookmarkEnd w:id="4"/>
      <w:r w:rsidRPr="006A3947">
        <w:rPr>
          <w:sz w:val="24"/>
          <w:szCs w:val="24"/>
        </w:rPr>
        <w:t>: Risk by indication for antiepileptic drugs in the pooled analysis</w:t>
      </w:r>
      <w:bookmarkEnd w:id="5"/>
    </w:p>
    <w:tbl>
      <w:tblPr>
        <w:tblW w:w="0" w:type="auto"/>
        <w:tblInd w:w="180" w:type="dxa"/>
        <w:tblLayout w:type="fixed"/>
        <w:tblLook w:val="0000"/>
      </w:tblPr>
      <w:tblGrid>
        <w:gridCol w:w="1368"/>
        <w:gridCol w:w="2040"/>
        <w:gridCol w:w="1750"/>
        <w:gridCol w:w="2090"/>
        <w:gridCol w:w="1750"/>
      </w:tblGrid>
      <w:tr w:rsidR="00D53A29" w:rsidTr="004844FA">
        <w:trPr>
          <w:trHeight w:val="1510"/>
        </w:trPr>
        <w:tc>
          <w:tcPr>
            <w:tcW w:w="1368" w:type="dxa"/>
            <w:tcBorders>
              <w:top w:val="single" w:sz="8" w:space="0" w:color="000000"/>
              <w:bottom w:val="single" w:sz="8" w:space="0" w:color="000000"/>
            </w:tcBorders>
          </w:tcPr>
          <w:p w:rsidR="00D53A29" w:rsidRDefault="00D53A29" w:rsidP="004844FA">
            <w:pPr>
              <w:spacing w:before="0" w:after="0"/>
              <w:jc w:val="center"/>
              <w:rPr>
                <w:sz w:val="23"/>
                <w:szCs w:val="23"/>
              </w:rPr>
            </w:pPr>
            <w:r>
              <w:rPr>
                <w:sz w:val="23"/>
                <w:szCs w:val="23"/>
              </w:rPr>
              <w:t>Indication</w:t>
            </w:r>
          </w:p>
        </w:tc>
        <w:tc>
          <w:tcPr>
            <w:tcW w:w="2040" w:type="dxa"/>
            <w:tcBorders>
              <w:top w:val="single" w:sz="8" w:space="0" w:color="000000"/>
              <w:bottom w:val="single" w:sz="8" w:space="0" w:color="000000"/>
            </w:tcBorders>
          </w:tcPr>
          <w:p w:rsidR="00D53A29" w:rsidRDefault="00D53A29" w:rsidP="004844FA">
            <w:pPr>
              <w:spacing w:before="0" w:after="0"/>
              <w:jc w:val="center"/>
              <w:rPr>
                <w:sz w:val="23"/>
                <w:szCs w:val="23"/>
              </w:rPr>
            </w:pPr>
            <w:r>
              <w:rPr>
                <w:sz w:val="23"/>
                <w:szCs w:val="23"/>
              </w:rPr>
              <w:t>Placebo Patients with Events</w:t>
            </w:r>
          </w:p>
          <w:p w:rsidR="00D53A29" w:rsidRDefault="00D53A29" w:rsidP="004844FA">
            <w:pPr>
              <w:spacing w:before="0" w:after="0"/>
              <w:jc w:val="center"/>
              <w:rPr>
                <w:sz w:val="23"/>
                <w:szCs w:val="23"/>
              </w:rPr>
            </w:pPr>
            <w:r>
              <w:rPr>
                <w:sz w:val="23"/>
                <w:szCs w:val="23"/>
              </w:rPr>
              <w:t>Per 1000 Patients</w:t>
            </w:r>
          </w:p>
        </w:tc>
        <w:tc>
          <w:tcPr>
            <w:tcW w:w="1750" w:type="dxa"/>
            <w:tcBorders>
              <w:top w:val="single" w:sz="8" w:space="0" w:color="000000"/>
              <w:bottom w:val="single" w:sz="8" w:space="0" w:color="000000"/>
            </w:tcBorders>
          </w:tcPr>
          <w:p w:rsidR="00D53A29" w:rsidRDefault="00D53A29" w:rsidP="004844FA">
            <w:pPr>
              <w:spacing w:before="0" w:after="0"/>
              <w:jc w:val="center"/>
              <w:rPr>
                <w:sz w:val="23"/>
                <w:szCs w:val="23"/>
              </w:rPr>
            </w:pPr>
            <w:r>
              <w:rPr>
                <w:sz w:val="23"/>
                <w:szCs w:val="23"/>
              </w:rPr>
              <w:t>Drug Patients</w:t>
            </w:r>
          </w:p>
          <w:p w:rsidR="00D53A29" w:rsidRDefault="00D53A29" w:rsidP="004844FA">
            <w:pPr>
              <w:spacing w:before="0" w:after="0"/>
              <w:jc w:val="center"/>
              <w:rPr>
                <w:sz w:val="23"/>
                <w:szCs w:val="23"/>
              </w:rPr>
            </w:pPr>
            <w:r>
              <w:rPr>
                <w:sz w:val="23"/>
                <w:szCs w:val="23"/>
              </w:rPr>
              <w:t>with Events Per</w:t>
            </w:r>
          </w:p>
          <w:p w:rsidR="00D53A29" w:rsidRDefault="00D53A29" w:rsidP="004844FA">
            <w:pPr>
              <w:spacing w:before="0" w:after="0"/>
              <w:jc w:val="center"/>
              <w:rPr>
                <w:sz w:val="23"/>
                <w:szCs w:val="23"/>
              </w:rPr>
            </w:pPr>
            <w:r>
              <w:rPr>
                <w:sz w:val="23"/>
                <w:szCs w:val="23"/>
              </w:rPr>
              <w:t>1000 Patients</w:t>
            </w:r>
          </w:p>
        </w:tc>
        <w:tc>
          <w:tcPr>
            <w:tcW w:w="2090" w:type="dxa"/>
            <w:tcBorders>
              <w:top w:val="single" w:sz="8" w:space="0" w:color="000000"/>
              <w:bottom w:val="single" w:sz="8" w:space="0" w:color="000000"/>
            </w:tcBorders>
          </w:tcPr>
          <w:p w:rsidR="00D53A29" w:rsidRDefault="00D53A29" w:rsidP="004844FA">
            <w:pPr>
              <w:spacing w:before="0" w:after="0"/>
              <w:jc w:val="center"/>
              <w:rPr>
                <w:sz w:val="23"/>
                <w:szCs w:val="23"/>
              </w:rPr>
            </w:pPr>
            <w:r>
              <w:rPr>
                <w:sz w:val="23"/>
                <w:szCs w:val="23"/>
              </w:rPr>
              <w:t>Relative Risk:</w:t>
            </w:r>
          </w:p>
          <w:p w:rsidR="00D53A29" w:rsidRDefault="00D53A29" w:rsidP="004844FA">
            <w:pPr>
              <w:spacing w:before="0" w:after="0"/>
              <w:jc w:val="center"/>
              <w:rPr>
                <w:sz w:val="23"/>
                <w:szCs w:val="23"/>
              </w:rPr>
            </w:pPr>
            <w:r>
              <w:rPr>
                <w:sz w:val="23"/>
                <w:szCs w:val="23"/>
              </w:rPr>
              <w:t>Incidence of</w:t>
            </w:r>
          </w:p>
          <w:p w:rsidR="00D53A29" w:rsidRDefault="00D53A29" w:rsidP="004844FA">
            <w:pPr>
              <w:spacing w:before="0" w:after="0"/>
              <w:jc w:val="center"/>
              <w:rPr>
                <w:sz w:val="23"/>
                <w:szCs w:val="23"/>
              </w:rPr>
            </w:pPr>
            <w:r>
              <w:rPr>
                <w:sz w:val="23"/>
                <w:szCs w:val="23"/>
              </w:rPr>
              <w:t>Events in Drug Patients/Incidence in Placebo Patients</w:t>
            </w:r>
          </w:p>
        </w:tc>
        <w:tc>
          <w:tcPr>
            <w:tcW w:w="1750" w:type="dxa"/>
            <w:tcBorders>
              <w:top w:val="single" w:sz="8" w:space="0" w:color="000000"/>
              <w:bottom w:val="single" w:sz="8" w:space="0" w:color="000000"/>
            </w:tcBorders>
          </w:tcPr>
          <w:p w:rsidR="00D53A29" w:rsidRDefault="00D53A29" w:rsidP="004844FA">
            <w:pPr>
              <w:spacing w:before="0" w:after="0"/>
              <w:jc w:val="center"/>
              <w:rPr>
                <w:sz w:val="23"/>
                <w:szCs w:val="23"/>
              </w:rPr>
            </w:pPr>
            <w:r>
              <w:rPr>
                <w:sz w:val="23"/>
                <w:szCs w:val="23"/>
              </w:rPr>
              <w:t>Risk Difference: Additional Drug Patients with Events Per 1000 Patients</w:t>
            </w:r>
          </w:p>
        </w:tc>
      </w:tr>
      <w:tr w:rsidR="00D53A29" w:rsidTr="004844FA">
        <w:trPr>
          <w:trHeight w:val="315"/>
        </w:trPr>
        <w:tc>
          <w:tcPr>
            <w:tcW w:w="1368" w:type="dxa"/>
            <w:tcBorders>
              <w:top w:val="single" w:sz="8" w:space="0" w:color="000000"/>
            </w:tcBorders>
          </w:tcPr>
          <w:p w:rsidR="00D53A29" w:rsidRDefault="00D53A29" w:rsidP="004844FA">
            <w:pPr>
              <w:spacing w:before="0" w:after="0"/>
              <w:rPr>
                <w:sz w:val="23"/>
                <w:szCs w:val="23"/>
              </w:rPr>
            </w:pPr>
            <w:r>
              <w:rPr>
                <w:sz w:val="23"/>
                <w:szCs w:val="23"/>
              </w:rPr>
              <w:t xml:space="preserve">Epilepsy </w:t>
            </w:r>
          </w:p>
        </w:tc>
        <w:tc>
          <w:tcPr>
            <w:tcW w:w="2040" w:type="dxa"/>
            <w:tcBorders>
              <w:top w:val="single" w:sz="8" w:space="0" w:color="000000"/>
            </w:tcBorders>
          </w:tcPr>
          <w:p w:rsidR="00D53A29" w:rsidRDefault="00D53A29" w:rsidP="004844FA">
            <w:pPr>
              <w:spacing w:before="0" w:after="0"/>
              <w:jc w:val="center"/>
              <w:rPr>
                <w:sz w:val="23"/>
                <w:szCs w:val="23"/>
              </w:rPr>
            </w:pPr>
            <w:r>
              <w:rPr>
                <w:sz w:val="23"/>
                <w:szCs w:val="23"/>
              </w:rPr>
              <w:t>1.0</w:t>
            </w:r>
          </w:p>
        </w:tc>
        <w:tc>
          <w:tcPr>
            <w:tcW w:w="1750" w:type="dxa"/>
            <w:tcBorders>
              <w:top w:val="single" w:sz="8" w:space="0" w:color="000000"/>
            </w:tcBorders>
          </w:tcPr>
          <w:p w:rsidR="00D53A29" w:rsidRDefault="00D53A29" w:rsidP="004844FA">
            <w:pPr>
              <w:spacing w:before="0" w:after="0"/>
              <w:jc w:val="center"/>
              <w:rPr>
                <w:sz w:val="23"/>
                <w:szCs w:val="23"/>
              </w:rPr>
            </w:pPr>
            <w:r>
              <w:rPr>
                <w:sz w:val="23"/>
                <w:szCs w:val="23"/>
              </w:rPr>
              <w:t>3.4</w:t>
            </w:r>
          </w:p>
        </w:tc>
        <w:tc>
          <w:tcPr>
            <w:tcW w:w="2090" w:type="dxa"/>
            <w:tcBorders>
              <w:top w:val="single" w:sz="8" w:space="0" w:color="000000"/>
            </w:tcBorders>
          </w:tcPr>
          <w:p w:rsidR="00D53A29" w:rsidRDefault="00D53A29" w:rsidP="004844FA">
            <w:pPr>
              <w:spacing w:before="0" w:after="0"/>
              <w:jc w:val="center"/>
              <w:rPr>
                <w:sz w:val="23"/>
                <w:szCs w:val="23"/>
              </w:rPr>
            </w:pPr>
            <w:r>
              <w:rPr>
                <w:sz w:val="23"/>
                <w:szCs w:val="23"/>
              </w:rPr>
              <w:t>3.5</w:t>
            </w:r>
          </w:p>
        </w:tc>
        <w:tc>
          <w:tcPr>
            <w:tcW w:w="1750" w:type="dxa"/>
            <w:tcBorders>
              <w:top w:val="single" w:sz="8" w:space="0" w:color="000000"/>
            </w:tcBorders>
          </w:tcPr>
          <w:p w:rsidR="00D53A29" w:rsidRDefault="00D53A29" w:rsidP="004844FA">
            <w:pPr>
              <w:spacing w:before="0" w:after="0"/>
              <w:jc w:val="center"/>
              <w:rPr>
                <w:sz w:val="23"/>
                <w:szCs w:val="23"/>
              </w:rPr>
            </w:pPr>
            <w:r>
              <w:rPr>
                <w:sz w:val="23"/>
                <w:szCs w:val="23"/>
              </w:rPr>
              <w:t>2.4</w:t>
            </w:r>
          </w:p>
        </w:tc>
      </w:tr>
      <w:tr w:rsidR="00D53A29" w:rsidTr="004844FA">
        <w:trPr>
          <w:trHeight w:val="315"/>
        </w:trPr>
        <w:tc>
          <w:tcPr>
            <w:tcW w:w="1368" w:type="dxa"/>
          </w:tcPr>
          <w:p w:rsidR="00D53A29" w:rsidRDefault="00D53A29" w:rsidP="004844FA">
            <w:pPr>
              <w:spacing w:before="0" w:after="0"/>
              <w:rPr>
                <w:sz w:val="23"/>
                <w:szCs w:val="23"/>
              </w:rPr>
            </w:pPr>
            <w:r>
              <w:rPr>
                <w:sz w:val="23"/>
                <w:szCs w:val="23"/>
              </w:rPr>
              <w:t xml:space="preserve">Psychiatric </w:t>
            </w:r>
          </w:p>
        </w:tc>
        <w:tc>
          <w:tcPr>
            <w:tcW w:w="2040" w:type="dxa"/>
          </w:tcPr>
          <w:p w:rsidR="00D53A29" w:rsidRDefault="00D53A29" w:rsidP="004844FA">
            <w:pPr>
              <w:spacing w:before="0" w:after="0"/>
              <w:jc w:val="center"/>
              <w:rPr>
                <w:sz w:val="23"/>
                <w:szCs w:val="23"/>
              </w:rPr>
            </w:pPr>
            <w:r>
              <w:rPr>
                <w:sz w:val="23"/>
                <w:szCs w:val="23"/>
              </w:rPr>
              <w:t>5.7</w:t>
            </w:r>
          </w:p>
        </w:tc>
        <w:tc>
          <w:tcPr>
            <w:tcW w:w="1750" w:type="dxa"/>
          </w:tcPr>
          <w:p w:rsidR="00D53A29" w:rsidRDefault="00D53A29" w:rsidP="004844FA">
            <w:pPr>
              <w:spacing w:before="0" w:after="0"/>
              <w:jc w:val="center"/>
              <w:rPr>
                <w:sz w:val="23"/>
                <w:szCs w:val="23"/>
              </w:rPr>
            </w:pPr>
            <w:r>
              <w:rPr>
                <w:sz w:val="23"/>
                <w:szCs w:val="23"/>
              </w:rPr>
              <w:t>8.5</w:t>
            </w:r>
          </w:p>
        </w:tc>
        <w:tc>
          <w:tcPr>
            <w:tcW w:w="2090" w:type="dxa"/>
          </w:tcPr>
          <w:p w:rsidR="00D53A29" w:rsidRDefault="00D53A29" w:rsidP="004844FA">
            <w:pPr>
              <w:spacing w:before="0" w:after="0"/>
              <w:jc w:val="center"/>
              <w:rPr>
                <w:sz w:val="23"/>
                <w:szCs w:val="23"/>
              </w:rPr>
            </w:pPr>
            <w:r>
              <w:rPr>
                <w:sz w:val="23"/>
                <w:szCs w:val="23"/>
              </w:rPr>
              <w:t>1.5</w:t>
            </w:r>
          </w:p>
        </w:tc>
        <w:tc>
          <w:tcPr>
            <w:tcW w:w="1750" w:type="dxa"/>
          </w:tcPr>
          <w:p w:rsidR="00D53A29" w:rsidRDefault="00D53A29" w:rsidP="004844FA">
            <w:pPr>
              <w:spacing w:before="0" w:after="0"/>
              <w:jc w:val="center"/>
              <w:rPr>
                <w:sz w:val="23"/>
                <w:szCs w:val="23"/>
              </w:rPr>
            </w:pPr>
            <w:r>
              <w:rPr>
                <w:sz w:val="23"/>
                <w:szCs w:val="23"/>
              </w:rPr>
              <w:t>2.9</w:t>
            </w:r>
          </w:p>
        </w:tc>
      </w:tr>
      <w:tr w:rsidR="00D53A29" w:rsidTr="004844FA">
        <w:trPr>
          <w:trHeight w:val="315"/>
        </w:trPr>
        <w:tc>
          <w:tcPr>
            <w:tcW w:w="1368" w:type="dxa"/>
          </w:tcPr>
          <w:p w:rsidR="00D53A29" w:rsidRDefault="00D53A29" w:rsidP="004844FA">
            <w:pPr>
              <w:spacing w:before="0" w:after="0"/>
              <w:rPr>
                <w:sz w:val="23"/>
                <w:szCs w:val="23"/>
              </w:rPr>
            </w:pPr>
            <w:r>
              <w:rPr>
                <w:sz w:val="23"/>
                <w:szCs w:val="23"/>
              </w:rPr>
              <w:t xml:space="preserve">Other </w:t>
            </w:r>
          </w:p>
        </w:tc>
        <w:tc>
          <w:tcPr>
            <w:tcW w:w="2040" w:type="dxa"/>
          </w:tcPr>
          <w:p w:rsidR="00D53A29" w:rsidRDefault="00D53A29" w:rsidP="004844FA">
            <w:pPr>
              <w:spacing w:before="0" w:after="0"/>
              <w:jc w:val="center"/>
              <w:rPr>
                <w:sz w:val="23"/>
                <w:szCs w:val="23"/>
              </w:rPr>
            </w:pPr>
            <w:r>
              <w:rPr>
                <w:sz w:val="23"/>
                <w:szCs w:val="23"/>
              </w:rPr>
              <w:t>1.0</w:t>
            </w:r>
          </w:p>
        </w:tc>
        <w:tc>
          <w:tcPr>
            <w:tcW w:w="1750" w:type="dxa"/>
          </w:tcPr>
          <w:p w:rsidR="00D53A29" w:rsidRDefault="00D53A29" w:rsidP="004844FA">
            <w:pPr>
              <w:spacing w:before="0" w:after="0"/>
              <w:jc w:val="center"/>
              <w:rPr>
                <w:sz w:val="23"/>
                <w:szCs w:val="23"/>
              </w:rPr>
            </w:pPr>
            <w:r>
              <w:rPr>
                <w:sz w:val="23"/>
                <w:szCs w:val="23"/>
              </w:rPr>
              <w:t>1.8</w:t>
            </w:r>
          </w:p>
        </w:tc>
        <w:tc>
          <w:tcPr>
            <w:tcW w:w="2090" w:type="dxa"/>
          </w:tcPr>
          <w:p w:rsidR="00D53A29" w:rsidRDefault="00D53A29" w:rsidP="004844FA">
            <w:pPr>
              <w:spacing w:before="0" w:after="0"/>
              <w:jc w:val="center"/>
              <w:rPr>
                <w:sz w:val="23"/>
                <w:szCs w:val="23"/>
              </w:rPr>
            </w:pPr>
            <w:r>
              <w:rPr>
                <w:sz w:val="23"/>
                <w:szCs w:val="23"/>
              </w:rPr>
              <w:t>1.9</w:t>
            </w:r>
          </w:p>
        </w:tc>
        <w:tc>
          <w:tcPr>
            <w:tcW w:w="1750" w:type="dxa"/>
          </w:tcPr>
          <w:p w:rsidR="00D53A29" w:rsidRDefault="00D53A29" w:rsidP="004844FA">
            <w:pPr>
              <w:spacing w:before="0" w:after="0"/>
              <w:jc w:val="center"/>
              <w:rPr>
                <w:sz w:val="23"/>
                <w:szCs w:val="23"/>
              </w:rPr>
            </w:pPr>
            <w:r>
              <w:rPr>
                <w:sz w:val="23"/>
                <w:szCs w:val="23"/>
              </w:rPr>
              <w:t>0.9</w:t>
            </w:r>
          </w:p>
        </w:tc>
      </w:tr>
      <w:tr w:rsidR="00D53A29" w:rsidTr="004844FA">
        <w:trPr>
          <w:trHeight w:val="315"/>
        </w:trPr>
        <w:tc>
          <w:tcPr>
            <w:tcW w:w="1368" w:type="dxa"/>
            <w:tcBorders>
              <w:bottom w:val="single" w:sz="8" w:space="0" w:color="000000"/>
            </w:tcBorders>
          </w:tcPr>
          <w:p w:rsidR="00D53A29" w:rsidRDefault="00D53A29" w:rsidP="004844FA">
            <w:pPr>
              <w:spacing w:before="0" w:after="0"/>
              <w:rPr>
                <w:sz w:val="23"/>
                <w:szCs w:val="23"/>
              </w:rPr>
            </w:pPr>
            <w:r>
              <w:rPr>
                <w:sz w:val="23"/>
                <w:szCs w:val="23"/>
              </w:rPr>
              <w:t xml:space="preserve">Total </w:t>
            </w:r>
          </w:p>
        </w:tc>
        <w:tc>
          <w:tcPr>
            <w:tcW w:w="2040" w:type="dxa"/>
            <w:tcBorders>
              <w:bottom w:val="single" w:sz="8" w:space="0" w:color="000000"/>
            </w:tcBorders>
          </w:tcPr>
          <w:p w:rsidR="00D53A29" w:rsidRDefault="00D53A29" w:rsidP="004844FA">
            <w:pPr>
              <w:spacing w:before="0" w:after="0"/>
              <w:jc w:val="center"/>
              <w:rPr>
                <w:sz w:val="23"/>
                <w:szCs w:val="23"/>
              </w:rPr>
            </w:pPr>
            <w:r>
              <w:rPr>
                <w:sz w:val="23"/>
                <w:szCs w:val="23"/>
              </w:rPr>
              <w:t>2.4</w:t>
            </w:r>
          </w:p>
        </w:tc>
        <w:tc>
          <w:tcPr>
            <w:tcW w:w="1750" w:type="dxa"/>
            <w:tcBorders>
              <w:bottom w:val="single" w:sz="8" w:space="0" w:color="000000"/>
            </w:tcBorders>
          </w:tcPr>
          <w:p w:rsidR="00D53A29" w:rsidRDefault="00D53A29" w:rsidP="004844FA">
            <w:pPr>
              <w:spacing w:before="0" w:after="0"/>
              <w:jc w:val="center"/>
              <w:rPr>
                <w:sz w:val="23"/>
                <w:szCs w:val="23"/>
              </w:rPr>
            </w:pPr>
            <w:r>
              <w:rPr>
                <w:sz w:val="23"/>
                <w:szCs w:val="23"/>
              </w:rPr>
              <w:t>4.3</w:t>
            </w:r>
          </w:p>
        </w:tc>
        <w:tc>
          <w:tcPr>
            <w:tcW w:w="2090" w:type="dxa"/>
            <w:tcBorders>
              <w:bottom w:val="single" w:sz="8" w:space="0" w:color="000000"/>
            </w:tcBorders>
          </w:tcPr>
          <w:p w:rsidR="00D53A29" w:rsidRDefault="00D53A29" w:rsidP="004844FA">
            <w:pPr>
              <w:spacing w:before="0" w:after="0"/>
              <w:jc w:val="center"/>
              <w:rPr>
                <w:sz w:val="23"/>
                <w:szCs w:val="23"/>
              </w:rPr>
            </w:pPr>
            <w:r>
              <w:rPr>
                <w:sz w:val="23"/>
                <w:szCs w:val="23"/>
              </w:rPr>
              <w:t>1.8</w:t>
            </w:r>
          </w:p>
        </w:tc>
        <w:tc>
          <w:tcPr>
            <w:tcW w:w="1750" w:type="dxa"/>
            <w:tcBorders>
              <w:bottom w:val="single" w:sz="8" w:space="0" w:color="000000"/>
            </w:tcBorders>
          </w:tcPr>
          <w:p w:rsidR="00D53A29" w:rsidRDefault="00D53A29" w:rsidP="004844FA">
            <w:pPr>
              <w:spacing w:before="0" w:after="0"/>
              <w:jc w:val="center"/>
              <w:rPr>
                <w:sz w:val="23"/>
                <w:szCs w:val="23"/>
              </w:rPr>
            </w:pPr>
            <w:r>
              <w:rPr>
                <w:sz w:val="23"/>
                <w:szCs w:val="23"/>
              </w:rPr>
              <w:t>1.9</w:t>
            </w:r>
          </w:p>
        </w:tc>
      </w:tr>
    </w:tbl>
    <w:p w:rsidR="00B11F65" w:rsidRPr="00E14359" w:rsidRDefault="00B11F65" w:rsidP="00D53A29">
      <w:pPr>
        <w:spacing w:before="360"/>
      </w:pPr>
      <w:r w:rsidRPr="00E14359">
        <w:t>The relative risk for suicidal thoughts or behavio</w:t>
      </w:r>
      <w:r w:rsidR="00F704DE" w:rsidRPr="00E14359">
        <w:t>u</w:t>
      </w:r>
      <w:r w:rsidRPr="00E14359">
        <w:t xml:space="preserve">r was higher in clinical trials for epilepsy than in clinical trials for psychiatric or other conditions, but the absolute risk differences were similar for the epilepsy and psychiatric indications.    </w:t>
      </w:r>
    </w:p>
    <w:p w:rsidR="00B11F65" w:rsidRPr="00E14359" w:rsidRDefault="00B11F65" w:rsidP="00B11F65">
      <w:r w:rsidRPr="00E14359">
        <w:t>Anyone considering prescribing Zonegran or any other AED must balance this risk with the risk of untreated illness.  Epilepsy and many other illnesses for which AEDs are prescribed are themselves associated with morbidity and mortality and an increased risk of suicidal thoughts and behavio</w:t>
      </w:r>
      <w:r w:rsidR="00F704DE" w:rsidRPr="00E14359">
        <w:t>u</w:t>
      </w:r>
      <w:r w:rsidRPr="00E14359">
        <w:t>r.  Should suicidal thoughts and behavio</w:t>
      </w:r>
      <w:r w:rsidR="00F704DE" w:rsidRPr="00E14359">
        <w:t>u</w:t>
      </w:r>
      <w:r w:rsidRPr="00E14359">
        <w:t xml:space="preserve">r emerge during treatment, the prescriber needs to consider whether the emergence of these symptoms in any given patient may be related to the illness being treated. </w:t>
      </w:r>
    </w:p>
    <w:p w:rsidR="00B11F65" w:rsidRPr="00E14359" w:rsidRDefault="00B11F65" w:rsidP="00B11F65">
      <w:r w:rsidRPr="00E14359">
        <w:t>Patients, their caregivers, and families should be informed that AEDs increase the risk of suicidal thoughts and behavio</w:t>
      </w:r>
      <w:r w:rsidR="00F704DE" w:rsidRPr="00E14359">
        <w:t>u</w:t>
      </w:r>
      <w:r w:rsidRPr="00E14359">
        <w:t>r and should be advised of the need to be alert for the emergence or worsening of the signs and symptoms of depression, any unusual changes in mood or behavio</w:t>
      </w:r>
      <w:r w:rsidR="00F704DE" w:rsidRPr="00E14359">
        <w:t>u</w:t>
      </w:r>
      <w:r w:rsidRPr="00E14359">
        <w:t>r, or the emergence of suicidal thoughts, behavio</w:t>
      </w:r>
      <w:r w:rsidR="00F704DE" w:rsidRPr="00E14359">
        <w:t>u</w:t>
      </w:r>
      <w:r w:rsidRPr="00E14359">
        <w:t>r, or thoughts about self-harm.  Behavio</w:t>
      </w:r>
      <w:r w:rsidR="00F704DE" w:rsidRPr="00E14359">
        <w:t>u</w:t>
      </w:r>
      <w:r w:rsidRPr="00E14359">
        <w:t xml:space="preserve">rs of concern should be reported immediately to healthcare providers (see </w:t>
      </w:r>
      <w:r w:rsidRPr="00E14359">
        <w:rPr>
          <w:b/>
        </w:rPr>
        <w:t xml:space="preserve">Cognitive Adverse Events </w:t>
      </w:r>
      <w:r w:rsidRPr="00E14359">
        <w:t>subsection below).</w:t>
      </w:r>
    </w:p>
    <w:p w:rsidR="002F711B" w:rsidRPr="00E14359" w:rsidRDefault="002F711B" w:rsidP="00D53A29">
      <w:pPr>
        <w:pStyle w:val="Heading3"/>
      </w:pPr>
      <w:bookmarkStart w:id="6" w:name="_Ref302393227"/>
      <w:r w:rsidRPr="00E14359">
        <w:lastRenderedPageBreak/>
        <w:t>Circumstances in which caution is required</w:t>
      </w:r>
      <w:bookmarkEnd w:id="6"/>
    </w:p>
    <w:p w:rsidR="00E07583" w:rsidRDefault="00233FC5" w:rsidP="00D53A29">
      <w:pPr>
        <w:pStyle w:val="Heading4"/>
      </w:pPr>
      <w:r w:rsidRPr="00233FC5">
        <w:t>Withdrawal seizures</w:t>
      </w:r>
    </w:p>
    <w:p w:rsidR="00F8040B" w:rsidRPr="00E14359" w:rsidRDefault="00F8040B" w:rsidP="00636A0F">
      <w:r w:rsidRPr="00E14359">
        <w:t xml:space="preserve">In accordance with current clinical practice, discontinuation of </w:t>
      </w:r>
      <w:r w:rsidR="00094B05" w:rsidRPr="00E14359">
        <w:t xml:space="preserve">zonisamide </w:t>
      </w:r>
      <w:r w:rsidRPr="00E14359">
        <w:t xml:space="preserve">in patients with epilepsy must be accomplished by gradual dose reduction, to reduce the possibility of seizures on withdrawal.  There are insufficient data for the withdrawal of concomitant antiepileptic medications once seizure control with </w:t>
      </w:r>
      <w:r w:rsidR="00094B05" w:rsidRPr="00E14359">
        <w:t xml:space="preserve">zonisamide </w:t>
      </w:r>
      <w:r w:rsidRPr="00E14359">
        <w:t xml:space="preserve">has been achieved in the add-on situation, in order to reach monotherapy with </w:t>
      </w:r>
      <w:r w:rsidR="00094B05" w:rsidRPr="00E14359">
        <w:t>zonisamide</w:t>
      </w:r>
      <w:r w:rsidRPr="00E14359">
        <w:t xml:space="preserve">. </w:t>
      </w:r>
      <w:r w:rsidR="00094B05" w:rsidRPr="00E14359">
        <w:t xml:space="preserve"> </w:t>
      </w:r>
      <w:r w:rsidRPr="00E14359">
        <w:t xml:space="preserve">Therefore withdrawal of concomitant </w:t>
      </w:r>
      <w:r w:rsidR="00930CDC" w:rsidRPr="00E14359">
        <w:t>antiepileptic</w:t>
      </w:r>
      <w:r w:rsidRPr="00E14359">
        <w:t xml:space="preserve"> agents must be undertaken with caution.</w:t>
      </w:r>
    </w:p>
    <w:p w:rsidR="00E07583" w:rsidRDefault="00233FC5" w:rsidP="00D53A29">
      <w:pPr>
        <w:pStyle w:val="Heading4"/>
      </w:pPr>
      <w:r w:rsidRPr="00233FC5">
        <w:t>Sulphonamide reactions</w:t>
      </w:r>
    </w:p>
    <w:p w:rsidR="00F8040B" w:rsidRDefault="00A41C96" w:rsidP="00636A0F">
      <w:r>
        <w:t xml:space="preserve">Potentially Fatal Reactions to Sulfonamides: </w:t>
      </w:r>
    </w:p>
    <w:p w:rsidR="00A41C96" w:rsidRDefault="00A41C96" w:rsidP="00636A0F">
      <w:r w:rsidRPr="00A41C96">
        <w:t xml:space="preserve">Fatalities have occurred, although rarely, as a result of severe reactions to sulfonamides (zonisamide is a sulfonamide) including Stevens-Johnson syndrome, toxic epidermal necrolysis, fulminant hepatic necrosis, agranulocytosis, aplastic anemia, and other blood dyscrasias. Such reactions may occur when a sulfonamide is readministered irrespective of the route of administration. If signs of hypersensitivity or other serious reactions occur, discontinue zonisamide immediately. </w:t>
      </w:r>
    </w:p>
    <w:p w:rsidR="00E07583" w:rsidRDefault="007F02C9" w:rsidP="00D53A29">
      <w:pPr>
        <w:pStyle w:val="Heading4"/>
      </w:pPr>
      <w:bookmarkStart w:id="7" w:name="OLE_LINK4"/>
      <w:r w:rsidRPr="00E14359">
        <w:t>Serious skin reactions</w:t>
      </w:r>
    </w:p>
    <w:p w:rsidR="00F8040B" w:rsidRPr="00E14359" w:rsidRDefault="00F8040B" w:rsidP="00636A0F">
      <w:r w:rsidRPr="00E14359">
        <w:t xml:space="preserve">Serious rashes have occurred in association with </w:t>
      </w:r>
      <w:r w:rsidR="00116EF6" w:rsidRPr="00E14359">
        <w:t xml:space="preserve">zonisamide </w:t>
      </w:r>
      <w:r w:rsidRPr="00E14359">
        <w:t>therapy, including isolated cases of Stevens</w:t>
      </w:r>
      <w:r w:rsidRPr="00E14359">
        <w:noBreakHyphen/>
        <w:t xml:space="preserve">Johnson syndrome. </w:t>
      </w:r>
    </w:p>
    <w:p w:rsidR="00F8040B" w:rsidRPr="00E14359" w:rsidRDefault="00F8040B" w:rsidP="00636A0F">
      <w:r w:rsidRPr="00E14359">
        <w:t xml:space="preserve">Consideration must be given to discontinuing </w:t>
      </w:r>
      <w:r w:rsidR="00116EF6" w:rsidRPr="00E14359">
        <w:t xml:space="preserve">zonisamide </w:t>
      </w:r>
      <w:r w:rsidRPr="00E14359">
        <w:t xml:space="preserve">in patients who develop an otherwise unexplained rash.  All patients who develop a rash while taking </w:t>
      </w:r>
      <w:r w:rsidR="00116EF6" w:rsidRPr="00E14359">
        <w:t xml:space="preserve">zonisamide </w:t>
      </w:r>
      <w:r w:rsidRPr="00E14359">
        <w:t>must be closely supervised, with additional levels of caution applied to those patients receiving concomitant antiepileptic agents that may independently induce skin rashes.</w:t>
      </w:r>
    </w:p>
    <w:bookmarkEnd w:id="7"/>
    <w:p w:rsidR="00E07583" w:rsidRDefault="007F02C9" w:rsidP="00D53A29">
      <w:pPr>
        <w:pStyle w:val="Heading4"/>
      </w:pPr>
      <w:r w:rsidRPr="00E14359">
        <w:t>Serious haematological events</w:t>
      </w:r>
    </w:p>
    <w:p w:rsidR="00F8040B" w:rsidRPr="00E14359" w:rsidRDefault="00F8040B" w:rsidP="00636A0F">
      <w:r w:rsidRPr="00E14359">
        <w:t>Isolated cases of agranulocytosis, thrombocytopenia, leukopenia, aplastic anaemia, pancytopenia and leucocytosis have been reported.  There is inadequate information to assess the relationship, if any, between dose and duration of treatment and these events.</w:t>
      </w:r>
    </w:p>
    <w:p w:rsidR="00D53A29" w:rsidRDefault="007F4C3C" w:rsidP="00D53A29">
      <w:pPr>
        <w:pStyle w:val="Heading4"/>
      </w:pPr>
      <w:r w:rsidRPr="00E14359">
        <w:t xml:space="preserve">Metabolic </w:t>
      </w:r>
      <w:r w:rsidR="007139C2" w:rsidRPr="00E14359">
        <w:t>a</w:t>
      </w:r>
      <w:r w:rsidRPr="00E14359">
        <w:t>cidosis</w:t>
      </w:r>
    </w:p>
    <w:p w:rsidR="00363AC7" w:rsidRDefault="00A510BF" w:rsidP="00D53A29">
      <w:proofErr w:type="spellStart"/>
      <w:r w:rsidRPr="00A510BF">
        <w:t>Zonisamide</w:t>
      </w:r>
      <w:proofErr w:type="spellEnd"/>
      <w:r w:rsidRPr="00A510BF">
        <w:t xml:space="preserve"> can cause metabolic acidosis, and by decreased of serum bicarbonate below the normal reference range in the absence of chronic respiratory alkalosis and hyperchloremia and decreased serum bicarbonate.  Metabolic acidosis is often asymptomatic.</w:t>
      </w:r>
      <w:r w:rsidR="00F95C14">
        <w:t xml:space="preserve"> </w:t>
      </w:r>
    </w:p>
    <w:p w:rsidR="00A41C96" w:rsidRPr="00A41C96" w:rsidRDefault="00F95C14" w:rsidP="00D53A29">
      <w:r w:rsidRPr="00F95C14">
        <w:t xml:space="preserve">Signs and symptoms of </w:t>
      </w:r>
      <w:r w:rsidR="00363AC7">
        <w:t xml:space="preserve">acute or chronic </w:t>
      </w:r>
      <w:r w:rsidRPr="00F95C14">
        <w:t>metabolic acidosis may include</w:t>
      </w:r>
      <w:r w:rsidR="00363AC7">
        <w:t xml:space="preserve"> </w:t>
      </w:r>
      <w:r w:rsidRPr="00363AC7">
        <w:t xml:space="preserve">hyperventilation, </w:t>
      </w:r>
      <w:r w:rsidR="00363AC7" w:rsidRPr="00363AC7">
        <w:t xml:space="preserve">nonspecific symptoms such as </w:t>
      </w:r>
      <w:r w:rsidRPr="00363AC7">
        <w:t>fatigue and anorexia</w:t>
      </w:r>
      <w:r w:rsidR="00363AC7" w:rsidRPr="00363AC7">
        <w:t xml:space="preserve"> or more severe sequalae including cardiac arrhymias or </w:t>
      </w:r>
      <w:r w:rsidR="00363AC7" w:rsidRPr="003B12C4">
        <w:t>stupor. The</w:t>
      </w:r>
      <w:r w:rsidR="00E04445" w:rsidRPr="003B12C4">
        <w:t xml:space="preserve"> risk of development of zonisamide-induced metabolic acidosis appears to be great</w:t>
      </w:r>
      <w:r w:rsidR="00E04445" w:rsidRPr="00DB07B6">
        <w:t>er at higher doses of zonisamide, but can occur with doses as low as 25 mg daily.</w:t>
      </w:r>
    </w:p>
    <w:p w:rsidR="00EB21DD" w:rsidRDefault="007F4C3C" w:rsidP="007F4C3C">
      <w:r w:rsidRPr="00E14359">
        <w:t xml:space="preserve">This metabolic acidosis is caused by renal bicarbonate loss due to the inhibitory effect of zonisamide on carbonic anhydrase. Such electrolyte imbalance has been observed with the use of Zonegran in placebo-controlled clinical trials and in the post-marketing period. </w:t>
      </w:r>
      <w:r w:rsidRPr="00E14359">
        <w:lastRenderedPageBreak/>
        <w:t xml:space="preserve">Generally, zonisamide-induced metabolic acidosis occurs early in treatment although cases can occur at any time during treatment. </w:t>
      </w:r>
    </w:p>
    <w:p w:rsidR="00A510BF" w:rsidRDefault="005C7CC8" w:rsidP="00DE6BBA">
      <w:pPr>
        <w:spacing w:before="100" w:beforeAutospacing="1" w:after="100" w:afterAutospacing="1"/>
      </w:pPr>
      <w:r w:rsidRPr="005C7CC8">
        <w:t xml:space="preserve">The risk of zonisamide induced metabolic acidosis appears to be more frequent and severe in younger patients. </w:t>
      </w:r>
    </w:p>
    <w:p w:rsidR="00DE6BBA" w:rsidRDefault="00F95C14" w:rsidP="00A510BF">
      <w:pPr>
        <w:spacing w:before="100" w:beforeAutospacing="1" w:after="100" w:afterAutospacing="1"/>
      </w:pPr>
      <w:r>
        <w:rPr>
          <w:rFonts w:eastAsia="Times New Roman"/>
        </w:rPr>
        <w:t xml:space="preserve">Data from one </w:t>
      </w:r>
      <w:r w:rsidR="00A510BF">
        <w:rPr>
          <w:rFonts w:eastAsia="Times New Roman"/>
        </w:rPr>
        <w:t>paediatric</w:t>
      </w:r>
      <w:r>
        <w:rPr>
          <w:rFonts w:eastAsia="Times New Roman"/>
        </w:rPr>
        <w:t xml:space="preserve"> clinical trial shows a higher incidence of metabolic acidosis compared to data from trials of zonisamide in adults.</w:t>
      </w:r>
      <w:r w:rsidR="00DE6BBA">
        <w:rPr>
          <w:rFonts w:eastAsia="Times New Roman"/>
        </w:rPr>
        <w:t xml:space="preserve"> Chronic metabolic acidosis in p</w:t>
      </w:r>
      <w:r w:rsidR="006F1203">
        <w:rPr>
          <w:rFonts w:eastAsia="Times New Roman"/>
        </w:rPr>
        <w:t>a</w:t>
      </w:r>
      <w:r w:rsidR="00DE6BBA">
        <w:rPr>
          <w:rFonts w:eastAsia="Times New Roman"/>
        </w:rPr>
        <w:t xml:space="preserve">ediatric patients can reduce growth rates, resulting in a reduction in the maximal height achieved.  The specific effects of zonisamide on growth and bone have not been investigated. </w:t>
      </w:r>
      <w:r w:rsidR="00EB21DD" w:rsidRPr="00EB21DD">
        <w:t>Appropriate evaluation and monitoring of serum bicarbonate levels should be carried out in patients taking zonisamide who have underlying conditions which might increase the risk of acidosis, in patients who are at an increased risk of adverse consequences of metabolic acidosis and in patients with symptoms suggestive of metabolic acidosis.</w:t>
      </w:r>
    </w:p>
    <w:p w:rsidR="00371507" w:rsidRDefault="006F1203" w:rsidP="00696967">
      <w:r>
        <w:rPr>
          <w:rFonts w:eastAsia="Times New Roman"/>
        </w:rPr>
        <w:t xml:space="preserve">Serum bicarbonate should be measured </w:t>
      </w:r>
      <w:r w:rsidR="003B12C4">
        <w:rPr>
          <w:rFonts w:eastAsia="Times New Roman"/>
        </w:rPr>
        <w:t>pre-treatment (baseline)</w:t>
      </w:r>
      <w:r w:rsidR="00025207">
        <w:rPr>
          <w:rFonts w:eastAsia="Times New Roman"/>
        </w:rPr>
        <w:t>,</w:t>
      </w:r>
      <w:r>
        <w:rPr>
          <w:rFonts w:eastAsia="Times New Roman"/>
        </w:rPr>
        <w:t xml:space="preserve"> on commencement of maintenance d</w:t>
      </w:r>
      <w:r w:rsidR="00025207">
        <w:rPr>
          <w:rFonts w:eastAsia="Times New Roman"/>
        </w:rPr>
        <w:t>osing, when dosage is increased</w:t>
      </w:r>
      <w:r>
        <w:rPr>
          <w:rFonts w:eastAsia="Times New Roman"/>
        </w:rPr>
        <w:t xml:space="preserve"> and when strong CYP3A4 inhibitors are newly co-prescribed with zonisamide and at a </w:t>
      </w:r>
      <w:r w:rsidR="00DA633F">
        <w:rPr>
          <w:rFonts w:eastAsia="Times New Roman"/>
        </w:rPr>
        <w:t>minimum</w:t>
      </w:r>
      <w:r>
        <w:rPr>
          <w:rFonts w:eastAsia="Times New Roman"/>
        </w:rPr>
        <w:t xml:space="preserve"> 6 monthly</w:t>
      </w:r>
      <w:r w:rsidR="003B12C4">
        <w:rPr>
          <w:rFonts w:eastAsia="Times New Roman"/>
        </w:rPr>
        <w:t xml:space="preserve"> </w:t>
      </w:r>
      <w:r>
        <w:rPr>
          <w:rFonts w:eastAsia="Times New Roman"/>
        </w:rPr>
        <w:t>from the adoption of a maintenance regimen.</w:t>
      </w:r>
      <w:r w:rsidR="00025207">
        <w:rPr>
          <w:rFonts w:eastAsia="Times New Roman"/>
        </w:rPr>
        <w:t xml:space="preserve"> Although acidosis has been demonstrated to be dose dependent it can present at any time</w:t>
      </w:r>
      <w:r w:rsidR="003B12C4">
        <w:rPr>
          <w:rFonts w:eastAsia="Times New Roman"/>
        </w:rPr>
        <w:t xml:space="preserve">. In addition, if signs or symptoms of metabolic acidosis are observed, serum bicarbonate should be measured. </w:t>
      </w:r>
      <w:r w:rsidR="00EB21DD" w:rsidRPr="00EB21DD">
        <w:t>If metabolic acidosis develops and persists, consideration should be given to reducing the dose or discontinuing Zonegran (by gradual discontinuation or reduction of a therapeutic dose) as osteopenia may develop. If the decision is made to continue patients on Zonegran in the face of persistent acidosis, alkali treatment should be considered.</w:t>
      </w:r>
    </w:p>
    <w:p w:rsidR="00A510BF" w:rsidRDefault="00EB21DD" w:rsidP="00696967">
      <w:pPr>
        <w:rPr>
          <w:sz w:val="20"/>
          <w:szCs w:val="20"/>
        </w:rPr>
      </w:pPr>
      <w:proofErr w:type="spellStart"/>
      <w:r w:rsidRPr="00EB21DD">
        <w:t>Zonegran</w:t>
      </w:r>
      <w:proofErr w:type="spellEnd"/>
      <w:r w:rsidRPr="00EB21DD">
        <w:t xml:space="preserve"> should be used with caution in patients being treated concomitantly with carbonic anhydrase inhibitors such as topiramate, as there are insufficient data to rule out a pharmacodynamic interaction</w:t>
      </w:r>
      <w:r>
        <w:t>.</w:t>
      </w:r>
      <w:r>
        <w:rPr>
          <w:sz w:val="20"/>
          <w:szCs w:val="20"/>
        </w:rPr>
        <w:t xml:space="preserve"> </w:t>
      </w:r>
    </w:p>
    <w:p w:rsidR="00F95C14" w:rsidRDefault="007F4C3C" w:rsidP="00696967">
      <w:r w:rsidRPr="00E14359">
        <w:t xml:space="preserve">Bicarbonate decrements are usually mild – moderate (average decrease of approximately 3.5 mEq/ L at daily doses of 300 mg in adults); rarely patients can experience more severe decrements. Conditions or therapies that predispose to acidosis (such as renal disease, severe respiratory disorders, status epilepticus, diarrhea, surgery, ketogenic diet, or </w:t>
      </w:r>
      <w:r w:rsidR="00E04445">
        <w:t xml:space="preserve">other </w:t>
      </w:r>
      <w:r w:rsidRPr="00E14359">
        <w:t>drugs</w:t>
      </w:r>
      <w:r w:rsidR="00E04445">
        <w:t xml:space="preserve"> e.g acetazolamine</w:t>
      </w:r>
      <w:r w:rsidRPr="00E14359">
        <w:t>) may be additive to the bicarbonate lowering effects of zonisamide</w:t>
      </w:r>
      <w:r w:rsidRPr="005D292B">
        <w:t>.</w:t>
      </w:r>
      <w:r w:rsidR="00EC36E4" w:rsidRPr="00573318">
        <w:t xml:space="preserve"> </w:t>
      </w:r>
      <w:r w:rsidR="003D25EE" w:rsidRPr="00573318">
        <w:rPr>
          <w:noProof/>
          <w:lang w:eastAsia="en-GB"/>
        </w:rPr>
        <w:t>Therefore, combination of zonisamide with a ketogenic diet in the management of epilepsy is not advisable as it may increase the risk of metabolic acidosis.</w:t>
      </w:r>
    </w:p>
    <w:p w:rsidR="00363AC7" w:rsidRDefault="00F95C14" w:rsidP="00F95C14">
      <w:pPr>
        <w:rPr>
          <w:rFonts w:eastAsia="Times New Roman"/>
        </w:rPr>
      </w:pPr>
      <w:r>
        <w:rPr>
          <w:rFonts w:eastAsia="Times New Roman"/>
        </w:rPr>
        <w:t xml:space="preserve">Chronic, untreated metabolic acidosis may </w:t>
      </w:r>
      <w:r w:rsidR="00363AC7">
        <w:rPr>
          <w:rFonts w:eastAsia="Times New Roman"/>
        </w:rPr>
        <w:t xml:space="preserve">result in osteomalacia </w:t>
      </w:r>
      <w:r w:rsidR="00EA45AC">
        <w:rPr>
          <w:rFonts w:eastAsia="Times New Roman"/>
        </w:rPr>
        <w:t>(referred</w:t>
      </w:r>
      <w:r w:rsidR="00363AC7">
        <w:rPr>
          <w:rFonts w:eastAsia="Times New Roman"/>
        </w:rPr>
        <w:t xml:space="preserve"> to as rickets in paediatric patients) and/or osteoporosis with an increased risk for fractures. Of potential relevance, zonisamide treatment was associated with reductions in serum phosphorus and increases in serum alkaline phosphatase, changes that may be related to metabolic acidosis and osteomalacia (see Precautions, Laboratory Tests subsection). </w:t>
      </w:r>
    </w:p>
    <w:p w:rsidR="00DE6BBA" w:rsidRDefault="00DE6BBA" w:rsidP="00D53A29">
      <w:r>
        <w:t>Although the effects of metabolic acidosis from zonisamide on the fetus are not clearly known, metabolic acidosis in pregnancy (due to other causes) may affect fetal development (i.e., decreased fetal growth, decreased fetal oxygenation and fetal death) and the ability of the fetus to tolerate labo</w:t>
      </w:r>
      <w:r w:rsidR="00E052D2">
        <w:t>u</w:t>
      </w:r>
      <w:r>
        <w:t xml:space="preserve">r.  In addition, significant amounts of zonisamide can appear in </w:t>
      </w:r>
      <w:r>
        <w:lastRenderedPageBreak/>
        <w:t xml:space="preserve">the breast milk of nursing women taking zonisamide, and the effects of this exposure on the infant from metabolic acidosis, or any other cause, are unknown.  </w:t>
      </w:r>
    </w:p>
    <w:p w:rsidR="00CE0A37" w:rsidRDefault="00CE0A37" w:rsidP="002D25E1">
      <w:pPr>
        <w:spacing w:after="0"/>
        <w:rPr>
          <w:rFonts w:eastAsia="Times New Roman"/>
        </w:rPr>
      </w:pPr>
      <w:r w:rsidRPr="008C2808">
        <w:t xml:space="preserve">In a zonisamide monotherapy study (see section </w:t>
      </w:r>
      <w:r w:rsidR="00006A40">
        <w:fldChar w:fldCharType="begin"/>
      </w:r>
      <w:r>
        <w:instrText xml:space="preserve"> REF _Ref302395876 \h </w:instrText>
      </w:r>
      <w:r w:rsidR="00006A40">
        <w:fldChar w:fldCharType="separate"/>
      </w:r>
      <w:r w:rsidR="00F66D7C" w:rsidRPr="00E14359">
        <w:t>Adverse effects</w:t>
      </w:r>
      <w:r w:rsidR="00006A40">
        <w:fldChar w:fldCharType="end"/>
      </w:r>
      <w:r w:rsidRPr="008C2808">
        <w:t>), the incidence of markedly abnormally low serum bicarbonate (a decrease to less than 17 mEq/l and by more than 5 mEq/l) was 3.8%.</w:t>
      </w:r>
      <w:r>
        <w:t xml:space="preserve"> Reductions from baseline in serum bicarbonate of &gt;3.5mmol/L occurred in 121/237 (51.1%) patients given zonisamide.</w:t>
      </w:r>
    </w:p>
    <w:p w:rsidR="00E07583" w:rsidRDefault="00263443" w:rsidP="002D25E1">
      <w:pPr>
        <w:pStyle w:val="Heading4"/>
        <w:spacing w:before="80"/>
      </w:pPr>
      <w:r w:rsidRPr="00E14359">
        <w:t>Kidney stones</w:t>
      </w:r>
    </w:p>
    <w:p w:rsidR="00F8040B" w:rsidRPr="00E14359" w:rsidRDefault="00F8040B" w:rsidP="00E07583">
      <w:r w:rsidRPr="00E14359">
        <w:t>Kidney stones have occurred in patients treated with</w:t>
      </w:r>
      <w:r w:rsidR="00116EF6" w:rsidRPr="00E14359">
        <w:t xml:space="preserve"> zonisamide</w:t>
      </w:r>
      <w:r w:rsidRPr="00E14359">
        <w:t xml:space="preserve">.  </w:t>
      </w:r>
      <w:r w:rsidR="005860FF" w:rsidRPr="00E14359">
        <w:t xml:space="preserve">In some cases, calculi were accompanied </w:t>
      </w:r>
      <w:r w:rsidR="0072371C" w:rsidRPr="00E14359">
        <w:t xml:space="preserve">by urine abnormalities, hydronephrosis, haematuria, bladder stenosis or urinary tract infection.  </w:t>
      </w:r>
      <w:r w:rsidR="00116EF6" w:rsidRPr="00E14359">
        <w:t xml:space="preserve">Zonisamide </w:t>
      </w:r>
      <w:r w:rsidRPr="00E14359">
        <w:t>should be used with</w:t>
      </w:r>
      <w:r w:rsidR="002D356F" w:rsidRPr="00E14359">
        <w:t xml:space="preserve"> </w:t>
      </w:r>
      <w:r w:rsidRPr="00E14359">
        <w:t xml:space="preserve">caution in patients who have risk factors for nephrolithiasis, including prior stone formation, a family history of nephrolithiasis and hypercalcuria.  Such patients may be at increased risk </w:t>
      </w:r>
      <w:r w:rsidR="00AB6D15" w:rsidRPr="00E14359">
        <w:t>of</w:t>
      </w:r>
      <w:r w:rsidRPr="00E14359">
        <w:t xml:space="preserve"> stone formation and associated signs and symptoms such as renal colic, renal pain or flank pain.  In addition, patients taking other medications associated with nephrolithiasis may be at increased risk.  Increasing fluid intake and urine output may help reduce the risk of stone formation, particularly in those with predisposing risk factors.  </w:t>
      </w:r>
    </w:p>
    <w:p w:rsidR="009D21AB" w:rsidRPr="00E340E7" w:rsidRDefault="009D21AB" w:rsidP="002D25E1">
      <w:pPr>
        <w:spacing w:after="0"/>
        <w:rPr>
          <w:i/>
          <w:iCs/>
          <w:lang w:val="en-US"/>
        </w:rPr>
      </w:pPr>
      <w:r>
        <w:t xml:space="preserve">Among 991 patients treated during the development of Zonegran, 40 patients (4.0%) with epilepsy receiving Zonegran developed clinically possible or confirmed kidney stones (e.g. clinical symptomology, sonography, etc), a rate of 34 per 1000 patient years of exposure (40 patients with 1168 years of exposure). Of these, 12 were symptomatic, and 28 were described as possible kidney stones based on sonographic detections. In nine patients, the </w:t>
      </w:r>
      <w:r w:rsidRPr="009D21AB">
        <w:t xml:space="preserve">diagnosis was confirmed by a passage of a stone or by a definitive sonograph finding. The </w:t>
      </w:r>
      <w:r w:rsidRPr="009D21AB">
        <w:rPr>
          <w:iCs/>
          <w:lang w:val="en-US"/>
        </w:rPr>
        <w:t>rate of occurrence of kidney stones was 28.7 per 1000 patient-years of exposure in the first</w:t>
      </w:r>
      <w:r w:rsidRPr="009D21AB">
        <w:rPr>
          <w:i/>
          <w:iCs/>
          <w:lang w:val="en-US"/>
        </w:rPr>
        <w:t xml:space="preserve"> </w:t>
      </w:r>
      <w:r w:rsidRPr="009D21AB">
        <w:t xml:space="preserve">six months, 62.6 per 1000 patients-years of exposure between 6 and 12 months, and 24.3 per 1000 patients-years of exposure after 12 months of use. </w:t>
      </w:r>
      <w:r w:rsidRPr="009D21AB">
        <w:rPr>
          <w:iCs/>
          <w:lang w:val="en-US"/>
        </w:rPr>
        <w:t>There are no normative sonographic data available for either the general population or patients with epilepsy. Although the clinical significance of the sonographic findings may not be certain, the development of nephrolithiasis may be related to metabolic acidosis. The analyzed stones were composed of calcium or urate salts.</w:t>
      </w:r>
    </w:p>
    <w:p w:rsidR="00E07583" w:rsidRDefault="00C64D7F" w:rsidP="002D25E1">
      <w:pPr>
        <w:pStyle w:val="Heading4"/>
        <w:spacing w:before="80"/>
      </w:pPr>
      <w:r w:rsidRPr="00E14359">
        <w:t>Abnormal liver function tests</w:t>
      </w:r>
    </w:p>
    <w:p w:rsidR="00C64D7F" w:rsidRPr="00E14359" w:rsidRDefault="00C64D7F" w:rsidP="002D25E1">
      <w:pPr>
        <w:spacing w:after="0"/>
      </w:pPr>
      <w:r w:rsidRPr="00E14359">
        <w:t>Findings not observed in clinical studies, but seen in the dog at exposure levels similar to clinical use, were liver changes (enlargemen</w:t>
      </w:r>
      <w:r w:rsidR="00B97210" w:rsidRPr="00E14359">
        <w:t>t</w:t>
      </w:r>
      <w:r w:rsidRPr="00E14359">
        <w:t>, dark-brown discoloration, mild hepa</w:t>
      </w:r>
      <w:r w:rsidR="00B97210" w:rsidRPr="00E14359">
        <w:t>t</w:t>
      </w:r>
      <w:r w:rsidRPr="00E14359">
        <w:t>ocyte enlargement with concentric lamellar bodies in the cytoplasm and cytoplasmic vacuo</w:t>
      </w:r>
      <w:r w:rsidR="00B97210" w:rsidRPr="00E14359">
        <w:t>lation) associated with increased metabolism.</w:t>
      </w:r>
    </w:p>
    <w:p w:rsidR="00E07583" w:rsidRDefault="00263443" w:rsidP="002D25E1">
      <w:pPr>
        <w:pStyle w:val="Heading4"/>
        <w:spacing w:before="80"/>
      </w:pPr>
      <w:r w:rsidRPr="00E14359">
        <w:t xml:space="preserve">Carbonic </w:t>
      </w:r>
      <w:proofErr w:type="spellStart"/>
      <w:r w:rsidRPr="00E14359">
        <w:t>anhydrase</w:t>
      </w:r>
      <w:proofErr w:type="spellEnd"/>
      <w:r w:rsidRPr="00E14359">
        <w:t xml:space="preserve"> inhibitors</w:t>
      </w:r>
    </w:p>
    <w:p w:rsidR="00F8040B" w:rsidRPr="00E14359" w:rsidRDefault="00116EF6" w:rsidP="00636A0F">
      <w:r w:rsidRPr="00E14359">
        <w:t xml:space="preserve">Zonisamide </w:t>
      </w:r>
      <w:r w:rsidR="00F8040B" w:rsidRPr="00E14359">
        <w:t>should be used with caution in patients being treated concomitantly with carbonic anhydrase inhibitors such as topiramate, as there are insufficient data to rule out a pharmacodynamic interaction</w:t>
      </w:r>
      <w:r w:rsidR="002D356F" w:rsidRPr="00E14359">
        <w:t xml:space="preserve">. </w:t>
      </w:r>
    </w:p>
    <w:p w:rsidR="00E07583" w:rsidRDefault="00612737" w:rsidP="00D53A29">
      <w:pPr>
        <w:pStyle w:val="Heading4"/>
      </w:pPr>
      <w:proofErr w:type="spellStart"/>
      <w:r w:rsidRPr="00E14359">
        <w:t>Oligoh</w:t>
      </w:r>
      <w:r w:rsidR="00BE33A4">
        <w:t>i</w:t>
      </w:r>
      <w:r w:rsidRPr="00E14359">
        <w:t>drosis</w:t>
      </w:r>
      <w:proofErr w:type="spellEnd"/>
      <w:r w:rsidRPr="00E14359">
        <w:t xml:space="preserve"> and </w:t>
      </w:r>
      <w:r w:rsidR="00904BDF" w:rsidRPr="00E14359">
        <w:t>hyper</w:t>
      </w:r>
      <w:r w:rsidRPr="00E14359">
        <w:t>thermia</w:t>
      </w:r>
    </w:p>
    <w:p w:rsidR="00F8040B" w:rsidRPr="00E14359" w:rsidRDefault="00F8040B" w:rsidP="00636A0F">
      <w:r w:rsidRPr="00E14359">
        <w:t xml:space="preserve">Cases of decreased sweating and elevated body temperature have been reported mainly in paediatric patients.  Heat stroke requiring hospital treatment was diagnosed in some cases.  Most reports occurred during periods of warm weather.  Patients or their carers must be warned to take care to maintain hydration and avoid exposure to excessive temperatures.  </w:t>
      </w:r>
      <w:r w:rsidRPr="00E14359">
        <w:lastRenderedPageBreak/>
        <w:t xml:space="preserve">Caution should be used when </w:t>
      </w:r>
      <w:r w:rsidR="00116EF6" w:rsidRPr="00E14359">
        <w:t xml:space="preserve">zonisamide </w:t>
      </w:r>
      <w:r w:rsidRPr="00E14359">
        <w:t>is prescribed with other medicinal products that predispose patients to heat related disorders; these include carbonic anhydrase inhibitors and medicinal products with anticholinergic activity.</w:t>
      </w:r>
    </w:p>
    <w:p w:rsidR="00E07583" w:rsidRDefault="00510C67" w:rsidP="00D53A29">
      <w:pPr>
        <w:pStyle w:val="Heading4"/>
      </w:pPr>
      <w:r w:rsidRPr="00E14359">
        <w:t>Pancreatitis</w:t>
      </w:r>
    </w:p>
    <w:p w:rsidR="00F8040B" w:rsidRPr="00E14359" w:rsidRDefault="00F8040B" w:rsidP="00636A0F">
      <w:r w:rsidRPr="00E14359">
        <w:t xml:space="preserve">In patients taking </w:t>
      </w:r>
      <w:r w:rsidR="00116EF6" w:rsidRPr="00E14359">
        <w:t xml:space="preserve">zonisamide </w:t>
      </w:r>
      <w:r w:rsidRPr="00E14359">
        <w:t>who develop the clinical signs and symptoms of pancreatitis, it is</w:t>
      </w:r>
      <w:r w:rsidR="002D356F" w:rsidRPr="00E14359">
        <w:t xml:space="preserve"> </w:t>
      </w:r>
      <w:r w:rsidRPr="00E14359">
        <w:t xml:space="preserve">recommended that pancreatic lipase and amylase levels are monitored.  If pancreatitis is evident, in the absence of another obvious cause, it is recommended that discontinuation of </w:t>
      </w:r>
      <w:r w:rsidR="00116EF6" w:rsidRPr="00E14359">
        <w:t xml:space="preserve">zonisamide </w:t>
      </w:r>
      <w:r w:rsidRPr="00E14359">
        <w:t>be considered and appropriate treatment initiated.</w:t>
      </w:r>
    </w:p>
    <w:p w:rsidR="00E07583" w:rsidRDefault="00510C67" w:rsidP="00D53A29">
      <w:pPr>
        <w:pStyle w:val="Heading4"/>
      </w:pPr>
      <w:r w:rsidRPr="00E14359">
        <w:t>Muscle weakness</w:t>
      </w:r>
    </w:p>
    <w:p w:rsidR="00F8040B" w:rsidRPr="00E14359" w:rsidRDefault="00F8040B" w:rsidP="00636A0F">
      <w:r w:rsidRPr="00E14359">
        <w:t>In patients taking</w:t>
      </w:r>
      <w:r w:rsidR="00116EF6" w:rsidRPr="00E14359">
        <w:t xml:space="preserve"> zonisamide</w:t>
      </w:r>
      <w:r w:rsidRPr="00E14359">
        <w:t xml:space="preserve">, in whom severe muscle pain and/or weakness develop either in the presence or absence of a fever, it is recommended that markers of muscle damage be assessed, including serum creatine phosphokinase and aldolase levels.  If elevated, in the absence of another obvious cause such as trauma or grand mal seizures, it is recommended that </w:t>
      </w:r>
      <w:r w:rsidR="00C63F4C" w:rsidRPr="00E14359">
        <w:t xml:space="preserve">zonisamide </w:t>
      </w:r>
      <w:r w:rsidRPr="00E14359">
        <w:t>discontinuation be considered and appropriate treatment initiated.</w:t>
      </w:r>
    </w:p>
    <w:p w:rsidR="00E07583" w:rsidRDefault="004406EE" w:rsidP="00D53A29">
      <w:pPr>
        <w:pStyle w:val="Heading4"/>
      </w:pPr>
      <w:r w:rsidRPr="00E14359">
        <w:t>Contraception</w:t>
      </w:r>
    </w:p>
    <w:p w:rsidR="00471CC2" w:rsidRPr="00E14359" w:rsidRDefault="00471CC2" w:rsidP="00471CC2">
      <w:r w:rsidRPr="00E14359">
        <w:t xml:space="preserve">Women of child-bearing potential must use adequate contraception during treatment with </w:t>
      </w:r>
      <w:r w:rsidR="00C63F4C" w:rsidRPr="00E14359">
        <w:t xml:space="preserve">zonisamide </w:t>
      </w:r>
      <w:r w:rsidRPr="00E14359">
        <w:t xml:space="preserve">and for one month after discontinuation.  Physicians treating patients with </w:t>
      </w:r>
      <w:r w:rsidR="00C63F4C" w:rsidRPr="00E14359">
        <w:t xml:space="preserve">zonisamide </w:t>
      </w:r>
      <w:r w:rsidRPr="00E14359">
        <w:t>should try to ensure that appropriate contraception is used, and should use clinical judgement when assessing whether oral contraceptives (OCs), or the doses of the OC components, are adequate based on the individual patient’s clinical situation.</w:t>
      </w:r>
    </w:p>
    <w:p w:rsidR="00E07583" w:rsidRDefault="004406EE" w:rsidP="00D53A29">
      <w:pPr>
        <w:pStyle w:val="Heading4"/>
      </w:pPr>
      <w:r w:rsidRPr="00E14359">
        <w:t>Allergic reactions</w:t>
      </w:r>
    </w:p>
    <w:p w:rsidR="00F8040B" w:rsidRPr="00E14359" w:rsidRDefault="00F8040B" w:rsidP="00636A0F">
      <w:r w:rsidRPr="00E14359">
        <w:t>Zonegran 100 mg hard capsules contain a yellow colour called sunset yellow FCF (E110), which may cause allergic reactions.</w:t>
      </w:r>
      <w:r w:rsidR="007D33F1" w:rsidRPr="00E14359">
        <w:t xml:space="preserve">  </w:t>
      </w:r>
    </w:p>
    <w:p w:rsidR="00E07583" w:rsidRDefault="00E41395" w:rsidP="00D53A29">
      <w:pPr>
        <w:pStyle w:val="Heading4"/>
        <w:rPr>
          <w:szCs w:val="23"/>
        </w:rPr>
      </w:pPr>
      <w:r w:rsidRPr="00E14359">
        <w:t>Low body weight</w:t>
      </w:r>
    </w:p>
    <w:p w:rsidR="00F8040B" w:rsidRPr="00E14359" w:rsidRDefault="00F8040B" w:rsidP="00636A0F">
      <w:pPr>
        <w:rPr>
          <w:szCs w:val="23"/>
        </w:rPr>
      </w:pPr>
      <w:r w:rsidRPr="00E14359">
        <w:rPr>
          <w:szCs w:val="23"/>
        </w:rPr>
        <w:t>There is limited data from clinical studies in patients with a body weight of less than 40</w:t>
      </w:r>
      <w:r w:rsidRPr="00E14359">
        <w:t> </w:t>
      </w:r>
      <w:r w:rsidRPr="00E14359">
        <w:rPr>
          <w:szCs w:val="23"/>
        </w:rPr>
        <w:t xml:space="preserve">kg. </w:t>
      </w:r>
      <w:r w:rsidR="00C63F4C" w:rsidRPr="00E14359">
        <w:rPr>
          <w:szCs w:val="23"/>
        </w:rPr>
        <w:t xml:space="preserve"> </w:t>
      </w:r>
      <w:r w:rsidRPr="00E14359">
        <w:rPr>
          <w:szCs w:val="23"/>
        </w:rPr>
        <w:t>Therefore these patients should be treated with caution.</w:t>
      </w:r>
    </w:p>
    <w:p w:rsidR="00E07583" w:rsidRDefault="00E41395" w:rsidP="00D53A29">
      <w:pPr>
        <w:pStyle w:val="Heading4"/>
      </w:pPr>
      <w:r w:rsidRPr="00E14359">
        <w:t>Weight loss</w:t>
      </w:r>
    </w:p>
    <w:p w:rsidR="00F8040B" w:rsidRPr="00E14359" w:rsidRDefault="00C63F4C" w:rsidP="00752ECB">
      <w:r w:rsidRPr="00E14359">
        <w:t xml:space="preserve">Zonisamide </w:t>
      </w:r>
      <w:r w:rsidR="00F8040B" w:rsidRPr="00E14359">
        <w:t xml:space="preserve">may cause weight loss. A dietary supplement or increased food intake may be considered if the patient is losing weight or is underweight whilst on this medication. </w:t>
      </w:r>
      <w:r w:rsidRPr="00E14359">
        <w:t xml:space="preserve"> </w:t>
      </w:r>
      <w:r w:rsidR="00F8040B" w:rsidRPr="00E14359">
        <w:t xml:space="preserve">If substantial undesirable weight loss occurs, discontinuation of </w:t>
      </w:r>
      <w:r w:rsidRPr="00E14359">
        <w:t xml:space="preserve">zonisamide </w:t>
      </w:r>
      <w:r w:rsidR="00F8040B" w:rsidRPr="00E14359">
        <w:t>should be considered.</w:t>
      </w:r>
    </w:p>
    <w:p w:rsidR="00E07583" w:rsidRDefault="00E41395" w:rsidP="00D53A29">
      <w:pPr>
        <w:pStyle w:val="Heading4"/>
      </w:pPr>
      <w:r w:rsidRPr="00E14359">
        <w:t>Discontinuation</w:t>
      </w:r>
    </w:p>
    <w:p w:rsidR="00752ECB" w:rsidRPr="00E14359" w:rsidRDefault="00752ECB" w:rsidP="00752ECB">
      <w:r w:rsidRPr="00E14359">
        <w:t xml:space="preserve">No sudden discontinuation of </w:t>
      </w:r>
      <w:r w:rsidR="00930CDC" w:rsidRPr="00E14359">
        <w:t>antiepileptic</w:t>
      </w:r>
      <w:r w:rsidRPr="00E14359">
        <w:t xml:space="preserve"> therapy should be undertaken as this may lead to breakthrough seizures, which could have serious consequences for both mother and child.</w:t>
      </w:r>
    </w:p>
    <w:p w:rsidR="00E07583" w:rsidRDefault="00E41395" w:rsidP="00D53A29">
      <w:pPr>
        <w:pStyle w:val="Heading4"/>
      </w:pPr>
      <w:r w:rsidRPr="00E14359">
        <w:t>Cognitive adverse events</w:t>
      </w:r>
    </w:p>
    <w:p w:rsidR="00752ECB" w:rsidRPr="00E14359" w:rsidRDefault="00752ECB" w:rsidP="00752ECB">
      <w:r w:rsidRPr="00E14359">
        <w:t>Some patients may experience drowsiness or difficulty with concentration, particularly early in treatment or after a dose increase.  Patients must be advised to exercise caution during activities requiring a high degree of alertness, e.g., driving or operating machinery.</w:t>
      </w:r>
    </w:p>
    <w:p w:rsidR="0081002E" w:rsidRPr="00E14359" w:rsidRDefault="0081002E" w:rsidP="003911B0">
      <w:pPr>
        <w:pStyle w:val="Heading3"/>
      </w:pPr>
      <w:r w:rsidRPr="00E14359">
        <w:lastRenderedPageBreak/>
        <w:t xml:space="preserve">Effects on </w:t>
      </w:r>
      <w:r w:rsidR="00C021FC">
        <w:t>f</w:t>
      </w:r>
      <w:r w:rsidRPr="00E14359">
        <w:t>ertility</w:t>
      </w:r>
    </w:p>
    <w:p w:rsidR="0081002E" w:rsidRPr="00E14359" w:rsidRDefault="00AB6D15" w:rsidP="00636A0F">
      <w:r w:rsidRPr="00E14359">
        <w:t>The effect</w:t>
      </w:r>
      <w:r w:rsidR="00E027C0" w:rsidRPr="00E14359">
        <w:t xml:space="preserve"> on human fertility is unknown.  Rats treated orally with zonisamide before mating and during early gestation had reduced numbers of corpora lutea,</w:t>
      </w:r>
      <w:r w:rsidR="00DC771D" w:rsidRPr="00E14359">
        <w:t xml:space="preserve"> implantations and live fetuses</w:t>
      </w:r>
      <w:r w:rsidR="00E027C0" w:rsidRPr="00E14359">
        <w:t xml:space="preserve"> at a dose similar to the human therapeutic dose, on a mg/m</w:t>
      </w:r>
      <w:r w:rsidR="00E027C0" w:rsidRPr="00E14359">
        <w:rPr>
          <w:vertAlign w:val="superscript"/>
        </w:rPr>
        <w:t>2</w:t>
      </w:r>
      <w:r w:rsidR="00E027C0" w:rsidRPr="00E14359">
        <w:t xml:space="preserve"> basis.</w:t>
      </w:r>
    </w:p>
    <w:p w:rsidR="00AB4FDF" w:rsidRPr="00E14359" w:rsidRDefault="00AB4FDF" w:rsidP="003911B0">
      <w:pPr>
        <w:pStyle w:val="Heading3"/>
      </w:pPr>
      <w:r w:rsidRPr="00E14359">
        <w:t xml:space="preserve">Use in </w:t>
      </w:r>
      <w:r w:rsidR="00C021FC">
        <w:t>p</w:t>
      </w:r>
      <w:r w:rsidRPr="00E14359">
        <w:t xml:space="preserve">regnancy </w:t>
      </w:r>
      <w:r w:rsidR="00D91868" w:rsidRPr="00E14359">
        <w:t>(Category D)</w:t>
      </w:r>
    </w:p>
    <w:p w:rsidR="0012652D" w:rsidRPr="00E14359" w:rsidRDefault="00D91868" w:rsidP="00636A0F">
      <w:r w:rsidRPr="00E14359">
        <w:t xml:space="preserve">Zonisamide </w:t>
      </w:r>
      <w:r w:rsidR="009F4F94" w:rsidRPr="00E14359">
        <w:t>is teratogenic in mice, rats and dogs and embryolethal in monkeys when administered orally during the period of organogenesis.  Administration to dogs was associated with increased incidences of fetal car</w:t>
      </w:r>
      <w:r w:rsidR="00F8493D" w:rsidRPr="00E14359">
        <w:t>diovasc</w:t>
      </w:r>
      <w:r w:rsidR="009F4F94" w:rsidRPr="00E14359">
        <w:t>ular malformations (ventricular septal defects</w:t>
      </w:r>
      <w:r w:rsidR="00C6555F" w:rsidRPr="00E14359">
        <w:t xml:space="preserve">, </w:t>
      </w:r>
      <w:r w:rsidR="00DC771D" w:rsidRPr="00E14359">
        <w:t>cardiomegaly</w:t>
      </w:r>
      <w:r w:rsidR="00C6555F" w:rsidRPr="00E14359">
        <w:t xml:space="preserve">, valvular and arterial </w:t>
      </w:r>
      <w:r w:rsidR="00F8493D" w:rsidRPr="00E14359">
        <w:t>anomalies</w:t>
      </w:r>
      <w:r w:rsidR="00C6555F" w:rsidRPr="00E14359">
        <w:t xml:space="preserve">) at peak maternal plasma </w:t>
      </w:r>
      <w:r w:rsidR="00DC771D" w:rsidRPr="00E14359">
        <w:t>concentrations similar</w:t>
      </w:r>
      <w:r w:rsidR="00C6555F" w:rsidRPr="00E14359">
        <w:t xml:space="preserve"> to those at </w:t>
      </w:r>
      <w:r w:rsidR="00362E29" w:rsidRPr="00E14359">
        <w:t xml:space="preserve">the </w:t>
      </w:r>
      <w:r w:rsidR="00C6555F" w:rsidRPr="00E14359">
        <w:t xml:space="preserve">maximal recommended clinical dose.  The incidence of </w:t>
      </w:r>
      <w:r w:rsidR="00F8493D" w:rsidRPr="00E14359">
        <w:t xml:space="preserve">skeletal malformations was also increased at peak maternal plasma concentrations of twice the maximal anticipated clinical concentration.  </w:t>
      </w:r>
      <w:r w:rsidR="00362E29" w:rsidRPr="00E14359">
        <w:t>Administration to cy</w:t>
      </w:r>
      <w:r w:rsidR="00F8493D" w:rsidRPr="00E14359">
        <w:t xml:space="preserve">nomolgus monkeys was associated with increased incidences of embryofetal deaths at peak maternal </w:t>
      </w:r>
      <w:r w:rsidR="002960EC" w:rsidRPr="00E14359">
        <w:t xml:space="preserve">plasma concentrations lower than the maximal anticipated </w:t>
      </w:r>
      <w:r w:rsidR="00944357" w:rsidRPr="00E14359">
        <w:t xml:space="preserve">clinical concentration.  Administration to mice was associated with increased incidences of skeletal and/or craniofacial defects at doses </w:t>
      </w:r>
      <w:r w:rsidR="00490735" w:rsidRPr="00E14359">
        <w:t>similar to and greater than the maximal recommended clinical dose on a mg/m</w:t>
      </w:r>
      <w:r w:rsidR="00490735" w:rsidRPr="00E14359">
        <w:rPr>
          <w:vertAlign w:val="superscript"/>
        </w:rPr>
        <w:t>2</w:t>
      </w:r>
      <w:r w:rsidR="00490735" w:rsidRPr="00E14359">
        <w:t xml:space="preserve"> basis.  Administration to rats was associated with in</w:t>
      </w:r>
      <w:r w:rsidR="0012652D" w:rsidRPr="00E14359">
        <w:t xml:space="preserve">creased incidences of malformations (cardiovascular defects) and variations (persistent cords of thymic tissue, reduced skeletal ossification) at doses ranging from less than to </w:t>
      </w:r>
      <w:r w:rsidR="000A1F33" w:rsidRPr="00E14359">
        <w:t>greater</w:t>
      </w:r>
      <w:r w:rsidR="0012652D" w:rsidRPr="00E14359">
        <w:t xml:space="preserve"> than the maximal clinical dose on a mg/m</w:t>
      </w:r>
      <w:r w:rsidR="0012652D" w:rsidRPr="00E14359">
        <w:rPr>
          <w:vertAlign w:val="superscript"/>
        </w:rPr>
        <w:t>2</w:t>
      </w:r>
      <w:r w:rsidR="0012652D" w:rsidRPr="00E14359">
        <w:t xml:space="preserve"> basis.  </w:t>
      </w:r>
    </w:p>
    <w:p w:rsidR="00691D1E" w:rsidRPr="00E14359" w:rsidRDefault="006473D3" w:rsidP="00636A0F">
      <w:r w:rsidRPr="00E14359">
        <w:t>Oral administration to rats from late gestation to weaning was associated with delayed behavioural development at doses similar to the maximal clinical dose on a mg/m</w:t>
      </w:r>
      <w:r w:rsidRPr="00E14359">
        <w:rPr>
          <w:vertAlign w:val="superscript"/>
        </w:rPr>
        <w:t>2</w:t>
      </w:r>
      <w:r w:rsidRPr="00E14359">
        <w:t xml:space="preserve"> basis.  </w:t>
      </w:r>
    </w:p>
    <w:p w:rsidR="00471CC2" w:rsidRPr="00E14359" w:rsidRDefault="00691D1E" w:rsidP="00636A0F">
      <w:r w:rsidRPr="00E14359">
        <w:t xml:space="preserve">There are no adequate and well-controlled studies in pregnant women.  Zonisamide must not be used in pregnancy unless clearly necessary and only if the potential benefit is considered to justify the risk to the fetus.  The need for antiepileptic treatment should be reviewed in patients </w:t>
      </w:r>
      <w:r w:rsidR="00362E29" w:rsidRPr="00E14359">
        <w:t xml:space="preserve">planning </w:t>
      </w:r>
      <w:r w:rsidRPr="00E14359">
        <w:t xml:space="preserve">to become pregnant.  If zonisamide is prescribed, careful monitoring is recommended.  Specialist advice should be given to women who are likely to become pregnant in order to consider the optimal treatment during </w:t>
      </w:r>
      <w:r w:rsidR="00DC771D" w:rsidRPr="00E14359">
        <w:t>pregnancy</w:t>
      </w:r>
      <w:r w:rsidRPr="00E14359">
        <w:t xml:space="preserve">.  Women of childbearing potential </w:t>
      </w:r>
      <w:r w:rsidR="00686C73" w:rsidRPr="00E14359">
        <w:t xml:space="preserve">should be counselled to use contraception during treatment with zonisamide, and for one month after discontinuation.  </w:t>
      </w:r>
    </w:p>
    <w:p w:rsidR="00AB4FDF" w:rsidRPr="00E14359" w:rsidRDefault="00AB4FDF" w:rsidP="003911B0">
      <w:pPr>
        <w:pStyle w:val="Heading3"/>
      </w:pPr>
      <w:r w:rsidRPr="00E14359">
        <w:t>Use in lactation</w:t>
      </w:r>
    </w:p>
    <w:p w:rsidR="00873C3B" w:rsidRPr="00E14359" w:rsidRDefault="00873C3B" w:rsidP="00636A0F">
      <w:r w:rsidRPr="00E14359">
        <w:t>Zonisamide is excreted in human milk</w:t>
      </w:r>
      <w:r w:rsidR="00362E29" w:rsidRPr="00E14359">
        <w:t xml:space="preserve"> at a</w:t>
      </w:r>
      <w:r w:rsidRPr="00E14359">
        <w:t xml:space="preserve"> concentration similar to </w:t>
      </w:r>
      <w:r w:rsidR="00362E29" w:rsidRPr="00E14359">
        <w:t xml:space="preserve">that in </w:t>
      </w:r>
      <w:r w:rsidRPr="00E14359">
        <w:t xml:space="preserve">plasma.  </w:t>
      </w:r>
      <w:r w:rsidR="00720145" w:rsidRPr="00E14359">
        <w:t>Oral administration of zonisamide to rats from late gestation to weaning was associated with delayed behavioural development at doses similar to the maximal clinical dose on a mg/m</w:t>
      </w:r>
      <w:r w:rsidR="00720145" w:rsidRPr="00E14359">
        <w:rPr>
          <w:vertAlign w:val="superscript"/>
        </w:rPr>
        <w:t>2</w:t>
      </w:r>
      <w:r w:rsidR="00720145" w:rsidRPr="00E14359">
        <w:t xml:space="preserve"> basis.  </w:t>
      </w:r>
      <w:r w:rsidRPr="00E14359">
        <w:t xml:space="preserve">A decision must be made whether to discontinue breast-feeding or to discontinue/abstain from </w:t>
      </w:r>
      <w:r w:rsidR="00BD0870" w:rsidRPr="00E14359">
        <w:t xml:space="preserve">zonisamide </w:t>
      </w:r>
      <w:r w:rsidRPr="00E14359">
        <w:t xml:space="preserve">therapy.  Due to the long retention time of zonisamide in the body, breast-feeding must not be resumed until one month after </w:t>
      </w:r>
      <w:r w:rsidR="00BD0870" w:rsidRPr="00E14359">
        <w:t xml:space="preserve">zonisamide </w:t>
      </w:r>
      <w:r w:rsidRPr="00E14359">
        <w:t>therapy is completed.</w:t>
      </w:r>
    </w:p>
    <w:p w:rsidR="002F711B" w:rsidRPr="00E14359" w:rsidRDefault="007132B7" w:rsidP="00CE0A0A">
      <w:pPr>
        <w:pStyle w:val="Heading3"/>
        <w:spacing w:before="120"/>
      </w:pPr>
      <w:r>
        <w:lastRenderedPageBreak/>
        <w:t>Paediatric Use</w:t>
      </w:r>
    </w:p>
    <w:p w:rsidR="00227912" w:rsidRPr="00E14359" w:rsidRDefault="009228E9" w:rsidP="00227912">
      <w:pPr>
        <w:keepNext/>
        <w:keepLines/>
      </w:pPr>
      <w:r w:rsidRPr="00E14359">
        <w:t xml:space="preserve">The safety and efficacy </w:t>
      </w:r>
      <w:r w:rsidR="007132B7">
        <w:t xml:space="preserve">of Zonegran </w:t>
      </w:r>
      <w:r w:rsidRPr="00E14359">
        <w:t xml:space="preserve">in children </w:t>
      </w:r>
      <w:r w:rsidR="007132B7">
        <w:t xml:space="preserve">under </w:t>
      </w:r>
      <w:r w:rsidRPr="00E14359">
        <w:t>18 years</w:t>
      </w:r>
      <w:r w:rsidR="007132B7">
        <w:t xml:space="preserve"> of age</w:t>
      </w:r>
      <w:r w:rsidRPr="00E14359">
        <w:t xml:space="preserve"> have not been established.  The use o</w:t>
      </w:r>
      <w:r w:rsidR="00FD27A5" w:rsidRPr="00E14359">
        <w:t>f zonisamide in this age group i</w:t>
      </w:r>
      <w:r w:rsidRPr="00E14359">
        <w:t>s not recommended.</w:t>
      </w:r>
      <w:r w:rsidR="00227912" w:rsidRPr="00E14359">
        <w:t xml:space="preserve"> </w:t>
      </w:r>
      <w:r w:rsidR="007132B7">
        <w:t xml:space="preserve">Cases of oligohidrosis and hyperpyrexia have been reported. Zonisamide commonly causes metabolic acidosis in paediatric patients (see </w:t>
      </w:r>
      <w:r w:rsidR="007132B7" w:rsidRPr="007132B7">
        <w:rPr>
          <w:b/>
        </w:rPr>
        <w:t>Precautions, Metabolic acidosis subsection</w:t>
      </w:r>
      <w:r w:rsidR="007132B7">
        <w:t xml:space="preserve">). </w:t>
      </w:r>
      <w:r w:rsidR="007132B7" w:rsidRPr="007132B7">
        <w:t>Chronic</w:t>
      </w:r>
      <w:r w:rsidR="007132B7">
        <w:t xml:space="preserve"> untreated metabolic acidosis in paediatric patients may cause nephrolithiasis and/or nephrocalcinosis, osteoporosis and/or </w:t>
      </w:r>
      <w:r w:rsidR="00D16B61">
        <w:t xml:space="preserve">osteomalacia (potentially decrease the maximal height achieved). The effect of </w:t>
      </w:r>
      <w:r w:rsidR="000619CC">
        <w:t>zonisamide on</w:t>
      </w:r>
      <w:r w:rsidR="00D16B61">
        <w:t xml:space="preserve"> growth and bone-related sequelae has not been systematically </w:t>
      </w:r>
      <w:r w:rsidR="00256DDF">
        <w:t>investigated</w:t>
      </w:r>
      <w:r w:rsidR="00D16B61">
        <w:t>.</w:t>
      </w:r>
    </w:p>
    <w:p w:rsidR="002F711B" w:rsidRPr="00E14359" w:rsidRDefault="002F711B" w:rsidP="00CE0A0A">
      <w:pPr>
        <w:pStyle w:val="Heading3"/>
        <w:spacing w:before="120"/>
      </w:pPr>
      <w:r w:rsidRPr="00E14359">
        <w:t>Use in the elderly</w:t>
      </w:r>
    </w:p>
    <w:p w:rsidR="00227912" w:rsidRPr="00E14359" w:rsidRDefault="00227912" w:rsidP="00227912">
      <w:pPr>
        <w:autoSpaceDE w:val="0"/>
        <w:autoSpaceDN w:val="0"/>
        <w:adjustRightInd w:val="0"/>
      </w:pPr>
      <w:r w:rsidRPr="00E14359">
        <w:t xml:space="preserve">Caution should be exercised at initiation of treatment in elderly patients as there is limited information on the use of </w:t>
      </w:r>
      <w:r w:rsidR="00982B1C" w:rsidRPr="00E14359">
        <w:t xml:space="preserve">zonisamide </w:t>
      </w:r>
      <w:r w:rsidRPr="00E14359">
        <w:t xml:space="preserve">in these patients.  Prescribers should also take account of the safety profile of </w:t>
      </w:r>
      <w:r w:rsidR="00982B1C" w:rsidRPr="00E14359">
        <w:t xml:space="preserve">zonisamide </w:t>
      </w:r>
      <w:r w:rsidRPr="00E14359">
        <w:t xml:space="preserve">(see Adverse effects). </w:t>
      </w:r>
    </w:p>
    <w:p w:rsidR="00655DB1" w:rsidRPr="00E14359" w:rsidRDefault="00655DB1" w:rsidP="00CE0A0A">
      <w:pPr>
        <w:pStyle w:val="Heading3"/>
        <w:spacing w:before="120"/>
      </w:pPr>
      <w:r w:rsidRPr="00E14359">
        <w:t xml:space="preserve">Genotoxicity </w:t>
      </w:r>
    </w:p>
    <w:p w:rsidR="00655DB1" w:rsidRPr="00E14359" w:rsidRDefault="00655DB1" w:rsidP="00655DB1">
      <w:pPr>
        <w:autoSpaceDE w:val="0"/>
        <w:autoSpaceDN w:val="0"/>
        <w:adjustRightInd w:val="0"/>
      </w:pPr>
      <w:r w:rsidRPr="00E14359">
        <w:t xml:space="preserve">The genotoxicity of zonisamide has been studied in an adequate range of </w:t>
      </w:r>
      <w:r w:rsidRPr="00E14359">
        <w:rPr>
          <w:i/>
        </w:rPr>
        <w:t>in vitro</w:t>
      </w:r>
      <w:r w:rsidRPr="00E14359">
        <w:t xml:space="preserve"> and </w:t>
      </w:r>
      <w:r w:rsidRPr="00E14359">
        <w:rPr>
          <w:i/>
        </w:rPr>
        <w:t>in vivo</w:t>
      </w:r>
      <w:r w:rsidRPr="00E14359">
        <w:t xml:space="preserve"> assays, and the weight of evidence suggests that it is unlikely to cause genetic toxicity at therapeutic levels of exposure.</w:t>
      </w:r>
    </w:p>
    <w:p w:rsidR="00655DB1" w:rsidRPr="00E14359" w:rsidRDefault="00655DB1" w:rsidP="00CE0A0A">
      <w:pPr>
        <w:pStyle w:val="Heading3"/>
        <w:spacing w:before="120"/>
      </w:pPr>
      <w:r w:rsidRPr="00E14359">
        <w:t xml:space="preserve">Carcinogenicity </w:t>
      </w:r>
    </w:p>
    <w:p w:rsidR="00655DB1" w:rsidRPr="00E14359" w:rsidRDefault="00655DB1" w:rsidP="00655DB1">
      <w:r w:rsidRPr="00E14359">
        <w:t>Zonisamide did not display carcinogenic activity in lifetime studies in mice or rats following dietary administration at doses similar to the maximal recommended clinical dose on a mg/m</w:t>
      </w:r>
      <w:r w:rsidRPr="00E14359">
        <w:rPr>
          <w:vertAlign w:val="superscript"/>
        </w:rPr>
        <w:t>2</w:t>
      </w:r>
      <w:r w:rsidRPr="00E14359">
        <w:t xml:space="preserve"> basis</w:t>
      </w:r>
      <w:r w:rsidR="00362E29" w:rsidRPr="00E14359">
        <w:t>.</w:t>
      </w:r>
    </w:p>
    <w:p w:rsidR="00D97955" w:rsidRPr="00E14359" w:rsidRDefault="00D97955" w:rsidP="00CE0A0A">
      <w:pPr>
        <w:pStyle w:val="Heading3"/>
        <w:spacing w:before="120"/>
      </w:pPr>
      <w:r w:rsidRPr="00E14359">
        <w:t>Effect on laboratory tests</w:t>
      </w:r>
    </w:p>
    <w:p w:rsidR="00C021FC" w:rsidRPr="00E14359" w:rsidRDefault="00A278DE" w:rsidP="00655DB1">
      <w:r>
        <w:t xml:space="preserve">Please refer to </w:t>
      </w:r>
      <w:r w:rsidR="0039580A">
        <w:t xml:space="preserve">the </w:t>
      </w:r>
      <w:r>
        <w:t xml:space="preserve">warning </w:t>
      </w:r>
      <w:r w:rsidR="000564B9">
        <w:t>under the metabolic acidosis heading in the section “</w:t>
      </w:r>
      <w:r w:rsidR="000564B9" w:rsidRPr="000564B9">
        <w:t>Circumstances in which caution is required</w:t>
      </w:r>
      <w:r w:rsidR="000564B9">
        <w:t>”</w:t>
      </w:r>
      <w:r w:rsidR="0039580A">
        <w:t xml:space="preserve"> regarding impact of zonisamide on bicarbonate levels</w:t>
      </w:r>
      <w:r>
        <w:t>.</w:t>
      </w:r>
    </w:p>
    <w:p w:rsidR="0081002E" w:rsidRPr="00E14359" w:rsidRDefault="0081002E" w:rsidP="00CE0A0A">
      <w:pPr>
        <w:pStyle w:val="Heading2"/>
        <w:spacing w:before="120"/>
      </w:pPr>
      <w:r w:rsidRPr="00E14359">
        <w:t>Interactions with other medicines</w:t>
      </w:r>
    </w:p>
    <w:p w:rsidR="00E723E0" w:rsidRPr="00E14359" w:rsidRDefault="00930CDC" w:rsidP="00CE0A0A">
      <w:pPr>
        <w:pStyle w:val="Heading3"/>
        <w:spacing w:before="120"/>
      </w:pPr>
      <w:r w:rsidRPr="00E14359">
        <w:t>Antiepileptic</w:t>
      </w:r>
      <w:r w:rsidR="00E723E0" w:rsidRPr="00E14359">
        <w:t xml:space="preserve"> drugs</w:t>
      </w:r>
    </w:p>
    <w:p w:rsidR="00442353" w:rsidRPr="00E14359" w:rsidRDefault="00442353" w:rsidP="007E214A">
      <w:pPr>
        <w:rPr>
          <w:strike/>
          <w:u w:val="single"/>
        </w:rPr>
      </w:pPr>
      <w:r w:rsidRPr="00E14359">
        <w:t>In epileptic patients, steady</w:t>
      </w:r>
      <w:r w:rsidRPr="00E14359">
        <w:noBreakHyphen/>
        <w:t>state dosing with zonisamide resulted in no clinically relevant pharmacokinetic effects on carbamazepine, lamotrigine, phenytoin, or sodium valproate.  The effect of zonisamide on phenobarbitone pharm</w:t>
      </w:r>
      <w:r w:rsidR="005D20BD" w:rsidRPr="00E14359">
        <w:t>acokinetics has not been studied.</w:t>
      </w:r>
    </w:p>
    <w:p w:rsidR="00E723E0" w:rsidRPr="00E14359" w:rsidRDefault="00E723E0" w:rsidP="00CE0A0A">
      <w:pPr>
        <w:pStyle w:val="Heading3"/>
        <w:spacing w:before="120"/>
      </w:pPr>
      <w:r w:rsidRPr="00E14359">
        <w:t>Oral contraceptives</w:t>
      </w:r>
    </w:p>
    <w:p w:rsidR="00E723E0" w:rsidRPr="00E14359" w:rsidRDefault="00E723E0" w:rsidP="007E214A">
      <w:r w:rsidRPr="00E14359">
        <w:t>In clinical studies in healthy subjects, steady</w:t>
      </w:r>
      <w:r w:rsidRPr="00E14359">
        <w:noBreakHyphen/>
        <w:t xml:space="preserve">state dosing with </w:t>
      </w:r>
      <w:r w:rsidR="00EB7B7B" w:rsidRPr="00E14359">
        <w:t xml:space="preserve">zonisamide </w:t>
      </w:r>
      <w:r w:rsidRPr="00E14359">
        <w:t xml:space="preserve">did not affect serum concentrations of ethinylestradiol or norethisterone in a combined oral contraceptive.  </w:t>
      </w:r>
    </w:p>
    <w:p w:rsidR="00E723E0" w:rsidRPr="00E14359" w:rsidRDefault="00E723E0" w:rsidP="00CE0A0A">
      <w:pPr>
        <w:pStyle w:val="Heading3"/>
        <w:spacing w:before="120"/>
      </w:pPr>
      <w:r w:rsidRPr="00E14359">
        <w:t>Carbonic anhydrase inhibitors</w:t>
      </w:r>
    </w:p>
    <w:p w:rsidR="00227912" w:rsidRPr="00E14359" w:rsidRDefault="00E723E0" w:rsidP="00E723E0">
      <w:r w:rsidRPr="00E14359">
        <w:t xml:space="preserve">There are insufficient data to rule out possible pharmacodynamic interactions with </w:t>
      </w:r>
    </w:p>
    <w:p w:rsidR="00E723E0" w:rsidRPr="00E14359" w:rsidRDefault="00E723E0" w:rsidP="00E723E0">
      <w:r w:rsidRPr="00E14359">
        <w:lastRenderedPageBreak/>
        <w:t xml:space="preserve">carbonic anhydrase inhibitors such as topiramate. </w:t>
      </w:r>
      <w:r w:rsidR="00EA45AC">
        <w:t>Patients taking a combination of carbonic anhydrase inhibitors may be at increased risk of metabolic acidosis and nephrolithiasis. These combinations are not recommended.</w:t>
      </w:r>
    </w:p>
    <w:p w:rsidR="00E723E0" w:rsidRPr="00E14359" w:rsidRDefault="00E723E0" w:rsidP="003911B0">
      <w:pPr>
        <w:pStyle w:val="Heading3"/>
      </w:pPr>
      <w:r w:rsidRPr="00E14359">
        <w:t>Potential medicinal product interactions affecting Zonegran</w:t>
      </w:r>
    </w:p>
    <w:p w:rsidR="00E723E0" w:rsidRPr="00E14359" w:rsidRDefault="00E723E0" w:rsidP="007E214A">
      <w:r w:rsidRPr="00E14359">
        <w:t>In clinical studies co</w:t>
      </w:r>
      <w:r w:rsidRPr="00E14359">
        <w:noBreakHyphen/>
        <w:t>administration of lamotrigine had no apparent effect on zonisamide pharmacokinetics.</w:t>
      </w:r>
      <w:r w:rsidRPr="00E14359">
        <w:rPr>
          <w:i/>
        </w:rPr>
        <w:t xml:space="preserve">  </w:t>
      </w:r>
      <w:r w:rsidRPr="00E14359">
        <w:t xml:space="preserve">The combination of </w:t>
      </w:r>
      <w:r w:rsidR="00EB7B7B" w:rsidRPr="00E14359">
        <w:t xml:space="preserve">zonisamide </w:t>
      </w:r>
      <w:r w:rsidRPr="00E14359">
        <w:t>with other medicinal products that may lead to urolithiasis may enhance the risk of developing kidney stones; therefore the concomitant administration of such medicinal products should be avoided.</w:t>
      </w:r>
    </w:p>
    <w:p w:rsidR="002D356F" w:rsidRPr="00E14359" w:rsidRDefault="002D356F" w:rsidP="002D356F">
      <w:proofErr w:type="spellStart"/>
      <w:r w:rsidRPr="00E14359">
        <w:t>Zonisamide</w:t>
      </w:r>
      <w:proofErr w:type="spellEnd"/>
      <w:r w:rsidRPr="00E14359">
        <w:t xml:space="preserve"> is metabolised partly by CYP3A4 (reductive cleavage), and also by N</w:t>
      </w:r>
      <w:r w:rsidRPr="00E14359">
        <w:noBreakHyphen/>
        <w:t>acetyl-transferases and conjugation with glucuronic acid; therefore, substances that can induce or inhibit these enzymes may affect the pharmacokinetics of zonisamide:</w:t>
      </w:r>
    </w:p>
    <w:p w:rsidR="002D356F" w:rsidRPr="00E14359" w:rsidRDefault="002D356F" w:rsidP="003911B0">
      <w:pPr>
        <w:numPr>
          <w:ilvl w:val="0"/>
          <w:numId w:val="18"/>
        </w:numPr>
      </w:pPr>
      <w:r w:rsidRPr="00E14359">
        <w:t>Enzyme Induction</w:t>
      </w:r>
      <w:r w:rsidRPr="00E14359">
        <w:rPr>
          <w:iCs/>
        </w:rPr>
        <w:t>:</w:t>
      </w:r>
      <w:r w:rsidRPr="00E14359">
        <w:rPr>
          <w:i/>
        </w:rPr>
        <w:t xml:space="preserve"> </w:t>
      </w:r>
      <w:r w:rsidRPr="00E14359">
        <w:t>Exposure to zonisamide is lower in epileptic patients receiving CYP3A4</w:t>
      </w:r>
      <w:r w:rsidRPr="00E14359">
        <w:noBreakHyphen/>
        <w:t xml:space="preserve">inducing agents such as phenytoin, carbamazepine, and phenobarbitone.  These effects are unlikely to be of clinical significance when </w:t>
      </w:r>
      <w:r w:rsidR="00EB7B7B" w:rsidRPr="00E14359">
        <w:t xml:space="preserve">zonisamide </w:t>
      </w:r>
      <w:r w:rsidRPr="00E14359">
        <w:t>is added to existing therapy; however, changes in zonisamide concentrations may occur if concomitant CYP3A4</w:t>
      </w:r>
      <w:r w:rsidRPr="00E14359">
        <w:noBreakHyphen/>
        <w:t xml:space="preserve">inducing </w:t>
      </w:r>
      <w:r w:rsidR="00930CDC" w:rsidRPr="00E14359">
        <w:t>antiepileptic</w:t>
      </w:r>
      <w:r w:rsidRPr="00E14359">
        <w:t xml:space="preserve"> or other medicinal products are withdrawn, dose adjusted or introduced, an adjustment of the </w:t>
      </w:r>
      <w:r w:rsidR="00EB7B7B" w:rsidRPr="00E14359">
        <w:t xml:space="preserve">zonisamide </w:t>
      </w:r>
      <w:r w:rsidRPr="00E14359">
        <w:t xml:space="preserve">dose may be required.  Rifampicin is a potent CYP3A4 inducer. </w:t>
      </w:r>
      <w:r w:rsidR="00EB7B7B" w:rsidRPr="00E14359">
        <w:t xml:space="preserve"> </w:t>
      </w:r>
      <w:r w:rsidRPr="00E14359">
        <w:t xml:space="preserve">If co-administration is necessary, the patient should be closely monitored and the dose of </w:t>
      </w:r>
      <w:r w:rsidR="00EB7B7B" w:rsidRPr="00E14359">
        <w:t xml:space="preserve">zonisamide </w:t>
      </w:r>
      <w:r w:rsidRPr="00E14359">
        <w:t>and other CYP3A4 substrates adjusted as needed.</w:t>
      </w:r>
    </w:p>
    <w:p w:rsidR="002D356F" w:rsidRPr="00E14359" w:rsidRDefault="002D356F" w:rsidP="003911B0">
      <w:pPr>
        <w:numPr>
          <w:ilvl w:val="0"/>
          <w:numId w:val="18"/>
        </w:numPr>
      </w:pPr>
      <w:r w:rsidRPr="00E14359">
        <w:t>CYP3A4 Inhibition</w:t>
      </w:r>
      <w:r w:rsidRPr="00E14359">
        <w:rPr>
          <w:iCs/>
        </w:rPr>
        <w:t>:</w:t>
      </w:r>
      <w:r w:rsidRPr="00E14359">
        <w:rPr>
          <w:i/>
        </w:rPr>
        <w:t xml:space="preserve"> </w:t>
      </w:r>
      <w:r w:rsidRPr="00E14359">
        <w:t>Based upon</w:t>
      </w:r>
      <w:r w:rsidRPr="00E14359">
        <w:rPr>
          <w:i/>
        </w:rPr>
        <w:t xml:space="preserve"> </w:t>
      </w:r>
      <w:r w:rsidRPr="00E14359">
        <w:t>clinical data, known specific and non-specific CYP3A4 inhibitors appear to have no clinically relevant effect on zonisamide pharmacokinetic exposure parameters.  Steady-state dosing of either ketoconazole (400 mg/day) or cimetidine (1200 mg/day) had no clinically relevant effects on the single</w:t>
      </w:r>
      <w:r w:rsidRPr="00E14359">
        <w:noBreakHyphen/>
        <w:t xml:space="preserve">dose pharmacokinetics of zonisamide given to healthy subjects.  Therefore, modification of </w:t>
      </w:r>
      <w:r w:rsidR="00EB7B7B" w:rsidRPr="00E14359">
        <w:t xml:space="preserve">zonisamide </w:t>
      </w:r>
      <w:r w:rsidRPr="00E14359">
        <w:t xml:space="preserve">dosing should not be necessary when co-administered with known CYP3A4 inhibitors.  </w:t>
      </w:r>
    </w:p>
    <w:p w:rsidR="00694EB0" w:rsidRPr="00E14359" w:rsidRDefault="00694EB0" w:rsidP="003911B0">
      <w:pPr>
        <w:pStyle w:val="Heading2"/>
      </w:pPr>
      <w:bookmarkStart w:id="8" w:name="_Ref302395876"/>
      <w:r w:rsidRPr="00E14359">
        <w:t>Adverse effects</w:t>
      </w:r>
      <w:bookmarkEnd w:id="8"/>
    </w:p>
    <w:p w:rsidR="00FC2CA9" w:rsidRPr="00E14359" w:rsidRDefault="00FC2CA9" w:rsidP="00636A0F">
      <w:pPr>
        <w:keepNext/>
      </w:pPr>
      <w:r w:rsidRPr="00E14359">
        <w:t>Zonegran has been administered to over 1,200 patients in clinical studies, more than 400 of whom received Zonegran for at least 1 year.  In addition there has been extensive post</w:t>
      </w:r>
      <w:r w:rsidRPr="00E14359">
        <w:noBreakHyphen/>
        <w:t>marketing experience with zonisamide in Japan since 1989 and in the USA since 2000.</w:t>
      </w:r>
    </w:p>
    <w:p w:rsidR="00D12383" w:rsidRPr="00E14359" w:rsidRDefault="00D12383" w:rsidP="003911B0">
      <w:pPr>
        <w:pStyle w:val="Heading4"/>
        <w:spacing w:after="240"/>
      </w:pPr>
      <w:r w:rsidRPr="00E14359">
        <w:t>Adverse Event Incidence in Controlled Clinical Trials</w:t>
      </w:r>
    </w:p>
    <w:p w:rsidR="00C07CAF" w:rsidRPr="00C07CAF" w:rsidRDefault="00C07CAF" w:rsidP="003911B0">
      <w:pPr>
        <w:pStyle w:val="Heading5"/>
      </w:pPr>
      <w:r w:rsidRPr="00C07CAF">
        <w:t>Adjunctive therapy in the treatment of partial seizures, with or without secondary generalisation in adults</w:t>
      </w:r>
    </w:p>
    <w:p w:rsidR="002A193D" w:rsidRDefault="00FC2CA9" w:rsidP="00636A0F">
      <w:r w:rsidRPr="00E14359">
        <w:t>The most common adverse reactions in controlled adjunctive</w:t>
      </w:r>
      <w:r w:rsidRPr="00E14359">
        <w:noBreakHyphen/>
        <w:t xml:space="preserve">therapy studies were somnolence, dizziness and anorexia.  </w:t>
      </w:r>
    </w:p>
    <w:p w:rsidR="008576D4" w:rsidRDefault="00006A40" w:rsidP="00562FCC">
      <w:fldSimple w:instr=" REF _Ref302398034 \h  \* MERGEFORMAT ">
        <w:r w:rsidR="00F66D7C" w:rsidRPr="00F66D7C">
          <w:t>Table 5</w:t>
        </w:r>
      </w:fldSimple>
      <w:r w:rsidR="00562FCC" w:rsidRPr="00A51F58">
        <w:t xml:space="preserve"> l</w:t>
      </w:r>
      <w:r w:rsidR="00562FCC" w:rsidRPr="00E14359">
        <w:t>ist</w:t>
      </w:r>
      <w:r w:rsidR="00C60BD0">
        <w:t>s</w:t>
      </w:r>
      <w:r w:rsidR="00562FCC" w:rsidRPr="00E14359">
        <w:t xml:space="preserve"> treatment emergent adverse events occurring in </w:t>
      </w:r>
      <w:r w:rsidR="00562FCC" w:rsidRPr="00E14359">
        <w:sym w:font="Symbol" w:char="F0B3"/>
      </w:r>
      <w:r w:rsidR="00562FCC" w:rsidRPr="00E14359">
        <w:t xml:space="preserve"> 1% of zonisamide treated patients and greater than placebo.</w:t>
      </w:r>
    </w:p>
    <w:tbl>
      <w:tblPr>
        <w:tblW w:w="476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165"/>
        <w:gridCol w:w="21"/>
        <w:gridCol w:w="2253"/>
        <w:gridCol w:w="3162"/>
      </w:tblGrid>
      <w:tr w:rsidR="00562FCC" w:rsidRPr="00E14359">
        <w:trPr>
          <w:cantSplit/>
          <w:trHeight w:val="70"/>
          <w:tblHeader/>
        </w:trPr>
        <w:tc>
          <w:tcPr>
            <w:tcW w:w="5000" w:type="pct"/>
            <w:gridSpan w:val="4"/>
          </w:tcPr>
          <w:p w:rsidR="00562FCC" w:rsidRPr="00E14359" w:rsidRDefault="00284278" w:rsidP="003911B0">
            <w:pPr>
              <w:pStyle w:val="TableCellCenter"/>
              <w:pageBreakBefore/>
              <w:rPr>
                <w:b/>
                <w:bCs/>
              </w:rPr>
            </w:pPr>
            <w:r>
              <w:lastRenderedPageBreak/>
              <w:br w:type="page"/>
            </w:r>
            <w:bookmarkStart w:id="9" w:name="_Ref302398034"/>
            <w:r w:rsidR="002A193D" w:rsidRPr="002A193D">
              <w:rPr>
                <w:b/>
              </w:rPr>
              <w:t xml:space="preserve">Table </w:t>
            </w:r>
            <w:r w:rsidR="00006A40" w:rsidRPr="002A193D">
              <w:rPr>
                <w:b/>
              </w:rPr>
              <w:fldChar w:fldCharType="begin"/>
            </w:r>
            <w:r w:rsidR="002A193D" w:rsidRPr="002A193D">
              <w:rPr>
                <w:b/>
              </w:rPr>
              <w:instrText xml:space="preserve"> SEQ Table \* ARABIC </w:instrText>
            </w:r>
            <w:r w:rsidR="00006A40" w:rsidRPr="002A193D">
              <w:rPr>
                <w:b/>
              </w:rPr>
              <w:fldChar w:fldCharType="separate"/>
            </w:r>
            <w:r w:rsidR="00F66D7C">
              <w:rPr>
                <w:b/>
                <w:noProof/>
              </w:rPr>
              <w:t>5</w:t>
            </w:r>
            <w:r w:rsidR="00006A40" w:rsidRPr="002A193D">
              <w:rPr>
                <w:b/>
              </w:rPr>
              <w:fldChar w:fldCharType="end"/>
            </w:r>
            <w:bookmarkEnd w:id="9"/>
            <w:r w:rsidR="00A51F58">
              <w:rPr>
                <w:b/>
              </w:rPr>
              <w:t xml:space="preserve"> </w:t>
            </w:r>
            <w:r w:rsidR="00562FCC" w:rsidRPr="00E14359">
              <w:rPr>
                <w:b/>
                <w:bCs/>
              </w:rPr>
              <w:t>Treatment Emergent Adverse Events occurring in  &gt;/= 1% of Zonisamide treated patients and greater than placebo</w:t>
            </w:r>
          </w:p>
        </w:tc>
      </w:tr>
      <w:tr w:rsidR="00562FCC" w:rsidRPr="00E14359">
        <w:trPr>
          <w:cantSplit/>
          <w:trHeight w:val="700"/>
          <w:tblHeader/>
        </w:trPr>
        <w:tc>
          <w:tcPr>
            <w:tcW w:w="1840" w:type="pct"/>
            <w:vMerge w:val="restart"/>
            <w:tcBorders>
              <w:bottom w:val="single" w:sz="4" w:space="0" w:color="auto"/>
            </w:tcBorders>
          </w:tcPr>
          <w:p w:rsidR="00562FCC" w:rsidRPr="00E14359" w:rsidRDefault="00562FCC" w:rsidP="00562FCC">
            <w:pPr>
              <w:pStyle w:val="TableCellLeft"/>
              <w:rPr>
                <w:b/>
                <w:bCs/>
              </w:rPr>
            </w:pPr>
            <w:r w:rsidRPr="00E14359">
              <w:rPr>
                <w:b/>
                <w:bCs/>
              </w:rPr>
              <w:t>Body System and COSTART Preferred Term</w:t>
            </w:r>
          </w:p>
        </w:tc>
        <w:tc>
          <w:tcPr>
            <w:tcW w:w="3160" w:type="pct"/>
            <w:gridSpan w:val="3"/>
            <w:tcBorders>
              <w:bottom w:val="single" w:sz="4" w:space="0" w:color="auto"/>
            </w:tcBorders>
            <w:vAlign w:val="center"/>
          </w:tcPr>
          <w:p w:rsidR="00562FCC" w:rsidRPr="00E14359" w:rsidRDefault="00562FCC" w:rsidP="00562FCC">
            <w:pPr>
              <w:pStyle w:val="TableCellCenter"/>
              <w:rPr>
                <w:b/>
                <w:bCs/>
              </w:rPr>
            </w:pPr>
            <w:r w:rsidRPr="00E14359">
              <w:rPr>
                <w:b/>
                <w:bCs/>
              </w:rPr>
              <w:t>Number (%) of Subjects</w:t>
            </w:r>
          </w:p>
        </w:tc>
      </w:tr>
      <w:tr w:rsidR="00562FCC" w:rsidRPr="00E14359">
        <w:trPr>
          <w:cantSplit/>
          <w:tblHeader/>
        </w:trPr>
        <w:tc>
          <w:tcPr>
            <w:tcW w:w="1840" w:type="pct"/>
            <w:vMerge/>
          </w:tcPr>
          <w:p w:rsidR="00562FCC" w:rsidRPr="00E14359" w:rsidRDefault="00562FCC" w:rsidP="00562FCC">
            <w:pPr>
              <w:pStyle w:val="TableCellLeft"/>
            </w:pPr>
          </w:p>
        </w:tc>
        <w:tc>
          <w:tcPr>
            <w:tcW w:w="1322" w:type="pct"/>
            <w:gridSpan w:val="2"/>
            <w:tcBorders>
              <w:bottom w:val="nil"/>
            </w:tcBorders>
            <w:vAlign w:val="center"/>
          </w:tcPr>
          <w:p w:rsidR="00562FCC" w:rsidRPr="00E14359" w:rsidRDefault="00562FCC" w:rsidP="00562FCC">
            <w:pPr>
              <w:pStyle w:val="TableCellCenter"/>
              <w:rPr>
                <w:b/>
                <w:bCs/>
              </w:rPr>
            </w:pPr>
            <w:r w:rsidRPr="00E14359">
              <w:rPr>
                <w:b/>
                <w:bCs/>
              </w:rPr>
              <w:t>All Doses</w:t>
            </w:r>
          </w:p>
        </w:tc>
        <w:tc>
          <w:tcPr>
            <w:tcW w:w="1838" w:type="pct"/>
            <w:tcBorders>
              <w:bottom w:val="nil"/>
            </w:tcBorders>
            <w:vAlign w:val="center"/>
          </w:tcPr>
          <w:p w:rsidR="00562FCC" w:rsidRPr="00E14359" w:rsidRDefault="00562FCC" w:rsidP="00562FCC">
            <w:pPr>
              <w:pStyle w:val="TableCellCenter"/>
              <w:rPr>
                <w:b/>
                <w:bCs/>
              </w:rPr>
            </w:pPr>
            <w:r w:rsidRPr="00E14359">
              <w:rPr>
                <w:b/>
                <w:bCs/>
              </w:rPr>
              <w:t>Placebo</w:t>
            </w:r>
          </w:p>
        </w:tc>
      </w:tr>
      <w:tr w:rsidR="00562FCC" w:rsidRPr="00E14359">
        <w:trPr>
          <w:cantSplit/>
          <w:tblHeader/>
        </w:trPr>
        <w:tc>
          <w:tcPr>
            <w:tcW w:w="1840" w:type="pct"/>
            <w:vMerge/>
          </w:tcPr>
          <w:p w:rsidR="00562FCC" w:rsidRPr="00E14359" w:rsidRDefault="00562FCC" w:rsidP="00562FCC">
            <w:pPr>
              <w:pStyle w:val="TableCellLeft"/>
            </w:pPr>
          </w:p>
        </w:tc>
        <w:tc>
          <w:tcPr>
            <w:tcW w:w="1322" w:type="pct"/>
            <w:gridSpan w:val="2"/>
            <w:tcBorders>
              <w:top w:val="nil"/>
            </w:tcBorders>
          </w:tcPr>
          <w:p w:rsidR="00562FCC" w:rsidRPr="00E14359" w:rsidRDefault="00562FCC" w:rsidP="00562FCC">
            <w:pPr>
              <w:pStyle w:val="TableCellCenter"/>
              <w:rPr>
                <w:b/>
                <w:bCs/>
              </w:rPr>
            </w:pPr>
            <w:r w:rsidRPr="00E14359">
              <w:rPr>
                <w:b/>
                <w:bCs/>
              </w:rPr>
              <w:t>(N=498)</w:t>
            </w:r>
          </w:p>
        </w:tc>
        <w:tc>
          <w:tcPr>
            <w:tcW w:w="1838" w:type="pct"/>
            <w:tcBorders>
              <w:top w:val="nil"/>
            </w:tcBorders>
          </w:tcPr>
          <w:p w:rsidR="00562FCC" w:rsidRPr="00E14359" w:rsidRDefault="00562FCC" w:rsidP="00562FCC">
            <w:pPr>
              <w:pStyle w:val="TableCellCenter"/>
              <w:rPr>
                <w:b/>
                <w:bCs/>
              </w:rPr>
            </w:pPr>
            <w:r w:rsidRPr="00E14359">
              <w:rPr>
                <w:b/>
                <w:bCs/>
              </w:rPr>
              <w:t>(N=350)</w:t>
            </w:r>
          </w:p>
        </w:tc>
      </w:tr>
      <w:tr w:rsidR="00562FCC" w:rsidRPr="00E14359">
        <w:tc>
          <w:tcPr>
            <w:tcW w:w="1840" w:type="pct"/>
          </w:tcPr>
          <w:p w:rsidR="00562FCC" w:rsidRPr="00E14359" w:rsidRDefault="00562FCC" w:rsidP="0005662C">
            <w:pPr>
              <w:pStyle w:val="TableCellLeft"/>
              <w:spacing w:before="40" w:after="40"/>
            </w:pPr>
            <w:r w:rsidRPr="00E14359">
              <w:t>Any adverse event</w:t>
            </w:r>
          </w:p>
        </w:tc>
        <w:tc>
          <w:tcPr>
            <w:tcW w:w="1322" w:type="pct"/>
            <w:gridSpan w:val="2"/>
          </w:tcPr>
          <w:p w:rsidR="00562FCC" w:rsidRPr="00E14359" w:rsidRDefault="00562FCC" w:rsidP="0005662C">
            <w:pPr>
              <w:pStyle w:val="TableCellCenter"/>
              <w:spacing w:before="40" w:after="40"/>
            </w:pPr>
            <w:r w:rsidRPr="00E14359">
              <w:t>388 (77.9)</w:t>
            </w:r>
          </w:p>
        </w:tc>
        <w:tc>
          <w:tcPr>
            <w:tcW w:w="1838" w:type="pct"/>
          </w:tcPr>
          <w:p w:rsidR="00562FCC" w:rsidRPr="00E14359" w:rsidRDefault="00562FCC" w:rsidP="0005662C">
            <w:pPr>
              <w:pStyle w:val="TableCellCenter"/>
              <w:spacing w:before="40" w:after="40"/>
            </w:pPr>
            <w:r w:rsidRPr="00E14359">
              <w:t>237 (67.7)</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Body as a whole</w:t>
            </w:r>
          </w:p>
        </w:tc>
      </w:tr>
      <w:tr w:rsidR="00562FCC" w:rsidRPr="00E14359">
        <w:tc>
          <w:tcPr>
            <w:tcW w:w="1840" w:type="pct"/>
          </w:tcPr>
          <w:p w:rsidR="00562FCC" w:rsidRPr="00E14359" w:rsidRDefault="00562FCC" w:rsidP="0005662C">
            <w:pPr>
              <w:pStyle w:val="TableCellLeft"/>
              <w:spacing w:before="40" w:after="40"/>
              <w:ind w:left="240"/>
            </w:pPr>
            <w:r w:rsidRPr="00E14359">
              <w:t>Abdominal pain</w:t>
            </w:r>
          </w:p>
        </w:tc>
        <w:tc>
          <w:tcPr>
            <w:tcW w:w="1322" w:type="pct"/>
            <w:gridSpan w:val="2"/>
          </w:tcPr>
          <w:p w:rsidR="00562FCC" w:rsidRPr="00E14359" w:rsidRDefault="00562FCC" w:rsidP="0005662C">
            <w:pPr>
              <w:pStyle w:val="TableCellCenter"/>
              <w:spacing w:before="40" w:after="40"/>
            </w:pPr>
            <w:r w:rsidRPr="00E14359">
              <w:t>36 (7.2)</w:t>
            </w:r>
          </w:p>
        </w:tc>
        <w:tc>
          <w:tcPr>
            <w:tcW w:w="1838" w:type="pct"/>
          </w:tcPr>
          <w:p w:rsidR="00562FCC" w:rsidRPr="00E14359" w:rsidRDefault="00562FCC" w:rsidP="0005662C">
            <w:pPr>
              <w:pStyle w:val="TableCellCenter"/>
              <w:spacing w:before="40" w:after="40"/>
            </w:pPr>
            <w:r w:rsidRPr="00E14359">
              <w:t>12 (3.4)</w:t>
            </w:r>
          </w:p>
        </w:tc>
      </w:tr>
      <w:tr w:rsidR="00562FCC" w:rsidRPr="00E14359">
        <w:tc>
          <w:tcPr>
            <w:tcW w:w="1840" w:type="pct"/>
          </w:tcPr>
          <w:p w:rsidR="00562FCC" w:rsidRPr="00E14359" w:rsidRDefault="00562FCC" w:rsidP="0005662C">
            <w:pPr>
              <w:pStyle w:val="TableCellLeft"/>
              <w:spacing w:before="40" w:after="40"/>
              <w:ind w:left="240"/>
            </w:pPr>
            <w:r w:rsidRPr="00E14359">
              <w:t>Allergic Reaction</w:t>
            </w:r>
          </w:p>
        </w:tc>
        <w:tc>
          <w:tcPr>
            <w:tcW w:w="1322" w:type="pct"/>
            <w:gridSpan w:val="2"/>
          </w:tcPr>
          <w:p w:rsidR="00562FCC" w:rsidRPr="00E14359" w:rsidRDefault="00562FCC" w:rsidP="0005662C">
            <w:pPr>
              <w:pStyle w:val="TableCellCenter"/>
              <w:spacing w:before="40" w:after="40"/>
            </w:pPr>
            <w:r w:rsidRPr="00E14359">
              <w:t>5 (1.0)</w:t>
            </w:r>
          </w:p>
        </w:tc>
        <w:tc>
          <w:tcPr>
            <w:tcW w:w="1838" w:type="pct"/>
          </w:tcPr>
          <w:p w:rsidR="00562FCC" w:rsidRPr="00E14359" w:rsidRDefault="00562FCC" w:rsidP="0005662C">
            <w:pPr>
              <w:pStyle w:val="TableCellCenter"/>
              <w:spacing w:before="40" w:after="40"/>
            </w:pPr>
            <w:r w:rsidRPr="00E14359">
              <w:t>2 (0.6)</w:t>
            </w:r>
          </w:p>
        </w:tc>
      </w:tr>
      <w:tr w:rsidR="00562FCC" w:rsidRPr="00E14359">
        <w:tc>
          <w:tcPr>
            <w:tcW w:w="1840" w:type="pct"/>
          </w:tcPr>
          <w:p w:rsidR="00562FCC" w:rsidRPr="00E14359" w:rsidRDefault="00562FCC" w:rsidP="0005662C">
            <w:pPr>
              <w:pStyle w:val="TableCellLeft"/>
              <w:spacing w:before="40" w:after="40"/>
              <w:ind w:left="240"/>
            </w:pPr>
            <w:r w:rsidRPr="00E14359">
              <w:t>Flu syndrome</w:t>
            </w:r>
          </w:p>
        </w:tc>
        <w:tc>
          <w:tcPr>
            <w:tcW w:w="1322" w:type="pct"/>
            <w:gridSpan w:val="2"/>
          </w:tcPr>
          <w:p w:rsidR="00562FCC" w:rsidRPr="00E14359" w:rsidRDefault="00562FCC" w:rsidP="0005662C">
            <w:pPr>
              <w:pStyle w:val="TableCellCenter"/>
              <w:spacing w:before="40" w:after="40"/>
            </w:pPr>
            <w:r w:rsidRPr="00E14359">
              <w:t>20 (4.0)</w:t>
            </w:r>
          </w:p>
        </w:tc>
        <w:tc>
          <w:tcPr>
            <w:tcW w:w="1838" w:type="pct"/>
          </w:tcPr>
          <w:p w:rsidR="00562FCC" w:rsidRPr="00E14359" w:rsidRDefault="00562FCC" w:rsidP="0005662C">
            <w:pPr>
              <w:pStyle w:val="TableCellCenter"/>
              <w:spacing w:before="40" w:after="40"/>
            </w:pPr>
            <w:r w:rsidRPr="00E14359">
              <w:t>10 (2.9)</w:t>
            </w:r>
          </w:p>
        </w:tc>
      </w:tr>
      <w:tr w:rsidR="00562FCC" w:rsidRPr="00E14359">
        <w:tc>
          <w:tcPr>
            <w:tcW w:w="1840" w:type="pct"/>
          </w:tcPr>
          <w:p w:rsidR="00562FCC" w:rsidRPr="00E14359" w:rsidRDefault="00562FCC" w:rsidP="0005662C">
            <w:pPr>
              <w:pStyle w:val="TableCellLeft"/>
              <w:spacing w:before="40" w:after="40"/>
              <w:ind w:left="240"/>
            </w:pPr>
            <w:r w:rsidRPr="00E14359">
              <w:t>Pain</w:t>
            </w:r>
          </w:p>
        </w:tc>
        <w:tc>
          <w:tcPr>
            <w:tcW w:w="1322" w:type="pct"/>
            <w:gridSpan w:val="2"/>
          </w:tcPr>
          <w:p w:rsidR="00562FCC" w:rsidRPr="00E14359" w:rsidRDefault="00562FCC" w:rsidP="0005662C">
            <w:pPr>
              <w:pStyle w:val="TableCellCenter"/>
              <w:spacing w:before="40" w:after="40"/>
            </w:pPr>
            <w:r w:rsidRPr="00E14359">
              <w:t>18 (3.6)</w:t>
            </w:r>
          </w:p>
        </w:tc>
        <w:tc>
          <w:tcPr>
            <w:tcW w:w="1838" w:type="pct"/>
          </w:tcPr>
          <w:p w:rsidR="00562FCC" w:rsidRPr="00E14359" w:rsidRDefault="00562FCC" w:rsidP="0005662C">
            <w:pPr>
              <w:pStyle w:val="TableCellCenter"/>
              <w:spacing w:before="40" w:after="40"/>
            </w:pPr>
            <w:r w:rsidRPr="00E14359">
              <w:t>11 (3.1)</w:t>
            </w:r>
          </w:p>
        </w:tc>
      </w:tr>
      <w:tr w:rsidR="00562FCC" w:rsidRPr="00E14359">
        <w:tc>
          <w:tcPr>
            <w:tcW w:w="1840" w:type="pct"/>
          </w:tcPr>
          <w:p w:rsidR="00562FCC" w:rsidRPr="00E14359" w:rsidRDefault="00562FCC" w:rsidP="0005662C">
            <w:pPr>
              <w:pStyle w:val="TableCellLeft"/>
              <w:spacing w:before="40" w:after="40"/>
              <w:ind w:left="240"/>
            </w:pPr>
            <w:r w:rsidRPr="00E14359">
              <w:t>Viral Infection</w:t>
            </w:r>
          </w:p>
        </w:tc>
        <w:tc>
          <w:tcPr>
            <w:tcW w:w="1322" w:type="pct"/>
            <w:gridSpan w:val="2"/>
          </w:tcPr>
          <w:p w:rsidR="00562FCC" w:rsidRPr="00E14359" w:rsidRDefault="00562FCC" w:rsidP="0005662C">
            <w:pPr>
              <w:pStyle w:val="TableCellCenter"/>
              <w:spacing w:before="40" w:after="40"/>
            </w:pPr>
            <w:r w:rsidRPr="00E14359">
              <w:t>7 (1.4)</w:t>
            </w:r>
          </w:p>
        </w:tc>
        <w:tc>
          <w:tcPr>
            <w:tcW w:w="1838" w:type="pct"/>
          </w:tcPr>
          <w:p w:rsidR="00562FCC" w:rsidRPr="00E14359" w:rsidRDefault="00562FCC" w:rsidP="0005662C">
            <w:pPr>
              <w:pStyle w:val="TableCellCenter"/>
              <w:spacing w:before="40" w:after="40"/>
            </w:pPr>
            <w:r w:rsidRPr="00E14359">
              <w:t>4 (1.1)</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Cardiovascular</w:t>
            </w:r>
          </w:p>
        </w:tc>
      </w:tr>
      <w:tr w:rsidR="00562FCC" w:rsidRPr="00E14359">
        <w:tc>
          <w:tcPr>
            <w:tcW w:w="1840" w:type="pct"/>
          </w:tcPr>
          <w:p w:rsidR="00562FCC" w:rsidRPr="00E14359" w:rsidRDefault="00562FCC" w:rsidP="0005662C">
            <w:pPr>
              <w:pStyle w:val="TableCellLeft"/>
              <w:spacing w:before="40" w:after="40"/>
              <w:ind w:left="240"/>
            </w:pPr>
            <w:r w:rsidRPr="00E14359">
              <w:t>Vasodilatation</w:t>
            </w:r>
          </w:p>
        </w:tc>
        <w:tc>
          <w:tcPr>
            <w:tcW w:w="1322" w:type="pct"/>
            <w:gridSpan w:val="2"/>
          </w:tcPr>
          <w:p w:rsidR="00562FCC" w:rsidRPr="00E14359" w:rsidRDefault="00562FCC" w:rsidP="0005662C">
            <w:pPr>
              <w:pStyle w:val="TableCellCenter"/>
              <w:spacing w:before="40" w:after="40"/>
            </w:pPr>
            <w:r w:rsidRPr="00E14359">
              <w:t>7 (1.4)</w:t>
            </w:r>
          </w:p>
        </w:tc>
        <w:tc>
          <w:tcPr>
            <w:tcW w:w="1838" w:type="pct"/>
          </w:tcPr>
          <w:p w:rsidR="00562FCC" w:rsidRPr="00E14359" w:rsidRDefault="00562FCC" w:rsidP="0005662C">
            <w:pPr>
              <w:pStyle w:val="TableCellCenter"/>
              <w:spacing w:before="40" w:after="40"/>
            </w:pPr>
            <w:r w:rsidRPr="00E14359">
              <w:t>2 (0.6)</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Digestive</w:t>
            </w:r>
          </w:p>
        </w:tc>
      </w:tr>
      <w:tr w:rsidR="00562FCC" w:rsidRPr="00E14359">
        <w:tc>
          <w:tcPr>
            <w:tcW w:w="1840" w:type="pct"/>
          </w:tcPr>
          <w:p w:rsidR="00562FCC" w:rsidRPr="00E14359" w:rsidRDefault="00562FCC" w:rsidP="0005662C">
            <w:pPr>
              <w:pStyle w:val="TableCellLeft"/>
              <w:spacing w:before="40" w:after="40"/>
              <w:ind w:left="240"/>
            </w:pPr>
            <w:r w:rsidRPr="00E14359">
              <w:t>Anorexia</w:t>
            </w:r>
          </w:p>
        </w:tc>
        <w:tc>
          <w:tcPr>
            <w:tcW w:w="1322" w:type="pct"/>
            <w:gridSpan w:val="2"/>
          </w:tcPr>
          <w:p w:rsidR="00562FCC" w:rsidRPr="00E14359" w:rsidRDefault="00562FCC" w:rsidP="0005662C">
            <w:pPr>
              <w:pStyle w:val="TableCellCenter"/>
              <w:spacing w:before="40" w:after="40"/>
            </w:pPr>
            <w:r w:rsidRPr="00E14359">
              <w:t>54 (10.8)</w:t>
            </w:r>
          </w:p>
        </w:tc>
        <w:tc>
          <w:tcPr>
            <w:tcW w:w="1838" w:type="pct"/>
          </w:tcPr>
          <w:p w:rsidR="00562FCC" w:rsidRPr="00E14359" w:rsidRDefault="00562FCC" w:rsidP="0005662C">
            <w:pPr>
              <w:pStyle w:val="TableCellCenter"/>
              <w:spacing w:before="40" w:after="40"/>
            </w:pPr>
            <w:r w:rsidRPr="00E14359">
              <w:t>15 (4.3)</w:t>
            </w:r>
          </w:p>
        </w:tc>
      </w:tr>
      <w:tr w:rsidR="00562FCC" w:rsidRPr="00E14359">
        <w:tc>
          <w:tcPr>
            <w:tcW w:w="1840" w:type="pct"/>
          </w:tcPr>
          <w:p w:rsidR="00562FCC" w:rsidRPr="00E14359" w:rsidRDefault="00562FCC" w:rsidP="0005662C">
            <w:pPr>
              <w:pStyle w:val="TableCellLeft"/>
              <w:spacing w:before="40" w:after="40"/>
              <w:ind w:left="240"/>
            </w:pPr>
            <w:r w:rsidRPr="00E14359">
              <w:t>Constipation</w:t>
            </w:r>
          </w:p>
        </w:tc>
        <w:tc>
          <w:tcPr>
            <w:tcW w:w="1322" w:type="pct"/>
            <w:gridSpan w:val="2"/>
          </w:tcPr>
          <w:p w:rsidR="00562FCC" w:rsidRPr="00E14359" w:rsidRDefault="00562FCC" w:rsidP="0005662C">
            <w:pPr>
              <w:pStyle w:val="TableCellCenter"/>
              <w:spacing w:before="40" w:after="40"/>
            </w:pPr>
            <w:r w:rsidRPr="00E14359">
              <w:t>14 (2.8)</w:t>
            </w:r>
          </w:p>
        </w:tc>
        <w:tc>
          <w:tcPr>
            <w:tcW w:w="1838" w:type="pct"/>
          </w:tcPr>
          <w:p w:rsidR="00562FCC" w:rsidRPr="00E14359" w:rsidRDefault="00562FCC" w:rsidP="0005662C">
            <w:pPr>
              <w:pStyle w:val="TableCellCenter"/>
              <w:spacing w:before="40" w:after="40"/>
            </w:pPr>
            <w:r w:rsidRPr="00E14359">
              <w:t>4 (1.1)</w:t>
            </w:r>
          </w:p>
        </w:tc>
      </w:tr>
      <w:tr w:rsidR="00562FCC" w:rsidRPr="00E14359">
        <w:tc>
          <w:tcPr>
            <w:tcW w:w="1840" w:type="pct"/>
          </w:tcPr>
          <w:p w:rsidR="00562FCC" w:rsidRPr="00E14359" w:rsidRDefault="00562FCC" w:rsidP="0005662C">
            <w:pPr>
              <w:pStyle w:val="TableCellLeft"/>
              <w:spacing w:before="40" w:after="40"/>
              <w:ind w:left="240"/>
            </w:pPr>
            <w:r w:rsidRPr="00E14359">
              <w:t>Diarrhoea</w:t>
            </w:r>
          </w:p>
        </w:tc>
        <w:tc>
          <w:tcPr>
            <w:tcW w:w="1322" w:type="pct"/>
            <w:gridSpan w:val="2"/>
          </w:tcPr>
          <w:p w:rsidR="00562FCC" w:rsidRPr="00E14359" w:rsidRDefault="00562FCC" w:rsidP="0005662C">
            <w:pPr>
              <w:pStyle w:val="TableCellCenter"/>
              <w:spacing w:before="40" w:after="40"/>
            </w:pPr>
            <w:r w:rsidRPr="00E14359">
              <w:t>29 (5.8)</w:t>
            </w:r>
          </w:p>
        </w:tc>
        <w:tc>
          <w:tcPr>
            <w:tcW w:w="1838" w:type="pct"/>
          </w:tcPr>
          <w:p w:rsidR="00562FCC" w:rsidRPr="00E14359" w:rsidRDefault="00562FCC" w:rsidP="0005662C">
            <w:pPr>
              <w:pStyle w:val="TableCellCenter"/>
              <w:spacing w:before="40" w:after="40"/>
            </w:pPr>
            <w:r w:rsidRPr="00E14359">
              <w:t>13 (3.7)</w:t>
            </w:r>
          </w:p>
        </w:tc>
      </w:tr>
      <w:tr w:rsidR="00562FCC" w:rsidRPr="00E14359">
        <w:tc>
          <w:tcPr>
            <w:tcW w:w="1840" w:type="pct"/>
          </w:tcPr>
          <w:p w:rsidR="00562FCC" w:rsidRPr="00E14359" w:rsidRDefault="00562FCC" w:rsidP="0005662C">
            <w:pPr>
              <w:pStyle w:val="TableCellLeft"/>
              <w:spacing w:before="40" w:after="40"/>
              <w:ind w:left="240"/>
            </w:pPr>
            <w:r w:rsidRPr="00E14359">
              <w:t>Dry mouth</w:t>
            </w:r>
          </w:p>
        </w:tc>
        <w:tc>
          <w:tcPr>
            <w:tcW w:w="1322" w:type="pct"/>
            <w:gridSpan w:val="2"/>
          </w:tcPr>
          <w:p w:rsidR="00562FCC" w:rsidRPr="00E14359" w:rsidRDefault="00562FCC" w:rsidP="0005662C">
            <w:pPr>
              <w:pStyle w:val="TableCellCenter"/>
              <w:spacing w:before="40" w:after="40"/>
            </w:pPr>
            <w:r w:rsidRPr="00E14359">
              <w:t>5 (1.0)</w:t>
            </w:r>
          </w:p>
        </w:tc>
        <w:tc>
          <w:tcPr>
            <w:tcW w:w="1838" w:type="pct"/>
          </w:tcPr>
          <w:p w:rsidR="00562FCC" w:rsidRPr="00E14359" w:rsidRDefault="00562FCC" w:rsidP="0005662C">
            <w:pPr>
              <w:pStyle w:val="TableCellCenter"/>
              <w:spacing w:before="40" w:after="40"/>
            </w:pPr>
            <w:r w:rsidRPr="00E14359">
              <w:t>2 (0.6)</w:t>
            </w:r>
          </w:p>
        </w:tc>
      </w:tr>
      <w:tr w:rsidR="00562FCC" w:rsidRPr="00E14359">
        <w:tc>
          <w:tcPr>
            <w:tcW w:w="1840" w:type="pct"/>
          </w:tcPr>
          <w:p w:rsidR="00562FCC" w:rsidRPr="00E14359" w:rsidRDefault="00562FCC" w:rsidP="0005662C">
            <w:pPr>
              <w:pStyle w:val="TableCellLeft"/>
              <w:spacing w:before="40" w:after="40"/>
              <w:ind w:left="240"/>
            </w:pPr>
            <w:r w:rsidRPr="00E14359">
              <w:t>Dyspepsia</w:t>
            </w:r>
          </w:p>
        </w:tc>
        <w:tc>
          <w:tcPr>
            <w:tcW w:w="1322" w:type="pct"/>
            <w:gridSpan w:val="2"/>
          </w:tcPr>
          <w:p w:rsidR="00562FCC" w:rsidRPr="00E14359" w:rsidRDefault="00562FCC" w:rsidP="0005662C">
            <w:pPr>
              <w:pStyle w:val="TableCellCenter"/>
              <w:spacing w:before="40" w:after="40"/>
            </w:pPr>
            <w:r w:rsidRPr="00E14359">
              <w:t>13 (2.6)</w:t>
            </w:r>
          </w:p>
        </w:tc>
        <w:tc>
          <w:tcPr>
            <w:tcW w:w="1838" w:type="pct"/>
          </w:tcPr>
          <w:p w:rsidR="00562FCC" w:rsidRPr="00E14359" w:rsidRDefault="00562FCC" w:rsidP="0005662C">
            <w:pPr>
              <w:pStyle w:val="TableCellCenter"/>
              <w:spacing w:before="40" w:after="40"/>
            </w:pPr>
            <w:r w:rsidRPr="00E14359">
              <w:t>3 (0.9)</w:t>
            </w:r>
          </w:p>
        </w:tc>
      </w:tr>
      <w:tr w:rsidR="00562FCC" w:rsidRPr="00E14359">
        <w:tc>
          <w:tcPr>
            <w:tcW w:w="1840" w:type="pct"/>
          </w:tcPr>
          <w:p w:rsidR="00562FCC" w:rsidRPr="00E14359" w:rsidRDefault="00562FCC" w:rsidP="0005662C">
            <w:pPr>
              <w:pStyle w:val="TableCellLeft"/>
              <w:spacing w:before="40" w:after="40"/>
              <w:ind w:left="240"/>
            </w:pPr>
            <w:r w:rsidRPr="00E14359">
              <w:t>Nausea</w:t>
            </w:r>
          </w:p>
        </w:tc>
        <w:tc>
          <w:tcPr>
            <w:tcW w:w="1322" w:type="pct"/>
            <w:gridSpan w:val="2"/>
          </w:tcPr>
          <w:p w:rsidR="00562FCC" w:rsidRPr="00E14359" w:rsidRDefault="00562FCC" w:rsidP="0005662C">
            <w:pPr>
              <w:pStyle w:val="TableCellCenter"/>
              <w:spacing w:before="40" w:after="40"/>
            </w:pPr>
            <w:r w:rsidRPr="00E14359">
              <w:t>48 (9.6)</w:t>
            </w:r>
          </w:p>
        </w:tc>
        <w:tc>
          <w:tcPr>
            <w:tcW w:w="1838" w:type="pct"/>
          </w:tcPr>
          <w:p w:rsidR="00562FCC" w:rsidRPr="00E14359" w:rsidRDefault="00562FCC" w:rsidP="0005662C">
            <w:pPr>
              <w:pStyle w:val="TableCellCenter"/>
              <w:spacing w:before="40" w:after="40"/>
            </w:pPr>
            <w:r w:rsidRPr="00E14359">
              <w:t>28 (8.0)</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Hematologic and Lymphatic</w:t>
            </w:r>
          </w:p>
        </w:tc>
      </w:tr>
      <w:tr w:rsidR="00562FCC" w:rsidRPr="00E14359">
        <w:trPr>
          <w:cantSplit/>
        </w:trPr>
        <w:tc>
          <w:tcPr>
            <w:tcW w:w="1852" w:type="pct"/>
            <w:gridSpan w:val="2"/>
            <w:vAlign w:val="center"/>
          </w:tcPr>
          <w:p w:rsidR="00562FCC" w:rsidRPr="00E14359" w:rsidRDefault="00562FCC" w:rsidP="0005662C">
            <w:pPr>
              <w:pStyle w:val="TableCellCenter"/>
              <w:spacing w:before="40" w:after="40"/>
              <w:jc w:val="left"/>
            </w:pPr>
            <w:r w:rsidRPr="00E14359">
              <w:t xml:space="preserve">     Ecchymosis</w:t>
            </w:r>
          </w:p>
        </w:tc>
        <w:tc>
          <w:tcPr>
            <w:tcW w:w="1310" w:type="pct"/>
          </w:tcPr>
          <w:p w:rsidR="00562FCC" w:rsidRPr="00E14359" w:rsidRDefault="00562FCC" w:rsidP="0005662C">
            <w:pPr>
              <w:pStyle w:val="TableCellCenter"/>
              <w:spacing w:before="40" w:after="40"/>
            </w:pPr>
            <w:r w:rsidRPr="00E14359">
              <w:t>11 (2.2)</w:t>
            </w:r>
          </w:p>
        </w:tc>
        <w:tc>
          <w:tcPr>
            <w:tcW w:w="1838" w:type="pct"/>
          </w:tcPr>
          <w:p w:rsidR="00562FCC" w:rsidRPr="00E14359" w:rsidRDefault="00562FCC" w:rsidP="0005662C">
            <w:pPr>
              <w:pStyle w:val="TableCellCenter"/>
              <w:spacing w:before="40" w:after="40"/>
            </w:pPr>
            <w:r w:rsidRPr="00E14359">
              <w:t>3 (0.9)</w:t>
            </w:r>
          </w:p>
        </w:tc>
      </w:tr>
      <w:tr w:rsidR="00562FCC" w:rsidRPr="00E14359">
        <w:trPr>
          <w:cantSplit/>
        </w:trPr>
        <w:tc>
          <w:tcPr>
            <w:tcW w:w="1852" w:type="pct"/>
            <w:gridSpan w:val="2"/>
            <w:vAlign w:val="center"/>
          </w:tcPr>
          <w:p w:rsidR="00562FCC" w:rsidRPr="00E14359" w:rsidRDefault="00562FCC" w:rsidP="0005662C">
            <w:pPr>
              <w:pStyle w:val="TableCellCenter"/>
              <w:spacing w:before="40" w:after="40"/>
              <w:jc w:val="left"/>
            </w:pPr>
            <w:r w:rsidRPr="00E14359">
              <w:t xml:space="preserve">     Leukopenia</w:t>
            </w:r>
          </w:p>
        </w:tc>
        <w:tc>
          <w:tcPr>
            <w:tcW w:w="1310" w:type="pct"/>
          </w:tcPr>
          <w:p w:rsidR="00562FCC" w:rsidRPr="00E14359" w:rsidRDefault="00562FCC" w:rsidP="0005662C">
            <w:pPr>
              <w:pStyle w:val="TableCellCenter"/>
              <w:spacing w:before="40" w:after="40"/>
            </w:pPr>
            <w:r w:rsidRPr="00E14359">
              <w:t>7 (1.4)</w:t>
            </w:r>
          </w:p>
        </w:tc>
        <w:tc>
          <w:tcPr>
            <w:tcW w:w="1838" w:type="pct"/>
          </w:tcPr>
          <w:p w:rsidR="00562FCC" w:rsidRPr="00E14359" w:rsidRDefault="00562FCC" w:rsidP="0005662C">
            <w:pPr>
              <w:pStyle w:val="TableCellCenter"/>
              <w:spacing w:before="40" w:after="40"/>
            </w:pPr>
            <w:r w:rsidRPr="00E14359">
              <w:t>0 (0.0)</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Metabolic and Nutritional</w:t>
            </w:r>
          </w:p>
        </w:tc>
      </w:tr>
      <w:tr w:rsidR="00562FCC" w:rsidRPr="00E14359">
        <w:trPr>
          <w:cantSplit/>
        </w:trPr>
        <w:tc>
          <w:tcPr>
            <w:tcW w:w="1852" w:type="pct"/>
            <w:gridSpan w:val="2"/>
            <w:vAlign w:val="center"/>
          </w:tcPr>
          <w:p w:rsidR="00562FCC" w:rsidRPr="00E14359" w:rsidRDefault="00562FCC" w:rsidP="0005662C">
            <w:pPr>
              <w:pStyle w:val="TableCellCenter"/>
              <w:spacing w:before="40" w:after="40"/>
              <w:jc w:val="left"/>
            </w:pPr>
            <w:r w:rsidRPr="00E14359">
              <w:t xml:space="preserve">     Weight loss</w:t>
            </w:r>
          </w:p>
        </w:tc>
        <w:tc>
          <w:tcPr>
            <w:tcW w:w="1310" w:type="pct"/>
          </w:tcPr>
          <w:p w:rsidR="00562FCC" w:rsidRPr="00E14359" w:rsidRDefault="00562FCC" w:rsidP="0005662C">
            <w:pPr>
              <w:pStyle w:val="TableCellCenter"/>
              <w:spacing w:before="40" w:after="40"/>
            </w:pPr>
            <w:r w:rsidRPr="00E14359">
              <w:t>20 (4.0)</w:t>
            </w:r>
          </w:p>
        </w:tc>
        <w:tc>
          <w:tcPr>
            <w:tcW w:w="1838" w:type="pct"/>
          </w:tcPr>
          <w:p w:rsidR="00562FCC" w:rsidRPr="00E14359" w:rsidRDefault="00562FCC" w:rsidP="0005662C">
            <w:pPr>
              <w:pStyle w:val="TableCellCenter"/>
              <w:spacing w:before="40" w:after="40"/>
            </w:pPr>
            <w:r w:rsidRPr="00E14359">
              <w:t>6 (1.7)</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Musculoskeletal</w:t>
            </w:r>
          </w:p>
        </w:tc>
      </w:tr>
      <w:tr w:rsidR="00562FCC" w:rsidRPr="00E14359">
        <w:trPr>
          <w:cantSplit/>
        </w:trPr>
        <w:tc>
          <w:tcPr>
            <w:tcW w:w="1852" w:type="pct"/>
            <w:gridSpan w:val="2"/>
            <w:vAlign w:val="center"/>
          </w:tcPr>
          <w:p w:rsidR="00562FCC" w:rsidRPr="00E14359" w:rsidRDefault="00562FCC" w:rsidP="0005662C">
            <w:pPr>
              <w:pStyle w:val="TableCellCenter"/>
              <w:spacing w:before="40" w:after="40"/>
              <w:jc w:val="left"/>
            </w:pPr>
            <w:r w:rsidRPr="00E14359">
              <w:t xml:space="preserve">     Arthralgia</w:t>
            </w:r>
          </w:p>
        </w:tc>
        <w:tc>
          <w:tcPr>
            <w:tcW w:w="1310" w:type="pct"/>
          </w:tcPr>
          <w:p w:rsidR="00562FCC" w:rsidRPr="00E14359" w:rsidRDefault="00562FCC" w:rsidP="0005662C">
            <w:pPr>
              <w:pStyle w:val="TableCellCenter"/>
              <w:spacing w:before="40" w:after="40"/>
            </w:pPr>
            <w:r w:rsidRPr="00E14359">
              <w:t>5 (1.0)</w:t>
            </w:r>
          </w:p>
        </w:tc>
        <w:tc>
          <w:tcPr>
            <w:tcW w:w="1838" w:type="pct"/>
          </w:tcPr>
          <w:p w:rsidR="00562FCC" w:rsidRPr="00E14359" w:rsidRDefault="00562FCC" w:rsidP="0005662C">
            <w:pPr>
              <w:pStyle w:val="TableCellCenter"/>
              <w:spacing w:before="40" w:after="40"/>
            </w:pPr>
            <w:r w:rsidRPr="00E14359">
              <w:t>3 (0.9)</w:t>
            </w:r>
          </w:p>
        </w:tc>
      </w:tr>
      <w:tr w:rsidR="00562FCC" w:rsidRPr="00E14359">
        <w:trPr>
          <w:cantSplit/>
        </w:trPr>
        <w:tc>
          <w:tcPr>
            <w:tcW w:w="1852" w:type="pct"/>
            <w:gridSpan w:val="2"/>
            <w:vAlign w:val="center"/>
          </w:tcPr>
          <w:p w:rsidR="00562FCC" w:rsidRPr="00E14359" w:rsidRDefault="00562FCC" w:rsidP="0005662C">
            <w:pPr>
              <w:pStyle w:val="TableCellCenter"/>
              <w:spacing w:before="40" w:after="40"/>
              <w:jc w:val="left"/>
            </w:pPr>
            <w:r w:rsidRPr="00E14359">
              <w:t xml:space="preserve">     Myasthenia</w:t>
            </w:r>
          </w:p>
        </w:tc>
        <w:tc>
          <w:tcPr>
            <w:tcW w:w="1310" w:type="pct"/>
          </w:tcPr>
          <w:p w:rsidR="00562FCC" w:rsidRPr="00E14359" w:rsidRDefault="00562FCC" w:rsidP="0005662C">
            <w:pPr>
              <w:pStyle w:val="TableCellCenter"/>
              <w:spacing w:before="40" w:after="40"/>
            </w:pPr>
            <w:r w:rsidRPr="00E14359">
              <w:t>5 (1.0)</w:t>
            </w:r>
          </w:p>
        </w:tc>
        <w:tc>
          <w:tcPr>
            <w:tcW w:w="1838" w:type="pct"/>
          </w:tcPr>
          <w:p w:rsidR="00562FCC" w:rsidRPr="00E14359" w:rsidRDefault="00562FCC" w:rsidP="0005662C">
            <w:pPr>
              <w:pStyle w:val="TableCellCenter"/>
              <w:spacing w:before="40" w:after="40"/>
            </w:pPr>
            <w:r w:rsidRPr="00E14359">
              <w:t>1 (0.3)</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Nervous system</w:t>
            </w:r>
          </w:p>
        </w:tc>
      </w:tr>
      <w:tr w:rsidR="00562FCC" w:rsidRPr="00E14359">
        <w:tc>
          <w:tcPr>
            <w:tcW w:w="1840" w:type="pct"/>
          </w:tcPr>
          <w:p w:rsidR="00562FCC" w:rsidRPr="00E14359" w:rsidRDefault="00562FCC" w:rsidP="0005662C">
            <w:pPr>
              <w:pStyle w:val="TableCellLeft"/>
              <w:spacing w:before="40" w:after="40"/>
              <w:ind w:left="240"/>
            </w:pPr>
            <w:r w:rsidRPr="00E14359">
              <w:t>Abnormal gait</w:t>
            </w:r>
          </w:p>
        </w:tc>
        <w:tc>
          <w:tcPr>
            <w:tcW w:w="1322" w:type="pct"/>
            <w:gridSpan w:val="2"/>
          </w:tcPr>
          <w:p w:rsidR="00562FCC" w:rsidRPr="00E14359" w:rsidRDefault="00562FCC" w:rsidP="0005662C">
            <w:pPr>
              <w:pStyle w:val="TableCellCenter"/>
              <w:spacing w:before="40" w:after="40"/>
            </w:pPr>
            <w:r w:rsidRPr="00E14359">
              <w:t>13 (2.6)</w:t>
            </w:r>
          </w:p>
        </w:tc>
        <w:tc>
          <w:tcPr>
            <w:tcW w:w="1838" w:type="pct"/>
          </w:tcPr>
          <w:p w:rsidR="00562FCC" w:rsidRPr="00E14359" w:rsidRDefault="00562FCC" w:rsidP="0005662C">
            <w:pPr>
              <w:pStyle w:val="TableCellCenter"/>
              <w:spacing w:before="40" w:after="40"/>
            </w:pPr>
            <w:r w:rsidRPr="00E14359">
              <w:t>5 (1.4)</w:t>
            </w:r>
          </w:p>
        </w:tc>
      </w:tr>
      <w:tr w:rsidR="00562FCC" w:rsidRPr="00E14359">
        <w:tc>
          <w:tcPr>
            <w:tcW w:w="1840" w:type="pct"/>
          </w:tcPr>
          <w:p w:rsidR="00562FCC" w:rsidRPr="00E14359" w:rsidRDefault="00562FCC" w:rsidP="0005662C">
            <w:pPr>
              <w:pStyle w:val="TableCellLeft"/>
              <w:spacing w:before="40" w:after="40"/>
              <w:ind w:left="240"/>
            </w:pPr>
            <w:r w:rsidRPr="00E14359">
              <w:t>Agitation/irritability</w:t>
            </w:r>
          </w:p>
        </w:tc>
        <w:tc>
          <w:tcPr>
            <w:tcW w:w="1322" w:type="pct"/>
            <w:gridSpan w:val="2"/>
          </w:tcPr>
          <w:p w:rsidR="00562FCC" w:rsidRPr="00E14359" w:rsidRDefault="00562FCC" w:rsidP="0005662C">
            <w:pPr>
              <w:pStyle w:val="TableCellCenter"/>
              <w:spacing w:before="40" w:after="40"/>
            </w:pPr>
            <w:r w:rsidRPr="00E14359">
              <w:t>37 (7.4)</w:t>
            </w:r>
          </w:p>
        </w:tc>
        <w:tc>
          <w:tcPr>
            <w:tcW w:w="1838" w:type="pct"/>
          </w:tcPr>
          <w:p w:rsidR="00562FCC" w:rsidRPr="00E14359" w:rsidRDefault="00562FCC" w:rsidP="0005662C">
            <w:pPr>
              <w:pStyle w:val="TableCellCenter"/>
              <w:spacing w:before="40" w:after="40"/>
            </w:pPr>
            <w:r w:rsidRPr="00E14359">
              <w:t>17 (4.9)</w:t>
            </w:r>
          </w:p>
        </w:tc>
      </w:tr>
      <w:tr w:rsidR="00562FCC" w:rsidRPr="00E14359">
        <w:tc>
          <w:tcPr>
            <w:tcW w:w="1840" w:type="pct"/>
          </w:tcPr>
          <w:p w:rsidR="00562FCC" w:rsidRPr="00E14359" w:rsidRDefault="00562FCC" w:rsidP="0005662C">
            <w:pPr>
              <w:pStyle w:val="TableCellLeft"/>
              <w:spacing w:before="40" w:after="40"/>
              <w:ind w:left="240"/>
            </w:pPr>
            <w:r w:rsidRPr="00E14359">
              <w:t>Altered cognitive function</w:t>
            </w:r>
          </w:p>
        </w:tc>
        <w:tc>
          <w:tcPr>
            <w:tcW w:w="1322" w:type="pct"/>
            <w:gridSpan w:val="2"/>
          </w:tcPr>
          <w:p w:rsidR="00562FCC" w:rsidRPr="00E14359" w:rsidRDefault="00562FCC" w:rsidP="0005662C">
            <w:pPr>
              <w:pStyle w:val="TableCellCenter"/>
              <w:spacing w:before="40" w:after="40"/>
            </w:pPr>
            <w:r w:rsidRPr="00E14359">
              <w:t>78 (15.7)</w:t>
            </w:r>
          </w:p>
        </w:tc>
        <w:tc>
          <w:tcPr>
            <w:tcW w:w="1838" w:type="pct"/>
          </w:tcPr>
          <w:p w:rsidR="00562FCC" w:rsidRPr="00E14359" w:rsidRDefault="00562FCC" w:rsidP="0005662C">
            <w:pPr>
              <w:pStyle w:val="TableCellCenter"/>
              <w:spacing w:before="40" w:after="40"/>
            </w:pPr>
            <w:r w:rsidRPr="00E14359">
              <w:t>23 (6.6)</w:t>
            </w:r>
          </w:p>
        </w:tc>
      </w:tr>
      <w:tr w:rsidR="00562FCC" w:rsidRPr="00E14359">
        <w:tc>
          <w:tcPr>
            <w:tcW w:w="1840" w:type="pct"/>
          </w:tcPr>
          <w:p w:rsidR="00562FCC" w:rsidRPr="00E14359" w:rsidRDefault="00562FCC" w:rsidP="0005662C">
            <w:pPr>
              <w:pStyle w:val="TableCellLeft"/>
              <w:spacing w:before="40" w:after="40"/>
              <w:ind w:left="240"/>
            </w:pPr>
            <w:r w:rsidRPr="00E14359">
              <w:t>Anxiety</w:t>
            </w:r>
          </w:p>
        </w:tc>
        <w:tc>
          <w:tcPr>
            <w:tcW w:w="1322" w:type="pct"/>
            <w:gridSpan w:val="2"/>
          </w:tcPr>
          <w:p w:rsidR="00562FCC" w:rsidRPr="00E14359" w:rsidRDefault="00562FCC" w:rsidP="0005662C">
            <w:pPr>
              <w:pStyle w:val="TableCellCenter"/>
              <w:spacing w:before="40" w:after="40"/>
            </w:pPr>
            <w:r w:rsidRPr="00E14359">
              <w:t>19 (3.8)</w:t>
            </w:r>
          </w:p>
        </w:tc>
        <w:tc>
          <w:tcPr>
            <w:tcW w:w="1838" w:type="pct"/>
          </w:tcPr>
          <w:p w:rsidR="00562FCC" w:rsidRPr="00E14359" w:rsidRDefault="00562FCC" w:rsidP="0005662C">
            <w:pPr>
              <w:pStyle w:val="TableCellCenter"/>
              <w:spacing w:before="40" w:after="40"/>
            </w:pPr>
            <w:r w:rsidRPr="00E14359">
              <w:t>11 (3.1)</w:t>
            </w:r>
          </w:p>
        </w:tc>
      </w:tr>
      <w:tr w:rsidR="00562FCC" w:rsidRPr="00E14359">
        <w:tc>
          <w:tcPr>
            <w:tcW w:w="1840" w:type="pct"/>
          </w:tcPr>
          <w:p w:rsidR="00562FCC" w:rsidRPr="00E14359" w:rsidRDefault="00562FCC" w:rsidP="0005662C">
            <w:pPr>
              <w:pStyle w:val="TableCellLeft"/>
              <w:spacing w:before="40" w:after="40"/>
              <w:ind w:left="240"/>
            </w:pPr>
            <w:r w:rsidRPr="00E14359">
              <w:t>Ataxia</w:t>
            </w:r>
          </w:p>
        </w:tc>
        <w:tc>
          <w:tcPr>
            <w:tcW w:w="1322" w:type="pct"/>
            <w:gridSpan w:val="2"/>
          </w:tcPr>
          <w:p w:rsidR="00562FCC" w:rsidRPr="00E14359" w:rsidRDefault="00562FCC" w:rsidP="0005662C">
            <w:pPr>
              <w:pStyle w:val="TableCellCenter"/>
              <w:spacing w:before="40" w:after="40"/>
            </w:pPr>
            <w:r w:rsidRPr="00E14359">
              <w:t>28 (5.6)</w:t>
            </w:r>
          </w:p>
        </w:tc>
        <w:tc>
          <w:tcPr>
            <w:tcW w:w="1838" w:type="pct"/>
          </w:tcPr>
          <w:p w:rsidR="00562FCC" w:rsidRPr="00E14359" w:rsidRDefault="00562FCC" w:rsidP="0005662C">
            <w:pPr>
              <w:pStyle w:val="TableCellCenter"/>
              <w:spacing w:before="40" w:after="40"/>
            </w:pPr>
            <w:r w:rsidRPr="00E14359">
              <w:t>8 (2.3)</w:t>
            </w:r>
          </w:p>
        </w:tc>
      </w:tr>
      <w:tr w:rsidR="00562FCC" w:rsidRPr="00E14359">
        <w:tc>
          <w:tcPr>
            <w:tcW w:w="1840" w:type="pct"/>
          </w:tcPr>
          <w:p w:rsidR="00562FCC" w:rsidRPr="00E14359" w:rsidRDefault="00562FCC" w:rsidP="0005662C">
            <w:pPr>
              <w:pStyle w:val="TableCellLeft"/>
              <w:spacing w:before="40" w:after="40"/>
              <w:ind w:left="240"/>
            </w:pPr>
            <w:r w:rsidRPr="00E14359">
              <w:t>CNS depression</w:t>
            </w:r>
          </w:p>
        </w:tc>
        <w:tc>
          <w:tcPr>
            <w:tcW w:w="1322" w:type="pct"/>
            <w:gridSpan w:val="2"/>
          </w:tcPr>
          <w:p w:rsidR="00562FCC" w:rsidRPr="00E14359" w:rsidRDefault="00562FCC" w:rsidP="0005662C">
            <w:pPr>
              <w:pStyle w:val="TableCellCenter"/>
              <w:spacing w:before="40" w:after="40"/>
            </w:pPr>
            <w:r w:rsidRPr="00E14359">
              <w:t>141 (28.3)</w:t>
            </w:r>
          </w:p>
        </w:tc>
        <w:tc>
          <w:tcPr>
            <w:tcW w:w="1838" w:type="pct"/>
          </w:tcPr>
          <w:p w:rsidR="00562FCC" w:rsidRPr="00E14359" w:rsidRDefault="00562FCC" w:rsidP="0005662C">
            <w:pPr>
              <w:pStyle w:val="TableCellCenter"/>
              <w:spacing w:before="40" w:after="40"/>
            </w:pPr>
            <w:r w:rsidRPr="00E14359">
              <w:t>65 (18.6)</w:t>
            </w:r>
          </w:p>
        </w:tc>
      </w:tr>
      <w:tr w:rsidR="00562FCC" w:rsidRPr="00E14359">
        <w:tc>
          <w:tcPr>
            <w:tcW w:w="1840" w:type="pct"/>
          </w:tcPr>
          <w:p w:rsidR="00562FCC" w:rsidRPr="00E14359" w:rsidRDefault="00562FCC" w:rsidP="0005662C">
            <w:pPr>
              <w:pStyle w:val="TableCellLeft"/>
              <w:spacing w:before="40" w:after="40"/>
              <w:ind w:left="240"/>
            </w:pPr>
            <w:r w:rsidRPr="00E14359">
              <w:t>Confusion</w:t>
            </w:r>
          </w:p>
        </w:tc>
        <w:tc>
          <w:tcPr>
            <w:tcW w:w="1322" w:type="pct"/>
            <w:gridSpan w:val="2"/>
          </w:tcPr>
          <w:p w:rsidR="00562FCC" w:rsidRPr="00E14359" w:rsidRDefault="00562FCC" w:rsidP="0005662C">
            <w:pPr>
              <w:pStyle w:val="TableCellCenter"/>
              <w:spacing w:before="40" w:after="40"/>
            </w:pPr>
            <w:r w:rsidRPr="00E14359">
              <w:t>28 (5.6)</w:t>
            </w:r>
          </w:p>
        </w:tc>
        <w:tc>
          <w:tcPr>
            <w:tcW w:w="1838" w:type="pct"/>
          </w:tcPr>
          <w:p w:rsidR="00562FCC" w:rsidRPr="00E14359" w:rsidRDefault="00562FCC" w:rsidP="0005662C">
            <w:pPr>
              <w:pStyle w:val="TableCellCenter"/>
              <w:spacing w:before="40" w:after="40"/>
            </w:pPr>
            <w:r w:rsidRPr="00E14359">
              <w:t>9 (2.6)</w:t>
            </w:r>
          </w:p>
        </w:tc>
      </w:tr>
      <w:tr w:rsidR="00562FCC" w:rsidRPr="00E14359">
        <w:tc>
          <w:tcPr>
            <w:tcW w:w="1840" w:type="pct"/>
          </w:tcPr>
          <w:p w:rsidR="00562FCC" w:rsidRPr="00E14359" w:rsidRDefault="00562FCC" w:rsidP="0005662C">
            <w:pPr>
              <w:pStyle w:val="TableCellLeft"/>
              <w:spacing w:before="40" w:after="40"/>
              <w:ind w:left="240"/>
            </w:pPr>
            <w:r w:rsidRPr="00E14359">
              <w:t>Depression</w:t>
            </w:r>
          </w:p>
        </w:tc>
        <w:tc>
          <w:tcPr>
            <w:tcW w:w="1322" w:type="pct"/>
            <w:gridSpan w:val="2"/>
          </w:tcPr>
          <w:p w:rsidR="00562FCC" w:rsidRPr="00E14359" w:rsidRDefault="00562FCC" w:rsidP="0005662C">
            <w:pPr>
              <w:pStyle w:val="TableCellCenter"/>
              <w:spacing w:before="40" w:after="40"/>
            </w:pPr>
            <w:r w:rsidRPr="00E14359">
              <w:t>31 (6.2)</w:t>
            </w:r>
          </w:p>
        </w:tc>
        <w:tc>
          <w:tcPr>
            <w:tcW w:w="1838" w:type="pct"/>
          </w:tcPr>
          <w:p w:rsidR="00562FCC" w:rsidRPr="00E14359" w:rsidRDefault="00562FCC" w:rsidP="0005662C">
            <w:pPr>
              <w:pStyle w:val="TableCellCenter"/>
              <w:spacing w:before="40" w:after="40"/>
            </w:pPr>
            <w:r w:rsidRPr="00E14359">
              <w:t>10 (2.9)</w:t>
            </w:r>
          </w:p>
        </w:tc>
      </w:tr>
      <w:tr w:rsidR="00562FCC" w:rsidRPr="00E14359">
        <w:tc>
          <w:tcPr>
            <w:tcW w:w="1840" w:type="pct"/>
          </w:tcPr>
          <w:p w:rsidR="00562FCC" w:rsidRPr="00E14359" w:rsidRDefault="00562FCC" w:rsidP="0005662C">
            <w:pPr>
              <w:pStyle w:val="TableCellLeft"/>
              <w:spacing w:before="40" w:after="40"/>
              <w:ind w:left="240"/>
            </w:pPr>
            <w:r w:rsidRPr="00E14359">
              <w:lastRenderedPageBreak/>
              <w:t>Difficulty concentrating</w:t>
            </w:r>
          </w:p>
        </w:tc>
        <w:tc>
          <w:tcPr>
            <w:tcW w:w="1322" w:type="pct"/>
            <w:gridSpan w:val="2"/>
          </w:tcPr>
          <w:p w:rsidR="00562FCC" w:rsidRPr="00E14359" w:rsidRDefault="00562FCC" w:rsidP="0005662C">
            <w:pPr>
              <w:pStyle w:val="TableCellCenter"/>
              <w:spacing w:before="40" w:after="40"/>
            </w:pPr>
            <w:r w:rsidRPr="00E14359">
              <w:t>32 (6.4)</w:t>
            </w:r>
          </w:p>
        </w:tc>
        <w:tc>
          <w:tcPr>
            <w:tcW w:w="1838" w:type="pct"/>
          </w:tcPr>
          <w:p w:rsidR="00562FCC" w:rsidRPr="00E14359" w:rsidRDefault="00562FCC" w:rsidP="0005662C">
            <w:pPr>
              <w:pStyle w:val="TableCellCenter"/>
              <w:spacing w:before="40" w:after="40"/>
            </w:pPr>
            <w:r w:rsidRPr="00E14359">
              <w:t>7 (2.0)</w:t>
            </w:r>
          </w:p>
        </w:tc>
      </w:tr>
      <w:tr w:rsidR="00562FCC" w:rsidRPr="00E14359">
        <w:tc>
          <w:tcPr>
            <w:tcW w:w="1840" w:type="pct"/>
          </w:tcPr>
          <w:p w:rsidR="00562FCC" w:rsidRPr="00E14359" w:rsidRDefault="00562FCC" w:rsidP="0005662C">
            <w:pPr>
              <w:pStyle w:val="TableCellLeft"/>
              <w:spacing w:before="40" w:after="40"/>
              <w:ind w:left="240"/>
            </w:pPr>
            <w:r w:rsidRPr="00E14359">
              <w:t>Difficulty with memory</w:t>
            </w:r>
          </w:p>
        </w:tc>
        <w:tc>
          <w:tcPr>
            <w:tcW w:w="1322" w:type="pct"/>
            <w:gridSpan w:val="2"/>
          </w:tcPr>
          <w:p w:rsidR="00562FCC" w:rsidRPr="00E14359" w:rsidRDefault="00562FCC" w:rsidP="0005662C">
            <w:pPr>
              <w:pStyle w:val="TableCellCenter"/>
              <w:spacing w:before="40" w:after="40"/>
            </w:pPr>
            <w:r w:rsidRPr="00E14359">
              <w:t>25 (5.0)</w:t>
            </w:r>
          </w:p>
        </w:tc>
        <w:tc>
          <w:tcPr>
            <w:tcW w:w="1838" w:type="pct"/>
          </w:tcPr>
          <w:p w:rsidR="00562FCC" w:rsidRPr="00E14359" w:rsidRDefault="00562FCC" w:rsidP="0005662C">
            <w:pPr>
              <w:pStyle w:val="TableCellCenter"/>
              <w:spacing w:before="40" w:after="40"/>
            </w:pPr>
            <w:r w:rsidRPr="00E14359">
              <w:t>5 (1.4)</w:t>
            </w:r>
          </w:p>
        </w:tc>
      </w:tr>
      <w:tr w:rsidR="00562FCC" w:rsidRPr="00E14359">
        <w:tc>
          <w:tcPr>
            <w:tcW w:w="1840" w:type="pct"/>
          </w:tcPr>
          <w:p w:rsidR="00562FCC" w:rsidRPr="00E14359" w:rsidRDefault="00562FCC" w:rsidP="0005662C">
            <w:pPr>
              <w:pStyle w:val="TableCellLeft"/>
              <w:spacing w:before="40" w:after="40"/>
              <w:ind w:left="240"/>
            </w:pPr>
            <w:r w:rsidRPr="00E14359">
              <w:t>Dizziness</w:t>
            </w:r>
          </w:p>
        </w:tc>
        <w:tc>
          <w:tcPr>
            <w:tcW w:w="1322" w:type="pct"/>
            <w:gridSpan w:val="2"/>
          </w:tcPr>
          <w:p w:rsidR="00562FCC" w:rsidRPr="00E14359" w:rsidRDefault="00562FCC" w:rsidP="0005662C">
            <w:pPr>
              <w:pStyle w:val="TableCellCenter"/>
              <w:spacing w:before="40" w:after="40"/>
            </w:pPr>
            <w:r w:rsidRPr="00E14359">
              <w:t>77 (15.5)</w:t>
            </w:r>
          </w:p>
        </w:tc>
        <w:tc>
          <w:tcPr>
            <w:tcW w:w="1838" w:type="pct"/>
          </w:tcPr>
          <w:p w:rsidR="00562FCC" w:rsidRPr="00E14359" w:rsidRDefault="00562FCC" w:rsidP="0005662C">
            <w:pPr>
              <w:pStyle w:val="TableCellCenter"/>
              <w:spacing w:before="40" w:after="40"/>
            </w:pPr>
            <w:r w:rsidRPr="00E14359">
              <w:t>29 (8.3)</w:t>
            </w:r>
          </w:p>
        </w:tc>
      </w:tr>
      <w:tr w:rsidR="00562FCC" w:rsidRPr="00E14359">
        <w:tc>
          <w:tcPr>
            <w:tcW w:w="1840" w:type="pct"/>
          </w:tcPr>
          <w:p w:rsidR="00562FCC" w:rsidRPr="00E14359" w:rsidRDefault="00562FCC" w:rsidP="0005662C">
            <w:pPr>
              <w:pStyle w:val="TableCellLeft"/>
              <w:spacing w:before="40" w:after="40"/>
              <w:ind w:left="240"/>
            </w:pPr>
            <w:r w:rsidRPr="00E14359">
              <w:t>Emotional lability/moodiness</w:t>
            </w:r>
          </w:p>
        </w:tc>
        <w:tc>
          <w:tcPr>
            <w:tcW w:w="1322" w:type="pct"/>
            <w:gridSpan w:val="2"/>
          </w:tcPr>
          <w:p w:rsidR="00562FCC" w:rsidRPr="00E14359" w:rsidRDefault="00562FCC" w:rsidP="0005662C">
            <w:pPr>
              <w:pStyle w:val="TableCellCenter"/>
              <w:spacing w:before="40" w:after="40"/>
            </w:pPr>
            <w:r w:rsidRPr="00E14359">
              <w:t>20 (4.0)</w:t>
            </w:r>
          </w:p>
        </w:tc>
        <w:tc>
          <w:tcPr>
            <w:tcW w:w="1838" w:type="pct"/>
          </w:tcPr>
          <w:p w:rsidR="00562FCC" w:rsidRPr="00E14359" w:rsidRDefault="00562FCC" w:rsidP="0005662C">
            <w:pPr>
              <w:pStyle w:val="TableCellCenter"/>
              <w:spacing w:before="40" w:after="40"/>
            </w:pPr>
            <w:r w:rsidRPr="00E14359">
              <w:t>10 (2.9)</w:t>
            </w:r>
          </w:p>
        </w:tc>
      </w:tr>
      <w:tr w:rsidR="00562FCC" w:rsidRPr="00E14359">
        <w:tc>
          <w:tcPr>
            <w:tcW w:w="1840" w:type="pct"/>
          </w:tcPr>
          <w:p w:rsidR="00562FCC" w:rsidRPr="00E14359" w:rsidRDefault="00562FCC" w:rsidP="0005662C">
            <w:pPr>
              <w:pStyle w:val="TableCellLeft"/>
              <w:spacing w:before="40" w:after="40"/>
              <w:ind w:left="240"/>
            </w:pPr>
            <w:r w:rsidRPr="00E14359">
              <w:t>Fatigue</w:t>
            </w:r>
          </w:p>
        </w:tc>
        <w:tc>
          <w:tcPr>
            <w:tcW w:w="1322" w:type="pct"/>
            <w:gridSpan w:val="2"/>
          </w:tcPr>
          <w:p w:rsidR="00562FCC" w:rsidRPr="00E14359" w:rsidRDefault="00562FCC" w:rsidP="0005662C">
            <w:pPr>
              <w:pStyle w:val="TableCellCenter"/>
              <w:spacing w:before="40" w:after="40"/>
            </w:pPr>
            <w:r w:rsidRPr="00E14359">
              <w:t>33 (6.6)</w:t>
            </w:r>
          </w:p>
        </w:tc>
        <w:tc>
          <w:tcPr>
            <w:tcW w:w="1838" w:type="pct"/>
          </w:tcPr>
          <w:p w:rsidR="00562FCC" w:rsidRPr="00E14359" w:rsidRDefault="00562FCC" w:rsidP="0005662C">
            <w:pPr>
              <w:pStyle w:val="TableCellCenter"/>
              <w:spacing w:before="40" w:after="40"/>
            </w:pPr>
            <w:r w:rsidRPr="00E14359">
              <w:t>22 (6.3)</w:t>
            </w:r>
          </w:p>
        </w:tc>
      </w:tr>
      <w:tr w:rsidR="00562FCC" w:rsidRPr="00E14359">
        <w:tc>
          <w:tcPr>
            <w:tcW w:w="1840" w:type="pct"/>
          </w:tcPr>
          <w:p w:rsidR="00562FCC" w:rsidRPr="00E14359" w:rsidRDefault="00562FCC" w:rsidP="0005662C">
            <w:pPr>
              <w:pStyle w:val="TableCellLeft"/>
              <w:spacing w:before="40" w:after="40"/>
              <w:ind w:left="240"/>
            </w:pPr>
            <w:r w:rsidRPr="00E14359">
              <w:t>Hypesthesia</w:t>
            </w:r>
          </w:p>
        </w:tc>
        <w:tc>
          <w:tcPr>
            <w:tcW w:w="1322" w:type="pct"/>
            <w:gridSpan w:val="2"/>
          </w:tcPr>
          <w:p w:rsidR="00562FCC" w:rsidRPr="00E14359" w:rsidRDefault="00562FCC" w:rsidP="0005662C">
            <w:pPr>
              <w:pStyle w:val="TableCellCenter"/>
              <w:spacing w:before="40" w:after="40"/>
            </w:pPr>
            <w:r w:rsidRPr="00E14359">
              <w:t>8 (1.6)</w:t>
            </w:r>
          </w:p>
        </w:tc>
        <w:tc>
          <w:tcPr>
            <w:tcW w:w="1838" w:type="pct"/>
          </w:tcPr>
          <w:p w:rsidR="00562FCC" w:rsidRPr="00E14359" w:rsidRDefault="00562FCC" w:rsidP="0005662C">
            <w:pPr>
              <w:pStyle w:val="TableCellCenter"/>
              <w:spacing w:before="40" w:after="40"/>
            </w:pPr>
            <w:r w:rsidRPr="00E14359">
              <w:t>4 (1.1)</w:t>
            </w:r>
          </w:p>
        </w:tc>
      </w:tr>
      <w:tr w:rsidR="00562FCC" w:rsidRPr="00E14359">
        <w:tc>
          <w:tcPr>
            <w:tcW w:w="1840" w:type="pct"/>
          </w:tcPr>
          <w:p w:rsidR="00562FCC" w:rsidRPr="00E14359" w:rsidRDefault="00562FCC" w:rsidP="0005662C">
            <w:pPr>
              <w:pStyle w:val="TableCellLeft"/>
              <w:spacing w:before="40" w:after="40"/>
              <w:ind w:left="240"/>
            </w:pPr>
            <w:r w:rsidRPr="00E14359">
              <w:t>Incoordination</w:t>
            </w:r>
          </w:p>
        </w:tc>
        <w:tc>
          <w:tcPr>
            <w:tcW w:w="1322" w:type="pct"/>
            <w:gridSpan w:val="2"/>
          </w:tcPr>
          <w:p w:rsidR="00562FCC" w:rsidRPr="00E14359" w:rsidRDefault="00562FCC" w:rsidP="0005662C">
            <w:pPr>
              <w:pStyle w:val="TableCellCenter"/>
              <w:spacing w:before="40" w:after="40"/>
            </w:pPr>
            <w:r w:rsidRPr="00E14359">
              <w:t>6 (1.2)</w:t>
            </w:r>
          </w:p>
        </w:tc>
        <w:tc>
          <w:tcPr>
            <w:tcW w:w="1838" w:type="pct"/>
          </w:tcPr>
          <w:p w:rsidR="00562FCC" w:rsidRPr="00E14359" w:rsidRDefault="00562FCC" w:rsidP="0005662C">
            <w:pPr>
              <w:pStyle w:val="TableCellCenter"/>
              <w:spacing w:before="40" w:after="40"/>
            </w:pPr>
            <w:r w:rsidRPr="00E14359">
              <w:t>3 (0.9)</w:t>
            </w:r>
          </w:p>
        </w:tc>
      </w:tr>
      <w:tr w:rsidR="00562FCC" w:rsidRPr="00E14359">
        <w:tc>
          <w:tcPr>
            <w:tcW w:w="1840" w:type="pct"/>
          </w:tcPr>
          <w:p w:rsidR="00562FCC" w:rsidRPr="00E14359" w:rsidRDefault="00562FCC" w:rsidP="0005662C">
            <w:pPr>
              <w:pStyle w:val="TableCellLeft"/>
              <w:spacing w:before="40" w:after="40"/>
              <w:ind w:left="240"/>
            </w:pPr>
            <w:r w:rsidRPr="00E14359">
              <w:t>Insomnia</w:t>
            </w:r>
          </w:p>
        </w:tc>
        <w:tc>
          <w:tcPr>
            <w:tcW w:w="1322" w:type="pct"/>
            <w:gridSpan w:val="2"/>
          </w:tcPr>
          <w:p w:rsidR="00562FCC" w:rsidRPr="00E14359" w:rsidRDefault="00562FCC" w:rsidP="0005662C">
            <w:pPr>
              <w:pStyle w:val="TableCellCenter"/>
              <w:spacing w:before="40" w:after="40"/>
            </w:pPr>
            <w:r w:rsidRPr="00E14359">
              <w:t>27 (5.4)</w:t>
            </w:r>
          </w:p>
        </w:tc>
        <w:tc>
          <w:tcPr>
            <w:tcW w:w="1838" w:type="pct"/>
          </w:tcPr>
          <w:p w:rsidR="00562FCC" w:rsidRPr="00E14359" w:rsidRDefault="00562FCC" w:rsidP="0005662C">
            <w:pPr>
              <w:pStyle w:val="TableCellCenter"/>
              <w:spacing w:before="40" w:after="40"/>
            </w:pPr>
            <w:r w:rsidRPr="00E14359">
              <w:t>11 (3.1)</w:t>
            </w:r>
          </w:p>
        </w:tc>
      </w:tr>
      <w:tr w:rsidR="00562FCC" w:rsidRPr="00E14359">
        <w:tc>
          <w:tcPr>
            <w:tcW w:w="1840" w:type="pct"/>
          </w:tcPr>
          <w:p w:rsidR="00562FCC" w:rsidRPr="00E14359" w:rsidRDefault="00562FCC" w:rsidP="0005662C">
            <w:pPr>
              <w:pStyle w:val="TableCellLeft"/>
              <w:spacing w:before="40" w:after="40"/>
              <w:ind w:left="240"/>
            </w:pPr>
            <w:r w:rsidRPr="00E14359">
              <w:t>Mental slowing</w:t>
            </w:r>
          </w:p>
        </w:tc>
        <w:tc>
          <w:tcPr>
            <w:tcW w:w="1322" w:type="pct"/>
            <w:gridSpan w:val="2"/>
          </w:tcPr>
          <w:p w:rsidR="00562FCC" w:rsidRPr="00E14359" w:rsidRDefault="00562FCC" w:rsidP="0005662C">
            <w:pPr>
              <w:pStyle w:val="TableCellCenter"/>
              <w:spacing w:before="40" w:after="40"/>
            </w:pPr>
            <w:r w:rsidRPr="00E14359">
              <w:t>15 (3.0)</w:t>
            </w:r>
          </w:p>
        </w:tc>
        <w:tc>
          <w:tcPr>
            <w:tcW w:w="1838" w:type="pct"/>
          </w:tcPr>
          <w:p w:rsidR="00562FCC" w:rsidRPr="00E14359" w:rsidRDefault="00562FCC" w:rsidP="0005662C">
            <w:pPr>
              <w:pStyle w:val="TableCellCenter"/>
              <w:spacing w:before="40" w:after="40"/>
            </w:pPr>
            <w:r w:rsidRPr="00E14359">
              <w:t>7 (2.0)</w:t>
            </w:r>
          </w:p>
        </w:tc>
      </w:tr>
      <w:tr w:rsidR="00562FCC" w:rsidRPr="00E14359">
        <w:tc>
          <w:tcPr>
            <w:tcW w:w="1840" w:type="pct"/>
          </w:tcPr>
          <w:p w:rsidR="00562FCC" w:rsidRPr="00E14359" w:rsidRDefault="00562FCC" w:rsidP="0005662C">
            <w:pPr>
              <w:pStyle w:val="TableCellLeft"/>
              <w:spacing w:before="40" w:after="40"/>
              <w:ind w:left="240"/>
            </w:pPr>
            <w:r w:rsidRPr="00E14359">
              <w:t>Nervousness</w:t>
            </w:r>
          </w:p>
        </w:tc>
        <w:tc>
          <w:tcPr>
            <w:tcW w:w="1322" w:type="pct"/>
            <w:gridSpan w:val="2"/>
          </w:tcPr>
          <w:p w:rsidR="00562FCC" w:rsidRPr="00E14359" w:rsidRDefault="00562FCC" w:rsidP="0005662C">
            <w:pPr>
              <w:pStyle w:val="TableCellCenter"/>
              <w:spacing w:before="40" w:after="40"/>
            </w:pPr>
            <w:r w:rsidRPr="00E14359">
              <w:t>9 (1.8)</w:t>
            </w:r>
          </w:p>
        </w:tc>
        <w:tc>
          <w:tcPr>
            <w:tcW w:w="1838" w:type="pct"/>
          </w:tcPr>
          <w:p w:rsidR="00562FCC" w:rsidRPr="00E14359" w:rsidRDefault="00562FCC" w:rsidP="0005662C">
            <w:pPr>
              <w:pStyle w:val="TableCellCenter"/>
              <w:spacing w:before="40" w:after="40"/>
            </w:pPr>
            <w:r w:rsidRPr="00E14359">
              <w:t>3 (0.9)</w:t>
            </w:r>
          </w:p>
        </w:tc>
      </w:tr>
      <w:tr w:rsidR="00562FCC" w:rsidRPr="00E14359">
        <w:tc>
          <w:tcPr>
            <w:tcW w:w="1840" w:type="pct"/>
          </w:tcPr>
          <w:p w:rsidR="00562FCC" w:rsidRPr="00E14359" w:rsidRDefault="00562FCC" w:rsidP="0005662C">
            <w:pPr>
              <w:pStyle w:val="TableCellLeft"/>
              <w:spacing w:before="40" w:after="40"/>
              <w:ind w:left="240"/>
            </w:pPr>
            <w:r w:rsidRPr="00E14359">
              <w:t>Nystagmus</w:t>
            </w:r>
          </w:p>
        </w:tc>
        <w:tc>
          <w:tcPr>
            <w:tcW w:w="1322" w:type="pct"/>
            <w:gridSpan w:val="2"/>
          </w:tcPr>
          <w:p w:rsidR="00562FCC" w:rsidRPr="00E14359" w:rsidRDefault="00562FCC" w:rsidP="0005662C">
            <w:pPr>
              <w:pStyle w:val="TableCellCenter"/>
              <w:spacing w:before="40" w:after="40"/>
            </w:pPr>
            <w:r w:rsidRPr="00E14359">
              <w:t>18 (3.6)</w:t>
            </w:r>
          </w:p>
        </w:tc>
        <w:tc>
          <w:tcPr>
            <w:tcW w:w="1838" w:type="pct"/>
          </w:tcPr>
          <w:p w:rsidR="00562FCC" w:rsidRPr="00E14359" w:rsidRDefault="00562FCC" w:rsidP="0005662C">
            <w:pPr>
              <w:pStyle w:val="TableCellCenter"/>
              <w:spacing w:before="40" w:after="40"/>
            </w:pPr>
            <w:r w:rsidRPr="00E14359">
              <w:t>7 (2.0)</w:t>
            </w:r>
          </w:p>
        </w:tc>
      </w:tr>
      <w:tr w:rsidR="00562FCC" w:rsidRPr="00E14359">
        <w:tc>
          <w:tcPr>
            <w:tcW w:w="1840" w:type="pct"/>
          </w:tcPr>
          <w:p w:rsidR="00562FCC" w:rsidRPr="00E14359" w:rsidRDefault="00562FCC" w:rsidP="0005662C">
            <w:pPr>
              <w:pStyle w:val="TableCellLeft"/>
              <w:spacing w:before="40" w:after="40"/>
              <w:ind w:left="240"/>
            </w:pPr>
            <w:r w:rsidRPr="00E14359">
              <w:t>Paresthesia</w:t>
            </w:r>
          </w:p>
        </w:tc>
        <w:tc>
          <w:tcPr>
            <w:tcW w:w="1322" w:type="pct"/>
            <w:gridSpan w:val="2"/>
          </w:tcPr>
          <w:p w:rsidR="00562FCC" w:rsidRPr="00E14359" w:rsidRDefault="00562FCC" w:rsidP="0005662C">
            <w:pPr>
              <w:pStyle w:val="TableCellCenter"/>
              <w:spacing w:before="40" w:after="40"/>
            </w:pPr>
            <w:r w:rsidRPr="00E14359">
              <w:t>16 (3.2)</w:t>
            </w:r>
          </w:p>
        </w:tc>
        <w:tc>
          <w:tcPr>
            <w:tcW w:w="1838" w:type="pct"/>
          </w:tcPr>
          <w:p w:rsidR="00562FCC" w:rsidRPr="00E14359" w:rsidRDefault="00562FCC" w:rsidP="0005662C">
            <w:pPr>
              <w:pStyle w:val="TableCellCenter"/>
              <w:spacing w:before="40" w:after="40"/>
            </w:pPr>
            <w:r w:rsidRPr="00E14359">
              <w:t>6 (1.7)</w:t>
            </w:r>
          </w:p>
        </w:tc>
      </w:tr>
      <w:tr w:rsidR="00562FCC" w:rsidRPr="00E14359">
        <w:tc>
          <w:tcPr>
            <w:tcW w:w="1840" w:type="pct"/>
          </w:tcPr>
          <w:p w:rsidR="00562FCC" w:rsidRPr="00E14359" w:rsidRDefault="00562FCC" w:rsidP="0005662C">
            <w:pPr>
              <w:pStyle w:val="TableCellLeft"/>
              <w:spacing w:before="40" w:after="40"/>
              <w:ind w:left="240"/>
            </w:pPr>
            <w:r w:rsidRPr="00E14359">
              <w:t>Psychomotor slowing</w:t>
            </w:r>
          </w:p>
        </w:tc>
        <w:tc>
          <w:tcPr>
            <w:tcW w:w="1322" w:type="pct"/>
            <w:gridSpan w:val="2"/>
          </w:tcPr>
          <w:p w:rsidR="00562FCC" w:rsidRPr="00E14359" w:rsidRDefault="00562FCC" w:rsidP="0005662C">
            <w:pPr>
              <w:pStyle w:val="TableCellCenter"/>
              <w:spacing w:before="40" w:after="40"/>
            </w:pPr>
            <w:r w:rsidRPr="00E14359">
              <w:t>8 (1.6)</w:t>
            </w:r>
          </w:p>
        </w:tc>
        <w:tc>
          <w:tcPr>
            <w:tcW w:w="1838" w:type="pct"/>
          </w:tcPr>
          <w:p w:rsidR="00562FCC" w:rsidRPr="00E14359" w:rsidRDefault="00562FCC" w:rsidP="0005662C">
            <w:pPr>
              <w:pStyle w:val="TableCellCenter"/>
              <w:spacing w:before="40" w:after="40"/>
            </w:pPr>
            <w:r w:rsidRPr="00E14359">
              <w:t>3 (0.9)</w:t>
            </w:r>
          </w:p>
        </w:tc>
      </w:tr>
      <w:tr w:rsidR="00562FCC" w:rsidRPr="00E14359">
        <w:tc>
          <w:tcPr>
            <w:tcW w:w="1840" w:type="pct"/>
          </w:tcPr>
          <w:p w:rsidR="00562FCC" w:rsidRPr="00E14359" w:rsidRDefault="00562FCC" w:rsidP="0005662C">
            <w:pPr>
              <w:pStyle w:val="TableCellLeft"/>
              <w:spacing w:before="40" w:after="40"/>
              <w:ind w:left="240"/>
            </w:pPr>
            <w:r w:rsidRPr="00E14359">
              <w:t>Psychosis/Psychotic Disorder</w:t>
            </w:r>
          </w:p>
        </w:tc>
        <w:tc>
          <w:tcPr>
            <w:tcW w:w="1322" w:type="pct"/>
            <w:gridSpan w:val="2"/>
          </w:tcPr>
          <w:p w:rsidR="00562FCC" w:rsidRPr="00E14359" w:rsidRDefault="00562FCC" w:rsidP="0005662C">
            <w:pPr>
              <w:pStyle w:val="TableCellCenter"/>
              <w:spacing w:before="40" w:after="40"/>
            </w:pPr>
            <w:r w:rsidRPr="00E14359">
              <w:t>5 (1.0)</w:t>
            </w:r>
          </w:p>
        </w:tc>
        <w:tc>
          <w:tcPr>
            <w:tcW w:w="1838" w:type="pct"/>
          </w:tcPr>
          <w:p w:rsidR="00562FCC" w:rsidRPr="00E14359" w:rsidRDefault="00562FCC" w:rsidP="0005662C">
            <w:pPr>
              <w:pStyle w:val="TableCellCenter"/>
              <w:spacing w:before="40" w:after="40"/>
            </w:pPr>
            <w:r w:rsidRPr="00E14359">
              <w:t>3 (0.9)</w:t>
            </w:r>
          </w:p>
        </w:tc>
      </w:tr>
      <w:tr w:rsidR="00562FCC" w:rsidRPr="00E14359">
        <w:tc>
          <w:tcPr>
            <w:tcW w:w="1840" w:type="pct"/>
          </w:tcPr>
          <w:p w:rsidR="00562FCC" w:rsidRPr="00E14359" w:rsidRDefault="00562FCC" w:rsidP="0005662C">
            <w:pPr>
              <w:pStyle w:val="TableCellLeft"/>
              <w:spacing w:before="40" w:after="40"/>
              <w:ind w:left="240"/>
            </w:pPr>
            <w:r w:rsidRPr="00E14359">
              <w:t xml:space="preserve">Schizophrenic/Schizophreniform </w:t>
            </w:r>
            <w:r w:rsidR="001E553E" w:rsidRPr="00E14359">
              <w:t>behaviour</w:t>
            </w:r>
          </w:p>
        </w:tc>
        <w:tc>
          <w:tcPr>
            <w:tcW w:w="1322" w:type="pct"/>
            <w:gridSpan w:val="2"/>
          </w:tcPr>
          <w:p w:rsidR="00562FCC" w:rsidRPr="00E14359" w:rsidRDefault="00562FCC" w:rsidP="0005662C">
            <w:pPr>
              <w:pStyle w:val="TableCellCenter"/>
              <w:spacing w:before="40" w:after="40"/>
            </w:pPr>
            <w:r w:rsidRPr="00E14359">
              <w:t>7 (1.4)</w:t>
            </w:r>
          </w:p>
        </w:tc>
        <w:tc>
          <w:tcPr>
            <w:tcW w:w="1838" w:type="pct"/>
          </w:tcPr>
          <w:p w:rsidR="00562FCC" w:rsidRPr="00E14359" w:rsidRDefault="00562FCC" w:rsidP="0005662C">
            <w:pPr>
              <w:pStyle w:val="TableCellCenter"/>
              <w:spacing w:before="40" w:after="40"/>
            </w:pPr>
            <w:r w:rsidRPr="00E14359">
              <w:t>2 (0.6)</w:t>
            </w:r>
          </w:p>
        </w:tc>
      </w:tr>
      <w:tr w:rsidR="00562FCC" w:rsidRPr="00E14359">
        <w:tc>
          <w:tcPr>
            <w:tcW w:w="1840" w:type="pct"/>
          </w:tcPr>
          <w:p w:rsidR="00562FCC" w:rsidRPr="00E14359" w:rsidRDefault="00562FCC" w:rsidP="0005662C">
            <w:pPr>
              <w:pStyle w:val="TableCellLeft"/>
              <w:spacing w:before="40" w:after="40"/>
              <w:ind w:left="240"/>
            </w:pPr>
            <w:r w:rsidRPr="00E14359">
              <w:t>Somnolence</w:t>
            </w:r>
          </w:p>
        </w:tc>
        <w:tc>
          <w:tcPr>
            <w:tcW w:w="1322" w:type="pct"/>
            <w:gridSpan w:val="2"/>
          </w:tcPr>
          <w:p w:rsidR="00562FCC" w:rsidRPr="00E14359" w:rsidRDefault="00562FCC" w:rsidP="0005662C">
            <w:pPr>
              <w:pStyle w:val="TableCellCenter"/>
              <w:spacing w:before="40" w:after="40"/>
            </w:pPr>
            <w:r w:rsidRPr="00E14359">
              <w:t>80 (16.1)</w:t>
            </w:r>
          </w:p>
        </w:tc>
        <w:tc>
          <w:tcPr>
            <w:tcW w:w="1838" w:type="pct"/>
          </w:tcPr>
          <w:p w:rsidR="00562FCC" w:rsidRPr="00E14359" w:rsidRDefault="00562FCC" w:rsidP="0005662C">
            <w:pPr>
              <w:pStyle w:val="TableCellCenter"/>
              <w:spacing w:before="40" w:after="40"/>
            </w:pPr>
            <w:r w:rsidRPr="00E14359">
              <w:t>29 (8.3)</w:t>
            </w:r>
          </w:p>
        </w:tc>
      </w:tr>
      <w:tr w:rsidR="00562FCC" w:rsidRPr="00E14359">
        <w:tc>
          <w:tcPr>
            <w:tcW w:w="1840" w:type="pct"/>
          </w:tcPr>
          <w:p w:rsidR="00562FCC" w:rsidRPr="00E14359" w:rsidRDefault="00562FCC" w:rsidP="0005662C">
            <w:pPr>
              <w:pStyle w:val="TableCellLeft"/>
              <w:spacing w:before="40" w:after="40"/>
              <w:ind w:left="240"/>
            </w:pPr>
            <w:r w:rsidRPr="00E14359">
              <w:t>Speech &amp; Language abnormalities</w:t>
            </w:r>
          </w:p>
        </w:tc>
        <w:tc>
          <w:tcPr>
            <w:tcW w:w="1322" w:type="pct"/>
            <w:gridSpan w:val="2"/>
          </w:tcPr>
          <w:p w:rsidR="00562FCC" w:rsidRPr="00E14359" w:rsidRDefault="00562FCC" w:rsidP="0005662C">
            <w:pPr>
              <w:pStyle w:val="TableCellCenter"/>
              <w:spacing w:before="40" w:after="40"/>
            </w:pPr>
            <w:r w:rsidRPr="00E14359">
              <w:t>29 (5.8)</w:t>
            </w:r>
          </w:p>
        </w:tc>
        <w:tc>
          <w:tcPr>
            <w:tcW w:w="1838" w:type="pct"/>
          </w:tcPr>
          <w:p w:rsidR="00562FCC" w:rsidRPr="00E14359" w:rsidRDefault="00562FCC" w:rsidP="0005662C">
            <w:pPr>
              <w:pStyle w:val="TableCellCenter"/>
              <w:spacing w:before="40" w:after="40"/>
            </w:pPr>
            <w:r w:rsidRPr="00E14359">
              <w:t>6 (1.7)</w:t>
            </w:r>
          </w:p>
        </w:tc>
      </w:tr>
      <w:tr w:rsidR="00562FCC" w:rsidRPr="00E14359">
        <w:tc>
          <w:tcPr>
            <w:tcW w:w="1840" w:type="pct"/>
          </w:tcPr>
          <w:p w:rsidR="00562FCC" w:rsidRPr="00E14359" w:rsidRDefault="00562FCC" w:rsidP="0005662C">
            <w:pPr>
              <w:pStyle w:val="TableCellLeft"/>
              <w:spacing w:before="40" w:after="40"/>
              <w:ind w:left="240"/>
            </w:pPr>
            <w:r w:rsidRPr="00E14359">
              <w:t>Tiredness</w:t>
            </w:r>
          </w:p>
        </w:tc>
        <w:tc>
          <w:tcPr>
            <w:tcW w:w="1322" w:type="pct"/>
            <w:gridSpan w:val="2"/>
          </w:tcPr>
          <w:p w:rsidR="00562FCC" w:rsidRPr="00E14359" w:rsidRDefault="00562FCC" w:rsidP="0005662C">
            <w:pPr>
              <w:pStyle w:val="TableCellCenter"/>
              <w:spacing w:before="40" w:after="40"/>
            </w:pPr>
            <w:r w:rsidRPr="00E14359">
              <w:t>43 (8.6)</w:t>
            </w:r>
          </w:p>
        </w:tc>
        <w:tc>
          <w:tcPr>
            <w:tcW w:w="1838" w:type="pct"/>
          </w:tcPr>
          <w:p w:rsidR="00562FCC" w:rsidRPr="00E14359" w:rsidRDefault="00562FCC" w:rsidP="0005662C">
            <w:pPr>
              <w:pStyle w:val="TableCellCenter"/>
              <w:spacing w:before="40" w:after="40"/>
            </w:pPr>
            <w:r w:rsidRPr="00E14359">
              <w:t>24 (6.9)</w:t>
            </w:r>
          </w:p>
        </w:tc>
      </w:tr>
      <w:tr w:rsidR="00562FCC" w:rsidRPr="00E14359">
        <w:tc>
          <w:tcPr>
            <w:tcW w:w="1840" w:type="pct"/>
          </w:tcPr>
          <w:p w:rsidR="00562FCC" w:rsidRPr="00E14359" w:rsidRDefault="00562FCC" w:rsidP="0005662C">
            <w:pPr>
              <w:pStyle w:val="TableCellLeft"/>
              <w:spacing w:before="40" w:after="40"/>
              <w:ind w:left="240"/>
            </w:pPr>
            <w:r w:rsidRPr="00E14359">
              <w:t>Tremor</w:t>
            </w:r>
          </w:p>
        </w:tc>
        <w:tc>
          <w:tcPr>
            <w:tcW w:w="1322" w:type="pct"/>
            <w:gridSpan w:val="2"/>
          </w:tcPr>
          <w:p w:rsidR="00562FCC" w:rsidRPr="00E14359" w:rsidRDefault="00562FCC" w:rsidP="0005662C">
            <w:pPr>
              <w:pStyle w:val="TableCellCenter"/>
              <w:spacing w:before="40" w:after="40"/>
            </w:pPr>
            <w:r w:rsidRPr="00E14359">
              <w:t>16 (3.2)</w:t>
            </w:r>
          </w:p>
        </w:tc>
        <w:tc>
          <w:tcPr>
            <w:tcW w:w="1838" w:type="pct"/>
          </w:tcPr>
          <w:p w:rsidR="00562FCC" w:rsidRPr="00E14359" w:rsidRDefault="00562FCC" w:rsidP="0005662C">
            <w:pPr>
              <w:pStyle w:val="TableCellCenter"/>
              <w:spacing w:before="40" w:after="40"/>
            </w:pPr>
            <w:r w:rsidRPr="00E14359">
              <w:t>7 (2.0)</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Renal and Urinary disorders</w:t>
            </w:r>
          </w:p>
        </w:tc>
      </w:tr>
      <w:tr w:rsidR="00562FCC" w:rsidRPr="00E14359">
        <w:tc>
          <w:tcPr>
            <w:tcW w:w="1840" w:type="pct"/>
          </w:tcPr>
          <w:p w:rsidR="00562FCC" w:rsidRPr="00E14359" w:rsidRDefault="00562FCC" w:rsidP="0005662C">
            <w:pPr>
              <w:pStyle w:val="TableCellLeft"/>
              <w:spacing w:before="40" w:after="40"/>
              <w:ind w:left="240"/>
            </w:pPr>
            <w:r w:rsidRPr="00E14359">
              <w:t>Nephrolithiasis*</w:t>
            </w:r>
          </w:p>
        </w:tc>
        <w:tc>
          <w:tcPr>
            <w:tcW w:w="1322" w:type="pct"/>
            <w:gridSpan w:val="2"/>
          </w:tcPr>
          <w:p w:rsidR="00562FCC" w:rsidRPr="00E14359" w:rsidRDefault="00562FCC" w:rsidP="0005662C">
            <w:pPr>
              <w:pStyle w:val="TableCellCenter"/>
              <w:spacing w:before="40" w:after="40"/>
            </w:pPr>
            <w:r w:rsidRPr="00E14359">
              <w:t>&gt;1%</w:t>
            </w:r>
          </w:p>
        </w:tc>
        <w:tc>
          <w:tcPr>
            <w:tcW w:w="1838" w:type="pct"/>
          </w:tcPr>
          <w:p w:rsidR="00562FCC" w:rsidRPr="00E14359" w:rsidRDefault="00562FCC" w:rsidP="0005662C">
            <w:pPr>
              <w:pStyle w:val="TableCellCenter"/>
              <w:spacing w:before="40" w:after="40"/>
            </w:pP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Respiratory</w:t>
            </w:r>
          </w:p>
        </w:tc>
      </w:tr>
      <w:tr w:rsidR="00562FCC" w:rsidRPr="00E14359">
        <w:tc>
          <w:tcPr>
            <w:tcW w:w="1840" w:type="pct"/>
          </w:tcPr>
          <w:p w:rsidR="00562FCC" w:rsidRPr="00E14359" w:rsidRDefault="00562FCC" w:rsidP="0005662C">
            <w:pPr>
              <w:pStyle w:val="TableCellLeft"/>
              <w:spacing w:before="40" w:after="40"/>
              <w:ind w:left="240"/>
            </w:pPr>
            <w:r w:rsidRPr="00E14359">
              <w:t>Cough increased</w:t>
            </w:r>
          </w:p>
        </w:tc>
        <w:tc>
          <w:tcPr>
            <w:tcW w:w="1322" w:type="pct"/>
            <w:gridSpan w:val="2"/>
          </w:tcPr>
          <w:p w:rsidR="00562FCC" w:rsidRPr="00E14359" w:rsidRDefault="00562FCC" w:rsidP="0005662C">
            <w:pPr>
              <w:pStyle w:val="TableCellCenter"/>
              <w:spacing w:before="40" w:after="40"/>
            </w:pPr>
            <w:r w:rsidRPr="00E14359">
              <w:t>8 (1.6)</w:t>
            </w:r>
          </w:p>
        </w:tc>
        <w:tc>
          <w:tcPr>
            <w:tcW w:w="1838" w:type="pct"/>
          </w:tcPr>
          <w:p w:rsidR="00562FCC" w:rsidRPr="00E14359" w:rsidRDefault="00562FCC" w:rsidP="0005662C">
            <w:pPr>
              <w:pStyle w:val="TableCellCenter"/>
              <w:spacing w:before="40" w:after="40"/>
            </w:pPr>
            <w:r w:rsidRPr="00E14359">
              <w:t>4 (1.1)</w:t>
            </w:r>
          </w:p>
        </w:tc>
      </w:tr>
      <w:tr w:rsidR="00562FCC" w:rsidRPr="00E14359">
        <w:tc>
          <w:tcPr>
            <w:tcW w:w="1840" w:type="pct"/>
          </w:tcPr>
          <w:p w:rsidR="00562FCC" w:rsidRPr="00E14359" w:rsidRDefault="00562FCC" w:rsidP="0005662C">
            <w:pPr>
              <w:pStyle w:val="TableCellLeft"/>
              <w:spacing w:before="40" w:after="40"/>
              <w:ind w:left="240"/>
            </w:pPr>
            <w:r w:rsidRPr="00E14359">
              <w:t>Pharyngitis</w:t>
            </w:r>
          </w:p>
        </w:tc>
        <w:tc>
          <w:tcPr>
            <w:tcW w:w="1322" w:type="pct"/>
            <w:gridSpan w:val="2"/>
          </w:tcPr>
          <w:p w:rsidR="00562FCC" w:rsidRPr="00E14359" w:rsidRDefault="00562FCC" w:rsidP="0005662C">
            <w:pPr>
              <w:pStyle w:val="TableCellCenter"/>
              <w:spacing w:before="40" w:after="40"/>
            </w:pPr>
            <w:r w:rsidRPr="00E14359">
              <w:t>21 (4.2)</w:t>
            </w:r>
          </w:p>
        </w:tc>
        <w:tc>
          <w:tcPr>
            <w:tcW w:w="1838" w:type="pct"/>
          </w:tcPr>
          <w:p w:rsidR="00562FCC" w:rsidRPr="00E14359" w:rsidRDefault="00562FCC" w:rsidP="0005662C">
            <w:pPr>
              <w:pStyle w:val="TableCellCenter"/>
              <w:spacing w:before="40" w:after="40"/>
            </w:pPr>
            <w:r w:rsidRPr="00E14359">
              <w:t>10 (2.9)</w:t>
            </w:r>
          </w:p>
        </w:tc>
      </w:tr>
      <w:tr w:rsidR="00562FCC" w:rsidRPr="00E14359">
        <w:tc>
          <w:tcPr>
            <w:tcW w:w="1840" w:type="pct"/>
          </w:tcPr>
          <w:p w:rsidR="00562FCC" w:rsidRPr="00E14359" w:rsidRDefault="00562FCC" w:rsidP="0005662C">
            <w:pPr>
              <w:pStyle w:val="TableCellLeft"/>
              <w:spacing w:before="40" w:after="40"/>
              <w:ind w:left="240"/>
            </w:pPr>
            <w:r w:rsidRPr="00E14359">
              <w:t>Rhinitis</w:t>
            </w:r>
          </w:p>
        </w:tc>
        <w:tc>
          <w:tcPr>
            <w:tcW w:w="1322" w:type="pct"/>
            <w:gridSpan w:val="2"/>
          </w:tcPr>
          <w:p w:rsidR="00562FCC" w:rsidRPr="00E14359" w:rsidRDefault="00562FCC" w:rsidP="0005662C">
            <w:pPr>
              <w:pStyle w:val="TableCellCenter"/>
              <w:spacing w:before="40" w:after="40"/>
            </w:pPr>
            <w:r w:rsidRPr="00E14359">
              <w:t>8 (1.6)</w:t>
            </w:r>
          </w:p>
        </w:tc>
        <w:tc>
          <w:tcPr>
            <w:tcW w:w="1838" w:type="pct"/>
          </w:tcPr>
          <w:p w:rsidR="00562FCC" w:rsidRPr="00E14359" w:rsidRDefault="00562FCC" w:rsidP="0005662C">
            <w:pPr>
              <w:pStyle w:val="TableCellCenter"/>
              <w:spacing w:before="40" w:after="40"/>
            </w:pPr>
            <w:r w:rsidRPr="00E14359">
              <w:t>4 (1.1)</w:t>
            </w:r>
          </w:p>
        </w:tc>
      </w:tr>
      <w:tr w:rsidR="00562FCC" w:rsidRPr="00E14359">
        <w:tc>
          <w:tcPr>
            <w:tcW w:w="1840" w:type="pct"/>
          </w:tcPr>
          <w:p w:rsidR="00562FCC" w:rsidRPr="00E14359" w:rsidRDefault="00562FCC" w:rsidP="0005662C">
            <w:pPr>
              <w:pStyle w:val="TableCellLeft"/>
              <w:spacing w:before="40" w:after="40"/>
              <w:ind w:left="240"/>
            </w:pPr>
            <w:r w:rsidRPr="00E14359">
              <w:t>Sinusitis</w:t>
            </w:r>
          </w:p>
        </w:tc>
        <w:tc>
          <w:tcPr>
            <w:tcW w:w="1322" w:type="pct"/>
            <w:gridSpan w:val="2"/>
          </w:tcPr>
          <w:p w:rsidR="00562FCC" w:rsidRPr="00E14359" w:rsidRDefault="00562FCC" w:rsidP="0005662C">
            <w:pPr>
              <w:pStyle w:val="TableCellCenter"/>
              <w:spacing w:before="40" w:after="40"/>
            </w:pPr>
            <w:r w:rsidRPr="00E14359">
              <w:t>7 (1.4)</w:t>
            </w:r>
          </w:p>
        </w:tc>
        <w:tc>
          <w:tcPr>
            <w:tcW w:w="1838" w:type="pct"/>
          </w:tcPr>
          <w:p w:rsidR="00562FCC" w:rsidRPr="00E14359" w:rsidRDefault="00562FCC" w:rsidP="0005662C">
            <w:pPr>
              <w:pStyle w:val="TableCellCenter"/>
              <w:spacing w:before="40" w:after="40"/>
            </w:pPr>
            <w:r w:rsidRPr="00E14359">
              <w:t>4 (1.1)</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Skin and Appendages</w:t>
            </w:r>
          </w:p>
        </w:tc>
      </w:tr>
      <w:tr w:rsidR="00562FCC" w:rsidRPr="00E14359">
        <w:tc>
          <w:tcPr>
            <w:tcW w:w="1840" w:type="pct"/>
          </w:tcPr>
          <w:p w:rsidR="00562FCC" w:rsidRPr="00E14359" w:rsidRDefault="00562FCC" w:rsidP="0005662C">
            <w:pPr>
              <w:pStyle w:val="TableCellLeft"/>
              <w:spacing w:before="40" w:after="40"/>
              <w:ind w:left="240"/>
            </w:pPr>
            <w:r w:rsidRPr="00E14359">
              <w:t>Acne</w:t>
            </w:r>
          </w:p>
        </w:tc>
        <w:tc>
          <w:tcPr>
            <w:tcW w:w="1322" w:type="pct"/>
            <w:gridSpan w:val="2"/>
          </w:tcPr>
          <w:p w:rsidR="00562FCC" w:rsidRPr="00E14359" w:rsidRDefault="00562FCC" w:rsidP="0005662C">
            <w:pPr>
              <w:pStyle w:val="TableCellCenter"/>
              <w:spacing w:before="40" w:after="40"/>
            </w:pPr>
            <w:r w:rsidRPr="00E14359">
              <w:t>5 (1.0)</w:t>
            </w:r>
          </w:p>
        </w:tc>
        <w:tc>
          <w:tcPr>
            <w:tcW w:w="1838" w:type="pct"/>
          </w:tcPr>
          <w:p w:rsidR="00562FCC" w:rsidRPr="00E14359" w:rsidRDefault="00562FCC" w:rsidP="0005662C">
            <w:pPr>
              <w:pStyle w:val="TableCellCenter"/>
              <w:spacing w:before="40" w:after="40"/>
            </w:pPr>
            <w:r w:rsidRPr="00E14359">
              <w:t>2 (0.6)</w:t>
            </w:r>
          </w:p>
        </w:tc>
      </w:tr>
      <w:tr w:rsidR="00562FCC" w:rsidRPr="00E14359">
        <w:tc>
          <w:tcPr>
            <w:tcW w:w="1840" w:type="pct"/>
          </w:tcPr>
          <w:p w:rsidR="00562FCC" w:rsidRPr="00E14359" w:rsidRDefault="00562FCC" w:rsidP="0005662C">
            <w:pPr>
              <w:pStyle w:val="TableCellLeft"/>
              <w:spacing w:before="40" w:after="40"/>
              <w:ind w:left="240"/>
            </w:pPr>
            <w:r w:rsidRPr="00E14359">
              <w:t>Rash</w:t>
            </w:r>
          </w:p>
        </w:tc>
        <w:tc>
          <w:tcPr>
            <w:tcW w:w="1322" w:type="pct"/>
            <w:gridSpan w:val="2"/>
          </w:tcPr>
          <w:p w:rsidR="00562FCC" w:rsidRPr="00E14359" w:rsidRDefault="00562FCC" w:rsidP="0005662C">
            <w:pPr>
              <w:pStyle w:val="TableCellCenter"/>
              <w:spacing w:before="40" w:after="40"/>
            </w:pPr>
            <w:r w:rsidRPr="00E14359">
              <w:t>14 (2.8)</w:t>
            </w:r>
          </w:p>
        </w:tc>
        <w:tc>
          <w:tcPr>
            <w:tcW w:w="1838" w:type="pct"/>
          </w:tcPr>
          <w:p w:rsidR="00562FCC" w:rsidRPr="00E14359" w:rsidRDefault="00562FCC" w:rsidP="0005662C">
            <w:pPr>
              <w:pStyle w:val="TableCellCenter"/>
              <w:spacing w:before="40" w:after="40"/>
            </w:pPr>
            <w:r w:rsidRPr="00E14359">
              <w:t>8 (2.3)</w:t>
            </w:r>
          </w:p>
        </w:tc>
      </w:tr>
      <w:tr w:rsidR="00562FCC" w:rsidRPr="00E14359">
        <w:tc>
          <w:tcPr>
            <w:tcW w:w="1840" w:type="pct"/>
          </w:tcPr>
          <w:p w:rsidR="00562FCC" w:rsidRPr="00E14359" w:rsidRDefault="00562FCC" w:rsidP="0005662C">
            <w:pPr>
              <w:pStyle w:val="TableCellLeft"/>
              <w:spacing w:before="40" w:after="40"/>
              <w:ind w:left="240"/>
            </w:pPr>
            <w:r w:rsidRPr="00E14359">
              <w:t>Sweating</w:t>
            </w:r>
          </w:p>
        </w:tc>
        <w:tc>
          <w:tcPr>
            <w:tcW w:w="1322" w:type="pct"/>
            <w:gridSpan w:val="2"/>
          </w:tcPr>
          <w:p w:rsidR="00562FCC" w:rsidRPr="00E14359" w:rsidRDefault="00562FCC" w:rsidP="0005662C">
            <w:pPr>
              <w:pStyle w:val="TableCellCenter"/>
              <w:spacing w:before="40" w:after="40"/>
            </w:pPr>
            <w:r w:rsidRPr="00E14359">
              <w:t>5 (1.0)</w:t>
            </w:r>
          </w:p>
        </w:tc>
        <w:tc>
          <w:tcPr>
            <w:tcW w:w="1838" w:type="pct"/>
          </w:tcPr>
          <w:p w:rsidR="00562FCC" w:rsidRPr="00E14359" w:rsidRDefault="00562FCC" w:rsidP="0005662C">
            <w:pPr>
              <w:pStyle w:val="TableCellCenter"/>
              <w:spacing w:before="40" w:after="40"/>
            </w:pPr>
            <w:r w:rsidRPr="00E14359">
              <w:t>1 (0.3)</w:t>
            </w:r>
          </w:p>
        </w:tc>
      </w:tr>
      <w:tr w:rsidR="00562FCC" w:rsidRPr="00E14359">
        <w:trPr>
          <w:cantSplit/>
        </w:trPr>
        <w:tc>
          <w:tcPr>
            <w:tcW w:w="5000" w:type="pct"/>
            <w:gridSpan w:val="4"/>
            <w:vAlign w:val="center"/>
          </w:tcPr>
          <w:p w:rsidR="00562FCC" w:rsidRPr="00E14359" w:rsidRDefault="00562FCC" w:rsidP="0005662C">
            <w:pPr>
              <w:pStyle w:val="TableCellCenter"/>
              <w:keepNext/>
              <w:spacing w:before="40" w:after="40"/>
              <w:jc w:val="left"/>
              <w:rPr>
                <w:b/>
                <w:bCs/>
              </w:rPr>
            </w:pPr>
            <w:r w:rsidRPr="00E14359">
              <w:rPr>
                <w:b/>
                <w:bCs/>
              </w:rPr>
              <w:t>Special senses</w:t>
            </w:r>
          </w:p>
        </w:tc>
      </w:tr>
      <w:tr w:rsidR="00562FCC" w:rsidRPr="00E14359">
        <w:tc>
          <w:tcPr>
            <w:tcW w:w="1840" w:type="pct"/>
          </w:tcPr>
          <w:p w:rsidR="00562FCC" w:rsidRPr="00E14359" w:rsidRDefault="00562FCC" w:rsidP="0005662C">
            <w:pPr>
              <w:pStyle w:val="TableCellLeft"/>
              <w:spacing w:before="40" w:after="40"/>
              <w:ind w:left="240"/>
            </w:pPr>
            <w:r w:rsidRPr="00E14359">
              <w:t>Amblyopia</w:t>
            </w:r>
          </w:p>
        </w:tc>
        <w:tc>
          <w:tcPr>
            <w:tcW w:w="1322" w:type="pct"/>
            <w:gridSpan w:val="2"/>
          </w:tcPr>
          <w:p w:rsidR="00562FCC" w:rsidRPr="00E14359" w:rsidRDefault="00562FCC" w:rsidP="0005662C">
            <w:pPr>
              <w:pStyle w:val="TableCellCenter"/>
              <w:spacing w:before="40" w:after="40"/>
            </w:pPr>
            <w:r w:rsidRPr="00E14359">
              <w:t>13 (2.6)</w:t>
            </w:r>
          </w:p>
        </w:tc>
        <w:tc>
          <w:tcPr>
            <w:tcW w:w="1838" w:type="pct"/>
          </w:tcPr>
          <w:p w:rsidR="00562FCC" w:rsidRPr="00E14359" w:rsidRDefault="00562FCC" w:rsidP="0005662C">
            <w:pPr>
              <w:pStyle w:val="TableCellCenter"/>
              <w:spacing w:before="40" w:after="40"/>
            </w:pPr>
            <w:r w:rsidRPr="00E14359">
              <w:t>8 (2.3)</w:t>
            </w:r>
          </w:p>
        </w:tc>
      </w:tr>
      <w:tr w:rsidR="00562FCC" w:rsidRPr="00E14359">
        <w:tc>
          <w:tcPr>
            <w:tcW w:w="1840" w:type="pct"/>
          </w:tcPr>
          <w:p w:rsidR="00562FCC" w:rsidRPr="00E14359" w:rsidRDefault="00562FCC" w:rsidP="0005662C">
            <w:pPr>
              <w:pStyle w:val="TableCellLeft"/>
              <w:spacing w:before="40" w:after="40"/>
              <w:ind w:left="240"/>
            </w:pPr>
            <w:r w:rsidRPr="00E14359">
              <w:lastRenderedPageBreak/>
              <w:t>Diplopia</w:t>
            </w:r>
          </w:p>
        </w:tc>
        <w:tc>
          <w:tcPr>
            <w:tcW w:w="1322" w:type="pct"/>
            <w:gridSpan w:val="2"/>
          </w:tcPr>
          <w:p w:rsidR="00562FCC" w:rsidRPr="00E14359" w:rsidRDefault="00562FCC" w:rsidP="0005662C">
            <w:pPr>
              <w:pStyle w:val="TableCellCenter"/>
              <w:spacing w:before="40" w:after="40"/>
            </w:pPr>
            <w:r w:rsidRPr="00E14359">
              <w:t>35 (7.0)</w:t>
            </w:r>
          </w:p>
        </w:tc>
        <w:tc>
          <w:tcPr>
            <w:tcW w:w="1838" w:type="pct"/>
          </w:tcPr>
          <w:p w:rsidR="00562FCC" w:rsidRPr="00E14359" w:rsidRDefault="00562FCC" w:rsidP="0005662C">
            <w:pPr>
              <w:pStyle w:val="TableCellCenter"/>
              <w:spacing w:before="40" w:after="40"/>
            </w:pPr>
            <w:r w:rsidRPr="00E14359">
              <w:t>13 (3.7)</w:t>
            </w:r>
          </w:p>
        </w:tc>
      </w:tr>
      <w:tr w:rsidR="00562FCC" w:rsidRPr="00E14359">
        <w:tc>
          <w:tcPr>
            <w:tcW w:w="1840" w:type="pct"/>
          </w:tcPr>
          <w:p w:rsidR="00562FCC" w:rsidRPr="00E14359" w:rsidRDefault="00562FCC" w:rsidP="0005662C">
            <w:pPr>
              <w:pStyle w:val="TableCellLeft"/>
              <w:spacing w:before="40" w:after="40"/>
              <w:ind w:left="240"/>
            </w:pPr>
            <w:r w:rsidRPr="00E14359">
              <w:t>Otitis media</w:t>
            </w:r>
          </w:p>
        </w:tc>
        <w:tc>
          <w:tcPr>
            <w:tcW w:w="1322" w:type="pct"/>
            <w:gridSpan w:val="2"/>
          </w:tcPr>
          <w:p w:rsidR="00562FCC" w:rsidRPr="00E14359" w:rsidRDefault="00562FCC" w:rsidP="0005662C">
            <w:pPr>
              <w:pStyle w:val="TableCellCenter"/>
              <w:spacing w:before="40" w:after="40"/>
            </w:pPr>
            <w:r w:rsidRPr="00E14359">
              <w:t>6 (1.2)</w:t>
            </w:r>
          </w:p>
        </w:tc>
        <w:tc>
          <w:tcPr>
            <w:tcW w:w="1838" w:type="pct"/>
          </w:tcPr>
          <w:p w:rsidR="00562FCC" w:rsidRPr="00E14359" w:rsidRDefault="00562FCC" w:rsidP="0005662C">
            <w:pPr>
              <w:pStyle w:val="TableCellCenter"/>
              <w:spacing w:before="40" w:after="40"/>
            </w:pPr>
            <w:r w:rsidRPr="00E14359">
              <w:t>1 (0.3)</w:t>
            </w:r>
          </w:p>
        </w:tc>
      </w:tr>
      <w:tr w:rsidR="00562FCC" w:rsidRPr="00E14359">
        <w:tc>
          <w:tcPr>
            <w:tcW w:w="1840" w:type="pct"/>
          </w:tcPr>
          <w:p w:rsidR="00562FCC" w:rsidRPr="00E14359" w:rsidRDefault="00562FCC" w:rsidP="0005662C">
            <w:pPr>
              <w:pStyle w:val="TableCellLeft"/>
              <w:spacing w:before="40" w:after="40"/>
              <w:ind w:left="240"/>
            </w:pPr>
            <w:r w:rsidRPr="00E14359">
              <w:t>Taste perversion</w:t>
            </w:r>
          </w:p>
        </w:tc>
        <w:tc>
          <w:tcPr>
            <w:tcW w:w="1322" w:type="pct"/>
            <w:gridSpan w:val="2"/>
          </w:tcPr>
          <w:p w:rsidR="00562FCC" w:rsidRPr="00E14359" w:rsidRDefault="00562FCC" w:rsidP="0005662C">
            <w:pPr>
              <w:pStyle w:val="TableCellCenter"/>
              <w:spacing w:before="40" w:after="40"/>
            </w:pPr>
            <w:r w:rsidRPr="00E14359">
              <w:t>8 (1.6)</w:t>
            </w:r>
          </w:p>
        </w:tc>
        <w:tc>
          <w:tcPr>
            <w:tcW w:w="1838" w:type="pct"/>
          </w:tcPr>
          <w:p w:rsidR="00562FCC" w:rsidRPr="00E14359" w:rsidRDefault="00562FCC" w:rsidP="0005662C">
            <w:pPr>
              <w:pStyle w:val="TableCellCenter"/>
              <w:spacing w:before="40" w:after="40"/>
            </w:pPr>
            <w:r w:rsidRPr="00E14359">
              <w:t>1 (0.3)</w:t>
            </w:r>
          </w:p>
        </w:tc>
      </w:tr>
      <w:tr w:rsidR="00562FCC" w:rsidRPr="00E14359">
        <w:tc>
          <w:tcPr>
            <w:tcW w:w="1840" w:type="pct"/>
          </w:tcPr>
          <w:p w:rsidR="00562FCC" w:rsidRPr="00E14359" w:rsidRDefault="00562FCC" w:rsidP="0005662C">
            <w:pPr>
              <w:pStyle w:val="TableCellLeft"/>
              <w:spacing w:before="40" w:after="40"/>
              <w:ind w:left="240"/>
            </w:pPr>
            <w:r w:rsidRPr="00E14359">
              <w:t>Tinnitus</w:t>
            </w:r>
          </w:p>
        </w:tc>
        <w:tc>
          <w:tcPr>
            <w:tcW w:w="1322" w:type="pct"/>
            <w:gridSpan w:val="2"/>
          </w:tcPr>
          <w:p w:rsidR="00562FCC" w:rsidRPr="00E14359" w:rsidRDefault="00562FCC" w:rsidP="0005662C">
            <w:pPr>
              <w:pStyle w:val="TableCellCenter"/>
              <w:spacing w:before="40" w:after="40"/>
            </w:pPr>
            <w:r w:rsidRPr="00E14359">
              <w:t>5 (1.0)</w:t>
            </w:r>
          </w:p>
        </w:tc>
        <w:tc>
          <w:tcPr>
            <w:tcW w:w="1838" w:type="pct"/>
          </w:tcPr>
          <w:p w:rsidR="00562FCC" w:rsidRPr="00E14359" w:rsidRDefault="00562FCC" w:rsidP="0005662C">
            <w:pPr>
              <w:pStyle w:val="TableCellCenter"/>
              <w:spacing w:before="40" w:after="40"/>
            </w:pPr>
            <w:r w:rsidRPr="00E14359">
              <w:t>3 (0.9)</w:t>
            </w:r>
          </w:p>
        </w:tc>
      </w:tr>
      <w:tr w:rsidR="00562FCC" w:rsidRPr="00E14359">
        <w:trPr>
          <w:cantSplit/>
        </w:trPr>
        <w:tc>
          <w:tcPr>
            <w:tcW w:w="5000" w:type="pct"/>
            <w:gridSpan w:val="4"/>
            <w:vAlign w:val="center"/>
          </w:tcPr>
          <w:p w:rsidR="00562FCC" w:rsidRPr="00E14359" w:rsidRDefault="00562FCC" w:rsidP="0005662C">
            <w:pPr>
              <w:pStyle w:val="TableCellCenter"/>
              <w:spacing w:before="40" w:after="40"/>
              <w:jc w:val="left"/>
              <w:rPr>
                <w:b/>
                <w:bCs/>
              </w:rPr>
            </w:pPr>
            <w:r w:rsidRPr="00E14359">
              <w:rPr>
                <w:b/>
                <w:bCs/>
              </w:rPr>
              <w:t>Urogenital</w:t>
            </w:r>
          </w:p>
        </w:tc>
      </w:tr>
      <w:tr w:rsidR="00562FCC" w:rsidRPr="00E14359">
        <w:tc>
          <w:tcPr>
            <w:tcW w:w="1840" w:type="pct"/>
          </w:tcPr>
          <w:p w:rsidR="00562FCC" w:rsidRPr="00E14359" w:rsidRDefault="00562FCC" w:rsidP="0005662C">
            <w:pPr>
              <w:pStyle w:val="TableCellLeft"/>
              <w:spacing w:before="40" w:after="40"/>
              <w:ind w:left="240"/>
            </w:pPr>
            <w:r w:rsidRPr="00E14359">
              <w:t>Urinary tract infection</w:t>
            </w:r>
          </w:p>
        </w:tc>
        <w:tc>
          <w:tcPr>
            <w:tcW w:w="1322" w:type="pct"/>
            <w:gridSpan w:val="2"/>
          </w:tcPr>
          <w:p w:rsidR="00562FCC" w:rsidRPr="00E14359" w:rsidRDefault="00562FCC" w:rsidP="0005662C">
            <w:pPr>
              <w:pStyle w:val="TableCellCenter"/>
              <w:spacing w:before="40" w:after="40"/>
            </w:pPr>
            <w:r w:rsidRPr="00E14359">
              <w:t>10 (2.0)</w:t>
            </w:r>
          </w:p>
        </w:tc>
        <w:tc>
          <w:tcPr>
            <w:tcW w:w="1838" w:type="pct"/>
          </w:tcPr>
          <w:p w:rsidR="00562FCC" w:rsidRPr="00E14359" w:rsidRDefault="00562FCC" w:rsidP="0005662C">
            <w:pPr>
              <w:pStyle w:val="TableCellCenter"/>
              <w:spacing w:before="40" w:after="40"/>
            </w:pPr>
            <w:r w:rsidRPr="00E14359">
              <w:t>6 (1.7)</w:t>
            </w:r>
          </w:p>
        </w:tc>
      </w:tr>
    </w:tbl>
    <w:p w:rsidR="00562FCC" w:rsidRPr="00E14359" w:rsidRDefault="00562FCC" w:rsidP="00562FCC">
      <w:pPr>
        <w:pStyle w:val="Paragraph"/>
        <w:spacing w:after="0" w:line="240" w:lineRule="auto"/>
        <w:rPr>
          <w:sz w:val="18"/>
          <w:szCs w:val="18"/>
        </w:rPr>
      </w:pPr>
      <w:r w:rsidRPr="00E14359">
        <w:rPr>
          <w:szCs w:val="24"/>
        </w:rPr>
        <w:t>*</w:t>
      </w:r>
      <w:r w:rsidRPr="00E14359">
        <w:rPr>
          <w:sz w:val="18"/>
          <w:szCs w:val="18"/>
        </w:rPr>
        <w:t xml:space="preserve">Note that the incidence of nephrolithiasis is based on the reported incidence in the open-label studies since it appears to increase in frequency with increased duration of therapy. </w:t>
      </w:r>
    </w:p>
    <w:p w:rsidR="00D12383" w:rsidRPr="00C07CAF" w:rsidRDefault="00D12383" w:rsidP="0005662C">
      <w:pPr>
        <w:pStyle w:val="Heading5"/>
        <w:spacing w:before="360"/>
      </w:pPr>
      <w:proofErr w:type="spellStart"/>
      <w:r w:rsidRPr="00C07CAF">
        <w:t>Monotherapy</w:t>
      </w:r>
      <w:proofErr w:type="spellEnd"/>
      <w:r w:rsidRPr="00C07CAF">
        <w:t xml:space="preserve"> in the treatment of partial seizures, with or without secondary generalisation, in adults with newly diagnosed epilepsy</w:t>
      </w:r>
    </w:p>
    <w:p w:rsidR="00D12383" w:rsidRDefault="00D12383" w:rsidP="00D12383">
      <w:r>
        <w:t xml:space="preserve">A </w:t>
      </w:r>
      <w:proofErr w:type="spellStart"/>
      <w:r>
        <w:t>monotherapy</w:t>
      </w:r>
      <w:proofErr w:type="spellEnd"/>
      <w:r>
        <w:t xml:space="preserve"> study conducted in 583 adult subjects with newly diagnosed partial seizures with or without secondary generalised tonic-clonic seizures showed that 60.5% in the zonisamide group and 61.7% in the carbamazepine prolonged release (PR) group experienced adverse effects. Serious adverse effects were experienced by 5.3% in the zonisamide group and 5.7% in the carbamazepine PR group. Subjects treated with zonisamide were more likely to experience loss of appetite (7.8% versus 1.7%) and weight loss (6.8% versus 0%); 13.2% of subjects lost ≥10% of their body weight, and 0.7% lost ≥20%.</w:t>
      </w:r>
    </w:p>
    <w:p w:rsidR="00D12383" w:rsidRDefault="00D12383" w:rsidP="00D12383">
      <w:r>
        <w:t>There were more reports of psychiatric disorders (9.3% versus 4.7%), and fewer reports of dizziness (3.9% versus 7.7%) and rash (2.1% versus 4.3%) in subjects treated with zonisamide compared to those treated with carbamazepine PR.</w:t>
      </w:r>
    </w:p>
    <w:tbl>
      <w:tblPr>
        <w:tblW w:w="4931" w:type="pct"/>
        <w:tblBorders>
          <w:top w:val="single" w:sz="12" w:space="0" w:color="000000"/>
          <w:bottom w:val="single" w:sz="12" w:space="0" w:color="000000"/>
        </w:tblBorders>
        <w:tblLayout w:type="fixed"/>
        <w:tblLook w:val="0020"/>
      </w:tblPr>
      <w:tblGrid>
        <w:gridCol w:w="4257"/>
        <w:gridCol w:w="2428"/>
        <w:gridCol w:w="2195"/>
      </w:tblGrid>
      <w:tr w:rsidR="006C4A7D" w:rsidRPr="00501A27" w:rsidTr="001C6252">
        <w:trPr>
          <w:cantSplit/>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6C4A7D" w:rsidRPr="00F130D1" w:rsidRDefault="00284278" w:rsidP="003911B0">
            <w:pPr>
              <w:spacing w:before="60" w:after="60"/>
              <w:ind w:left="851" w:hanging="851"/>
              <w:rPr>
                <w:b/>
                <w:bCs/>
                <w:sz w:val="20"/>
                <w:szCs w:val="20"/>
              </w:rPr>
            </w:pPr>
            <w:r w:rsidRPr="00284278">
              <w:rPr>
                <w:b/>
                <w:sz w:val="20"/>
                <w:szCs w:val="20"/>
              </w:rPr>
              <w:t xml:space="preserve">Table </w:t>
            </w:r>
            <w:r w:rsidR="00006A40" w:rsidRPr="00284278">
              <w:rPr>
                <w:b/>
                <w:sz w:val="20"/>
                <w:szCs w:val="20"/>
              </w:rPr>
              <w:fldChar w:fldCharType="begin"/>
            </w:r>
            <w:r w:rsidRPr="00284278">
              <w:rPr>
                <w:b/>
                <w:sz w:val="20"/>
                <w:szCs w:val="20"/>
              </w:rPr>
              <w:instrText xml:space="preserve"> SEQ Table \* ARABIC </w:instrText>
            </w:r>
            <w:r w:rsidR="00006A40" w:rsidRPr="00284278">
              <w:rPr>
                <w:b/>
                <w:sz w:val="20"/>
                <w:szCs w:val="20"/>
              </w:rPr>
              <w:fldChar w:fldCharType="separate"/>
            </w:r>
            <w:r w:rsidR="00F66D7C">
              <w:rPr>
                <w:b/>
                <w:noProof/>
                <w:sz w:val="20"/>
                <w:szCs w:val="20"/>
              </w:rPr>
              <w:t>6</w:t>
            </w:r>
            <w:r w:rsidR="00006A40" w:rsidRPr="00284278">
              <w:rPr>
                <w:b/>
                <w:sz w:val="20"/>
                <w:szCs w:val="20"/>
              </w:rPr>
              <w:fldChar w:fldCharType="end"/>
            </w:r>
            <w:r w:rsidR="006C4A7D" w:rsidRPr="00284278">
              <w:rPr>
                <w:b/>
                <w:bCs/>
                <w:sz w:val="20"/>
                <w:szCs w:val="20"/>
              </w:rPr>
              <w:t>:</w:t>
            </w:r>
            <w:r w:rsidR="006C4A7D" w:rsidRPr="00F130D1">
              <w:rPr>
                <w:b/>
                <w:bCs/>
                <w:sz w:val="20"/>
                <w:szCs w:val="20"/>
              </w:rPr>
              <w:tab/>
              <w:t xml:space="preserve">Treatment Emergent Adverse Events (by MedDRA System Organ Class and Preferred Term) occurring in </w:t>
            </w:r>
            <w:r w:rsidR="006C4A7D">
              <w:rPr>
                <w:b/>
                <w:bCs/>
                <w:sz w:val="20"/>
                <w:szCs w:val="20"/>
              </w:rPr>
              <w:sym w:font="Symbol" w:char="F0B3"/>
            </w:r>
            <w:r w:rsidR="006C4A7D">
              <w:rPr>
                <w:b/>
                <w:bCs/>
                <w:sz w:val="20"/>
                <w:szCs w:val="20"/>
              </w:rPr>
              <w:t> 1</w:t>
            </w:r>
            <w:r w:rsidR="006C4A7D" w:rsidRPr="00F130D1">
              <w:rPr>
                <w:b/>
                <w:bCs/>
                <w:sz w:val="20"/>
                <w:szCs w:val="20"/>
              </w:rPr>
              <w:t>% of Subjects in either Treatment Group in the Safety Population of the Pivotal Double-Blind, Active-Controlled, Monotherapy Study</w:t>
            </w:r>
          </w:p>
        </w:tc>
      </w:tr>
      <w:tr w:rsidR="00F130D1" w:rsidRPr="00501A27" w:rsidTr="001C6252">
        <w:trPr>
          <w:cantSplit/>
          <w:tblHeader/>
        </w:trPr>
        <w:tc>
          <w:tcPr>
            <w:tcW w:w="2397" w:type="pct"/>
            <w:tcBorders>
              <w:top w:val="single" w:sz="4" w:space="0" w:color="auto"/>
              <w:left w:val="single" w:sz="4" w:space="0" w:color="auto"/>
              <w:bottom w:val="single" w:sz="4" w:space="0" w:color="auto"/>
              <w:right w:val="single" w:sz="4" w:space="0" w:color="auto"/>
            </w:tcBorders>
            <w:shd w:val="clear" w:color="auto" w:fill="auto"/>
            <w:vAlign w:val="bottom"/>
          </w:tcPr>
          <w:p w:rsidR="00F130D1" w:rsidRPr="00F130D1" w:rsidRDefault="00F130D1" w:rsidP="003911B0">
            <w:pPr>
              <w:spacing w:before="60" w:after="60"/>
              <w:ind w:left="600" w:hanging="600"/>
              <w:rPr>
                <w:rFonts w:eastAsia="Times New Roman"/>
                <w:b/>
                <w:iCs/>
                <w:sz w:val="20"/>
                <w:szCs w:val="20"/>
                <w:lang w:val="en-US"/>
              </w:rPr>
            </w:pPr>
          </w:p>
        </w:tc>
        <w:tc>
          <w:tcPr>
            <w:tcW w:w="2603" w:type="pct"/>
            <w:gridSpan w:val="2"/>
            <w:tcBorders>
              <w:top w:val="single" w:sz="4" w:space="0" w:color="auto"/>
              <w:left w:val="single" w:sz="4" w:space="0" w:color="auto"/>
              <w:bottom w:val="single" w:sz="4" w:space="0" w:color="auto"/>
              <w:right w:val="single" w:sz="4" w:space="0" w:color="auto"/>
            </w:tcBorders>
            <w:shd w:val="clear" w:color="auto" w:fill="auto"/>
          </w:tcPr>
          <w:p w:rsidR="00F130D1" w:rsidRPr="00F130D1" w:rsidRDefault="00F130D1" w:rsidP="003911B0">
            <w:pPr>
              <w:spacing w:before="60" w:after="60"/>
              <w:jc w:val="center"/>
              <w:rPr>
                <w:rFonts w:eastAsia="Times New Roman"/>
                <w:b/>
                <w:iCs/>
                <w:sz w:val="20"/>
                <w:szCs w:val="20"/>
                <w:lang w:val="en-US"/>
              </w:rPr>
            </w:pPr>
            <w:r w:rsidRPr="00F130D1">
              <w:rPr>
                <w:b/>
                <w:bCs/>
                <w:sz w:val="20"/>
                <w:szCs w:val="20"/>
              </w:rPr>
              <w:t>Number (%) of Subjects</w:t>
            </w:r>
          </w:p>
        </w:tc>
      </w:tr>
      <w:tr w:rsidR="00501A27" w:rsidRPr="00501A27" w:rsidTr="001C6252">
        <w:trPr>
          <w:cantSplit/>
          <w:tblHeader/>
        </w:trPr>
        <w:tc>
          <w:tcPr>
            <w:tcW w:w="239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60" w:after="60"/>
              <w:ind w:left="600" w:hanging="600"/>
              <w:rPr>
                <w:rFonts w:eastAsia="Times New Roman"/>
                <w:b/>
                <w:iCs/>
                <w:sz w:val="20"/>
                <w:szCs w:val="20"/>
                <w:lang w:val="en-US"/>
              </w:rPr>
            </w:pPr>
            <w:r w:rsidRPr="00F130D1">
              <w:rPr>
                <w:rFonts w:eastAsia="Times New Roman"/>
                <w:b/>
                <w:iCs/>
                <w:sz w:val="20"/>
                <w:szCs w:val="20"/>
                <w:lang w:val="en-US"/>
              </w:rPr>
              <w:t>MedDRA SOC</w:t>
            </w:r>
            <w:r w:rsidRPr="00F130D1">
              <w:rPr>
                <w:rFonts w:eastAsia="Times New Roman"/>
                <w:b/>
                <w:iCs/>
                <w:sz w:val="20"/>
                <w:szCs w:val="20"/>
                <w:lang w:val="en-US"/>
              </w:rPr>
              <w:br/>
              <w:t>Preferred Term</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60" w:after="60"/>
              <w:jc w:val="center"/>
              <w:rPr>
                <w:rFonts w:eastAsia="Times New Roman"/>
                <w:b/>
                <w:iCs/>
                <w:sz w:val="20"/>
                <w:szCs w:val="20"/>
                <w:lang w:val="en-US"/>
              </w:rPr>
            </w:pPr>
            <w:r w:rsidRPr="00F130D1">
              <w:rPr>
                <w:rFonts w:eastAsia="Times New Roman"/>
                <w:b/>
                <w:iCs/>
                <w:sz w:val="20"/>
                <w:szCs w:val="20"/>
                <w:lang w:val="en-US"/>
              </w:rPr>
              <w:t>Z</w:t>
            </w:r>
            <w:r w:rsidR="00F130D1">
              <w:rPr>
                <w:rFonts w:eastAsia="Times New Roman"/>
                <w:b/>
                <w:iCs/>
                <w:sz w:val="20"/>
                <w:szCs w:val="20"/>
                <w:lang w:val="en-US"/>
              </w:rPr>
              <w:t>onisamide-exposed subjects</w:t>
            </w:r>
            <w:r w:rsidRPr="00F130D1">
              <w:rPr>
                <w:rFonts w:eastAsia="Times New Roman"/>
                <w:b/>
                <w:iCs/>
                <w:sz w:val="20"/>
                <w:szCs w:val="20"/>
                <w:lang w:val="en-US"/>
              </w:rPr>
              <w:br/>
              <w:t>(N=281)</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60" w:after="60"/>
              <w:jc w:val="center"/>
              <w:rPr>
                <w:rFonts w:eastAsia="Times New Roman"/>
                <w:b/>
                <w:sz w:val="20"/>
                <w:szCs w:val="20"/>
                <w:lang w:val="en-US"/>
              </w:rPr>
            </w:pPr>
            <w:r w:rsidRPr="00F130D1">
              <w:rPr>
                <w:rFonts w:eastAsia="Times New Roman"/>
                <w:b/>
                <w:iCs/>
                <w:sz w:val="20"/>
                <w:szCs w:val="20"/>
                <w:lang w:val="en-US"/>
              </w:rPr>
              <w:t>C</w:t>
            </w:r>
            <w:r w:rsidR="00F130D1">
              <w:rPr>
                <w:rFonts w:eastAsia="Times New Roman"/>
                <w:b/>
                <w:iCs/>
                <w:sz w:val="20"/>
                <w:szCs w:val="20"/>
                <w:lang w:val="en-US"/>
              </w:rPr>
              <w:t>arbamazepine-exposed subjects</w:t>
            </w:r>
            <w:r w:rsidRPr="00F130D1">
              <w:rPr>
                <w:rFonts w:eastAsia="Times New Roman"/>
                <w:b/>
                <w:iCs/>
                <w:sz w:val="20"/>
                <w:szCs w:val="20"/>
                <w:lang w:val="en-US"/>
              </w:rPr>
              <w:br/>
              <w:t>(N=300)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60" w:after="60"/>
              <w:rPr>
                <w:rFonts w:eastAsia="Times New Roman"/>
                <w:b/>
                <w:sz w:val="20"/>
                <w:szCs w:val="20"/>
                <w:lang w:val="en-US"/>
              </w:rPr>
            </w:pPr>
            <w:r w:rsidRPr="00F130D1">
              <w:rPr>
                <w:rFonts w:eastAsia="Times New Roman"/>
                <w:b/>
                <w:sz w:val="20"/>
                <w:szCs w:val="20"/>
                <w:lang w:val="en-US"/>
              </w:rPr>
              <w:t>Subjects with Any TEAE</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60" w:after="60"/>
              <w:jc w:val="center"/>
              <w:rPr>
                <w:rFonts w:eastAsia="Times New Roman"/>
                <w:b/>
                <w:sz w:val="20"/>
                <w:szCs w:val="20"/>
                <w:lang w:val="en-US"/>
              </w:rPr>
            </w:pPr>
            <w:r w:rsidRPr="00F130D1">
              <w:rPr>
                <w:rFonts w:eastAsia="Times New Roman"/>
                <w:b/>
                <w:sz w:val="20"/>
                <w:szCs w:val="20"/>
                <w:lang w:val="en-US"/>
              </w:rPr>
              <w:t>170 (60.5)</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60" w:after="60"/>
              <w:jc w:val="center"/>
              <w:rPr>
                <w:rFonts w:eastAsia="Times New Roman"/>
                <w:b/>
                <w:sz w:val="20"/>
                <w:szCs w:val="20"/>
                <w:lang w:val="en-US"/>
              </w:rPr>
            </w:pPr>
            <w:r w:rsidRPr="00F130D1">
              <w:rPr>
                <w:rFonts w:eastAsia="Times New Roman"/>
                <w:b/>
                <w:sz w:val="20"/>
                <w:szCs w:val="20"/>
                <w:lang w:val="en-US"/>
              </w:rPr>
              <w:t>185 (61.7)</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60" w:after="60"/>
              <w:rPr>
                <w:rFonts w:eastAsia="Times New Roman"/>
                <w:b/>
                <w:sz w:val="20"/>
                <w:szCs w:val="20"/>
                <w:lang w:val="en-US"/>
              </w:rPr>
            </w:pPr>
            <w:r w:rsidRPr="00F130D1">
              <w:rPr>
                <w:rFonts w:eastAsia="Times New Roman"/>
                <w:b/>
                <w:sz w:val="20"/>
                <w:szCs w:val="20"/>
                <w:lang w:val="en-US"/>
              </w:rPr>
              <w:t>Nervous System Disorders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60" w:after="6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60" w:after="60"/>
              <w:jc w:val="center"/>
              <w:rPr>
                <w:rFonts w:eastAsia="Times New Roman"/>
                <w:b/>
                <w:sz w:val="20"/>
                <w:szCs w:val="20"/>
                <w:lang w:val="en-US"/>
              </w:rPr>
            </w:pP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headache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29 (10.3)</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37 (12.3)</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somnolence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17 (6.0)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23 (7.7)</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dizziness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11 (3.9)</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23 (7.7)</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b/>
                <w:sz w:val="20"/>
                <w:szCs w:val="20"/>
                <w:lang w:val="en-US"/>
              </w:rPr>
            </w:pPr>
            <w:r w:rsidRPr="00F130D1">
              <w:rPr>
                <w:rFonts w:eastAsia="Times New Roman"/>
                <w:sz w:val="20"/>
                <w:szCs w:val="20"/>
                <w:lang w:val="en-US"/>
              </w:rPr>
              <w:t>memory impairment</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8 (2.8)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8 (2.7)</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par</w:t>
            </w:r>
            <w:r w:rsidR="00F35247">
              <w:rPr>
                <w:rFonts w:eastAsia="Times New Roman"/>
                <w:sz w:val="20"/>
                <w:szCs w:val="20"/>
                <w:lang w:val="en-US"/>
              </w:rPr>
              <w:t>a</w:t>
            </w:r>
            <w:r w:rsidRPr="00F130D1">
              <w:rPr>
                <w:rFonts w:eastAsia="Times New Roman"/>
                <w:sz w:val="20"/>
                <w:szCs w:val="20"/>
                <w:lang w:val="en-US"/>
              </w:rPr>
              <w:t>esthesia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3 (1.0)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lastRenderedPageBreak/>
              <w:t>disturbance in attention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2 (0.7)</w:t>
            </w:r>
          </w:p>
        </w:tc>
      </w:tr>
      <w:tr w:rsidR="002A4BF4"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2A4BF4" w:rsidRPr="00F130D1" w:rsidRDefault="002A4BF4" w:rsidP="003911B0">
            <w:pPr>
              <w:spacing w:before="0" w:after="0"/>
              <w:ind w:left="600"/>
              <w:rPr>
                <w:rFonts w:eastAsia="Times New Roman"/>
                <w:sz w:val="20"/>
                <w:szCs w:val="20"/>
                <w:lang w:val="en-US"/>
              </w:rPr>
            </w:pPr>
            <w:r>
              <w:rPr>
                <w:rFonts w:eastAsia="Times New Roman"/>
                <w:sz w:val="20"/>
                <w:szCs w:val="20"/>
                <w:lang w:val="en-US"/>
              </w:rPr>
              <w:t>partial seizures with secondary generalisation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F130D1" w:rsidRDefault="002A4BF4" w:rsidP="003911B0">
            <w:pPr>
              <w:spacing w:before="0" w:after="0"/>
              <w:jc w:val="center"/>
              <w:rPr>
                <w:rFonts w:eastAsia="Times New Roman"/>
                <w:sz w:val="20"/>
                <w:szCs w:val="20"/>
                <w:lang w:val="en-US"/>
              </w:rPr>
            </w:pPr>
            <w:r>
              <w:rPr>
                <w:rFonts w:eastAsia="Times New Roman"/>
                <w:sz w:val="20"/>
                <w:szCs w:val="20"/>
                <w:lang w:val="en-US"/>
              </w:rPr>
              <w:t>1 (0.4)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F130D1" w:rsidRDefault="002A4BF4" w:rsidP="003911B0">
            <w:pPr>
              <w:spacing w:before="0" w:after="0"/>
              <w:jc w:val="center"/>
              <w:rPr>
                <w:rFonts w:eastAsia="Times New Roman"/>
                <w:sz w:val="20"/>
                <w:szCs w:val="20"/>
                <w:lang w:val="en-US"/>
              </w:rPr>
            </w:pPr>
            <w:r>
              <w:rPr>
                <w:rFonts w:eastAsia="Times New Roman"/>
                <w:sz w:val="20"/>
                <w:szCs w:val="20"/>
                <w:lang w:val="en-US"/>
              </w:rPr>
              <w:t>5 (1.7)</w:t>
            </w:r>
          </w:p>
        </w:tc>
      </w:tr>
      <w:tr w:rsidR="002A4BF4"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2A4BF4" w:rsidRPr="002A4BF4" w:rsidRDefault="002A4BF4" w:rsidP="003911B0">
            <w:pPr>
              <w:spacing w:before="0" w:after="0"/>
              <w:ind w:left="600"/>
              <w:rPr>
                <w:rFonts w:eastAsia="Times New Roman"/>
                <w:sz w:val="20"/>
                <w:szCs w:val="20"/>
                <w:lang w:val="en-US"/>
              </w:rPr>
            </w:pPr>
            <w:r>
              <w:rPr>
                <w:rFonts w:eastAsia="Times New Roman"/>
                <w:sz w:val="20"/>
                <w:szCs w:val="20"/>
                <w:lang w:val="en-US"/>
              </w:rPr>
              <w:t>aphasia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2A4BF4" w:rsidRDefault="002A4BF4" w:rsidP="003911B0">
            <w:pPr>
              <w:spacing w:before="0" w:after="0"/>
              <w:jc w:val="center"/>
              <w:rPr>
                <w:rFonts w:eastAsia="Times New Roman"/>
                <w:sz w:val="20"/>
                <w:szCs w:val="20"/>
                <w:lang w:val="en-US"/>
              </w:rPr>
            </w:pPr>
            <w:r>
              <w:rPr>
                <w:rFonts w:eastAsia="Times New Roman"/>
                <w:sz w:val="20"/>
                <w:szCs w:val="20"/>
                <w:lang w:val="en-US"/>
              </w:rPr>
              <w:t>2 (0.7)</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2A4BF4" w:rsidRDefault="002A4BF4" w:rsidP="003911B0">
            <w:pPr>
              <w:spacing w:before="0" w:after="0"/>
              <w:jc w:val="center"/>
              <w:rPr>
                <w:rFonts w:eastAsia="Times New Roman"/>
                <w:sz w:val="20"/>
                <w:szCs w:val="20"/>
                <w:lang w:val="en-US"/>
              </w:rPr>
            </w:pPr>
            <w:r>
              <w:rPr>
                <w:rFonts w:eastAsia="Times New Roman"/>
                <w:sz w:val="20"/>
                <w:szCs w:val="20"/>
                <w:lang w:val="en-US"/>
              </w:rPr>
              <w:t>3 (1.0)</w:t>
            </w:r>
          </w:p>
        </w:tc>
      </w:tr>
      <w:tr w:rsidR="002A4BF4"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2A4BF4" w:rsidRPr="002A4BF4" w:rsidRDefault="002A4BF4" w:rsidP="003911B0">
            <w:pPr>
              <w:spacing w:before="0" w:after="0"/>
              <w:ind w:left="600"/>
              <w:rPr>
                <w:rFonts w:eastAsia="Times New Roman"/>
                <w:sz w:val="20"/>
                <w:szCs w:val="20"/>
                <w:lang w:val="en-US"/>
              </w:rPr>
            </w:pPr>
            <w:r>
              <w:rPr>
                <w:rFonts w:eastAsia="Times New Roman"/>
                <w:sz w:val="20"/>
                <w:szCs w:val="20"/>
                <w:lang w:val="en-US"/>
              </w:rPr>
              <w:t>ataxia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2A4BF4" w:rsidRDefault="002A4BF4"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2A4BF4" w:rsidRDefault="002A4BF4" w:rsidP="003911B0">
            <w:pPr>
              <w:spacing w:before="0" w:after="0"/>
              <w:jc w:val="center"/>
              <w:rPr>
                <w:rFonts w:eastAsia="Times New Roman"/>
                <w:sz w:val="20"/>
                <w:szCs w:val="20"/>
                <w:lang w:val="en-US"/>
              </w:rPr>
            </w:pPr>
            <w:r>
              <w:rPr>
                <w:rFonts w:eastAsia="Times New Roman"/>
                <w:sz w:val="20"/>
                <w:szCs w:val="20"/>
                <w:lang w:val="en-US"/>
              </w:rPr>
              <w:t>1 (0.3)</w:t>
            </w:r>
          </w:p>
        </w:tc>
      </w:tr>
      <w:tr w:rsidR="002A4BF4"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2A4BF4" w:rsidRPr="002A4BF4" w:rsidRDefault="002A4BF4" w:rsidP="003911B0">
            <w:pPr>
              <w:spacing w:before="0" w:after="0"/>
              <w:ind w:left="600"/>
              <w:rPr>
                <w:rFonts w:eastAsia="Times New Roman"/>
                <w:sz w:val="20"/>
                <w:szCs w:val="20"/>
                <w:lang w:val="en-US"/>
              </w:rPr>
            </w:pPr>
            <w:r>
              <w:rPr>
                <w:rFonts w:eastAsia="Times New Roman"/>
                <w:sz w:val="20"/>
                <w:szCs w:val="20"/>
                <w:lang w:val="en-US"/>
              </w:rPr>
              <w:t>myoclonus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2A4BF4" w:rsidRDefault="002A4BF4" w:rsidP="003911B0">
            <w:pPr>
              <w:spacing w:before="0" w:after="0"/>
              <w:jc w:val="center"/>
              <w:rPr>
                <w:rFonts w:eastAsia="Times New Roman"/>
                <w:sz w:val="20"/>
                <w:szCs w:val="20"/>
                <w:lang w:val="en-US"/>
              </w:rPr>
            </w:pPr>
            <w:r>
              <w:rPr>
                <w:rFonts w:eastAsia="Times New Roman"/>
                <w:sz w:val="20"/>
                <w:szCs w:val="20"/>
                <w:lang w:val="en-US"/>
              </w:rPr>
              <w:t>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2A4BF4" w:rsidRDefault="002A4BF4" w:rsidP="003911B0">
            <w:pPr>
              <w:spacing w:before="0" w:after="0"/>
              <w:jc w:val="center"/>
              <w:rPr>
                <w:rFonts w:eastAsia="Times New Roman"/>
                <w:sz w:val="20"/>
                <w:szCs w:val="20"/>
                <w:lang w:val="en-US"/>
              </w:rPr>
            </w:pPr>
            <w:r>
              <w:rPr>
                <w:rFonts w:eastAsia="Times New Roman"/>
                <w:sz w:val="20"/>
                <w:szCs w:val="20"/>
                <w:lang w:val="en-US"/>
              </w:rPr>
              <w:t>3 (1.0)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7742ED">
            <w:pPr>
              <w:spacing w:before="40" w:after="40"/>
              <w:rPr>
                <w:rFonts w:eastAsia="Times New Roman"/>
                <w:b/>
                <w:sz w:val="20"/>
                <w:szCs w:val="20"/>
                <w:lang w:val="en-US"/>
              </w:rPr>
            </w:pPr>
            <w:r w:rsidRPr="00F130D1">
              <w:rPr>
                <w:rFonts w:eastAsia="Times New Roman"/>
                <w:b/>
                <w:sz w:val="20"/>
                <w:szCs w:val="20"/>
                <w:lang w:val="en-US"/>
              </w:rPr>
              <w:t>Gastrointestinal disorders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nausea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11 (3.9)</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10 (3.3)</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F35247" w:rsidP="003911B0">
            <w:pPr>
              <w:spacing w:before="0" w:after="0"/>
              <w:ind w:left="600"/>
              <w:rPr>
                <w:rFonts w:eastAsia="Times New Roman"/>
                <w:sz w:val="20"/>
                <w:szCs w:val="20"/>
                <w:lang w:val="en-US"/>
              </w:rPr>
            </w:pPr>
            <w:r>
              <w:rPr>
                <w:rFonts w:eastAsia="Times New Roman"/>
                <w:sz w:val="20"/>
                <w:szCs w:val="20"/>
                <w:lang w:val="en-US"/>
              </w:rPr>
              <w:pgNum/>
            </w:r>
            <w:r>
              <w:rPr>
                <w:rFonts w:eastAsia="Times New Roman"/>
                <w:sz w:val="20"/>
                <w:szCs w:val="20"/>
                <w:lang w:val="en-US"/>
              </w:rPr>
              <w:t>iarrhea</w:t>
            </w:r>
            <w:r w:rsidR="00501A27" w:rsidRPr="00F130D1">
              <w:rPr>
                <w:rFonts w:eastAsia="Times New Roman"/>
                <w:sz w:val="20"/>
                <w:szCs w:val="20"/>
                <w:lang w:val="en-US"/>
              </w:rPr>
              <w:t xml:space="preserve"> </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10 (3.6)</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9 (3.0)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constipation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7 (2.5)</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7 (2.3)</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vomiting</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8 (2.7)</w:t>
            </w:r>
          </w:p>
        </w:tc>
      </w:tr>
      <w:tr w:rsidR="002A4BF4"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2A4BF4" w:rsidRPr="00F130D1" w:rsidRDefault="00ED39A2" w:rsidP="003911B0">
            <w:pPr>
              <w:spacing w:before="0" w:after="0"/>
              <w:ind w:left="600"/>
              <w:rPr>
                <w:rFonts w:eastAsia="Times New Roman"/>
                <w:sz w:val="20"/>
                <w:szCs w:val="20"/>
                <w:lang w:val="en-US"/>
              </w:rPr>
            </w:pPr>
            <w:r>
              <w:rPr>
                <w:rFonts w:eastAsia="Times New Roman"/>
                <w:sz w:val="20"/>
                <w:szCs w:val="20"/>
                <w:lang w:val="en-US"/>
              </w:rPr>
              <w:t>abdominal pain upper</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F130D1" w:rsidRDefault="00ED39A2" w:rsidP="003911B0">
            <w:pPr>
              <w:spacing w:before="0" w:after="0"/>
              <w:jc w:val="center"/>
              <w:rPr>
                <w:rFonts w:eastAsia="Times New Roman"/>
                <w:sz w:val="20"/>
                <w:szCs w:val="20"/>
                <w:lang w:val="en-US"/>
              </w:rPr>
            </w:pPr>
            <w:r>
              <w:rPr>
                <w:rFonts w:eastAsia="Times New Roman"/>
                <w:sz w:val="20"/>
                <w:szCs w:val="20"/>
                <w:lang w:val="en-US"/>
              </w:rPr>
              <w:t>2 (0.7)</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F130D1" w:rsidRDefault="00ED39A2" w:rsidP="003911B0">
            <w:pPr>
              <w:spacing w:before="0" w:after="0"/>
              <w:jc w:val="center"/>
              <w:rPr>
                <w:rFonts w:eastAsia="Times New Roman"/>
                <w:sz w:val="20"/>
                <w:szCs w:val="20"/>
                <w:lang w:val="en-US"/>
              </w:rPr>
            </w:pPr>
            <w:r>
              <w:rPr>
                <w:rFonts w:eastAsia="Times New Roman"/>
                <w:sz w:val="20"/>
                <w:szCs w:val="20"/>
                <w:lang w:val="en-US"/>
              </w:rPr>
              <w:t>5 (1.7)</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ED39A2" w:rsidP="003911B0">
            <w:pPr>
              <w:spacing w:before="0" w:after="0"/>
              <w:ind w:left="600"/>
              <w:rPr>
                <w:rFonts w:eastAsia="Times New Roman"/>
                <w:sz w:val="20"/>
                <w:szCs w:val="20"/>
                <w:lang w:val="en-US"/>
              </w:rPr>
            </w:pPr>
            <w:r>
              <w:rPr>
                <w:rFonts w:eastAsia="Times New Roman"/>
                <w:sz w:val="20"/>
                <w:szCs w:val="20"/>
                <w:lang w:val="en-US"/>
              </w:rPr>
              <w:t>dyspepsia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4 (1.4)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3 (1.0)</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ED39A2" w:rsidP="003911B0">
            <w:pPr>
              <w:spacing w:before="0" w:after="0"/>
              <w:ind w:left="600"/>
              <w:rPr>
                <w:rFonts w:eastAsia="Times New Roman"/>
                <w:sz w:val="20"/>
                <w:szCs w:val="20"/>
                <w:lang w:val="en-US"/>
              </w:rPr>
            </w:pPr>
            <w:r>
              <w:rPr>
                <w:rFonts w:eastAsia="Times New Roman"/>
                <w:sz w:val="20"/>
                <w:szCs w:val="20"/>
                <w:lang w:val="en-US"/>
              </w:rPr>
              <w:t>abdominal pain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2 (0.7)</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4 (1.3)</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ED39A2" w:rsidP="003911B0">
            <w:pPr>
              <w:spacing w:before="0" w:after="0"/>
              <w:ind w:left="600"/>
              <w:rPr>
                <w:rFonts w:eastAsia="Times New Roman"/>
                <w:sz w:val="20"/>
                <w:szCs w:val="20"/>
                <w:lang w:val="en-US"/>
              </w:rPr>
            </w:pPr>
            <w:r>
              <w:rPr>
                <w:rFonts w:eastAsia="Times New Roman"/>
                <w:sz w:val="20"/>
                <w:szCs w:val="20"/>
                <w:lang w:val="en-US"/>
              </w:rPr>
              <w:t>gastritis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4 (1.4)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2 (0.7)</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ED39A2" w:rsidP="003911B0">
            <w:pPr>
              <w:spacing w:before="0" w:after="0"/>
              <w:ind w:left="600"/>
              <w:rPr>
                <w:rFonts w:eastAsia="Times New Roman"/>
                <w:sz w:val="20"/>
                <w:szCs w:val="20"/>
                <w:lang w:val="en-US"/>
              </w:rPr>
            </w:pPr>
            <w:r>
              <w:rPr>
                <w:rFonts w:eastAsia="Times New Roman"/>
                <w:sz w:val="20"/>
                <w:szCs w:val="20"/>
                <w:lang w:val="en-US"/>
              </w:rPr>
              <w:t>hyperchlorhydria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2 (0.7)</w:t>
            </w:r>
          </w:p>
        </w:tc>
      </w:tr>
      <w:tr w:rsidR="002A4BF4"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2A4BF4" w:rsidRPr="00F130D1" w:rsidRDefault="00ED39A2" w:rsidP="003911B0">
            <w:pPr>
              <w:spacing w:before="0" w:after="0"/>
              <w:ind w:left="600"/>
              <w:rPr>
                <w:rFonts w:eastAsia="Times New Roman"/>
                <w:sz w:val="20"/>
                <w:szCs w:val="20"/>
                <w:lang w:val="en-US"/>
              </w:rPr>
            </w:pPr>
            <w:r>
              <w:rPr>
                <w:rFonts w:eastAsia="Times New Roman"/>
                <w:sz w:val="20"/>
                <w:szCs w:val="20"/>
                <w:lang w:val="en-US"/>
              </w:rPr>
              <w:t>haemorrhoids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F130D1" w:rsidRDefault="00ED39A2" w:rsidP="003911B0">
            <w:pPr>
              <w:spacing w:before="0" w:after="0"/>
              <w:jc w:val="center"/>
              <w:rPr>
                <w:rFonts w:eastAsia="Times New Roman"/>
                <w:sz w:val="20"/>
                <w:szCs w:val="20"/>
                <w:lang w:val="en-US"/>
              </w:rPr>
            </w:pPr>
            <w:r>
              <w:rPr>
                <w:rFonts w:eastAsia="Times New Roman"/>
                <w:sz w:val="20"/>
                <w:szCs w:val="20"/>
                <w:lang w:val="en-US"/>
              </w:rPr>
              <w:t>1 (0.4)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F130D1" w:rsidRDefault="00ED39A2" w:rsidP="003911B0">
            <w:pPr>
              <w:spacing w:before="0" w:after="0"/>
              <w:jc w:val="center"/>
              <w:rPr>
                <w:rFonts w:eastAsia="Times New Roman"/>
                <w:sz w:val="20"/>
                <w:szCs w:val="20"/>
                <w:lang w:val="en-US"/>
              </w:rPr>
            </w:pPr>
            <w:r>
              <w:rPr>
                <w:rFonts w:eastAsia="Times New Roman"/>
                <w:sz w:val="20"/>
                <w:szCs w:val="20"/>
                <w:lang w:val="en-US"/>
              </w:rPr>
              <w:t>3 (1.0)</w:t>
            </w:r>
          </w:p>
        </w:tc>
      </w:tr>
      <w:tr w:rsidR="002A4BF4"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2A4BF4" w:rsidRPr="00F130D1" w:rsidRDefault="00ED39A2" w:rsidP="003911B0">
            <w:pPr>
              <w:spacing w:before="0" w:after="0"/>
              <w:ind w:left="600"/>
              <w:rPr>
                <w:rFonts w:eastAsia="Times New Roman"/>
                <w:sz w:val="20"/>
                <w:szCs w:val="20"/>
                <w:lang w:val="en-US"/>
              </w:rPr>
            </w:pPr>
            <w:r>
              <w:rPr>
                <w:rFonts w:eastAsia="Times New Roman"/>
                <w:sz w:val="20"/>
                <w:szCs w:val="20"/>
                <w:lang w:val="en-US"/>
              </w:rPr>
              <w:t>toothache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F130D1" w:rsidRDefault="00ED39A2" w:rsidP="003911B0">
            <w:pPr>
              <w:spacing w:before="0" w:after="0"/>
              <w:jc w:val="center"/>
              <w:rPr>
                <w:rFonts w:eastAsia="Times New Roman"/>
                <w:sz w:val="20"/>
                <w:szCs w:val="20"/>
                <w:lang w:val="en-US"/>
              </w:rPr>
            </w:pPr>
            <w:r>
              <w:rPr>
                <w:rFonts w:eastAsia="Times New Roman"/>
                <w:sz w:val="20"/>
                <w:szCs w:val="20"/>
                <w:lang w:val="en-US"/>
              </w:rPr>
              <w:t>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2A4BF4" w:rsidRPr="00F130D1" w:rsidRDefault="00ED39A2" w:rsidP="003911B0">
            <w:pPr>
              <w:spacing w:before="0" w:after="0"/>
              <w:jc w:val="center"/>
              <w:rPr>
                <w:rFonts w:eastAsia="Times New Roman"/>
                <w:sz w:val="20"/>
                <w:szCs w:val="20"/>
                <w:lang w:val="en-US"/>
              </w:rPr>
            </w:pPr>
            <w:r>
              <w:rPr>
                <w:rFonts w:eastAsia="Times New Roman"/>
                <w:sz w:val="20"/>
                <w:szCs w:val="20"/>
                <w:lang w:val="en-US"/>
              </w:rPr>
              <w:t>3 (1.0)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7742ED">
            <w:pPr>
              <w:spacing w:before="40" w:after="40"/>
              <w:rPr>
                <w:rFonts w:eastAsia="Times New Roman"/>
                <w:b/>
                <w:sz w:val="20"/>
                <w:szCs w:val="20"/>
                <w:lang w:val="en-US"/>
              </w:rPr>
            </w:pPr>
            <w:r w:rsidRPr="00F130D1">
              <w:rPr>
                <w:rFonts w:eastAsia="Times New Roman"/>
                <w:b/>
                <w:sz w:val="20"/>
                <w:szCs w:val="20"/>
                <w:lang w:val="en-US"/>
              </w:rPr>
              <w:t>General disorders and administration site conditions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7742ED" w:rsidP="003911B0">
            <w:pPr>
              <w:spacing w:before="0" w:after="0"/>
              <w:ind w:left="600"/>
              <w:rPr>
                <w:rFonts w:eastAsia="Times New Roman"/>
                <w:sz w:val="20"/>
                <w:szCs w:val="20"/>
                <w:lang w:val="en-US"/>
              </w:rPr>
            </w:pPr>
            <w:r w:rsidRPr="00F130D1">
              <w:rPr>
                <w:rFonts w:eastAsia="Times New Roman"/>
                <w:sz w:val="20"/>
                <w:szCs w:val="20"/>
                <w:lang w:val="en-US"/>
              </w:rPr>
              <w:t>F</w:t>
            </w:r>
            <w:r w:rsidR="00501A27" w:rsidRPr="00F130D1">
              <w:rPr>
                <w:rFonts w:eastAsia="Times New Roman"/>
                <w:sz w:val="20"/>
                <w:szCs w:val="20"/>
                <w:lang w:val="en-US"/>
              </w:rPr>
              <w:t>atigue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13 (4.6)</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12 (4.0)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7742ED" w:rsidP="003911B0">
            <w:pPr>
              <w:spacing w:before="0" w:after="0"/>
              <w:ind w:left="600"/>
              <w:rPr>
                <w:rFonts w:eastAsia="Times New Roman"/>
                <w:sz w:val="20"/>
                <w:szCs w:val="20"/>
                <w:lang w:val="en-US"/>
              </w:rPr>
            </w:pPr>
            <w:r w:rsidRPr="00F130D1">
              <w:rPr>
                <w:rFonts w:eastAsia="Times New Roman"/>
                <w:sz w:val="20"/>
                <w:szCs w:val="20"/>
                <w:lang w:val="en-US"/>
              </w:rPr>
              <w:t>P</w:t>
            </w:r>
            <w:r w:rsidR="00501A27" w:rsidRPr="00F130D1">
              <w:rPr>
                <w:rFonts w:eastAsia="Times New Roman"/>
                <w:sz w:val="20"/>
                <w:szCs w:val="20"/>
                <w:lang w:val="en-US"/>
              </w:rPr>
              <w:t>yrexia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11 (3.9)</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12 (4.0)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7742ED" w:rsidP="003911B0">
            <w:pPr>
              <w:spacing w:before="0" w:after="0"/>
              <w:ind w:left="600"/>
              <w:rPr>
                <w:rFonts w:eastAsia="Times New Roman"/>
                <w:sz w:val="20"/>
                <w:szCs w:val="20"/>
                <w:lang w:val="en-US"/>
              </w:rPr>
            </w:pPr>
            <w:r w:rsidRPr="00F130D1">
              <w:rPr>
                <w:rFonts w:eastAsia="Times New Roman"/>
                <w:sz w:val="20"/>
                <w:szCs w:val="20"/>
                <w:lang w:val="en-US"/>
              </w:rPr>
              <w:t>A</w:t>
            </w:r>
            <w:r w:rsidR="00501A27" w:rsidRPr="00F130D1">
              <w:rPr>
                <w:rFonts w:eastAsia="Times New Roman"/>
                <w:sz w:val="20"/>
                <w:szCs w:val="20"/>
                <w:lang w:val="en-US"/>
              </w:rPr>
              <w:t>sthenia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5 (1.8)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7 (2.3)</w:t>
            </w:r>
          </w:p>
        </w:tc>
      </w:tr>
      <w:tr w:rsidR="00F3524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F35247" w:rsidRPr="00F130D1" w:rsidRDefault="00F35247" w:rsidP="003911B0">
            <w:pPr>
              <w:spacing w:before="0" w:after="0"/>
              <w:ind w:left="600"/>
              <w:rPr>
                <w:rFonts w:eastAsia="Times New Roman"/>
                <w:sz w:val="20"/>
                <w:szCs w:val="20"/>
                <w:lang w:val="en-US"/>
              </w:rPr>
            </w:pPr>
            <w:r>
              <w:rPr>
                <w:rFonts w:eastAsia="Times New Roman"/>
                <w:sz w:val="20"/>
                <w:szCs w:val="20"/>
                <w:lang w:val="en-US"/>
              </w:rPr>
              <w:t>gait disturbance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F35247" w:rsidRPr="00F130D1" w:rsidRDefault="00F35247"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F35247" w:rsidRPr="00F130D1" w:rsidRDefault="00F35247" w:rsidP="003911B0">
            <w:pPr>
              <w:spacing w:before="0" w:after="0"/>
              <w:jc w:val="center"/>
              <w:rPr>
                <w:rFonts w:eastAsia="Times New Roman"/>
                <w:sz w:val="20"/>
                <w:szCs w:val="20"/>
                <w:lang w:val="en-US"/>
              </w:rPr>
            </w:pPr>
            <w:r>
              <w:rPr>
                <w:rFonts w:eastAsia="Times New Roman"/>
                <w:sz w:val="20"/>
                <w:szCs w:val="20"/>
                <w:lang w:val="en-US"/>
              </w:rPr>
              <w:t>5 (1.7)</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7742ED" w:rsidP="003911B0">
            <w:pPr>
              <w:spacing w:before="0" w:after="0"/>
              <w:ind w:left="600"/>
              <w:rPr>
                <w:rFonts w:eastAsia="Times New Roman"/>
                <w:sz w:val="20"/>
                <w:szCs w:val="20"/>
                <w:lang w:val="en-US"/>
              </w:rPr>
            </w:pPr>
            <w:r w:rsidRPr="00F130D1">
              <w:rPr>
                <w:rFonts w:eastAsia="Times New Roman"/>
                <w:sz w:val="20"/>
                <w:szCs w:val="20"/>
                <w:lang w:val="en-US"/>
              </w:rPr>
              <w:t>I</w:t>
            </w:r>
            <w:r w:rsidR="00501A27" w:rsidRPr="00F130D1">
              <w:rPr>
                <w:rFonts w:eastAsia="Times New Roman"/>
                <w:sz w:val="20"/>
                <w:szCs w:val="20"/>
                <w:lang w:val="en-US"/>
              </w:rPr>
              <w:t>rritability</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7 (2.5)</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 (0.3)</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ED39A2" w:rsidP="003911B0">
            <w:pPr>
              <w:spacing w:before="0" w:after="0"/>
              <w:ind w:left="600"/>
              <w:rPr>
                <w:rFonts w:eastAsia="Times New Roman"/>
                <w:sz w:val="20"/>
                <w:szCs w:val="20"/>
                <w:lang w:val="en-US"/>
              </w:rPr>
            </w:pPr>
            <w:r>
              <w:rPr>
                <w:rFonts w:eastAsia="Times New Roman"/>
                <w:sz w:val="20"/>
                <w:szCs w:val="20"/>
                <w:lang w:val="en-US"/>
              </w:rPr>
              <w:t>chest pain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5 (1.7)</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7742ED" w:rsidP="003911B0">
            <w:pPr>
              <w:spacing w:before="0" w:after="0"/>
              <w:ind w:left="600"/>
              <w:rPr>
                <w:rFonts w:eastAsia="Times New Roman"/>
                <w:sz w:val="20"/>
                <w:szCs w:val="20"/>
                <w:lang w:val="en-US"/>
              </w:rPr>
            </w:pPr>
            <w:r>
              <w:rPr>
                <w:rFonts w:eastAsia="Times New Roman"/>
                <w:sz w:val="20"/>
                <w:szCs w:val="20"/>
                <w:lang w:val="en-US"/>
              </w:rPr>
              <w:t>P</w:t>
            </w:r>
            <w:r w:rsidR="00ED39A2">
              <w:rPr>
                <w:rFonts w:eastAsia="Times New Roman"/>
                <w:sz w:val="20"/>
                <w:szCs w:val="20"/>
                <w:lang w:val="en-US"/>
              </w:rPr>
              <w:t>ain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3 (1.0)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7742ED">
            <w:pPr>
              <w:spacing w:before="40" w:after="40"/>
              <w:rPr>
                <w:rFonts w:eastAsia="Times New Roman"/>
                <w:b/>
                <w:sz w:val="20"/>
                <w:szCs w:val="20"/>
                <w:lang w:val="en-US"/>
              </w:rPr>
            </w:pPr>
            <w:r w:rsidRPr="00F130D1">
              <w:rPr>
                <w:rFonts w:eastAsia="Times New Roman"/>
                <w:b/>
                <w:sz w:val="20"/>
                <w:szCs w:val="20"/>
                <w:lang w:val="en-US"/>
              </w:rPr>
              <w:t>Infections and Infestations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7742ED" w:rsidP="003911B0">
            <w:pPr>
              <w:spacing w:before="0" w:after="0"/>
              <w:ind w:left="600"/>
              <w:rPr>
                <w:rFonts w:eastAsia="Times New Roman"/>
                <w:sz w:val="20"/>
                <w:szCs w:val="20"/>
                <w:lang w:val="en-US"/>
              </w:rPr>
            </w:pPr>
            <w:proofErr w:type="spellStart"/>
            <w:r w:rsidRPr="00F130D1">
              <w:rPr>
                <w:rFonts w:eastAsia="Times New Roman"/>
                <w:sz w:val="20"/>
                <w:szCs w:val="20"/>
                <w:lang w:val="en-US"/>
              </w:rPr>
              <w:t>N</w:t>
            </w:r>
            <w:r w:rsidR="00501A27" w:rsidRPr="00F130D1">
              <w:rPr>
                <w:rFonts w:eastAsia="Times New Roman"/>
                <w:sz w:val="20"/>
                <w:szCs w:val="20"/>
                <w:lang w:val="en-US"/>
              </w:rPr>
              <w:t>asopharyngitis</w:t>
            </w:r>
            <w:proofErr w:type="spellEnd"/>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10 (3.6)</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upper respiratory tract infection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urinary tract infection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7 (2.3)</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7742ED" w:rsidP="003911B0">
            <w:pPr>
              <w:spacing w:before="0" w:after="0"/>
              <w:ind w:left="600"/>
              <w:rPr>
                <w:rFonts w:eastAsia="Times New Roman"/>
                <w:sz w:val="20"/>
                <w:szCs w:val="20"/>
                <w:lang w:val="en-US"/>
              </w:rPr>
            </w:pPr>
            <w:r>
              <w:rPr>
                <w:rFonts w:eastAsia="Times New Roman"/>
                <w:sz w:val="20"/>
                <w:szCs w:val="20"/>
                <w:lang w:val="en-US"/>
              </w:rPr>
              <w:t>I</w:t>
            </w:r>
            <w:r w:rsidR="00ED39A2">
              <w:rPr>
                <w:rFonts w:eastAsia="Times New Roman"/>
                <w:sz w:val="20"/>
                <w:szCs w:val="20"/>
                <w:lang w:val="en-US"/>
              </w:rPr>
              <w:t>nfluenza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4 (1.3)</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7742ED" w:rsidP="003911B0">
            <w:pPr>
              <w:spacing w:before="0" w:after="0"/>
              <w:ind w:left="600"/>
              <w:rPr>
                <w:rFonts w:eastAsia="Times New Roman"/>
                <w:sz w:val="20"/>
                <w:szCs w:val="20"/>
                <w:lang w:val="en-US"/>
              </w:rPr>
            </w:pPr>
            <w:r>
              <w:rPr>
                <w:rFonts w:eastAsia="Times New Roman"/>
                <w:sz w:val="20"/>
                <w:szCs w:val="20"/>
                <w:lang w:val="en-US"/>
              </w:rPr>
              <w:t>C</w:t>
            </w:r>
            <w:r w:rsidR="00ED39A2">
              <w:rPr>
                <w:rFonts w:eastAsia="Times New Roman"/>
                <w:sz w:val="20"/>
                <w:szCs w:val="20"/>
                <w:lang w:val="en-US"/>
              </w:rPr>
              <w:t>ystitis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1 (0.4)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4 (1.3)</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Default="007742ED" w:rsidP="003911B0">
            <w:pPr>
              <w:spacing w:before="0" w:after="0"/>
              <w:ind w:left="600"/>
              <w:rPr>
                <w:rFonts w:eastAsia="Times New Roman"/>
                <w:sz w:val="20"/>
                <w:szCs w:val="20"/>
                <w:lang w:val="en-US"/>
              </w:rPr>
            </w:pPr>
            <w:r>
              <w:rPr>
                <w:rFonts w:eastAsia="Times New Roman"/>
                <w:sz w:val="20"/>
                <w:szCs w:val="20"/>
                <w:lang w:val="en-US"/>
              </w:rPr>
              <w:t>R</w:t>
            </w:r>
            <w:r w:rsidR="00ED39A2">
              <w:rPr>
                <w:rFonts w:eastAsia="Times New Roman"/>
                <w:sz w:val="20"/>
                <w:szCs w:val="20"/>
                <w:lang w:val="en-US"/>
              </w:rPr>
              <w:t>hinitis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2 (0.7)</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Default="00ED39A2" w:rsidP="003911B0">
            <w:pPr>
              <w:spacing w:before="0" w:after="0"/>
              <w:ind w:left="600"/>
              <w:rPr>
                <w:rFonts w:eastAsia="Times New Roman"/>
                <w:sz w:val="20"/>
                <w:szCs w:val="20"/>
                <w:lang w:val="en-US"/>
              </w:rPr>
            </w:pPr>
            <w:r>
              <w:rPr>
                <w:rFonts w:eastAsia="Times New Roman"/>
                <w:sz w:val="20"/>
                <w:szCs w:val="20"/>
                <w:lang w:val="en-US"/>
              </w:rPr>
              <w:t>viral infection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Default="00ED39A2" w:rsidP="003911B0">
            <w:pPr>
              <w:spacing w:before="0" w:after="0"/>
              <w:jc w:val="center"/>
              <w:rPr>
                <w:rFonts w:eastAsia="Times New Roman"/>
                <w:sz w:val="20"/>
                <w:szCs w:val="20"/>
                <w:lang w:val="en-US"/>
              </w:rPr>
            </w:pPr>
            <w:r>
              <w:rPr>
                <w:rFonts w:eastAsia="Times New Roman"/>
                <w:sz w:val="20"/>
                <w:szCs w:val="20"/>
                <w:lang w:val="en-US"/>
              </w:rPr>
              <w:t>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Default="00ED39A2" w:rsidP="003911B0">
            <w:pPr>
              <w:spacing w:before="0" w:after="0"/>
              <w:jc w:val="center"/>
              <w:rPr>
                <w:rFonts w:eastAsia="Times New Roman"/>
                <w:sz w:val="20"/>
                <w:szCs w:val="20"/>
                <w:lang w:val="en-US"/>
              </w:rPr>
            </w:pPr>
            <w:r>
              <w:rPr>
                <w:rFonts w:eastAsia="Times New Roman"/>
                <w:sz w:val="20"/>
                <w:szCs w:val="20"/>
                <w:lang w:val="en-US"/>
              </w:rPr>
              <w:t>4 (1.3)</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Default="00ED39A2" w:rsidP="003911B0">
            <w:pPr>
              <w:spacing w:before="0" w:after="0"/>
              <w:ind w:left="600"/>
              <w:rPr>
                <w:rFonts w:eastAsia="Times New Roman"/>
                <w:sz w:val="20"/>
                <w:szCs w:val="20"/>
                <w:lang w:val="en-US"/>
              </w:rPr>
            </w:pPr>
            <w:r>
              <w:rPr>
                <w:rFonts w:eastAsia="Times New Roman"/>
                <w:sz w:val="20"/>
                <w:szCs w:val="20"/>
                <w:lang w:val="en-US"/>
              </w:rPr>
              <w:t>respiratory tract infection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Default="00ED39A2" w:rsidP="003911B0">
            <w:pPr>
              <w:spacing w:before="0" w:after="0"/>
              <w:jc w:val="center"/>
              <w:rPr>
                <w:rFonts w:eastAsia="Times New Roman"/>
                <w:sz w:val="20"/>
                <w:szCs w:val="20"/>
                <w:lang w:val="en-US"/>
              </w:rPr>
            </w:pPr>
            <w:r>
              <w:rPr>
                <w:rFonts w:eastAsia="Times New Roman"/>
                <w:sz w:val="20"/>
                <w:szCs w:val="20"/>
                <w:lang w:val="en-US"/>
              </w:rPr>
              <w:t>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Default="00ED39A2" w:rsidP="003911B0">
            <w:pPr>
              <w:spacing w:before="0" w:after="0"/>
              <w:jc w:val="center"/>
              <w:rPr>
                <w:rFonts w:eastAsia="Times New Roman"/>
                <w:sz w:val="20"/>
                <w:szCs w:val="20"/>
                <w:lang w:val="en-US"/>
              </w:rPr>
            </w:pPr>
            <w:r>
              <w:rPr>
                <w:rFonts w:eastAsia="Times New Roman"/>
                <w:sz w:val="20"/>
                <w:szCs w:val="20"/>
                <w:lang w:val="en-US"/>
              </w:rPr>
              <w:t>3 (1.0)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7742ED">
            <w:pPr>
              <w:spacing w:before="40" w:after="40"/>
              <w:rPr>
                <w:rFonts w:eastAsia="Times New Roman"/>
                <w:b/>
                <w:sz w:val="20"/>
                <w:szCs w:val="20"/>
                <w:lang w:val="en-US"/>
              </w:rPr>
            </w:pPr>
            <w:r w:rsidRPr="00F130D1">
              <w:rPr>
                <w:rFonts w:eastAsia="Times New Roman"/>
                <w:b/>
                <w:sz w:val="20"/>
                <w:szCs w:val="20"/>
                <w:lang w:val="en-US"/>
              </w:rPr>
              <w:t>Skin and subcutaneous tissue disorders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7742ED" w:rsidP="003911B0">
            <w:pPr>
              <w:spacing w:before="0" w:after="0"/>
              <w:ind w:left="600"/>
              <w:rPr>
                <w:rFonts w:eastAsia="Times New Roman"/>
                <w:sz w:val="20"/>
                <w:szCs w:val="20"/>
                <w:lang w:val="en-US"/>
              </w:rPr>
            </w:pPr>
            <w:r w:rsidRPr="00F130D1">
              <w:rPr>
                <w:rFonts w:eastAsia="Times New Roman"/>
                <w:sz w:val="20"/>
                <w:szCs w:val="20"/>
                <w:lang w:val="en-US"/>
              </w:rPr>
              <w:t>R</w:t>
            </w:r>
            <w:r w:rsidR="00501A27" w:rsidRPr="00F130D1">
              <w:rPr>
                <w:rFonts w:eastAsia="Times New Roman"/>
                <w:sz w:val="20"/>
                <w:szCs w:val="20"/>
                <w:lang w:val="en-US"/>
              </w:rPr>
              <w:t>ash</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13 (4.3)</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ED39A2" w:rsidP="003911B0">
            <w:pPr>
              <w:spacing w:before="0" w:after="0"/>
              <w:ind w:left="600"/>
              <w:rPr>
                <w:rFonts w:eastAsia="Times New Roman"/>
                <w:sz w:val="20"/>
                <w:szCs w:val="20"/>
                <w:lang w:val="en-US"/>
              </w:rPr>
            </w:pPr>
            <w:r>
              <w:rPr>
                <w:rFonts w:eastAsia="Times New Roman"/>
                <w:sz w:val="20"/>
                <w:szCs w:val="20"/>
                <w:lang w:val="en-US"/>
              </w:rPr>
              <w:t>dermatitis allergic</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1 (0.4)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5 (1.7)</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7742ED" w:rsidP="003911B0">
            <w:pPr>
              <w:spacing w:before="0" w:after="0"/>
              <w:ind w:left="600"/>
              <w:rPr>
                <w:rFonts w:eastAsia="Times New Roman"/>
                <w:sz w:val="20"/>
                <w:szCs w:val="20"/>
                <w:lang w:val="en-US"/>
              </w:rPr>
            </w:pPr>
            <w:r>
              <w:rPr>
                <w:rFonts w:eastAsia="Times New Roman"/>
                <w:sz w:val="20"/>
                <w:szCs w:val="20"/>
                <w:lang w:val="en-US"/>
              </w:rPr>
              <w:t>A</w:t>
            </w:r>
            <w:r w:rsidR="00ED39A2">
              <w:rPr>
                <w:rFonts w:eastAsia="Times New Roman"/>
                <w:sz w:val="20"/>
                <w:szCs w:val="20"/>
                <w:lang w:val="en-US"/>
              </w:rPr>
              <w:t>lopecia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ED39A2" w:rsidP="003911B0">
            <w:pPr>
              <w:spacing w:before="0" w:after="0"/>
              <w:jc w:val="center"/>
              <w:rPr>
                <w:rFonts w:eastAsia="Times New Roman"/>
                <w:sz w:val="20"/>
                <w:szCs w:val="20"/>
                <w:lang w:val="en-US"/>
              </w:rPr>
            </w:pPr>
            <w:r>
              <w:rPr>
                <w:rFonts w:eastAsia="Times New Roman"/>
                <w:sz w:val="20"/>
                <w:szCs w:val="20"/>
                <w:lang w:val="en-US"/>
              </w:rPr>
              <w:t>2 (0.7)</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rPr>
                <w:rFonts w:eastAsia="Times New Roman"/>
                <w:b/>
                <w:sz w:val="20"/>
                <w:szCs w:val="20"/>
                <w:lang w:val="en-US"/>
              </w:rPr>
            </w:pPr>
            <w:r w:rsidRPr="00F130D1">
              <w:rPr>
                <w:rFonts w:eastAsia="Times New Roman"/>
                <w:b/>
                <w:sz w:val="20"/>
                <w:szCs w:val="20"/>
                <w:lang w:val="en-US"/>
              </w:rPr>
              <w:t>Investigations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weight decreased</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19 (6.8)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alanine aminotransferase increased</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(2.0)</w:t>
            </w:r>
          </w:p>
        </w:tc>
      </w:tr>
      <w:tr w:rsidR="00ED39A2"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ED39A2" w:rsidRPr="00F130D1" w:rsidRDefault="00ED39A2" w:rsidP="003911B0">
            <w:pPr>
              <w:spacing w:before="0" w:after="0"/>
              <w:ind w:left="600"/>
              <w:rPr>
                <w:rFonts w:eastAsia="Times New Roman"/>
                <w:sz w:val="20"/>
                <w:szCs w:val="20"/>
                <w:lang w:val="en-US"/>
              </w:rPr>
            </w:pPr>
            <w:r>
              <w:rPr>
                <w:rFonts w:eastAsia="Times New Roman"/>
                <w:sz w:val="20"/>
                <w:szCs w:val="20"/>
                <w:lang w:val="en-US"/>
              </w:rPr>
              <w:t>aspartate aminotransferase increased</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4D1FC9" w:rsidP="003911B0">
            <w:pPr>
              <w:spacing w:before="0" w:after="0"/>
              <w:jc w:val="center"/>
              <w:rPr>
                <w:rFonts w:eastAsia="Times New Roman"/>
                <w:sz w:val="20"/>
                <w:szCs w:val="20"/>
                <w:lang w:val="en-US"/>
              </w:rPr>
            </w:pPr>
            <w:r>
              <w:rPr>
                <w:rFonts w:eastAsia="Times New Roman"/>
                <w:sz w:val="20"/>
                <w:szCs w:val="20"/>
                <w:lang w:val="en-US"/>
              </w:rPr>
              <w:t>2 (0.7)</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ED39A2" w:rsidRPr="00F130D1" w:rsidRDefault="004D1FC9" w:rsidP="003911B0">
            <w:pPr>
              <w:spacing w:before="0" w:after="0"/>
              <w:jc w:val="center"/>
              <w:rPr>
                <w:rFonts w:eastAsia="Times New Roman"/>
                <w:sz w:val="20"/>
                <w:szCs w:val="20"/>
                <w:lang w:val="en-US"/>
              </w:rPr>
            </w:pPr>
            <w:r>
              <w:rPr>
                <w:rFonts w:eastAsia="Times New Roman"/>
                <w:sz w:val="20"/>
                <w:szCs w:val="20"/>
                <w:lang w:val="en-US"/>
              </w:rPr>
              <w:t>4 (1.3)</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Default="004D1FC9" w:rsidP="003911B0">
            <w:pPr>
              <w:spacing w:before="0" w:after="0"/>
              <w:ind w:left="600"/>
              <w:rPr>
                <w:rFonts w:eastAsia="Times New Roman"/>
                <w:sz w:val="20"/>
                <w:szCs w:val="20"/>
                <w:lang w:val="en-US"/>
              </w:rPr>
            </w:pPr>
            <w:r>
              <w:rPr>
                <w:rFonts w:eastAsia="Times New Roman"/>
                <w:sz w:val="20"/>
                <w:szCs w:val="20"/>
                <w:lang w:val="en-US"/>
              </w:rPr>
              <w:lastRenderedPageBreak/>
              <w:t>blood creatine phosphokinase increased</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2 (0.7)</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Default="004D1FC9" w:rsidP="003911B0">
            <w:pPr>
              <w:spacing w:before="0" w:after="0"/>
              <w:ind w:left="600"/>
              <w:rPr>
                <w:rFonts w:eastAsia="Times New Roman"/>
                <w:sz w:val="20"/>
                <w:szCs w:val="20"/>
                <w:lang w:val="en-US"/>
              </w:rPr>
            </w:pPr>
            <w:r>
              <w:rPr>
                <w:rFonts w:eastAsia="Times New Roman"/>
                <w:sz w:val="20"/>
                <w:szCs w:val="20"/>
                <w:lang w:val="en-US"/>
              </w:rPr>
              <w:t>weight increased</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1 (0.4)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4 (1.3)</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Default="004D1FC9" w:rsidP="003911B0">
            <w:pPr>
              <w:spacing w:before="0" w:after="0"/>
              <w:ind w:left="600"/>
              <w:rPr>
                <w:rFonts w:eastAsia="Times New Roman"/>
                <w:sz w:val="20"/>
                <w:szCs w:val="20"/>
                <w:lang w:val="en-US"/>
              </w:rPr>
            </w:pPr>
            <w:r>
              <w:rPr>
                <w:rFonts w:eastAsia="Times New Roman"/>
                <w:sz w:val="20"/>
                <w:szCs w:val="20"/>
                <w:lang w:val="en-US"/>
              </w:rPr>
              <w:t>blood urine present</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rPr>
                <w:rFonts w:eastAsia="Times New Roman"/>
                <w:b/>
                <w:sz w:val="20"/>
                <w:szCs w:val="20"/>
                <w:lang w:val="en-US"/>
              </w:rPr>
            </w:pPr>
            <w:r w:rsidRPr="00F130D1">
              <w:rPr>
                <w:rFonts w:eastAsia="Times New Roman"/>
                <w:b/>
                <w:sz w:val="20"/>
                <w:szCs w:val="20"/>
                <w:lang w:val="en-US"/>
              </w:rPr>
              <w:t>Psychiatric disorders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b/>
                <w:sz w:val="20"/>
                <w:szCs w:val="20"/>
                <w:lang w:val="en-US"/>
              </w:rPr>
            </w:pP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depression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5 (1.7)</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sz w:val="20"/>
                <w:szCs w:val="20"/>
                <w:lang w:val="en-US"/>
              </w:rPr>
            </w:pPr>
            <w:r>
              <w:rPr>
                <w:rFonts w:eastAsia="Times New Roman"/>
                <w:sz w:val="20"/>
                <w:szCs w:val="20"/>
                <w:lang w:val="en-US"/>
              </w:rPr>
              <w:t>anxiety</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5 (1.8)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3 (1.0)</w:t>
            </w:r>
          </w:p>
        </w:tc>
      </w:tr>
      <w:tr w:rsidR="00501A27"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01A27" w:rsidRPr="00F130D1" w:rsidRDefault="00501A27" w:rsidP="003911B0">
            <w:pPr>
              <w:spacing w:before="0" w:after="0"/>
              <w:ind w:left="600"/>
              <w:rPr>
                <w:rFonts w:eastAsia="Times New Roman"/>
                <w:sz w:val="20"/>
                <w:szCs w:val="20"/>
                <w:lang w:val="en-US"/>
              </w:rPr>
            </w:pPr>
            <w:r w:rsidRPr="00F130D1">
              <w:rPr>
                <w:rFonts w:eastAsia="Times New Roman"/>
                <w:sz w:val="20"/>
                <w:szCs w:val="20"/>
                <w:lang w:val="en-US"/>
              </w:rPr>
              <w:t>insomnia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6 (2.1)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501A27" w:rsidRPr="00F130D1" w:rsidRDefault="00501A27" w:rsidP="003911B0">
            <w:pPr>
              <w:spacing w:before="0" w:after="0"/>
              <w:jc w:val="center"/>
              <w:rPr>
                <w:rFonts w:eastAsia="Times New Roman"/>
                <w:sz w:val="20"/>
                <w:szCs w:val="20"/>
                <w:lang w:val="en-US"/>
              </w:rPr>
            </w:pPr>
            <w:r w:rsidRPr="00F130D1">
              <w:rPr>
                <w:rFonts w:eastAsia="Times New Roman"/>
                <w:sz w:val="20"/>
                <w:szCs w:val="20"/>
                <w:lang w:val="en-US"/>
              </w:rPr>
              <w:t>1 (0.3)</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sz w:val="20"/>
                <w:szCs w:val="20"/>
                <w:lang w:val="en-US"/>
              </w:rPr>
            </w:pPr>
            <w:r>
              <w:rPr>
                <w:rFonts w:eastAsia="Times New Roman"/>
                <w:sz w:val="20"/>
                <w:szCs w:val="20"/>
                <w:lang w:val="en-US"/>
              </w:rPr>
              <w:t>agitation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0</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sz w:val="20"/>
                <w:szCs w:val="20"/>
                <w:lang w:val="en-US"/>
              </w:rPr>
            </w:pPr>
            <w:r>
              <w:rPr>
                <w:rFonts w:eastAsia="Times New Roman"/>
                <w:sz w:val="20"/>
                <w:szCs w:val="20"/>
                <w:lang w:val="en-US"/>
              </w:rPr>
              <w:t>bradyphrenia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0</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sz w:val="20"/>
                <w:szCs w:val="20"/>
                <w:lang w:val="en-US"/>
              </w:rPr>
            </w:pPr>
            <w:r>
              <w:rPr>
                <w:rFonts w:eastAsia="Times New Roman"/>
                <w:sz w:val="20"/>
                <w:szCs w:val="20"/>
                <w:lang w:val="en-US"/>
              </w:rPr>
              <w:t>mood swings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0</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sz w:val="20"/>
                <w:szCs w:val="20"/>
                <w:lang w:val="en-US"/>
              </w:rPr>
            </w:pPr>
            <w:r>
              <w:rPr>
                <w:rFonts w:eastAsia="Times New Roman"/>
                <w:sz w:val="20"/>
                <w:szCs w:val="20"/>
                <w:lang w:val="en-US"/>
              </w:rPr>
              <w:t>sleep disorder</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Pr>
                <w:rFonts w:eastAsia="Times New Roman"/>
                <w:sz w:val="20"/>
                <w:szCs w:val="20"/>
                <w:lang w:val="en-US"/>
              </w:rPr>
              <w:t>0</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rPr>
                <w:rFonts w:eastAsia="Times New Roman"/>
                <w:b/>
                <w:sz w:val="20"/>
                <w:szCs w:val="20"/>
                <w:lang w:val="en-US"/>
              </w:rPr>
            </w:pPr>
            <w:r w:rsidRPr="00F130D1">
              <w:rPr>
                <w:rFonts w:eastAsia="Times New Roman"/>
                <w:b/>
                <w:sz w:val="20"/>
                <w:szCs w:val="20"/>
                <w:lang w:val="en-US"/>
              </w:rPr>
              <w:t>Metabolism and nutrition disorders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b/>
                <w:sz w:val="20"/>
                <w:szCs w:val="20"/>
                <w:lang w:val="en-US"/>
              </w:rPr>
            </w:pP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sz w:val="20"/>
                <w:szCs w:val="20"/>
                <w:lang w:val="en-US"/>
              </w:rPr>
            </w:pPr>
            <w:r w:rsidRPr="00F130D1">
              <w:rPr>
                <w:rFonts w:eastAsia="Times New Roman"/>
                <w:sz w:val="20"/>
                <w:szCs w:val="20"/>
                <w:lang w:val="en-US"/>
              </w:rPr>
              <w:t>decreased appetite</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sidRPr="00F130D1">
              <w:rPr>
                <w:rFonts w:eastAsia="Times New Roman"/>
                <w:sz w:val="20"/>
                <w:szCs w:val="20"/>
                <w:lang w:val="en-US"/>
              </w:rPr>
              <w:t>22 (7.8)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sidRPr="00F130D1">
              <w:rPr>
                <w:rFonts w:eastAsia="Times New Roman"/>
                <w:sz w:val="20"/>
                <w:szCs w:val="20"/>
                <w:lang w:val="en-US"/>
              </w:rPr>
              <w:t>5 (1.7)</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rPr>
                <w:rFonts w:eastAsia="Times New Roman"/>
                <w:b/>
                <w:sz w:val="20"/>
                <w:szCs w:val="20"/>
                <w:lang w:val="en-US"/>
              </w:rPr>
            </w:pPr>
            <w:r>
              <w:rPr>
                <w:rFonts w:eastAsia="Times New Roman"/>
                <w:b/>
                <w:sz w:val="20"/>
                <w:szCs w:val="20"/>
                <w:lang w:val="en-US"/>
              </w:rPr>
              <w:t>Musculoskeletal and connective tissue disorders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b/>
                <w:sz w:val="20"/>
                <w:szCs w:val="20"/>
                <w:lang w:val="en-US"/>
              </w:rPr>
            </w:pP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b/>
                <w:sz w:val="20"/>
                <w:szCs w:val="20"/>
                <w:lang w:val="en-US"/>
              </w:rPr>
            </w:pPr>
            <w:r>
              <w:rPr>
                <w:rFonts w:eastAsia="Times New Roman"/>
                <w:sz w:val="20"/>
                <w:szCs w:val="20"/>
                <w:lang w:val="en-US"/>
              </w:rPr>
              <w:t>back pain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0416BB" w:rsidRDefault="000416BB" w:rsidP="003911B0">
            <w:pPr>
              <w:spacing w:before="0" w:after="0"/>
              <w:jc w:val="center"/>
              <w:rPr>
                <w:rFonts w:eastAsia="Times New Roman"/>
                <w:sz w:val="20"/>
                <w:szCs w:val="20"/>
                <w:lang w:val="en-US"/>
              </w:rPr>
            </w:pPr>
            <w:r>
              <w:rPr>
                <w:rFonts w:eastAsia="Times New Roman"/>
                <w:sz w:val="20"/>
                <w:szCs w:val="20"/>
                <w:lang w:val="en-US"/>
              </w:rPr>
              <w:t>5 (1.8)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0416BB" w:rsidRDefault="000416BB" w:rsidP="003911B0">
            <w:pPr>
              <w:spacing w:before="0" w:after="0"/>
              <w:jc w:val="center"/>
              <w:rPr>
                <w:rFonts w:eastAsia="Times New Roman"/>
                <w:sz w:val="20"/>
                <w:szCs w:val="20"/>
                <w:lang w:val="en-US"/>
              </w:rPr>
            </w:pPr>
            <w:r>
              <w:rPr>
                <w:rFonts w:eastAsia="Times New Roman"/>
                <w:sz w:val="20"/>
                <w:szCs w:val="20"/>
                <w:lang w:val="en-US"/>
              </w:rPr>
              <w:t>4 (1.3)</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Default="000416BB" w:rsidP="003911B0">
            <w:pPr>
              <w:spacing w:before="0" w:after="0"/>
              <w:ind w:left="600"/>
              <w:rPr>
                <w:rFonts w:eastAsia="Times New Roman"/>
                <w:sz w:val="20"/>
                <w:szCs w:val="20"/>
                <w:lang w:val="en-US"/>
              </w:rPr>
            </w:pPr>
            <w:r>
              <w:rPr>
                <w:rFonts w:eastAsia="Times New Roman"/>
                <w:sz w:val="20"/>
                <w:szCs w:val="20"/>
                <w:lang w:val="en-US"/>
              </w:rPr>
              <w:t>a</w:t>
            </w:r>
            <w:r w:rsidR="004D1FC9">
              <w:rPr>
                <w:rFonts w:eastAsia="Times New Roman"/>
                <w:sz w:val="20"/>
                <w:szCs w:val="20"/>
                <w:lang w:val="en-US"/>
              </w:rPr>
              <w:t>rthralgia</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0416BB" w:rsidRDefault="000416BB"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0416BB" w:rsidRDefault="000416BB" w:rsidP="003911B0">
            <w:pPr>
              <w:spacing w:before="0" w:after="0"/>
              <w:jc w:val="center"/>
              <w:rPr>
                <w:rFonts w:eastAsia="Times New Roman"/>
                <w:sz w:val="20"/>
                <w:szCs w:val="20"/>
                <w:lang w:val="en-US"/>
              </w:rPr>
            </w:pPr>
            <w:r>
              <w:rPr>
                <w:rFonts w:eastAsia="Times New Roman"/>
                <w:sz w:val="20"/>
                <w:szCs w:val="20"/>
                <w:lang w:val="en-US"/>
              </w:rPr>
              <w:t>2 (0.7)</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Default="000416BB" w:rsidP="003911B0">
            <w:pPr>
              <w:spacing w:before="0" w:after="0"/>
              <w:ind w:left="600"/>
              <w:rPr>
                <w:rFonts w:eastAsia="Times New Roman"/>
                <w:sz w:val="20"/>
                <w:szCs w:val="20"/>
                <w:lang w:val="en-US"/>
              </w:rPr>
            </w:pPr>
            <w:r>
              <w:rPr>
                <w:rFonts w:eastAsia="Times New Roman"/>
                <w:sz w:val="20"/>
                <w:szCs w:val="20"/>
                <w:lang w:val="en-US"/>
              </w:rPr>
              <w:t>pain in extremity</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0416BB" w:rsidRDefault="000416BB" w:rsidP="003911B0">
            <w:pPr>
              <w:spacing w:before="0" w:after="0"/>
              <w:jc w:val="center"/>
              <w:rPr>
                <w:rFonts w:eastAsia="Times New Roman"/>
                <w:sz w:val="20"/>
                <w:szCs w:val="20"/>
                <w:lang w:val="en-US"/>
              </w:rPr>
            </w:pPr>
            <w:r>
              <w:rPr>
                <w:rFonts w:eastAsia="Times New Roman"/>
                <w:sz w:val="20"/>
                <w:szCs w:val="20"/>
                <w:lang w:val="en-US"/>
              </w:rPr>
              <w:t>1 (0.4)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0416BB" w:rsidRDefault="000416BB" w:rsidP="003911B0">
            <w:pPr>
              <w:spacing w:before="0" w:after="0"/>
              <w:jc w:val="center"/>
              <w:rPr>
                <w:rFonts w:eastAsia="Times New Roman"/>
                <w:sz w:val="20"/>
                <w:szCs w:val="20"/>
                <w:lang w:val="en-US"/>
              </w:rPr>
            </w:pPr>
            <w:r>
              <w:rPr>
                <w:rFonts w:eastAsia="Times New Roman"/>
                <w:sz w:val="20"/>
                <w:szCs w:val="20"/>
                <w:lang w:val="en-US"/>
              </w:rPr>
              <w:t>3 (1.0)</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Default="000416BB" w:rsidP="003911B0">
            <w:pPr>
              <w:spacing w:before="0" w:after="0"/>
              <w:ind w:left="600"/>
              <w:rPr>
                <w:rFonts w:eastAsia="Times New Roman"/>
                <w:sz w:val="20"/>
                <w:szCs w:val="20"/>
                <w:lang w:val="en-US"/>
              </w:rPr>
            </w:pPr>
            <w:r>
              <w:rPr>
                <w:rFonts w:eastAsia="Times New Roman"/>
                <w:sz w:val="20"/>
                <w:szCs w:val="20"/>
                <w:lang w:val="en-US"/>
              </w:rPr>
              <w:t>musculoskeletal pain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0416BB" w:rsidRDefault="000416BB" w:rsidP="003911B0">
            <w:pPr>
              <w:spacing w:before="0" w:after="0"/>
              <w:jc w:val="center"/>
              <w:rPr>
                <w:rFonts w:eastAsia="Times New Roman"/>
                <w:sz w:val="20"/>
                <w:szCs w:val="20"/>
                <w:lang w:val="en-US"/>
              </w:rPr>
            </w:pPr>
            <w:r>
              <w:rPr>
                <w:rFonts w:eastAsia="Times New Roman"/>
                <w:sz w:val="20"/>
                <w:szCs w:val="20"/>
                <w:lang w:val="en-US"/>
              </w:rPr>
              <w:t>0</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0416BB" w:rsidRDefault="000416BB" w:rsidP="003911B0">
            <w:pPr>
              <w:spacing w:before="0" w:after="0"/>
              <w:jc w:val="center"/>
              <w:rPr>
                <w:rFonts w:eastAsia="Times New Roman"/>
                <w:sz w:val="20"/>
                <w:szCs w:val="20"/>
                <w:lang w:val="en-US"/>
              </w:rPr>
            </w:pPr>
            <w:r>
              <w:rPr>
                <w:rFonts w:eastAsia="Times New Roman"/>
                <w:sz w:val="20"/>
                <w:szCs w:val="20"/>
                <w:lang w:val="en-US"/>
              </w:rPr>
              <w:t>3 (1.0)</w:t>
            </w:r>
          </w:p>
        </w:tc>
      </w:tr>
      <w:tr w:rsidR="000416BB" w:rsidRPr="00501A27" w:rsidTr="000416BB">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rPr>
                <w:rFonts w:eastAsia="Times New Roman"/>
                <w:b/>
                <w:sz w:val="20"/>
                <w:szCs w:val="20"/>
                <w:lang w:val="en-US"/>
              </w:rPr>
            </w:pPr>
            <w:r>
              <w:rPr>
                <w:rFonts w:eastAsia="Times New Roman"/>
                <w:b/>
                <w:sz w:val="20"/>
                <w:szCs w:val="20"/>
                <w:lang w:val="en-US"/>
              </w:rPr>
              <w:t>Respiratory, thoracic and mediastinal disorders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0416BB" w:rsidRPr="00F130D1" w:rsidRDefault="000416BB"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0416BB" w:rsidRPr="00F130D1" w:rsidRDefault="000416BB" w:rsidP="003911B0">
            <w:pPr>
              <w:spacing w:before="0" w:after="0"/>
              <w:jc w:val="center"/>
              <w:rPr>
                <w:rFonts w:eastAsia="Times New Roman"/>
                <w:b/>
                <w:sz w:val="20"/>
                <w:szCs w:val="20"/>
                <w:lang w:val="en-US"/>
              </w:rPr>
            </w:pPr>
          </w:p>
        </w:tc>
      </w:tr>
      <w:tr w:rsidR="000416BB"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Default="000416BB" w:rsidP="003911B0">
            <w:pPr>
              <w:spacing w:before="0" w:after="0"/>
              <w:ind w:left="600"/>
              <w:rPr>
                <w:rFonts w:eastAsia="Times New Roman"/>
                <w:sz w:val="20"/>
                <w:szCs w:val="20"/>
                <w:lang w:val="en-US"/>
              </w:rPr>
            </w:pPr>
            <w:r>
              <w:rPr>
                <w:rFonts w:eastAsia="Times New Roman"/>
                <w:sz w:val="20"/>
                <w:szCs w:val="20"/>
                <w:lang w:val="en-US"/>
              </w:rPr>
              <w:t>oropharyngeal pain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0416BB" w:rsidRDefault="000416BB" w:rsidP="003911B0">
            <w:pPr>
              <w:spacing w:before="0" w:after="0"/>
              <w:jc w:val="center"/>
              <w:rPr>
                <w:rFonts w:eastAsia="Times New Roman"/>
                <w:sz w:val="20"/>
                <w:szCs w:val="20"/>
                <w:lang w:val="en-US"/>
              </w:rPr>
            </w:pPr>
            <w:r>
              <w:rPr>
                <w:rFonts w:eastAsia="Times New Roman"/>
                <w:sz w:val="20"/>
                <w:szCs w:val="20"/>
                <w:lang w:val="en-US"/>
              </w:rPr>
              <w:t>4 (1.4)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0416BB" w:rsidRDefault="000416BB" w:rsidP="003911B0">
            <w:pPr>
              <w:spacing w:before="0" w:after="0"/>
              <w:jc w:val="center"/>
              <w:rPr>
                <w:rFonts w:eastAsia="Times New Roman"/>
                <w:sz w:val="20"/>
                <w:szCs w:val="20"/>
                <w:lang w:val="en-US"/>
              </w:rPr>
            </w:pPr>
            <w:r>
              <w:rPr>
                <w:rFonts w:eastAsia="Times New Roman"/>
                <w:sz w:val="20"/>
                <w:szCs w:val="20"/>
                <w:lang w:val="en-US"/>
              </w:rPr>
              <w:t>4 (1.3)</w:t>
            </w:r>
          </w:p>
        </w:tc>
      </w:tr>
      <w:tr w:rsidR="000416BB"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Default="000416BB" w:rsidP="003911B0">
            <w:pPr>
              <w:spacing w:before="0" w:after="0"/>
              <w:ind w:left="600"/>
              <w:rPr>
                <w:rFonts w:eastAsia="Times New Roman"/>
                <w:sz w:val="20"/>
                <w:szCs w:val="20"/>
                <w:lang w:val="en-US"/>
              </w:rPr>
            </w:pPr>
            <w:r>
              <w:rPr>
                <w:rFonts w:eastAsia="Times New Roman"/>
                <w:sz w:val="20"/>
                <w:szCs w:val="20"/>
                <w:lang w:val="en-US"/>
              </w:rPr>
              <w:t>cough</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0416BB" w:rsidRDefault="000416BB"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0416BB" w:rsidRDefault="000416BB" w:rsidP="003911B0">
            <w:pPr>
              <w:spacing w:before="0" w:after="0"/>
              <w:jc w:val="center"/>
              <w:rPr>
                <w:rFonts w:eastAsia="Times New Roman"/>
                <w:sz w:val="20"/>
                <w:szCs w:val="20"/>
                <w:lang w:val="en-US"/>
              </w:rPr>
            </w:pPr>
            <w:r>
              <w:rPr>
                <w:rFonts w:eastAsia="Times New Roman"/>
                <w:sz w:val="20"/>
                <w:szCs w:val="20"/>
                <w:lang w:val="en-US"/>
              </w:rPr>
              <w:t>2 (0.7)</w:t>
            </w:r>
          </w:p>
        </w:tc>
      </w:tr>
      <w:tr w:rsidR="000416BB"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Default="000416BB" w:rsidP="003911B0">
            <w:pPr>
              <w:spacing w:before="0" w:after="0"/>
              <w:ind w:left="600"/>
              <w:rPr>
                <w:rFonts w:eastAsia="Times New Roman"/>
                <w:sz w:val="20"/>
                <w:szCs w:val="20"/>
                <w:lang w:val="en-US"/>
              </w:rPr>
            </w:pPr>
            <w:r>
              <w:rPr>
                <w:rFonts w:eastAsia="Times New Roman"/>
                <w:sz w:val="20"/>
                <w:szCs w:val="20"/>
                <w:lang w:val="en-US"/>
              </w:rPr>
              <w:t>epistaxis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0416BB" w:rsidRDefault="000416BB" w:rsidP="003911B0">
            <w:pPr>
              <w:spacing w:before="0" w:after="0"/>
              <w:jc w:val="center"/>
              <w:rPr>
                <w:rFonts w:eastAsia="Times New Roman"/>
                <w:sz w:val="20"/>
                <w:szCs w:val="20"/>
                <w:lang w:val="en-US"/>
              </w:rPr>
            </w:pPr>
            <w:r>
              <w:rPr>
                <w:rFonts w:eastAsia="Times New Roman"/>
                <w:sz w:val="20"/>
                <w:szCs w:val="20"/>
                <w:lang w:val="en-US"/>
              </w:rPr>
              <w:t>4 (1.4)</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0416BB" w:rsidRDefault="000416BB" w:rsidP="003911B0">
            <w:pPr>
              <w:spacing w:before="0" w:after="0"/>
              <w:jc w:val="center"/>
              <w:rPr>
                <w:rFonts w:eastAsia="Times New Roman"/>
                <w:sz w:val="20"/>
                <w:szCs w:val="20"/>
                <w:lang w:val="en-US"/>
              </w:rPr>
            </w:pPr>
            <w:r>
              <w:rPr>
                <w:rFonts w:eastAsia="Times New Roman"/>
                <w:sz w:val="20"/>
                <w:szCs w:val="20"/>
                <w:lang w:val="en-US"/>
              </w:rPr>
              <w:t>1 (0.3)</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rPr>
                <w:rFonts w:eastAsia="Times New Roman"/>
                <w:b/>
                <w:sz w:val="20"/>
                <w:szCs w:val="20"/>
                <w:lang w:val="en-US"/>
              </w:rPr>
            </w:pPr>
            <w:r w:rsidRPr="00F130D1">
              <w:rPr>
                <w:rFonts w:eastAsia="Times New Roman"/>
                <w:b/>
                <w:sz w:val="20"/>
                <w:szCs w:val="20"/>
                <w:lang w:val="en-US"/>
              </w:rPr>
              <w:t>Vascular disorders</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b/>
                <w:sz w:val="20"/>
                <w:szCs w:val="20"/>
                <w:lang w:val="en-US"/>
              </w:rPr>
            </w:pP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sz w:val="20"/>
                <w:szCs w:val="20"/>
                <w:lang w:val="en-US"/>
              </w:rPr>
            </w:pPr>
            <w:r w:rsidRPr="00F130D1">
              <w:rPr>
                <w:rFonts w:eastAsia="Times New Roman"/>
                <w:sz w:val="20"/>
                <w:szCs w:val="20"/>
                <w:lang w:val="en-US"/>
              </w:rPr>
              <w:t>hypertension</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sidRPr="00F130D1">
              <w:rPr>
                <w:rFonts w:eastAsia="Times New Roman"/>
                <w:sz w:val="20"/>
                <w:szCs w:val="20"/>
                <w:lang w:val="en-US"/>
              </w:rPr>
              <w:t>5 (1.8)</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bottom"/>
          </w:tcPr>
          <w:p w:rsidR="004D1FC9" w:rsidRPr="00F130D1" w:rsidRDefault="004D1FC9" w:rsidP="003911B0">
            <w:pPr>
              <w:spacing w:before="0" w:after="0"/>
              <w:jc w:val="center"/>
              <w:rPr>
                <w:rFonts w:eastAsia="Times New Roman"/>
                <w:sz w:val="20"/>
                <w:szCs w:val="20"/>
                <w:lang w:val="en-US"/>
              </w:rPr>
            </w:pPr>
            <w:r w:rsidRPr="00F130D1">
              <w:rPr>
                <w:rFonts w:eastAsia="Times New Roman"/>
                <w:sz w:val="20"/>
                <w:szCs w:val="20"/>
                <w:lang w:val="en-US"/>
              </w:rPr>
              <w:t>8 (2.7)</w:t>
            </w: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rPr>
                <w:rFonts w:eastAsia="Times New Roman"/>
                <w:b/>
                <w:sz w:val="20"/>
                <w:szCs w:val="20"/>
                <w:lang w:val="en-US"/>
              </w:rPr>
            </w:pPr>
            <w:r w:rsidRPr="00F130D1">
              <w:rPr>
                <w:rFonts w:eastAsia="Times New Roman"/>
                <w:b/>
                <w:sz w:val="20"/>
                <w:szCs w:val="20"/>
                <w:lang w:val="en-US"/>
              </w:rPr>
              <w:t>Ear and labyrinth disorders</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jc w:val="center"/>
              <w:rPr>
                <w:rFonts w:eastAsia="Times New Roman"/>
                <w:b/>
                <w:sz w:val="20"/>
                <w:szCs w:val="20"/>
                <w:lang w:val="en-US"/>
              </w:rPr>
            </w:pPr>
          </w:p>
        </w:tc>
      </w:tr>
      <w:tr w:rsidR="004D1FC9"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ind w:left="600"/>
              <w:rPr>
                <w:rFonts w:eastAsia="Times New Roman"/>
                <w:sz w:val="20"/>
                <w:szCs w:val="20"/>
                <w:lang w:val="en-US"/>
              </w:rPr>
            </w:pPr>
            <w:r w:rsidRPr="00F130D1">
              <w:rPr>
                <w:rFonts w:eastAsia="Times New Roman"/>
                <w:sz w:val="20"/>
                <w:szCs w:val="20"/>
                <w:lang w:val="en-US"/>
              </w:rPr>
              <w:t>vertigo</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jc w:val="center"/>
              <w:rPr>
                <w:rFonts w:eastAsia="Times New Roman"/>
                <w:sz w:val="20"/>
                <w:szCs w:val="20"/>
                <w:lang w:val="en-US"/>
              </w:rPr>
            </w:pPr>
            <w:r w:rsidRPr="00F130D1">
              <w:rPr>
                <w:rFonts w:eastAsia="Times New Roman"/>
                <w:sz w:val="20"/>
                <w:szCs w:val="20"/>
                <w:lang w:val="en-US"/>
              </w:rPr>
              <w:t>5 (1.8)</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4D1FC9" w:rsidRPr="00F130D1" w:rsidRDefault="004D1FC9" w:rsidP="003911B0">
            <w:pPr>
              <w:spacing w:before="0" w:after="0"/>
              <w:jc w:val="center"/>
              <w:rPr>
                <w:rFonts w:eastAsia="Times New Roman"/>
                <w:sz w:val="20"/>
                <w:szCs w:val="20"/>
                <w:lang w:val="en-US"/>
              </w:rPr>
            </w:pPr>
            <w:r w:rsidRPr="00F130D1">
              <w:rPr>
                <w:rFonts w:eastAsia="Times New Roman"/>
                <w:sz w:val="20"/>
                <w:szCs w:val="20"/>
                <w:lang w:val="en-US"/>
              </w:rPr>
              <w:t>10 (3.3)</w:t>
            </w:r>
          </w:p>
        </w:tc>
      </w:tr>
      <w:tr w:rsidR="000416BB" w:rsidRPr="00501A27" w:rsidTr="000416BB">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rPr>
                <w:rFonts w:eastAsia="Times New Roman"/>
                <w:b/>
                <w:sz w:val="20"/>
                <w:szCs w:val="20"/>
                <w:lang w:val="en-US"/>
              </w:rPr>
            </w:pPr>
            <w:r>
              <w:rPr>
                <w:rFonts w:eastAsia="Times New Roman"/>
                <w:b/>
                <w:sz w:val="20"/>
                <w:szCs w:val="20"/>
                <w:lang w:val="en-US"/>
              </w:rPr>
              <w:t>Blood and lymphatic system disorders</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jc w:val="center"/>
              <w:rPr>
                <w:rFonts w:eastAsia="Times New Roman"/>
                <w:b/>
                <w:sz w:val="20"/>
                <w:szCs w:val="20"/>
                <w:lang w:val="en-US"/>
              </w:rPr>
            </w:pPr>
          </w:p>
        </w:tc>
      </w:tr>
      <w:tr w:rsidR="000416BB"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547F1F" w:rsidP="003911B0">
            <w:pPr>
              <w:spacing w:before="0" w:after="0"/>
              <w:ind w:left="600"/>
              <w:rPr>
                <w:rFonts w:eastAsia="Times New Roman"/>
                <w:sz w:val="20"/>
                <w:szCs w:val="20"/>
                <w:lang w:val="en-US"/>
              </w:rPr>
            </w:pPr>
            <w:r>
              <w:rPr>
                <w:rFonts w:eastAsia="Times New Roman"/>
                <w:sz w:val="20"/>
                <w:szCs w:val="20"/>
                <w:lang w:val="en-US"/>
              </w:rPr>
              <w:t>e</w:t>
            </w:r>
            <w:r w:rsidR="000416BB">
              <w:rPr>
                <w:rFonts w:eastAsia="Times New Roman"/>
                <w:sz w:val="20"/>
                <w:szCs w:val="20"/>
                <w:lang w:val="en-US"/>
              </w:rPr>
              <w:t>osinophilia</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jc w:val="center"/>
              <w:rPr>
                <w:rFonts w:eastAsia="Times New Roman"/>
                <w:sz w:val="20"/>
                <w:szCs w:val="20"/>
                <w:lang w:val="en-US"/>
              </w:rPr>
            </w:pPr>
            <w:r>
              <w:rPr>
                <w:rFonts w:eastAsia="Times New Roman"/>
                <w:sz w:val="20"/>
                <w:szCs w:val="20"/>
                <w:lang w:val="en-US"/>
              </w:rPr>
              <w:t>4 (1.4)</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jc w:val="center"/>
              <w:rPr>
                <w:rFonts w:eastAsia="Times New Roman"/>
                <w:sz w:val="20"/>
                <w:szCs w:val="20"/>
                <w:lang w:val="en-US"/>
              </w:rPr>
            </w:pPr>
            <w:r>
              <w:rPr>
                <w:rFonts w:eastAsia="Times New Roman"/>
                <w:sz w:val="20"/>
                <w:szCs w:val="20"/>
                <w:lang w:val="en-US"/>
              </w:rPr>
              <w:t>2 (0.7)</w:t>
            </w:r>
          </w:p>
        </w:tc>
      </w:tr>
      <w:tr w:rsidR="000416BB" w:rsidRPr="00501A27" w:rsidTr="000416BB">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rPr>
                <w:rFonts w:eastAsia="Times New Roman"/>
                <w:b/>
                <w:sz w:val="20"/>
                <w:szCs w:val="20"/>
                <w:lang w:val="en-US"/>
              </w:rPr>
            </w:pPr>
            <w:r>
              <w:rPr>
                <w:rFonts w:eastAsia="Times New Roman"/>
                <w:b/>
                <w:sz w:val="20"/>
                <w:szCs w:val="20"/>
                <w:lang w:val="en-US"/>
              </w:rPr>
              <w:t>Cardiac disorders</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jc w:val="center"/>
              <w:rPr>
                <w:rFonts w:eastAsia="Times New Roman"/>
                <w:b/>
                <w:sz w:val="20"/>
                <w:szCs w:val="20"/>
                <w:lang w:val="en-US"/>
              </w:rPr>
            </w:pPr>
          </w:p>
        </w:tc>
      </w:tr>
      <w:tr w:rsidR="000416BB"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Default="00547F1F" w:rsidP="003911B0">
            <w:pPr>
              <w:spacing w:before="0" w:after="0"/>
              <w:ind w:left="600"/>
              <w:rPr>
                <w:rFonts w:eastAsia="Times New Roman"/>
                <w:sz w:val="20"/>
                <w:szCs w:val="20"/>
                <w:lang w:val="en-US"/>
              </w:rPr>
            </w:pPr>
            <w:r>
              <w:rPr>
                <w:rFonts w:eastAsia="Times New Roman"/>
                <w:sz w:val="20"/>
                <w:szCs w:val="20"/>
                <w:lang w:val="en-US"/>
              </w:rPr>
              <w:t>b</w:t>
            </w:r>
            <w:r w:rsidR="000416BB">
              <w:rPr>
                <w:rFonts w:eastAsia="Times New Roman"/>
                <w:sz w:val="20"/>
                <w:szCs w:val="20"/>
                <w:lang w:val="en-US"/>
              </w:rPr>
              <w:t>radycardia</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0416BB" w:rsidRDefault="000416BB" w:rsidP="003911B0">
            <w:pPr>
              <w:spacing w:before="0" w:after="0"/>
              <w:jc w:val="center"/>
              <w:rPr>
                <w:rFonts w:eastAsia="Times New Roman"/>
                <w:sz w:val="20"/>
                <w:szCs w:val="20"/>
                <w:lang w:val="en-US"/>
              </w:rPr>
            </w:pPr>
            <w:r>
              <w:rPr>
                <w:rFonts w:eastAsia="Times New Roman"/>
                <w:sz w:val="20"/>
                <w:szCs w:val="20"/>
                <w:lang w:val="en-US"/>
              </w:rPr>
              <w:t>3 (1.1)</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0416BB" w:rsidRDefault="000416BB" w:rsidP="003911B0">
            <w:pPr>
              <w:spacing w:before="0" w:after="0"/>
              <w:jc w:val="center"/>
              <w:rPr>
                <w:rFonts w:eastAsia="Times New Roman"/>
                <w:sz w:val="20"/>
                <w:szCs w:val="20"/>
                <w:lang w:val="en-US"/>
              </w:rPr>
            </w:pPr>
            <w:r>
              <w:rPr>
                <w:rFonts w:eastAsia="Times New Roman"/>
                <w:sz w:val="20"/>
                <w:szCs w:val="20"/>
                <w:lang w:val="en-US"/>
              </w:rPr>
              <w:t>1 (0.3)</w:t>
            </w:r>
          </w:p>
        </w:tc>
      </w:tr>
      <w:tr w:rsidR="000416BB" w:rsidRPr="00501A27" w:rsidTr="000416BB">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rPr>
                <w:rFonts w:eastAsia="Times New Roman"/>
                <w:b/>
                <w:sz w:val="20"/>
                <w:szCs w:val="20"/>
                <w:lang w:val="en-US"/>
              </w:rPr>
            </w:pPr>
            <w:r>
              <w:rPr>
                <w:rFonts w:eastAsia="Times New Roman"/>
                <w:b/>
                <w:sz w:val="20"/>
                <w:szCs w:val="20"/>
                <w:lang w:val="en-US"/>
              </w:rPr>
              <w:t>Renal and urinary disorders</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0416BB" w:rsidRPr="00F130D1" w:rsidRDefault="000416BB" w:rsidP="003911B0">
            <w:pPr>
              <w:spacing w:before="0" w:after="0"/>
              <w:jc w:val="center"/>
              <w:rPr>
                <w:rFonts w:eastAsia="Times New Roman"/>
                <w:b/>
                <w:sz w:val="20"/>
                <w:szCs w:val="20"/>
                <w:lang w:val="en-US"/>
              </w:rPr>
            </w:pPr>
          </w:p>
        </w:tc>
      </w:tr>
      <w:tr w:rsidR="000416BB"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0416BB" w:rsidRDefault="00547F1F" w:rsidP="003911B0">
            <w:pPr>
              <w:spacing w:before="0" w:after="0"/>
              <w:ind w:left="600"/>
              <w:rPr>
                <w:rFonts w:eastAsia="Times New Roman"/>
                <w:sz w:val="20"/>
                <w:szCs w:val="20"/>
                <w:lang w:val="en-US"/>
              </w:rPr>
            </w:pPr>
            <w:r>
              <w:rPr>
                <w:rFonts w:eastAsia="Times New Roman"/>
                <w:sz w:val="20"/>
                <w:szCs w:val="20"/>
                <w:lang w:val="en-US"/>
              </w:rPr>
              <w:t>h</w:t>
            </w:r>
            <w:r w:rsidR="000416BB">
              <w:rPr>
                <w:rFonts w:eastAsia="Times New Roman"/>
                <w:sz w:val="20"/>
                <w:szCs w:val="20"/>
                <w:lang w:val="en-US"/>
              </w:rPr>
              <w:t>aematuria</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0416BB" w:rsidRDefault="00547F1F" w:rsidP="003911B0">
            <w:pPr>
              <w:spacing w:before="0" w:after="0"/>
              <w:jc w:val="center"/>
              <w:rPr>
                <w:rFonts w:eastAsia="Times New Roman"/>
                <w:sz w:val="20"/>
                <w:szCs w:val="20"/>
                <w:lang w:val="en-US"/>
              </w:rPr>
            </w:pPr>
            <w:r>
              <w:rPr>
                <w:rFonts w:eastAsia="Times New Roman"/>
                <w:sz w:val="20"/>
                <w:szCs w:val="20"/>
                <w:lang w:val="en-US"/>
              </w:rPr>
              <w:t>0</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0416BB" w:rsidRDefault="00547F1F" w:rsidP="003911B0">
            <w:pPr>
              <w:spacing w:before="0" w:after="0"/>
              <w:jc w:val="center"/>
              <w:rPr>
                <w:rFonts w:eastAsia="Times New Roman"/>
                <w:sz w:val="20"/>
                <w:szCs w:val="20"/>
                <w:lang w:val="en-US"/>
              </w:rPr>
            </w:pPr>
            <w:r>
              <w:rPr>
                <w:rFonts w:eastAsia="Times New Roman"/>
                <w:sz w:val="20"/>
                <w:szCs w:val="20"/>
                <w:lang w:val="en-US"/>
              </w:rPr>
              <w:t>3 (1.0)</w:t>
            </w:r>
          </w:p>
        </w:tc>
      </w:tr>
      <w:tr w:rsidR="00547F1F" w:rsidRPr="00501A27" w:rsidTr="00733756">
        <w:tc>
          <w:tcPr>
            <w:tcW w:w="2397" w:type="pct"/>
            <w:tcBorders>
              <w:top w:val="single" w:sz="4" w:space="0" w:color="auto"/>
              <w:left w:val="single" w:sz="4" w:space="0" w:color="auto"/>
              <w:bottom w:val="single" w:sz="4" w:space="0" w:color="auto"/>
              <w:right w:val="single" w:sz="4" w:space="0" w:color="auto"/>
            </w:tcBorders>
            <w:shd w:val="clear" w:color="auto" w:fill="auto"/>
          </w:tcPr>
          <w:p w:rsidR="00547F1F" w:rsidRPr="00F130D1" w:rsidRDefault="00547F1F" w:rsidP="003911B0">
            <w:pPr>
              <w:spacing w:before="0" w:after="0"/>
              <w:rPr>
                <w:rFonts w:eastAsia="Times New Roman"/>
                <w:b/>
                <w:sz w:val="20"/>
                <w:szCs w:val="20"/>
                <w:lang w:val="en-US"/>
              </w:rPr>
            </w:pPr>
            <w:r>
              <w:rPr>
                <w:rFonts w:eastAsia="Times New Roman"/>
                <w:b/>
                <w:sz w:val="20"/>
                <w:szCs w:val="20"/>
                <w:lang w:val="en-US"/>
              </w:rPr>
              <w:t>Eye disorders</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547F1F" w:rsidRPr="00F130D1" w:rsidRDefault="00547F1F" w:rsidP="003911B0">
            <w:pPr>
              <w:spacing w:before="0" w:after="0"/>
              <w:jc w:val="center"/>
              <w:rPr>
                <w:rFonts w:eastAsia="Times New Roman"/>
                <w:b/>
                <w:sz w:val="20"/>
                <w:szCs w:val="20"/>
                <w:lang w:val="en-US"/>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47F1F" w:rsidRPr="00F130D1" w:rsidRDefault="00547F1F" w:rsidP="003911B0">
            <w:pPr>
              <w:spacing w:before="0" w:after="0"/>
              <w:jc w:val="center"/>
              <w:rPr>
                <w:rFonts w:eastAsia="Times New Roman"/>
                <w:b/>
                <w:sz w:val="20"/>
                <w:szCs w:val="20"/>
                <w:lang w:val="en-US"/>
              </w:rPr>
            </w:pPr>
          </w:p>
        </w:tc>
      </w:tr>
      <w:tr w:rsidR="00547F1F" w:rsidRPr="00501A27" w:rsidTr="00501A27">
        <w:tc>
          <w:tcPr>
            <w:tcW w:w="2397" w:type="pct"/>
            <w:tcBorders>
              <w:top w:val="single" w:sz="4" w:space="0" w:color="auto"/>
              <w:left w:val="single" w:sz="4" w:space="0" w:color="auto"/>
              <w:bottom w:val="single" w:sz="4" w:space="0" w:color="auto"/>
              <w:right w:val="single" w:sz="4" w:space="0" w:color="auto"/>
            </w:tcBorders>
            <w:shd w:val="clear" w:color="auto" w:fill="auto"/>
          </w:tcPr>
          <w:p w:rsidR="00547F1F" w:rsidRDefault="00547F1F" w:rsidP="003911B0">
            <w:pPr>
              <w:spacing w:before="0" w:after="0"/>
              <w:ind w:left="600"/>
              <w:rPr>
                <w:rFonts w:eastAsia="Times New Roman"/>
                <w:sz w:val="20"/>
                <w:szCs w:val="20"/>
                <w:lang w:val="en-US"/>
              </w:rPr>
            </w:pPr>
            <w:r>
              <w:rPr>
                <w:rFonts w:eastAsia="Times New Roman"/>
                <w:sz w:val="20"/>
                <w:szCs w:val="20"/>
                <w:lang w:val="en-US"/>
              </w:rPr>
              <w:t>vision blurred</w:t>
            </w:r>
          </w:p>
        </w:tc>
        <w:tc>
          <w:tcPr>
            <w:tcW w:w="1367" w:type="pct"/>
            <w:tcBorders>
              <w:top w:val="single" w:sz="4" w:space="0" w:color="auto"/>
              <w:left w:val="single" w:sz="4" w:space="0" w:color="auto"/>
              <w:bottom w:val="single" w:sz="4" w:space="0" w:color="auto"/>
              <w:right w:val="single" w:sz="4" w:space="0" w:color="auto"/>
            </w:tcBorders>
            <w:shd w:val="clear" w:color="auto" w:fill="auto"/>
          </w:tcPr>
          <w:p w:rsidR="00547F1F" w:rsidRDefault="00547F1F" w:rsidP="003911B0">
            <w:pPr>
              <w:spacing w:before="0" w:after="0"/>
              <w:jc w:val="center"/>
              <w:rPr>
                <w:rFonts w:eastAsia="Times New Roman"/>
                <w:sz w:val="20"/>
                <w:szCs w:val="20"/>
                <w:lang w:val="en-US"/>
              </w:rPr>
            </w:pPr>
            <w:r>
              <w:rPr>
                <w:rFonts w:eastAsia="Times New Roman"/>
                <w:sz w:val="20"/>
                <w:szCs w:val="20"/>
                <w:lang w:val="en-US"/>
              </w:rPr>
              <w:t>5 (1.8)</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47F1F" w:rsidRDefault="00547F1F" w:rsidP="003911B0">
            <w:pPr>
              <w:spacing w:before="0" w:after="0"/>
              <w:jc w:val="center"/>
              <w:rPr>
                <w:rFonts w:eastAsia="Times New Roman"/>
                <w:sz w:val="20"/>
                <w:szCs w:val="20"/>
                <w:lang w:val="en-US"/>
              </w:rPr>
            </w:pPr>
            <w:r>
              <w:rPr>
                <w:rFonts w:eastAsia="Times New Roman"/>
                <w:sz w:val="20"/>
                <w:szCs w:val="20"/>
                <w:lang w:val="en-US"/>
              </w:rPr>
              <w:t>1 (0.3)</w:t>
            </w:r>
          </w:p>
        </w:tc>
      </w:tr>
      <w:tr w:rsidR="004D1FC9" w:rsidRPr="00501A27" w:rsidTr="00501A27">
        <w:tc>
          <w:tcPr>
            <w:tcW w:w="5000" w:type="pct"/>
            <w:gridSpan w:val="3"/>
            <w:tcBorders>
              <w:top w:val="single" w:sz="4" w:space="0" w:color="auto"/>
              <w:bottom w:val="nil"/>
            </w:tcBorders>
            <w:shd w:val="clear" w:color="auto" w:fill="auto"/>
          </w:tcPr>
          <w:p w:rsidR="004D1FC9" w:rsidRPr="00F130D1" w:rsidRDefault="004D1FC9" w:rsidP="003911B0">
            <w:pPr>
              <w:spacing w:before="0" w:after="0"/>
              <w:rPr>
                <w:rFonts w:eastAsia="Times New Roman"/>
                <w:sz w:val="20"/>
                <w:szCs w:val="20"/>
                <w:lang w:val="en-US"/>
              </w:rPr>
            </w:pPr>
            <w:r w:rsidRPr="00F130D1">
              <w:rPr>
                <w:rFonts w:eastAsia="Times New Roman"/>
                <w:sz w:val="20"/>
                <w:szCs w:val="20"/>
                <w:lang w:val="en-US"/>
              </w:rPr>
              <w:t>MedDRA = Medical Dictionary for Regulatory Activities, SOC = System Organ Class</w:t>
            </w:r>
            <w:r w:rsidRPr="00F130D1">
              <w:rPr>
                <w:rFonts w:eastAsia="Times New Roman"/>
                <w:sz w:val="20"/>
                <w:szCs w:val="20"/>
                <w:lang w:val="en-GB"/>
              </w:rPr>
              <w:t xml:space="preserve">, </w:t>
            </w:r>
          </w:p>
        </w:tc>
      </w:tr>
    </w:tbl>
    <w:p w:rsidR="00562FCC" w:rsidRPr="00E14359" w:rsidRDefault="00562FCC" w:rsidP="000B36CA">
      <w:pPr>
        <w:pStyle w:val="Heading5"/>
        <w:spacing w:before="0"/>
      </w:pPr>
      <w:r w:rsidRPr="00696967">
        <w:t xml:space="preserve">Other adverse reactions associated with </w:t>
      </w:r>
      <w:proofErr w:type="spellStart"/>
      <w:r w:rsidRPr="00696967">
        <w:t>zonisamide</w:t>
      </w:r>
      <w:proofErr w:type="spellEnd"/>
      <w:r w:rsidRPr="00696967">
        <w:t xml:space="preserve"> obtained from clinical studies and </w:t>
      </w:r>
      <w:proofErr w:type="spellStart"/>
      <w:r w:rsidRPr="00696967">
        <w:t>post</w:t>
      </w:r>
      <w:r w:rsidRPr="00696967">
        <w:noBreakHyphen/>
        <w:t>marketing</w:t>
      </w:r>
      <w:proofErr w:type="spellEnd"/>
      <w:r w:rsidRPr="00696967">
        <w:t xml:space="preserve"> surveillance and occurring in less than 1% of </w:t>
      </w:r>
      <w:proofErr w:type="spellStart"/>
      <w:r w:rsidRPr="00696967">
        <w:t>zonisamide</w:t>
      </w:r>
      <w:proofErr w:type="spellEnd"/>
      <w:r w:rsidRPr="00696967">
        <w:t xml:space="preserve"> treated patients </w:t>
      </w:r>
      <w:r w:rsidR="00007C8A" w:rsidRPr="00696967">
        <w:t xml:space="preserve">is </w:t>
      </w:r>
      <w:r w:rsidRPr="00696967">
        <w:t xml:space="preserve">included </w:t>
      </w:r>
      <w:r w:rsidR="00007C8A" w:rsidRPr="00696967">
        <w:t xml:space="preserve">in </w:t>
      </w:r>
      <w:fldSimple w:instr=" REF _Ref349141469 \h  \* MERGEFORMAT ">
        <w:r w:rsidR="00F66D7C" w:rsidRPr="00F66D7C">
          <w:t>Table 7</w:t>
        </w:r>
      </w:fldSimple>
      <w:r w:rsidR="002A193D" w:rsidRPr="00696967">
        <w:t xml:space="preserve"> </w:t>
      </w:r>
      <w:r w:rsidRPr="00696967">
        <w:t>below</w:t>
      </w:r>
      <w:r w:rsidRPr="00E14359">
        <w:t>.</w:t>
      </w:r>
    </w:p>
    <w:p w:rsidR="00562FCC" w:rsidRPr="00E14359" w:rsidRDefault="00562FCC" w:rsidP="00562FCC">
      <w:pPr>
        <w:tabs>
          <w:tab w:val="left" w:pos="2268"/>
        </w:tabs>
        <w:autoSpaceDE w:val="0"/>
        <w:autoSpaceDN w:val="0"/>
        <w:adjustRightInd w:val="0"/>
      </w:pPr>
      <w:r w:rsidRPr="00E14359">
        <w:t xml:space="preserve">The frequencies are arranged according to the following scheme: </w:t>
      </w:r>
    </w:p>
    <w:tbl>
      <w:tblPr>
        <w:tblW w:w="8601" w:type="dxa"/>
        <w:tblInd w:w="108" w:type="dxa"/>
        <w:tblLayout w:type="fixed"/>
        <w:tblLook w:val="0000"/>
      </w:tblPr>
      <w:tblGrid>
        <w:gridCol w:w="1843"/>
        <w:gridCol w:w="1322"/>
        <w:gridCol w:w="2274"/>
        <w:gridCol w:w="81"/>
        <w:gridCol w:w="3081"/>
      </w:tblGrid>
      <w:tr w:rsidR="00562FCC" w:rsidRPr="00E14359" w:rsidTr="007742ED">
        <w:trPr>
          <w:gridAfter w:val="1"/>
          <w:wAfter w:w="3081" w:type="dxa"/>
        </w:trPr>
        <w:tc>
          <w:tcPr>
            <w:tcW w:w="1843" w:type="dxa"/>
          </w:tcPr>
          <w:p w:rsidR="00562FCC" w:rsidRPr="00E14359" w:rsidRDefault="00562FCC" w:rsidP="000B36CA">
            <w:pPr>
              <w:autoSpaceDE w:val="0"/>
              <w:autoSpaceDN w:val="0"/>
              <w:adjustRightInd w:val="0"/>
              <w:spacing w:before="0" w:after="0"/>
              <w:rPr>
                <w:sz w:val="22"/>
                <w:szCs w:val="22"/>
                <w:lang w:val="en-US"/>
              </w:rPr>
            </w:pPr>
            <w:r w:rsidRPr="00E14359">
              <w:rPr>
                <w:sz w:val="22"/>
                <w:szCs w:val="22"/>
                <w:lang w:val="en-US"/>
              </w:rPr>
              <w:t xml:space="preserve">uncommon </w:t>
            </w:r>
          </w:p>
        </w:tc>
        <w:tc>
          <w:tcPr>
            <w:tcW w:w="3677" w:type="dxa"/>
            <w:gridSpan w:val="3"/>
          </w:tcPr>
          <w:p w:rsidR="00562FCC" w:rsidRPr="00E14359" w:rsidRDefault="00562FCC" w:rsidP="000B36CA">
            <w:pPr>
              <w:autoSpaceDE w:val="0"/>
              <w:autoSpaceDN w:val="0"/>
              <w:adjustRightInd w:val="0"/>
              <w:spacing w:before="0" w:after="0"/>
              <w:rPr>
                <w:sz w:val="22"/>
                <w:szCs w:val="22"/>
                <w:lang w:val="en-US"/>
              </w:rPr>
            </w:pPr>
            <w:r w:rsidRPr="00E14359">
              <w:rPr>
                <w:sz w:val="22"/>
                <w:szCs w:val="22"/>
                <w:lang w:val="en-US"/>
              </w:rPr>
              <w:t xml:space="preserve">&gt; 1/1,000 &lt; 1/100 </w:t>
            </w:r>
          </w:p>
        </w:tc>
      </w:tr>
      <w:tr w:rsidR="00562FCC" w:rsidRPr="00E14359" w:rsidTr="007742ED">
        <w:trPr>
          <w:gridAfter w:val="1"/>
          <w:wAfter w:w="3081" w:type="dxa"/>
        </w:trPr>
        <w:tc>
          <w:tcPr>
            <w:tcW w:w="1843" w:type="dxa"/>
          </w:tcPr>
          <w:p w:rsidR="00562FCC" w:rsidRPr="00E14359" w:rsidRDefault="00562FCC" w:rsidP="000B36CA">
            <w:pPr>
              <w:autoSpaceDE w:val="0"/>
              <w:autoSpaceDN w:val="0"/>
              <w:adjustRightInd w:val="0"/>
              <w:spacing w:before="0" w:after="0"/>
              <w:rPr>
                <w:sz w:val="22"/>
                <w:szCs w:val="22"/>
                <w:lang w:val="en-US"/>
              </w:rPr>
            </w:pPr>
            <w:r w:rsidRPr="00E14359">
              <w:rPr>
                <w:sz w:val="22"/>
                <w:szCs w:val="22"/>
                <w:lang w:val="en-US"/>
              </w:rPr>
              <w:t xml:space="preserve">rare </w:t>
            </w:r>
          </w:p>
        </w:tc>
        <w:tc>
          <w:tcPr>
            <w:tcW w:w="3677" w:type="dxa"/>
            <w:gridSpan w:val="3"/>
          </w:tcPr>
          <w:p w:rsidR="00562FCC" w:rsidRPr="00E14359" w:rsidRDefault="00562FCC" w:rsidP="000B36CA">
            <w:pPr>
              <w:autoSpaceDE w:val="0"/>
              <w:autoSpaceDN w:val="0"/>
              <w:adjustRightInd w:val="0"/>
              <w:spacing w:before="0" w:after="0"/>
              <w:rPr>
                <w:sz w:val="22"/>
                <w:szCs w:val="22"/>
                <w:lang w:val="en-US"/>
              </w:rPr>
            </w:pPr>
            <w:r w:rsidRPr="00E14359">
              <w:rPr>
                <w:sz w:val="22"/>
                <w:szCs w:val="22"/>
                <w:lang w:val="en-US"/>
              </w:rPr>
              <w:t xml:space="preserve">&gt; 1/10,000 &lt; 1/1,000 </w:t>
            </w:r>
          </w:p>
        </w:tc>
      </w:tr>
      <w:tr w:rsidR="00562FCC" w:rsidRPr="00E14359" w:rsidTr="007742ED">
        <w:trPr>
          <w:gridAfter w:val="1"/>
          <w:wAfter w:w="3081" w:type="dxa"/>
        </w:trPr>
        <w:tc>
          <w:tcPr>
            <w:tcW w:w="1843" w:type="dxa"/>
          </w:tcPr>
          <w:p w:rsidR="00562FCC" w:rsidRPr="00E14359" w:rsidRDefault="00562FCC" w:rsidP="000B36CA">
            <w:pPr>
              <w:autoSpaceDE w:val="0"/>
              <w:autoSpaceDN w:val="0"/>
              <w:adjustRightInd w:val="0"/>
              <w:spacing w:before="0" w:after="0"/>
              <w:rPr>
                <w:sz w:val="22"/>
                <w:szCs w:val="22"/>
                <w:lang w:val="en-US"/>
              </w:rPr>
            </w:pPr>
            <w:r w:rsidRPr="00E14359">
              <w:rPr>
                <w:sz w:val="22"/>
                <w:szCs w:val="22"/>
                <w:lang w:val="en-US"/>
              </w:rPr>
              <w:t xml:space="preserve">very rare </w:t>
            </w:r>
          </w:p>
        </w:tc>
        <w:tc>
          <w:tcPr>
            <w:tcW w:w="3677" w:type="dxa"/>
            <w:gridSpan w:val="3"/>
          </w:tcPr>
          <w:p w:rsidR="00562FCC" w:rsidRPr="00E14359" w:rsidRDefault="00562FCC" w:rsidP="000B36CA">
            <w:pPr>
              <w:autoSpaceDE w:val="0"/>
              <w:autoSpaceDN w:val="0"/>
              <w:adjustRightInd w:val="0"/>
              <w:spacing w:before="0" w:after="0"/>
              <w:rPr>
                <w:sz w:val="22"/>
                <w:szCs w:val="22"/>
                <w:lang w:val="en-US"/>
              </w:rPr>
            </w:pPr>
            <w:r w:rsidRPr="00E14359">
              <w:rPr>
                <w:sz w:val="22"/>
                <w:szCs w:val="22"/>
                <w:lang w:val="en-US"/>
              </w:rPr>
              <w:t>&lt; 1/10,000 including isolated reports</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70"/>
          <w:tblHeader/>
        </w:trPr>
        <w:tc>
          <w:tcPr>
            <w:tcW w:w="8601" w:type="dxa"/>
            <w:gridSpan w:val="5"/>
          </w:tcPr>
          <w:p w:rsidR="00562FCC" w:rsidRPr="00E14359" w:rsidRDefault="00007C8A" w:rsidP="007742ED">
            <w:pPr>
              <w:pStyle w:val="TableCellCenter"/>
              <w:keepNext/>
              <w:spacing w:before="60"/>
              <w:rPr>
                <w:b/>
                <w:bCs/>
              </w:rPr>
            </w:pPr>
            <w:bookmarkStart w:id="10" w:name="_Ref349141469"/>
            <w:r w:rsidRPr="00007C8A">
              <w:rPr>
                <w:b/>
              </w:rPr>
              <w:lastRenderedPageBreak/>
              <w:t xml:space="preserve">Table </w:t>
            </w:r>
            <w:r w:rsidR="00006A40" w:rsidRPr="00007C8A">
              <w:rPr>
                <w:b/>
              </w:rPr>
              <w:fldChar w:fldCharType="begin"/>
            </w:r>
            <w:r w:rsidRPr="00007C8A">
              <w:rPr>
                <w:b/>
              </w:rPr>
              <w:instrText xml:space="preserve"> SEQ Table \* ARABIC </w:instrText>
            </w:r>
            <w:r w:rsidR="00006A40" w:rsidRPr="00007C8A">
              <w:rPr>
                <w:b/>
              </w:rPr>
              <w:fldChar w:fldCharType="separate"/>
            </w:r>
            <w:r w:rsidR="00F66D7C">
              <w:rPr>
                <w:b/>
                <w:noProof/>
              </w:rPr>
              <w:t>7</w:t>
            </w:r>
            <w:r w:rsidR="00006A40" w:rsidRPr="00007C8A">
              <w:rPr>
                <w:b/>
              </w:rPr>
              <w:fldChar w:fldCharType="end"/>
            </w:r>
            <w:bookmarkEnd w:id="10"/>
            <w:r w:rsidRPr="00007C8A">
              <w:rPr>
                <w:b/>
              </w:rPr>
              <w:t>:</w:t>
            </w:r>
            <w:r w:rsidR="002E52B3">
              <w:rPr>
                <w:b/>
                <w:bCs/>
              </w:rPr>
              <w:t xml:space="preserve"> </w:t>
            </w:r>
            <w:r w:rsidR="00562FCC" w:rsidRPr="00E14359">
              <w:rPr>
                <w:b/>
                <w:bCs/>
              </w:rPr>
              <w:t xml:space="preserve">Treatment Emergent Adverse Reactions occurring in  &lt;/= 1% of Zonisamide treated patients </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Height w:val="782"/>
          <w:tblHeader/>
        </w:trPr>
        <w:tc>
          <w:tcPr>
            <w:tcW w:w="3165" w:type="dxa"/>
            <w:gridSpan w:val="2"/>
            <w:tcBorders>
              <w:bottom w:val="single" w:sz="4" w:space="0" w:color="auto"/>
            </w:tcBorders>
          </w:tcPr>
          <w:p w:rsidR="00562FCC" w:rsidRPr="00E14359" w:rsidRDefault="00562FCC" w:rsidP="007742ED">
            <w:pPr>
              <w:pStyle w:val="TableCellLeft"/>
              <w:spacing w:before="60"/>
              <w:rPr>
                <w:b/>
                <w:bCs/>
              </w:rPr>
            </w:pPr>
            <w:r w:rsidRPr="00E14359">
              <w:rPr>
                <w:b/>
                <w:bCs/>
              </w:rPr>
              <w:t>System Organ Class</w:t>
            </w:r>
          </w:p>
          <w:p w:rsidR="00562FCC" w:rsidRPr="00E14359" w:rsidRDefault="00562FCC" w:rsidP="007742ED">
            <w:pPr>
              <w:pStyle w:val="TableCellLeft"/>
              <w:spacing w:before="60"/>
              <w:rPr>
                <w:b/>
                <w:bCs/>
              </w:rPr>
            </w:pPr>
            <w:r w:rsidRPr="00E14359">
              <w:rPr>
                <w:b/>
                <w:bCs/>
              </w:rPr>
              <w:t>(MedDRA terminology)</w:t>
            </w:r>
          </w:p>
        </w:tc>
        <w:tc>
          <w:tcPr>
            <w:tcW w:w="2274" w:type="dxa"/>
            <w:tcBorders>
              <w:bottom w:val="single" w:sz="4" w:space="0" w:color="auto"/>
            </w:tcBorders>
            <w:vAlign w:val="center"/>
          </w:tcPr>
          <w:p w:rsidR="00562FCC" w:rsidRPr="00E14359" w:rsidRDefault="00562FCC" w:rsidP="007742ED">
            <w:pPr>
              <w:pStyle w:val="TableCellCenter"/>
              <w:spacing w:before="60"/>
              <w:rPr>
                <w:b/>
                <w:bCs/>
              </w:rPr>
            </w:pPr>
            <w:r w:rsidRPr="00E14359">
              <w:rPr>
                <w:b/>
                <w:bCs/>
              </w:rPr>
              <w:t>Uncommon</w:t>
            </w:r>
          </w:p>
        </w:tc>
        <w:tc>
          <w:tcPr>
            <w:tcW w:w="3162" w:type="dxa"/>
            <w:gridSpan w:val="2"/>
            <w:tcBorders>
              <w:bottom w:val="single" w:sz="4" w:space="0" w:color="auto"/>
            </w:tcBorders>
            <w:vAlign w:val="center"/>
          </w:tcPr>
          <w:p w:rsidR="00562FCC" w:rsidRPr="00E14359" w:rsidRDefault="00562FCC" w:rsidP="007742ED">
            <w:pPr>
              <w:pStyle w:val="TableCellCenter"/>
              <w:spacing w:before="60"/>
              <w:rPr>
                <w:b/>
                <w:bCs/>
              </w:rPr>
            </w:pPr>
            <w:r w:rsidRPr="00E14359">
              <w:rPr>
                <w:b/>
                <w:bCs/>
              </w:rPr>
              <w:t>Very Rare</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165" w:type="dxa"/>
            <w:gridSpan w:val="2"/>
          </w:tcPr>
          <w:p w:rsidR="00562FCC" w:rsidRPr="00E14359" w:rsidRDefault="00562FCC" w:rsidP="007742ED">
            <w:pPr>
              <w:pStyle w:val="TableCellLeft"/>
              <w:spacing w:before="60"/>
              <w:ind w:left="240"/>
            </w:pPr>
            <w:r w:rsidRPr="00E14359">
              <w:rPr>
                <w:b/>
                <w:bCs/>
              </w:rPr>
              <w:t>Blood and Lymphatic system disorders</w:t>
            </w:r>
          </w:p>
        </w:tc>
        <w:tc>
          <w:tcPr>
            <w:tcW w:w="2274" w:type="dxa"/>
          </w:tcPr>
          <w:p w:rsidR="00562FCC" w:rsidRPr="00E14359" w:rsidRDefault="00562FCC" w:rsidP="007742ED">
            <w:pPr>
              <w:pStyle w:val="TableCellCenter"/>
              <w:spacing w:before="60"/>
            </w:pPr>
          </w:p>
        </w:tc>
        <w:tc>
          <w:tcPr>
            <w:tcW w:w="3162" w:type="dxa"/>
            <w:gridSpan w:val="2"/>
          </w:tcPr>
          <w:p w:rsidR="00562FCC" w:rsidRPr="00E14359" w:rsidRDefault="00562FCC" w:rsidP="007742ED">
            <w:pPr>
              <w:pStyle w:val="TableCellCenter"/>
              <w:spacing w:before="60"/>
            </w:pPr>
            <w:r w:rsidRPr="00E14359">
              <w:t>Agranulocytosis</w:t>
            </w:r>
          </w:p>
          <w:p w:rsidR="00562FCC" w:rsidRPr="00E14359" w:rsidRDefault="00562FCC" w:rsidP="007742ED">
            <w:pPr>
              <w:pStyle w:val="TableCellCenter"/>
              <w:spacing w:before="60"/>
            </w:pPr>
            <w:r w:rsidRPr="00E14359">
              <w:t>Aplastic anemia</w:t>
            </w:r>
          </w:p>
          <w:p w:rsidR="00562FCC" w:rsidRPr="00E14359" w:rsidRDefault="00562FCC" w:rsidP="007742ED">
            <w:pPr>
              <w:pStyle w:val="TableCellCenter"/>
              <w:spacing w:before="60"/>
            </w:pPr>
            <w:r w:rsidRPr="00E14359">
              <w:t>Thrombocytopenia</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165" w:type="dxa"/>
            <w:gridSpan w:val="2"/>
          </w:tcPr>
          <w:p w:rsidR="00562FCC" w:rsidRPr="00E14359" w:rsidRDefault="00562FCC" w:rsidP="007742ED">
            <w:pPr>
              <w:pStyle w:val="TableCellLeft"/>
              <w:spacing w:before="60"/>
              <w:ind w:left="240"/>
              <w:rPr>
                <w:b/>
                <w:bCs/>
              </w:rPr>
            </w:pPr>
            <w:r w:rsidRPr="00E14359">
              <w:rPr>
                <w:b/>
                <w:bCs/>
              </w:rPr>
              <w:t>Immune system disorders</w:t>
            </w:r>
          </w:p>
        </w:tc>
        <w:tc>
          <w:tcPr>
            <w:tcW w:w="2274" w:type="dxa"/>
          </w:tcPr>
          <w:p w:rsidR="00562FCC" w:rsidRPr="00E14359" w:rsidRDefault="00562FCC" w:rsidP="007742ED">
            <w:pPr>
              <w:pStyle w:val="TableCellCenter"/>
              <w:spacing w:before="60"/>
            </w:pPr>
            <w:r w:rsidRPr="00E14359">
              <w:t>Hypersensitivity</w:t>
            </w:r>
          </w:p>
        </w:tc>
        <w:tc>
          <w:tcPr>
            <w:tcW w:w="3162" w:type="dxa"/>
            <w:gridSpan w:val="2"/>
          </w:tcPr>
          <w:p w:rsidR="00562FCC" w:rsidRPr="00E14359" w:rsidRDefault="00562FCC" w:rsidP="007742ED">
            <w:pPr>
              <w:pStyle w:val="TableCellCenter"/>
              <w:spacing w:before="60"/>
            </w:pP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165" w:type="dxa"/>
            <w:gridSpan w:val="2"/>
          </w:tcPr>
          <w:p w:rsidR="00562FCC" w:rsidRPr="00E14359" w:rsidRDefault="00562FCC" w:rsidP="007742ED">
            <w:pPr>
              <w:pStyle w:val="TableCellLeft"/>
              <w:spacing w:before="60"/>
              <w:ind w:left="240"/>
              <w:rPr>
                <w:b/>
                <w:bCs/>
              </w:rPr>
            </w:pPr>
            <w:r w:rsidRPr="00E14359">
              <w:rPr>
                <w:b/>
                <w:bCs/>
              </w:rPr>
              <w:t>Psychiatric disorders</w:t>
            </w:r>
          </w:p>
        </w:tc>
        <w:tc>
          <w:tcPr>
            <w:tcW w:w="2274" w:type="dxa"/>
          </w:tcPr>
          <w:p w:rsidR="00562FCC" w:rsidRPr="00E14359" w:rsidRDefault="00562FCC" w:rsidP="007742ED">
            <w:pPr>
              <w:pStyle w:val="TableCellCenter"/>
              <w:spacing w:before="60"/>
            </w:pPr>
            <w:r w:rsidRPr="00E14359">
              <w:t>Suicide attempt</w:t>
            </w:r>
          </w:p>
        </w:tc>
        <w:tc>
          <w:tcPr>
            <w:tcW w:w="3162" w:type="dxa"/>
            <w:gridSpan w:val="2"/>
          </w:tcPr>
          <w:p w:rsidR="00562FCC" w:rsidRPr="00E14359" w:rsidRDefault="00562FCC" w:rsidP="007742ED">
            <w:pPr>
              <w:pStyle w:val="TableCellCenter"/>
              <w:spacing w:before="60"/>
            </w:pP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165" w:type="dxa"/>
            <w:gridSpan w:val="2"/>
          </w:tcPr>
          <w:p w:rsidR="00562FCC" w:rsidRPr="00E14359" w:rsidRDefault="00562FCC" w:rsidP="007742ED">
            <w:pPr>
              <w:pStyle w:val="TableCellLeft"/>
              <w:spacing w:before="60"/>
              <w:ind w:left="240"/>
              <w:rPr>
                <w:b/>
                <w:bCs/>
              </w:rPr>
            </w:pPr>
            <w:r w:rsidRPr="00E14359">
              <w:rPr>
                <w:b/>
                <w:bCs/>
              </w:rPr>
              <w:t>Nervous system disorders</w:t>
            </w:r>
          </w:p>
        </w:tc>
        <w:tc>
          <w:tcPr>
            <w:tcW w:w="2274" w:type="dxa"/>
          </w:tcPr>
          <w:p w:rsidR="00562FCC" w:rsidRPr="00E14359" w:rsidRDefault="00562FCC" w:rsidP="007742ED">
            <w:pPr>
              <w:pStyle w:val="TableCellCenter"/>
              <w:spacing w:before="60"/>
            </w:pPr>
          </w:p>
        </w:tc>
        <w:tc>
          <w:tcPr>
            <w:tcW w:w="3162" w:type="dxa"/>
            <w:gridSpan w:val="2"/>
          </w:tcPr>
          <w:p w:rsidR="00562FCC" w:rsidRPr="00E14359" w:rsidRDefault="00562FCC" w:rsidP="007742ED">
            <w:pPr>
              <w:pStyle w:val="TableCellCenter"/>
              <w:spacing w:before="60"/>
            </w:pPr>
            <w:r w:rsidRPr="00E14359">
              <w:t>Status epilepticus</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165" w:type="dxa"/>
            <w:gridSpan w:val="2"/>
          </w:tcPr>
          <w:p w:rsidR="00562FCC" w:rsidRPr="00E14359" w:rsidRDefault="00562FCC" w:rsidP="007742ED">
            <w:pPr>
              <w:pStyle w:val="TableCellLeft"/>
              <w:spacing w:before="60"/>
              <w:ind w:left="240"/>
              <w:rPr>
                <w:b/>
                <w:bCs/>
              </w:rPr>
            </w:pPr>
            <w:r w:rsidRPr="00E14359">
              <w:rPr>
                <w:b/>
                <w:bCs/>
              </w:rPr>
              <w:t>Gastrointestinal disorders</w:t>
            </w:r>
          </w:p>
        </w:tc>
        <w:tc>
          <w:tcPr>
            <w:tcW w:w="2274" w:type="dxa"/>
          </w:tcPr>
          <w:p w:rsidR="00562FCC" w:rsidRPr="00E14359" w:rsidRDefault="00562FCC" w:rsidP="007742ED">
            <w:pPr>
              <w:pStyle w:val="TableCellCenter"/>
              <w:spacing w:before="60"/>
            </w:pPr>
          </w:p>
        </w:tc>
        <w:tc>
          <w:tcPr>
            <w:tcW w:w="3162" w:type="dxa"/>
            <w:gridSpan w:val="2"/>
          </w:tcPr>
          <w:p w:rsidR="00562FCC" w:rsidRPr="00E14359" w:rsidRDefault="00562FCC" w:rsidP="007742ED">
            <w:pPr>
              <w:pStyle w:val="TableCellCenter"/>
              <w:spacing w:before="60"/>
            </w:pPr>
            <w:r w:rsidRPr="00E14359">
              <w:t>Pancreatitis</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cantSplit/>
        </w:trPr>
        <w:tc>
          <w:tcPr>
            <w:tcW w:w="3165" w:type="dxa"/>
            <w:gridSpan w:val="2"/>
            <w:vAlign w:val="center"/>
          </w:tcPr>
          <w:p w:rsidR="00562FCC" w:rsidRPr="00E14359" w:rsidRDefault="00562FCC" w:rsidP="007742ED">
            <w:pPr>
              <w:pStyle w:val="TableCellCenter"/>
              <w:spacing w:before="60"/>
              <w:jc w:val="left"/>
              <w:rPr>
                <w:b/>
                <w:bCs/>
              </w:rPr>
            </w:pPr>
            <w:r w:rsidRPr="00E14359">
              <w:rPr>
                <w:b/>
                <w:bCs/>
              </w:rPr>
              <w:t xml:space="preserve">     Skin and subcutaneous </w:t>
            </w:r>
          </w:p>
          <w:p w:rsidR="00562FCC" w:rsidRPr="00E14359" w:rsidRDefault="00562FCC" w:rsidP="007742ED">
            <w:pPr>
              <w:pStyle w:val="TableCellCenter"/>
              <w:spacing w:before="60"/>
              <w:jc w:val="left"/>
              <w:rPr>
                <w:b/>
                <w:bCs/>
              </w:rPr>
            </w:pPr>
            <w:r w:rsidRPr="00E14359">
              <w:rPr>
                <w:b/>
                <w:bCs/>
              </w:rPr>
              <w:t xml:space="preserve">     disorders</w:t>
            </w:r>
          </w:p>
        </w:tc>
        <w:tc>
          <w:tcPr>
            <w:tcW w:w="2274" w:type="dxa"/>
            <w:vAlign w:val="center"/>
          </w:tcPr>
          <w:p w:rsidR="00562FCC" w:rsidRPr="00E14359" w:rsidRDefault="00562FCC" w:rsidP="007742ED">
            <w:pPr>
              <w:pStyle w:val="TableCellCenter"/>
              <w:spacing w:before="60"/>
              <w:jc w:val="left"/>
              <w:rPr>
                <w:b/>
                <w:bCs/>
              </w:rPr>
            </w:pPr>
          </w:p>
        </w:tc>
        <w:tc>
          <w:tcPr>
            <w:tcW w:w="3162" w:type="dxa"/>
            <w:gridSpan w:val="2"/>
            <w:vAlign w:val="center"/>
          </w:tcPr>
          <w:p w:rsidR="00562FCC" w:rsidRPr="00E14359" w:rsidRDefault="00562FCC" w:rsidP="007742ED">
            <w:pPr>
              <w:pStyle w:val="TableCellCenter"/>
              <w:spacing w:before="60"/>
              <w:rPr>
                <w:lang w:val="fr-FR"/>
              </w:rPr>
            </w:pPr>
            <w:r w:rsidRPr="00E14359">
              <w:rPr>
                <w:lang w:val="fr-FR"/>
              </w:rPr>
              <w:t>Anhidrosis</w:t>
            </w:r>
          </w:p>
          <w:p w:rsidR="00562FCC" w:rsidRPr="00E14359" w:rsidRDefault="00562FCC" w:rsidP="007742ED">
            <w:pPr>
              <w:pStyle w:val="TableCellCenter"/>
              <w:spacing w:before="60"/>
              <w:rPr>
                <w:lang w:val="fr-FR"/>
              </w:rPr>
            </w:pPr>
            <w:r w:rsidRPr="00E14359">
              <w:rPr>
                <w:lang w:val="fr-FR"/>
              </w:rPr>
              <w:t>Erythema multiforme</w:t>
            </w:r>
          </w:p>
          <w:p w:rsidR="00562FCC" w:rsidRPr="00E14359" w:rsidRDefault="00562FCC" w:rsidP="007742ED">
            <w:pPr>
              <w:pStyle w:val="TableCellCenter"/>
              <w:spacing w:before="60"/>
              <w:rPr>
                <w:lang w:val="fr-FR"/>
              </w:rPr>
            </w:pPr>
            <w:r w:rsidRPr="00E14359">
              <w:rPr>
                <w:lang w:val="fr-FR"/>
              </w:rPr>
              <w:t>Stevens-Johnson syndrome</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165" w:type="dxa"/>
            <w:gridSpan w:val="2"/>
          </w:tcPr>
          <w:p w:rsidR="00562FCC" w:rsidRPr="00E14359" w:rsidRDefault="00562FCC" w:rsidP="007742ED">
            <w:pPr>
              <w:pStyle w:val="TableCellLeft"/>
              <w:spacing w:before="60"/>
              <w:ind w:left="240"/>
              <w:rPr>
                <w:b/>
                <w:bCs/>
              </w:rPr>
            </w:pPr>
            <w:r w:rsidRPr="00E14359">
              <w:rPr>
                <w:b/>
                <w:bCs/>
              </w:rPr>
              <w:t>Renal and urinary disorders</w:t>
            </w:r>
          </w:p>
        </w:tc>
        <w:tc>
          <w:tcPr>
            <w:tcW w:w="2274" w:type="dxa"/>
          </w:tcPr>
          <w:p w:rsidR="00562FCC" w:rsidRPr="00E14359" w:rsidRDefault="00562FCC" w:rsidP="007742ED">
            <w:pPr>
              <w:pStyle w:val="TableCellCenter"/>
              <w:spacing w:before="60"/>
            </w:pPr>
          </w:p>
        </w:tc>
        <w:tc>
          <w:tcPr>
            <w:tcW w:w="3162" w:type="dxa"/>
            <w:gridSpan w:val="2"/>
          </w:tcPr>
          <w:p w:rsidR="00562FCC" w:rsidRPr="00E14359" w:rsidRDefault="00562FCC" w:rsidP="007742ED">
            <w:pPr>
              <w:pStyle w:val="TableCellCenter"/>
              <w:spacing w:before="60"/>
            </w:pPr>
            <w:r w:rsidRPr="00E14359">
              <w:t>Renal failure</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165" w:type="dxa"/>
            <w:gridSpan w:val="2"/>
          </w:tcPr>
          <w:p w:rsidR="00562FCC" w:rsidRPr="00E14359" w:rsidRDefault="00562FCC" w:rsidP="007742ED">
            <w:pPr>
              <w:pStyle w:val="TableCellLeft"/>
              <w:spacing w:before="60"/>
              <w:ind w:left="240"/>
              <w:rPr>
                <w:b/>
                <w:bCs/>
              </w:rPr>
            </w:pPr>
            <w:r w:rsidRPr="00E14359">
              <w:rPr>
                <w:b/>
                <w:bCs/>
              </w:rPr>
              <w:t>General disorders and administration site conditions</w:t>
            </w:r>
          </w:p>
        </w:tc>
        <w:tc>
          <w:tcPr>
            <w:tcW w:w="2274" w:type="dxa"/>
          </w:tcPr>
          <w:p w:rsidR="00562FCC" w:rsidRPr="00E14359" w:rsidRDefault="00562FCC" w:rsidP="007742ED">
            <w:pPr>
              <w:pStyle w:val="TableCellCenter"/>
              <w:spacing w:before="60"/>
            </w:pPr>
          </w:p>
        </w:tc>
        <w:tc>
          <w:tcPr>
            <w:tcW w:w="3162" w:type="dxa"/>
            <w:gridSpan w:val="2"/>
          </w:tcPr>
          <w:p w:rsidR="00562FCC" w:rsidRPr="00E14359" w:rsidRDefault="00562FCC" w:rsidP="007742ED">
            <w:pPr>
              <w:pStyle w:val="TableCellCenter"/>
              <w:spacing w:before="60"/>
            </w:pPr>
            <w:r w:rsidRPr="00E14359">
              <w:t>Hyperthermia</w:t>
            </w:r>
          </w:p>
          <w:p w:rsidR="00562FCC" w:rsidRPr="00E14359" w:rsidRDefault="00562FCC" w:rsidP="007742ED">
            <w:pPr>
              <w:pStyle w:val="TableCellCenter"/>
              <w:spacing w:before="60"/>
            </w:pPr>
            <w:r w:rsidRPr="00E14359">
              <w:t>Sudden unexplained death in epilepsy</w:t>
            </w:r>
          </w:p>
        </w:tc>
      </w:tr>
      <w:tr w:rsidR="00562FCC" w:rsidRPr="00E14359" w:rsidTr="0077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165" w:type="dxa"/>
            <w:gridSpan w:val="2"/>
          </w:tcPr>
          <w:p w:rsidR="00562FCC" w:rsidRPr="00E14359" w:rsidRDefault="00562FCC" w:rsidP="007742ED">
            <w:pPr>
              <w:pStyle w:val="TableCellLeft"/>
              <w:spacing w:before="60"/>
              <w:ind w:left="240"/>
              <w:rPr>
                <w:b/>
                <w:bCs/>
              </w:rPr>
            </w:pPr>
            <w:r w:rsidRPr="00E14359">
              <w:rPr>
                <w:b/>
                <w:bCs/>
              </w:rPr>
              <w:t>Investigations</w:t>
            </w:r>
          </w:p>
        </w:tc>
        <w:tc>
          <w:tcPr>
            <w:tcW w:w="2274" w:type="dxa"/>
          </w:tcPr>
          <w:p w:rsidR="00562FCC" w:rsidRPr="00E14359" w:rsidRDefault="00562FCC" w:rsidP="007742ED">
            <w:pPr>
              <w:pStyle w:val="TableCellCenter"/>
              <w:spacing w:before="60"/>
            </w:pPr>
          </w:p>
        </w:tc>
        <w:tc>
          <w:tcPr>
            <w:tcW w:w="3162" w:type="dxa"/>
            <w:gridSpan w:val="2"/>
          </w:tcPr>
          <w:p w:rsidR="00562FCC" w:rsidRPr="00E14359" w:rsidRDefault="00562FCC" w:rsidP="007742ED">
            <w:pPr>
              <w:pStyle w:val="TableCellCenter"/>
              <w:spacing w:before="60"/>
            </w:pPr>
            <w:r w:rsidRPr="00E14359">
              <w:t>Alanine aminotransferase increased</w:t>
            </w:r>
          </w:p>
          <w:p w:rsidR="00562FCC" w:rsidRPr="00E14359" w:rsidRDefault="00562FCC" w:rsidP="007742ED">
            <w:pPr>
              <w:pStyle w:val="TableCellCenter"/>
              <w:spacing w:before="60"/>
            </w:pPr>
            <w:r w:rsidRPr="00E14359">
              <w:t>Aspartate aminotransferase increased</w:t>
            </w:r>
          </w:p>
          <w:p w:rsidR="00562FCC" w:rsidRPr="00E14359" w:rsidRDefault="00562FCC" w:rsidP="007742ED">
            <w:pPr>
              <w:pStyle w:val="TableCellCenter"/>
              <w:spacing w:before="60"/>
            </w:pPr>
            <w:r w:rsidRPr="00E14359">
              <w:t>Blood creatinine phosphokinase increased</w:t>
            </w:r>
          </w:p>
          <w:p w:rsidR="00562FCC" w:rsidRPr="00E14359" w:rsidRDefault="00562FCC" w:rsidP="007742ED">
            <w:pPr>
              <w:pStyle w:val="TableCellCenter"/>
              <w:spacing w:before="60"/>
            </w:pPr>
            <w:r w:rsidRPr="00E14359">
              <w:t>Blood creatine increased</w:t>
            </w:r>
          </w:p>
          <w:p w:rsidR="00562FCC" w:rsidRPr="00E14359" w:rsidRDefault="00562FCC" w:rsidP="007742ED">
            <w:pPr>
              <w:pStyle w:val="TableCellCenter"/>
              <w:spacing w:before="60"/>
            </w:pPr>
            <w:r w:rsidRPr="00E14359">
              <w:t>Blood urea increased</w:t>
            </w:r>
          </w:p>
        </w:tc>
      </w:tr>
    </w:tbl>
    <w:p w:rsidR="00694EB0" w:rsidRPr="00E14359" w:rsidRDefault="00694EB0" w:rsidP="007742ED">
      <w:pPr>
        <w:pStyle w:val="Heading2"/>
      </w:pPr>
      <w:r w:rsidRPr="00E14359">
        <w:t>Dosage and administration</w:t>
      </w:r>
    </w:p>
    <w:p w:rsidR="00F8040B" w:rsidRPr="00E14359" w:rsidRDefault="00F8040B" w:rsidP="00636A0F">
      <w:r w:rsidRPr="00E14359">
        <w:t>Zonegran capsules are for oral use.</w:t>
      </w:r>
    </w:p>
    <w:p w:rsidR="00E07583" w:rsidRDefault="00E07583" w:rsidP="007742ED">
      <w:pPr>
        <w:pStyle w:val="Heading3"/>
      </w:pPr>
      <w:r>
        <w:t>Dosage</w:t>
      </w:r>
    </w:p>
    <w:p w:rsidR="00F8040B" w:rsidRPr="00E14359" w:rsidRDefault="00F8040B" w:rsidP="007742ED">
      <w:pPr>
        <w:pStyle w:val="Heading4"/>
      </w:pPr>
      <w:r w:rsidRPr="00E14359">
        <w:t>Adults</w:t>
      </w:r>
    </w:p>
    <w:p w:rsidR="00F8040B" w:rsidRPr="00E14359" w:rsidRDefault="00F8040B" w:rsidP="00636A0F">
      <w:pPr>
        <w:pStyle w:val="BodyText3"/>
        <w:tabs>
          <w:tab w:val="clear" w:pos="567"/>
        </w:tabs>
        <w:autoSpaceDE w:val="0"/>
        <w:autoSpaceDN w:val="0"/>
        <w:adjustRightInd w:val="0"/>
        <w:rPr>
          <w:sz w:val="24"/>
          <w:szCs w:val="24"/>
        </w:rPr>
      </w:pPr>
      <w:r w:rsidRPr="00E14359">
        <w:rPr>
          <w:sz w:val="24"/>
          <w:szCs w:val="24"/>
        </w:rPr>
        <w:t xml:space="preserve">Zonegran </w:t>
      </w:r>
      <w:r w:rsidR="00443C7E" w:rsidRPr="00443C7E">
        <w:rPr>
          <w:sz w:val="24"/>
          <w:szCs w:val="24"/>
        </w:rPr>
        <w:t xml:space="preserve">may be taken as monotherapy or </w:t>
      </w:r>
      <w:r w:rsidRPr="00E14359">
        <w:rPr>
          <w:sz w:val="24"/>
          <w:szCs w:val="24"/>
        </w:rPr>
        <w:t xml:space="preserve">added to existing therapy </w:t>
      </w:r>
      <w:r w:rsidR="00443C7E">
        <w:rPr>
          <w:sz w:val="24"/>
          <w:szCs w:val="24"/>
        </w:rPr>
        <w:t>in adults.  T</w:t>
      </w:r>
      <w:r w:rsidRPr="00E14359">
        <w:rPr>
          <w:sz w:val="24"/>
          <w:szCs w:val="24"/>
        </w:rPr>
        <w:t xml:space="preserve">he dose should be titrated on the basis of clinical effect. </w:t>
      </w:r>
      <w:r w:rsidR="00662F7C" w:rsidRPr="00E14359">
        <w:rPr>
          <w:sz w:val="24"/>
          <w:szCs w:val="24"/>
        </w:rPr>
        <w:t xml:space="preserve"> </w:t>
      </w:r>
      <w:r w:rsidR="00443C7E" w:rsidRPr="00443C7E">
        <w:rPr>
          <w:sz w:val="24"/>
          <w:szCs w:val="24"/>
        </w:rPr>
        <w:t>Recommended escalation and maintenance doses are given in</w:t>
      </w:r>
      <w:r w:rsidR="00FD552A">
        <w:rPr>
          <w:sz w:val="24"/>
          <w:szCs w:val="24"/>
        </w:rPr>
        <w:t xml:space="preserve"> </w:t>
      </w:r>
      <w:r w:rsidR="00006A40">
        <w:rPr>
          <w:sz w:val="24"/>
          <w:szCs w:val="24"/>
        </w:rPr>
        <w:fldChar w:fldCharType="begin"/>
      </w:r>
      <w:r w:rsidR="00FD552A">
        <w:rPr>
          <w:sz w:val="24"/>
          <w:szCs w:val="24"/>
        </w:rPr>
        <w:instrText xml:space="preserve"> REF _Ref302394318 \h </w:instrText>
      </w:r>
      <w:r w:rsidR="00006A40">
        <w:rPr>
          <w:sz w:val="24"/>
          <w:szCs w:val="24"/>
        </w:rPr>
      </w:r>
      <w:r w:rsidR="00006A40">
        <w:rPr>
          <w:sz w:val="24"/>
          <w:szCs w:val="24"/>
        </w:rPr>
        <w:fldChar w:fldCharType="separate"/>
      </w:r>
      <w:r w:rsidR="00F66D7C" w:rsidRPr="00FD552A">
        <w:rPr>
          <w:sz w:val="24"/>
          <w:szCs w:val="24"/>
        </w:rPr>
        <w:t xml:space="preserve">Table </w:t>
      </w:r>
      <w:r w:rsidR="00F66D7C">
        <w:rPr>
          <w:sz w:val="24"/>
          <w:szCs w:val="24"/>
        </w:rPr>
        <w:t>8</w:t>
      </w:r>
      <w:r w:rsidR="00006A40">
        <w:rPr>
          <w:sz w:val="24"/>
          <w:szCs w:val="24"/>
        </w:rPr>
        <w:fldChar w:fldCharType="end"/>
      </w:r>
      <w:r w:rsidR="00443C7E" w:rsidRPr="00443C7E">
        <w:rPr>
          <w:sz w:val="24"/>
          <w:szCs w:val="24"/>
        </w:rPr>
        <w:t xml:space="preserve">. </w:t>
      </w:r>
      <w:r w:rsidR="00443C7E">
        <w:rPr>
          <w:sz w:val="24"/>
          <w:szCs w:val="24"/>
        </w:rPr>
        <w:t xml:space="preserve"> S</w:t>
      </w:r>
      <w:r w:rsidRPr="00E14359">
        <w:rPr>
          <w:sz w:val="24"/>
          <w:szCs w:val="24"/>
        </w:rPr>
        <w:t>ome patients, especially those not taking CYP3A4-inducing agents, may respond to lower doses.</w:t>
      </w:r>
    </w:p>
    <w:p w:rsidR="00443C7E" w:rsidRPr="00FD552A" w:rsidRDefault="00443C7E" w:rsidP="00A521FA">
      <w:pPr>
        <w:pStyle w:val="Caption"/>
        <w:keepNext/>
        <w:rPr>
          <w:sz w:val="24"/>
          <w:szCs w:val="24"/>
        </w:rPr>
      </w:pPr>
      <w:bookmarkStart w:id="11" w:name="_Ref302394318"/>
      <w:bookmarkStart w:id="12" w:name="_Toc302397720"/>
      <w:r w:rsidRPr="00FD552A">
        <w:rPr>
          <w:sz w:val="24"/>
          <w:szCs w:val="24"/>
        </w:rPr>
        <w:lastRenderedPageBreak/>
        <w:t xml:space="preserve">Table </w:t>
      </w:r>
      <w:r w:rsidR="002E52B3">
        <w:rPr>
          <w:sz w:val="24"/>
          <w:szCs w:val="24"/>
        </w:rPr>
        <w:t>8</w:t>
      </w:r>
      <w:bookmarkEnd w:id="11"/>
      <w:r w:rsidR="00FD552A">
        <w:rPr>
          <w:sz w:val="24"/>
          <w:szCs w:val="24"/>
        </w:rPr>
        <w:t>:</w:t>
      </w:r>
      <w:r w:rsidRPr="00FD552A">
        <w:rPr>
          <w:sz w:val="24"/>
          <w:szCs w:val="24"/>
        </w:rPr>
        <w:t xml:space="preserve"> Adults – recommended dosage escalation and maintenance regimen</w:t>
      </w:r>
      <w:bookmarkEnd w:id="12"/>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1546"/>
        <w:gridCol w:w="1694"/>
        <w:gridCol w:w="1929"/>
        <w:gridCol w:w="2400"/>
      </w:tblGrid>
      <w:tr w:rsidR="00443C7E" w:rsidRPr="007573FC" w:rsidTr="00443C7E">
        <w:tc>
          <w:tcPr>
            <w:tcW w:w="2148" w:type="dxa"/>
            <w:shd w:val="clear" w:color="auto" w:fill="auto"/>
          </w:tcPr>
          <w:p w:rsidR="00443C7E" w:rsidRPr="006051E9" w:rsidRDefault="00443C7E" w:rsidP="002A193D">
            <w:pPr>
              <w:keepNext/>
              <w:keepLines/>
              <w:spacing w:before="40" w:after="40"/>
              <w:rPr>
                <w:b/>
              </w:rPr>
            </w:pPr>
            <w:r w:rsidRPr="006051E9">
              <w:rPr>
                <w:b/>
              </w:rPr>
              <w:t>Treatment Regimen</w:t>
            </w:r>
          </w:p>
        </w:tc>
        <w:tc>
          <w:tcPr>
            <w:tcW w:w="5169" w:type="dxa"/>
            <w:gridSpan w:val="3"/>
            <w:shd w:val="clear" w:color="auto" w:fill="auto"/>
          </w:tcPr>
          <w:p w:rsidR="00443C7E" w:rsidRPr="006051E9" w:rsidRDefault="00443C7E" w:rsidP="002A193D">
            <w:pPr>
              <w:keepNext/>
              <w:keepLines/>
              <w:spacing w:before="40" w:after="40"/>
              <w:jc w:val="center"/>
              <w:rPr>
                <w:b/>
              </w:rPr>
            </w:pPr>
            <w:r w:rsidRPr="006051E9">
              <w:rPr>
                <w:b/>
              </w:rPr>
              <w:t>Titration Phase</w:t>
            </w:r>
          </w:p>
        </w:tc>
        <w:tc>
          <w:tcPr>
            <w:tcW w:w="2400" w:type="dxa"/>
            <w:shd w:val="clear" w:color="auto" w:fill="auto"/>
          </w:tcPr>
          <w:p w:rsidR="00443C7E" w:rsidRPr="006051E9" w:rsidRDefault="00443C7E" w:rsidP="002A193D">
            <w:pPr>
              <w:keepNext/>
              <w:keepLines/>
              <w:spacing w:before="40" w:after="40"/>
              <w:rPr>
                <w:b/>
              </w:rPr>
            </w:pPr>
            <w:r w:rsidRPr="006051E9">
              <w:rPr>
                <w:b/>
              </w:rPr>
              <w:t>Usual Maintenance Dose</w:t>
            </w:r>
          </w:p>
        </w:tc>
      </w:tr>
      <w:tr w:rsidR="00443C7E" w:rsidRPr="007573FC" w:rsidTr="00443C7E">
        <w:tc>
          <w:tcPr>
            <w:tcW w:w="2148" w:type="dxa"/>
            <w:vMerge w:val="restart"/>
            <w:shd w:val="clear" w:color="auto" w:fill="auto"/>
          </w:tcPr>
          <w:p w:rsidR="00443C7E" w:rsidRPr="006051E9" w:rsidRDefault="00443C7E" w:rsidP="002A193D">
            <w:pPr>
              <w:keepNext/>
              <w:keepLines/>
              <w:spacing w:before="40" w:after="40"/>
              <w:rPr>
                <w:b/>
              </w:rPr>
            </w:pPr>
            <w:r w:rsidRPr="006051E9">
              <w:rPr>
                <w:b/>
              </w:rPr>
              <w:t>Monotherapy</w:t>
            </w:r>
            <w:r w:rsidRPr="006051E9">
              <w:t xml:space="preserve"> - Newly diagnosed adult patients</w:t>
            </w:r>
          </w:p>
        </w:tc>
        <w:tc>
          <w:tcPr>
            <w:tcW w:w="1546" w:type="dxa"/>
            <w:shd w:val="clear" w:color="auto" w:fill="auto"/>
          </w:tcPr>
          <w:p w:rsidR="00443C7E" w:rsidRPr="006051E9" w:rsidRDefault="00443C7E" w:rsidP="002A193D">
            <w:pPr>
              <w:keepNext/>
              <w:keepLines/>
              <w:spacing w:before="40" w:after="40"/>
              <w:rPr>
                <w:b/>
              </w:rPr>
            </w:pPr>
            <w:r w:rsidRPr="006051E9">
              <w:rPr>
                <w:b/>
              </w:rPr>
              <w:t>Week 1 + 2</w:t>
            </w:r>
          </w:p>
        </w:tc>
        <w:tc>
          <w:tcPr>
            <w:tcW w:w="1694" w:type="dxa"/>
            <w:shd w:val="clear" w:color="auto" w:fill="auto"/>
          </w:tcPr>
          <w:p w:rsidR="00443C7E" w:rsidRPr="006051E9" w:rsidRDefault="00443C7E" w:rsidP="002A193D">
            <w:pPr>
              <w:keepNext/>
              <w:keepLines/>
              <w:spacing w:before="40" w:after="40"/>
              <w:rPr>
                <w:b/>
              </w:rPr>
            </w:pPr>
            <w:r w:rsidRPr="006051E9">
              <w:rPr>
                <w:b/>
              </w:rPr>
              <w:t>Week 3 + 4</w:t>
            </w:r>
          </w:p>
        </w:tc>
        <w:tc>
          <w:tcPr>
            <w:tcW w:w="1929" w:type="dxa"/>
            <w:shd w:val="clear" w:color="auto" w:fill="auto"/>
          </w:tcPr>
          <w:p w:rsidR="00443C7E" w:rsidRPr="006051E9" w:rsidRDefault="00443C7E" w:rsidP="002A193D">
            <w:pPr>
              <w:keepNext/>
              <w:keepLines/>
              <w:spacing w:before="40" w:after="40"/>
              <w:rPr>
                <w:b/>
              </w:rPr>
            </w:pPr>
            <w:r w:rsidRPr="006051E9">
              <w:rPr>
                <w:b/>
              </w:rPr>
              <w:t xml:space="preserve">Week 5 + 6 </w:t>
            </w:r>
          </w:p>
        </w:tc>
        <w:tc>
          <w:tcPr>
            <w:tcW w:w="2400" w:type="dxa"/>
            <w:vMerge w:val="restart"/>
            <w:shd w:val="clear" w:color="auto" w:fill="auto"/>
          </w:tcPr>
          <w:p w:rsidR="00443C7E" w:rsidRPr="006051E9" w:rsidRDefault="00443C7E" w:rsidP="002A193D">
            <w:pPr>
              <w:keepNext/>
              <w:keepLines/>
              <w:spacing w:before="40" w:after="40"/>
            </w:pPr>
          </w:p>
          <w:p w:rsidR="00443C7E" w:rsidRPr="006051E9" w:rsidRDefault="00443C7E" w:rsidP="002A193D">
            <w:pPr>
              <w:keepNext/>
              <w:keepLines/>
              <w:spacing w:before="40" w:after="40"/>
            </w:pPr>
            <w:r w:rsidRPr="006051E9">
              <w:t>300 mg per day</w:t>
            </w:r>
          </w:p>
          <w:p w:rsidR="00443C7E" w:rsidRPr="006051E9" w:rsidRDefault="00443C7E" w:rsidP="002A193D">
            <w:pPr>
              <w:keepNext/>
              <w:keepLines/>
              <w:spacing w:before="40" w:after="40"/>
            </w:pPr>
            <w:r w:rsidRPr="006051E9">
              <w:t xml:space="preserve">(once a day). </w:t>
            </w:r>
          </w:p>
          <w:p w:rsidR="00443C7E" w:rsidRPr="006051E9" w:rsidRDefault="00443C7E" w:rsidP="002A193D">
            <w:pPr>
              <w:keepNext/>
              <w:keepLines/>
              <w:spacing w:before="40" w:after="40"/>
              <w:rPr>
                <w:b/>
              </w:rPr>
            </w:pPr>
            <w:r w:rsidRPr="006051E9">
              <w:t>If a higher dose is required: increase at two</w:t>
            </w:r>
            <w:r w:rsidRPr="006051E9">
              <w:noBreakHyphen/>
              <w:t>weekly intervals in increments of 100 mg up to a maximum of 500 mg.</w:t>
            </w:r>
          </w:p>
        </w:tc>
      </w:tr>
      <w:tr w:rsidR="00443C7E" w:rsidRPr="007573FC" w:rsidTr="00443C7E">
        <w:tc>
          <w:tcPr>
            <w:tcW w:w="2148" w:type="dxa"/>
            <w:vMerge/>
            <w:shd w:val="clear" w:color="auto" w:fill="auto"/>
          </w:tcPr>
          <w:p w:rsidR="00443C7E" w:rsidRPr="002D448B" w:rsidRDefault="00443C7E" w:rsidP="00A521FA">
            <w:pPr>
              <w:keepNext/>
              <w:keepLines/>
              <w:spacing w:before="40" w:after="40"/>
            </w:pPr>
          </w:p>
        </w:tc>
        <w:tc>
          <w:tcPr>
            <w:tcW w:w="1546" w:type="dxa"/>
            <w:shd w:val="clear" w:color="auto" w:fill="auto"/>
          </w:tcPr>
          <w:p w:rsidR="00443C7E" w:rsidRPr="002D448B" w:rsidRDefault="00443C7E" w:rsidP="00A521FA">
            <w:pPr>
              <w:keepNext/>
              <w:keepLines/>
              <w:spacing w:before="40" w:after="40"/>
            </w:pPr>
            <w:r w:rsidRPr="002D448B">
              <w:t xml:space="preserve">100 mg/day </w:t>
            </w:r>
          </w:p>
          <w:p w:rsidR="00443C7E" w:rsidRPr="002D448B" w:rsidRDefault="00443C7E" w:rsidP="00A521FA">
            <w:pPr>
              <w:keepNext/>
              <w:keepLines/>
              <w:spacing w:before="40" w:after="40"/>
            </w:pPr>
            <w:r w:rsidRPr="002D448B">
              <w:t>(once a day)</w:t>
            </w:r>
          </w:p>
        </w:tc>
        <w:tc>
          <w:tcPr>
            <w:tcW w:w="1694" w:type="dxa"/>
            <w:shd w:val="clear" w:color="auto" w:fill="auto"/>
          </w:tcPr>
          <w:p w:rsidR="00443C7E" w:rsidRPr="002D448B" w:rsidRDefault="00443C7E" w:rsidP="00A521FA">
            <w:pPr>
              <w:keepNext/>
              <w:keepLines/>
              <w:spacing w:before="40" w:after="40"/>
              <w:rPr>
                <w:lang w:val="en-US"/>
              </w:rPr>
            </w:pPr>
            <w:r w:rsidRPr="002D448B">
              <w:rPr>
                <w:lang w:val="en-US"/>
              </w:rPr>
              <w:t>200</w:t>
            </w:r>
            <w:r w:rsidRPr="002D448B">
              <w:t> </w:t>
            </w:r>
            <w:r w:rsidRPr="002D448B">
              <w:rPr>
                <w:lang w:val="en-US"/>
              </w:rPr>
              <w:t>mg /day</w:t>
            </w:r>
          </w:p>
          <w:p w:rsidR="00443C7E" w:rsidRPr="002D448B" w:rsidRDefault="00443C7E" w:rsidP="00A521FA">
            <w:pPr>
              <w:keepNext/>
              <w:keepLines/>
              <w:spacing w:before="40" w:after="40"/>
            </w:pPr>
            <w:r w:rsidRPr="002D448B">
              <w:rPr>
                <w:lang w:val="en-US"/>
              </w:rPr>
              <w:t>(once a day)</w:t>
            </w:r>
          </w:p>
        </w:tc>
        <w:tc>
          <w:tcPr>
            <w:tcW w:w="1929" w:type="dxa"/>
            <w:shd w:val="clear" w:color="auto" w:fill="auto"/>
          </w:tcPr>
          <w:p w:rsidR="00443C7E" w:rsidRPr="002D448B" w:rsidRDefault="00443C7E" w:rsidP="00A521FA">
            <w:pPr>
              <w:keepNext/>
              <w:keepLines/>
              <w:spacing w:before="40" w:after="40"/>
            </w:pPr>
            <w:r w:rsidRPr="002D448B">
              <w:t>300 mg / day</w:t>
            </w:r>
          </w:p>
          <w:p w:rsidR="00443C7E" w:rsidRPr="002D448B" w:rsidRDefault="00443C7E" w:rsidP="00A521FA">
            <w:pPr>
              <w:keepNext/>
              <w:keepLines/>
              <w:spacing w:before="40" w:after="40"/>
            </w:pPr>
            <w:r w:rsidRPr="002D448B">
              <w:t>(once a day)</w:t>
            </w:r>
          </w:p>
        </w:tc>
        <w:tc>
          <w:tcPr>
            <w:tcW w:w="2400" w:type="dxa"/>
            <w:vMerge/>
            <w:shd w:val="clear" w:color="auto" w:fill="auto"/>
          </w:tcPr>
          <w:p w:rsidR="00443C7E" w:rsidRPr="002D448B" w:rsidRDefault="00443C7E" w:rsidP="00A521FA">
            <w:pPr>
              <w:keepNext/>
              <w:keepLines/>
              <w:spacing w:before="40" w:after="40"/>
            </w:pPr>
          </w:p>
        </w:tc>
      </w:tr>
      <w:tr w:rsidR="00443C7E" w:rsidRPr="007573FC" w:rsidTr="00443C7E">
        <w:tc>
          <w:tcPr>
            <w:tcW w:w="2148" w:type="dxa"/>
            <w:vMerge w:val="restart"/>
            <w:shd w:val="clear" w:color="auto" w:fill="auto"/>
          </w:tcPr>
          <w:p w:rsidR="00443C7E" w:rsidRPr="006051E9" w:rsidRDefault="00443C7E" w:rsidP="002A193D">
            <w:pPr>
              <w:keepNext/>
              <w:keepLines/>
              <w:spacing w:before="40" w:after="40"/>
            </w:pPr>
            <w:r w:rsidRPr="006051E9">
              <w:rPr>
                <w:b/>
              </w:rPr>
              <w:t>Adjunctive therapy</w:t>
            </w:r>
            <w:r w:rsidRPr="006051E9">
              <w:t xml:space="preserve"> </w:t>
            </w:r>
            <w:r w:rsidRPr="006051E9">
              <w:br/>
              <w:t>- with CYP3A4-inducing agents</w:t>
            </w:r>
          </w:p>
          <w:p w:rsidR="00443C7E" w:rsidRPr="006051E9" w:rsidRDefault="00443C7E" w:rsidP="002A193D">
            <w:pPr>
              <w:keepNext/>
              <w:keepLines/>
              <w:spacing w:before="40" w:after="40"/>
              <w:rPr>
                <w:b/>
              </w:rPr>
            </w:pPr>
            <w:r w:rsidRPr="006051E9">
              <w:t>(see section 4.5)</w:t>
            </w:r>
          </w:p>
        </w:tc>
        <w:tc>
          <w:tcPr>
            <w:tcW w:w="1546" w:type="dxa"/>
            <w:shd w:val="clear" w:color="auto" w:fill="auto"/>
          </w:tcPr>
          <w:p w:rsidR="00443C7E" w:rsidRPr="006051E9" w:rsidRDefault="00443C7E" w:rsidP="002A193D">
            <w:pPr>
              <w:keepNext/>
              <w:keepLines/>
              <w:spacing w:before="40" w:after="40"/>
              <w:rPr>
                <w:b/>
              </w:rPr>
            </w:pPr>
            <w:r w:rsidRPr="006051E9">
              <w:rPr>
                <w:b/>
              </w:rPr>
              <w:t>Week 1</w:t>
            </w:r>
          </w:p>
        </w:tc>
        <w:tc>
          <w:tcPr>
            <w:tcW w:w="1694" w:type="dxa"/>
            <w:shd w:val="clear" w:color="auto" w:fill="auto"/>
          </w:tcPr>
          <w:p w:rsidR="00443C7E" w:rsidRPr="006051E9" w:rsidRDefault="00443C7E" w:rsidP="002A193D">
            <w:pPr>
              <w:keepNext/>
              <w:keepLines/>
              <w:spacing w:before="40" w:after="40"/>
              <w:rPr>
                <w:b/>
              </w:rPr>
            </w:pPr>
            <w:r w:rsidRPr="006051E9">
              <w:rPr>
                <w:b/>
              </w:rPr>
              <w:t>Week 2</w:t>
            </w:r>
          </w:p>
        </w:tc>
        <w:tc>
          <w:tcPr>
            <w:tcW w:w="1929" w:type="dxa"/>
            <w:shd w:val="clear" w:color="auto" w:fill="auto"/>
          </w:tcPr>
          <w:p w:rsidR="00443C7E" w:rsidRPr="006051E9" w:rsidRDefault="00443C7E" w:rsidP="002A193D">
            <w:pPr>
              <w:keepNext/>
              <w:keepLines/>
              <w:spacing w:before="40" w:after="40"/>
              <w:rPr>
                <w:b/>
              </w:rPr>
            </w:pPr>
            <w:r w:rsidRPr="006051E9">
              <w:rPr>
                <w:b/>
              </w:rPr>
              <w:t>Week 3 to 5</w:t>
            </w:r>
          </w:p>
        </w:tc>
        <w:tc>
          <w:tcPr>
            <w:tcW w:w="2400" w:type="dxa"/>
            <w:vMerge w:val="restart"/>
            <w:shd w:val="clear" w:color="auto" w:fill="auto"/>
          </w:tcPr>
          <w:p w:rsidR="00443C7E" w:rsidRPr="006051E9" w:rsidRDefault="00443C7E" w:rsidP="002A193D">
            <w:pPr>
              <w:keepNext/>
              <w:keepLines/>
              <w:spacing w:before="40" w:after="40"/>
            </w:pPr>
          </w:p>
          <w:p w:rsidR="00443C7E" w:rsidRPr="006051E9" w:rsidRDefault="00443C7E" w:rsidP="002A193D">
            <w:pPr>
              <w:keepNext/>
              <w:keepLines/>
              <w:spacing w:before="40" w:after="40"/>
            </w:pPr>
            <w:r w:rsidRPr="006051E9">
              <w:t xml:space="preserve">300 to 500 mg per day </w:t>
            </w:r>
          </w:p>
          <w:p w:rsidR="00443C7E" w:rsidRPr="006051E9" w:rsidRDefault="00443C7E" w:rsidP="002A193D">
            <w:pPr>
              <w:keepNext/>
              <w:keepLines/>
              <w:spacing w:before="40" w:after="40"/>
            </w:pPr>
            <w:r w:rsidRPr="006051E9">
              <w:t xml:space="preserve">(once a day or </w:t>
            </w:r>
            <w:r w:rsidRPr="006051E9">
              <w:br/>
              <w:t>two divided doses).</w:t>
            </w:r>
          </w:p>
        </w:tc>
      </w:tr>
      <w:tr w:rsidR="00443C7E" w:rsidRPr="007573FC" w:rsidTr="00443C7E">
        <w:tc>
          <w:tcPr>
            <w:tcW w:w="2148" w:type="dxa"/>
            <w:vMerge/>
            <w:shd w:val="clear" w:color="auto" w:fill="auto"/>
          </w:tcPr>
          <w:p w:rsidR="00443C7E" w:rsidRPr="002D448B" w:rsidRDefault="00443C7E" w:rsidP="00A521FA">
            <w:pPr>
              <w:keepNext/>
              <w:keepLines/>
              <w:spacing w:before="40" w:after="40"/>
            </w:pPr>
          </w:p>
        </w:tc>
        <w:tc>
          <w:tcPr>
            <w:tcW w:w="1546" w:type="dxa"/>
            <w:shd w:val="clear" w:color="auto" w:fill="auto"/>
          </w:tcPr>
          <w:p w:rsidR="00443C7E" w:rsidRPr="002D448B" w:rsidRDefault="00443C7E" w:rsidP="00A521FA">
            <w:pPr>
              <w:keepNext/>
              <w:keepLines/>
              <w:spacing w:before="40" w:after="40"/>
            </w:pPr>
            <w:r w:rsidRPr="002D448B">
              <w:t xml:space="preserve">50 mg/day </w:t>
            </w:r>
          </w:p>
          <w:p w:rsidR="00443C7E" w:rsidRPr="002D448B" w:rsidRDefault="00443C7E" w:rsidP="00A521FA">
            <w:pPr>
              <w:keepNext/>
              <w:keepLines/>
              <w:spacing w:before="40" w:after="40"/>
            </w:pPr>
            <w:r w:rsidRPr="002D448B">
              <w:t xml:space="preserve">(in two divided doses) </w:t>
            </w:r>
          </w:p>
        </w:tc>
        <w:tc>
          <w:tcPr>
            <w:tcW w:w="1694" w:type="dxa"/>
            <w:shd w:val="clear" w:color="auto" w:fill="auto"/>
          </w:tcPr>
          <w:p w:rsidR="00443C7E" w:rsidRPr="002D448B" w:rsidRDefault="00443C7E" w:rsidP="00A521FA">
            <w:pPr>
              <w:keepNext/>
              <w:keepLines/>
              <w:spacing w:before="40" w:after="40"/>
              <w:rPr>
                <w:lang w:val="en-US"/>
              </w:rPr>
            </w:pPr>
            <w:r w:rsidRPr="002D448B">
              <w:rPr>
                <w:lang w:val="en-US"/>
              </w:rPr>
              <w:t>100</w:t>
            </w:r>
            <w:r w:rsidRPr="002D448B">
              <w:t> </w:t>
            </w:r>
            <w:r w:rsidRPr="002D448B">
              <w:rPr>
                <w:lang w:val="en-US"/>
              </w:rPr>
              <w:t>mg /day</w:t>
            </w:r>
          </w:p>
          <w:p w:rsidR="00443C7E" w:rsidRPr="002D448B" w:rsidRDefault="00443C7E" w:rsidP="00A521FA">
            <w:pPr>
              <w:keepNext/>
              <w:keepLines/>
              <w:spacing w:before="40" w:after="40"/>
            </w:pPr>
            <w:r w:rsidRPr="002D448B">
              <w:rPr>
                <w:lang w:val="en-US"/>
              </w:rPr>
              <w:t>(</w:t>
            </w:r>
            <w:r w:rsidRPr="002D448B">
              <w:t>in two divided doses</w:t>
            </w:r>
            <w:r w:rsidRPr="002D448B">
              <w:rPr>
                <w:lang w:val="en-US"/>
              </w:rPr>
              <w:t>)</w:t>
            </w:r>
          </w:p>
        </w:tc>
        <w:tc>
          <w:tcPr>
            <w:tcW w:w="1929" w:type="dxa"/>
            <w:shd w:val="clear" w:color="auto" w:fill="auto"/>
          </w:tcPr>
          <w:p w:rsidR="00443C7E" w:rsidRPr="002D448B" w:rsidRDefault="00443C7E" w:rsidP="00A521FA">
            <w:pPr>
              <w:keepNext/>
              <w:keepLines/>
              <w:spacing w:before="40" w:after="40"/>
            </w:pPr>
            <w:r w:rsidRPr="002D448B">
              <w:t xml:space="preserve">Increase at weekly intervals </w:t>
            </w:r>
          </w:p>
          <w:p w:rsidR="00443C7E" w:rsidRPr="002D448B" w:rsidRDefault="00443C7E" w:rsidP="00A521FA">
            <w:pPr>
              <w:keepNext/>
              <w:keepLines/>
              <w:spacing w:before="40" w:after="40"/>
            </w:pPr>
            <w:r w:rsidRPr="002D448B">
              <w:t>in increments  of 100 mg</w:t>
            </w:r>
          </w:p>
        </w:tc>
        <w:tc>
          <w:tcPr>
            <w:tcW w:w="2400" w:type="dxa"/>
            <w:vMerge/>
            <w:shd w:val="clear" w:color="auto" w:fill="auto"/>
          </w:tcPr>
          <w:p w:rsidR="00443C7E" w:rsidRPr="002D448B" w:rsidRDefault="00443C7E" w:rsidP="00A521FA">
            <w:pPr>
              <w:keepNext/>
              <w:keepLines/>
              <w:spacing w:before="40" w:after="40"/>
            </w:pPr>
          </w:p>
        </w:tc>
      </w:tr>
      <w:tr w:rsidR="00443C7E" w:rsidRPr="007573FC" w:rsidTr="00443C7E">
        <w:tc>
          <w:tcPr>
            <w:tcW w:w="2148" w:type="dxa"/>
            <w:vMerge w:val="restart"/>
            <w:shd w:val="clear" w:color="auto" w:fill="auto"/>
          </w:tcPr>
          <w:p w:rsidR="00443C7E" w:rsidRPr="006051E9" w:rsidRDefault="00443C7E" w:rsidP="002A193D">
            <w:pPr>
              <w:keepNext/>
              <w:keepLines/>
              <w:spacing w:before="40" w:after="40"/>
              <w:rPr>
                <w:b/>
              </w:rPr>
            </w:pPr>
            <w:r w:rsidRPr="006051E9">
              <w:t>- without CYP3A4-inducing agents; or with renal or hepatic impairment</w:t>
            </w:r>
          </w:p>
        </w:tc>
        <w:tc>
          <w:tcPr>
            <w:tcW w:w="1546" w:type="dxa"/>
            <w:shd w:val="clear" w:color="auto" w:fill="auto"/>
          </w:tcPr>
          <w:p w:rsidR="00443C7E" w:rsidRPr="006051E9" w:rsidRDefault="00443C7E" w:rsidP="002A193D">
            <w:pPr>
              <w:keepNext/>
              <w:keepLines/>
              <w:spacing w:before="40" w:after="40"/>
              <w:rPr>
                <w:b/>
              </w:rPr>
            </w:pPr>
            <w:r w:rsidRPr="006051E9">
              <w:rPr>
                <w:b/>
              </w:rPr>
              <w:t>Week 1 + 2</w:t>
            </w:r>
          </w:p>
        </w:tc>
        <w:tc>
          <w:tcPr>
            <w:tcW w:w="1694" w:type="dxa"/>
            <w:shd w:val="clear" w:color="auto" w:fill="auto"/>
          </w:tcPr>
          <w:p w:rsidR="00443C7E" w:rsidRPr="006051E9" w:rsidRDefault="00443C7E" w:rsidP="002A193D">
            <w:pPr>
              <w:keepNext/>
              <w:keepLines/>
              <w:spacing w:before="40" w:after="40"/>
              <w:rPr>
                <w:b/>
              </w:rPr>
            </w:pPr>
            <w:r w:rsidRPr="006051E9">
              <w:rPr>
                <w:b/>
              </w:rPr>
              <w:t>Week 3 + 4</w:t>
            </w:r>
          </w:p>
        </w:tc>
        <w:tc>
          <w:tcPr>
            <w:tcW w:w="1929" w:type="dxa"/>
            <w:shd w:val="clear" w:color="auto" w:fill="auto"/>
          </w:tcPr>
          <w:p w:rsidR="00443C7E" w:rsidRPr="006051E9" w:rsidRDefault="00443C7E" w:rsidP="002A193D">
            <w:pPr>
              <w:keepNext/>
              <w:keepLines/>
              <w:spacing w:before="40" w:after="40"/>
              <w:rPr>
                <w:b/>
                <w:lang w:val="en-US"/>
              </w:rPr>
            </w:pPr>
            <w:r w:rsidRPr="006051E9">
              <w:rPr>
                <w:b/>
                <w:lang w:val="en-US"/>
              </w:rPr>
              <w:t>Week 5 to 10</w:t>
            </w:r>
          </w:p>
        </w:tc>
        <w:tc>
          <w:tcPr>
            <w:tcW w:w="2400" w:type="dxa"/>
            <w:vMerge w:val="restart"/>
            <w:shd w:val="clear" w:color="auto" w:fill="auto"/>
          </w:tcPr>
          <w:p w:rsidR="00443C7E" w:rsidRPr="006051E9" w:rsidRDefault="00443C7E" w:rsidP="002A193D">
            <w:pPr>
              <w:keepNext/>
              <w:keepLines/>
              <w:spacing w:before="40" w:after="40"/>
            </w:pPr>
          </w:p>
          <w:p w:rsidR="00443C7E" w:rsidRPr="006051E9" w:rsidRDefault="00443C7E" w:rsidP="002A193D">
            <w:pPr>
              <w:keepNext/>
              <w:keepLines/>
              <w:spacing w:before="40" w:after="40"/>
            </w:pPr>
            <w:r w:rsidRPr="006051E9">
              <w:t xml:space="preserve">300 to 500 mg per day </w:t>
            </w:r>
          </w:p>
          <w:p w:rsidR="00443C7E" w:rsidRPr="006051E9" w:rsidRDefault="00443C7E" w:rsidP="002A193D">
            <w:pPr>
              <w:keepNext/>
              <w:keepLines/>
              <w:spacing w:before="40" w:after="40"/>
            </w:pPr>
            <w:r w:rsidRPr="006051E9">
              <w:t xml:space="preserve">(once a day or </w:t>
            </w:r>
            <w:r w:rsidRPr="006051E9">
              <w:br/>
              <w:t xml:space="preserve">two divided doses). </w:t>
            </w:r>
          </w:p>
          <w:p w:rsidR="00443C7E" w:rsidRPr="006051E9" w:rsidRDefault="00443C7E" w:rsidP="002A193D">
            <w:pPr>
              <w:keepNext/>
              <w:keepLines/>
              <w:spacing w:before="40" w:after="40"/>
              <w:rPr>
                <w:b/>
              </w:rPr>
            </w:pPr>
            <w:r w:rsidRPr="006051E9">
              <w:t>Some patients may respond to lower doses.</w:t>
            </w:r>
          </w:p>
        </w:tc>
      </w:tr>
      <w:tr w:rsidR="00443C7E" w:rsidRPr="007573FC" w:rsidTr="00443C7E">
        <w:tc>
          <w:tcPr>
            <w:tcW w:w="2148" w:type="dxa"/>
            <w:vMerge/>
            <w:shd w:val="clear" w:color="auto" w:fill="auto"/>
          </w:tcPr>
          <w:p w:rsidR="00443C7E" w:rsidRPr="007573FC" w:rsidRDefault="00443C7E" w:rsidP="00A521FA">
            <w:pPr>
              <w:keepNext/>
              <w:keepLines/>
              <w:spacing w:before="40" w:after="40"/>
              <w:rPr>
                <w:color w:val="FF0000"/>
              </w:rPr>
            </w:pPr>
          </w:p>
        </w:tc>
        <w:tc>
          <w:tcPr>
            <w:tcW w:w="1546" w:type="dxa"/>
            <w:shd w:val="clear" w:color="auto" w:fill="auto"/>
          </w:tcPr>
          <w:p w:rsidR="00443C7E" w:rsidRPr="006051E9" w:rsidRDefault="00443C7E" w:rsidP="00A521FA">
            <w:pPr>
              <w:keepNext/>
              <w:keepLines/>
              <w:spacing w:before="40" w:after="40"/>
            </w:pPr>
            <w:r w:rsidRPr="006051E9">
              <w:t xml:space="preserve">50 mg/day </w:t>
            </w:r>
          </w:p>
          <w:p w:rsidR="00443C7E" w:rsidRPr="006051E9" w:rsidRDefault="00443C7E" w:rsidP="00A521FA">
            <w:pPr>
              <w:keepNext/>
              <w:keepLines/>
              <w:spacing w:before="40" w:after="40"/>
            </w:pPr>
            <w:r w:rsidRPr="006051E9">
              <w:t>(in two divided doses)</w:t>
            </w:r>
          </w:p>
        </w:tc>
        <w:tc>
          <w:tcPr>
            <w:tcW w:w="1694" w:type="dxa"/>
            <w:shd w:val="clear" w:color="auto" w:fill="auto"/>
          </w:tcPr>
          <w:p w:rsidR="00443C7E" w:rsidRPr="006051E9" w:rsidRDefault="00443C7E" w:rsidP="00A521FA">
            <w:pPr>
              <w:keepNext/>
              <w:keepLines/>
              <w:spacing w:before="40" w:after="40"/>
              <w:rPr>
                <w:lang w:val="en-US"/>
              </w:rPr>
            </w:pPr>
            <w:r w:rsidRPr="006051E9">
              <w:rPr>
                <w:lang w:val="en-US"/>
              </w:rPr>
              <w:t xml:space="preserve">100 mg / day </w:t>
            </w:r>
          </w:p>
          <w:p w:rsidR="00443C7E" w:rsidRPr="006051E9" w:rsidRDefault="00443C7E" w:rsidP="00A521FA">
            <w:pPr>
              <w:keepNext/>
              <w:keepLines/>
              <w:spacing w:before="40" w:after="40"/>
            </w:pPr>
            <w:r w:rsidRPr="006051E9">
              <w:rPr>
                <w:lang w:val="en-US"/>
              </w:rPr>
              <w:t>(</w:t>
            </w:r>
            <w:r w:rsidRPr="006051E9">
              <w:t>in two divided doses</w:t>
            </w:r>
            <w:r w:rsidRPr="006051E9">
              <w:rPr>
                <w:lang w:val="en-US"/>
              </w:rPr>
              <w:t>)</w:t>
            </w:r>
          </w:p>
        </w:tc>
        <w:tc>
          <w:tcPr>
            <w:tcW w:w="1929" w:type="dxa"/>
            <w:shd w:val="clear" w:color="auto" w:fill="auto"/>
          </w:tcPr>
          <w:p w:rsidR="00443C7E" w:rsidRPr="006051E9" w:rsidRDefault="00443C7E" w:rsidP="00A521FA">
            <w:pPr>
              <w:keepNext/>
              <w:keepLines/>
              <w:spacing w:before="40" w:after="40"/>
              <w:rPr>
                <w:lang w:val="en-US"/>
              </w:rPr>
            </w:pPr>
            <w:r w:rsidRPr="006051E9">
              <w:rPr>
                <w:lang w:val="en-US"/>
              </w:rPr>
              <w:t>Increase at two</w:t>
            </w:r>
            <w:r w:rsidRPr="006051E9">
              <w:rPr>
                <w:lang w:val="en-US"/>
              </w:rPr>
              <w:noBreakHyphen/>
              <w:t>weekly intervals</w:t>
            </w:r>
          </w:p>
          <w:p w:rsidR="00443C7E" w:rsidRPr="006051E9" w:rsidRDefault="00443C7E" w:rsidP="00A521FA">
            <w:pPr>
              <w:keepNext/>
              <w:keepLines/>
              <w:spacing w:before="40" w:after="40"/>
              <w:rPr>
                <w:lang w:val="en-US"/>
              </w:rPr>
            </w:pPr>
            <w:r w:rsidRPr="006051E9">
              <w:rPr>
                <w:lang w:val="en-US"/>
              </w:rPr>
              <w:t>in increments of up to 100 mg</w:t>
            </w:r>
          </w:p>
        </w:tc>
        <w:tc>
          <w:tcPr>
            <w:tcW w:w="2400" w:type="dxa"/>
            <w:vMerge/>
            <w:shd w:val="clear" w:color="auto" w:fill="auto"/>
          </w:tcPr>
          <w:p w:rsidR="00443C7E" w:rsidRPr="007573FC" w:rsidRDefault="00443C7E" w:rsidP="00A521FA">
            <w:pPr>
              <w:keepNext/>
              <w:keepLines/>
              <w:spacing w:before="40" w:after="40"/>
              <w:rPr>
                <w:color w:val="FF0000"/>
              </w:rPr>
            </w:pPr>
          </w:p>
        </w:tc>
      </w:tr>
    </w:tbl>
    <w:p w:rsidR="00E07583" w:rsidRPr="00E14359" w:rsidRDefault="00E07583" w:rsidP="007742ED">
      <w:pPr>
        <w:pStyle w:val="Heading4"/>
      </w:pPr>
      <w:r w:rsidRPr="00E14359">
        <w:t>Elderly</w:t>
      </w:r>
    </w:p>
    <w:p w:rsidR="00E07583" w:rsidRPr="00E14359" w:rsidRDefault="00E07583" w:rsidP="00E07583">
      <w:pPr>
        <w:autoSpaceDE w:val="0"/>
        <w:autoSpaceDN w:val="0"/>
        <w:adjustRightInd w:val="0"/>
      </w:pPr>
      <w:r w:rsidRPr="00E14359">
        <w:t xml:space="preserve">Caution should be exercised at initiation of treatment in elderly patients as there is limited information on the use of zonisamide in these patients.  Prescribers should also take account of the safety profile of zonisamide (see Adverse effects). </w:t>
      </w:r>
    </w:p>
    <w:p w:rsidR="00E07583" w:rsidRPr="00E14359" w:rsidRDefault="001B6315" w:rsidP="007742ED">
      <w:pPr>
        <w:pStyle w:val="Heading4"/>
      </w:pPr>
      <w:r>
        <w:t>Paediatric Use</w:t>
      </w:r>
    </w:p>
    <w:p w:rsidR="00E07583" w:rsidRPr="00E14359" w:rsidRDefault="00E07583" w:rsidP="00E07583">
      <w:pPr>
        <w:keepNext/>
        <w:keepLines/>
      </w:pPr>
      <w:r w:rsidRPr="00E14359">
        <w:t>The safety and efficacy in children and adolescents under 18 years have not been established.  Therefore use in these patients is not recommended</w:t>
      </w:r>
      <w:r w:rsidR="001B6315">
        <w:t xml:space="preserve"> (refer to Paediatric Use)</w:t>
      </w:r>
    </w:p>
    <w:p w:rsidR="00E07583" w:rsidRPr="00E14359" w:rsidRDefault="00E07583" w:rsidP="007742ED">
      <w:pPr>
        <w:pStyle w:val="Heading3"/>
      </w:pPr>
      <w:r w:rsidRPr="00F47DD5">
        <w:t>Dosage adjustment in</w:t>
      </w:r>
      <w:r>
        <w:t xml:space="preserve"> </w:t>
      </w:r>
      <w:r w:rsidRPr="00F47DD5">
        <w:t>renal insufficiency</w:t>
      </w:r>
      <w:r w:rsidR="006A4384">
        <w:t xml:space="preserve"> </w:t>
      </w:r>
    </w:p>
    <w:p w:rsidR="00E07583" w:rsidRPr="00E14359" w:rsidRDefault="00E07583" w:rsidP="00E07583">
      <w:r w:rsidRPr="00E14359">
        <w:t>Caution must be exercised in treating patients with renal impairment, as there is limited information on use in such patients and a slower titration of zonisamide might be required.  Since zonisamide and its metabolites are excreted renally, it should be discontinued in patients who develop acute renal failure or where a clinically significant sustained increase in serum creatinine is observed.</w:t>
      </w:r>
    </w:p>
    <w:p w:rsidR="00E07583" w:rsidRPr="00E14359" w:rsidRDefault="00E07583" w:rsidP="00E07583">
      <w:r w:rsidRPr="00E14359">
        <w:t>In subjects with renal impairment, renal clearance of single doses of zonisamide was positively correlated with creatinine clearance.  The plasma AUC of zonisamide was increased by 35% in subjects with creatinine clearance &lt; 20 ml/min.</w:t>
      </w:r>
    </w:p>
    <w:p w:rsidR="00E07583" w:rsidRPr="00E14359" w:rsidRDefault="00E07583" w:rsidP="007742ED">
      <w:pPr>
        <w:pStyle w:val="Heading3"/>
      </w:pPr>
      <w:r w:rsidRPr="00F47DD5">
        <w:lastRenderedPageBreak/>
        <w:t>Dosage adjustment in</w:t>
      </w:r>
      <w:r>
        <w:t xml:space="preserve"> </w:t>
      </w:r>
      <w:r w:rsidRPr="00F47DD5">
        <w:t>hepatic insufficiency</w:t>
      </w:r>
      <w:r>
        <w:t xml:space="preserve"> </w:t>
      </w:r>
    </w:p>
    <w:p w:rsidR="00E07583" w:rsidRDefault="00E07583" w:rsidP="00E07583">
      <w:r w:rsidRPr="00E14359">
        <w:t>Use in patients with hepatic impairment has not been studied.  Therefore use in patients with severe hepatic impairment is not recommended.  Caution must be exercised in treating patients with mild to moderate hepatic impairment, and a slower titration of zonisamide may be required.</w:t>
      </w:r>
    </w:p>
    <w:p w:rsidR="00E07583" w:rsidRDefault="00E07583" w:rsidP="007742ED">
      <w:pPr>
        <w:pStyle w:val="Heading3"/>
      </w:pPr>
      <w:r w:rsidRPr="00F47DD5">
        <w:t>Dosage adjustment in</w:t>
      </w:r>
      <w:r>
        <w:t xml:space="preserve"> Dialysis</w:t>
      </w:r>
    </w:p>
    <w:p w:rsidR="00A278DE" w:rsidRPr="00A278DE" w:rsidRDefault="00A278DE" w:rsidP="00547F1F">
      <w:r>
        <w:t>Use in patients undergoing dialysis has not been studied.</w:t>
      </w:r>
    </w:p>
    <w:p w:rsidR="00E07583" w:rsidRDefault="00E07583" w:rsidP="007742ED">
      <w:pPr>
        <w:pStyle w:val="Heading3"/>
      </w:pPr>
      <w:r w:rsidRPr="00F47DD5">
        <w:t>Dosage adjustment in</w:t>
      </w:r>
      <w:r>
        <w:t xml:space="preserve"> </w:t>
      </w:r>
      <w:r w:rsidRPr="00E07583">
        <w:t>concomitant disease.</w:t>
      </w:r>
    </w:p>
    <w:p w:rsidR="00A278DE" w:rsidRPr="00A278DE" w:rsidRDefault="00A278DE" w:rsidP="00547F1F">
      <w:r w:rsidRPr="00A278DE">
        <w:t>Refer to inform</w:t>
      </w:r>
      <w:r w:rsidR="00547F1F">
        <w:t>ation provided for d</w:t>
      </w:r>
      <w:r w:rsidRPr="00A278DE">
        <w:t>osage a</w:t>
      </w:r>
      <w:r w:rsidR="00306F34">
        <w:t>djustment in renal and hepatic insufficiency.</w:t>
      </w:r>
    </w:p>
    <w:p w:rsidR="00DE580D" w:rsidRDefault="00DE580D" w:rsidP="007742ED">
      <w:pPr>
        <w:pStyle w:val="Heading3"/>
      </w:pPr>
      <w:r>
        <w:t xml:space="preserve">Maximum tolerated daily dose and the maximum dose for an entire course of therapy. </w:t>
      </w:r>
    </w:p>
    <w:p w:rsidR="00B65D1C" w:rsidRDefault="00F35247" w:rsidP="00547F1F">
      <w:r w:rsidRPr="00F35247">
        <w:t>Although in some studies higher doses were used, the maximum recommended daily dose is 500 mg</w:t>
      </w:r>
      <w:r w:rsidR="00B65D1C">
        <w:t>.</w:t>
      </w:r>
    </w:p>
    <w:p w:rsidR="00085D00" w:rsidRPr="00306F34" w:rsidRDefault="00B65D1C" w:rsidP="00547F1F">
      <w:r>
        <w:t>There is no recommended</w:t>
      </w:r>
      <w:r w:rsidR="00085D00">
        <w:t xml:space="preserve"> maximum dose for an entire course of therapy</w:t>
      </w:r>
      <w:r>
        <w:t>.</w:t>
      </w:r>
    </w:p>
    <w:p w:rsidR="00DE580D" w:rsidRPr="00DE580D" w:rsidRDefault="00DE580D" w:rsidP="007742ED">
      <w:pPr>
        <w:pStyle w:val="Heading3"/>
      </w:pPr>
      <w:r>
        <w:t>Monitoring advice.</w:t>
      </w:r>
    </w:p>
    <w:p w:rsidR="00DE580D" w:rsidRPr="00E14359" w:rsidRDefault="00DE580D" w:rsidP="002B446D">
      <w:pPr>
        <w:pStyle w:val="Heading3"/>
      </w:pPr>
      <w:r w:rsidRPr="00E14359">
        <w:t>Effect of food</w:t>
      </w:r>
    </w:p>
    <w:p w:rsidR="00DE580D" w:rsidRPr="00E14359" w:rsidRDefault="00DE580D" w:rsidP="00DE580D">
      <w:pPr>
        <w:rPr>
          <w:iCs/>
        </w:rPr>
      </w:pPr>
      <w:proofErr w:type="spellStart"/>
      <w:r w:rsidRPr="00E14359">
        <w:rPr>
          <w:iCs/>
        </w:rPr>
        <w:t>Zonisamide</w:t>
      </w:r>
      <w:proofErr w:type="spellEnd"/>
      <w:r w:rsidRPr="00E14359">
        <w:rPr>
          <w:iCs/>
        </w:rPr>
        <w:t xml:space="preserve"> may be taken with or without food.</w:t>
      </w:r>
    </w:p>
    <w:p w:rsidR="00F8040B" w:rsidRPr="00E14359" w:rsidRDefault="00F8040B" w:rsidP="002B446D">
      <w:pPr>
        <w:pStyle w:val="Heading3"/>
      </w:pPr>
      <w:bookmarkStart w:id="13" w:name="OLE_LINK3"/>
      <w:r w:rsidRPr="00E14359">
        <w:t xml:space="preserve">Withdrawal of </w:t>
      </w:r>
      <w:r w:rsidR="000D4602" w:rsidRPr="00E14359">
        <w:t>zonisamide</w:t>
      </w:r>
    </w:p>
    <w:p w:rsidR="00F8040B" w:rsidRDefault="00F8040B" w:rsidP="00636A0F">
      <w:pPr>
        <w:rPr>
          <w:bCs/>
        </w:rPr>
      </w:pPr>
      <w:r w:rsidRPr="00E14359">
        <w:rPr>
          <w:bCs/>
        </w:rPr>
        <w:t xml:space="preserve">When </w:t>
      </w:r>
      <w:r w:rsidR="000D4602" w:rsidRPr="00E14359">
        <w:rPr>
          <w:bCs/>
        </w:rPr>
        <w:t xml:space="preserve">zonisamide </w:t>
      </w:r>
      <w:r w:rsidRPr="00E14359">
        <w:rPr>
          <w:bCs/>
        </w:rPr>
        <w:t>treatment is to be discontinued, it should be withdrawn gradually</w:t>
      </w:r>
      <w:r w:rsidR="00443C7E">
        <w:rPr>
          <w:bCs/>
        </w:rPr>
        <w:t xml:space="preserve"> (see section </w:t>
      </w:r>
      <w:r w:rsidR="00006A40">
        <w:rPr>
          <w:bCs/>
        </w:rPr>
        <w:fldChar w:fldCharType="begin"/>
      </w:r>
      <w:r w:rsidR="00233FC5">
        <w:rPr>
          <w:bCs/>
        </w:rPr>
        <w:instrText xml:space="preserve"> REF _Ref302393227 \h </w:instrText>
      </w:r>
      <w:r w:rsidR="00006A40">
        <w:rPr>
          <w:bCs/>
        </w:rPr>
      </w:r>
      <w:r w:rsidR="00006A40">
        <w:rPr>
          <w:bCs/>
        </w:rPr>
        <w:fldChar w:fldCharType="separate"/>
      </w:r>
      <w:r w:rsidR="00F66D7C" w:rsidRPr="00E14359">
        <w:t>Circumstances in which caution is required</w:t>
      </w:r>
      <w:r w:rsidR="00006A40">
        <w:rPr>
          <w:bCs/>
        </w:rPr>
        <w:fldChar w:fldCharType="end"/>
      </w:r>
      <w:r w:rsidR="00233FC5">
        <w:rPr>
          <w:bCs/>
        </w:rPr>
        <w:t>)</w:t>
      </w:r>
      <w:r w:rsidRPr="00E14359">
        <w:rPr>
          <w:bCs/>
        </w:rPr>
        <w:t xml:space="preserve">. </w:t>
      </w:r>
      <w:r w:rsidR="000D4602" w:rsidRPr="00E14359">
        <w:rPr>
          <w:bCs/>
        </w:rPr>
        <w:t xml:space="preserve"> </w:t>
      </w:r>
      <w:r w:rsidRPr="00E14359">
        <w:rPr>
          <w:bCs/>
        </w:rPr>
        <w:t>In clinical studies</w:t>
      </w:r>
      <w:r w:rsidR="00443C7E">
        <w:rPr>
          <w:bCs/>
        </w:rPr>
        <w:t xml:space="preserve"> of </w:t>
      </w:r>
      <w:r w:rsidR="00233FC5">
        <w:rPr>
          <w:bCs/>
        </w:rPr>
        <w:t>adult</w:t>
      </w:r>
      <w:r w:rsidR="00443C7E">
        <w:rPr>
          <w:bCs/>
        </w:rPr>
        <w:t xml:space="preserve"> patients</w:t>
      </w:r>
      <w:r w:rsidRPr="00E14359">
        <w:rPr>
          <w:bCs/>
        </w:rPr>
        <w:t>, dose reductions of 100</w:t>
      </w:r>
      <w:r w:rsidRPr="00E14359">
        <w:t> </w:t>
      </w:r>
      <w:r w:rsidRPr="00E14359">
        <w:rPr>
          <w:bCs/>
        </w:rPr>
        <w:t>mg at weekly intervals have been used with concurrent adjustment of other antiepileptic drug doses</w:t>
      </w:r>
      <w:r w:rsidR="00233FC5">
        <w:rPr>
          <w:bCs/>
        </w:rPr>
        <w:t xml:space="preserve"> (where necessary)</w:t>
      </w:r>
      <w:r w:rsidRPr="00E14359">
        <w:rPr>
          <w:bCs/>
        </w:rPr>
        <w:t>.</w:t>
      </w:r>
      <w:bookmarkEnd w:id="13"/>
    </w:p>
    <w:p w:rsidR="00694EB0" w:rsidRPr="002B446D" w:rsidRDefault="00694EB0" w:rsidP="002B446D">
      <w:pPr>
        <w:pStyle w:val="Heading2"/>
      </w:pPr>
      <w:proofErr w:type="spellStart"/>
      <w:r w:rsidRPr="00E14359">
        <w:lastRenderedPageBreak/>
        <w:t>Overdosage</w:t>
      </w:r>
      <w:proofErr w:type="spellEnd"/>
    </w:p>
    <w:p w:rsidR="00FC2CA9" w:rsidRPr="00E14359" w:rsidRDefault="00FC2CA9" w:rsidP="00636A0F">
      <w:pPr>
        <w:keepNext/>
      </w:pPr>
      <w:r w:rsidRPr="00E14359">
        <w:t>There have been cases of accidental and intentional overdose in adult and paediatric patients.  In some cases, the overdoses were asymptomatic</w:t>
      </w:r>
      <w:r w:rsidR="001E5F56" w:rsidRPr="00E14359">
        <w:t>, whereas in</w:t>
      </w:r>
      <w:r w:rsidR="002D37B9" w:rsidRPr="00E14359">
        <w:t xml:space="preserve"> other cases</w:t>
      </w:r>
      <w:r w:rsidRPr="00E14359">
        <w:t xml:space="preserve"> the overdose was followed by symptoms such as somnolence, nausea, gastritis, nystagmus, myoclonus, coma, bradycardia, reduced renal function, hypotension and respiratory depression.  A very high plasma concentration of 100.1 μg/ml zonisamide was recorded approximately 31 hours after a patient took an overdose of </w:t>
      </w:r>
      <w:r w:rsidR="000D4602" w:rsidRPr="00E14359">
        <w:t xml:space="preserve">zonisamide </w:t>
      </w:r>
      <w:r w:rsidRPr="00E14359">
        <w:t>and clonazepam; the patient became comatose and had respiratory depression, but recovered consciousness five days later and had no sequelae.</w:t>
      </w:r>
    </w:p>
    <w:p w:rsidR="002D6E48" w:rsidRPr="00E14359" w:rsidRDefault="002D6E48" w:rsidP="00636A0F">
      <w:pPr>
        <w:keepNext/>
        <w:rPr>
          <w:b/>
          <w:u w:val="single"/>
        </w:rPr>
      </w:pPr>
      <w:r w:rsidRPr="00E14359">
        <w:rPr>
          <w:b/>
          <w:u w:val="single"/>
        </w:rPr>
        <w:t>Contact the Poison Information Centre on 13 11 26 (Australia) for advice on the management of overdosage</w:t>
      </w:r>
    </w:p>
    <w:p w:rsidR="00FC2CA9" w:rsidRPr="00E14359" w:rsidRDefault="00FC2CA9" w:rsidP="002B446D">
      <w:pPr>
        <w:pStyle w:val="Heading3"/>
      </w:pPr>
      <w:r w:rsidRPr="00E14359">
        <w:t>Treatment</w:t>
      </w:r>
    </w:p>
    <w:p w:rsidR="00FC2CA9" w:rsidRPr="00E14359" w:rsidRDefault="00FC2CA9" w:rsidP="00636A0F">
      <w:r w:rsidRPr="00E14359">
        <w:t xml:space="preserve">No specific antidotes for </w:t>
      </w:r>
      <w:r w:rsidR="000D4602" w:rsidRPr="00E14359">
        <w:t xml:space="preserve">zonisamide </w:t>
      </w:r>
      <w:r w:rsidRPr="00E14359">
        <w:t>overdose are available.  General supportive care is indicated, including frequent monitoring of vital signs and close observation.  Zonisamide has a long elimination half</w:t>
      </w:r>
      <w:r w:rsidRPr="00E14359">
        <w:noBreakHyphen/>
        <w:t>life so its effects may be persistent.  Although not formally studied for the treatment of overdose, haemodialysis reduced plasma concentrations of zonisamide in a patient with reduced renal function, and may be considered as treatment of overdose if clinically indicated.</w:t>
      </w:r>
    </w:p>
    <w:p w:rsidR="00694EB0" w:rsidRDefault="00694EB0" w:rsidP="002B446D">
      <w:pPr>
        <w:pStyle w:val="Heading2"/>
      </w:pPr>
      <w:r w:rsidRPr="00E14359">
        <w:t>Presentation and storage conditions</w:t>
      </w:r>
    </w:p>
    <w:p w:rsidR="006A4384" w:rsidRPr="006A4384" w:rsidRDefault="006A4384" w:rsidP="002B446D">
      <w:pPr>
        <w:pStyle w:val="Heading3"/>
      </w:pPr>
      <w:r>
        <w:t>P</w:t>
      </w:r>
      <w:r w:rsidRPr="006A4384">
        <w:t>resentation of the medicine</w:t>
      </w:r>
    </w:p>
    <w:p w:rsidR="00E915FD" w:rsidRPr="00E14359" w:rsidRDefault="00DD3583" w:rsidP="00636A0F">
      <w:pPr>
        <w:tabs>
          <w:tab w:val="left" w:pos="-1985"/>
        </w:tabs>
      </w:pPr>
      <w:r w:rsidRPr="00E14359">
        <w:rPr>
          <w:b/>
        </w:rPr>
        <w:t xml:space="preserve">Zonegran </w:t>
      </w:r>
      <w:r w:rsidR="00227912" w:rsidRPr="00E14359">
        <w:rPr>
          <w:b/>
        </w:rPr>
        <w:t>25</w:t>
      </w:r>
      <w:r w:rsidR="007B6FA1" w:rsidRPr="00E14359">
        <w:rPr>
          <w:b/>
        </w:rPr>
        <w:t> </w:t>
      </w:r>
      <w:r w:rsidR="00227912" w:rsidRPr="00E14359">
        <w:rPr>
          <w:b/>
        </w:rPr>
        <w:t>mg</w:t>
      </w:r>
      <w:r w:rsidRPr="00E14359">
        <w:t xml:space="preserve"> </w:t>
      </w:r>
      <w:r w:rsidR="00350B62" w:rsidRPr="00E14359">
        <w:t>(AUST R 125869) is available in blister packs of 14 and 56 hard</w:t>
      </w:r>
      <w:r w:rsidR="00350B62" w:rsidRPr="00E14359">
        <w:rPr>
          <w:i/>
        </w:rPr>
        <w:t xml:space="preserve"> </w:t>
      </w:r>
      <w:r w:rsidR="00350B62" w:rsidRPr="00E14359">
        <w:t>capsules</w:t>
      </w:r>
      <w:r w:rsidR="00E915FD" w:rsidRPr="00E14359">
        <w:t xml:space="preserve"> </w:t>
      </w:r>
      <w:r w:rsidR="00C80891">
        <w:t xml:space="preserve">with </w:t>
      </w:r>
      <w:r w:rsidR="00E915FD" w:rsidRPr="00E14359">
        <w:t xml:space="preserve">white opaque body and white opaque cap </w:t>
      </w:r>
      <w:r w:rsidR="00C80891">
        <w:t>marked</w:t>
      </w:r>
      <w:r w:rsidR="00C80891" w:rsidRPr="00E14359">
        <w:t xml:space="preserve"> </w:t>
      </w:r>
      <w:r w:rsidR="00E915FD" w:rsidRPr="00E14359">
        <w:t>with a logo and “ZONEGRAN 25” in black</w:t>
      </w:r>
      <w:r w:rsidR="00C80891">
        <w:t xml:space="preserve"> ink</w:t>
      </w:r>
      <w:r w:rsidR="00681995" w:rsidRPr="00E14359">
        <w:t>.</w:t>
      </w:r>
    </w:p>
    <w:p w:rsidR="00E915FD" w:rsidRPr="00E14359" w:rsidRDefault="00681995" w:rsidP="00636A0F">
      <w:pPr>
        <w:tabs>
          <w:tab w:val="left" w:pos="-1985"/>
        </w:tabs>
        <w:rPr>
          <w:b/>
          <w:highlight w:val="lightGray"/>
        </w:rPr>
      </w:pPr>
      <w:proofErr w:type="spellStart"/>
      <w:r w:rsidRPr="00E14359">
        <w:rPr>
          <w:b/>
        </w:rPr>
        <w:t>Zonegran</w:t>
      </w:r>
      <w:proofErr w:type="spellEnd"/>
      <w:r w:rsidRPr="00E14359">
        <w:rPr>
          <w:b/>
        </w:rPr>
        <w:t xml:space="preserve"> </w:t>
      </w:r>
      <w:r w:rsidR="00227912" w:rsidRPr="00E14359">
        <w:rPr>
          <w:b/>
        </w:rPr>
        <w:t>50</w:t>
      </w:r>
      <w:r w:rsidR="007B6FA1" w:rsidRPr="00E14359">
        <w:rPr>
          <w:b/>
        </w:rPr>
        <w:t> </w:t>
      </w:r>
      <w:r w:rsidR="00227912" w:rsidRPr="00E14359">
        <w:rPr>
          <w:b/>
        </w:rPr>
        <w:t>mg</w:t>
      </w:r>
      <w:r w:rsidRPr="00E14359">
        <w:t xml:space="preserve"> </w:t>
      </w:r>
      <w:r w:rsidR="00350B62" w:rsidRPr="00E14359">
        <w:t>(AUST R 125870) is available in blister packs of 56 hard</w:t>
      </w:r>
      <w:r w:rsidR="00E14359" w:rsidRPr="00E14359">
        <w:t xml:space="preserve"> </w:t>
      </w:r>
      <w:r w:rsidRPr="00E14359">
        <w:t>capsules</w:t>
      </w:r>
      <w:r w:rsidR="00227912" w:rsidRPr="00E14359">
        <w:t xml:space="preserve"> </w:t>
      </w:r>
      <w:r w:rsidR="00C80891">
        <w:t xml:space="preserve">with </w:t>
      </w:r>
      <w:r w:rsidR="00E915FD" w:rsidRPr="00E14359">
        <w:t xml:space="preserve">white opaque body and </w:t>
      </w:r>
      <w:r w:rsidR="0025530F" w:rsidRPr="00E14359">
        <w:t xml:space="preserve">grey </w:t>
      </w:r>
      <w:r w:rsidR="00E915FD" w:rsidRPr="00E14359">
        <w:t xml:space="preserve">opaque cap </w:t>
      </w:r>
      <w:r w:rsidR="00C80891">
        <w:t>marked</w:t>
      </w:r>
      <w:r w:rsidR="00C80891" w:rsidRPr="00E14359">
        <w:t xml:space="preserve"> </w:t>
      </w:r>
      <w:r w:rsidR="00227912" w:rsidRPr="00E14359">
        <w:t xml:space="preserve">with a logo and “ZONEGRAN </w:t>
      </w:r>
      <w:r w:rsidR="00E915FD" w:rsidRPr="00E14359">
        <w:t>5</w:t>
      </w:r>
      <w:r w:rsidR="00227912" w:rsidRPr="00E14359">
        <w:t>0</w:t>
      </w:r>
      <w:r w:rsidR="00E915FD" w:rsidRPr="00E14359">
        <w:t>” in black</w:t>
      </w:r>
      <w:r w:rsidR="00C80891">
        <w:t xml:space="preserve"> ink</w:t>
      </w:r>
      <w:r w:rsidR="00E915FD" w:rsidRPr="00E14359">
        <w:t>.</w:t>
      </w:r>
      <w:r w:rsidR="00600CFC" w:rsidRPr="00E14359">
        <w:t xml:space="preserve"> </w:t>
      </w:r>
      <w:r w:rsidRPr="00E14359">
        <w:t xml:space="preserve"> </w:t>
      </w:r>
    </w:p>
    <w:p w:rsidR="00E915FD" w:rsidRPr="00E14359" w:rsidRDefault="00E14359" w:rsidP="00636A0F">
      <w:pPr>
        <w:tabs>
          <w:tab w:val="left" w:pos="-1985"/>
        </w:tabs>
        <w:rPr>
          <w:b/>
          <w:highlight w:val="lightGray"/>
        </w:rPr>
      </w:pPr>
      <w:proofErr w:type="spellStart"/>
      <w:r w:rsidRPr="00E14359">
        <w:rPr>
          <w:b/>
        </w:rPr>
        <w:t>Zonegran</w:t>
      </w:r>
      <w:proofErr w:type="spellEnd"/>
      <w:r w:rsidR="00681995" w:rsidRPr="00E14359">
        <w:rPr>
          <w:b/>
        </w:rPr>
        <w:t xml:space="preserve"> </w:t>
      </w:r>
      <w:r w:rsidR="00227912" w:rsidRPr="00E14359">
        <w:rPr>
          <w:b/>
        </w:rPr>
        <w:t>100</w:t>
      </w:r>
      <w:r w:rsidR="007B6FA1" w:rsidRPr="00E14359">
        <w:rPr>
          <w:b/>
        </w:rPr>
        <w:t> </w:t>
      </w:r>
      <w:r w:rsidR="00227912" w:rsidRPr="00E14359">
        <w:rPr>
          <w:b/>
        </w:rPr>
        <w:t>mg</w:t>
      </w:r>
      <w:r w:rsidR="00681995" w:rsidRPr="00E14359">
        <w:rPr>
          <w:i/>
        </w:rPr>
        <w:t xml:space="preserve"> </w:t>
      </w:r>
      <w:r w:rsidR="00681995" w:rsidRPr="00E14359">
        <w:t>(AUST R 125871)</w:t>
      </w:r>
      <w:r w:rsidRPr="00E14359">
        <w:t xml:space="preserve"> is available in bl</w:t>
      </w:r>
      <w:r w:rsidR="00B402CB">
        <w:t>ister packs of 56 hard capsules</w:t>
      </w:r>
      <w:r w:rsidR="00E915FD" w:rsidRPr="00E14359">
        <w:t xml:space="preserve"> </w:t>
      </w:r>
      <w:r w:rsidR="00C80891">
        <w:t xml:space="preserve">with </w:t>
      </w:r>
      <w:r w:rsidR="00E915FD" w:rsidRPr="00E14359">
        <w:t xml:space="preserve">white opaque body and </w:t>
      </w:r>
      <w:r w:rsidR="0025530F" w:rsidRPr="00E14359">
        <w:t>red</w:t>
      </w:r>
      <w:r w:rsidR="00E915FD" w:rsidRPr="00E14359">
        <w:t xml:space="preserve"> opaque cap </w:t>
      </w:r>
      <w:r w:rsidR="00C80891">
        <w:t>marked</w:t>
      </w:r>
      <w:r w:rsidR="00C80891" w:rsidRPr="00E14359">
        <w:t xml:space="preserve"> </w:t>
      </w:r>
      <w:r w:rsidR="00E915FD" w:rsidRPr="00E14359">
        <w:t xml:space="preserve">with a logo and “ZONEGRAN </w:t>
      </w:r>
      <w:r w:rsidR="00227912" w:rsidRPr="00E14359">
        <w:t>100</w:t>
      </w:r>
      <w:r w:rsidR="00E915FD" w:rsidRPr="00E14359">
        <w:t>” in black</w:t>
      </w:r>
      <w:r w:rsidR="00C80891">
        <w:t xml:space="preserve"> ink</w:t>
      </w:r>
      <w:r w:rsidR="007B6FA1" w:rsidRPr="00E14359">
        <w:t>.</w:t>
      </w:r>
    </w:p>
    <w:p w:rsidR="006A4384" w:rsidRPr="00E14359" w:rsidRDefault="006A4384" w:rsidP="002B446D">
      <w:pPr>
        <w:pStyle w:val="Heading3"/>
      </w:pPr>
      <w:r>
        <w:t>Storage conditions</w:t>
      </w:r>
    </w:p>
    <w:p w:rsidR="00E915FD" w:rsidRPr="00E14359" w:rsidRDefault="0025530F" w:rsidP="00636A0F">
      <w:pPr>
        <w:rPr>
          <w:i/>
        </w:rPr>
      </w:pPr>
      <w:r w:rsidRPr="00E14359">
        <w:t>Store below 25</w:t>
      </w:r>
      <w:r w:rsidR="00E915FD" w:rsidRPr="00E14359">
        <w:t>°C.</w:t>
      </w:r>
    </w:p>
    <w:p w:rsidR="00694EB0" w:rsidRPr="00E14359" w:rsidRDefault="00694EB0" w:rsidP="002B446D">
      <w:pPr>
        <w:pStyle w:val="Heading2"/>
      </w:pPr>
      <w:r w:rsidRPr="00E14359">
        <w:t>Name and address of the sponsor</w:t>
      </w:r>
    </w:p>
    <w:p w:rsidR="00576E76" w:rsidRPr="00B3090F" w:rsidRDefault="00576E76" w:rsidP="00576E76">
      <w:proofErr w:type="spellStart"/>
      <w:r w:rsidRPr="00B3090F">
        <w:t>SciGen</w:t>
      </w:r>
      <w:proofErr w:type="spellEnd"/>
      <w:r w:rsidRPr="00B3090F">
        <w:t xml:space="preserve"> (Australia) Pty Ltd</w:t>
      </w:r>
      <w:r w:rsidR="002B446D">
        <w:br/>
      </w:r>
      <w:r w:rsidRPr="00B3090F">
        <w:t xml:space="preserve">Suite 1, 13b </w:t>
      </w:r>
      <w:proofErr w:type="spellStart"/>
      <w:r w:rsidRPr="00B3090F">
        <w:t>Narabang</w:t>
      </w:r>
      <w:proofErr w:type="spellEnd"/>
      <w:r w:rsidRPr="00B3090F">
        <w:t xml:space="preserve"> Way</w:t>
      </w:r>
      <w:r w:rsidR="002B446D">
        <w:br/>
      </w:r>
      <w:r w:rsidRPr="00B3090F">
        <w:t>Belrose NSW 2085</w:t>
      </w:r>
      <w:r w:rsidR="002B446D">
        <w:br/>
      </w:r>
      <w:r w:rsidRPr="00B3090F">
        <w:t>Australia</w:t>
      </w:r>
    </w:p>
    <w:p w:rsidR="00576E76" w:rsidRPr="00B3090F" w:rsidRDefault="00576E76" w:rsidP="00576E76">
      <w:r w:rsidRPr="00B3090F">
        <w:t xml:space="preserve">Telephone: </w:t>
      </w:r>
      <w:r w:rsidR="002C0011" w:rsidRPr="00B3090F">
        <w:t>1800 966 303</w:t>
      </w:r>
    </w:p>
    <w:p w:rsidR="00E14359" w:rsidRPr="00E14359" w:rsidRDefault="00E14359" w:rsidP="002B446D">
      <w:pPr>
        <w:pStyle w:val="Heading2"/>
      </w:pPr>
      <w:r w:rsidRPr="00E14359">
        <w:lastRenderedPageBreak/>
        <w:t xml:space="preserve">Poisons Schedule of the </w:t>
      </w:r>
      <w:r w:rsidR="006A4384">
        <w:t>m</w:t>
      </w:r>
      <w:r w:rsidRPr="00E14359">
        <w:t>edicine</w:t>
      </w:r>
    </w:p>
    <w:p w:rsidR="00E14359" w:rsidRPr="00E14359" w:rsidRDefault="00E14359" w:rsidP="00E14359">
      <w:r w:rsidRPr="00E14359">
        <w:t>Schedule 4 – Prescription Only Medicine</w:t>
      </w:r>
    </w:p>
    <w:p w:rsidR="00694EB0" w:rsidRPr="00E14359" w:rsidRDefault="00C021FC" w:rsidP="002B446D">
      <w:pPr>
        <w:pStyle w:val="Heading2"/>
      </w:pPr>
      <w:r w:rsidRPr="00C021FC">
        <w:t xml:space="preserve">Date of first inclusion in the </w:t>
      </w:r>
      <w:r w:rsidR="006A4384" w:rsidRPr="006A4384">
        <w:t>Australian Register of Therapeutic Goods (the ARTG)</w:t>
      </w:r>
    </w:p>
    <w:p w:rsidR="00694EB0" w:rsidRPr="00E14359" w:rsidRDefault="002E5E7B" w:rsidP="00636A0F">
      <w:r w:rsidRPr="00E14359">
        <w:t>7 June 2007</w:t>
      </w:r>
    </w:p>
    <w:p w:rsidR="006A4384" w:rsidRDefault="009676D3" w:rsidP="002B446D">
      <w:pPr>
        <w:pStyle w:val="Heading2"/>
      </w:pPr>
      <w:r w:rsidRPr="00E14359">
        <w:t xml:space="preserve">Date of </w:t>
      </w:r>
      <w:r w:rsidR="002C0011" w:rsidRPr="00E14359">
        <w:t xml:space="preserve">most recent amendment </w:t>
      </w:r>
    </w:p>
    <w:p w:rsidR="009676D3" w:rsidRDefault="006A4384" w:rsidP="00A521FA">
      <w:r w:rsidRPr="006A4384">
        <w:t xml:space="preserve"> </w:t>
      </w:r>
      <w:r w:rsidR="0014022C">
        <w:t>04 April 2013</w:t>
      </w:r>
    </w:p>
    <w:p w:rsidR="008E5CB7" w:rsidRPr="00E14359" w:rsidRDefault="002B446D" w:rsidP="00636A0F">
      <w:r w:rsidRPr="003014C8">
        <w:rPr>
          <w:rFonts w:ascii="Arial" w:hAnsi="Arial"/>
          <w:sz w:val="20"/>
        </w:rPr>
        <w:object w:dxaOrig="10845" w:dyaOrig="3525">
          <v:shape id="_x0000_i1031" type="#_x0000_t75" alt="SciGen" style="width:117pt;height:38.25pt" o:ole="">
            <v:imagedata r:id="rId18" o:title=""/>
          </v:shape>
          <o:OLEObject Type="Embed" ProgID="AcroExch.Document.7" ShapeID="_x0000_i1031" DrawAspect="Content" ObjectID="_1442838257" r:id="rId19"/>
        </w:object>
      </w:r>
    </w:p>
    <w:sectPr w:rsidR="008E5CB7" w:rsidRPr="00E14359" w:rsidSect="007F2B78">
      <w:headerReference w:type="default" r:id="rId20"/>
      <w:pgSz w:w="11907" w:h="16840" w:code="9"/>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88C" w:rsidRDefault="00B5688C">
      <w:r>
        <w:separator/>
      </w:r>
    </w:p>
  </w:endnote>
  <w:endnote w:type="continuationSeparator" w:id="0">
    <w:p w:rsidR="00B5688C" w:rsidRDefault="00B568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8C" w:rsidRPr="002028F4" w:rsidRDefault="00B5688C" w:rsidP="002028F4">
    <w:pPr>
      <w:pStyle w:val="Footer"/>
      <w:jc w:val="center"/>
      <w:rPr>
        <w:sz w:val="18"/>
        <w:szCs w:val="18"/>
      </w:rPr>
    </w:pPr>
    <w:r w:rsidRPr="002028F4">
      <w:rPr>
        <w:sz w:val="18"/>
        <w:szCs w:val="18"/>
      </w:rPr>
      <w:t xml:space="preserve">Page </w:t>
    </w:r>
    <w:r w:rsidR="00006A40" w:rsidRPr="002028F4">
      <w:rPr>
        <w:sz w:val="18"/>
        <w:szCs w:val="18"/>
      </w:rPr>
      <w:fldChar w:fldCharType="begin"/>
    </w:r>
    <w:r w:rsidRPr="002028F4">
      <w:rPr>
        <w:sz w:val="18"/>
        <w:szCs w:val="18"/>
      </w:rPr>
      <w:instrText xml:space="preserve"> PAGE </w:instrText>
    </w:r>
    <w:r w:rsidR="00006A40" w:rsidRPr="002028F4">
      <w:rPr>
        <w:sz w:val="18"/>
        <w:szCs w:val="18"/>
      </w:rPr>
      <w:fldChar w:fldCharType="separate"/>
    </w:r>
    <w:r w:rsidR="007E214A">
      <w:rPr>
        <w:noProof/>
        <w:sz w:val="18"/>
        <w:szCs w:val="18"/>
      </w:rPr>
      <w:t>14</w:t>
    </w:r>
    <w:r w:rsidR="00006A40" w:rsidRPr="002028F4">
      <w:rPr>
        <w:sz w:val="18"/>
        <w:szCs w:val="18"/>
      </w:rPr>
      <w:fldChar w:fldCharType="end"/>
    </w:r>
    <w:r w:rsidRPr="002028F4">
      <w:rPr>
        <w:sz w:val="18"/>
        <w:szCs w:val="18"/>
      </w:rPr>
      <w:t xml:space="preserve"> of </w:t>
    </w:r>
    <w:r w:rsidR="00006A40" w:rsidRPr="002028F4">
      <w:rPr>
        <w:sz w:val="18"/>
        <w:szCs w:val="18"/>
      </w:rPr>
      <w:fldChar w:fldCharType="begin"/>
    </w:r>
    <w:r w:rsidRPr="002028F4">
      <w:rPr>
        <w:sz w:val="18"/>
        <w:szCs w:val="18"/>
      </w:rPr>
      <w:instrText xml:space="preserve"> NUMPAGES </w:instrText>
    </w:r>
    <w:r w:rsidR="00006A40" w:rsidRPr="002028F4">
      <w:rPr>
        <w:sz w:val="18"/>
        <w:szCs w:val="18"/>
      </w:rPr>
      <w:fldChar w:fldCharType="separate"/>
    </w:r>
    <w:r w:rsidR="007E214A">
      <w:rPr>
        <w:noProof/>
        <w:sz w:val="18"/>
        <w:szCs w:val="18"/>
      </w:rPr>
      <w:t>24</w:t>
    </w:r>
    <w:r w:rsidR="00006A40" w:rsidRPr="002028F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88C" w:rsidRDefault="00B5688C">
      <w:r>
        <w:separator/>
      </w:r>
    </w:p>
  </w:footnote>
  <w:footnote w:type="continuationSeparator" w:id="0">
    <w:p w:rsidR="00B5688C" w:rsidRDefault="00B56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5E1" w:rsidRPr="002D25E1" w:rsidRDefault="002D25E1" w:rsidP="002D25E1">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2D25E1">
      <w:rPr>
        <w:b/>
        <w:sz w:val="20"/>
        <w:szCs w:val="20"/>
      </w:rPr>
      <w:t xml:space="preserve">Attachment 1: Product information for </w:t>
    </w:r>
    <w:proofErr w:type="spellStart"/>
    <w:r w:rsidRPr="002D25E1">
      <w:rPr>
        <w:b/>
        <w:sz w:val="20"/>
        <w:szCs w:val="20"/>
      </w:rPr>
      <w:t>AusPAR</w:t>
    </w:r>
    <w:proofErr w:type="spellEnd"/>
    <w:r w:rsidRPr="002D25E1">
      <w:rPr>
        <w:b/>
        <w:sz w:val="20"/>
        <w:szCs w:val="20"/>
      </w:rPr>
      <w:t xml:space="preserve"> </w:t>
    </w:r>
    <w:proofErr w:type="spellStart"/>
    <w:r w:rsidRPr="002D25E1">
      <w:rPr>
        <w:b/>
        <w:sz w:val="20"/>
        <w:szCs w:val="20"/>
      </w:rPr>
      <w:t>Zonegran</w:t>
    </w:r>
    <w:proofErr w:type="spellEnd"/>
    <w:r w:rsidRPr="002D25E1">
      <w:rPr>
        <w:b/>
        <w:sz w:val="20"/>
        <w:szCs w:val="20"/>
      </w:rPr>
      <w:t xml:space="preserve"> </w:t>
    </w:r>
    <w:proofErr w:type="spellStart"/>
    <w:r w:rsidRPr="002D25E1">
      <w:rPr>
        <w:b/>
        <w:sz w:val="20"/>
        <w:szCs w:val="20"/>
      </w:rPr>
      <w:t>Zonisamide</w:t>
    </w:r>
    <w:proofErr w:type="spellEnd"/>
    <w:r w:rsidRPr="002D25E1">
      <w:rPr>
        <w:b/>
        <w:sz w:val="20"/>
        <w:szCs w:val="20"/>
      </w:rPr>
      <w:t xml:space="preserve"> </w:t>
    </w:r>
    <w:proofErr w:type="spellStart"/>
    <w:r w:rsidRPr="002D25E1">
      <w:rPr>
        <w:b/>
        <w:sz w:val="20"/>
        <w:szCs w:val="20"/>
      </w:rPr>
      <w:t>SciGen</w:t>
    </w:r>
    <w:proofErr w:type="spellEnd"/>
    <w:r w:rsidRPr="002D25E1">
      <w:rPr>
        <w:b/>
        <w:sz w:val="20"/>
        <w:szCs w:val="20"/>
      </w:rPr>
      <w:t xml:space="preserve"> Australia Pty LtdPM-2011-03861-3-1</w:t>
    </w:r>
    <w:r>
      <w:rPr>
        <w:b/>
        <w:sz w:val="20"/>
        <w:szCs w:val="20"/>
      </w:rPr>
      <w:t xml:space="preserve"> </w:t>
    </w:r>
    <w:r w:rsidRPr="002D25E1">
      <w:rPr>
        <w:b/>
        <w:sz w:val="20"/>
        <w:szCs w:val="20"/>
      </w:rPr>
      <w:t xml:space="preserve">Final 22 July 2013. This Product Information was approved at the time this </w:t>
    </w:r>
    <w:proofErr w:type="spellStart"/>
    <w:r w:rsidRPr="002D25E1">
      <w:rPr>
        <w:b/>
        <w:sz w:val="20"/>
        <w:szCs w:val="20"/>
      </w:rPr>
      <w:t>AusPAR</w:t>
    </w:r>
    <w:proofErr w:type="spellEnd"/>
    <w:r w:rsidRPr="002D25E1">
      <w:rPr>
        <w:b/>
        <w:sz w:val="20"/>
        <w:szCs w:val="20"/>
      </w:rPr>
      <w:t xml:space="preserve"> was published.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5E1" w:rsidRPr="002D25E1" w:rsidRDefault="002D25E1" w:rsidP="002D25E1">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2D25E1">
      <w:rPr>
        <w:b/>
        <w:sz w:val="20"/>
        <w:szCs w:val="20"/>
      </w:rPr>
      <w:t xml:space="preserve">Attachment 1: Product information for </w:t>
    </w:r>
    <w:proofErr w:type="spellStart"/>
    <w:r w:rsidRPr="002D25E1">
      <w:rPr>
        <w:b/>
        <w:sz w:val="20"/>
        <w:szCs w:val="20"/>
      </w:rPr>
      <w:t>AusPAR</w:t>
    </w:r>
    <w:proofErr w:type="spellEnd"/>
    <w:r w:rsidRPr="002D25E1">
      <w:rPr>
        <w:b/>
        <w:sz w:val="20"/>
        <w:szCs w:val="20"/>
      </w:rPr>
      <w:t xml:space="preserve"> </w:t>
    </w:r>
    <w:proofErr w:type="spellStart"/>
    <w:r w:rsidRPr="002D25E1">
      <w:rPr>
        <w:b/>
        <w:sz w:val="20"/>
        <w:szCs w:val="20"/>
      </w:rPr>
      <w:t>Zonegran</w:t>
    </w:r>
    <w:proofErr w:type="spellEnd"/>
    <w:r w:rsidRPr="002D25E1">
      <w:rPr>
        <w:b/>
        <w:sz w:val="20"/>
        <w:szCs w:val="20"/>
      </w:rPr>
      <w:t xml:space="preserve"> </w:t>
    </w:r>
    <w:proofErr w:type="spellStart"/>
    <w:r w:rsidRPr="002D25E1">
      <w:rPr>
        <w:b/>
        <w:sz w:val="20"/>
        <w:szCs w:val="20"/>
      </w:rPr>
      <w:t>Zonisamide</w:t>
    </w:r>
    <w:proofErr w:type="spellEnd"/>
    <w:r w:rsidRPr="002D25E1">
      <w:rPr>
        <w:b/>
        <w:sz w:val="20"/>
        <w:szCs w:val="20"/>
      </w:rPr>
      <w:t xml:space="preserve"> </w:t>
    </w:r>
    <w:proofErr w:type="spellStart"/>
    <w:r w:rsidRPr="002D25E1">
      <w:rPr>
        <w:b/>
        <w:sz w:val="20"/>
        <w:szCs w:val="20"/>
      </w:rPr>
      <w:t>SciGen</w:t>
    </w:r>
    <w:proofErr w:type="spellEnd"/>
    <w:r w:rsidRPr="002D25E1">
      <w:rPr>
        <w:b/>
        <w:sz w:val="20"/>
        <w:szCs w:val="20"/>
      </w:rPr>
      <w:t xml:space="preserve"> Australia Pty LtdPM-2011-03861-3-1</w:t>
    </w:r>
    <w:r>
      <w:rPr>
        <w:b/>
        <w:sz w:val="20"/>
        <w:szCs w:val="20"/>
      </w:rPr>
      <w:t xml:space="preserve"> </w:t>
    </w:r>
    <w:r w:rsidRPr="002D25E1">
      <w:rPr>
        <w:b/>
        <w:sz w:val="20"/>
        <w:szCs w:val="20"/>
      </w:rPr>
      <w:t xml:space="preserve">Final 22 July 2013. This Product Information was approved at the time this </w:t>
    </w:r>
    <w:proofErr w:type="spellStart"/>
    <w:r w:rsidRPr="002D25E1">
      <w:rPr>
        <w:b/>
        <w:sz w:val="20"/>
        <w:szCs w:val="20"/>
      </w:rPr>
      <w:t>AusPAR</w:t>
    </w:r>
    <w:proofErr w:type="spellEnd"/>
    <w:r w:rsidRPr="002D25E1">
      <w:rPr>
        <w:b/>
        <w:sz w:val="20"/>
        <w:szCs w:val="20"/>
      </w:rPr>
      <w:t xml:space="preserve"> was published.</w:t>
    </w:r>
  </w:p>
  <w:p w:rsidR="00B5688C" w:rsidRPr="00660356" w:rsidRDefault="00B5688C" w:rsidP="002D25E1">
    <w:pPr>
      <w:pStyle w:val="Header"/>
      <w:spacing w:before="0" w:after="0"/>
      <w:jc w:val="right"/>
      <w:rPr>
        <w:sz w:val="18"/>
        <w:szCs w:val="18"/>
      </w:rPr>
    </w:pPr>
    <w:r w:rsidRPr="00660356">
      <w:rPr>
        <w:sz w:val="18"/>
        <w:szCs w:val="18"/>
      </w:rPr>
      <w:t>Product Information</w:t>
    </w:r>
    <w:r w:rsidR="003911B0">
      <w:rPr>
        <w:sz w:val="18"/>
        <w:szCs w:val="18"/>
      </w:rPr>
      <w:br/>
    </w:r>
    <w:proofErr w:type="spellStart"/>
    <w:r w:rsidRPr="00660356">
      <w:rPr>
        <w:sz w:val="18"/>
        <w:szCs w:val="18"/>
      </w:rPr>
      <w:t>Zonegran</w:t>
    </w:r>
    <w:proofErr w:type="spellEnd"/>
    <w:r w:rsidRPr="001E553E">
      <w:rPr>
        <w:sz w:val="18"/>
        <w:szCs w:val="18"/>
        <w:vertAlign w:val="superscript"/>
      </w:rPr>
      <w:t>®</w:t>
    </w:r>
    <w:r w:rsidRPr="00660356">
      <w:rPr>
        <w:sz w:val="18"/>
        <w:szCs w:val="18"/>
      </w:rPr>
      <w:t xml:space="preserve"> (</w:t>
    </w:r>
    <w:proofErr w:type="spellStart"/>
    <w:r>
      <w:rPr>
        <w:sz w:val="18"/>
        <w:szCs w:val="18"/>
      </w:rPr>
      <w:t>z</w:t>
    </w:r>
    <w:r w:rsidRPr="00660356">
      <w:rPr>
        <w:sz w:val="18"/>
        <w:szCs w:val="18"/>
      </w:rPr>
      <w:t>onisamide</w:t>
    </w:r>
    <w:proofErr w:type="spellEnd"/>
    <w:r w:rsidRPr="00660356">
      <w:rPr>
        <w:sz w:val="18"/>
        <w:szCs w:val="18"/>
      </w:rPr>
      <w:t xml:space="preserve"> 25 mg, 50 mg and 100 mg capsules)</w:t>
    </w:r>
    <w:r w:rsidR="003911B0">
      <w:rPr>
        <w:sz w:val="18"/>
        <w:szCs w:val="18"/>
      </w:rPr>
      <w:br/>
    </w:r>
    <w:proofErr w:type="spellStart"/>
    <w:r>
      <w:rPr>
        <w:sz w:val="18"/>
        <w:szCs w:val="18"/>
      </w:rPr>
      <w:t>SciGen</w:t>
    </w:r>
    <w:proofErr w:type="spellEnd"/>
    <w:r w:rsidRPr="00660356">
      <w:rPr>
        <w:sz w:val="18"/>
        <w:szCs w:val="18"/>
      </w:rPr>
      <w:t xml:space="preserve"> </w:t>
    </w:r>
    <w:r>
      <w:rPr>
        <w:sz w:val="18"/>
        <w:szCs w:val="18"/>
      </w:rPr>
      <w:t>(</w:t>
    </w:r>
    <w:r w:rsidRPr="00660356">
      <w:rPr>
        <w:sz w:val="18"/>
        <w:szCs w:val="18"/>
      </w:rPr>
      <w:t>Australia</w:t>
    </w:r>
    <w:r>
      <w:rPr>
        <w:sz w:val="18"/>
        <w:szCs w:val="18"/>
      </w:rPr>
      <w:t>)</w:t>
    </w:r>
    <w:r w:rsidRPr="00660356">
      <w:rPr>
        <w:sz w:val="18"/>
        <w:szCs w:val="18"/>
      </w:rPr>
      <w:t xml:space="preserve"> Pty Ltd</w:t>
    </w:r>
    <w:r w:rsidR="003911B0">
      <w:rPr>
        <w:sz w:val="18"/>
        <w:szCs w:val="18"/>
      </w:rPr>
      <w:br/>
    </w:r>
    <w:r>
      <w:rPr>
        <w:sz w:val="18"/>
        <w:szCs w:val="18"/>
      </w:rPr>
      <w:t xml:space="preserve">Version 9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101BDA"/>
    <w:lvl w:ilvl="0">
      <w:start w:val="1"/>
      <w:numFmt w:val="decimal"/>
      <w:lvlText w:val="%1."/>
      <w:lvlJc w:val="left"/>
      <w:pPr>
        <w:tabs>
          <w:tab w:val="num" w:pos="1492"/>
        </w:tabs>
        <w:ind w:left="1492" w:hanging="360"/>
      </w:pPr>
    </w:lvl>
  </w:abstractNum>
  <w:abstractNum w:abstractNumId="1">
    <w:nsid w:val="FFFFFF7D"/>
    <w:multiLevelType w:val="singleLevel"/>
    <w:tmpl w:val="66BC9E58"/>
    <w:lvl w:ilvl="0">
      <w:start w:val="1"/>
      <w:numFmt w:val="decimal"/>
      <w:lvlText w:val="%1."/>
      <w:lvlJc w:val="left"/>
      <w:pPr>
        <w:tabs>
          <w:tab w:val="num" w:pos="1209"/>
        </w:tabs>
        <w:ind w:left="1209" w:hanging="360"/>
      </w:pPr>
    </w:lvl>
  </w:abstractNum>
  <w:abstractNum w:abstractNumId="2">
    <w:nsid w:val="FFFFFF7E"/>
    <w:multiLevelType w:val="singleLevel"/>
    <w:tmpl w:val="CAF0E040"/>
    <w:lvl w:ilvl="0">
      <w:start w:val="1"/>
      <w:numFmt w:val="decimal"/>
      <w:lvlText w:val="%1."/>
      <w:lvlJc w:val="left"/>
      <w:pPr>
        <w:tabs>
          <w:tab w:val="num" w:pos="926"/>
        </w:tabs>
        <w:ind w:left="926" w:hanging="360"/>
      </w:pPr>
    </w:lvl>
  </w:abstractNum>
  <w:abstractNum w:abstractNumId="3">
    <w:nsid w:val="FFFFFF7F"/>
    <w:multiLevelType w:val="singleLevel"/>
    <w:tmpl w:val="C07866E2"/>
    <w:lvl w:ilvl="0">
      <w:start w:val="1"/>
      <w:numFmt w:val="decimal"/>
      <w:lvlText w:val="%1."/>
      <w:lvlJc w:val="left"/>
      <w:pPr>
        <w:tabs>
          <w:tab w:val="num" w:pos="643"/>
        </w:tabs>
        <w:ind w:left="643" w:hanging="360"/>
      </w:pPr>
    </w:lvl>
  </w:abstractNum>
  <w:abstractNum w:abstractNumId="4">
    <w:nsid w:val="FFFFFF80"/>
    <w:multiLevelType w:val="singleLevel"/>
    <w:tmpl w:val="0478D5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280D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C48D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CE01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C85F1C"/>
    <w:lvl w:ilvl="0">
      <w:start w:val="1"/>
      <w:numFmt w:val="decimal"/>
      <w:lvlText w:val="%1."/>
      <w:lvlJc w:val="left"/>
      <w:pPr>
        <w:tabs>
          <w:tab w:val="num" w:pos="360"/>
        </w:tabs>
        <w:ind w:left="360" w:hanging="360"/>
      </w:pPr>
    </w:lvl>
  </w:abstractNum>
  <w:abstractNum w:abstractNumId="9">
    <w:nsid w:val="FFFFFF89"/>
    <w:multiLevelType w:val="singleLevel"/>
    <w:tmpl w:val="ED4E7BEC"/>
    <w:lvl w:ilvl="0">
      <w:start w:val="1"/>
      <w:numFmt w:val="bullet"/>
      <w:lvlText w:val=""/>
      <w:lvlJc w:val="left"/>
      <w:pPr>
        <w:tabs>
          <w:tab w:val="num" w:pos="360"/>
        </w:tabs>
        <w:ind w:left="360" w:hanging="360"/>
      </w:pPr>
      <w:rPr>
        <w:rFonts w:ascii="Symbol" w:hAnsi="Symbol" w:hint="default"/>
      </w:rPr>
    </w:lvl>
  </w:abstractNum>
  <w:abstractNum w:abstractNumId="10">
    <w:nsid w:val="1F0B21C2"/>
    <w:multiLevelType w:val="multilevel"/>
    <w:tmpl w:val="6BAC1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AB34312"/>
    <w:multiLevelType w:val="multilevel"/>
    <w:tmpl w:val="B8426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B0D63AA"/>
    <w:multiLevelType w:val="hybridMultilevel"/>
    <w:tmpl w:val="5E80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B5D76CD"/>
    <w:multiLevelType w:val="hybridMultilevel"/>
    <w:tmpl w:val="DD6E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21121"/>
    <w:multiLevelType w:val="multilevel"/>
    <w:tmpl w:val="9DDA1E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C266C3F"/>
    <w:multiLevelType w:val="hybridMultilevel"/>
    <w:tmpl w:val="DC02DAF6"/>
    <w:lvl w:ilvl="0" w:tplc="3A78800C">
      <w:numFmt w:val="bullet"/>
      <w:lvlText w:val="-"/>
      <w:lvlJc w:val="left"/>
      <w:pPr>
        <w:ind w:left="360" w:hanging="360"/>
      </w:pPr>
      <w:rPr>
        <w:rFonts w:ascii="Times New Roman" w:eastAsia="MS Mincho"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8BD4A67"/>
    <w:multiLevelType w:val="hybridMultilevel"/>
    <w:tmpl w:val="513496A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nsid w:val="79881F4A"/>
    <w:multiLevelType w:val="multilevel"/>
    <w:tmpl w:val="0D524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activeWritingStyle w:appName="MSWord" w:lang="fr-FR" w:vendorID="64" w:dllVersion="131078" w:nlCheck="1" w:checkStyle="1"/>
  <w:proofState w:spelling="clean"/>
  <w:stylePaneFormatFilter w:val="3F04"/>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4EB0"/>
    <w:rsid w:val="00002B4E"/>
    <w:rsid w:val="00004C22"/>
    <w:rsid w:val="00006A40"/>
    <w:rsid w:val="00007C8A"/>
    <w:rsid w:val="00011F89"/>
    <w:rsid w:val="00023C75"/>
    <w:rsid w:val="00025207"/>
    <w:rsid w:val="00027D8F"/>
    <w:rsid w:val="000318A3"/>
    <w:rsid w:val="00035302"/>
    <w:rsid w:val="000416BB"/>
    <w:rsid w:val="000421BB"/>
    <w:rsid w:val="000435E7"/>
    <w:rsid w:val="000438A2"/>
    <w:rsid w:val="00047BE6"/>
    <w:rsid w:val="000564B9"/>
    <w:rsid w:val="0005662C"/>
    <w:rsid w:val="000601B3"/>
    <w:rsid w:val="000619CC"/>
    <w:rsid w:val="00062822"/>
    <w:rsid w:val="0006490D"/>
    <w:rsid w:val="00076A0D"/>
    <w:rsid w:val="00082DE3"/>
    <w:rsid w:val="00082EE1"/>
    <w:rsid w:val="00083291"/>
    <w:rsid w:val="00085D00"/>
    <w:rsid w:val="0009410D"/>
    <w:rsid w:val="00094B05"/>
    <w:rsid w:val="000A1F33"/>
    <w:rsid w:val="000B36CA"/>
    <w:rsid w:val="000D3373"/>
    <w:rsid w:val="000D4602"/>
    <w:rsid w:val="000E0634"/>
    <w:rsid w:val="000E5D41"/>
    <w:rsid w:val="000E6D68"/>
    <w:rsid w:val="000F287E"/>
    <w:rsid w:val="000F7AF2"/>
    <w:rsid w:val="00101B4A"/>
    <w:rsid w:val="0010556D"/>
    <w:rsid w:val="00112CBA"/>
    <w:rsid w:val="00116EF6"/>
    <w:rsid w:val="00120843"/>
    <w:rsid w:val="001234B0"/>
    <w:rsid w:val="0012652D"/>
    <w:rsid w:val="00131683"/>
    <w:rsid w:val="0014022C"/>
    <w:rsid w:val="0015031C"/>
    <w:rsid w:val="00172382"/>
    <w:rsid w:val="001724E6"/>
    <w:rsid w:val="001728FC"/>
    <w:rsid w:val="001744C3"/>
    <w:rsid w:val="0018465E"/>
    <w:rsid w:val="0019326D"/>
    <w:rsid w:val="001950AF"/>
    <w:rsid w:val="001A7952"/>
    <w:rsid w:val="001B6315"/>
    <w:rsid w:val="001C0C02"/>
    <w:rsid w:val="001C279C"/>
    <w:rsid w:val="001C5869"/>
    <w:rsid w:val="001C6252"/>
    <w:rsid w:val="001D4C62"/>
    <w:rsid w:val="001D643A"/>
    <w:rsid w:val="001E1E22"/>
    <w:rsid w:val="001E553E"/>
    <w:rsid w:val="001E5F56"/>
    <w:rsid w:val="001E69E6"/>
    <w:rsid w:val="001E7CF1"/>
    <w:rsid w:val="001F096F"/>
    <w:rsid w:val="00200FF3"/>
    <w:rsid w:val="002028F4"/>
    <w:rsid w:val="00227912"/>
    <w:rsid w:val="00233FC5"/>
    <w:rsid w:val="002347A0"/>
    <w:rsid w:val="00240E0C"/>
    <w:rsid w:val="00241A3F"/>
    <w:rsid w:val="0024249E"/>
    <w:rsid w:val="00250583"/>
    <w:rsid w:val="0025530F"/>
    <w:rsid w:val="00256DDF"/>
    <w:rsid w:val="00260A13"/>
    <w:rsid w:val="00261A4D"/>
    <w:rsid w:val="00262D0E"/>
    <w:rsid w:val="00263443"/>
    <w:rsid w:val="00264164"/>
    <w:rsid w:val="002721E2"/>
    <w:rsid w:val="00272315"/>
    <w:rsid w:val="0027320E"/>
    <w:rsid w:val="00275413"/>
    <w:rsid w:val="00284278"/>
    <w:rsid w:val="0029010B"/>
    <w:rsid w:val="002960EC"/>
    <w:rsid w:val="002A1122"/>
    <w:rsid w:val="002A193D"/>
    <w:rsid w:val="002A4BF4"/>
    <w:rsid w:val="002B239F"/>
    <w:rsid w:val="002B446D"/>
    <w:rsid w:val="002C0011"/>
    <w:rsid w:val="002C190D"/>
    <w:rsid w:val="002C5F8E"/>
    <w:rsid w:val="002C63AE"/>
    <w:rsid w:val="002D1348"/>
    <w:rsid w:val="002D1551"/>
    <w:rsid w:val="002D25E1"/>
    <w:rsid w:val="002D356F"/>
    <w:rsid w:val="002D37B9"/>
    <w:rsid w:val="002D448B"/>
    <w:rsid w:val="002D6E48"/>
    <w:rsid w:val="002E2794"/>
    <w:rsid w:val="002E33D0"/>
    <w:rsid w:val="002E52B3"/>
    <w:rsid w:val="002E5E7B"/>
    <w:rsid w:val="002F711B"/>
    <w:rsid w:val="003014C8"/>
    <w:rsid w:val="00306F34"/>
    <w:rsid w:val="00307DEC"/>
    <w:rsid w:val="0031303D"/>
    <w:rsid w:val="00333B4B"/>
    <w:rsid w:val="00337F0B"/>
    <w:rsid w:val="00342328"/>
    <w:rsid w:val="0035033B"/>
    <w:rsid w:val="00350B62"/>
    <w:rsid w:val="003617E5"/>
    <w:rsid w:val="00362E29"/>
    <w:rsid w:val="00363AC7"/>
    <w:rsid w:val="00363ED9"/>
    <w:rsid w:val="00365FBD"/>
    <w:rsid w:val="00371507"/>
    <w:rsid w:val="00385B16"/>
    <w:rsid w:val="003911B0"/>
    <w:rsid w:val="00391FDB"/>
    <w:rsid w:val="0039580A"/>
    <w:rsid w:val="003B12C4"/>
    <w:rsid w:val="003C28BA"/>
    <w:rsid w:val="003C2930"/>
    <w:rsid w:val="003C4D8D"/>
    <w:rsid w:val="003D01A2"/>
    <w:rsid w:val="003D25EE"/>
    <w:rsid w:val="003F0AFF"/>
    <w:rsid w:val="003F7328"/>
    <w:rsid w:val="00400D4D"/>
    <w:rsid w:val="00404E1D"/>
    <w:rsid w:val="00406AE0"/>
    <w:rsid w:val="00411EF8"/>
    <w:rsid w:val="004221C3"/>
    <w:rsid w:val="004328E4"/>
    <w:rsid w:val="00433119"/>
    <w:rsid w:val="00434193"/>
    <w:rsid w:val="004406EE"/>
    <w:rsid w:val="00442353"/>
    <w:rsid w:val="00443C7E"/>
    <w:rsid w:val="004524C9"/>
    <w:rsid w:val="00454BD1"/>
    <w:rsid w:val="004619E4"/>
    <w:rsid w:val="0047015C"/>
    <w:rsid w:val="00471CC2"/>
    <w:rsid w:val="00474653"/>
    <w:rsid w:val="004811F6"/>
    <w:rsid w:val="00490735"/>
    <w:rsid w:val="0049111E"/>
    <w:rsid w:val="004924CD"/>
    <w:rsid w:val="004A23EB"/>
    <w:rsid w:val="004A628D"/>
    <w:rsid w:val="004B1C7B"/>
    <w:rsid w:val="004B4F4F"/>
    <w:rsid w:val="004B623E"/>
    <w:rsid w:val="004B671A"/>
    <w:rsid w:val="004C13AB"/>
    <w:rsid w:val="004D1FC9"/>
    <w:rsid w:val="004D558C"/>
    <w:rsid w:val="00501A27"/>
    <w:rsid w:val="00510C67"/>
    <w:rsid w:val="00512B36"/>
    <w:rsid w:val="00530747"/>
    <w:rsid w:val="00534CD8"/>
    <w:rsid w:val="00537A6F"/>
    <w:rsid w:val="00540329"/>
    <w:rsid w:val="00547F1F"/>
    <w:rsid w:val="00554D1A"/>
    <w:rsid w:val="00560685"/>
    <w:rsid w:val="00562FCC"/>
    <w:rsid w:val="005631A5"/>
    <w:rsid w:val="0056499F"/>
    <w:rsid w:val="00565FA0"/>
    <w:rsid w:val="00566B33"/>
    <w:rsid w:val="00566BCF"/>
    <w:rsid w:val="00566D6B"/>
    <w:rsid w:val="00572B83"/>
    <w:rsid w:val="00573318"/>
    <w:rsid w:val="00576E76"/>
    <w:rsid w:val="005860FF"/>
    <w:rsid w:val="005A07BD"/>
    <w:rsid w:val="005A23F1"/>
    <w:rsid w:val="005A37E3"/>
    <w:rsid w:val="005B6180"/>
    <w:rsid w:val="005C53F7"/>
    <w:rsid w:val="005C7CC8"/>
    <w:rsid w:val="005D1C98"/>
    <w:rsid w:val="005D20BD"/>
    <w:rsid w:val="005D2438"/>
    <w:rsid w:val="005D292B"/>
    <w:rsid w:val="005D7CAF"/>
    <w:rsid w:val="005E38D7"/>
    <w:rsid w:val="005E6FBA"/>
    <w:rsid w:val="005F63D2"/>
    <w:rsid w:val="00600CFC"/>
    <w:rsid w:val="00603AF0"/>
    <w:rsid w:val="006051E9"/>
    <w:rsid w:val="00606590"/>
    <w:rsid w:val="00607944"/>
    <w:rsid w:val="00612737"/>
    <w:rsid w:val="00612CC4"/>
    <w:rsid w:val="00614A6A"/>
    <w:rsid w:val="0062302B"/>
    <w:rsid w:val="00630794"/>
    <w:rsid w:val="00636A0F"/>
    <w:rsid w:val="006473D3"/>
    <w:rsid w:val="0065258F"/>
    <w:rsid w:val="00655DB1"/>
    <w:rsid w:val="00660356"/>
    <w:rsid w:val="00662F7C"/>
    <w:rsid w:val="00681995"/>
    <w:rsid w:val="00686C73"/>
    <w:rsid w:val="00691D1E"/>
    <w:rsid w:val="00694EB0"/>
    <w:rsid w:val="00696967"/>
    <w:rsid w:val="006A3947"/>
    <w:rsid w:val="006A4384"/>
    <w:rsid w:val="006B4740"/>
    <w:rsid w:val="006C013B"/>
    <w:rsid w:val="006C3E32"/>
    <w:rsid w:val="006C4A7D"/>
    <w:rsid w:val="006D044A"/>
    <w:rsid w:val="006E1970"/>
    <w:rsid w:val="006E4BDE"/>
    <w:rsid w:val="006F1203"/>
    <w:rsid w:val="006F1B80"/>
    <w:rsid w:val="006F441C"/>
    <w:rsid w:val="006F4B7F"/>
    <w:rsid w:val="007064A0"/>
    <w:rsid w:val="007078FF"/>
    <w:rsid w:val="00711032"/>
    <w:rsid w:val="00711E5F"/>
    <w:rsid w:val="007132B7"/>
    <w:rsid w:val="007139C2"/>
    <w:rsid w:val="00715EE8"/>
    <w:rsid w:val="00720145"/>
    <w:rsid w:val="0072371C"/>
    <w:rsid w:val="00727D22"/>
    <w:rsid w:val="00733756"/>
    <w:rsid w:val="00734852"/>
    <w:rsid w:val="00752ECB"/>
    <w:rsid w:val="0075526E"/>
    <w:rsid w:val="007566FF"/>
    <w:rsid w:val="00761A94"/>
    <w:rsid w:val="00766B64"/>
    <w:rsid w:val="00767191"/>
    <w:rsid w:val="007742ED"/>
    <w:rsid w:val="007743BE"/>
    <w:rsid w:val="0077596A"/>
    <w:rsid w:val="007816F5"/>
    <w:rsid w:val="00784DF1"/>
    <w:rsid w:val="0078537C"/>
    <w:rsid w:val="007A3FF0"/>
    <w:rsid w:val="007A58ED"/>
    <w:rsid w:val="007A73B3"/>
    <w:rsid w:val="007B6FA1"/>
    <w:rsid w:val="007B7938"/>
    <w:rsid w:val="007D33F1"/>
    <w:rsid w:val="007E214A"/>
    <w:rsid w:val="007E2D9D"/>
    <w:rsid w:val="007F02C9"/>
    <w:rsid w:val="007F2B78"/>
    <w:rsid w:val="007F4C3C"/>
    <w:rsid w:val="007F58CC"/>
    <w:rsid w:val="0081002E"/>
    <w:rsid w:val="00810E2D"/>
    <w:rsid w:val="00830A75"/>
    <w:rsid w:val="00831A39"/>
    <w:rsid w:val="00834A96"/>
    <w:rsid w:val="00834DDA"/>
    <w:rsid w:val="0083786B"/>
    <w:rsid w:val="008510E0"/>
    <w:rsid w:val="008576D4"/>
    <w:rsid w:val="00873C3B"/>
    <w:rsid w:val="00882777"/>
    <w:rsid w:val="00894E86"/>
    <w:rsid w:val="00895EAE"/>
    <w:rsid w:val="008A6EE9"/>
    <w:rsid w:val="008B5368"/>
    <w:rsid w:val="008C2808"/>
    <w:rsid w:val="008C3C9F"/>
    <w:rsid w:val="008D2A30"/>
    <w:rsid w:val="008D3506"/>
    <w:rsid w:val="008D6D56"/>
    <w:rsid w:val="008E5CB7"/>
    <w:rsid w:val="008F653F"/>
    <w:rsid w:val="00902BFF"/>
    <w:rsid w:val="00904BDF"/>
    <w:rsid w:val="00911127"/>
    <w:rsid w:val="00912419"/>
    <w:rsid w:val="00912793"/>
    <w:rsid w:val="00913A18"/>
    <w:rsid w:val="00916000"/>
    <w:rsid w:val="00922897"/>
    <w:rsid w:val="009228E9"/>
    <w:rsid w:val="00923213"/>
    <w:rsid w:val="00923224"/>
    <w:rsid w:val="00930CB8"/>
    <w:rsid w:val="00930CDC"/>
    <w:rsid w:val="00932A5B"/>
    <w:rsid w:val="00934491"/>
    <w:rsid w:val="00942A42"/>
    <w:rsid w:val="00944357"/>
    <w:rsid w:val="00963AD7"/>
    <w:rsid w:val="009676D3"/>
    <w:rsid w:val="00972006"/>
    <w:rsid w:val="009761FF"/>
    <w:rsid w:val="00982272"/>
    <w:rsid w:val="00982B1C"/>
    <w:rsid w:val="009840AF"/>
    <w:rsid w:val="009924E9"/>
    <w:rsid w:val="00992BB7"/>
    <w:rsid w:val="009A0CBF"/>
    <w:rsid w:val="009A30E5"/>
    <w:rsid w:val="009B23C1"/>
    <w:rsid w:val="009B2E69"/>
    <w:rsid w:val="009D21AB"/>
    <w:rsid w:val="009D3D5E"/>
    <w:rsid w:val="009D6D9A"/>
    <w:rsid w:val="009E0605"/>
    <w:rsid w:val="009E33C5"/>
    <w:rsid w:val="009E6D1E"/>
    <w:rsid w:val="009F2AFC"/>
    <w:rsid w:val="009F3C27"/>
    <w:rsid w:val="009F4F94"/>
    <w:rsid w:val="009F525E"/>
    <w:rsid w:val="00A15EF0"/>
    <w:rsid w:val="00A278DE"/>
    <w:rsid w:val="00A37412"/>
    <w:rsid w:val="00A41C96"/>
    <w:rsid w:val="00A470EA"/>
    <w:rsid w:val="00A5047F"/>
    <w:rsid w:val="00A510BF"/>
    <w:rsid w:val="00A5122C"/>
    <w:rsid w:val="00A51944"/>
    <w:rsid w:val="00A51F58"/>
    <w:rsid w:val="00A521FA"/>
    <w:rsid w:val="00A523FF"/>
    <w:rsid w:val="00A708D5"/>
    <w:rsid w:val="00A7321B"/>
    <w:rsid w:val="00A75CED"/>
    <w:rsid w:val="00A856BD"/>
    <w:rsid w:val="00A85A9F"/>
    <w:rsid w:val="00A95649"/>
    <w:rsid w:val="00AA1FB0"/>
    <w:rsid w:val="00AB04A7"/>
    <w:rsid w:val="00AB337C"/>
    <w:rsid w:val="00AB4FDF"/>
    <w:rsid w:val="00AB6D15"/>
    <w:rsid w:val="00AC1816"/>
    <w:rsid w:val="00AC62E4"/>
    <w:rsid w:val="00AD101A"/>
    <w:rsid w:val="00AD1525"/>
    <w:rsid w:val="00AE422D"/>
    <w:rsid w:val="00AF4D60"/>
    <w:rsid w:val="00B06669"/>
    <w:rsid w:val="00B11F65"/>
    <w:rsid w:val="00B14711"/>
    <w:rsid w:val="00B1672A"/>
    <w:rsid w:val="00B16FAC"/>
    <w:rsid w:val="00B21E3C"/>
    <w:rsid w:val="00B238BB"/>
    <w:rsid w:val="00B3090F"/>
    <w:rsid w:val="00B37312"/>
    <w:rsid w:val="00B402CB"/>
    <w:rsid w:val="00B41DE6"/>
    <w:rsid w:val="00B42E08"/>
    <w:rsid w:val="00B53D76"/>
    <w:rsid w:val="00B56630"/>
    <w:rsid w:val="00B5688C"/>
    <w:rsid w:val="00B6237B"/>
    <w:rsid w:val="00B653A4"/>
    <w:rsid w:val="00B65D1C"/>
    <w:rsid w:val="00B76F8B"/>
    <w:rsid w:val="00B7723A"/>
    <w:rsid w:val="00B80C0C"/>
    <w:rsid w:val="00B84FB7"/>
    <w:rsid w:val="00B85CB7"/>
    <w:rsid w:val="00B97210"/>
    <w:rsid w:val="00BA2878"/>
    <w:rsid w:val="00BB420C"/>
    <w:rsid w:val="00BD0870"/>
    <w:rsid w:val="00BD2DC1"/>
    <w:rsid w:val="00BE31AC"/>
    <w:rsid w:val="00BE33A4"/>
    <w:rsid w:val="00BE654F"/>
    <w:rsid w:val="00BF6E56"/>
    <w:rsid w:val="00C021FC"/>
    <w:rsid w:val="00C041AF"/>
    <w:rsid w:val="00C063B9"/>
    <w:rsid w:val="00C07CAF"/>
    <w:rsid w:val="00C10239"/>
    <w:rsid w:val="00C14428"/>
    <w:rsid w:val="00C31407"/>
    <w:rsid w:val="00C37DE5"/>
    <w:rsid w:val="00C43D12"/>
    <w:rsid w:val="00C46288"/>
    <w:rsid w:val="00C51C80"/>
    <w:rsid w:val="00C52934"/>
    <w:rsid w:val="00C60688"/>
    <w:rsid w:val="00C60BD0"/>
    <w:rsid w:val="00C63F4C"/>
    <w:rsid w:val="00C64D7F"/>
    <w:rsid w:val="00C6555F"/>
    <w:rsid w:val="00C67992"/>
    <w:rsid w:val="00C71915"/>
    <w:rsid w:val="00C805D0"/>
    <w:rsid w:val="00C80891"/>
    <w:rsid w:val="00C84369"/>
    <w:rsid w:val="00C907BB"/>
    <w:rsid w:val="00CA4A06"/>
    <w:rsid w:val="00CA4DC0"/>
    <w:rsid w:val="00CB3F46"/>
    <w:rsid w:val="00CC1CAE"/>
    <w:rsid w:val="00CC373E"/>
    <w:rsid w:val="00CE0A0A"/>
    <w:rsid w:val="00CE0A37"/>
    <w:rsid w:val="00CE4D4F"/>
    <w:rsid w:val="00CF5512"/>
    <w:rsid w:val="00CF58A3"/>
    <w:rsid w:val="00D0532F"/>
    <w:rsid w:val="00D12383"/>
    <w:rsid w:val="00D16B61"/>
    <w:rsid w:val="00D235DE"/>
    <w:rsid w:val="00D304B0"/>
    <w:rsid w:val="00D36736"/>
    <w:rsid w:val="00D5131B"/>
    <w:rsid w:val="00D51870"/>
    <w:rsid w:val="00D53A29"/>
    <w:rsid w:val="00D60156"/>
    <w:rsid w:val="00D618EB"/>
    <w:rsid w:val="00D61A54"/>
    <w:rsid w:val="00D620E0"/>
    <w:rsid w:val="00D647F1"/>
    <w:rsid w:val="00D76665"/>
    <w:rsid w:val="00D77557"/>
    <w:rsid w:val="00D81873"/>
    <w:rsid w:val="00D91868"/>
    <w:rsid w:val="00D97955"/>
    <w:rsid w:val="00DA00C9"/>
    <w:rsid w:val="00DA10C9"/>
    <w:rsid w:val="00DA501C"/>
    <w:rsid w:val="00DA633F"/>
    <w:rsid w:val="00DB07B6"/>
    <w:rsid w:val="00DB0FDD"/>
    <w:rsid w:val="00DB15C0"/>
    <w:rsid w:val="00DB330E"/>
    <w:rsid w:val="00DB7787"/>
    <w:rsid w:val="00DC771D"/>
    <w:rsid w:val="00DD1F7F"/>
    <w:rsid w:val="00DD3583"/>
    <w:rsid w:val="00DD75F2"/>
    <w:rsid w:val="00DE580D"/>
    <w:rsid w:val="00DE6BBA"/>
    <w:rsid w:val="00DF046D"/>
    <w:rsid w:val="00DF1474"/>
    <w:rsid w:val="00E000AC"/>
    <w:rsid w:val="00E027C0"/>
    <w:rsid w:val="00E04445"/>
    <w:rsid w:val="00E052D2"/>
    <w:rsid w:val="00E07583"/>
    <w:rsid w:val="00E14359"/>
    <w:rsid w:val="00E17EE8"/>
    <w:rsid w:val="00E26E7A"/>
    <w:rsid w:val="00E32C4E"/>
    <w:rsid w:val="00E32CAD"/>
    <w:rsid w:val="00E32E48"/>
    <w:rsid w:val="00E340E7"/>
    <w:rsid w:val="00E41395"/>
    <w:rsid w:val="00E46736"/>
    <w:rsid w:val="00E53E95"/>
    <w:rsid w:val="00E65FB6"/>
    <w:rsid w:val="00E71F1A"/>
    <w:rsid w:val="00E723E0"/>
    <w:rsid w:val="00E915FD"/>
    <w:rsid w:val="00E9782E"/>
    <w:rsid w:val="00E97970"/>
    <w:rsid w:val="00EA45AC"/>
    <w:rsid w:val="00EA4DC0"/>
    <w:rsid w:val="00EB17FB"/>
    <w:rsid w:val="00EB21DD"/>
    <w:rsid w:val="00EB259C"/>
    <w:rsid w:val="00EB7B7B"/>
    <w:rsid w:val="00EC36E4"/>
    <w:rsid w:val="00ED39A2"/>
    <w:rsid w:val="00EE0E35"/>
    <w:rsid w:val="00EE2FE0"/>
    <w:rsid w:val="00EF409B"/>
    <w:rsid w:val="00F01DDA"/>
    <w:rsid w:val="00F130D1"/>
    <w:rsid w:val="00F31C61"/>
    <w:rsid w:val="00F35247"/>
    <w:rsid w:val="00F47DD5"/>
    <w:rsid w:val="00F539B9"/>
    <w:rsid w:val="00F55008"/>
    <w:rsid w:val="00F55AFC"/>
    <w:rsid w:val="00F66D7C"/>
    <w:rsid w:val="00F704DE"/>
    <w:rsid w:val="00F75DB6"/>
    <w:rsid w:val="00F8040B"/>
    <w:rsid w:val="00F80625"/>
    <w:rsid w:val="00F823A7"/>
    <w:rsid w:val="00F8493D"/>
    <w:rsid w:val="00F95C14"/>
    <w:rsid w:val="00F9608B"/>
    <w:rsid w:val="00FB6B9C"/>
    <w:rsid w:val="00FB73AB"/>
    <w:rsid w:val="00FC2CA9"/>
    <w:rsid w:val="00FC6642"/>
    <w:rsid w:val="00FD13DC"/>
    <w:rsid w:val="00FD27A5"/>
    <w:rsid w:val="00FD4222"/>
    <w:rsid w:val="00FD4B64"/>
    <w:rsid w:val="00FD552A"/>
    <w:rsid w:val="00FD67F5"/>
    <w:rsid w:val="00FE17F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49E"/>
    <w:pPr>
      <w:spacing w:before="120" w:after="120"/>
    </w:pPr>
    <w:rPr>
      <w:sz w:val="24"/>
      <w:szCs w:val="24"/>
      <w:lang w:eastAsia="en-US"/>
    </w:rPr>
  </w:style>
  <w:style w:type="paragraph" w:styleId="Heading1">
    <w:name w:val="heading 1"/>
    <w:basedOn w:val="Normal"/>
    <w:next w:val="Normal"/>
    <w:autoRedefine/>
    <w:qFormat/>
    <w:rsid w:val="001D643A"/>
    <w:pPr>
      <w:keepNext/>
      <w:spacing w:before="240" w:after="60"/>
      <w:outlineLvl w:val="0"/>
    </w:pPr>
    <w:rPr>
      <w:rFonts w:cs="Arial"/>
      <w:b/>
      <w:bCs/>
      <w:kern w:val="32"/>
      <w:sz w:val="32"/>
      <w:szCs w:val="32"/>
    </w:rPr>
  </w:style>
  <w:style w:type="paragraph" w:styleId="Heading2">
    <w:name w:val="heading 2"/>
    <w:basedOn w:val="Heading1"/>
    <w:next w:val="Normal"/>
    <w:qFormat/>
    <w:rsid w:val="0024249E"/>
    <w:pPr>
      <w:outlineLvl w:val="1"/>
    </w:pPr>
    <w:rPr>
      <w:rFonts w:cs="Times New Roman"/>
    </w:rPr>
  </w:style>
  <w:style w:type="paragraph" w:styleId="Heading3">
    <w:name w:val="heading 3"/>
    <w:basedOn w:val="Heading2"/>
    <w:next w:val="Normal"/>
    <w:qFormat/>
    <w:rsid w:val="0024249E"/>
    <w:pPr>
      <w:outlineLvl w:val="2"/>
    </w:pPr>
    <w:rPr>
      <w:i/>
    </w:rPr>
  </w:style>
  <w:style w:type="paragraph" w:styleId="Heading4">
    <w:name w:val="heading 4"/>
    <w:basedOn w:val="Heading3"/>
    <w:next w:val="Normal"/>
    <w:link w:val="Heading4Char"/>
    <w:unhideWhenUsed/>
    <w:qFormat/>
    <w:rsid w:val="0024249E"/>
    <w:pPr>
      <w:spacing w:before="120"/>
      <w:outlineLvl w:val="3"/>
    </w:pPr>
    <w:rPr>
      <w:i w:val="0"/>
      <w:sz w:val="26"/>
      <w:szCs w:val="26"/>
    </w:rPr>
  </w:style>
  <w:style w:type="paragraph" w:styleId="Heading5">
    <w:name w:val="heading 5"/>
    <w:basedOn w:val="Heading4"/>
    <w:next w:val="Normal"/>
    <w:link w:val="Heading5Char"/>
    <w:unhideWhenUsed/>
    <w:qFormat/>
    <w:rsid w:val="003911B0"/>
    <w:pPr>
      <w:outlineLvl w:val="4"/>
    </w:pPr>
  </w:style>
  <w:style w:type="paragraph" w:styleId="Heading7">
    <w:name w:val="heading 7"/>
    <w:basedOn w:val="Normal"/>
    <w:next w:val="Normal"/>
    <w:qFormat/>
    <w:rsid w:val="000F287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8040B"/>
    <w:rPr>
      <w:i/>
      <w:iCs/>
      <w:sz w:val="22"/>
      <w:szCs w:val="20"/>
      <w:lang w:val="en-GB"/>
    </w:rPr>
  </w:style>
  <w:style w:type="paragraph" w:styleId="BodyText3">
    <w:name w:val="Body Text 3"/>
    <w:basedOn w:val="Normal"/>
    <w:rsid w:val="00F8040B"/>
    <w:pPr>
      <w:tabs>
        <w:tab w:val="left" w:pos="567"/>
      </w:tabs>
    </w:pPr>
    <w:rPr>
      <w:color w:val="000000"/>
      <w:sz w:val="22"/>
      <w:szCs w:val="20"/>
      <w:lang w:val="en-US"/>
    </w:rPr>
  </w:style>
  <w:style w:type="paragraph" w:customStyle="1" w:styleId="Paragraph">
    <w:name w:val="Paragraph"/>
    <w:basedOn w:val="Normal"/>
    <w:rsid w:val="00F8040B"/>
    <w:pPr>
      <w:spacing w:after="240" w:line="280" w:lineRule="exact"/>
    </w:pPr>
    <w:rPr>
      <w:szCs w:val="20"/>
      <w:lang w:val="en-US"/>
    </w:rPr>
  </w:style>
  <w:style w:type="paragraph" w:styleId="Header">
    <w:name w:val="header"/>
    <w:basedOn w:val="Normal"/>
    <w:rsid w:val="00FC2CA9"/>
    <w:pPr>
      <w:tabs>
        <w:tab w:val="center" w:pos="4153"/>
        <w:tab w:val="right" w:pos="8306"/>
      </w:tabs>
    </w:pPr>
    <w:rPr>
      <w:sz w:val="22"/>
      <w:szCs w:val="20"/>
      <w:lang w:val="en-GB"/>
    </w:rPr>
  </w:style>
  <w:style w:type="paragraph" w:styleId="EndnoteText">
    <w:name w:val="endnote text"/>
    <w:basedOn w:val="Normal"/>
    <w:semiHidden/>
    <w:rsid w:val="00FC2CA9"/>
    <w:pPr>
      <w:tabs>
        <w:tab w:val="left" w:pos="567"/>
      </w:tabs>
    </w:pPr>
    <w:rPr>
      <w:sz w:val="22"/>
      <w:szCs w:val="20"/>
      <w:lang w:val="en-GB"/>
    </w:rPr>
  </w:style>
  <w:style w:type="paragraph" w:styleId="Footer">
    <w:name w:val="footer"/>
    <w:basedOn w:val="Normal"/>
    <w:rsid w:val="002028F4"/>
    <w:pPr>
      <w:tabs>
        <w:tab w:val="center" w:pos="4320"/>
        <w:tab w:val="right" w:pos="8640"/>
      </w:tabs>
    </w:pPr>
  </w:style>
  <w:style w:type="table" w:styleId="TableGrid">
    <w:name w:val="Table Grid"/>
    <w:basedOn w:val="TableNormal"/>
    <w:uiPriority w:val="59"/>
    <w:rsid w:val="00432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15EE8"/>
    <w:rPr>
      <w:rFonts w:ascii="Arial" w:eastAsia="MS Gothic" w:hAnsi="Arial"/>
      <w:sz w:val="18"/>
      <w:szCs w:val="18"/>
    </w:rPr>
  </w:style>
  <w:style w:type="paragraph" w:customStyle="1" w:styleId="TableCellLeft">
    <w:name w:val="Table Cell Left"/>
    <w:basedOn w:val="Paragraph"/>
    <w:rsid w:val="00307DEC"/>
    <w:pPr>
      <w:keepLines/>
      <w:spacing w:before="50" w:after="50" w:line="240" w:lineRule="exact"/>
    </w:pPr>
    <w:rPr>
      <w:rFonts w:eastAsia="Times New Roman"/>
      <w:sz w:val="20"/>
      <w:lang w:val="en-GB"/>
    </w:rPr>
  </w:style>
  <w:style w:type="paragraph" w:customStyle="1" w:styleId="TableCellCenter">
    <w:name w:val="Table Cell Center"/>
    <w:basedOn w:val="Paragraph"/>
    <w:rsid w:val="00264164"/>
    <w:pPr>
      <w:keepLines/>
      <w:spacing w:before="50" w:after="50" w:line="240" w:lineRule="exact"/>
      <w:jc w:val="center"/>
    </w:pPr>
    <w:rPr>
      <w:rFonts w:eastAsia="Times New Roman"/>
      <w:sz w:val="20"/>
      <w:lang w:val="en-GB"/>
    </w:rPr>
  </w:style>
  <w:style w:type="character" w:customStyle="1" w:styleId="TonyWhittaker">
    <w:name w:val="Tony Whittaker"/>
    <w:semiHidden/>
    <w:rsid w:val="002D6E48"/>
    <w:rPr>
      <w:rFonts w:ascii="Arial" w:hAnsi="Arial" w:cs="Arial"/>
      <w:color w:val="000080"/>
      <w:sz w:val="20"/>
      <w:szCs w:val="20"/>
    </w:rPr>
  </w:style>
  <w:style w:type="paragraph" w:styleId="PlainText">
    <w:name w:val="Plain Text"/>
    <w:basedOn w:val="Normal"/>
    <w:rsid w:val="00B11F65"/>
    <w:rPr>
      <w:rFonts w:ascii="Courier New" w:eastAsia="Times New Roman" w:hAnsi="Courier New" w:cs="Courier New"/>
      <w:sz w:val="20"/>
      <w:szCs w:val="20"/>
      <w:lang w:val="en-US"/>
    </w:rPr>
  </w:style>
  <w:style w:type="character" w:styleId="CommentReference">
    <w:name w:val="annotation reference"/>
    <w:rsid w:val="005C7CC8"/>
    <w:rPr>
      <w:sz w:val="16"/>
      <w:szCs w:val="16"/>
    </w:rPr>
  </w:style>
  <w:style w:type="paragraph" w:styleId="CommentText">
    <w:name w:val="annotation text"/>
    <w:basedOn w:val="Normal"/>
    <w:link w:val="CommentTextChar"/>
    <w:rsid w:val="005C7CC8"/>
    <w:rPr>
      <w:sz w:val="20"/>
      <w:szCs w:val="20"/>
    </w:rPr>
  </w:style>
  <w:style w:type="character" w:customStyle="1" w:styleId="CommentTextChar">
    <w:name w:val="Comment Text Char"/>
    <w:link w:val="CommentText"/>
    <w:rsid w:val="005C7CC8"/>
    <w:rPr>
      <w:lang w:eastAsia="en-US"/>
    </w:rPr>
  </w:style>
  <w:style w:type="paragraph" w:styleId="CommentSubject">
    <w:name w:val="annotation subject"/>
    <w:basedOn w:val="CommentText"/>
    <w:next w:val="CommentText"/>
    <w:link w:val="CommentSubjectChar"/>
    <w:rsid w:val="005C7CC8"/>
    <w:rPr>
      <w:b/>
      <w:bCs/>
    </w:rPr>
  </w:style>
  <w:style w:type="character" w:customStyle="1" w:styleId="CommentSubjectChar">
    <w:name w:val="Comment Subject Char"/>
    <w:link w:val="CommentSubject"/>
    <w:rsid w:val="005C7CC8"/>
    <w:rPr>
      <w:b/>
      <w:bCs/>
      <w:lang w:eastAsia="en-US"/>
    </w:rPr>
  </w:style>
  <w:style w:type="paragraph" w:styleId="Caption">
    <w:name w:val="caption"/>
    <w:basedOn w:val="Normal"/>
    <w:next w:val="Normal"/>
    <w:unhideWhenUsed/>
    <w:qFormat/>
    <w:rsid w:val="00443C7E"/>
    <w:rPr>
      <w:b/>
      <w:bCs/>
      <w:sz w:val="20"/>
      <w:szCs w:val="20"/>
    </w:rPr>
  </w:style>
  <w:style w:type="paragraph" w:styleId="TableofFigures">
    <w:name w:val="table of figures"/>
    <w:basedOn w:val="Normal"/>
    <w:next w:val="Normal"/>
    <w:uiPriority w:val="99"/>
    <w:rsid w:val="008576D4"/>
  </w:style>
  <w:style w:type="character" w:styleId="Hyperlink">
    <w:name w:val="Hyperlink"/>
    <w:uiPriority w:val="99"/>
    <w:unhideWhenUsed/>
    <w:rsid w:val="008576D4"/>
    <w:rPr>
      <w:color w:val="0000FF"/>
      <w:u w:val="single"/>
    </w:rPr>
  </w:style>
  <w:style w:type="paragraph" w:styleId="DocumentMap">
    <w:name w:val="Document Map"/>
    <w:basedOn w:val="Normal"/>
    <w:link w:val="DocumentMapChar"/>
    <w:rsid w:val="009F2AFC"/>
    <w:rPr>
      <w:rFonts w:ascii="Tahoma" w:hAnsi="Tahoma"/>
      <w:sz w:val="16"/>
      <w:szCs w:val="16"/>
    </w:rPr>
  </w:style>
  <w:style w:type="character" w:customStyle="1" w:styleId="DocumentMapChar">
    <w:name w:val="Document Map Char"/>
    <w:link w:val="DocumentMap"/>
    <w:rsid w:val="009F2AFC"/>
    <w:rPr>
      <w:rFonts w:ascii="Tahoma" w:hAnsi="Tahoma" w:cs="Tahoma"/>
      <w:sz w:val="16"/>
      <w:szCs w:val="16"/>
      <w:lang w:eastAsia="en-US"/>
    </w:rPr>
  </w:style>
  <w:style w:type="paragraph" w:styleId="NormalWeb">
    <w:name w:val="Normal (Web)"/>
    <w:basedOn w:val="Normal"/>
    <w:uiPriority w:val="99"/>
    <w:unhideWhenUsed/>
    <w:rsid w:val="00337F0B"/>
    <w:pPr>
      <w:spacing w:before="100" w:beforeAutospacing="1" w:after="100" w:afterAutospacing="1"/>
    </w:pPr>
    <w:rPr>
      <w:rFonts w:eastAsia="Calibri"/>
      <w:lang w:val="en-US"/>
    </w:rPr>
  </w:style>
  <w:style w:type="paragraph" w:styleId="Revision">
    <w:name w:val="Revision"/>
    <w:hidden/>
    <w:uiPriority w:val="99"/>
    <w:semiHidden/>
    <w:rsid w:val="00007C8A"/>
    <w:rPr>
      <w:sz w:val="24"/>
      <w:szCs w:val="24"/>
      <w:lang w:eastAsia="en-US"/>
    </w:rPr>
  </w:style>
  <w:style w:type="character" w:customStyle="1" w:styleId="Heading4Char">
    <w:name w:val="Heading 4 Char"/>
    <w:basedOn w:val="DefaultParagraphFont"/>
    <w:link w:val="Heading4"/>
    <w:rsid w:val="0024249E"/>
    <w:rPr>
      <w:b/>
      <w:bCs/>
      <w:kern w:val="32"/>
      <w:sz w:val="26"/>
      <w:szCs w:val="26"/>
      <w:lang w:eastAsia="en-US"/>
    </w:rPr>
  </w:style>
  <w:style w:type="character" w:customStyle="1" w:styleId="Heading5Char">
    <w:name w:val="Heading 5 Char"/>
    <w:basedOn w:val="DefaultParagraphFont"/>
    <w:link w:val="Heading5"/>
    <w:rsid w:val="003911B0"/>
    <w:rPr>
      <w:b/>
      <w:bCs/>
      <w:kern w:val="32"/>
      <w:sz w:val="26"/>
      <w:szCs w:val="26"/>
      <w:lang w:eastAsia="en-US"/>
    </w:rPr>
  </w:style>
</w:styles>
</file>

<file path=word/webSettings.xml><?xml version="1.0" encoding="utf-8"?>
<w:webSettings xmlns:r="http://schemas.openxmlformats.org/officeDocument/2006/relationships" xmlns:w="http://schemas.openxmlformats.org/wordprocessingml/2006/main">
  <w:divs>
    <w:div w:id="69425805">
      <w:bodyDiv w:val="1"/>
      <w:marLeft w:val="0"/>
      <w:marRight w:val="0"/>
      <w:marTop w:val="0"/>
      <w:marBottom w:val="0"/>
      <w:divBdr>
        <w:top w:val="none" w:sz="0" w:space="0" w:color="auto"/>
        <w:left w:val="none" w:sz="0" w:space="0" w:color="auto"/>
        <w:bottom w:val="none" w:sz="0" w:space="0" w:color="auto"/>
        <w:right w:val="none" w:sz="0" w:space="0" w:color="auto"/>
      </w:divBdr>
      <w:divsChild>
        <w:div w:id="598947147">
          <w:marLeft w:val="0"/>
          <w:marRight w:val="0"/>
          <w:marTop w:val="0"/>
          <w:marBottom w:val="0"/>
          <w:divBdr>
            <w:top w:val="none" w:sz="0" w:space="0" w:color="auto"/>
            <w:left w:val="none" w:sz="0" w:space="0" w:color="auto"/>
            <w:bottom w:val="none" w:sz="0" w:space="0" w:color="auto"/>
            <w:right w:val="none" w:sz="0" w:space="0" w:color="auto"/>
          </w:divBdr>
          <w:divsChild>
            <w:div w:id="10828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0016">
      <w:bodyDiv w:val="1"/>
      <w:marLeft w:val="0"/>
      <w:marRight w:val="0"/>
      <w:marTop w:val="0"/>
      <w:marBottom w:val="0"/>
      <w:divBdr>
        <w:top w:val="none" w:sz="0" w:space="0" w:color="auto"/>
        <w:left w:val="none" w:sz="0" w:space="0" w:color="auto"/>
        <w:bottom w:val="none" w:sz="0" w:space="0" w:color="auto"/>
        <w:right w:val="none" w:sz="0" w:space="0" w:color="auto"/>
      </w:divBdr>
    </w:div>
    <w:div w:id="460925873">
      <w:bodyDiv w:val="1"/>
      <w:marLeft w:val="0"/>
      <w:marRight w:val="0"/>
      <w:marTop w:val="0"/>
      <w:marBottom w:val="0"/>
      <w:divBdr>
        <w:top w:val="none" w:sz="0" w:space="0" w:color="auto"/>
        <w:left w:val="none" w:sz="0" w:space="0" w:color="auto"/>
        <w:bottom w:val="none" w:sz="0" w:space="0" w:color="auto"/>
        <w:right w:val="none" w:sz="0" w:space="0" w:color="auto"/>
      </w:divBdr>
    </w:div>
    <w:div w:id="881140144">
      <w:bodyDiv w:val="1"/>
      <w:marLeft w:val="0"/>
      <w:marRight w:val="0"/>
      <w:marTop w:val="0"/>
      <w:marBottom w:val="0"/>
      <w:divBdr>
        <w:top w:val="none" w:sz="0" w:space="0" w:color="auto"/>
        <w:left w:val="none" w:sz="0" w:space="0" w:color="auto"/>
        <w:bottom w:val="none" w:sz="0" w:space="0" w:color="auto"/>
        <w:right w:val="none" w:sz="0" w:space="0" w:color="auto"/>
      </w:divBdr>
    </w:div>
    <w:div w:id="888421016">
      <w:bodyDiv w:val="1"/>
      <w:marLeft w:val="0"/>
      <w:marRight w:val="0"/>
      <w:marTop w:val="0"/>
      <w:marBottom w:val="0"/>
      <w:divBdr>
        <w:top w:val="none" w:sz="0" w:space="0" w:color="auto"/>
        <w:left w:val="none" w:sz="0" w:space="0" w:color="auto"/>
        <w:bottom w:val="none" w:sz="0" w:space="0" w:color="auto"/>
        <w:right w:val="none" w:sz="0" w:space="0" w:color="auto"/>
      </w:divBdr>
      <w:divsChild>
        <w:div w:id="213468249">
          <w:marLeft w:val="0"/>
          <w:marRight w:val="0"/>
          <w:marTop w:val="0"/>
          <w:marBottom w:val="0"/>
          <w:divBdr>
            <w:top w:val="none" w:sz="0" w:space="0" w:color="auto"/>
            <w:left w:val="none" w:sz="0" w:space="0" w:color="auto"/>
            <w:bottom w:val="none" w:sz="0" w:space="0" w:color="auto"/>
            <w:right w:val="none" w:sz="0" w:space="0" w:color="auto"/>
          </w:divBdr>
          <w:divsChild>
            <w:div w:id="17069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1592">
      <w:bodyDiv w:val="1"/>
      <w:marLeft w:val="0"/>
      <w:marRight w:val="0"/>
      <w:marTop w:val="0"/>
      <w:marBottom w:val="0"/>
      <w:divBdr>
        <w:top w:val="none" w:sz="0" w:space="0" w:color="auto"/>
        <w:left w:val="none" w:sz="0" w:space="0" w:color="auto"/>
        <w:bottom w:val="none" w:sz="0" w:space="0" w:color="auto"/>
        <w:right w:val="none" w:sz="0" w:space="0" w:color="auto"/>
      </w:divBdr>
    </w:div>
    <w:div w:id="1295333636">
      <w:bodyDiv w:val="1"/>
      <w:marLeft w:val="0"/>
      <w:marRight w:val="0"/>
      <w:marTop w:val="0"/>
      <w:marBottom w:val="0"/>
      <w:divBdr>
        <w:top w:val="none" w:sz="0" w:space="0" w:color="auto"/>
        <w:left w:val="none" w:sz="0" w:space="0" w:color="auto"/>
        <w:bottom w:val="none" w:sz="0" w:space="0" w:color="auto"/>
        <w:right w:val="none" w:sz="0" w:space="0" w:color="auto"/>
      </w:divBdr>
    </w:div>
    <w:div w:id="1443182391">
      <w:bodyDiv w:val="1"/>
      <w:marLeft w:val="0"/>
      <w:marRight w:val="0"/>
      <w:marTop w:val="0"/>
      <w:marBottom w:val="0"/>
      <w:divBdr>
        <w:top w:val="none" w:sz="0" w:space="0" w:color="auto"/>
        <w:left w:val="none" w:sz="0" w:space="0" w:color="auto"/>
        <w:bottom w:val="none" w:sz="0" w:space="0" w:color="auto"/>
        <w:right w:val="none" w:sz="0" w:space="0" w:color="auto"/>
      </w:divBdr>
    </w:div>
    <w:div w:id="1593127013">
      <w:bodyDiv w:val="1"/>
      <w:marLeft w:val="0"/>
      <w:marRight w:val="0"/>
      <w:marTop w:val="0"/>
      <w:marBottom w:val="0"/>
      <w:divBdr>
        <w:top w:val="none" w:sz="0" w:space="0" w:color="auto"/>
        <w:left w:val="none" w:sz="0" w:space="0" w:color="auto"/>
        <w:bottom w:val="none" w:sz="0" w:space="0" w:color="auto"/>
        <w:right w:val="none" w:sz="0" w:space="0" w:color="auto"/>
      </w:divBdr>
    </w:div>
    <w:div w:id="1633442736">
      <w:bodyDiv w:val="1"/>
      <w:marLeft w:val="0"/>
      <w:marRight w:val="0"/>
      <w:marTop w:val="0"/>
      <w:marBottom w:val="0"/>
      <w:divBdr>
        <w:top w:val="none" w:sz="0" w:space="0" w:color="auto"/>
        <w:left w:val="none" w:sz="0" w:space="0" w:color="auto"/>
        <w:bottom w:val="none" w:sz="0" w:space="0" w:color="auto"/>
        <w:right w:val="none" w:sz="0" w:space="0" w:color="auto"/>
      </w:divBdr>
    </w:div>
    <w:div w:id="1726180997">
      <w:bodyDiv w:val="1"/>
      <w:marLeft w:val="0"/>
      <w:marRight w:val="0"/>
      <w:marTop w:val="0"/>
      <w:marBottom w:val="0"/>
      <w:divBdr>
        <w:top w:val="none" w:sz="0" w:space="0" w:color="auto"/>
        <w:left w:val="none" w:sz="0" w:space="0" w:color="auto"/>
        <w:bottom w:val="none" w:sz="0" w:space="0" w:color="auto"/>
        <w:right w:val="none" w:sz="0" w:space="0" w:color="auto"/>
      </w:divBdr>
    </w:div>
    <w:div w:id="1944026378">
      <w:bodyDiv w:val="1"/>
      <w:marLeft w:val="0"/>
      <w:marRight w:val="0"/>
      <w:marTop w:val="0"/>
      <w:marBottom w:val="0"/>
      <w:divBdr>
        <w:top w:val="none" w:sz="0" w:space="0" w:color="auto"/>
        <w:left w:val="none" w:sz="0" w:space="0" w:color="auto"/>
        <w:bottom w:val="none" w:sz="0" w:space="0" w:color="auto"/>
        <w:right w:val="none" w:sz="0" w:space="0" w:color="auto"/>
      </w:divBdr>
    </w:div>
    <w:div w:id="20776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cid:image001.png@01CDDC5E.FCEC6600"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cid:image001.png@01CDDC5E.FCEC6600" TargetMode="External"/><Relationship Id="rId2" Type="http://schemas.openxmlformats.org/officeDocument/2006/relationships/numbering" Target="numbering.xml"/><Relationship Id="rId16" Type="http://schemas.openxmlformats.org/officeDocument/2006/relationships/image" Target="cid:image001.png@01CDDC5E.FCEC66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1.png@01CDDC5E.FCEC6600" TargetMode="Externa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cid:image001.png@01CDDC5E.FCEC66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0542-BD6C-4BD2-A966-37A4696D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7491</Words>
  <Characters>44565</Characters>
  <Application>Microsoft Office Word</Application>
  <DocSecurity>0</DocSecurity>
  <Lines>1536</Lines>
  <Paragraphs>1084</Paragraphs>
  <ScaleCrop>false</ScaleCrop>
  <HeadingPairs>
    <vt:vector size="2" baseType="variant">
      <vt:variant>
        <vt:lpstr>Title</vt:lpstr>
      </vt:variant>
      <vt:variant>
        <vt:i4>1</vt:i4>
      </vt:variant>
    </vt:vector>
  </HeadingPairs>
  <TitlesOfParts>
    <vt:vector size="1" baseType="lpstr">
      <vt:lpstr>AusPAR Attachment 1: Product Information for Zonegran</vt:lpstr>
    </vt:vector>
  </TitlesOfParts>
  <Company/>
  <LinksUpToDate>false</LinksUpToDate>
  <CharactersWithSpaces>50972</CharactersWithSpaces>
  <SharedDoc>false</SharedDoc>
  <HLinks>
    <vt:vector size="30" baseType="variant">
      <vt:variant>
        <vt:i4>6619148</vt:i4>
      </vt:variant>
      <vt:variant>
        <vt:i4>10957</vt:i4>
      </vt:variant>
      <vt:variant>
        <vt:i4>1026</vt:i4>
      </vt:variant>
      <vt:variant>
        <vt:i4>1</vt:i4>
      </vt:variant>
      <vt:variant>
        <vt:lpwstr>cid:image001.png@01CDDC5E.FCEC6600</vt:lpwstr>
      </vt:variant>
      <vt:variant>
        <vt:lpwstr/>
      </vt:variant>
      <vt:variant>
        <vt:i4>6619148</vt:i4>
      </vt:variant>
      <vt:variant>
        <vt:i4>11736</vt:i4>
      </vt:variant>
      <vt:variant>
        <vt:i4>1027</vt:i4>
      </vt:variant>
      <vt:variant>
        <vt:i4>1</vt:i4>
      </vt:variant>
      <vt:variant>
        <vt:lpwstr>cid:image001.png@01CDDC5E.FCEC6600</vt:lpwstr>
      </vt:variant>
      <vt:variant>
        <vt:lpwstr/>
      </vt:variant>
      <vt:variant>
        <vt:i4>6619148</vt:i4>
      </vt:variant>
      <vt:variant>
        <vt:i4>11814</vt:i4>
      </vt:variant>
      <vt:variant>
        <vt:i4>1028</vt:i4>
      </vt:variant>
      <vt:variant>
        <vt:i4>1</vt:i4>
      </vt:variant>
      <vt:variant>
        <vt:lpwstr>cid:image001.png@01CDDC5E.FCEC6600</vt:lpwstr>
      </vt:variant>
      <vt:variant>
        <vt:lpwstr/>
      </vt:variant>
      <vt:variant>
        <vt:i4>6619148</vt:i4>
      </vt:variant>
      <vt:variant>
        <vt:i4>11892</vt:i4>
      </vt:variant>
      <vt:variant>
        <vt:i4>1029</vt:i4>
      </vt:variant>
      <vt:variant>
        <vt:i4>1</vt:i4>
      </vt:variant>
      <vt:variant>
        <vt:lpwstr>cid:image001.png@01CDDC5E.FCEC6600</vt:lpwstr>
      </vt:variant>
      <vt:variant>
        <vt:lpwstr/>
      </vt:variant>
      <vt:variant>
        <vt:i4>6619148</vt:i4>
      </vt:variant>
      <vt:variant>
        <vt:i4>11970</vt:i4>
      </vt:variant>
      <vt:variant>
        <vt:i4>1030</vt:i4>
      </vt:variant>
      <vt:variant>
        <vt:i4>1</vt:i4>
      </vt:variant>
      <vt:variant>
        <vt:lpwstr>cid:image001.png@01CDDC5E.FCEC6600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Zonegran</dc:title>
  <dc:subject>prescription medicines regulation</dc:subject>
  <dc:creator>SciGen (Australia) Pty Ltd</dc:creator>
  <cp:keywords>prescription, medicine, regulation, australia, product information, zonegran, zonisamide</cp:keywords>
  <cp:lastModifiedBy>Bird, Gail</cp:lastModifiedBy>
  <cp:revision>12</cp:revision>
  <cp:lastPrinted>2013-03-01T04:29:00Z</cp:lastPrinted>
  <dcterms:created xsi:type="dcterms:W3CDTF">2013-07-17T05:54:00Z</dcterms:created>
  <dcterms:modified xsi:type="dcterms:W3CDTF">2013-10-09T04:36:00Z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AdHocReviewCycleID">
    <vt:i4>1090362530</vt:i4>
  </property>
  <property fmtid="{D5CDD505-2E9C-101B-9397-08002B2CF9AE}" pid="4" name="_NewReviewCycle">
    <vt:lpwstr/>
  </property>
  <property fmtid="{D5CDD505-2E9C-101B-9397-08002B2CF9AE}" pid="5" name="_EmailSubject">
    <vt:lpwstr>AusPAR for Zonegran PM 2011-03861-3-1 [SEC=UNCLASSIFIED]</vt:lpwstr>
  </property>
  <property fmtid="{D5CDD505-2E9C-101B-9397-08002B2CF9AE}" pid="6" name="_AuthorEmail">
    <vt:lpwstr>Joanne.Zacharopoulos@INCResearch.com</vt:lpwstr>
  </property>
  <property fmtid="{D5CDD505-2E9C-101B-9397-08002B2CF9AE}" pid="7" name="_AuthorEmailDisplayName">
    <vt:lpwstr>Zacharopoulos, Joanne</vt:lpwstr>
  </property>
  <property fmtid="{D5CDD505-2E9C-101B-9397-08002B2CF9AE}" pid="8" name="_PreviousAdHocReviewCycleID">
    <vt:i4>679592458</vt:i4>
  </property>
  <property fmtid="{D5CDD505-2E9C-101B-9397-08002B2CF9AE}" pid="9" name="_ReviewingToolsShownOnce">
    <vt:lpwstr/>
  </property>
</Properties>
</file>