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64E" w:rsidRPr="00D80721" w:rsidRDefault="00474A23" w:rsidP="00D80721">
      <w:pPr>
        <w:jc w:val="center"/>
        <w:rPr>
          <w:b/>
          <w:sz w:val="32"/>
          <w:szCs w:val="28"/>
        </w:rPr>
      </w:pPr>
      <w:bookmarkStart w:id="0" w:name="_GoBack"/>
      <w:bookmarkEnd w:id="0"/>
      <w:r w:rsidRPr="00D80721">
        <w:rPr>
          <w:b/>
          <w:sz w:val="32"/>
          <w:szCs w:val="28"/>
        </w:rPr>
        <w:t>PRODUCT INFORMATION</w:t>
      </w:r>
    </w:p>
    <w:p w:rsidR="00474A23" w:rsidRPr="00D80721" w:rsidRDefault="002A6678" w:rsidP="00D80721">
      <w:pPr>
        <w:jc w:val="center"/>
        <w:rPr>
          <w:b/>
          <w:sz w:val="32"/>
          <w:szCs w:val="28"/>
        </w:rPr>
      </w:pPr>
      <w:r w:rsidRPr="00D80721">
        <w:rPr>
          <w:b/>
          <w:sz w:val="32"/>
          <w:szCs w:val="28"/>
        </w:rPr>
        <w:t>BRINTELLIX</w:t>
      </w:r>
      <w:r w:rsidR="007729A6" w:rsidRPr="00D80721">
        <w:rPr>
          <w:b/>
          <w:sz w:val="32"/>
          <w:szCs w:val="28"/>
          <w:vertAlign w:val="superscript"/>
        </w:rPr>
        <w:t>®</w:t>
      </w:r>
    </w:p>
    <w:p w:rsidR="00474A23" w:rsidRPr="00E46B9C" w:rsidRDefault="00061D6C" w:rsidP="004430B5">
      <w:pPr>
        <w:pStyle w:val="Heading1"/>
      </w:pPr>
      <w:r w:rsidRPr="00E46B9C">
        <w:t xml:space="preserve">NAME OF THE </w:t>
      </w:r>
      <w:r w:rsidRPr="004430B5">
        <w:t>MEDICINE</w:t>
      </w:r>
    </w:p>
    <w:p w:rsidR="00061D6C" w:rsidRPr="00840D37" w:rsidRDefault="00061D6C" w:rsidP="00061D6C">
      <w:pPr>
        <w:rPr>
          <w:szCs w:val="24"/>
        </w:rPr>
      </w:pPr>
      <w:proofErr w:type="spellStart"/>
      <w:r w:rsidRPr="00840D37">
        <w:rPr>
          <w:szCs w:val="24"/>
        </w:rPr>
        <w:t>Vortioxetine</w:t>
      </w:r>
      <w:proofErr w:type="spellEnd"/>
      <w:r w:rsidRPr="00840D37">
        <w:rPr>
          <w:szCs w:val="24"/>
        </w:rPr>
        <w:t xml:space="preserve"> </w:t>
      </w:r>
      <w:r w:rsidR="00FB3108" w:rsidRPr="00840D37">
        <w:rPr>
          <w:szCs w:val="24"/>
        </w:rPr>
        <w:t xml:space="preserve">(as </w:t>
      </w:r>
      <w:proofErr w:type="spellStart"/>
      <w:r w:rsidRPr="00840D37">
        <w:rPr>
          <w:szCs w:val="24"/>
        </w:rPr>
        <w:t>hydrobromide</w:t>
      </w:r>
      <w:proofErr w:type="spellEnd"/>
      <w:r w:rsidR="00FB3108" w:rsidRPr="00840D37">
        <w:rPr>
          <w:szCs w:val="24"/>
        </w:rPr>
        <w:t>)</w:t>
      </w:r>
    </w:p>
    <w:p w:rsidR="0025287F" w:rsidRPr="00840D37" w:rsidRDefault="00061D6C" w:rsidP="0025287F">
      <w:pPr>
        <w:spacing w:before="120" w:after="120"/>
        <w:rPr>
          <w:szCs w:val="24"/>
        </w:rPr>
      </w:pPr>
      <w:r w:rsidRPr="003416CD">
        <w:rPr>
          <w:b/>
          <w:szCs w:val="24"/>
        </w:rPr>
        <w:t>Chemical Name</w:t>
      </w:r>
      <w:r w:rsidR="0025287F" w:rsidRPr="00840D37">
        <w:rPr>
          <w:szCs w:val="24"/>
        </w:rPr>
        <w:t>:</w:t>
      </w:r>
    </w:p>
    <w:p w:rsidR="0025287F" w:rsidRPr="00D80721" w:rsidRDefault="00C9200E" w:rsidP="00061D6C">
      <w:pPr>
        <w:rPr>
          <w:color w:val="000000"/>
          <w:szCs w:val="24"/>
        </w:rPr>
      </w:pPr>
      <w:r w:rsidRPr="00D80721">
        <w:rPr>
          <w:color w:val="000000"/>
        </w:rPr>
        <w:t>1-{2-[(2</w:t>
      </w:r>
      <w:proofErr w:type="gramStart"/>
      <w:r w:rsidRPr="00D80721">
        <w:rPr>
          <w:color w:val="000000"/>
        </w:rPr>
        <w:t>,4</w:t>
      </w:r>
      <w:proofErr w:type="gramEnd"/>
      <w:r w:rsidRPr="00D80721">
        <w:rPr>
          <w:color w:val="000000"/>
        </w:rPr>
        <w:t>-dimethylphenyl)</w:t>
      </w:r>
      <w:proofErr w:type="spellStart"/>
      <w:r w:rsidRPr="00D80721">
        <w:rPr>
          <w:color w:val="000000"/>
        </w:rPr>
        <w:t>sulfanyl</w:t>
      </w:r>
      <w:proofErr w:type="spellEnd"/>
      <w:r w:rsidRPr="00D80721">
        <w:rPr>
          <w:color w:val="000000"/>
        </w:rPr>
        <w:t>]phenyl}</w:t>
      </w:r>
      <w:proofErr w:type="spellStart"/>
      <w:r w:rsidRPr="00D80721">
        <w:rPr>
          <w:color w:val="000000"/>
        </w:rPr>
        <w:t>piperazine</w:t>
      </w:r>
      <w:proofErr w:type="spellEnd"/>
      <w:r w:rsidRPr="00D80721">
        <w:rPr>
          <w:color w:val="000000"/>
        </w:rPr>
        <w:t xml:space="preserve"> </w:t>
      </w:r>
      <w:proofErr w:type="spellStart"/>
      <w:r w:rsidRPr="00D80721">
        <w:rPr>
          <w:color w:val="000000"/>
        </w:rPr>
        <w:t>monohydrobromide</w:t>
      </w:r>
      <w:proofErr w:type="spellEnd"/>
    </w:p>
    <w:p w:rsidR="0025287F" w:rsidRPr="00840D37" w:rsidRDefault="0025287F" w:rsidP="0025287F">
      <w:pPr>
        <w:rPr>
          <w:szCs w:val="24"/>
        </w:rPr>
      </w:pPr>
      <w:r w:rsidRPr="003416CD">
        <w:rPr>
          <w:b/>
          <w:szCs w:val="24"/>
        </w:rPr>
        <w:t>CAS Number</w:t>
      </w:r>
      <w:r w:rsidRPr="00840D37">
        <w:rPr>
          <w:szCs w:val="24"/>
        </w:rPr>
        <w:t xml:space="preserve">: </w:t>
      </w:r>
    </w:p>
    <w:p w:rsidR="0025287F" w:rsidRPr="00840D37" w:rsidRDefault="0025287F" w:rsidP="0025287F">
      <w:pPr>
        <w:rPr>
          <w:bCs/>
          <w:szCs w:val="24"/>
        </w:rPr>
      </w:pPr>
      <w:r w:rsidRPr="00840D37">
        <w:rPr>
          <w:szCs w:val="24"/>
        </w:rPr>
        <w:t xml:space="preserve">508233-74-7 </w:t>
      </w:r>
      <w:r w:rsidRPr="00840D37">
        <w:rPr>
          <w:bCs/>
          <w:szCs w:val="24"/>
        </w:rPr>
        <w:t>(</w:t>
      </w:r>
      <w:proofErr w:type="spellStart"/>
      <w:r w:rsidR="00DC374E" w:rsidRPr="00840D37">
        <w:rPr>
          <w:bCs/>
          <w:szCs w:val="24"/>
        </w:rPr>
        <w:t>vortioxetine</w:t>
      </w:r>
      <w:proofErr w:type="spellEnd"/>
      <w:r w:rsidR="00DC374E" w:rsidRPr="00840D37">
        <w:rPr>
          <w:bCs/>
          <w:szCs w:val="24"/>
        </w:rPr>
        <w:t xml:space="preserve"> </w:t>
      </w:r>
      <w:r w:rsidRPr="00840D37">
        <w:rPr>
          <w:bCs/>
          <w:szCs w:val="24"/>
        </w:rPr>
        <w:t>base)</w:t>
      </w:r>
    </w:p>
    <w:p w:rsidR="0025287F" w:rsidRPr="00840D37" w:rsidRDefault="0025287F" w:rsidP="0025287F">
      <w:pPr>
        <w:rPr>
          <w:szCs w:val="24"/>
        </w:rPr>
      </w:pPr>
      <w:r w:rsidRPr="00840D37">
        <w:rPr>
          <w:szCs w:val="24"/>
        </w:rPr>
        <w:t>960203-27-4 (</w:t>
      </w:r>
      <w:proofErr w:type="spellStart"/>
      <w:r w:rsidR="00DC374E" w:rsidRPr="00840D37">
        <w:rPr>
          <w:szCs w:val="24"/>
        </w:rPr>
        <w:t>vortioxetine</w:t>
      </w:r>
      <w:proofErr w:type="spellEnd"/>
      <w:r w:rsidR="00DC374E" w:rsidRPr="00840D37">
        <w:rPr>
          <w:szCs w:val="24"/>
        </w:rPr>
        <w:t xml:space="preserve"> </w:t>
      </w:r>
      <w:proofErr w:type="spellStart"/>
      <w:r w:rsidRPr="00840D37">
        <w:rPr>
          <w:szCs w:val="24"/>
        </w:rPr>
        <w:t>hydrobromide</w:t>
      </w:r>
      <w:proofErr w:type="spellEnd"/>
      <w:r w:rsidRPr="00840D37">
        <w:rPr>
          <w:szCs w:val="24"/>
        </w:rPr>
        <w:t>)</w:t>
      </w:r>
    </w:p>
    <w:p w:rsidR="0025287F" w:rsidRPr="00840D37" w:rsidRDefault="0025287F" w:rsidP="0025287F">
      <w:pPr>
        <w:rPr>
          <w:szCs w:val="24"/>
        </w:rPr>
      </w:pPr>
      <w:r w:rsidRPr="003416CD">
        <w:rPr>
          <w:b/>
          <w:szCs w:val="24"/>
        </w:rPr>
        <w:t>Molecular formula</w:t>
      </w:r>
      <w:r w:rsidRPr="00840D37">
        <w:rPr>
          <w:szCs w:val="24"/>
        </w:rPr>
        <w:t>:</w:t>
      </w:r>
    </w:p>
    <w:p w:rsidR="0025287F" w:rsidRPr="00840D37" w:rsidRDefault="0025287F" w:rsidP="0025287F">
      <w:pPr>
        <w:rPr>
          <w:bCs/>
          <w:szCs w:val="22"/>
          <w:lang w:eastAsia="da-DK"/>
        </w:rPr>
      </w:pPr>
      <w:r w:rsidRPr="00840D37">
        <w:rPr>
          <w:bCs/>
          <w:szCs w:val="22"/>
          <w:lang w:eastAsia="da-DK"/>
        </w:rPr>
        <w:t>C</w:t>
      </w:r>
      <w:r w:rsidRPr="00840D37">
        <w:rPr>
          <w:bCs/>
          <w:szCs w:val="22"/>
          <w:vertAlign w:val="subscript"/>
          <w:lang w:eastAsia="da-DK"/>
        </w:rPr>
        <w:t xml:space="preserve">18 </w:t>
      </w:r>
      <w:r w:rsidRPr="00840D37">
        <w:rPr>
          <w:bCs/>
          <w:szCs w:val="22"/>
          <w:lang w:eastAsia="da-DK"/>
        </w:rPr>
        <w:t>H</w:t>
      </w:r>
      <w:r w:rsidRPr="00840D37">
        <w:rPr>
          <w:bCs/>
          <w:szCs w:val="22"/>
          <w:vertAlign w:val="subscript"/>
          <w:lang w:eastAsia="da-DK"/>
        </w:rPr>
        <w:t>22</w:t>
      </w:r>
      <w:r w:rsidRPr="00840D37">
        <w:rPr>
          <w:bCs/>
          <w:szCs w:val="22"/>
          <w:lang w:eastAsia="da-DK"/>
        </w:rPr>
        <w:t>N</w:t>
      </w:r>
      <w:r w:rsidRPr="00840D37">
        <w:rPr>
          <w:bCs/>
          <w:szCs w:val="22"/>
          <w:vertAlign w:val="subscript"/>
          <w:lang w:eastAsia="da-DK"/>
        </w:rPr>
        <w:t>2</w:t>
      </w:r>
      <w:r w:rsidRPr="00840D37">
        <w:rPr>
          <w:bCs/>
          <w:szCs w:val="22"/>
          <w:lang w:eastAsia="da-DK"/>
        </w:rPr>
        <w:t xml:space="preserve">S, </w:t>
      </w:r>
      <w:proofErr w:type="spellStart"/>
      <w:r w:rsidRPr="00840D37">
        <w:rPr>
          <w:bCs/>
          <w:szCs w:val="22"/>
          <w:lang w:eastAsia="da-DK"/>
        </w:rPr>
        <w:t>HBr</w:t>
      </w:r>
      <w:proofErr w:type="spellEnd"/>
    </w:p>
    <w:p w:rsidR="0025287F" w:rsidRPr="00840D37" w:rsidRDefault="0025287F" w:rsidP="0025287F">
      <w:pPr>
        <w:rPr>
          <w:szCs w:val="24"/>
        </w:rPr>
      </w:pPr>
      <w:r w:rsidRPr="003416CD">
        <w:rPr>
          <w:b/>
          <w:bCs/>
          <w:szCs w:val="22"/>
          <w:lang w:eastAsia="da-DK"/>
        </w:rPr>
        <w:t xml:space="preserve">Molecular </w:t>
      </w:r>
      <w:r w:rsidR="004D4501" w:rsidRPr="003416CD">
        <w:rPr>
          <w:b/>
          <w:bCs/>
          <w:szCs w:val="22"/>
          <w:lang w:eastAsia="da-DK"/>
        </w:rPr>
        <w:t>Mass</w:t>
      </w:r>
      <w:r w:rsidRPr="00840D37">
        <w:rPr>
          <w:bCs/>
          <w:szCs w:val="22"/>
          <w:lang w:eastAsia="da-DK"/>
        </w:rPr>
        <w:t xml:space="preserve">: </w:t>
      </w:r>
    </w:p>
    <w:p w:rsidR="00DC374E" w:rsidRPr="00840D37" w:rsidRDefault="00DC374E" w:rsidP="00DC374E">
      <w:pPr>
        <w:rPr>
          <w:sz w:val="22"/>
          <w:szCs w:val="22"/>
        </w:rPr>
      </w:pPr>
      <w:r w:rsidRPr="00840D37">
        <w:t xml:space="preserve">The relative molar mass of </w:t>
      </w:r>
      <w:proofErr w:type="spellStart"/>
      <w:r w:rsidRPr="00840D37">
        <w:t>vortioxetine</w:t>
      </w:r>
      <w:proofErr w:type="spellEnd"/>
      <w:r w:rsidRPr="00840D37">
        <w:t xml:space="preserve"> base is </w:t>
      </w:r>
      <w:r w:rsidRPr="00840D37">
        <w:rPr>
          <w:sz w:val="22"/>
          <w:szCs w:val="22"/>
        </w:rPr>
        <w:t>298.45</w:t>
      </w:r>
    </w:p>
    <w:p w:rsidR="0025287F" w:rsidRPr="00840D37" w:rsidRDefault="0025287F" w:rsidP="0025287F">
      <w:pPr>
        <w:overflowPunct w:val="0"/>
        <w:autoSpaceDE w:val="0"/>
        <w:autoSpaceDN w:val="0"/>
        <w:adjustRightInd w:val="0"/>
        <w:textAlignment w:val="baseline"/>
        <w:rPr>
          <w:sz w:val="22"/>
          <w:szCs w:val="22"/>
        </w:rPr>
      </w:pPr>
      <w:r w:rsidRPr="00840D37">
        <w:t xml:space="preserve">The relative molar mass of </w:t>
      </w:r>
      <w:proofErr w:type="spellStart"/>
      <w:r w:rsidRPr="00840D37">
        <w:t>vortioxetine</w:t>
      </w:r>
      <w:proofErr w:type="spellEnd"/>
      <w:r w:rsidRPr="00840D37">
        <w:t xml:space="preserve"> </w:t>
      </w:r>
      <w:proofErr w:type="spellStart"/>
      <w:r w:rsidRPr="00840D37">
        <w:t>hydrobromide</w:t>
      </w:r>
      <w:proofErr w:type="spellEnd"/>
      <w:r w:rsidRPr="00840D37">
        <w:t xml:space="preserve"> is </w:t>
      </w:r>
      <w:r w:rsidRPr="00840D37">
        <w:rPr>
          <w:sz w:val="22"/>
          <w:szCs w:val="22"/>
        </w:rPr>
        <w:t>379.36</w:t>
      </w:r>
    </w:p>
    <w:p w:rsidR="0025287F" w:rsidRPr="00840D37" w:rsidRDefault="0025287F" w:rsidP="0025287F">
      <w:pPr>
        <w:overflowPunct w:val="0"/>
        <w:autoSpaceDE w:val="0"/>
        <w:autoSpaceDN w:val="0"/>
        <w:adjustRightInd w:val="0"/>
        <w:textAlignment w:val="baseline"/>
        <w:rPr>
          <w:b/>
          <w:szCs w:val="24"/>
          <w:lang w:eastAsia="da-DK"/>
        </w:rPr>
      </w:pPr>
      <w:r w:rsidRPr="003416CD">
        <w:rPr>
          <w:b/>
          <w:szCs w:val="24"/>
          <w:lang w:eastAsia="da-DK"/>
        </w:rPr>
        <w:t>Structural Formula</w:t>
      </w:r>
      <w:r w:rsidRPr="00840D37">
        <w:rPr>
          <w:szCs w:val="24"/>
          <w:lang w:eastAsia="da-DK"/>
        </w:rPr>
        <w:t xml:space="preserve">: </w:t>
      </w:r>
    </w:p>
    <w:p w:rsidR="0025287F" w:rsidRPr="00840D37" w:rsidRDefault="00FF1521" w:rsidP="0025287F">
      <w:r>
        <w:rPr>
          <w:noProof/>
          <w:lang w:val="en-AU" w:eastAsia="en-AU"/>
        </w:rPr>
        <w:drawing>
          <wp:inline distT="0" distB="0" distL="0" distR="0">
            <wp:extent cx="1330325" cy="122301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0325" cy="1223010"/>
                    </a:xfrm>
                    <a:prstGeom prst="rect">
                      <a:avLst/>
                    </a:prstGeom>
                    <a:noFill/>
                    <a:ln>
                      <a:noFill/>
                    </a:ln>
                  </pic:spPr>
                </pic:pic>
              </a:graphicData>
            </a:graphic>
          </wp:inline>
        </w:drawing>
      </w:r>
      <w:r w:rsidR="0025287F" w:rsidRPr="00840D37">
        <w:t xml:space="preserve">. </w:t>
      </w:r>
      <w:proofErr w:type="spellStart"/>
      <w:r w:rsidR="0025287F" w:rsidRPr="00840D37">
        <w:t>HBr</w:t>
      </w:r>
      <w:proofErr w:type="spellEnd"/>
    </w:p>
    <w:p w:rsidR="00474A23" w:rsidRPr="00E46B9C" w:rsidRDefault="0025287F" w:rsidP="00D80721">
      <w:pPr>
        <w:pStyle w:val="Heading1"/>
      </w:pPr>
      <w:r w:rsidRPr="004430B5">
        <w:t>DESCRIPTION</w:t>
      </w:r>
    </w:p>
    <w:p w:rsidR="004D4501" w:rsidRPr="00840D37" w:rsidRDefault="004D4501" w:rsidP="004D450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lang w:eastAsia="en-CA"/>
        </w:rPr>
      </w:pPr>
      <w:r w:rsidRPr="003416CD">
        <w:rPr>
          <w:b/>
          <w:lang w:eastAsia="en-CA"/>
        </w:rPr>
        <w:t>Physicochemical properties:</w:t>
      </w:r>
      <w:r w:rsidRPr="00840D37">
        <w:rPr>
          <w:color w:val="0000FF"/>
          <w:lang w:eastAsia="en-CA"/>
        </w:rPr>
        <w:t xml:space="preserve"> </w:t>
      </w:r>
    </w:p>
    <w:p w:rsidR="004D4501" w:rsidRPr="00840D37" w:rsidRDefault="004D4501" w:rsidP="000C54D7">
      <w:pPr>
        <w:overflowPunct w:val="0"/>
        <w:autoSpaceDE w:val="0"/>
        <w:autoSpaceDN w:val="0"/>
        <w:adjustRightInd w:val="0"/>
        <w:spacing w:before="120" w:after="120"/>
        <w:textAlignment w:val="baseline"/>
        <w:rPr>
          <w:szCs w:val="24"/>
          <w:lang w:eastAsia="da-DK"/>
        </w:rPr>
      </w:pPr>
      <w:r w:rsidRPr="00840D37">
        <w:rPr>
          <w:lang w:eastAsia="en-CA"/>
        </w:rPr>
        <w:t xml:space="preserve">The drug substance is a white to very slightly beige powder. </w:t>
      </w:r>
      <w:r w:rsidRPr="00840D37">
        <w:rPr>
          <w:szCs w:val="24"/>
          <w:lang w:eastAsia="da-DK"/>
        </w:rPr>
        <w:t>The molecule is not chiral.</w:t>
      </w:r>
    </w:p>
    <w:p w:rsidR="000C54D7" w:rsidRPr="00840D37" w:rsidRDefault="000C54D7" w:rsidP="000C54D7">
      <w:pPr>
        <w:overflowPunct w:val="0"/>
        <w:autoSpaceDE w:val="0"/>
        <w:autoSpaceDN w:val="0"/>
        <w:adjustRightInd w:val="0"/>
        <w:spacing w:before="120" w:after="120"/>
        <w:textAlignment w:val="baseline"/>
        <w:rPr>
          <w:lang w:eastAsia="en-CA"/>
        </w:rPr>
      </w:pPr>
      <w:proofErr w:type="spellStart"/>
      <w:r w:rsidRPr="00840D37">
        <w:rPr>
          <w:lang w:eastAsia="en-CA"/>
        </w:rPr>
        <w:t>Vortioxetine</w:t>
      </w:r>
      <w:proofErr w:type="spellEnd"/>
      <w:r w:rsidRPr="00840D37">
        <w:rPr>
          <w:lang w:eastAsia="en-CA"/>
        </w:rPr>
        <w:t xml:space="preserve"> </w:t>
      </w:r>
      <w:proofErr w:type="spellStart"/>
      <w:r w:rsidRPr="00840D37">
        <w:rPr>
          <w:lang w:eastAsia="en-CA"/>
        </w:rPr>
        <w:t>hydrobromide</w:t>
      </w:r>
      <w:proofErr w:type="spellEnd"/>
      <w:r w:rsidRPr="00840D37">
        <w:rPr>
          <w:lang w:eastAsia="en-CA"/>
        </w:rPr>
        <w:t xml:space="preserve"> is</w:t>
      </w:r>
      <w:r w:rsidRPr="00840D37">
        <w:rPr>
          <w:color w:val="0000FF"/>
          <w:lang w:eastAsia="en-CA"/>
        </w:rPr>
        <w:t xml:space="preserve"> </w:t>
      </w:r>
      <w:r w:rsidRPr="00840D37">
        <w:rPr>
          <w:lang w:eastAsia="en-CA"/>
        </w:rPr>
        <w:t xml:space="preserve">slightly soluble in water; at ambient temperature solubility is </w:t>
      </w:r>
      <w:r w:rsidR="00C9200E">
        <w:rPr>
          <w:lang w:eastAsia="en-CA"/>
        </w:rPr>
        <w:t>equivalent</w:t>
      </w:r>
      <w:r w:rsidR="00C9200E" w:rsidRPr="00840D37">
        <w:rPr>
          <w:lang w:eastAsia="en-CA"/>
        </w:rPr>
        <w:t xml:space="preserve"> </w:t>
      </w:r>
      <w:r w:rsidRPr="00840D37">
        <w:rPr>
          <w:lang w:eastAsia="en-CA"/>
        </w:rPr>
        <w:t xml:space="preserve">to approximately 1.3 mg base/mL, pH being 5.5 in the saturated solution. At pH =7.4 the solubility is </w:t>
      </w:r>
      <w:r w:rsidR="00C9200E">
        <w:rPr>
          <w:lang w:eastAsia="en-CA"/>
        </w:rPr>
        <w:t xml:space="preserve">equivalent to </w:t>
      </w:r>
      <w:r w:rsidRPr="00840D37">
        <w:rPr>
          <w:lang w:eastAsia="en-CA"/>
        </w:rPr>
        <w:t>approximately 50 µg base/</w:t>
      </w:r>
      <w:proofErr w:type="spellStart"/>
      <w:r w:rsidRPr="00840D37">
        <w:rPr>
          <w:lang w:eastAsia="en-CA"/>
        </w:rPr>
        <w:t>mL.</w:t>
      </w:r>
      <w:proofErr w:type="spellEnd"/>
    </w:p>
    <w:p w:rsidR="000C54D7" w:rsidRPr="00840D37" w:rsidRDefault="00D5391F" w:rsidP="000C54D7">
      <w:pPr>
        <w:overflowPunct w:val="0"/>
        <w:autoSpaceDE w:val="0"/>
        <w:autoSpaceDN w:val="0"/>
        <w:adjustRightInd w:val="0"/>
        <w:spacing w:before="120" w:after="120"/>
        <w:textAlignment w:val="baseline"/>
      </w:pPr>
      <w:r w:rsidRPr="00840D37">
        <w:rPr>
          <w:szCs w:val="24"/>
          <w:lang w:eastAsia="da-DK"/>
        </w:rPr>
        <w:t xml:space="preserve">Dissociation Constant: </w:t>
      </w:r>
      <w:proofErr w:type="spellStart"/>
      <w:r w:rsidRPr="00840D37">
        <w:t>pK</w:t>
      </w:r>
      <w:r w:rsidRPr="00840D37">
        <w:rPr>
          <w:vertAlign w:val="subscript"/>
        </w:rPr>
        <w:t>a</w:t>
      </w:r>
      <w:proofErr w:type="spellEnd"/>
      <w:r w:rsidRPr="00840D37">
        <w:t>= 9.1 (</w:t>
      </w:r>
      <w:r w:rsidRPr="00840D37">
        <w:rPr>
          <w:szCs w:val="24"/>
        </w:rPr>
        <w:sym w:font="Symbol" w:char="F0B1"/>
      </w:r>
      <w:r w:rsidR="00C9200E">
        <w:rPr>
          <w:szCs w:val="24"/>
        </w:rPr>
        <w:t xml:space="preserve"> </w:t>
      </w:r>
      <w:r w:rsidRPr="00840D37">
        <w:t>0.1) and 3.0 (</w:t>
      </w:r>
      <w:r w:rsidRPr="00840D37">
        <w:rPr>
          <w:szCs w:val="24"/>
        </w:rPr>
        <w:sym w:font="Symbol" w:char="F0B1"/>
      </w:r>
      <w:r w:rsidR="00C9200E">
        <w:rPr>
          <w:szCs w:val="24"/>
        </w:rPr>
        <w:t xml:space="preserve"> </w:t>
      </w:r>
      <w:r w:rsidRPr="00840D37">
        <w:t>0.2)</w:t>
      </w:r>
      <w:bookmarkStart w:id="1" w:name="_Toc20621291"/>
      <w:bookmarkStart w:id="2" w:name="_Toc315687886"/>
    </w:p>
    <w:bookmarkEnd w:id="1"/>
    <w:bookmarkEnd w:id="2"/>
    <w:p w:rsidR="00474A23" w:rsidRPr="004430B5" w:rsidRDefault="00D5391F" w:rsidP="00D80721">
      <w:pPr>
        <w:rPr>
          <w:rFonts w:eastAsia="SimSun"/>
          <w:lang w:eastAsia="zh-CN"/>
        </w:rPr>
      </w:pPr>
      <w:r w:rsidRPr="00D80721">
        <w:rPr>
          <w:rFonts w:eastAsia="SimSun"/>
          <w:b/>
          <w:lang w:eastAsia="zh-CN"/>
        </w:rPr>
        <w:t>Excipients:</w:t>
      </w:r>
    </w:p>
    <w:p w:rsidR="00DC374E" w:rsidRPr="003E0AF3" w:rsidRDefault="002A6678" w:rsidP="00D80721">
      <w:r>
        <w:rPr>
          <w:rFonts w:eastAsia="SimSun"/>
          <w:lang w:eastAsia="zh-CN"/>
        </w:rPr>
        <w:t>BRINTELLIX</w:t>
      </w:r>
      <w:r w:rsidR="00A43C07" w:rsidRPr="003E0AF3">
        <w:rPr>
          <w:rFonts w:eastAsia="SimSun"/>
          <w:lang w:eastAsia="zh-CN"/>
        </w:rPr>
        <w:t xml:space="preserve"> film-coated</w:t>
      </w:r>
      <w:r w:rsidR="008E1EB9" w:rsidRPr="003E0AF3">
        <w:rPr>
          <w:rFonts w:eastAsia="SimSun"/>
          <w:lang w:eastAsia="zh-CN"/>
        </w:rPr>
        <w:t xml:space="preserve"> tablets contain</w:t>
      </w:r>
      <w:r w:rsidR="00DC374E" w:rsidRPr="003E0AF3">
        <w:t xml:space="preserve"> </w:t>
      </w:r>
      <w:proofErr w:type="spellStart"/>
      <w:r w:rsidR="00DC374E" w:rsidRPr="003E0AF3">
        <w:rPr>
          <w:rFonts w:eastAsia="SimSun"/>
          <w:lang w:eastAsia="zh-CN"/>
        </w:rPr>
        <w:t>mannitol</w:t>
      </w:r>
      <w:proofErr w:type="spellEnd"/>
      <w:r w:rsidR="00DC374E" w:rsidRPr="003E0AF3">
        <w:rPr>
          <w:rFonts w:eastAsia="SimSun"/>
          <w:lang w:eastAsia="zh-CN"/>
        </w:rPr>
        <w:t xml:space="preserve">, </w:t>
      </w:r>
      <w:r w:rsidR="00AB297D">
        <w:rPr>
          <w:rFonts w:eastAsia="SimSun"/>
          <w:lang w:eastAsia="zh-CN"/>
        </w:rPr>
        <w:t xml:space="preserve">microcrystalline </w:t>
      </w:r>
      <w:r w:rsidR="00DC374E" w:rsidRPr="003E0AF3">
        <w:rPr>
          <w:rFonts w:eastAsia="SimSun"/>
          <w:lang w:eastAsia="zh-CN"/>
        </w:rPr>
        <w:t xml:space="preserve">cellulose, </w:t>
      </w:r>
      <w:proofErr w:type="spellStart"/>
      <w:r w:rsidR="00DC374E" w:rsidRPr="003E0AF3">
        <w:rPr>
          <w:rFonts w:eastAsia="SimSun"/>
          <w:lang w:eastAsia="zh-CN"/>
        </w:rPr>
        <w:t>hydroxypropylcellulose</w:t>
      </w:r>
      <w:proofErr w:type="spellEnd"/>
      <w:r w:rsidR="00DC374E" w:rsidRPr="003E0AF3">
        <w:rPr>
          <w:rFonts w:eastAsia="SimSun"/>
          <w:lang w:eastAsia="zh-CN"/>
        </w:rPr>
        <w:t xml:space="preserve">, sodium starch </w:t>
      </w:r>
      <w:proofErr w:type="spellStart"/>
      <w:r w:rsidR="00DC374E" w:rsidRPr="003E0AF3">
        <w:rPr>
          <w:rFonts w:eastAsia="SimSun"/>
          <w:lang w:eastAsia="zh-CN"/>
        </w:rPr>
        <w:t>glycollate</w:t>
      </w:r>
      <w:proofErr w:type="spellEnd"/>
      <w:r w:rsidR="00DC374E" w:rsidRPr="003E0AF3">
        <w:rPr>
          <w:rFonts w:eastAsia="SimSun"/>
          <w:lang w:eastAsia="zh-CN"/>
        </w:rPr>
        <w:t xml:space="preserve"> type A, magnesium stearate, </w:t>
      </w:r>
      <w:proofErr w:type="spellStart"/>
      <w:r w:rsidR="00DC374E" w:rsidRPr="003E0AF3">
        <w:rPr>
          <w:rFonts w:eastAsia="SimSun"/>
          <w:lang w:eastAsia="zh-CN"/>
        </w:rPr>
        <w:t>hypromellose</w:t>
      </w:r>
      <w:proofErr w:type="spellEnd"/>
      <w:r w:rsidR="00DC374E" w:rsidRPr="003E0AF3">
        <w:rPr>
          <w:rFonts w:eastAsia="SimSun"/>
          <w:lang w:eastAsia="zh-CN"/>
        </w:rPr>
        <w:t xml:space="preserve">, titanium dioxide, </w:t>
      </w:r>
      <w:proofErr w:type="spellStart"/>
      <w:r w:rsidR="00DC374E" w:rsidRPr="003E0AF3">
        <w:rPr>
          <w:rFonts w:eastAsia="SimSun"/>
          <w:lang w:eastAsia="zh-CN"/>
        </w:rPr>
        <w:t>Macrogol</w:t>
      </w:r>
      <w:proofErr w:type="spellEnd"/>
      <w:r w:rsidR="00DC374E" w:rsidRPr="003E0AF3">
        <w:rPr>
          <w:rFonts w:eastAsia="SimSun"/>
          <w:lang w:eastAsia="zh-CN"/>
        </w:rPr>
        <w:t xml:space="preserve"> 400, i</w:t>
      </w:r>
      <w:r w:rsidR="00DC374E" w:rsidRPr="003E0AF3">
        <w:t>ron oxide red (5, 15 and 20 mg tablets) and iron oxide yellow (10 and 15 mg tablets).</w:t>
      </w:r>
      <w:r w:rsidR="00105A95" w:rsidRPr="00105A95">
        <w:t xml:space="preserve"> </w:t>
      </w:r>
      <w:r w:rsidR="00587446">
        <w:t xml:space="preserve"> </w:t>
      </w:r>
      <w:r w:rsidR="00105A95">
        <w:t>BRINTELLIX</w:t>
      </w:r>
      <w:r w:rsidR="00105A95" w:rsidRPr="00105A95">
        <w:t xml:space="preserve"> does not contain lactose, gluten, sucrose, </w:t>
      </w:r>
      <w:proofErr w:type="spellStart"/>
      <w:r w:rsidR="00105A95" w:rsidRPr="00105A95">
        <w:t>tartrazine</w:t>
      </w:r>
      <w:proofErr w:type="spellEnd"/>
      <w:r w:rsidR="00105A95" w:rsidRPr="00105A95">
        <w:t xml:space="preserve"> or any other </w:t>
      </w:r>
      <w:proofErr w:type="spellStart"/>
      <w:r w:rsidR="00105A95" w:rsidRPr="00105A95">
        <w:t>azo</w:t>
      </w:r>
      <w:proofErr w:type="spellEnd"/>
      <w:r w:rsidR="00105A95" w:rsidRPr="00105A95">
        <w:t xml:space="preserve"> dyes</w:t>
      </w:r>
      <w:r w:rsidR="00105A95">
        <w:t>.</w:t>
      </w:r>
    </w:p>
    <w:p w:rsidR="00474A23" w:rsidRPr="009D70A4" w:rsidRDefault="004D4501" w:rsidP="009D70A4">
      <w:pPr>
        <w:rPr>
          <w:rFonts w:eastAsia="SimSun"/>
          <w:b/>
        </w:rPr>
      </w:pPr>
      <w:r w:rsidRPr="009D70A4">
        <w:rPr>
          <w:rFonts w:eastAsia="SimSun"/>
          <w:b/>
        </w:rPr>
        <w:t>PHARMACOLOGY</w:t>
      </w:r>
    </w:p>
    <w:p w:rsidR="00F849E8" w:rsidRPr="003E0AF3" w:rsidRDefault="00F849E8" w:rsidP="003D57AB">
      <w:pPr>
        <w:autoSpaceDE w:val="0"/>
        <w:autoSpaceDN w:val="0"/>
        <w:adjustRightInd w:val="0"/>
        <w:rPr>
          <w:rFonts w:eastAsia="SimSun"/>
          <w:b/>
          <w:szCs w:val="24"/>
          <w:lang w:eastAsia="zh-CN"/>
        </w:rPr>
      </w:pPr>
      <w:r w:rsidRPr="003E0AF3">
        <w:rPr>
          <w:rFonts w:eastAsia="SimSun"/>
          <w:b/>
          <w:szCs w:val="24"/>
          <w:lang w:eastAsia="zh-CN"/>
        </w:rPr>
        <w:t>Mechanism of action:</w:t>
      </w:r>
    </w:p>
    <w:p w:rsidR="00F849E8" w:rsidRPr="00FD4AC2" w:rsidRDefault="00F849E8" w:rsidP="003D57AB">
      <w:pPr>
        <w:widowControl w:val="0"/>
        <w:rPr>
          <w:szCs w:val="24"/>
          <w:lang w:eastAsia="en-CA"/>
        </w:rPr>
      </w:pPr>
      <w:r w:rsidRPr="00FD4AC2">
        <w:rPr>
          <w:szCs w:val="24"/>
          <w:lang w:eastAsia="en-CA"/>
        </w:rPr>
        <w:t xml:space="preserve">The mechanism of action of </w:t>
      </w:r>
      <w:proofErr w:type="spellStart"/>
      <w:r w:rsidRPr="00FD4AC2">
        <w:rPr>
          <w:szCs w:val="24"/>
          <w:lang w:eastAsia="en-CA"/>
        </w:rPr>
        <w:t>vortioxetine</w:t>
      </w:r>
      <w:proofErr w:type="spellEnd"/>
      <w:r w:rsidRPr="00FD4AC2">
        <w:rPr>
          <w:szCs w:val="24"/>
          <w:lang w:eastAsia="en-CA"/>
        </w:rPr>
        <w:t xml:space="preserve"> is thought to be related to its multimodal activity, </w:t>
      </w:r>
      <w:r w:rsidRPr="00FD4AC2">
        <w:rPr>
          <w:szCs w:val="24"/>
          <w:lang w:eastAsia="en-CA"/>
        </w:rPr>
        <w:lastRenderedPageBreak/>
        <w:t xml:space="preserve">which is a combination of two pharmacological modes of action: direct modulation of receptor activity and inhibition of the serotonin transporter. </w:t>
      </w:r>
      <w:r w:rsidRPr="00FD4AC2">
        <w:rPr>
          <w:i/>
          <w:szCs w:val="24"/>
          <w:lang w:eastAsia="en-CA"/>
        </w:rPr>
        <w:t>In vitro</w:t>
      </w:r>
      <w:r w:rsidRPr="00FD4AC2">
        <w:rPr>
          <w:szCs w:val="24"/>
          <w:lang w:eastAsia="en-CA"/>
        </w:rPr>
        <w:t xml:space="preserve"> studies indicate that </w:t>
      </w:r>
      <w:proofErr w:type="spellStart"/>
      <w:r w:rsidRPr="00FD4AC2">
        <w:rPr>
          <w:szCs w:val="24"/>
          <w:lang w:eastAsia="en-CA"/>
        </w:rPr>
        <w:t>vortioxetine</w:t>
      </w:r>
      <w:proofErr w:type="spellEnd"/>
      <w:r w:rsidRPr="00FD4AC2">
        <w:rPr>
          <w:szCs w:val="24"/>
          <w:lang w:eastAsia="en-CA"/>
        </w:rPr>
        <w:t xml:space="preserve"> is a 5-HT</w:t>
      </w:r>
      <w:r w:rsidRPr="00FD4AC2">
        <w:rPr>
          <w:szCs w:val="24"/>
          <w:vertAlign w:val="subscript"/>
          <w:lang w:eastAsia="en-CA"/>
        </w:rPr>
        <w:t>3</w:t>
      </w:r>
      <w:r w:rsidRPr="00FD4AC2">
        <w:rPr>
          <w:szCs w:val="24"/>
          <w:lang w:eastAsia="en-CA"/>
        </w:rPr>
        <w:t>, 5-HT</w:t>
      </w:r>
      <w:r w:rsidRPr="00FD4AC2">
        <w:rPr>
          <w:szCs w:val="24"/>
          <w:vertAlign w:val="subscript"/>
          <w:lang w:eastAsia="en-CA"/>
        </w:rPr>
        <w:t>7</w:t>
      </w:r>
      <w:r w:rsidRPr="00FD4AC2">
        <w:rPr>
          <w:szCs w:val="24"/>
          <w:lang w:eastAsia="en-CA"/>
        </w:rPr>
        <w:t>, and 5-HT</w:t>
      </w:r>
      <w:r w:rsidRPr="00FD4AC2">
        <w:rPr>
          <w:szCs w:val="24"/>
          <w:vertAlign w:val="subscript"/>
          <w:lang w:eastAsia="en-CA"/>
        </w:rPr>
        <w:t>1D</w:t>
      </w:r>
      <w:r w:rsidRPr="00FD4AC2">
        <w:rPr>
          <w:szCs w:val="24"/>
          <w:lang w:eastAsia="en-CA"/>
        </w:rPr>
        <w:t xml:space="preserve"> receptor antagonist, 5-HT</w:t>
      </w:r>
      <w:r w:rsidRPr="00FD4AC2">
        <w:rPr>
          <w:szCs w:val="24"/>
          <w:vertAlign w:val="subscript"/>
          <w:lang w:eastAsia="en-CA"/>
        </w:rPr>
        <w:t>1B</w:t>
      </w:r>
      <w:r w:rsidRPr="00FD4AC2">
        <w:rPr>
          <w:szCs w:val="24"/>
          <w:lang w:eastAsia="en-CA"/>
        </w:rPr>
        <w:t xml:space="preserve"> receptor partial agonist, 5-HT</w:t>
      </w:r>
      <w:r w:rsidRPr="00FD4AC2">
        <w:rPr>
          <w:szCs w:val="24"/>
          <w:vertAlign w:val="subscript"/>
          <w:lang w:eastAsia="en-CA"/>
        </w:rPr>
        <w:t>1A</w:t>
      </w:r>
      <w:r w:rsidRPr="00FD4AC2">
        <w:rPr>
          <w:szCs w:val="24"/>
          <w:lang w:eastAsia="en-CA"/>
        </w:rPr>
        <w:t xml:space="preserve"> receptor agonist and inhibitor of the 5-HT transporter</w:t>
      </w:r>
      <w:r w:rsidR="00B821E3" w:rsidRPr="00FD4AC2">
        <w:rPr>
          <w:szCs w:val="24"/>
          <w:lang w:eastAsia="en-CA"/>
        </w:rPr>
        <w:t xml:space="preserve"> (5-HTT)</w:t>
      </w:r>
      <w:r w:rsidRPr="00FD4AC2">
        <w:rPr>
          <w:szCs w:val="24"/>
          <w:lang w:eastAsia="en-CA"/>
        </w:rPr>
        <w:t>.</w:t>
      </w:r>
    </w:p>
    <w:p w:rsidR="00F849E8" w:rsidRDefault="00F849E8" w:rsidP="00F849E8">
      <w:pPr>
        <w:widowControl w:val="0"/>
        <w:rPr>
          <w:szCs w:val="24"/>
          <w:lang w:eastAsia="en-CA"/>
        </w:rPr>
      </w:pPr>
      <w:r w:rsidRPr="003E0AF3">
        <w:rPr>
          <w:szCs w:val="24"/>
          <w:lang w:eastAsia="en-CA"/>
        </w:rPr>
        <w:t xml:space="preserve">The precise contribution of the individual targets to the observed </w:t>
      </w:r>
      <w:proofErr w:type="spellStart"/>
      <w:r w:rsidRPr="003E0AF3">
        <w:rPr>
          <w:szCs w:val="24"/>
          <w:lang w:eastAsia="en-CA"/>
        </w:rPr>
        <w:t>pharmacodynamic</w:t>
      </w:r>
      <w:proofErr w:type="spellEnd"/>
      <w:r w:rsidRPr="003E0AF3">
        <w:rPr>
          <w:szCs w:val="24"/>
          <w:lang w:eastAsia="en-CA"/>
        </w:rPr>
        <w:t xml:space="preserve"> profile remains unclear. However, data from nonclinical serotonergic receptor and transporter occupancy studies coupled with neuronal firing and </w:t>
      </w:r>
      <w:proofErr w:type="spellStart"/>
      <w:r w:rsidRPr="003E0AF3">
        <w:rPr>
          <w:szCs w:val="24"/>
          <w:lang w:eastAsia="en-CA"/>
        </w:rPr>
        <w:t>microdialysis</w:t>
      </w:r>
      <w:proofErr w:type="spellEnd"/>
      <w:r w:rsidRPr="003E0AF3">
        <w:rPr>
          <w:szCs w:val="24"/>
          <w:lang w:eastAsia="en-CA"/>
        </w:rPr>
        <w:t xml:space="preserve"> studies suggest that the targets interact in a complex fashion, leading to modulation of neurotransmission in several systems, including serotonin, norepinephrine, dopamine, histamine</w:t>
      </w:r>
      <w:r w:rsidR="00AB297D">
        <w:rPr>
          <w:szCs w:val="24"/>
          <w:lang w:eastAsia="en-CA"/>
        </w:rPr>
        <w:t xml:space="preserve">, </w:t>
      </w:r>
      <w:r w:rsidRPr="003E0AF3">
        <w:rPr>
          <w:szCs w:val="24"/>
          <w:lang w:eastAsia="en-CA"/>
        </w:rPr>
        <w:t>acetylcholine</w:t>
      </w:r>
      <w:r w:rsidR="00AB297D">
        <w:rPr>
          <w:szCs w:val="24"/>
          <w:lang w:eastAsia="en-CA"/>
        </w:rPr>
        <w:t>, gamma-</w:t>
      </w:r>
      <w:proofErr w:type="spellStart"/>
      <w:r w:rsidR="009E115C">
        <w:rPr>
          <w:szCs w:val="24"/>
          <w:lang w:eastAsia="en-CA"/>
        </w:rPr>
        <w:t>a</w:t>
      </w:r>
      <w:r w:rsidR="00AB297D">
        <w:rPr>
          <w:szCs w:val="24"/>
          <w:lang w:eastAsia="en-CA"/>
        </w:rPr>
        <w:t>minobutyric</w:t>
      </w:r>
      <w:proofErr w:type="spellEnd"/>
      <w:r w:rsidR="00AB297D">
        <w:rPr>
          <w:szCs w:val="24"/>
          <w:lang w:eastAsia="en-CA"/>
        </w:rPr>
        <w:t xml:space="preserve"> acid (GABA) and glutamate</w:t>
      </w:r>
      <w:r w:rsidRPr="003E0AF3">
        <w:rPr>
          <w:szCs w:val="24"/>
          <w:lang w:eastAsia="en-CA"/>
        </w:rPr>
        <w:t xml:space="preserve"> systems within the forebrain. </w:t>
      </w:r>
      <w:r w:rsidR="00AB297D">
        <w:rPr>
          <w:szCs w:val="24"/>
          <w:lang w:eastAsia="en-CA"/>
        </w:rPr>
        <w:t xml:space="preserve"> </w:t>
      </w:r>
      <w:r w:rsidRPr="003E0AF3">
        <w:rPr>
          <w:szCs w:val="24"/>
          <w:lang w:eastAsia="en-CA"/>
        </w:rPr>
        <w:t xml:space="preserve">These multimodal pharmacological actions are thought to be responsible for the antidepressant effects of </w:t>
      </w:r>
      <w:proofErr w:type="spellStart"/>
      <w:r w:rsidRPr="003E0AF3">
        <w:rPr>
          <w:szCs w:val="24"/>
          <w:lang w:eastAsia="en-CA"/>
        </w:rPr>
        <w:t>vortioxetine</w:t>
      </w:r>
      <w:proofErr w:type="spellEnd"/>
      <w:r w:rsidRPr="003E0AF3">
        <w:rPr>
          <w:szCs w:val="24"/>
          <w:lang w:eastAsia="en-CA"/>
        </w:rPr>
        <w:t>.</w:t>
      </w:r>
    </w:p>
    <w:p w:rsidR="00F849E8" w:rsidRPr="003E0AF3" w:rsidRDefault="00F849E8" w:rsidP="00F849E8">
      <w:pPr>
        <w:widowControl w:val="0"/>
        <w:rPr>
          <w:b/>
          <w:szCs w:val="24"/>
          <w:lang w:eastAsia="en-CA"/>
        </w:rPr>
      </w:pPr>
      <w:r w:rsidRPr="003E0AF3">
        <w:rPr>
          <w:b/>
          <w:szCs w:val="24"/>
          <w:lang w:eastAsia="en-CA"/>
        </w:rPr>
        <w:t>Pharmacodynamics:</w:t>
      </w:r>
    </w:p>
    <w:p w:rsidR="00F849E8" w:rsidRPr="00FD4AC2" w:rsidRDefault="00F849E8" w:rsidP="00D80721">
      <w:pPr>
        <w:rPr>
          <w:lang w:eastAsia="en-CA"/>
        </w:rPr>
      </w:pPr>
      <w:proofErr w:type="spellStart"/>
      <w:r w:rsidRPr="00FD4AC2">
        <w:rPr>
          <w:lang w:eastAsia="en-CA"/>
        </w:rPr>
        <w:t>Vortioxetine</w:t>
      </w:r>
      <w:proofErr w:type="spellEnd"/>
      <w:r w:rsidRPr="00FD4AC2">
        <w:rPr>
          <w:lang w:eastAsia="en-CA"/>
        </w:rPr>
        <w:t xml:space="preserve"> shows antidepressant- and anxiolytic-like effects in </w:t>
      </w:r>
      <w:r w:rsidR="00833FCC">
        <w:rPr>
          <w:lang w:eastAsia="en-CA"/>
        </w:rPr>
        <w:t xml:space="preserve">some animal models </w:t>
      </w:r>
      <w:r w:rsidRPr="00FD4AC2">
        <w:rPr>
          <w:lang w:eastAsia="en-CA"/>
        </w:rPr>
        <w:t xml:space="preserve">(e.g. forced swim, conditioned fear-induced vocalisation, social interaction, </w:t>
      </w:r>
      <w:r w:rsidR="00A17C27" w:rsidRPr="00A17C27">
        <w:rPr>
          <w:lang w:eastAsia="en-CA"/>
        </w:rPr>
        <w:t xml:space="preserve">marble burying </w:t>
      </w:r>
      <w:r w:rsidRPr="00FD4AC2">
        <w:rPr>
          <w:lang w:eastAsia="en-CA"/>
        </w:rPr>
        <w:t xml:space="preserve">and novelty-induced suppression of feeding tests). </w:t>
      </w:r>
      <w:r w:rsidR="007E325A">
        <w:rPr>
          <w:lang w:eastAsia="en-CA"/>
        </w:rPr>
        <w:t xml:space="preserve"> </w:t>
      </w:r>
      <w:r w:rsidRPr="00FD4AC2">
        <w:rPr>
          <w:lang w:eastAsia="en-CA"/>
        </w:rPr>
        <w:t xml:space="preserve">It is also effective in </w:t>
      </w:r>
      <w:r w:rsidR="005D5D58">
        <w:rPr>
          <w:lang w:eastAsia="en-CA"/>
        </w:rPr>
        <w:t xml:space="preserve">the </w:t>
      </w:r>
      <w:r w:rsidRPr="00FD4AC2">
        <w:rPr>
          <w:lang w:eastAsia="en-CA"/>
        </w:rPr>
        <w:t xml:space="preserve">models </w:t>
      </w:r>
      <w:r w:rsidR="005D5D58">
        <w:rPr>
          <w:lang w:eastAsia="en-CA"/>
        </w:rPr>
        <w:t xml:space="preserve">tested that are </w:t>
      </w:r>
      <w:r w:rsidRPr="00FD4AC2">
        <w:rPr>
          <w:lang w:eastAsia="en-CA"/>
        </w:rPr>
        <w:t xml:space="preserve">predictive of </w:t>
      </w:r>
      <w:r w:rsidR="00A17C27">
        <w:rPr>
          <w:lang w:eastAsia="en-CA"/>
        </w:rPr>
        <w:t xml:space="preserve">an </w:t>
      </w:r>
      <w:r w:rsidRPr="00FD4AC2">
        <w:rPr>
          <w:lang w:eastAsia="en-CA"/>
        </w:rPr>
        <w:t xml:space="preserve">enhanced effect on cognitive function (learning and memory) </w:t>
      </w:r>
      <w:r w:rsidR="00A17C27" w:rsidRPr="00A17C27">
        <w:rPr>
          <w:lang w:eastAsia="en-CA"/>
        </w:rPr>
        <w:t xml:space="preserve">(e.g. contextual fear conditioning </w:t>
      </w:r>
      <w:r w:rsidR="00833FCC">
        <w:rPr>
          <w:lang w:eastAsia="en-CA"/>
        </w:rPr>
        <w:t xml:space="preserve">test </w:t>
      </w:r>
      <w:r w:rsidR="00A17C27" w:rsidRPr="00A17C27">
        <w:rPr>
          <w:lang w:eastAsia="en-CA"/>
        </w:rPr>
        <w:t xml:space="preserve">and </w:t>
      </w:r>
      <w:r w:rsidR="00833FCC" w:rsidRPr="00A17C27">
        <w:rPr>
          <w:lang w:eastAsia="en-CA"/>
        </w:rPr>
        <w:t xml:space="preserve">restoration of performance deficits induced by 5-HT depletion in the </w:t>
      </w:r>
      <w:r w:rsidR="00A17C27" w:rsidRPr="00A17C27">
        <w:rPr>
          <w:lang w:eastAsia="en-CA"/>
        </w:rPr>
        <w:t xml:space="preserve">novel object recognition </w:t>
      </w:r>
      <w:r w:rsidR="00833FCC" w:rsidRPr="00A17C27">
        <w:rPr>
          <w:lang w:eastAsia="en-CA"/>
        </w:rPr>
        <w:t xml:space="preserve">and Y-maze spontaneous alternation </w:t>
      </w:r>
      <w:r w:rsidR="00A17C27" w:rsidRPr="00A17C27">
        <w:rPr>
          <w:lang w:eastAsia="en-CA"/>
        </w:rPr>
        <w:t>tests</w:t>
      </w:r>
      <w:r w:rsidR="00833FCC">
        <w:rPr>
          <w:lang w:eastAsia="en-CA"/>
        </w:rPr>
        <w:t>)</w:t>
      </w:r>
      <w:r w:rsidR="00A17C27" w:rsidRPr="00A17C27">
        <w:rPr>
          <w:lang w:eastAsia="en-CA"/>
        </w:rPr>
        <w:t>.</w:t>
      </w:r>
      <w:r w:rsidRPr="00FD4AC2">
        <w:rPr>
          <w:lang w:eastAsia="en-CA"/>
        </w:rPr>
        <w:t xml:space="preserve"> </w:t>
      </w:r>
      <w:r w:rsidR="002D17C5">
        <w:rPr>
          <w:lang w:eastAsia="en-CA"/>
        </w:rPr>
        <w:t xml:space="preserve"> </w:t>
      </w:r>
      <w:r w:rsidRPr="00FD4AC2">
        <w:rPr>
          <w:lang w:eastAsia="en-CA"/>
        </w:rPr>
        <w:t xml:space="preserve">In addition, </w:t>
      </w:r>
      <w:r w:rsidR="00A17C27">
        <w:rPr>
          <w:lang w:eastAsia="en-CA"/>
        </w:rPr>
        <w:t xml:space="preserve">in a </w:t>
      </w:r>
      <w:r w:rsidR="00833FCC">
        <w:rPr>
          <w:lang w:eastAsia="en-CA"/>
        </w:rPr>
        <w:t xml:space="preserve">sexual behavioural </w:t>
      </w:r>
      <w:r w:rsidRPr="00FD4AC2">
        <w:rPr>
          <w:lang w:eastAsia="en-CA"/>
        </w:rPr>
        <w:t xml:space="preserve">study in male </w:t>
      </w:r>
      <w:r w:rsidR="00A17C27">
        <w:rPr>
          <w:lang w:eastAsia="en-CA"/>
        </w:rPr>
        <w:t>rat</w:t>
      </w:r>
      <w:r w:rsidR="00A17C27" w:rsidRPr="00FD4AC2">
        <w:rPr>
          <w:lang w:eastAsia="en-CA"/>
        </w:rPr>
        <w:t xml:space="preserve">s </w:t>
      </w:r>
      <w:r w:rsidR="00A17C27" w:rsidRPr="00A17C27">
        <w:rPr>
          <w:lang w:eastAsia="en-CA"/>
        </w:rPr>
        <w:t>at an oral</w:t>
      </w:r>
      <w:r w:rsidR="00A17C27" w:rsidRPr="00833FCC">
        <w:rPr>
          <w:lang w:eastAsia="en-CA"/>
        </w:rPr>
        <w:t xml:space="preserve"> </w:t>
      </w:r>
      <w:r w:rsidR="00A17C27" w:rsidRPr="00A17C27">
        <w:rPr>
          <w:lang w:eastAsia="en-CA"/>
        </w:rPr>
        <w:t>dose</w:t>
      </w:r>
      <w:r w:rsidR="00A17C27" w:rsidRPr="00833FCC">
        <w:rPr>
          <w:lang w:eastAsia="en-CA"/>
        </w:rPr>
        <w:t xml:space="preserve"> </w:t>
      </w:r>
      <w:r w:rsidR="00A17C27" w:rsidRPr="00A17C27">
        <w:rPr>
          <w:lang w:eastAsia="en-CA"/>
        </w:rPr>
        <w:t>achieving a</w:t>
      </w:r>
      <w:r w:rsidR="00A17C27" w:rsidRPr="00833FCC">
        <w:rPr>
          <w:lang w:eastAsia="en-CA"/>
        </w:rPr>
        <w:t xml:space="preserve"> </w:t>
      </w:r>
      <w:proofErr w:type="spellStart"/>
      <w:r w:rsidR="00A17C27" w:rsidRPr="00A17C27">
        <w:rPr>
          <w:lang w:eastAsia="en-CA"/>
        </w:rPr>
        <w:t>vortioxetine</w:t>
      </w:r>
      <w:proofErr w:type="spellEnd"/>
      <w:r w:rsidR="00A17C27" w:rsidRPr="00833FCC">
        <w:rPr>
          <w:lang w:eastAsia="en-CA"/>
        </w:rPr>
        <w:t xml:space="preserve"> plasma exposure </w:t>
      </w:r>
      <w:r w:rsidR="00A17C27" w:rsidRPr="00A17C27">
        <w:rPr>
          <w:lang w:eastAsia="en-CA"/>
        </w:rPr>
        <w:t>similar</w:t>
      </w:r>
      <w:r w:rsidR="00A17C27" w:rsidRPr="00833FCC">
        <w:rPr>
          <w:lang w:eastAsia="en-CA"/>
        </w:rPr>
        <w:t xml:space="preserve"> </w:t>
      </w:r>
      <w:r w:rsidR="00A17C27" w:rsidRPr="00A17C27">
        <w:rPr>
          <w:lang w:eastAsia="en-CA"/>
        </w:rPr>
        <w:t>to</w:t>
      </w:r>
      <w:r w:rsidR="00A17C27" w:rsidRPr="00833FCC">
        <w:rPr>
          <w:lang w:eastAsia="en-CA"/>
        </w:rPr>
        <w:t xml:space="preserve"> </w:t>
      </w:r>
      <w:r w:rsidR="00A17C27" w:rsidRPr="00A17C27">
        <w:rPr>
          <w:lang w:eastAsia="en-CA"/>
        </w:rPr>
        <w:t>that at</w:t>
      </w:r>
      <w:r w:rsidR="00A17C27" w:rsidRPr="00833FCC">
        <w:rPr>
          <w:lang w:eastAsia="en-CA"/>
        </w:rPr>
        <w:t xml:space="preserve"> </w:t>
      </w:r>
      <w:r w:rsidR="00A17C27" w:rsidRPr="00A17C27">
        <w:rPr>
          <w:lang w:eastAsia="en-CA"/>
        </w:rPr>
        <w:t>the maximum recommended human dose</w:t>
      </w:r>
      <w:r w:rsidR="00833FCC">
        <w:rPr>
          <w:lang w:eastAsia="en-CA"/>
        </w:rPr>
        <w:t>,</w:t>
      </w:r>
      <w:r w:rsidRPr="00FD4AC2">
        <w:rPr>
          <w:lang w:eastAsia="en-CA"/>
        </w:rPr>
        <w:t xml:space="preserve"> </w:t>
      </w:r>
      <w:proofErr w:type="spellStart"/>
      <w:r w:rsidRPr="00FD4AC2">
        <w:rPr>
          <w:lang w:eastAsia="en-CA"/>
        </w:rPr>
        <w:t>vortioxetine</w:t>
      </w:r>
      <w:proofErr w:type="spellEnd"/>
      <w:r w:rsidRPr="00FD4AC2">
        <w:rPr>
          <w:lang w:eastAsia="en-CA"/>
        </w:rPr>
        <w:t xml:space="preserve"> </w:t>
      </w:r>
      <w:r w:rsidR="00833FCC">
        <w:rPr>
          <w:lang w:eastAsia="en-CA"/>
        </w:rPr>
        <w:t xml:space="preserve">did </w:t>
      </w:r>
      <w:r w:rsidRPr="00FD4AC2">
        <w:rPr>
          <w:lang w:eastAsia="en-CA"/>
        </w:rPr>
        <w:t>not induce sexual dysfunction.</w:t>
      </w:r>
    </w:p>
    <w:p w:rsidR="00F849E8" w:rsidRPr="003E0AF3" w:rsidRDefault="00F849E8" w:rsidP="00F849E8">
      <w:pPr>
        <w:autoSpaceDE w:val="0"/>
        <w:autoSpaceDN w:val="0"/>
        <w:adjustRightInd w:val="0"/>
        <w:rPr>
          <w:color w:val="000000"/>
          <w:szCs w:val="24"/>
        </w:rPr>
      </w:pPr>
      <w:r w:rsidRPr="003E0AF3">
        <w:rPr>
          <w:color w:val="000000"/>
          <w:szCs w:val="24"/>
        </w:rPr>
        <w:t>In humans, two positron emission tomography (PET) studies have been performed using 5-HTT ligands ([</w:t>
      </w:r>
      <w:r w:rsidRPr="003E0AF3">
        <w:rPr>
          <w:color w:val="000000"/>
          <w:szCs w:val="24"/>
          <w:vertAlign w:val="superscript"/>
        </w:rPr>
        <w:t>11</w:t>
      </w:r>
      <w:r w:rsidRPr="003E0AF3">
        <w:rPr>
          <w:color w:val="000000"/>
          <w:szCs w:val="24"/>
        </w:rPr>
        <w:t>C]-MADAM or [</w:t>
      </w:r>
      <w:r w:rsidRPr="003E0AF3">
        <w:rPr>
          <w:color w:val="000000"/>
          <w:szCs w:val="24"/>
          <w:vertAlign w:val="superscript"/>
        </w:rPr>
        <w:t>11</w:t>
      </w:r>
      <w:r w:rsidRPr="003E0AF3">
        <w:rPr>
          <w:color w:val="000000"/>
          <w:szCs w:val="24"/>
        </w:rPr>
        <w:t xml:space="preserve">C]-DASB) to quantify the 5-HT transporter occupancy in the brain across different dose levels. </w:t>
      </w:r>
      <w:r w:rsidR="002D17C5">
        <w:rPr>
          <w:color w:val="000000"/>
          <w:szCs w:val="24"/>
        </w:rPr>
        <w:t xml:space="preserve"> </w:t>
      </w:r>
      <w:r w:rsidRPr="003E0AF3">
        <w:rPr>
          <w:color w:val="000000"/>
          <w:szCs w:val="24"/>
        </w:rPr>
        <w:t xml:space="preserve">The mean 5-HT transporter occupancy in the specific regions of interest was approximately 50% at 5 mg/day, 65% at 10 mg/day and increased to above 80% at 20 mg/day. </w:t>
      </w:r>
      <w:r w:rsidR="002D17C5">
        <w:rPr>
          <w:color w:val="000000"/>
          <w:szCs w:val="24"/>
        </w:rPr>
        <w:t xml:space="preserve"> </w:t>
      </w:r>
      <w:proofErr w:type="spellStart"/>
      <w:r w:rsidRPr="003E0AF3">
        <w:rPr>
          <w:color w:val="000000"/>
          <w:szCs w:val="24"/>
        </w:rPr>
        <w:t>Vortioxetine</w:t>
      </w:r>
      <w:proofErr w:type="spellEnd"/>
      <w:r w:rsidRPr="003E0AF3">
        <w:rPr>
          <w:color w:val="000000"/>
          <w:szCs w:val="24"/>
        </w:rPr>
        <w:t xml:space="preserve"> has shown clinical antidepressant effects at 5-HT transpo</w:t>
      </w:r>
      <w:r w:rsidR="008C2A5E">
        <w:rPr>
          <w:color w:val="000000"/>
          <w:szCs w:val="24"/>
        </w:rPr>
        <w:t>rter occupancies as low as 50%.</w:t>
      </w:r>
    </w:p>
    <w:p w:rsidR="00F16C95" w:rsidRPr="00D80721" w:rsidRDefault="00F16C95" w:rsidP="00D80721">
      <w:pPr>
        <w:rPr>
          <w:rFonts w:eastAsia="SimSun"/>
          <w:b/>
          <w:lang w:eastAsia="zh-CN"/>
        </w:rPr>
      </w:pPr>
      <w:r w:rsidRPr="00D80721">
        <w:rPr>
          <w:rFonts w:eastAsia="SimSun"/>
          <w:b/>
          <w:lang w:eastAsia="zh-CN"/>
        </w:rPr>
        <w:t>P</w:t>
      </w:r>
      <w:r w:rsidR="00474A23" w:rsidRPr="00D80721">
        <w:rPr>
          <w:rFonts w:eastAsia="SimSun"/>
          <w:b/>
          <w:lang w:eastAsia="zh-CN"/>
        </w:rPr>
        <w:t>harmacokinetics</w:t>
      </w:r>
      <w:r w:rsidRPr="00D80721">
        <w:rPr>
          <w:rFonts w:eastAsia="SimSun"/>
          <w:b/>
          <w:lang w:eastAsia="zh-CN"/>
        </w:rPr>
        <w:t>:</w:t>
      </w:r>
    </w:p>
    <w:p w:rsidR="00D36933" w:rsidRPr="003E0AF3" w:rsidRDefault="00D36933" w:rsidP="00D36933">
      <w:pPr>
        <w:rPr>
          <w:b/>
          <w:i/>
          <w:szCs w:val="24"/>
        </w:rPr>
      </w:pPr>
      <w:r w:rsidRPr="003E0AF3">
        <w:rPr>
          <w:b/>
          <w:i/>
          <w:szCs w:val="24"/>
        </w:rPr>
        <w:t>Absorption</w:t>
      </w:r>
    </w:p>
    <w:p w:rsidR="00D36933" w:rsidRPr="003E0AF3" w:rsidRDefault="008C2A5E" w:rsidP="00F44F8B">
      <w:pPr>
        <w:rPr>
          <w:szCs w:val="24"/>
        </w:rPr>
      </w:pPr>
      <w:r w:rsidRPr="008C2A5E">
        <w:rPr>
          <w:szCs w:val="24"/>
        </w:rPr>
        <w:t xml:space="preserve"> </w:t>
      </w:r>
      <w:r w:rsidRPr="00F44F8B">
        <w:rPr>
          <w:szCs w:val="24"/>
        </w:rPr>
        <w:t xml:space="preserve">The maximal plasma </w:t>
      </w:r>
      <w:proofErr w:type="spellStart"/>
      <w:r w:rsidRPr="00F44F8B">
        <w:rPr>
          <w:szCs w:val="24"/>
        </w:rPr>
        <w:t>vortioxetine</w:t>
      </w:r>
      <w:proofErr w:type="spellEnd"/>
      <w:r w:rsidRPr="00F44F8B">
        <w:rPr>
          <w:szCs w:val="24"/>
        </w:rPr>
        <w:t xml:space="preserve"> concentration (</w:t>
      </w:r>
      <w:proofErr w:type="spellStart"/>
      <w:r w:rsidRPr="00F44F8B">
        <w:rPr>
          <w:szCs w:val="24"/>
        </w:rPr>
        <w:t>C</w:t>
      </w:r>
      <w:r w:rsidRPr="00B05D37">
        <w:rPr>
          <w:szCs w:val="24"/>
          <w:vertAlign w:val="subscript"/>
        </w:rPr>
        <w:t>max</w:t>
      </w:r>
      <w:proofErr w:type="spellEnd"/>
      <w:r w:rsidRPr="00F44F8B">
        <w:rPr>
          <w:szCs w:val="24"/>
        </w:rPr>
        <w:t xml:space="preserve">) after </w:t>
      </w:r>
      <w:r w:rsidR="005D5D58">
        <w:rPr>
          <w:szCs w:val="24"/>
        </w:rPr>
        <w:t xml:space="preserve">multiple oral doses </w:t>
      </w:r>
      <w:r w:rsidRPr="00F44F8B">
        <w:rPr>
          <w:szCs w:val="24"/>
        </w:rPr>
        <w:t xml:space="preserve">is reached within 7 to </w:t>
      </w:r>
      <w:r w:rsidR="008305AB">
        <w:rPr>
          <w:szCs w:val="24"/>
        </w:rPr>
        <w:t>8</w:t>
      </w:r>
      <w:r w:rsidRPr="00F44F8B">
        <w:rPr>
          <w:szCs w:val="24"/>
        </w:rPr>
        <w:t xml:space="preserve"> hours post</w:t>
      </w:r>
      <w:r>
        <w:rPr>
          <w:szCs w:val="24"/>
        </w:rPr>
        <w:t>-</w:t>
      </w:r>
      <w:r w:rsidRPr="00F44F8B">
        <w:rPr>
          <w:szCs w:val="24"/>
        </w:rPr>
        <w:t>dose (</w:t>
      </w:r>
      <w:proofErr w:type="spellStart"/>
      <w:r w:rsidRPr="00F44F8B">
        <w:rPr>
          <w:szCs w:val="24"/>
        </w:rPr>
        <w:t>T</w:t>
      </w:r>
      <w:r w:rsidRPr="008C2A5E">
        <w:rPr>
          <w:szCs w:val="24"/>
          <w:vertAlign w:val="subscript"/>
        </w:rPr>
        <w:t>max</w:t>
      </w:r>
      <w:proofErr w:type="spellEnd"/>
      <w:r w:rsidRPr="00F44F8B">
        <w:rPr>
          <w:szCs w:val="24"/>
        </w:rPr>
        <w:t xml:space="preserve">). </w:t>
      </w:r>
      <w:r>
        <w:rPr>
          <w:szCs w:val="24"/>
        </w:rPr>
        <w:t xml:space="preserve"> </w:t>
      </w:r>
      <w:r w:rsidRPr="00F44F8B">
        <w:rPr>
          <w:szCs w:val="24"/>
        </w:rPr>
        <w:t xml:space="preserve">Steady state mean </w:t>
      </w:r>
      <w:proofErr w:type="spellStart"/>
      <w:r w:rsidRPr="00F44F8B">
        <w:rPr>
          <w:szCs w:val="24"/>
        </w:rPr>
        <w:t>C</w:t>
      </w:r>
      <w:r w:rsidRPr="00B05D37">
        <w:rPr>
          <w:szCs w:val="24"/>
          <w:vertAlign w:val="subscript"/>
        </w:rPr>
        <w:t>max</w:t>
      </w:r>
      <w:proofErr w:type="spellEnd"/>
      <w:r w:rsidRPr="00F44F8B">
        <w:rPr>
          <w:szCs w:val="24"/>
        </w:rPr>
        <w:t xml:space="preserve"> values were 9, 18, and 33 ng/mL</w:t>
      </w:r>
      <w:r>
        <w:rPr>
          <w:szCs w:val="24"/>
        </w:rPr>
        <w:t xml:space="preserve"> f</w:t>
      </w:r>
      <w:r w:rsidRPr="00F44F8B">
        <w:rPr>
          <w:szCs w:val="24"/>
        </w:rPr>
        <w:t>ollowing doses of 5, 10, and 20 mg/day.</w:t>
      </w:r>
      <w:r w:rsidRPr="003E0AF3">
        <w:rPr>
          <w:szCs w:val="24"/>
        </w:rPr>
        <w:t xml:space="preserve"> </w:t>
      </w:r>
      <w:r w:rsidR="00D36933" w:rsidRPr="003E0AF3">
        <w:rPr>
          <w:szCs w:val="24"/>
        </w:rPr>
        <w:t xml:space="preserve"> The absolute bioavailability is 75%. </w:t>
      </w:r>
      <w:r>
        <w:rPr>
          <w:szCs w:val="24"/>
        </w:rPr>
        <w:t xml:space="preserve"> </w:t>
      </w:r>
      <w:r w:rsidR="00D36933" w:rsidRPr="003E0AF3">
        <w:rPr>
          <w:szCs w:val="24"/>
        </w:rPr>
        <w:t>No effect of food on the pharmacokinetics was observed.</w:t>
      </w:r>
    </w:p>
    <w:p w:rsidR="00D36933" w:rsidRPr="003E0AF3" w:rsidRDefault="00D36933" w:rsidP="00D36933">
      <w:pPr>
        <w:rPr>
          <w:b/>
          <w:i/>
          <w:szCs w:val="24"/>
        </w:rPr>
      </w:pPr>
      <w:r w:rsidRPr="003E0AF3">
        <w:rPr>
          <w:b/>
          <w:i/>
          <w:szCs w:val="24"/>
        </w:rPr>
        <w:t>Distribution</w:t>
      </w:r>
    </w:p>
    <w:p w:rsidR="00966D13" w:rsidRPr="00B23F0E" w:rsidRDefault="00D36933" w:rsidP="00FB3108">
      <w:pPr>
        <w:rPr>
          <w:color w:val="000000"/>
          <w:szCs w:val="24"/>
          <w:lang w:eastAsia="en-CA"/>
        </w:rPr>
      </w:pPr>
      <w:r w:rsidRPr="003E0AF3">
        <w:rPr>
          <w:szCs w:val="24"/>
        </w:rPr>
        <w:t>The mean volume of distribution (</w:t>
      </w:r>
      <w:proofErr w:type="spellStart"/>
      <w:r w:rsidRPr="003E0AF3">
        <w:rPr>
          <w:szCs w:val="24"/>
        </w:rPr>
        <w:t>Vss</w:t>
      </w:r>
      <w:proofErr w:type="spellEnd"/>
      <w:r w:rsidRPr="003E0AF3">
        <w:rPr>
          <w:szCs w:val="24"/>
        </w:rPr>
        <w:t xml:space="preserve">) </w:t>
      </w:r>
      <w:r w:rsidR="00051745">
        <w:rPr>
          <w:szCs w:val="24"/>
        </w:rPr>
        <w:t xml:space="preserve">from population PK analysis in healthy volunteers </w:t>
      </w:r>
      <w:r w:rsidRPr="003E0AF3">
        <w:rPr>
          <w:szCs w:val="24"/>
        </w:rPr>
        <w:t xml:space="preserve">is 2,600 L, </w:t>
      </w:r>
      <w:r w:rsidRPr="00B23F0E">
        <w:rPr>
          <w:color w:val="000000"/>
          <w:szCs w:val="24"/>
        </w:rPr>
        <w:t>indicating extensive extravascular distribution.</w:t>
      </w:r>
      <w:r w:rsidR="00587446" w:rsidRPr="00B23F0E">
        <w:rPr>
          <w:color w:val="000000"/>
          <w:szCs w:val="24"/>
        </w:rPr>
        <w:t xml:space="preserve"> </w:t>
      </w:r>
      <w:r w:rsidR="003068B6" w:rsidRPr="00B23F0E">
        <w:rPr>
          <w:color w:val="000000"/>
          <w:szCs w:val="24"/>
        </w:rPr>
        <w:t xml:space="preserve"> </w:t>
      </w:r>
      <w:proofErr w:type="spellStart"/>
      <w:r w:rsidRPr="00B23F0E">
        <w:rPr>
          <w:color w:val="000000"/>
          <w:szCs w:val="24"/>
        </w:rPr>
        <w:t>Vortioxetine</w:t>
      </w:r>
      <w:proofErr w:type="spellEnd"/>
      <w:r w:rsidRPr="00B23F0E">
        <w:rPr>
          <w:color w:val="000000"/>
          <w:szCs w:val="24"/>
        </w:rPr>
        <w:t xml:space="preserve"> is highly bound to plasma proteins (98 to 99%) and the binding appears to be</w:t>
      </w:r>
      <w:r w:rsidR="003068B6" w:rsidRPr="00B23F0E">
        <w:rPr>
          <w:color w:val="000000"/>
          <w:szCs w:val="24"/>
        </w:rPr>
        <w:t xml:space="preserve"> </w:t>
      </w:r>
      <w:r w:rsidRPr="00B23F0E">
        <w:rPr>
          <w:color w:val="000000"/>
          <w:szCs w:val="24"/>
        </w:rPr>
        <w:t xml:space="preserve">independent of </w:t>
      </w:r>
      <w:proofErr w:type="spellStart"/>
      <w:r w:rsidRPr="00B23F0E">
        <w:rPr>
          <w:color w:val="000000"/>
          <w:szCs w:val="24"/>
        </w:rPr>
        <w:t>vortioxetine</w:t>
      </w:r>
      <w:proofErr w:type="spellEnd"/>
      <w:r w:rsidRPr="00B23F0E">
        <w:rPr>
          <w:color w:val="000000"/>
          <w:szCs w:val="24"/>
        </w:rPr>
        <w:t xml:space="preserve"> plasma concentrations.</w:t>
      </w:r>
    </w:p>
    <w:p w:rsidR="00D36933" w:rsidRPr="00B23F0E" w:rsidRDefault="003068B6" w:rsidP="003D57AB">
      <w:pPr>
        <w:rPr>
          <w:i/>
          <w:color w:val="000000"/>
          <w:szCs w:val="24"/>
        </w:rPr>
      </w:pPr>
      <w:r w:rsidRPr="00B23F0E">
        <w:rPr>
          <w:b/>
          <w:i/>
          <w:color w:val="000000"/>
          <w:szCs w:val="24"/>
        </w:rPr>
        <w:t>Metabolism</w:t>
      </w:r>
    </w:p>
    <w:p w:rsidR="00FB3108" w:rsidRDefault="00D36933" w:rsidP="003D57AB">
      <w:pPr>
        <w:rPr>
          <w:szCs w:val="24"/>
        </w:rPr>
      </w:pPr>
      <w:proofErr w:type="spellStart"/>
      <w:r w:rsidRPr="003E0AF3">
        <w:rPr>
          <w:szCs w:val="24"/>
        </w:rPr>
        <w:t>Vortioxetine</w:t>
      </w:r>
      <w:proofErr w:type="spellEnd"/>
      <w:r w:rsidRPr="003E0AF3">
        <w:rPr>
          <w:szCs w:val="24"/>
        </w:rPr>
        <w:t xml:space="preserve"> is extensively metabolised in the liver, primarily through oxidation and subsequent</w:t>
      </w:r>
      <w:r w:rsidR="003068B6" w:rsidRPr="003E0AF3">
        <w:rPr>
          <w:szCs w:val="24"/>
        </w:rPr>
        <w:t xml:space="preserve"> </w:t>
      </w:r>
      <w:proofErr w:type="spellStart"/>
      <w:r w:rsidRPr="003E0AF3">
        <w:rPr>
          <w:szCs w:val="24"/>
        </w:rPr>
        <w:t>glucuronic</w:t>
      </w:r>
      <w:proofErr w:type="spellEnd"/>
      <w:r w:rsidRPr="003E0AF3">
        <w:rPr>
          <w:szCs w:val="24"/>
        </w:rPr>
        <w:t xml:space="preserve"> acid conjugation.</w:t>
      </w:r>
      <w:r w:rsidR="008C2A5E">
        <w:rPr>
          <w:szCs w:val="24"/>
        </w:rPr>
        <w:t xml:space="preserve">  </w:t>
      </w:r>
      <w:r w:rsidRPr="003E0AF3">
        <w:rPr>
          <w:i/>
          <w:szCs w:val="24"/>
        </w:rPr>
        <w:t>In vitro</w:t>
      </w:r>
      <w:r w:rsidR="004F389D">
        <w:rPr>
          <w:szCs w:val="24"/>
        </w:rPr>
        <w:t xml:space="preserve"> studies indicate that</w:t>
      </w:r>
      <w:r w:rsidR="004F389D" w:rsidRPr="003E0AF3">
        <w:rPr>
          <w:szCs w:val="24"/>
        </w:rPr>
        <w:t xml:space="preserve"> </w:t>
      </w:r>
      <w:r w:rsidRPr="003E0AF3">
        <w:rPr>
          <w:szCs w:val="24"/>
        </w:rPr>
        <w:t xml:space="preserve">the cytochrome P450 </w:t>
      </w:r>
      <w:proofErr w:type="spellStart"/>
      <w:r w:rsidRPr="003E0AF3">
        <w:rPr>
          <w:szCs w:val="24"/>
        </w:rPr>
        <w:t>isozymes</w:t>
      </w:r>
      <w:proofErr w:type="spellEnd"/>
      <w:r w:rsidRPr="003E0AF3">
        <w:rPr>
          <w:szCs w:val="24"/>
        </w:rPr>
        <w:t xml:space="preserve"> CYP2D6, CYP3A4/5, CYP2C19, CYP2C9, CYP2A6,</w:t>
      </w:r>
      <w:r w:rsidR="003068B6" w:rsidRPr="003E0AF3">
        <w:rPr>
          <w:szCs w:val="24"/>
        </w:rPr>
        <w:t xml:space="preserve"> </w:t>
      </w:r>
      <w:r w:rsidRPr="003E0AF3">
        <w:rPr>
          <w:szCs w:val="24"/>
        </w:rPr>
        <w:t xml:space="preserve">CYP2C8 and CYP2B6 are involved in the metabolism of </w:t>
      </w:r>
      <w:proofErr w:type="spellStart"/>
      <w:r w:rsidRPr="003E0AF3">
        <w:rPr>
          <w:szCs w:val="24"/>
        </w:rPr>
        <w:t>vortioxetine</w:t>
      </w:r>
      <w:proofErr w:type="spellEnd"/>
      <w:r w:rsidRPr="003E0AF3">
        <w:rPr>
          <w:szCs w:val="24"/>
        </w:rPr>
        <w:t>.</w:t>
      </w:r>
    </w:p>
    <w:p w:rsidR="00D36933" w:rsidRPr="003E0AF3" w:rsidRDefault="00D36933" w:rsidP="004F3D20">
      <w:pPr>
        <w:spacing w:before="120" w:after="120"/>
        <w:rPr>
          <w:szCs w:val="24"/>
        </w:rPr>
      </w:pPr>
      <w:r w:rsidRPr="003E0AF3">
        <w:rPr>
          <w:szCs w:val="24"/>
        </w:rPr>
        <w:lastRenderedPageBreak/>
        <w:t xml:space="preserve">No inhibitory or inducing effect of </w:t>
      </w:r>
      <w:proofErr w:type="spellStart"/>
      <w:r w:rsidRPr="003E0AF3">
        <w:rPr>
          <w:szCs w:val="24"/>
        </w:rPr>
        <w:t>vortioxetine</w:t>
      </w:r>
      <w:proofErr w:type="spellEnd"/>
      <w:r w:rsidRPr="003E0AF3">
        <w:rPr>
          <w:szCs w:val="24"/>
        </w:rPr>
        <w:t xml:space="preserve"> was observed </w:t>
      </w:r>
      <w:r w:rsidRPr="006D48ED">
        <w:rPr>
          <w:i/>
          <w:szCs w:val="24"/>
        </w:rPr>
        <w:t>in vitro</w:t>
      </w:r>
      <w:r w:rsidRPr="003E0AF3">
        <w:rPr>
          <w:szCs w:val="24"/>
        </w:rPr>
        <w:t xml:space="preserve"> for the CYP </w:t>
      </w:r>
      <w:proofErr w:type="spellStart"/>
      <w:r w:rsidRPr="003E0AF3">
        <w:rPr>
          <w:szCs w:val="24"/>
        </w:rPr>
        <w:t>isozymes</w:t>
      </w:r>
      <w:proofErr w:type="spellEnd"/>
      <w:r w:rsidRPr="003E0AF3">
        <w:rPr>
          <w:szCs w:val="24"/>
        </w:rPr>
        <w:t xml:space="preserve"> CYP1A2,</w:t>
      </w:r>
      <w:r w:rsidR="003068B6" w:rsidRPr="003E0AF3">
        <w:rPr>
          <w:szCs w:val="24"/>
        </w:rPr>
        <w:t xml:space="preserve"> </w:t>
      </w:r>
      <w:r w:rsidRPr="003E0AF3">
        <w:rPr>
          <w:szCs w:val="24"/>
        </w:rPr>
        <w:t>CYP2A6, CYP2B6, CYP2C8, CYP2C9, CYP2C19, or CYP3A4/5</w:t>
      </w:r>
      <w:r w:rsidR="004F389D" w:rsidRPr="004F389D">
        <w:t xml:space="preserve"> </w:t>
      </w:r>
      <w:r w:rsidR="004F389D" w:rsidRPr="004F389D">
        <w:rPr>
          <w:szCs w:val="24"/>
        </w:rPr>
        <w:t>nor was an inhibitory effect observed in vitro for CYP2D6 or CYP2El</w:t>
      </w:r>
      <w:r w:rsidRPr="003E0AF3">
        <w:rPr>
          <w:szCs w:val="24"/>
        </w:rPr>
        <w:t xml:space="preserve">. </w:t>
      </w:r>
      <w:proofErr w:type="spellStart"/>
      <w:r w:rsidRPr="003E0AF3">
        <w:rPr>
          <w:szCs w:val="24"/>
        </w:rPr>
        <w:t>Vortioxetine</w:t>
      </w:r>
      <w:proofErr w:type="spellEnd"/>
      <w:r w:rsidR="003068B6" w:rsidRPr="003E0AF3">
        <w:rPr>
          <w:szCs w:val="24"/>
        </w:rPr>
        <w:t xml:space="preserve"> </w:t>
      </w:r>
      <w:r w:rsidRPr="003E0AF3">
        <w:rPr>
          <w:szCs w:val="24"/>
        </w:rPr>
        <w:t>is a poor P-</w:t>
      </w:r>
      <w:proofErr w:type="spellStart"/>
      <w:r w:rsidRPr="003E0AF3">
        <w:rPr>
          <w:szCs w:val="24"/>
        </w:rPr>
        <w:t>gp</w:t>
      </w:r>
      <w:proofErr w:type="spellEnd"/>
      <w:r w:rsidRPr="003E0AF3">
        <w:rPr>
          <w:szCs w:val="24"/>
        </w:rPr>
        <w:t xml:space="preserve"> substrate and inhibitor.</w:t>
      </w:r>
    </w:p>
    <w:p w:rsidR="00BB184F" w:rsidRPr="003E0AF3" w:rsidRDefault="00D36933" w:rsidP="00966D13">
      <w:pPr>
        <w:rPr>
          <w:szCs w:val="24"/>
        </w:rPr>
      </w:pPr>
      <w:r w:rsidRPr="003E0AF3">
        <w:rPr>
          <w:szCs w:val="24"/>
        </w:rPr>
        <w:t xml:space="preserve">The major metabolite of </w:t>
      </w:r>
      <w:proofErr w:type="spellStart"/>
      <w:r w:rsidRPr="003E0AF3">
        <w:rPr>
          <w:szCs w:val="24"/>
        </w:rPr>
        <w:t>vortioxetine</w:t>
      </w:r>
      <w:proofErr w:type="spellEnd"/>
      <w:r w:rsidRPr="003E0AF3">
        <w:rPr>
          <w:szCs w:val="24"/>
        </w:rPr>
        <w:t xml:space="preserve"> is </w:t>
      </w:r>
      <w:r w:rsidR="00BD5273">
        <w:rPr>
          <w:szCs w:val="24"/>
        </w:rPr>
        <w:t xml:space="preserve">(Lu AA34443) </w:t>
      </w:r>
      <w:r w:rsidRPr="003E0AF3">
        <w:rPr>
          <w:szCs w:val="24"/>
        </w:rPr>
        <w:t>pharmacologically inactive.</w:t>
      </w:r>
    </w:p>
    <w:p w:rsidR="00D36933" w:rsidRPr="003E0AF3" w:rsidRDefault="003068B6" w:rsidP="003D57AB">
      <w:pPr>
        <w:rPr>
          <w:i/>
          <w:szCs w:val="24"/>
        </w:rPr>
      </w:pPr>
      <w:r w:rsidRPr="003E0AF3">
        <w:rPr>
          <w:b/>
          <w:i/>
          <w:szCs w:val="24"/>
        </w:rPr>
        <w:t>Excretion</w:t>
      </w:r>
    </w:p>
    <w:p w:rsidR="00D36933" w:rsidRPr="003E0AF3" w:rsidRDefault="00D36933" w:rsidP="003D57AB">
      <w:pPr>
        <w:rPr>
          <w:szCs w:val="24"/>
        </w:rPr>
      </w:pPr>
      <w:r w:rsidRPr="003E0AF3">
        <w:rPr>
          <w:szCs w:val="24"/>
        </w:rPr>
        <w:t xml:space="preserve">The mean elimination half-life and oral clearance </w:t>
      </w:r>
      <w:r w:rsidR="00051745">
        <w:rPr>
          <w:szCs w:val="24"/>
        </w:rPr>
        <w:t xml:space="preserve">from population PK analysis in healthy volunteers </w:t>
      </w:r>
      <w:r w:rsidRPr="003E0AF3">
        <w:rPr>
          <w:szCs w:val="24"/>
        </w:rPr>
        <w:t>are 66 hours and 33 L/h, respectively.</w:t>
      </w:r>
    </w:p>
    <w:p w:rsidR="00BB184F" w:rsidRPr="003E0AF3" w:rsidRDefault="00D36933" w:rsidP="00D36933">
      <w:pPr>
        <w:rPr>
          <w:szCs w:val="24"/>
        </w:rPr>
      </w:pPr>
      <w:r w:rsidRPr="003E0AF3">
        <w:rPr>
          <w:szCs w:val="24"/>
        </w:rPr>
        <w:t xml:space="preserve">Approximately 2/3 of the inactive </w:t>
      </w:r>
      <w:proofErr w:type="spellStart"/>
      <w:r w:rsidRPr="003E0AF3">
        <w:rPr>
          <w:szCs w:val="24"/>
        </w:rPr>
        <w:t>vortioxetine</w:t>
      </w:r>
      <w:proofErr w:type="spellEnd"/>
      <w:r w:rsidRPr="003E0AF3">
        <w:rPr>
          <w:szCs w:val="24"/>
        </w:rPr>
        <w:t xml:space="preserve"> metabolite</w:t>
      </w:r>
      <w:r w:rsidR="00CE3432">
        <w:rPr>
          <w:szCs w:val="24"/>
        </w:rPr>
        <w:t>s</w:t>
      </w:r>
      <w:r w:rsidRPr="003E0AF3">
        <w:rPr>
          <w:szCs w:val="24"/>
        </w:rPr>
        <w:t xml:space="preserve"> are excreted in the urine and approximately</w:t>
      </w:r>
      <w:r w:rsidR="003068B6" w:rsidRPr="003E0AF3">
        <w:rPr>
          <w:szCs w:val="24"/>
        </w:rPr>
        <w:t xml:space="preserve"> </w:t>
      </w:r>
      <w:r w:rsidRPr="003E0AF3">
        <w:rPr>
          <w:szCs w:val="24"/>
        </w:rPr>
        <w:t xml:space="preserve">1/3 in the faeces. Only negligible amounts of </w:t>
      </w:r>
      <w:proofErr w:type="spellStart"/>
      <w:r w:rsidRPr="003E0AF3">
        <w:rPr>
          <w:szCs w:val="24"/>
        </w:rPr>
        <w:t>vortioxetine</w:t>
      </w:r>
      <w:proofErr w:type="spellEnd"/>
      <w:r w:rsidRPr="003E0AF3">
        <w:rPr>
          <w:szCs w:val="24"/>
        </w:rPr>
        <w:t xml:space="preserve"> are excreted in the faeces. Steady-state</w:t>
      </w:r>
      <w:r w:rsidR="003068B6" w:rsidRPr="003E0AF3">
        <w:rPr>
          <w:szCs w:val="24"/>
        </w:rPr>
        <w:t xml:space="preserve"> </w:t>
      </w:r>
      <w:r w:rsidRPr="003E0AF3">
        <w:rPr>
          <w:szCs w:val="24"/>
        </w:rPr>
        <w:t>plasma concentrations are achieved in approximately 2 weeks.</w:t>
      </w:r>
    </w:p>
    <w:p w:rsidR="00D36933" w:rsidRPr="003E0AF3" w:rsidRDefault="00D36933" w:rsidP="00D36933">
      <w:pPr>
        <w:rPr>
          <w:b/>
          <w:i/>
          <w:szCs w:val="24"/>
        </w:rPr>
      </w:pPr>
      <w:r w:rsidRPr="003E0AF3">
        <w:rPr>
          <w:b/>
          <w:i/>
          <w:szCs w:val="24"/>
        </w:rPr>
        <w:t>Linearity/non-linearity</w:t>
      </w:r>
    </w:p>
    <w:p w:rsidR="00D36933" w:rsidRPr="003E0AF3" w:rsidRDefault="00D36933" w:rsidP="00D36933">
      <w:pPr>
        <w:rPr>
          <w:szCs w:val="24"/>
        </w:rPr>
      </w:pPr>
      <w:r w:rsidRPr="003E0AF3">
        <w:rPr>
          <w:szCs w:val="24"/>
        </w:rPr>
        <w:t>The pharmacokinetics is linear and time independent in the dose range studied.</w:t>
      </w:r>
    </w:p>
    <w:p w:rsidR="00D36933" w:rsidRPr="00FD6BE2" w:rsidRDefault="00D36933" w:rsidP="00D36933">
      <w:pPr>
        <w:rPr>
          <w:b/>
          <w:i/>
          <w:szCs w:val="24"/>
        </w:rPr>
      </w:pPr>
      <w:r w:rsidRPr="00FD6BE2">
        <w:rPr>
          <w:b/>
          <w:i/>
          <w:szCs w:val="24"/>
        </w:rPr>
        <w:t>Pharmacokinetic/</w:t>
      </w:r>
      <w:proofErr w:type="spellStart"/>
      <w:r w:rsidRPr="00FD6BE2">
        <w:rPr>
          <w:b/>
          <w:i/>
          <w:szCs w:val="24"/>
        </w:rPr>
        <w:t>pharmacodynamic</w:t>
      </w:r>
      <w:proofErr w:type="spellEnd"/>
      <w:r w:rsidRPr="00FD6BE2">
        <w:rPr>
          <w:b/>
          <w:i/>
          <w:szCs w:val="24"/>
        </w:rPr>
        <w:t xml:space="preserve"> relationship(s)</w:t>
      </w:r>
    </w:p>
    <w:p w:rsidR="00BB184F" w:rsidRPr="003E0AF3" w:rsidRDefault="00D36933" w:rsidP="00D36933">
      <w:pPr>
        <w:rPr>
          <w:szCs w:val="24"/>
        </w:rPr>
      </w:pPr>
      <w:r w:rsidRPr="003E0AF3">
        <w:rPr>
          <w:szCs w:val="24"/>
        </w:rPr>
        <w:t>There is a curve-linear concentration-response relationship between the plasma concentrations of</w:t>
      </w:r>
      <w:r w:rsidR="003068B6" w:rsidRPr="003E0AF3">
        <w:rPr>
          <w:szCs w:val="24"/>
        </w:rPr>
        <w:t xml:space="preserve"> </w:t>
      </w:r>
      <w:proofErr w:type="spellStart"/>
      <w:r w:rsidRPr="003E0AF3">
        <w:rPr>
          <w:szCs w:val="24"/>
        </w:rPr>
        <w:t>vortioxetine</w:t>
      </w:r>
      <w:proofErr w:type="spellEnd"/>
      <w:r w:rsidRPr="003E0AF3">
        <w:rPr>
          <w:szCs w:val="24"/>
        </w:rPr>
        <w:t xml:space="preserve"> after single and multiple doses of 2.5 to 60 mg/day and the occupancy of the 5-HT</w:t>
      </w:r>
      <w:r w:rsidR="003068B6" w:rsidRPr="003E0AF3">
        <w:rPr>
          <w:szCs w:val="24"/>
        </w:rPr>
        <w:t xml:space="preserve"> </w:t>
      </w:r>
      <w:r w:rsidRPr="003E0AF3">
        <w:rPr>
          <w:szCs w:val="24"/>
        </w:rPr>
        <w:t>transporter in the brain, as measured using PET.</w:t>
      </w:r>
    </w:p>
    <w:p w:rsidR="004D338B" w:rsidRPr="003E0AF3" w:rsidRDefault="004D338B" w:rsidP="00D36933">
      <w:pPr>
        <w:rPr>
          <w:b/>
          <w:szCs w:val="24"/>
        </w:rPr>
      </w:pPr>
      <w:r w:rsidRPr="003E0AF3">
        <w:rPr>
          <w:b/>
          <w:szCs w:val="24"/>
        </w:rPr>
        <w:t>Special Populations</w:t>
      </w:r>
    </w:p>
    <w:p w:rsidR="00D36933" w:rsidRPr="003E0AF3" w:rsidRDefault="00D36933" w:rsidP="00D36933">
      <w:pPr>
        <w:rPr>
          <w:b/>
          <w:i/>
          <w:szCs w:val="24"/>
        </w:rPr>
      </w:pPr>
      <w:r w:rsidRPr="003E0AF3">
        <w:rPr>
          <w:b/>
          <w:i/>
          <w:szCs w:val="24"/>
        </w:rPr>
        <w:t>Elderly</w:t>
      </w:r>
      <w:r w:rsidR="003068B6" w:rsidRPr="003E0AF3">
        <w:rPr>
          <w:b/>
          <w:i/>
          <w:szCs w:val="24"/>
        </w:rPr>
        <w:t xml:space="preserve"> Patients</w:t>
      </w:r>
    </w:p>
    <w:p w:rsidR="00FA0672" w:rsidRPr="003E0AF3" w:rsidRDefault="00D36933" w:rsidP="00BD5273">
      <w:pPr>
        <w:rPr>
          <w:szCs w:val="24"/>
        </w:rPr>
      </w:pPr>
      <w:r w:rsidRPr="003E0AF3">
        <w:rPr>
          <w:szCs w:val="24"/>
        </w:rPr>
        <w:t xml:space="preserve">In elderly healthy subjects (aged ≥65 years; n=20), the exposure to </w:t>
      </w:r>
      <w:proofErr w:type="spellStart"/>
      <w:r w:rsidRPr="003E0AF3">
        <w:rPr>
          <w:szCs w:val="24"/>
        </w:rPr>
        <w:t>vortioxetine</w:t>
      </w:r>
      <w:proofErr w:type="spellEnd"/>
      <w:r w:rsidRPr="003E0AF3">
        <w:rPr>
          <w:szCs w:val="24"/>
        </w:rPr>
        <w:t xml:space="preserve"> increased up to 27%</w:t>
      </w:r>
      <w:r w:rsidR="003068B6" w:rsidRPr="003E0AF3">
        <w:rPr>
          <w:szCs w:val="24"/>
        </w:rPr>
        <w:t xml:space="preserve"> </w:t>
      </w:r>
      <w:r w:rsidRPr="003E0AF3">
        <w:rPr>
          <w:szCs w:val="24"/>
        </w:rPr>
        <w:t>(</w:t>
      </w:r>
      <w:proofErr w:type="spellStart"/>
      <w:r w:rsidRPr="003E0AF3">
        <w:rPr>
          <w:szCs w:val="24"/>
        </w:rPr>
        <w:t>C</w:t>
      </w:r>
      <w:r w:rsidRPr="00BD5273">
        <w:rPr>
          <w:szCs w:val="24"/>
          <w:vertAlign w:val="subscript"/>
        </w:rPr>
        <w:t>max</w:t>
      </w:r>
      <w:proofErr w:type="spellEnd"/>
      <w:r w:rsidRPr="003E0AF3">
        <w:rPr>
          <w:szCs w:val="24"/>
        </w:rPr>
        <w:t xml:space="preserve"> and AUC) compared to young healthy control subjects (aged ≤45 years) after multiple doses of</w:t>
      </w:r>
      <w:r w:rsidR="003068B6" w:rsidRPr="003E0AF3">
        <w:rPr>
          <w:szCs w:val="24"/>
        </w:rPr>
        <w:t xml:space="preserve"> </w:t>
      </w:r>
      <w:r w:rsidRPr="003E0AF3">
        <w:rPr>
          <w:szCs w:val="24"/>
        </w:rPr>
        <w:t xml:space="preserve">10 mg/day. </w:t>
      </w:r>
      <w:r w:rsidR="00BD5273" w:rsidRPr="00BB1E71">
        <w:rPr>
          <w:szCs w:val="24"/>
        </w:rPr>
        <w:t xml:space="preserve">The recommended starting dose is 5 mg </w:t>
      </w:r>
      <w:proofErr w:type="spellStart"/>
      <w:r w:rsidR="00BD5273" w:rsidRPr="00BB1E71">
        <w:rPr>
          <w:szCs w:val="24"/>
        </w:rPr>
        <w:t>vortioxetine</w:t>
      </w:r>
      <w:proofErr w:type="spellEnd"/>
      <w:r w:rsidR="00BD5273" w:rsidRPr="00BB1E71">
        <w:rPr>
          <w:szCs w:val="24"/>
        </w:rPr>
        <w:t xml:space="preserve"> once dai</w:t>
      </w:r>
      <w:r w:rsidR="00BD5273">
        <w:rPr>
          <w:szCs w:val="24"/>
        </w:rPr>
        <w:t xml:space="preserve">ly </w:t>
      </w:r>
      <w:r w:rsidR="00BD5273" w:rsidRPr="00BB1E71">
        <w:rPr>
          <w:szCs w:val="24"/>
        </w:rPr>
        <w:t xml:space="preserve">in </w:t>
      </w:r>
      <w:proofErr w:type="gramStart"/>
      <w:r w:rsidR="00BD5273" w:rsidRPr="00BB1E71">
        <w:rPr>
          <w:szCs w:val="24"/>
        </w:rPr>
        <w:t>patients</w:t>
      </w:r>
      <w:proofErr w:type="gramEnd"/>
      <w:r w:rsidR="00BD5273" w:rsidRPr="00BB1E71">
        <w:rPr>
          <w:szCs w:val="24"/>
        </w:rPr>
        <w:t xml:space="preserve"> </w:t>
      </w:r>
      <w:r w:rsidR="00BD5273" w:rsidRPr="003E0AF3">
        <w:rPr>
          <w:szCs w:val="24"/>
        </w:rPr>
        <w:t>≥</w:t>
      </w:r>
      <w:r w:rsidR="00BD5273" w:rsidRPr="00BB1E71">
        <w:rPr>
          <w:szCs w:val="24"/>
        </w:rPr>
        <w:t>65 years of age</w:t>
      </w:r>
      <w:r w:rsidR="00BD5273">
        <w:rPr>
          <w:szCs w:val="24"/>
        </w:rPr>
        <w:t xml:space="preserve"> </w:t>
      </w:r>
      <w:r w:rsidRPr="003E0AF3">
        <w:rPr>
          <w:szCs w:val="24"/>
        </w:rPr>
        <w:t>(</w:t>
      </w:r>
      <w:r w:rsidR="00966D13" w:rsidRPr="003E0AF3">
        <w:rPr>
          <w:szCs w:val="24"/>
        </w:rPr>
        <w:t>See DOSAGE &amp; ADMINISTRATION</w:t>
      </w:r>
      <w:r w:rsidRPr="003E0AF3">
        <w:rPr>
          <w:szCs w:val="24"/>
        </w:rPr>
        <w:t>).</w:t>
      </w:r>
    </w:p>
    <w:p w:rsidR="00D36933" w:rsidRPr="003E0AF3" w:rsidRDefault="00D36933" w:rsidP="00D36933">
      <w:pPr>
        <w:rPr>
          <w:b/>
          <w:i/>
          <w:szCs w:val="24"/>
        </w:rPr>
      </w:pPr>
      <w:r w:rsidRPr="003E0AF3">
        <w:rPr>
          <w:b/>
          <w:i/>
          <w:szCs w:val="24"/>
        </w:rPr>
        <w:t>Renal impairment</w:t>
      </w:r>
    </w:p>
    <w:p w:rsidR="00FA0672" w:rsidRPr="003E0AF3" w:rsidRDefault="00D36933" w:rsidP="00FB3108">
      <w:pPr>
        <w:rPr>
          <w:szCs w:val="24"/>
        </w:rPr>
      </w:pPr>
      <w:r w:rsidRPr="003E0AF3">
        <w:rPr>
          <w:szCs w:val="24"/>
        </w:rPr>
        <w:t xml:space="preserve">Following a single dose of 10 mg </w:t>
      </w:r>
      <w:proofErr w:type="spellStart"/>
      <w:r w:rsidRPr="003E0AF3">
        <w:rPr>
          <w:szCs w:val="24"/>
        </w:rPr>
        <w:t>vortioxetine</w:t>
      </w:r>
      <w:proofErr w:type="spellEnd"/>
      <w:r w:rsidRPr="003E0AF3">
        <w:rPr>
          <w:szCs w:val="24"/>
        </w:rPr>
        <w:t>, renal impairment estimated using the Cockcroft-</w:t>
      </w:r>
      <w:proofErr w:type="spellStart"/>
      <w:r w:rsidRPr="003E0AF3">
        <w:rPr>
          <w:szCs w:val="24"/>
        </w:rPr>
        <w:t>Gault</w:t>
      </w:r>
      <w:proofErr w:type="spellEnd"/>
      <w:r w:rsidR="003068B6" w:rsidRPr="003E0AF3">
        <w:rPr>
          <w:szCs w:val="24"/>
        </w:rPr>
        <w:t xml:space="preserve"> </w:t>
      </w:r>
      <w:r w:rsidRPr="003E0AF3">
        <w:rPr>
          <w:szCs w:val="24"/>
        </w:rPr>
        <w:t xml:space="preserve">formula (mild, moderate, or severe; n=8 per group) caused modest exposure increases (up to </w:t>
      </w:r>
      <w:r w:rsidR="00EB4A44">
        <w:rPr>
          <w:szCs w:val="24"/>
        </w:rPr>
        <w:t>11</w:t>
      </w:r>
      <w:r w:rsidRPr="003E0AF3">
        <w:rPr>
          <w:szCs w:val="24"/>
        </w:rPr>
        <w:t>%),</w:t>
      </w:r>
      <w:r w:rsidR="003068B6" w:rsidRPr="003E0AF3">
        <w:rPr>
          <w:szCs w:val="24"/>
        </w:rPr>
        <w:t xml:space="preserve"> </w:t>
      </w:r>
      <w:r w:rsidRPr="003E0AF3">
        <w:rPr>
          <w:szCs w:val="24"/>
        </w:rPr>
        <w:t xml:space="preserve">compared to healthy matched controls. </w:t>
      </w:r>
      <w:r w:rsidR="00587446">
        <w:rPr>
          <w:szCs w:val="24"/>
        </w:rPr>
        <w:t xml:space="preserve"> </w:t>
      </w:r>
      <w:r w:rsidRPr="003E0AF3">
        <w:rPr>
          <w:szCs w:val="24"/>
        </w:rPr>
        <w:t>In patients with end-stage renal disease, only a small fraction</w:t>
      </w:r>
      <w:r w:rsidR="003068B6" w:rsidRPr="003E0AF3">
        <w:rPr>
          <w:szCs w:val="24"/>
        </w:rPr>
        <w:t xml:space="preserve"> </w:t>
      </w:r>
      <w:r w:rsidRPr="003E0AF3">
        <w:rPr>
          <w:szCs w:val="24"/>
        </w:rPr>
        <w:t xml:space="preserve">of </w:t>
      </w:r>
      <w:proofErr w:type="spellStart"/>
      <w:r w:rsidRPr="003E0AF3">
        <w:rPr>
          <w:szCs w:val="24"/>
        </w:rPr>
        <w:t>vortioxetine</w:t>
      </w:r>
      <w:proofErr w:type="spellEnd"/>
      <w:r w:rsidRPr="003E0AF3">
        <w:rPr>
          <w:szCs w:val="24"/>
        </w:rPr>
        <w:t xml:space="preserve"> was lost during the dialysis process (AUC and </w:t>
      </w:r>
      <w:proofErr w:type="spellStart"/>
      <w:r w:rsidRPr="003E0AF3">
        <w:rPr>
          <w:szCs w:val="24"/>
        </w:rPr>
        <w:t>C</w:t>
      </w:r>
      <w:r w:rsidRPr="00A820F3">
        <w:rPr>
          <w:szCs w:val="24"/>
          <w:vertAlign w:val="subscript"/>
        </w:rPr>
        <w:t>max</w:t>
      </w:r>
      <w:proofErr w:type="spellEnd"/>
      <w:r w:rsidRPr="003E0AF3">
        <w:rPr>
          <w:szCs w:val="24"/>
        </w:rPr>
        <w:t xml:space="preserve"> were 13% and 27% lower; n=8)</w:t>
      </w:r>
      <w:r w:rsidR="003068B6" w:rsidRPr="003E0AF3">
        <w:rPr>
          <w:szCs w:val="24"/>
        </w:rPr>
        <w:t xml:space="preserve"> </w:t>
      </w:r>
      <w:r w:rsidRPr="003E0AF3">
        <w:rPr>
          <w:szCs w:val="24"/>
        </w:rPr>
        <w:t xml:space="preserve">following a single 10 mg dose of </w:t>
      </w:r>
      <w:proofErr w:type="spellStart"/>
      <w:r w:rsidRPr="003E0AF3">
        <w:rPr>
          <w:szCs w:val="24"/>
        </w:rPr>
        <w:t>vortioxetine</w:t>
      </w:r>
      <w:proofErr w:type="spellEnd"/>
      <w:r w:rsidRPr="003E0AF3">
        <w:rPr>
          <w:szCs w:val="24"/>
        </w:rPr>
        <w:t xml:space="preserve">. </w:t>
      </w:r>
      <w:r w:rsidR="004B6B80">
        <w:rPr>
          <w:szCs w:val="24"/>
        </w:rPr>
        <w:t xml:space="preserve"> </w:t>
      </w:r>
      <w:r w:rsidRPr="003E0AF3">
        <w:rPr>
          <w:szCs w:val="24"/>
        </w:rPr>
        <w:t>No dose adjustment is needed (</w:t>
      </w:r>
      <w:r w:rsidR="00966D13" w:rsidRPr="003E0AF3">
        <w:rPr>
          <w:szCs w:val="24"/>
        </w:rPr>
        <w:t>See DOSAGE &amp; ADMINISTRATION</w:t>
      </w:r>
      <w:r w:rsidRPr="003E0AF3">
        <w:rPr>
          <w:szCs w:val="24"/>
        </w:rPr>
        <w:t>).</w:t>
      </w:r>
    </w:p>
    <w:p w:rsidR="00D36933" w:rsidRPr="003E0AF3" w:rsidRDefault="00D36933" w:rsidP="00D36933">
      <w:pPr>
        <w:rPr>
          <w:b/>
          <w:i/>
          <w:szCs w:val="24"/>
        </w:rPr>
      </w:pPr>
      <w:r w:rsidRPr="003E0AF3">
        <w:rPr>
          <w:b/>
          <w:i/>
          <w:szCs w:val="24"/>
        </w:rPr>
        <w:t>Hepatic impairment</w:t>
      </w:r>
    </w:p>
    <w:p w:rsidR="00FA0672" w:rsidRPr="003E0AF3" w:rsidRDefault="00D36933" w:rsidP="00FB3108">
      <w:pPr>
        <w:rPr>
          <w:szCs w:val="24"/>
        </w:rPr>
      </w:pPr>
      <w:r w:rsidRPr="003E0AF3">
        <w:rPr>
          <w:szCs w:val="24"/>
        </w:rPr>
        <w:t xml:space="preserve">Following a single dose of 10 mg </w:t>
      </w:r>
      <w:proofErr w:type="spellStart"/>
      <w:r w:rsidRPr="003E0AF3">
        <w:rPr>
          <w:szCs w:val="24"/>
        </w:rPr>
        <w:t>vortioxetine</w:t>
      </w:r>
      <w:proofErr w:type="spellEnd"/>
      <w:r w:rsidRPr="003E0AF3">
        <w:rPr>
          <w:szCs w:val="24"/>
        </w:rPr>
        <w:t>, no impact of mild or moderate hepatic impairment</w:t>
      </w:r>
      <w:r w:rsidR="004F3D20" w:rsidRPr="003E0AF3">
        <w:rPr>
          <w:szCs w:val="24"/>
        </w:rPr>
        <w:t xml:space="preserve"> </w:t>
      </w:r>
      <w:r w:rsidRPr="003E0AF3">
        <w:rPr>
          <w:szCs w:val="24"/>
        </w:rPr>
        <w:t xml:space="preserve">(Child-Pugh Criteria A or B; n=8 per group) was observed on the pharmacokinetics of </w:t>
      </w:r>
      <w:proofErr w:type="spellStart"/>
      <w:r w:rsidRPr="003E0AF3">
        <w:rPr>
          <w:szCs w:val="24"/>
        </w:rPr>
        <w:t>vortioxetine</w:t>
      </w:r>
      <w:proofErr w:type="spellEnd"/>
      <w:r w:rsidR="004F3D20" w:rsidRPr="003E0AF3">
        <w:rPr>
          <w:szCs w:val="24"/>
        </w:rPr>
        <w:t xml:space="preserve"> </w:t>
      </w:r>
      <w:r w:rsidRPr="003E0AF3">
        <w:rPr>
          <w:szCs w:val="24"/>
        </w:rPr>
        <w:t xml:space="preserve">(changes in AUC less than 10%). </w:t>
      </w:r>
      <w:r w:rsidR="004B6B80">
        <w:rPr>
          <w:szCs w:val="24"/>
        </w:rPr>
        <w:t xml:space="preserve"> </w:t>
      </w:r>
      <w:r w:rsidRPr="003E0AF3">
        <w:rPr>
          <w:szCs w:val="24"/>
        </w:rPr>
        <w:t>No dose adjustment is needed (</w:t>
      </w:r>
      <w:r w:rsidR="00966D13" w:rsidRPr="003E0AF3">
        <w:rPr>
          <w:szCs w:val="24"/>
        </w:rPr>
        <w:t>See DOSAGE &amp; ADMINISTRATION</w:t>
      </w:r>
      <w:r w:rsidRPr="003E0AF3">
        <w:rPr>
          <w:szCs w:val="24"/>
        </w:rPr>
        <w:t>).</w:t>
      </w:r>
    </w:p>
    <w:p w:rsidR="002E2DD9" w:rsidRPr="003E0AF3" w:rsidRDefault="002E2DD9" w:rsidP="002E2DD9">
      <w:pPr>
        <w:rPr>
          <w:b/>
          <w:i/>
          <w:szCs w:val="24"/>
        </w:rPr>
      </w:pPr>
      <w:r w:rsidRPr="003E0AF3">
        <w:rPr>
          <w:b/>
          <w:i/>
          <w:szCs w:val="24"/>
        </w:rPr>
        <w:t>CYP2D6 poor metabolisers</w:t>
      </w:r>
    </w:p>
    <w:p w:rsidR="00FA0672" w:rsidRPr="003E0AF3" w:rsidRDefault="002E2DD9" w:rsidP="00FB3108">
      <w:pPr>
        <w:rPr>
          <w:color w:val="800080"/>
          <w:szCs w:val="24"/>
        </w:rPr>
      </w:pPr>
      <w:r w:rsidRPr="003E0AF3">
        <w:rPr>
          <w:szCs w:val="24"/>
        </w:rPr>
        <w:t xml:space="preserve">The plasma concentration of </w:t>
      </w:r>
      <w:proofErr w:type="spellStart"/>
      <w:r w:rsidRPr="003E0AF3">
        <w:rPr>
          <w:szCs w:val="24"/>
        </w:rPr>
        <w:t>vortioxetine</w:t>
      </w:r>
      <w:proofErr w:type="spellEnd"/>
      <w:r w:rsidRPr="003E0AF3">
        <w:rPr>
          <w:szCs w:val="24"/>
        </w:rPr>
        <w:t xml:space="preserve"> was approximately two times higher in CYP2D6 poor metabolisers than in extensive metabolisers. </w:t>
      </w:r>
      <w:r w:rsidR="00587446">
        <w:rPr>
          <w:szCs w:val="24"/>
        </w:rPr>
        <w:t xml:space="preserve"> </w:t>
      </w:r>
      <w:r w:rsidRPr="003E0AF3">
        <w:rPr>
          <w:szCs w:val="24"/>
        </w:rPr>
        <w:t>No dose adjustment is needed</w:t>
      </w:r>
      <w:r w:rsidR="00FA0672" w:rsidRPr="003E0AF3">
        <w:rPr>
          <w:szCs w:val="24"/>
        </w:rPr>
        <w:t xml:space="preserve"> </w:t>
      </w:r>
      <w:r w:rsidR="00BB184F" w:rsidRPr="003E0AF3">
        <w:rPr>
          <w:szCs w:val="24"/>
        </w:rPr>
        <w:t>(See DOSAGE &amp; ADMINISTRATION)</w:t>
      </w:r>
      <w:r w:rsidR="00FA0672" w:rsidRPr="003E0AF3">
        <w:rPr>
          <w:szCs w:val="24"/>
        </w:rPr>
        <w:t>.</w:t>
      </w:r>
    </w:p>
    <w:p w:rsidR="00BB184F" w:rsidRPr="003E0AF3" w:rsidRDefault="00BB184F" w:rsidP="00BB184F">
      <w:pPr>
        <w:widowControl w:val="0"/>
        <w:rPr>
          <w:b/>
          <w:i/>
          <w:szCs w:val="24"/>
          <w:lang w:eastAsia="en-CA"/>
        </w:rPr>
      </w:pPr>
      <w:r w:rsidRPr="003E0AF3">
        <w:rPr>
          <w:b/>
          <w:i/>
          <w:szCs w:val="24"/>
          <w:lang w:eastAsia="en-CA"/>
        </w:rPr>
        <w:t>Gender</w:t>
      </w:r>
    </w:p>
    <w:p w:rsidR="00BB184F" w:rsidRPr="003E0AF3" w:rsidRDefault="00BB184F" w:rsidP="00BB184F">
      <w:pPr>
        <w:widowControl w:val="0"/>
        <w:rPr>
          <w:szCs w:val="24"/>
          <w:lang w:eastAsia="en-CA"/>
        </w:rPr>
      </w:pPr>
      <w:r w:rsidRPr="003E0AF3">
        <w:rPr>
          <w:szCs w:val="24"/>
          <w:lang w:eastAsia="en-CA"/>
        </w:rPr>
        <w:t xml:space="preserve">Systemic exposures </w:t>
      </w:r>
      <w:r w:rsidR="008B0831">
        <w:rPr>
          <w:szCs w:val="24"/>
          <w:lang w:eastAsia="en-CA"/>
        </w:rPr>
        <w:t xml:space="preserve">are similar </w:t>
      </w:r>
      <w:r w:rsidRPr="003E0AF3">
        <w:rPr>
          <w:szCs w:val="24"/>
          <w:lang w:eastAsia="en-CA"/>
        </w:rPr>
        <w:t xml:space="preserve">between males and females </w:t>
      </w:r>
      <w:r w:rsidR="005749AC">
        <w:rPr>
          <w:szCs w:val="24"/>
          <w:lang w:eastAsia="en-CA"/>
        </w:rPr>
        <w:t xml:space="preserve">of comparable body size </w:t>
      </w:r>
      <w:r w:rsidRPr="003E0AF3">
        <w:rPr>
          <w:szCs w:val="24"/>
          <w:lang w:eastAsia="en-CA"/>
        </w:rPr>
        <w:t>and no dose adjustment is needed.</w:t>
      </w:r>
    </w:p>
    <w:p w:rsidR="00BB184F" w:rsidRPr="003E0AF3" w:rsidRDefault="00BB184F" w:rsidP="00BB184F">
      <w:pPr>
        <w:widowControl w:val="0"/>
        <w:rPr>
          <w:b/>
          <w:i/>
          <w:szCs w:val="24"/>
          <w:lang w:eastAsia="en-CA"/>
        </w:rPr>
      </w:pPr>
      <w:r w:rsidRPr="003E0AF3">
        <w:rPr>
          <w:b/>
          <w:i/>
          <w:szCs w:val="24"/>
          <w:lang w:eastAsia="en-CA"/>
        </w:rPr>
        <w:lastRenderedPageBreak/>
        <w:t>Race</w:t>
      </w:r>
    </w:p>
    <w:p w:rsidR="00FA0672" w:rsidRPr="003E0AF3" w:rsidRDefault="00BB184F" w:rsidP="00BB184F">
      <w:pPr>
        <w:widowControl w:val="0"/>
        <w:rPr>
          <w:szCs w:val="24"/>
          <w:lang w:eastAsia="en-CA"/>
        </w:rPr>
      </w:pPr>
      <w:r w:rsidRPr="003E0AF3">
        <w:rPr>
          <w:szCs w:val="24"/>
          <w:lang w:eastAsia="en-CA"/>
        </w:rPr>
        <w:t>No dose adjustment on the basis of race or ethnicity is needed</w:t>
      </w:r>
      <w:r w:rsidR="005749AC">
        <w:rPr>
          <w:szCs w:val="24"/>
          <w:lang w:eastAsia="en-CA"/>
        </w:rPr>
        <w:t xml:space="preserve"> based on the population PK study</w:t>
      </w:r>
      <w:r w:rsidRPr="003E0AF3">
        <w:rPr>
          <w:szCs w:val="24"/>
          <w:lang w:eastAsia="en-CA"/>
        </w:rPr>
        <w:t xml:space="preserve">. </w:t>
      </w:r>
      <w:r w:rsidR="00A820F3">
        <w:rPr>
          <w:szCs w:val="24"/>
          <w:lang w:eastAsia="en-CA"/>
        </w:rPr>
        <w:t xml:space="preserve"> </w:t>
      </w:r>
      <w:r w:rsidRPr="003E0AF3">
        <w:rPr>
          <w:szCs w:val="24"/>
          <w:lang w:eastAsia="en-CA"/>
        </w:rPr>
        <w:t xml:space="preserve">Race or ethnicity had no apparent effect on the pharmacokinetics of </w:t>
      </w:r>
      <w:proofErr w:type="spellStart"/>
      <w:r w:rsidRPr="003E0AF3">
        <w:rPr>
          <w:szCs w:val="24"/>
          <w:lang w:eastAsia="en-CA"/>
        </w:rPr>
        <w:t>vortioxetine</w:t>
      </w:r>
      <w:proofErr w:type="spellEnd"/>
      <w:r w:rsidRPr="003E0AF3">
        <w:rPr>
          <w:szCs w:val="24"/>
          <w:lang w:eastAsia="en-CA"/>
        </w:rPr>
        <w:t>.</w:t>
      </w:r>
    </w:p>
    <w:p w:rsidR="00474A23" w:rsidRPr="003E0AF3" w:rsidRDefault="00E47981" w:rsidP="007B0A41">
      <w:pPr>
        <w:pStyle w:val="Heading1"/>
      </w:pPr>
      <w:r>
        <w:t>CLINICAL STUDIE</w:t>
      </w:r>
      <w:r w:rsidR="00F849E8" w:rsidRPr="003E0AF3">
        <w:t>S</w:t>
      </w:r>
    </w:p>
    <w:p w:rsidR="005D4BCD" w:rsidRPr="003E0AF3" w:rsidRDefault="00535F68" w:rsidP="00C234AB">
      <w:pPr>
        <w:autoSpaceDE w:val="0"/>
        <w:autoSpaceDN w:val="0"/>
        <w:adjustRightInd w:val="0"/>
        <w:rPr>
          <w:rFonts w:eastAsia="SimSun"/>
          <w:b/>
          <w:szCs w:val="24"/>
          <w:lang w:eastAsia="zh-CN"/>
        </w:rPr>
      </w:pPr>
      <w:r>
        <w:rPr>
          <w:rFonts w:eastAsia="SimSun"/>
          <w:b/>
          <w:szCs w:val="24"/>
          <w:lang w:eastAsia="zh-CN"/>
        </w:rPr>
        <w:t>Major Depressive Disorder (</w:t>
      </w:r>
      <w:r w:rsidR="00C234AB" w:rsidRPr="003E0AF3">
        <w:rPr>
          <w:rFonts w:eastAsia="SimSun"/>
          <w:b/>
          <w:szCs w:val="24"/>
          <w:lang w:eastAsia="zh-CN"/>
        </w:rPr>
        <w:t>MDD</w:t>
      </w:r>
      <w:r>
        <w:rPr>
          <w:rFonts w:eastAsia="SimSun"/>
          <w:b/>
          <w:szCs w:val="24"/>
          <w:lang w:eastAsia="zh-CN"/>
        </w:rPr>
        <w:t>)</w:t>
      </w:r>
      <w:r w:rsidR="00C234AB" w:rsidRPr="003E0AF3">
        <w:rPr>
          <w:rFonts w:eastAsia="SimSun"/>
          <w:b/>
          <w:szCs w:val="24"/>
          <w:lang w:eastAsia="zh-CN"/>
        </w:rPr>
        <w:t xml:space="preserve"> Short Term Studies</w:t>
      </w:r>
      <w:r w:rsidR="00243359" w:rsidRPr="003E0AF3">
        <w:rPr>
          <w:rFonts w:eastAsia="SimSun"/>
          <w:b/>
          <w:szCs w:val="24"/>
          <w:lang w:eastAsia="zh-CN"/>
        </w:rPr>
        <w:t xml:space="preserve"> in Adults </w:t>
      </w:r>
      <w:r w:rsidR="00927AA9">
        <w:rPr>
          <w:rFonts w:eastAsia="SimSun"/>
          <w:b/>
          <w:szCs w:val="24"/>
          <w:lang w:eastAsia="zh-CN"/>
        </w:rPr>
        <w:t xml:space="preserve">including </w:t>
      </w:r>
      <w:r w:rsidR="00243359" w:rsidRPr="003E0AF3">
        <w:rPr>
          <w:rFonts w:eastAsia="SimSun"/>
          <w:b/>
          <w:szCs w:val="24"/>
          <w:lang w:eastAsia="zh-CN"/>
        </w:rPr>
        <w:t>Elderly</w:t>
      </w:r>
    </w:p>
    <w:p w:rsidR="004F6922" w:rsidRDefault="000A2B73" w:rsidP="007C3E6B">
      <w:pPr>
        <w:suppressAutoHyphens/>
        <w:overflowPunct w:val="0"/>
        <w:autoSpaceDE w:val="0"/>
        <w:autoSpaceDN w:val="0"/>
        <w:adjustRightInd w:val="0"/>
        <w:spacing w:before="240"/>
        <w:textAlignment w:val="baseline"/>
        <w:rPr>
          <w:lang w:eastAsia="da-DK"/>
        </w:rPr>
      </w:pPr>
      <w:r w:rsidRPr="00CD7B90">
        <w:rPr>
          <w:lang w:eastAsia="da-DK"/>
        </w:rPr>
        <w:t xml:space="preserve">The efficacy and safety of </w:t>
      </w:r>
      <w:r>
        <w:rPr>
          <w:lang w:eastAsia="da-DK"/>
        </w:rPr>
        <w:t xml:space="preserve">BRINTELLIX </w:t>
      </w:r>
      <w:r w:rsidRPr="00CD7B90">
        <w:rPr>
          <w:lang w:eastAsia="da-DK"/>
        </w:rPr>
        <w:t xml:space="preserve">have been studied in a clinical program that included more than 6,700 patients, of whom more than 3,700 were treated with </w:t>
      </w:r>
      <w:r>
        <w:rPr>
          <w:lang w:eastAsia="da-DK"/>
        </w:rPr>
        <w:t xml:space="preserve">BRINTELLIX </w:t>
      </w:r>
      <w:r w:rsidRPr="00CD7B90">
        <w:rPr>
          <w:lang w:eastAsia="da-DK"/>
        </w:rPr>
        <w:t xml:space="preserve">in short-term (≤12 weeks) studies in major depressive disorder (MDD). </w:t>
      </w:r>
      <w:r>
        <w:rPr>
          <w:lang w:eastAsia="da-DK"/>
        </w:rPr>
        <w:t xml:space="preserve"> </w:t>
      </w:r>
      <w:r w:rsidRPr="00CD7B90">
        <w:rPr>
          <w:lang w:eastAsia="da-DK"/>
        </w:rPr>
        <w:t xml:space="preserve">Twelve double-blind, placebo controlled, 6/8-week, fixed-dose studies have been conducted to investigate the short-term efficacy of </w:t>
      </w:r>
      <w:r>
        <w:rPr>
          <w:lang w:eastAsia="da-DK"/>
        </w:rPr>
        <w:t xml:space="preserve">BRINTELLIX </w:t>
      </w:r>
      <w:r w:rsidRPr="00CD7B90">
        <w:rPr>
          <w:lang w:eastAsia="da-DK"/>
        </w:rPr>
        <w:t xml:space="preserve">in MDD both in adults and in the elderly. </w:t>
      </w:r>
      <w:r>
        <w:rPr>
          <w:lang w:eastAsia="da-DK"/>
        </w:rPr>
        <w:t xml:space="preserve"> </w:t>
      </w:r>
      <w:r w:rsidRPr="00CD7B90">
        <w:rPr>
          <w:lang w:eastAsia="da-DK"/>
        </w:rPr>
        <w:t xml:space="preserve">The efficacy of </w:t>
      </w:r>
      <w:r>
        <w:rPr>
          <w:lang w:eastAsia="da-DK"/>
        </w:rPr>
        <w:t xml:space="preserve">BRINTELLIX </w:t>
      </w:r>
      <w:r w:rsidRPr="00CD7B90">
        <w:rPr>
          <w:lang w:eastAsia="da-DK"/>
        </w:rPr>
        <w:t xml:space="preserve">was demonstrated across 9 of the 12 studies, as measured by improvement in the Montgomery and </w:t>
      </w:r>
      <w:proofErr w:type="spellStart"/>
      <w:r w:rsidRPr="00CD7B90">
        <w:rPr>
          <w:lang w:eastAsia="da-DK"/>
        </w:rPr>
        <w:t>Åsberg</w:t>
      </w:r>
      <w:proofErr w:type="spellEnd"/>
      <w:r w:rsidRPr="00CD7B90">
        <w:rPr>
          <w:lang w:eastAsia="da-DK"/>
        </w:rPr>
        <w:t xml:space="preserve"> Depression Rating Scale (MADRS) or Hamilton Depression Rating Scale 24-item (HAM-D</w:t>
      </w:r>
      <w:r w:rsidRPr="00A820F3">
        <w:rPr>
          <w:vertAlign w:val="subscript"/>
          <w:lang w:eastAsia="da-DK"/>
        </w:rPr>
        <w:t>24</w:t>
      </w:r>
      <w:r w:rsidRPr="00CD7B90">
        <w:rPr>
          <w:lang w:eastAsia="da-DK"/>
        </w:rPr>
        <w:t>) total score, and supported by clinical relevance as demonstrated by the proportions of responders and remitters and the improvement in Clinical Global Impression – Global Improvement (CGI-I) score.</w:t>
      </w:r>
      <w:r>
        <w:rPr>
          <w:lang w:eastAsia="da-DK"/>
        </w:rPr>
        <w:t xml:space="preserve">  </w:t>
      </w:r>
    </w:p>
    <w:p w:rsidR="007C3E6B" w:rsidRDefault="008764F6" w:rsidP="007C3E6B">
      <w:pPr>
        <w:suppressAutoHyphens/>
        <w:overflowPunct w:val="0"/>
        <w:autoSpaceDE w:val="0"/>
        <w:autoSpaceDN w:val="0"/>
        <w:adjustRightInd w:val="0"/>
        <w:spacing w:before="240"/>
        <w:textAlignment w:val="baseline"/>
        <w:rPr>
          <w:lang w:eastAsia="da-DK"/>
        </w:rPr>
      </w:pPr>
      <w:r w:rsidRPr="008764F6">
        <w:rPr>
          <w:lang w:eastAsia="da-DK"/>
        </w:rPr>
        <w:t xml:space="preserve">In each of the 8 short-term studies in adults that demonstrated statistical superiority the effect seen with </w:t>
      </w:r>
      <w:r w:rsidR="000A2B73">
        <w:rPr>
          <w:lang w:eastAsia="da-DK"/>
        </w:rPr>
        <w:t xml:space="preserve">BRINTELLIX </w:t>
      </w:r>
      <w:r w:rsidRPr="008764F6">
        <w:rPr>
          <w:lang w:eastAsia="da-DK"/>
        </w:rPr>
        <w:t xml:space="preserve">ranged from 2.4 to 7.2 points difference to placebo in </w:t>
      </w:r>
      <w:r w:rsidR="005037A2">
        <w:rPr>
          <w:lang w:eastAsia="da-DK"/>
        </w:rPr>
        <w:t>MADRS total score at week 6/8 mixed model repeated measures (M</w:t>
      </w:r>
      <w:r w:rsidRPr="008764F6">
        <w:rPr>
          <w:lang w:eastAsia="da-DK"/>
        </w:rPr>
        <w:t>MRM</w:t>
      </w:r>
      <w:r w:rsidR="005037A2">
        <w:rPr>
          <w:lang w:eastAsia="da-DK"/>
        </w:rPr>
        <w:t>)</w:t>
      </w:r>
      <w:r w:rsidRPr="008764F6">
        <w:rPr>
          <w:lang w:eastAsia="da-DK"/>
        </w:rPr>
        <w:t xml:space="preserve"> analysis</w:t>
      </w:r>
      <w:r>
        <w:rPr>
          <w:lang w:eastAsia="da-DK"/>
        </w:rPr>
        <w:t xml:space="preserve">.  </w:t>
      </w:r>
      <w:r w:rsidRPr="008764F6">
        <w:rPr>
          <w:lang w:eastAsia="da-DK"/>
        </w:rPr>
        <w:t>The antidepressant effect in the individual studies was supported by the meta-analysis</w:t>
      </w:r>
      <w:r>
        <w:rPr>
          <w:lang w:eastAsia="da-DK"/>
        </w:rPr>
        <w:t xml:space="preserve"> using </w:t>
      </w:r>
      <w:r w:rsidRPr="008764F6">
        <w:rPr>
          <w:lang w:eastAsia="da-DK"/>
        </w:rPr>
        <w:t>MMRM of the mean change from baseline in MADRS total score at Week 6/8 in the short-term, placebo-controlled studies in adults.  In the meta-analysis, the overall mean difference to placebo across the studies was statistically significant: -2.3 points (p = 0.007), -3.6 points (p &lt;0.001), and -4.6 points (p &lt;0.001) for the 5, 10, and 20 mg/day doses, respectively; the 15</w:t>
      </w:r>
      <w:r w:rsidR="001A00F1">
        <w:rPr>
          <w:lang w:eastAsia="da-DK"/>
        </w:rPr>
        <w:t xml:space="preserve"> </w:t>
      </w:r>
      <w:r w:rsidRPr="008764F6">
        <w:rPr>
          <w:lang w:eastAsia="da-DK"/>
        </w:rPr>
        <w:t xml:space="preserve">mg/day dose did not separate </w:t>
      </w:r>
      <w:r w:rsidR="00EF349F" w:rsidRPr="00EF349F">
        <w:rPr>
          <w:lang w:eastAsia="da-DK"/>
        </w:rPr>
        <w:t>statistically</w:t>
      </w:r>
      <w:r w:rsidR="00EF349F">
        <w:rPr>
          <w:lang w:eastAsia="da-DK"/>
        </w:rPr>
        <w:t xml:space="preserve"> </w:t>
      </w:r>
      <w:r w:rsidRPr="008764F6">
        <w:rPr>
          <w:lang w:eastAsia="da-DK"/>
        </w:rPr>
        <w:t xml:space="preserve">from placebo in the meta-analysis, but the mean difference to placebo was -2.6 points. </w:t>
      </w:r>
      <w:r w:rsidR="004F6922">
        <w:rPr>
          <w:lang w:eastAsia="da-DK"/>
        </w:rPr>
        <w:t>The efficacy of BRINTELLIX increased with increasing dose.</w:t>
      </w:r>
    </w:p>
    <w:p w:rsidR="008764F6" w:rsidRPr="007C3E6B" w:rsidRDefault="008764F6" w:rsidP="00CD7B90">
      <w:pPr>
        <w:suppressAutoHyphens/>
        <w:overflowPunct w:val="0"/>
        <w:autoSpaceDE w:val="0"/>
        <w:autoSpaceDN w:val="0"/>
        <w:adjustRightInd w:val="0"/>
        <w:spacing w:before="240"/>
        <w:textAlignment w:val="baseline"/>
        <w:rPr>
          <w:dstrike/>
          <w:lang w:eastAsia="da-DK"/>
        </w:rPr>
      </w:pPr>
      <w:r w:rsidRPr="008764F6">
        <w:rPr>
          <w:lang w:eastAsia="da-DK"/>
        </w:rPr>
        <w:t xml:space="preserve">The efficacy of </w:t>
      </w:r>
      <w:r w:rsidR="000A2B73">
        <w:rPr>
          <w:lang w:eastAsia="da-DK"/>
        </w:rPr>
        <w:t xml:space="preserve">BRINTELLIX </w:t>
      </w:r>
      <w:r w:rsidRPr="008764F6">
        <w:rPr>
          <w:lang w:eastAsia="da-DK"/>
        </w:rPr>
        <w:t xml:space="preserve">is supported by the pooled responder analysis, in which the proportion of responders ranged from 46% to 49% for </w:t>
      </w:r>
      <w:proofErr w:type="spellStart"/>
      <w:r w:rsidRPr="008764F6">
        <w:rPr>
          <w:lang w:eastAsia="da-DK"/>
        </w:rPr>
        <w:t>vortioxetine</w:t>
      </w:r>
      <w:proofErr w:type="spellEnd"/>
      <w:r w:rsidRPr="008764F6">
        <w:rPr>
          <w:lang w:eastAsia="da-DK"/>
        </w:rPr>
        <w:t xml:space="preserve"> versus 34% for placebo (p &lt;0.01; NRI analysis).</w:t>
      </w:r>
      <w:r w:rsidR="00064330" w:rsidRPr="00064330">
        <w:rPr>
          <w:lang w:eastAsia="da-DK"/>
        </w:rPr>
        <w:t xml:space="preserve"> </w:t>
      </w:r>
    </w:p>
    <w:p w:rsidR="001564A1" w:rsidRDefault="00733CEF" w:rsidP="00884008">
      <w:pPr>
        <w:autoSpaceDE w:val="0"/>
        <w:autoSpaceDN w:val="0"/>
        <w:adjustRightInd w:val="0"/>
      </w:pPr>
      <w:r>
        <w:rPr>
          <w:lang w:eastAsia="da-DK"/>
        </w:rPr>
        <w:t xml:space="preserve">Furthermore </w:t>
      </w:r>
      <w:r w:rsidR="000A2B73">
        <w:rPr>
          <w:lang w:eastAsia="da-DK"/>
        </w:rPr>
        <w:t>BRINTELLIX</w:t>
      </w:r>
      <w:r w:rsidR="000A2B73" w:rsidRPr="00CD7B90">
        <w:rPr>
          <w:lang w:eastAsia="da-DK"/>
        </w:rPr>
        <w:t>, in the dose range of 5-20 mg/day, demonstrated efficacy on the broad range of depressive symptoms (assessed by improvement in all MADRS single–item scores)</w:t>
      </w:r>
      <w:r w:rsidR="00534CF1">
        <w:rPr>
          <w:lang w:eastAsia="da-DK"/>
        </w:rPr>
        <w:t>.</w:t>
      </w:r>
    </w:p>
    <w:p w:rsidR="00E50FD5" w:rsidRDefault="00302958" w:rsidP="00302958">
      <w:pPr>
        <w:suppressAutoHyphens/>
        <w:overflowPunct w:val="0"/>
        <w:autoSpaceDE w:val="0"/>
        <w:autoSpaceDN w:val="0"/>
        <w:adjustRightInd w:val="0"/>
        <w:spacing w:before="240"/>
        <w:textAlignment w:val="baseline"/>
        <w:rPr>
          <w:lang w:eastAsia="en-CA"/>
        </w:rPr>
      </w:pPr>
      <w:r w:rsidRPr="00587446">
        <w:rPr>
          <w:lang w:eastAsia="en-CA"/>
        </w:rPr>
        <w:t xml:space="preserve">In a 12-week, double-blind, flexible-dose, comparative study in patients with moderate to severe depression who switched antidepressant treatment after an inadequate response to </w:t>
      </w:r>
      <w:r w:rsidR="00AE7CA9">
        <w:rPr>
          <w:lang w:eastAsia="en-CA"/>
        </w:rPr>
        <w:t>one therapy with</w:t>
      </w:r>
      <w:r w:rsidR="00AE7CA9" w:rsidRPr="00587446">
        <w:rPr>
          <w:lang w:eastAsia="en-CA"/>
        </w:rPr>
        <w:t xml:space="preserve"> </w:t>
      </w:r>
      <w:r w:rsidRPr="00587446">
        <w:rPr>
          <w:lang w:eastAsia="en-CA"/>
        </w:rPr>
        <w:t>SSRI/SNRI for the current episode</w:t>
      </w:r>
      <w:r>
        <w:rPr>
          <w:lang w:eastAsia="en-CA"/>
        </w:rPr>
        <w:t>,</w:t>
      </w:r>
      <w:r w:rsidRPr="00587446">
        <w:rPr>
          <w:lang w:eastAsia="en-CA"/>
        </w:rPr>
        <w:t xml:space="preserve"> </w:t>
      </w:r>
      <w:r>
        <w:rPr>
          <w:lang w:eastAsia="en-CA"/>
        </w:rPr>
        <w:t xml:space="preserve">BRINTELLIX </w:t>
      </w:r>
      <w:r w:rsidRPr="00587446">
        <w:rPr>
          <w:lang w:eastAsia="en-CA"/>
        </w:rPr>
        <w:t>10-20 mg/day was statistically significantly better</w:t>
      </w:r>
      <w:r>
        <w:rPr>
          <w:lang w:eastAsia="en-CA"/>
        </w:rPr>
        <w:t xml:space="preserve"> (p=0.002)</w:t>
      </w:r>
      <w:r w:rsidRPr="00587446">
        <w:rPr>
          <w:lang w:eastAsia="en-CA"/>
        </w:rPr>
        <w:t xml:space="preserve"> than </w:t>
      </w:r>
      <w:proofErr w:type="spellStart"/>
      <w:r w:rsidRPr="00587446">
        <w:rPr>
          <w:lang w:eastAsia="en-CA"/>
        </w:rPr>
        <w:t>agomelatine</w:t>
      </w:r>
      <w:proofErr w:type="spellEnd"/>
      <w:r w:rsidRPr="00587446">
        <w:rPr>
          <w:lang w:eastAsia="en-CA"/>
        </w:rPr>
        <w:t xml:space="preserve"> 25-50 mg/day as measured by improvement in the MADRS total score</w:t>
      </w:r>
      <w:r w:rsidRPr="004F6922">
        <w:rPr>
          <w:lang w:eastAsia="en-CA"/>
        </w:rPr>
        <w:t xml:space="preserve">. </w:t>
      </w:r>
    </w:p>
    <w:p w:rsidR="00064330" w:rsidRDefault="00302958" w:rsidP="007505D4">
      <w:pPr>
        <w:suppressAutoHyphens/>
        <w:overflowPunct w:val="0"/>
        <w:autoSpaceDE w:val="0"/>
        <w:autoSpaceDN w:val="0"/>
        <w:adjustRightInd w:val="0"/>
        <w:spacing w:before="240"/>
        <w:textAlignment w:val="baseline"/>
        <w:rPr>
          <w:lang w:eastAsia="da-DK"/>
        </w:rPr>
      </w:pPr>
      <w:r w:rsidRPr="0058111F">
        <w:rPr>
          <w:lang w:eastAsia="da-DK"/>
        </w:rPr>
        <w:t xml:space="preserve">In </w:t>
      </w:r>
      <w:r>
        <w:rPr>
          <w:lang w:eastAsia="da-DK"/>
        </w:rPr>
        <w:t>a</w:t>
      </w:r>
      <w:r w:rsidRPr="0058111F">
        <w:rPr>
          <w:lang w:eastAsia="da-DK"/>
        </w:rPr>
        <w:t xml:space="preserve"> short-term study, in </w:t>
      </w:r>
      <w:r w:rsidR="00AE7CA9">
        <w:rPr>
          <w:lang w:eastAsia="da-DK"/>
        </w:rPr>
        <w:t>adults</w:t>
      </w:r>
      <w:r w:rsidRPr="0058111F">
        <w:rPr>
          <w:lang w:eastAsia="da-DK"/>
        </w:rPr>
        <w:t xml:space="preserve">, </w:t>
      </w:r>
      <w:r>
        <w:rPr>
          <w:lang w:eastAsia="da-DK"/>
        </w:rPr>
        <w:t xml:space="preserve">BRINTELLIX </w:t>
      </w:r>
      <w:r w:rsidRPr="0058111F">
        <w:rPr>
          <w:lang w:eastAsia="da-DK"/>
        </w:rPr>
        <w:t>(10 and 20 mg/day) was superior to placebo (p&lt;0.001</w:t>
      </w:r>
      <w:r>
        <w:rPr>
          <w:lang w:eastAsia="da-DK"/>
        </w:rPr>
        <w:t>)</w:t>
      </w:r>
      <w:r w:rsidRPr="0058111F">
        <w:rPr>
          <w:lang w:eastAsia="da-DK"/>
        </w:rPr>
        <w:t xml:space="preserve"> on the primary outcome measure, a composite cognition score consisting of two neuropsychological tests: a neuropsychological test of executive function, processing speed, and attention, the Digit Symbol Substitution Test (DSST) and a test of learning and memory, the Rey Auditory Verbal Learning Test (RAVLT).</w:t>
      </w:r>
      <w:r w:rsidR="007E10BD">
        <w:rPr>
          <w:lang w:eastAsia="da-DK"/>
        </w:rPr>
        <w:t xml:space="preserve">  </w:t>
      </w:r>
    </w:p>
    <w:p w:rsidR="00CD7B90" w:rsidRPr="00587446" w:rsidRDefault="00693D9D" w:rsidP="007505D4">
      <w:pPr>
        <w:suppressAutoHyphens/>
        <w:overflowPunct w:val="0"/>
        <w:autoSpaceDE w:val="0"/>
        <w:autoSpaceDN w:val="0"/>
        <w:adjustRightInd w:val="0"/>
        <w:spacing w:before="240"/>
        <w:textAlignment w:val="baseline"/>
        <w:rPr>
          <w:b/>
          <w:lang w:eastAsia="da-DK"/>
        </w:rPr>
      </w:pPr>
      <w:r w:rsidRPr="00587446">
        <w:rPr>
          <w:b/>
          <w:lang w:eastAsia="da-DK"/>
        </w:rPr>
        <w:t>MDD Lo</w:t>
      </w:r>
      <w:r w:rsidR="007E2928" w:rsidRPr="00587446">
        <w:rPr>
          <w:b/>
          <w:lang w:eastAsia="da-DK"/>
        </w:rPr>
        <w:t>ng term relapse prevention</w:t>
      </w:r>
    </w:p>
    <w:p w:rsidR="00E16FE7" w:rsidRDefault="00CD7B90" w:rsidP="004A35C5">
      <w:pPr>
        <w:autoSpaceDE w:val="0"/>
        <w:autoSpaceDN w:val="0"/>
        <w:adjustRightInd w:val="0"/>
        <w:rPr>
          <w:lang w:eastAsia="da-DK"/>
        </w:rPr>
      </w:pPr>
      <w:r w:rsidRPr="00CD7B90">
        <w:rPr>
          <w:lang w:eastAsia="da-DK"/>
        </w:rPr>
        <w:lastRenderedPageBreak/>
        <w:t>The maintenance of antidepressant efficacy was demonstrated in a relapse-prevention study.</w:t>
      </w:r>
      <w:r w:rsidR="00B56D12">
        <w:rPr>
          <w:lang w:eastAsia="da-DK"/>
        </w:rPr>
        <w:t xml:space="preserve"> </w:t>
      </w:r>
      <w:r w:rsidRPr="00CD7B90">
        <w:rPr>
          <w:lang w:eastAsia="da-DK"/>
        </w:rPr>
        <w:t xml:space="preserve"> Patients in remission after an initial 12-week open-label treatment period with </w:t>
      </w:r>
      <w:r w:rsidR="009772BA">
        <w:rPr>
          <w:lang w:eastAsia="da-DK"/>
        </w:rPr>
        <w:t xml:space="preserve">BRINTELLIX </w:t>
      </w:r>
      <w:r w:rsidRPr="00CD7B90">
        <w:rPr>
          <w:lang w:eastAsia="da-DK"/>
        </w:rPr>
        <w:t xml:space="preserve">were randomised to </w:t>
      </w:r>
      <w:r w:rsidR="008F6007">
        <w:rPr>
          <w:lang w:eastAsia="da-DK"/>
        </w:rPr>
        <w:t xml:space="preserve">BRINTELLIX </w:t>
      </w:r>
      <w:r w:rsidRPr="00CD7B90">
        <w:rPr>
          <w:lang w:eastAsia="da-DK"/>
        </w:rPr>
        <w:t>5 or 10 mg/day or placebo and observed for relapse during a double-blind period of at least 24 weeks (24 to 64 weeks).</w:t>
      </w:r>
      <w:r w:rsidR="008F6007">
        <w:rPr>
          <w:lang w:eastAsia="da-DK"/>
        </w:rPr>
        <w:t xml:space="preserve"> </w:t>
      </w:r>
      <w:r w:rsidR="004A35C5">
        <w:rPr>
          <w:lang w:eastAsia="da-DK"/>
        </w:rPr>
        <w:t xml:space="preserve"> </w:t>
      </w:r>
      <w:r w:rsidR="00E16FE7">
        <w:rPr>
          <w:lang w:eastAsia="da-DK"/>
        </w:rPr>
        <w:t>A total of 639 patients were treated with open-label BRINTELLIX.  Four hundred (62.6%) patients achieved remission and entered the double</w:t>
      </w:r>
      <w:r w:rsidR="005037A2">
        <w:rPr>
          <w:lang w:eastAsia="da-DK"/>
        </w:rPr>
        <w:t>-</w:t>
      </w:r>
      <w:r w:rsidR="00E16FE7">
        <w:rPr>
          <w:lang w:eastAsia="da-DK"/>
        </w:rPr>
        <w:t xml:space="preserve">blind treatment phase.  </w:t>
      </w:r>
      <w:r w:rsidR="00A22AD2">
        <w:rPr>
          <w:lang w:eastAsia="da-DK"/>
        </w:rPr>
        <w:t>Re</w:t>
      </w:r>
      <w:r w:rsidR="00A22AD2" w:rsidRPr="004D7A1F">
        <w:rPr>
          <w:lang w:eastAsia="da-DK"/>
        </w:rPr>
        <w:t>mission was defined as MADRS total score ≤10.  Relapse was defined as a MADRS total</w:t>
      </w:r>
      <w:r w:rsidR="00A22AD2">
        <w:rPr>
          <w:lang w:eastAsia="da-DK"/>
        </w:rPr>
        <w:t xml:space="preserve"> s</w:t>
      </w:r>
      <w:r w:rsidR="00A22AD2" w:rsidRPr="004D7A1F">
        <w:rPr>
          <w:lang w:eastAsia="da-DK"/>
        </w:rPr>
        <w:t>core</w:t>
      </w:r>
      <w:r w:rsidR="00A22AD2">
        <w:rPr>
          <w:lang w:eastAsia="da-DK"/>
        </w:rPr>
        <w:t xml:space="preserve"> </w:t>
      </w:r>
      <w:r w:rsidR="00A22AD2" w:rsidRPr="004D7A1F">
        <w:rPr>
          <w:lang w:eastAsia="da-DK"/>
        </w:rPr>
        <w:t>≥22 or lack of efficacy, as judged by the investigator.</w:t>
      </w:r>
    </w:p>
    <w:p w:rsidR="00CE080B" w:rsidRDefault="004A35C5" w:rsidP="004A35C5">
      <w:pPr>
        <w:autoSpaceDE w:val="0"/>
        <w:autoSpaceDN w:val="0"/>
        <w:adjustRightInd w:val="0"/>
        <w:rPr>
          <w:lang w:eastAsia="da-DK"/>
        </w:rPr>
      </w:pPr>
      <w:r>
        <w:rPr>
          <w:lang w:eastAsia="da-DK"/>
        </w:rPr>
        <w:t>BRINTELLIX was superior (p=0.004) to placebo on the primary outcome measure, the time to relapse of MDD with a hazard ratio of 2.0; that is, the risk of relapse was two times higher in the placebo group than in the BRINTELLIX group.</w:t>
      </w:r>
    </w:p>
    <w:p w:rsidR="004D7A1F" w:rsidRPr="004D7A1F" w:rsidRDefault="004D7A1F" w:rsidP="004D7A1F">
      <w:pPr>
        <w:autoSpaceDE w:val="0"/>
        <w:autoSpaceDN w:val="0"/>
        <w:adjustRightInd w:val="0"/>
        <w:rPr>
          <w:lang w:eastAsia="da-DK"/>
        </w:rPr>
      </w:pPr>
      <w:r w:rsidRPr="004D7A1F">
        <w:rPr>
          <w:lang w:eastAsia="da-DK"/>
        </w:rPr>
        <w:t>Re</w:t>
      </w:r>
      <w:r w:rsidR="00A34C8D">
        <w:rPr>
          <w:lang w:eastAsia="da-DK"/>
        </w:rPr>
        <w:t xml:space="preserve">lapse rates during the first 24 weeks of the double-blind period were 13.2% in the combined 5 mg and 10 mg BRINTELLIX groups and 26.0% in the placebo group.  </w:t>
      </w:r>
    </w:p>
    <w:p w:rsidR="004D7A1F" w:rsidRDefault="00FF1521" w:rsidP="004F6922">
      <w:pPr>
        <w:autoSpaceDE w:val="0"/>
        <w:autoSpaceDN w:val="0"/>
        <w:adjustRightInd w:val="0"/>
        <w:jc w:val="center"/>
        <w:rPr>
          <w:b/>
          <w:lang w:eastAsia="da-DK"/>
        </w:rPr>
      </w:pPr>
      <w:r>
        <w:rPr>
          <w:noProof/>
          <w:lang w:val="en-AU" w:eastAsia="en-AU"/>
        </w:rPr>
        <w:drawing>
          <wp:inline distT="0" distB="0" distL="0" distR="0">
            <wp:extent cx="4370070" cy="30759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70070" cy="3075940"/>
                    </a:xfrm>
                    <a:prstGeom prst="rect">
                      <a:avLst/>
                    </a:prstGeom>
                    <a:noFill/>
                    <a:ln>
                      <a:noFill/>
                    </a:ln>
                  </pic:spPr>
                </pic:pic>
              </a:graphicData>
            </a:graphic>
          </wp:inline>
        </w:drawing>
      </w:r>
    </w:p>
    <w:p w:rsidR="004D7A1F" w:rsidRPr="004D7A1F" w:rsidRDefault="004D7A1F" w:rsidP="004D7A1F">
      <w:pPr>
        <w:autoSpaceDE w:val="0"/>
        <w:autoSpaceDN w:val="0"/>
        <w:adjustRightInd w:val="0"/>
        <w:rPr>
          <w:b/>
          <w:lang w:eastAsia="da-DK"/>
        </w:rPr>
      </w:pPr>
    </w:p>
    <w:p w:rsidR="007B06EE" w:rsidRPr="003E0AF3" w:rsidRDefault="007B06EE" w:rsidP="00C234A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lang w:eastAsia="en-CA"/>
        </w:rPr>
      </w:pPr>
      <w:r w:rsidRPr="003E0AF3">
        <w:rPr>
          <w:b/>
          <w:lang w:eastAsia="en-CA"/>
        </w:rPr>
        <w:t>Other Clinical Efficacy Results</w:t>
      </w:r>
    </w:p>
    <w:p w:rsidR="007B06EE" w:rsidRPr="003E0AF3" w:rsidRDefault="007B06EE" w:rsidP="00C234A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i/>
          <w:lang w:eastAsia="en-CA"/>
        </w:rPr>
      </w:pPr>
      <w:r w:rsidRPr="003E0AF3">
        <w:rPr>
          <w:b/>
          <w:i/>
          <w:lang w:eastAsia="en-CA"/>
        </w:rPr>
        <w:t>Elderly</w:t>
      </w:r>
    </w:p>
    <w:p w:rsidR="00873A02" w:rsidRDefault="007B06EE" w:rsidP="00C234A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CA"/>
        </w:rPr>
      </w:pPr>
      <w:r w:rsidRPr="003E0AF3">
        <w:rPr>
          <w:lang w:eastAsia="en-CA"/>
        </w:rPr>
        <w:t xml:space="preserve">In the double-blind, placebo-controlled, 8-week, fixed-dose study in elderly (≥ 65 years) depressed patients, </w:t>
      </w:r>
      <w:r w:rsidR="002A6678">
        <w:rPr>
          <w:lang w:eastAsia="en-CA"/>
        </w:rPr>
        <w:t>BRINTELLIX</w:t>
      </w:r>
      <w:r w:rsidRPr="003E0AF3">
        <w:rPr>
          <w:lang w:eastAsia="en-CA"/>
        </w:rPr>
        <w:t xml:space="preserve"> 5 mg/day was </w:t>
      </w:r>
      <w:r w:rsidR="008F6007">
        <w:rPr>
          <w:lang w:eastAsia="en-CA"/>
        </w:rPr>
        <w:t xml:space="preserve">statistically significantly </w:t>
      </w:r>
      <w:r w:rsidRPr="003E0AF3">
        <w:rPr>
          <w:lang w:eastAsia="en-CA"/>
        </w:rPr>
        <w:t xml:space="preserve">superior to placebo </w:t>
      </w:r>
      <w:r w:rsidR="003B790D">
        <w:rPr>
          <w:lang w:eastAsia="en-CA"/>
        </w:rPr>
        <w:t xml:space="preserve">(p=0.001) </w:t>
      </w:r>
      <w:r w:rsidRPr="003E0AF3">
        <w:rPr>
          <w:lang w:eastAsia="en-CA"/>
        </w:rPr>
        <w:t>as measured by improvement in the HAM-D</w:t>
      </w:r>
      <w:r w:rsidRPr="00240849">
        <w:rPr>
          <w:vertAlign w:val="subscript"/>
          <w:lang w:eastAsia="en-CA"/>
        </w:rPr>
        <w:t>24</w:t>
      </w:r>
      <w:r w:rsidRPr="003E0AF3">
        <w:rPr>
          <w:lang w:eastAsia="en-CA"/>
        </w:rPr>
        <w:t xml:space="preserve"> and MADRS total scores</w:t>
      </w:r>
      <w:r w:rsidR="00A4075D" w:rsidRPr="003E0AF3">
        <w:rPr>
          <w:lang w:eastAsia="en-CA"/>
        </w:rPr>
        <w:t>.</w:t>
      </w:r>
      <w:r w:rsidR="00587446">
        <w:rPr>
          <w:lang w:eastAsia="en-CA"/>
        </w:rPr>
        <w:t xml:space="preserve"> </w:t>
      </w:r>
    </w:p>
    <w:p w:rsidR="007B06EE" w:rsidRPr="003E0AF3" w:rsidRDefault="007B06EE" w:rsidP="00C234A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i/>
          <w:lang w:eastAsia="en-CA"/>
        </w:rPr>
      </w:pPr>
      <w:r w:rsidRPr="003E0AF3">
        <w:rPr>
          <w:b/>
          <w:i/>
          <w:lang w:eastAsia="en-CA"/>
        </w:rPr>
        <w:t>Patients with Severe Depression or High Levels of Anxiety Symptoms</w:t>
      </w:r>
    </w:p>
    <w:p w:rsidR="007B06EE" w:rsidRPr="003E0AF3" w:rsidRDefault="008F6007" w:rsidP="00C234A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i/>
          <w:lang w:eastAsia="en-CA"/>
        </w:rPr>
      </w:pPr>
      <w:r w:rsidRPr="008F6007">
        <w:rPr>
          <w:lang w:eastAsia="en-CA"/>
        </w:rPr>
        <w:t xml:space="preserve">In severely depressed patients (baseline MADRS total score ≥30) and in depressed patients with a high level of anxiety symptoms (baseline HAM-A total score ≥20) </w:t>
      </w:r>
      <w:r w:rsidR="000A2B73">
        <w:rPr>
          <w:lang w:eastAsia="en-CA"/>
        </w:rPr>
        <w:t xml:space="preserve">BRINTELLIX </w:t>
      </w:r>
      <w:r w:rsidRPr="008F6007">
        <w:rPr>
          <w:lang w:eastAsia="en-CA"/>
        </w:rPr>
        <w:t xml:space="preserve">also demonstrated efficacy in the short-term studies in adults (effect size ranged from 2.8 to 7.3 and from 3.6 to 7.3 points difference, respectively, to placebo in MADRS total score at week 6/8 (MMRM analysis)). </w:t>
      </w:r>
      <w:r>
        <w:rPr>
          <w:lang w:eastAsia="en-CA"/>
        </w:rPr>
        <w:t xml:space="preserve"> </w:t>
      </w:r>
      <w:r w:rsidRPr="008F6007">
        <w:rPr>
          <w:lang w:eastAsia="en-CA"/>
        </w:rPr>
        <w:t xml:space="preserve">In the dedicated study in elderly </w:t>
      </w:r>
      <w:r w:rsidR="000A2B73">
        <w:rPr>
          <w:lang w:eastAsia="en-CA"/>
        </w:rPr>
        <w:t xml:space="preserve">BRINTELLIX </w:t>
      </w:r>
      <w:r w:rsidRPr="008F6007">
        <w:rPr>
          <w:lang w:eastAsia="en-CA"/>
        </w:rPr>
        <w:t>was also effective in these patients.</w:t>
      </w:r>
      <w:r>
        <w:rPr>
          <w:lang w:eastAsia="en-CA"/>
        </w:rPr>
        <w:t xml:space="preserve"> </w:t>
      </w:r>
      <w:r w:rsidRPr="008F6007">
        <w:rPr>
          <w:lang w:eastAsia="en-CA"/>
        </w:rPr>
        <w:t xml:space="preserve"> The maintenance of antidepressant efficacy was also demonstrated in this patient population in the long-term relapse prevention study.</w:t>
      </w:r>
    </w:p>
    <w:p w:rsidR="00474A23" w:rsidRPr="003E0AF3" w:rsidRDefault="005D4BCD" w:rsidP="007B0A41">
      <w:pPr>
        <w:pStyle w:val="Heading1"/>
      </w:pPr>
      <w:r w:rsidRPr="003E0AF3">
        <w:lastRenderedPageBreak/>
        <w:t>INDICATIONS</w:t>
      </w:r>
    </w:p>
    <w:p w:rsidR="005D4BCD" w:rsidRDefault="005D4BCD" w:rsidP="00D80721">
      <w:pPr>
        <w:rPr>
          <w:rFonts w:eastAsia="SimSun"/>
          <w:lang w:eastAsia="zh-CN"/>
        </w:rPr>
      </w:pPr>
      <w:proofErr w:type="gramStart"/>
      <w:r w:rsidRPr="003E0AF3">
        <w:rPr>
          <w:rFonts w:eastAsia="SimSun"/>
          <w:lang w:eastAsia="zh-CN"/>
        </w:rPr>
        <w:t xml:space="preserve">Treatment of major </w:t>
      </w:r>
      <w:r w:rsidR="009B14B5">
        <w:rPr>
          <w:rFonts w:eastAsia="SimSun"/>
          <w:lang w:eastAsia="zh-CN"/>
        </w:rPr>
        <w:t>depressi</w:t>
      </w:r>
      <w:r w:rsidR="000A0ACD">
        <w:rPr>
          <w:rFonts w:eastAsia="SimSun"/>
          <w:lang w:eastAsia="zh-CN"/>
        </w:rPr>
        <w:t xml:space="preserve">ve disorder </w:t>
      </w:r>
      <w:r w:rsidR="009B14B5">
        <w:rPr>
          <w:rFonts w:eastAsia="SimSun"/>
          <w:lang w:eastAsia="zh-CN"/>
        </w:rPr>
        <w:t xml:space="preserve">in adults </w:t>
      </w:r>
      <w:r w:rsidRPr="003E0AF3">
        <w:rPr>
          <w:rFonts w:eastAsia="SimSun"/>
          <w:lang w:eastAsia="zh-CN"/>
        </w:rPr>
        <w:t>including prevention of relapse.</w:t>
      </w:r>
      <w:proofErr w:type="gramEnd"/>
      <w:r w:rsidR="00B97FC3">
        <w:rPr>
          <w:rFonts w:eastAsia="SimSun"/>
          <w:lang w:eastAsia="zh-CN"/>
        </w:rPr>
        <w:t xml:space="preserve"> </w:t>
      </w:r>
    </w:p>
    <w:p w:rsidR="00064330" w:rsidRPr="006405E5" w:rsidRDefault="007E10BD" w:rsidP="006405E5">
      <w:pPr>
        <w:rPr>
          <w:rFonts w:eastAsia="SimSun"/>
          <w:lang w:eastAsia="zh-CN"/>
        </w:rPr>
      </w:pPr>
      <w:proofErr w:type="spellStart"/>
      <w:r w:rsidRPr="007E10BD">
        <w:rPr>
          <w:rFonts w:eastAsia="SimSun"/>
          <w:lang w:eastAsia="zh-CN"/>
        </w:rPr>
        <w:t>Vortioxetine</w:t>
      </w:r>
      <w:proofErr w:type="spellEnd"/>
      <w:r w:rsidRPr="007E10BD">
        <w:rPr>
          <w:rFonts w:eastAsia="SimSun"/>
          <w:lang w:eastAsia="zh-CN"/>
        </w:rPr>
        <w:t xml:space="preserve"> is not indicated for paediatric use.</w:t>
      </w:r>
    </w:p>
    <w:p w:rsidR="00474A23" w:rsidRPr="003E0AF3" w:rsidRDefault="005D4BCD" w:rsidP="007B0A41">
      <w:pPr>
        <w:pStyle w:val="Heading1"/>
      </w:pPr>
      <w:r w:rsidRPr="003E0AF3">
        <w:t>CONTRAINDICATIONS</w:t>
      </w:r>
    </w:p>
    <w:p w:rsidR="00AB273E" w:rsidRPr="003E0AF3" w:rsidRDefault="00AB273E" w:rsidP="003D57AB">
      <w:pPr>
        <w:widowControl w:val="0"/>
        <w:rPr>
          <w:lang w:eastAsia="en-CA"/>
        </w:rPr>
      </w:pPr>
      <w:r w:rsidRPr="003E0AF3">
        <w:rPr>
          <w:lang w:eastAsia="en-CA"/>
        </w:rPr>
        <w:t xml:space="preserve">Hypersensitivity to </w:t>
      </w:r>
      <w:proofErr w:type="spellStart"/>
      <w:r w:rsidRPr="003E0AF3">
        <w:rPr>
          <w:lang w:eastAsia="en-CA"/>
        </w:rPr>
        <w:t>vortioxetine</w:t>
      </w:r>
      <w:proofErr w:type="spellEnd"/>
      <w:r w:rsidRPr="003E0AF3">
        <w:rPr>
          <w:lang w:eastAsia="en-CA"/>
        </w:rPr>
        <w:t xml:space="preserve"> or any of the tablet </w:t>
      </w:r>
      <w:r w:rsidR="008C3E46" w:rsidRPr="003E0AF3">
        <w:rPr>
          <w:lang w:eastAsia="en-CA"/>
        </w:rPr>
        <w:t xml:space="preserve">excipients </w:t>
      </w:r>
      <w:r w:rsidRPr="003E0AF3">
        <w:rPr>
          <w:lang w:eastAsia="en-CA"/>
        </w:rPr>
        <w:t>(</w:t>
      </w:r>
      <w:r w:rsidR="009772BA">
        <w:rPr>
          <w:lang w:eastAsia="en-CA"/>
        </w:rPr>
        <w:t>s</w:t>
      </w:r>
      <w:r w:rsidRPr="003E0AF3">
        <w:rPr>
          <w:lang w:eastAsia="en-CA"/>
        </w:rPr>
        <w:t>ee DESCRIPTION).</w:t>
      </w:r>
    </w:p>
    <w:p w:rsidR="003416CD" w:rsidRPr="003E0AF3" w:rsidRDefault="00A0116F" w:rsidP="00A0116F">
      <w:pPr>
        <w:rPr>
          <w:b/>
          <w:szCs w:val="24"/>
        </w:rPr>
      </w:pPr>
      <w:r w:rsidRPr="003E0AF3">
        <w:rPr>
          <w:b/>
          <w:szCs w:val="24"/>
        </w:rPr>
        <w:t>Monoamine Oxidase Inhibitors (MAOIs</w:t>
      </w:r>
      <w:r w:rsidR="003416CD" w:rsidRPr="003E0AF3">
        <w:rPr>
          <w:b/>
          <w:szCs w:val="24"/>
        </w:rPr>
        <w:t>)</w:t>
      </w:r>
    </w:p>
    <w:p w:rsidR="00F16C1D" w:rsidRPr="003E0AF3" w:rsidRDefault="002A6678" w:rsidP="00A0116F">
      <w:pPr>
        <w:rPr>
          <w:szCs w:val="24"/>
        </w:rPr>
      </w:pPr>
      <w:r w:rsidRPr="00B56D12">
        <w:rPr>
          <w:szCs w:val="24"/>
        </w:rPr>
        <w:t>BRINTELLIX</w:t>
      </w:r>
      <w:r w:rsidR="00A0116F" w:rsidRPr="00B56D12">
        <w:rPr>
          <w:szCs w:val="24"/>
        </w:rPr>
        <w:t xml:space="preserve"> </w:t>
      </w:r>
      <w:r w:rsidR="004478F9" w:rsidRPr="00B56D12">
        <w:rPr>
          <w:szCs w:val="24"/>
        </w:rPr>
        <w:t>should not be used in combination wi</w:t>
      </w:r>
      <w:r w:rsidR="003E28E4" w:rsidRPr="00B56D12">
        <w:rPr>
          <w:szCs w:val="24"/>
        </w:rPr>
        <w:t>th a MAOI, or within at least 14</w:t>
      </w:r>
      <w:r w:rsidR="004478F9" w:rsidRPr="00B56D12">
        <w:rPr>
          <w:szCs w:val="24"/>
        </w:rPr>
        <w:t xml:space="preserve"> days of discontinuing treatment with an MAOI. </w:t>
      </w:r>
      <w:r w:rsidRPr="00B56D12">
        <w:rPr>
          <w:szCs w:val="24"/>
        </w:rPr>
        <w:t>BRINTELLIX</w:t>
      </w:r>
      <w:r w:rsidR="004478F9" w:rsidRPr="00B56D12">
        <w:rPr>
          <w:szCs w:val="24"/>
        </w:rPr>
        <w:t xml:space="preserve"> should be discontinued for at least </w:t>
      </w:r>
      <w:r w:rsidR="003E28E4" w:rsidRPr="00B56D12">
        <w:rPr>
          <w:szCs w:val="24"/>
        </w:rPr>
        <w:t>14</w:t>
      </w:r>
      <w:r w:rsidR="004478F9" w:rsidRPr="00B56D12">
        <w:rPr>
          <w:szCs w:val="24"/>
        </w:rPr>
        <w:t xml:space="preserve"> days before starting treatment with a MAOI</w:t>
      </w:r>
      <w:r w:rsidR="007C6462" w:rsidRPr="00B56D12">
        <w:rPr>
          <w:sz w:val="16"/>
          <w:szCs w:val="16"/>
        </w:rPr>
        <w:t xml:space="preserve"> </w:t>
      </w:r>
      <w:r w:rsidR="00A0116F" w:rsidRPr="00B56D12">
        <w:rPr>
          <w:szCs w:val="24"/>
        </w:rPr>
        <w:t>(see PRECAUTIONS</w:t>
      </w:r>
      <w:r w:rsidR="00AA6861" w:rsidRPr="00B56D12">
        <w:rPr>
          <w:szCs w:val="24"/>
        </w:rPr>
        <w:t xml:space="preserve"> and INTERACTIONS WITH OTHER MEDICINES</w:t>
      </w:r>
      <w:r w:rsidR="00A0116F" w:rsidRPr="00B56D12">
        <w:rPr>
          <w:szCs w:val="24"/>
        </w:rPr>
        <w:t>).</w:t>
      </w:r>
    </w:p>
    <w:p w:rsidR="00B8418F" w:rsidRPr="003E0AF3" w:rsidRDefault="00415BD2" w:rsidP="007B0A41">
      <w:pPr>
        <w:pStyle w:val="Heading1"/>
        <w:rPr>
          <w:szCs w:val="24"/>
        </w:rPr>
      </w:pPr>
      <w:r w:rsidRPr="003E0AF3">
        <w:t>PRECAUTIONS</w:t>
      </w:r>
    </w:p>
    <w:p w:rsidR="008075BB" w:rsidRDefault="008075BB" w:rsidP="003D57AB">
      <w:pPr>
        <w:spacing w:before="120" w:after="120"/>
        <w:rPr>
          <w:b/>
          <w:szCs w:val="24"/>
        </w:rPr>
      </w:pPr>
      <w:r w:rsidRPr="003E0AF3">
        <w:rPr>
          <w:b/>
          <w:szCs w:val="24"/>
        </w:rPr>
        <w:t>Clinical worsening and Suicide Risk</w:t>
      </w:r>
    </w:p>
    <w:p w:rsidR="00456C7E" w:rsidRDefault="008075BB" w:rsidP="008075BB">
      <w:pPr>
        <w:rPr>
          <w:szCs w:val="24"/>
        </w:rPr>
      </w:pPr>
      <w:r w:rsidRPr="003E0AF3">
        <w:rPr>
          <w:szCs w:val="24"/>
        </w:rPr>
        <w:t>The risk of suicide attempt is inherent in depression and may persist until significant remission occurs.  This risk must be considered in all depressed patients.</w:t>
      </w:r>
    </w:p>
    <w:p w:rsidR="008075BB" w:rsidRPr="003E0AF3" w:rsidRDefault="008075BB" w:rsidP="008075BB">
      <w:pPr>
        <w:rPr>
          <w:szCs w:val="24"/>
        </w:rPr>
      </w:pPr>
      <w:r w:rsidRPr="003E0AF3">
        <w:rPr>
          <w:szCs w:val="24"/>
        </w:rPr>
        <w:t xml:space="preserve">Patients with depression may experience worsening of their depressive symptoms and/or the emergence of suicidal ideation and behaviours (suicidality) whether or not they are taking antidepressant medications, and this risk may persist until significant remission occurs. </w:t>
      </w:r>
      <w:r w:rsidR="00B56D12">
        <w:rPr>
          <w:szCs w:val="24"/>
        </w:rPr>
        <w:t xml:space="preserve"> </w:t>
      </w:r>
      <w:r w:rsidRPr="003E0AF3">
        <w:rPr>
          <w:szCs w:val="24"/>
        </w:rPr>
        <w:t>As improvement may not occur during the first few weeks or more of treatment, patients should be closely monitored for clinical worsening and suicidality, especially at the beginning of a course of treatment, or at the time of dose changes, either increases or decreases.  Consideration should be given to changing the therapeutic regimen, including possibly discontinuing the medication, in patients whose depression is persistently worse or whose emergent suicidality is severe, abrupt in onset, or was not part of the patient’s presenting symptoms.</w:t>
      </w:r>
    </w:p>
    <w:p w:rsidR="008075BB" w:rsidRPr="003E0AF3" w:rsidRDefault="008075BB" w:rsidP="008075BB">
      <w:pPr>
        <w:rPr>
          <w:szCs w:val="24"/>
        </w:rPr>
      </w:pPr>
      <w:r w:rsidRPr="003E0AF3">
        <w:rPr>
          <w:szCs w:val="24"/>
        </w:rPr>
        <w:t xml:space="preserve">Patients (and caregivers of patients) should be alerted about the need to monitor for any worsening of their condition and/or the emergence of suicidal ideation/behaviour or thoughts of harming themselves and to seek medical advice immediately if these symptoms are present. </w:t>
      </w:r>
    </w:p>
    <w:p w:rsidR="008075BB" w:rsidRPr="003E0AF3" w:rsidRDefault="008075BB" w:rsidP="008075BB">
      <w:pPr>
        <w:rPr>
          <w:szCs w:val="24"/>
        </w:rPr>
      </w:pPr>
      <w:r w:rsidRPr="003E0AF3">
        <w:rPr>
          <w:szCs w:val="24"/>
        </w:rPr>
        <w:t>Patients with comorbid depression associated with other psychiatric disorders being treated with antidepressants should be similarly observed for clinical worsening and suicidality.</w:t>
      </w:r>
    </w:p>
    <w:p w:rsidR="008075BB" w:rsidRPr="003E0AF3" w:rsidRDefault="008075BB" w:rsidP="008075BB">
      <w:pPr>
        <w:rPr>
          <w:szCs w:val="24"/>
        </w:rPr>
      </w:pPr>
      <w:r w:rsidRPr="003E0AF3">
        <w:rPr>
          <w:szCs w:val="24"/>
        </w:rPr>
        <w:t xml:space="preserve">Patients with a history of suicide-related events, or those exhibiting a significant degree of suicidal ideation prior to commencement of treatment, are at greater risk of suicidal thoughts or suicide attempts, and should receive careful monitoring during treatment. </w:t>
      </w:r>
    </w:p>
    <w:p w:rsidR="008075BB" w:rsidRPr="003E0AF3" w:rsidRDefault="008075BB" w:rsidP="008075BB">
      <w:pPr>
        <w:rPr>
          <w:szCs w:val="24"/>
        </w:rPr>
      </w:pPr>
      <w:r w:rsidRPr="003E0AF3">
        <w:rPr>
          <w:szCs w:val="24"/>
        </w:rPr>
        <w:t xml:space="preserve">Pooled analyses of 24 short-term (4 to 16-week), placebo-controlled </w:t>
      </w:r>
      <w:r w:rsidR="00E47981">
        <w:rPr>
          <w:szCs w:val="24"/>
        </w:rPr>
        <w:t>studies</w:t>
      </w:r>
      <w:r w:rsidRPr="003E0AF3">
        <w:rPr>
          <w:szCs w:val="24"/>
        </w:rPr>
        <w:t xml:space="preserve"> of nine antidepressant medicines (SSRIs and others) in 4,400 children and adolescents with major depressive disorder (16 </w:t>
      </w:r>
      <w:r w:rsidR="00E47981">
        <w:rPr>
          <w:szCs w:val="24"/>
        </w:rPr>
        <w:t>studies</w:t>
      </w:r>
      <w:r w:rsidRPr="003E0AF3">
        <w:rPr>
          <w:szCs w:val="24"/>
        </w:rPr>
        <w:t xml:space="preserve">), obsessive-compulsive disorder (4 </w:t>
      </w:r>
      <w:r w:rsidR="00E47981">
        <w:rPr>
          <w:szCs w:val="24"/>
        </w:rPr>
        <w:t>studies</w:t>
      </w:r>
      <w:r w:rsidRPr="003E0AF3">
        <w:rPr>
          <w:szCs w:val="24"/>
        </w:rPr>
        <w:t xml:space="preserve">), or other psychiatric disorders (4 </w:t>
      </w:r>
      <w:r w:rsidR="00E47981">
        <w:rPr>
          <w:szCs w:val="24"/>
        </w:rPr>
        <w:t>studies</w:t>
      </w:r>
      <w:r w:rsidRPr="003E0AF3">
        <w:rPr>
          <w:szCs w:val="24"/>
        </w:rPr>
        <w:t xml:space="preserve">) have revealed a greater risk of adverse events representing suicidal behaviour or thinking (suicidality) during the first few months of treatment in those receiving antidepressants. </w:t>
      </w:r>
      <w:r w:rsidR="00B56D12">
        <w:rPr>
          <w:szCs w:val="24"/>
        </w:rPr>
        <w:t xml:space="preserve"> </w:t>
      </w:r>
      <w:r w:rsidRPr="003E0AF3">
        <w:rPr>
          <w:szCs w:val="24"/>
        </w:rPr>
        <w:t xml:space="preserve">The average risk of such events in patients treated with an antidepressant was 4%, compared with 2% of patients given placebo.  There was considerable variation in risk among the antidepressants, but there was a tendency towards an increase for almost all antidepressants studied.  The risk of suicidality was most consistently observed in the major depressive disorder </w:t>
      </w:r>
      <w:r w:rsidR="00E47981">
        <w:rPr>
          <w:szCs w:val="24"/>
        </w:rPr>
        <w:t>studies</w:t>
      </w:r>
      <w:r w:rsidRPr="003E0AF3">
        <w:rPr>
          <w:szCs w:val="24"/>
        </w:rPr>
        <w:t xml:space="preserve">, but there were signals of risk arising from </w:t>
      </w:r>
      <w:r w:rsidR="00E47981">
        <w:rPr>
          <w:szCs w:val="24"/>
        </w:rPr>
        <w:t>studies</w:t>
      </w:r>
      <w:r w:rsidRPr="003E0AF3">
        <w:rPr>
          <w:szCs w:val="24"/>
        </w:rPr>
        <w:t xml:space="preserve"> in other psychiatric indications (obsessive-compulsive disorder and social anxiety disorder) as </w:t>
      </w:r>
      <w:r w:rsidRPr="003E0AF3">
        <w:rPr>
          <w:szCs w:val="24"/>
        </w:rPr>
        <w:lastRenderedPageBreak/>
        <w:t xml:space="preserve">well.  No suicides occurred in these </w:t>
      </w:r>
      <w:r w:rsidR="00E47981">
        <w:rPr>
          <w:szCs w:val="24"/>
        </w:rPr>
        <w:t>studies</w:t>
      </w:r>
      <w:r w:rsidRPr="003E0AF3">
        <w:rPr>
          <w:szCs w:val="24"/>
        </w:rPr>
        <w:t>.  It is unknown whether the suicidality risk in children and adolescent patients extends to use beyond several months.  The nine antidepressant medicines in the pooled analyses included five SSRIs (citalopram, fluoxetine, fluvoxamine, paroxetine, sertraline) and four non-SSRIs (</w:t>
      </w:r>
      <w:proofErr w:type="spellStart"/>
      <w:r w:rsidRPr="003E0AF3">
        <w:rPr>
          <w:szCs w:val="24"/>
        </w:rPr>
        <w:t>buproprion</w:t>
      </w:r>
      <w:proofErr w:type="spellEnd"/>
      <w:r w:rsidRPr="003E0AF3">
        <w:rPr>
          <w:szCs w:val="24"/>
        </w:rPr>
        <w:t xml:space="preserve">, mirtazapine, </w:t>
      </w:r>
      <w:proofErr w:type="spellStart"/>
      <w:r w:rsidRPr="003E0AF3">
        <w:rPr>
          <w:szCs w:val="24"/>
        </w:rPr>
        <w:t>nefazodone</w:t>
      </w:r>
      <w:proofErr w:type="spellEnd"/>
      <w:r w:rsidRPr="003E0AF3">
        <w:rPr>
          <w:szCs w:val="24"/>
        </w:rPr>
        <w:t>, venlafaxine).</w:t>
      </w:r>
    </w:p>
    <w:p w:rsidR="008075BB" w:rsidRPr="003E0AF3" w:rsidRDefault="008075BB" w:rsidP="008075BB">
      <w:pPr>
        <w:rPr>
          <w:szCs w:val="24"/>
        </w:rPr>
      </w:pPr>
      <w:r w:rsidRPr="003E0AF3">
        <w:rPr>
          <w:szCs w:val="24"/>
        </w:rPr>
        <w:t xml:space="preserve">Pooled analyses of short-term studies of antidepressant medications have also shown an increased risk of suicidal thinking and behaviour, known as suicidality, in young adults aged 18 to 24 years during initial treatment (generally the first one to two months). </w:t>
      </w:r>
      <w:r w:rsidR="00B56D12">
        <w:rPr>
          <w:szCs w:val="24"/>
        </w:rPr>
        <w:t xml:space="preserve"> </w:t>
      </w:r>
      <w:r w:rsidRPr="003E0AF3">
        <w:rPr>
          <w:szCs w:val="24"/>
        </w:rPr>
        <w:t>Short-term studies did not show an increase in the risk of suicidality with antidepressants compared to placebo in adults beyond the age of 24 years, and there was a reduction with antidepressants compared to placebo in adults aged 65 years and older.</w:t>
      </w:r>
    </w:p>
    <w:p w:rsidR="008075BB" w:rsidRPr="003E0AF3" w:rsidRDefault="008075BB" w:rsidP="008075BB">
      <w:pPr>
        <w:rPr>
          <w:szCs w:val="24"/>
        </w:rPr>
      </w:pPr>
      <w:r w:rsidRPr="003E0AF3">
        <w:rPr>
          <w:szCs w:val="24"/>
        </w:rPr>
        <w:t xml:space="preserve">Symptoms of anxiety, agitation, panic attacks, insomnia, irritability, hostility (aggressiveness), impulsivity, </w:t>
      </w:r>
      <w:proofErr w:type="spellStart"/>
      <w:r w:rsidRPr="003E0AF3">
        <w:rPr>
          <w:szCs w:val="24"/>
        </w:rPr>
        <w:t>akathisia</w:t>
      </w:r>
      <w:proofErr w:type="spellEnd"/>
      <w:r w:rsidRPr="003E0AF3">
        <w:rPr>
          <w:szCs w:val="24"/>
        </w:rPr>
        <w:t xml:space="preserve"> (psychomotor restlessness), hypomania, and mania, have been reported in adults, adolescents and children being treated with antidepressants for major depressive disorder as well as for other indications, both psychiatric and </w:t>
      </w:r>
      <w:proofErr w:type="spellStart"/>
      <w:r w:rsidRPr="003E0AF3">
        <w:rPr>
          <w:szCs w:val="24"/>
        </w:rPr>
        <w:t>nonpsychiatric</w:t>
      </w:r>
      <w:proofErr w:type="spellEnd"/>
      <w:r w:rsidRPr="003E0AF3">
        <w:rPr>
          <w:szCs w:val="24"/>
        </w:rPr>
        <w:t>.  Although a causal link between the emergence of such symptoms and either worsening of depression and/or emergence of suicidal impulses has not been established, there is concern that such symptoms may be precursors of emerging suicidality.</w:t>
      </w:r>
    </w:p>
    <w:p w:rsidR="008075BB" w:rsidRPr="003E0AF3" w:rsidRDefault="008075BB" w:rsidP="008075BB">
      <w:pPr>
        <w:rPr>
          <w:szCs w:val="24"/>
        </w:rPr>
      </w:pPr>
      <w:r w:rsidRPr="003E0AF3">
        <w:rPr>
          <w:szCs w:val="24"/>
        </w:rPr>
        <w:t xml:space="preserve">Families and caregivers of children and adolescents being treated with antidepressants for major depressive disorder or for any other condition (psychiatric or non psychiatric) should be informed about the need to monitor these patients for the emergence of agitation, irritability, unusual changes in behaviour, and other symptoms described above, as well as the emergence of suicidality, and to report such symptoms to health care providers immediately.  It is particularly important that monitoring be undertaken during the initial few months of antidepressant treatment or at times of dose increase or decrease. </w:t>
      </w:r>
    </w:p>
    <w:p w:rsidR="008075BB" w:rsidRDefault="00D27034" w:rsidP="008075BB">
      <w:pPr>
        <w:rPr>
          <w:szCs w:val="24"/>
        </w:rPr>
      </w:pPr>
      <w:r w:rsidRPr="003E0AF3">
        <w:rPr>
          <w:szCs w:val="24"/>
        </w:rPr>
        <w:t xml:space="preserve">Prescriptions for </w:t>
      </w:r>
      <w:r w:rsidR="002A6678">
        <w:rPr>
          <w:szCs w:val="24"/>
        </w:rPr>
        <w:t>BRINTELLIX</w:t>
      </w:r>
      <w:r w:rsidR="008075BB" w:rsidRPr="003E0AF3">
        <w:rPr>
          <w:szCs w:val="24"/>
        </w:rPr>
        <w:t xml:space="preserve"> should be written for the smallest quantity of tablets consistent with good patient management, in order to reduce the risk of overdose.</w:t>
      </w:r>
    </w:p>
    <w:p w:rsidR="00415BD2" w:rsidRPr="003E0AF3" w:rsidRDefault="00415BD2" w:rsidP="00B85804">
      <w:pPr>
        <w:widowControl w:val="0"/>
        <w:rPr>
          <w:strike/>
          <w:szCs w:val="24"/>
        </w:rPr>
      </w:pPr>
      <w:r w:rsidRPr="003E0AF3">
        <w:rPr>
          <w:b/>
          <w:szCs w:val="24"/>
        </w:rPr>
        <w:t>Serotonin syndrome</w:t>
      </w:r>
      <w:r w:rsidR="0030571B">
        <w:rPr>
          <w:b/>
          <w:szCs w:val="24"/>
        </w:rPr>
        <w:t>/Neuroleptic Malignant Syndrome (NMS)</w:t>
      </w:r>
      <w:r w:rsidR="00B8418F" w:rsidRPr="003E0AF3">
        <w:rPr>
          <w:szCs w:val="24"/>
        </w:rPr>
        <w:t xml:space="preserve"> </w:t>
      </w:r>
    </w:p>
    <w:p w:rsidR="009C485F" w:rsidRPr="009C485F" w:rsidRDefault="009C485F" w:rsidP="009C485F">
      <w:pPr>
        <w:rPr>
          <w:szCs w:val="24"/>
        </w:rPr>
      </w:pPr>
      <w:r w:rsidRPr="009C485F">
        <w:rPr>
          <w:szCs w:val="24"/>
        </w:rPr>
        <w:t xml:space="preserve">Development of serotonin syndrome </w:t>
      </w:r>
      <w:r w:rsidR="00AE3ED0">
        <w:rPr>
          <w:szCs w:val="24"/>
        </w:rPr>
        <w:t xml:space="preserve">/NMS </w:t>
      </w:r>
      <w:r w:rsidRPr="009C485F">
        <w:rPr>
          <w:szCs w:val="24"/>
        </w:rPr>
        <w:t xml:space="preserve">may occur in association with treatment with serotonergic antidepressants, particularly when given in combination with MAOIs or other serotonergic agents. </w:t>
      </w:r>
      <w:r w:rsidR="00B56D12">
        <w:rPr>
          <w:szCs w:val="24"/>
        </w:rPr>
        <w:t xml:space="preserve"> </w:t>
      </w:r>
      <w:r w:rsidRPr="009C485F">
        <w:rPr>
          <w:szCs w:val="24"/>
        </w:rPr>
        <w:t>Symptoms and signs of serotonin syndrome</w:t>
      </w:r>
      <w:r w:rsidR="00AE3ED0">
        <w:rPr>
          <w:szCs w:val="24"/>
        </w:rPr>
        <w:t>/NMS</w:t>
      </w:r>
      <w:r w:rsidRPr="009C485F">
        <w:rPr>
          <w:szCs w:val="24"/>
        </w:rPr>
        <w:t xml:space="preserve"> include rapid onset of neuromuscular excitation (</w:t>
      </w:r>
      <w:proofErr w:type="spellStart"/>
      <w:r w:rsidRPr="009C485F">
        <w:rPr>
          <w:szCs w:val="24"/>
        </w:rPr>
        <w:t>hyperreflexia</w:t>
      </w:r>
      <w:proofErr w:type="spellEnd"/>
      <w:r w:rsidRPr="009C485F">
        <w:rPr>
          <w:szCs w:val="24"/>
        </w:rPr>
        <w:t xml:space="preserve">, incoordination, myoclonus, tremor), altered mental status (confusion, agitation, hypomania) and autonomic dysfunction (diaphoresis, diarrhoea, fever, shivering and rapidly fluctuating vital signs). </w:t>
      </w:r>
      <w:r w:rsidR="00B56D12">
        <w:rPr>
          <w:szCs w:val="24"/>
        </w:rPr>
        <w:t xml:space="preserve"> </w:t>
      </w:r>
      <w:r w:rsidRPr="009C485F">
        <w:rPr>
          <w:szCs w:val="24"/>
        </w:rPr>
        <w:t>Treatment with BRINTELLIX should be discontinued if such events occur and supportive symptomatic treatment initiated.</w:t>
      </w:r>
    </w:p>
    <w:p w:rsidR="006046B8" w:rsidRPr="003E0AF3" w:rsidRDefault="002E1E17" w:rsidP="00A55C63">
      <w:pPr>
        <w:autoSpaceDE w:val="0"/>
        <w:autoSpaceDN w:val="0"/>
        <w:adjustRightInd w:val="0"/>
        <w:spacing w:after="120"/>
        <w:rPr>
          <w:szCs w:val="24"/>
        </w:rPr>
      </w:pPr>
      <w:r w:rsidRPr="003E0AF3">
        <w:rPr>
          <w:b/>
          <w:bCs/>
          <w:szCs w:val="24"/>
        </w:rPr>
        <w:t>Activation of Mania/Hypomania</w:t>
      </w:r>
    </w:p>
    <w:p w:rsidR="008F1EBA" w:rsidRDefault="009C485F" w:rsidP="002E1E17">
      <w:pPr>
        <w:rPr>
          <w:szCs w:val="24"/>
        </w:rPr>
      </w:pPr>
      <w:r w:rsidRPr="009C485F">
        <w:rPr>
          <w:szCs w:val="24"/>
        </w:rPr>
        <w:t>As with all drugs effective in the treatment of depression, BRINTELLIX should be used with caution in patients with a history of mania</w:t>
      </w:r>
      <w:r w:rsidR="004B6B80">
        <w:rPr>
          <w:szCs w:val="24"/>
        </w:rPr>
        <w:t>/hypomania and should be discontinued in any patient entering a manic phase</w:t>
      </w:r>
      <w:r w:rsidR="004B6B80" w:rsidRPr="009C485F">
        <w:rPr>
          <w:szCs w:val="24"/>
        </w:rPr>
        <w:t>.</w:t>
      </w:r>
      <w:r w:rsidRPr="009C485F">
        <w:rPr>
          <w:szCs w:val="24"/>
        </w:rPr>
        <w:t xml:space="preserve"> </w:t>
      </w:r>
      <w:r w:rsidR="00B56D12">
        <w:rPr>
          <w:szCs w:val="24"/>
        </w:rPr>
        <w:t xml:space="preserve"> </w:t>
      </w:r>
      <w:r w:rsidRPr="009C485F">
        <w:rPr>
          <w:szCs w:val="24"/>
        </w:rPr>
        <w:t xml:space="preserve">A major depressive episode may be the initial presentation of bipolar disorder. </w:t>
      </w:r>
      <w:r w:rsidR="00B56D12">
        <w:rPr>
          <w:szCs w:val="24"/>
        </w:rPr>
        <w:t xml:space="preserve"> </w:t>
      </w:r>
      <w:r w:rsidRPr="009C485F">
        <w:rPr>
          <w:szCs w:val="24"/>
        </w:rPr>
        <w:t xml:space="preserve">It is generally believed that treating such an episode with an antidepressant alone can increase the likelihood of precipitation of a mixed/manic episode in patients at risk of bipolar disorder. </w:t>
      </w:r>
      <w:r w:rsidR="00B56D12">
        <w:rPr>
          <w:szCs w:val="24"/>
        </w:rPr>
        <w:t xml:space="preserve"> </w:t>
      </w:r>
      <w:r w:rsidRPr="009C485F">
        <w:rPr>
          <w:szCs w:val="24"/>
        </w:rPr>
        <w:t>Prior to initiating treatment with an antidepressant, patients should be adequately screened to determine if they are at risk for bipolar disorder; such screening should include a detailed psychiatric history, including a family history of suicide, bipolar disorder and depression.</w:t>
      </w:r>
    </w:p>
    <w:p w:rsidR="00D4295C" w:rsidRPr="003E0AF3" w:rsidRDefault="002E1E17" w:rsidP="00A55C63">
      <w:pPr>
        <w:spacing w:after="120"/>
        <w:rPr>
          <w:szCs w:val="24"/>
        </w:rPr>
      </w:pPr>
      <w:r w:rsidRPr="003E0AF3">
        <w:rPr>
          <w:b/>
          <w:szCs w:val="24"/>
        </w:rPr>
        <w:t>Seizures</w:t>
      </w:r>
    </w:p>
    <w:p w:rsidR="00E32B2F" w:rsidRPr="003E0AF3" w:rsidRDefault="002E1E17" w:rsidP="002E1E17">
      <w:pPr>
        <w:rPr>
          <w:szCs w:val="24"/>
        </w:rPr>
      </w:pPr>
      <w:r w:rsidRPr="003E0AF3">
        <w:rPr>
          <w:szCs w:val="24"/>
        </w:rPr>
        <w:lastRenderedPageBreak/>
        <w:t xml:space="preserve">Seizures are a potential risk with antidepressant drugs. </w:t>
      </w:r>
      <w:r w:rsidR="009C485F">
        <w:rPr>
          <w:szCs w:val="24"/>
        </w:rPr>
        <w:t xml:space="preserve"> </w:t>
      </w:r>
      <w:r w:rsidRPr="003E0AF3">
        <w:rPr>
          <w:szCs w:val="24"/>
        </w:rPr>
        <w:t xml:space="preserve">Therefore, as with other antidepressants, </w:t>
      </w:r>
      <w:r w:rsidR="002A6678">
        <w:rPr>
          <w:szCs w:val="24"/>
        </w:rPr>
        <w:t>BRINTELLIX</w:t>
      </w:r>
      <w:r w:rsidRPr="003E0AF3">
        <w:rPr>
          <w:szCs w:val="24"/>
        </w:rPr>
        <w:t xml:space="preserve"> should be introduced cautiously in patients who have a history of seizures or in patients with unstable epilepsy (see INTERACTIONS WITH OTHER MEDICINES). </w:t>
      </w:r>
      <w:r w:rsidR="009C485F">
        <w:rPr>
          <w:szCs w:val="24"/>
        </w:rPr>
        <w:t xml:space="preserve"> </w:t>
      </w:r>
      <w:r w:rsidRPr="003E0AF3">
        <w:rPr>
          <w:szCs w:val="24"/>
        </w:rPr>
        <w:t>Treatment should be discontinued in any patient who develops seizures or where there is an increase in seizure frequency.</w:t>
      </w:r>
    </w:p>
    <w:p w:rsidR="00D4295C" w:rsidRPr="003E0AF3" w:rsidRDefault="00415BD2" w:rsidP="00A55C63">
      <w:pPr>
        <w:spacing w:after="120"/>
        <w:rPr>
          <w:b/>
          <w:szCs w:val="24"/>
        </w:rPr>
      </w:pPr>
      <w:r w:rsidRPr="003E0AF3">
        <w:rPr>
          <w:b/>
          <w:szCs w:val="24"/>
        </w:rPr>
        <w:t>Haemorrhage</w:t>
      </w:r>
    </w:p>
    <w:p w:rsidR="00B85804" w:rsidRPr="003E0AF3" w:rsidRDefault="00415BD2" w:rsidP="00B85804">
      <w:pPr>
        <w:rPr>
          <w:szCs w:val="24"/>
        </w:rPr>
      </w:pPr>
      <w:r w:rsidRPr="003E0AF3">
        <w:rPr>
          <w:szCs w:val="24"/>
        </w:rPr>
        <w:t xml:space="preserve">As with any antidepressant with serotonergic effect, bleeding abnormalities, such as </w:t>
      </w:r>
      <w:proofErr w:type="spellStart"/>
      <w:r w:rsidRPr="003E0AF3">
        <w:rPr>
          <w:szCs w:val="24"/>
        </w:rPr>
        <w:t>ecchymoses</w:t>
      </w:r>
      <w:proofErr w:type="spellEnd"/>
      <w:r w:rsidRPr="003E0AF3">
        <w:rPr>
          <w:szCs w:val="24"/>
        </w:rPr>
        <w:t>,</w:t>
      </w:r>
      <w:r w:rsidR="00B8418F" w:rsidRPr="003E0AF3">
        <w:rPr>
          <w:szCs w:val="24"/>
        </w:rPr>
        <w:t xml:space="preserve"> </w:t>
      </w:r>
      <w:proofErr w:type="spellStart"/>
      <w:r w:rsidRPr="003E0AF3">
        <w:rPr>
          <w:szCs w:val="24"/>
        </w:rPr>
        <w:t>purpura</w:t>
      </w:r>
      <w:proofErr w:type="spellEnd"/>
      <w:r w:rsidRPr="003E0AF3">
        <w:rPr>
          <w:szCs w:val="24"/>
        </w:rPr>
        <w:t xml:space="preserve"> and gastrointestinal haemorrhage may occur. </w:t>
      </w:r>
      <w:r w:rsidR="00B56D12">
        <w:rPr>
          <w:szCs w:val="24"/>
        </w:rPr>
        <w:t xml:space="preserve"> </w:t>
      </w:r>
      <w:r w:rsidRPr="003E0AF3">
        <w:rPr>
          <w:szCs w:val="24"/>
        </w:rPr>
        <w:t>Caution is advised in patients taking</w:t>
      </w:r>
      <w:r w:rsidR="00B8418F" w:rsidRPr="003E0AF3">
        <w:rPr>
          <w:szCs w:val="24"/>
        </w:rPr>
        <w:t xml:space="preserve"> </w:t>
      </w:r>
      <w:r w:rsidRPr="003E0AF3">
        <w:rPr>
          <w:szCs w:val="24"/>
        </w:rPr>
        <w:t>anticoagulants and/or medicinal products known to affect platelet function (e.g. NSAIDs or</w:t>
      </w:r>
      <w:r w:rsidR="004C2607" w:rsidRPr="003E0AF3">
        <w:rPr>
          <w:szCs w:val="24"/>
        </w:rPr>
        <w:t xml:space="preserve"> aspirin</w:t>
      </w:r>
      <w:r w:rsidRPr="003E0AF3">
        <w:rPr>
          <w:szCs w:val="24"/>
        </w:rPr>
        <w:t xml:space="preserve">) (see </w:t>
      </w:r>
      <w:r w:rsidR="00B8418F" w:rsidRPr="003E0AF3">
        <w:rPr>
          <w:szCs w:val="24"/>
        </w:rPr>
        <w:t xml:space="preserve">INTERACTIONS WITH OTHER MEDICINES), </w:t>
      </w:r>
      <w:r w:rsidRPr="003E0AF3">
        <w:rPr>
          <w:szCs w:val="24"/>
        </w:rPr>
        <w:t>and in patients with known bleeding tendencies.</w:t>
      </w:r>
      <w:r w:rsidR="00B85804" w:rsidRPr="003E0AF3">
        <w:rPr>
          <w:szCs w:val="24"/>
        </w:rPr>
        <w:t xml:space="preserve"> </w:t>
      </w:r>
    </w:p>
    <w:p w:rsidR="00D4295C" w:rsidRPr="003E0AF3" w:rsidRDefault="00415BD2" w:rsidP="00A55C63">
      <w:pPr>
        <w:spacing w:after="120"/>
        <w:rPr>
          <w:szCs w:val="24"/>
        </w:rPr>
      </w:pPr>
      <w:proofErr w:type="spellStart"/>
      <w:r w:rsidRPr="003E0AF3">
        <w:rPr>
          <w:b/>
          <w:szCs w:val="24"/>
        </w:rPr>
        <w:t>Hyponatraemia</w:t>
      </w:r>
      <w:proofErr w:type="spellEnd"/>
    </w:p>
    <w:p w:rsidR="00E32B2F" w:rsidRPr="003E0AF3" w:rsidRDefault="009C485F" w:rsidP="00BF15EC">
      <w:pPr>
        <w:rPr>
          <w:szCs w:val="24"/>
        </w:rPr>
      </w:pPr>
      <w:proofErr w:type="spellStart"/>
      <w:r>
        <w:rPr>
          <w:szCs w:val="24"/>
        </w:rPr>
        <w:t>Hyponatraemia</w:t>
      </w:r>
      <w:proofErr w:type="spellEnd"/>
      <w:r w:rsidR="00415BD2" w:rsidRPr="003E0AF3">
        <w:rPr>
          <w:szCs w:val="24"/>
        </w:rPr>
        <w:t>, probably due to inappropriate antidiuretic hormone secretion (SIADH), has been</w:t>
      </w:r>
      <w:r w:rsidR="00B8418F" w:rsidRPr="003E0AF3">
        <w:rPr>
          <w:szCs w:val="24"/>
        </w:rPr>
        <w:t xml:space="preserve"> </w:t>
      </w:r>
      <w:r w:rsidR="00415BD2" w:rsidRPr="003E0AF3">
        <w:rPr>
          <w:szCs w:val="24"/>
        </w:rPr>
        <w:t xml:space="preserve">reported rarely with the use of antidepressants with serotonergic effect. </w:t>
      </w:r>
      <w:r w:rsidR="00B56D12">
        <w:rPr>
          <w:szCs w:val="24"/>
        </w:rPr>
        <w:t xml:space="preserve"> </w:t>
      </w:r>
      <w:r w:rsidR="00415BD2" w:rsidRPr="003E0AF3">
        <w:rPr>
          <w:szCs w:val="24"/>
        </w:rPr>
        <w:t xml:space="preserve"> </w:t>
      </w:r>
      <w:r>
        <w:rPr>
          <w:szCs w:val="24"/>
        </w:rPr>
        <w:t xml:space="preserve"> </w:t>
      </w:r>
      <w:r w:rsidR="00415BD2" w:rsidRPr="003E0AF3">
        <w:rPr>
          <w:szCs w:val="24"/>
        </w:rPr>
        <w:t>Caution should be exercised in patients at risk, such as elderly, cirrhotic</w:t>
      </w:r>
      <w:r w:rsidR="00B8418F" w:rsidRPr="003E0AF3">
        <w:rPr>
          <w:szCs w:val="24"/>
        </w:rPr>
        <w:t xml:space="preserve"> </w:t>
      </w:r>
      <w:r w:rsidR="00415BD2" w:rsidRPr="003E0AF3">
        <w:rPr>
          <w:szCs w:val="24"/>
        </w:rPr>
        <w:t>patients or patients concomitantly treated with medications known to cause</w:t>
      </w:r>
      <w:r>
        <w:rPr>
          <w:szCs w:val="24"/>
        </w:rPr>
        <w:t xml:space="preserve"> </w:t>
      </w:r>
      <w:proofErr w:type="spellStart"/>
      <w:r w:rsidR="00415BD2" w:rsidRPr="003E0AF3">
        <w:rPr>
          <w:szCs w:val="24"/>
        </w:rPr>
        <w:t>hyponatraemia</w:t>
      </w:r>
      <w:proofErr w:type="spellEnd"/>
      <w:r w:rsidR="00415BD2" w:rsidRPr="003E0AF3">
        <w:rPr>
          <w:szCs w:val="24"/>
        </w:rPr>
        <w:t>.</w:t>
      </w:r>
    </w:p>
    <w:p w:rsidR="009C485F" w:rsidRPr="00AE3ED0" w:rsidRDefault="009C485F" w:rsidP="00A55C63">
      <w:pPr>
        <w:autoSpaceDE w:val="0"/>
        <w:autoSpaceDN w:val="0"/>
        <w:adjustRightInd w:val="0"/>
        <w:spacing w:after="120"/>
        <w:rPr>
          <w:bCs/>
          <w:szCs w:val="24"/>
        </w:rPr>
      </w:pPr>
      <w:r w:rsidRPr="00AE3ED0">
        <w:rPr>
          <w:b/>
          <w:bCs/>
          <w:szCs w:val="24"/>
        </w:rPr>
        <w:t>Hepatic Impairment</w:t>
      </w:r>
    </w:p>
    <w:p w:rsidR="009C485F" w:rsidRPr="00E77DC4" w:rsidRDefault="009C485F" w:rsidP="009C485F">
      <w:pPr>
        <w:rPr>
          <w:szCs w:val="24"/>
        </w:rPr>
      </w:pPr>
      <w:r w:rsidRPr="00E77DC4">
        <w:rPr>
          <w:szCs w:val="24"/>
        </w:rPr>
        <w:t>BRINTELLIX has not been studied in patients with severe hepatic impairment and caution should be exercised when prescribing to these patients (see DOSAGE AND ADMINISTRATION).</w:t>
      </w:r>
    </w:p>
    <w:p w:rsidR="00D4295C" w:rsidRPr="00AE3ED0" w:rsidRDefault="003F72C5" w:rsidP="00A55C63">
      <w:pPr>
        <w:suppressLineNumbers/>
        <w:spacing w:after="120"/>
        <w:rPr>
          <w:bCs/>
          <w:szCs w:val="24"/>
        </w:rPr>
      </w:pPr>
      <w:r w:rsidRPr="00AE3ED0">
        <w:rPr>
          <w:b/>
          <w:bCs/>
          <w:iCs/>
          <w:szCs w:val="22"/>
          <w:lang w:eastAsia="en-CA"/>
        </w:rPr>
        <w:t>Renal Impairment</w:t>
      </w:r>
    </w:p>
    <w:p w:rsidR="00ED2325" w:rsidRPr="00AE3ED0" w:rsidRDefault="00974F85" w:rsidP="00335D7D">
      <w:pPr>
        <w:rPr>
          <w:lang w:eastAsia="en-CA"/>
        </w:rPr>
      </w:pPr>
      <w:r w:rsidRPr="00AE3ED0">
        <w:rPr>
          <w:lang w:eastAsia="en-CA"/>
        </w:rPr>
        <w:t xml:space="preserve">Limited data are available for patients with severe renal impairment. </w:t>
      </w:r>
      <w:r w:rsidR="00335D7D" w:rsidRPr="00AE3ED0">
        <w:rPr>
          <w:lang w:eastAsia="en-CA"/>
        </w:rPr>
        <w:t xml:space="preserve"> </w:t>
      </w:r>
      <w:r w:rsidRPr="00AE3ED0">
        <w:rPr>
          <w:lang w:eastAsia="en-CA"/>
        </w:rPr>
        <w:t>Caution should therefore be exercised</w:t>
      </w:r>
      <w:r w:rsidR="00335D7D" w:rsidRPr="00AE3ED0">
        <w:rPr>
          <w:lang w:eastAsia="en-CA"/>
        </w:rPr>
        <w:t xml:space="preserve"> </w:t>
      </w:r>
      <w:r w:rsidR="00335D7D" w:rsidRPr="00AE3ED0">
        <w:rPr>
          <w:szCs w:val="24"/>
        </w:rPr>
        <w:t>(see DOSAGE AND ADMINISTRATION)</w:t>
      </w:r>
      <w:r w:rsidRPr="00AE3ED0">
        <w:rPr>
          <w:lang w:eastAsia="en-CA"/>
        </w:rPr>
        <w:t>.</w:t>
      </w:r>
    </w:p>
    <w:p w:rsidR="00D4295C" w:rsidRPr="003E0AF3" w:rsidRDefault="00B37930" w:rsidP="00A55C63">
      <w:pPr>
        <w:autoSpaceDE w:val="0"/>
        <w:autoSpaceDN w:val="0"/>
        <w:adjustRightInd w:val="0"/>
        <w:spacing w:after="120"/>
        <w:rPr>
          <w:bCs/>
          <w:szCs w:val="24"/>
        </w:rPr>
      </w:pPr>
      <w:r w:rsidRPr="003E0AF3">
        <w:rPr>
          <w:b/>
          <w:bCs/>
          <w:szCs w:val="24"/>
        </w:rPr>
        <w:t>Electroconvulsive Therapy (ECT)</w:t>
      </w:r>
    </w:p>
    <w:p w:rsidR="00A30AD3" w:rsidRDefault="00B37930" w:rsidP="00B37930">
      <w:pPr>
        <w:autoSpaceDE w:val="0"/>
        <w:autoSpaceDN w:val="0"/>
        <w:adjustRightInd w:val="0"/>
        <w:rPr>
          <w:szCs w:val="24"/>
        </w:rPr>
      </w:pPr>
      <w:r w:rsidRPr="003E0AF3">
        <w:rPr>
          <w:szCs w:val="24"/>
        </w:rPr>
        <w:t xml:space="preserve">The safety and efficacy of the concurrent use of </w:t>
      </w:r>
      <w:r w:rsidR="002A6678">
        <w:rPr>
          <w:szCs w:val="24"/>
        </w:rPr>
        <w:t>BRINTELLIX</w:t>
      </w:r>
      <w:r w:rsidRPr="003E0AF3">
        <w:rPr>
          <w:szCs w:val="24"/>
        </w:rPr>
        <w:t xml:space="preserve"> and ECT have not been studied, and therefore, caution is advisable.</w:t>
      </w:r>
    </w:p>
    <w:p w:rsidR="00175B06" w:rsidRPr="003E0AF3" w:rsidRDefault="00BC0FB0" w:rsidP="00A55C63">
      <w:pPr>
        <w:autoSpaceDE w:val="0"/>
        <w:autoSpaceDN w:val="0"/>
        <w:adjustRightInd w:val="0"/>
        <w:spacing w:after="120"/>
        <w:rPr>
          <w:szCs w:val="24"/>
        </w:rPr>
      </w:pPr>
      <w:r>
        <w:rPr>
          <w:b/>
          <w:szCs w:val="24"/>
        </w:rPr>
        <w:br w:type="page"/>
      </w:r>
      <w:r w:rsidR="00175B06" w:rsidRPr="003E0AF3">
        <w:rPr>
          <w:b/>
          <w:szCs w:val="24"/>
        </w:rPr>
        <w:lastRenderedPageBreak/>
        <w:t>Use in Patients with Concomitant Illness</w:t>
      </w:r>
    </w:p>
    <w:p w:rsidR="00175B06" w:rsidRDefault="002A6678" w:rsidP="00175B06">
      <w:pPr>
        <w:autoSpaceDE w:val="0"/>
        <w:autoSpaceDN w:val="0"/>
        <w:adjustRightInd w:val="0"/>
        <w:rPr>
          <w:szCs w:val="24"/>
        </w:rPr>
      </w:pPr>
      <w:r>
        <w:rPr>
          <w:szCs w:val="24"/>
        </w:rPr>
        <w:t>BRINTELLIX</w:t>
      </w:r>
      <w:r w:rsidR="00175B06" w:rsidRPr="003E0AF3">
        <w:rPr>
          <w:szCs w:val="24"/>
        </w:rPr>
        <w:t xml:space="preserve"> has not been systematically evaluated in </w:t>
      </w:r>
      <w:r w:rsidR="00A4142B" w:rsidRPr="003E0AF3">
        <w:rPr>
          <w:szCs w:val="24"/>
        </w:rPr>
        <w:t xml:space="preserve">patients with a recent history of myocardial infarction or unstable heart disease, </w:t>
      </w:r>
      <w:r w:rsidR="00175B06" w:rsidRPr="003E0AF3">
        <w:rPr>
          <w:szCs w:val="24"/>
        </w:rPr>
        <w:t>patients with psychiatric co-morbidities, neurological comorbidities, unstable medical illness</w:t>
      </w:r>
      <w:r w:rsidR="00A4142B" w:rsidRPr="003E0AF3">
        <w:rPr>
          <w:szCs w:val="24"/>
        </w:rPr>
        <w:t xml:space="preserve"> or</w:t>
      </w:r>
      <w:r w:rsidR="00175B06" w:rsidRPr="003E0AF3">
        <w:rPr>
          <w:szCs w:val="24"/>
        </w:rPr>
        <w:t xml:space="preserve"> stroke.</w:t>
      </w:r>
      <w:r w:rsidR="00A4142B" w:rsidRPr="003E0AF3">
        <w:rPr>
          <w:rFonts w:eastAsia="Calibri"/>
          <w:sz w:val="16"/>
          <w:szCs w:val="16"/>
        </w:rPr>
        <w:t xml:space="preserve"> </w:t>
      </w:r>
      <w:r w:rsidR="00335D7D">
        <w:rPr>
          <w:rFonts w:eastAsia="Calibri"/>
          <w:sz w:val="16"/>
          <w:szCs w:val="16"/>
        </w:rPr>
        <w:t xml:space="preserve"> </w:t>
      </w:r>
      <w:r w:rsidR="00A4142B" w:rsidRPr="003E0AF3">
        <w:rPr>
          <w:szCs w:val="24"/>
        </w:rPr>
        <w:t>Patients with these diagnoses were generally excluded from clinical studies during the product’s premarketing testing.</w:t>
      </w:r>
    </w:p>
    <w:p w:rsidR="00D4295C" w:rsidRPr="003E0AF3" w:rsidRDefault="00D93AFD" w:rsidP="00A55C63">
      <w:pPr>
        <w:widowControl w:val="0"/>
        <w:spacing w:after="120"/>
        <w:rPr>
          <w:bCs/>
          <w:szCs w:val="24"/>
        </w:rPr>
      </w:pPr>
      <w:r w:rsidRPr="003E0AF3">
        <w:rPr>
          <w:b/>
          <w:lang w:eastAsia="en-CA"/>
        </w:rPr>
        <w:t>Effects on ability to drive and use machines</w:t>
      </w:r>
    </w:p>
    <w:p w:rsidR="00E32B2F" w:rsidRDefault="00B37930" w:rsidP="00B37930">
      <w:pPr>
        <w:widowControl w:val="0"/>
        <w:rPr>
          <w:szCs w:val="24"/>
        </w:rPr>
      </w:pPr>
      <w:r w:rsidRPr="003E0AF3">
        <w:rPr>
          <w:szCs w:val="24"/>
        </w:rPr>
        <w:t xml:space="preserve">No significant impairment, relative to placebo, in driving performance, </w:t>
      </w:r>
      <w:r w:rsidR="00EB0FF9">
        <w:rPr>
          <w:szCs w:val="24"/>
        </w:rPr>
        <w:t>cognitive function or other psychomotor skills</w:t>
      </w:r>
      <w:r w:rsidR="00AD12D9">
        <w:rPr>
          <w:szCs w:val="24"/>
        </w:rPr>
        <w:t>,</w:t>
      </w:r>
      <w:r w:rsidRPr="003E0AF3">
        <w:rPr>
          <w:szCs w:val="24"/>
        </w:rPr>
        <w:t xml:space="preserve"> was observed when 21 healthy subjects were administered single and multiple doses of 10 mg/day </w:t>
      </w:r>
      <w:r w:rsidR="002A6678">
        <w:rPr>
          <w:szCs w:val="24"/>
        </w:rPr>
        <w:t>BRINTELLIX</w:t>
      </w:r>
      <w:r w:rsidRPr="003E0AF3">
        <w:rPr>
          <w:szCs w:val="24"/>
        </w:rPr>
        <w:t xml:space="preserve">. </w:t>
      </w:r>
      <w:r w:rsidR="009C485F">
        <w:rPr>
          <w:szCs w:val="24"/>
        </w:rPr>
        <w:t xml:space="preserve"> </w:t>
      </w:r>
      <w:r w:rsidRPr="003E0AF3">
        <w:rPr>
          <w:szCs w:val="24"/>
        </w:rPr>
        <w:t>However, as with any psychoactive drug, patients should exercise caution when driving or operating hazardous machinery especially when starting treatment with</w:t>
      </w:r>
      <w:r w:rsidR="00D93AFD" w:rsidRPr="00177261">
        <w:rPr>
          <w:szCs w:val="24"/>
        </w:rPr>
        <w:t xml:space="preserve"> </w:t>
      </w:r>
      <w:r w:rsidR="002A6678">
        <w:rPr>
          <w:szCs w:val="24"/>
        </w:rPr>
        <w:t>BRINTELLIX</w:t>
      </w:r>
      <w:r w:rsidRPr="003E0AF3">
        <w:rPr>
          <w:szCs w:val="24"/>
        </w:rPr>
        <w:t xml:space="preserve"> or when changing the dose. </w:t>
      </w:r>
    </w:p>
    <w:p w:rsidR="00864D3D" w:rsidRPr="003E0AF3" w:rsidRDefault="00864D3D" w:rsidP="00A55C63">
      <w:pPr>
        <w:autoSpaceDE w:val="0"/>
        <w:autoSpaceDN w:val="0"/>
        <w:adjustRightInd w:val="0"/>
        <w:spacing w:after="120"/>
        <w:rPr>
          <w:szCs w:val="24"/>
        </w:rPr>
      </w:pPr>
      <w:r w:rsidRPr="003E0AF3">
        <w:rPr>
          <w:b/>
          <w:szCs w:val="24"/>
        </w:rPr>
        <w:t>Effects on fertility</w:t>
      </w:r>
    </w:p>
    <w:p w:rsidR="00522C6A" w:rsidRDefault="009A69F6" w:rsidP="00522C6A">
      <w:pPr>
        <w:autoSpaceDE w:val="0"/>
        <w:autoSpaceDN w:val="0"/>
        <w:adjustRightInd w:val="0"/>
        <w:rPr>
          <w:szCs w:val="24"/>
        </w:rPr>
      </w:pPr>
      <w:proofErr w:type="spellStart"/>
      <w:r w:rsidRPr="003E0AF3">
        <w:rPr>
          <w:szCs w:val="24"/>
        </w:rPr>
        <w:t>Vortioxetine</w:t>
      </w:r>
      <w:proofErr w:type="spellEnd"/>
      <w:r w:rsidR="003B566E">
        <w:rPr>
          <w:szCs w:val="24"/>
        </w:rPr>
        <w:t xml:space="preserve"> </w:t>
      </w:r>
      <w:r w:rsidR="003B566E" w:rsidRPr="00E77DC4">
        <w:rPr>
          <w:szCs w:val="24"/>
        </w:rPr>
        <w:t>given</w:t>
      </w:r>
      <w:r w:rsidR="003B566E" w:rsidRPr="00E77DC4">
        <w:rPr>
          <w:spacing w:val="-4"/>
          <w:szCs w:val="24"/>
        </w:rPr>
        <w:t xml:space="preserve"> </w:t>
      </w:r>
      <w:r w:rsidR="003B566E" w:rsidRPr="00E77DC4">
        <w:rPr>
          <w:szCs w:val="24"/>
        </w:rPr>
        <w:t>prior</w:t>
      </w:r>
      <w:r w:rsidR="003B566E" w:rsidRPr="00E77DC4">
        <w:rPr>
          <w:spacing w:val="36"/>
          <w:szCs w:val="24"/>
        </w:rPr>
        <w:t xml:space="preserve"> </w:t>
      </w:r>
      <w:r w:rsidR="003B566E" w:rsidRPr="00E77DC4">
        <w:rPr>
          <w:szCs w:val="24"/>
        </w:rPr>
        <w:t>to</w:t>
      </w:r>
      <w:r w:rsidR="003B566E" w:rsidRPr="00E77DC4">
        <w:rPr>
          <w:spacing w:val="6"/>
          <w:szCs w:val="24"/>
        </w:rPr>
        <w:t xml:space="preserve"> </w:t>
      </w:r>
      <w:r w:rsidR="003B566E" w:rsidRPr="00E77DC4">
        <w:rPr>
          <w:szCs w:val="24"/>
        </w:rPr>
        <w:t>and</w:t>
      </w:r>
      <w:r w:rsidR="003B566E" w:rsidRPr="00E77DC4">
        <w:rPr>
          <w:spacing w:val="21"/>
          <w:szCs w:val="24"/>
        </w:rPr>
        <w:t xml:space="preserve"> </w:t>
      </w:r>
      <w:r w:rsidR="003B566E" w:rsidRPr="00E77DC4">
        <w:rPr>
          <w:szCs w:val="24"/>
        </w:rPr>
        <w:t>during</w:t>
      </w:r>
      <w:r w:rsidR="003B566E" w:rsidRPr="00E77DC4">
        <w:rPr>
          <w:spacing w:val="38"/>
          <w:szCs w:val="24"/>
        </w:rPr>
        <w:t xml:space="preserve"> </w:t>
      </w:r>
      <w:r w:rsidR="003B566E" w:rsidRPr="00E77DC4">
        <w:rPr>
          <w:szCs w:val="24"/>
        </w:rPr>
        <w:t>mating, and</w:t>
      </w:r>
      <w:r w:rsidR="003B566E" w:rsidRPr="00E77DC4">
        <w:rPr>
          <w:spacing w:val="28"/>
          <w:szCs w:val="24"/>
        </w:rPr>
        <w:t xml:space="preserve"> </w:t>
      </w:r>
      <w:r w:rsidR="003B566E" w:rsidRPr="00E77DC4">
        <w:rPr>
          <w:szCs w:val="24"/>
        </w:rPr>
        <w:t>in</w:t>
      </w:r>
      <w:r w:rsidR="003B566E" w:rsidRPr="00E77DC4">
        <w:rPr>
          <w:spacing w:val="-1"/>
          <w:szCs w:val="24"/>
        </w:rPr>
        <w:t xml:space="preserve"> </w:t>
      </w:r>
      <w:r w:rsidR="003B566E" w:rsidRPr="00E77DC4">
        <w:rPr>
          <w:szCs w:val="24"/>
        </w:rPr>
        <w:t>early</w:t>
      </w:r>
      <w:r w:rsidR="003B566E" w:rsidRPr="00E77DC4">
        <w:rPr>
          <w:spacing w:val="21"/>
          <w:szCs w:val="24"/>
        </w:rPr>
        <w:t xml:space="preserve"> </w:t>
      </w:r>
      <w:r w:rsidR="003B566E" w:rsidRPr="00E77DC4">
        <w:rPr>
          <w:szCs w:val="24"/>
        </w:rPr>
        <w:t>pregnancy</w:t>
      </w:r>
      <w:r w:rsidR="003B566E" w:rsidRPr="00E77DC4">
        <w:rPr>
          <w:spacing w:val="17"/>
          <w:szCs w:val="24"/>
        </w:rPr>
        <w:t xml:space="preserve"> </w:t>
      </w:r>
      <w:r w:rsidR="003B566E" w:rsidRPr="00E77DC4">
        <w:rPr>
          <w:szCs w:val="24"/>
        </w:rPr>
        <w:t>at</w:t>
      </w:r>
      <w:r w:rsidR="003B566E" w:rsidRPr="00E77DC4">
        <w:rPr>
          <w:spacing w:val="18"/>
          <w:szCs w:val="24"/>
        </w:rPr>
        <w:t xml:space="preserve"> </w:t>
      </w:r>
      <w:r w:rsidR="003B566E" w:rsidRPr="00E77DC4">
        <w:rPr>
          <w:szCs w:val="24"/>
        </w:rPr>
        <w:t>oral</w:t>
      </w:r>
      <w:r w:rsidR="003B566E" w:rsidRPr="00E77DC4">
        <w:rPr>
          <w:spacing w:val="14"/>
          <w:szCs w:val="24"/>
        </w:rPr>
        <w:t xml:space="preserve"> </w:t>
      </w:r>
      <w:r w:rsidR="003B566E" w:rsidRPr="00E77DC4">
        <w:rPr>
          <w:w w:val="106"/>
          <w:szCs w:val="24"/>
        </w:rPr>
        <w:t xml:space="preserve">doses </w:t>
      </w:r>
      <w:r w:rsidR="003B566E" w:rsidRPr="00E77DC4">
        <w:rPr>
          <w:szCs w:val="24"/>
        </w:rPr>
        <w:t>achieving</w:t>
      </w:r>
      <w:r w:rsidR="003B566E" w:rsidRPr="00E77DC4">
        <w:rPr>
          <w:spacing w:val="31"/>
          <w:szCs w:val="24"/>
        </w:rPr>
        <w:t xml:space="preserve"> </w:t>
      </w:r>
      <w:r w:rsidR="003B566E" w:rsidRPr="00E77DC4">
        <w:rPr>
          <w:szCs w:val="24"/>
        </w:rPr>
        <w:t>exposures 20</w:t>
      </w:r>
      <w:r w:rsidR="003B566E" w:rsidRPr="00E77DC4">
        <w:rPr>
          <w:spacing w:val="9"/>
          <w:szCs w:val="24"/>
        </w:rPr>
        <w:t xml:space="preserve"> </w:t>
      </w:r>
      <w:r w:rsidR="003B566E" w:rsidRPr="00E77DC4">
        <w:rPr>
          <w:szCs w:val="24"/>
        </w:rPr>
        <w:t>times</w:t>
      </w:r>
      <w:r w:rsidR="003B566E" w:rsidRPr="00E77DC4">
        <w:rPr>
          <w:spacing w:val="21"/>
          <w:szCs w:val="24"/>
        </w:rPr>
        <w:t xml:space="preserve"> </w:t>
      </w:r>
      <w:r w:rsidR="003B566E" w:rsidRPr="00E77DC4">
        <w:rPr>
          <w:szCs w:val="24"/>
        </w:rPr>
        <w:t>the</w:t>
      </w:r>
      <w:r w:rsidR="003B566E" w:rsidRPr="00E77DC4">
        <w:rPr>
          <w:spacing w:val="27"/>
          <w:szCs w:val="24"/>
        </w:rPr>
        <w:t xml:space="preserve"> </w:t>
      </w:r>
      <w:r w:rsidR="003B566E" w:rsidRPr="00E77DC4">
        <w:rPr>
          <w:szCs w:val="24"/>
        </w:rPr>
        <w:t>maximum</w:t>
      </w:r>
      <w:r w:rsidR="003B566E" w:rsidRPr="00E77DC4">
        <w:rPr>
          <w:spacing w:val="38"/>
          <w:szCs w:val="24"/>
        </w:rPr>
        <w:t xml:space="preserve"> </w:t>
      </w:r>
      <w:r w:rsidR="003B566E" w:rsidRPr="00E77DC4">
        <w:rPr>
          <w:w w:val="106"/>
          <w:szCs w:val="24"/>
        </w:rPr>
        <w:t xml:space="preserve">recommended </w:t>
      </w:r>
      <w:r w:rsidR="003B566E" w:rsidRPr="00E77DC4">
        <w:rPr>
          <w:szCs w:val="24"/>
        </w:rPr>
        <w:t>human</w:t>
      </w:r>
      <w:r w:rsidR="003B566E" w:rsidRPr="00E77DC4">
        <w:rPr>
          <w:spacing w:val="42"/>
          <w:szCs w:val="24"/>
        </w:rPr>
        <w:t xml:space="preserve"> </w:t>
      </w:r>
      <w:r w:rsidR="003B566E" w:rsidRPr="00E77DC4">
        <w:rPr>
          <w:szCs w:val="24"/>
        </w:rPr>
        <w:t>dose</w:t>
      </w:r>
      <w:r w:rsidR="003B566E" w:rsidRPr="00EA48A8">
        <w:rPr>
          <w:spacing w:val="31"/>
          <w:sz w:val="16"/>
          <w:szCs w:val="16"/>
        </w:rPr>
        <w:t xml:space="preserve"> </w:t>
      </w:r>
      <w:r w:rsidRPr="003E0AF3">
        <w:rPr>
          <w:szCs w:val="24"/>
        </w:rPr>
        <w:t xml:space="preserve"> had no effect on rat fertility, mating performance, or on sperm morphology and motility.</w:t>
      </w:r>
    </w:p>
    <w:p w:rsidR="00864D3D" w:rsidRPr="003E0AF3" w:rsidRDefault="00864D3D" w:rsidP="00B37930">
      <w:pPr>
        <w:autoSpaceDE w:val="0"/>
        <w:autoSpaceDN w:val="0"/>
        <w:adjustRightInd w:val="0"/>
        <w:rPr>
          <w:szCs w:val="24"/>
        </w:rPr>
      </w:pPr>
      <w:r w:rsidRPr="003E0AF3">
        <w:rPr>
          <w:b/>
          <w:szCs w:val="24"/>
        </w:rPr>
        <w:t>Use in Pregnancy</w:t>
      </w:r>
    </w:p>
    <w:p w:rsidR="00864D3D" w:rsidRPr="003E0AF3" w:rsidRDefault="00522C6A" w:rsidP="00B37930">
      <w:pPr>
        <w:autoSpaceDE w:val="0"/>
        <w:autoSpaceDN w:val="0"/>
        <w:adjustRightInd w:val="0"/>
        <w:rPr>
          <w:szCs w:val="24"/>
        </w:rPr>
      </w:pPr>
      <w:r w:rsidRPr="003E0AF3">
        <w:rPr>
          <w:szCs w:val="24"/>
        </w:rPr>
        <w:t>Category</w:t>
      </w:r>
      <w:r w:rsidR="00E32B2F" w:rsidRPr="003E0AF3">
        <w:rPr>
          <w:szCs w:val="24"/>
        </w:rPr>
        <w:t>:</w:t>
      </w:r>
      <w:r w:rsidRPr="003E0AF3">
        <w:rPr>
          <w:szCs w:val="24"/>
        </w:rPr>
        <w:t xml:space="preserve"> </w:t>
      </w:r>
      <w:r w:rsidR="00E32B2F" w:rsidRPr="003E0AF3">
        <w:rPr>
          <w:szCs w:val="24"/>
        </w:rPr>
        <w:t>B3</w:t>
      </w:r>
    </w:p>
    <w:p w:rsidR="00522C6A" w:rsidRPr="00D80721" w:rsidRDefault="002A6678" w:rsidP="00B37930">
      <w:pPr>
        <w:autoSpaceDE w:val="0"/>
        <w:autoSpaceDN w:val="0"/>
        <w:adjustRightInd w:val="0"/>
        <w:rPr>
          <w:color w:val="000000"/>
          <w:szCs w:val="24"/>
        </w:rPr>
      </w:pPr>
      <w:r>
        <w:rPr>
          <w:szCs w:val="24"/>
        </w:rPr>
        <w:t>BRINTELLIX</w:t>
      </w:r>
      <w:r w:rsidR="00522C6A" w:rsidRPr="003E0AF3">
        <w:rPr>
          <w:szCs w:val="24"/>
        </w:rPr>
        <w:t xml:space="preserve"> should not be used during pregnancy unless the benefit outweighs the risk.</w:t>
      </w:r>
      <w:r w:rsidR="00CB12AD" w:rsidRPr="003E0AF3">
        <w:rPr>
          <w:szCs w:val="24"/>
        </w:rPr>
        <w:t xml:space="preserve"> </w:t>
      </w:r>
      <w:r w:rsidR="000F6B43">
        <w:rPr>
          <w:szCs w:val="24"/>
        </w:rPr>
        <w:t xml:space="preserve"> </w:t>
      </w:r>
      <w:r w:rsidR="00DC507F">
        <w:rPr>
          <w:szCs w:val="24"/>
        </w:rPr>
        <w:t>There are no or limited data (</w:t>
      </w:r>
      <w:r w:rsidR="00DC507F" w:rsidRPr="00D80721">
        <w:rPr>
          <w:color w:val="000000"/>
          <w:szCs w:val="24"/>
        </w:rPr>
        <w:t xml:space="preserve">fewer than 300 pregnancy outcomes) from the use of </w:t>
      </w:r>
      <w:proofErr w:type="spellStart"/>
      <w:r w:rsidR="00DC507F" w:rsidRPr="00D80721">
        <w:rPr>
          <w:color w:val="000000"/>
          <w:szCs w:val="24"/>
        </w:rPr>
        <w:t>vortioxetine</w:t>
      </w:r>
      <w:proofErr w:type="spellEnd"/>
      <w:r w:rsidR="00DC507F" w:rsidRPr="00D80721">
        <w:rPr>
          <w:color w:val="000000"/>
          <w:szCs w:val="24"/>
        </w:rPr>
        <w:t xml:space="preserve"> in pregnant women</w:t>
      </w:r>
      <w:r w:rsidR="00DC507F">
        <w:rPr>
          <w:color w:val="000000"/>
          <w:szCs w:val="24"/>
        </w:rPr>
        <w:t>.</w:t>
      </w:r>
    </w:p>
    <w:p w:rsidR="00177261" w:rsidRPr="00177261" w:rsidRDefault="00522C6A" w:rsidP="00177261">
      <w:pPr>
        <w:autoSpaceDE w:val="0"/>
        <w:autoSpaceDN w:val="0"/>
        <w:adjustRightInd w:val="0"/>
        <w:rPr>
          <w:szCs w:val="24"/>
        </w:rPr>
      </w:pPr>
      <w:r w:rsidRPr="00D80721">
        <w:rPr>
          <w:color w:val="000000"/>
          <w:szCs w:val="24"/>
        </w:rPr>
        <w:t xml:space="preserve">In studies </w:t>
      </w:r>
      <w:r w:rsidR="000F2349" w:rsidRPr="00D80721">
        <w:rPr>
          <w:color w:val="000000"/>
          <w:szCs w:val="24"/>
        </w:rPr>
        <w:t xml:space="preserve">in which </w:t>
      </w:r>
      <w:proofErr w:type="spellStart"/>
      <w:r w:rsidR="000F2349" w:rsidRPr="00D80721">
        <w:rPr>
          <w:color w:val="000000"/>
          <w:szCs w:val="24"/>
        </w:rPr>
        <w:t>vortioxetine</w:t>
      </w:r>
      <w:proofErr w:type="spellEnd"/>
      <w:r w:rsidR="000F2349" w:rsidRPr="00D80721">
        <w:rPr>
          <w:color w:val="000000"/>
          <w:szCs w:val="24"/>
        </w:rPr>
        <w:t xml:space="preserve"> was administered to</w:t>
      </w:r>
      <w:r w:rsidRPr="00D80721">
        <w:rPr>
          <w:color w:val="000000"/>
          <w:szCs w:val="24"/>
        </w:rPr>
        <w:t xml:space="preserve"> rats and rabbit</w:t>
      </w:r>
      <w:r w:rsidR="000F2349" w:rsidRPr="00D80721">
        <w:rPr>
          <w:color w:val="000000"/>
          <w:szCs w:val="24"/>
        </w:rPr>
        <w:t>s during organogenesis,</w:t>
      </w:r>
      <w:r w:rsidRPr="00D80721">
        <w:rPr>
          <w:color w:val="000000"/>
          <w:szCs w:val="24"/>
        </w:rPr>
        <w:t xml:space="preserve"> reduced foetal weight and delay</w:t>
      </w:r>
      <w:r w:rsidRPr="003E0AF3">
        <w:rPr>
          <w:szCs w:val="24"/>
        </w:rPr>
        <w:t xml:space="preserve">ed ossification </w:t>
      </w:r>
      <w:r w:rsidR="000F2349">
        <w:rPr>
          <w:szCs w:val="24"/>
        </w:rPr>
        <w:t>was observed.</w:t>
      </w:r>
      <w:r w:rsidR="00335D7D">
        <w:rPr>
          <w:szCs w:val="24"/>
        </w:rPr>
        <w:t xml:space="preserve"> </w:t>
      </w:r>
      <w:r w:rsidR="000F2349">
        <w:rPr>
          <w:szCs w:val="24"/>
        </w:rPr>
        <w:t xml:space="preserve"> In rats, these findings were observed</w:t>
      </w:r>
      <w:r w:rsidRPr="003E0AF3">
        <w:rPr>
          <w:szCs w:val="24"/>
        </w:rPr>
        <w:t xml:space="preserve"> at </w:t>
      </w:r>
      <w:r w:rsidR="000F2349">
        <w:rPr>
          <w:szCs w:val="24"/>
        </w:rPr>
        <w:t xml:space="preserve">a </w:t>
      </w:r>
      <w:proofErr w:type="spellStart"/>
      <w:r w:rsidR="000F2349">
        <w:rPr>
          <w:szCs w:val="24"/>
        </w:rPr>
        <w:t>vortioxetine</w:t>
      </w:r>
      <w:proofErr w:type="spellEnd"/>
      <w:r w:rsidR="000F2349">
        <w:rPr>
          <w:szCs w:val="24"/>
        </w:rPr>
        <w:t xml:space="preserve"> </w:t>
      </w:r>
      <w:r w:rsidRPr="003E0AF3">
        <w:rPr>
          <w:szCs w:val="24"/>
        </w:rPr>
        <w:t>exposure (</w:t>
      </w:r>
      <w:r w:rsidR="000F2349">
        <w:rPr>
          <w:szCs w:val="24"/>
        </w:rPr>
        <w:t xml:space="preserve">plasma </w:t>
      </w:r>
      <w:r w:rsidRPr="003E0AF3">
        <w:rPr>
          <w:szCs w:val="24"/>
        </w:rPr>
        <w:t xml:space="preserve">AUC) </w:t>
      </w:r>
      <w:r w:rsidR="000F2349">
        <w:rPr>
          <w:szCs w:val="24"/>
        </w:rPr>
        <w:t xml:space="preserve">30 fold or greater than </w:t>
      </w:r>
      <w:r w:rsidR="00177261">
        <w:rPr>
          <w:szCs w:val="24"/>
        </w:rPr>
        <w:t xml:space="preserve">that </w:t>
      </w:r>
      <w:r w:rsidRPr="003E0AF3">
        <w:rPr>
          <w:szCs w:val="24"/>
        </w:rPr>
        <w:t xml:space="preserve">achieved </w:t>
      </w:r>
      <w:r w:rsidR="000F2349">
        <w:rPr>
          <w:szCs w:val="24"/>
        </w:rPr>
        <w:t>at the maximum</w:t>
      </w:r>
      <w:r w:rsidR="00177261">
        <w:rPr>
          <w:szCs w:val="24"/>
        </w:rPr>
        <w:t xml:space="preserve"> </w:t>
      </w:r>
      <w:r w:rsidR="000F2349">
        <w:rPr>
          <w:szCs w:val="24"/>
        </w:rPr>
        <w:t>recommended human dose</w:t>
      </w:r>
      <w:r w:rsidRPr="003E0AF3">
        <w:rPr>
          <w:szCs w:val="24"/>
        </w:rPr>
        <w:t xml:space="preserve">. </w:t>
      </w:r>
      <w:r w:rsidR="00177261">
        <w:rPr>
          <w:szCs w:val="24"/>
        </w:rPr>
        <w:t xml:space="preserve"> </w:t>
      </w:r>
      <w:r w:rsidRPr="003E0AF3">
        <w:rPr>
          <w:szCs w:val="24"/>
        </w:rPr>
        <w:t xml:space="preserve">No increased </w:t>
      </w:r>
      <w:r w:rsidR="000F2349">
        <w:rPr>
          <w:szCs w:val="24"/>
        </w:rPr>
        <w:t>incidence</w:t>
      </w:r>
      <w:r w:rsidR="000F2349" w:rsidRPr="003E0AF3">
        <w:rPr>
          <w:szCs w:val="24"/>
        </w:rPr>
        <w:t xml:space="preserve"> </w:t>
      </w:r>
      <w:r w:rsidRPr="003E0AF3">
        <w:rPr>
          <w:szCs w:val="24"/>
        </w:rPr>
        <w:t>of foetal malformations was noted.</w:t>
      </w:r>
      <w:r w:rsidR="000F2349">
        <w:rPr>
          <w:szCs w:val="24"/>
        </w:rPr>
        <w:t xml:space="preserve"> </w:t>
      </w:r>
      <w:r w:rsidR="000F2349" w:rsidRPr="000F2349">
        <w:t xml:space="preserve"> </w:t>
      </w:r>
      <w:r w:rsidR="000F2349" w:rsidRPr="000F2349">
        <w:rPr>
          <w:szCs w:val="24"/>
        </w:rPr>
        <w:t>In rabbits, doses associated with delayed ossification, although</w:t>
      </w:r>
      <w:r w:rsidR="00177261">
        <w:rPr>
          <w:szCs w:val="24"/>
        </w:rPr>
        <w:t xml:space="preserve"> </w:t>
      </w:r>
      <w:r w:rsidR="000F2349" w:rsidRPr="000F2349">
        <w:rPr>
          <w:szCs w:val="24"/>
        </w:rPr>
        <w:t xml:space="preserve">resulting in </w:t>
      </w:r>
      <w:proofErr w:type="spellStart"/>
      <w:r w:rsidR="000F2349" w:rsidRPr="000F2349">
        <w:rPr>
          <w:szCs w:val="24"/>
        </w:rPr>
        <w:t>vortioxetine</w:t>
      </w:r>
      <w:proofErr w:type="spellEnd"/>
      <w:r w:rsidR="000F2349" w:rsidRPr="000F2349">
        <w:rPr>
          <w:szCs w:val="24"/>
        </w:rPr>
        <w:t xml:space="preserve"> exposures (plasma AUC) comparable to that at the maximum</w:t>
      </w:r>
      <w:r w:rsidR="00177261">
        <w:rPr>
          <w:szCs w:val="24"/>
        </w:rPr>
        <w:t xml:space="preserve"> </w:t>
      </w:r>
      <w:r w:rsidR="000F2349" w:rsidRPr="000F2349">
        <w:rPr>
          <w:szCs w:val="24"/>
        </w:rPr>
        <w:t xml:space="preserve">recommended human dose, were </w:t>
      </w:r>
      <w:proofErr w:type="spellStart"/>
      <w:r w:rsidR="000F2349" w:rsidRPr="000F2349">
        <w:rPr>
          <w:szCs w:val="24"/>
        </w:rPr>
        <w:t>maternotoxic</w:t>
      </w:r>
      <w:proofErr w:type="spellEnd"/>
      <w:r w:rsidR="000F2349" w:rsidRPr="000F2349">
        <w:rPr>
          <w:szCs w:val="24"/>
        </w:rPr>
        <w:t xml:space="preserve">. </w:t>
      </w:r>
      <w:r w:rsidR="00177261">
        <w:rPr>
          <w:szCs w:val="24"/>
        </w:rPr>
        <w:t xml:space="preserve"> </w:t>
      </w:r>
      <w:r w:rsidR="000F2349" w:rsidRPr="000F2349">
        <w:rPr>
          <w:szCs w:val="24"/>
        </w:rPr>
        <w:t>In rabbits, an increased incidence of runts was</w:t>
      </w:r>
      <w:r w:rsidR="00177261">
        <w:rPr>
          <w:szCs w:val="24"/>
        </w:rPr>
        <w:t xml:space="preserve"> </w:t>
      </w:r>
      <w:r w:rsidR="000F2349" w:rsidRPr="000F2349">
        <w:rPr>
          <w:szCs w:val="24"/>
        </w:rPr>
        <w:t xml:space="preserve">observed at a </w:t>
      </w:r>
      <w:proofErr w:type="spellStart"/>
      <w:r w:rsidR="000F2349" w:rsidRPr="000F2349">
        <w:rPr>
          <w:szCs w:val="24"/>
        </w:rPr>
        <w:t>vortioxetine</w:t>
      </w:r>
      <w:proofErr w:type="spellEnd"/>
      <w:r w:rsidR="000F2349" w:rsidRPr="000F2349">
        <w:rPr>
          <w:szCs w:val="24"/>
        </w:rPr>
        <w:t xml:space="preserve"> exposure about 3-fold that at the maximum recommended human</w:t>
      </w:r>
      <w:r w:rsidR="00177261">
        <w:rPr>
          <w:szCs w:val="24"/>
        </w:rPr>
        <w:t xml:space="preserve"> </w:t>
      </w:r>
      <w:r w:rsidR="000F2349" w:rsidRPr="000F2349">
        <w:rPr>
          <w:szCs w:val="24"/>
        </w:rPr>
        <w:t>dose</w:t>
      </w:r>
      <w:r w:rsidR="00177261">
        <w:rPr>
          <w:szCs w:val="24"/>
        </w:rPr>
        <w:t>.</w:t>
      </w:r>
      <w:r w:rsidR="00335D7D">
        <w:rPr>
          <w:szCs w:val="24"/>
        </w:rPr>
        <w:t xml:space="preserve">  </w:t>
      </w:r>
      <w:r w:rsidR="00177261" w:rsidRPr="00177261">
        <w:rPr>
          <w:szCs w:val="24"/>
        </w:rPr>
        <w:t>A pre- and postnatal study in rats showed reduced pup survival during the lactation period at exposures (plasma AUC</w:t>
      </w:r>
      <w:proofErr w:type="gramStart"/>
      <w:r w:rsidR="00177261" w:rsidRPr="00177261">
        <w:rPr>
          <w:szCs w:val="24"/>
        </w:rPr>
        <w:t>)  8</w:t>
      </w:r>
      <w:proofErr w:type="gramEnd"/>
      <w:r w:rsidR="00177261" w:rsidRPr="00177261">
        <w:rPr>
          <w:szCs w:val="24"/>
        </w:rPr>
        <w:t xml:space="preserve"> fold or greater than those achieved at the maximum recommended human dose.</w:t>
      </w:r>
    </w:p>
    <w:p w:rsidR="00522C6A" w:rsidRDefault="00522C6A" w:rsidP="00522C6A">
      <w:pPr>
        <w:autoSpaceDE w:val="0"/>
        <w:autoSpaceDN w:val="0"/>
        <w:adjustRightInd w:val="0"/>
        <w:rPr>
          <w:szCs w:val="24"/>
        </w:rPr>
      </w:pPr>
      <w:r w:rsidRPr="003E0AF3">
        <w:rPr>
          <w:szCs w:val="24"/>
        </w:rPr>
        <w:t xml:space="preserve">The following symptoms may occur in </w:t>
      </w:r>
      <w:proofErr w:type="spellStart"/>
      <w:r w:rsidR="005E1B58" w:rsidRPr="003E0AF3">
        <w:rPr>
          <w:szCs w:val="24"/>
        </w:rPr>
        <w:t>newborns</w:t>
      </w:r>
      <w:proofErr w:type="spellEnd"/>
      <w:r w:rsidR="005E1B58" w:rsidRPr="003E0AF3">
        <w:rPr>
          <w:szCs w:val="24"/>
        </w:rPr>
        <w:t xml:space="preserve"> exposed to serotonergic agents </w:t>
      </w:r>
      <w:r w:rsidRPr="003E0AF3">
        <w:rPr>
          <w:szCs w:val="24"/>
        </w:rPr>
        <w:t xml:space="preserve">in later stages of pregnancy: respiratory distress, cyanosis, apnoea, seizures, temperature instability, feeding difficulty, vomiting, hypoglycaemia, hypertonia, </w:t>
      </w:r>
      <w:proofErr w:type="spellStart"/>
      <w:r w:rsidRPr="003E0AF3">
        <w:rPr>
          <w:szCs w:val="24"/>
        </w:rPr>
        <w:t>hypotonia</w:t>
      </w:r>
      <w:proofErr w:type="spellEnd"/>
      <w:r w:rsidRPr="003E0AF3">
        <w:rPr>
          <w:szCs w:val="24"/>
        </w:rPr>
        <w:t xml:space="preserve">, </w:t>
      </w:r>
      <w:proofErr w:type="spellStart"/>
      <w:r w:rsidRPr="003E0AF3">
        <w:rPr>
          <w:szCs w:val="24"/>
        </w:rPr>
        <w:t>hyperreflexia</w:t>
      </w:r>
      <w:proofErr w:type="spellEnd"/>
      <w:r w:rsidRPr="003E0AF3">
        <w:rPr>
          <w:szCs w:val="24"/>
        </w:rPr>
        <w:t xml:space="preserve">, tremor, jitteriness, irritability, lethargy, constant crying, somnolence and difficulty sleeping. </w:t>
      </w:r>
      <w:r w:rsidR="003F71CC">
        <w:rPr>
          <w:szCs w:val="24"/>
        </w:rPr>
        <w:t xml:space="preserve"> </w:t>
      </w:r>
      <w:r w:rsidRPr="003E0AF3">
        <w:rPr>
          <w:szCs w:val="24"/>
        </w:rPr>
        <w:t>These symptoms could be due to either discontinuation effects or excess serotonergic activity. In a majority of instances, such complications begin immediately or soon (&lt;24 hours) after delivery.</w:t>
      </w:r>
    </w:p>
    <w:p w:rsidR="00EB0FF9" w:rsidRPr="00E77DC4" w:rsidRDefault="00EB0FF9" w:rsidP="00522C6A">
      <w:pPr>
        <w:autoSpaceDE w:val="0"/>
        <w:autoSpaceDN w:val="0"/>
        <w:adjustRightInd w:val="0"/>
        <w:rPr>
          <w:szCs w:val="24"/>
        </w:rPr>
      </w:pPr>
      <w:r w:rsidRPr="00EB0FF9">
        <w:rPr>
          <w:szCs w:val="24"/>
        </w:rPr>
        <w:t xml:space="preserve">Epidemiological data suggest that the use of SSRIs in pregnancy, particularly in late pregnancy, may increase the risk of persistent pulmonary hypertension in the </w:t>
      </w:r>
      <w:proofErr w:type="spellStart"/>
      <w:r w:rsidRPr="00EB0FF9">
        <w:rPr>
          <w:szCs w:val="24"/>
        </w:rPr>
        <w:t>newborn</w:t>
      </w:r>
      <w:proofErr w:type="spellEnd"/>
      <w:r w:rsidRPr="00EB0FF9">
        <w:rPr>
          <w:szCs w:val="24"/>
        </w:rPr>
        <w:t xml:space="preserve"> (PPHN). Although no studies have investigated the association of PPHN with </w:t>
      </w:r>
      <w:proofErr w:type="spellStart"/>
      <w:r w:rsidRPr="00EB0FF9">
        <w:rPr>
          <w:szCs w:val="24"/>
        </w:rPr>
        <w:t>vortioxetine</w:t>
      </w:r>
      <w:proofErr w:type="spellEnd"/>
      <w:r w:rsidRPr="00EB0FF9">
        <w:rPr>
          <w:szCs w:val="24"/>
        </w:rPr>
        <w:t xml:space="preserve"> treatment, this potential risk cannot be ruled out taking into account the related mechanism of action (increase in serotonin concentrations).</w:t>
      </w:r>
    </w:p>
    <w:p w:rsidR="00CB12AD" w:rsidRPr="003E0AF3" w:rsidRDefault="00864D3D" w:rsidP="00A55C63">
      <w:pPr>
        <w:spacing w:after="120"/>
        <w:rPr>
          <w:b/>
          <w:szCs w:val="24"/>
        </w:rPr>
      </w:pPr>
      <w:r w:rsidRPr="003E0AF3">
        <w:rPr>
          <w:b/>
          <w:szCs w:val="24"/>
        </w:rPr>
        <w:t>Use in lactation</w:t>
      </w:r>
    </w:p>
    <w:p w:rsidR="00CB12AD" w:rsidRPr="003E0AF3" w:rsidRDefault="006C6568" w:rsidP="00E06F67">
      <w:pPr>
        <w:rPr>
          <w:szCs w:val="24"/>
        </w:rPr>
      </w:pPr>
      <w:r w:rsidRPr="003E0AF3">
        <w:rPr>
          <w:szCs w:val="24"/>
        </w:rPr>
        <w:lastRenderedPageBreak/>
        <w:t xml:space="preserve">In </w:t>
      </w:r>
      <w:r w:rsidR="00784AD2">
        <w:rPr>
          <w:szCs w:val="24"/>
        </w:rPr>
        <w:t>non</w:t>
      </w:r>
      <w:r w:rsidR="00784AD2" w:rsidRPr="003E0AF3">
        <w:rPr>
          <w:szCs w:val="24"/>
        </w:rPr>
        <w:t xml:space="preserve">clinical </w:t>
      </w:r>
      <w:r w:rsidRPr="003E0AF3">
        <w:rPr>
          <w:szCs w:val="24"/>
        </w:rPr>
        <w:t xml:space="preserve">studies </w:t>
      </w:r>
      <w:proofErr w:type="spellStart"/>
      <w:r w:rsidRPr="003E0AF3">
        <w:rPr>
          <w:szCs w:val="24"/>
        </w:rPr>
        <w:t>v</w:t>
      </w:r>
      <w:r w:rsidR="00CB12AD" w:rsidRPr="003E0AF3">
        <w:rPr>
          <w:szCs w:val="24"/>
        </w:rPr>
        <w:t>ortioxetine</w:t>
      </w:r>
      <w:proofErr w:type="spellEnd"/>
      <w:r w:rsidR="00CB12AD" w:rsidRPr="003E0AF3">
        <w:rPr>
          <w:szCs w:val="24"/>
        </w:rPr>
        <w:t xml:space="preserve">-related material was </w:t>
      </w:r>
      <w:r w:rsidR="00784AD2">
        <w:rPr>
          <w:szCs w:val="24"/>
        </w:rPr>
        <w:t>excret</w:t>
      </w:r>
      <w:r w:rsidR="00784AD2" w:rsidRPr="003E0AF3">
        <w:rPr>
          <w:szCs w:val="24"/>
        </w:rPr>
        <w:t>ed</w:t>
      </w:r>
      <w:r w:rsidR="00784AD2">
        <w:rPr>
          <w:szCs w:val="24"/>
        </w:rPr>
        <w:t xml:space="preserve"> in</w:t>
      </w:r>
      <w:r w:rsidR="00CB12AD" w:rsidRPr="003E0AF3">
        <w:rPr>
          <w:szCs w:val="24"/>
        </w:rPr>
        <w:t xml:space="preserve"> the milk of lactating rats</w:t>
      </w:r>
      <w:r w:rsidR="00CB12AD" w:rsidRPr="003E0AF3">
        <w:rPr>
          <w:color w:val="0000FF"/>
          <w:szCs w:val="24"/>
        </w:rPr>
        <w:t>.</w:t>
      </w:r>
    </w:p>
    <w:p w:rsidR="0081776B" w:rsidRPr="003E0AF3" w:rsidRDefault="00E06F67" w:rsidP="00E06F67">
      <w:pPr>
        <w:rPr>
          <w:szCs w:val="24"/>
        </w:rPr>
      </w:pPr>
      <w:r w:rsidRPr="003E0AF3">
        <w:rPr>
          <w:szCs w:val="24"/>
        </w:rPr>
        <w:t xml:space="preserve">It is expected that </w:t>
      </w:r>
      <w:proofErr w:type="spellStart"/>
      <w:r w:rsidRPr="003E0AF3">
        <w:rPr>
          <w:szCs w:val="24"/>
        </w:rPr>
        <w:t>vortioxetine</w:t>
      </w:r>
      <w:proofErr w:type="spellEnd"/>
      <w:r w:rsidRPr="003E0AF3">
        <w:rPr>
          <w:szCs w:val="24"/>
        </w:rPr>
        <w:t xml:space="preserve"> will be excreted into human milk. </w:t>
      </w:r>
      <w:r w:rsidR="003F71CC">
        <w:rPr>
          <w:szCs w:val="24"/>
        </w:rPr>
        <w:t xml:space="preserve"> </w:t>
      </w:r>
      <w:r w:rsidRPr="003E0AF3">
        <w:rPr>
          <w:szCs w:val="24"/>
        </w:rPr>
        <w:t>Consequently, breast-feeding is not recommended during treatment.</w:t>
      </w:r>
    </w:p>
    <w:p w:rsidR="00864D3D" w:rsidRPr="003E0AF3" w:rsidRDefault="00864D3D" w:rsidP="00A55C63">
      <w:pPr>
        <w:autoSpaceDE w:val="0"/>
        <w:autoSpaceDN w:val="0"/>
        <w:adjustRightInd w:val="0"/>
        <w:spacing w:after="120"/>
        <w:rPr>
          <w:b/>
          <w:szCs w:val="24"/>
        </w:rPr>
      </w:pPr>
      <w:r w:rsidRPr="003E0AF3">
        <w:rPr>
          <w:b/>
          <w:szCs w:val="24"/>
        </w:rPr>
        <w:t>Paediatric Use</w:t>
      </w:r>
    </w:p>
    <w:p w:rsidR="00864D3D" w:rsidRPr="003E0AF3" w:rsidRDefault="002A6678" w:rsidP="00864D3D">
      <w:pPr>
        <w:autoSpaceDE w:val="0"/>
        <w:autoSpaceDN w:val="0"/>
        <w:adjustRightInd w:val="0"/>
        <w:rPr>
          <w:szCs w:val="24"/>
        </w:rPr>
      </w:pPr>
      <w:r>
        <w:rPr>
          <w:szCs w:val="24"/>
        </w:rPr>
        <w:t>BRINTELLIX</w:t>
      </w:r>
      <w:r w:rsidR="00864D3D" w:rsidRPr="003E0AF3">
        <w:rPr>
          <w:szCs w:val="24"/>
        </w:rPr>
        <w:t xml:space="preserve"> is not recommended for the treatment of depression in patients </w:t>
      </w:r>
      <w:proofErr w:type="gramStart"/>
      <w:r w:rsidR="00864D3D" w:rsidRPr="003E0AF3">
        <w:rPr>
          <w:szCs w:val="24"/>
        </w:rPr>
        <w:t>under</w:t>
      </w:r>
      <w:proofErr w:type="gramEnd"/>
      <w:r w:rsidR="00864D3D" w:rsidRPr="003E0AF3">
        <w:rPr>
          <w:szCs w:val="24"/>
        </w:rPr>
        <w:t xml:space="preserve"> 18 years of age since safety and efficacy of </w:t>
      </w:r>
      <w:r>
        <w:rPr>
          <w:szCs w:val="24"/>
        </w:rPr>
        <w:t>BRINTELLIX</w:t>
      </w:r>
      <w:r w:rsidR="00864D3D" w:rsidRPr="003E0AF3">
        <w:rPr>
          <w:szCs w:val="24"/>
        </w:rPr>
        <w:t xml:space="preserve"> have not been established in this age group. </w:t>
      </w:r>
      <w:r w:rsidR="003F71CC">
        <w:rPr>
          <w:szCs w:val="24"/>
        </w:rPr>
        <w:t xml:space="preserve"> </w:t>
      </w:r>
      <w:r w:rsidR="00864D3D" w:rsidRPr="003E0AF3">
        <w:rPr>
          <w:szCs w:val="24"/>
        </w:rPr>
        <w:t xml:space="preserve">In clinical </w:t>
      </w:r>
      <w:r w:rsidR="00E47981">
        <w:rPr>
          <w:szCs w:val="24"/>
        </w:rPr>
        <w:t>studies</w:t>
      </w:r>
      <w:r w:rsidR="00864D3D" w:rsidRPr="003E0AF3">
        <w:rPr>
          <w:szCs w:val="24"/>
        </w:rPr>
        <w:t xml:space="preserve"> among children and adolescents treated with other antidepressants, suicide-related behaviour (suicide attempt and suicidal thoughts), and hostility (predominantly aggression, oppositional behaviour and anger) were more frequently observed compared to those treated with placebo.</w:t>
      </w:r>
    </w:p>
    <w:p w:rsidR="00864D3D" w:rsidRPr="00201459" w:rsidRDefault="00864D3D" w:rsidP="00A55C63">
      <w:pPr>
        <w:autoSpaceDE w:val="0"/>
        <w:autoSpaceDN w:val="0"/>
        <w:adjustRightInd w:val="0"/>
        <w:spacing w:after="120"/>
        <w:rPr>
          <w:lang w:eastAsia="en-CA"/>
        </w:rPr>
      </w:pPr>
      <w:r w:rsidRPr="00144405">
        <w:rPr>
          <w:b/>
          <w:szCs w:val="24"/>
        </w:rPr>
        <w:t>Use in the elderly</w:t>
      </w:r>
      <w:r w:rsidRPr="00144405">
        <w:rPr>
          <w:szCs w:val="24"/>
        </w:rPr>
        <w:t xml:space="preserve"> </w:t>
      </w:r>
      <w:proofErr w:type="gramStart"/>
      <w:r w:rsidRPr="00201459">
        <w:rPr>
          <w:b/>
          <w:lang w:eastAsia="en-CA"/>
        </w:rPr>
        <w:t>( ≥</w:t>
      </w:r>
      <w:proofErr w:type="gramEnd"/>
      <w:r w:rsidRPr="00201459">
        <w:rPr>
          <w:b/>
          <w:lang w:eastAsia="en-CA"/>
        </w:rPr>
        <w:t xml:space="preserve"> 65 years of age)</w:t>
      </w:r>
    </w:p>
    <w:p w:rsidR="000A5716" w:rsidRPr="000A5716" w:rsidRDefault="000A5716" w:rsidP="00D80721">
      <w:pPr>
        <w:rPr>
          <w:lang w:eastAsia="en-GB"/>
        </w:rPr>
      </w:pPr>
      <w:r w:rsidRPr="00201459">
        <w:rPr>
          <w:lang w:eastAsia="en-GB"/>
        </w:rPr>
        <w:t xml:space="preserve">The </w:t>
      </w:r>
      <w:r w:rsidR="006B60A3" w:rsidRPr="00201459">
        <w:rPr>
          <w:lang w:eastAsia="en-GB"/>
        </w:rPr>
        <w:t xml:space="preserve">recommended starting dose is </w:t>
      </w:r>
      <w:r w:rsidR="00C62BD2">
        <w:rPr>
          <w:lang w:eastAsia="en-GB"/>
        </w:rPr>
        <w:t xml:space="preserve">5 mg </w:t>
      </w:r>
      <w:proofErr w:type="spellStart"/>
      <w:r w:rsidR="00C62BD2">
        <w:rPr>
          <w:lang w:eastAsia="en-GB"/>
        </w:rPr>
        <w:t>vortioxetine</w:t>
      </w:r>
      <w:proofErr w:type="spellEnd"/>
      <w:r w:rsidR="00C62BD2">
        <w:rPr>
          <w:lang w:eastAsia="en-GB"/>
        </w:rPr>
        <w:t xml:space="preserve"> once daily </w:t>
      </w:r>
      <w:r w:rsidR="00C62BD2" w:rsidRPr="00201459">
        <w:rPr>
          <w:lang w:eastAsia="en-GB"/>
        </w:rPr>
        <w:t xml:space="preserve">in </w:t>
      </w:r>
      <w:proofErr w:type="gramStart"/>
      <w:r w:rsidR="00C62BD2" w:rsidRPr="00201459">
        <w:rPr>
          <w:lang w:eastAsia="en-GB"/>
        </w:rPr>
        <w:t>patients</w:t>
      </w:r>
      <w:proofErr w:type="gramEnd"/>
      <w:r w:rsidR="00C62BD2" w:rsidRPr="00201459">
        <w:rPr>
          <w:lang w:eastAsia="en-GB"/>
        </w:rPr>
        <w:t xml:space="preserve"> ≥ 65 years of age</w:t>
      </w:r>
      <w:r w:rsidR="00C62BD2">
        <w:rPr>
          <w:lang w:eastAsia="en-GB"/>
        </w:rPr>
        <w:t>.</w:t>
      </w:r>
    </w:p>
    <w:p w:rsidR="00DE2DB4" w:rsidRPr="003E0AF3" w:rsidRDefault="00864D3D" w:rsidP="00840D37">
      <w:pPr>
        <w:autoSpaceDE w:val="0"/>
        <w:autoSpaceDN w:val="0"/>
        <w:adjustRightInd w:val="0"/>
        <w:rPr>
          <w:rFonts w:eastAsia="SimSun"/>
          <w:szCs w:val="24"/>
          <w:lang w:eastAsia="zh-CN"/>
        </w:rPr>
      </w:pPr>
      <w:proofErr w:type="spellStart"/>
      <w:r w:rsidRPr="003E0AF3">
        <w:rPr>
          <w:rFonts w:eastAsia="SimSun"/>
          <w:b/>
          <w:szCs w:val="24"/>
        </w:rPr>
        <w:t>Genotoxicity</w:t>
      </w:r>
      <w:proofErr w:type="spellEnd"/>
    </w:p>
    <w:p w:rsidR="0081776B" w:rsidRPr="003E0AF3" w:rsidRDefault="00DE2DB4" w:rsidP="00840D37">
      <w:pPr>
        <w:rPr>
          <w:rFonts w:eastAsia="SimSun"/>
          <w:szCs w:val="24"/>
        </w:rPr>
      </w:pPr>
      <w:proofErr w:type="spellStart"/>
      <w:r w:rsidRPr="003E0AF3">
        <w:rPr>
          <w:rFonts w:eastAsia="SimSun"/>
          <w:iCs/>
          <w:szCs w:val="24"/>
        </w:rPr>
        <w:t>Vortioxetine</w:t>
      </w:r>
      <w:proofErr w:type="spellEnd"/>
      <w:r w:rsidRPr="003E0AF3">
        <w:rPr>
          <w:rFonts w:eastAsia="SimSun"/>
          <w:iCs/>
          <w:szCs w:val="24"/>
        </w:rPr>
        <w:t xml:space="preserve"> was not </w:t>
      </w:r>
      <w:proofErr w:type="spellStart"/>
      <w:r w:rsidRPr="003E0AF3">
        <w:rPr>
          <w:rFonts w:eastAsia="SimSun"/>
          <w:iCs/>
          <w:szCs w:val="24"/>
        </w:rPr>
        <w:t>genotoxic</w:t>
      </w:r>
      <w:proofErr w:type="spellEnd"/>
      <w:r w:rsidRPr="003E0AF3">
        <w:rPr>
          <w:rFonts w:eastAsia="SimSun"/>
          <w:szCs w:val="24"/>
        </w:rPr>
        <w:t xml:space="preserve"> in a </w:t>
      </w:r>
      <w:r w:rsidR="009A06AF" w:rsidRPr="009A06AF">
        <w:rPr>
          <w:rFonts w:eastAsia="SimSun"/>
          <w:szCs w:val="24"/>
        </w:rPr>
        <w:t xml:space="preserve">bacterial reverse mutation assay and a chromosome aberration assay in human lymphocytes </w:t>
      </w:r>
      <w:r w:rsidRPr="003E0AF3">
        <w:rPr>
          <w:rFonts w:eastAsia="SimSun"/>
          <w:i/>
          <w:szCs w:val="24"/>
        </w:rPr>
        <w:t>in vitro</w:t>
      </w:r>
      <w:r w:rsidRPr="003E0AF3">
        <w:rPr>
          <w:rFonts w:eastAsia="SimSun"/>
          <w:szCs w:val="24"/>
        </w:rPr>
        <w:t xml:space="preserve"> and </w:t>
      </w:r>
      <w:r w:rsidR="009A06AF">
        <w:rPr>
          <w:rFonts w:eastAsia="SimSun"/>
          <w:szCs w:val="24"/>
        </w:rPr>
        <w:t xml:space="preserve">an </w:t>
      </w:r>
      <w:r w:rsidRPr="003E0AF3">
        <w:rPr>
          <w:rFonts w:eastAsia="SimSun"/>
          <w:i/>
          <w:szCs w:val="24"/>
        </w:rPr>
        <w:t>in vivo</w:t>
      </w:r>
      <w:r w:rsidRPr="003E0AF3">
        <w:rPr>
          <w:rFonts w:eastAsia="SimSun"/>
          <w:szCs w:val="24"/>
        </w:rPr>
        <w:t xml:space="preserve"> micronucleus</w:t>
      </w:r>
      <w:r w:rsidR="009A06AF">
        <w:rPr>
          <w:rFonts w:eastAsia="SimSun"/>
          <w:szCs w:val="24"/>
        </w:rPr>
        <w:t xml:space="preserve"> test</w:t>
      </w:r>
      <w:r w:rsidRPr="003E0AF3">
        <w:rPr>
          <w:rFonts w:eastAsia="SimSun"/>
          <w:szCs w:val="24"/>
        </w:rPr>
        <w:t>.</w:t>
      </w:r>
    </w:p>
    <w:p w:rsidR="00864D3D" w:rsidRPr="003E0AF3" w:rsidRDefault="00474A23" w:rsidP="00840D37">
      <w:pPr>
        <w:autoSpaceDE w:val="0"/>
        <w:autoSpaceDN w:val="0"/>
        <w:adjustRightInd w:val="0"/>
        <w:rPr>
          <w:rFonts w:eastAsia="SimSun"/>
          <w:szCs w:val="24"/>
          <w:lang w:eastAsia="zh-CN"/>
        </w:rPr>
      </w:pPr>
      <w:r w:rsidRPr="003E0AF3">
        <w:rPr>
          <w:rFonts w:eastAsia="SimSun"/>
          <w:b/>
          <w:szCs w:val="24"/>
          <w:lang w:eastAsia="zh-CN"/>
        </w:rPr>
        <w:t>Carcinogenicity</w:t>
      </w:r>
    </w:p>
    <w:p w:rsidR="0081776B" w:rsidRPr="00D80721" w:rsidRDefault="009A06AF" w:rsidP="00840D37">
      <w:pPr>
        <w:autoSpaceDE w:val="0"/>
        <w:autoSpaceDN w:val="0"/>
        <w:adjustRightInd w:val="0"/>
        <w:rPr>
          <w:rFonts w:eastAsia="SimSun"/>
          <w:color w:val="000000"/>
          <w:szCs w:val="24"/>
          <w:lang w:eastAsia="zh-CN"/>
        </w:rPr>
      </w:pPr>
      <w:r>
        <w:rPr>
          <w:rFonts w:eastAsia="SimSun"/>
          <w:szCs w:val="24"/>
          <w:lang w:eastAsia="zh-CN"/>
        </w:rPr>
        <w:t>Two</w:t>
      </w:r>
      <w:r w:rsidR="00DE2DB4" w:rsidRPr="003E0AF3">
        <w:rPr>
          <w:rFonts w:eastAsia="SimSun"/>
          <w:szCs w:val="24"/>
          <w:lang w:eastAsia="zh-CN"/>
        </w:rPr>
        <w:t xml:space="preserve">-year carcinogenicity </w:t>
      </w:r>
      <w:r w:rsidR="00DE2DB4" w:rsidRPr="00D80721">
        <w:rPr>
          <w:rFonts w:eastAsia="SimSun"/>
          <w:color w:val="000000"/>
          <w:szCs w:val="24"/>
          <w:lang w:eastAsia="zh-CN"/>
        </w:rPr>
        <w:t>studies</w:t>
      </w:r>
      <w:r w:rsidRPr="00D80721">
        <w:rPr>
          <w:rFonts w:eastAsia="SimSun"/>
          <w:color w:val="000000"/>
          <w:szCs w:val="24"/>
          <w:lang w:eastAsia="zh-CN"/>
        </w:rPr>
        <w:t xml:space="preserve"> were conducted with </w:t>
      </w:r>
      <w:proofErr w:type="spellStart"/>
      <w:r w:rsidRPr="00D80721">
        <w:rPr>
          <w:rFonts w:eastAsia="SimSun"/>
          <w:color w:val="000000"/>
          <w:szCs w:val="24"/>
          <w:lang w:eastAsia="zh-CN"/>
        </w:rPr>
        <w:t>vortioxetine</w:t>
      </w:r>
      <w:proofErr w:type="spellEnd"/>
      <w:r w:rsidRPr="00D80721">
        <w:rPr>
          <w:rFonts w:eastAsia="SimSun"/>
          <w:color w:val="000000"/>
          <w:szCs w:val="24"/>
          <w:lang w:eastAsia="zh-CN"/>
        </w:rPr>
        <w:t xml:space="preserve"> in mice and rats at doses which achieved exposures (plasma </w:t>
      </w:r>
      <w:proofErr w:type="spellStart"/>
      <w:r w:rsidRPr="00D80721">
        <w:rPr>
          <w:rFonts w:eastAsia="SimSun"/>
          <w:color w:val="000000"/>
          <w:szCs w:val="24"/>
          <w:lang w:eastAsia="zh-CN"/>
        </w:rPr>
        <w:t>C</w:t>
      </w:r>
      <w:r w:rsidRPr="00D80721">
        <w:rPr>
          <w:rFonts w:eastAsia="SimSun"/>
          <w:color w:val="000000"/>
          <w:szCs w:val="24"/>
          <w:vertAlign w:val="subscript"/>
          <w:lang w:eastAsia="zh-CN"/>
        </w:rPr>
        <w:t>max</w:t>
      </w:r>
      <w:proofErr w:type="spellEnd"/>
      <w:r w:rsidRPr="00D80721">
        <w:rPr>
          <w:rFonts w:eastAsia="SimSun"/>
          <w:color w:val="000000"/>
          <w:szCs w:val="24"/>
          <w:lang w:eastAsia="zh-CN"/>
        </w:rPr>
        <w:t xml:space="preserve">) well in excess of that at the maximum recommended human dose. </w:t>
      </w:r>
      <w:r w:rsidR="003F71CC">
        <w:rPr>
          <w:rFonts w:eastAsia="SimSun"/>
          <w:color w:val="000000"/>
          <w:szCs w:val="24"/>
          <w:lang w:eastAsia="zh-CN"/>
        </w:rPr>
        <w:t xml:space="preserve"> </w:t>
      </w:r>
      <w:proofErr w:type="gramStart"/>
      <w:r w:rsidRPr="00D80721">
        <w:rPr>
          <w:rFonts w:eastAsia="SimSun"/>
          <w:color w:val="000000"/>
          <w:szCs w:val="24"/>
          <w:lang w:eastAsia="zh-CN"/>
        </w:rPr>
        <w:t xml:space="preserve">Although there were some positive findings (increased incidences of hepatocellular adenomas in rats and in male mice, and of </w:t>
      </w:r>
      <w:proofErr w:type="spellStart"/>
      <w:r w:rsidRPr="00D80721">
        <w:rPr>
          <w:rFonts w:eastAsia="SimSun"/>
          <w:color w:val="000000"/>
          <w:szCs w:val="24"/>
          <w:lang w:eastAsia="zh-CN"/>
        </w:rPr>
        <w:t>haemangiomas</w:t>
      </w:r>
      <w:proofErr w:type="spellEnd"/>
      <w:r w:rsidRPr="00D80721">
        <w:rPr>
          <w:rFonts w:eastAsia="SimSun"/>
          <w:color w:val="000000"/>
          <w:szCs w:val="24"/>
          <w:lang w:eastAsia="zh-CN"/>
        </w:rPr>
        <w:t xml:space="preserve"> in the mesenteric lymph node and of </w:t>
      </w:r>
      <w:proofErr w:type="spellStart"/>
      <w:r w:rsidRPr="00D80721">
        <w:rPr>
          <w:rFonts w:eastAsia="SimSun"/>
          <w:color w:val="000000"/>
          <w:szCs w:val="24"/>
          <w:lang w:eastAsia="zh-CN"/>
        </w:rPr>
        <w:t>histiocytic</w:t>
      </w:r>
      <w:proofErr w:type="spellEnd"/>
      <w:r w:rsidRPr="00D80721">
        <w:rPr>
          <w:rFonts w:eastAsia="SimSun"/>
          <w:color w:val="000000"/>
          <w:szCs w:val="24"/>
          <w:lang w:eastAsia="zh-CN"/>
        </w:rPr>
        <w:t xml:space="preserve"> sarcomas in male rats, and of </w:t>
      </w:r>
      <w:proofErr w:type="spellStart"/>
      <w:r w:rsidRPr="00D80721">
        <w:rPr>
          <w:rFonts w:eastAsia="SimSun"/>
          <w:color w:val="000000"/>
          <w:szCs w:val="24"/>
          <w:lang w:eastAsia="zh-CN"/>
        </w:rPr>
        <w:t>polypoid</w:t>
      </w:r>
      <w:proofErr w:type="spellEnd"/>
      <w:r w:rsidRPr="00D80721">
        <w:rPr>
          <w:rFonts w:eastAsia="SimSun"/>
          <w:color w:val="000000"/>
          <w:szCs w:val="24"/>
          <w:lang w:eastAsia="zh-CN"/>
        </w:rPr>
        <w:t xml:space="preserve"> adenomas in the rectum of female rats).</w:t>
      </w:r>
      <w:proofErr w:type="gramEnd"/>
      <w:r w:rsidRPr="00D80721">
        <w:rPr>
          <w:rFonts w:eastAsia="SimSun"/>
          <w:color w:val="000000"/>
          <w:szCs w:val="24"/>
          <w:lang w:eastAsia="zh-CN"/>
        </w:rPr>
        <w:t xml:space="preserve"> </w:t>
      </w:r>
      <w:r w:rsidR="00DE2DB4" w:rsidRPr="00D80721">
        <w:rPr>
          <w:rFonts w:eastAsia="SimSun"/>
          <w:color w:val="000000"/>
          <w:szCs w:val="24"/>
          <w:lang w:eastAsia="zh-CN"/>
        </w:rPr>
        <w:t xml:space="preserve"> </w:t>
      </w:r>
      <w:r w:rsidRPr="00D80721">
        <w:rPr>
          <w:rFonts w:eastAsia="SimSun"/>
          <w:color w:val="000000"/>
          <w:szCs w:val="24"/>
          <w:lang w:eastAsia="zh-CN"/>
        </w:rPr>
        <w:t>None of these findings</w:t>
      </w:r>
      <w:r w:rsidR="00DE2DB4" w:rsidRPr="00D80721">
        <w:rPr>
          <w:rFonts w:eastAsia="SimSun"/>
          <w:color w:val="000000"/>
          <w:szCs w:val="24"/>
          <w:lang w:eastAsia="zh-CN"/>
        </w:rPr>
        <w:t xml:space="preserve"> </w:t>
      </w:r>
      <w:r w:rsidRPr="00D80721">
        <w:rPr>
          <w:rFonts w:eastAsia="SimSun"/>
          <w:color w:val="000000"/>
          <w:szCs w:val="24"/>
          <w:lang w:eastAsia="zh-CN"/>
        </w:rPr>
        <w:t xml:space="preserve">were </w:t>
      </w:r>
      <w:r w:rsidR="00DE2DB4" w:rsidRPr="00D80721">
        <w:rPr>
          <w:rFonts w:eastAsia="SimSun"/>
          <w:color w:val="000000"/>
          <w:szCs w:val="24"/>
          <w:lang w:eastAsia="zh-CN"/>
        </w:rPr>
        <w:t>considered to pose a risk of carcinogenicity in humans.</w:t>
      </w:r>
    </w:p>
    <w:p w:rsidR="00474A23" w:rsidRPr="003E0AF3" w:rsidRDefault="00474A23" w:rsidP="00840D37">
      <w:pPr>
        <w:autoSpaceDE w:val="0"/>
        <w:autoSpaceDN w:val="0"/>
        <w:adjustRightInd w:val="0"/>
        <w:rPr>
          <w:rFonts w:eastAsia="SimSun"/>
          <w:b/>
          <w:szCs w:val="24"/>
          <w:lang w:eastAsia="zh-CN"/>
        </w:rPr>
      </w:pPr>
      <w:r w:rsidRPr="003E0AF3">
        <w:rPr>
          <w:rFonts w:eastAsia="SimSun"/>
          <w:b/>
          <w:szCs w:val="24"/>
          <w:lang w:eastAsia="zh-CN"/>
        </w:rPr>
        <w:t xml:space="preserve">Effect on laboratory tests </w:t>
      </w:r>
    </w:p>
    <w:p w:rsidR="005D53D5" w:rsidRPr="003E0AF3" w:rsidRDefault="00620F93" w:rsidP="00840D37">
      <w:pPr>
        <w:widowControl w:val="0"/>
        <w:rPr>
          <w:szCs w:val="24"/>
          <w:lang w:eastAsia="en-CA"/>
        </w:rPr>
      </w:pPr>
      <w:r w:rsidRPr="003E0AF3">
        <w:rPr>
          <w:szCs w:val="24"/>
          <w:lang w:eastAsia="en-CA"/>
        </w:rPr>
        <w:t xml:space="preserve">Drug interaction </w:t>
      </w:r>
      <w:r w:rsidR="005D53D5" w:rsidRPr="003E0AF3">
        <w:rPr>
          <w:szCs w:val="24"/>
          <w:lang w:eastAsia="en-CA"/>
        </w:rPr>
        <w:t>with laboratory test</w:t>
      </w:r>
      <w:r w:rsidR="005D53D5" w:rsidRPr="003E0AF3">
        <w:rPr>
          <w:color w:val="800080"/>
          <w:szCs w:val="24"/>
          <w:lang w:eastAsia="en-CA"/>
        </w:rPr>
        <w:t>s</w:t>
      </w:r>
      <w:r w:rsidR="0081776B" w:rsidRPr="003E0AF3">
        <w:rPr>
          <w:szCs w:val="24"/>
          <w:lang w:eastAsia="en-CA"/>
        </w:rPr>
        <w:t xml:space="preserve"> has</w:t>
      </w:r>
      <w:r w:rsidR="005D53D5" w:rsidRPr="003E0AF3">
        <w:rPr>
          <w:szCs w:val="24"/>
          <w:lang w:eastAsia="en-CA"/>
        </w:rPr>
        <w:t xml:space="preserve"> not been established.</w:t>
      </w:r>
    </w:p>
    <w:p w:rsidR="00474A23" w:rsidRPr="003E0AF3" w:rsidRDefault="00415BD2" w:rsidP="007B0A41">
      <w:pPr>
        <w:pStyle w:val="Heading1"/>
      </w:pPr>
      <w:r w:rsidRPr="003E0AF3">
        <w:t>INTERACTIONS WITH OTHER MEDICINES</w:t>
      </w:r>
    </w:p>
    <w:p w:rsidR="00390C1C" w:rsidRDefault="001D5489" w:rsidP="00840D37">
      <w:pPr>
        <w:autoSpaceDE w:val="0"/>
        <w:autoSpaceDN w:val="0"/>
        <w:adjustRightInd w:val="0"/>
        <w:rPr>
          <w:rFonts w:eastAsia="SimSun"/>
          <w:szCs w:val="24"/>
          <w:lang w:eastAsia="zh-CN"/>
        </w:rPr>
      </w:pPr>
      <w:r>
        <w:rPr>
          <w:szCs w:val="24"/>
        </w:rPr>
        <w:t xml:space="preserve">BRINTELLIX </w:t>
      </w:r>
      <w:r w:rsidR="00390C1C" w:rsidRPr="003E0AF3">
        <w:rPr>
          <w:rFonts w:eastAsia="SimSun"/>
          <w:szCs w:val="24"/>
          <w:lang w:eastAsia="zh-CN"/>
        </w:rPr>
        <w:t xml:space="preserve">is extensively metabolised in the liver primarily through oxidation and subsequent </w:t>
      </w:r>
      <w:proofErr w:type="spellStart"/>
      <w:r w:rsidR="00390C1C" w:rsidRPr="003E0AF3">
        <w:rPr>
          <w:rFonts w:eastAsia="SimSun"/>
          <w:szCs w:val="24"/>
          <w:lang w:eastAsia="zh-CN"/>
        </w:rPr>
        <w:t>glucuronic</w:t>
      </w:r>
      <w:proofErr w:type="spellEnd"/>
      <w:r w:rsidR="00390C1C" w:rsidRPr="003E0AF3">
        <w:rPr>
          <w:rFonts w:eastAsia="SimSun"/>
          <w:szCs w:val="24"/>
          <w:lang w:eastAsia="zh-CN"/>
        </w:rPr>
        <w:t xml:space="preserve"> acid conjugation.</w:t>
      </w:r>
      <w:r w:rsidR="0022541E">
        <w:rPr>
          <w:rFonts w:eastAsia="SimSun"/>
          <w:szCs w:val="24"/>
          <w:lang w:eastAsia="zh-CN"/>
        </w:rPr>
        <w:t xml:space="preserve"> </w:t>
      </w:r>
      <w:r w:rsidR="00390C1C" w:rsidRPr="003E0AF3">
        <w:rPr>
          <w:rFonts w:eastAsia="SimSun"/>
          <w:szCs w:val="24"/>
          <w:lang w:eastAsia="zh-CN"/>
        </w:rPr>
        <w:t xml:space="preserve"> </w:t>
      </w:r>
      <w:r w:rsidR="00390C1C" w:rsidRPr="003E0AF3">
        <w:rPr>
          <w:rFonts w:eastAsia="SimSun"/>
          <w:i/>
          <w:iCs/>
          <w:szCs w:val="24"/>
          <w:lang w:eastAsia="zh-CN"/>
        </w:rPr>
        <w:t>In vitro</w:t>
      </w:r>
      <w:r w:rsidR="004B7272">
        <w:rPr>
          <w:rFonts w:eastAsia="SimSun"/>
          <w:szCs w:val="24"/>
          <w:lang w:eastAsia="zh-CN"/>
        </w:rPr>
        <w:t xml:space="preserve"> studies indicate that</w:t>
      </w:r>
      <w:r w:rsidR="004B7272" w:rsidRPr="003E0AF3">
        <w:rPr>
          <w:rFonts w:eastAsia="SimSun"/>
          <w:szCs w:val="24"/>
          <w:lang w:eastAsia="zh-CN"/>
        </w:rPr>
        <w:t xml:space="preserve"> </w:t>
      </w:r>
      <w:r w:rsidR="00390C1C" w:rsidRPr="003E0AF3">
        <w:rPr>
          <w:rFonts w:eastAsia="SimSun"/>
          <w:szCs w:val="24"/>
          <w:lang w:eastAsia="zh-CN"/>
        </w:rPr>
        <w:t xml:space="preserve">the cytochrome P450 </w:t>
      </w:r>
      <w:proofErr w:type="spellStart"/>
      <w:r w:rsidR="00390C1C" w:rsidRPr="003E0AF3">
        <w:rPr>
          <w:rFonts w:eastAsia="SimSun"/>
          <w:szCs w:val="24"/>
          <w:lang w:eastAsia="zh-CN"/>
        </w:rPr>
        <w:t>isozymes</w:t>
      </w:r>
      <w:proofErr w:type="spellEnd"/>
      <w:r w:rsidR="00390C1C" w:rsidRPr="003E0AF3">
        <w:rPr>
          <w:rFonts w:eastAsia="SimSun"/>
          <w:szCs w:val="24"/>
          <w:lang w:eastAsia="zh-CN"/>
        </w:rPr>
        <w:t xml:space="preserve"> CYP2D6, CYP3A4/5, CYP2C19, CYP2C9, CYP2A6, CYP2C8 and CYP2B6 are involved in the metabolism of </w:t>
      </w:r>
      <w:proofErr w:type="spellStart"/>
      <w:r w:rsidR="004B7272">
        <w:rPr>
          <w:rFonts w:eastAsia="SimSun"/>
          <w:szCs w:val="24"/>
          <w:lang w:eastAsia="zh-CN"/>
        </w:rPr>
        <w:t>vortioxetine</w:t>
      </w:r>
      <w:proofErr w:type="spellEnd"/>
      <w:r w:rsidR="004B7272" w:rsidRPr="003E0AF3">
        <w:rPr>
          <w:rFonts w:eastAsia="SimSun"/>
          <w:szCs w:val="24"/>
          <w:lang w:eastAsia="zh-CN"/>
        </w:rPr>
        <w:t xml:space="preserve"> </w:t>
      </w:r>
      <w:r w:rsidR="00390C1C" w:rsidRPr="003E0AF3">
        <w:rPr>
          <w:rFonts w:eastAsia="SimSun"/>
          <w:szCs w:val="24"/>
          <w:lang w:eastAsia="zh-CN"/>
        </w:rPr>
        <w:t>(see Pharmacokinetics).</w:t>
      </w:r>
    </w:p>
    <w:p w:rsidR="00D418D0" w:rsidRPr="00530801" w:rsidRDefault="00390C1C" w:rsidP="00840D37">
      <w:pPr>
        <w:autoSpaceDE w:val="0"/>
        <w:autoSpaceDN w:val="0"/>
        <w:adjustRightInd w:val="0"/>
        <w:rPr>
          <w:rFonts w:eastAsia="SimSun"/>
          <w:color w:val="000000"/>
          <w:szCs w:val="24"/>
          <w:lang w:eastAsia="zh-CN"/>
        </w:rPr>
      </w:pPr>
      <w:r w:rsidRPr="003E0AF3">
        <w:rPr>
          <w:rFonts w:eastAsia="SimSun"/>
          <w:b/>
          <w:szCs w:val="24"/>
          <w:lang w:eastAsia="zh-CN"/>
        </w:rPr>
        <w:t>Potential for other medicinal products to affect</w:t>
      </w:r>
      <w:r w:rsidR="00D27034" w:rsidRPr="003E0AF3">
        <w:rPr>
          <w:rFonts w:eastAsia="SimSun"/>
          <w:b/>
          <w:szCs w:val="24"/>
          <w:lang w:eastAsia="zh-CN"/>
        </w:rPr>
        <w:t xml:space="preserve"> </w:t>
      </w:r>
      <w:r w:rsidR="002A6678" w:rsidRPr="00530801">
        <w:rPr>
          <w:rFonts w:eastAsia="SimSun"/>
          <w:b/>
          <w:color w:val="000000"/>
          <w:szCs w:val="24"/>
          <w:lang w:eastAsia="zh-CN"/>
        </w:rPr>
        <w:t>BRINTELLIX</w:t>
      </w:r>
    </w:p>
    <w:p w:rsidR="00FD6B31" w:rsidRPr="003E0AF3" w:rsidRDefault="00390C1C" w:rsidP="00840D37">
      <w:pPr>
        <w:autoSpaceDE w:val="0"/>
        <w:autoSpaceDN w:val="0"/>
        <w:adjustRightInd w:val="0"/>
        <w:rPr>
          <w:rFonts w:eastAsia="SimSun"/>
          <w:b/>
          <w:i/>
          <w:iCs/>
          <w:szCs w:val="24"/>
          <w:lang w:eastAsia="zh-CN"/>
        </w:rPr>
      </w:pPr>
      <w:r w:rsidRPr="003E0AF3">
        <w:rPr>
          <w:rFonts w:eastAsia="SimSun"/>
          <w:b/>
          <w:i/>
          <w:iCs/>
          <w:szCs w:val="24"/>
          <w:lang w:eastAsia="zh-CN"/>
        </w:rPr>
        <w:t>Irreversible non-selective MAOIs</w:t>
      </w:r>
    </w:p>
    <w:p w:rsidR="00FD6B31" w:rsidRDefault="00390C1C" w:rsidP="00FD6B31">
      <w:pPr>
        <w:autoSpaceDE w:val="0"/>
        <w:autoSpaceDN w:val="0"/>
        <w:adjustRightInd w:val="0"/>
        <w:rPr>
          <w:rFonts w:eastAsia="SimSun"/>
          <w:szCs w:val="24"/>
          <w:lang w:eastAsia="zh-CN"/>
        </w:rPr>
      </w:pPr>
      <w:r w:rsidRPr="003E0AF3">
        <w:rPr>
          <w:rFonts w:eastAsia="SimSun"/>
          <w:szCs w:val="24"/>
          <w:lang w:eastAsia="zh-CN"/>
        </w:rPr>
        <w:t xml:space="preserve">Due to the risk of serotonin syndrome, </w:t>
      </w:r>
      <w:r w:rsidR="002A6678">
        <w:rPr>
          <w:rFonts w:eastAsia="SimSun"/>
          <w:szCs w:val="24"/>
          <w:lang w:eastAsia="zh-CN"/>
        </w:rPr>
        <w:t>BRINTELLIX</w:t>
      </w:r>
      <w:r w:rsidR="00D27034" w:rsidRPr="003E0AF3">
        <w:rPr>
          <w:rFonts w:eastAsia="SimSun"/>
          <w:szCs w:val="24"/>
          <w:lang w:eastAsia="zh-CN"/>
        </w:rPr>
        <w:t xml:space="preserve"> </w:t>
      </w:r>
      <w:r w:rsidRPr="003E0AF3">
        <w:rPr>
          <w:rFonts w:eastAsia="SimSun"/>
          <w:szCs w:val="24"/>
          <w:lang w:eastAsia="zh-CN"/>
        </w:rPr>
        <w:t xml:space="preserve">is contraindicated in any combination with irreversible non-selective MAOIs. </w:t>
      </w:r>
      <w:r w:rsidR="003F71CC">
        <w:rPr>
          <w:rFonts w:eastAsia="SimSun"/>
          <w:szCs w:val="24"/>
          <w:lang w:eastAsia="zh-CN"/>
        </w:rPr>
        <w:t xml:space="preserve"> </w:t>
      </w:r>
      <w:r w:rsidRPr="003E0AF3">
        <w:rPr>
          <w:rFonts w:eastAsia="SimSun"/>
          <w:szCs w:val="24"/>
          <w:lang w:eastAsia="zh-CN"/>
        </w:rPr>
        <w:t xml:space="preserve">For patients changing treatment regimens, </w:t>
      </w:r>
      <w:r w:rsidR="002A6678">
        <w:rPr>
          <w:rFonts w:eastAsia="SimSun"/>
          <w:szCs w:val="24"/>
          <w:lang w:eastAsia="zh-CN"/>
        </w:rPr>
        <w:t>BRINTELLIX</w:t>
      </w:r>
      <w:r w:rsidR="00D27034" w:rsidRPr="003E0AF3">
        <w:rPr>
          <w:rFonts w:eastAsia="SimSun"/>
          <w:szCs w:val="24"/>
          <w:lang w:eastAsia="zh-CN"/>
        </w:rPr>
        <w:t xml:space="preserve"> </w:t>
      </w:r>
      <w:r w:rsidRPr="003E0AF3">
        <w:rPr>
          <w:rFonts w:eastAsia="SimSun"/>
          <w:szCs w:val="24"/>
          <w:lang w:eastAsia="zh-CN"/>
        </w:rPr>
        <w:t xml:space="preserve">must not be initiated for at least 14 days after discontinuation of treatment with an irreversible non-selective MAOI. </w:t>
      </w:r>
      <w:r w:rsidR="0022541E">
        <w:rPr>
          <w:rFonts w:eastAsia="SimSun"/>
          <w:szCs w:val="24"/>
          <w:lang w:eastAsia="zh-CN"/>
        </w:rPr>
        <w:t xml:space="preserve"> </w:t>
      </w:r>
      <w:r w:rsidR="002A6678">
        <w:rPr>
          <w:rFonts w:eastAsia="SimSun"/>
          <w:szCs w:val="24"/>
          <w:lang w:eastAsia="zh-CN"/>
        </w:rPr>
        <w:t>BRINTELLIX</w:t>
      </w:r>
      <w:r w:rsidR="00C62BD2">
        <w:rPr>
          <w:rFonts w:eastAsia="SimSun"/>
          <w:szCs w:val="24"/>
          <w:lang w:eastAsia="zh-CN"/>
        </w:rPr>
        <w:t xml:space="preserve"> </w:t>
      </w:r>
      <w:r w:rsidRPr="003E0AF3">
        <w:rPr>
          <w:rFonts w:eastAsia="SimSun"/>
          <w:szCs w:val="24"/>
          <w:lang w:eastAsia="zh-CN"/>
        </w:rPr>
        <w:t>must be discontinued for at least 14 days before starting treatment with an irreversible non-selective MAOI (see</w:t>
      </w:r>
      <w:r w:rsidR="00D63FFD" w:rsidRPr="003E0AF3">
        <w:rPr>
          <w:rFonts w:eastAsia="SimSun"/>
          <w:szCs w:val="24"/>
          <w:lang w:eastAsia="zh-CN"/>
        </w:rPr>
        <w:t xml:space="preserve"> CONTRAINDICATIONS</w:t>
      </w:r>
      <w:r w:rsidRPr="003E0AF3">
        <w:rPr>
          <w:rFonts w:eastAsia="SimSun"/>
          <w:szCs w:val="24"/>
          <w:lang w:eastAsia="zh-CN"/>
        </w:rPr>
        <w:t>).</w:t>
      </w:r>
    </w:p>
    <w:p w:rsidR="00390C1C" w:rsidRPr="003E0AF3" w:rsidRDefault="00390C1C" w:rsidP="00FD6B31">
      <w:pPr>
        <w:autoSpaceDE w:val="0"/>
        <w:autoSpaceDN w:val="0"/>
        <w:adjustRightInd w:val="0"/>
        <w:rPr>
          <w:rFonts w:eastAsia="SimSun"/>
          <w:b/>
          <w:i/>
          <w:iCs/>
          <w:szCs w:val="24"/>
          <w:lang w:eastAsia="zh-CN"/>
        </w:rPr>
      </w:pPr>
      <w:r w:rsidRPr="003E0AF3">
        <w:rPr>
          <w:rFonts w:eastAsia="SimSun"/>
          <w:b/>
          <w:i/>
          <w:iCs/>
          <w:szCs w:val="24"/>
          <w:lang w:eastAsia="zh-CN"/>
        </w:rPr>
        <w:t>Reversible, selective MAO-</w:t>
      </w:r>
      <w:proofErr w:type="gramStart"/>
      <w:r w:rsidRPr="003E0AF3">
        <w:rPr>
          <w:rFonts w:eastAsia="SimSun"/>
          <w:b/>
          <w:i/>
          <w:iCs/>
          <w:szCs w:val="24"/>
          <w:lang w:eastAsia="zh-CN"/>
        </w:rPr>
        <w:t>A</w:t>
      </w:r>
      <w:proofErr w:type="gramEnd"/>
      <w:r w:rsidRPr="003E0AF3">
        <w:rPr>
          <w:rFonts w:eastAsia="SimSun"/>
          <w:b/>
          <w:i/>
          <w:iCs/>
          <w:szCs w:val="24"/>
          <w:lang w:eastAsia="zh-CN"/>
        </w:rPr>
        <w:t xml:space="preserve"> inhibitor (</w:t>
      </w:r>
      <w:proofErr w:type="spellStart"/>
      <w:r w:rsidRPr="003E0AF3">
        <w:rPr>
          <w:rFonts w:eastAsia="SimSun"/>
          <w:b/>
          <w:i/>
          <w:iCs/>
          <w:szCs w:val="24"/>
          <w:lang w:eastAsia="zh-CN"/>
        </w:rPr>
        <w:t>moclobemide</w:t>
      </w:r>
      <w:proofErr w:type="spellEnd"/>
      <w:r w:rsidRPr="003E0AF3">
        <w:rPr>
          <w:rFonts w:eastAsia="SimSun"/>
          <w:b/>
          <w:i/>
          <w:iCs/>
          <w:szCs w:val="24"/>
          <w:lang w:eastAsia="zh-CN"/>
        </w:rPr>
        <w:t>)</w:t>
      </w:r>
    </w:p>
    <w:p w:rsidR="00390C1C" w:rsidRPr="003E0AF3" w:rsidRDefault="00390C1C" w:rsidP="006177D0">
      <w:pPr>
        <w:autoSpaceDE w:val="0"/>
        <w:autoSpaceDN w:val="0"/>
        <w:adjustRightInd w:val="0"/>
        <w:rPr>
          <w:rFonts w:eastAsia="SimSun"/>
          <w:szCs w:val="24"/>
          <w:lang w:eastAsia="zh-CN"/>
        </w:rPr>
      </w:pPr>
      <w:r w:rsidRPr="003E0AF3">
        <w:rPr>
          <w:rFonts w:eastAsia="SimSun"/>
          <w:szCs w:val="24"/>
          <w:lang w:eastAsia="zh-CN"/>
        </w:rPr>
        <w:t xml:space="preserve">The combination of </w:t>
      </w:r>
      <w:r w:rsidR="002A6678">
        <w:rPr>
          <w:rFonts w:eastAsia="SimSun"/>
          <w:szCs w:val="24"/>
          <w:lang w:eastAsia="zh-CN"/>
        </w:rPr>
        <w:t>BRINTELLIX</w:t>
      </w:r>
      <w:r w:rsidR="00D27034" w:rsidRPr="003E0AF3">
        <w:rPr>
          <w:rFonts w:eastAsia="SimSun"/>
          <w:szCs w:val="24"/>
          <w:lang w:eastAsia="zh-CN"/>
        </w:rPr>
        <w:t xml:space="preserve"> </w:t>
      </w:r>
      <w:r w:rsidRPr="003E0AF3">
        <w:rPr>
          <w:rFonts w:eastAsia="SimSun"/>
          <w:szCs w:val="24"/>
          <w:lang w:eastAsia="zh-CN"/>
        </w:rPr>
        <w:t>with a reversible and selective MAO-</w:t>
      </w:r>
      <w:proofErr w:type="gramStart"/>
      <w:r w:rsidRPr="003E0AF3">
        <w:rPr>
          <w:rFonts w:eastAsia="SimSun"/>
          <w:szCs w:val="24"/>
          <w:lang w:eastAsia="zh-CN"/>
        </w:rPr>
        <w:t>A</w:t>
      </w:r>
      <w:proofErr w:type="gramEnd"/>
      <w:r w:rsidRPr="003E0AF3">
        <w:rPr>
          <w:rFonts w:eastAsia="SimSun"/>
          <w:szCs w:val="24"/>
          <w:lang w:eastAsia="zh-CN"/>
        </w:rPr>
        <w:t xml:space="preserve"> inhibitor</w:t>
      </w:r>
      <w:r w:rsidR="00D63FFD" w:rsidRPr="003E0AF3">
        <w:rPr>
          <w:rFonts w:eastAsia="SimSun"/>
          <w:szCs w:val="24"/>
          <w:lang w:eastAsia="zh-CN"/>
        </w:rPr>
        <w:t xml:space="preserve"> (RIMA)</w:t>
      </w:r>
      <w:r w:rsidRPr="003E0AF3">
        <w:rPr>
          <w:rFonts w:eastAsia="SimSun"/>
          <w:szCs w:val="24"/>
          <w:lang w:eastAsia="zh-CN"/>
        </w:rPr>
        <w:t xml:space="preserve">, such as </w:t>
      </w:r>
      <w:proofErr w:type="spellStart"/>
      <w:r w:rsidRPr="003E0AF3">
        <w:rPr>
          <w:rFonts w:eastAsia="SimSun"/>
          <w:szCs w:val="24"/>
          <w:lang w:eastAsia="zh-CN"/>
        </w:rPr>
        <w:t>moclobemide</w:t>
      </w:r>
      <w:proofErr w:type="spellEnd"/>
      <w:r w:rsidRPr="003E0AF3">
        <w:rPr>
          <w:rFonts w:eastAsia="SimSun"/>
          <w:szCs w:val="24"/>
          <w:lang w:eastAsia="zh-CN"/>
        </w:rPr>
        <w:t xml:space="preserve">, is not recommended. </w:t>
      </w:r>
      <w:r w:rsidR="003F71CC">
        <w:rPr>
          <w:rFonts w:eastAsia="SimSun"/>
          <w:szCs w:val="24"/>
          <w:lang w:eastAsia="zh-CN"/>
        </w:rPr>
        <w:t xml:space="preserve"> </w:t>
      </w:r>
      <w:r w:rsidR="00922873">
        <w:rPr>
          <w:rFonts w:eastAsia="SimSun"/>
          <w:szCs w:val="24"/>
          <w:lang w:eastAsia="zh-CN"/>
        </w:rPr>
        <w:t xml:space="preserve">A latent period of at least 24 hours </w:t>
      </w:r>
      <w:r w:rsidR="009B72FD">
        <w:rPr>
          <w:rFonts w:eastAsia="SimSun"/>
          <w:szCs w:val="24"/>
          <w:lang w:eastAsia="zh-CN"/>
        </w:rPr>
        <w:t xml:space="preserve">after the last dose of </w:t>
      </w:r>
      <w:proofErr w:type="spellStart"/>
      <w:r w:rsidR="009B72FD">
        <w:rPr>
          <w:rFonts w:eastAsia="SimSun"/>
          <w:szCs w:val="24"/>
          <w:lang w:eastAsia="zh-CN"/>
        </w:rPr>
        <w:t>moclobemide</w:t>
      </w:r>
      <w:proofErr w:type="spellEnd"/>
      <w:r w:rsidR="009B72FD">
        <w:rPr>
          <w:rFonts w:eastAsia="SimSun"/>
          <w:szCs w:val="24"/>
          <w:lang w:eastAsia="zh-CN"/>
        </w:rPr>
        <w:t xml:space="preserve"> </w:t>
      </w:r>
      <w:r w:rsidR="00922873">
        <w:rPr>
          <w:rFonts w:eastAsia="SimSun"/>
          <w:szCs w:val="24"/>
          <w:lang w:eastAsia="zh-CN"/>
        </w:rPr>
        <w:t xml:space="preserve">should be introduced before changing treatment </w:t>
      </w:r>
      <w:r w:rsidR="001F4A2A" w:rsidRPr="001F4A2A">
        <w:rPr>
          <w:rFonts w:eastAsia="SimSun"/>
          <w:szCs w:val="24"/>
          <w:lang w:eastAsia="zh-CN"/>
        </w:rPr>
        <w:t xml:space="preserve">to </w:t>
      </w:r>
      <w:r w:rsidR="002A6678">
        <w:rPr>
          <w:rFonts w:eastAsia="SimSun"/>
          <w:szCs w:val="24"/>
          <w:lang w:eastAsia="zh-CN"/>
        </w:rPr>
        <w:t>BRINTELLIX</w:t>
      </w:r>
      <w:r w:rsidR="00922873">
        <w:rPr>
          <w:rFonts w:eastAsia="SimSun"/>
          <w:szCs w:val="24"/>
          <w:lang w:eastAsia="zh-CN"/>
        </w:rPr>
        <w:t>.</w:t>
      </w:r>
      <w:r w:rsidR="000F6C33">
        <w:rPr>
          <w:rFonts w:eastAsia="SimSun"/>
          <w:szCs w:val="24"/>
          <w:lang w:eastAsia="zh-CN"/>
        </w:rPr>
        <w:t xml:space="preserve"> </w:t>
      </w:r>
      <w:r w:rsidR="00CB7F64">
        <w:rPr>
          <w:rFonts w:eastAsia="SimSun"/>
          <w:szCs w:val="24"/>
          <w:lang w:eastAsia="zh-CN"/>
        </w:rPr>
        <w:t xml:space="preserve"> </w:t>
      </w:r>
      <w:proofErr w:type="spellStart"/>
      <w:r w:rsidR="000F6C33">
        <w:rPr>
          <w:rFonts w:eastAsia="SimSun"/>
          <w:szCs w:val="24"/>
          <w:lang w:eastAsia="zh-CN"/>
        </w:rPr>
        <w:lastRenderedPageBreak/>
        <w:t>Moclobemide</w:t>
      </w:r>
      <w:proofErr w:type="spellEnd"/>
      <w:r w:rsidR="000F6C33">
        <w:rPr>
          <w:rFonts w:eastAsia="SimSun"/>
          <w:szCs w:val="24"/>
          <w:lang w:eastAsia="zh-CN"/>
        </w:rPr>
        <w:t xml:space="preserve"> should not </w:t>
      </w:r>
      <w:r w:rsidR="00780C68">
        <w:rPr>
          <w:rFonts w:eastAsia="SimSun"/>
          <w:szCs w:val="24"/>
          <w:lang w:eastAsia="zh-CN"/>
        </w:rPr>
        <w:t xml:space="preserve">be </w:t>
      </w:r>
      <w:r w:rsidR="000F6C33">
        <w:rPr>
          <w:rFonts w:eastAsia="SimSun"/>
          <w:szCs w:val="24"/>
          <w:lang w:eastAsia="zh-CN"/>
        </w:rPr>
        <w:t xml:space="preserve">used for at least 14 days after discontinuation of </w:t>
      </w:r>
      <w:r w:rsidR="002A6678">
        <w:rPr>
          <w:rFonts w:eastAsia="SimSun"/>
          <w:szCs w:val="24"/>
          <w:lang w:eastAsia="zh-CN"/>
        </w:rPr>
        <w:t>BRINTELLIX</w:t>
      </w:r>
      <w:r w:rsidRPr="003E0AF3">
        <w:rPr>
          <w:rFonts w:eastAsia="SimSun"/>
          <w:szCs w:val="24"/>
          <w:lang w:eastAsia="zh-CN"/>
        </w:rPr>
        <w:t xml:space="preserve"> (see</w:t>
      </w:r>
      <w:r w:rsidR="006177D0" w:rsidRPr="003E0AF3">
        <w:rPr>
          <w:rFonts w:eastAsia="SimSun"/>
          <w:szCs w:val="24"/>
          <w:lang w:eastAsia="zh-CN"/>
        </w:rPr>
        <w:t xml:space="preserve"> </w:t>
      </w:r>
      <w:r w:rsidR="000F6C33">
        <w:rPr>
          <w:rFonts w:eastAsia="SimSun"/>
          <w:szCs w:val="24"/>
          <w:lang w:eastAsia="zh-CN"/>
        </w:rPr>
        <w:t>CONTRAINDICATIONS</w:t>
      </w:r>
      <w:r w:rsidRPr="003E0AF3">
        <w:rPr>
          <w:rFonts w:eastAsia="SimSun"/>
          <w:szCs w:val="24"/>
          <w:lang w:eastAsia="zh-CN"/>
        </w:rPr>
        <w:t>).</w:t>
      </w:r>
    </w:p>
    <w:p w:rsidR="00390C1C" w:rsidRPr="003E0AF3" w:rsidRDefault="00390C1C" w:rsidP="006177D0">
      <w:pPr>
        <w:autoSpaceDE w:val="0"/>
        <w:autoSpaceDN w:val="0"/>
        <w:adjustRightInd w:val="0"/>
        <w:rPr>
          <w:rFonts w:eastAsia="SimSun"/>
          <w:b/>
          <w:i/>
          <w:iCs/>
          <w:szCs w:val="24"/>
          <w:lang w:val="fr-FR" w:eastAsia="zh-CN"/>
        </w:rPr>
      </w:pPr>
      <w:proofErr w:type="spellStart"/>
      <w:r w:rsidRPr="003E0AF3">
        <w:rPr>
          <w:rFonts w:eastAsia="SimSun"/>
          <w:b/>
          <w:i/>
          <w:iCs/>
          <w:szCs w:val="24"/>
          <w:lang w:val="fr-FR" w:eastAsia="zh-CN"/>
        </w:rPr>
        <w:t>Reversible</w:t>
      </w:r>
      <w:proofErr w:type="spellEnd"/>
      <w:r w:rsidRPr="003E0AF3">
        <w:rPr>
          <w:rFonts w:eastAsia="SimSun"/>
          <w:b/>
          <w:i/>
          <w:iCs/>
          <w:szCs w:val="24"/>
          <w:lang w:val="fr-FR" w:eastAsia="zh-CN"/>
        </w:rPr>
        <w:t>, non-</w:t>
      </w:r>
      <w:proofErr w:type="spellStart"/>
      <w:r w:rsidRPr="003E0AF3">
        <w:rPr>
          <w:rFonts w:eastAsia="SimSun"/>
          <w:b/>
          <w:i/>
          <w:iCs/>
          <w:szCs w:val="24"/>
          <w:lang w:val="fr-FR" w:eastAsia="zh-CN"/>
        </w:rPr>
        <w:t>selective</w:t>
      </w:r>
      <w:proofErr w:type="spellEnd"/>
      <w:r w:rsidRPr="003E0AF3">
        <w:rPr>
          <w:rFonts w:eastAsia="SimSun"/>
          <w:b/>
          <w:i/>
          <w:iCs/>
          <w:szCs w:val="24"/>
          <w:lang w:val="fr-FR" w:eastAsia="zh-CN"/>
        </w:rPr>
        <w:t xml:space="preserve"> MAOI (</w:t>
      </w:r>
      <w:proofErr w:type="spellStart"/>
      <w:r w:rsidRPr="003E0AF3">
        <w:rPr>
          <w:rFonts w:eastAsia="SimSun"/>
          <w:b/>
          <w:i/>
          <w:iCs/>
          <w:szCs w:val="24"/>
          <w:lang w:val="fr-FR" w:eastAsia="zh-CN"/>
        </w:rPr>
        <w:t>linezolid</w:t>
      </w:r>
      <w:proofErr w:type="spellEnd"/>
      <w:r w:rsidRPr="003E0AF3">
        <w:rPr>
          <w:rFonts w:eastAsia="SimSun"/>
          <w:b/>
          <w:i/>
          <w:iCs/>
          <w:szCs w:val="24"/>
          <w:lang w:val="fr-FR" w:eastAsia="zh-CN"/>
        </w:rPr>
        <w:t>)</w:t>
      </w:r>
    </w:p>
    <w:p w:rsidR="00390C1C" w:rsidRPr="00CB7F64" w:rsidRDefault="00390C1C" w:rsidP="00CB7F64">
      <w:pPr>
        <w:autoSpaceDE w:val="0"/>
        <w:autoSpaceDN w:val="0"/>
        <w:adjustRightInd w:val="0"/>
        <w:rPr>
          <w:rFonts w:eastAsia="SimSun"/>
          <w:szCs w:val="24"/>
          <w:lang w:eastAsia="zh-CN"/>
        </w:rPr>
      </w:pPr>
      <w:r w:rsidRPr="00C16DCF">
        <w:rPr>
          <w:rFonts w:eastAsia="SimSun"/>
          <w:szCs w:val="24"/>
          <w:lang w:eastAsia="zh-CN"/>
        </w:rPr>
        <w:t>The antibiotic linezolid is a weak reversible and non-selective MAOI and should not be given to</w:t>
      </w:r>
      <w:r w:rsidR="006177D0" w:rsidRPr="00C16DCF">
        <w:rPr>
          <w:rFonts w:eastAsia="SimSun"/>
          <w:szCs w:val="24"/>
          <w:lang w:eastAsia="zh-CN"/>
        </w:rPr>
        <w:t xml:space="preserve"> </w:t>
      </w:r>
      <w:r w:rsidRPr="00C16DCF">
        <w:rPr>
          <w:rFonts w:eastAsia="SimSun"/>
          <w:szCs w:val="24"/>
          <w:lang w:eastAsia="zh-CN"/>
        </w:rPr>
        <w:t xml:space="preserve">patients treated with </w:t>
      </w:r>
      <w:r w:rsidR="002A6678" w:rsidRPr="00C16DCF">
        <w:rPr>
          <w:rFonts w:eastAsia="SimSun"/>
          <w:szCs w:val="24"/>
          <w:lang w:eastAsia="zh-CN"/>
        </w:rPr>
        <w:t>BRINTELLIX</w:t>
      </w:r>
      <w:r w:rsidRPr="00C16DCF">
        <w:rPr>
          <w:rFonts w:eastAsia="SimSun"/>
          <w:szCs w:val="24"/>
          <w:lang w:eastAsia="zh-CN"/>
        </w:rPr>
        <w:t xml:space="preserve">. </w:t>
      </w:r>
      <w:r w:rsidR="00CB7F64">
        <w:rPr>
          <w:rFonts w:eastAsia="SimSun"/>
          <w:szCs w:val="24"/>
          <w:lang w:eastAsia="zh-CN"/>
        </w:rPr>
        <w:t xml:space="preserve"> </w:t>
      </w:r>
      <w:r w:rsidR="009B72FD" w:rsidRPr="00C16DCF">
        <w:rPr>
          <w:rFonts w:eastAsia="SimSun"/>
          <w:szCs w:val="24"/>
          <w:lang w:eastAsia="zh-CN"/>
        </w:rPr>
        <w:t xml:space="preserve">Linezolid should not </w:t>
      </w:r>
      <w:r w:rsidR="002A6678" w:rsidRPr="00C16DCF">
        <w:rPr>
          <w:rFonts w:eastAsia="SimSun"/>
          <w:szCs w:val="24"/>
          <w:lang w:eastAsia="zh-CN"/>
        </w:rPr>
        <w:t xml:space="preserve">be </w:t>
      </w:r>
      <w:r w:rsidR="009B72FD" w:rsidRPr="00C16DCF">
        <w:rPr>
          <w:rFonts w:eastAsia="SimSun"/>
          <w:szCs w:val="24"/>
          <w:lang w:eastAsia="zh-CN"/>
        </w:rPr>
        <w:t xml:space="preserve">used for at least 14 days after discontinuation of </w:t>
      </w:r>
      <w:r w:rsidR="002A6678" w:rsidRPr="00C16DCF">
        <w:rPr>
          <w:rFonts w:eastAsia="SimSun"/>
          <w:szCs w:val="24"/>
          <w:lang w:eastAsia="zh-CN"/>
        </w:rPr>
        <w:t xml:space="preserve">BRINTELLIX </w:t>
      </w:r>
      <w:r w:rsidRPr="00C16DCF">
        <w:rPr>
          <w:rFonts w:eastAsia="SimSun"/>
          <w:szCs w:val="24"/>
          <w:lang w:eastAsia="zh-CN"/>
        </w:rPr>
        <w:t xml:space="preserve">(see </w:t>
      </w:r>
      <w:r w:rsidR="00D63FFD" w:rsidRPr="00C16DCF">
        <w:rPr>
          <w:rFonts w:eastAsia="SimSun"/>
          <w:szCs w:val="24"/>
          <w:lang w:eastAsia="zh-CN"/>
        </w:rPr>
        <w:t>CONTRAINDICATIONS</w:t>
      </w:r>
      <w:r w:rsidRPr="00C16DCF">
        <w:rPr>
          <w:rFonts w:eastAsia="SimSun"/>
          <w:szCs w:val="24"/>
          <w:lang w:eastAsia="zh-CN"/>
        </w:rPr>
        <w:t>).</w:t>
      </w:r>
    </w:p>
    <w:p w:rsidR="00390C1C" w:rsidRPr="003E0AF3" w:rsidRDefault="00390C1C" w:rsidP="006177D0">
      <w:pPr>
        <w:autoSpaceDE w:val="0"/>
        <w:autoSpaceDN w:val="0"/>
        <w:adjustRightInd w:val="0"/>
        <w:rPr>
          <w:rFonts w:eastAsia="SimSun"/>
          <w:b/>
          <w:i/>
          <w:iCs/>
          <w:szCs w:val="24"/>
          <w:lang w:eastAsia="zh-CN"/>
        </w:rPr>
      </w:pPr>
      <w:r w:rsidRPr="003E0AF3">
        <w:rPr>
          <w:rFonts w:eastAsia="SimSun"/>
          <w:b/>
          <w:i/>
          <w:iCs/>
          <w:szCs w:val="24"/>
          <w:lang w:eastAsia="zh-CN"/>
        </w:rPr>
        <w:t>Irreversible, selective MAO-B inhibitor (</w:t>
      </w:r>
      <w:proofErr w:type="spellStart"/>
      <w:r w:rsidRPr="003E0AF3">
        <w:rPr>
          <w:rFonts w:eastAsia="SimSun"/>
          <w:b/>
          <w:i/>
          <w:iCs/>
          <w:szCs w:val="24"/>
          <w:lang w:eastAsia="zh-CN"/>
        </w:rPr>
        <w:t>selegiline</w:t>
      </w:r>
      <w:proofErr w:type="spellEnd"/>
      <w:r w:rsidRPr="003E0AF3">
        <w:rPr>
          <w:rFonts w:eastAsia="SimSun"/>
          <w:b/>
          <w:i/>
          <w:iCs/>
          <w:szCs w:val="24"/>
          <w:lang w:eastAsia="zh-CN"/>
        </w:rPr>
        <w:t xml:space="preserve">, </w:t>
      </w:r>
      <w:proofErr w:type="spellStart"/>
      <w:r w:rsidRPr="003E0AF3">
        <w:rPr>
          <w:rFonts w:eastAsia="SimSun"/>
          <w:b/>
          <w:i/>
          <w:iCs/>
          <w:szCs w:val="24"/>
          <w:lang w:eastAsia="zh-CN"/>
        </w:rPr>
        <w:t>rasagiline</w:t>
      </w:r>
      <w:proofErr w:type="spellEnd"/>
      <w:r w:rsidRPr="003E0AF3">
        <w:rPr>
          <w:rFonts w:eastAsia="SimSun"/>
          <w:b/>
          <w:i/>
          <w:iCs/>
          <w:szCs w:val="24"/>
          <w:lang w:eastAsia="zh-CN"/>
        </w:rPr>
        <w:t>)</w:t>
      </w:r>
    </w:p>
    <w:p w:rsidR="00390C1C" w:rsidRPr="003E0AF3" w:rsidRDefault="00390C1C" w:rsidP="006177D0">
      <w:pPr>
        <w:autoSpaceDE w:val="0"/>
        <w:autoSpaceDN w:val="0"/>
        <w:adjustRightInd w:val="0"/>
        <w:rPr>
          <w:rFonts w:eastAsia="SimSun"/>
          <w:szCs w:val="24"/>
          <w:lang w:eastAsia="zh-CN"/>
        </w:rPr>
      </w:pPr>
      <w:r w:rsidRPr="003E0AF3">
        <w:rPr>
          <w:rFonts w:eastAsia="SimSun"/>
          <w:szCs w:val="24"/>
          <w:lang w:eastAsia="zh-CN"/>
        </w:rPr>
        <w:t>Although a lower risk of serotonin syndrome is expected with selective MAO-B inhibitors as</w:t>
      </w:r>
      <w:r w:rsidR="006177D0" w:rsidRPr="003E0AF3">
        <w:rPr>
          <w:rFonts w:eastAsia="SimSun"/>
          <w:szCs w:val="24"/>
          <w:lang w:eastAsia="zh-CN"/>
        </w:rPr>
        <w:t xml:space="preserve"> </w:t>
      </w:r>
      <w:r w:rsidRPr="003E0AF3">
        <w:rPr>
          <w:rFonts w:eastAsia="SimSun"/>
          <w:szCs w:val="24"/>
          <w:lang w:eastAsia="zh-CN"/>
        </w:rPr>
        <w:t>compared with MAO-</w:t>
      </w:r>
      <w:proofErr w:type="gramStart"/>
      <w:r w:rsidRPr="003E0AF3">
        <w:rPr>
          <w:rFonts w:eastAsia="SimSun"/>
          <w:szCs w:val="24"/>
          <w:lang w:eastAsia="zh-CN"/>
        </w:rPr>
        <w:t>A</w:t>
      </w:r>
      <w:proofErr w:type="gramEnd"/>
      <w:r w:rsidRPr="003E0AF3">
        <w:rPr>
          <w:rFonts w:eastAsia="SimSun"/>
          <w:szCs w:val="24"/>
          <w:lang w:eastAsia="zh-CN"/>
        </w:rPr>
        <w:t xml:space="preserve"> inhibitors, the combination of </w:t>
      </w:r>
      <w:r w:rsidR="002A6678">
        <w:rPr>
          <w:rFonts w:eastAsia="SimSun"/>
          <w:szCs w:val="24"/>
          <w:lang w:eastAsia="zh-CN"/>
        </w:rPr>
        <w:t>BRINTELLIX</w:t>
      </w:r>
      <w:r w:rsidR="00D27034" w:rsidRPr="003E0AF3">
        <w:rPr>
          <w:rFonts w:eastAsia="SimSun"/>
          <w:szCs w:val="24"/>
          <w:lang w:eastAsia="zh-CN"/>
        </w:rPr>
        <w:t xml:space="preserve"> </w:t>
      </w:r>
      <w:r w:rsidRPr="003E0AF3">
        <w:rPr>
          <w:rFonts w:eastAsia="SimSun"/>
          <w:szCs w:val="24"/>
          <w:lang w:eastAsia="zh-CN"/>
        </w:rPr>
        <w:t xml:space="preserve">with </w:t>
      </w:r>
      <w:proofErr w:type="spellStart"/>
      <w:r w:rsidRPr="003E0AF3">
        <w:rPr>
          <w:rFonts w:eastAsia="SimSun"/>
          <w:szCs w:val="24"/>
          <w:lang w:eastAsia="zh-CN"/>
        </w:rPr>
        <w:t>selegiline</w:t>
      </w:r>
      <w:proofErr w:type="spellEnd"/>
      <w:r w:rsidRPr="003E0AF3">
        <w:rPr>
          <w:rFonts w:eastAsia="SimSun"/>
          <w:szCs w:val="24"/>
          <w:lang w:eastAsia="zh-CN"/>
        </w:rPr>
        <w:t xml:space="preserve"> or </w:t>
      </w:r>
      <w:proofErr w:type="spellStart"/>
      <w:r w:rsidRPr="003E0AF3">
        <w:rPr>
          <w:rFonts w:eastAsia="SimSun"/>
          <w:szCs w:val="24"/>
          <w:lang w:eastAsia="zh-CN"/>
        </w:rPr>
        <w:t>rasag</w:t>
      </w:r>
      <w:r w:rsidR="00D63FFD" w:rsidRPr="003E0AF3">
        <w:rPr>
          <w:rFonts w:eastAsia="SimSun"/>
          <w:szCs w:val="24"/>
          <w:lang w:eastAsia="zh-CN"/>
        </w:rPr>
        <w:t>i</w:t>
      </w:r>
      <w:r w:rsidRPr="003E0AF3">
        <w:rPr>
          <w:rFonts w:eastAsia="SimSun"/>
          <w:szCs w:val="24"/>
          <w:lang w:eastAsia="zh-CN"/>
        </w:rPr>
        <w:t>line</w:t>
      </w:r>
      <w:proofErr w:type="spellEnd"/>
      <w:r w:rsidR="006177D0" w:rsidRPr="003E0AF3">
        <w:rPr>
          <w:rFonts w:eastAsia="SimSun"/>
          <w:szCs w:val="24"/>
          <w:lang w:eastAsia="zh-CN"/>
        </w:rPr>
        <w:t xml:space="preserve"> </w:t>
      </w:r>
      <w:r w:rsidRPr="003E0AF3">
        <w:rPr>
          <w:rFonts w:eastAsia="SimSun"/>
          <w:szCs w:val="24"/>
          <w:lang w:eastAsia="zh-CN"/>
        </w:rPr>
        <w:t>should be exercised with caution.</w:t>
      </w:r>
      <w:r w:rsidR="00DD105E" w:rsidRPr="00DD105E">
        <w:rPr>
          <w:rFonts w:eastAsia="SimSun"/>
          <w:szCs w:val="24"/>
          <w:lang w:eastAsia="zh-CN"/>
        </w:rPr>
        <w:t xml:space="preserve"> </w:t>
      </w:r>
      <w:r w:rsidR="00DB4D20">
        <w:rPr>
          <w:rFonts w:eastAsia="SimSun"/>
          <w:szCs w:val="24"/>
          <w:lang w:eastAsia="zh-CN"/>
        </w:rPr>
        <w:t xml:space="preserve">MAO-B inhibitors </w:t>
      </w:r>
      <w:r w:rsidR="00DD105E" w:rsidRPr="00780C68">
        <w:rPr>
          <w:rFonts w:eastAsia="SimSun"/>
          <w:szCs w:val="24"/>
          <w:lang w:eastAsia="zh-CN"/>
        </w:rPr>
        <w:t xml:space="preserve">should not </w:t>
      </w:r>
      <w:r w:rsidR="00780C68">
        <w:rPr>
          <w:rFonts w:eastAsia="SimSun"/>
          <w:szCs w:val="24"/>
          <w:lang w:eastAsia="zh-CN"/>
        </w:rPr>
        <w:t xml:space="preserve">be </w:t>
      </w:r>
      <w:r w:rsidR="00DD105E" w:rsidRPr="00780C68">
        <w:rPr>
          <w:rFonts w:eastAsia="SimSun"/>
          <w:szCs w:val="24"/>
          <w:lang w:eastAsia="zh-CN"/>
        </w:rPr>
        <w:t xml:space="preserve">used for at least 14 days after discontinuation of </w:t>
      </w:r>
      <w:r w:rsidR="002A6678" w:rsidRPr="00780C68">
        <w:rPr>
          <w:rFonts w:eastAsia="SimSun"/>
          <w:szCs w:val="24"/>
          <w:lang w:eastAsia="zh-CN"/>
        </w:rPr>
        <w:t>BRINTELLIX</w:t>
      </w:r>
      <w:r w:rsidR="00780C68">
        <w:rPr>
          <w:rFonts w:eastAsia="SimSun"/>
          <w:szCs w:val="24"/>
          <w:lang w:eastAsia="zh-CN"/>
        </w:rPr>
        <w:t xml:space="preserve"> </w:t>
      </w:r>
      <w:r w:rsidRPr="003E0AF3">
        <w:rPr>
          <w:rFonts w:eastAsia="SimSun"/>
          <w:szCs w:val="24"/>
          <w:lang w:eastAsia="zh-CN"/>
        </w:rPr>
        <w:t xml:space="preserve">(see </w:t>
      </w:r>
      <w:r w:rsidR="00780C68">
        <w:rPr>
          <w:rFonts w:eastAsia="SimSun"/>
          <w:szCs w:val="24"/>
          <w:lang w:eastAsia="zh-CN"/>
        </w:rPr>
        <w:t>CONTRAINDICATIONS</w:t>
      </w:r>
      <w:r w:rsidR="00295257">
        <w:rPr>
          <w:rFonts w:eastAsia="SimSun"/>
          <w:szCs w:val="24"/>
          <w:lang w:eastAsia="zh-CN"/>
        </w:rPr>
        <w:t>)</w:t>
      </w:r>
      <w:r w:rsidRPr="003E0AF3">
        <w:rPr>
          <w:rFonts w:eastAsia="SimSun"/>
          <w:szCs w:val="24"/>
          <w:lang w:eastAsia="zh-CN"/>
        </w:rPr>
        <w:t>.</w:t>
      </w:r>
    </w:p>
    <w:p w:rsidR="00390C1C" w:rsidRPr="003E0AF3" w:rsidRDefault="00390C1C" w:rsidP="006177D0">
      <w:pPr>
        <w:autoSpaceDE w:val="0"/>
        <w:autoSpaceDN w:val="0"/>
        <w:adjustRightInd w:val="0"/>
        <w:rPr>
          <w:rFonts w:eastAsia="SimSun"/>
          <w:b/>
          <w:i/>
          <w:iCs/>
          <w:szCs w:val="24"/>
          <w:lang w:eastAsia="zh-CN"/>
        </w:rPr>
      </w:pPr>
      <w:r w:rsidRPr="003E0AF3">
        <w:rPr>
          <w:rFonts w:eastAsia="SimSun"/>
          <w:b/>
          <w:i/>
          <w:iCs/>
          <w:szCs w:val="24"/>
          <w:lang w:eastAsia="zh-CN"/>
        </w:rPr>
        <w:t>Serotonergic medicinal products</w:t>
      </w:r>
    </w:p>
    <w:p w:rsidR="00390C1C" w:rsidRDefault="00390C1C" w:rsidP="006177D0">
      <w:pPr>
        <w:autoSpaceDE w:val="0"/>
        <w:autoSpaceDN w:val="0"/>
        <w:adjustRightInd w:val="0"/>
        <w:rPr>
          <w:rFonts w:eastAsia="SimSun"/>
          <w:szCs w:val="24"/>
          <w:lang w:eastAsia="zh-CN"/>
        </w:rPr>
      </w:pPr>
      <w:r w:rsidRPr="003E0AF3">
        <w:rPr>
          <w:rFonts w:eastAsia="SimSun"/>
          <w:szCs w:val="24"/>
          <w:lang w:eastAsia="zh-CN"/>
        </w:rPr>
        <w:t xml:space="preserve">Co-administration with serotonergic medicinal products (e.g. tramadol, </w:t>
      </w:r>
      <w:proofErr w:type="spellStart"/>
      <w:r w:rsidRPr="003E0AF3">
        <w:rPr>
          <w:rFonts w:eastAsia="SimSun"/>
          <w:szCs w:val="24"/>
          <w:lang w:eastAsia="zh-CN"/>
        </w:rPr>
        <w:t>sumatriptan</w:t>
      </w:r>
      <w:proofErr w:type="spellEnd"/>
      <w:r w:rsidRPr="003E0AF3">
        <w:rPr>
          <w:rFonts w:eastAsia="SimSun"/>
          <w:szCs w:val="24"/>
          <w:lang w:eastAsia="zh-CN"/>
        </w:rPr>
        <w:t xml:space="preserve"> and other </w:t>
      </w:r>
      <w:proofErr w:type="spellStart"/>
      <w:r w:rsidRPr="003E0AF3">
        <w:rPr>
          <w:rFonts w:eastAsia="SimSun"/>
          <w:szCs w:val="24"/>
          <w:lang w:eastAsia="zh-CN"/>
        </w:rPr>
        <w:t>triptans</w:t>
      </w:r>
      <w:proofErr w:type="spellEnd"/>
      <w:r w:rsidRPr="003E0AF3">
        <w:rPr>
          <w:rFonts w:eastAsia="SimSun"/>
          <w:i/>
          <w:iCs/>
          <w:szCs w:val="24"/>
          <w:lang w:eastAsia="zh-CN"/>
        </w:rPr>
        <w:t>)</w:t>
      </w:r>
      <w:r w:rsidR="006177D0" w:rsidRPr="003E0AF3">
        <w:rPr>
          <w:rFonts w:eastAsia="SimSun"/>
          <w:iCs/>
          <w:szCs w:val="24"/>
          <w:lang w:eastAsia="zh-CN"/>
        </w:rPr>
        <w:t xml:space="preserve"> </w:t>
      </w:r>
      <w:r w:rsidRPr="003E0AF3">
        <w:rPr>
          <w:rFonts w:eastAsia="SimSun"/>
          <w:szCs w:val="24"/>
          <w:lang w:eastAsia="zh-CN"/>
        </w:rPr>
        <w:t xml:space="preserve">may lead to serotonin syndrome (see </w:t>
      </w:r>
      <w:r w:rsidR="00D63FFD" w:rsidRPr="003E0AF3">
        <w:rPr>
          <w:rFonts w:eastAsia="SimSun"/>
          <w:szCs w:val="24"/>
          <w:lang w:eastAsia="zh-CN"/>
        </w:rPr>
        <w:t>PRECAUTIONS</w:t>
      </w:r>
      <w:r w:rsidRPr="003E0AF3">
        <w:rPr>
          <w:rFonts w:eastAsia="SimSun"/>
          <w:szCs w:val="24"/>
          <w:lang w:eastAsia="zh-CN"/>
        </w:rPr>
        <w:t>).</w:t>
      </w:r>
    </w:p>
    <w:p w:rsidR="00390C1C" w:rsidRPr="003E0AF3" w:rsidRDefault="00390C1C" w:rsidP="006177D0">
      <w:pPr>
        <w:autoSpaceDE w:val="0"/>
        <w:autoSpaceDN w:val="0"/>
        <w:adjustRightInd w:val="0"/>
        <w:rPr>
          <w:rFonts w:eastAsia="SimSun"/>
          <w:b/>
          <w:i/>
          <w:iCs/>
          <w:szCs w:val="24"/>
          <w:lang w:eastAsia="zh-CN"/>
        </w:rPr>
      </w:pPr>
      <w:r w:rsidRPr="003E0AF3">
        <w:rPr>
          <w:rFonts w:eastAsia="SimSun"/>
          <w:b/>
          <w:i/>
          <w:iCs/>
          <w:szCs w:val="24"/>
          <w:lang w:eastAsia="zh-CN"/>
        </w:rPr>
        <w:t xml:space="preserve">St. John’s </w:t>
      </w:r>
      <w:proofErr w:type="spellStart"/>
      <w:r w:rsidRPr="003E0AF3">
        <w:rPr>
          <w:rFonts w:eastAsia="SimSun"/>
          <w:b/>
          <w:i/>
          <w:iCs/>
          <w:szCs w:val="24"/>
          <w:lang w:eastAsia="zh-CN"/>
        </w:rPr>
        <w:t>Wort</w:t>
      </w:r>
      <w:proofErr w:type="spellEnd"/>
    </w:p>
    <w:p w:rsidR="00390C1C" w:rsidRDefault="00390C1C" w:rsidP="006177D0">
      <w:pPr>
        <w:autoSpaceDE w:val="0"/>
        <w:autoSpaceDN w:val="0"/>
        <w:adjustRightInd w:val="0"/>
        <w:rPr>
          <w:rFonts w:eastAsia="SimSun"/>
          <w:szCs w:val="24"/>
          <w:lang w:eastAsia="zh-CN"/>
        </w:rPr>
      </w:pPr>
      <w:r w:rsidRPr="003E0AF3">
        <w:rPr>
          <w:rFonts w:eastAsia="SimSun"/>
          <w:szCs w:val="24"/>
          <w:lang w:eastAsia="zh-CN"/>
        </w:rPr>
        <w:t>Concomitant use of antidepressants with serotonergic effect and herbal remedies containing St. John´s</w:t>
      </w:r>
      <w:r w:rsidR="006177D0" w:rsidRPr="003E0AF3">
        <w:rPr>
          <w:rFonts w:eastAsia="SimSun"/>
          <w:szCs w:val="24"/>
          <w:lang w:eastAsia="zh-CN"/>
        </w:rPr>
        <w:t xml:space="preserve"> </w:t>
      </w:r>
      <w:proofErr w:type="spellStart"/>
      <w:r w:rsidRPr="003E0AF3">
        <w:rPr>
          <w:rFonts w:eastAsia="SimSun"/>
          <w:szCs w:val="24"/>
          <w:lang w:eastAsia="zh-CN"/>
        </w:rPr>
        <w:t>Wort</w:t>
      </w:r>
      <w:proofErr w:type="spellEnd"/>
      <w:r w:rsidRPr="003E0AF3">
        <w:rPr>
          <w:rFonts w:eastAsia="SimSun"/>
          <w:szCs w:val="24"/>
          <w:lang w:eastAsia="zh-CN"/>
        </w:rPr>
        <w:t xml:space="preserve"> (</w:t>
      </w:r>
      <w:proofErr w:type="spellStart"/>
      <w:r w:rsidRPr="003E0AF3">
        <w:rPr>
          <w:rFonts w:eastAsia="SimSun"/>
          <w:i/>
          <w:iCs/>
          <w:szCs w:val="24"/>
          <w:lang w:eastAsia="zh-CN"/>
        </w:rPr>
        <w:t>Hypericum</w:t>
      </w:r>
      <w:proofErr w:type="spellEnd"/>
      <w:r w:rsidRPr="003E0AF3">
        <w:rPr>
          <w:rFonts w:eastAsia="SimSun"/>
          <w:i/>
          <w:iCs/>
          <w:szCs w:val="24"/>
          <w:lang w:eastAsia="zh-CN"/>
        </w:rPr>
        <w:t xml:space="preserve"> </w:t>
      </w:r>
      <w:proofErr w:type="spellStart"/>
      <w:r w:rsidRPr="003E0AF3">
        <w:rPr>
          <w:rFonts w:eastAsia="SimSun"/>
          <w:i/>
          <w:iCs/>
          <w:szCs w:val="24"/>
          <w:lang w:eastAsia="zh-CN"/>
        </w:rPr>
        <w:t>perforatum</w:t>
      </w:r>
      <w:proofErr w:type="spellEnd"/>
      <w:r w:rsidRPr="003E0AF3">
        <w:rPr>
          <w:rFonts w:eastAsia="SimSun"/>
          <w:szCs w:val="24"/>
          <w:lang w:eastAsia="zh-CN"/>
        </w:rPr>
        <w:t>) may result in an increased incidence of adverse reactions including</w:t>
      </w:r>
      <w:r w:rsidR="006177D0" w:rsidRPr="003E0AF3">
        <w:rPr>
          <w:rFonts w:eastAsia="SimSun"/>
          <w:szCs w:val="24"/>
          <w:lang w:eastAsia="zh-CN"/>
        </w:rPr>
        <w:t xml:space="preserve"> </w:t>
      </w:r>
      <w:r w:rsidRPr="003E0AF3">
        <w:rPr>
          <w:rFonts w:eastAsia="SimSun"/>
          <w:szCs w:val="24"/>
          <w:lang w:eastAsia="zh-CN"/>
        </w:rPr>
        <w:t xml:space="preserve">serotonin syndrome (see </w:t>
      </w:r>
      <w:r w:rsidR="00D63FFD" w:rsidRPr="003E0AF3">
        <w:rPr>
          <w:rFonts w:eastAsia="SimSun"/>
          <w:szCs w:val="24"/>
          <w:lang w:eastAsia="zh-CN"/>
        </w:rPr>
        <w:t>PRECAUTIONS</w:t>
      </w:r>
      <w:r w:rsidRPr="003E0AF3">
        <w:rPr>
          <w:rFonts w:eastAsia="SimSun"/>
          <w:szCs w:val="24"/>
          <w:lang w:eastAsia="zh-CN"/>
        </w:rPr>
        <w:t>).</w:t>
      </w:r>
    </w:p>
    <w:p w:rsidR="00390C1C" w:rsidRPr="003E0AF3" w:rsidRDefault="00390C1C" w:rsidP="006177D0">
      <w:pPr>
        <w:autoSpaceDE w:val="0"/>
        <w:autoSpaceDN w:val="0"/>
        <w:adjustRightInd w:val="0"/>
        <w:rPr>
          <w:rFonts w:eastAsia="SimSun"/>
          <w:b/>
          <w:i/>
          <w:iCs/>
          <w:szCs w:val="24"/>
          <w:lang w:eastAsia="zh-CN"/>
        </w:rPr>
      </w:pPr>
      <w:r w:rsidRPr="003E0AF3">
        <w:rPr>
          <w:rFonts w:eastAsia="SimSun"/>
          <w:b/>
          <w:i/>
          <w:iCs/>
          <w:szCs w:val="24"/>
          <w:lang w:eastAsia="zh-CN"/>
        </w:rPr>
        <w:t>Medicinal products lowering the seizure threshold</w:t>
      </w:r>
    </w:p>
    <w:p w:rsidR="00390C1C" w:rsidRPr="003E0AF3" w:rsidRDefault="00390C1C" w:rsidP="006177D0">
      <w:pPr>
        <w:autoSpaceDE w:val="0"/>
        <w:autoSpaceDN w:val="0"/>
        <w:adjustRightInd w:val="0"/>
        <w:rPr>
          <w:rFonts w:eastAsia="SimSun"/>
          <w:szCs w:val="24"/>
          <w:lang w:eastAsia="zh-CN"/>
        </w:rPr>
      </w:pPr>
      <w:r w:rsidRPr="003E0AF3">
        <w:rPr>
          <w:rFonts w:eastAsia="SimSun"/>
          <w:szCs w:val="24"/>
          <w:lang w:eastAsia="zh-CN"/>
        </w:rPr>
        <w:t>Antidepressants with serotonergic effect can lower the seizure threshold.</w:t>
      </w:r>
      <w:r w:rsidR="003F71CC">
        <w:rPr>
          <w:rFonts w:eastAsia="SimSun"/>
          <w:szCs w:val="24"/>
          <w:lang w:eastAsia="zh-CN"/>
        </w:rPr>
        <w:t xml:space="preserve"> </w:t>
      </w:r>
      <w:r w:rsidRPr="003E0AF3">
        <w:rPr>
          <w:rFonts w:eastAsia="SimSun"/>
          <w:szCs w:val="24"/>
          <w:lang w:eastAsia="zh-CN"/>
        </w:rPr>
        <w:t xml:space="preserve"> Caution is advised when</w:t>
      </w:r>
      <w:r w:rsidR="006177D0" w:rsidRPr="003E0AF3">
        <w:rPr>
          <w:rFonts w:eastAsia="SimSun"/>
          <w:szCs w:val="24"/>
          <w:lang w:eastAsia="zh-CN"/>
        </w:rPr>
        <w:t xml:space="preserve"> </w:t>
      </w:r>
      <w:r w:rsidRPr="003E0AF3">
        <w:rPr>
          <w:rFonts w:eastAsia="SimSun"/>
          <w:szCs w:val="24"/>
          <w:lang w:eastAsia="zh-CN"/>
        </w:rPr>
        <w:t>concomitantly using other medicinal products capable of lowering the seizure threshold (</w:t>
      </w:r>
      <w:proofErr w:type="spellStart"/>
      <w:r w:rsidRPr="003E0AF3">
        <w:rPr>
          <w:rFonts w:eastAsia="SimSun"/>
          <w:szCs w:val="24"/>
          <w:lang w:eastAsia="zh-CN"/>
        </w:rPr>
        <w:t>e.g.antidepressants</w:t>
      </w:r>
      <w:proofErr w:type="spellEnd"/>
      <w:r w:rsidRPr="003E0AF3">
        <w:rPr>
          <w:rFonts w:eastAsia="SimSun"/>
          <w:szCs w:val="24"/>
          <w:lang w:eastAsia="zh-CN"/>
        </w:rPr>
        <w:t xml:space="preserve"> (</w:t>
      </w:r>
      <w:proofErr w:type="spellStart"/>
      <w:r w:rsidRPr="003E0AF3">
        <w:rPr>
          <w:rFonts w:eastAsia="SimSun"/>
          <w:szCs w:val="24"/>
          <w:lang w:eastAsia="zh-CN"/>
        </w:rPr>
        <w:t>tricyclics</w:t>
      </w:r>
      <w:proofErr w:type="spellEnd"/>
      <w:r w:rsidRPr="003E0AF3">
        <w:rPr>
          <w:rFonts w:eastAsia="SimSun"/>
          <w:szCs w:val="24"/>
          <w:lang w:eastAsia="zh-CN"/>
        </w:rPr>
        <w:t>, SSRIs, SNRIs), neuroleptics (</w:t>
      </w:r>
      <w:proofErr w:type="spellStart"/>
      <w:r w:rsidRPr="003E0AF3">
        <w:rPr>
          <w:rFonts w:eastAsia="SimSun"/>
          <w:szCs w:val="24"/>
          <w:lang w:eastAsia="zh-CN"/>
        </w:rPr>
        <w:t>phenothiazines</w:t>
      </w:r>
      <w:proofErr w:type="spellEnd"/>
      <w:r w:rsidRPr="003E0AF3">
        <w:rPr>
          <w:rFonts w:eastAsia="SimSun"/>
          <w:szCs w:val="24"/>
          <w:lang w:eastAsia="zh-CN"/>
        </w:rPr>
        <w:t xml:space="preserve">, </w:t>
      </w:r>
      <w:proofErr w:type="spellStart"/>
      <w:r w:rsidRPr="003E0AF3">
        <w:rPr>
          <w:rFonts w:eastAsia="SimSun"/>
          <w:szCs w:val="24"/>
          <w:lang w:eastAsia="zh-CN"/>
        </w:rPr>
        <w:t>thioxanthenes</w:t>
      </w:r>
      <w:proofErr w:type="spellEnd"/>
      <w:r w:rsidRPr="003E0AF3">
        <w:rPr>
          <w:rFonts w:eastAsia="SimSun"/>
          <w:szCs w:val="24"/>
          <w:lang w:eastAsia="zh-CN"/>
        </w:rPr>
        <w:t xml:space="preserve"> and</w:t>
      </w:r>
      <w:r w:rsidR="006177D0" w:rsidRPr="003E0AF3">
        <w:rPr>
          <w:rFonts w:eastAsia="SimSun"/>
          <w:szCs w:val="24"/>
          <w:lang w:eastAsia="zh-CN"/>
        </w:rPr>
        <w:t xml:space="preserve"> </w:t>
      </w:r>
      <w:proofErr w:type="spellStart"/>
      <w:r w:rsidRPr="003E0AF3">
        <w:rPr>
          <w:rFonts w:eastAsia="SimSun"/>
          <w:szCs w:val="24"/>
          <w:lang w:eastAsia="zh-CN"/>
        </w:rPr>
        <w:t>butyrophenones</w:t>
      </w:r>
      <w:proofErr w:type="spellEnd"/>
      <w:r w:rsidRPr="003E0AF3">
        <w:rPr>
          <w:rFonts w:eastAsia="SimSun"/>
          <w:szCs w:val="24"/>
          <w:lang w:eastAsia="zh-CN"/>
        </w:rPr>
        <w:t xml:space="preserve">), </w:t>
      </w:r>
      <w:proofErr w:type="spellStart"/>
      <w:r w:rsidRPr="003E0AF3">
        <w:rPr>
          <w:rFonts w:eastAsia="SimSun"/>
          <w:szCs w:val="24"/>
          <w:lang w:eastAsia="zh-CN"/>
        </w:rPr>
        <w:t>mefloquin</w:t>
      </w:r>
      <w:r w:rsidR="00105A95">
        <w:rPr>
          <w:rFonts w:eastAsia="SimSun"/>
          <w:szCs w:val="24"/>
          <w:lang w:eastAsia="zh-CN"/>
        </w:rPr>
        <w:t>e</w:t>
      </w:r>
      <w:proofErr w:type="spellEnd"/>
      <w:r w:rsidRPr="003E0AF3">
        <w:rPr>
          <w:rFonts w:eastAsia="SimSun"/>
          <w:szCs w:val="24"/>
          <w:lang w:eastAsia="zh-CN"/>
        </w:rPr>
        <w:t xml:space="preserve">, bupropion and tramadol) (see </w:t>
      </w:r>
      <w:r w:rsidR="00D63FFD" w:rsidRPr="003E0AF3">
        <w:rPr>
          <w:rFonts w:eastAsia="SimSun"/>
          <w:szCs w:val="24"/>
          <w:lang w:eastAsia="zh-CN"/>
        </w:rPr>
        <w:t>PRECAUTIONS</w:t>
      </w:r>
      <w:r w:rsidRPr="003E0AF3">
        <w:rPr>
          <w:rFonts w:eastAsia="SimSun"/>
          <w:szCs w:val="24"/>
          <w:lang w:eastAsia="zh-CN"/>
        </w:rPr>
        <w:t>).</w:t>
      </w:r>
    </w:p>
    <w:p w:rsidR="00390C1C" w:rsidRPr="003E0AF3" w:rsidRDefault="00390C1C" w:rsidP="006177D0">
      <w:pPr>
        <w:autoSpaceDE w:val="0"/>
        <w:autoSpaceDN w:val="0"/>
        <w:adjustRightInd w:val="0"/>
        <w:rPr>
          <w:rFonts w:eastAsia="SimSun"/>
          <w:b/>
          <w:iCs/>
          <w:szCs w:val="24"/>
          <w:lang w:eastAsia="zh-CN"/>
        </w:rPr>
      </w:pPr>
      <w:r w:rsidRPr="003E0AF3">
        <w:rPr>
          <w:rFonts w:eastAsia="SimSun"/>
          <w:b/>
          <w:i/>
          <w:iCs/>
          <w:szCs w:val="24"/>
          <w:lang w:eastAsia="zh-CN"/>
        </w:rPr>
        <w:t>ECT (electroconvulsive therapy)</w:t>
      </w:r>
    </w:p>
    <w:p w:rsidR="00390C1C" w:rsidRPr="003E0AF3" w:rsidRDefault="00390C1C" w:rsidP="006177D0">
      <w:pPr>
        <w:autoSpaceDE w:val="0"/>
        <w:autoSpaceDN w:val="0"/>
        <w:adjustRightInd w:val="0"/>
        <w:rPr>
          <w:rFonts w:eastAsia="SimSun"/>
          <w:szCs w:val="24"/>
          <w:lang w:eastAsia="zh-CN"/>
        </w:rPr>
      </w:pPr>
      <w:r w:rsidRPr="003E0AF3">
        <w:rPr>
          <w:rFonts w:eastAsia="SimSun"/>
          <w:szCs w:val="24"/>
          <w:lang w:eastAsia="zh-CN"/>
        </w:rPr>
        <w:t xml:space="preserve">There is no clinical experience of concurrent administration of </w:t>
      </w:r>
      <w:r w:rsidR="002A6678">
        <w:rPr>
          <w:rFonts w:eastAsia="SimSun"/>
          <w:szCs w:val="24"/>
          <w:lang w:eastAsia="zh-CN"/>
        </w:rPr>
        <w:t>BRINTELLIX</w:t>
      </w:r>
      <w:r w:rsidR="00D27034" w:rsidRPr="003E0AF3">
        <w:rPr>
          <w:rFonts w:eastAsia="SimSun"/>
          <w:szCs w:val="24"/>
          <w:lang w:eastAsia="zh-CN"/>
        </w:rPr>
        <w:t xml:space="preserve"> </w:t>
      </w:r>
      <w:r w:rsidRPr="003E0AF3">
        <w:rPr>
          <w:rFonts w:eastAsia="SimSun"/>
          <w:szCs w:val="24"/>
          <w:lang w:eastAsia="zh-CN"/>
        </w:rPr>
        <w:t>and ECT, therefore caution</w:t>
      </w:r>
      <w:r w:rsidR="006177D0" w:rsidRPr="003E0AF3">
        <w:rPr>
          <w:rFonts w:eastAsia="SimSun"/>
          <w:szCs w:val="24"/>
          <w:lang w:eastAsia="zh-CN"/>
        </w:rPr>
        <w:t xml:space="preserve"> </w:t>
      </w:r>
      <w:r w:rsidRPr="003E0AF3">
        <w:rPr>
          <w:rFonts w:eastAsia="SimSun"/>
          <w:szCs w:val="24"/>
          <w:lang w:eastAsia="zh-CN"/>
        </w:rPr>
        <w:t>is advisable.</w:t>
      </w:r>
    </w:p>
    <w:p w:rsidR="00390C1C" w:rsidRPr="003E0AF3" w:rsidRDefault="00390C1C" w:rsidP="006177D0">
      <w:pPr>
        <w:autoSpaceDE w:val="0"/>
        <w:autoSpaceDN w:val="0"/>
        <w:adjustRightInd w:val="0"/>
        <w:rPr>
          <w:rFonts w:eastAsia="SimSun"/>
          <w:b/>
          <w:i/>
          <w:iCs/>
          <w:szCs w:val="24"/>
          <w:lang w:eastAsia="zh-CN"/>
        </w:rPr>
      </w:pPr>
      <w:r w:rsidRPr="003E0AF3">
        <w:rPr>
          <w:rFonts w:eastAsia="SimSun"/>
          <w:b/>
          <w:i/>
          <w:iCs/>
          <w:szCs w:val="24"/>
          <w:lang w:eastAsia="zh-CN"/>
        </w:rPr>
        <w:t>Cytochrome P450 inhibitors</w:t>
      </w:r>
    </w:p>
    <w:p w:rsidR="00840D37" w:rsidRPr="003E0AF3" w:rsidRDefault="00390C1C" w:rsidP="00463BBC">
      <w:pPr>
        <w:autoSpaceDE w:val="0"/>
        <w:autoSpaceDN w:val="0"/>
        <w:adjustRightInd w:val="0"/>
        <w:rPr>
          <w:rFonts w:eastAsia="SimSun"/>
          <w:szCs w:val="24"/>
          <w:lang w:eastAsia="zh-CN"/>
        </w:rPr>
      </w:pPr>
      <w:r w:rsidRPr="003E0AF3">
        <w:rPr>
          <w:rFonts w:eastAsia="SimSun"/>
          <w:szCs w:val="24"/>
          <w:lang w:eastAsia="zh-CN"/>
        </w:rPr>
        <w:t xml:space="preserve">The exposure to </w:t>
      </w:r>
      <w:proofErr w:type="spellStart"/>
      <w:r w:rsidR="0022541E">
        <w:rPr>
          <w:rFonts w:eastAsia="SimSun"/>
          <w:szCs w:val="24"/>
          <w:lang w:eastAsia="zh-CN"/>
        </w:rPr>
        <w:t>vortioxetine</w:t>
      </w:r>
      <w:proofErr w:type="spellEnd"/>
      <w:r w:rsidR="0022541E">
        <w:rPr>
          <w:rFonts w:eastAsia="SimSun"/>
          <w:szCs w:val="24"/>
          <w:lang w:eastAsia="zh-CN"/>
        </w:rPr>
        <w:t xml:space="preserve"> </w:t>
      </w:r>
      <w:r w:rsidRPr="003E0AF3">
        <w:rPr>
          <w:rFonts w:eastAsia="SimSun"/>
          <w:szCs w:val="24"/>
          <w:lang w:eastAsia="zh-CN"/>
        </w:rPr>
        <w:t xml:space="preserve">increased 2.3-fold for AUC when </w:t>
      </w:r>
      <w:r w:rsidR="001D5489">
        <w:rPr>
          <w:szCs w:val="24"/>
        </w:rPr>
        <w:t>BRINTELLIX</w:t>
      </w:r>
      <w:r w:rsidRPr="003E0AF3">
        <w:rPr>
          <w:rFonts w:eastAsia="SimSun"/>
          <w:szCs w:val="24"/>
          <w:lang w:eastAsia="zh-CN"/>
        </w:rPr>
        <w:t xml:space="preserve"> 10</w:t>
      </w:r>
      <w:r w:rsidR="0022541E">
        <w:rPr>
          <w:rFonts w:eastAsia="SimSun"/>
          <w:szCs w:val="24"/>
          <w:lang w:eastAsia="zh-CN"/>
        </w:rPr>
        <w:t> </w:t>
      </w:r>
      <w:r w:rsidRPr="003E0AF3">
        <w:rPr>
          <w:rFonts w:eastAsia="SimSun"/>
          <w:szCs w:val="24"/>
          <w:lang w:eastAsia="zh-CN"/>
        </w:rPr>
        <w:t>mg/day was</w:t>
      </w:r>
      <w:r w:rsidR="006177D0" w:rsidRPr="003E0AF3">
        <w:rPr>
          <w:rFonts w:eastAsia="SimSun"/>
          <w:szCs w:val="24"/>
          <w:lang w:eastAsia="zh-CN"/>
        </w:rPr>
        <w:t xml:space="preserve"> </w:t>
      </w:r>
      <w:r w:rsidRPr="003E0AF3">
        <w:rPr>
          <w:rFonts w:eastAsia="SimSun"/>
          <w:szCs w:val="24"/>
          <w:lang w:eastAsia="zh-CN"/>
        </w:rPr>
        <w:t>co-administered with bupropion (a strong CYP2D6 inhibitor) 150</w:t>
      </w:r>
      <w:r w:rsidR="0022541E">
        <w:rPr>
          <w:rFonts w:eastAsia="SimSun"/>
          <w:szCs w:val="24"/>
          <w:lang w:eastAsia="zh-CN"/>
        </w:rPr>
        <w:t> </w:t>
      </w:r>
      <w:r w:rsidRPr="003E0AF3">
        <w:rPr>
          <w:rFonts w:eastAsia="SimSun"/>
          <w:szCs w:val="24"/>
          <w:lang w:eastAsia="zh-CN"/>
        </w:rPr>
        <w:t xml:space="preserve">mg </w:t>
      </w:r>
      <w:proofErr w:type="spellStart"/>
      <w:r w:rsidRPr="003E0AF3">
        <w:rPr>
          <w:rFonts w:eastAsia="SimSun"/>
          <w:szCs w:val="24"/>
          <w:lang w:eastAsia="zh-CN"/>
        </w:rPr>
        <w:t>b.i.d</w:t>
      </w:r>
      <w:proofErr w:type="spellEnd"/>
      <w:r w:rsidRPr="003E0AF3">
        <w:rPr>
          <w:rFonts w:eastAsia="SimSun"/>
          <w:szCs w:val="24"/>
          <w:lang w:eastAsia="zh-CN"/>
        </w:rPr>
        <w:t>. for 14 days in 44 healthy</w:t>
      </w:r>
      <w:r w:rsidR="006177D0" w:rsidRPr="003E0AF3">
        <w:rPr>
          <w:rFonts w:eastAsia="SimSun"/>
          <w:szCs w:val="24"/>
          <w:lang w:eastAsia="zh-CN"/>
        </w:rPr>
        <w:t xml:space="preserve"> </w:t>
      </w:r>
      <w:r w:rsidRPr="003E0AF3">
        <w:rPr>
          <w:rFonts w:eastAsia="SimSun"/>
          <w:szCs w:val="24"/>
          <w:lang w:eastAsia="zh-CN"/>
        </w:rPr>
        <w:t xml:space="preserve">subjects. </w:t>
      </w:r>
      <w:r w:rsidR="003F71CC">
        <w:rPr>
          <w:rFonts w:eastAsia="SimSun"/>
          <w:szCs w:val="24"/>
          <w:lang w:eastAsia="zh-CN"/>
        </w:rPr>
        <w:t xml:space="preserve"> </w:t>
      </w:r>
      <w:r w:rsidRPr="003E0AF3">
        <w:rPr>
          <w:rFonts w:eastAsia="SimSun"/>
          <w:szCs w:val="24"/>
          <w:lang w:eastAsia="zh-CN"/>
        </w:rPr>
        <w:t>The co-administration resulted in a higher incidence of adverse events when bupropion was</w:t>
      </w:r>
      <w:r w:rsidR="006177D0" w:rsidRPr="003E0AF3">
        <w:rPr>
          <w:rFonts w:eastAsia="SimSun"/>
          <w:szCs w:val="24"/>
          <w:lang w:eastAsia="zh-CN"/>
        </w:rPr>
        <w:t xml:space="preserve"> </w:t>
      </w:r>
      <w:r w:rsidRPr="003E0AF3">
        <w:rPr>
          <w:rFonts w:eastAsia="SimSun"/>
          <w:szCs w:val="24"/>
          <w:lang w:eastAsia="zh-CN"/>
        </w:rPr>
        <w:t xml:space="preserve">added to </w:t>
      </w:r>
      <w:r w:rsidR="001D5489">
        <w:rPr>
          <w:szCs w:val="24"/>
        </w:rPr>
        <w:t>BRINTELLIX</w:t>
      </w:r>
      <w:r w:rsidRPr="003E0AF3">
        <w:rPr>
          <w:rFonts w:eastAsia="SimSun"/>
          <w:szCs w:val="24"/>
          <w:lang w:eastAsia="zh-CN"/>
        </w:rPr>
        <w:t xml:space="preserve"> than when </w:t>
      </w:r>
      <w:r w:rsidR="001D5489">
        <w:rPr>
          <w:szCs w:val="24"/>
        </w:rPr>
        <w:t>BRINTELLIX</w:t>
      </w:r>
      <w:r w:rsidRPr="003E0AF3">
        <w:rPr>
          <w:rFonts w:eastAsia="SimSun"/>
          <w:szCs w:val="24"/>
          <w:lang w:eastAsia="zh-CN"/>
        </w:rPr>
        <w:t xml:space="preserve"> was added to bupropion. </w:t>
      </w:r>
      <w:r w:rsidR="003F71CC">
        <w:rPr>
          <w:rFonts w:eastAsia="SimSun"/>
          <w:szCs w:val="24"/>
          <w:lang w:eastAsia="zh-CN"/>
        </w:rPr>
        <w:t xml:space="preserve"> </w:t>
      </w:r>
      <w:r w:rsidRPr="003E0AF3">
        <w:rPr>
          <w:rFonts w:eastAsia="SimSun"/>
          <w:szCs w:val="24"/>
          <w:lang w:eastAsia="zh-CN"/>
        </w:rPr>
        <w:t>Depending on individual patient</w:t>
      </w:r>
      <w:r w:rsidR="006177D0" w:rsidRPr="003E0AF3">
        <w:rPr>
          <w:rFonts w:eastAsia="SimSun"/>
          <w:szCs w:val="24"/>
          <w:lang w:eastAsia="zh-CN"/>
        </w:rPr>
        <w:t xml:space="preserve"> </w:t>
      </w:r>
      <w:r w:rsidRPr="003E0AF3">
        <w:rPr>
          <w:rFonts w:eastAsia="SimSun"/>
          <w:szCs w:val="24"/>
          <w:lang w:eastAsia="zh-CN"/>
        </w:rPr>
        <w:t xml:space="preserve">response, a lower dose of </w:t>
      </w:r>
      <w:r w:rsidR="001D5489">
        <w:rPr>
          <w:szCs w:val="24"/>
        </w:rPr>
        <w:t>BRINTELLIX</w:t>
      </w:r>
      <w:r w:rsidRPr="003E0AF3">
        <w:rPr>
          <w:rFonts w:eastAsia="SimSun"/>
          <w:szCs w:val="24"/>
          <w:lang w:eastAsia="zh-CN"/>
        </w:rPr>
        <w:t xml:space="preserve"> may be considered if strong CYP2D6 inhibitors (e.g.</w:t>
      </w:r>
      <w:r w:rsidR="006177D0" w:rsidRPr="003E0AF3">
        <w:rPr>
          <w:rFonts w:eastAsia="SimSun"/>
          <w:szCs w:val="24"/>
          <w:lang w:eastAsia="zh-CN"/>
        </w:rPr>
        <w:t xml:space="preserve"> </w:t>
      </w:r>
      <w:r w:rsidRPr="003E0AF3">
        <w:rPr>
          <w:rFonts w:eastAsia="SimSun"/>
          <w:szCs w:val="24"/>
          <w:lang w:eastAsia="zh-CN"/>
        </w:rPr>
        <w:t xml:space="preserve">bupropion) are added to </w:t>
      </w:r>
      <w:r w:rsidR="001D5489">
        <w:rPr>
          <w:szCs w:val="24"/>
        </w:rPr>
        <w:t>BRINTELLIX</w:t>
      </w:r>
      <w:r w:rsidRPr="003E0AF3">
        <w:rPr>
          <w:rFonts w:eastAsia="SimSun"/>
          <w:szCs w:val="24"/>
          <w:lang w:eastAsia="zh-CN"/>
        </w:rPr>
        <w:t xml:space="preserve"> treatment (see </w:t>
      </w:r>
      <w:r w:rsidR="00D63FFD" w:rsidRPr="003E0AF3">
        <w:rPr>
          <w:rFonts w:eastAsia="SimSun"/>
          <w:szCs w:val="24"/>
          <w:lang w:eastAsia="zh-CN"/>
        </w:rPr>
        <w:t>DOSAGE AND ADMINISTRATION</w:t>
      </w:r>
      <w:r w:rsidRPr="003E0AF3">
        <w:rPr>
          <w:rFonts w:eastAsia="SimSun"/>
          <w:szCs w:val="24"/>
          <w:lang w:eastAsia="zh-CN"/>
        </w:rPr>
        <w:t>).</w:t>
      </w:r>
    </w:p>
    <w:p w:rsidR="00840D37" w:rsidRPr="003E0AF3" w:rsidRDefault="00390C1C" w:rsidP="006177D0">
      <w:pPr>
        <w:autoSpaceDE w:val="0"/>
        <w:autoSpaceDN w:val="0"/>
        <w:adjustRightInd w:val="0"/>
        <w:rPr>
          <w:rFonts w:eastAsia="SimSun"/>
          <w:szCs w:val="24"/>
          <w:lang w:eastAsia="zh-CN"/>
        </w:rPr>
      </w:pPr>
      <w:r w:rsidRPr="003E0AF3">
        <w:rPr>
          <w:rFonts w:eastAsia="SimSun"/>
          <w:szCs w:val="24"/>
          <w:lang w:eastAsia="zh-CN"/>
        </w:rPr>
        <w:t xml:space="preserve">When </w:t>
      </w:r>
      <w:r w:rsidR="001D5489">
        <w:rPr>
          <w:szCs w:val="24"/>
        </w:rPr>
        <w:t>BRINTELLIX</w:t>
      </w:r>
      <w:r w:rsidR="0022541E">
        <w:rPr>
          <w:rFonts w:eastAsia="SimSun"/>
          <w:szCs w:val="24"/>
          <w:lang w:eastAsia="zh-CN"/>
        </w:rPr>
        <w:t xml:space="preserve"> </w:t>
      </w:r>
      <w:r w:rsidRPr="003E0AF3">
        <w:rPr>
          <w:rFonts w:eastAsia="SimSun"/>
          <w:szCs w:val="24"/>
          <w:lang w:eastAsia="zh-CN"/>
        </w:rPr>
        <w:t>was co-administered following 6 days of ketoconazole 400</w:t>
      </w:r>
      <w:r w:rsidR="0022541E">
        <w:rPr>
          <w:rFonts w:eastAsia="SimSun"/>
          <w:szCs w:val="24"/>
          <w:lang w:eastAsia="zh-CN"/>
        </w:rPr>
        <w:t> </w:t>
      </w:r>
      <w:r w:rsidRPr="003E0AF3">
        <w:rPr>
          <w:rFonts w:eastAsia="SimSun"/>
          <w:szCs w:val="24"/>
          <w:lang w:eastAsia="zh-CN"/>
        </w:rPr>
        <w:t>mg/day (a CYP3A4/5</w:t>
      </w:r>
      <w:r w:rsidR="006177D0" w:rsidRPr="003E0AF3">
        <w:rPr>
          <w:rFonts w:eastAsia="SimSun"/>
          <w:szCs w:val="24"/>
          <w:lang w:eastAsia="zh-CN"/>
        </w:rPr>
        <w:t xml:space="preserve"> </w:t>
      </w:r>
      <w:r w:rsidRPr="003E0AF3">
        <w:rPr>
          <w:rFonts w:eastAsia="SimSun"/>
          <w:szCs w:val="24"/>
          <w:lang w:eastAsia="zh-CN"/>
        </w:rPr>
        <w:t xml:space="preserve">and P-glycoprotein inhibitor) in 17 healthy subjects, a 1.3-fold increase in </w:t>
      </w:r>
      <w:proofErr w:type="spellStart"/>
      <w:r w:rsidRPr="003E0AF3">
        <w:rPr>
          <w:rFonts w:eastAsia="SimSun"/>
          <w:szCs w:val="24"/>
          <w:lang w:eastAsia="zh-CN"/>
        </w:rPr>
        <w:t>vortioxetine</w:t>
      </w:r>
      <w:proofErr w:type="spellEnd"/>
      <w:r w:rsidRPr="003E0AF3">
        <w:rPr>
          <w:rFonts w:eastAsia="SimSun"/>
          <w:szCs w:val="24"/>
          <w:lang w:eastAsia="zh-CN"/>
        </w:rPr>
        <w:t xml:space="preserve"> AUC was</w:t>
      </w:r>
      <w:r w:rsidR="006177D0" w:rsidRPr="003E0AF3">
        <w:rPr>
          <w:rFonts w:eastAsia="SimSun"/>
          <w:szCs w:val="24"/>
          <w:lang w:eastAsia="zh-CN"/>
        </w:rPr>
        <w:t xml:space="preserve"> </w:t>
      </w:r>
      <w:r w:rsidRPr="003E0AF3">
        <w:rPr>
          <w:rFonts w:eastAsia="SimSun"/>
          <w:szCs w:val="24"/>
          <w:lang w:eastAsia="zh-CN"/>
        </w:rPr>
        <w:t xml:space="preserve">observed. </w:t>
      </w:r>
      <w:r w:rsidR="003F71CC">
        <w:rPr>
          <w:rFonts w:eastAsia="SimSun"/>
          <w:szCs w:val="24"/>
          <w:lang w:eastAsia="zh-CN"/>
        </w:rPr>
        <w:t xml:space="preserve"> </w:t>
      </w:r>
      <w:r w:rsidRPr="003E0AF3">
        <w:rPr>
          <w:rFonts w:eastAsia="SimSun"/>
          <w:szCs w:val="24"/>
          <w:lang w:eastAsia="zh-CN"/>
        </w:rPr>
        <w:t>No dose adjustment is needed.</w:t>
      </w:r>
    </w:p>
    <w:p w:rsidR="00840D37" w:rsidRPr="003E0AF3" w:rsidRDefault="00390C1C" w:rsidP="00135E8A">
      <w:pPr>
        <w:autoSpaceDE w:val="0"/>
        <w:autoSpaceDN w:val="0"/>
        <w:adjustRightInd w:val="0"/>
        <w:rPr>
          <w:rFonts w:eastAsia="SimSun"/>
          <w:szCs w:val="24"/>
          <w:lang w:eastAsia="zh-CN"/>
        </w:rPr>
      </w:pPr>
      <w:r w:rsidRPr="003E0AF3">
        <w:rPr>
          <w:rFonts w:eastAsia="SimSun"/>
          <w:szCs w:val="24"/>
          <w:lang w:eastAsia="zh-CN"/>
        </w:rPr>
        <w:t xml:space="preserve">When </w:t>
      </w:r>
      <w:r w:rsidR="001D5489">
        <w:rPr>
          <w:szCs w:val="24"/>
        </w:rPr>
        <w:t>BRINTELLIX</w:t>
      </w:r>
      <w:r w:rsidR="0022541E">
        <w:rPr>
          <w:rFonts w:eastAsia="SimSun"/>
          <w:szCs w:val="24"/>
          <w:lang w:eastAsia="zh-CN"/>
        </w:rPr>
        <w:t xml:space="preserve"> </w:t>
      </w:r>
      <w:r w:rsidRPr="003E0AF3">
        <w:rPr>
          <w:rFonts w:eastAsia="SimSun"/>
          <w:szCs w:val="24"/>
          <w:lang w:eastAsia="zh-CN"/>
        </w:rPr>
        <w:t>was co-administered following 6 days of fluconazole 200</w:t>
      </w:r>
      <w:r w:rsidR="0022541E">
        <w:rPr>
          <w:rFonts w:eastAsia="SimSun"/>
          <w:szCs w:val="24"/>
          <w:lang w:eastAsia="zh-CN"/>
        </w:rPr>
        <w:t> </w:t>
      </w:r>
      <w:r w:rsidRPr="003E0AF3">
        <w:rPr>
          <w:rFonts w:eastAsia="SimSun"/>
          <w:szCs w:val="24"/>
          <w:lang w:eastAsia="zh-CN"/>
        </w:rPr>
        <w:t>mg/day (a CYP2C9,</w:t>
      </w:r>
      <w:r w:rsidR="006177D0" w:rsidRPr="003E0AF3">
        <w:rPr>
          <w:rFonts w:eastAsia="SimSun"/>
          <w:szCs w:val="24"/>
          <w:lang w:eastAsia="zh-CN"/>
        </w:rPr>
        <w:t xml:space="preserve"> </w:t>
      </w:r>
      <w:r w:rsidRPr="003E0AF3">
        <w:rPr>
          <w:rFonts w:eastAsia="SimSun"/>
          <w:szCs w:val="24"/>
          <w:lang w:eastAsia="zh-CN"/>
        </w:rPr>
        <w:t>CYP2C19 and CYP3A4/5 inhibitor) in 16 healthy subjects, a 1.5-fold increase in AUC was observed.</w:t>
      </w:r>
      <w:r w:rsidR="006177D0" w:rsidRPr="003E0AF3">
        <w:rPr>
          <w:rFonts w:eastAsia="SimSun"/>
          <w:szCs w:val="24"/>
          <w:lang w:eastAsia="zh-CN"/>
        </w:rPr>
        <w:t xml:space="preserve"> </w:t>
      </w:r>
      <w:r w:rsidR="0022541E">
        <w:rPr>
          <w:rFonts w:eastAsia="SimSun"/>
          <w:szCs w:val="24"/>
          <w:lang w:eastAsia="zh-CN"/>
        </w:rPr>
        <w:t xml:space="preserve"> </w:t>
      </w:r>
      <w:r w:rsidRPr="003E0AF3">
        <w:rPr>
          <w:rFonts w:eastAsia="SimSun"/>
          <w:szCs w:val="24"/>
          <w:lang w:eastAsia="zh-CN"/>
        </w:rPr>
        <w:t>No dose adjustment is needed.</w:t>
      </w:r>
    </w:p>
    <w:p w:rsidR="00390C1C" w:rsidRPr="003E0AF3" w:rsidRDefault="00390C1C" w:rsidP="006177D0">
      <w:pPr>
        <w:autoSpaceDE w:val="0"/>
        <w:autoSpaceDN w:val="0"/>
        <w:adjustRightInd w:val="0"/>
        <w:rPr>
          <w:rFonts w:eastAsia="SimSun"/>
          <w:b/>
          <w:i/>
          <w:iCs/>
          <w:szCs w:val="24"/>
          <w:lang w:eastAsia="zh-CN"/>
        </w:rPr>
      </w:pPr>
      <w:r w:rsidRPr="003E0AF3">
        <w:rPr>
          <w:rFonts w:eastAsia="SimSun"/>
          <w:b/>
          <w:i/>
          <w:iCs/>
          <w:szCs w:val="24"/>
          <w:lang w:eastAsia="zh-CN"/>
        </w:rPr>
        <w:t>Cytochrome P450 inducers</w:t>
      </w:r>
    </w:p>
    <w:p w:rsidR="00390C1C" w:rsidRPr="003E0AF3" w:rsidRDefault="00390C1C" w:rsidP="006177D0">
      <w:pPr>
        <w:autoSpaceDE w:val="0"/>
        <w:autoSpaceDN w:val="0"/>
        <w:adjustRightInd w:val="0"/>
        <w:rPr>
          <w:rFonts w:eastAsia="SimSun"/>
          <w:szCs w:val="24"/>
          <w:lang w:eastAsia="zh-CN"/>
        </w:rPr>
      </w:pPr>
      <w:r w:rsidRPr="003E0AF3">
        <w:rPr>
          <w:rFonts w:eastAsia="SimSun"/>
          <w:szCs w:val="24"/>
          <w:lang w:eastAsia="zh-CN"/>
        </w:rPr>
        <w:t>When a single dose of 20</w:t>
      </w:r>
      <w:r w:rsidR="0022541E">
        <w:rPr>
          <w:rFonts w:eastAsia="SimSun"/>
          <w:szCs w:val="24"/>
          <w:lang w:eastAsia="zh-CN"/>
        </w:rPr>
        <w:t> </w:t>
      </w:r>
      <w:r w:rsidRPr="003E0AF3">
        <w:rPr>
          <w:rFonts w:eastAsia="SimSun"/>
          <w:szCs w:val="24"/>
          <w:lang w:eastAsia="zh-CN"/>
        </w:rPr>
        <w:t xml:space="preserve">mg </w:t>
      </w:r>
      <w:r w:rsidR="001D5489">
        <w:rPr>
          <w:szCs w:val="24"/>
        </w:rPr>
        <w:t>BRINTELLIX</w:t>
      </w:r>
      <w:r w:rsidR="0022541E">
        <w:rPr>
          <w:rFonts w:eastAsia="SimSun"/>
          <w:szCs w:val="24"/>
          <w:lang w:eastAsia="zh-CN"/>
        </w:rPr>
        <w:t xml:space="preserve"> </w:t>
      </w:r>
      <w:r w:rsidRPr="003E0AF3">
        <w:rPr>
          <w:rFonts w:eastAsia="SimSun"/>
          <w:szCs w:val="24"/>
          <w:lang w:eastAsia="zh-CN"/>
        </w:rPr>
        <w:t>was co-administered following 10 days of rifampicin</w:t>
      </w:r>
      <w:r w:rsidR="006177D0" w:rsidRPr="003E0AF3">
        <w:rPr>
          <w:rFonts w:eastAsia="SimSun"/>
          <w:szCs w:val="24"/>
          <w:lang w:eastAsia="zh-CN"/>
        </w:rPr>
        <w:t xml:space="preserve"> </w:t>
      </w:r>
      <w:r w:rsidRPr="003E0AF3">
        <w:rPr>
          <w:rFonts w:eastAsia="SimSun"/>
          <w:szCs w:val="24"/>
          <w:lang w:eastAsia="zh-CN"/>
        </w:rPr>
        <w:t>600</w:t>
      </w:r>
      <w:r w:rsidR="0022541E">
        <w:rPr>
          <w:rFonts w:eastAsia="SimSun"/>
          <w:szCs w:val="24"/>
          <w:lang w:eastAsia="zh-CN"/>
        </w:rPr>
        <w:t> </w:t>
      </w:r>
      <w:r w:rsidRPr="003E0AF3">
        <w:rPr>
          <w:rFonts w:eastAsia="SimSun"/>
          <w:szCs w:val="24"/>
          <w:lang w:eastAsia="zh-CN"/>
        </w:rPr>
        <w:t xml:space="preserve">mg/day (a broad inducer of CYP </w:t>
      </w:r>
      <w:proofErr w:type="spellStart"/>
      <w:r w:rsidRPr="003E0AF3">
        <w:rPr>
          <w:rFonts w:eastAsia="SimSun"/>
          <w:szCs w:val="24"/>
          <w:lang w:eastAsia="zh-CN"/>
        </w:rPr>
        <w:t>isozymes</w:t>
      </w:r>
      <w:proofErr w:type="spellEnd"/>
      <w:r w:rsidRPr="003E0AF3">
        <w:rPr>
          <w:rFonts w:eastAsia="SimSun"/>
          <w:szCs w:val="24"/>
          <w:lang w:eastAsia="zh-CN"/>
        </w:rPr>
        <w:t xml:space="preserve">) in 14 healthy subjects, a 72% </w:t>
      </w:r>
      <w:r w:rsidRPr="003E0AF3">
        <w:rPr>
          <w:rFonts w:eastAsia="SimSun"/>
          <w:szCs w:val="24"/>
          <w:lang w:eastAsia="zh-CN"/>
        </w:rPr>
        <w:lastRenderedPageBreak/>
        <w:t>decrease in AUC of</w:t>
      </w:r>
      <w:r w:rsidR="006177D0" w:rsidRPr="003E0AF3">
        <w:rPr>
          <w:rFonts w:eastAsia="SimSun"/>
          <w:szCs w:val="24"/>
          <w:lang w:eastAsia="zh-CN"/>
        </w:rPr>
        <w:t xml:space="preserve"> </w:t>
      </w:r>
      <w:r w:rsidR="001D5489">
        <w:rPr>
          <w:szCs w:val="24"/>
        </w:rPr>
        <w:t>BRINTELLIX</w:t>
      </w:r>
      <w:r w:rsidRPr="003E0AF3">
        <w:rPr>
          <w:rFonts w:eastAsia="SimSun"/>
          <w:szCs w:val="24"/>
          <w:lang w:eastAsia="zh-CN"/>
        </w:rPr>
        <w:t xml:space="preserve"> was observed. </w:t>
      </w:r>
      <w:r w:rsidR="003F71CC">
        <w:rPr>
          <w:rFonts w:eastAsia="SimSun"/>
          <w:szCs w:val="24"/>
          <w:lang w:eastAsia="zh-CN"/>
        </w:rPr>
        <w:t xml:space="preserve"> </w:t>
      </w:r>
      <w:r w:rsidRPr="003E0AF3">
        <w:rPr>
          <w:rFonts w:eastAsia="SimSun"/>
          <w:szCs w:val="24"/>
          <w:lang w:eastAsia="zh-CN"/>
        </w:rPr>
        <w:t>Depending on individual patient response, a dose adjustment may be</w:t>
      </w:r>
      <w:r w:rsidR="006177D0" w:rsidRPr="003E0AF3">
        <w:rPr>
          <w:rFonts w:eastAsia="SimSun"/>
          <w:szCs w:val="24"/>
          <w:lang w:eastAsia="zh-CN"/>
        </w:rPr>
        <w:t xml:space="preserve"> </w:t>
      </w:r>
      <w:r w:rsidRPr="003E0AF3">
        <w:rPr>
          <w:rFonts w:eastAsia="SimSun"/>
          <w:szCs w:val="24"/>
          <w:lang w:eastAsia="zh-CN"/>
        </w:rPr>
        <w:t xml:space="preserve">considered (see </w:t>
      </w:r>
      <w:r w:rsidR="00D63FFD" w:rsidRPr="003E0AF3">
        <w:rPr>
          <w:rFonts w:eastAsia="SimSun"/>
          <w:szCs w:val="24"/>
          <w:lang w:eastAsia="zh-CN"/>
        </w:rPr>
        <w:t>DOSAGE AND ADMINISTRATION</w:t>
      </w:r>
      <w:r w:rsidRPr="003E0AF3">
        <w:rPr>
          <w:rFonts w:eastAsia="SimSun"/>
          <w:szCs w:val="24"/>
          <w:lang w:eastAsia="zh-CN"/>
        </w:rPr>
        <w:t>).</w:t>
      </w:r>
    </w:p>
    <w:p w:rsidR="00390C1C" w:rsidRPr="003E0AF3" w:rsidRDefault="00390C1C" w:rsidP="006177D0">
      <w:pPr>
        <w:autoSpaceDE w:val="0"/>
        <w:autoSpaceDN w:val="0"/>
        <w:adjustRightInd w:val="0"/>
        <w:rPr>
          <w:rFonts w:eastAsia="SimSun"/>
          <w:b/>
          <w:szCs w:val="24"/>
          <w:lang w:eastAsia="zh-CN"/>
        </w:rPr>
      </w:pPr>
      <w:r w:rsidRPr="003E0AF3">
        <w:rPr>
          <w:rFonts w:eastAsia="SimSun"/>
          <w:b/>
          <w:szCs w:val="24"/>
          <w:lang w:eastAsia="zh-CN"/>
        </w:rPr>
        <w:t xml:space="preserve">Potential for </w:t>
      </w:r>
      <w:r w:rsidR="002A6678">
        <w:rPr>
          <w:rFonts w:eastAsia="SimSun"/>
          <w:b/>
          <w:szCs w:val="24"/>
          <w:lang w:eastAsia="zh-CN"/>
        </w:rPr>
        <w:t>BRINTELLIX</w:t>
      </w:r>
      <w:r w:rsidR="00D27034" w:rsidRPr="003E0AF3">
        <w:rPr>
          <w:rFonts w:eastAsia="SimSun"/>
          <w:b/>
          <w:szCs w:val="24"/>
          <w:lang w:eastAsia="zh-CN"/>
        </w:rPr>
        <w:t xml:space="preserve"> </w:t>
      </w:r>
      <w:r w:rsidRPr="003E0AF3">
        <w:rPr>
          <w:rFonts w:eastAsia="SimSun"/>
          <w:b/>
          <w:szCs w:val="24"/>
          <w:lang w:eastAsia="zh-CN"/>
        </w:rPr>
        <w:t>to affect other medicinal products</w:t>
      </w:r>
    </w:p>
    <w:p w:rsidR="00390C1C" w:rsidRPr="003E0AF3" w:rsidRDefault="00390C1C" w:rsidP="006177D0">
      <w:pPr>
        <w:autoSpaceDE w:val="0"/>
        <w:autoSpaceDN w:val="0"/>
        <w:adjustRightInd w:val="0"/>
        <w:rPr>
          <w:rFonts w:eastAsia="SimSun"/>
          <w:b/>
          <w:iCs/>
          <w:szCs w:val="24"/>
          <w:lang w:eastAsia="zh-CN"/>
        </w:rPr>
      </w:pPr>
      <w:r w:rsidRPr="003E0AF3">
        <w:rPr>
          <w:rFonts w:eastAsia="SimSun"/>
          <w:b/>
          <w:i/>
          <w:iCs/>
          <w:szCs w:val="24"/>
          <w:lang w:eastAsia="zh-CN"/>
        </w:rPr>
        <w:t>Anticoagulants and antiplatelet agents</w:t>
      </w:r>
    </w:p>
    <w:p w:rsidR="00840D37" w:rsidRPr="003E0AF3" w:rsidRDefault="00390C1C" w:rsidP="006177D0">
      <w:pPr>
        <w:autoSpaceDE w:val="0"/>
        <w:autoSpaceDN w:val="0"/>
        <w:adjustRightInd w:val="0"/>
        <w:rPr>
          <w:rFonts w:eastAsia="SimSun"/>
          <w:szCs w:val="24"/>
          <w:lang w:eastAsia="zh-CN"/>
        </w:rPr>
      </w:pPr>
      <w:r w:rsidRPr="003E0AF3">
        <w:rPr>
          <w:rFonts w:eastAsia="SimSun"/>
          <w:szCs w:val="24"/>
          <w:lang w:eastAsia="zh-CN"/>
        </w:rPr>
        <w:t>No significant effects, relative to placebo, were observed in INR, prothrombin or plasma</w:t>
      </w:r>
      <w:r w:rsidR="00335D7D">
        <w:rPr>
          <w:rFonts w:eastAsia="SimSun"/>
          <w:szCs w:val="24"/>
          <w:lang w:eastAsia="zh-CN"/>
        </w:rPr>
        <w:t xml:space="preserve"> </w:t>
      </w:r>
      <w:r w:rsidRPr="003E0AF3">
        <w:rPr>
          <w:rFonts w:eastAsia="SimSun"/>
          <w:szCs w:val="24"/>
          <w:lang w:eastAsia="zh-CN"/>
        </w:rPr>
        <w:t xml:space="preserve">R-/S-warfarin values following co-administration of 10 mg/day </w:t>
      </w:r>
      <w:proofErr w:type="spellStart"/>
      <w:r w:rsidRPr="003E0AF3">
        <w:rPr>
          <w:rFonts w:eastAsia="SimSun"/>
          <w:szCs w:val="24"/>
          <w:lang w:eastAsia="zh-CN"/>
        </w:rPr>
        <w:t>vortioxetine</w:t>
      </w:r>
      <w:proofErr w:type="spellEnd"/>
      <w:r w:rsidRPr="003E0AF3">
        <w:rPr>
          <w:rFonts w:eastAsia="SimSun"/>
          <w:szCs w:val="24"/>
          <w:lang w:eastAsia="zh-CN"/>
        </w:rPr>
        <w:t xml:space="preserve"> for 14 days with stable</w:t>
      </w:r>
      <w:r w:rsidR="006177D0" w:rsidRPr="003E0AF3">
        <w:rPr>
          <w:rFonts w:eastAsia="SimSun"/>
          <w:szCs w:val="24"/>
          <w:lang w:eastAsia="zh-CN"/>
        </w:rPr>
        <w:t xml:space="preserve"> </w:t>
      </w:r>
      <w:r w:rsidRPr="003E0AF3">
        <w:rPr>
          <w:rFonts w:eastAsia="SimSun"/>
          <w:szCs w:val="24"/>
          <w:lang w:eastAsia="zh-CN"/>
        </w:rPr>
        <w:t xml:space="preserve">doses of warfarin in 52 healthy subjects. </w:t>
      </w:r>
      <w:r w:rsidR="003F71CC">
        <w:rPr>
          <w:rFonts w:eastAsia="SimSun"/>
          <w:szCs w:val="24"/>
          <w:lang w:eastAsia="zh-CN"/>
        </w:rPr>
        <w:t xml:space="preserve"> </w:t>
      </w:r>
      <w:r w:rsidRPr="003E0AF3">
        <w:rPr>
          <w:rFonts w:eastAsia="SimSun"/>
          <w:szCs w:val="24"/>
          <w:lang w:eastAsia="zh-CN"/>
        </w:rPr>
        <w:t>Also, no significant inhibitory effect, relative to placebo, on</w:t>
      </w:r>
      <w:r w:rsidR="006177D0" w:rsidRPr="003E0AF3">
        <w:rPr>
          <w:rFonts w:eastAsia="SimSun"/>
          <w:szCs w:val="24"/>
          <w:lang w:eastAsia="zh-CN"/>
        </w:rPr>
        <w:t xml:space="preserve"> </w:t>
      </w:r>
      <w:r w:rsidRPr="003E0AF3">
        <w:rPr>
          <w:rFonts w:eastAsia="SimSun"/>
          <w:szCs w:val="24"/>
          <w:lang w:eastAsia="zh-CN"/>
        </w:rPr>
        <w:t>platelet aggregation was observed when aspirin 150 mg/day was co-administered following 14 days of</w:t>
      </w:r>
      <w:r w:rsidR="00463BBC" w:rsidRPr="003E0AF3">
        <w:rPr>
          <w:rFonts w:eastAsia="SimSun"/>
          <w:szCs w:val="24"/>
          <w:lang w:eastAsia="zh-CN"/>
        </w:rPr>
        <w:t xml:space="preserve"> </w:t>
      </w:r>
      <w:r w:rsidR="001D5489">
        <w:rPr>
          <w:szCs w:val="24"/>
        </w:rPr>
        <w:t>BRINTELLIX</w:t>
      </w:r>
      <w:r w:rsidRPr="003E0AF3">
        <w:rPr>
          <w:rFonts w:eastAsia="SimSun"/>
          <w:szCs w:val="24"/>
          <w:lang w:eastAsia="zh-CN"/>
        </w:rPr>
        <w:t xml:space="preserve"> 10 mg/day administration in 28 healthy subjects. </w:t>
      </w:r>
      <w:r w:rsidR="003F71CC">
        <w:rPr>
          <w:rFonts w:eastAsia="SimSun"/>
          <w:szCs w:val="24"/>
          <w:lang w:eastAsia="zh-CN"/>
        </w:rPr>
        <w:t xml:space="preserve"> </w:t>
      </w:r>
      <w:r w:rsidRPr="003E0AF3">
        <w:rPr>
          <w:rFonts w:eastAsia="SimSun"/>
          <w:szCs w:val="24"/>
          <w:lang w:eastAsia="zh-CN"/>
        </w:rPr>
        <w:t>However, as for other serotonergic</w:t>
      </w:r>
      <w:r w:rsidR="009A49E4" w:rsidRPr="003E0AF3">
        <w:rPr>
          <w:rFonts w:eastAsia="SimSun"/>
          <w:szCs w:val="24"/>
          <w:lang w:eastAsia="zh-CN"/>
        </w:rPr>
        <w:t xml:space="preserve"> agents</w:t>
      </w:r>
      <w:r w:rsidRPr="003E0AF3">
        <w:rPr>
          <w:rFonts w:eastAsia="SimSun"/>
          <w:szCs w:val="24"/>
          <w:lang w:eastAsia="zh-CN"/>
        </w:rPr>
        <w:t xml:space="preserve">, caution should be exercised when </w:t>
      </w:r>
      <w:proofErr w:type="spellStart"/>
      <w:r w:rsidRPr="003E0AF3">
        <w:rPr>
          <w:rFonts w:eastAsia="SimSun"/>
          <w:szCs w:val="24"/>
          <w:lang w:eastAsia="zh-CN"/>
        </w:rPr>
        <w:t>vortioxetine</w:t>
      </w:r>
      <w:proofErr w:type="spellEnd"/>
      <w:r w:rsidRPr="003E0AF3">
        <w:rPr>
          <w:rFonts w:eastAsia="SimSun"/>
          <w:szCs w:val="24"/>
          <w:lang w:eastAsia="zh-CN"/>
        </w:rPr>
        <w:t xml:space="preserve"> is combined with oral</w:t>
      </w:r>
      <w:r w:rsidR="00463BBC" w:rsidRPr="003E0AF3">
        <w:rPr>
          <w:rFonts w:eastAsia="SimSun"/>
          <w:szCs w:val="24"/>
          <w:lang w:eastAsia="zh-CN"/>
        </w:rPr>
        <w:t xml:space="preserve"> </w:t>
      </w:r>
      <w:r w:rsidRPr="003E0AF3">
        <w:rPr>
          <w:rFonts w:eastAsia="SimSun"/>
          <w:szCs w:val="24"/>
          <w:lang w:eastAsia="zh-CN"/>
        </w:rPr>
        <w:t>anticoagulants or antiplatelet agents due to a potential increased risk of bleeding attributable to a</w:t>
      </w:r>
      <w:r w:rsidR="00463BBC" w:rsidRPr="003E0AF3">
        <w:rPr>
          <w:rFonts w:eastAsia="SimSun"/>
          <w:szCs w:val="24"/>
          <w:lang w:eastAsia="zh-CN"/>
        </w:rPr>
        <w:t xml:space="preserve"> </w:t>
      </w:r>
      <w:proofErr w:type="spellStart"/>
      <w:r w:rsidRPr="003E0AF3">
        <w:rPr>
          <w:rFonts w:eastAsia="SimSun"/>
          <w:szCs w:val="24"/>
          <w:lang w:eastAsia="zh-CN"/>
        </w:rPr>
        <w:t>pharmacodynamic</w:t>
      </w:r>
      <w:proofErr w:type="spellEnd"/>
      <w:r w:rsidRPr="003E0AF3">
        <w:rPr>
          <w:rFonts w:eastAsia="SimSun"/>
          <w:szCs w:val="24"/>
          <w:lang w:eastAsia="zh-CN"/>
        </w:rPr>
        <w:t xml:space="preserve"> interaction (see</w:t>
      </w:r>
      <w:r w:rsidR="009A49E4" w:rsidRPr="003E0AF3">
        <w:rPr>
          <w:rFonts w:eastAsia="SimSun"/>
          <w:szCs w:val="24"/>
          <w:lang w:eastAsia="zh-CN"/>
        </w:rPr>
        <w:t xml:space="preserve"> PRECAUTIONS</w:t>
      </w:r>
      <w:r w:rsidRPr="003E0AF3">
        <w:rPr>
          <w:rFonts w:eastAsia="SimSun"/>
          <w:szCs w:val="24"/>
          <w:lang w:eastAsia="zh-CN"/>
        </w:rPr>
        <w:t>).</w:t>
      </w:r>
    </w:p>
    <w:p w:rsidR="00390C1C" w:rsidRPr="003E0AF3" w:rsidRDefault="00390C1C" w:rsidP="006177D0">
      <w:pPr>
        <w:autoSpaceDE w:val="0"/>
        <w:autoSpaceDN w:val="0"/>
        <w:adjustRightInd w:val="0"/>
        <w:rPr>
          <w:rFonts w:eastAsia="SimSun"/>
          <w:b/>
          <w:i/>
          <w:iCs/>
          <w:szCs w:val="24"/>
          <w:lang w:eastAsia="zh-CN"/>
        </w:rPr>
      </w:pPr>
      <w:r w:rsidRPr="003E0AF3">
        <w:rPr>
          <w:rFonts w:eastAsia="SimSun"/>
          <w:b/>
          <w:i/>
          <w:iCs/>
          <w:szCs w:val="24"/>
          <w:lang w:eastAsia="zh-CN"/>
        </w:rPr>
        <w:t>Lithium, tryptophan</w:t>
      </w:r>
    </w:p>
    <w:p w:rsidR="00840D37" w:rsidRPr="003E0AF3" w:rsidRDefault="00390C1C" w:rsidP="006177D0">
      <w:pPr>
        <w:autoSpaceDE w:val="0"/>
        <w:autoSpaceDN w:val="0"/>
        <w:adjustRightInd w:val="0"/>
        <w:rPr>
          <w:rFonts w:eastAsia="SimSun"/>
          <w:szCs w:val="24"/>
          <w:lang w:eastAsia="zh-CN"/>
        </w:rPr>
      </w:pPr>
      <w:r w:rsidRPr="003E0AF3">
        <w:rPr>
          <w:rFonts w:eastAsia="SimSun"/>
          <w:szCs w:val="24"/>
          <w:lang w:eastAsia="zh-CN"/>
        </w:rPr>
        <w:t>No clinically relevant effect was observed during steady-state lithium exposure following</w:t>
      </w:r>
      <w:r w:rsidR="00335D7D">
        <w:rPr>
          <w:rFonts w:eastAsia="SimSun"/>
          <w:szCs w:val="24"/>
          <w:lang w:eastAsia="zh-CN"/>
        </w:rPr>
        <w:t xml:space="preserve"> </w:t>
      </w:r>
      <w:r w:rsidRPr="003E0AF3">
        <w:rPr>
          <w:rFonts w:eastAsia="SimSun"/>
          <w:szCs w:val="24"/>
          <w:lang w:eastAsia="zh-CN"/>
        </w:rPr>
        <w:t xml:space="preserve">co-administration with </w:t>
      </w:r>
      <w:r w:rsidR="001D5489">
        <w:rPr>
          <w:szCs w:val="24"/>
        </w:rPr>
        <w:t>BRINTELLIX</w:t>
      </w:r>
      <w:r w:rsidRPr="003E0AF3">
        <w:rPr>
          <w:rFonts w:eastAsia="SimSun"/>
          <w:szCs w:val="24"/>
          <w:lang w:eastAsia="zh-CN"/>
        </w:rPr>
        <w:t xml:space="preserve"> 10 mg/day for 14 days in 16 healthy subjects. </w:t>
      </w:r>
      <w:r w:rsidR="003F71CC">
        <w:rPr>
          <w:rFonts w:eastAsia="SimSun"/>
          <w:szCs w:val="24"/>
          <w:lang w:eastAsia="zh-CN"/>
        </w:rPr>
        <w:t xml:space="preserve"> </w:t>
      </w:r>
      <w:r w:rsidRPr="003E0AF3">
        <w:rPr>
          <w:rFonts w:eastAsia="SimSun"/>
          <w:szCs w:val="24"/>
          <w:lang w:eastAsia="zh-CN"/>
        </w:rPr>
        <w:t>However, there have</w:t>
      </w:r>
      <w:r w:rsidR="00463BBC" w:rsidRPr="003E0AF3">
        <w:rPr>
          <w:rFonts w:eastAsia="SimSun"/>
          <w:szCs w:val="24"/>
          <w:lang w:eastAsia="zh-CN"/>
        </w:rPr>
        <w:t xml:space="preserve"> </w:t>
      </w:r>
      <w:r w:rsidRPr="003E0AF3">
        <w:rPr>
          <w:rFonts w:eastAsia="SimSun"/>
          <w:szCs w:val="24"/>
          <w:lang w:eastAsia="zh-CN"/>
        </w:rPr>
        <w:t>been reports of enhanced effects when antidepressants with serotonergic effect have been given</w:t>
      </w:r>
      <w:r w:rsidR="00463BBC" w:rsidRPr="003E0AF3">
        <w:rPr>
          <w:rFonts w:eastAsia="SimSun"/>
          <w:szCs w:val="24"/>
          <w:lang w:eastAsia="zh-CN"/>
        </w:rPr>
        <w:t xml:space="preserve"> </w:t>
      </w:r>
      <w:r w:rsidRPr="003E0AF3">
        <w:rPr>
          <w:rFonts w:eastAsia="SimSun"/>
          <w:szCs w:val="24"/>
          <w:lang w:eastAsia="zh-CN"/>
        </w:rPr>
        <w:t xml:space="preserve">together with lithium or tryptophan, therefore concomitant use of </w:t>
      </w:r>
      <w:proofErr w:type="spellStart"/>
      <w:r w:rsidRPr="003E0AF3">
        <w:rPr>
          <w:rFonts w:eastAsia="SimSun"/>
          <w:szCs w:val="24"/>
          <w:lang w:eastAsia="zh-CN"/>
        </w:rPr>
        <w:t>vortioxetine</w:t>
      </w:r>
      <w:proofErr w:type="spellEnd"/>
      <w:r w:rsidRPr="003E0AF3">
        <w:rPr>
          <w:rFonts w:eastAsia="SimSun"/>
          <w:szCs w:val="24"/>
          <w:lang w:eastAsia="zh-CN"/>
        </w:rPr>
        <w:t xml:space="preserve"> with these medicinal</w:t>
      </w:r>
      <w:r w:rsidR="00463BBC" w:rsidRPr="003E0AF3">
        <w:rPr>
          <w:rFonts w:eastAsia="SimSun"/>
          <w:szCs w:val="24"/>
          <w:lang w:eastAsia="zh-CN"/>
        </w:rPr>
        <w:t xml:space="preserve"> </w:t>
      </w:r>
      <w:r w:rsidRPr="003E0AF3">
        <w:rPr>
          <w:rFonts w:eastAsia="SimSun"/>
          <w:szCs w:val="24"/>
          <w:lang w:eastAsia="zh-CN"/>
        </w:rPr>
        <w:t>products should be undertaken with caution.</w:t>
      </w:r>
    </w:p>
    <w:p w:rsidR="00390C1C" w:rsidRPr="003E0AF3" w:rsidRDefault="00390C1C" w:rsidP="006177D0">
      <w:pPr>
        <w:autoSpaceDE w:val="0"/>
        <w:autoSpaceDN w:val="0"/>
        <w:adjustRightInd w:val="0"/>
        <w:rPr>
          <w:rFonts w:eastAsia="SimSun"/>
          <w:b/>
          <w:i/>
          <w:iCs/>
          <w:szCs w:val="24"/>
          <w:lang w:eastAsia="zh-CN"/>
        </w:rPr>
      </w:pPr>
      <w:r w:rsidRPr="003E0AF3">
        <w:rPr>
          <w:rFonts w:eastAsia="SimSun"/>
          <w:b/>
          <w:i/>
          <w:iCs/>
          <w:szCs w:val="24"/>
          <w:lang w:eastAsia="zh-CN"/>
        </w:rPr>
        <w:t>Alcohol</w:t>
      </w:r>
    </w:p>
    <w:p w:rsidR="00840D37" w:rsidRPr="003E0AF3" w:rsidRDefault="00A303AA" w:rsidP="006177D0">
      <w:pPr>
        <w:autoSpaceDE w:val="0"/>
        <w:autoSpaceDN w:val="0"/>
        <w:adjustRightInd w:val="0"/>
        <w:rPr>
          <w:rFonts w:eastAsia="SimSun"/>
          <w:szCs w:val="24"/>
          <w:lang w:eastAsia="zh-CN"/>
        </w:rPr>
      </w:pPr>
      <w:r>
        <w:rPr>
          <w:rFonts w:eastAsia="SimSun"/>
          <w:szCs w:val="24"/>
          <w:lang w:eastAsia="zh-CN"/>
        </w:rPr>
        <w:t xml:space="preserve">Overall no </w:t>
      </w:r>
      <w:r w:rsidR="00390C1C" w:rsidRPr="003E0AF3">
        <w:rPr>
          <w:rFonts w:eastAsia="SimSun"/>
          <w:szCs w:val="24"/>
          <w:lang w:eastAsia="zh-CN"/>
        </w:rPr>
        <w:t>impairment, relative to placebo, in cognitive function using a battery of</w:t>
      </w:r>
      <w:r w:rsidR="00CB7F64">
        <w:rPr>
          <w:rFonts w:eastAsia="SimSun"/>
          <w:szCs w:val="24"/>
          <w:lang w:eastAsia="zh-CN"/>
        </w:rPr>
        <w:t xml:space="preserve"> </w:t>
      </w:r>
      <w:r w:rsidR="00390C1C" w:rsidRPr="003E0AF3">
        <w:rPr>
          <w:rFonts w:eastAsia="SimSun"/>
          <w:szCs w:val="24"/>
          <w:lang w:eastAsia="zh-CN"/>
        </w:rPr>
        <w:t xml:space="preserve">neuropsychological tests was observed for </w:t>
      </w:r>
      <w:r w:rsidR="001D5489">
        <w:rPr>
          <w:szCs w:val="24"/>
        </w:rPr>
        <w:t>BRINTELLIX</w:t>
      </w:r>
      <w:r w:rsidR="00390C1C" w:rsidRPr="003E0AF3">
        <w:rPr>
          <w:rFonts w:eastAsia="SimSun"/>
          <w:szCs w:val="24"/>
          <w:lang w:eastAsia="zh-CN"/>
        </w:rPr>
        <w:t xml:space="preserve"> single doses of 20 and 40</w:t>
      </w:r>
      <w:r w:rsidR="0022541E">
        <w:rPr>
          <w:rFonts w:eastAsia="SimSun"/>
          <w:szCs w:val="24"/>
          <w:lang w:eastAsia="zh-CN"/>
        </w:rPr>
        <w:t> </w:t>
      </w:r>
      <w:r w:rsidR="00390C1C" w:rsidRPr="003E0AF3">
        <w:rPr>
          <w:rFonts w:eastAsia="SimSun"/>
          <w:szCs w:val="24"/>
          <w:lang w:eastAsia="zh-CN"/>
        </w:rPr>
        <w:t>mg following</w:t>
      </w:r>
      <w:r w:rsidR="00463BBC" w:rsidRPr="003E0AF3">
        <w:rPr>
          <w:rFonts w:eastAsia="SimSun"/>
          <w:szCs w:val="24"/>
          <w:lang w:eastAsia="zh-CN"/>
        </w:rPr>
        <w:t xml:space="preserve"> </w:t>
      </w:r>
      <w:r w:rsidR="00390C1C" w:rsidRPr="003E0AF3">
        <w:rPr>
          <w:rFonts w:eastAsia="SimSun"/>
          <w:szCs w:val="24"/>
          <w:lang w:eastAsia="zh-CN"/>
        </w:rPr>
        <w:t>co-administration with a single dose of ethanol 0.6 g/kg in 55 healthy subjects.</w:t>
      </w:r>
    </w:p>
    <w:p w:rsidR="00390C1C" w:rsidRPr="003E0AF3" w:rsidRDefault="00390C1C" w:rsidP="006177D0">
      <w:pPr>
        <w:autoSpaceDE w:val="0"/>
        <w:autoSpaceDN w:val="0"/>
        <w:adjustRightInd w:val="0"/>
        <w:rPr>
          <w:rFonts w:eastAsia="SimSun"/>
          <w:b/>
          <w:i/>
          <w:iCs/>
          <w:szCs w:val="24"/>
          <w:lang w:eastAsia="zh-CN"/>
        </w:rPr>
      </w:pPr>
      <w:r w:rsidRPr="003E0AF3">
        <w:rPr>
          <w:rFonts w:eastAsia="SimSun"/>
          <w:b/>
          <w:i/>
          <w:iCs/>
          <w:szCs w:val="24"/>
          <w:lang w:eastAsia="zh-CN"/>
        </w:rPr>
        <w:t>Diazepam</w:t>
      </w:r>
    </w:p>
    <w:p w:rsidR="00840D37" w:rsidRPr="003E0AF3" w:rsidRDefault="00390C1C" w:rsidP="006177D0">
      <w:pPr>
        <w:autoSpaceDE w:val="0"/>
        <w:autoSpaceDN w:val="0"/>
        <w:adjustRightInd w:val="0"/>
        <w:rPr>
          <w:rFonts w:eastAsia="SimSun"/>
          <w:szCs w:val="24"/>
          <w:lang w:eastAsia="zh-CN"/>
        </w:rPr>
      </w:pPr>
      <w:r w:rsidRPr="003E0AF3">
        <w:rPr>
          <w:rFonts w:eastAsia="SimSun"/>
          <w:szCs w:val="24"/>
          <w:lang w:eastAsia="zh-CN"/>
        </w:rPr>
        <w:t>No significant impairment, relative to placebo, in cognitive function using a battery of</w:t>
      </w:r>
      <w:r w:rsidR="005D6DBE">
        <w:rPr>
          <w:rFonts w:eastAsia="SimSun"/>
          <w:szCs w:val="24"/>
          <w:lang w:eastAsia="zh-CN"/>
        </w:rPr>
        <w:t xml:space="preserve"> </w:t>
      </w:r>
      <w:r w:rsidRPr="003E0AF3">
        <w:rPr>
          <w:rFonts w:eastAsia="SimSun"/>
          <w:szCs w:val="24"/>
          <w:lang w:eastAsia="zh-CN"/>
        </w:rPr>
        <w:t xml:space="preserve">neuropsychological tests was observed for </w:t>
      </w:r>
      <w:proofErr w:type="spellStart"/>
      <w:r w:rsidRPr="003E0AF3">
        <w:rPr>
          <w:rFonts w:eastAsia="SimSun"/>
          <w:szCs w:val="24"/>
          <w:lang w:eastAsia="zh-CN"/>
        </w:rPr>
        <w:t>vortioxetine</w:t>
      </w:r>
      <w:proofErr w:type="spellEnd"/>
      <w:r w:rsidRPr="003E0AF3">
        <w:rPr>
          <w:rFonts w:eastAsia="SimSun"/>
          <w:szCs w:val="24"/>
          <w:lang w:eastAsia="zh-CN"/>
        </w:rPr>
        <w:t xml:space="preserve"> following co-administration of </w:t>
      </w:r>
      <w:r w:rsidR="001D5489">
        <w:rPr>
          <w:szCs w:val="24"/>
        </w:rPr>
        <w:t>BRINTELLIX</w:t>
      </w:r>
      <w:r w:rsidR="00463BBC" w:rsidRPr="003E0AF3">
        <w:rPr>
          <w:rFonts w:eastAsia="SimSun"/>
          <w:szCs w:val="24"/>
          <w:lang w:eastAsia="zh-CN"/>
        </w:rPr>
        <w:t xml:space="preserve"> </w:t>
      </w:r>
      <w:r w:rsidRPr="003E0AF3">
        <w:rPr>
          <w:rFonts w:eastAsia="SimSun"/>
          <w:szCs w:val="24"/>
          <w:lang w:eastAsia="zh-CN"/>
        </w:rPr>
        <w:t>10</w:t>
      </w:r>
      <w:r w:rsidR="0022541E">
        <w:rPr>
          <w:rFonts w:eastAsia="SimSun"/>
          <w:szCs w:val="24"/>
          <w:lang w:eastAsia="zh-CN"/>
        </w:rPr>
        <w:t> </w:t>
      </w:r>
      <w:r w:rsidRPr="003E0AF3">
        <w:rPr>
          <w:rFonts w:eastAsia="SimSun"/>
          <w:szCs w:val="24"/>
          <w:lang w:eastAsia="zh-CN"/>
        </w:rPr>
        <w:t>mg/day with a single 10</w:t>
      </w:r>
      <w:r w:rsidR="0022541E">
        <w:rPr>
          <w:rFonts w:eastAsia="SimSun"/>
          <w:szCs w:val="24"/>
          <w:lang w:eastAsia="zh-CN"/>
        </w:rPr>
        <w:t> </w:t>
      </w:r>
      <w:r w:rsidRPr="003E0AF3">
        <w:rPr>
          <w:rFonts w:eastAsia="SimSun"/>
          <w:szCs w:val="24"/>
          <w:lang w:eastAsia="zh-CN"/>
        </w:rPr>
        <w:t>mg dose of diazepam in 32 healthy subjects.</w:t>
      </w:r>
    </w:p>
    <w:p w:rsidR="00390C1C" w:rsidRPr="003E0AF3" w:rsidRDefault="00390C1C" w:rsidP="006177D0">
      <w:pPr>
        <w:autoSpaceDE w:val="0"/>
        <w:autoSpaceDN w:val="0"/>
        <w:adjustRightInd w:val="0"/>
        <w:rPr>
          <w:rFonts w:eastAsia="SimSun"/>
          <w:b/>
          <w:i/>
          <w:iCs/>
          <w:szCs w:val="24"/>
          <w:lang w:eastAsia="zh-CN"/>
        </w:rPr>
      </w:pPr>
      <w:r w:rsidRPr="003E0AF3">
        <w:rPr>
          <w:rFonts w:eastAsia="SimSun"/>
          <w:b/>
          <w:i/>
          <w:iCs/>
          <w:szCs w:val="24"/>
          <w:lang w:eastAsia="zh-CN"/>
        </w:rPr>
        <w:t>Oral contraceptives</w:t>
      </w:r>
    </w:p>
    <w:p w:rsidR="00840D37" w:rsidRPr="00530801" w:rsidRDefault="00390C1C" w:rsidP="006177D0">
      <w:pPr>
        <w:autoSpaceDE w:val="0"/>
        <w:autoSpaceDN w:val="0"/>
        <w:adjustRightInd w:val="0"/>
        <w:rPr>
          <w:color w:val="000000"/>
          <w:szCs w:val="24"/>
        </w:rPr>
      </w:pPr>
      <w:r w:rsidRPr="003E0AF3">
        <w:rPr>
          <w:rFonts w:eastAsia="SimSun"/>
          <w:szCs w:val="24"/>
          <w:lang w:eastAsia="zh-CN"/>
        </w:rPr>
        <w:t>No significant effects, relative to placebo, were observed in the levels of sex hormones following</w:t>
      </w:r>
      <w:r w:rsidR="00463BBC" w:rsidRPr="003E0AF3">
        <w:rPr>
          <w:rFonts w:eastAsia="SimSun"/>
          <w:szCs w:val="24"/>
          <w:lang w:eastAsia="zh-CN"/>
        </w:rPr>
        <w:t xml:space="preserve"> </w:t>
      </w:r>
      <w:r w:rsidRPr="003E0AF3">
        <w:rPr>
          <w:rFonts w:eastAsia="SimSun"/>
          <w:szCs w:val="24"/>
          <w:lang w:eastAsia="zh-CN"/>
        </w:rPr>
        <w:t xml:space="preserve">co-administration of </w:t>
      </w:r>
      <w:r w:rsidR="001D5489">
        <w:rPr>
          <w:szCs w:val="24"/>
        </w:rPr>
        <w:t>BRINTELLIX</w:t>
      </w:r>
      <w:r w:rsidRPr="003E0AF3">
        <w:rPr>
          <w:rFonts w:eastAsia="SimSun"/>
          <w:szCs w:val="24"/>
          <w:lang w:eastAsia="zh-CN"/>
        </w:rPr>
        <w:t xml:space="preserve"> 10</w:t>
      </w:r>
      <w:r w:rsidR="0022541E">
        <w:rPr>
          <w:rFonts w:eastAsia="SimSun"/>
          <w:szCs w:val="24"/>
          <w:lang w:eastAsia="zh-CN"/>
        </w:rPr>
        <w:t> </w:t>
      </w:r>
      <w:r w:rsidRPr="003E0AF3">
        <w:rPr>
          <w:rFonts w:eastAsia="SimSun"/>
          <w:szCs w:val="24"/>
          <w:lang w:eastAsia="zh-CN"/>
        </w:rPr>
        <w:t xml:space="preserve">mg/day with a </w:t>
      </w:r>
      <w:r w:rsidRPr="00530801">
        <w:rPr>
          <w:rFonts w:eastAsia="SimSun"/>
          <w:color w:val="000000"/>
          <w:szCs w:val="24"/>
          <w:lang w:eastAsia="zh-CN"/>
        </w:rPr>
        <w:t>combined oral contraceptive (</w:t>
      </w:r>
      <w:proofErr w:type="spellStart"/>
      <w:r w:rsidRPr="00530801">
        <w:rPr>
          <w:rFonts w:eastAsia="SimSun"/>
          <w:color w:val="000000"/>
          <w:szCs w:val="24"/>
          <w:lang w:eastAsia="zh-CN"/>
        </w:rPr>
        <w:t>ethinyl</w:t>
      </w:r>
      <w:proofErr w:type="spellEnd"/>
      <w:r w:rsidRPr="00530801">
        <w:rPr>
          <w:rFonts w:eastAsia="SimSun"/>
          <w:color w:val="000000"/>
          <w:szCs w:val="24"/>
          <w:lang w:eastAsia="zh-CN"/>
        </w:rPr>
        <w:t xml:space="preserve"> </w:t>
      </w:r>
      <w:proofErr w:type="spellStart"/>
      <w:r w:rsidRPr="00530801">
        <w:rPr>
          <w:rFonts w:eastAsia="SimSun"/>
          <w:color w:val="000000"/>
          <w:szCs w:val="24"/>
          <w:lang w:eastAsia="zh-CN"/>
        </w:rPr>
        <w:t>estradiol</w:t>
      </w:r>
      <w:proofErr w:type="spellEnd"/>
      <w:r w:rsidR="00463BBC" w:rsidRPr="00530801">
        <w:rPr>
          <w:rFonts w:eastAsia="SimSun"/>
          <w:color w:val="000000"/>
          <w:szCs w:val="24"/>
          <w:lang w:eastAsia="zh-CN"/>
        </w:rPr>
        <w:t xml:space="preserve"> </w:t>
      </w:r>
      <w:r w:rsidRPr="00530801">
        <w:rPr>
          <w:rFonts w:eastAsia="SimSun"/>
          <w:color w:val="000000"/>
          <w:szCs w:val="24"/>
          <w:lang w:eastAsia="zh-CN"/>
        </w:rPr>
        <w:t xml:space="preserve">30 </w:t>
      </w:r>
      <w:proofErr w:type="spellStart"/>
      <w:r w:rsidRPr="00530801">
        <w:rPr>
          <w:rFonts w:eastAsia="SimSun"/>
          <w:color w:val="000000"/>
          <w:szCs w:val="24"/>
          <w:lang w:eastAsia="zh-CN"/>
        </w:rPr>
        <w:t>μg</w:t>
      </w:r>
      <w:proofErr w:type="spellEnd"/>
      <w:r w:rsidRPr="00530801">
        <w:rPr>
          <w:rFonts w:eastAsia="SimSun"/>
          <w:color w:val="000000"/>
          <w:szCs w:val="24"/>
          <w:lang w:eastAsia="zh-CN"/>
        </w:rPr>
        <w:t xml:space="preserve">/ </w:t>
      </w:r>
      <w:proofErr w:type="spellStart"/>
      <w:r w:rsidRPr="00530801">
        <w:rPr>
          <w:rFonts w:eastAsia="SimSun"/>
          <w:color w:val="000000"/>
          <w:szCs w:val="24"/>
          <w:lang w:eastAsia="zh-CN"/>
        </w:rPr>
        <w:t>levonorgestrel</w:t>
      </w:r>
      <w:proofErr w:type="spellEnd"/>
      <w:r w:rsidRPr="00530801">
        <w:rPr>
          <w:rFonts w:eastAsia="SimSun"/>
          <w:color w:val="000000"/>
          <w:szCs w:val="24"/>
          <w:lang w:eastAsia="zh-CN"/>
        </w:rPr>
        <w:t xml:space="preserve"> 150 </w:t>
      </w:r>
      <w:proofErr w:type="spellStart"/>
      <w:r w:rsidRPr="00530801">
        <w:rPr>
          <w:rFonts w:eastAsia="SimSun"/>
          <w:color w:val="000000"/>
          <w:szCs w:val="24"/>
          <w:lang w:eastAsia="zh-CN"/>
        </w:rPr>
        <w:t>μg</w:t>
      </w:r>
      <w:proofErr w:type="spellEnd"/>
      <w:r w:rsidRPr="00530801">
        <w:rPr>
          <w:rFonts w:eastAsia="SimSun"/>
          <w:color w:val="000000"/>
          <w:szCs w:val="24"/>
          <w:lang w:eastAsia="zh-CN"/>
        </w:rPr>
        <w:t>) in 25 healthy women for 21 days.</w:t>
      </w:r>
    </w:p>
    <w:p w:rsidR="00390C1C" w:rsidRPr="00530801" w:rsidRDefault="00390C1C" w:rsidP="006177D0">
      <w:pPr>
        <w:autoSpaceDE w:val="0"/>
        <w:autoSpaceDN w:val="0"/>
        <w:adjustRightInd w:val="0"/>
        <w:rPr>
          <w:rFonts w:eastAsia="SimSun"/>
          <w:b/>
          <w:i/>
          <w:iCs/>
          <w:color w:val="000000"/>
          <w:szCs w:val="24"/>
          <w:lang w:eastAsia="zh-CN"/>
        </w:rPr>
      </w:pPr>
      <w:r w:rsidRPr="00530801">
        <w:rPr>
          <w:rFonts w:eastAsia="SimSun"/>
          <w:b/>
          <w:i/>
          <w:iCs/>
          <w:color w:val="000000"/>
          <w:szCs w:val="24"/>
          <w:lang w:eastAsia="zh-CN"/>
        </w:rPr>
        <w:t>Cytochrome P450 substrates</w:t>
      </w:r>
    </w:p>
    <w:p w:rsidR="00390C1C" w:rsidRPr="003E0AF3" w:rsidRDefault="00390C1C" w:rsidP="006177D0">
      <w:pPr>
        <w:autoSpaceDE w:val="0"/>
        <w:autoSpaceDN w:val="0"/>
        <w:adjustRightInd w:val="0"/>
        <w:rPr>
          <w:rFonts w:eastAsia="SimSun"/>
          <w:szCs w:val="24"/>
          <w:lang w:eastAsia="zh-CN"/>
        </w:rPr>
      </w:pPr>
      <w:r w:rsidRPr="00530801">
        <w:rPr>
          <w:rFonts w:eastAsia="SimSun"/>
          <w:i/>
          <w:iCs/>
          <w:color w:val="000000"/>
          <w:szCs w:val="24"/>
          <w:lang w:eastAsia="zh-CN"/>
        </w:rPr>
        <w:t xml:space="preserve">In vitro, </w:t>
      </w:r>
      <w:proofErr w:type="spellStart"/>
      <w:r w:rsidRPr="00530801">
        <w:rPr>
          <w:rFonts w:eastAsia="SimSun"/>
          <w:color w:val="000000"/>
          <w:szCs w:val="24"/>
          <w:lang w:eastAsia="zh-CN"/>
        </w:rPr>
        <w:t>vortioxetine</w:t>
      </w:r>
      <w:proofErr w:type="spellEnd"/>
      <w:r w:rsidRPr="00530801">
        <w:rPr>
          <w:rFonts w:eastAsia="SimSun"/>
          <w:color w:val="000000"/>
          <w:szCs w:val="24"/>
          <w:lang w:eastAsia="zh-CN"/>
        </w:rPr>
        <w:t xml:space="preserve"> did not show any relevant potential for inhibition or</w:t>
      </w:r>
      <w:r w:rsidRPr="003E0AF3">
        <w:rPr>
          <w:rFonts w:eastAsia="SimSun"/>
          <w:szCs w:val="24"/>
          <w:lang w:eastAsia="zh-CN"/>
        </w:rPr>
        <w:t xml:space="preserve"> induction of cytochrome</w:t>
      </w:r>
      <w:r w:rsidR="00463BBC" w:rsidRPr="003E0AF3">
        <w:rPr>
          <w:rFonts w:eastAsia="SimSun"/>
          <w:szCs w:val="24"/>
          <w:lang w:eastAsia="zh-CN"/>
        </w:rPr>
        <w:t xml:space="preserve"> </w:t>
      </w:r>
      <w:r w:rsidRPr="003E0AF3">
        <w:rPr>
          <w:rFonts w:eastAsia="SimSun"/>
          <w:szCs w:val="24"/>
          <w:lang w:eastAsia="zh-CN"/>
        </w:rPr>
        <w:t xml:space="preserve">P450 </w:t>
      </w:r>
      <w:proofErr w:type="spellStart"/>
      <w:r w:rsidRPr="003E0AF3">
        <w:rPr>
          <w:rFonts w:eastAsia="SimSun"/>
          <w:szCs w:val="24"/>
          <w:lang w:eastAsia="zh-CN"/>
        </w:rPr>
        <w:t>isozymes</w:t>
      </w:r>
      <w:proofErr w:type="spellEnd"/>
      <w:r w:rsidRPr="003E0AF3">
        <w:rPr>
          <w:rFonts w:eastAsia="SimSun"/>
          <w:szCs w:val="24"/>
          <w:lang w:eastAsia="zh-CN"/>
        </w:rPr>
        <w:t>.</w:t>
      </w:r>
    </w:p>
    <w:p w:rsidR="00CB7F64" w:rsidRPr="00606B51" w:rsidRDefault="00390C1C" w:rsidP="006177D0">
      <w:pPr>
        <w:autoSpaceDE w:val="0"/>
        <w:autoSpaceDN w:val="0"/>
        <w:adjustRightInd w:val="0"/>
        <w:rPr>
          <w:rFonts w:eastAsia="SimSun"/>
          <w:szCs w:val="24"/>
          <w:lang w:eastAsia="zh-CN"/>
        </w:rPr>
      </w:pPr>
      <w:r w:rsidRPr="003E0AF3">
        <w:rPr>
          <w:rFonts w:eastAsia="SimSun"/>
          <w:szCs w:val="24"/>
          <w:lang w:eastAsia="zh-CN"/>
        </w:rPr>
        <w:t xml:space="preserve">No inhibitory effect of </w:t>
      </w:r>
      <w:proofErr w:type="spellStart"/>
      <w:r w:rsidRPr="003E0AF3">
        <w:rPr>
          <w:rFonts w:eastAsia="SimSun"/>
          <w:szCs w:val="24"/>
          <w:lang w:eastAsia="zh-CN"/>
        </w:rPr>
        <w:t>vortioxetine</w:t>
      </w:r>
      <w:proofErr w:type="spellEnd"/>
      <w:r w:rsidRPr="003E0AF3">
        <w:rPr>
          <w:rFonts w:eastAsia="SimSun"/>
          <w:szCs w:val="24"/>
          <w:lang w:eastAsia="zh-CN"/>
        </w:rPr>
        <w:t xml:space="preserve"> (10 mg/day for 14 days) was observed in healthy subjects for the</w:t>
      </w:r>
      <w:r w:rsidR="00463BBC" w:rsidRPr="003E0AF3">
        <w:rPr>
          <w:rFonts w:eastAsia="SimSun"/>
          <w:szCs w:val="24"/>
          <w:lang w:eastAsia="zh-CN"/>
        </w:rPr>
        <w:t xml:space="preserve"> </w:t>
      </w:r>
      <w:r w:rsidRPr="003E0AF3">
        <w:rPr>
          <w:rFonts w:eastAsia="SimSun"/>
          <w:szCs w:val="24"/>
          <w:lang w:eastAsia="zh-CN"/>
        </w:rPr>
        <w:t xml:space="preserve">cytochrome P450 </w:t>
      </w:r>
      <w:proofErr w:type="spellStart"/>
      <w:r w:rsidRPr="003E0AF3">
        <w:rPr>
          <w:rFonts w:eastAsia="SimSun"/>
          <w:szCs w:val="24"/>
          <w:lang w:eastAsia="zh-CN"/>
        </w:rPr>
        <w:t>isozymes</w:t>
      </w:r>
      <w:proofErr w:type="spellEnd"/>
      <w:r w:rsidRPr="003E0AF3">
        <w:rPr>
          <w:rFonts w:eastAsia="SimSun"/>
          <w:szCs w:val="24"/>
          <w:lang w:eastAsia="zh-CN"/>
        </w:rPr>
        <w:t xml:space="preserve"> CYP2C19 (omeprazole, diazepam), CYP2C9 (warfarin), CYP3A4/5</w:t>
      </w:r>
      <w:r w:rsidR="00463BBC" w:rsidRPr="003E0AF3">
        <w:rPr>
          <w:rFonts w:eastAsia="SimSun"/>
          <w:szCs w:val="24"/>
          <w:lang w:eastAsia="zh-CN"/>
        </w:rPr>
        <w:t xml:space="preserve"> </w:t>
      </w:r>
      <w:r w:rsidRPr="003E0AF3">
        <w:rPr>
          <w:rFonts w:eastAsia="SimSun"/>
          <w:szCs w:val="24"/>
          <w:lang w:eastAsia="zh-CN"/>
        </w:rPr>
        <w:t>(</w:t>
      </w:r>
      <w:proofErr w:type="spellStart"/>
      <w:r w:rsidRPr="003E0AF3">
        <w:rPr>
          <w:rFonts w:eastAsia="SimSun"/>
          <w:szCs w:val="24"/>
          <w:lang w:eastAsia="zh-CN"/>
        </w:rPr>
        <w:t>ethinyl</w:t>
      </w:r>
      <w:proofErr w:type="spellEnd"/>
      <w:r w:rsidRPr="003E0AF3">
        <w:rPr>
          <w:rFonts w:eastAsia="SimSun"/>
          <w:szCs w:val="24"/>
          <w:lang w:eastAsia="zh-CN"/>
        </w:rPr>
        <w:t xml:space="preserve"> </w:t>
      </w:r>
      <w:proofErr w:type="spellStart"/>
      <w:r w:rsidRPr="003E0AF3">
        <w:rPr>
          <w:rFonts w:eastAsia="SimSun"/>
          <w:szCs w:val="24"/>
          <w:lang w:eastAsia="zh-CN"/>
        </w:rPr>
        <w:t>estradiol</w:t>
      </w:r>
      <w:proofErr w:type="spellEnd"/>
      <w:r w:rsidRPr="003E0AF3">
        <w:rPr>
          <w:rFonts w:eastAsia="SimSun"/>
          <w:szCs w:val="24"/>
          <w:lang w:eastAsia="zh-CN"/>
        </w:rPr>
        <w:t xml:space="preserve">), or CYP2B6 (bupropion). </w:t>
      </w:r>
      <w:r w:rsidR="003F71CC">
        <w:rPr>
          <w:rFonts w:eastAsia="SimSun"/>
          <w:szCs w:val="24"/>
          <w:lang w:eastAsia="zh-CN"/>
        </w:rPr>
        <w:t xml:space="preserve"> </w:t>
      </w:r>
      <w:r w:rsidRPr="003E0AF3">
        <w:rPr>
          <w:rFonts w:eastAsia="SimSun"/>
          <w:szCs w:val="24"/>
          <w:lang w:eastAsia="zh-CN"/>
        </w:rPr>
        <w:t>In a drug-drug interaction study in healthy subjects, no</w:t>
      </w:r>
      <w:r w:rsidR="00463BBC" w:rsidRPr="003E0AF3">
        <w:rPr>
          <w:rFonts w:eastAsia="SimSun"/>
          <w:szCs w:val="24"/>
          <w:lang w:eastAsia="zh-CN"/>
        </w:rPr>
        <w:t xml:space="preserve"> </w:t>
      </w:r>
      <w:r w:rsidRPr="003E0AF3">
        <w:rPr>
          <w:rFonts w:eastAsia="SimSun"/>
          <w:szCs w:val="24"/>
          <w:lang w:eastAsia="zh-CN"/>
        </w:rPr>
        <w:t xml:space="preserve">inhibitory effect of </w:t>
      </w:r>
      <w:proofErr w:type="spellStart"/>
      <w:r w:rsidRPr="003E0AF3">
        <w:rPr>
          <w:rFonts w:eastAsia="SimSun"/>
          <w:szCs w:val="24"/>
          <w:lang w:eastAsia="zh-CN"/>
        </w:rPr>
        <w:t>vortioxetine</w:t>
      </w:r>
      <w:proofErr w:type="spellEnd"/>
      <w:r w:rsidRPr="003E0AF3">
        <w:rPr>
          <w:rFonts w:eastAsia="SimSun"/>
          <w:szCs w:val="24"/>
          <w:lang w:eastAsia="zh-CN"/>
        </w:rPr>
        <w:t xml:space="preserve"> 10 mg/day for 14 days was observed for CYP2C9 (</w:t>
      </w:r>
      <w:proofErr w:type="spellStart"/>
      <w:r w:rsidRPr="003E0AF3">
        <w:rPr>
          <w:rFonts w:eastAsia="SimSun"/>
          <w:szCs w:val="24"/>
          <w:lang w:eastAsia="zh-CN"/>
        </w:rPr>
        <w:t>tolbutamide</w:t>
      </w:r>
      <w:proofErr w:type="spellEnd"/>
      <w:r w:rsidRPr="003E0AF3">
        <w:rPr>
          <w:rFonts w:eastAsia="SimSun"/>
          <w:szCs w:val="24"/>
          <w:lang w:eastAsia="zh-CN"/>
        </w:rPr>
        <w:t>),</w:t>
      </w:r>
      <w:r w:rsidR="00463BBC" w:rsidRPr="003E0AF3">
        <w:rPr>
          <w:rFonts w:eastAsia="SimSun"/>
          <w:szCs w:val="24"/>
          <w:lang w:eastAsia="zh-CN"/>
        </w:rPr>
        <w:t xml:space="preserve"> </w:t>
      </w:r>
      <w:r w:rsidRPr="003E0AF3">
        <w:rPr>
          <w:rFonts w:eastAsia="SimSun"/>
          <w:szCs w:val="24"/>
          <w:lang w:eastAsia="zh-CN"/>
        </w:rPr>
        <w:t xml:space="preserve">CYP1A2 (caffeine), </w:t>
      </w:r>
      <w:r w:rsidR="00CB7F64">
        <w:rPr>
          <w:rFonts w:eastAsia="SimSun"/>
          <w:szCs w:val="24"/>
          <w:lang w:eastAsia="zh-CN"/>
        </w:rPr>
        <w:t xml:space="preserve">or </w:t>
      </w:r>
      <w:r w:rsidRPr="003E0AF3">
        <w:rPr>
          <w:rFonts w:eastAsia="SimSun"/>
          <w:szCs w:val="24"/>
          <w:lang w:eastAsia="zh-CN"/>
        </w:rPr>
        <w:t xml:space="preserve">CYP3A4/5 (midazolam), </w:t>
      </w:r>
      <w:r w:rsidR="00CB7F64">
        <w:rPr>
          <w:rFonts w:eastAsia="SimSun"/>
          <w:szCs w:val="24"/>
          <w:lang w:eastAsia="zh-CN"/>
        </w:rPr>
        <w:t xml:space="preserve">while </w:t>
      </w:r>
      <w:r w:rsidRPr="003E0AF3">
        <w:rPr>
          <w:rFonts w:eastAsia="SimSun"/>
          <w:szCs w:val="24"/>
          <w:lang w:eastAsia="zh-CN"/>
        </w:rPr>
        <w:t>CYP2D6 (dextromethorphan)</w:t>
      </w:r>
      <w:r w:rsidR="00CB7F64" w:rsidRPr="00CB7F64">
        <w:rPr>
          <w:rFonts w:eastAsia="SimSun"/>
          <w:szCs w:val="24"/>
          <w:lang w:eastAsia="zh-CN"/>
        </w:rPr>
        <w:t xml:space="preserve"> was affected, the decrease in dextromethorphan levels was not considered clinically meaningful.</w:t>
      </w:r>
    </w:p>
    <w:p w:rsidR="00474A23" w:rsidRDefault="00415BD2" w:rsidP="007B0A41">
      <w:pPr>
        <w:pStyle w:val="Heading1"/>
      </w:pPr>
      <w:r w:rsidRPr="003E0AF3">
        <w:t>ADVERSE EFFECTS</w:t>
      </w:r>
    </w:p>
    <w:p w:rsidR="000D1FF0" w:rsidRPr="000D1FF0" w:rsidRDefault="000D1FF0" w:rsidP="000D1FF0">
      <w:pPr>
        <w:widowControl w:val="0"/>
        <w:rPr>
          <w:szCs w:val="24"/>
        </w:rPr>
      </w:pPr>
      <w:r w:rsidRPr="000D1FF0">
        <w:rPr>
          <w:szCs w:val="24"/>
        </w:rPr>
        <w:t xml:space="preserve">Adverse events information for </w:t>
      </w:r>
      <w:r w:rsidR="00F00F58">
        <w:rPr>
          <w:szCs w:val="24"/>
        </w:rPr>
        <w:t xml:space="preserve">BRINTELLIX </w:t>
      </w:r>
      <w:r w:rsidRPr="000D1FF0">
        <w:rPr>
          <w:szCs w:val="24"/>
        </w:rPr>
        <w:t xml:space="preserve">was collected in patients with MDD in a </w:t>
      </w:r>
      <w:r w:rsidRPr="000D1FF0">
        <w:rPr>
          <w:szCs w:val="24"/>
        </w:rPr>
        <w:lastRenderedPageBreak/>
        <w:t xml:space="preserve">clinical programme that included more than 6,700 patients, of whom 3,460 were treated with </w:t>
      </w:r>
      <w:r w:rsidR="00F00F58">
        <w:rPr>
          <w:szCs w:val="24"/>
        </w:rPr>
        <w:t>BRINTELLIX</w:t>
      </w:r>
      <w:r w:rsidRPr="000D1FF0">
        <w:rPr>
          <w:szCs w:val="24"/>
        </w:rPr>
        <w:t xml:space="preserve"> (5 to 20 mg/day) in short-term placebo-controlled (up to 8 weeks) studies. </w:t>
      </w:r>
      <w:r w:rsidR="002822D6">
        <w:rPr>
          <w:szCs w:val="24"/>
        </w:rPr>
        <w:t xml:space="preserve"> </w:t>
      </w:r>
    </w:p>
    <w:p w:rsidR="003A63D3" w:rsidRPr="003E0AF3" w:rsidRDefault="003A63D3" w:rsidP="003A63D3">
      <w:pPr>
        <w:widowControl w:val="0"/>
        <w:rPr>
          <w:szCs w:val="24"/>
        </w:rPr>
      </w:pPr>
      <w:r w:rsidRPr="000D1FF0">
        <w:rPr>
          <w:szCs w:val="24"/>
        </w:rPr>
        <w:t xml:space="preserve">During clinical </w:t>
      </w:r>
      <w:r w:rsidR="00E47981" w:rsidRPr="000D1FF0">
        <w:rPr>
          <w:szCs w:val="24"/>
        </w:rPr>
        <w:t>studies</w:t>
      </w:r>
      <w:r w:rsidRPr="000D1FF0">
        <w:rPr>
          <w:szCs w:val="24"/>
        </w:rPr>
        <w:t>, all treatment groups were comparable with respect to gender, age and race.</w:t>
      </w:r>
      <w:r w:rsidR="002822D6">
        <w:rPr>
          <w:szCs w:val="24"/>
        </w:rPr>
        <w:t xml:space="preserve"> </w:t>
      </w:r>
      <w:r w:rsidRPr="000D1FF0">
        <w:rPr>
          <w:szCs w:val="24"/>
        </w:rPr>
        <w:t xml:space="preserve"> The mean age of patients was 46 years (18 to 88 years). </w:t>
      </w:r>
      <w:r w:rsidR="002822D6">
        <w:rPr>
          <w:szCs w:val="24"/>
        </w:rPr>
        <w:t xml:space="preserve"> </w:t>
      </w:r>
      <w:r w:rsidRPr="000D1FF0">
        <w:rPr>
          <w:szCs w:val="24"/>
        </w:rPr>
        <w:t>Of these patients, approximately 67% were females and 33% were males.</w:t>
      </w:r>
    </w:p>
    <w:p w:rsidR="00CB7F64" w:rsidRPr="003E0AF3" w:rsidRDefault="00CB7F64" w:rsidP="00CB7F64">
      <w:pPr>
        <w:autoSpaceDE w:val="0"/>
        <w:autoSpaceDN w:val="0"/>
        <w:adjustRightInd w:val="0"/>
        <w:rPr>
          <w:rFonts w:eastAsia="SimSun"/>
          <w:b/>
          <w:szCs w:val="24"/>
          <w:lang w:eastAsia="zh-CN"/>
        </w:rPr>
      </w:pPr>
      <w:r>
        <w:rPr>
          <w:rFonts w:eastAsia="SimSun"/>
          <w:b/>
          <w:szCs w:val="24"/>
          <w:lang w:eastAsia="zh-CN"/>
        </w:rPr>
        <w:t>Major Depressive Disorder (</w:t>
      </w:r>
      <w:r w:rsidRPr="003E0AF3">
        <w:rPr>
          <w:rFonts w:eastAsia="SimSun"/>
          <w:b/>
          <w:szCs w:val="24"/>
          <w:lang w:eastAsia="zh-CN"/>
        </w:rPr>
        <w:t>MDD</w:t>
      </w:r>
      <w:r>
        <w:rPr>
          <w:rFonts w:eastAsia="SimSun"/>
          <w:b/>
          <w:szCs w:val="24"/>
          <w:lang w:eastAsia="zh-CN"/>
        </w:rPr>
        <w:t>)</w:t>
      </w:r>
      <w:r w:rsidRPr="003E0AF3">
        <w:rPr>
          <w:rFonts w:eastAsia="SimSun"/>
          <w:b/>
          <w:szCs w:val="24"/>
          <w:lang w:eastAsia="zh-CN"/>
        </w:rPr>
        <w:t xml:space="preserve"> Short Term Studies in Adults and Elderly</w:t>
      </w:r>
    </w:p>
    <w:p w:rsidR="00FD1CA9" w:rsidRPr="003E0AF3" w:rsidRDefault="00304265" w:rsidP="003A63D3">
      <w:pPr>
        <w:widowControl w:val="0"/>
        <w:rPr>
          <w:szCs w:val="24"/>
        </w:rPr>
      </w:pPr>
      <w:r w:rsidRPr="00437ACC">
        <w:rPr>
          <w:szCs w:val="24"/>
        </w:rPr>
        <w:t xml:space="preserve">Adverse events that occurred in </w:t>
      </w:r>
      <w:r w:rsidR="001D5489">
        <w:rPr>
          <w:szCs w:val="24"/>
        </w:rPr>
        <w:t>BRINTELLIX</w:t>
      </w:r>
      <w:r>
        <w:rPr>
          <w:szCs w:val="24"/>
        </w:rPr>
        <w:t xml:space="preserve"> </w:t>
      </w:r>
      <w:r w:rsidRPr="00437ACC">
        <w:rPr>
          <w:szCs w:val="24"/>
        </w:rPr>
        <w:t>treated patients in the course of the MDD short</w:t>
      </w:r>
      <w:r w:rsidRPr="004430B5">
        <w:rPr>
          <w:szCs w:val="24"/>
        </w:rPr>
        <w:t xml:space="preserve">-term, placebo-controlled studies with an incidence </w:t>
      </w:r>
      <w:r>
        <w:rPr>
          <w:szCs w:val="24"/>
        </w:rPr>
        <w:t>≥</w:t>
      </w:r>
      <w:r w:rsidRPr="00437ACC">
        <w:rPr>
          <w:szCs w:val="24"/>
        </w:rPr>
        <w:t xml:space="preserve">10% </w:t>
      </w:r>
      <w:r w:rsidRPr="004430B5">
        <w:rPr>
          <w:szCs w:val="24"/>
        </w:rPr>
        <w:t xml:space="preserve">were headache and nausea. </w:t>
      </w:r>
      <w:r>
        <w:rPr>
          <w:szCs w:val="24"/>
        </w:rPr>
        <w:t xml:space="preserve"> </w:t>
      </w:r>
      <w:r w:rsidR="003A63D3" w:rsidRPr="003E0AF3">
        <w:rPr>
          <w:szCs w:val="24"/>
        </w:rPr>
        <w:t>The incidence of headache was 13.</w:t>
      </w:r>
      <w:r w:rsidR="000D1FF0">
        <w:rPr>
          <w:szCs w:val="24"/>
        </w:rPr>
        <w:t>2</w:t>
      </w:r>
      <w:r w:rsidR="003A63D3" w:rsidRPr="003E0AF3">
        <w:rPr>
          <w:szCs w:val="24"/>
        </w:rPr>
        <w:t xml:space="preserve">% with </w:t>
      </w:r>
      <w:r w:rsidR="001D5489">
        <w:rPr>
          <w:szCs w:val="24"/>
        </w:rPr>
        <w:t>BRINTELLIX</w:t>
      </w:r>
      <w:r w:rsidR="00A22AD2">
        <w:rPr>
          <w:szCs w:val="24"/>
        </w:rPr>
        <w:t xml:space="preserve"> </w:t>
      </w:r>
      <w:r w:rsidR="003A63D3" w:rsidRPr="003E0AF3">
        <w:rPr>
          <w:szCs w:val="24"/>
        </w:rPr>
        <w:t xml:space="preserve">and </w:t>
      </w:r>
      <w:r w:rsidR="000D1FF0">
        <w:rPr>
          <w:szCs w:val="24"/>
        </w:rPr>
        <w:t>12.9</w:t>
      </w:r>
      <w:r w:rsidR="003A63D3" w:rsidRPr="003E0AF3">
        <w:rPr>
          <w:szCs w:val="24"/>
        </w:rPr>
        <w:t>% with placebo, which suggests</w:t>
      </w:r>
      <w:r w:rsidR="003D2286">
        <w:rPr>
          <w:szCs w:val="24"/>
        </w:rPr>
        <w:t xml:space="preserve"> </w:t>
      </w:r>
      <w:r w:rsidR="003A63D3" w:rsidRPr="003E0AF3">
        <w:rPr>
          <w:szCs w:val="24"/>
        </w:rPr>
        <w:t>that this is a non-specific symptom related to the underlying condition or treatment</w:t>
      </w:r>
      <w:r w:rsidR="003D2286">
        <w:rPr>
          <w:szCs w:val="24"/>
        </w:rPr>
        <w:t xml:space="preserve"> </w:t>
      </w:r>
      <w:r w:rsidR="003A63D3" w:rsidRPr="003E0AF3">
        <w:rPr>
          <w:szCs w:val="24"/>
        </w:rPr>
        <w:t xml:space="preserve">administration. </w:t>
      </w:r>
      <w:r w:rsidR="002822D6">
        <w:rPr>
          <w:szCs w:val="24"/>
        </w:rPr>
        <w:t xml:space="preserve"> </w:t>
      </w:r>
      <w:r w:rsidR="003A63D3" w:rsidRPr="003E0AF3">
        <w:rPr>
          <w:szCs w:val="24"/>
        </w:rPr>
        <w:t xml:space="preserve">The incidence of nausea was </w:t>
      </w:r>
      <w:r w:rsidR="000D1FF0">
        <w:rPr>
          <w:szCs w:val="24"/>
        </w:rPr>
        <w:t xml:space="preserve">higher with </w:t>
      </w:r>
      <w:r w:rsidR="001D5489">
        <w:rPr>
          <w:szCs w:val="24"/>
        </w:rPr>
        <w:t>BRINTELLIX</w:t>
      </w:r>
      <w:r w:rsidR="000D1FF0">
        <w:rPr>
          <w:szCs w:val="24"/>
        </w:rPr>
        <w:t xml:space="preserve"> (</w:t>
      </w:r>
      <w:r w:rsidR="000D1FF0" w:rsidRPr="003E0AF3">
        <w:rPr>
          <w:szCs w:val="24"/>
        </w:rPr>
        <w:t>2</w:t>
      </w:r>
      <w:r w:rsidR="000D1FF0">
        <w:rPr>
          <w:szCs w:val="24"/>
        </w:rPr>
        <w:t>4</w:t>
      </w:r>
      <w:r w:rsidR="003A63D3" w:rsidRPr="003E0AF3">
        <w:rPr>
          <w:szCs w:val="24"/>
        </w:rPr>
        <w:t>.</w:t>
      </w:r>
      <w:r w:rsidR="000D1FF0">
        <w:rPr>
          <w:szCs w:val="24"/>
        </w:rPr>
        <w:t>1</w:t>
      </w:r>
      <w:r w:rsidR="003A63D3" w:rsidRPr="003E0AF3">
        <w:rPr>
          <w:szCs w:val="24"/>
        </w:rPr>
        <w:t>%</w:t>
      </w:r>
      <w:r w:rsidR="000D1FF0">
        <w:rPr>
          <w:szCs w:val="24"/>
        </w:rPr>
        <w:t xml:space="preserve">) </w:t>
      </w:r>
      <w:r w:rsidR="003A63D3" w:rsidRPr="003E0AF3">
        <w:rPr>
          <w:szCs w:val="24"/>
        </w:rPr>
        <w:t>compared to the lower rates of nausea in the placebo group (8.</w:t>
      </w:r>
      <w:r w:rsidR="000D1FF0">
        <w:rPr>
          <w:szCs w:val="24"/>
        </w:rPr>
        <w:t>1</w:t>
      </w:r>
      <w:r w:rsidR="003A63D3" w:rsidRPr="003E0AF3">
        <w:rPr>
          <w:szCs w:val="24"/>
        </w:rPr>
        <w:t>%).</w:t>
      </w:r>
      <w:r w:rsidR="000D1FF0" w:rsidRPr="00437ACC">
        <w:rPr>
          <w:szCs w:val="24"/>
        </w:rPr>
        <w:t xml:space="preserve"> </w:t>
      </w:r>
      <w:r w:rsidR="002822D6">
        <w:rPr>
          <w:szCs w:val="24"/>
        </w:rPr>
        <w:t xml:space="preserve"> </w:t>
      </w:r>
      <w:r w:rsidR="000D1FF0" w:rsidRPr="00437ACC">
        <w:rPr>
          <w:szCs w:val="24"/>
        </w:rPr>
        <w:t>The majority of cases of</w:t>
      </w:r>
      <w:r w:rsidR="000D1FF0" w:rsidRPr="004430B5">
        <w:rPr>
          <w:szCs w:val="24"/>
        </w:rPr>
        <w:t xml:space="preserve"> nausea in the MDD Short-Term studies were transient and mild to moderate</w:t>
      </w:r>
      <w:r w:rsidR="001623AD">
        <w:rPr>
          <w:szCs w:val="24"/>
        </w:rPr>
        <w:t xml:space="preserve"> and </w:t>
      </w:r>
      <w:r w:rsidR="000D1FF0" w:rsidRPr="00437ACC">
        <w:rPr>
          <w:szCs w:val="24"/>
        </w:rPr>
        <w:t>did not generall</w:t>
      </w:r>
      <w:r w:rsidR="000D1FF0" w:rsidRPr="004430B5">
        <w:rPr>
          <w:szCs w:val="24"/>
        </w:rPr>
        <w:t>y lead to cessation of therapy.</w:t>
      </w:r>
      <w:r w:rsidR="002822D6">
        <w:rPr>
          <w:szCs w:val="24"/>
        </w:rPr>
        <w:t xml:space="preserve"> </w:t>
      </w:r>
      <w:r w:rsidR="000D1FF0" w:rsidRPr="00437ACC">
        <w:rPr>
          <w:szCs w:val="24"/>
        </w:rPr>
        <w:t xml:space="preserve"> Gastrointestinal adverse reactions, such as nausea, occurred more frequently in women than men</w:t>
      </w:r>
      <w:r w:rsidR="00027657" w:rsidRPr="003E0AF3">
        <w:rPr>
          <w:szCs w:val="24"/>
        </w:rPr>
        <w:t>.</w:t>
      </w:r>
    </w:p>
    <w:p w:rsidR="00E85169" w:rsidRPr="003E0AF3" w:rsidRDefault="00E85169" w:rsidP="003A63D3">
      <w:pPr>
        <w:widowControl w:val="0"/>
        <w:rPr>
          <w:szCs w:val="24"/>
        </w:rPr>
      </w:pPr>
      <w:r w:rsidRPr="003E0AF3">
        <w:rPr>
          <w:szCs w:val="24"/>
        </w:rPr>
        <w:t xml:space="preserve">In the MDD short-term studies, discontinuation due to adverse events was more common with </w:t>
      </w:r>
      <w:r w:rsidR="001D5489">
        <w:rPr>
          <w:szCs w:val="24"/>
        </w:rPr>
        <w:t>BRINTELLIX</w:t>
      </w:r>
      <w:r w:rsidR="00A22AD2" w:rsidRPr="003E0AF3">
        <w:rPr>
          <w:szCs w:val="24"/>
        </w:rPr>
        <w:t xml:space="preserve"> </w:t>
      </w:r>
      <w:r w:rsidRPr="003E0AF3">
        <w:rPr>
          <w:szCs w:val="24"/>
        </w:rPr>
        <w:t>(6.</w:t>
      </w:r>
      <w:r w:rsidR="007B7EE0">
        <w:rPr>
          <w:szCs w:val="24"/>
        </w:rPr>
        <w:t>0</w:t>
      </w:r>
      <w:r w:rsidRPr="003E0AF3">
        <w:rPr>
          <w:szCs w:val="24"/>
        </w:rPr>
        <w:t>%) compared with placebo (</w:t>
      </w:r>
      <w:r w:rsidR="007B7EE0">
        <w:rPr>
          <w:szCs w:val="24"/>
        </w:rPr>
        <w:t>4.0</w:t>
      </w:r>
      <w:r w:rsidRPr="003E0AF3">
        <w:rPr>
          <w:szCs w:val="24"/>
        </w:rPr>
        <w:t>%).</w:t>
      </w:r>
      <w:r w:rsidR="001F7E37">
        <w:rPr>
          <w:szCs w:val="24"/>
        </w:rPr>
        <w:t xml:space="preserve"> </w:t>
      </w:r>
      <w:r w:rsidR="002822D6">
        <w:rPr>
          <w:szCs w:val="24"/>
        </w:rPr>
        <w:t xml:space="preserve"> </w:t>
      </w:r>
      <w:r w:rsidR="001F7E37" w:rsidRPr="001F7E37">
        <w:rPr>
          <w:szCs w:val="24"/>
        </w:rPr>
        <w:t>Nausea was the most common reason for patients discontinuing due to adverse events.</w:t>
      </w:r>
    </w:p>
    <w:p w:rsidR="00BC0FB0" w:rsidRDefault="003A63D3" w:rsidP="00BD0771">
      <w:pPr>
        <w:rPr>
          <w:szCs w:val="24"/>
        </w:rPr>
      </w:pPr>
      <w:r w:rsidRPr="003E0AF3">
        <w:rPr>
          <w:szCs w:val="24"/>
        </w:rPr>
        <w:t xml:space="preserve">Table 1 enumerates the incidence of treatment emergent adverse events that occurred in </w:t>
      </w:r>
      <w:r w:rsidR="00372BEC" w:rsidRPr="003E0AF3">
        <w:rPr>
          <w:szCs w:val="24"/>
        </w:rPr>
        <w:t xml:space="preserve">the </w:t>
      </w:r>
      <w:r w:rsidR="006E45FB" w:rsidRPr="003E0AF3">
        <w:rPr>
          <w:szCs w:val="24"/>
        </w:rPr>
        <w:t>short term</w:t>
      </w:r>
      <w:r w:rsidR="00372BEC" w:rsidRPr="003E0AF3">
        <w:rPr>
          <w:szCs w:val="24"/>
        </w:rPr>
        <w:t xml:space="preserve"> </w:t>
      </w:r>
      <w:r w:rsidRPr="003E0AF3">
        <w:rPr>
          <w:szCs w:val="24"/>
        </w:rPr>
        <w:t>placebo-controlled</w:t>
      </w:r>
      <w:r w:rsidR="0098195A">
        <w:rPr>
          <w:szCs w:val="24"/>
        </w:rPr>
        <w:t xml:space="preserve"> </w:t>
      </w:r>
      <w:r w:rsidR="0098195A" w:rsidRPr="004C5421">
        <w:rPr>
          <w:szCs w:val="24"/>
        </w:rPr>
        <w:t>studies</w:t>
      </w:r>
      <w:r w:rsidRPr="003E0AF3">
        <w:rPr>
          <w:szCs w:val="24"/>
        </w:rPr>
        <w:t xml:space="preserve">.  Events included are those occurring in 1% or more of patients treated with </w:t>
      </w:r>
      <w:r w:rsidR="001D5489">
        <w:rPr>
          <w:szCs w:val="24"/>
        </w:rPr>
        <w:t xml:space="preserve">BRINTELLIX </w:t>
      </w:r>
      <w:r w:rsidR="00E42751">
        <w:rPr>
          <w:szCs w:val="24"/>
        </w:rPr>
        <w:t>(5 to 20 mg/day)</w:t>
      </w:r>
      <w:r w:rsidRPr="003E0AF3">
        <w:rPr>
          <w:szCs w:val="24"/>
        </w:rPr>
        <w:t xml:space="preserve">, and for which the incidence in patients treated with </w:t>
      </w:r>
      <w:proofErr w:type="spellStart"/>
      <w:r w:rsidR="00A22AD2">
        <w:rPr>
          <w:szCs w:val="24"/>
        </w:rPr>
        <w:t>vortioxetine</w:t>
      </w:r>
      <w:proofErr w:type="spellEnd"/>
      <w:r w:rsidR="00A22AD2" w:rsidRPr="003E0AF3">
        <w:rPr>
          <w:szCs w:val="24"/>
        </w:rPr>
        <w:t xml:space="preserve"> </w:t>
      </w:r>
      <w:r w:rsidRPr="003E0AF3">
        <w:rPr>
          <w:szCs w:val="24"/>
        </w:rPr>
        <w:t>was greater than the incidence in placebo-treated patients.</w:t>
      </w:r>
    </w:p>
    <w:p w:rsidR="009879F8" w:rsidRDefault="00BC0FB0" w:rsidP="00BD0771">
      <w:pPr>
        <w:rPr>
          <w:szCs w:val="24"/>
        </w:rPr>
      </w:pPr>
      <w:r>
        <w:rPr>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1615"/>
        <w:gridCol w:w="1615"/>
        <w:gridCol w:w="1615"/>
        <w:gridCol w:w="1615"/>
        <w:gridCol w:w="1042"/>
      </w:tblGrid>
      <w:tr w:rsidR="00161CFC" w:rsidRPr="00BC2D1D" w:rsidTr="00312421">
        <w:tc>
          <w:tcPr>
            <w:tcW w:w="5000" w:type="pct"/>
            <w:gridSpan w:val="6"/>
            <w:shd w:val="clear" w:color="auto" w:fill="auto"/>
          </w:tcPr>
          <w:p w:rsidR="00161CFC" w:rsidRPr="00530801" w:rsidRDefault="00161CFC" w:rsidP="00530801">
            <w:pPr>
              <w:spacing w:before="20" w:after="20"/>
              <w:jc w:val="center"/>
              <w:rPr>
                <w:rFonts w:eastAsia="Calibri"/>
                <w:b/>
                <w:szCs w:val="24"/>
              </w:rPr>
            </w:pPr>
            <w:r w:rsidRPr="00530801">
              <w:rPr>
                <w:rFonts w:eastAsia="Calibri"/>
                <w:b/>
                <w:szCs w:val="24"/>
              </w:rPr>
              <w:lastRenderedPageBreak/>
              <w:t>TABLE 1</w:t>
            </w:r>
          </w:p>
          <w:p w:rsidR="00161CFC" w:rsidRPr="00530801" w:rsidRDefault="00161CFC" w:rsidP="00530801">
            <w:pPr>
              <w:spacing w:before="20" w:after="20"/>
              <w:jc w:val="center"/>
              <w:rPr>
                <w:rFonts w:eastAsia="Calibri"/>
                <w:b/>
                <w:szCs w:val="24"/>
              </w:rPr>
            </w:pPr>
            <w:r w:rsidRPr="00530801">
              <w:rPr>
                <w:rFonts w:eastAsia="Calibri"/>
                <w:b/>
                <w:szCs w:val="24"/>
              </w:rPr>
              <w:t>INCIDENCE OF COMMON ADVERSE EVENTS</w:t>
            </w:r>
          </w:p>
          <w:p w:rsidR="00161CFC" w:rsidRPr="00530801" w:rsidRDefault="00161CFC" w:rsidP="00530801">
            <w:pPr>
              <w:spacing w:before="20" w:after="20"/>
              <w:jc w:val="center"/>
              <w:rPr>
                <w:rFonts w:eastAsia="Calibri"/>
                <w:b/>
                <w:sz w:val="22"/>
                <w:szCs w:val="22"/>
              </w:rPr>
            </w:pPr>
            <w:r w:rsidRPr="00530801">
              <w:rPr>
                <w:rFonts w:eastAsia="Calibri"/>
                <w:b/>
                <w:szCs w:val="24"/>
              </w:rPr>
              <w:t>FOR MAJOR DEPRESSIVE DISORDER, POOL OF 12 SHORT-TERM STUDIES</w:t>
            </w:r>
          </w:p>
        </w:tc>
      </w:tr>
      <w:tr w:rsidR="00161CFC" w:rsidRPr="00BC2D1D" w:rsidTr="00312421">
        <w:tc>
          <w:tcPr>
            <w:tcW w:w="871" w:type="pct"/>
            <w:vMerge w:val="restart"/>
            <w:shd w:val="clear" w:color="auto" w:fill="auto"/>
          </w:tcPr>
          <w:p w:rsidR="00161CFC" w:rsidRPr="00530801" w:rsidRDefault="00161CFC" w:rsidP="00530801">
            <w:pPr>
              <w:spacing w:before="20" w:after="20"/>
              <w:rPr>
                <w:rFonts w:eastAsia="Calibri"/>
                <w:sz w:val="22"/>
                <w:szCs w:val="22"/>
              </w:rPr>
            </w:pPr>
            <w:r w:rsidRPr="00530801">
              <w:rPr>
                <w:rFonts w:eastAsia="Calibri"/>
                <w:b/>
                <w:sz w:val="22"/>
                <w:szCs w:val="22"/>
              </w:rPr>
              <w:t>Body System/Adverse Event</w:t>
            </w:r>
          </w:p>
        </w:tc>
        <w:tc>
          <w:tcPr>
            <w:tcW w:w="4129" w:type="pct"/>
            <w:gridSpan w:val="5"/>
            <w:shd w:val="clear" w:color="auto" w:fill="auto"/>
          </w:tcPr>
          <w:p w:rsidR="00161CFC" w:rsidRPr="00530801" w:rsidRDefault="00161CFC" w:rsidP="00530801">
            <w:pPr>
              <w:spacing w:before="20" w:after="20"/>
              <w:jc w:val="center"/>
              <w:rPr>
                <w:rFonts w:eastAsia="Calibri"/>
                <w:b/>
                <w:sz w:val="22"/>
                <w:szCs w:val="22"/>
              </w:rPr>
            </w:pPr>
            <w:r w:rsidRPr="00530801">
              <w:rPr>
                <w:rFonts w:eastAsia="Calibri"/>
                <w:b/>
                <w:sz w:val="22"/>
                <w:szCs w:val="22"/>
              </w:rPr>
              <w:t>Percentage of Patients Reporting</w:t>
            </w:r>
          </w:p>
        </w:tc>
      </w:tr>
      <w:tr w:rsidR="00161CFC" w:rsidRPr="00BC2D1D" w:rsidTr="00312421">
        <w:tc>
          <w:tcPr>
            <w:tcW w:w="871" w:type="pct"/>
            <w:vMerge/>
            <w:shd w:val="clear" w:color="auto" w:fill="auto"/>
          </w:tcPr>
          <w:p w:rsidR="00161CFC" w:rsidRPr="00530801" w:rsidRDefault="00161CFC" w:rsidP="00530801">
            <w:pPr>
              <w:spacing w:before="20" w:after="20"/>
              <w:rPr>
                <w:rFonts w:eastAsia="Calibri"/>
                <w:b/>
                <w:sz w:val="22"/>
                <w:szCs w:val="22"/>
              </w:rPr>
            </w:pPr>
          </w:p>
        </w:tc>
        <w:tc>
          <w:tcPr>
            <w:tcW w:w="847" w:type="pct"/>
            <w:shd w:val="clear" w:color="auto" w:fill="auto"/>
          </w:tcPr>
          <w:p w:rsidR="00161CFC" w:rsidRPr="00530801" w:rsidRDefault="001D5489" w:rsidP="00530801">
            <w:pPr>
              <w:spacing w:before="20" w:after="20"/>
              <w:jc w:val="center"/>
              <w:rPr>
                <w:rFonts w:eastAsia="Calibri"/>
                <w:b/>
                <w:sz w:val="22"/>
                <w:szCs w:val="22"/>
              </w:rPr>
            </w:pPr>
            <w:r>
              <w:rPr>
                <w:szCs w:val="24"/>
              </w:rPr>
              <w:t xml:space="preserve">BRINTELLIX </w:t>
            </w:r>
          </w:p>
          <w:p w:rsidR="00161CFC" w:rsidRPr="00530801" w:rsidRDefault="00161CFC" w:rsidP="00530801">
            <w:pPr>
              <w:spacing w:before="20" w:after="20"/>
              <w:jc w:val="center"/>
              <w:rPr>
                <w:rFonts w:eastAsia="Calibri"/>
                <w:b/>
                <w:sz w:val="22"/>
                <w:szCs w:val="22"/>
              </w:rPr>
            </w:pPr>
            <w:r w:rsidRPr="00530801">
              <w:rPr>
                <w:rFonts w:eastAsia="Calibri"/>
                <w:b/>
                <w:sz w:val="22"/>
                <w:szCs w:val="22"/>
              </w:rPr>
              <w:t>5</w:t>
            </w:r>
            <w:r w:rsidR="002B234E" w:rsidRPr="00530801">
              <w:rPr>
                <w:rFonts w:eastAsia="Calibri"/>
                <w:b/>
                <w:sz w:val="22"/>
                <w:szCs w:val="22"/>
              </w:rPr>
              <w:t> </w:t>
            </w:r>
            <w:r w:rsidRPr="00530801">
              <w:rPr>
                <w:rFonts w:eastAsia="Calibri"/>
                <w:b/>
                <w:sz w:val="22"/>
                <w:szCs w:val="22"/>
              </w:rPr>
              <w:t>mg/day</w:t>
            </w:r>
          </w:p>
          <w:p w:rsidR="00161CFC" w:rsidRPr="00530801" w:rsidRDefault="00161CFC" w:rsidP="00530801">
            <w:pPr>
              <w:spacing w:before="20" w:after="20"/>
              <w:jc w:val="center"/>
              <w:rPr>
                <w:rFonts w:eastAsia="Calibri"/>
                <w:b/>
                <w:sz w:val="22"/>
                <w:szCs w:val="22"/>
              </w:rPr>
            </w:pPr>
            <w:r w:rsidRPr="00530801">
              <w:rPr>
                <w:rFonts w:eastAsia="Calibri"/>
                <w:b/>
                <w:sz w:val="22"/>
                <w:szCs w:val="22"/>
              </w:rPr>
              <w:t>(n=1157)</w:t>
            </w:r>
          </w:p>
        </w:tc>
        <w:tc>
          <w:tcPr>
            <w:tcW w:w="847" w:type="pct"/>
            <w:shd w:val="clear" w:color="auto" w:fill="auto"/>
          </w:tcPr>
          <w:p w:rsidR="00A22AD2" w:rsidRPr="00530801" w:rsidRDefault="001D5489" w:rsidP="00A22AD2">
            <w:pPr>
              <w:spacing w:before="20" w:after="20"/>
              <w:jc w:val="center"/>
              <w:rPr>
                <w:rFonts w:eastAsia="Calibri"/>
                <w:b/>
                <w:sz w:val="22"/>
                <w:szCs w:val="22"/>
              </w:rPr>
            </w:pPr>
            <w:r>
              <w:rPr>
                <w:szCs w:val="24"/>
              </w:rPr>
              <w:t xml:space="preserve">BRINTELLIX </w:t>
            </w:r>
          </w:p>
          <w:p w:rsidR="00161CFC" w:rsidRPr="00530801" w:rsidRDefault="00161CFC" w:rsidP="00530801">
            <w:pPr>
              <w:spacing w:before="20" w:after="20"/>
              <w:jc w:val="center"/>
              <w:rPr>
                <w:rFonts w:eastAsia="Calibri"/>
                <w:b/>
                <w:bCs/>
                <w:sz w:val="22"/>
                <w:szCs w:val="22"/>
              </w:rPr>
            </w:pPr>
            <w:r w:rsidRPr="00530801">
              <w:rPr>
                <w:rFonts w:eastAsia="Calibri"/>
                <w:b/>
                <w:bCs/>
                <w:sz w:val="22"/>
                <w:szCs w:val="22"/>
              </w:rPr>
              <w:t>10</w:t>
            </w:r>
            <w:r w:rsidR="002B234E" w:rsidRPr="00530801">
              <w:rPr>
                <w:rFonts w:eastAsia="Calibri"/>
                <w:b/>
                <w:bCs/>
                <w:sz w:val="22"/>
                <w:szCs w:val="22"/>
              </w:rPr>
              <w:t> </w:t>
            </w:r>
            <w:r w:rsidRPr="00530801">
              <w:rPr>
                <w:rFonts w:eastAsia="Calibri"/>
                <w:b/>
                <w:bCs/>
                <w:sz w:val="22"/>
                <w:szCs w:val="22"/>
              </w:rPr>
              <w:t>mg/day</w:t>
            </w:r>
          </w:p>
          <w:p w:rsidR="00161CFC" w:rsidRPr="00530801" w:rsidRDefault="00161CFC" w:rsidP="00530801">
            <w:pPr>
              <w:spacing w:before="20" w:after="20"/>
              <w:jc w:val="center"/>
              <w:rPr>
                <w:rFonts w:eastAsia="Calibri"/>
                <w:b/>
                <w:bCs/>
                <w:sz w:val="22"/>
                <w:szCs w:val="22"/>
              </w:rPr>
            </w:pPr>
            <w:r w:rsidRPr="00530801">
              <w:rPr>
                <w:rFonts w:eastAsia="Calibri"/>
                <w:b/>
                <w:bCs/>
                <w:sz w:val="22"/>
                <w:szCs w:val="22"/>
              </w:rPr>
              <w:t>(n=1042)</w:t>
            </w:r>
          </w:p>
        </w:tc>
        <w:tc>
          <w:tcPr>
            <w:tcW w:w="847" w:type="pct"/>
            <w:shd w:val="clear" w:color="auto" w:fill="auto"/>
          </w:tcPr>
          <w:p w:rsidR="00A22AD2" w:rsidRPr="00530801" w:rsidRDefault="001D5489" w:rsidP="00A22AD2">
            <w:pPr>
              <w:spacing w:before="20" w:after="20"/>
              <w:jc w:val="center"/>
              <w:rPr>
                <w:rFonts w:eastAsia="Calibri"/>
                <w:b/>
                <w:sz w:val="22"/>
                <w:szCs w:val="22"/>
              </w:rPr>
            </w:pPr>
            <w:r>
              <w:rPr>
                <w:szCs w:val="24"/>
              </w:rPr>
              <w:t xml:space="preserve">BRINTELLIX </w:t>
            </w:r>
          </w:p>
          <w:p w:rsidR="00161CFC" w:rsidRPr="00530801" w:rsidRDefault="00161CFC" w:rsidP="00530801">
            <w:pPr>
              <w:spacing w:before="20" w:after="20"/>
              <w:jc w:val="center"/>
              <w:rPr>
                <w:rFonts w:eastAsia="Calibri"/>
                <w:b/>
                <w:bCs/>
                <w:sz w:val="22"/>
                <w:szCs w:val="22"/>
              </w:rPr>
            </w:pPr>
            <w:r w:rsidRPr="00530801">
              <w:rPr>
                <w:rFonts w:eastAsia="Calibri"/>
                <w:b/>
                <w:bCs/>
                <w:sz w:val="22"/>
                <w:szCs w:val="22"/>
              </w:rPr>
              <w:t>15</w:t>
            </w:r>
            <w:r w:rsidR="002B234E" w:rsidRPr="00530801">
              <w:rPr>
                <w:rFonts w:eastAsia="Calibri"/>
                <w:b/>
                <w:bCs/>
                <w:sz w:val="22"/>
                <w:szCs w:val="22"/>
              </w:rPr>
              <w:t> </w:t>
            </w:r>
            <w:r w:rsidRPr="00530801">
              <w:rPr>
                <w:rFonts w:eastAsia="Calibri"/>
                <w:b/>
                <w:bCs/>
                <w:sz w:val="22"/>
                <w:szCs w:val="22"/>
              </w:rPr>
              <w:t>mg/day</w:t>
            </w:r>
          </w:p>
          <w:p w:rsidR="00161CFC" w:rsidRPr="00530801" w:rsidRDefault="00161CFC" w:rsidP="00530801">
            <w:pPr>
              <w:spacing w:before="20" w:after="20"/>
              <w:jc w:val="center"/>
              <w:rPr>
                <w:rFonts w:eastAsia="Calibri"/>
                <w:b/>
                <w:bCs/>
                <w:sz w:val="22"/>
                <w:szCs w:val="22"/>
              </w:rPr>
            </w:pPr>
            <w:r w:rsidRPr="00530801">
              <w:rPr>
                <w:rFonts w:eastAsia="Calibri"/>
                <w:b/>
                <w:bCs/>
                <w:sz w:val="22"/>
                <w:szCs w:val="22"/>
              </w:rPr>
              <w:t>(n=449)</w:t>
            </w:r>
          </w:p>
        </w:tc>
        <w:tc>
          <w:tcPr>
            <w:tcW w:w="847" w:type="pct"/>
            <w:shd w:val="clear" w:color="auto" w:fill="auto"/>
          </w:tcPr>
          <w:p w:rsidR="00A22AD2" w:rsidRPr="00530801" w:rsidRDefault="001D5489" w:rsidP="00A22AD2">
            <w:pPr>
              <w:spacing w:before="20" w:after="20"/>
              <w:jc w:val="center"/>
              <w:rPr>
                <w:rFonts w:eastAsia="Calibri"/>
                <w:b/>
                <w:sz w:val="22"/>
                <w:szCs w:val="22"/>
              </w:rPr>
            </w:pPr>
            <w:r>
              <w:rPr>
                <w:szCs w:val="24"/>
              </w:rPr>
              <w:t xml:space="preserve">BRINTELLIX </w:t>
            </w:r>
          </w:p>
          <w:p w:rsidR="00161CFC" w:rsidRPr="00530801" w:rsidRDefault="00161CFC" w:rsidP="00530801">
            <w:pPr>
              <w:spacing w:before="20" w:after="20"/>
              <w:jc w:val="center"/>
              <w:rPr>
                <w:rFonts w:eastAsia="Calibri"/>
                <w:b/>
                <w:bCs/>
                <w:sz w:val="22"/>
                <w:szCs w:val="22"/>
              </w:rPr>
            </w:pPr>
            <w:r w:rsidRPr="00530801">
              <w:rPr>
                <w:rFonts w:eastAsia="Calibri"/>
                <w:b/>
                <w:bCs/>
                <w:sz w:val="22"/>
                <w:szCs w:val="22"/>
              </w:rPr>
              <w:t>20</w:t>
            </w:r>
            <w:r w:rsidR="002B234E" w:rsidRPr="00530801">
              <w:rPr>
                <w:rFonts w:eastAsia="Calibri"/>
                <w:b/>
                <w:bCs/>
                <w:sz w:val="22"/>
                <w:szCs w:val="22"/>
              </w:rPr>
              <w:t> </w:t>
            </w:r>
            <w:r w:rsidRPr="00530801">
              <w:rPr>
                <w:rFonts w:eastAsia="Calibri"/>
                <w:b/>
                <w:bCs/>
                <w:sz w:val="22"/>
                <w:szCs w:val="22"/>
              </w:rPr>
              <w:t>mg/day</w:t>
            </w:r>
          </w:p>
          <w:p w:rsidR="00161CFC" w:rsidRPr="00530801" w:rsidRDefault="00161CFC" w:rsidP="00530801">
            <w:pPr>
              <w:spacing w:before="20" w:after="20"/>
              <w:jc w:val="center"/>
              <w:rPr>
                <w:rFonts w:eastAsia="Calibri"/>
                <w:b/>
                <w:bCs/>
                <w:sz w:val="22"/>
                <w:szCs w:val="22"/>
              </w:rPr>
            </w:pPr>
            <w:r w:rsidRPr="00530801">
              <w:rPr>
                <w:rFonts w:eastAsia="Calibri"/>
                <w:b/>
                <w:bCs/>
                <w:sz w:val="22"/>
                <w:szCs w:val="22"/>
              </w:rPr>
              <w:t>(n=812)</w:t>
            </w:r>
          </w:p>
        </w:tc>
        <w:tc>
          <w:tcPr>
            <w:tcW w:w="739" w:type="pct"/>
            <w:shd w:val="clear" w:color="auto" w:fill="auto"/>
          </w:tcPr>
          <w:p w:rsidR="00161CFC" w:rsidRPr="00530801" w:rsidRDefault="00161CFC" w:rsidP="00530801">
            <w:pPr>
              <w:spacing w:before="20" w:after="20"/>
              <w:jc w:val="center"/>
              <w:rPr>
                <w:rFonts w:eastAsia="Calibri"/>
                <w:b/>
                <w:bCs/>
                <w:sz w:val="22"/>
                <w:szCs w:val="22"/>
              </w:rPr>
            </w:pPr>
            <w:r w:rsidRPr="00530801">
              <w:rPr>
                <w:rFonts w:eastAsia="Calibri"/>
                <w:b/>
                <w:bCs/>
                <w:sz w:val="22"/>
                <w:szCs w:val="22"/>
              </w:rPr>
              <w:t>Placebo</w:t>
            </w:r>
          </w:p>
          <w:p w:rsidR="00161CFC" w:rsidRPr="00530801" w:rsidRDefault="00161CFC" w:rsidP="00530801">
            <w:pPr>
              <w:spacing w:before="20" w:after="20"/>
              <w:jc w:val="center"/>
              <w:rPr>
                <w:rFonts w:eastAsia="Calibri"/>
                <w:b/>
                <w:bCs/>
                <w:sz w:val="22"/>
                <w:szCs w:val="22"/>
              </w:rPr>
            </w:pPr>
            <w:r w:rsidRPr="00530801">
              <w:rPr>
                <w:rFonts w:eastAsia="Calibri"/>
                <w:b/>
                <w:bCs/>
                <w:sz w:val="22"/>
                <w:szCs w:val="22"/>
              </w:rPr>
              <w:t>(n=1968)</w:t>
            </w:r>
          </w:p>
        </w:tc>
      </w:tr>
      <w:tr w:rsidR="00161CFC" w:rsidRPr="00BC2D1D" w:rsidTr="00312421">
        <w:tc>
          <w:tcPr>
            <w:tcW w:w="5000" w:type="pct"/>
            <w:gridSpan w:val="6"/>
            <w:tcBorders>
              <w:bottom w:val="single" w:sz="4" w:space="0" w:color="auto"/>
            </w:tcBorders>
            <w:shd w:val="clear" w:color="auto" w:fill="auto"/>
          </w:tcPr>
          <w:p w:rsidR="00161CFC" w:rsidRPr="00530801" w:rsidRDefault="00161CFC" w:rsidP="00530801">
            <w:pPr>
              <w:spacing w:before="20" w:after="20"/>
              <w:rPr>
                <w:rFonts w:eastAsia="Calibri"/>
                <w:i/>
                <w:sz w:val="22"/>
                <w:szCs w:val="22"/>
              </w:rPr>
            </w:pPr>
            <w:r w:rsidRPr="00530801">
              <w:rPr>
                <w:rFonts w:eastAsia="Calibri"/>
                <w:i/>
                <w:sz w:val="22"/>
                <w:szCs w:val="22"/>
              </w:rPr>
              <w:t>Gastrointestinal Disorders</w:t>
            </w:r>
          </w:p>
        </w:tc>
      </w:tr>
      <w:tr w:rsidR="00161CFC" w:rsidRPr="00530801" w:rsidTr="00312421">
        <w:tc>
          <w:tcPr>
            <w:tcW w:w="871" w:type="pct"/>
            <w:tcBorders>
              <w:top w:val="single" w:sz="4" w:space="0" w:color="auto"/>
              <w:left w:val="single" w:sz="4" w:space="0" w:color="auto"/>
              <w:bottom w:val="nil"/>
              <w:right w:val="single" w:sz="4" w:space="0" w:color="auto"/>
            </w:tcBorders>
            <w:shd w:val="clear" w:color="auto" w:fill="auto"/>
          </w:tcPr>
          <w:p w:rsidR="00161CFC" w:rsidRPr="00530801" w:rsidRDefault="00161CFC" w:rsidP="00530801">
            <w:pPr>
              <w:spacing w:before="20" w:after="20"/>
              <w:ind w:left="142"/>
              <w:rPr>
                <w:rFonts w:eastAsia="Calibri"/>
                <w:sz w:val="22"/>
                <w:szCs w:val="22"/>
              </w:rPr>
            </w:pPr>
            <w:r w:rsidRPr="00530801">
              <w:rPr>
                <w:rFonts w:eastAsia="Calibri"/>
                <w:sz w:val="22"/>
                <w:szCs w:val="22"/>
              </w:rPr>
              <w:t>Nausea</w:t>
            </w:r>
          </w:p>
        </w:tc>
        <w:tc>
          <w:tcPr>
            <w:tcW w:w="847" w:type="pct"/>
            <w:tcBorders>
              <w:top w:val="single" w:sz="4" w:space="0" w:color="auto"/>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20.5*</w:t>
            </w:r>
          </w:p>
        </w:tc>
        <w:tc>
          <w:tcPr>
            <w:tcW w:w="847" w:type="pct"/>
            <w:tcBorders>
              <w:top w:val="single" w:sz="4" w:space="0" w:color="auto"/>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22.6*</w:t>
            </w:r>
          </w:p>
        </w:tc>
        <w:tc>
          <w:tcPr>
            <w:tcW w:w="847" w:type="pct"/>
            <w:tcBorders>
              <w:top w:val="single" w:sz="4" w:space="0" w:color="auto"/>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31.2*</w:t>
            </w:r>
          </w:p>
        </w:tc>
        <w:tc>
          <w:tcPr>
            <w:tcW w:w="847" w:type="pct"/>
            <w:tcBorders>
              <w:top w:val="single" w:sz="4" w:space="0" w:color="auto"/>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27.2*</w:t>
            </w:r>
          </w:p>
        </w:tc>
        <w:tc>
          <w:tcPr>
            <w:tcW w:w="739" w:type="pct"/>
            <w:tcBorders>
              <w:top w:val="single" w:sz="4" w:space="0" w:color="auto"/>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8.1</w:t>
            </w:r>
          </w:p>
        </w:tc>
      </w:tr>
      <w:tr w:rsidR="00161CFC" w:rsidRPr="00530801" w:rsidTr="00312421">
        <w:tc>
          <w:tcPr>
            <w:tcW w:w="871"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ind w:left="142"/>
              <w:rPr>
                <w:rFonts w:eastAsia="Calibri"/>
                <w:sz w:val="22"/>
                <w:szCs w:val="22"/>
              </w:rPr>
            </w:pPr>
            <w:r w:rsidRPr="00530801">
              <w:rPr>
                <w:rFonts w:eastAsia="Calibri"/>
                <w:sz w:val="22"/>
                <w:szCs w:val="22"/>
              </w:rPr>
              <w:t xml:space="preserve">Diarrhoea </w:t>
            </w:r>
          </w:p>
        </w:tc>
        <w:tc>
          <w:tcPr>
            <w:tcW w:w="847"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6.6</w:t>
            </w:r>
          </w:p>
        </w:tc>
        <w:tc>
          <w:tcPr>
            <w:tcW w:w="847"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5.4</w:t>
            </w:r>
          </w:p>
        </w:tc>
        <w:tc>
          <w:tcPr>
            <w:tcW w:w="847"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9.4*</w:t>
            </w:r>
          </w:p>
        </w:tc>
        <w:tc>
          <w:tcPr>
            <w:tcW w:w="847"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5.5</w:t>
            </w:r>
          </w:p>
        </w:tc>
        <w:tc>
          <w:tcPr>
            <w:tcW w:w="739"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5.5</w:t>
            </w:r>
          </w:p>
        </w:tc>
      </w:tr>
      <w:tr w:rsidR="00161CFC" w:rsidRPr="00530801" w:rsidTr="00312421">
        <w:tc>
          <w:tcPr>
            <w:tcW w:w="871"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ind w:left="142"/>
              <w:rPr>
                <w:rFonts w:eastAsia="Calibri"/>
                <w:sz w:val="22"/>
                <w:szCs w:val="22"/>
              </w:rPr>
            </w:pPr>
            <w:r w:rsidRPr="00530801">
              <w:rPr>
                <w:rFonts w:eastAsia="Calibri"/>
                <w:sz w:val="22"/>
                <w:szCs w:val="22"/>
              </w:rPr>
              <w:t>Dry mouth</w:t>
            </w:r>
          </w:p>
        </w:tc>
        <w:tc>
          <w:tcPr>
            <w:tcW w:w="847"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6.4</w:t>
            </w:r>
          </w:p>
        </w:tc>
        <w:tc>
          <w:tcPr>
            <w:tcW w:w="847"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5.5</w:t>
            </w:r>
          </w:p>
        </w:tc>
        <w:tc>
          <w:tcPr>
            <w:tcW w:w="847"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6.0</w:t>
            </w:r>
          </w:p>
        </w:tc>
        <w:tc>
          <w:tcPr>
            <w:tcW w:w="847"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6.5</w:t>
            </w:r>
          </w:p>
        </w:tc>
        <w:tc>
          <w:tcPr>
            <w:tcW w:w="739"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5.6</w:t>
            </w:r>
          </w:p>
        </w:tc>
      </w:tr>
      <w:tr w:rsidR="00161CFC" w:rsidRPr="00530801" w:rsidTr="00312421">
        <w:tc>
          <w:tcPr>
            <w:tcW w:w="871"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ind w:left="142"/>
              <w:rPr>
                <w:rFonts w:eastAsia="Calibri"/>
                <w:sz w:val="22"/>
                <w:szCs w:val="22"/>
              </w:rPr>
            </w:pPr>
            <w:r w:rsidRPr="00530801">
              <w:rPr>
                <w:rFonts w:eastAsia="Calibri"/>
                <w:sz w:val="22"/>
                <w:szCs w:val="22"/>
              </w:rPr>
              <w:t xml:space="preserve">Constipation </w:t>
            </w:r>
          </w:p>
        </w:tc>
        <w:tc>
          <w:tcPr>
            <w:tcW w:w="847"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3.4</w:t>
            </w:r>
          </w:p>
        </w:tc>
        <w:tc>
          <w:tcPr>
            <w:tcW w:w="847"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3.6</w:t>
            </w:r>
          </w:p>
        </w:tc>
        <w:tc>
          <w:tcPr>
            <w:tcW w:w="847"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5.6*</w:t>
            </w:r>
          </w:p>
        </w:tc>
        <w:tc>
          <w:tcPr>
            <w:tcW w:w="847"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4.4*</w:t>
            </w:r>
          </w:p>
        </w:tc>
        <w:tc>
          <w:tcPr>
            <w:tcW w:w="739"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2.9</w:t>
            </w:r>
          </w:p>
        </w:tc>
      </w:tr>
      <w:tr w:rsidR="00161CFC" w:rsidRPr="00530801" w:rsidTr="00312421">
        <w:tc>
          <w:tcPr>
            <w:tcW w:w="871"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ind w:left="142"/>
              <w:rPr>
                <w:rFonts w:eastAsia="Calibri"/>
                <w:sz w:val="22"/>
                <w:szCs w:val="22"/>
              </w:rPr>
            </w:pPr>
            <w:r w:rsidRPr="00530801">
              <w:rPr>
                <w:rFonts w:eastAsia="Calibri"/>
                <w:sz w:val="22"/>
                <w:szCs w:val="22"/>
              </w:rPr>
              <w:t>Vomiting</w:t>
            </w:r>
          </w:p>
        </w:tc>
        <w:tc>
          <w:tcPr>
            <w:tcW w:w="847"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2.7*</w:t>
            </w:r>
          </w:p>
        </w:tc>
        <w:tc>
          <w:tcPr>
            <w:tcW w:w="847"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3.6*</w:t>
            </w:r>
          </w:p>
        </w:tc>
        <w:tc>
          <w:tcPr>
            <w:tcW w:w="847"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6.5*</w:t>
            </w:r>
          </w:p>
        </w:tc>
        <w:tc>
          <w:tcPr>
            <w:tcW w:w="847"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4.4*</w:t>
            </w:r>
          </w:p>
        </w:tc>
        <w:tc>
          <w:tcPr>
            <w:tcW w:w="739"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1.1</w:t>
            </w:r>
          </w:p>
        </w:tc>
      </w:tr>
      <w:tr w:rsidR="00161CFC" w:rsidRPr="00530801" w:rsidTr="00312421">
        <w:tc>
          <w:tcPr>
            <w:tcW w:w="871"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ind w:left="142"/>
              <w:rPr>
                <w:rFonts w:eastAsia="Calibri"/>
                <w:sz w:val="22"/>
                <w:szCs w:val="22"/>
              </w:rPr>
            </w:pPr>
            <w:r w:rsidRPr="00530801">
              <w:rPr>
                <w:rFonts w:eastAsia="Calibri"/>
                <w:sz w:val="22"/>
                <w:szCs w:val="22"/>
              </w:rPr>
              <w:t>Dyspepsia</w:t>
            </w:r>
          </w:p>
        </w:tc>
        <w:tc>
          <w:tcPr>
            <w:tcW w:w="847"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1.8</w:t>
            </w:r>
          </w:p>
        </w:tc>
        <w:tc>
          <w:tcPr>
            <w:tcW w:w="847"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1.7</w:t>
            </w:r>
          </w:p>
        </w:tc>
        <w:tc>
          <w:tcPr>
            <w:tcW w:w="847"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2.4</w:t>
            </w:r>
          </w:p>
        </w:tc>
        <w:tc>
          <w:tcPr>
            <w:tcW w:w="847"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2.1</w:t>
            </w:r>
          </w:p>
        </w:tc>
        <w:tc>
          <w:tcPr>
            <w:tcW w:w="739"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1.9</w:t>
            </w:r>
          </w:p>
        </w:tc>
      </w:tr>
      <w:tr w:rsidR="00161CFC" w:rsidRPr="00530801" w:rsidTr="00312421">
        <w:tc>
          <w:tcPr>
            <w:tcW w:w="871"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ind w:left="142"/>
              <w:rPr>
                <w:rFonts w:eastAsia="Calibri"/>
                <w:sz w:val="22"/>
                <w:szCs w:val="22"/>
              </w:rPr>
            </w:pPr>
            <w:r w:rsidRPr="00530801">
              <w:rPr>
                <w:rFonts w:eastAsia="Calibri"/>
                <w:sz w:val="22"/>
                <w:szCs w:val="22"/>
              </w:rPr>
              <w:t>Flatulence</w:t>
            </w:r>
          </w:p>
        </w:tc>
        <w:tc>
          <w:tcPr>
            <w:tcW w:w="847"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1.0</w:t>
            </w:r>
          </w:p>
        </w:tc>
        <w:tc>
          <w:tcPr>
            <w:tcW w:w="847"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1.9</w:t>
            </w:r>
          </w:p>
        </w:tc>
        <w:tc>
          <w:tcPr>
            <w:tcW w:w="847"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2.0</w:t>
            </w:r>
          </w:p>
        </w:tc>
        <w:tc>
          <w:tcPr>
            <w:tcW w:w="847"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0.9</w:t>
            </w:r>
          </w:p>
        </w:tc>
        <w:tc>
          <w:tcPr>
            <w:tcW w:w="739"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1.2</w:t>
            </w:r>
          </w:p>
        </w:tc>
      </w:tr>
      <w:tr w:rsidR="00161CFC" w:rsidRPr="00530801" w:rsidTr="00312421">
        <w:tc>
          <w:tcPr>
            <w:tcW w:w="871" w:type="pct"/>
            <w:tcBorders>
              <w:top w:val="nil"/>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ind w:left="142"/>
              <w:rPr>
                <w:rFonts w:eastAsia="Calibri"/>
                <w:sz w:val="22"/>
                <w:szCs w:val="22"/>
              </w:rPr>
            </w:pPr>
            <w:r w:rsidRPr="00530801">
              <w:rPr>
                <w:rFonts w:eastAsia="Calibri"/>
                <w:sz w:val="22"/>
                <w:szCs w:val="22"/>
              </w:rPr>
              <w:t>Abdominal discomfort</w:t>
            </w:r>
          </w:p>
        </w:tc>
        <w:tc>
          <w:tcPr>
            <w:tcW w:w="847" w:type="pct"/>
            <w:tcBorders>
              <w:top w:val="nil"/>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1.4</w:t>
            </w:r>
          </w:p>
        </w:tc>
        <w:tc>
          <w:tcPr>
            <w:tcW w:w="847" w:type="pct"/>
            <w:tcBorders>
              <w:top w:val="nil"/>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0.6</w:t>
            </w:r>
          </w:p>
        </w:tc>
        <w:tc>
          <w:tcPr>
            <w:tcW w:w="847" w:type="pct"/>
            <w:tcBorders>
              <w:top w:val="nil"/>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2.0</w:t>
            </w:r>
          </w:p>
        </w:tc>
        <w:tc>
          <w:tcPr>
            <w:tcW w:w="847" w:type="pct"/>
            <w:tcBorders>
              <w:top w:val="nil"/>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1.6</w:t>
            </w:r>
          </w:p>
        </w:tc>
        <w:tc>
          <w:tcPr>
            <w:tcW w:w="739" w:type="pct"/>
            <w:tcBorders>
              <w:top w:val="nil"/>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1.1</w:t>
            </w:r>
          </w:p>
        </w:tc>
      </w:tr>
      <w:tr w:rsidR="00161CFC" w:rsidRPr="00BC2D1D" w:rsidTr="00312421">
        <w:tc>
          <w:tcPr>
            <w:tcW w:w="5000" w:type="pct"/>
            <w:gridSpan w:val="6"/>
            <w:tcBorders>
              <w:top w:val="single" w:sz="4" w:space="0" w:color="auto"/>
            </w:tcBorders>
            <w:shd w:val="clear" w:color="auto" w:fill="auto"/>
          </w:tcPr>
          <w:p w:rsidR="00161CFC" w:rsidRPr="00530801" w:rsidRDefault="00161CFC" w:rsidP="00530801">
            <w:pPr>
              <w:spacing w:before="20" w:after="20"/>
              <w:rPr>
                <w:rFonts w:eastAsia="Calibri"/>
                <w:i/>
                <w:sz w:val="22"/>
                <w:szCs w:val="22"/>
              </w:rPr>
            </w:pPr>
            <w:r w:rsidRPr="00530801">
              <w:rPr>
                <w:rFonts w:eastAsia="Calibri"/>
                <w:i/>
                <w:sz w:val="22"/>
                <w:szCs w:val="22"/>
              </w:rPr>
              <w:t>General Disorders and Administration Site Conditions</w:t>
            </w:r>
          </w:p>
        </w:tc>
      </w:tr>
      <w:tr w:rsidR="0027047E" w:rsidRPr="00530801" w:rsidTr="00312421">
        <w:tc>
          <w:tcPr>
            <w:tcW w:w="871" w:type="pct"/>
            <w:tcBorders>
              <w:right w:val="single" w:sz="4" w:space="0" w:color="auto"/>
            </w:tcBorders>
            <w:shd w:val="clear" w:color="auto" w:fill="auto"/>
          </w:tcPr>
          <w:p w:rsidR="00161CFC" w:rsidRPr="00530801" w:rsidRDefault="00161CFC" w:rsidP="00530801">
            <w:pPr>
              <w:spacing w:before="20" w:after="20"/>
              <w:ind w:left="142"/>
              <w:rPr>
                <w:rFonts w:eastAsia="Calibri"/>
                <w:sz w:val="22"/>
                <w:szCs w:val="22"/>
              </w:rPr>
            </w:pPr>
            <w:r w:rsidRPr="00530801">
              <w:rPr>
                <w:rFonts w:eastAsia="Calibri"/>
                <w:sz w:val="22"/>
                <w:szCs w:val="22"/>
              </w:rPr>
              <w:t>Fatigue</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3.1</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2.8</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3.6</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2.6</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2.7</w:t>
            </w:r>
          </w:p>
        </w:tc>
      </w:tr>
      <w:tr w:rsidR="00161CFC" w:rsidRPr="00BC2D1D" w:rsidTr="00312421">
        <w:tc>
          <w:tcPr>
            <w:tcW w:w="5000" w:type="pct"/>
            <w:gridSpan w:val="6"/>
            <w:shd w:val="clear" w:color="auto" w:fill="auto"/>
          </w:tcPr>
          <w:p w:rsidR="00161CFC" w:rsidRPr="00530801" w:rsidRDefault="00161CFC" w:rsidP="00530801">
            <w:pPr>
              <w:spacing w:before="20" w:after="20"/>
              <w:rPr>
                <w:rFonts w:eastAsia="Calibri"/>
                <w:i/>
                <w:sz w:val="22"/>
                <w:szCs w:val="22"/>
              </w:rPr>
            </w:pPr>
            <w:r w:rsidRPr="00530801">
              <w:rPr>
                <w:rFonts w:eastAsia="Calibri"/>
                <w:i/>
                <w:sz w:val="22"/>
                <w:szCs w:val="22"/>
              </w:rPr>
              <w:t>Infections and Infestations</w:t>
            </w:r>
          </w:p>
        </w:tc>
      </w:tr>
      <w:tr w:rsidR="00161CFC" w:rsidRPr="00530801" w:rsidTr="00312421">
        <w:tc>
          <w:tcPr>
            <w:tcW w:w="871" w:type="pct"/>
            <w:tcBorders>
              <w:top w:val="single" w:sz="4" w:space="0" w:color="auto"/>
              <w:left w:val="single" w:sz="4" w:space="0" w:color="auto"/>
              <w:bottom w:val="nil"/>
              <w:right w:val="single" w:sz="4" w:space="0" w:color="auto"/>
            </w:tcBorders>
            <w:shd w:val="clear" w:color="auto" w:fill="auto"/>
          </w:tcPr>
          <w:p w:rsidR="00161CFC" w:rsidRPr="00530801" w:rsidRDefault="00161CFC" w:rsidP="00530801">
            <w:pPr>
              <w:spacing w:before="20" w:after="20"/>
              <w:ind w:left="142"/>
              <w:rPr>
                <w:rFonts w:eastAsia="Calibri"/>
                <w:sz w:val="22"/>
                <w:szCs w:val="22"/>
              </w:rPr>
            </w:pPr>
            <w:proofErr w:type="spellStart"/>
            <w:r w:rsidRPr="00530801">
              <w:rPr>
                <w:rFonts w:eastAsia="Calibri"/>
                <w:sz w:val="22"/>
                <w:szCs w:val="22"/>
              </w:rPr>
              <w:t>Nasopharyngitis</w:t>
            </w:r>
            <w:proofErr w:type="spellEnd"/>
          </w:p>
        </w:tc>
        <w:tc>
          <w:tcPr>
            <w:tcW w:w="847" w:type="pct"/>
            <w:tcBorders>
              <w:top w:val="single" w:sz="4" w:space="0" w:color="auto"/>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5.3</w:t>
            </w:r>
          </w:p>
        </w:tc>
        <w:tc>
          <w:tcPr>
            <w:tcW w:w="847" w:type="pct"/>
            <w:tcBorders>
              <w:top w:val="single" w:sz="4" w:space="0" w:color="auto"/>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4.0*</w:t>
            </w:r>
          </w:p>
        </w:tc>
        <w:tc>
          <w:tcPr>
            <w:tcW w:w="847" w:type="pct"/>
            <w:tcBorders>
              <w:top w:val="single" w:sz="4" w:space="0" w:color="auto"/>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3.6</w:t>
            </w:r>
          </w:p>
        </w:tc>
        <w:tc>
          <w:tcPr>
            <w:tcW w:w="847" w:type="pct"/>
            <w:tcBorders>
              <w:top w:val="single" w:sz="4" w:space="0" w:color="auto"/>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4.9</w:t>
            </w:r>
          </w:p>
        </w:tc>
        <w:tc>
          <w:tcPr>
            <w:tcW w:w="739" w:type="pct"/>
            <w:tcBorders>
              <w:top w:val="single" w:sz="4" w:space="0" w:color="auto"/>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3.9</w:t>
            </w:r>
          </w:p>
        </w:tc>
      </w:tr>
      <w:tr w:rsidR="00161CFC" w:rsidRPr="00530801" w:rsidTr="00312421">
        <w:tc>
          <w:tcPr>
            <w:tcW w:w="871" w:type="pct"/>
            <w:tcBorders>
              <w:top w:val="nil"/>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ind w:left="142"/>
              <w:rPr>
                <w:rFonts w:eastAsia="Calibri"/>
                <w:sz w:val="22"/>
                <w:szCs w:val="22"/>
              </w:rPr>
            </w:pPr>
            <w:r w:rsidRPr="00530801">
              <w:rPr>
                <w:rFonts w:eastAsia="Calibri"/>
                <w:sz w:val="22"/>
                <w:szCs w:val="22"/>
              </w:rPr>
              <w:t>Influenza</w:t>
            </w:r>
          </w:p>
        </w:tc>
        <w:tc>
          <w:tcPr>
            <w:tcW w:w="847" w:type="pct"/>
            <w:tcBorders>
              <w:top w:val="nil"/>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1.5</w:t>
            </w:r>
          </w:p>
        </w:tc>
        <w:tc>
          <w:tcPr>
            <w:tcW w:w="847" w:type="pct"/>
            <w:tcBorders>
              <w:top w:val="nil"/>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1.6*</w:t>
            </w:r>
          </w:p>
        </w:tc>
        <w:tc>
          <w:tcPr>
            <w:tcW w:w="847" w:type="pct"/>
            <w:tcBorders>
              <w:top w:val="nil"/>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0.9</w:t>
            </w:r>
          </w:p>
        </w:tc>
        <w:tc>
          <w:tcPr>
            <w:tcW w:w="847" w:type="pct"/>
            <w:tcBorders>
              <w:top w:val="nil"/>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0.4</w:t>
            </w:r>
          </w:p>
        </w:tc>
        <w:tc>
          <w:tcPr>
            <w:tcW w:w="739" w:type="pct"/>
            <w:tcBorders>
              <w:top w:val="nil"/>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1.1</w:t>
            </w:r>
          </w:p>
        </w:tc>
      </w:tr>
      <w:tr w:rsidR="00161CFC" w:rsidRPr="00BC2D1D" w:rsidTr="00312421">
        <w:tc>
          <w:tcPr>
            <w:tcW w:w="5000" w:type="pct"/>
            <w:gridSpan w:val="6"/>
            <w:shd w:val="clear" w:color="auto" w:fill="auto"/>
          </w:tcPr>
          <w:p w:rsidR="00161CFC" w:rsidRPr="00530801" w:rsidRDefault="00161CFC" w:rsidP="00530801">
            <w:pPr>
              <w:spacing w:before="20" w:after="20"/>
              <w:rPr>
                <w:rFonts w:eastAsia="Calibri"/>
                <w:i/>
                <w:sz w:val="22"/>
                <w:szCs w:val="22"/>
              </w:rPr>
            </w:pPr>
            <w:r w:rsidRPr="00530801">
              <w:rPr>
                <w:rFonts w:eastAsia="Calibri"/>
                <w:i/>
                <w:sz w:val="22"/>
                <w:szCs w:val="22"/>
              </w:rPr>
              <w:t>Injury, poisoning and procedural complications</w:t>
            </w:r>
          </w:p>
        </w:tc>
      </w:tr>
      <w:tr w:rsidR="00161CFC" w:rsidRPr="00530801" w:rsidTr="00312421">
        <w:tc>
          <w:tcPr>
            <w:tcW w:w="871" w:type="pct"/>
            <w:tcBorders>
              <w:right w:val="single" w:sz="4" w:space="0" w:color="auto"/>
            </w:tcBorders>
            <w:shd w:val="clear" w:color="auto" w:fill="auto"/>
          </w:tcPr>
          <w:p w:rsidR="00161CFC" w:rsidRPr="00530801" w:rsidRDefault="00161CFC" w:rsidP="00530801">
            <w:pPr>
              <w:spacing w:before="20" w:after="20"/>
              <w:ind w:left="142"/>
              <w:rPr>
                <w:rFonts w:eastAsia="Calibri"/>
                <w:sz w:val="22"/>
                <w:szCs w:val="22"/>
              </w:rPr>
            </w:pPr>
            <w:r w:rsidRPr="00530801">
              <w:rPr>
                <w:rFonts w:eastAsia="Calibri"/>
                <w:sz w:val="22"/>
                <w:szCs w:val="22"/>
              </w:rPr>
              <w:t>Accidental overdose</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1.3</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1.2</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1.3</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0.9</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1.0</w:t>
            </w:r>
          </w:p>
        </w:tc>
      </w:tr>
      <w:tr w:rsidR="00161CFC" w:rsidRPr="00BC2D1D" w:rsidTr="00312421">
        <w:tc>
          <w:tcPr>
            <w:tcW w:w="5000" w:type="pct"/>
            <w:gridSpan w:val="6"/>
            <w:shd w:val="clear" w:color="auto" w:fill="auto"/>
          </w:tcPr>
          <w:p w:rsidR="00161CFC" w:rsidRPr="00530801" w:rsidRDefault="00161CFC" w:rsidP="00530801">
            <w:pPr>
              <w:spacing w:before="20" w:after="20"/>
              <w:rPr>
                <w:rFonts w:eastAsia="Calibri"/>
                <w:i/>
                <w:sz w:val="22"/>
                <w:szCs w:val="22"/>
              </w:rPr>
            </w:pPr>
            <w:r w:rsidRPr="00530801">
              <w:rPr>
                <w:rFonts w:eastAsia="Calibri"/>
                <w:i/>
                <w:sz w:val="22"/>
                <w:szCs w:val="22"/>
              </w:rPr>
              <w:t>Metabolism and Nutrition Disorders</w:t>
            </w:r>
          </w:p>
        </w:tc>
      </w:tr>
      <w:tr w:rsidR="0027047E" w:rsidRPr="00530801" w:rsidTr="00312421">
        <w:tc>
          <w:tcPr>
            <w:tcW w:w="871" w:type="pct"/>
            <w:tcBorders>
              <w:right w:val="single" w:sz="4" w:space="0" w:color="auto"/>
            </w:tcBorders>
            <w:shd w:val="clear" w:color="auto" w:fill="auto"/>
          </w:tcPr>
          <w:p w:rsidR="00161CFC" w:rsidRPr="00530801" w:rsidRDefault="00161CFC" w:rsidP="00530801">
            <w:pPr>
              <w:spacing w:before="20" w:after="20"/>
              <w:ind w:left="142"/>
              <w:rPr>
                <w:rFonts w:eastAsia="Calibri"/>
                <w:sz w:val="22"/>
                <w:szCs w:val="22"/>
              </w:rPr>
            </w:pPr>
            <w:r w:rsidRPr="00530801">
              <w:rPr>
                <w:rFonts w:eastAsia="Calibri"/>
                <w:sz w:val="22"/>
                <w:szCs w:val="22"/>
              </w:rPr>
              <w:t>Decreased appetite</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2.1*</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0.7</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0.7</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1.6</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1.0</w:t>
            </w:r>
          </w:p>
        </w:tc>
      </w:tr>
      <w:tr w:rsidR="00161CFC" w:rsidRPr="00BC2D1D" w:rsidTr="00312421">
        <w:tc>
          <w:tcPr>
            <w:tcW w:w="5000" w:type="pct"/>
            <w:gridSpan w:val="6"/>
            <w:tcBorders>
              <w:bottom w:val="single" w:sz="4" w:space="0" w:color="auto"/>
            </w:tcBorders>
            <w:shd w:val="clear" w:color="auto" w:fill="auto"/>
          </w:tcPr>
          <w:p w:rsidR="00161CFC" w:rsidRPr="00530801" w:rsidRDefault="00161CFC" w:rsidP="00530801">
            <w:pPr>
              <w:spacing w:before="20" w:after="20"/>
              <w:rPr>
                <w:rFonts w:eastAsia="Calibri"/>
                <w:i/>
                <w:sz w:val="22"/>
                <w:szCs w:val="22"/>
              </w:rPr>
            </w:pPr>
            <w:r w:rsidRPr="00530801">
              <w:rPr>
                <w:rFonts w:eastAsia="Calibri"/>
                <w:i/>
                <w:sz w:val="22"/>
                <w:szCs w:val="22"/>
              </w:rPr>
              <w:t>Musculoskeletal and Connective Tissue Disorders</w:t>
            </w:r>
          </w:p>
        </w:tc>
      </w:tr>
      <w:tr w:rsidR="0027047E" w:rsidRPr="00530801" w:rsidTr="00312421">
        <w:tc>
          <w:tcPr>
            <w:tcW w:w="871" w:type="pct"/>
            <w:tcBorders>
              <w:top w:val="single" w:sz="4" w:space="0" w:color="auto"/>
              <w:left w:val="single" w:sz="4" w:space="0" w:color="auto"/>
              <w:bottom w:val="nil"/>
              <w:right w:val="single" w:sz="4" w:space="0" w:color="auto"/>
            </w:tcBorders>
            <w:shd w:val="clear" w:color="auto" w:fill="auto"/>
          </w:tcPr>
          <w:p w:rsidR="00161CFC" w:rsidRPr="00530801" w:rsidRDefault="00161CFC" w:rsidP="00530801">
            <w:pPr>
              <w:spacing w:before="20" w:after="20"/>
              <w:ind w:left="142"/>
              <w:rPr>
                <w:rFonts w:eastAsia="Calibri"/>
                <w:sz w:val="22"/>
                <w:szCs w:val="22"/>
              </w:rPr>
            </w:pPr>
            <w:r w:rsidRPr="00530801">
              <w:rPr>
                <w:rFonts w:eastAsia="Calibri"/>
                <w:sz w:val="22"/>
                <w:szCs w:val="22"/>
              </w:rPr>
              <w:t>Back Pain</w:t>
            </w:r>
          </w:p>
        </w:tc>
        <w:tc>
          <w:tcPr>
            <w:tcW w:w="847" w:type="pct"/>
            <w:tcBorders>
              <w:top w:val="single" w:sz="4" w:space="0" w:color="auto"/>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2.2</w:t>
            </w:r>
          </w:p>
        </w:tc>
        <w:tc>
          <w:tcPr>
            <w:tcW w:w="847" w:type="pct"/>
            <w:tcBorders>
              <w:top w:val="single" w:sz="4" w:space="0" w:color="auto"/>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2.1</w:t>
            </w:r>
          </w:p>
        </w:tc>
        <w:tc>
          <w:tcPr>
            <w:tcW w:w="847" w:type="pct"/>
            <w:tcBorders>
              <w:top w:val="single" w:sz="4" w:space="0" w:color="auto"/>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1.8</w:t>
            </w:r>
          </w:p>
        </w:tc>
        <w:tc>
          <w:tcPr>
            <w:tcW w:w="847" w:type="pct"/>
            <w:tcBorders>
              <w:top w:val="single" w:sz="4" w:space="0" w:color="auto"/>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1.1</w:t>
            </w:r>
          </w:p>
        </w:tc>
        <w:tc>
          <w:tcPr>
            <w:tcW w:w="739" w:type="pct"/>
            <w:tcBorders>
              <w:top w:val="single" w:sz="4" w:space="0" w:color="auto"/>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1.8</w:t>
            </w:r>
          </w:p>
        </w:tc>
      </w:tr>
      <w:tr w:rsidR="0027047E" w:rsidRPr="00530801" w:rsidTr="00312421">
        <w:tc>
          <w:tcPr>
            <w:tcW w:w="871" w:type="pct"/>
            <w:tcBorders>
              <w:top w:val="nil"/>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ind w:left="142"/>
              <w:rPr>
                <w:rFonts w:eastAsia="Calibri"/>
                <w:sz w:val="22"/>
                <w:szCs w:val="22"/>
              </w:rPr>
            </w:pPr>
            <w:r w:rsidRPr="00530801">
              <w:rPr>
                <w:rFonts w:eastAsia="Calibri"/>
                <w:sz w:val="22"/>
                <w:szCs w:val="22"/>
              </w:rPr>
              <w:t>Arthralgia</w:t>
            </w:r>
          </w:p>
        </w:tc>
        <w:tc>
          <w:tcPr>
            <w:tcW w:w="847" w:type="pct"/>
            <w:tcBorders>
              <w:top w:val="nil"/>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0.9</w:t>
            </w:r>
          </w:p>
        </w:tc>
        <w:tc>
          <w:tcPr>
            <w:tcW w:w="847" w:type="pct"/>
            <w:tcBorders>
              <w:top w:val="nil"/>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0.9</w:t>
            </w:r>
          </w:p>
        </w:tc>
        <w:tc>
          <w:tcPr>
            <w:tcW w:w="847" w:type="pct"/>
            <w:tcBorders>
              <w:top w:val="nil"/>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1.8</w:t>
            </w:r>
          </w:p>
        </w:tc>
        <w:tc>
          <w:tcPr>
            <w:tcW w:w="847" w:type="pct"/>
            <w:tcBorders>
              <w:top w:val="nil"/>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1.1</w:t>
            </w:r>
          </w:p>
        </w:tc>
        <w:tc>
          <w:tcPr>
            <w:tcW w:w="739" w:type="pct"/>
            <w:tcBorders>
              <w:top w:val="nil"/>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0.9</w:t>
            </w:r>
          </w:p>
        </w:tc>
      </w:tr>
      <w:tr w:rsidR="00161CFC" w:rsidRPr="00BC2D1D" w:rsidTr="00312421">
        <w:tc>
          <w:tcPr>
            <w:tcW w:w="5000" w:type="pct"/>
            <w:gridSpan w:val="6"/>
            <w:tcBorders>
              <w:top w:val="single" w:sz="4" w:space="0" w:color="auto"/>
              <w:bottom w:val="single" w:sz="4" w:space="0" w:color="auto"/>
            </w:tcBorders>
            <w:shd w:val="clear" w:color="auto" w:fill="auto"/>
          </w:tcPr>
          <w:p w:rsidR="00161CFC" w:rsidRPr="00530801" w:rsidRDefault="00161CFC" w:rsidP="00530801">
            <w:pPr>
              <w:spacing w:before="20" w:after="20"/>
              <w:rPr>
                <w:rFonts w:eastAsia="Calibri"/>
                <w:i/>
                <w:sz w:val="22"/>
                <w:szCs w:val="22"/>
              </w:rPr>
            </w:pPr>
            <w:r w:rsidRPr="00530801">
              <w:rPr>
                <w:rFonts w:eastAsia="Calibri"/>
                <w:i/>
                <w:sz w:val="22"/>
                <w:szCs w:val="22"/>
              </w:rPr>
              <w:t>Nervous System</w:t>
            </w:r>
          </w:p>
        </w:tc>
      </w:tr>
      <w:tr w:rsidR="0027047E" w:rsidRPr="00530801" w:rsidTr="00312421">
        <w:tc>
          <w:tcPr>
            <w:tcW w:w="871" w:type="pct"/>
            <w:tcBorders>
              <w:top w:val="single" w:sz="4" w:space="0" w:color="auto"/>
              <w:left w:val="single" w:sz="4" w:space="0" w:color="auto"/>
              <w:bottom w:val="nil"/>
              <w:right w:val="single" w:sz="4" w:space="0" w:color="auto"/>
            </w:tcBorders>
            <w:shd w:val="clear" w:color="auto" w:fill="auto"/>
          </w:tcPr>
          <w:p w:rsidR="00161CFC" w:rsidRPr="00530801" w:rsidRDefault="00161CFC" w:rsidP="00530801">
            <w:pPr>
              <w:spacing w:before="20" w:after="20"/>
              <w:ind w:left="142"/>
              <w:rPr>
                <w:rFonts w:eastAsia="Calibri"/>
                <w:sz w:val="22"/>
                <w:szCs w:val="22"/>
              </w:rPr>
            </w:pPr>
            <w:r w:rsidRPr="00530801">
              <w:rPr>
                <w:rFonts w:eastAsia="Calibri"/>
                <w:sz w:val="22"/>
                <w:szCs w:val="22"/>
              </w:rPr>
              <w:t>Headache</w:t>
            </w:r>
          </w:p>
        </w:tc>
        <w:tc>
          <w:tcPr>
            <w:tcW w:w="847" w:type="pct"/>
            <w:tcBorders>
              <w:top w:val="single" w:sz="4" w:space="0" w:color="auto"/>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13.7</w:t>
            </w:r>
          </w:p>
        </w:tc>
        <w:tc>
          <w:tcPr>
            <w:tcW w:w="847" w:type="pct"/>
            <w:tcBorders>
              <w:top w:val="single" w:sz="4" w:space="0" w:color="auto"/>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12.7</w:t>
            </w:r>
          </w:p>
        </w:tc>
        <w:tc>
          <w:tcPr>
            <w:tcW w:w="847" w:type="pct"/>
            <w:tcBorders>
              <w:top w:val="single" w:sz="4" w:space="0" w:color="auto"/>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14.7</w:t>
            </w:r>
          </w:p>
        </w:tc>
        <w:tc>
          <w:tcPr>
            <w:tcW w:w="847" w:type="pct"/>
            <w:tcBorders>
              <w:top w:val="single" w:sz="4" w:space="0" w:color="auto"/>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12.4</w:t>
            </w:r>
          </w:p>
        </w:tc>
        <w:tc>
          <w:tcPr>
            <w:tcW w:w="739" w:type="pct"/>
            <w:tcBorders>
              <w:top w:val="single" w:sz="4" w:space="0" w:color="auto"/>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12.9</w:t>
            </w:r>
          </w:p>
        </w:tc>
      </w:tr>
      <w:tr w:rsidR="0027047E" w:rsidRPr="00530801" w:rsidTr="00312421">
        <w:tc>
          <w:tcPr>
            <w:tcW w:w="871"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ind w:left="142"/>
              <w:rPr>
                <w:rFonts w:eastAsia="Calibri"/>
                <w:sz w:val="22"/>
                <w:szCs w:val="22"/>
              </w:rPr>
            </w:pPr>
            <w:r w:rsidRPr="00530801">
              <w:rPr>
                <w:rFonts w:eastAsia="Calibri"/>
                <w:sz w:val="22"/>
                <w:szCs w:val="22"/>
              </w:rPr>
              <w:t>Dizziness</w:t>
            </w:r>
          </w:p>
        </w:tc>
        <w:tc>
          <w:tcPr>
            <w:tcW w:w="847"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5.5</w:t>
            </w:r>
          </w:p>
        </w:tc>
        <w:tc>
          <w:tcPr>
            <w:tcW w:w="847"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5.2</w:t>
            </w:r>
          </w:p>
        </w:tc>
        <w:tc>
          <w:tcPr>
            <w:tcW w:w="847"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7.1</w:t>
            </w:r>
          </w:p>
        </w:tc>
        <w:tc>
          <w:tcPr>
            <w:tcW w:w="847"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6.3</w:t>
            </w:r>
          </w:p>
        </w:tc>
        <w:tc>
          <w:tcPr>
            <w:tcW w:w="739"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5.3</w:t>
            </w:r>
          </w:p>
        </w:tc>
      </w:tr>
      <w:tr w:rsidR="0027047E" w:rsidRPr="00530801" w:rsidTr="00312421">
        <w:tc>
          <w:tcPr>
            <w:tcW w:w="871"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ind w:left="142"/>
              <w:rPr>
                <w:rFonts w:eastAsia="Calibri"/>
                <w:sz w:val="22"/>
                <w:szCs w:val="22"/>
              </w:rPr>
            </w:pPr>
            <w:r w:rsidRPr="00530801">
              <w:rPr>
                <w:rFonts w:eastAsia="Calibri"/>
                <w:sz w:val="22"/>
                <w:szCs w:val="22"/>
              </w:rPr>
              <w:t>Somnolence</w:t>
            </w:r>
          </w:p>
        </w:tc>
        <w:tc>
          <w:tcPr>
            <w:tcW w:w="847"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3.3</w:t>
            </w:r>
          </w:p>
        </w:tc>
        <w:tc>
          <w:tcPr>
            <w:tcW w:w="847"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2.9</w:t>
            </w:r>
          </w:p>
        </w:tc>
        <w:tc>
          <w:tcPr>
            <w:tcW w:w="847"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2.7</w:t>
            </w:r>
          </w:p>
        </w:tc>
        <w:tc>
          <w:tcPr>
            <w:tcW w:w="847"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3.3</w:t>
            </w:r>
          </w:p>
        </w:tc>
        <w:tc>
          <w:tcPr>
            <w:tcW w:w="739" w:type="pct"/>
            <w:tcBorders>
              <w:top w:val="nil"/>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2.3</w:t>
            </w:r>
          </w:p>
        </w:tc>
      </w:tr>
      <w:tr w:rsidR="0027047E" w:rsidRPr="00530801" w:rsidTr="00312421">
        <w:tc>
          <w:tcPr>
            <w:tcW w:w="871" w:type="pct"/>
            <w:tcBorders>
              <w:top w:val="nil"/>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ind w:left="142"/>
              <w:rPr>
                <w:rFonts w:eastAsia="Calibri"/>
                <w:sz w:val="22"/>
                <w:szCs w:val="22"/>
              </w:rPr>
            </w:pPr>
            <w:r w:rsidRPr="00530801">
              <w:rPr>
                <w:rFonts w:eastAsia="Calibri"/>
                <w:sz w:val="22"/>
                <w:szCs w:val="22"/>
              </w:rPr>
              <w:t>Sedation</w:t>
            </w:r>
          </w:p>
        </w:tc>
        <w:tc>
          <w:tcPr>
            <w:tcW w:w="847" w:type="pct"/>
            <w:tcBorders>
              <w:top w:val="nil"/>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1.2</w:t>
            </w:r>
          </w:p>
        </w:tc>
        <w:tc>
          <w:tcPr>
            <w:tcW w:w="847" w:type="pct"/>
            <w:tcBorders>
              <w:top w:val="nil"/>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0.5</w:t>
            </w:r>
          </w:p>
        </w:tc>
        <w:tc>
          <w:tcPr>
            <w:tcW w:w="847" w:type="pct"/>
            <w:tcBorders>
              <w:top w:val="nil"/>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1.3</w:t>
            </w:r>
          </w:p>
        </w:tc>
        <w:tc>
          <w:tcPr>
            <w:tcW w:w="847" w:type="pct"/>
            <w:tcBorders>
              <w:top w:val="nil"/>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1.5*</w:t>
            </w:r>
          </w:p>
        </w:tc>
        <w:tc>
          <w:tcPr>
            <w:tcW w:w="739" w:type="pct"/>
            <w:tcBorders>
              <w:top w:val="nil"/>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0.6</w:t>
            </w:r>
          </w:p>
        </w:tc>
      </w:tr>
      <w:tr w:rsidR="00161CFC" w:rsidRPr="00BC2D1D" w:rsidTr="00312421">
        <w:tc>
          <w:tcPr>
            <w:tcW w:w="5000" w:type="pct"/>
            <w:gridSpan w:val="6"/>
            <w:tcBorders>
              <w:top w:val="single" w:sz="4" w:space="0" w:color="auto"/>
            </w:tcBorders>
            <w:shd w:val="clear" w:color="auto" w:fill="auto"/>
          </w:tcPr>
          <w:p w:rsidR="00161CFC" w:rsidRPr="00530801" w:rsidRDefault="00161CFC" w:rsidP="00530801">
            <w:pPr>
              <w:spacing w:before="20" w:after="20"/>
              <w:rPr>
                <w:rFonts w:eastAsia="Calibri"/>
                <w:i/>
                <w:sz w:val="22"/>
                <w:szCs w:val="22"/>
              </w:rPr>
            </w:pPr>
            <w:r w:rsidRPr="00530801">
              <w:rPr>
                <w:rFonts w:eastAsia="Calibri"/>
                <w:i/>
                <w:sz w:val="22"/>
                <w:szCs w:val="22"/>
              </w:rPr>
              <w:t>Psychiatric Disorders</w:t>
            </w:r>
          </w:p>
        </w:tc>
      </w:tr>
      <w:tr w:rsidR="00161CFC" w:rsidRPr="00530801" w:rsidTr="00312421">
        <w:tc>
          <w:tcPr>
            <w:tcW w:w="871" w:type="pct"/>
            <w:tcBorders>
              <w:right w:val="single" w:sz="4" w:space="0" w:color="auto"/>
            </w:tcBorders>
            <w:shd w:val="clear" w:color="auto" w:fill="auto"/>
          </w:tcPr>
          <w:p w:rsidR="00161CFC" w:rsidRPr="00530801" w:rsidRDefault="00161CFC" w:rsidP="00530801">
            <w:pPr>
              <w:spacing w:before="20" w:after="20"/>
              <w:ind w:left="142"/>
              <w:rPr>
                <w:rFonts w:eastAsia="Calibri"/>
                <w:sz w:val="22"/>
                <w:szCs w:val="22"/>
              </w:rPr>
            </w:pPr>
            <w:r w:rsidRPr="00530801">
              <w:rPr>
                <w:rFonts w:eastAsia="Calibri"/>
                <w:sz w:val="22"/>
                <w:szCs w:val="22"/>
              </w:rPr>
              <w:t>Insomnia</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3.1</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2.6</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1.8</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2.7</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2.5</w:t>
            </w:r>
          </w:p>
        </w:tc>
      </w:tr>
      <w:tr w:rsidR="00161CFC" w:rsidRPr="00BC2D1D" w:rsidTr="00312421">
        <w:tc>
          <w:tcPr>
            <w:tcW w:w="5000" w:type="pct"/>
            <w:gridSpan w:val="6"/>
            <w:tcBorders>
              <w:bottom w:val="single" w:sz="4" w:space="0" w:color="auto"/>
            </w:tcBorders>
            <w:shd w:val="clear" w:color="auto" w:fill="auto"/>
          </w:tcPr>
          <w:p w:rsidR="00161CFC" w:rsidRPr="00530801" w:rsidRDefault="00161CFC" w:rsidP="00530801">
            <w:pPr>
              <w:spacing w:before="20" w:after="20"/>
              <w:rPr>
                <w:rFonts w:eastAsia="Calibri"/>
                <w:i/>
                <w:sz w:val="22"/>
                <w:szCs w:val="22"/>
              </w:rPr>
            </w:pPr>
            <w:r w:rsidRPr="00530801">
              <w:rPr>
                <w:rFonts w:eastAsia="Calibri"/>
                <w:i/>
                <w:sz w:val="22"/>
                <w:szCs w:val="22"/>
              </w:rPr>
              <w:t>Skin and Subcutaneous Tissue Disorders</w:t>
            </w:r>
          </w:p>
        </w:tc>
      </w:tr>
      <w:tr w:rsidR="00161CFC" w:rsidRPr="00530801" w:rsidTr="00312421">
        <w:tc>
          <w:tcPr>
            <w:tcW w:w="871" w:type="pct"/>
            <w:tcBorders>
              <w:top w:val="single" w:sz="4" w:space="0" w:color="auto"/>
              <w:left w:val="single" w:sz="4" w:space="0" w:color="auto"/>
              <w:bottom w:val="nil"/>
              <w:right w:val="single" w:sz="4" w:space="0" w:color="auto"/>
            </w:tcBorders>
            <w:shd w:val="clear" w:color="auto" w:fill="auto"/>
          </w:tcPr>
          <w:p w:rsidR="00161CFC" w:rsidRPr="00530801" w:rsidRDefault="00161CFC" w:rsidP="00530801">
            <w:pPr>
              <w:spacing w:before="20" w:after="20"/>
              <w:ind w:left="142"/>
              <w:rPr>
                <w:rFonts w:eastAsia="Calibri"/>
                <w:sz w:val="22"/>
                <w:szCs w:val="22"/>
              </w:rPr>
            </w:pPr>
            <w:r w:rsidRPr="00530801">
              <w:rPr>
                <w:rFonts w:eastAsia="Calibri"/>
                <w:sz w:val="22"/>
                <w:szCs w:val="22"/>
              </w:rPr>
              <w:t>Hyperhidrosis</w:t>
            </w:r>
          </w:p>
        </w:tc>
        <w:tc>
          <w:tcPr>
            <w:tcW w:w="847" w:type="pct"/>
            <w:tcBorders>
              <w:top w:val="single" w:sz="4" w:space="0" w:color="auto"/>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2.3</w:t>
            </w:r>
          </w:p>
        </w:tc>
        <w:tc>
          <w:tcPr>
            <w:tcW w:w="847" w:type="pct"/>
            <w:tcBorders>
              <w:top w:val="single" w:sz="4" w:space="0" w:color="auto"/>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2.3</w:t>
            </w:r>
          </w:p>
        </w:tc>
        <w:tc>
          <w:tcPr>
            <w:tcW w:w="847" w:type="pct"/>
            <w:tcBorders>
              <w:top w:val="single" w:sz="4" w:space="0" w:color="auto"/>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1.8</w:t>
            </w:r>
          </w:p>
        </w:tc>
        <w:tc>
          <w:tcPr>
            <w:tcW w:w="847" w:type="pct"/>
            <w:tcBorders>
              <w:top w:val="single" w:sz="4" w:space="0" w:color="auto"/>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0.7</w:t>
            </w:r>
          </w:p>
        </w:tc>
        <w:tc>
          <w:tcPr>
            <w:tcW w:w="739" w:type="pct"/>
            <w:tcBorders>
              <w:top w:val="single" w:sz="4" w:space="0" w:color="auto"/>
              <w:left w:val="single" w:sz="4" w:space="0" w:color="auto"/>
              <w:bottom w:val="nil"/>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1.7</w:t>
            </w:r>
          </w:p>
        </w:tc>
      </w:tr>
      <w:tr w:rsidR="00161CFC" w:rsidRPr="00530801" w:rsidTr="00312421">
        <w:tc>
          <w:tcPr>
            <w:tcW w:w="871" w:type="pct"/>
            <w:tcBorders>
              <w:top w:val="nil"/>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ind w:left="142"/>
              <w:rPr>
                <w:rFonts w:eastAsia="Calibri"/>
                <w:sz w:val="22"/>
                <w:szCs w:val="22"/>
              </w:rPr>
            </w:pPr>
            <w:r w:rsidRPr="00530801">
              <w:rPr>
                <w:rFonts w:eastAsia="Calibri"/>
                <w:sz w:val="22"/>
                <w:szCs w:val="22"/>
              </w:rPr>
              <w:t>Pruritus generalised</w:t>
            </w:r>
          </w:p>
        </w:tc>
        <w:tc>
          <w:tcPr>
            <w:tcW w:w="847" w:type="pct"/>
            <w:tcBorders>
              <w:top w:val="nil"/>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0.4</w:t>
            </w:r>
          </w:p>
        </w:tc>
        <w:tc>
          <w:tcPr>
            <w:tcW w:w="847" w:type="pct"/>
            <w:tcBorders>
              <w:top w:val="nil"/>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1.3*</w:t>
            </w:r>
          </w:p>
        </w:tc>
        <w:tc>
          <w:tcPr>
            <w:tcW w:w="847" w:type="pct"/>
            <w:tcBorders>
              <w:top w:val="nil"/>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1.6*</w:t>
            </w:r>
          </w:p>
        </w:tc>
        <w:tc>
          <w:tcPr>
            <w:tcW w:w="847" w:type="pct"/>
            <w:tcBorders>
              <w:top w:val="nil"/>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1.8*</w:t>
            </w:r>
          </w:p>
        </w:tc>
        <w:tc>
          <w:tcPr>
            <w:tcW w:w="739" w:type="pct"/>
            <w:tcBorders>
              <w:top w:val="nil"/>
              <w:left w:val="single" w:sz="4" w:space="0" w:color="auto"/>
              <w:bottom w:val="single" w:sz="4" w:space="0" w:color="auto"/>
              <w:right w:val="single" w:sz="4" w:space="0" w:color="auto"/>
            </w:tcBorders>
            <w:shd w:val="clear" w:color="auto" w:fill="auto"/>
          </w:tcPr>
          <w:p w:rsidR="00161CFC" w:rsidRPr="00530801" w:rsidRDefault="00161CFC" w:rsidP="00530801">
            <w:pPr>
              <w:spacing w:before="20" w:after="20"/>
              <w:jc w:val="center"/>
              <w:rPr>
                <w:rFonts w:eastAsia="Calibri"/>
                <w:sz w:val="22"/>
                <w:szCs w:val="22"/>
              </w:rPr>
            </w:pPr>
            <w:r w:rsidRPr="00530801">
              <w:rPr>
                <w:rFonts w:eastAsia="Calibri"/>
                <w:sz w:val="22"/>
                <w:szCs w:val="22"/>
              </w:rPr>
              <w:t>0.4</w:t>
            </w:r>
          </w:p>
        </w:tc>
      </w:tr>
    </w:tbl>
    <w:p w:rsidR="00161CFC" w:rsidRDefault="00161CFC" w:rsidP="00161CFC">
      <w:pPr>
        <w:rPr>
          <w:sz w:val="22"/>
          <w:szCs w:val="22"/>
        </w:rPr>
      </w:pPr>
      <w:r w:rsidRPr="00BC2D1D">
        <w:rPr>
          <w:sz w:val="22"/>
          <w:szCs w:val="22"/>
        </w:rPr>
        <w:t>* Adverse events for which the difference to placebo is statistically significant (p&lt;0.05)</w:t>
      </w:r>
    </w:p>
    <w:p w:rsidR="003A63D3" w:rsidRPr="00840D37" w:rsidRDefault="00395083" w:rsidP="00667C0B">
      <w:pPr>
        <w:widowControl w:val="0"/>
        <w:spacing w:after="120"/>
        <w:rPr>
          <w:b/>
          <w:szCs w:val="24"/>
        </w:rPr>
      </w:pPr>
      <w:r>
        <w:rPr>
          <w:b/>
          <w:szCs w:val="24"/>
        </w:rPr>
        <w:br w:type="page"/>
      </w:r>
      <w:r w:rsidR="003A63D3" w:rsidRPr="00840D37">
        <w:rPr>
          <w:b/>
          <w:szCs w:val="24"/>
        </w:rPr>
        <w:lastRenderedPageBreak/>
        <w:t>Male and Female Sexual Dysfunction</w:t>
      </w:r>
    </w:p>
    <w:p w:rsidR="003A63D3" w:rsidRPr="00840D37" w:rsidRDefault="007B7EE0" w:rsidP="003A63D3">
      <w:pPr>
        <w:widowControl w:val="0"/>
        <w:rPr>
          <w:szCs w:val="24"/>
        </w:rPr>
      </w:pPr>
      <w:r>
        <w:rPr>
          <w:szCs w:val="24"/>
        </w:rPr>
        <w:t>Difficulties</w:t>
      </w:r>
      <w:r w:rsidRPr="00840D37">
        <w:rPr>
          <w:szCs w:val="24"/>
        </w:rPr>
        <w:t xml:space="preserve"> </w:t>
      </w:r>
      <w:r w:rsidR="003A63D3" w:rsidRPr="00840D37">
        <w:rPr>
          <w:szCs w:val="24"/>
        </w:rPr>
        <w:t>in sexual desire, sexual performance and sexual satisfaction often occur as manifestations of psychiatric disorders, but they may also be a consequence of pharmacologic treatment.</w:t>
      </w:r>
    </w:p>
    <w:p w:rsidR="007B7EE0" w:rsidRPr="007B7EE0" w:rsidRDefault="007B7EE0" w:rsidP="007B7EE0">
      <w:pPr>
        <w:widowControl w:val="0"/>
        <w:rPr>
          <w:szCs w:val="24"/>
        </w:rPr>
      </w:pPr>
      <w:r w:rsidRPr="007B7EE0">
        <w:rPr>
          <w:szCs w:val="24"/>
        </w:rPr>
        <w:t xml:space="preserve">In the MDD 6 to 8 week placebo-controlled clinical studies with </w:t>
      </w:r>
      <w:r w:rsidR="001D5489">
        <w:rPr>
          <w:szCs w:val="24"/>
        </w:rPr>
        <w:t>BRINTELLIX</w:t>
      </w:r>
      <w:r w:rsidRPr="007B7EE0">
        <w:rPr>
          <w:szCs w:val="24"/>
        </w:rPr>
        <w:t xml:space="preserve">, voluntarily reported adverse reactions related to sexual dysfunction were captured as individual event terms. </w:t>
      </w:r>
      <w:r w:rsidR="00667C0B">
        <w:rPr>
          <w:szCs w:val="24"/>
        </w:rPr>
        <w:t xml:space="preserve"> </w:t>
      </w:r>
      <w:r w:rsidRPr="007B7EE0">
        <w:rPr>
          <w:szCs w:val="24"/>
        </w:rPr>
        <w:t>These event terms have been aggregated and the incidence was 1.6% for</w:t>
      </w:r>
      <w:r w:rsidR="00667C0B">
        <w:rPr>
          <w:szCs w:val="24"/>
        </w:rPr>
        <w:t xml:space="preserve"> </w:t>
      </w:r>
      <w:r w:rsidR="001D5489">
        <w:rPr>
          <w:szCs w:val="24"/>
        </w:rPr>
        <w:t>BRINTELLIX</w:t>
      </w:r>
      <w:r w:rsidR="00A22AD2">
        <w:rPr>
          <w:szCs w:val="24"/>
        </w:rPr>
        <w:t xml:space="preserve"> </w:t>
      </w:r>
      <w:r w:rsidRPr="007B7EE0">
        <w:rPr>
          <w:szCs w:val="24"/>
        </w:rPr>
        <w:t>(5-20 mg; n=3460) compared to 0.9% for placebo (n=1968).</w:t>
      </w:r>
    </w:p>
    <w:p w:rsidR="007B7EE0" w:rsidRPr="007B7EE0" w:rsidRDefault="007B7EE0" w:rsidP="007B7EE0">
      <w:pPr>
        <w:widowControl w:val="0"/>
        <w:rPr>
          <w:szCs w:val="24"/>
        </w:rPr>
      </w:pPr>
      <w:r w:rsidRPr="007B7EE0">
        <w:rPr>
          <w:szCs w:val="24"/>
        </w:rPr>
        <w:t>Because voluntarily reported adverse sexual reactions are known to be underreported, in part because patients and physicians may be reluctant to discuss them, the Arizona Sexual Experiences Scale (ASEX), a validated measure designed to identify sexual side effects, was used prospectively in seven placebo-controlled trials.</w:t>
      </w:r>
      <w:r w:rsidR="00335D7D">
        <w:rPr>
          <w:szCs w:val="24"/>
        </w:rPr>
        <w:t xml:space="preserve"> </w:t>
      </w:r>
      <w:r w:rsidRPr="007B7EE0">
        <w:rPr>
          <w:szCs w:val="24"/>
        </w:rPr>
        <w:t xml:space="preserve"> The ASEX scale includes five questions that pertain to the following aspects of sexual function: 1) sex drive, 2) ease of arousal, 3) ability to achieve erection (men) or lubrication (women), 4) ease of reaching orgasm, and 5) orgasm satisfaction.</w:t>
      </w:r>
    </w:p>
    <w:p w:rsidR="007B7EE0" w:rsidRDefault="007B7EE0" w:rsidP="007B7EE0">
      <w:pPr>
        <w:widowControl w:val="0"/>
        <w:rPr>
          <w:szCs w:val="24"/>
        </w:rPr>
      </w:pPr>
      <w:r w:rsidRPr="007B7EE0">
        <w:rPr>
          <w:szCs w:val="24"/>
        </w:rPr>
        <w:t xml:space="preserve">The presence or absence of sexual dysfunction among patients entering clinical studies was based on their ASEX scores. For patients without sexual dysfunction at baseline (approximately 1/3 of the population across all treatment groups in each study), </w:t>
      </w:r>
      <w:r w:rsidRPr="007B7EE0">
        <w:rPr>
          <w:i/>
          <w:szCs w:val="24"/>
        </w:rPr>
        <w:t>Table 2</w:t>
      </w:r>
      <w:r w:rsidRPr="007B7EE0">
        <w:rPr>
          <w:szCs w:val="24"/>
        </w:rPr>
        <w:t xml:space="preserve"> shows the incidence of patients that developed treatment-emergent sexual dysfunction when treated with </w:t>
      </w:r>
      <w:r w:rsidR="001D5489">
        <w:rPr>
          <w:szCs w:val="24"/>
        </w:rPr>
        <w:t>BRINTELLIX</w:t>
      </w:r>
      <w:r w:rsidRPr="007B7EE0">
        <w:rPr>
          <w:szCs w:val="24"/>
        </w:rPr>
        <w:t xml:space="preserve"> or placebo in any fixed dose group. Physicians should routinely inquire about possible sexual side effects.</w:t>
      </w:r>
    </w:p>
    <w:tbl>
      <w:tblPr>
        <w:tblpPr w:leftFromText="180" w:rightFromText="180" w:vertAnchor="text" w:horzAnchor="margin" w:tblpY="56"/>
        <w:tblW w:w="9846" w:type="dxa"/>
        <w:tblLayout w:type="fixed"/>
        <w:tblCellMar>
          <w:left w:w="120" w:type="dxa"/>
          <w:right w:w="120" w:type="dxa"/>
        </w:tblCellMar>
        <w:tblLook w:val="0000" w:firstRow="0" w:lastRow="0" w:firstColumn="0" w:lastColumn="0" w:noHBand="0" w:noVBand="0"/>
      </w:tblPr>
      <w:tblGrid>
        <w:gridCol w:w="1290"/>
        <w:gridCol w:w="1711"/>
        <w:gridCol w:w="1711"/>
        <w:gridCol w:w="1711"/>
        <w:gridCol w:w="1711"/>
        <w:gridCol w:w="1712"/>
      </w:tblGrid>
      <w:tr w:rsidR="00667C0B" w:rsidRPr="007B7EE0" w:rsidTr="00667C0B">
        <w:trPr>
          <w:cantSplit/>
          <w:tblHeader/>
        </w:trPr>
        <w:tc>
          <w:tcPr>
            <w:tcW w:w="9846" w:type="dxa"/>
            <w:gridSpan w:val="6"/>
            <w:tcBorders>
              <w:top w:val="single" w:sz="8" w:space="0" w:color="000000"/>
              <w:left w:val="single" w:sz="8" w:space="0" w:color="000000"/>
              <w:bottom w:val="single" w:sz="6" w:space="0" w:color="000000"/>
              <w:right w:val="single" w:sz="8" w:space="0" w:color="000000"/>
            </w:tcBorders>
          </w:tcPr>
          <w:p w:rsidR="00667C0B" w:rsidRPr="00667C0B" w:rsidRDefault="00667C0B" w:rsidP="004430B5">
            <w:pPr>
              <w:keepNext/>
              <w:keepLines/>
              <w:spacing w:before="0" w:after="0"/>
              <w:jc w:val="center"/>
              <w:rPr>
                <w:b/>
                <w:bCs/>
                <w:szCs w:val="24"/>
              </w:rPr>
            </w:pPr>
            <w:r w:rsidRPr="00667C0B">
              <w:rPr>
                <w:sz w:val="22"/>
                <w:szCs w:val="22"/>
              </w:rPr>
              <w:br w:type="page"/>
            </w:r>
            <w:r w:rsidRPr="00667C0B">
              <w:rPr>
                <w:b/>
                <w:bCs/>
                <w:szCs w:val="24"/>
              </w:rPr>
              <w:t>TABLE 2</w:t>
            </w:r>
          </w:p>
          <w:p w:rsidR="00667C0B" w:rsidRPr="00667C0B" w:rsidRDefault="00667C0B" w:rsidP="00974F85">
            <w:pPr>
              <w:keepNext/>
              <w:keepLines/>
              <w:spacing w:before="0" w:after="0"/>
              <w:jc w:val="center"/>
              <w:rPr>
                <w:b/>
                <w:bCs/>
                <w:smallCaps/>
                <w:sz w:val="22"/>
                <w:szCs w:val="22"/>
              </w:rPr>
            </w:pPr>
            <w:r w:rsidRPr="00667C0B">
              <w:rPr>
                <w:b/>
                <w:bCs/>
                <w:smallCaps/>
                <w:szCs w:val="24"/>
              </w:rPr>
              <w:t>ASEX incidence of treatment emergent sexual dysfunction in a pool of 7 placebo-controlled clinical studies*</w:t>
            </w:r>
          </w:p>
        </w:tc>
      </w:tr>
      <w:tr w:rsidR="00667C0B" w:rsidRPr="007B7EE0" w:rsidTr="004430B5">
        <w:trPr>
          <w:cantSplit/>
          <w:tblHeader/>
        </w:trPr>
        <w:tc>
          <w:tcPr>
            <w:tcW w:w="1290" w:type="dxa"/>
            <w:tcBorders>
              <w:top w:val="single" w:sz="8" w:space="0" w:color="000000"/>
              <w:left w:val="single" w:sz="8" w:space="0" w:color="000000"/>
              <w:bottom w:val="single" w:sz="4" w:space="0" w:color="auto"/>
              <w:right w:val="single" w:sz="8" w:space="0" w:color="000000"/>
            </w:tcBorders>
          </w:tcPr>
          <w:p w:rsidR="00667C0B" w:rsidRPr="00667C0B" w:rsidRDefault="00667C0B" w:rsidP="004430B5">
            <w:pPr>
              <w:spacing w:before="0" w:after="0"/>
              <w:jc w:val="center"/>
              <w:rPr>
                <w:b/>
                <w:bCs/>
                <w:sz w:val="22"/>
                <w:szCs w:val="22"/>
              </w:rPr>
            </w:pPr>
          </w:p>
        </w:tc>
        <w:tc>
          <w:tcPr>
            <w:tcW w:w="1711" w:type="dxa"/>
            <w:tcBorders>
              <w:top w:val="single" w:sz="8" w:space="0" w:color="000000"/>
              <w:left w:val="single" w:sz="8" w:space="0" w:color="000000"/>
              <w:bottom w:val="single" w:sz="4" w:space="0" w:color="auto"/>
              <w:right w:val="single" w:sz="8" w:space="0" w:color="000000"/>
            </w:tcBorders>
          </w:tcPr>
          <w:p w:rsidR="00667C0B" w:rsidRPr="00667C0B" w:rsidRDefault="001D5489" w:rsidP="004430B5">
            <w:pPr>
              <w:spacing w:before="0" w:after="0"/>
              <w:jc w:val="center"/>
              <w:rPr>
                <w:b/>
                <w:bCs/>
                <w:sz w:val="22"/>
                <w:szCs w:val="22"/>
              </w:rPr>
            </w:pPr>
            <w:r>
              <w:rPr>
                <w:szCs w:val="24"/>
              </w:rPr>
              <w:t xml:space="preserve">BRINTELLIX </w:t>
            </w:r>
            <w:r w:rsidR="00667C0B" w:rsidRPr="00667C0B">
              <w:rPr>
                <w:b/>
                <w:bCs/>
                <w:sz w:val="22"/>
                <w:szCs w:val="22"/>
              </w:rPr>
              <w:t>5</w:t>
            </w:r>
            <w:r w:rsidR="00437ACC">
              <w:rPr>
                <w:b/>
                <w:bCs/>
                <w:sz w:val="22"/>
                <w:szCs w:val="22"/>
              </w:rPr>
              <w:t> </w:t>
            </w:r>
            <w:r w:rsidR="00667C0B" w:rsidRPr="00667C0B">
              <w:rPr>
                <w:b/>
                <w:bCs/>
                <w:sz w:val="22"/>
                <w:szCs w:val="22"/>
              </w:rPr>
              <w:t>mg/day</w:t>
            </w:r>
          </w:p>
          <w:p w:rsidR="00667C0B" w:rsidRPr="00667C0B" w:rsidRDefault="00667C0B" w:rsidP="00974F85">
            <w:pPr>
              <w:spacing w:before="0" w:after="0"/>
              <w:jc w:val="center"/>
              <w:rPr>
                <w:bCs/>
                <w:sz w:val="22"/>
                <w:szCs w:val="22"/>
              </w:rPr>
            </w:pPr>
            <w:r w:rsidRPr="00667C0B">
              <w:rPr>
                <w:bCs/>
                <w:sz w:val="22"/>
                <w:szCs w:val="22"/>
              </w:rPr>
              <w:t>N=65:67</w:t>
            </w:r>
            <w:r w:rsidRPr="00667C0B">
              <w:rPr>
                <w:rFonts w:ascii="ArialMT" w:hAnsi="ArialMT" w:cs="ArialMT"/>
                <w:sz w:val="22"/>
                <w:szCs w:val="22"/>
                <w:vertAlign w:val="superscript"/>
                <w:lang w:val="en-US"/>
              </w:rPr>
              <w:t>†</w:t>
            </w:r>
          </w:p>
        </w:tc>
        <w:tc>
          <w:tcPr>
            <w:tcW w:w="1711" w:type="dxa"/>
            <w:tcBorders>
              <w:top w:val="single" w:sz="8" w:space="0" w:color="000000"/>
              <w:left w:val="single" w:sz="8" w:space="0" w:color="000000"/>
              <w:bottom w:val="single" w:sz="4" w:space="0" w:color="auto"/>
              <w:right w:val="single" w:sz="8" w:space="0" w:color="000000"/>
            </w:tcBorders>
          </w:tcPr>
          <w:p w:rsidR="00667C0B" w:rsidRPr="00667C0B" w:rsidRDefault="001D5489" w:rsidP="00974F85">
            <w:pPr>
              <w:spacing w:before="0" w:after="0"/>
              <w:jc w:val="center"/>
              <w:rPr>
                <w:b/>
                <w:bCs/>
                <w:sz w:val="22"/>
                <w:szCs w:val="22"/>
              </w:rPr>
            </w:pPr>
            <w:r>
              <w:rPr>
                <w:szCs w:val="24"/>
              </w:rPr>
              <w:t xml:space="preserve">BRINTELLIX </w:t>
            </w:r>
            <w:r w:rsidR="00667C0B" w:rsidRPr="00667C0B">
              <w:rPr>
                <w:b/>
                <w:bCs/>
                <w:sz w:val="22"/>
                <w:szCs w:val="22"/>
              </w:rPr>
              <w:t>10</w:t>
            </w:r>
            <w:r w:rsidR="00437ACC">
              <w:rPr>
                <w:b/>
                <w:bCs/>
                <w:sz w:val="22"/>
                <w:szCs w:val="22"/>
              </w:rPr>
              <w:t> </w:t>
            </w:r>
            <w:r w:rsidR="00667C0B" w:rsidRPr="00667C0B">
              <w:rPr>
                <w:b/>
                <w:bCs/>
                <w:sz w:val="22"/>
                <w:szCs w:val="22"/>
              </w:rPr>
              <w:t>mg/day</w:t>
            </w:r>
          </w:p>
          <w:p w:rsidR="00667C0B" w:rsidRPr="00667C0B" w:rsidRDefault="00667C0B" w:rsidP="00335D7D">
            <w:pPr>
              <w:spacing w:before="0" w:after="0"/>
              <w:jc w:val="center"/>
              <w:rPr>
                <w:bCs/>
                <w:sz w:val="22"/>
                <w:szCs w:val="22"/>
              </w:rPr>
            </w:pPr>
            <w:r w:rsidRPr="00667C0B">
              <w:rPr>
                <w:bCs/>
                <w:sz w:val="22"/>
                <w:szCs w:val="22"/>
              </w:rPr>
              <w:t>N=94:86</w:t>
            </w:r>
            <w:r w:rsidRPr="00667C0B">
              <w:rPr>
                <w:rFonts w:ascii="ArialMT" w:hAnsi="ArialMT" w:cs="ArialMT"/>
                <w:sz w:val="22"/>
                <w:szCs w:val="22"/>
                <w:vertAlign w:val="superscript"/>
                <w:lang w:val="en-US"/>
              </w:rPr>
              <w:t>†</w:t>
            </w:r>
          </w:p>
        </w:tc>
        <w:tc>
          <w:tcPr>
            <w:tcW w:w="1711" w:type="dxa"/>
            <w:tcBorders>
              <w:top w:val="single" w:sz="8" w:space="0" w:color="000000"/>
              <w:left w:val="single" w:sz="8" w:space="0" w:color="000000"/>
              <w:bottom w:val="single" w:sz="4" w:space="0" w:color="auto"/>
              <w:right w:val="single" w:sz="8" w:space="0" w:color="000000"/>
            </w:tcBorders>
          </w:tcPr>
          <w:p w:rsidR="00667C0B" w:rsidRPr="00667C0B" w:rsidRDefault="001D5489" w:rsidP="00D80721">
            <w:pPr>
              <w:spacing w:before="0" w:after="0"/>
              <w:jc w:val="center"/>
              <w:rPr>
                <w:b/>
                <w:bCs/>
                <w:sz w:val="22"/>
                <w:szCs w:val="22"/>
              </w:rPr>
            </w:pPr>
            <w:r>
              <w:rPr>
                <w:szCs w:val="24"/>
              </w:rPr>
              <w:t xml:space="preserve">BRINTELLIX </w:t>
            </w:r>
            <w:r w:rsidR="00667C0B" w:rsidRPr="00667C0B">
              <w:rPr>
                <w:b/>
                <w:bCs/>
                <w:sz w:val="22"/>
                <w:szCs w:val="22"/>
              </w:rPr>
              <w:t>15</w:t>
            </w:r>
            <w:r w:rsidR="00437ACC">
              <w:rPr>
                <w:b/>
                <w:bCs/>
                <w:sz w:val="22"/>
                <w:szCs w:val="22"/>
              </w:rPr>
              <w:t> </w:t>
            </w:r>
            <w:r w:rsidR="00667C0B" w:rsidRPr="00667C0B">
              <w:rPr>
                <w:b/>
                <w:bCs/>
                <w:sz w:val="22"/>
                <w:szCs w:val="22"/>
              </w:rPr>
              <w:t>mg/day</w:t>
            </w:r>
          </w:p>
          <w:p w:rsidR="00667C0B" w:rsidRPr="00667C0B" w:rsidRDefault="00667C0B" w:rsidP="00D80721">
            <w:pPr>
              <w:spacing w:before="0" w:after="0"/>
              <w:jc w:val="center"/>
              <w:rPr>
                <w:bCs/>
                <w:sz w:val="22"/>
                <w:szCs w:val="22"/>
              </w:rPr>
            </w:pPr>
            <w:r w:rsidRPr="00667C0B">
              <w:rPr>
                <w:bCs/>
                <w:sz w:val="22"/>
                <w:szCs w:val="22"/>
              </w:rPr>
              <w:t>N=57:67</w:t>
            </w:r>
            <w:r w:rsidRPr="00667C0B">
              <w:rPr>
                <w:rFonts w:ascii="ArialMT" w:hAnsi="ArialMT" w:cs="ArialMT"/>
                <w:sz w:val="22"/>
                <w:szCs w:val="22"/>
                <w:vertAlign w:val="superscript"/>
                <w:lang w:val="en-US"/>
              </w:rPr>
              <w:t>†</w:t>
            </w:r>
          </w:p>
        </w:tc>
        <w:tc>
          <w:tcPr>
            <w:tcW w:w="1711" w:type="dxa"/>
            <w:tcBorders>
              <w:top w:val="single" w:sz="8" w:space="0" w:color="000000"/>
              <w:left w:val="single" w:sz="8" w:space="0" w:color="000000"/>
              <w:bottom w:val="single" w:sz="4" w:space="0" w:color="auto"/>
              <w:right w:val="single" w:sz="8" w:space="0" w:color="000000"/>
            </w:tcBorders>
          </w:tcPr>
          <w:p w:rsidR="00667C0B" w:rsidRPr="00667C0B" w:rsidRDefault="001D5489" w:rsidP="00D80721">
            <w:pPr>
              <w:spacing w:before="0" w:after="0"/>
              <w:jc w:val="center"/>
              <w:rPr>
                <w:b/>
                <w:bCs/>
                <w:sz w:val="22"/>
                <w:szCs w:val="22"/>
              </w:rPr>
            </w:pPr>
            <w:r>
              <w:rPr>
                <w:szCs w:val="24"/>
              </w:rPr>
              <w:t xml:space="preserve">BRINTELLIX </w:t>
            </w:r>
            <w:r w:rsidR="00667C0B" w:rsidRPr="00667C0B">
              <w:rPr>
                <w:b/>
                <w:bCs/>
                <w:sz w:val="22"/>
                <w:szCs w:val="22"/>
              </w:rPr>
              <w:t>20</w:t>
            </w:r>
            <w:r w:rsidR="00437ACC">
              <w:rPr>
                <w:b/>
                <w:bCs/>
                <w:sz w:val="22"/>
                <w:szCs w:val="22"/>
              </w:rPr>
              <w:t> </w:t>
            </w:r>
            <w:r w:rsidR="00667C0B" w:rsidRPr="00667C0B">
              <w:rPr>
                <w:b/>
                <w:bCs/>
                <w:sz w:val="22"/>
                <w:szCs w:val="22"/>
              </w:rPr>
              <w:t>mg/day</w:t>
            </w:r>
          </w:p>
          <w:p w:rsidR="00667C0B" w:rsidRPr="00667C0B" w:rsidRDefault="00667C0B" w:rsidP="00D80721">
            <w:pPr>
              <w:spacing w:before="0" w:after="0"/>
              <w:jc w:val="center"/>
              <w:rPr>
                <w:bCs/>
                <w:sz w:val="22"/>
                <w:szCs w:val="22"/>
              </w:rPr>
            </w:pPr>
            <w:r w:rsidRPr="00667C0B">
              <w:rPr>
                <w:bCs/>
                <w:sz w:val="22"/>
                <w:szCs w:val="22"/>
              </w:rPr>
              <w:t>N=67:59</w:t>
            </w:r>
            <w:r w:rsidRPr="00667C0B">
              <w:rPr>
                <w:rFonts w:ascii="ArialMT" w:hAnsi="ArialMT" w:cs="ArialMT"/>
                <w:sz w:val="22"/>
                <w:szCs w:val="22"/>
                <w:vertAlign w:val="superscript"/>
                <w:lang w:val="en-US"/>
              </w:rPr>
              <w:t>†</w:t>
            </w:r>
          </w:p>
        </w:tc>
        <w:tc>
          <w:tcPr>
            <w:tcW w:w="1712" w:type="dxa"/>
            <w:tcBorders>
              <w:top w:val="single" w:sz="8" w:space="0" w:color="000000"/>
              <w:left w:val="single" w:sz="8" w:space="0" w:color="000000"/>
              <w:bottom w:val="single" w:sz="4" w:space="0" w:color="auto"/>
              <w:right w:val="single" w:sz="8" w:space="0" w:color="000000"/>
            </w:tcBorders>
          </w:tcPr>
          <w:p w:rsidR="00667C0B" w:rsidRPr="00667C0B" w:rsidRDefault="00667C0B" w:rsidP="00D80721">
            <w:pPr>
              <w:spacing w:before="0" w:after="0"/>
              <w:jc w:val="center"/>
              <w:rPr>
                <w:b/>
                <w:bCs/>
                <w:sz w:val="22"/>
                <w:szCs w:val="22"/>
              </w:rPr>
            </w:pPr>
            <w:r w:rsidRPr="00667C0B">
              <w:rPr>
                <w:b/>
                <w:bCs/>
                <w:sz w:val="22"/>
                <w:szCs w:val="22"/>
              </w:rPr>
              <w:t>Placebo</w:t>
            </w:r>
          </w:p>
          <w:p w:rsidR="00667C0B" w:rsidRPr="00667C0B" w:rsidRDefault="00667C0B" w:rsidP="00D80721">
            <w:pPr>
              <w:spacing w:before="0" w:after="0"/>
              <w:jc w:val="center"/>
              <w:rPr>
                <w:b/>
                <w:bCs/>
                <w:sz w:val="22"/>
                <w:szCs w:val="22"/>
              </w:rPr>
            </w:pPr>
            <w:r w:rsidRPr="00667C0B">
              <w:rPr>
                <w:b/>
                <w:bCs/>
                <w:sz w:val="22"/>
                <w:szCs w:val="22"/>
              </w:rPr>
              <w:t>(n=1968)</w:t>
            </w:r>
          </w:p>
          <w:p w:rsidR="00667C0B" w:rsidRPr="00667C0B" w:rsidRDefault="00667C0B" w:rsidP="00D80721">
            <w:pPr>
              <w:spacing w:before="0" w:after="0"/>
              <w:jc w:val="center"/>
              <w:rPr>
                <w:bCs/>
                <w:sz w:val="22"/>
                <w:szCs w:val="22"/>
              </w:rPr>
            </w:pPr>
            <w:r w:rsidRPr="00667C0B">
              <w:rPr>
                <w:bCs/>
                <w:sz w:val="22"/>
                <w:szCs w:val="22"/>
              </w:rPr>
              <w:t>N=135:162</w:t>
            </w:r>
            <w:r w:rsidRPr="00667C0B">
              <w:rPr>
                <w:rFonts w:ascii="ArialMT" w:hAnsi="ArialMT" w:cs="ArialMT"/>
                <w:sz w:val="22"/>
                <w:szCs w:val="22"/>
                <w:vertAlign w:val="superscript"/>
                <w:lang w:val="en-US"/>
              </w:rPr>
              <w:t>†</w:t>
            </w:r>
          </w:p>
        </w:tc>
      </w:tr>
      <w:tr w:rsidR="00667C0B" w:rsidRPr="007B7EE0" w:rsidTr="004430B5">
        <w:trPr>
          <w:cantSplit/>
          <w:tblHeader/>
        </w:trPr>
        <w:tc>
          <w:tcPr>
            <w:tcW w:w="1290" w:type="dxa"/>
            <w:tcBorders>
              <w:top w:val="single" w:sz="4" w:space="0" w:color="auto"/>
              <w:left w:val="single" w:sz="4" w:space="0" w:color="auto"/>
              <w:right w:val="single" w:sz="4" w:space="0" w:color="auto"/>
            </w:tcBorders>
          </w:tcPr>
          <w:p w:rsidR="00667C0B" w:rsidRPr="00667C0B" w:rsidRDefault="00667C0B" w:rsidP="004430B5">
            <w:pPr>
              <w:keepNext/>
              <w:keepLines/>
              <w:spacing w:before="0" w:after="0"/>
              <w:jc w:val="center"/>
              <w:rPr>
                <w:sz w:val="22"/>
                <w:szCs w:val="22"/>
              </w:rPr>
            </w:pPr>
            <w:r w:rsidRPr="00667C0B">
              <w:rPr>
                <w:sz w:val="22"/>
                <w:szCs w:val="22"/>
              </w:rPr>
              <w:t>Females</w:t>
            </w:r>
          </w:p>
        </w:tc>
        <w:tc>
          <w:tcPr>
            <w:tcW w:w="1711" w:type="dxa"/>
            <w:tcBorders>
              <w:top w:val="single" w:sz="4" w:space="0" w:color="auto"/>
              <w:left w:val="single" w:sz="4" w:space="0" w:color="auto"/>
              <w:right w:val="single" w:sz="4" w:space="0" w:color="auto"/>
            </w:tcBorders>
          </w:tcPr>
          <w:p w:rsidR="00667C0B" w:rsidRPr="00667C0B" w:rsidRDefault="00667C0B" w:rsidP="004430B5">
            <w:pPr>
              <w:keepNext/>
              <w:keepLines/>
              <w:spacing w:before="0" w:after="0"/>
              <w:jc w:val="center"/>
              <w:rPr>
                <w:sz w:val="22"/>
                <w:szCs w:val="22"/>
              </w:rPr>
            </w:pPr>
            <w:r w:rsidRPr="00667C0B">
              <w:rPr>
                <w:sz w:val="22"/>
                <w:szCs w:val="22"/>
              </w:rPr>
              <w:t>22%</w:t>
            </w:r>
          </w:p>
        </w:tc>
        <w:tc>
          <w:tcPr>
            <w:tcW w:w="1711" w:type="dxa"/>
            <w:tcBorders>
              <w:top w:val="single" w:sz="4" w:space="0" w:color="auto"/>
              <w:left w:val="single" w:sz="4" w:space="0" w:color="auto"/>
              <w:right w:val="single" w:sz="4" w:space="0" w:color="auto"/>
            </w:tcBorders>
          </w:tcPr>
          <w:p w:rsidR="00667C0B" w:rsidRPr="00667C0B" w:rsidRDefault="00667C0B" w:rsidP="004430B5">
            <w:pPr>
              <w:keepNext/>
              <w:keepLines/>
              <w:spacing w:before="0" w:after="0"/>
              <w:jc w:val="center"/>
              <w:rPr>
                <w:sz w:val="22"/>
                <w:szCs w:val="22"/>
              </w:rPr>
            </w:pPr>
            <w:r w:rsidRPr="00667C0B">
              <w:rPr>
                <w:sz w:val="22"/>
                <w:szCs w:val="22"/>
              </w:rPr>
              <w:t>23%</w:t>
            </w:r>
          </w:p>
        </w:tc>
        <w:tc>
          <w:tcPr>
            <w:tcW w:w="1711" w:type="dxa"/>
            <w:tcBorders>
              <w:top w:val="single" w:sz="4" w:space="0" w:color="auto"/>
              <w:left w:val="single" w:sz="4" w:space="0" w:color="auto"/>
              <w:right w:val="single" w:sz="4" w:space="0" w:color="auto"/>
            </w:tcBorders>
          </w:tcPr>
          <w:p w:rsidR="00667C0B" w:rsidRPr="00667C0B" w:rsidRDefault="00667C0B" w:rsidP="00974F85">
            <w:pPr>
              <w:keepNext/>
              <w:keepLines/>
              <w:spacing w:before="0" w:after="0"/>
              <w:jc w:val="center"/>
              <w:rPr>
                <w:sz w:val="22"/>
                <w:szCs w:val="22"/>
              </w:rPr>
            </w:pPr>
            <w:r w:rsidRPr="00667C0B">
              <w:rPr>
                <w:sz w:val="22"/>
                <w:szCs w:val="22"/>
              </w:rPr>
              <w:t>33%</w:t>
            </w:r>
          </w:p>
        </w:tc>
        <w:tc>
          <w:tcPr>
            <w:tcW w:w="1711" w:type="dxa"/>
            <w:tcBorders>
              <w:top w:val="single" w:sz="4" w:space="0" w:color="auto"/>
              <w:left w:val="single" w:sz="4" w:space="0" w:color="auto"/>
              <w:right w:val="single" w:sz="4" w:space="0" w:color="auto"/>
            </w:tcBorders>
          </w:tcPr>
          <w:p w:rsidR="00667C0B" w:rsidRPr="00667C0B" w:rsidRDefault="00667C0B" w:rsidP="00974F85">
            <w:pPr>
              <w:keepNext/>
              <w:keepLines/>
              <w:spacing w:before="0" w:after="0"/>
              <w:jc w:val="center"/>
              <w:rPr>
                <w:sz w:val="22"/>
                <w:szCs w:val="22"/>
              </w:rPr>
            </w:pPr>
            <w:r w:rsidRPr="00667C0B">
              <w:rPr>
                <w:sz w:val="22"/>
                <w:szCs w:val="22"/>
              </w:rPr>
              <w:t>34%</w:t>
            </w:r>
          </w:p>
        </w:tc>
        <w:tc>
          <w:tcPr>
            <w:tcW w:w="1712" w:type="dxa"/>
            <w:tcBorders>
              <w:top w:val="single" w:sz="4" w:space="0" w:color="auto"/>
              <w:left w:val="single" w:sz="4" w:space="0" w:color="auto"/>
              <w:right w:val="single" w:sz="4" w:space="0" w:color="auto"/>
            </w:tcBorders>
          </w:tcPr>
          <w:p w:rsidR="00667C0B" w:rsidRPr="00667C0B" w:rsidRDefault="00667C0B" w:rsidP="00974F85">
            <w:pPr>
              <w:keepNext/>
              <w:keepLines/>
              <w:spacing w:before="0" w:after="0"/>
              <w:jc w:val="center"/>
              <w:rPr>
                <w:sz w:val="22"/>
                <w:szCs w:val="22"/>
              </w:rPr>
            </w:pPr>
            <w:r w:rsidRPr="00667C0B">
              <w:rPr>
                <w:sz w:val="22"/>
                <w:szCs w:val="22"/>
              </w:rPr>
              <w:t>20%</w:t>
            </w:r>
          </w:p>
        </w:tc>
      </w:tr>
      <w:tr w:rsidR="00667C0B" w:rsidRPr="007B7EE0" w:rsidTr="004430B5">
        <w:trPr>
          <w:cantSplit/>
          <w:tblHeader/>
        </w:trPr>
        <w:tc>
          <w:tcPr>
            <w:tcW w:w="1290" w:type="dxa"/>
            <w:tcBorders>
              <w:left w:val="single" w:sz="4" w:space="0" w:color="auto"/>
              <w:bottom w:val="single" w:sz="4" w:space="0" w:color="auto"/>
              <w:right w:val="single" w:sz="4" w:space="0" w:color="auto"/>
            </w:tcBorders>
          </w:tcPr>
          <w:p w:rsidR="00667C0B" w:rsidRPr="00667C0B" w:rsidRDefault="00667C0B" w:rsidP="004430B5">
            <w:pPr>
              <w:keepNext/>
              <w:keepLines/>
              <w:spacing w:before="0" w:after="0"/>
              <w:jc w:val="center"/>
              <w:rPr>
                <w:sz w:val="22"/>
                <w:szCs w:val="22"/>
              </w:rPr>
            </w:pPr>
            <w:r w:rsidRPr="00667C0B">
              <w:rPr>
                <w:sz w:val="22"/>
                <w:szCs w:val="22"/>
              </w:rPr>
              <w:t>Males</w:t>
            </w:r>
          </w:p>
        </w:tc>
        <w:tc>
          <w:tcPr>
            <w:tcW w:w="1711" w:type="dxa"/>
            <w:tcBorders>
              <w:left w:val="single" w:sz="4" w:space="0" w:color="auto"/>
              <w:bottom w:val="single" w:sz="4" w:space="0" w:color="auto"/>
              <w:right w:val="single" w:sz="4" w:space="0" w:color="auto"/>
            </w:tcBorders>
          </w:tcPr>
          <w:p w:rsidR="00667C0B" w:rsidRPr="00667C0B" w:rsidRDefault="00667C0B" w:rsidP="004430B5">
            <w:pPr>
              <w:keepNext/>
              <w:keepLines/>
              <w:spacing w:before="0" w:after="0"/>
              <w:jc w:val="center"/>
              <w:rPr>
                <w:sz w:val="22"/>
                <w:szCs w:val="22"/>
              </w:rPr>
            </w:pPr>
            <w:r w:rsidRPr="00667C0B">
              <w:rPr>
                <w:sz w:val="22"/>
                <w:szCs w:val="22"/>
              </w:rPr>
              <w:t>16%</w:t>
            </w:r>
          </w:p>
        </w:tc>
        <w:tc>
          <w:tcPr>
            <w:tcW w:w="1711" w:type="dxa"/>
            <w:tcBorders>
              <w:left w:val="single" w:sz="4" w:space="0" w:color="auto"/>
              <w:bottom w:val="single" w:sz="4" w:space="0" w:color="auto"/>
              <w:right w:val="single" w:sz="4" w:space="0" w:color="auto"/>
            </w:tcBorders>
          </w:tcPr>
          <w:p w:rsidR="00667C0B" w:rsidRPr="00667C0B" w:rsidRDefault="00667C0B" w:rsidP="004430B5">
            <w:pPr>
              <w:keepNext/>
              <w:keepLines/>
              <w:spacing w:before="0" w:after="0"/>
              <w:jc w:val="center"/>
              <w:rPr>
                <w:sz w:val="22"/>
                <w:szCs w:val="22"/>
              </w:rPr>
            </w:pPr>
            <w:r w:rsidRPr="00667C0B">
              <w:rPr>
                <w:sz w:val="22"/>
                <w:szCs w:val="22"/>
              </w:rPr>
              <w:t>20%</w:t>
            </w:r>
          </w:p>
        </w:tc>
        <w:tc>
          <w:tcPr>
            <w:tcW w:w="1711" w:type="dxa"/>
            <w:tcBorders>
              <w:left w:val="single" w:sz="4" w:space="0" w:color="auto"/>
              <w:bottom w:val="single" w:sz="4" w:space="0" w:color="auto"/>
              <w:right w:val="single" w:sz="4" w:space="0" w:color="auto"/>
            </w:tcBorders>
          </w:tcPr>
          <w:p w:rsidR="00667C0B" w:rsidRPr="00667C0B" w:rsidRDefault="00667C0B" w:rsidP="00974F85">
            <w:pPr>
              <w:keepNext/>
              <w:keepLines/>
              <w:spacing w:before="0" w:after="0"/>
              <w:jc w:val="center"/>
              <w:rPr>
                <w:sz w:val="22"/>
                <w:szCs w:val="22"/>
              </w:rPr>
            </w:pPr>
            <w:r w:rsidRPr="00667C0B">
              <w:rPr>
                <w:sz w:val="22"/>
                <w:szCs w:val="22"/>
              </w:rPr>
              <w:t>19%</w:t>
            </w:r>
          </w:p>
        </w:tc>
        <w:tc>
          <w:tcPr>
            <w:tcW w:w="1711" w:type="dxa"/>
            <w:tcBorders>
              <w:left w:val="single" w:sz="4" w:space="0" w:color="auto"/>
              <w:bottom w:val="single" w:sz="4" w:space="0" w:color="auto"/>
              <w:right w:val="single" w:sz="4" w:space="0" w:color="auto"/>
            </w:tcBorders>
          </w:tcPr>
          <w:p w:rsidR="00667C0B" w:rsidRPr="00667C0B" w:rsidRDefault="00667C0B" w:rsidP="00974F85">
            <w:pPr>
              <w:keepNext/>
              <w:keepLines/>
              <w:spacing w:before="0" w:after="0"/>
              <w:jc w:val="center"/>
              <w:rPr>
                <w:sz w:val="22"/>
                <w:szCs w:val="22"/>
              </w:rPr>
            </w:pPr>
            <w:r w:rsidRPr="00667C0B">
              <w:rPr>
                <w:sz w:val="22"/>
                <w:szCs w:val="22"/>
              </w:rPr>
              <w:t>29%</w:t>
            </w:r>
          </w:p>
        </w:tc>
        <w:tc>
          <w:tcPr>
            <w:tcW w:w="1712" w:type="dxa"/>
            <w:tcBorders>
              <w:left w:val="single" w:sz="4" w:space="0" w:color="auto"/>
              <w:bottom w:val="single" w:sz="4" w:space="0" w:color="auto"/>
              <w:right w:val="single" w:sz="4" w:space="0" w:color="auto"/>
            </w:tcBorders>
          </w:tcPr>
          <w:p w:rsidR="00667C0B" w:rsidRPr="00667C0B" w:rsidRDefault="00667C0B" w:rsidP="00974F85">
            <w:pPr>
              <w:keepNext/>
              <w:keepLines/>
              <w:spacing w:before="0" w:after="0"/>
              <w:jc w:val="center"/>
              <w:rPr>
                <w:sz w:val="22"/>
                <w:szCs w:val="22"/>
              </w:rPr>
            </w:pPr>
            <w:r w:rsidRPr="00667C0B">
              <w:rPr>
                <w:sz w:val="22"/>
                <w:szCs w:val="22"/>
              </w:rPr>
              <w:t>14%</w:t>
            </w:r>
          </w:p>
        </w:tc>
      </w:tr>
    </w:tbl>
    <w:p w:rsidR="007B7EE0" w:rsidRPr="00D80721" w:rsidRDefault="00667C0B" w:rsidP="00667C0B">
      <w:pPr>
        <w:widowControl w:val="0"/>
        <w:rPr>
          <w:sz w:val="20"/>
        </w:rPr>
      </w:pPr>
      <w:r w:rsidRPr="00D80721">
        <w:rPr>
          <w:sz w:val="20"/>
        </w:rPr>
        <w:t>*Incidence based on number of subjects with sexual dysfunction during the study / number of subjects without sexual dysfunction at baseline. Sexual dysfunction was defined as a subject scoring any of the following on the ASEX scale at two consecutive visits during the study: 1) total score ≥19; 2) any single item ≥5; 3) three or more items each with a score ≥4.</w:t>
      </w:r>
      <w:r w:rsidR="00335D7D">
        <w:rPr>
          <w:sz w:val="20"/>
        </w:rPr>
        <w:br/>
      </w:r>
      <w:r w:rsidRPr="00D80721">
        <w:rPr>
          <w:sz w:val="20"/>
        </w:rPr>
        <w:t>†Sample size for each dose group is the number of patients (</w:t>
      </w:r>
      <w:proofErr w:type="spellStart"/>
      <w:r w:rsidRPr="00D80721">
        <w:rPr>
          <w:sz w:val="20"/>
        </w:rPr>
        <w:t>females</w:t>
      </w:r>
      <w:proofErr w:type="gramStart"/>
      <w:r w:rsidRPr="00D80721">
        <w:rPr>
          <w:sz w:val="20"/>
        </w:rPr>
        <w:t>:males</w:t>
      </w:r>
      <w:proofErr w:type="spellEnd"/>
      <w:proofErr w:type="gramEnd"/>
      <w:r w:rsidRPr="00D80721">
        <w:rPr>
          <w:sz w:val="20"/>
        </w:rPr>
        <w:t>) without sexual dysfunction at baseline.</w:t>
      </w:r>
    </w:p>
    <w:p w:rsidR="003A63D3" w:rsidRPr="00840D37" w:rsidRDefault="003A63D3" w:rsidP="003A63D3">
      <w:pPr>
        <w:widowControl w:val="0"/>
        <w:rPr>
          <w:b/>
          <w:szCs w:val="24"/>
        </w:rPr>
      </w:pPr>
      <w:r w:rsidRPr="00840D37">
        <w:rPr>
          <w:b/>
          <w:szCs w:val="24"/>
        </w:rPr>
        <w:t>Insomnia</w:t>
      </w:r>
    </w:p>
    <w:p w:rsidR="003A63D3" w:rsidRPr="00840D37" w:rsidRDefault="003852E5" w:rsidP="003A63D3">
      <w:pPr>
        <w:widowControl w:val="0"/>
        <w:rPr>
          <w:szCs w:val="24"/>
        </w:rPr>
      </w:pPr>
      <w:r>
        <w:rPr>
          <w:szCs w:val="24"/>
        </w:rPr>
        <w:t>Although i</w:t>
      </w:r>
      <w:r w:rsidR="003A63D3" w:rsidRPr="00840D37">
        <w:rPr>
          <w:szCs w:val="24"/>
        </w:rPr>
        <w:t>nsomnia is common in patients with depression, either as part of the disease or as an adverse effect of antidepressants</w:t>
      </w:r>
      <w:r>
        <w:rPr>
          <w:szCs w:val="24"/>
        </w:rPr>
        <w:t>,</w:t>
      </w:r>
      <w:r w:rsidRPr="003852E5">
        <w:rPr>
          <w:szCs w:val="24"/>
        </w:rPr>
        <w:t xml:space="preserve"> </w:t>
      </w:r>
      <w:r>
        <w:rPr>
          <w:szCs w:val="24"/>
        </w:rPr>
        <w:t>f</w:t>
      </w:r>
      <w:r w:rsidRPr="00840D37">
        <w:rPr>
          <w:szCs w:val="24"/>
        </w:rPr>
        <w:t xml:space="preserve">or </w:t>
      </w:r>
      <w:proofErr w:type="spellStart"/>
      <w:r w:rsidR="00C61D67">
        <w:rPr>
          <w:szCs w:val="24"/>
        </w:rPr>
        <w:t>vortioxetine</w:t>
      </w:r>
      <w:proofErr w:type="spellEnd"/>
      <w:r w:rsidR="00E5398A">
        <w:rPr>
          <w:szCs w:val="24"/>
        </w:rPr>
        <w:t>,</w:t>
      </w:r>
      <w:r w:rsidR="00C61D67">
        <w:rPr>
          <w:szCs w:val="24"/>
        </w:rPr>
        <w:t xml:space="preserve"> </w:t>
      </w:r>
      <w:r w:rsidRPr="00840D37">
        <w:rPr>
          <w:szCs w:val="24"/>
        </w:rPr>
        <w:t>the reporting of adverse events related to insomnia and poor quality sleep is low and similar to placebo</w:t>
      </w:r>
      <w:r w:rsidR="003A63D3" w:rsidRPr="00840D37">
        <w:rPr>
          <w:szCs w:val="24"/>
        </w:rPr>
        <w:t xml:space="preserve">. </w:t>
      </w:r>
      <w:r w:rsidR="00335D7D">
        <w:rPr>
          <w:szCs w:val="24"/>
        </w:rPr>
        <w:t xml:space="preserve"> </w:t>
      </w:r>
      <w:r w:rsidR="003A63D3" w:rsidRPr="00840D37">
        <w:rPr>
          <w:szCs w:val="24"/>
        </w:rPr>
        <w:t>Side-effects related to insomnia or poor quality sleep may affect treatment adherence.</w:t>
      </w:r>
    </w:p>
    <w:p w:rsidR="00C477DF" w:rsidRDefault="003A63D3" w:rsidP="003A63D3">
      <w:pPr>
        <w:widowControl w:val="0"/>
        <w:rPr>
          <w:szCs w:val="24"/>
        </w:rPr>
      </w:pPr>
      <w:r w:rsidRPr="00840D37">
        <w:rPr>
          <w:szCs w:val="24"/>
        </w:rPr>
        <w:t>Table 3 shows the percentage of reported adverse reactions related to insomnia or poor sleep quality in the short-term studies in patients with MDD.</w:t>
      </w:r>
    </w:p>
    <w:tbl>
      <w:tblPr>
        <w:tblW w:w="7740" w:type="dxa"/>
        <w:tblInd w:w="480" w:type="dxa"/>
        <w:tblLayout w:type="fixed"/>
        <w:tblCellMar>
          <w:left w:w="120" w:type="dxa"/>
          <w:right w:w="120" w:type="dxa"/>
        </w:tblCellMar>
        <w:tblLook w:val="0000" w:firstRow="0" w:lastRow="0" w:firstColumn="0" w:lastColumn="0" w:noHBand="0" w:noVBand="0"/>
      </w:tblPr>
      <w:tblGrid>
        <w:gridCol w:w="2610"/>
        <w:gridCol w:w="2610"/>
        <w:gridCol w:w="2520"/>
      </w:tblGrid>
      <w:tr w:rsidR="007B7EE0" w:rsidRPr="00840D37" w:rsidTr="007B7EE0">
        <w:trPr>
          <w:cantSplit/>
          <w:tblHeader/>
        </w:trPr>
        <w:tc>
          <w:tcPr>
            <w:tcW w:w="7740" w:type="dxa"/>
            <w:gridSpan w:val="3"/>
            <w:tcBorders>
              <w:top w:val="single" w:sz="8" w:space="0" w:color="000000"/>
              <w:left w:val="single" w:sz="8" w:space="0" w:color="000000"/>
              <w:bottom w:val="single" w:sz="6" w:space="0" w:color="000000"/>
              <w:right w:val="single" w:sz="8" w:space="0" w:color="000000"/>
            </w:tcBorders>
          </w:tcPr>
          <w:p w:rsidR="007B7EE0" w:rsidRPr="00840D37" w:rsidRDefault="00C477DF" w:rsidP="004430B5">
            <w:pPr>
              <w:spacing w:before="0" w:after="0"/>
              <w:jc w:val="center"/>
              <w:rPr>
                <w:b/>
                <w:bCs/>
                <w:szCs w:val="24"/>
              </w:rPr>
            </w:pPr>
            <w:r>
              <w:rPr>
                <w:szCs w:val="24"/>
              </w:rPr>
              <w:lastRenderedPageBreak/>
              <w:br w:type="page"/>
            </w:r>
            <w:r w:rsidR="00144405">
              <w:rPr>
                <w:szCs w:val="24"/>
              </w:rPr>
              <w:br w:type="page"/>
            </w:r>
            <w:r w:rsidR="007B7EE0" w:rsidRPr="00840D37">
              <w:rPr>
                <w:szCs w:val="24"/>
              </w:rPr>
              <w:br w:type="page"/>
            </w:r>
            <w:r w:rsidR="007B7EE0" w:rsidRPr="00840D37">
              <w:rPr>
                <w:b/>
                <w:bCs/>
                <w:szCs w:val="24"/>
              </w:rPr>
              <w:t>TABLE 3</w:t>
            </w:r>
          </w:p>
          <w:p w:rsidR="007B7EE0" w:rsidRPr="00840D37" w:rsidRDefault="007B7EE0" w:rsidP="00974F85">
            <w:pPr>
              <w:spacing w:before="0" w:after="0"/>
              <w:jc w:val="center"/>
              <w:rPr>
                <w:b/>
                <w:bCs/>
                <w:smallCaps/>
                <w:szCs w:val="24"/>
              </w:rPr>
            </w:pPr>
            <w:r w:rsidRPr="00840D37">
              <w:rPr>
                <w:b/>
                <w:bCs/>
                <w:smallCaps/>
                <w:szCs w:val="24"/>
              </w:rPr>
              <w:t xml:space="preserve">Incidence of Insomnia related side effects in a pool of </w:t>
            </w:r>
            <w:r>
              <w:rPr>
                <w:b/>
                <w:bCs/>
                <w:smallCaps/>
                <w:szCs w:val="24"/>
              </w:rPr>
              <w:t>12</w:t>
            </w:r>
          </w:p>
          <w:p w:rsidR="007B7EE0" w:rsidRPr="00840D37" w:rsidRDefault="007B7EE0" w:rsidP="00974F85">
            <w:pPr>
              <w:spacing w:before="0" w:after="0"/>
              <w:jc w:val="center"/>
              <w:rPr>
                <w:b/>
                <w:bCs/>
                <w:smallCaps/>
                <w:szCs w:val="24"/>
              </w:rPr>
            </w:pPr>
            <w:r w:rsidRPr="00840D37">
              <w:rPr>
                <w:b/>
                <w:bCs/>
                <w:smallCaps/>
                <w:szCs w:val="24"/>
              </w:rPr>
              <w:t xml:space="preserve">placebo-controlled clinical </w:t>
            </w:r>
            <w:r>
              <w:rPr>
                <w:b/>
                <w:bCs/>
                <w:smallCaps/>
                <w:szCs w:val="24"/>
              </w:rPr>
              <w:t>studies</w:t>
            </w:r>
          </w:p>
          <w:p w:rsidR="007B7EE0" w:rsidRPr="00840D37" w:rsidRDefault="007B7EE0" w:rsidP="00974F85">
            <w:pPr>
              <w:spacing w:before="0" w:after="0"/>
              <w:jc w:val="center"/>
              <w:rPr>
                <w:b/>
                <w:bCs/>
                <w:smallCaps/>
                <w:szCs w:val="24"/>
              </w:rPr>
            </w:pPr>
            <w:r w:rsidRPr="00840D37">
              <w:rPr>
                <w:b/>
                <w:bCs/>
                <w:smallCaps/>
                <w:szCs w:val="24"/>
              </w:rPr>
              <w:t>For Major Depressive Disorder</w:t>
            </w:r>
          </w:p>
          <w:p w:rsidR="007B7EE0" w:rsidRPr="00840D37" w:rsidRDefault="007B7EE0" w:rsidP="00335D7D">
            <w:pPr>
              <w:spacing w:before="0" w:after="0"/>
              <w:jc w:val="center"/>
              <w:rPr>
                <w:b/>
                <w:bCs/>
                <w:smallCaps/>
                <w:szCs w:val="24"/>
              </w:rPr>
            </w:pPr>
          </w:p>
        </w:tc>
      </w:tr>
      <w:tr w:rsidR="007B7EE0" w:rsidRPr="00840D37" w:rsidTr="007B7EE0">
        <w:trPr>
          <w:cantSplit/>
          <w:tblHeader/>
        </w:trPr>
        <w:tc>
          <w:tcPr>
            <w:tcW w:w="2610" w:type="dxa"/>
            <w:vMerge w:val="restart"/>
            <w:tcBorders>
              <w:top w:val="single" w:sz="6" w:space="0" w:color="000000"/>
              <w:left w:val="single" w:sz="8" w:space="0" w:color="000000"/>
              <w:bottom w:val="nil"/>
              <w:right w:val="single" w:sz="8" w:space="0" w:color="000000"/>
            </w:tcBorders>
            <w:vAlign w:val="center"/>
          </w:tcPr>
          <w:p w:rsidR="007B7EE0" w:rsidRPr="00840D37" w:rsidRDefault="007B7EE0" w:rsidP="00D80721">
            <w:pPr>
              <w:pStyle w:val="BodyText"/>
              <w:spacing w:before="0" w:after="0"/>
              <w:rPr>
                <w:rFonts w:cs="Times New Roman"/>
                <w:b w:val="0"/>
              </w:rPr>
            </w:pPr>
            <w:r w:rsidRPr="00840D37">
              <w:rPr>
                <w:rFonts w:cs="Times New Roman"/>
              </w:rPr>
              <w:t>Adverse Event</w:t>
            </w:r>
          </w:p>
        </w:tc>
        <w:tc>
          <w:tcPr>
            <w:tcW w:w="5130" w:type="dxa"/>
            <w:gridSpan w:val="2"/>
            <w:tcBorders>
              <w:top w:val="single" w:sz="6" w:space="0" w:color="000000"/>
              <w:left w:val="single" w:sz="8" w:space="0" w:color="000000"/>
              <w:bottom w:val="single" w:sz="6" w:space="0" w:color="000000"/>
              <w:right w:val="single" w:sz="8" w:space="0" w:color="000000"/>
            </w:tcBorders>
          </w:tcPr>
          <w:p w:rsidR="007B7EE0" w:rsidRPr="00840D37" w:rsidRDefault="007B7EE0" w:rsidP="004430B5">
            <w:pPr>
              <w:spacing w:before="0" w:after="0"/>
              <w:jc w:val="center"/>
              <w:rPr>
                <w:b/>
                <w:bCs/>
                <w:szCs w:val="24"/>
              </w:rPr>
            </w:pPr>
            <w:r w:rsidRPr="00840D37">
              <w:rPr>
                <w:b/>
                <w:bCs/>
                <w:szCs w:val="24"/>
              </w:rPr>
              <w:t>Percentage of Patients Reporting</w:t>
            </w:r>
          </w:p>
          <w:p w:rsidR="007B7EE0" w:rsidRPr="00840D37" w:rsidRDefault="007B7EE0" w:rsidP="00974F85">
            <w:pPr>
              <w:spacing w:before="0" w:after="0"/>
              <w:jc w:val="center"/>
              <w:rPr>
                <w:b/>
                <w:bCs/>
                <w:szCs w:val="24"/>
              </w:rPr>
            </w:pPr>
          </w:p>
        </w:tc>
      </w:tr>
      <w:tr w:rsidR="007B7EE0" w:rsidRPr="00840D37" w:rsidTr="00C477DF">
        <w:trPr>
          <w:cantSplit/>
          <w:tblHeader/>
        </w:trPr>
        <w:tc>
          <w:tcPr>
            <w:tcW w:w="2610" w:type="dxa"/>
            <w:vMerge/>
            <w:tcBorders>
              <w:top w:val="nil"/>
              <w:left w:val="single" w:sz="8" w:space="0" w:color="000000"/>
              <w:bottom w:val="single" w:sz="4" w:space="0" w:color="auto"/>
              <w:right w:val="single" w:sz="8" w:space="0" w:color="000000"/>
            </w:tcBorders>
          </w:tcPr>
          <w:p w:rsidR="007B7EE0" w:rsidRPr="00840D37" w:rsidRDefault="007B7EE0" w:rsidP="00C477DF">
            <w:pPr>
              <w:spacing w:before="0" w:after="0"/>
              <w:jc w:val="center"/>
              <w:rPr>
                <w:b/>
                <w:bCs/>
                <w:szCs w:val="24"/>
              </w:rPr>
            </w:pPr>
          </w:p>
        </w:tc>
        <w:tc>
          <w:tcPr>
            <w:tcW w:w="2610" w:type="dxa"/>
            <w:tcBorders>
              <w:top w:val="single" w:sz="6" w:space="0" w:color="000000"/>
              <w:left w:val="single" w:sz="8" w:space="0" w:color="000000"/>
              <w:bottom w:val="single" w:sz="4" w:space="0" w:color="auto"/>
              <w:right w:val="single" w:sz="8" w:space="0" w:color="000000"/>
            </w:tcBorders>
          </w:tcPr>
          <w:p w:rsidR="007B7EE0" w:rsidRPr="00840D37" w:rsidRDefault="001D5489" w:rsidP="00C477DF">
            <w:pPr>
              <w:spacing w:before="0" w:after="0"/>
              <w:jc w:val="center"/>
              <w:rPr>
                <w:b/>
                <w:bCs/>
                <w:szCs w:val="24"/>
              </w:rPr>
            </w:pPr>
            <w:r>
              <w:rPr>
                <w:szCs w:val="24"/>
              </w:rPr>
              <w:t>BRINTELLIX</w:t>
            </w:r>
            <w:r w:rsidR="00667C0B">
              <w:rPr>
                <w:b/>
                <w:bCs/>
                <w:szCs w:val="24"/>
              </w:rPr>
              <w:br/>
            </w:r>
            <w:r w:rsidR="007B7EE0" w:rsidRPr="00840D37">
              <w:rPr>
                <w:b/>
                <w:bCs/>
                <w:szCs w:val="24"/>
              </w:rPr>
              <w:t>(5-20 mg)</w:t>
            </w:r>
          </w:p>
          <w:p w:rsidR="007B7EE0" w:rsidRPr="00840D37" w:rsidRDefault="007B7EE0" w:rsidP="00C477DF">
            <w:pPr>
              <w:spacing w:before="0" w:after="0"/>
              <w:jc w:val="center"/>
              <w:rPr>
                <w:b/>
                <w:bCs/>
                <w:szCs w:val="24"/>
              </w:rPr>
            </w:pPr>
            <w:r>
              <w:rPr>
                <w:b/>
                <w:bCs/>
                <w:szCs w:val="24"/>
              </w:rPr>
              <w:t>(n =3460</w:t>
            </w:r>
            <w:r w:rsidRPr="00840D37">
              <w:rPr>
                <w:b/>
                <w:bCs/>
                <w:szCs w:val="24"/>
              </w:rPr>
              <w:t>)</w:t>
            </w:r>
          </w:p>
        </w:tc>
        <w:tc>
          <w:tcPr>
            <w:tcW w:w="2520" w:type="dxa"/>
            <w:tcBorders>
              <w:top w:val="single" w:sz="8" w:space="0" w:color="000000"/>
              <w:left w:val="single" w:sz="8" w:space="0" w:color="000000"/>
              <w:bottom w:val="single" w:sz="4" w:space="0" w:color="auto"/>
              <w:right w:val="single" w:sz="8" w:space="0" w:color="000000"/>
            </w:tcBorders>
          </w:tcPr>
          <w:p w:rsidR="007B7EE0" w:rsidRPr="00840D37" w:rsidRDefault="007B7EE0" w:rsidP="00C477DF">
            <w:pPr>
              <w:spacing w:before="0" w:after="0"/>
              <w:jc w:val="center"/>
              <w:rPr>
                <w:b/>
                <w:bCs/>
                <w:szCs w:val="24"/>
              </w:rPr>
            </w:pPr>
            <w:r w:rsidRPr="00840D37">
              <w:rPr>
                <w:b/>
                <w:bCs/>
                <w:szCs w:val="24"/>
              </w:rPr>
              <w:t>Placebo</w:t>
            </w:r>
          </w:p>
          <w:p w:rsidR="007B7EE0" w:rsidRPr="00840D37" w:rsidRDefault="007B7EE0" w:rsidP="00C477DF">
            <w:pPr>
              <w:spacing w:before="0" w:after="0"/>
              <w:jc w:val="center"/>
              <w:rPr>
                <w:b/>
                <w:bCs/>
                <w:szCs w:val="24"/>
              </w:rPr>
            </w:pPr>
            <w:r>
              <w:rPr>
                <w:b/>
                <w:bCs/>
                <w:szCs w:val="24"/>
              </w:rPr>
              <w:t>(n = 1968</w:t>
            </w:r>
            <w:r w:rsidRPr="00840D37">
              <w:rPr>
                <w:b/>
                <w:bCs/>
                <w:szCs w:val="24"/>
              </w:rPr>
              <w:t>)</w:t>
            </w:r>
          </w:p>
        </w:tc>
      </w:tr>
      <w:tr w:rsidR="007B7EE0" w:rsidRPr="00840D37" w:rsidTr="00C477DF">
        <w:trPr>
          <w:cantSplit/>
        </w:trPr>
        <w:tc>
          <w:tcPr>
            <w:tcW w:w="2610" w:type="dxa"/>
            <w:tcBorders>
              <w:top w:val="single" w:sz="4" w:space="0" w:color="auto"/>
              <w:left w:val="single" w:sz="4" w:space="0" w:color="auto"/>
              <w:right w:val="single" w:sz="4" w:space="0" w:color="auto"/>
            </w:tcBorders>
          </w:tcPr>
          <w:p w:rsidR="007B7EE0" w:rsidRPr="00840D37" w:rsidRDefault="007B7EE0" w:rsidP="004430B5">
            <w:pPr>
              <w:spacing w:before="0" w:after="0"/>
              <w:rPr>
                <w:szCs w:val="24"/>
              </w:rPr>
            </w:pPr>
            <w:r w:rsidRPr="00D80721">
              <w:rPr>
                <w:szCs w:val="24"/>
                <w:lang w:val="en-US"/>
              </w:rPr>
              <w:t>Insomnia</w:t>
            </w:r>
          </w:p>
        </w:tc>
        <w:tc>
          <w:tcPr>
            <w:tcW w:w="2610" w:type="dxa"/>
            <w:tcBorders>
              <w:top w:val="single" w:sz="4" w:space="0" w:color="auto"/>
              <w:left w:val="single" w:sz="4" w:space="0" w:color="auto"/>
              <w:right w:val="single" w:sz="4" w:space="0" w:color="auto"/>
            </w:tcBorders>
          </w:tcPr>
          <w:p w:rsidR="007B7EE0" w:rsidRPr="00840D37" w:rsidRDefault="007B7EE0" w:rsidP="004430B5">
            <w:pPr>
              <w:spacing w:before="0" w:after="0"/>
              <w:jc w:val="center"/>
              <w:rPr>
                <w:szCs w:val="24"/>
              </w:rPr>
            </w:pPr>
            <w:r>
              <w:rPr>
                <w:szCs w:val="24"/>
              </w:rPr>
              <w:t>2.7</w:t>
            </w:r>
          </w:p>
        </w:tc>
        <w:tc>
          <w:tcPr>
            <w:tcW w:w="2520" w:type="dxa"/>
            <w:tcBorders>
              <w:top w:val="single" w:sz="4" w:space="0" w:color="auto"/>
              <w:left w:val="single" w:sz="4" w:space="0" w:color="auto"/>
              <w:right w:val="single" w:sz="4" w:space="0" w:color="auto"/>
            </w:tcBorders>
          </w:tcPr>
          <w:p w:rsidR="007B7EE0" w:rsidRPr="00840D37" w:rsidRDefault="007B7EE0" w:rsidP="004430B5">
            <w:pPr>
              <w:spacing w:before="0" w:after="0"/>
              <w:jc w:val="center"/>
              <w:rPr>
                <w:szCs w:val="24"/>
              </w:rPr>
            </w:pPr>
            <w:r>
              <w:rPr>
                <w:szCs w:val="24"/>
              </w:rPr>
              <w:t>2.5</w:t>
            </w:r>
          </w:p>
        </w:tc>
      </w:tr>
      <w:tr w:rsidR="0049258B" w:rsidRPr="00840D37" w:rsidTr="00C477DF">
        <w:trPr>
          <w:cantSplit/>
        </w:trPr>
        <w:tc>
          <w:tcPr>
            <w:tcW w:w="2610" w:type="dxa"/>
            <w:tcBorders>
              <w:left w:val="single" w:sz="4" w:space="0" w:color="auto"/>
              <w:right w:val="single" w:sz="4" w:space="0" w:color="auto"/>
            </w:tcBorders>
          </w:tcPr>
          <w:p w:rsidR="0049258B" w:rsidRPr="004430B5" w:rsidRDefault="0049258B" w:rsidP="004430B5">
            <w:pPr>
              <w:spacing w:before="0" w:after="0"/>
              <w:rPr>
                <w:szCs w:val="24"/>
                <w:lang w:val="en-US"/>
              </w:rPr>
            </w:pPr>
            <w:r w:rsidRPr="00FB3BCD">
              <w:rPr>
                <w:szCs w:val="24"/>
                <w:lang w:val="en-US"/>
              </w:rPr>
              <w:t>Initial insomnia</w:t>
            </w:r>
          </w:p>
        </w:tc>
        <w:tc>
          <w:tcPr>
            <w:tcW w:w="2610" w:type="dxa"/>
            <w:tcBorders>
              <w:left w:val="single" w:sz="4" w:space="0" w:color="auto"/>
              <w:right w:val="single" w:sz="4" w:space="0" w:color="auto"/>
            </w:tcBorders>
          </w:tcPr>
          <w:p w:rsidR="0049258B" w:rsidRDefault="0049258B" w:rsidP="00974F85">
            <w:pPr>
              <w:spacing w:before="0" w:after="0"/>
              <w:jc w:val="center"/>
              <w:rPr>
                <w:szCs w:val="24"/>
              </w:rPr>
            </w:pPr>
            <w:r>
              <w:rPr>
                <w:szCs w:val="24"/>
              </w:rPr>
              <w:t>0.5</w:t>
            </w:r>
          </w:p>
        </w:tc>
        <w:tc>
          <w:tcPr>
            <w:tcW w:w="2520" w:type="dxa"/>
            <w:tcBorders>
              <w:left w:val="single" w:sz="4" w:space="0" w:color="auto"/>
              <w:right w:val="single" w:sz="4" w:space="0" w:color="auto"/>
            </w:tcBorders>
          </w:tcPr>
          <w:p w:rsidR="0049258B" w:rsidRDefault="0049258B" w:rsidP="00974F85">
            <w:pPr>
              <w:spacing w:before="0" w:after="0"/>
              <w:jc w:val="center"/>
              <w:rPr>
                <w:szCs w:val="24"/>
              </w:rPr>
            </w:pPr>
            <w:r w:rsidRPr="00840D37">
              <w:rPr>
                <w:szCs w:val="24"/>
              </w:rPr>
              <w:t>0.3</w:t>
            </w:r>
          </w:p>
        </w:tc>
      </w:tr>
      <w:tr w:rsidR="0049258B" w:rsidRPr="00840D37" w:rsidTr="00C477DF">
        <w:trPr>
          <w:cantSplit/>
        </w:trPr>
        <w:tc>
          <w:tcPr>
            <w:tcW w:w="2610" w:type="dxa"/>
            <w:tcBorders>
              <w:left w:val="single" w:sz="4" w:space="0" w:color="auto"/>
              <w:right w:val="single" w:sz="4" w:space="0" w:color="auto"/>
            </w:tcBorders>
          </w:tcPr>
          <w:p w:rsidR="0049258B" w:rsidRPr="004430B5" w:rsidRDefault="0049258B" w:rsidP="004430B5">
            <w:pPr>
              <w:spacing w:before="0" w:after="0"/>
              <w:rPr>
                <w:szCs w:val="24"/>
                <w:lang w:val="en-US"/>
              </w:rPr>
            </w:pPr>
            <w:r w:rsidRPr="00F92994">
              <w:rPr>
                <w:szCs w:val="24"/>
                <w:lang w:val="en-US"/>
              </w:rPr>
              <w:t>Sleep disorder</w:t>
            </w:r>
          </w:p>
        </w:tc>
        <w:tc>
          <w:tcPr>
            <w:tcW w:w="2610" w:type="dxa"/>
            <w:tcBorders>
              <w:left w:val="single" w:sz="4" w:space="0" w:color="auto"/>
              <w:right w:val="single" w:sz="4" w:space="0" w:color="auto"/>
            </w:tcBorders>
          </w:tcPr>
          <w:p w:rsidR="0049258B" w:rsidRDefault="0049258B" w:rsidP="00974F85">
            <w:pPr>
              <w:spacing w:before="0" w:after="0"/>
              <w:jc w:val="center"/>
              <w:rPr>
                <w:szCs w:val="24"/>
              </w:rPr>
            </w:pPr>
            <w:r>
              <w:rPr>
                <w:szCs w:val="24"/>
              </w:rPr>
              <w:t>0.2</w:t>
            </w:r>
          </w:p>
        </w:tc>
        <w:tc>
          <w:tcPr>
            <w:tcW w:w="2520" w:type="dxa"/>
            <w:tcBorders>
              <w:left w:val="single" w:sz="4" w:space="0" w:color="auto"/>
              <w:right w:val="single" w:sz="4" w:space="0" w:color="auto"/>
            </w:tcBorders>
          </w:tcPr>
          <w:p w:rsidR="0049258B" w:rsidRDefault="0049258B" w:rsidP="00974F85">
            <w:pPr>
              <w:spacing w:before="0" w:after="0"/>
              <w:jc w:val="center"/>
              <w:rPr>
                <w:szCs w:val="24"/>
              </w:rPr>
            </w:pPr>
            <w:r w:rsidRPr="00840D37">
              <w:rPr>
                <w:szCs w:val="24"/>
              </w:rPr>
              <w:t>0.4</w:t>
            </w:r>
          </w:p>
        </w:tc>
      </w:tr>
      <w:tr w:rsidR="0049258B" w:rsidRPr="00840D37" w:rsidTr="00C477DF">
        <w:trPr>
          <w:cantSplit/>
        </w:trPr>
        <w:tc>
          <w:tcPr>
            <w:tcW w:w="2610" w:type="dxa"/>
            <w:tcBorders>
              <w:left w:val="single" w:sz="4" w:space="0" w:color="auto"/>
              <w:right w:val="single" w:sz="4" w:space="0" w:color="auto"/>
            </w:tcBorders>
          </w:tcPr>
          <w:p w:rsidR="0049258B" w:rsidRPr="004430B5" w:rsidRDefault="0049258B" w:rsidP="004430B5">
            <w:pPr>
              <w:spacing w:before="0" w:after="0"/>
              <w:rPr>
                <w:szCs w:val="24"/>
                <w:lang w:val="en-US"/>
              </w:rPr>
            </w:pPr>
            <w:r w:rsidRPr="00F92994">
              <w:rPr>
                <w:szCs w:val="24"/>
                <w:lang w:val="en-US"/>
              </w:rPr>
              <w:t>Middle insomnia</w:t>
            </w:r>
          </w:p>
        </w:tc>
        <w:tc>
          <w:tcPr>
            <w:tcW w:w="2610" w:type="dxa"/>
            <w:tcBorders>
              <w:left w:val="single" w:sz="4" w:space="0" w:color="auto"/>
              <w:right w:val="single" w:sz="4" w:space="0" w:color="auto"/>
            </w:tcBorders>
          </w:tcPr>
          <w:p w:rsidR="0049258B" w:rsidRDefault="0049258B" w:rsidP="00974F85">
            <w:pPr>
              <w:spacing w:before="0" w:after="0"/>
              <w:jc w:val="center"/>
              <w:rPr>
                <w:szCs w:val="24"/>
              </w:rPr>
            </w:pPr>
            <w:r>
              <w:rPr>
                <w:szCs w:val="24"/>
              </w:rPr>
              <w:t>0.3</w:t>
            </w:r>
          </w:p>
        </w:tc>
        <w:tc>
          <w:tcPr>
            <w:tcW w:w="2520" w:type="dxa"/>
            <w:tcBorders>
              <w:left w:val="single" w:sz="4" w:space="0" w:color="auto"/>
              <w:right w:val="single" w:sz="4" w:space="0" w:color="auto"/>
            </w:tcBorders>
          </w:tcPr>
          <w:p w:rsidR="0049258B" w:rsidRDefault="0049258B" w:rsidP="00974F85">
            <w:pPr>
              <w:spacing w:before="0" w:after="0"/>
              <w:jc w:val="center"/>
              <w:rPr>
                <w:szCs w:val="24"/>
              </w:rPr>
            </w:pPr>
            <w:r>
              <w:rPr>
                <w:szCs w:val="24"/>
              </w:rPr>
              <w:t>0.3</w:t>
            </w:r>
          </w:p>
        </w:tc>
      </w:tr>
      <w:tr w:rsidR="0049258B" w:rsidRPr="00840D37" w:rsidTr="00C477DF">
        <w:trPr>
          <w:cantSplit/>
        </w:trPr>
        <w:tc>
          <w:tcPr>
            <w:tcW w:w="2610" w:type="dxa"/>
            <w:tcBorders>
              <w:left w:val="single" w:sz="4" w:space="0" w:color="auto"/>
              <w:right w:val="single" w:sz="4" w:space="0" w:color="auto"/>
            </w:tcBorders>
          </w:tcPr>
          <w:p w:rsidR="0049258B" w:rsidRPr="004430B5" w:rsidRDefault="0049258B" w:rsidP="004430B5">
            <w:pPr>
              <w:spacing w:before="0" w:after="0"/>
              <w:rPr>
                <w:szCs w:val="24"/>
                <w:lang w:val="en-US"/>
              </w:rPr>
            </w:pPr>
            <w:r w:rsidRPr="00840D37">
              <w:rPr>
                <w:szCs w:val="24"/>
              </w:rPr>
              <w:t>Poor quality sleep</w:t>
            </w:r>
          </w:p>
        </w:tc>
        <w:tc>
          <w:tcPr>
            <w:tcW w:w="2610" w:type="dxa"/>
            <w:tcBorders>
              <w:left w:val="single" w:sz="4" w:space="0" w:color="auto"/>
              <w:right w:val="single" w:sz="4" w:space="0" w:color="auto"/>
            </w:tcBorders>
          </w:tcPr>
          <w:p w:rsidR="0049258B" w:rsidRDefault="0049258B" w:rsidP="00974F85">
            <w:pPr>
              <w:spacing w:before="0" w:after="0"/>
              <w:jc w:val="center"/>
              <w:rPr>
                <w:szCs w:val="24"/>
              </w:rPr>
            </w:pPr>
            <w:r w:rsidRPr="00840D37">
              <w:rPr>
                <w:szCs w:val="24"/>
              </w:rPr>
              <w:t>&lt;0.1</w:t>
            </w:r>
          </w:p>
        </w:tc>
        <w:tc>
          <w:tcPr>
            <w:tcW w:w="2520" w:type="dxa"/>
            <w:tcBorders>
              <w:left w:val="single" w:sz="4" w:space="0" w:color="auto"/>
              <w:right w:val="single" w:sz="4" w:space="0" w:color="auto"/>
            </w:tcBorders>
          </w:tcPr>
          <w:p w:rsidR="0049258B" w:rsidRDefault="0049258B" w:rsidP="00974F85">
            <w:pPr>
              <w:spacing w:before="0" w:after="0"/>
              <w:jc w:val="center"/>
              <w:rPr>
                <w:szCs w:val="24"/>
              </w:rPr>
            </w:pPr>
            <w:r>
              <w:rPr>
                <w:szCs w:val="24"/>
              </w:rPr>
              <w:t>0.3</w:t>
            </w:r>
          </w:p>
        </w:tc>
      </w:tr>
      <w:tr w:rsidR="0049258B" w:rsidRPr="00840D37" w:rsidTr="00C477DF">
        <w:trPr>
          <w:cantSplit/>
        </w:trPr>
        <w:tc>
          <w:tcPr>
            <w:tcW w:w="2610" w:type="dxa"/>
            <w:tcBorders>
              <w:left w:val="single" w:sz="4" w:space="0" w:color="auto"/>
              <w:right w:val="single" w:sz="4" w:space="0" w:color="auto"/>
            </w:tcBorders>
          </w:tcPr>
          <w:p w:rsidR="0049258B" w:rsidRPr="004430B5" w:rsidRDefault="0049258B" w:rsidP="004430B5">
            <w:pPr>
              <w:spacing w:before="0" w:after="0"/>
              <w:rPr>
                <w:szCs w:val="24"/>
                <w:lang w:val="en-US"/>
              </w:rPr>
            </w:pPr>
            <w:proofErr w:type="spellStart"/>
            <w:r w:rsidRPr="00F92994">
              <w:rPr>
                <w:szCs w:val="24"/>
                <w:lang w:val="en-US"/>
              </w:rPr>
              <w:t>Dyssomnia</w:t>
            </w:r>
            <w:proofErr w:type="spellEnd"/>
          </w:p>
        </w:tc>
        <w:tc>
          <w:tcPr>
            <w:tcW w:w="2610" w:type="dxa"/>
            <w:tcBorders>
              <w:left w:val="single" w:sz="4" w:space="0" w:color="auto"/>
              <w:right w:val="single" w:sz="4" w:space="0" w:color="auto"/>
            </w:tcBorders>
          </w:tcPr>
          <w:p w:rsidR="0049258B" w:rsidRDefault="0049258B" w:rsidP="00974F85">
            <w:pPr>
              <w:spacing w:before="0" w:after="0"/>
              <w:jc w:val="center"/>
              <w:rPr>
                <w:szCs w:val="24"/>
              </w:rPr>
            </w:pPr>
            <w:r w:rsidRPr="00840D37">
              <w:rPr>
                <w:szCs w:val="24"/>
              </w:rPr>
              <w:t>&lt;0.1</w:t>
            </w:r>
          </w:p>
        </w:tc>
        <w:tc>
          <w:tcPr>
            <w:tcW w:w="2520" w:type="dxa"/>
            <w:tcBorders>
              <w:left w:val="single" w:sz="4" w:space="0" w:color="auto"/>
              <w:right w:val="single" w:sz="4" w:space="0" w:color="auto"/>
            </w:tcBorders>
          </w:tcPr>
          <w:p w:rsidR="0049258B" w:rsidRDefault="0049258B" w:rsidP="00974F85">
            <w:pPr>
              <w:spacing w:before="0" w:after="0"/>
              <w:jc w:val="center"/>
              <w:rPr>
                <w:szCs w:val="24"/>
              </w:rPr>
            </w:pPr>
            <w:r>
              <w:rPr>
                <w:szCs w:val="24"/>
              </w:rPr>
              <w:t>0.1</w:t>
            </w:r>
          </w:p>
        </w:tc>
      </w:tr>
      <w:tr w:rsidR="0049258B" w:rsidRPr="00840D37" w:rsidTr="00C477DF">
        <w:trPr>
          <w:cantSplit/>
        </w:trPr>
        <w:tc>
          <w:tcPr>
            <w:tcW w:w="2610" w:type="dxa"/>
            <w:tcBorders>
              <w:left w:val="single" w:sz="4" w:space="0" w:color="auto"/>
              <w:bottom w:val="single" w:sz="4" w:space="0" w:color="auto"/>
              <w:right w:val="single" w:sz="4" w:space="0" w:color="auto"/>
            </w:tcBorders>
          </w:tcPr>
          <w:p w:rsidR="0049258B" w:rsidRPr="004430B5" w:rsidRDefault="0049258B" w:rsidP="00437ACC">
            <w:pPr>
              <w:spacing w:before="0" w:after="0"/>
              <w:rPr>
                <w:szCs w:val="24"/>
                <w:lang w:val="en-US"/>
              </w:rPr>
            </w:pPr>
            <w:r w:rsidRPr="00840D37">
              <w:rPr>
                <w:szCs w:val="24"/>
              </w:rPr>
              <w:t>Terminal insomnia</w:t>
            </w:r>
          </w:p>
        </w:tc>
        <w:tc>
          <w:tcPr>
            <w:tcW w:w="2610" w:type="dxa"/>
            <w:tcBorders>
              <w:left w:val="single" w:sz="4" w:space="0" w:color="auto"/>
              <w:bottom w:val="single" w:sz="4" w:space="0" w:color="auto"/>
              <w:right w:val="single" w:sz="4" w:space="0" w:color="auto"/>
            </w:tcBorders>
          </w:tcPr>
          <w:p w:rsidR="0049258B" w:rsidRDefault="0049258B" w:rsidP="00437ACC">
            <w:pPr>
              <w:spacing w:before="0" w:after="0"/>
              <w:jc w:val="center"/>
              <w:rPr>
                <w:szCs w:val="24"/>
              </w:rPr>
            </w:pPr>
            <w:r>
              <w:rPr>
                <w:szCs w:val="24"/>
              </w:rPr>
              <w:t>&lt;</w:t>
            </w:r>
            <w:r w:rsidRPr="00840D37">
              <w:rPr>
                <w:szCs w:val="24"/>
              </w:rPr>
              <w:t>0.1</w:t>
            </w:r>
          </w:p>
        </w:tc>
        <w:tc>
          <w:tcPr>
            <w:tcW w:w="2520" w:type="dxa"/>
            <w:tcBorders>
              <w:left w:val="single" w:sz="4" w:space="0" w:color="auto"/>
              <w:bottom w:val="single" w:sz="4" w:space="0" w:color="auto"/>
              <w:right w:val="single" w:sz="4" w:space="0" w:color="auto"/>
            </w:tcBorders>
          </w:tcPr>
          <w:p w:rsidR="0049258B" w:rsidRDefault="0049258B" w:rsidP="00437ACC">
            <w:pPr>
              <w:spacing w:before="0" w:after="0"/>
              <w:jc w:val="center"/>
              <w:rPr>
                <w:szCs w:val="24"/>
              </w:rPr>
            </w:pPr>
            <w:r w:rsidRPr="00840D37">
              <w:rPr>
                <w:szCs w:val="24"/>
              </w:rPr>
              <w:t>0.0</w:t>
            </w:r>
          </w:p>
        </w:tc>
      </w:tr>
    </w:tbl>
    <w:p w:rsidR="007B7EE0" w:rsidRPr="007B7EE0" w:rsidRDefault="007B7EE0" w:rsidP="007B7EE0">
      <w:pPr>
        <w:widowControl w:val="0"/>
        <w:rPr>
          <w:b/>
          <w:szCs w:val="24"/>
        </w:rPr>
      </w:pPr>
      <w:r w:rsidRPr="007B7EE0">
        <w:rPr>
          <w:b/>
          <w:szCs w:val="24"/>
        </w:rPr>
        <w:t>Discontinuation symptoms</w:t>
      </w:r>
    </w:p>
    <w:p w:rsidR="007B7EE0" w:rsidRPr="007B7EE0" w:rsidRDefault="001D5489" w:rsidP="007B7EE0">
      <w:pPr>
        <w:widowControl w:val="0"/>
        <w:rPr>
          <w:szCs w:val="24"/>
        </w:rPr>
      </w:pPr>
      <w:r>
        <w:rPr>
          <w:szCs w:val="24"/>
        </w:rPr>
        <w:t>BRINTELLIX</w:t>
      </w:r>
      <w:r w:rsidR="007B7EE0" w:rsidRPr="007B7EE0">
        <w:rPr>
          <w:szCs w:val="24"/>
        </w:rPr>
        <w:t xml:space="preserve"> was not associated with an increase in signs or symptoms consistent with withdrawal effects. </w:t>
      </w:r>
    </w:p>
    <w:p w:rsidR="007B7EE0" w:rsidRPr="007B7EE0" w:rsidRDefault="007B7EE0" w:rsidP="007B7EE0">
      <w:pPr>
        <w:widowControl w:val="0"/>
        <w:rPr>
          <w:b/>
          <w:szCs w:val="24"/>
        </w:rPr>
      </w:pPr>
      <w:r w:rsidRPr="007B7EE0">
        <w:rPr>
          <w:b/>
          <w:szCs w:val="24"/>
        </w:rPr>
        <w:t>Weight</w:t>
      </w:r>
    </w:p>
    <w:p w:rsidR="007B7EE0" w:rsidRPr="007B7EE0" w:rsidRDefault="001D5489" w:rsidP="007B7EE0">
      <w:pPr>
        <w:widowControl w:val="0"/>
        <w:rPr>
          <w:szCs w:val="24"/>
        </w:rPr>
      </w:pPr>
      <w:r>
        <w:rPr>
          <w:szCs w:val="24"/>
        </w:rPr>
        <w:t>BRINTELLIX</w:t>
      </w:r>
      <w:r w:rsidR="007B7EE0" w:rsidRPr="007B7EE0">
        <w:rPr>
          <w:szCs w:val="24"/>
        </w:rPr>
        <w:t xml:space="preserve"> was not associated with weight gain (&lt;1 kg) in either short or long-term clinical studies.</w:t>
      </w:r>
    </w:p>
    <w:p w:rsidR="007B7EE0" w:rsidRPr="007B7EE0" w:rsidRDefault="007B7EE0" w:rsidP="007B7EE0">
      <w:pPr>
        <w:widowControl w:val="0"/>
        <w:rPr>
          <w:b/>
          <w:szCs w:val="24"/>
        </w:rPr>
      </w:pPr>
      <w:r w:rsidRPr="007B7EE0">
        <w:rPr>
          <w:b/>
          <w:szCs w:val="24"/>
        </w:rPr>
        <w:t>Cardiovascular</w:t>
      </w:r>
    </w:p>
    <w:p w:rsidR="007B7EE0" w:rsidRPr="007B7EE0" w:rsidRDefault="001D5489" w:rsidP="007B7EE0">
      <w:pPr>
        <w:widowControl w:val="0"/>
        <w:rPr>
          <w:szCs w:val="24"/>
        </w:rPr>
      </w:pPr>
      <w:r>
        <w:rPr>
          <w:szCs w:val="24"/>
        </w:rPr>
        <w:t xml:space="preserve">BRINTELLIX </w:t>
      </w:r>
      <w:r w:rsidR="007B7EE0" w:rsidRPr="007B7EE0">
        <w:rPr>
          <w:szCs w:val="24"/>
        </w:rPr>
        <w:t>was not associated with clinically significant effects on vital signs or the ECG.</w:t>
      </w:r>
      <w:r w:rsidR="00335D7D">
        <w:rPr>
          <w:szCs w:val="24"/>
        </w:rPr>
        <w:t xml:space="preserve"> </w:t>
      </w:r>
      <w:r w:rsidR="007B7EE0" w:rsidRPr="007B7EE0">
        <w:rPr>
          <w:szCs w:val="24"/>
        </w:rPr>
        <w:t xml:space="preserve"> In a randomi</w:t>
      </w:r>
      <w:r w:rsidR="00667C0B">
        <w:rPr>
          <w:szCs w:val="24"/>
        </w:rPr>
        <w:t>s</w:t>
      </w:r>
      <w:r w:rsidR="007B7EE0" w:rsidRPr="007B7EE0">
        <w:rPr>
          <w:szCs w:val="24"/>
        </w:rPr>
        <w:t xml:space="preserve">ed, placebo- and positive-controlled, parallel group, thorough </w:t>
      </w:r>
      <w:proofErr w:type="spellStart"/>
      <w:r w:rsidR="007B7EE0" w:rsidRPr="007B7EE0">
        <w:rPr>
          <w:szCs w:val="24"/>
        </w:rPr>
        <w:t>QTc</w:t>
      </w:r>
      <w:proofErr w:type="spellEnd"/>
      <w:r w:rsidR="007B7EE0" w:rsidRPr="007B7EE0">
        <w:rPr>
          <w:szCs w:val="24"/>
        </w:rPr>
        <w:t xml:space="preserve"> study in 340 healthy subjects, treatment with </w:t>
      </w:r>
      <w:r>
        <w:rPr>
          <w:szCs w:val="24"/>
        </w:rPr>
        <w:t>BRINTELLIX</w:t>
      </w:r>
      <w:r w:rsidR="007B7EE0" w:rsidRPr="007B7EE0">
        <w:rPr>
          <w:szCs w:val="24"/>
        </w:rPr>
        <w:t xml:space="preserve"> 10 or 40 mg/day for 14 days did not prolong the </w:t>
      </w:r>
      <w:proofErr w:type="spellStart"/>
      <w:r w:rsidR="007B7EE0" w:rsidRPr="007B7EE0">
        <w:rPr>
          <w:szCs w:val="24"/>
        </w:rPr>
        <w:t>QTc</w:t>
      </w:r>
      <w:proofErr w:type="spellEnd"/>
      <w:r w:rsidR="007B7EE0" w:rsidRPr="007B7EE0">
        <w:rPr>
          <w:szCs w:val="24"/>
        </w:rPr>
        <w:t xml:space="preserve"> interval.</w:t>
      </w:r>
    </w:p>
    <w:p w:rsidR="003A63D3" w:rsidRPr="00840D37" w:rsidRDefault="003A63D3" w:rsidP="003A63D3">
      <w:pPr>
        <w:widowControl w:val="0"/>
        <w:rPr>
          <w:szCs w:val="24"/>
        </w:rPr>
      </w:pPr>
      <w:r w:rsidRPr="00840D37">
        <w:rPr>
          <w:b/>
          <w:szCs w:val="24"/>
        </w:rPr>
        <w:t xml:space="preserve">Adverse Events </w:t>
      </w:r>
      <w:r w:rsidR="003416CD" w:rsidRPr="00840D37">
        <w:rPr>
          <w:b/>
          <w:szCs w:val="24"/>
        </w:rPr>
        <w:t>during</w:t>
      </w:r>
      <w:r w:rsidRPr="00840D37">
        <w:rPr>
          <w:b/>
          <w:szCs w:val="24"/>
        </w:rPr>
        <w:t xml:space="preserve"> Treatment up to 64 weeks</w:t>
      </w:r>
    </w:p>
    <w:p w:rsidR="003A63D3" w:rsidRPr="00840D37" w:rsidRDefault="003A63D3" w:rsidP="003A63D3">
      <w:pPr>
        <w:widowControl w:val="0"/>
        <w:rPr>
          <w:szCs w:val="24"/>
        </w:rPr>
      </w:pPr>
      <w:r w:rsidRPr="00840D37">
        <w:rPr>
          <w:szCs w:val="24"/>
        </w:rPr>
        <w:t xml:space="preserve">The adverse event profile of </w:t>
      </w:r>
      <w:r w:rsidR="001D5489">
        <w:rPr>
          <w:szCs w:val="24"/>
        </w:rPr>
        <w:t>BRINTELLIX</w:t>
      </w:r>
      <w:r w:rsidR="00C61D67">
        <w:rPr>
          <w:szCs w:val="24"/>
        </w:rPr>
        <w:t xml:space="preserve"> </w:t>
      </w:r>
      <w:r w:rsidRPr="00840D37">
        <w:rPr>
          <w:szCs w:val="24"/>
        </w:rPr>
        <w:t xml:space="preserve">in a longer term study in patients with MDD consisting of a 24-64 week placebo-controlled relapse observation phase in </w:t>
      </w:r>
      <w:r w:rsidR="00B72A98">
        <w:rPr>
          <w:szCs w:val="24"/>
        </w:rPr>
        <w:t xml:space="preserve">remitters after </w:t>
      </w:r>
      <w:r w:rsidRPr="00840D37">
        <w:rPr>
          <w:szCs w:val="24"/>
        </w:rPr>
        <w:t>a preceding 12-week acute treatment phase was similar to that observed in short-term studies.</w:t>
      </w:r>
    </w:p>
    <w:p w:rsidR="00395083" w:rsidRDefault="003A63D3" w:rsidP="00255B57">
      <w:pPr>
        <w:widowControl w:val="0"/>
        <w:spacing w:after="240"/>
        <w:rPr>
          <w:szCs w:val="24"/>
        </w:rPr>
      </w:pPr>
      <w:r w:rsidRPr="00840D37">
        <w:rPr>
          <w:szCs w:val="24"/>
        </w:rPr>
        <w:t xml:space="preserve">During long-term, double-blind treatment the overall incidence of Treatment-Emergent Adverse Events (TEAEs) was 62% for </w:t>
      </w:r>
      <w:r w:rsidR="001D5489">
        <w:rPr>
          <w:szCs w:val="24"/>
        </w:rPr>
        <w:t>BRINTELLIX</w:t>
      </w:r>
      <w:r w:rsidR="00C61D67">
        <w:rPr>
          <w:szCs w:val="24"/>
        </w:rPr>
        <w:t xml:space="preserve"> </w:t>
      </w:r>
      <w:r w:rsidRPr="00840D37">
        <w:rPr>
          <w:szCs w:val="24"/>
        </w:rPr>
        <w:t xml:space="preserve">and 64% for placebo.  Table 4 enumerates the incidence of TEAEs that occurred in 204 depressed patients who received </w:t>
      </w:r>
      <w:r w:rsidR="001D5489">
        <w:rPr>
          <w:szCs w:val="24"/>
        </w:rPr>
        <w:t>BRINTELLIX</w:t>
      </w:r>
      <w:r w:rsidR="00C61D67" w:rsidRPr="00840D37">
        <w:rPr>
          <w:szCs w:val="24"/>
        </w:rPr>
        <w:t xml:space="preserve"> </w:t>
      </w:r>
      <w:r w:rsidRPr="00840D37">
        <w:rPr>
          <w:szCs w:val="24"/>
        </w:rPr>
        <w:t xml:space="preserve">at 5 or 10 mg/day for 24 to 64 weeks. </w:t>
      </w:r>
      <w:r w:rsidR="00335D7D">
        <w:rPr>
          <w:szCs w:val="24"/>
        </w:rPr>
        <w:t xml:space="preserve"> </w:t>
      </w:r>
      <w:r w:rsidRPr="00840D37">
        <w:rPr>
          <w:szCs w:val="24"/>
        </w:rPr>
        <w:t xml:space="preserve">Events included are those occurring in 2% or more of patients treated with </w:t>
      </w:r>
      <w:r w:rsidR="001D5489">
        <w:rPr>
          <w:szCs w:val="24"/>
        </w:rPr>
        <w:t>BRINTELLIX</w:t>
      </w:r>
      <w:r w:rsidRPr="00840D37">
        <w:rPr>
          <w:szCs w:val="24"/>
        </w:rPr>
        <w:t xml:space="preserve">, and for which the incidence in patients treated with </w:t>
      </w:r>
      <w:r w:rsidR="001D5489">
        <w:rPr>
          <w:szCs w:val="24"/>
        </w:rPr>
        <w:t xml:space="preserve">BRINTELLIX </w:t>
      </w:r>
      <w:r w:rsidRPr="00840D37">
        <w:rPr>
          <w:szCs w:val="24"/>
        </w:rPr>
        <w:t>was greater than the incidence in placebo-treated patients.</w:t>
      </w:r>
    </w:p>
    <w:p w:rsidR="00395083" w:rsidRDefault="00395083">
      <w:r>
        <w:br w:type="page"/>
      </w:r>
    </w:p>
    <w:tbl>
      <w:tblPr>
        <w:tblW w:w="7740" w:type="dxa"/>
        <w:tblInd w:w="480" w:type="dxa"/>
        <w:tblLayout w:type="fixed"/>
        <w:tblCellMar>
          <w:left w:w="120" w:type="dxa"/>
          <w:right w:w="120" w:type="dxa"/>
        </w:tblCellMar>
        <w:tblLook w:val="0000" w:firstRow="0" w:lastRow="0" w:firstColumn="0" w:lastColumn="0" w:noHBand="0" w:noVBand="0"/>
      </w:tblPr>
      <w:tblGrid>
        <w:gridCol w:w="2610"/>
        <w:gridCol w:w="2610"/>
        <w:gridCol w:w="2520"/>
      </w:tblGrid>
      <w:tr w:rsidR="003A63D3" w:rsidRPr="00840D37" w:rsidTr="00B24496">
        <w:trPr>
          <w:cantSplit/>
          <w:tblHeader/>
        </w:trPr>
        <w:tc>
          <w:tcPr>
            <w:tcW w:w="7740" w:type="dxa"/>
            <w:gridSpan w:val="3"/>
            <w:tcBorders>
              <w:top w:val="single" w:sz="8" w:space="0" w:color="000000"/>
              <w:left w:val="single" w:sz="8" w:space="0" w:color="000000"/>
              <w:bottom w:val="single" w:sz="6" w:space="0" w:color="000000"/>
              <w:right w:val="single" w:sz="8" w:space="0" w:color="000000"/>
            </w:tcBorders>
          </w:tcPr>
          <w:p w:rsidR="0049258B" w:rsidRPr="002033D5" w:rsidRDefault="00395083" w:rsidP="004430B5">
            <w:pPr>
              <w:spacing w:before="0"/>
              <w:jc w:val="center"/>
              <w:rPr>
                <w:b/>
              </w:rPr>
            </w:pPr>
            <w:r>
              <w:rPr>
                <w:szCs w:val="24"/>
              </w:rPr>
              <w:lastRenderedPageBreak/>
              <w:br w:type="page"/>
            </w:r>
            <w:r w:rsidR="003A63D3" w:rsidRPr="00840D37">
              <w:br w:type="page"/>
            </w:r>
            <w:r w:rsidR="0049258B" w:rsidRPr="002033D5">
              <w:rPr>
                <w:b/>
              </w:rPr>
              <w:t>TABLE 4</w:t>
            </w:r>
          </w:p>
          <w:p w:rsidR="0049258B" w:rsidRPr="002033D5" w:rsidRDefault="0049258B" w:rsidP="0049258B">
            <w:pPr>
              <w:spacing w:before="0" w:after="0"/>
              <w:jc w:val="center"/>
              <w:rPr>
                <w:b/>
              </w:rPr>
            </w:pPr>
            <w:r w:rsidRPr="002033D5">
              <w:rPr>
                <w:b/>
              </w:rPr>
              <w:t>INCIDENCE OF ADVERSE EVENTS ≥2%</w:t>
            </w:r>
          </w:p>
          <w:p w:rsidR="003A63D3" w:rsidRPr="00840D37" w:rsidRDefault="0049258B" w:rsidP="004430B5">
            <w:pPr>
              <w:spacing w:before="0" w:after="0"/>
              <w:jc w:val="center"/>
            </w:pPr>
            <w:r w:rsidRPr="002033D5">
              <w:rPr>
                <w:b/>
              </w:rPr>
              <w:t>FOR DOUBLE-BLIND PERIOD OF MDD RELAPSE PREVENTION STUDY</w:t>
            </w:r>
          </w:p>
        </w:tc>
      </w:tr>
      <w:tr w:rsidR="003A63D3" w:rsidRPr="00840D37" w:rsidTr="00B24496">
        <w:trPr>
          <w:cantSplit/>
          <w:tblHeader/>
        </w:trPr>
        <w:tc>
          <w:tcPr>
            <w:tcW w:w="2610" w:type="dxa"/>
            <w:vMerge w:val="restart"/>
            <w:tcBorders>
              <w:top w:val="single" w:sz="6" w:space="0" w:color="000000"/>
              <w:left w:val="single" w:sz="8" w:space="0" w:color="000000"/>
              <w:bottom w:val="nil"/>
              <w:right w:val="single" w:sz="8" w:space="0" w:color="000000"/>
            </w:tcBorders>
            <w:vAlign w:val="center"/>
          </w:tcPr>
          <w:p w:rsidR="003A63D3" w:rsidRPr="004430B5" w:rsidRDefault="003A63D3" w:rsidP="004430B5">
            <w:pPr>
              <w:spacing w:before="0" w:after="0"/>
              <w:rPr>
                <w:b/>
              </w:rPr>
            </w:pPr>
            <w:r w:rsidRPr="004430B5">
              <w:rPr>
                <w:b/>
              </w:rPr>
              <w:t>Adverse Event</w:t>
            </w:r>
          </w:p>
        </w:tc>
        <w:tc>
          <w:tcPr>
            <w:tcW w:w="5130" w:type="dxa"/>
            <w:gridSpan w:val="2"/>
            <w:tcBorders>
              <w:top w:val="single" w:sz="6" w:space="0" w:color="000000"/>
              <w:left w:val="single" w:sz="8" w:space="0" w:color="000000"/>
              <w:bottom w:val="single" w:sz="6" w:space="0" w:color="000000"/>
              <w:right w:val="single" w:sz="8" w:space="0" w:color="000000"/>
            </w:tcBorders>
          </w:tcPr>
          <w:p w:rsidR="003A63D3" w:rsidRPr="00840D37" w:rsidRDefault="0049258B" w:rsidP="004430B5">
            <w:pPr>
              <w:keepNext/>
              <w:keepLines/>
              <w:spacing w:before="0" w:after="0"/>
              <w:jc w:val="center"/>
              <w:rPr>
                <w:b/>
                <w:bCs/>
                <w:szCs w:val="24"/>
              </w:rPr>
            </w:pPr>
            <w:r w:rsidRPr="00840D37">
              <w:rPr>
                <w:b/>
                <w:bCs/>
                <w:szCs w:val="24"/>
              </w:rPr>
              <w:t>Percentage of Patients Reporting</w:t>
            </w:r>
            <w:r w:rsidRPr="00840D37" w:rsidDel="0049258B">
              <w:rPr>
                <w:b/>
                <w:bCs/>
                <w:szCs w:val="24"/>
              </w:rPr>
              <w:t xml:space="preserve"> </w:t>
            </w:r>
          </w:p>
        </w:tc>
      </w:tr>
      <w:tr w:rsidR="003A63D3" w:rsidRPr="00840D37" w:rsidTr="004430B5">
        <w:trPr>
          <w:cantSplit/>
          <w:tblHeader/>
        </w:trPr>
        <w:tc>
          <w:tcPr>
            <w:tcW w:w="2610" w:type="dxa"/>
            <w:vMerge/>
            <w:tcBorders>
              <w:top w:val="nil"/>
              <w:left w:val="single" w:sz="8" w:space="0" w:color="000000"/>
              <w:bottom w:val="single" w:sz="4" w:space="0" w:color="auto"/>
              <w:right w:val="single" w:sz="8" w:space="0" w:color="000000"/>
            </w:tcBorders>
          </w:tcPr>
          <w:p w:rsidR="003A63D3" w:rsidRPr="00840D37" w:rsidRDefault="003A63D3" w:rsidP="004430B5">
            <w:pPr>
              <w:keepNext/>
              <w:keepLines/>
              <w:spacing w:before="0" w:after="0"/>
              <w:jc w:val="center"/>
              <w:rPr>
                <w:b/>
                <w:bCs/>
                <w:szCs w:val="24"/>
              </w:rPr>
            </w:pPr>
          </w:p>
        </w:tc>
        <w:tc>
          <w:tcPr>
            <w:tcW w:w="2610" w:type="dxa"/>
            <w:tcBorders>
              <w:top w:val="single" w:sz="6" w:space="0" w:color="000000"/>
              <w:left w:val="single" w:sz="8" w:space="0" w:color="000000"/>
              <w:bottom w:val="single" w:sz="4" w:space="0" w:color="auto"/>
              <w:right w:val="single" w:sz="8" w:space="0" w:color="000000"/>
            </w:tcBorders>
          </w:tcPr>
          <w:p w:rsidR="003A63D3" w:rsidRPr="00840D37" w:rsidRDefault="001D5489" w:rsidP="004430B5">
            <w:pPr>
              <w:keepNext/>
              <w:keepLines/>
              <w:spacing w:before="0" w:after="0"/>
              <w:jc w:val="center"/>
              <w:rPr>
                <w:b/>
                <w:bCs/>
                <w:szCs w:val="24"/>
              </w:rPr>
            </w:pPr>
            <w:r>
              <w:rPr>
                <w:szCs w:val="24"/>
              </w:rPr>
              <w:t xml:space="preserve">BRINTELLIX </w:t>
            </w:r>
            <w:r w:rsidR="003A63D3" w:rsidRPr="00840D37">
              <w:rPr>
                <w:b/>
                <w:bCs/>
                <w:szCs w:val="24"/>
              </w:rPr>
              <w:t>5 or 10 mg</w:t>
            </w:r>
          </w:p>
          <w:p w:rsidR="003A63D3" w:rsidRPr="00840D37" w:rsidRDefault="003A63D3" w:rsidP="004430B5">
            <w:pPr>
              <w:keepNext/>
              <w:keepLines/>
              <w:spacing w:before="0" w:after="0"/>
              <w:jc w:val="center"/>
              <w:rPr>
                <w:b/>
                <w:bCs/>
                <w:szCs w:val="24"/>
              </w:rPr>
            </w:pPr>
            <w:r w:rsidRPr="00840D37">
              <w:rPr>
                <w:b/>
                <w:bCs/>
                <w:szCs w:val="24"/>
              </w:rPr>
              <w:t>(n =204)</w:t>
            </w:r>
          </w:p>
        </w:tc>
        <w:tc>
          <w:tcPr>
            <w:tcW w:w="2520" w:type="dxa"/>
            <w:tcBorders>
              <w:top w:val="single" w:sz="8" w:space="0" w:color="000000"/>
              <w:left w:val="single" w:sz="8" w:space="0" w:color="000000"/>
              <w:bottom w:val="single" w:sz="4" w:space="0" w:color="auto"/>
              <w:right w:val="single" w:sz="8" w:space="0" w:color="000000"/>
            </w:tcBorders>
          </w:tcPr>
          <w:p w:rsidR="003A63D3" w:rsidRPr="00840D37" w:rsidRDefault="003A63D3" w:rsidP="004430B5">
            <w:pPr>
              <w:keepNext/>
              <w:keepLines/>
              <w:spacing w:before="0" w:after="0"/>
              <w:jc w:val="center"/>
              <w:rPr>
                <w:b/>
                <w:bCs/>
                <w:szCs w:val="24"/>
              </w:rPr>
            </w:pPr>
            <w:r w:rsidRPr="00840D37">
              <w:rPr>
                <w:b/>
                <w:bCs/>
                <w:szCs w:val="24"/>
              </w:rPr>
              <w:t>Placebo</w:t>
            </w:r>
          </w:p>
          <w:p w:rsidR="003A63D3" w:rsidRPr="00840D37" w:rsidRDefault="003A63D3" w:rsidP="004430B5">
            <w:pPr>
              <w:keepNext/>
              <w:keepLines/>
              <w:spacing w:before="0" w:after="0"/>
              <w:jc w:val="center"/>
              <w:rPr>
                <w:b/>
                <w:bCs/>
                <w:szCs w:val="24"/>
              </w:rPr>
            </w:pPr>
            <w:r w:rsidRPr="00840D37">
              <w:rPr>
                <w:b/>
                <w:bCs/>
                <w:szCs w:val="24"/>
              </w:rPr>
              <w:t>(n = 192)</w:t>
            </w:r>
          </w:p>
        </w:tc>
      </w:tr>
      <w:tr w:rsidR="003A63D3" w:rsidRPr="00840D37" w:rsidTr="004430B5">
        <w:trPr>
          <w:cantSplit/>
        </w:trPr>
        <w:tc>
          <w:tcPr>
            <w:tcW w:w="2610" w:type="dxa"/>
            <w:tcBorders>
              <w:top w:val="single" w:sz="4" w:space="0" w:color="auto"/>
              <w:left w:val="single" w:sz="4" w:space="0" w:color="auto"/>
              <w:right w:val="single" w:sz="4" w:space="0" w:color="auto"/>
            </w:tcBorders>
          </w:tcPr>
          <w:p w:rsidR="003A63D3" w:rsidRPr="00840D37" w:rsidRDefault="003A63D3" w:rsidP="004430B5">
            <w:pPr>
              <w:spacing w:before="0" w:after="0"/>
            </w:pPr>
            <w:r w:rsidRPr="00840D37">
              <w:t>Nausea</w:t>
            </w:r>
          </w:p>
        </w:tc>
        <w:tc>
          <w:tcPr>
            <w:tcW w:w="2610" w:type="dxa"/>
            <w:tcBorders>
              <w:top w:val="single" w:sz="4" w:space="0" w:color="auto"/>
              <w:left w:val="single" w:sz="4" w:space="0" w:color="auto"/>
              <w:right w:val="single" w:sz="4" w:space="0" w:color="auto"/>
            </w:tcBorders>
          </w:tcPr>
          <w:p w:rsidR="003A63D3" w:rsidRPr="00840D37" w:rsidRDefault="003A63D3" w:rsidP="004430B5">
            <w:pPr>
              <w:keepNext/>
              <w:keepLines/>
              <w:spacing w:before="0" w:after="0"/>
              <w:jc w:val="center"/>
              <w:rPr>
                <w:szCs w:val="24"/>
              </w:rPr>
            </w:pPr>
            <w:r w:rsidRPr="00840D37">
              <w:rPr>
                <w:szCs w:val="24"/>
              </w:rPr>
              <w:t>8.8</w:t>
            </w:r>
          </w:p>
        </w:tc>
        <w:tc>
          <w:tcPr>
            <w:tcW w:w="2520" w:type="dxa"/>
            <w:tcBorders>
              <w:top w:val="single" w:sz="4" w:space="0" w:color="auto"/>
              <w:left w:val="single" w:sz="4" w:space="0" w:color="auto"/>
              <w:right w:val="single" w:sz="4" w:space="0" w:color="auto"/>
            </w:tcBorders>
          </w:tcPr>
          <w:p w:rsidR="003A63D3" w:rsidRPr="00840D37" w:rsidRDefault="003A63D3" w:rsidP="004430B5">
            <w:pPr>
              <w:keepNext/>
              <w:keepLines/>
              <w:spacing w:before="0" w:after="0"/>
              <w:jc w:val="center"/>
              <w:rPr>
                <w:szCs w:val="24"/>
              </w:rPr>
            </w:pPr>
            <w:r w:rsidRPr="00840D37">
              <w:rPr>
                <w:szCs w:val="24"/>
              </w:rPr>
              <w:t>3.1</w:t>
            </w:r>
          </w:p>
        </w:tc>
      </w:tr>
      <w:tr w:rsidR="0049258B" w:rsidRPr="00840D37" w:rsidTr="004430B5">
        <w:trPr>
          <w:cantSplit/>
        </w:trPr>
        <w:tc>
          <w:tcPr>
            <w:tcW w:w="2610" w:type="dxa"/>
            <w:tcBorders>
              <w:left w:val="single" w:sz="4" w:space="0" w:color="auto"/>
              <w:right w:val="single" w:sz="4" w:space="0" w:color="auto"/>
            </w:tcBorders>
          </w:tcPr>
          <w:p w:rsidR="0049258B" w:rsidRPr="00840D37" w:rsidRDefault="0049258B" w:rsidP="004430B5">
            <w:pPr>
              <w:spacing w:before="0" w:after="0"/>
            </w:pPr>
            <w:r w:rsidRPr="00840D37">
              <w:t>Influenza</w:t>
            </w:r>
          </w:p>
        </w:tc>
        <w:tc>
          <w:tcPr>
            <w:tcW w:w="2610" w:type="dxa"/>
            <w:tcBorders>
              <w:left w:val="single" w:sz="4" w:space="0" w:color="auto"/>
              <w:right w:val="single" w:sz="4" w:space="0" w:color="auto"/>
            </w:tcBorders>
          </w:tcPr>
          <w:p w:rsidR="0049258B" w:rsidRPr="00840D37" w:rsidRDefault="0049258B" w:rsidP="004430B5">
            <w:pPr>
              <w:keepNext/>
              <w:keepLines/>
              <w:spacing w:before="0" w:after="0"/>
              <w:jc w:val="center"/>
              <w:rPr>
                <w:szCs w:val="24"/>
              </w:rPr>
            </w:pPr>
            <w:r w:rsidRPr="00840D37">
              <w:rPr>
                <w:szCs w:val="24"/>
              </w:rPr>
              <w:t>6.9</w:t>
            </w:r>
          </w:p>
        </w:tc>
        <w:tc>
          <w:tcPr>
            <w:tcW w:w="2520" w:type="dxa"/>
            <w:tcBorders>
              <w:left w:val="single" w:sz="4" w:space="0" w:color="auto"/>
              <w:right w:val="single" w:sz="4" w:space="0" w:color="auto"/>
            </w:tcBorders>
          </w:tcPr>
          <w:p w:rsidR="0049258B" w:rsidRPr="00840D37" w:rsidRDefault="0049258B" w:rsidP="004430B5">
            <w:pPr>
              <w:keepNext/>
              <w:keepLines/>
              <w:spacing w:before="0" w:after="0"/>
              <w:jc w:val="center"/>
              <w:rPr>
                <w:szCs w:val="24"/>
              </w:rPr>
            </w:pPr>
            <w:r w:rsidRPr="00840D37">
              <w:rPr>
                <w:szCs w:val="24"/>
              </w:rPr>
              <w:t>5.2</w:t>
            </w:r>
          </w:p>
        </w:tc>
      </w:tr>
      <w:tr w:rsidR="0049258B" w:rsidRPr="00840D37" w:rsidTr="004430B5">
        <w:trPr>
          <w:cantSplit/>
        </w:trPr>
        <w:tc>
          <w:tcPr>
            <w:tcW w:w="2610" w:type="dxa"/>
            <w:tcBorders>
              <w:left w:val="single" w:sz="4" w:space="0" w:color="auto"/>
              <w:right w:val="single" w:sz="4" w:space="0" w:color="auto"/>
            </w:tcBorders>
          </w:tcPr>
          <w:p w:rsidR="0049258B" w:rsidRPr="00840D37" w:rsidRDefault="0049258B" w:rsidP="004430B5">
            <w:pPr>
              <w:spacing w:before="0" w:after="0"/>
            </w:pPr>
            <w:r w:rsidRPr="00840D37">
              <w:t>Gastroenteritis</w:t>
            </w:r>
          </w:p>
        </w:tc>
        <w:tc>
          <w:tcPr>
            <w:tcW w:w="2610" w:type="dxa"/>
            <w:tcBorders>
              <w:left w:val="single" w:sz="4" w:space="0" w:color="auto"/>
              <w:right w:val="single" w:sz="4" w:space="0" w:color="auto"/>
            </w:tcBorders>
          </w:tcPr>
          <w:p w:rsidR="0049258B" w:rsidRPr="00840D37" w:rsidRDefault="0049258B" w:rsidP="004430B5">
            <w:pPr>
              <w:keepNext/>
              <w:keepLines/>
              <w:spacing w:before="0" w:after="0"/>
              <w:jc w:val="center"/>
              <w:rPr>
                <w:szCs w:val="24"/>
              </w:rPr>
            </w:pPr>
            <w:r w:rsidRPr="00840D37">
              <w:rPr>
                <w:szCs w:val="24"/>
              </w:rPr>
              <w:t>5.4</w:t>
            </w:r>
          </w:p>
        </w:tc>
        <w:tc>
          <w:tcPr>
            <w:tcW w:w="2520" w:type="dxa"/>
            <w:tcBorders>
              <w:left w:val="single" w:sz="4" w:space="0" w:color="auto"/>
              <w:right w:val="single" w:sz="4" w:space="0" w:color="auto"/>
            </w:tcBorders>
          </w:tcPr>
          <w:p w:rsidR="0049258B" w:rsidRPr="00840D37" w:rsidRDefault="0049258B" w:rsidP="004430B5">
            <w:pPr>
              <w:keepNext/>
              <w:keepLines/>
              <w:spacing w:before="0" w:after="0"/>
              <w:jc w:val="center"/>
              <w:rPr>
                <w:szCs w:val="24"/>
              </w:rPr>
            </w:pPr>
            <w:r w:rsidRPr="00840D37">
              <w:rPr>
                <w:szCs w:val="24"/>
              </w:rPr>
              <w:t>3.1</w:t>
            </w:r>
          </w:p>
        </w:tc>
      </w:tr>
      <w:tr w:rsidR="0049258B" w:rsidRPr="00840D37" w:rsidTr="004430B5">
        <w:trPr>
          <w:cantSplit/>
        </w:trPr>
        <w:tc>
          <w:tcPr>
            <w:tcW w:w="2610" w:type="dxa"/>
            <w:tcBorders>
              <w:left w:val="single" w:sz="4" w:space="0" w:color="auto"/>
              <w:right w:val="single" w:sz="4" w:space="0" w:color="auto"/>
            </w:tcBorders>
          </w:tcPr>
          <w:p w:rsidR="0049258B" w:rsidRPr="00840D37" w:rsidRDefault="0049258B" w:rsidP="004430B5">
            <w:pPr>
              <w:spacing w:before="0" w:after="0"/>
            </w:pPr>
            <w:r w:rsidRPr="00840D37">
              <w:t>Abdominal pain upper</w:t>
            </w:r>
          </w:p>
        </w:tc>
        <w:tc>
          <w:tcPr>
            <w:tcW w:w="2610" w:type="dxa"/>
            <w:tcBorders>
              <w:left w:val="single" w:sz="4" w:space="0" w:color="auto"/>
              <w:right w:val="single" w:sz="4" w:space="0" w:color="auto"/>
            </w:tcBorders>
          </w:tcPr>
          <w:p w:rsidR="0049258B" w:rsidRPr="00840D37" w:rsidRDefault="0049258B" w:rsidP="004430B5">
            <w:pPr>
              <w:keepNext/>
              <w:keepLines/>
              <w:spacing w:before="0" w:after="0"/>
              <w:jc w:val="center"/>
              <w:rPr>
                <w:szCs w:val="24"/>
              </w:rPr>
            </w:pPr>
            <w:r w:rsidRPr="00840D37">
              <w:rPr>
                <w:szCs w:val="24"/>
              </w:rPr>
              <w:t>4.9</w:t>
            </w:r>
          </w:p>
        </w:tc>
        <w:tc>
          <w:tcPr>
            <w:tcW w:w="2520" w:type="dxa"/>
            <w:tcBorders>
              <w:left w:val="single" w:sz="4" w:space="0" w:color="auto"/>
              <w:right w:val="single" w:sz="4" w:space="0" w:color="auto"/>
            </w:tcBorders>
          </w:tcPr>
          <w:p w:rsidR="0049258B" w:rsidRPr="00840D37" w:rsidRDefault="0049258B" w:rsidP="004430B5">
            <w:pPr>
              <w:keepNext/>
              <w:keepLines/>
              <w:spacing w:before="0" w:after="0"/>
              <w:jc w:val="center"/>
              <w:rPr>
                <w:szCs w:val="24"/>
              </w:rPr>
            </w:pPr>
            <w:r w:rsidRPr="00840D37">
              <w:rPr>
                <w:szCs w:val="24"/>
              </w:rPr>
              <w:t>1.0</w:t>
            </w:r>
          </w:p>
        </w:tc>
      </w:tr>
      <w:tr w:rsidR="0049258B" w:rsidRPr="00840D37" w:rsidTr="004430B5">
        <w:trPr>
          <w:cantSplit/>
        </w:trPr>
        <w:tc>
          <w:tcPr>
            <w:tcW w:w="2610" w:type="dxa"/>
            <w:tcBorders>
              <w:left w:val="single" w:sz="4" w:space="0" w:color="auto"/>
              <w:right w:val="single" w:sz="4" w:space="0" w:color="auto"/>
            </w:tcBorders>
          </w:tcPr>
          <w:p w:rsidR="0049258B" w:rsidRPr="00840D37" w:rsidRDefault="0049258B" w:rsidP="004430B5">
            <w:pPr>
              <w:spacing w:before="0" w:after="0"/>
            </w:pPr>
            <w:r w:rsidRPr="00840D37">
              <w:t>Insomnia</w:t>
            </w:r>
          </w:p>
        </w:tc>
        <w:tc>
          <w:tcPr>
            <w:tcW w:w="2610" w:type="dxa"/>
            <w:tcBorders>
              <w:left w:val="single" w:sz="4" w:space="0" w:color="auto"/>
              <w:right w:val="single" w:sz="4" w:space="0" w:color="auto"/>
            </w:tcBorders>
          </w:tcPr>
          <w:p w:rsidR="0049258B" w:rsidRPr="00840D37" w:rsidRDefault="0049258B" w:rsidP="004430B5">
            <w:pPr>
              <w:keepNext/>
              <w:keepLines/>
              <w:spacing w:before="0" w:after="0"/>
              <w:jc w:val="center"/>
              <w:rPr>
                <w:szCs w:val="24"/>
              </w:rPr>
            </w:pPr>
            <w:r w:rsidRPr="00840D37">
              <w:rPr>
                <w:szCs w:val="24"/>
              </w:rPr>
              <w:t>2.5</w:t>
            </w:r>
          </w:p>
        </w:tc>
        <w:tc>
          <w:tcPr>
            <w:tcW w:w="2520" w:type="dxa"/>
            <w:tcBorders>
              <w:left w:val="single" w:sz="4" w:space="0" w:color="auto"/>
              <w:right w:val="single" w:sz="4" w:space="0" w:color="auto"/>
            </w:tcBorders>
          </w:tcPr>
          <w:p w:rsidR="0049258B" w:rsidRPr="00840D37" w:rsidRDefault="0049258B" w:rsidP="004430B5">
            <w:pPr>
              <w:keepNext/>
              <w:keepLines/>
              <w:spacing w:before="0" w:after="0"/>
              <w:jc w:val="center"/>
              <w:rPr>
                <w:szCs w:val="24"/>
              </w:rPr>
            </w:pPr>
            <w:r w:rsidRPr="00840D37">
              <w:rPr>
                <w:szCs w:val="24"/>
              </w:rPr>
              <w:t>1.6</w:t>
            </w:r>
          </w:p>
        </w:tc>
      </w:tr>
      <w:tr w:rsidR="0049258B" w:rsidRPr="00840D37" w:rsidTr="004430B5">
        <w:trPr>
          <w:cantSplit/>
        </w:trPr>
        <w:tc>
          <w:tcPr>
            <w:tcW w:w="2610" w:type="dxa"/>
            <w:tcBorders>
              <w:left w:val="single" w:sz="4" w:space="0" w:color="auto"/>
              <w:right w:val="single" w:sz="4" w:space="0" w:color="auto"/>
            </w:tcBorders>
          </w:tcPr>
          <w:p w:rsidR="0049258B" w:rsidRPr="00840D37" w:rsidRDefault="0049258B" w:rsidP="004430B5">
            <w:pPr>
              <w:spacing w:before="0" w:after="0"/>
            </w:pPr>
            <w:r w:rsidRPr="00840D37">
              <w:t>Dry mouth</w:t>
            </w:r>
          </w:p>
        </w:tc>
        <w:tc>
          <w:tcPr>
            <w:tcW w:w="2610" w:type="dxa"/>
            <w:tcBorders>
              <w:left w:val="single" w:sz="4" w:space="0" w:color="auto"/>
              <w:right w:val="single" w:sz="4" w:space="0" w:color="auto"/>
            </w:tcBorders>
          </w:tcPr>
          <w:p w:rsidR="0049258B" w:rsidRPr="00840D37" w:rsidRDefault="0049258B" w:rsidP="004430B5">
            <w:pPr>
              <w:keepNext/>
              <w:keepLines/>
              <w:spacing w:before="0" w:after="0"/>
              <w:jc w:val="center"/>
              <w:rPr>
                <w:szCs w:val="24"/>
              </w:rPr>
            </w:pPr>
            <w:r w:rsidRPr="00840D37">
              <w:rPr>
                <w:szCs w:val="24"/>
              </w:rPr>
              <w:t>2.0</w:t>
            </w:r>
          </w:p>
        </w:tc>
        <w:tc>
          <w:tcPr>
            <w:tcW w:w="2520" w:type="dxa"/>
            <w:tcBorders>
              <w:left w:val="single" w:sz="4" w:space="0" w:color="auto"/>
              <w:right w:val="single" w:sz="4" w:space="0" w:color="auto"/>
            </w:tcBorders>
          </w:tcPr>
          <w:p w:rsidR="0049258B" w:rsidRPr="00840D37" w:rsidRDefault="0049258B" w:rsidP="004430B5">
            <w:pPr>
              <w:keepNext/>
              <w:keepLines/>
              <w:spacing w:before="0" w:after="0"/>
              <w:jc w:val="center"/>
              <w:rPr>
                <w:szCs w:val="24"/>
              </w:rPr>
            </w:pPr>
            <w:r w:rsidRPr="00840D37">
              <w:rPr>
                <w:szCs w:val="24"/>
              </w:rPr>
              <w:t>0.0</w:t>
            </w:r>
          </w:p>
        </w:tc>
      </w:tr>
      <w:tr w:rsidR="0049258B" w:rsidRPr="00840D37" w:rsidTr="004430B5">
        <w:trPr>
          <w:cantSplit/>
        </w:trPr>
        <w:tc>
          <w:tcPr>
            <w:tcW w:w="2610" w:type="dxa"/>
            <w:tcBorders>
              <w:left w:val="single" w:sz="4" w:space="0" w:color="auto"/>
              <w:right w:val="single" w:sz="4" w:space="0" w:color="auto"/>
            </w:tcBorders>
          </w:tcPr>
          <w:p w:rsidR="0049258B" w:rsidRPr="00840D37" w:rsidRDefault="0049258B" w:rsidP="004430B5">
            <w:pPr>
              <w:spacing w:before="0" w:after="0"/>
            </w:pPr>
            <w:r w:rsidRPr="00840D37">
              <w:t>Back pain</w:t>
            </w:r>
          </w:p>
        </w:tc>
        <w:tc>
          <w:tcPr>
            <w:tcW w:w="2610" w:type="dxa"/>
            <w:tcBorders>
              <w:left w:val="single" w:sz="4" w:space="0" w:color="auto"/>
              <w:right w:val="single" w:sz="4" w:space="0" w:color="auto"/>
            </w:tcBorders>
          </w:tcPr>
          <w:p w:rsidR="0049258B" w:rsidRPr="00840D37" w:rsidRDefault="0049258B" w:rsidP="004430B5">
            <w:pPr>
              <w:keepNext/>
              <w:keepLines/>
              <w:spacing w:before="0" w:after="0"/>
              <w:jc w:val="center"/>
              <w:rPr>
                <w:szCs w:val="24"/>
              </w:rPr>
            </w:pPr>
            <w:r w:rsidRPr="00840D37">
              <w:rPr>
                <w:szCs w:val="24"/>
              </w:rPr>
              <w:t>2.0</w:t>
            </w:r>
          </w:p>
        </w:tc>
        <w:tc>
          <w:tcPr>
            <w:tcW w:w="2520" w:type="dxa"/>
            <w:tcBorders>
              <w:left w:val="single" w:sz="4" w:space="0" w:color="auto"/>
              <w:right w:val="single" w:sz="4" w:space="0" w:color="auto"/>
            </w:tcBorders>
          </w:tcPr>
          <w:p w:rsidR="0049258B" w:rsidRPr="00840D37" w:rsidRDefault="0049258B" w:rsidP="004430B5">
            <w:pPr>
              <w:keepNext/>
              <w:keepLines/>
              <w:spacing w:before="0" w:after="0"/>
              <w:jc w:val="center"/>
              <w:rPr>
                <w:szCs w:val="24"/>
              </w:rPr>
            </w:pPr>
            <w:r w:rsidRPr="00840D37">
              <w:rPr>
                <w:szCs w:val="24"/>
              </w:rPr>
              <w:t>0.5</w:t>
            </w:r>
          </w:p>
        </w:tc>
      </w:tr>
      <w:tr w:rsidR="0049258B" w:rsidRPr="00840D37" w:rsidTr="004430B5">
        <w:trPr>
          <w:cantSplit/>
        </w:trPr>
        <w:tc>
          <w:tcPr>
            <w:tcW w:w="2610" w:type="dxa"/>
            <w:tcBorders>
              <w:left w:val="single" w:sz="4" w:space="0" w:color="auto"/>
              <w:bottom w:val="single" w:sz="4" w:space="0" w:color="auto"/>
              <w:right w:val="single" w:sz="4" w:space="0" w:color="auto"/>
            </w:tcBorders>
          </w:tcPr>
          <w:p w:rsidR="0049258B" w:rsidRPr="00840D37" w:rsidRDefault="0049258B" w:rsidP="004430B5">
            <w:pPr>
              <w:spacing w:before="0" w:after="0"/>
            </w:pPr>
            <w:r w:rsidRPr="00840D37">
              <w:t>Asthenia</w:t>
            </w:r>
          </w:p>
        </w:tc>
        <w:tc>
          <w:tcPr>
            <w:tcW w:w="2610" w:type="dxa"/>
            <w:tcBorders>
              <w:left w:val="single" w:sz="4" w:space="0" w:color="auto"/>
              <w:bottom w:val="single" w:sz="4" w:space="0" w:color="auto"/>
              <w:right w:val="single" w:sz="4" w:space="0" w:color="auto"/>
            </w:tcBorders>
          </w:tcPr>
          <w:p w:rsidR="0049258B" w:rsidRPr="00840D37" w:rsidRDefault="0049258B" w:rsidP="004430B5">
            <w:pPr>
              <w:keepNext/>
              <w:keepLines/>
              <w:spacing w:before="0" w:after="0"/>
              <w:jc w:val="center"/>
              <w:rPr>
                <w:szCs w:val="24"/>
              </w:rPr>
            </w:pPr>
            <w:r w:rsidRPr="00840D37">
              <w:rPr>
                <w:szCs w:val="24"/>
              </w:rPr>
              <w:t>2.0</w:t>
            </w:r>
          </w:p>
        </w:tc>
        <w:tc>
          <w:tcPr>
            <w:tcW w:w="2520" w:type="dxa"/>
            <w:tcBorders>
              <w:left w:val="single" w:sz="4" w:space="0" w:color="auto"/>
              <w:bottom w:val="single" w:sz="4" w:space="0" w:color="auto"/>
              <w:right w:val="single" w:sz="4" w:space="0" w:color="auto"/>
            </w:tcBorders>
          </w:tcPr>
          <w:p w:rsidR="0049258B" w:rsidRPr="00840D37" w:rsidRDefault="0049258B" w:rsidP="004430B5">
            <w:pPr>
              <w:keepNext/>
              <w:keepLines/>
              <w:spacing w:before="0" w:after="0"/>
              <w:jc w:val="center"/>
              <w:rPr>
                <w:szCs w:val="24"/>
              </w:rPr>
            </w:pPr>
            <w:r w:rsidRPr="00840D37">
              <w:rPr>
                <w:szCs w:val="24"/>
              </w:rPr>
              <w:t>0.5</w:t>
            </w:r>
          </w:p>
        </w:tc>
      </w:tr>
    </w:tbl>
    <w:p w:rsidR="003A63D3" w:rsidRPr="003416CD" w:rsidRDefault="003A63D3" w:rsidP="00255B57">
      <w:pPr>
        <w:widowControl w:val="0"/>
        <w:spacing w:before="240"/>
        <w:rPr>
          <w:szCs w:val="24"/>
        </w:rPr>
      </w:pPr>
      <w:r w:rsidRPr="003416CD">
        <w:rPr>
          <w:b/>
          <w:szCs w:val="24"/>
        </w:rPr>
        <w:t xml:space="preserve">Less Common Clinical </w:t>
      </w:r>
      <w:r w:rsidR="00E47981">
        <w:rPr>
          <w:b/>
          <w:szCs w:val="24"/>
        </w:rPr>
        <w:t>Study</w:t>
      </w:r>
      <w:r w:rsidRPr="003416CD">
        <w:rPr>
          <w:b/>
          <w:szCs w:val="24"/>
        </w:rPr>
        <w:t xml:space="preserve"> Adverse Drug Reactions</w:t>
      </w:r>
      <w:r w:rsidRPr="003416CD">
        <w:rPr>
          <w:szCs w:val="24"/>
        </w:rPr>
        <w:t xml:space="preserve"> </w:t>
      </w:r>
    </w:p>
    <w:p w:rsidR="003A63D3" w:rsidRPr="00840D37" w:rsidRDefault="003A63D3" w:rsidP="003A63D3">
      <w:pPr>
        <w:widowControl w:val="0"/>
        <w:rPr>
          <w:szCs w:val="24"/>
        </w:rPr>
      </w:pPr>
      <w:r w:rsidRPr="00840D37">
        <w:rPr>
          <w:szCs w:val="24"/>
        </w:rPr>
        <w:t xml:space="preserve">The events listed below present treatment emergent adverse events occurring in less than 1% of the patients treated with </w:t>
      </w:r>
      <w:r w:rsidR="001D5489">
        <w:rPr>
          <w:szCs w:val="24"/>
        </w:rPr>
        <w:t xml:space="preserve">BRINTELLIX </w:t>
      </w:r>
      <w:r w:rsidRPr="00840D37">
        <w:rPr>
          <w:szCs w:val="24"/>
        </w:rPr>
        <w:t xml:space="preserve">(5 to 20 mg/day) in </w:t>
      </w:r>
      <w:r w:rsidR="001065B1">
        <w:rPr>
          <w:szCs w:val="24"/>
        </w:rPr>
        <w:t>12</w:t>
      </w:r>
      <w:r w:rsidR="001065B1" w:rsidRPr="00840D37">
        <w:rPr>
          <w:szCs w:val="24"/>
        </w:rPr>
        <w:t xml:space="preserve"> </w:t>
      </w:r>
      <w:r w:rsidRPr="00840D37">
        <w:rPr>
          <w:szCs w:val="24"/>
        </w:rPr>
        <w:t>short-term placebo-controlled studies in depressed patients</w:t>
      </w:r>
      <w:r w:rsidR="001065B1">
        <w:rPr>
          <w:szCs w:val="24"/>
        </w:rPr>
        <w:t xml:space="preserve"> (n=3460)</w:t>
      </w:r>
      <w:r w:rsidRPr="00840D37">
        <w:rPr>
          <w:szCs w:val="24"/>
        </w:rPr>
        <w:t xml:space="preserve">. </w:t>
      </w:r>
      <w:r w:rsidR="00667C0B">
        <w:rPr>
          <w:szCs w:val="24"/>
        </w:rPr>
        <w:t xml:space="preserve"> </w:t>
      </w:r>
      <w:r w:rsidRPr="00840D37">
        <w:rPr>
          <w:szCs w:val="24"/>
        </w:rPr>
        <w:t>The listing does not include events: 1) already listed in previous tables or elsewhere in labe</w:t>
      </w:r>
      <w:r w:rsidR="001065B1">
        <w:rPr>
          <w:szCs w:val="24"/>
        </w:rPr>
        <w:t>l</w:t>
      </w:r>
      <w:r w:rsidRPr="00840D37">
        <w:rPr>
          <w:szCs w:val="24"/>
        </w:rPr>
        <w:t>ling, 2) for which a drug cause was remote,</w:t>
      </w:r>
      <w:proofErr w:type="gramStart"/>
      <w:r w:rsidRPr="00840D37">
        <w:rPr>
          <w:szCs w:val="24"/>
        </w:rPr>
        <w:t xml:space="preserve"> 3) which were so general as to be uninformative</w:t>
      </w:r>
      <w:proofErr w:type="gramEnd"/>
      <w:r w:rsidRPr="00840D37">
        <w:rPr>
          <w:szCs w:val="24"/>
        </w:rPr>
        <w:t>, 4) which were not considered to have significant clinical implications, or 5) which occurred at a rate</w:t>
      </w:r>
      <w:r w:rsidR="00452FFD">
        <w:rPr>
          <w:szCs w:val="24"/>
        </w:rPr>
        <w:t xml:space="preserve"> equal to or less than placebo.</w:t>
      </w:r>
    </w:p>
    <w:p w:rsidR="001065B1" w:rsidRPr="001065B1" w:rsidRDefault="003A63D3" w:rsidP="001065B1">
      <w:pPr>
        <w:widowControl w:val="0"/>
        <w:rPr>
          <w:szCs w:val="24"/>
        </w:rPr>
      </w:pPr>
      <w:r w:rsidRPr="003E0AF3">
        <w:rPr>
          <w:szCs w:val="24"/>
        </w:rPr>
        <w:t>The events are categori</w:t>
      </w:r>
      <w:r w:rsidR="00667C0B">
        <w:rPr>
          <w:szCs w:val="24"/>
        </w:rPr>
        <w:t>s</w:t>
      </w:r>
      <w:r w:rsidRPr="003E0AF3">
        <w:rPr>
          <w:szCs w:val="24"/>
        </w:rPr>
        <w:t>ed by body system according to the following definitions</w:t>
      </w:r>
      <w:r w:rsidR="001065B1">
        <w:rPr>
          <w:szCs w:val="24"/>
        </w:rPr>
        <w:t xml:space="preserve">: </w:t>
      </w:r>
      <w:r w:rsidR="001065B1" w:rsidRPr="001065B1">
        <w:rPr>
          <w:szCs w:val="24"/>
        </w:rPr>
        <w:t xml:space="preserve">Uncommon adverse reactions are those occurring in 1/100 to 1/1000 patients; rare reactions are those occurring in less than 1/1000 patients. </w:t>
      </w:r>
    </w:p>
    <w:p w:rsidR="003A63D3" w:rsidRPr="003E0AF3" w:rsidRDefault="003A63D3" w:rsidP="003A63D3">
      <w:pPr>
        <w:jc w:val="both"/>
        <w:rPr>
          <w:szCs w:val="24"/>
        </w:rPr>
      </w:pPr>
      <w:r w:rsidRPr="003E0AF3">
        <w:rPr>
          <w:b/>
          <w:szCs w:val="24"/>
        </w:rPr>
        <w:t>Ear and Labyrinth Disorders</w:t>
      </w:r>
    </w:p>
    <w:p w:rsidR="003A63D3" w:rsidRPr="003E0AF3" w:rsidRDefault="00667C0B" w:rsidP="003A63D3">
      <w:pPr>
        <w:widowControl w:val="0"/>
        <w:rPr>
          <w:szCs w:val="24"/>
        </w:rPr>
      </w:pPr>
      <w:r>
        <w:rPr>
          <w:i/>
          <w:szCs w:val="24"/>
        </w:rPr>
        <w:t>Uncommon</w:t>
      </w:r>
      <w:r w:rsidR="003A63D3" w:rsidRPr="003E0AF3">
        <w:rPr>
          <w:i/>
          <w:szCs w:val="24"/>
        </w:rPr>
        <w:t>:</w:t>
      </w:r>
      <w:r w:rsidR="003A63D3" w:rsidRPr="003E0AF3">
        <w:rPr>
          <w:szCs w:val="24"/>
        </w:rPr>
        <w:t xml:space="preserve"> Vertigo</w:t>
      </w:r>
    </w:p>
    <w:p w:rsidR="003A63D3" w:rsidRPr="003E0AF3" w:rsidRDefault="003A63D3" w:rsidP="003A63D3">
      <w:pPr>
        <w:jc w:val="both"/>
        <w:rPr>
          <w:szCs w:val="24"/>
        </w:rPr>
      </w:pPr>
      <w:r w:rsidRPr="003E0AF3">
        <w:rPr>
          <w:b/>
          <w:szCs w:val="24"/>
        </w:rPr>
        <w:t>Eye Disorders</w:t>
      </w:r>
    </w:p>
    <w:p w:rsidR="003A63D3" w:rsidRPr="003E0AF3" w:rsidRDefault="00667C0B" w:rsidP="003A63D3">
      <w:pPr>
        <w:widowControl w:val="0"/>
        <w:rPr>
          <w:szCs w:val="24"/>
        </w:rPr>
      </w:pPr>
      <w:r>
        <w:rPr>
          <w:i/>
          <w:szCs w:val="24"/>
        </w:rPr>
        <w:t>Uncommon</w:t>
      </w:r>
      <w:r w:rsidR="003A63D3" w:rsidRPr="003E0AF3">
        <w:rPr>
          <w:i/>
          <w:szCs w:val="24"/>
        </w:rPr>
        <w:t>:</w:t>
      </w:r>
      <w:r w:rsidR="003A63D3" w:rsidRPr="003E0AF3">
        <w:rPr>
          <w:szCs w:val="24"/>
        </w:rPr>
        <w:t xml:space="preserve"> Dry eye</w:t>
      </w:r>
    </w:p>
    <w:p w:rsidR="003A63D3" w:rsidRPr="003E0AF3" w:rsidRDefault="003A63D3" w:rsidP="003A63D3">
      <w:pPr>
        <w:jc w:val="both"/>
        <w:rPr>
          <w:szCs w:val="24"/>
        </w:rPr>
      </w:pPr>
      <w:r w:rsidRPr="003E0AF3">
        <w:rPr>
          <w:b/>
          <w:szCs w:val="24"/>
        </w:rPr>
        <w:t>Gastrointestinal Disorders</w:t>
      </w:r>
    </w:p>
    <w:p w:rsidR="003A63D3" w:rsidRPr="003E0AF3" w:rsidRDefault="00667C0B" w:rsidP="003A63D3">
      <w:pPr>
        <w:widowControl w:val="0"/>
        <w:rPr>
          <w:szCs w:val="24"/>
        </w:rPr>
      </w:pPr>
      <w:r>
        <w:rPr>
          <w:i/>
          <w:szCs w:val="24"/>
        </w:rPr>
        <w:t>Uncommon</w:t>
      </w:r>
      <w:r w:rsidR="003A63D3" w:rsidRPr="003E0AF3">
        <w:rPr>
          <w:i/>
          <w:szCs w:val="24"/>
        </w:rPr>
        <w:t>:</w:t>
      </w:r>
      <w:r w:rsidR="003A63D3" w:rsidRPr="003E0AF3">
        <w:rPr>
          <w:szCs w:val="24"/>
        </w:rPr>
        <w:t xml:space="preserve"> Abdominal distension, gastritis, epigastric discomfort, salivary </w:t>
      </w:r>
      <w:proofErr w:type="spellStart"/>
      <w:r w:rsidR="003A63D3" w:rsidRPr="003E0AF3">
        <w:rPr>
          <w:szCs w:val="24"/>
        </w:rPr>
        <w:t>hypersecretion</w:t>
      </w:r>
      <w:proofErr w:type="spellEnd"/>
    </w:p>
    <w:p w:rsidR="003A63D3" w:rsidRPr="003E0AF3" w:rsidRDefault="003A63D3" w:rsidP="003A63D3">
      <w:pPr>
        <w:keepNext/>
        <w:keepLines/>
        <w:jc w:val="both"/>
        <w:rPr>
          <w:szCs w:val="24"/>
        </w:rPr>
      </w:pPr>
      <w:r w:rsidRPr="003E0AF3">
        <w:rPr>
          <w:b/>
          <w:szCs w:val="24"/>
        </w:rPr>
        <w:t>General Disorders and Administration Site Conditions</w:t>
      </w:r>
    </w:p>
    <w:p w:rsidR="003A63D3" w:rsidRPr="003E0AF3" w:rsidRDefault="00667C0B" w:rsidP="003A63D3">
      <w:pPr>
        <w:keepNext/>
        <w:keepLines/>
        <w:widowControl w:val="0"/>
        <w:rPr>
          <w:szCs w:val="24"/>
        </w:rPr>
      </w:pPr>
      <w:r>
        <w:rPr>
          <w:i/>
          <w:szCs w:val="24"/>
        </w:rPr>
        <w:t>Uncommon</w:t>
      </w:r>
      <w:r w:rsidR="003A63D3" w:rsidRPr="003E0AF3">
        <w:rPr>
          <w:i/>
          <w:szCs w:val="24"/>
        </w:rPr>
        <w:t>:</w:t>
      </w:r>
      <w:r w:rsidR="003A63D3" w:rsidRPr="003E0AF3">
        <w:rPr>
          <w:szCs w:val="24"/>
        </w:rPr>
        <w:t xml:space="preserve"> </w:t>
      </w:r>
      <w:r w:rsidR="001065B1">
        <w:rPr>
          <w:szCs w:val="24"/>
        </w:rPr>
        <w:t>C</w:t>
      </w:r>
      <w:r w:rsidR="003A63D3" w:rsidRPr="003E0AF3">
        <w:rPr>
          <w:szCs w:val="24"/>
        </w:rPr>
        <w:t>hest discomfort, malaise</w:t>
      </w:r>
    </w:p>
    <w:p w:rsidR="003A63D3" w:rsidRPr="003E0AF3" w:rsidRDefault="003A63D3" w:rsidP="003A63D3">
      <w:pPr>
        <w:jc w:val="both"/>
        <w:rPr>
          <w:szCs w:val="24"/>
        </w:rPr>
      </w:pPr>
      <w:r w:rsidRPr="003E0AF3">
        <w:rPr>
          <w:b/>
          <w:szCs w:val="24"/>
        </w:rPr>
        <w:t>Investigations</w:t>
      </w:r>
    </w:p>
    <w:p w:rsidR="003A63D3" w:rsidRPr="003E0AF3" w:rsidRDefault="00667C0B" w:rsidP="003A63D3">
      <w:pPr>
        <w:widowControl w:val="0"/>
        <w:rPr>
          <w:szCs w:val="24"/>
        </w:rPr>
      </w:pPr>
      <w:r>
        <w:rPr>
          <w:i/>
          <w:szCs w:val="24"/>
        </w:rPr>
        <w:t>Uncommon</w:t>
      </w:r>
      <w:r w:rsidR="003A63D3" w:rsidRPr="003E0AF3">
        <w:rPr>
          <w:i/>
          <w:szCs w:val="24"/>
        </w:rPr>
        <w:t>:</w:t>
      </w:r>
      <w:r w:rsidR="003A63D3" w:rsidRPr="003E0AF3">
        <w:rPr>
          <w:szCs w:val="24"/>
        </w:rPr>
        <w:t xml:space="preserve"> Weight increased, electrocardiogram QT prolonged, heart rate increased, low density lipoprotein increased, blood cholesterol increased, blood triglycerides increased</w:t>
      </w:r>
    </w:p>
    <w:p w:rsidR="003A63D3" w:rsidRPr="003E0AF3" w:rsidRDefault="00BC0FB0" w:rsidP="003A63D3">
      <w:pPr>
        <w:jc w:val="both"/>
        <w:rPr>
          <w:szCs w:val="24"/>
        </w:rPr>
      </w:pPr>
      <w:r>
        <w:rPr>
          <w:b/>
          <w:szCs w:val="24"/>
        </w:rPr>
        <w:br w:type="page"/>
      </w:r>
      <w:r w:rsidR="003A63D3" w:rsidRPr="003E0AF3">
        <w:rPr>
          <w:b/>
          <w:szCs w:val="24"/>
        </w:rPr>
        <w:lastRenderedPageBreak/>
        <w:t>Nervous System</w:t>
      </w:r>
    </w:p>
    <w:p w:rsidR="003A63D3" w:rsidRPr="003E0AF3" w:rsidRDefault="00E33986" w:rsidP="003A63D3">
      <w:pPr>
        <w:widowControl w:val="0"/>
        <w:rPr>
          <w:szCs w:val="24"/>
        </w:rPr>
      </w:pPr>
      <w:r>
        <w:rPr>
          <w:i/>
          <w:szCs w:val="24"/>
        </w:rPr>
        <w:t>Uncommon</w:t>
      </w:r>
      <w:r w:rsidR="003A63D3" w:rsidRPr="003E0AF3">
        <w:rPr>
          <w:i/>
          <w:szCs w:val="24"/>
        </w:rPr>
        <w:t>:</w:t>
      </w:r>
      <w:r w:rsidR="003A63D3" w:rsidRPr="003E0AF3">
        <w:rPr>
          <w:szCs w:val="24"/>
        </w:rPr>
        <w:t xml:space="preserve"> </w:t>
      </w:r>
      <w:proofErr w:type="spellStart"/>
      <w:r w:rsidR="003A63D3" w:rsidRPr="003E0AF3">
        <w:rPr>
          <w:szCs w:val="24"/>
        </w:rPr>
        <w:t>Dysgeusia</w:t>
      </w:r>
      <w:proofErr w:type="spellEnd"/>
      <w:r w:rsidR="003A63D3" w:rsidRPr="003E0AF3">
        <w:rPr>
          <w:szCs w:val="24"/>
        </w:rPr>
        <w:t>, lethargy, tremor, myoclonus, formication</w:t>
      </w:r>
    </w:p>
    <w:p w:rsidR="003A63D3" w:rsidRPr="003E0AF3" w:rsidRDefault="003A63D3" w:rsidP="003A63D3">
      <w:pPr>
        <w:jc w:val="both"/>
        <w:rPr>
          <w:szCs w:val="24"/>
        </w:rPr>
      </w:pPr>
      <w:r w:rsidRPr="003E0AF3">
        <w:rPr>
          <w:b/>
          <w:szCs w:val="24"/>
        </w:rPr>
        <w:t>Psychiatric Disorders</w:t>
      </w:r>
    </w:p>
    <w:p w:rsidR="003A63D3" w:rsidRPr="003E0AF3" w:rsidRDefault="00E33986" w:rsidP="003A63D3">
      <w:pPr>
        <w:widowControl w:val="0"/>
        <w:rPr>
          <w:szCs w:val="24"/>
        </w:rPr>
      </w:pPr>
      <w:r>
        <w:rPr>
          <w:i/>
          <w:szCs w:val="24"/>
        </w:rPr>
        <w:t>Uncommon</w:t>
      </w:r>
      <w:r w:rsidR="003A63D3" w:rsidRPr="003E0AF3">
        <w:rPr>
          <w:i/>
          <w:szCs w:val="24"/>
        </w:rPr>
        <w:t>:</w:t>
      </w:r>
      <w:r w:rsidR="003A63D3" w:rsidRPr="003E0AF3">
        <w:rPr>
          <w:szCs w:val="24"/>
        </w:rPr>
        <w:t xml:space="preserve"> Tension, bruxism,</w:t>
      </w:r>
      <w:r w:rsidR="001065B1">
        <w:rPr>
          <w:szCs w:val="24"/>
        </w:rPr>
        <w:t xml:space="preserve"> abnormal dreams,</w:t>
      </w:r>
      <w:r w:rsidR="003A63D3" w:rsidRPr="003E0AF3">
        <w:rPr>
          <w:szCs w:val="24"/>
        </w:rPr>
        <w:t xml:space="preserve"> restlessness, derealisation</w:t>
      </w:r>
    </w:p>
    <w:p w:rsidR="003A63D3" w:rsidRPr="003E0AF3" w:rsidRDefault="003A63D3" w:rsidP="003A63D3">
      <w:pPr>
        <w:jc w:val="both"/>
        <w:rPr>
          <w:szCs w:val="24"/>
        </w:rPr>
      </w:pPr>
      <w:r w:rsidRPr="003E0AF3">
        <w:rPr>
          <w:b/>
          <w:szCs w:val="24"/>
        </w:rPr>
        <w:t>Renal and Urinary Disorders</w:t>
      </w:r>
    </w:p>
    <w:p w:rsidR="003A63D3" w:rsidRPr="003E0AF3" w:rsidRDefault="00EB0FF9" w:rsidP="003A63D3">
      <w:pPr>
        <w:widowControl w:val="0"/>
        <w:rPr>
          <w:szCs w:val="24"/>
        </w:rPr>
      </w:pPr>
      <w:r>
        <w:rPr>
          <w:i/>
          <w:szCs w:val="24"/>
        </w:rPr>
        <w:t>Uncommon</w:t>
      </w:r>
      <w:r w:rsidR="003A63D3" w:rsidRPr="003E0AF3">
        <w:rPr>
          <w:i/>
          <w:szCs w:val="24"/>
        </w:rPr>
        <w:t>:</w:t>
      </w:r>
      <w:r w:rsidR="003A63D3" w:rsidRPr="003E0AF3">
        <w:rPr>
          <w:szCs w:val="24"/>
        </w:rPr>
        <w:t xml:space="preserve"> Micturition urgency, </w:t>
      </w:r>
      <w:proofErr w:type="spellStart"/>
      <w:r w:rsidR="003A63D3" w:rsidRPr="003E0AF3">
        <w:rPr>
          <w:szCs w:val="24"/>
        </w:rPr>
        <w:t>nocturia</w:t>
      </w:r>
      <w:proofErr w:type="spellEnd"/>
    </w:p>
    <w:p w:rsidR="003A63D3" w:rsidRPr="003E0AF3" w:rsidRDefault="003A63D3" w:rsidP="003A63D3">
      <w:pPr>
        <w:widowControl w:val="0"/>
        <w:rPr>
          <w:szCs w:val="24"/>
        </w:rPr>
      </w:pPr>
      <w:r w:rsidRPr="003E0AF3">
        <w:rPr>
          <w:b/>
          <w:szCs w:val="24"/>
        </w:rPr>
        <w:t>Skin and Subcutaneous Tissue Disorders</w:t>
      </w:r>
    </w:p>
    <w:p w:rsidR="003A63D3" w:rsidRPr="003E0AF3" w:rsidRDefault="00E33986" w:rsidP="003A63D3">
      <w:pPr>
        <w:widowControl w:val="0"/>
        <w:rPr>
          <w:szCs w:val="24"/>
        </w:rPr>
      </w:pPr>
      <w:r>
        <w:rPr>
          <w:i/>
          <w:szCs w:val="24"/>
        </w:rPr>
        <w:t>Uncommon</w:t>
      </w:r>
      <w:r w:rsidR="003A63D3" w:rsidRPr="003E0AF3">
        <w:rPr>
          <w:i/>
          <w:szCs w:val="24"/>
        </w:rPr>
        <w:t>:</w:t>
      </w:r>
      <w:r w:rsidR="003A63D3" w:rsidRPr="003E0AF3">
        <w:rPr>
          <w:szCs w:val="24"/>
        </w:rPr>
        <w:t xml:space="preserve"> Pruritus, night sweats, rash</w:t>
      </w:r>
    </w:p>
    <w:p w:rsidR="003A63D3" w:rsidRPr="003E0AF3" w:rsidRDefault="003A63D3" w:rsidP="003A63D3">
      <w:pPr>
        <w:widowControl w:val="0"/>
        <w:rPr>
          <w:szCs w:val="24"/>
        </w:rPr>
      </w:pPr>
      <w:r w:rsidRPr="003E0AF3">
        <w:rPr>
          <w:b/>
          <w:szCs w:val="24"/>
        </w:rPr>
        <w:t>Vascular Disorders</w:t>
      </w:r>
    </w:p>
    <w:p w:rsidR="003A63D3" w:rsidRPr="003E0AF3" w:rsidRDefault="00E33986" w:rsidP="00D80721">
      <w:pPr>
        <w:widowControl w:val="0"/>
        <w:spacing w:after="120"/>
        <w:rPr>
          <w:szCs w:val="24"/>
        </w:rPr>
      </w:pPr>
      <w:r>
        <w:rPr>
          <w:i/>
          <w:szCs w:val="24"/>
        </w:rPr>
        <w:t>Uncommon</w:t>
      </w:r>
      <w:r w:rsidR="003A63D3" w:rsidRPr="003E0AF3">
        <w:rPr>
          <w:i/>
          <w:szCs w:val="24"/>
        </w:rPr>
        <w:t>:</w:t>
      </w:r>
      <w:r w:rsidR="003A63D3" w:rsidRPr="003E0AF3">
        <w:rPr>
          <w:szCs w:val="24"/>
        </w:rPr>
        <w:t xml:space="preserve"> Flushing, hypotension</w:t>
      </w:r>
    </w:p>
    <w:p w:rsidR="00474A23" w:rsidRPr="003E0AF3" w:rsidRDefault="00390C1C" w:rsidP="00D80721">
      <w:pPr>
        <w:pStyle w:val="Heading1"/>
      </w:pPr>
      <w:r w:rsidRPr="003E0AF3">
        <w:t>DOSAGE AND ADMINISTRATION</w:t>
      </w:r>
    </w:p>
    <w:p w:rsidR="00B60CF3" w:rsidRPr="003E0AF3" w:rsidRDefault="00B60CF3" w:rsidP="00B60CF3">
      <w:pPr>
        <w:rPr>
          <w:szCs w:val="24"/>
        </w:rPr>
      </w:pPr>
      <w:r w:rsidRPr="003E0AF3">
        <w:rPr>
          <w:szCs w:val="24"/>
        </w:rPr>
        <w:t xml:space="preserve">The starting and recommended dose of </w:t>
      </w:r>
      <w:r w:rsidR="002A6678">
        <w:rPr>
          <w:szCs w:val="24"/>
        </w:rPr>
        <w:t>BRINTELLIX</w:t>
      </w:r>
      <w:r w:rsidRPr="003E0AF3">
        <w:rPr>
          <w:szCs w:val="24"/>
        </w:rPr>
        <w:t xml:space="preserve"> </w:t>
      </w:r>
      <w:r w:rsidR="008C60AA">
        <w:rPr>
          <w:szCs w:val="24"/>
        </w:rPr>
        <w:t>in adults less than 65 years of age</w:t>
      </w:r>
      <w:r w:rsidR="006D48ED">
        <w:rPr>
          <w:szCs w:val="24"/>
        </w:rPr>
        <w:t xml:space="preserve"> is 10 mg once daily</w:t>
      </w:r>
      <w:r w:rsidRPr="003E0AF3">
        <w:rPr>
          <w:szCs w:val="24"/>
        </w:rPr>
        <w:t xml:space="preserve">, taken with or without food. </w:t>
      </w:r>
      <w:r w:rsidR="00FD6545">
        <w:rPr>
          <w:szCs w:val="24"/>
        </w:rPr>
        <w:t xml:space="preserve"> </w:t>
      </w:r>
      <w:r w:rsidRPr="003E0AF3">
        <w:rPr>
          <w:szCs w:val="24"/>
        </w:rPr>
        <w:t>Depending on individual patient response, the dose may be increased to a maximum of 20 mg daily or reduced to a minimum of 5 mg daily.</w:t>
      </w:r>
    </w:p>
    <w:p w:rsidR="009E41FB" w:rsidRPr="003E0AF3" w:rsidRDefault="00FD6545" w:rsidP="00D80721">
      <w:pPr>
        <w:rPr>
          <w:szCs w:val="24"/>
        </w:rPr>
      </w:pPr>
      <w:r w:rsidRPr="00884008">
        <w:rPr>
          <w:lang w:eastAsia="da-DK"/>
        </w:rPr>
        <w:t>An antidepressant effect of BRINTELLIX based on the primary efficacy measure was generally observed starting at week 2.</w:t>
      </w:r>
      <w:r>
        <w:rPr>
          <w:lang w:eastAsia="da-DK"/>
        </w:rPr>
        <w:t xml:space="preserve"> </w:t>
      </w:r>
      <w:r w:rsidR="008C60AA">
        <w:rPr>
          <w:szCs w:val="24"/>
        </w:rPr>
        <w:t xml:space="preserve">If </w:t>
      </w:r>
      <w:r w:rsidR="00B60CF3" w:rsidRPr="003E0AF3">
        <w:rPr>
          <w:szCs w:val="24"/>
        </w:rPr>
        <w:t>the depressive symptoms resolve, treatment for at least 6 months is recommended for</w:t>
      </w:r>
      <w:r w:rsidR="00335D7D">
        <w:rPr>
          <w:szCs w:val="24"/>
        </w:rPr>
        <w:t xml:space="preserve"> </w:t>
      </w:r>
      <w:r w:rsidR="00B60CF3" w:rsidRPr="003E0AF3">
        <w:rPr>
          <w:szCs w:val="24"/>
        </w:rPr>
        <w:t xml:space="preserve">consolidation of the </w:t>
      </w:r>
      <w:proofErr w:type="spellStart"/>
      <w:r w:rsidR="00B60CF3" w:rsidRPr="003E0AF3">
        <w:rPr>
          <w:szCs w:val="24"/>
        </w:rPr>
        <w:t>antidepressive</w:t>
      </w:r>
      <w:proofErr w:type="spellEnd"/>
      <w:r w:rsidR="00B60CF3" w:rsidRPr="003E0AF3">
        <w:rPr>
          <w:szCs w:val="24"/>
        </w:rPr>
        <w:t xml:space="preserve"> response.</w:t>
      </w:r>
    </w:p>
    <w:p w:rsidR="006B6277" w:rsidRPr="00530801" w:rsidRDefault="006B6277" w:rsidP="006B6277">
      <w:pPr>
        <w:widowControl w:val="0"/>
        <w:rPr>
          <w:color w:val="000000"/>
          <w:lang w:eastAsia="en-CA"/>
        </w:rPr>
      </w:pPr>
      <w:r w:rsidRPr="003E0AF3">
        <w:rPr>
          <w:lang w:eastAsia="en-CA"/>
        </w:rPr>
        <w:t>Physicians should periodically re</w:t>
      </w:r>
      <w:r w:rsidRPr="00530801">
        <w:rPr>
          <w:color w:val="000000"/>
          <w:lang w:eastAsia="en-CA"/>
        </w:rPr>
        <w:t>-evaluate the usefulness of the drug for individual patients.</w:t>
      </w:r>
    </w:p>
    <w:p w:rsidR="008C60AA" w:rsidRPr="00530801" w:rsidRDefault="008C60AA" w:rsidP="00B60CF3">
      <w:pPr>
        <w:rPr>
          <w:b/>
          <w:color w:val="000000"/>
          <w:szCs w:val="24"/>
        </w:rPr>
      </w:pPr>
      <w:r w:rsidRPr="00530801">
        <w:rPr>
          <w:b/>
          <w:color w:val="000000"/>
          <w:szCs w:val="24"/>
        </w:rPr>
        <w:t>Treatment discontinuation</w:t>
      </w:r>
    </w:p>
    <w:p w:rsidR="008C60AA" w:rsidRPr="00530801" w:rsidRDefault="008C60AA" w:rsidP="00D80520">
      <w:pPr>
        <w:keepLines/>
        <w:autoSpaceDE w:val="0"/>
        <w:autoSpaceDN w:val="0"/>
        <w:adjustRightInd w:val="0"/>
        <w:rPr>
          <w:color w:val="000000"/>
          <w:szCs w:val="24"/>
        </w:rPr>
      </w:pPr>
      <w:r w:rsidRPr="00530801">
        <w:rPr>
          <w:color w:val="000000"/>
          <w:szCs w:val="24"/>
        </w:rPr>
        <w:t>Patients being treated with BRINTELLIX can abruptly stop taking BRINTELLIX without the need for a gradual reduction in dose.</w:t>
      </w:r>
    </w:p>
    <w:p w:rsidR="008C60AA" w:rsidRPr="00530801" w:rsidRDefault="008C60AA" w:rsidP="00D80520">
      <w:pPr>
        <w:widowControl w:val="0"/>
        <w:rPr>
          <w:b/>
          <w:color w:val="000000"/>
          <w:lang w:eastAsia="en-CA"/>
        </w:rPr>
      </w:pPr>
      <w:r w:rsidRPr="00530801">
        <w:rPr>
          <w:b/>
          <w:color w:val="000000"/>
          <w:lang w:eastAsia="en-CA"/>
        </w:rPr>
        <w:t>Missed Dose</w:t>
      </w:r>
    </w:p>
    <w:p w:rsidR="008C60AA" w:rsidRPr="003E0AF3" w:rsidRDefault="008C60AA" w:rsidP="00205639">
      <w:pPr>
        <w:suppressLineNumbers/>
        <w:rPr>
          <w:noProof/>
          <w:szCs w:val="22"/>
          <w:lang w:eastAsia="en-CA"/>
        </w:rPr>
      </w:pPr>
      <w:r w:rsidRPr="003E0AF3">
        <w:rPr>
          <w:noProof/>
          <w:szCs w:val="22"/>
          <w:lang w:eastAsia="en-CA"/>
        </w:rPr>
        <w:t>If a dose is missed, the next dose should be taken at the usual time. Patients should not take a double dose to make up for a missed dose.</w:t>
      </w:r>
    </w:p>
    <w:p w:rsidR="008C60AA" w:rsidRDefault="008C60AA" w:rsidP="00B60CF3">
      <w:pPr>
        <w:rPr>
          <w:b/>
          <w:szCs w:val="24"/>
          <w:u w:val="single"/>
        </w:rPr>
      </w:pPr>
      <w:r w:rsidRPr="00D80721">
        <w:rPr>
          <w:b/>
          <w:szCs w:val="24"/>
          <w:u w:val="single"/>
        </w:rPr>
        <w:t>Special Populations</w:t>
      </w:r>
    </w:p>
    <w:p w:rsidR="00B60CF3" w:rsidRPr="003E0AF3" w:rsidRDefault="00B60CF3" w:rsidP="00B60CF3">
      <w:pPr>
        <w:rPr>
          <w:b/>
          <w:szCs w:val="24"/>
        </w:rPr>
      </w:pPr>
      <w:r w:rsidRPr="003E0AF3">
        <w:rPr>
          <w:b/>
          <w:szCs w:val="24"/>
        </w:rPr>
        <w:t>Paediatric population</w:t>
      </w:r>
    </w:p>
    <w:p w:rsidR="00B60CF3" w:rsidRPr="003E0AF3" w:rsidRDefault="00B60CF3" w:rsidP="00B60CF3">
      <w:pPr>
        <w:rPr>
          <w:szCs w:val="24"/>
        </w:rPr>
      </w:pPr>
      <w:r w:rsidRPr="003E0AF3">
        <w:rPr>
          <w:szCs w:val="24"/>
        </w:rPr>
        <w:t xml:space="preserve">The safety and efficacy of </w:t>
      </w:r>
      <w:r w:rsidR="002A6678">
        <w:rPr>
          <w:szCs w:val="24"/>
        </w:rPr>
        <w:t>BRINTELLIX</w:t>
      </w:r>
      <w:r w:rsidRPr="003E0AF3">
        <w:rPr>
          <w:szCs w:val="24"/>
        </w:rPr>
        <w:t xml:space="preserve"> in children and adolescents aged less than 18 years have not been established. </w:t>
      </w:r>
      <w:r w:rsidR="00335D7D">
        <w:rPr>
          <w:szCs w:val="24"/>
        </w:rPr>
        <w:t xml:space="preserve"> </w:t>
      </w:r>
      <w:r w:rsidRPr="003E0AF3">
        <w:rPr>
          <w:szCs w:val="24"/>
        </w:rPr>
        <w:t>No data are available (see</w:t>
      </w:r>
      <w:r w:rsidR="00D80520" w:rsidRPr="003E0AF3">
        <w:rPr>
          <w:szCs w:val="24"/>
        </w:rPr>
        <w:t xml:space="preserve"> PRECAUTIONS</w:t>
      </w:r>
      <w:r w:rsidRPr="003E0AF3">
        <w:rPr>
          <w:szCs w:val="24"/>
        </w:rPr>
        <w:t>).</w:t>
      </w:r>
      <w:r w:rsidR="00D80520" w:rsidRPr="003E0AF3">
        <w:rPr>
          <w:szCs w:val="24"/>
        </w:rPr>
        <w:t xml:space="preserve"> </w:t>
      </w:r>
      <w:r w:rsidR="00335D7D">
        <w:rPr>
          <w:szCs w:val="24"/>
        </w:rPr>
        <w:t xml:space="preserve"> </w:t>
      </w:r>
      <w:r w:rsidR="002A6678">
        <w:rPr>
          <w:szCs w:val="24"/>
        </w:rPr>
        <w:t>BRINTELLIX</w:t>
      </w:r>
      <w:r w:rsidR="00D80520" w:rsidRPr="003E0AF3">
        <w:rPr>
          <w:szCs w:val="24"/>
        </w:rPr>
        <w:t xml:space="preserve"> is not indicated for use in patients below the age of 18.</w:t>
      </w:r>
    </w:p>
    <w:p w:rsidR="00B60CF3" w:rsidRPr="003E0AF3" w:rsidRDefault="00B60CF3" w:rsidP="00B60CF3">
      <w:pPr>
        <w:rPr>
          <w:b/>
          <w:szCs w:val="24"/>
        </w:rPr>
      </w:pPr>
      <w:r w:rsidRPr="003E0AF3">
        <w:rPr>
          <w:b/>
          <w:szCs w:val="24"/>
        </w:rPr>
        <w:t>Elderly patients</w:t>
      </w:r>
    </w:p>
    <w:p w:rsidR="008C60AA" w:rsidRPr="008C60AA" w:rsidRDefault="008C60AA" w:rsidP="008C60AA">
      <w:pPr>
        <w:rPr>
          <w:szCs w:val="24"/>
        </w:rPr>
      </w:pPr>
      <w:r w:rsidRPr="008C60AA">
        <w:rPr>
          <w:szCs w:val="24"/>
        </w:rPr>
        <w:t xml:space="preserve">The </w:t>
      </w:r>
      <w:r>
        <w:rPr>
          <w:szCs w:val="24"/>
        </w:rPr>
        <w:t xml:space="preserve">recommended starting </w:t>
      </w:r>
      <w:r w:rsidR="00FD6545">
        <w:rPr>
          <w:szCs w:val="24"/>
        </w:rPr>
        <w:t xml:space="preserve">dose </w:t>
      </w:r>
      <w:r w:rsidR="00E61246">
        <w:rPr>
          <w:szCs w:val="24"/>
        </w:rPr>
        <w:t xml:space="preserve">is </w:t>
      </w:r>
      <w:r w:rsidRPr="008C60AA">
        <w:rPr>
          <w:szCs w:val="24"/>
        </w:rPr>
        <w:t>5</w:t>
      </w:r>
      <w:r w:rsidR="00FD6545">
        <w:rPr>
          <w:szCs w:val="24"/>
        </w:rPr>
        <w:t> </w:t>
      </w:r>
      <w:r w:rsidRPr="008C60AA">
        <w:rPr>
          <w:szCs w:val="24"/>
        </w:rPr>
        <w:t xml:space="preserve">mg </w:t>
      </w:r>
      <w:proofErr w:type="spellStart"/>
      <w:r w:rsidRPr="008C60AA">
        <w:rPr>
          <w:szCs w:val="24"/>
        </w:rPr>
        <w:t>vortioxetine</w:t>
      </w:r>
      <w:proofErr w:type="spellEnd"/>
      <w:r w:rsidRPr="008C60AA">
        <w:rPr>
          <w:szCs w:val="24"/>
        </w:rPr>
        <w:t xml:space="preserve"> once daily </w:t>
      </w:r>
      <w:r w:rsidR="00E61246">
        <w:rPr>
          <w:szCs w:val="24"/>
        </w:rPr>
        <w:t xml:space="preserve">and </w:t>
      </w:r>
      <w:r w:rsidRPr="008C60AA">
        <w:rPr>
          <w:szCs w:val="24"/>
        </w:rPr>
        <w:t xml:space="preserve">should always be used as the starting dose in </w:t>
      </w:r>
      <w:proofErr w:type="gramStart"/>
      <w:r w:rsidRPr="008C60AA">
        <w:rPr>
          <w:szCs w:val="24"/>
        </w:rPr>
        <w:t>patients</w:t>
      </w:r>
      <w:proofErr w:type="gramEnd"/>
      <w:r w:rsidRPr="008C60AA">
        <w:rPr>
          <w:szCs w:val="24"/>
        </w:rPr>
        <w:t xml:space="preserve"> ≥ 65 years of age. </w:t>
      </w:r>
      <w:r>
        <w:rPr>
          <w:szCs w:val="24"/>
        </w:rPr>
        <w:t xml:space="preserve"> </w:t>
      </w:r>
      <w:r w:rsidRPr="008C60AA">
        <w:rPr>
          <w:szCs w:val="24"/>
        </w:rPr>
        <w:t xml:space="preserve">Caution is advised when treating </w:t>
      </w:r>
      <w:proofErr w:type="gramStart"/>
      <w:r w:rsidRPr="008C60AA">
        <w:rPr>
          <w:szCs w:val="24"/>
        </w:rPr>
        <w:t>patients</w:t>
      </w:r>
      <w:proofErr w:type="gramEnd"/>
      <w:r w:rsidRPr="008C60AA">
        <w:rPr>
          <w:szCs w:val="24"/>
        </w:rPr>
        <w:t xml:space="preserve"> ≥ 65 years of age with doses higher than 10</w:t>
      </w:r>
      <w:r w:rsidR="00FD6545">
        <w:rPr>
          <w:szCs w:val="24"/>
        </w:rPr>
        <w:t> </w:t>
      </w:r>
      <w:r w:rsidRPr="008C60AA">
        <w:rPr>
          <w:szCs w:val="24"/>
        </w:rPr>
        <w:t xml:space="preserve">mg </w:t>
      </w:r>
      <w:proofErr w:type="spellStart"/>
      <w:r w:rsidRPr="008C60AA">
        <w:rPr>
          <w:szCs w:val="24"/>
        </w:rPr>
        <w:t>vortioxetine</w:t>
      </w:r>
      <w:proofErr w:type="spellEnd"/>
      <w:r w:rsidRPr="008C60AA">
        <w:rPr>
          <w:szCs w:val="24"/>
        </w:rPr>
        <w:t xml:space="preserve"> once daily.</w:t>
      </w:r>
    </w:p>
    <w:p w:rsidR="00B60CF3" w:rsidRPr="003E0AF3" w:rsidRDefault="00BC0FB0" w:rsidP="00B60CF3">
      <w:pPr>
        <w:rPr>
          <w:b/>
          <w:szCs w:val="24"/>
        </w:rPr>
      </w:pPr>
      <w:r>
        <w:rPr>
          <w:b/>
          <w:szCs w:val="24"/>
        </w:rPr>
        <w:br w:type="page"/>
      </w:r>
      <w:r w:rsidR="00B60CF3" w:rsidRPr="003E0AF3">
        <w:rPr>
          <w:b/>
          <w:szCs w:val="24"/>
        </w:rPr>
        <w:lastRenderedPageBreak/>
        <w:t>Patients with renal impairment</w:t>
      </w:r>
    </w:p>
    <w:p w:rsidR="009E41FB" w:rsidRPr="003E0AF3" w:rsidRDefault="00B60CF3" w:rsidP="00D80520">
      <w:pPr>
        <w:widowControl w:val="0"/>
        <w:rPr>
          <w:szCs w:val="24"/>
        </w:rPr>
      </w:pPr>
      <w:r w:rsidRPr="003E0AF3">
        <w:rPr>
          <w:szCs w:val="24"/>
        </w:rPr>
        <w:t>No dose adjustment is recommended for patients with renal impairment or for patients with end-stage renal disease</w:t>
      </w:r>
      <w:r w:rsidR="00482340" w:rsidRPr="003E0AF3">
        <w:rPr>
          <w:szCs w:val="24"/>
        </w:rPr>
        <w:t>.</w:t>
      </w:r>
      <w:r w:rsidR="004B6B80">
        <w:rPr>
          <w:szCs w:val="24"/>
        </w:rPr>
        <w:t xml:space="preserve"> </w:t>
      </w:r>
      <w:r w:rsidRPr="003E0AF3">
        <w:rPr>
          <w:szCs w:val="24"/>
        </w:rPr>
        <w:t xml:space="preserve"> However, as with any medicine, caution should be exercised when treating patients with severe renal insufficiency (see Pharmacokinetics).</w:t>
      </w:r>
    </w:p>
    <w:p w:rsidR="00B60CF3" w:rsidRPr="003E0AF3" w:rsidRDefault="00B60CF3" w:rsidP="00B60CF3">
      <w:pPr>
        <w:rPr>
          <w:b/>
          <w:szCs w:val="24"/>
        </w:rPr>
      </w:pPr>
      <w:r w:rsidRPr="003E0AF3">
        <w:rPr>
          <w:b/>
          <w:szCs w:val="24"/>
        </w:rPr>
        <w:t>Patients with hepatic impairment</w:t>
      </w:r>
    </w:p>
    <w:p w:rsidR="00B60CF3" w:rsidRPr="003E0AF3" w:rsidRDefault="00B60CF3" w:rsidP="00B60CF3">
      <w:pPr>
        <w:rPr>
          <w:szCs w:val="24"/>
        </w:rPr>
      </w:pPr>
      <w:r w:rsidRPr="003E0AF3">
        <w:rPr>
          <w:szCs w:val="24"/>
        </w:rPr>
        <w:t>No dose adjustment is recommended for patients with mild or moderate hepatic impairment.</w:t>
      </w:r>
    </w:p>
    <w:p w:rsidR="009E41FB" w:rsidRPr="003E0AF3" w:rsidRDefault="002A6678" w:rsidP="00D80520">
      <w:pPr>
        <w:autoSpaceDE w:val="0"/>
        <w:autoSpaceDN w:val="0"/>
        <w:adjustRightInd w:val="0"/>
        <w:rPr>
          <w:szCs w:val="24"/>
        </w:rPr>
      </w:pPr>
      <w:r>
        <w:rPr>
          <w:szCs w:val="24"/>
        </w:rPr>
        <w:t>BRINTELLIX</w:t>
      </w:r>
      <w:r w:rsidR="00B60CF3" w:rsidRPr="003E0AF3">
        <w:rPr>
          <w:szCs w:val="24"/>
        </w:rPr>
        <w:t xml:space="preserve"> has not been studied in patients with severe hepatic impairment and caution should be</w:t>
      </w:r>
      <w:r w:rsidR="008349FC" w:rsidRPr="003E0AF3">
        <w:rPr>
          <w:szCs w:val="24"/>
        </w:rPr>
        <w:t xml:space="preserve"> </w:t>
      </w:r>
      <w:r w:rsidR="00B60CF3" w:rsidRPr="003E0AF3">
        <w:rPr>
          <w:szCs w:val="24"/>
        </w:rPr>
        <w:t xml:space="preserve">exercised when prescribing to these patients (see </w:t>
      </w:r>
      <w:r w:rsidR="008349FC" w:rsidRPr="003E0AF3">
        <w:rPr>
          <w:szCs w:val="24"/>
        </w:rPr>
        <w:t>Pharmacokinetics</w:t>
      </w:r>
      <w:r w:rsidR="00B60CF3" w:rsidRPr="003E0AF3">
        <w:rPr>
          <w:szCs w:val="24"/>
        </w:rPr>
        <w:t>).</w:t>
      </w:r>
    </w:p>
    <w:p w:rsidR="00B60CF3" w:rsidRPr="003E0AF3" w:rsidRDefault="00B60CF3" w:rsidP="00B60CF3">
      <w:pPr>
        <w:rPr>
          <w:b/>
          <w:szCs w:val="24"/>
        </w:rPr>
      </w:pPr>
      <w:r w:rsidRPr="003E0AF3">
        <w:rPr>
          <w:b/>
          <w:szCs w:val="24"/>
        </w:rPr>
        <w:t>Cytochrome P450 inhibitors</w:t>
      </w:r>
    </w:p>
    <w:p w:rsidR="009E41FB" w:rsidRPr="003E0AF3" w:rsidRDefault="00B60CF3" w:rsidP="00D80520">
      <w:pPr>
        <w:autoSpaceDE w:val="0"/>
        <w:autoSpaceDN w:val="0"/>
        <w:adjustRightInd w:val="0"/>
        <w:rPr>
          <w:szCs w:val="24"/>
        </w:rPr>
      </w:pPr>
      <w:r w:rsidRPr="003E0AF3">
        <w:rPr>
          <w:szCs w:val="24"/>
        </w:rPr>
        <w:t xml:space="preserve">Depending on individual patient response, a lower dose of </w:t>
      </w:r>
      <w:r w:rsidR="002A6678">
        <w:rPr>
          <w:szCs w:val="24"/>
        </w:rPr>
        <w:t>BRINTELLIX</w:t>
      </w:r>
      <w:r w:rsidRPr="003E0AF3">
        <w:rPr>
          <w:szCs w:val="24"/>
        </w:rPr>
        <w:t xml:space="preserve"> may be considered if strong</w:t>
      </w:r>
      <w:r w:rsidR="001E7636" w:rsidRPr="003E0AF3">
        <w:rPr>
          <w:szCs w:val="24"/>
        </w:rPr>
        <w:t xml:space="preserve"> </w:t>
      </w:r>
      <w:r w:rsidRPr="003E0AF3">
        <w:rPr>
          <w:szCs w:val="24"/>
        </w:rPr>
        <w:t xml:space="preserve">CYP2D6 inhibitors (e.g. bupropion) are added to </w:t>
      </w:r>
      <w:r w:rsidR="002A6678">
        <w:rPr>
          <w:szCs w:val="24"/>
        </w:rPr>
        <w:t>BRINTELLIX</w:t>
      </w:r>
      <w:r w:rsidRPr="003E0AF3">
        <w:rPr>
          <w:szCs w:val="24"/>
        </w:rPr>
        <w:t xml:space="preserve"> treatment.</w:t>
      </w:r>
    </w:p>
    <w:p w:rsidR="00B60CF3" w:rsidRPr="003E0AF3" w:rsidRDefault="00B60CF3" w:rsidP="00B60CF3">
      <w:pPr>
        <w:rPr>
          <w:b/>
          <w:szCs w:val="24"/>
        </w:rPr>
      </w:pPr>
      <w:r w:rsidRPr="003E0AF3">
        <w:rPr>
          <w:b/>
          <w:szCs w:val="24"/>
        </w:rPr>
        <w:t>Cytochrome P450 inducers</w:t>
      </w:r>
    </w:p>
    <w:p w:rsidR="009E41FB" w:rsidRPr="003E0AF3" w:rsidRDefault="00B60CF3" w:rsidP="00D80520">
      <w:pPr>
        <w:autoSpaceDE w:val="0"/>
        <w:autoSpaceDN w:val="0"/>
        <w:adjustRightInd w:val="0"/>
        <w:rPr>
          <w:szCs w:val="24"/>
        </w:rPr>
      </w:pPr>
      <w:r w:rsidRPr="003E0AF3">
        <w:rPr>
          <w:szCs w:val="24"/>
        </w:rPr>
        <w:t xml:space="preserve">Depending on individual patient response, a dose adjustment of </w:t>
      </w:r>
      <w:r w:rsidR="002A6678">
        <w:rPr>
          <w:szCs w:val="24"/>
        </w:rPr>
        <w:t>BRINTELLIX</w:t>
      </w:r>
      <w:r w:rsidRPr="003E0AF3">
        <w:rPr>
          <w:szCs w:val="24"/>
        </w:rPr>
        <w:t xml:space="preserve"> may be considered if a</w:t>
      </w:r>
      <w:r w:rsidR="001E7636" w:rsidRPr="003E0AF3">
        <w:rPr>
          <w:szCs w:val="24"/>
        </w:rPr>
        <w:t xml:space="preserve"> </w:t>
      </w:r>
      <w:r w:rsidRPr="003E0AF3">
        <w:rPr>
          <w:szCs w:val="24"/>
        </w:rPr>
        <w:t xml:space="preserve">broad cytochrome P450 inducer (e.g. rifampicin) is added to </w:t>
      </w:r>
      <w:r w:rsidR="002A6678">
        <w:rPr>
          <w:szCs w:val="24"/>
        </w:rPr>
        <w:t>BRINTELLIX</w:t>
      </w:r>
      <w:r w:rsidRPr="003E0AF3">
        <w:rPr>
          <w:szCs w:val="24"/>
        </w:rPr>
        <w:t xml:space="preserve"> treatment.</w:t>
      </w:r>
    </w:p>
    <w:p w:rsidR="00474A23" w:rsidRPr="003E0AF3" w:rsidRDefault="00390C1C" w:rsidP="00D80721">
      <w:pPr>
        <w:pStyle w:val="Heading1"/>
      </w:pPr>
      <w:r w:rsidRPr="003E0AF3">
        <w:t>OVERDOSAGE</w:t>
      </w:r>
      <w:r w:rsidR="00205639" w:rsidRPr="003E0AF3">
        <w:t xml:space="preserve"> </w:t>
      </w:r>
    </w:p>
    <w:p w:rsidR="00205639" w:rsidRPr="003E0AF3" w:rsidRDefault="00205639" w:rsidP="00205639">
      <w:pPr>
        <w:autoSpaceDE w:val="0"/>
        <w:autoSpaceDN w:val="0"/>
        <w:adjustRightInd w:val="0"/>
        <w:rPr>
          <w:szCs w:val="24"/>
        </w:rPr>
      </w:pPr>
      <w:r w:rsidRPr="003E0AF3">
        <w:rPr>
          <w:szCs w:val="24"/>
        </w:rPr>
        <w:t xml:space="preserve">There is limited experience with </w:t>
      </w:r>
      <w:r w:rsidR="002A6678">
        <w:rPr>
          <w:szCs w:val="24"/>
        </w:rPr>
        <w:t>BRINTELLIX</w:t>
      </w:r>
      <w:r w:rsidRPr="003E0AF3">
        <w:rPr>
          <w:szCs w:val="24"/>
        </w:rPr>
        <w:t xml:space="preserve"> </w:t>
      </w:r>
      <w:r w:rsidR="00347924">
        <w:rPr>
          <w:szCs w:val="24"/>
        </w:rPr>
        <w:t xml:space="preserve">in </w:t>
      </w:r>
      <w:r w:rsidRPr="003E0AF3">
        <w:rPr>
          <w:szCs w:val="24"/>
        </w:rPr>
        <w:t>overdose. In clinical studies no patients ingested more than 75</w:t>
      </w:r>
      <w:r w:rsidR="00FD6545">
        <w:rPr>
          <w:szCs w:val="24"/>
        </w:rPr>
        <w:t> </w:t>
      </w:r>
      <w:r w:rsidRPr="003E0AF3">
        <w:rPr>
          <w:szCs w:val="24"/>
        </w:rPr>
        <w:t xml:space="preserve">mg </w:t>
      </w:r>
      <w:proofErr w:type="spellStart"/>
      <w:r w:rsidRPr="003E0AF3">
        <w:rPr>
          <w:szCs w:val="24"/>
        </w:rPr>
        <w:t>vortioxetine</w:t>
      </w:r>
      <w:proofErr w:type="spellEnd"/>
      <w:r w:rsidRPr="003E0AF3">
        <w:rPr>
          <w:szCs w:val="24"/>
        </w:rPr>
        <w:t xml:space="preserve"> on a single occasion. The clinical studies included subjects who were administered 40 to 75 mg. Ingestion of </w:t>
      </w:r>
      <w:proofErr w:type="spellStart"/>
      <w:r w:rsidRPr="003E0AF3">
        <w:rPr>
          <w:szCs w:val="24"/>
        </w:rPr>
        <w:t>vortioxetine</w:t>
      </w:r>
      <w:proofErr w:type="spellEnd"/>
      <w:r w:rsidRPr="003E0AF3">
        <w:rPr>
          <w:szCs w:val="24"/>
        </w:rPr>
        <w:t xml:space="preserve"> in this dose range caused an aggravation of the following adverse events: nausea, postural dizziness, diarrhoea, abdominal discomfort, generalized pruritus, somnolence and flushing. Management of overdose should consist of treatment of clinical symptoms and relevant monitoring. Medical follow-up in a specialised environment is recommended.</w:t>
      </w:r>
    </w:p>
    <w:p w:rsidR="00205639" w:rsidRPr="003E0AF3" w:rsidRDefault="00474A23" w:rsidP="00205639">
      <w:pPr>
        <w:rPr>
          <w:szCs w:val="24"/>
        </w:rPr>
      </w:pPr>
      <w:r w:rsidRPr="003E0AF3">
        <w:rPr>
          <w:rFonts w:eastAsia="SimSun"/>
          <w:szCs w:val="24"/>
          <w:lang w:eastAsia="zh-CN"/>
        </w:rPr>
        <w:t xml:space="preserve">For information on the management of overdose, contact the Poison Information </w:t>
      </w:r>
      <w:r w:rsidRPr="003E0AF3">
        <w:rPr>
          <w:rFonts w:eastAsia="SimSun"/>
          <w:szCs w:val="24"/>
        </w:rPr>
        <w:t xml:space="preserve">Centre </w:t>
      </w:r>
      <w:r w:rsidR="00205639" w:rsidRPr="003E0AF3">
        <w:rPr>
          <w:szCs w:val="24"/>
        </w:rPr>
        <w:t>(Tel: 13 11 26 for Australia and Tel: 0800 764 766 for New Zealand).</w:t>
      </w:r>
    </w:p>
    <w:p w:rsidR="009E41FB" w:rsidRPr="003E0AF3" w:rsidRDefault="00390C1C" w:rsidP="00D80721">
      <w:pPr>
        <w:pStyle w:val="Heading1"/>
        <w:rPr>
          <w:sz w:val="24"/>
          <w:szCs w:val="24"/>
          <w:lang w:eastAsia="en-GB"/>
        </w:rPr>
      </w:pPr>
      <w:r w:rsidRPr="003E0AF3">
        <w:t>PRESENTATION AND STORAGE CONDITIONS</w:t>
      </w:r>
      <w:r w:rsidR="008258DF" w:rsidRPr="003E0AF3">
        <w:t xml:space="preserve"> </w:t>
      </w:r>
    </w:p>
    <w:p w:rsidR="009E41FB" w:rsidRPr="003E0AF3" w:rsidRDefault="008258DF" w:rsidP="00D80721">
      <w:pPr>
        <w:rPr>
          <w:szCs w:val="24"/>
          <w:lang w:eastAsia="en-GB"/>
        </w:rPr>
      </w:pPr>
      <w:r w:rsidRPr="003E0AF3">
        <w:rPr>
          <w:szCs w:val="24"/>
          <w:lang w:eastAsia="en-GB"/>
        </w:rPr>
        <w:t xml:space="preserve">Each </w:t>
      </w:r>
      <w:r w:rsidR="002A6678">
        <w:rPr>
          <w:szCs w:val="24"/>
          <w:lang w:eastAsia="en-GB"/>
        </w:rPr>
        <w:t>BRINTELLIX</w:t>
      </w:r>
      <w:r w:rsidRPr="003E0AF3">
        <w:rPr>
          <w:szCs w:val="24"/>
          <w:lang w:eastAsia="en-GB"/>
        </w:rPr>
        <w:t xml:space="preserve"> tablet contains 6.355, 12.71, 19.065, or 25.42 mg of </w:t>
      </w:r>
      <w:proofErr w:type="spellStart"/>
      <w:r w:rsidRPr="003E0AF3">
        <w:rPr>
          <w:szCs w:val="24"/>
          <w:lang w:eastAsia="en-GB"/>
        </w:rPr>
        <w:t>vortioxetine</w:t>
      </w:r>
      <w:proofErr w:type="spellEnd"/>
      <w:r w:rsidRPr="003E0AF3">
        <w:rPr>
          <w:szCs w:val="24"/>
          <w:lang w:eastAsia="en-GB"/>
        </w:rPr>
        <w:t xml:space="preserve"> </w:t>
      </w:r>
      <w:proofErr w:type="spellStart"/>
      <w:r w:rsidRPr="003E0AF3">
        <w:rPr>
          <w:szCs w:val="24"/>
          <w:lang w:eastAsia="en-GB"/>
        </w:rPr>
        <w:t>hydrobromide</w:t>
      </w:r>
      <w:proofErr w:type="spellEnd"/>
      <w:r w:rsidRPr="003E0AF3">
        <w:rPr>
          <w:szCs w:val="24"/>
          <w:lang w:eastAsia="en-GB"/>
        </w:rPr>
        <w:t xml:space="preserve"> equivalent to 5, 10, 15, or 20 mg of </w:t>
      </w:r>
      <w:proofErr w:type="spellStart"/>
      <w:r w:rsidRPr="003E0AF3">
        <w:rPr>
          <w:szCs w:val="24"/>
          <w:lang w:eastAsia="en-GB"/>
        </w:rPr>
        <w:t>vortioxetine</w:t>
      </w:r>
      <w:proofErr w:type="spellEnd"/>
      <w:r w:rsidRPr="003E0AF3">
        <w:rPr>
          <w:szCs w:val="24"/>
          <w:lang w:eastAsia="en-GB"/>
        </w:rPr>
        <w:t>, respectively.</w:t>
      </w:r>
    </w:p>
    <w:p w:rsidR="008258DF" w:rsidRPr="003E0AF3" w:rsidRDefault="008258DF" w:rsidP="00D80721">
      <w:pPr>
        <w:rPr>
          <w:lang w:eastAsia="en-GB"/>
        </w:rPr>
      </w:pPr>
      <w:r w:rsidRPr="003E0AF3">
        <w:rPr>
          <w:lang w:eastAsia="en-GB"/>
        </w:rPr>
        <w:t>Film-coated tablet.</w:t>
      </w:r>
    </w:p>
    <w:p w:rsidR="008258DF" w:rsidRPr="003E0AF3" w:rsidRDefault="008258DF" w:rsidP="00D80721">
      <w:pPr>
        <w:rPr>
          <w:lang w:eastAsia="en-GB"/>
        </w:rPr>
      </w:pPr>
      <w:r w:rsidRPr="003E0AF3">
        <w:rPr>
          <w:i/>
          <w:iCs/>
          <w:lang w:eastAsia="en-GB"/>
        </w:rPr>
        <w:t>5 mg</w:t>
      </w:r>
      <w:r w:rsidRPr="003E0AF3">
        <w:rPr>
          <w:iCs/>
          <w:lang w:eastAsia="en-GB"/>
        </w:rPr>
        <w:t>:</w:t>
      </w:r>
      <w:r w:rsidRPr="003E0AF3">
        <w:rPr>
          <w:lang w:eastAsia="en-GB"/>
        </w:rPr>
        <w:t xml:space="preserve">  Pink, almond-shaped, biconvex film-coated tablet engraved with “TL” on one side and “5” on the other side.</w:t>
      </w:r>
    </w:p>
    <w:p w:rsidR="008258DF" w:rsidRPr="003E0AF3" w:rsidRDefault="008258DF" w:rsidP="00D80721">
      <w:pPr>
        <w:rPr>
          <w:lang w:eastAsia="en-GB"/>
        </w:rPr>
      </w:pPr>
      <w:r w:rsidRPr="003E0AF3">
        <w:rPr>
          <w:i/>
          <w:iCs/>
          <w:lang w:eastAsia="en-GB"/>
        </w:rPr>
        <w:t>10 mg</w:t>
      </w:r>
      <w:r w:rsidRPr="003E0AF3">
        <w:rPr>
          <w:iCs/>
          <w:lang w:eastAsia="en-GB"/>
        </w:rPr>
        <w:t>:</w:t>
      </w:r>
      <w:r w:rsidRPr="003E0AF3">
        <w:rPr>
          <w:lang w:eastAsia="en-GB"/>
        </w:rPr>
        <w:t xml:space="preserve">  Yellow, almond-shaped, biconvex film-coated tablet engraved with “TL” on one side and “10” on the other side.</w:t>
      </w:r>
    </w:p>
    <w:p w:rsidR="008258DF" w:rsidRPr="003E0AF3" w:rsidRDefault="008258DF" w:rsidP="00D80721">
      <w:pPr>
        <w:rPr>
          <w:lang w:eastAsia="en-GB"/>
        </w:rPr>
      </w:pPr>
      <w:r w:rsidRPr="003E0AF3">
        <w:rPr>
          <w:i/>
          <w:iCs/>
          <w:lang w:eastAsia="en-GB"/>
        </w:rPr>
        <w:t>15 mg</w:t>
      </w:r>
      <w:r w:rsidRPr="003E0AF3">
        <w:rPr>
          <w:iCs/>
          <w:lang w:eastAsia="en-GB"/>
        </w:rPr>
        <w:t>:</w:t>
      </w:r>
      <w:r w:rsidRPr="003E0AF3">
        <w:rPr>
          <w:lang w:eastAsia="en-GB"/>
        </w:rPr>
        <w:t xml:space="preserve">  Orange, almond-shaped, biconvex film-coated tablet engraved with “TL” on one side and “15” on the other side.</w:t>
      </w:r>
    </w:p>
    <w:p w:rsidR="009E41FB" w:rsidRPr="003E0AF3" w:rsidRDefault="008258DF" w:rsidP="00D80721">
      <w:pPr>
        <w:rPr>
          <w:lang w:eastAsia="en-GB"/>
        </w:rPr>
      </w:pPr>
      <w:r w:rsidRPr="003E0AF3">
        <w:rPr>
          <w:i/>
          <w:iCs/>
          <w:lang w:eastAsia="en-GB"/>
        </w:rPr>
        <w:t>20 mg</w:t>
      </w:r>
      <w:r w:rsidRPr="003E0AF3">
        <w:rPr>
          <w:iCs/>
          <w:lang w:eastAsia="en-GB"/>
        </w:rPr>
        <w:t>:</w:t>
      </w:r>
      <w:r w:rsidRPr="003E0AF3">
        <w:rPr>
          <w:lang w:eastAsia="en-GB"/>
        </w:rPr>
        <w:t xml:space="preserve">  Red, almond-shaped biconvex film-coated tablet engraved with “TL” on one side and “20” on the other side.</w:t>
      </w:r>
    </w:p>
    <w:p w:rsidR="00C86325" w:rsidRPr="00530801" w:rsidRDefault="00383355" w:rsidP="00C86325">
      <w:pPr>
        <w:autoSpaceDE w:val="0"/>
        <w:autoSpaceDN w:val="0"/>
        <w:adjustRightInd w:val="0"/>
        <w:rPr>
          <w:rFonts w:eastAsia="SimSun"/>
          <w:color w:val="000000"/>
          <w:szCs w:val="24"/>
          <w:lang w:eastAsia="zh-CN"/>
        </w:rPr>
      </w:pPr>
      <w:r w:rsidRPr="003E0AF3">
        <w:rPr>
          <w:szCs w:val="24"/>
          <w:lang w:eastAsia="en-GB"/>
        </w:rPr>
        <w:t>Blister packs: Transparent; PVC/</w:t>
      </w:r>
      <w:proofErr w:type="spellStart"/>
      <w:r w:rsidRPr="003E0AF3">
        <w:rPr>
          <w:szCs w:val="24"/>
          <w:lang w:eastAsia="en-GB"/>
        </w:rPr>
        <w:t>PVdC</w:t>
      </w:r>
      <w:proofErr w:type="spellEnd"/>
      <w:r w:rsidRPr="003E0AF3">
        <w:rPr>
          <w:szCs w:val="24"/>
          <w:lang w:eastAsia="en-GB"/>
        </w:rPr>
        <w:t xml:space="preserve">/aluminium </w:t>
      </w:r>
      <w:r w:rsidRPr="00530801">
        <w:rPr>
          <w:color w:val="000000"/>
          <w:szCs w:val="24"/>
          <w:lang w:eastAsia="en-GB"/>
        </w:rPr>
        <w:t>blister.</w:t>
      </w:r>
    </w:p>
    <w:p w:rsidR="00383355" w:rsidRPr="003E0AF3" w:rsidRDefault="00383355" w:rsidP="00D415ED">
      <w:pPr>
        <w:autoSpaceDE w:val="0"/>
        <w:autoSpaceDN w:val="0"/>
        <w:adjustRightInd w:val="0"/>
        <w:rPr>
          <w:szCs w:val="24"/>
          <w:lang w:eastAsia="en-GB"/>
        </w:rPr>
      </w:pPr>
      <w:proofErr w:type="gramStart"/>
      <w:r w:rsidRPr="00530801">
        <w:rPr>
          <w:color w:val="000000"/>
          <w:szCs w:val="24"/>
          <w:lang w:eastAsia="en-GB"/>
        </w:rPr>
        <w:t>Pack sizes of</w:t>
      </w:r>
      <w:r w:rsidR="00E32E78" w:rsidRPr="00530801">
        <w:rPr>
          <w:color w:val="000000"/>
          <w:szCs w:val="24"/>
          <w:lang w:eastAsia="en-GB"/>
        </w:rPr>
        <w:t xml:space="preserve"> </w:t>
      </w:r>
      <w:r w:rsidR="004E1E25" w:rsidRPr="00530801">
        <w:rPr>
          <w:color w:val="000000"/>
          <w:szCs w:val="24"/>
          <w:lang w:eastAsia="en-GB"/>
        </w:rPr>
        <w:t>7 (10</w:t>
      </w:r>
      <w:r w:rsidR="000B2438" w:rsidRPr="00530801">
        <w:rPr>
          <w:color w:val="000000"/>
          <w:szCs w:val="24"/>
          <w:lang w:eastAsia="en-GB"/>
        </w:rPr>
        <w:t xml:space="preserve"> </w:t>
      </w:r>
      <w:r w:rsidR="004E1E25" w:rsidRPr="00530801">
        <w:rPr>
          <w:color w:val="000000"/>
          <w:szCs w:val="24"/>
          <w:lang w:eastAsia="en-GB"/>
        </w:rPr>
        <w:t>mg</w:t>
      </w:r>
      <w:r w:rsidR="00D415ED" w:rsidRPr="00530801">
        <w:rPr>
          <w:color w:val="000000"/>
          <w:szCs w:val="24"/>
          <w:lang w:eastAsia="en-GB"/>
        </w:rPr>
        <w:t xml:space="preserve"> only</w:t>
      </w:r>
      <w:r w:rsidR="004E1E25" w:rsidRPr="00530801">
        <w:rPr>
          <w:color w:val="000000"/>
          <w:szCs w:val="24"/>
          <w:lang w:eastAsia="en-GB"/>
        </w:rPr>
        <w:t xml:space="preserve">) and 28 </w:t>
      </w:r>
      <w:r w:rsidRPr="00530801">
        <w:rPr>
          <w:color w:val="000000"/>
          <w:szCs w:val="24"/>
          <w:lang w:eastAsia="en-GB"/>
        </w:rPr>
        <w:t>film-coated tablets</w:t>
      </w:r>
      <w:r w:rsidR="004E1E25" w:rsidRPr="00530801">
        <w:rPr>
          <w:color w:val="000000"/>
          <w:szCs w:val="24"/>
          <w:lang w:eastAsia="en-GB"/>
        </w:rPr>
        <w:t xml:space="preserve"> (all strengths</w:t>
      </w:r>
      <w:r w:rsidR="004E1E25" w:rsidRPr="003E0AF3">
        <w:rPr>
          <w:szCs w:val="24"/>
          <w:lang w:eastAsia="en-GB"/>
        </w:rPr>
        <w:t>)</w:t>
      </w:r>
      <w:r w:rsidRPr="003E0AF3">
        <w:rPr>
          <w:szCs w:val="24"/>
          <w:lang w:eastAsia="en-GB"/>
        </w:rPr>
        <w:t>.</w:t>
      </w:r>
      <w:proofErr w:type="gramEnd"/>
    </w:p>
    <w:p w:rsidR="00474A23" w:rsidRPr="003E0AF3" w:rsidRDefault="00383355" w:rsidP="00D415ED">
      <w:pPr>
        <w:autoSpaceDE w:val="0"/>
        <w:autoSpaceDN w:val="0"/>
        <w:adjustRightInd w:val="0"/>
        <w:rPr>
          <w:rFonts w:eastAsia="SimSun"/>
          <w:b/>
          <w:szCs w:val="24"/>
          <w:lang w:eastAsia="zh-CN"/>
        </w:rPr>
      </w:pPr>
      <w:r w:rsidRPr="003E0AF3">
        <w:rPr>
          <w:rFonts w:eastAsia="SimSun"/>
          <w:b/>
          <w:szCs w:val="24"/>
          <w:lang w:eastAsia="zh-CN"/>
        </w:rPr>
        <w:t>Storage conditions</w:t>
      </w:r>
    </w:p>
    <w:p w:rsidR="00D415ED" w:rsidRPr="000A3667" w:rsidRDefault="00194739" w:rsidP="00AF1EF8">
      <w:pPr>
        <w:autoSpaceDE w:val="0"/>
        <w:autoSpaceDN w:val="0"/>
        <w:adjustRightInd w:val="0"/>
        <w:spacing w:before="120" w:after="240"/>
        <w:rPr>
          <w:rFonts w:eastAsia="SimSun"/>
          <w:szCs w:val="24"/>
          <w:lang w:eastAsia="zh-CN"/>
        </w:rPr>
      </w:pPr>
      <w:r w:rsidRPr="003E0AF3">
        <w:rPr>
          <w:rFonts w:eastAsia="SimSun"/>
          <w:szCs w:val="24"/>
          <w:lang w:eastAsia="zh-CN"/>
        </w:rPr>
        <w:t>Stor</w:t>
      </w:r>
      <w:r w:rsidR="000A3667">
        <w:rPr>
          <w:rFonts w:eastAsia="SimSun"/>
          <w:szCs w:val="24"/>
          <w:lang w:eastAsia="zh-CN"/>
        </w:rPr>
        <w:t>e below 30</w:t>
      </w:r>
      <w:r w:rsidR="00C86325">
        <w:rPr>
          <w:rFonts w:eastAsia="SimSun"/>
          <w:szCs w:val="24"/>
          <w:lang w:eastAsia="zh-CN"/>
        </w:rPr>
        <w:t>°C</w:t>
      </w:r>
    </w:p>
    <w:p w:rsidR="00474A23" w:rsidRPr="003E0AF3" w:rsidRDefault="0019552D" w:rsidP="00D80721">
      <w:pPr>
        <w:pStyle w:val="Heading1"/>
      </w:pPr>
      <w:r w:rsidRPr="003E0AF3">
        <w:lastRenderedPageBreak/>
        <w:t>NAME AND ADDRESS OF THE SPONSOR</w:t>
      </w:r>
    </w:p>
    <w:p w:rsidR="0019552D" w:rsidRPr="003E0AF3" w:rsidRDefault="0019552D" w:rsidP="0019552D">
      <w:pPr>
        <w:rPr>
          <w:szCs w:val="24"/>
        </w:rPr>
      </w:pPr>
      <w:proofErr w:type="spellStart"/>
      <w:r w:rsidRPr="003E0AF3">
        <w:rPr>
          <w:szCs w:val="24"/>
        </w:rPr>
        <w:t>Lundbeck</w:t>
      </w:r>
      <w:proofErr w:type="spellEnd"/>
      <w:r w:rsidRPr="003E0AF3">
        <w:rPr>
          <w:szCs w:val="24"/>
        </w:rPr>
        <w:t xml:space="preserve"> Australia Pty Ltd</w:t>
      </w:r>
    </w:p>
    <w:p w:rsidR="0019552D" w:rsidRPr="003E0AF3" w:rsidRDefault="0019552D" w:rsidP="0019552D">
      <w:pPr>
        <w:rPr>
          <w:szCs w:val="24"/>
        </w:rPr>
      </w:pPr>
      <w:r w:rsidRPr="003E0AF3">
        <w:rPr>
          <w:szCs w:val="24"/>
        </w:rPr>
        <w:t>Ground Floor</w:t>
      </w:r>
    </w:p>
    <w:p w:rsidR="0019552D" w:rsidRPr="003E0AF3" w:rsidRDefault="0019552D" w:rsidP="0019552D">
      <w:pPr>
        <w:rPr>
          <w:szCs w:val="24"/>
        </w:rPr>
      </w:pPr>
      <w:r w:rsidRPr="003E0AF3">
        <w:rPr>
          <w:szCs w:val="24"/>
        </w:rPr>
        <w:t>1 Innovation Rd</w:t>
      </w:r>
    </w:p>
    <w:p w:rsidR="0019552D" w:rsidRPr="003E0AF3" w:rsidRDefault="0019552D" w:rsidP="0019552D">
      <w:pPr>
        <w:rPr>
          <w:szCs w:val="24"/>
        </w:rPr>
      </w:pPr>
      <w:r w:rsidRPr="003E0AF3">
        <w:rPr>
          <w:szCs w:val="24"/>
        </w:rPr>
        <w:t xml:space="preserve">North </w:t>
      </w:r>
      <w:proofErr w:type="spellStart"/>
      <w:r w:rsidRPr="003E0AF3">
        <w:rPr>
          <w:szCs w:val="24"/>
        </w:rPr>
        <w:t>Ryde</w:t>
      </w:r>
      <w:proofErr w:type="spellEnd"/>
      <w:r w:rsidRPr="003E0AF3">
        <w:rPr>
          <w:szCs w:val="24"/>
        </w:rPr>
        <w:t xml:space="preserve"> NSW 2113</w:t>
      </w:r>
    </w:p>
    <w:p w:rsidR="0019552D" w:rsidRPr="003E0AF3" w:rsidRDefault="0019552D" w:rsidP="0019552D">
      <w:pPr>
        <w:rPr>
          <w:szCs w:val="24"/>
        </w:rPr>
      </w:pPr>
      <w:proofErr w:type="spellStart"/>
      <w:r w:rsidRPr="003E0AF3">
        <w:rPr>
          <w:szCs w:val="24"/>
        </w:rPr>
        <w:t>Ph</w:t>
      </w:r>
      <w:proofErr w:type="spellEnd"/>
      <w:r w:rsidRPr="003E0AF3">
        <w:rPr>
          <w:szCs w:val="24"/>
        </w:rPr>
        <w:t>: +61 2 8669 1000</w:t>
      </w:r>
    </w:p>
    <w:p w:rsidR="0019552D" w:rsidRPr="003E0AF3" w:rsidRDefault="0019552D" w:rsidP="00D80721">
      <w:pPr>
        <w:pStyle w:val="Heading1"/>
      </w:pPr>
      <w:r w:rsidRPr="003E0AF3">
        <w:t>POISON SCHEDULE OF THE MEDICINE</w:t>
      </w:r>
    </w:p>
    <w:p w:rsidR="0019552D" w:rsidRPr="003E0AF3" w:rsidRDefault="0019552D" w:rsidP="0019552D">
      <w:pPr>
        <w:rPr>
          <w:szCs w:val="24"/>
        </w:rPr>
      </w:pPr>
      <w:r w:rsidRPr="003E0AF3">
        <w:rPr>
          <w:szCs w:val="24"/>
        </w:rPr>
        <w:t>S4 - Prescription only medicine</w:t>
      </w:r>
    </w:p>
    <w:p w:rsidR="00474A23" w:rsidRPr="003E0AF3" w:rsidRDefault="0019552D" w:rsidP="00D80721">
      <w:pPr>
        <w:pStyle w:val="Heading1"/>
      </w:pPr>
      <w:r w:rsidRPr="003E0AF3">
        <w:t xml:space="preserve">DATE OF FIRST INCLUSION IN THE AUSTRALIAN REGISTER OF THERAPEUTIC GOODS </w:t>
      </w:r>
    </w:p>
    <w:p w:rsidR="00C7364E" w:rsidRPr="00BC0FB0" w:rsidRDefault="00254A12">
      <w:pPr>
        <w:rPr>
          <w:szCs w:val="24"/>
        </w:rPr>
      </w:pPr>
      <w:r w:rsidRPr="00BC0FB0">
        <w:rPr>
          <w:szCs w:val="24"/>
        </w:rPr>
        <w:t>31 March 2014</w:t>
      </w:r>
    </w:p>
    <w:sectPr w:rsidR="00C7364E" w:rsidRPr="00BC0FB0">
      <w:headerReference w:type="default" r:id="rId13"/>
      <w:footerReference w:type="default" r:id="rId14"/>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933" w:rsidRDefault="00867933">
      <w:r>
        <w:separator/>
      </w:r>
    </w:p>
  </w:endnote>
  <w:endnote w:type="continuationSeparator" w:id="0">
    <w:p w:rsidR="00867933" w:rsidRDefault="00867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3F" w:rsidRDefault="0002583F">
    <w:pPr>
      <w:pStyle w:val="Footer"/>
      <w:tabs>
        <w:tab w:val="clear" w:pos="4153"/>
        <w:tab w:val="clear" w:pos="8306"/>
      </w:tabs>
      <w:jc w:val="right"/>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761015">
      <w:rPr>
        <w:rStyle w:val="PageNumber"/>
        <w:noProof/>
        <w:sz w:val="18"/>
      </w:rPr>
      <w:t>2</w:t>
    </w:r>
    <w:r>
      <w:rPr>
        <w:rStyle w:val="PageNumber"/>
        <w:sz w:val="18"/>
      </w:rPr>
      <w:fldChar w:fldCharType="end"/>
    </w:r>
    <w:r>
      <w:rPr>
        <w:rStyle w:val="PageNumber"/>
        <w:sz w:val="18"/>
      </w:rPr>
      <w:t>/</w:t>
    </w:r>
    <w:r>
      <w:rPr>
        <w:rStyle w:val="PageNumber"/>
        <w:sz w:val="18"/>
      </w:rPr>
      <w:fldChar w:fldCharType="begin"/>
    </w:r>
    <w:r>
      <w:rPr>
        <w:rStyle w:val="PageNumber"/>
        <w:sz w:val="18"/>
      </w:rPr>
      <w:instrText xml:space="preserve"> NUMPAGES </w:instrText>
    </w:r>
    <w:r>
      <w:rPr>
        <w:rStyle w:val="PageNumber"/>
        <w:sz w:val="18"/>
      </w:rPr>
      <w:fldChar w:fldCharType="separate"/>
    </w:r>
    <w:r w:rsidR="00761015">
      <w:rPr>
        <w:rStyle w:val="PageNumber"/>
        <w:noProof/>
        <w:sz w:val="18"/>
      </w:rPr>
      <w:t>20</w:t>
    </w:r>
    <w:r>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933" w:rsidRDefault="00867933">
      <w:r>
        <w:separator/>
      </w:r>
    </w:p>
  </w:footnote>
  <w:footnote w:type="continuationSeparator" w:id="0">
    <w:p w:rsidR="00867933" w:rsidRDefault="00867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F44D22" w:rsidTr="0074468C">
      <w:tc>
        <w:tcPr>
          <w:tcW w:w="8720" w:type="dxa"/>
          <w:shd w:val="clear" w:color="auto" w:fill="E4F2E0"/>
        </w:tcPr>
        <w:p w:rsidR="00F44D22" w:rsidRPr="00761015" w:rsidRDefault="00F44D22" w:rsidP="00F44D22">
          <w:pPr>
            <w:spacing w:before="40" w:after="40"/>
            <w:rPr>
              <w:rFonts w:ascii="Cambria" w:hAnsi="Cambria"/>
              <w:b/>
              <w:sz w:val="20"/>
              <w:szCs w:val="20"/>
            </w:rPr>
          </w:pPr>
          <w:r w:rsidRPr="00761015">
            <w:rPr>
              <w:rFonts w:ascii="Cambria" w:hAnsi="Cambria"/>
              <w:b/>
              <w:sz w:val="20"/>
              <w:szCs w:val="20"/>
            </w:rPr>
            <w:t xml:space="preserve">Attachment 1: Product information for </w:t>
          </w:r>
          <w:r w:rsidRPr="00761015">
            <w:rPr>
              <w:rFonts w:ascii="Cambria" w:hAnsi="Cambria"/>
              <w:b/>
              <w:sz w:val="20"/>
              <w:szCs w:val="20"/>
              <w:lang w:val="en-AU"/>
            </w:rPr>
            <w:t xml:space="preserve">AusPAR </w:t>
          </w:r>
          <w:proofErr w:type="spellStart"/>
          <w:r w:rsidRPr="00761015">
            <w:rPr>
              <w:rFonts w:ascii="Cambria" w:hAnsi="Cambria"/>
              <w:b/>
              <w:sz w:val="20"/>
              <w:szCs w:val="20"/>
              <w:lang w:val="en-AU"/>
            </w:rPr>
            <w:t>vortioxetine</w:t>
          </w:r>
          <w:proofErr w:type="spellEnd"/>
          <w:r w:rsidRPr="00761015">
            <w:rPr>
              <w:rFonts w:ascii="Cambria" w:hAnsi="Cambria"/>
              <w:b/>
              <w:sz w:val="20"/>
              <w:szCs w:val="20"/>
              <w:lang w:val="en-AU"/>
            </w:rPr>
            <w:t xml:space="preserve"> </w:t>
          </w:r>
          <w:proofErr w:type="spellStart"/>
          <w:r w:rsidRPr="00761015">
            <w:rPr>
              <w:rFonts w:ascii="Cambria" w:hAnsi="Cambria"/>
              <w:b/>
              <w:sz w:val="20"/>
              <w:szCs w:val="20"/>
              <w:lang w:val="en-AU"/>
            </w:rPr>
            <w:t>hydrobromide</w:t>
          </w:r>
          <w:proofErr w:type="spellEnd"/>
          <w:r w:rsidRPr="00761015">
            <w:rPr>
              <w:rFonts w:ascii="Cambria" w:hAnsi="Cambria"/>
              <w:b/>
              <w:sz w:val="20"/>
              <w:szCs w:val="20"/>
              <w:lang w:val="en-AU"/>
            </w:rPr>
            <w:t xml:space="preserve"> </w:t>
          </w:r>
          <w:proofErr w:type="spellStart"/>
          <w:r w:rsidRPr="00761015">
            <w:rPr>
              <w:rFonts w:ascii="Cambria" w:hAnsi="Cambria"/>
              <w:b/>
              <w:sz w:val="20"/>
              <w:szCs w:val="20"/>
              <w:lang w:val="en-AU"/>
            </w:rPr>
            <w:t>Brintellix</w:t>
          </w:r>
          <w:proofErr w:type="spellEnd"/>
          <w:r w:rsidRPr="00761015">
            <w:rPr>
              <w:rFonts w:ascii="Cambria" w:hAnsi="Cambria"/>
              <w:b/>
              <w:sz w:val="20"/>
              <w:szCs w:val="20"/>
              <w:lang w:val="en-AU"/>
            </w:rPr>
            <w:t xml:space="preserve"> </w:t>
          </w:r>
          <w:proofErr w:type="spellStart"/>
          <w:r w:rsidRPr="00761015">
            <w:rPr>
              <w:rFonts w:ascii="Cambria" w:hAnsi="Cambria"/>
              <w:b/>
              <w:sz w:val="20"/>
              <w:szCs w:val="20"/>
              <w:lang w:val="en-AU"/>
            </w:rPr>
            <w:t>Lundbeck</w:t>
          </w:r>
          <w:proofErr w:type="spellEnd"/>
          <w:r w:rsidRPr="00761015">
            <w:rPr>
              <w:rFonts w:ascii="Cambria" w:hAnsi="Cambria"/>
              <w:b/>
              <w:sz w:val="20"/>
              <w:szCs w:val="20"/>
              <w:lang w:val="en-AU"/>
            </w:rPr>
            <w:t xml:space="preserve"> Australia Pty Ltd PM-2012-03463-1-1 Final 8 July 2014</w:t>
          </w:r>
          <w:r w:rsidRPr="00761015">
            <w:rPr>
              <w:rFonts w:ascii="Cambria" w:hAnsi="Cambria"/>
              <w:b/>
              <w:sz w:val="20"/>
              <w:szCs w:val="20"/>
            </w:rPr>
            <w:t>. This Product Information was approved at the time this AusPAR was published.</w:t>
          </w:r>
        </w:p>
      </w:tc>
    </w:tr>
  </w:tbl>
  <w:p w:rsidR="00F44D22" w:rsidRDefault="00F44D22" w:rsidP="007610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2D8FD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7AFA2514"/>
    <w:lvl w:ilvl="0">
      <w:numFmt w:val="bullet"/>
      <w:lvlText w:val="*"/>
      <w:lvlJc w:val="left"/>
    </w:lvl>
  </w:abstractNum>
  <w:abstractNum w:abstractNumId="2">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79C0A71"/>
    <w:multiLevelType w:val="hybridMultilevel"/>
    <w:tmpl w:val="6FE4FB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0130A5"/>
    <w:multiLevelType w:val="multilevel"/>
    <w:tmpl w:val="DA48B80E"/>
    <w:lvl w:ilvl="0">
      <w:start w:val="4"/>
      <w:numFmt w:val="decimal"/>
      <w:lvlText w:val="%1"/>
      <w:lvlJc w:val="left"/>
      <w:pPr>
        <w:tabs>
          <w:tab w:val="num" w:pos="720"/>
        </w:tabs>
        <w:ind w:left="720" w:hanging="720"/>
      </w:pPr>
      <w:rPr>
        <w:rFonts w:hint="default"/>
        <w:b/>
        <w:i/>
      </w:rPr>
    </w:lvl>
    <w:lvl w:ilvl="1">
      <w:start w:val="8"/>
      <w:numFmt w:val="decimal"/>
      <w:lvlText w:val="%1.%2"/>
      <w:lvlJc w:val="left"/>
      <w:pPr>
        <w:tabs>
          <w:tab w:val="num" w:pos="720"/>
        </w:tabs>
        <w:ind w:left="720" w:hanging="72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5">
    <w:nsid w:val="20D424F8"/>
    <w:multiLevelType w:val="hybridMultilevel"/>
    <w:tmpl w:val="4CDC2696"/>
    <w:lvl w:ilvl="0" w:tplc="181C2CFC">
      <w:start w:val="10"/>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FF13EA"/>
    <w:multiLevelType w:val="multilevel"/>
    <w:tmpl w:val="367A5394"/>
    <w:lvl w:ilvl="0">
      <w:start w:val="7"/>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nsid w:val="3CC102BC"/>
    <w:multiLevelType w:val="multilevel"/>
    <w:tmpl w:val="3552081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25737AB"/>
    <w:multiLevelType w:val="hybridMultilevel"/>
    <w:tmpl w:val="1E3C6B64"/>
    <w:lvl w:ilvl="0" w:tplc="29CCDE48">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C2B538D"/>
    <w:multiLevelType w:val="singleLevel"/>
    <w:tmpl w:val="18B4221C"/>
    <w:lvl w:ilvl="0">
      <w:start w:val="8"/>
      <w:numFmt w:val="decimal"/>
      <w:lvlText w:val="%1."/>
      <w:lvlJc w:val="left"/>
      <w:pPr>
        <w:tabs>
          <w:tab w:val="num" w:pos="720"/>
        </w:tabs>
        <w:ind w:left="720" w:hanging="720"/>
      </w:pPr>
      <w:rPr>
        <w:rFonts w:hint="default"/>
      </w:rPr>
    </w:lvl>
  </w:abstractNum>
  <w:abstractNum w:abstractNumId="10">
    <w:nsid w:val="4C7A1D60"/>
    <w:multiLevelType w:val="multilevel"/>
    <w:tmpl w:val="286065B8"/>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59B54A7"/>
    <w:multiLevelType w:val="hybridMultilevel"/>
    <w:tmpl w:val="A62EA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3764AE2"/>
    <w:multiLevelType w:val="hybridMultilevel"/>
    <w:tmpl w:val="A8567F5C"/>
    <w:lvl w:ilvl="0" w:tplc="C2BE9E48">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3AD7E46"/>
    <w:multiLevelType w:val="multilevel"/>
    <w:tmpl w:val="5358B23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75DF336D"/>
    <w:multiLevelType w:val="hybridMultilevel"/>
    <w:tmpl w:val="65583D4E"/>
    <w:lvl w:ilvl="0" w:tplc="6A06EC36">
      <w:start w:val="8"/>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123C4F"/>
    <w:multiLevelType w:val="hybridMultilevel"/>
    <w:tmpl w:val="78C45DE8"/>
    <w:lvl w:ilvl="0" w:tplc="0F1AB456">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3"/>
  </w:num>
  <w:num w:numId="4">
    <w:abstractNumId w:val="9"/>
  </w:num>
  <w:num w:numId="5">
    <w:abstractNumId w:val="12"/>
  </w:num>
  <w:num w:numId="6">
    <w:abstractNumId w:val="8"/>
  </w:num>
  <w:num w:numId="7">
    <w:abstractNumId w:val="6"/>
  </w:num>
  <w:num w:numId="8">
    <w:abstractNumId w:val="14"/>
  </w:num>
  <w:num w:numId="9">
    <w:abstractNumId w:val="5"/>
  </w:num>
  <w:num w:numId="10">
    <w:abstractNumId w:val="3"/>
  </w:num>
  <w:num w:numId="11">
    <w:abstractNumId w:val="10"/>
  </w:num>
  <w:num w:numId="12">
    <w:abstractNumId w:val="1"/>
    <w:lvlOverride w:ilvl="0">
      <w:lvl w:ilvl="0">
        <w:numFmt w:val="bullet"/>
        <w:lvlText w:val=""/>
        <w:legacy w:legacy="1" w:legacySpace="0" w:legacyIndent="360"/>
        <w:lvlJc w:val="left"/>
        <w:pPr>
          <w:ind w:left="720" w:hanging="360"/>
        </w:pPr>
        <w:rPr>
          <w:rFonts w:ascii="Symbol" w:hAnsi="Symbol" w:hint="default"/>
        </w:rPr>
      </w:lvl>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abstractNumId w:val="15"/>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A23"/>
    <w:rsid w:val="000011CB"/>
    <w:rsid w:val="00003253"/>
    <w:rsid w:val="00006851"/>
    <w:rsid w:val="00011E52"/>
    <w:rsid w:val="00012CDB"/>
    <w:rsid w:val="0002583F"/>
    <w:rsid w:val="00027657"/>
    <w:rsid w:val="00042F9F"/>
    <w:rsid w:val="000503F2"/>
    <w:rsid w:val="00051745"/>
    <w:rsid w:val="0005276E"/>
    <w:rsid w:val="00054916"/>
    <w:rsid w:val="00061D6C"/>
    <w:rsid w:val="00063D78"/>
    <w:rsid w:val="00064330"/>
    <w:rsid w:val="00073EDB"/>
    <w:rsid w:val="00076624"/>
    <w:rsid w:val="0009171E"/>
    <w:rsid w:val="00092853"/>
    <w:rsid w:val="000A0ACD"/>
    <w:rsid w:val="000A2B73"/>
    <w:rsid w:val="000A2E8E"/>
    <w:rsid w:val="000A3667"/>
    <w:rsid w:val="000A47BC"/>
    <w:rsid w:val="000A5716"/>
    <w:rsid w:val="000A7195"/>
    <w:rsid w:val="000B2438"/>
    <w:rsid w:val="000B3CDD"/>
    <w:rsid w:val="000B46EB"/>
    <w:rsid w:val="000B70B3"/>
    <w:rsid w:val="000C54D7"/>
    <w:rsid w:val="000D1336"/>
    <w:rsid w:val="000D1FF0"/>
    <w:rsid w:val="000D7F5C"/>
    <w:rsid w:val="000E05EC"/>
    <w:rsid w:val="000E12EE"/>
    <w:rsid w:val="000E60D7"/>
    <w:rsid w:val="000E6863"/>
    <w:rsid w:val="000E744F"/>
    <w:rsid w:val="000F2265"/>
    <w:rsid w:val="000F2349"/>
    <w:rsid w:val="000F4A5D"/>
    <w:rsid w:val="000F54D2"/>
    <w:rsid w:val="000F5C4C"/>
    <w:rsid w:val="000F619F"/>
    <w:rsid w:val="000F6B43"/>
    <w:rsid w:val="000F6C33"/>
    <w:rsid w:val="00104A5A"/>
    <w:rsid w:val="00105A95"/>
    <w:rsid w:val="00106556"/>
    <w:rsid w:val="001065B1"/>
    <w:rsid w:val="00110979"/>
    <w:rsid w:val="00114833"/>
    <w:rsid w:val="001165C6"/>
    <w:rsid w:val="001165E0"/>
    <w:rsid w:val="001227BE"/>
    <w:rsid w:val="00126836"/>
    <w:rsid w:val="00135E8A"/>
    <w:rsid w:val="00136E86"/>
    <w:rsid w:val="001426B6"/>
    <w:rsid w:val="00144405"/>
    <w:rsid w:val="00146B52"/>
    <w:rsid w:val="001564A1"/>
    <w:rsid w:val="00156678"/>
    <w:rsid w:val="0015772C"/>
    <w:rsid w:val="00161CFC"/>
    <w:rsid w:val="00161F9C"/>
    <w:rsid w:val="001623AD"/>
    <w:rsid w:val="00163927"/>
    <w:rsid w:val="00175B06"/>
    <w:rsid w:val="00177261"/>
    <w:rsid w:val="00181825"/>
    <w:rsid w:val="00194739"/>
    <w:rsid w:val="0019552D"/>
    <w:rsid w:val="001959CA"/>
    <w:rsid w:val="0019776E"/>
    <w:rsid w:val="001A00F1"/>
    <w:rsid w:val="001A33AD"/>
    <w:rsid w:val="001B1E1F"/>
    <w:rsid w:val="001D5489"/>
    <w:rsid w:val="001D79BD"/>
    <w:rsid w:val="001E3D61"/>
    <w:rsid w:val="001E7636"/>
    <w:rsid w:val="001F132C"/>
    <w:rsid w:val="001F4A2A"/>
    <w:rsid w:val="001F50EE"/>
    <w:rsid w:val="001F7E37"/>
    <w:rsid w:val="00201459"/>
    <w:rsid w:val="00202637"/>
    <w:rsid w:val="00205639"/>
    <w:rsid w:val="002062AB"/>
    <w:rsid w:val="00211BF8"/>
    <w:rsid w:val="00213B22"/>
    <w:rsid w:val="00222DE1"/>
    <w:rsid w:val="0022541E"/>
    <w:rsid w:val="00240849"/>
    <w:rsid w:val="00242E31"/>
    <w:rsid w:val="00242E8A"/>
    <w:rsid w:val="00243359"/>
    <w:rsid w:val="0025287F"/>
    <w:rsid w:val="0025335B"/>
    <w:rsid w:val="00254A12"/>
    <w:rsid w:val="00254FDF"/>
    <w:rsid w:val="00255B57"/>
    <w:rsid w:val="002601FB"/>
    <w:rsid w:val="0027047E"/>
    <w:rsid w:val="002740F9"/>
    <w:rsid w:val="002744AF"/>
    <w:rsid w:val="00274ECA"/>
    <w:rsid w:val="00276043"/>
    <w:rsid w:val="00277EDB"/>
    <w:rsid w:val="002822D6"/>
    <w:rsid w:val="0028419C"/>
    <w:rsid w:val="00295257"/>
    <w:rsid w:val="00297E3D"/>
    <w:rsid w:val="002A6678"/>
    <w:rsid w:val="002A6DDB"/>
    <w:rsid w:val="002B234E"/>
    <w:rsid w:val="002B3867"/>
    <w:rsid w:val="002B57AC"/>
    <w:rsid w:val="002B5E19"/>
    <w:rsid w:val="002B728B"/>
    <w:rsid w:val="002C52A7"/>
    <w:rsid w:val="002C7DE6"/>
    <w:rsid w:val="002D17C5"/>
    <w:rsid w:val="002D2EE7"/>
    <w:rsid w:val="002D460A"/>
    <w:rsid w:val="002E0A26"/>
    <w:rsid w:val="002E1E17"/>
    <w:rsid w:val="002E2DD9"/>
    <w:rsid w:val="002F149B"/>
    <w:rsid w:val="002F6FDC"/>
    <w:rsid w:val="002F7A38"/>
    <w:rsid w:val="002F7C69"/>
    <w:rsid w:val="00300FB3"/>
    <w:rsid w:val="00302958"/>
    <w:rsid w:val="00304265"/>
    <w:rsid w:val="0030571B"/>
    <w:rsid w:val="00305CF7"/>
    <w:rsid w:val="003068B6"/>
    <w:rsid w:val="00310169"/>
    <w:rsid w:val="00310C9A"/>
    <w:rsid w:val="00312421"/>
    <w:rsid w:val="00323A30"/>
    <w:rsid w:val="00323A75"/>
    <w:rsid w:val="00332883"/>
    <w:rsid w:val="00335D7D"/>
    <w:rsid w:val="00337692"/>
    <w:rsid w:val="003416CD"/>
    <w:rsid w:val="00343A8D"/>
    <w:rsid w:val="00347124"/>
    <w:rsid w:val="00347924"/>
    <w:rsid w:val="003502BD"/>
    <w:rsid w:val="003502FC"/>
    <w:rsid w:val="0035067E"/>
    <w:rsid w:val="00351955"/>
    <w:rsid w:val="00353217"/>
    <w:rsid w:val="00355227"/>
    <w:rsid w:val="00360414"/>
    <w:rsid w:val="00372BEC"/>
    <w:rsid w:val="003821CD"/>
    <w:rsid w:val="00383355"/>
    <w:rsid w:val="003852E5"/>
    <w:rsid w:val="003869A1"/>
    <w:rsid w:val="00390C1C"/>
    <w:rsid w:val="00395083"/>
    <w:rsid w:val="003A63D3"/>
    <w:rsid w:val="003B0ED4"/>
    <w:rsid w:val="003B566E"/>
    <w:rsid w:val="003B790D"/>
    <w:rsid w:val="003C10F1"/>
    <w:rsid w:val="003C3A6C"/>
    <w:rsid w:val="003C4CB5"/>
    <w:rsid w:val="003C5342"/>
    <w:rsid w:val="003C727F"/>
    <w:rsid w:val="003D01A1"/>
    <w:rsid w:val="003D20BF"/>
    <w:rsid w:val="003D2286"/>
    <w:rsid w:val="003D57AB"/>
    <w:rsid w:val="003E0AF3"/>
    <w:rsid w:val="003E1901"/>
    <w:rsid w:val="003E28E4"/>
    <w:rsid w:val="003E67F4"/>
    <w:rsid w:val="003E6B91"/>
    <w:rsid w:val="003E765C"/>
    <w:rsid w:val="003F1268"/>
    <w:rsid w:val="003F1EF6"/>
    <w:rsid w:val="003F69F0"/>
    <w:rsid w:val="003F71CC"/>
    <w:rsid w:val="003F72C5"/>
    <w:rsid w:val="004037A2"/>
    <w:rsid w:val="00404C5F"/>
    <w:rsid w:val="00407EC1"/>
    <w:rsid w:val="004153A4"/>
    <w:rsid w:val="00415BD2"/>
    <w:rsid w:val="004222E0"/>
    <w:rsid w:val="0042448A"/>
    <w:rsid w:val="00437ACC"/>
    <w:rsid w:val="00437FDC"/>
    <w:rsid w:val="00440D37"/>
    <w:rsid w:val="004430B5"/>
    <w:rsid w:val="004443F6"/>
    <w:rsid w:val="00446FF9"/>
    <w:rsid w:val="004478F9"/>
    <w:rsid w:val="00452FFD"/>
    <w:rsid w:val="00456C7E"/>
    <w:rsid w:val="00463BBC"/>
    <w:rsid w:val="00463C0C"/>
    <w:rsid w:val="00474A23"/>
    <w:rsid w:val="00476855"/>
    <w:rsid w:val="0048141F"/>
    <w:rsid w:val="00482340"/>
    <w:rsid w:val="00482C78"/>
    <w:rsid w:val="00483F3D"/>
    <w:rsid w:val="00485736"/>
    <w:rsid w:val="0049258B"/>
    <w:rsid w:val="00492BB2"/>
    <w:rsid w:val="00493BB3"/>
    <w:rsid w:val="00494517"/>
    <w:rsid w:val="004A272C"/>
    <w:rsid w:val="004A35C5"/>
    <w:rsid w:val="004A5137"/>
    <w:rsid w:val="004A5FD2"/>
    <w:rsid w:val="004A727B"/>
    <w:rsid w:val="004B5C7C"/>
    <w:rsid w:val="004B5C8E"/>
    <w:rsid w:val="004B6B80"/>
    <w:rsid w:val="004B7272"/>
    <w:rsid w:val="004C2607"/>
    <w:rsid w:val="004C5421"/>
    <w:rsid w:val="004C6EFB"/>
    <w:rsid w:val="004D338B"/>
    <w:rsid w:val="004D4501"/>
    <w:rsid w:val="004D5AD2"/>
    <w:rsid w:val="004D7A1F"/>
    <w:rsid w:val="004E039A"/>
    <w:rsid w:val="004E1E25"/>
    <w:rsid w:val="004E59E2"/>
    <w:rsid w:val="004F389D"/>
    <w:rsid w:val="004F3D20"/>
    <w:rsid w:val="004F624C"/>
    <w:rsid w:val="004F6922"/>
    <w:rsid w:val="004F6BBA"/>
    <w:rsid w:val="004F751B"/>
    <w:rsid w:val="005018C3"/>
    <w:rsid w:val="005037A2"/>
    <w:rsid w:val="005066C8"/>
    <w:rsid w:val="00506C8B"/>
    <w:rsid w:val="005205D5"/>
    <w:rsid w:val="005223B0"/>
    <w:rsid w:val="00522C6A"/>
    <w:rsid w:val="00526C8C"/>
    <w:rsid w:val="00527A2D"/>
    <w:rsid w:val="00530801"/>
    <w:rsid w:val="00531868"/>
    <w:rsid w:val="005333E1"/>
    <w:rsid w:val="0053457F"/>
    <w:rsid w:val="00534CF1"/>
    <w:rsid w:val="00535F68"/>
    <w:rsid w:val="00537753"/>
    <w:rsid w:val="0054376E"/>
    <w:rsid w:val="005547BC"/>
    <w:rsid w:val="005557C4"/>
    <w:rsid w:val="00563C58"/>
    <w:rsid w:val="005702B9"/>
    <w:rsid w:val="00572073"/>
    <w:rsid w:val="005749AC"/>
    <w:rsid w:val="00577DA3"/>
    <w:rsid w:val="0058111F"/>
    <w:rsid w:val="005824AB"/>
    <w:rsid w:val="00587446"/>
    <w:rsid w:val="005A3025"/>
    <w:rsid w:val="005B4A22"/>
    <w:rsid w:val="005C0444"/>
    <w:rsid w:val="005C074B"/>
    <w:rsid w:val="005D237D"/>
    <w:rsid w:val="005D4BCD"/>
    <w:rsid w:val="005D53D5"/>
    <w:rsid w:val="005D5D58"/>
    <w:rsid w:val="005D6DBE"/>
    <w:rsid w:val="005E1B58"/>
    <w:rsid w:val="005E2E09"/>
    <w:rsid w:val="005F3DED"/>
    <w:rsid w:val="005F6C87"/>
    <w:rsid w:val="005F7A74"/>
    <w:rsid w:val="006046B8"/>
    <w:rsid w:val="00604E26"/>
    <w:rsid w:val="00606B51"/>
    <w:rsid w:val="006177D0"/>
    <w:rsid w:val="00620F93"/>
    <w:rsid w:val="00623FE4"/>
    <w:rsid w:val="00625697"/>
    <w:rsid w:val="0063495F"/>
    <w:rsid w:val="006405E5"/>
    <w:rsid w:val="006416FA"/>
    <w:rsid w:val="00657809"/>
    <w:rsid w:val="006609CB"/>
    <w:rsid w:val="006618A7"/>
    <w:rsid w:val="00664C95"/>
    <w:rsid w:val="00667C0B"/>
    <w:rsid w:val="00680530"/>
    <w:rsid w:val="0068393D"/>
    <w:rsid w:val="00687BFD"/>
    <w:rsid w:val="00690765"/>
    <w:rsid w:val="00693D9D"/>
    <w:rsid w:val="006B60A3"/>
    <w:rsid w:val="006B6277"/>
    <w:rsid w:val="006B632B"/>
    <w:rsid w:val="006C6568"/>
    <w:rsid w:val="006C7883"/>
    <w:rsid w:val="006D22D3"/>
    <w:rsid w:val="006D48ED"/>
    <w:rsid w:val="006D5678"/>
    <w:rsid w:val="006D5BCD"/>
    <w:rsid w:val="006E45FB"/>
    <w:rsid w:val="006F2C8E"/>
    <w:rsid w:val="006F7DA7"/>
    <w:rsid w:val="007024AF"/>
    <w:rsid w:val="007116F2"/>
    <w:rsid w:val="00716469"/>
    <w:rsid w:val="007264B6"/>
    <w:rsid w:val="00733CEF"/>
    <w:rsid w:val="007366E5"/>
    <w:rsid w:val="0074558A"/>
    <w:rsid w:val="00747E03"/>
    <w:rsid w:val="007505D4"/>
    <w:rsid w:val="007507BD"/>
    <w:rsid w:val="00754C2E"/>
    <w:rsid w:val="00761015"/>
    <w:rsid w:val="00765B44"/>
    <w:rsid w:val="00765D5D"/>
    <w:rsid w:val="007729A6"/>
    <w:rsid w:val="00773A84"/>
    <w:rsid w:val="007806AE"/>
    <w:rsid w:val="00780C68"/>
    <w:rsid w:val="00783123"/>
    <w:rsid w:val="00784AD2"/>
    <w:rsid w:val="00784B38"/>
    <w:rsid w:val="0078579C"/>
    <w:rsid w:val="00791C03"/>
    <w:rsid w:val="00793FEA"/>
    <w:rsid w:val="007A19E0"/>
    <w:rsid w:val="007A31DF"/>
    <w:rsid w:val="007B06EE"/>
    <w:rsid w:val="007B0A41"/>
    <w:rsid w:val="007B5DD4"/>
    <w:rsid w:val="007B7EE0"/>
    <w:rsid w:val="007C1401"/>
    <w:rsid w:val="007C28ED"/>
    <w:rsid w:val="007C3E6B"/>
    <w:rsid w:val="007C5250"/>
    <w:rsid w:val="007C6462"/>
    <w:rsid w:val="007D41E8"/>
    <w:rsid w:val="007D634D"/>
    <w:rsid w:val="007E10BD"/>
    <w:rsid w:val="007E2928"/>
    <w:rsid w:val="007E325A"/>
    <w:rsid w:val="007E37AB"/>
    <w:rsid w:val="007E6BF4"/>
    <w:rsid w:val="007F4AAD"/>
    <w:rsid w:val="008011C7"/>
    <w:rsid w:val="008075BB"/>
    <w:rsid w:val="00810FAD"/>
    <w:rsid w:val="0081776B"/>
    <w:rsid w:val="0082315F"/>
    <w:rsid w:val="008258DF"/>
    <w:rsid w:val="008274DF"/>
    <w:rsid w:val="008305AB"/>
    <w:rsid w:val="00831161"/>
    <w:rsid w:val="00833FCC"/>
    <w:rsid w:val="008349FC"/>
    <w:rsid w:val="00834E88"/>
    <w:rsid w:val="00835623"/>
    <w:rsid w:val="00840D37"/>
    <w:rsid w:val="00843517"/>
    <w:rsid w:val="008444DD"/>
    <w:rsid w:val="00847813"/>
    <w:rsid w:val="00855835"/>
    <w:rsid w:val="00864D3D"/>
    <w:rsid w:val="00867933"/>
    <w:rsid w:val="00873A00"/>
    <w:rsid w:val="00873A02"/>
    <w:rsid w:val="00874133"/>
    <w:rsid w:val="00874D95"/>
    <w:rsid w:val="008764F6"/>
    <w:rsid w:val="00876532"/>
    <w:rsid w:val="00877B6E"/>
    <w:rsid w:val="00884008"/>
    <w:rsid w:val="008922F7"/>
    <w:rsid w:val="00893ED3"/>
    <w:rsid w:val="008B0831"/>
    <w:rsid w:val="008B32BC"/>
    <w:rsid w:val="008B64CB"/>
    <w:rsid w:val="008C2A5E"/>
    <w:rsid w:val="008C3E46"/>
    <w:rsid w:val="008C4A21"/>
    <w:rsid w:val="008C60AA"/>
    <w:rsid w:val="008D0140"/>
    <w:rsid w:val="008D2804"/>
    <w:rsid w:val="008E1EB9"/>
    <w:rsid w:val="008F0658"/>
    <w:rsid w:val="008F1EBA"/>
    <w:rsid w:val="008F6007"/>
    <w:rsid w:val="00900E92"/>
    <w:rsid w:val="00905989"/>
    <w:rsid w:val="00906D58"/>
    <w:rsid w:val="00920E51"/>
    <w:rsid w:val="00921FF1"/>
    <w:rsid w:val="00922873"/>
    <w:rsid w:val="00923F64"/>
    <w:rsid w:val="0092445C"/>
    <w:rsid w:val="00925103"/>
    <w:rsid w:val="00927AA9"/>
    <w:rsid w:val="00935D04"/>
    <w:rsid w:val="009407D4"/>
    <w:rsid w:val="0094664D"/>
    <w:rsid w:val="00947274"/>
    <w:rsid w:val="00951E27"/>
    <w:rsid w:val="0095547F"/>
    <w:rsid w:val="00955C6D"/>
    <w:rsid w:val="00956C04"/>
    <w:rsid w:val="00957494"/>
    <w:rsid w:val="00966D13"/>
    <w:rsid w:val="00967EDF"/>
    <w:rsid w:val="00970509"/>
    <w:rsid w:val="00972F40"/>
    <w:rsid w:val="00974F85"/>
    <w:rsid w:val="0097674F"/>
    <w:rsid w:val="009772BA"/>
    <w:rsid w:val="00980C11"/>
    <w:rsid w:val="0098195A"/>
    <w:rsid w:val="00981C04"/>
    <w:rsid w:val="00986CAA"/>
    <w:rsid w:val="009879F8"/>
    <w:rsid w:val="00991510"/>
    <w:rsid w:val="00995F56"/>
    <w:rsid w:val="009963CC"/>
    <w:rsid w:val="009A06AF"/>
    <w:rsid w:val="009A1FA2"/>
    <w:rsid w:val="009A2A6B"/>
    <w:rsid w:val="009A348B"/>
    <w:rsid w:val="009A49E4"/>
    <w:rsid w:val="009A5361"/>
    <w:rsid w:val="009A69F6"/>
    <w:rsid w:val="009B0B81"/>
    <w:rsid w:val="009B14B5"/>
    <w:rsid w:val="009B4A3E"/>
    <w:rsid w:val="009B6DF1"/>
    <w:rsid w:val="009B72FD"/>
    <w:rsid w:val="009C485F"/>
    <w:rsid w:val="009C498A"/>
    <w:rsid w:val="009C7074"/>
    <w:rsid w:val="009C788B"/>
    <w:rsid w:val="009D1A9B"/>
    <w:rsid w:val="009D70A4"/>
    <w:rsid w:val="009E115C"/>
    <w:rsid w:val="009E132A"/>
    <w:rsid w:val="009E15AE"/>
    <w:rsid w:val="009E41FB"/>
    <w:rsid w:val="009E5DE6"/>
    <w:rsid w:val="009F5297"/>
    <w:rsid w:val="00A0116F"/>
    <w:rsid w:val="00A12C64"/>
    <w:rsid w:val="00A1585D"/>
    <w:rsid w:val="00A17C27"/>
    <w:rsid w:val="00A21BF1"/>
    <w:rsid w:val="00A21E94"/>
    <w:rsid w:val="00A22AD2"/>
    <w:rsid w:val="00A2310A"/>
    <w:rsid w:val="00A303AA"/>
    <w:rsid w:val="00A30715"/>
    <w:rsid w:val="00A30AD3"/>
    <w:rsid w:val="00A34C8D"/>
    <w:rsid w:val="00A356DC"/>
    <w:rsid w:val="00A36791"/>
    <w:rsid w:val="00A4075D"/>
    <w:rsid w:val="00A4142B"/>
    <w:rsid w:val="00A43C07"/>
    <w:rsid w:val="00A543C0"/>
    <w:rsid w:val="00A55C63"/>
    <w:rsid w:val="00A5789F"/>
    <w:rsid w:val="00A7582E"/>
    <w:rsid w:val="00A75F39"/>
    <w:rsid w:val="00A76064"/>
    <w:rsid w:val="00A820F3"/>
    <w:rsid w:val="00AA3BA7"/>
    <w:rsid w:val="00AA5618"/>
    <w:rsid w:val="00AA6861"/>
    <w:rsid w:val="00AA6F3F"/>
    <w:rsid w:val="00AB273E"/>
    <w:rsid w:val="00AB297D"/>
    <w:rsid w:val="00AC0E75"/>
    <w:rsid w:val="00AC0F9F"/>
    <w:rsid w:val="00AC212E"/>
    <w:rsid w:val="00AC2BC9"/>
    <w:rsid w:val="00AD0B88"/>
    <w:rsid w:val="00AD12D9"/>
    <w:rsid w:val="00AD7D06"/>
    <w:rsid w:val="00AE3ED0"/>
    <w:rsid w:val="00AE7CA9"/>
    <w:rsid w:val="00AF1EF8"/>
    <w:rsid w:val="00AF2081"/>
    <w:rsid w:val="00AF4A37"/>
    <w:rsid w:val="00AF6A01"/>
    <w:rsid w:val="00B02289"/>
    <w:rsid w:val="00B034A9"/>
    <w:rsid w:val="00B0405C"/>
    <w:rsid w:val="00B05D37"/>
    <w:rsid w:val="00B07431"/>
    <w:rsid w:val="00B14CB2"/>
    <w:rsid w:val="00B20A36"/>
    <w:rsid w:val="00B23F0E"/>
    <w:rsid w:val="00B24496"/>
    <w:rsid w:val="00B25F3C"/>
    <w:rsid w:val="00B26368"/>
    <w:rsid w:val="00B27CEF"/>
    <w:rsid w:val="00B34099"/>
    <w:rsid w:val="00B37930"/>
    <w:rsid w:val="00B56D12"/>
    <w:rsid w:val="00B57FAB"/>
    <w:rsid w:val="00B60CF3"/>
    <w:rsid w:val="00B63D44"/>
    <w:rsid w:val="00B64217"/>
    <w:rsid w:val="00B72466"/>
    <w:rsid w:val="00B72A98"/>
    <w:rsid w:val="00B8061F"/>
    <w:rsid w:val="00B80E1D"/>
    <w:rsid w:val="00B821E3"/>
    <w:rsid w:val="00B82308"/>
    <w:rsid w:val="00B8418F"/>
    <w:rsid w:val="00B849BC"/>
    <w:rsid w:val="00B8573A"/>
    <w:rsid w:val="00B85804"/>
    <w:rsid w:val="00B85A58"/>
    <w:rsid w:val="00B86646"/>
    <w:rsid w:val="00B9608F"/>
    <w:rsid w:val="00B96DD8"/>
    <w:rsid w:val="00B97FC3"/>
    <w:rsid w:val="00BA3C24"/>
    <w:rsid w:val="00BB1671"/>
    <w:rsid w:val="00BB184F"/>
    <w:rsid w:val="00BB1E71"/>
    <w:rsid w:val="00BB34CD"/>
    <w:rsid w:val="00BB7060"/>
    <w:rsid w:val="00BB7541"/>
    <w:rsid w:val="00BC0FB0"/>
    <w:rsid w:val="00BC6A5C"/>
    <w:rsid w:val="00BC7A32"/>
    <w:rsid w:val="00BD0771"/>
    <w:rsid w:val="00BD4257"/>
    <w:rsid w:val="00BD5273"/>
    <w:rsid w:val="00BD7A60"/>
    <w:rsid w:val="00BE4EF4"/>
    <w:rsid w:val="00BE51A8"/>
    <w:rsid w:val="00BF15EC"/>
    <w:rsid w:val="00BF5F1D"/>
    <w:rsid w:val="00C02826"/>
    <w:rsid w:val="00C16DCF"/>
    <w:rsid w:val="00C2087B"/>
    <w:rsid w:val="00C234AB"/>
    <w:rsid w:val="00C239CC"/>
    <w:rsid w:val="00C23D99"/>
    <w:rsid w:val="00C24E2A"/>
    <w:rsid w:val="00C31BF4"/>
    <w:rsid w:val="00C35C05"/>
    <w:rsid w:val="00C453AF"/>
    <w:rsid w:val="00C45CF3"/>
    <w:rsid w:val="00C46D08"/>
    <w:rsid w:val="00C477DF"/>
    <w:rsid w:val="00C551E0"/>
    <w:rsid w:val="00C61D67"/>
    <w:rsid w:val="00C62BD2"/>
    <w:rsid w:val="00C7364E"/>
    <w:rsid w:val="00C75A9F"/>
    <w:rsid w:val="00C82403"/>
    <w:rsid w:val="00C829F2"/>
    <w:rsid w:val="00C82C28"/>
    <w:rsid w:val="00C853A6"/>
    <w:rsid w:val="00C86325"/>
    <w:rsid w:val="00C86D7E"/>
    <w:rsid w:val="00C917EC"/>
    <w:rsid w:val="00C9200E"/>
    <w:rsid w:val="00C92368"/>
    <w:rsid w:val="00CA0523"/>
    <w:rsid w:val="00CA7FDB"/>
    <w:rsid w:val="00CB0A05"/>
    <w:rsid w:val="00CB12AD"/>
    <w:rsid w:val="00CB7EDE"/>
    <w:rsid w:val="00CB7F64"/>
    <w:rsid w:val="00CC16A3"/>
    <w:rsid w:val="00CD7B90"/>
    <w:rsid w:val="00CE080B"/>
    <w:rsid w:val="00CE1444"/>
    <w:rsid w:val="00CE3432"/>
    <w:rsid w:val="00CE6978"/>
    <w:rsid w:val="00CF2C88"/>
    <w:rsid w:val="00CF3A5E"/>
    <w:rsid w:val="00CF554A"/>
    <w:rsid w:val="00D00BC9"/>
    <w:rsid w:val="00D141EF"/>
    <w:rsid w:val="00D27034"/>
    <w:rsid w:val="00D36933"/>
    <w:rsid w:val="00D371A4"/>
    <w:rsid w:val="00D415ED"/>
    <w:rsid w:val="00D418D0"/>
    <w:rsid w:val="00D4295C"/>
    <w:rsid w:val="00D42B1C"/>
    <w:rsid w:val="00D455BA"/>
    <w:rsid w:val="00D45FB3"/>
    <w:rsid w:val="00D46D67"/>
    <w:rsid w:val="00D47392"/>
    <w:rsid w:val="00D4756F"/>
    <w:rsid w:val="00D5391F"/>
    <w:rsid w:val="00D56261"/>
    <w:rsid w:val="00D63FFD"/>
    <w:rsid w:val="00D65273"/>
    <w:rsid w:val="00D653B0"/>
    <w:rsid w:val="00D72795"/>
    <w:rsid w:val="00D80520"/>
    <w:rsid w:val="00D80655"/>
    <w:rsid w:val="00D80721"/>
    <w:rsid w:val="00D8299B"/>
    <w:rsid w:val="00D829FD"/>
    <w:rsid w:val="00D8621A"/>
    <w:rsid w:val="00D93AFD"/>
    <w:rsid w:val="00D96C5F"/>
    <w:rsid w:val="00DA0F9F"/>
    <w:rsid w:val="00DA6766"/>
    <w:rsid w:val="00DA78AA"/>
    <w:rsid w:val="00DB3F28"/>
    <w:rsid w:val="00DB4D20"/>
    <w:rsid w:val="00DC26CC"/>
    <w:rsid w:val="00DC374E"/>
    <w:rsid w:val="00DC507F"/>
    <w:rsid w:val="00DC55E1"/>
    <w:rsid w:val="00DC61F4"/>
    <w:rsid w:val="00DD09E4"/>
    <w:rsid w:val="00DD0B38"/>
    <w:rsid w:val="00DD105E"/>
    <w:rsid w:val="00DD2EBB"/>
    <w:rsid w:val="00DD376D"/>
    <w:rsid w:val="00DD4DC8"/>
    <w:rsid w:val="00DD6B6E"/>
    <w:rsid w:val="00DE2DB4"/>
    <w:rsid w:val="00DF025F"/>
    <w:rsid w:val="00DF06E6"/>
    <w:rsid w:val="00DF0908"/>
    <w:rsid w:val="00E06F67"/>
    <w:rsid w:val="00E11BCB"/>
    <w:rsid w:val="00E16FE7"/>
    <w:rsid w:val="00E2178C"/>
    <w:rsid w:val="00E303B3"/>
    <w:rsid w:val="00E304C0"/>
    <w:rsid w:val="00E32B2F"/>
    <w:rsid w:val="00E32E78"/>
    <w:rsid w:val="00E33986"/>
    <w:rsid w:val="00E42751"/>
    <w:rsid w:val="00E46B9C"/>
    <w:rsid w:val="00E47981"/>
    <w:rsid w:val="00E50FD5"/>
    <w:rsid w:val="00E528A1"/>
    <w:rsid w:val="00E5398A"/>
    <w:rsid w:val="00E56274"/>
    <w:rsid w:val="00E6068B"/>
    <w:rsid w:val="00E61246"/>
    <w:rsid w:val="00E65907"/>
    <w:rsid w:val="00E75475"/>
    <w:rsid w:val="00E7680E"/>
    <w:rsid w:val="00E77DC4"/>
    <w:rsid w:val="00E85169"/>
    <w:rsid w:val="00E868FD"/>
    <w:rsid w:val="00E874A4"/>
    <w:rsid w:val="00E973FE"/>
    <w:rsid w:val="00EA2A2B"/>
    <w:rsid w:val="00EA4039"/>
    <w:rsid w:val="00EB0FF9"/>
    <w:rsid w:val="00EB140C"/>
    <w:rsid w:val="00EB2EB8"/>
    <w:rsid w:val="00EB4A44"/>
    <w:rsid w:val="00EB69C6"/>
    <w:rsid w:val="00EB731A"/>
    <w:rsid w:val="00EC2D4F"/>
    <w:rsid w:val="00EC572B"/>
    <w:rsid w:val="00EC5DAF"/>
    <w:rsid w:val="00ED0C5C"/>
    <w:rsid w:val="00ED2325"/>
    <w:rsid w:val="00EE5DC0"/>
    <w:rsid w:val="00EE63C9"/>
    <w:rsid w:val="00EF1636"/>
    <w:rsid w:val="00EF349F"/>
    <w:rsid w:val="00EF4687"/>
    <w:rsid w:val="00EF7F48"/>
    <w:rsid w:val="00F00F58"/>
    <w:rsid w:val="00F15635"/>
    <w:rsid w:val="00F15D91"/>
    <w:rsid w:val="00F16C1D"/>
    <w:rsid w:val="00F16C95"/>
    <w:rsid w:val="00F23470"/>
    <w:rsid w:val="00F27244"/>
    <w:rsid w:val="00F33F00"/>
    <w:rsid w:val="00F346DA"/>
    <w:rsid w:val="00F4195F"/>
    <w:rsid w:val="00F43043"/>
    <w:rsid w:val="00F4485D"/>
    <w:rsid w:val="00F44D22"/>
    <w:rsid w:val="00F44F8B"/>
    <w:rsid w:val="00F46E18"/>
    <w:rsid w:val="00F51F3D"/>
    <w:rsid w:val="00F67B42"/>
    <w:rsid w:val="00F75992"/>
    <w:rsid w:val="00F849E8"/>
    <w:rsid w:val="00F9458E"/>
    <w:rsid w:val="00F94850"/>
    <w:rsid w:val="00FA0672"/>
    <w:rsid w:val="00FA7537"/>
    <w:rsid w:val="00FB3108"/>
    <w:rsid w:val="00FC19D7"/>
    <w:rsid w:val="00FD0BD1"/>
    <w:rsid w:val="00FD1CA9"/>
    <w:rsid w:val="00FD4AC2"/>
    <w:rsid w:val="00FD6545"/>
    <w:rsid w:val="00FD6B31"/>
    <w:rsid w:val="00FD6BE2"/>
    <w:rsid w:val="00FE3312"/>
    <w:rsid w:val="00FF1521"/>
    <w:rsid w:val="00FF73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7ACC"/>
    <w:pPr>
      <w:spacing w:before="100" w:after="100"/>
    </w:pPr>
    <w:rPr>
      <w:sz w:val="24"/>
      <w:lang w:val="en-GB" w:eastAsia="en-US"/>
    </w:rPr>
  </w:style>
  <w:style w:type="paragraph" w:styleId="Heading1">
    <w:name w:val="heading 1"/>
    <w:basedOn w:val="Normal"/>
    <w:next w:val="Normal"/>
    <w:autoRedefine/>
    <w:qFormat/>
    <w:rsid w:val="00476855"/>
    <w:pPr>
      <w:keepNext/>
      <w:outlineLvl w:val="0"/>
    </w:pPr>
    <w:rPr>
      <w:rFonts w:eastAsia="SimSun"/>
      <w:b/>
      <w:sz w:val="28"/>
      <w:lang w:eastAsia="zh-CN"/>
    </w:rPr>
  </w:style>
  <w:style w:type="paragraph" w:styleId="Heading2">
    <w:name w:val="heading 2"/>
    <w:basedOn w:val="Normal"/>
    <w:next w:val="Normal"/>
    <w:autoRedefine/>
    <w:qFormat/>
    <w:rsid w:val="007B0A41"/>
    <w:pPr>
      <w:keepNext/>
      <w:outlineLvl w:val="1"/>
    </w:pPr>
    <w:rPr>
      <w:rFonts w:eastAsia="SimSun"/>
      <w:b/>
      <w:spacing w:val="-3"/>
      <w:sz w:val="22"/>
      <w:lang w:val="da-DK" w:eastAsia="zh-CN"/>
    </w:rPr>
  </w:style>
  <w:style w:type="paragraph" w:styleId="Heading3">
    <w:name w:val="heading 3"/>
    <w:basedOn w:val="Normal"/>
    <w:next w:val="Normal"/>
    <w:qFormat/>
    <w:pPr>
      <w:keepNext/>
      <w:ind w:left="720"/>
      <w:jc w:val="both"/>
      <w:outlineLvl w:val="2"/>
    </w:pPr>
    <w:rPr>
      <w:spacing w:val="-3"/>
      <w:sz w:val="22"/>
      <w:u w:val="single"/>
      <w:lang w:val="da-DK"/>
    </w:rPr>
  </w:style>
  <w:style w:type="paragraph" w:styleId="Heading4">
    <w:name w:val="heading 4"/>
    <w:basedOn w:val="Normal"/>
    <w:next w:val="Normal"/>
    <w:qFormat/>
    <w:pPr>
      <w:keepNext/>
      <w:ind w:left="720"/>
      <w:jc w:val="both"/>
      <w:outlineLvl w:val="3"/>
    </w:pPr>
    <w:rPr>
      <w:b/>
      <w:i/>
      <w:spacing w:val="-3"/>
      <w:sz w:val="22"/>
      <w:lang w:val="da-DK"/>
    </w:rPr>
  </w:style>
  <w:style w:type="paragraph" w:styleId="Heading5">
    <w:name w:val="heading 5"/>
    <w:basedOn w:val="Normal"/>
    <w:next w:val="Normal"/>
    <w:qFormat/>
    <w:pPr>
      <w:keepNext/>
      <w:ind w:left="720"/>
      <w:jc w:val="both"/>
      <w:outlineLvl w:val="4"/>
    </w:pPr>
    <w:rPr>
      <w:i/>
      <w:spacing w:val="-3"/>
      <w:sz w:val="22"/>
      <w:u w:val="single"/>
    </w:rPr>
  </w:style>
  <w:style w:type="paragraph" w:styleId="Heading6">
    <w:name w:val="heading 6"/>
    <w:basedOn w:val="Normal"/>
    <w:next w:val="Normal"/>
    <w:qFormat/>
    <w:pPr>
      <w:keepNext/>
      <w:outlineLvl w:val="5"/>
    </w:pPr>
    <w:rPr>
      <w:iCs/>
      <w:u w:val="single"/>
    </w:rPr>
  </w:style>
  <w:style w:type="paragraph" w:styleId="Heading7">
    <w:name w:val="heading 7"/>
    <w:basedOn w:val="Normal"/>
    <w:next w:val="Normal"/>
    <w:qFormat/>
    <w:pPr>
      <w:keepNext/>
      <w:outlineLvl w:val="6"/>
    </w:pPr>
  </w:style>
  <w:style w:type="paragraph" w:styleId="Heading8">
    <w:name w:val="heading 8"/>
    <w:basedOn w:val="Normal"/>
    <w:next w:val="Normal"/>
    <w:qFormat/>
    <w:pPr>
      <w:keepNext/>
      <w:outlineLvl w:val="7"/>
    </w:pPr>
    <w:rPr>
      <w:spacing w:val="-3"/>
    </w:rPr>
  </w:style>
  <w:style w:type="paragraph" w:styleId="Heading9">
    <w:name w:val="heading 9"/>
    <w:basedOn w:val="Normal"/>
    <w:next w:val="Normal"/>
    <w:qFormat/>
    <w:pPr>
      <w:keepNext/>
      <w:outlineLvl w:val="8"/>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jc w:val="both"/>
    </w:pPr>
    <w:rPr>
      <w:spacing w:val="-3"/>
      <w:sz w:val="22"/>
      <w:lang w:val="da-DK"/>
    </w:rPr>
  </w:style>
  <w:style w:type="paragraph" w:styleId="BodyTextIndent3">
    <w:name w:val="Body Text Indent 3"/>
    <w:basedOn w:val="Normal"/>
    <w:pPr>
      <w:tabs>
        <w:tab w:val="left" w:pos="3402"/>
      </w:tabs>
      <w:ind w:left="2988" w:hanging="2268"/>
      <w:jc w:val="both"/>
    </w:pPr>
    <w:rPr>
      <w:rFonts w:ascii="Univers" w:hAnsi="Univers"/>
      <w:spacing w:val="-3"/>
      <w:sz w:val="22"/>
    </w:rPr>
  </w:style>
  <w:style w:type="paragraph" w:styleId="BodyTextIndent2">
    <w:name w:val="Body Text Indent 2"/>
    <w:basedOn w:val="Normal"/>
    <w:pPr>
      <w:ind w:left="720"/>
    </w:pPr>
    <w:rPr>
      <w:sz w:val="22"/>
    </w:rPr>
  </w:style>
  <w:style w:type="paragraph" w:styleId="Header">
    <w:name w:val="header"/>
    <w:basedOn w:val="Normal"/>
    <w:link w:val="HeaderChar1"/>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rPr>
      <w:rFonts w:cs="Arial"/>
      <w:b/>
      <w:bCs/>
      <w:szCs w:val="24"/>
    </w:rPr>
  </w:style>
  <w:style w:type="paragraph" w:styleId="BodyText2">
    <w:name w:val="Body Text 2"/>
    <w:basedOn w:val="Normal"/>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Hyperlink">
    <w:name w:val="Hyperlink"/>
    <w:rPr>
      <w:rFonts w:ascii="Times New Roman" w:hAnsi="Times New Roman" w:cs="Times New Roman"/>
      <w:color w:val="0000FF"/>
      <w:u w:val="single"/>
    </w:rPr>
  </w:style>
  <w:style w:type="paragraph" w:styleId="BodyText3">
    <w:name w:val="Body Text 3"/>
    <w:basedOn w:val="Normal"/>
    <w:rPr>
      <w:bCs/>
      <w:color w:val="3366FF"/>
      <w:sz w:val="22"/>
    </w:rPr>
  </w:style>
  <w:style w:type="paragraph" w:customStyle="1" w:styleId="H4">
    <w:name w:val="H4"/>
    <w:basedOn w:val="Normal"/>
    <w:next w:val="Normal"/>
    <w:rsid w:val="00474A23"/>
    <w:pPr>
      <w:keepNext/>
      <w:autoSpaceDE w:val="0"/>
      <w:autoSpaceDN w:val="0"/>
      <w:adjustRightInd w:val="0"/>
      <w:outlineLvl w:val="4"/>
    </w:pPr>
    <w:rPr>
      <w:rFonts w:eastAsia="SimSun"/>
      <w:b/>
      <w:bCs/>
      <w:szCs w:val="24"/>
      <w:lang w:val="en-AU" w:eastAsia="zh-CN"/>
    </w:rPr>
  </w:style>
  <w:style w:type="paragraph" w:customStyle="1" w:styleId="Blockquote">
    <w:name w:val="Blockquote"/>
    <w:basedOn w:val="Normal"/>
    <w:rsid w:val="00474A23"/>
    <w:pPr>
      <w:autoSpaceDE w:val="0"/>
      <w:autoSpaceDN w:val="0"/>
      <w:adjustRightInd w:val="0"/>
      <w:ind w:left="360" w:right="360"/>
    </w:pPr>
    <w:rPr>
      <w:rFonts w:eastAsia="SimSun"/>
      <w:szCs w:val="24"/>
      <w:lang w:val="en-AU" w:eastAsia="zh-CN"/>
    </w:rPr>
  </w:style>
  <w:style w:type="paragraph" w:styleId="Caption">
    <w:name w:val="caption"/>
    <w:basedOn w:val="Normal"/>
    <w:next w:val="Normal"/>
    <w:link w:val="CaptionChar1"/>
    <w:qFormat/>
    <w:rsid w:val="0025287F"/>
    <w:pPr>
      <w:suppressAutoHyphens/>
      <w:spacing w:before="120" w:after="120" w:line="240" w:lineRule="exact"/>
      <w:ind w:left="851" w:hanging="851"/>
    </w:pPr>
    <w:rPr>
      <w:lang w:val="en-US"/>
    </w:rPr>
  </w:style>
  <w:style w:type="character" w:customStyle="1" w:styleId="CaptionChar1">
    <w:name w:val="Caption Char1"/>
    <w:link w:val="Caption"/>
    <w:locked/>
    <w:rsid w:val="0025287F"/>
    <w:rPr>
      <w:lang w:val="en-US" w:eastAsia="en-US" w:bidi="ar-SA"/>
    </w:rPr>
  </w:style>
  <w:style w:type="character" w:styleId="CommentReference">
    <w:name w:val="annotation reference"/>
    <w:uiPriority w:val="99"/>
    <w:semiHidden/>
    <w:rsid w:val="00F4195F"/>
    <w:rPr>
      <w:sz w:val="16"/>
      <w:szCs w:val="16"/>
    </w:rPr>
  </w:style>
  <w:style w:type="paragraph" w:styleId="CommentText">
    <w:name w:val="annotation text"/>
    <w:basedOn w:val="Normal"/>
    <w:link w:val="CommentTextChar2"/>
    <w:semiHidden/>
    <w:rsid w:val="00F4195F"/>
  </w:style>
  <w:style w:type="paragraph" w:styleId="CommentSubject">
    <w:name w:val="annotation subject"/>
    <w:basedOn w:val="CommentText"/>
    <w:next w:val="CommentText"/>
    <w:semiHidden/>
    <w:rsid w:val="00F4195F"/>
    <w:rPr>
      <w:b/>
      <w:bCs/>
    </w:rPr>
  </w:style>
  <w:style w:type="paragraph" w:styleId="NormalIndent">
    <w:name w:val="Normal Indent"/>
    <w:basedOn w:val="Normal"/>
    <w:rsid w:val="00864D3D"/>
    <w:pPr>
      <w:spacing w:after="120"/>
      <w:ind w:left="720"/>
    </w:pPr>
    <w:rPr>
      <w:sz w:val="22"/>
      <w:lang w:eastAsia="en-GB"/>
    </w:rPr>
  </w:style>
  <w:style w:type="character" w:customStyle="1" w:styleId="HeaderChar1">
    <w:name w:val="Header Char1"/>
    <w:link w:val="Header"/>
    <w:locked/>
    <w:rsid w:val="0019552D"/>
    <w:rPr>
      <w:rFonts w:ascii="Arial" w:hAnsi="Arial"/>
      <w:lang w:val="en-GB" w:eastAsia="en-US" w:bidi="ar-SA"/>
    </w:rPr>
  </w:style>
  <w:style w:type="character" w:customStyle="1" w:styleId="CommentTextChar2">
    <w:name w:val="Comment Text Char2"/>
    <w:link w:val="CommentText"/>
    <w:locked/>
    <w:rsid w:val="003A63D3"/>
    <w:rPr>
      <w:rFonts w:ascii="Arial" w:hAnsi="Arial"/>
      <w:lang w:val="en-GB" w:eastAsia="en-US" w:bidi="ar-SA"/>
    </w:rPr>
  </w:style>
  <w:style w:type="paragraph" w:customStyle="1" w:styleId="Default">
    <w:name w:val="Default"/>
    <w:rsid w:val="005824AB"/>
    <w:pPr>
      <w:autoSpaceDE w:val="0"/>
      <w:autoSpaceDN w:val="0"/>
      <w:adjustRightInd w:val="0"/>
    </w:pPr>
    <w:rPr>
      <w:color w:val="000000"/>
      <w:sz w:val="24"/>
      <w:szCs w:val="24"/>
      <w:lang w:val="fr-FR" w:eastAsia="fr-FR"/>
    </w:rPr>
  </w:style>
  <w:style w:type="character" w:customStyle="1" w:styleId="CommentTextChar">
    <w:name w:val="Comment Text Char"/>
    <w:locked/>
    <w:rsid w:val="008C3E46"/>
    <w:rPr>
      <w:rFonts w:ascii="Arial" w:hAnsi="Arial"/>
      <w:lang w:val="en-GB" w:eastAsia="en-US" w:bidi="ar-SA"/>
    </w:rPr>
  </w:style>
  <w:style w:type="character" w:customStyle="1" w:styleId="CaptionChar">
    <w:name w:val="Caption Char"/>
    <w:locked/>
    <w:rsid w:val="00BB1671"/>
    <w:rPr>
      <w:lang w:val="en-US" w:eastAsia="en-US" w:bidi="ar-SA"/>
    </w:rPr>
  </w:style>
  <w:style w:type="character" w:customStyle="1" w:styleId="HeaderChar">
    <w:name w:val="Header Char"/>
    <w:locked/>
    <w:rsid w:val="00BB1671"/>
    <w:rPr>
      <w:rFonts w:ascii="Arial" w:hAnsi="Arial"/>
      <w:lang w:val="en-GB" w:eastAsia="en-US" w:bidi="ar-SA"/>
    </w:rPr>
  </w:style>
  <w:style w:type="paragraph" w:customStyle="1" w:styleId="ColorfulList-Accent11">
    <w:name w:val="Colorful List - Accent 11"/>
    <w:basedOn w:val="Normal"/>
    <w:uiPriority w:val="34"/>
    <w:qFormat/>
    <w:rsid w:val="00C9200E"/>
    <w:pPr>
      <w:spacing w:line="360" w:lineRule="auto"/>
      <w:ind w:left="720"/>
      <w:jc w:val="both"/>
    </w:pPr>
    <w:rPr>
      <w:rFonts w:ascii="Verdana" w:hAnsi="Verdana"/>
      <w:sz w:val="22"/>
      <w:szCs w:val="22"/>
      <w:lang w:val="en-AU" w:eastAsia="en-AU"/>
    </w:rPr>
  </w:style>
  <w:style w:type="paragraph" w:customStyle="1" w:styleId="Body">
    <w:name w:val="Body"/>
    <w:basedOn w:val="Normal"/>
    <w:rsid w:val="00CD7B90"/>
    <w:pPr>
      <w:suppressAutoHyphens/>
      <w:overflowPunct w:val="0"/>
      <w:autoSpaceDE w:val="0"/>
      <w:autoSpaceDN w:val="0"/>
      <w:adjustRightInd w:val="0"/>
      <w:spacing w:before="240"/>
      <w:textAlignment w:val="baseline"/>
    </w:pPr>
    <w:rPr>
      <w:lang w:eastAsia="da-DK"/>
    </w:rPr>
  </w:style>
  <w:style w:type="character" w:customStyle="1" w:styleId="CommentTextChar1">
    <w:name w:val="Comment Text Char1"/>
    <w:semiHidden/>
    <w:locked/>
    <w:rsid w:val="007E2928"/>
    <w:rPr>
      <w:rFonts w:ascii="Arial" w:hAnsi="Arial"/>
      <w:lang w:val="x-none" w:eastAsia="en-US"/>
    </w:rPr>
  </w:style>
  <w:style w:type="table" w:styleId="TableGrid">
    <w:name w:val="Table Grid"/>
    <w:basedOn w:val="TableNormal"/>
    <w:uiPriority w:val="59"/>
    <w:rsid w:val="00161CF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11">
    <w:name w:val="Colorful Shading - Accent 11"/>
    <w:hidden/>
    <w:uiPriority w:val="99"/>
    <w:semiHidden/>
    <w:rsid w:val="007E10BD"/>
    <w:rPr>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7ACC"/>
    <w:pPr>
      <w:spacing w:before="100" w:after="100"/>
    </w:pPr>
    <w:rPr>
      <w:sz w:val="24"/>
      <w:lang w:val="en-GB" w:eastAsia="en-US"/>
    </w:rPr>
  </w:style>
  <w:style w:type="paragraph" w:styleId="Heading1">
    <w:name w:val="heading 1"/>
    <w:basedOn w:val="Normal"/>
    <w:next w:val="Normal"/>
    <w:autoRedefine/>
    <w:qFormat/>
    <w:rsid w:val="00476855"/>
    <w:pPr>
      <w:keepNext/>
      <w:outlineLvl w:val="0"/>
    </w:pPr>
    <w:rPr>
      <w:rFonts w:eastAsia="SimSun"/>
      <w:b/>
      <w:sz w:val="28"/>
      <w:lang w:eastAsia="zh-CN"/>
    </w:rPr>
  </w:style>
  <w:style w:type="paragraph" w:styleId="Heading2">
    <w:name w:val="heading 2"/>
    <w:basedOn w:val="Normal"/>
    <w:next w:val="Normal"/>
    <w:autoRedefine/>
    <w:qFormat/>
    <w:rsid w:val="007B0A41"/>
    <w:pPr>
      <w:keepNext/>
      <w:outlineLvl w:val="1"/>
    </w:pPr>
    <w:rPr>
      <w:rFonts w:eastAsia="SimSun"/>
      <w:b/>
      <w:spacing w:val="-3"/>
      <w:sz w:val="22"/>
      <w:lang w:val="da-DK" w:eastAsia="zh-CN"/>
    </w:rPr>
  </w:style>
  <w:style w:type="paragraph" w:styleId="Heading3">
    <w:name w:val="heading 3"/>
    <w:basedOn w:val="Normal"/>
    <w:next w:val="Normal"/>
    <w:qFormat/>
    <w:pPr>
      <w:keepNext/>
      <w:ind w:left="720"/>
      <w:jc w:val="both"/>
      <w:outlineLvl w:val="2"/>
    </w:pPr>
    <w:rPr>
      <w:spacing w:val="-3"/>
      <w:sz w:val="22"/>
      <w:u w:val="single"/>
      <w:lang w:val="da-DK"/>
    </w:rPr>
  </w:style>
  <w:style w:type="paragraph" w:styleId="Heading4">
    <w:name w:val="heading 4"/>
    <w:basedOn w:val="Normal"/>
    <w:next w:val="Normal"/>
    <w:qFormat/>
    <w:pPr>
      <w:keepNext/>
      <w:ind w:left="720"/>
      <w:jc w:val="both"/>
      <w:outlineLvl w:val="3"/>
    </w:pPr>
    <w:rPr>
      <w:b/>
      <w:i/>
      <w:spacing w:val="-3"/>
      <w:sz w:val="22"/>
      <w:lang w:val="da-DK"/>
    </w:rPr>
  </w:style>
  <w:style w:type="paragraph" w:styleId="Heading5">
    <w:name w:val="heading 5"/>
    <w:basedOn w:val="Normal"/>
    <w:next w:val="Normal"/>
    <w:qFormat/>
    <w:pPr>
      <w:keepNext/>
      <w:ind w:left="720"/>
      <w:jc w:val="both"/>
      <w:outlineLvl w:val="4"/>
    </w:pPr>
    <w:rPr>
      <w:i/>
      <w:spacing w:val="-3"/>
      <w:sz w:val="22"/>
      <w:u w:val="single"/>
    </w:rPr>
  </w:style>
  <w:style w:type="paragraph" w:styleId="Heading6">
    <w:name w:val="heading 6"/>
    <w:basedOn w:val="Normal"/>
    <w:next w:val="Normal"/>
    <w:qFormat/>
    <w:pPr>
      <w:keepNext/>
      <w:outlineLvl w:val="5"/>
    </w:pPr>
    <w:rPr>
      <w:iCs/>
      <w:u w:val="single"/>
    </w:rPr>
  </w:style>
  <w:style w:type="paragraph" w:styleId="Heading7">
    <w:name w:val="heading 7"/>
    <w:basedOn w:val="Normal"/>
    <w:next w:val="Normal"/>
    <w:qFormat/>
    <w:pPr>
      <w:keepNext/>
      <w:outlineLvl w:val="6"/>
    </w:pPr>
  </w:style>
  <w:style w:type="paragraph" w:styleId="Heading8">
    <w:name w:val="heading 8"/>
    <w:basedOn w:val="Normal"/>
    <w:next w:val="Normal"/>
    <w:qFormat/>
    <w:pPr>
      <w:keepNext/>
      <w:outlineLvl w:val="7"/>
    </w:pPr>
    <w:rPr>
      <w:spacing w:val="-3"/>
    </w:rPr>
  </w:style>
  <w:style w:type="paragraph" w:styleId="Heading9">
    <w:name w:val="heading 9"/>
    <w:basedOn w:val="Normal"/>
    <w:next w:val="Normal"/>
    <w:qFormat/>
    <w:pPr>
      <w:keepNext/>
      <w:outlineLvl w:val="8"/>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jc w:val="both"/>
    </w:pPr>
    <w:rPr>
      <w:spacing w:val="-3"/>
      <w:sz w:val="22"/>
      <w:lang w:val="da-DK"/>
    </w:rPr>
  </w:style>
  <w:style w:type="paragraph" w:styleId="BodyTextIndent3">
    <w:name w:val="Body Text Indent 3"/>
    <w:basedOn w:val="Normal"/>
    <w:pPr>
      <w:tabs>
        <w:tab w:val="left" w:pos="3402"/>
      </w:tabs>
      <w:ind w:left="2988" w:hanging="2268"/>
      <w:jc w:val="both"/>
    </w:pPr>
    <w:rPr>
      <w:rFonts w:ascii="Univers" w:hAnsi="Univers"/>
      <w:spacing w:val="-3"/>
      <w:sz w:val="22"/>
    </w:rPr>
  </w:style>
  <w:style w:type="paragraph" w:styleId="BodyTextIndent2">
    <w:name w:val="Body Text Indent 2"/>
    <w:basedOn w:val="Normal"/>
    <w:pPr>
      <w:ind w:left="720"/>
    </w:pPr>
    <w:rPr>
      <w:sz w:val="22"/>
    </w:rPr>
  </w:style>
  <w:style w:type="paragraph" w:styleId="Header">
    <w:name w:val="header"/>
    <w:basedOn w:val="Normal"/>
    <w:link w:val="HeaderChar1"/>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rPr>
      <w:rFonts w:cs="Arial"/>
      <w:b/>
      <w:bCs/>
      <w:szCs w:val="24"/>
    </w:rPr>
  </w:style>
  <w:style w:type="paragraph" w:styleId="BodyText2">
    <w:name w:val="Body Text 2"/>
    <w:basedOn w:val="Normal"/>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Hyperlink">
    <w:name w:val="Hyperlink"/>
    <w:rPr>
      <w:rFonts w:ascii="Times New Roman" w:hAnsi="Times New Roman" w:cs="Times New Roman"/>
      <w:color w:val="0000FF"/>
      <w:u w:val="single"/>
    </w:rPr>
  </w:style>
  <w:style w:type="paragraph" w:styleId="BodyText3">
    <w:name w:val="Body Text 3"/>
    <w:basedOn w:val="Normal"/>
    <w:rPr>
      <w:bCs/>
      <w:color w:val="3366FF"/>
      <w:sz w:val="22"/>
    </w:rPr>
  </w:style>
  <w:style w:type="paragraph" w:customStyle="1" w:styleId="H4">
    <w:name w:val="H4"/>
    <w:basedOn w:val="Normal"/>
    <w:next w:val="Normal"/>
    <w:rsid w:val="00474A23"/>
    <w:pPr>
      <w:keepNext/>
      <w:autoSpaceDE w:val="0"/>
      <w:autoSpaceDN w:val="0"/>
      <w:adjustRightInd w:val="0"/>
      <w:outlineLvl w:val="4"/>
    </w:pPr>
    <w:rPr>
      <w:rFonts w:eastAsia="SimSun"/>
      <w:b/>
      <w:bCs/>
      <w:szCs w:val="24"/>
      <w:lang w:val="en-AU" w:eastAsia="zh-CN"/>
    </w:rPr>
  </w:style>
  <w:style w:type="paragraph" w:customStyle="1" w:styleId="Blockquote">
    <w:name w:val="Blockquote"/>
    <w:basedOn w:val="Normal"/>
    <w:rsid w:val="00474A23"/>
    <w:pPr>
      <w:autoSpaceDE w:val="0"/>
      <w:autoSpaceDN w:val="0"/>
      <w:adjustRightInd w:val="0"/>
      <w:ind w:left="360" w:right="360"/>
    </w:pPr>
    <w:rPr>
      <w:rFonts w:eastAsia="SimSun"/>
      <w:szCs w:val="24"/>
      <w:lang w:val="en-AU" w:eastAsia="zh-CN"/>
    </w:rPr>
  </w:style>
  <w:style w:type="paragraph" w:styleId="Caption">
    <w:name w:val="caption"/>
    <w:basedOn w:val="Normal"/>
    <w:next w:val="Normal"/>
    <w:link w:val="CaptionChar1"/>
    <w:qFormat/>
    <w:rsid w:val="0025287F"/>
    <w:pPr>
      <w:suppressAutoHyphens/>
      <w:spacing w:before="120" w:after="120" w:line="240" w:lineRule="exact"/>
      <w:ind w:left="851" w:hanging="851"/>
    </w:pPr>
    <w:rPr>
      <w:lang w:val="en-US"/>
    </w:rPr>
  </w:style>
  <w:style w:type="character" w:customStyle="1" w:styleId="CaptionChar1">
    <w:name w:val="Caption Char1"/>
    <w:link w:val="Caption"/>
    <w:locked/>
    <w:rsid w:val="0025287F"/>
    <w:rPr>
      <w:lang w:val="en-US" w:eastAsia="en-US" w:bidi="ar-SA"/>
    </w:rPr>
  </w:style>
  <w:style w:type="character" w:styleId="CommentReference">
    <w:name w:val="annotation reference"/>
    <w:uiPriority w:val="99"/>
    <w:semiHidden/>
    <w:rsid w:val="00F4195F"/>
    <w:rPr>
      <w:sz w:val="16"/>
      <w:szCs w:val="16"/>
    </w:rPr>
  </w:style>
  <w:style w:type="paragraph" w:styleId="CommentText">
    <w:name w:val="annotation text"/>
    <w:basedOn w:val="Normal"/>
    <w:link w:val="CommentTextChar2"/>
    <w:semiHidden/>
    <w:rsid w:val="00F4195F"/>
  </w:style>
  <w:style w:type="paragraph" w:styleId="CommentSubject">
    <w:name w:val="annotation subject"/>
    <w:basedOn w:val="CommentText"/>
    <w:next w:val="CommentText"/>
    <w:semiHidden/>
    <w:rsid w:val="00F4195F"/>
    <w:rPr>
      <w:b/>
      <w:bCs/>
    </w:rPr>
  </w:style>
  <w:style w:type="paragraph" w:styleId="NormalIndent">
    <w:name w:val="Normal Indent"/>
    <w:basedOn w:val="Normal"/>
    <w:rsid w:val="00864D3D"/>
    <w:pPr>
      <w:spacing w:after="120"/>
      <w:ind w:left="720"/>
    </w:pPr>
    <w:rPr>
      <w:sz w:val="22"/>
      <w:lang w:eastAsia="en-GB"/>
    </w:rPr>
  </w:style>
  <w:style w:type="character" w:customStyle="1" w:styleId="HeaderChar1">
    <w:name w:val="Header Char1"/>
    <w:link w:val="Header"/>
    <w:locked/>
    <w:rsid w:val="0019552D"/>
    <w:rPr>
      <w:rFonts w:ascii="Arial" w:hAnsi="Arial"/>
      <w:lang w:val="en-GB" w:eastAsia="en-US" w:bidi="ar-SA"/>
    </w:rPr>
  </w:style>
  <w:style w:type="character" w:customStyle="1" w:styleId="CommentTextChar2">
    <w:name w:val="Comment Text Char2"/>
    <w:link w:val="CommentText"/>
    <w:locked/>
    <w:rsid w:val="003A63D3"/>
    <w:rPr>
      <w:rFonts w:ascii="Arial" w:hAnsi="Arial"/>
      <w:lang w:val="en-GB" w:eastAsia="en-US" w:bidi="ar-SA"/>
    </w:rPr>
  </w:style>
  <w:style w:type="paragraph" w:customStyle="1" w:styleId="Default">
    <w:name w:val="Default"/>
    <w:rsid w:val="005824AB"/>
    <w:pPr>
      <w:autoSpaceDE w:val="0"/>
      <w:autoSpaceDN w:val="0"/>
      <w:adjustRightInd w:val="0"/>
    </w:pPr>
    <w:rPr>
      <w:color w:val="000000"/>
      <w:sz w:val="24"/>
      <w:szCs w:val="24"/>
      <w:lang w:val="fr-FR" w:eastAsia="fr-FR"/>
    </w:rPr>
  </w:style>
  <w:style w:type="character" w:customStyle="1" w:styleId="CommentTextChar">
    <w:name w:val="Comment Text Char"/>
    <w:locked/>
    <w:rsid w:val="008C3E46"/>
    <w:rPr>
      <w:rFonts w:ascii="Arial" w:hAnsi="Arial"/>
      <w:lang w:val="en-GB" w:eastAsia="en-US" w:bidi="ar-SA"/>
    </w:rPr>
  </w:style>
  <w:style w:type="character" w:customStyle="1" w:styleId="CaptionChar">
    <w:name w:val="Caption Char"/>
    <w:locked/>
    <w:rsid w:val="00BB1671"/>
    <w:rPr>
      <w:lang w:val="en-US" w:eastAsia="en-US" w:bidi="ar-SA"/>
    </w:rPr>
  </w:style>
  <w:style w:type="character" w:customStyle="1" w:styleId="HeaderChar">
    <w:name w:val="Header Char"/>
    <w:locked/>
    <w:rsid w:val="00BB1671"/>
    <w:rPr>
      <w:rFonts w:ascii="Arial" w:hAnsi="Arial"/>
      <w:lang w:val="en-GB" w:eastAsia="en-US" w:bidi="ar-SA"/>
    </w:rPr>
  </w:style>
  <w:style w:type="paragraph" w:customStyle="1" w:styleId="ColorfulList-Accent11">
    <w:name w:val="Colorful List - Accent 11"/>
    <w:basedOn w:val="Normal"/>
    <w:uiPriority w:val="34"/>
    <w:qFormat/>
    <w:rsid w:val="00C9200E"/>
    <w:pPr>
      <w:spacing w:line="360" w:lineRule="auto"/>
      <w:ind w:left="720"/>
      <w:jc w:val="both"/>
    </w:pPr>
    <w:rPr>
      <w:rFonts w:ascii="Verdana" w:hAnsi="Verdana"/>
      <w:sz w:val="22"/>
      <w:szCs w:val="22"/>
      <w:lang w:val="en-AU" w:eastAsia="en-AU"/>
    </w:rPr>
  </w:style>
  <w:style w:type="paragraph" w:customStyle="1" w:styleId="Body">
    <w:name w:val="Body"/>
    <w:basedOn w:val="Normal"/>
    <w:rsid w:val="00CD7B90"/>
    <w:pPr>
      <w:suppressAutoHyphens/>
      <w:overflowPunct w:val="0"/>
      <w:autoSpaceDE w:val="0"/>
      <w:autoSpaceDN w:val="0"/>
      <w:adjustRightInd w:val="0"/>
      <w:spacing w:before="240"/>
      <w:textAlignment w:val="baseline"/>
    </w:pPr>
    <w:rPr>
      <w:lang w:eastAsia="da-DK"/>
    </w:rPr>
  </w:style>
  <w:style w:type="character" w:customStyle="1" w:styleId="CommentTextChar1">
    <w:name w:val="Comment Text Char1"/>
    <w:semiHidden/>
    <w:locked/>
    <w:rsid w:val="007E2928"/>
    <w:rPr>
      <w:rFonts w:ascii="Arial" w:hAnsi="Arial"/>
      <w:lang w:val="x-none" w:eastAsia="en-US"/>
    </w:rPr>
  </w:style>
  <w:style w:type="table" w:styleId="TableGrid">
    <w:name w:val="Table Grid"/>
    <w:basedOn w:val="TableNormal"/>
    <w:uiPriority w:val="59"/>
    <w:rsid w:val="00161CF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11">
    <w:name w:val="Colorful Shading - Accent 11"/>
    <w:hidden/>
    <w:uiPriority w:val="99"/>
    <w:semiHidden/>
    <w:rsid w:val="007E10BD"/>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40015">
      <w:bodyDiv w:val="1"/>
      <w:marLeft w:val="0"/>
      <w:marRight w:val="0"/>
      <w:marTop w:val="0"/>
      <w:marBottom w:val="0"/>
      <w:divBdr>
        <w:top w:val="none" w:sz="0" w:space="0" w:color="auto"/>
        <w:left w:val="none" w:sz="0" w:space="0" w:color="auto"/>
        <w:bottom w:val="none" w:sz="0" w:space="0" w:color="auto"/>
        <w:right w:val="none" w:sz="0" w:space="0" w:color="auto"/>
      </w:divBdr>
    </w:div>
    <w:div w:id="723718956">
      <w:bodyDiv w:val="1"/>
      <w:marLeft w:val="0"/>
      <w:marRight w:val="0"/>
      <w:marTop w:val="0"/>
      <w:marBottom w:val="0"/>
      <w:divBdr>
        <w:top w:val="none" w:sz="0" w:space="0" w:color="auto"/>
        <w:left w:val="none" w:sz="0" w:space="0" w:color="auto"/>
        <w:bottom w:val="none" w:sz="0" w:space="0" w:color="auto"/>
        <w:right w:val="none" w:sz="0" w:space="0" w:color="auto"/>
      </w:divBdr>
    </w:div>
    <w:div w:id="735593858">
      <w:bodyDiv w:val="1"/>
      <w:marLeft w:val="0"/>
      <w:marRight w:val="0"/>
      <w:marTop w:val="0"/>
      <w:marBottom w:val="0"/>
      <w:divBdr>
        <w:top w:val="none" w:sz="0" w:space="0" w:color="auto"/>
        <w:left w:val="none" w:sz="0" w:space="0" w:color="auto"/>
        <w:bottom w:val="none" w:sz="0" w:space="0" w:color="auto"/>
        <w:right w:val="none" w:sz="0" w:space="0" w:color="auto"/>
      </w:divBdr>
    </w:div>
    <w:div w:id="110777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DE88FF37B3AC489494067890D23B84" ma:contentTypeVersion="0" ma:contentTypeDescription="Create a new document." ma:contentTypeScope="" ma:versionID="cf8625d4bd4ac0c9ba07c74fd9f98d3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312B67-521A-4F1F-93E4-16ED2C2B5CC7}">
  <ds:schemaRef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AC80980-43C1-49F7-B701-AFD9A5884EE7}">
  <ds:schemaRefs>
    <ds:schemaRef ds:uri="http://schemas.microsoft.com/sharepoint/v3/contenttype/forms"/>
  </ds:schemaRefs>
</ds:datastoreItem>
</file>

<file path=customXml/itemProps3.xml><?xml version="1.0" encoding="utf-8"?>
<ds:datastoreItem xmlns:ds="http://schemas.openxmlformats.org/officeDocument/2006/customXml" ds:itemID="{96849650-8269-4465-BF38-CE6290DCA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6896</Words>
  <Characters>40914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Attachment 1. Product information for vortioxetine hydrobromide brintellix</vt:lpstr>
    </vt:vector>
  </TitlesOfParts>
  <Manager/>
  <Company>Lundbeck Australia Pty Ltd</Company>
  <LinksUpToDate>false</LinksUpToDate>
  <CharactersWithSpaces>47715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vortioxetine hydrobromide brintellix</dc:title>
  <dc:subject>prescription medicine regulation</dc:subject>
  <dc:creator>Lundbeck Australia Pty Ltd</dc:creator>
  <cp:keywords>product, information, prescription, medicine, regulation, vortioxetine, hydrobromide, brintellix, lundbeck</cp:keywords>
  <dc:description/>
  <cp:lastModifiedBy>dixonj</cp:lastModifiedBy>
  <cp:revision>5</cp:revision>
  <cp:lastPrinted>2012-09-20T11:33:00Z</cp:lastPrinted>
  <dcterms:created xsi:type="dcterms:W3CDTF">2014-08-01T03:29:00Z</dcterms:created>
  <dcterms:modified xsi:type="dcterms:W3CDTF">2014-08-04T02:14:00Z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