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9D2" w:rsidRPr="008F33AD" w:rsidRDefault="00B169D2">
      <w:pPr>
        <w:pStyle w:val="Title"/>
      </w:pPr>
      <w:r w:rsidRPr="008F33AD">
        <w:t>P</w:t>
      </w:r>
      <w:r w:rsidR="00385A6C">
        <w:t xml:space="preserve">roduct </w:t>
      </w:r>
      <w:r w:rsidRPr="008F33AD">
        <w:t>I</w:t>
      </w:r>
      <w:r w:rsidR="00385A6C">
        <w:t>nformation</w:t>
      </w:r>
    </w:p>
    <w:p w:rsidR="00385A6C" w:rsidRDefault="00B169D2" w:rsidP="00385A6C">
      <w:pPr>
        <w:pStyle w:val="Subtitle"/>
      </w:pPr>
      <w:r w:rsidRPr="00385A6C">
        <w:t xml:space="preserve">VFEND® </w:t>
      </w:r>
      <w:r w:rsidR="00385A6C" w:rsidRPr="00385A6C">
        <w:t>Tablets, IV Powder for Injection and Powder for Oral Suspension</w:t>
      </w:r>
    </w:p>
    <w:p w:rsidR="00385A6C" w:rsidRPr="00585CA5" w:rsidRDefault="00385A6C" w:rsidP="004D6B2D">
      <w:pPr>
        <w:pStyle w:val="PIHeading1"/>
        <w:rPr>
          <w:sz w:val="26"/>
          <w:vertAlign w:val="superscript"/>
        </w:rPr>
      </w:pPr>
      <w:r>
        <w:t>Name of the medicine</w:t>
      </w:r>
    </w:p>
    <w:p w:rsidR="00B169D2" w:rsidRPr="00FD0FF1" w:rsidRDefault="00FD0FF1">
      <w:pPr>
        <w:pStyle w:val="Subtitle"/>
        <w:rPr>
          <w:b w:val="0"/>
          <w:sz w:val="24"/>
        </w:rPr>
      </w:pPr>
      <w:r w:rsidRPr="00FD0FF1">
        <w:rPr>
          <w:b w:val="0"/>
          <w:sz w:val="24"/>
        </w:rPr>
        <w:t>V</w:t>
      </w:r>
      <w:r w:rsidR="00B169D2" w:rsidRPr="00FD0FF1">
        <w:rPr>
          <w:b w:val="0"/>
          <w:sz w:val="24"/>
        </w:rPr>
        <w:t>oriconazole</w:t>
      </w:r>
    </w:p>
    <w:p w:rsidR="00B169D2" w:rsidRPr="008F33AD" w:rsidRDefault="00B169D2">
      <w:r w:rsidRPr="008F33AD">
        <w:t>The structural formula is:</w:t>
      </w:r>
    </w:p>
    <w:p w:rsidR="00B169D2" w:rsidRPr="008F33AD" w:rsidRDefault="001A5DED" w:rsidP="00625FE4">
      <w:pPr>
        <w:pStyle w:val="Figure"/>
        <w:jc w:val="center"/>
        <w:rPr>
          <w:color w:val="auto"/>
        </w:rPr>
      </w:pPr>
      <w:r>
        <w:rPr>
          <w:noProof/>
          <w:color w:val="auto"/>
          <w:lang w:val="en-AU" w:eastAsia="en-AU"/>
        </w:rPr>
        <w:drawing>
          <wp:inline distT="0" distB="0" distL="0" distR="0">
            <wp:extent cx="1847850" cy="1762125"/>
            <wp:effectExtent l="0" t="0" r="0" b="0"/>
            <wp:docPr id="1" name="Picture 1" descr="structural formula for voriconaz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47850" cy="1762125"/>
                    </a:xfrm>
                    <a:prstGeom prst="rect">
                      <a:avLst/>
                    </a:prstGeom>
                    <a:noFill/>
                    <a:ln w="9525">
                      <a:noFill/>
                      <a:miter lim="800000"/>
                      <a:headEnd/>
                      <a:tailEnd/>
                    </a:ln>
                  </pic:spPr>
                </pic:pic>
              </a:graphicData>
            </a:graphic>
          </wp:inline>
        </w:drawing>
      </w:r>
    </w:p>
    <w:p w:rsidR="00B169D2" w:rsidRPr="008F33AD" w:rsidRDefault="00B169D2">
      <w:pPr>
        <w:pStyle w:val="Figure"/>
        <w:rPr>
          <w:color w:val="auto"/>
        </w:rPr>
      </w:pPr>
      <w:r w:rsidRPr="008F33AD">
        <w:rPr>
          <w:color w:val="auto"/>
        </w:rPr>
        <w:t>CAS number 137234-62-9</w:t>
      </w:r>
    </w:p>
    <w:p w:rsidR="00B169D2" w:rsidRPr="008F33AD" w:rsidRDefault="00B169D2">
      <w:r w:rsidRPr="008F33AD">
        <w:t>Voriconazole is designated chemically as (2R, 3S)-2-(2,4-difluorophenyl)-3-(5-fluoro-4-pyrimidinyl)-1-(1</w:t>
      </w:r>
      <w:r w:rsidRPr="008F33AD">
        <w:rPr>
          <w:i/>
        </w:rPr>
        <w:t xml:space="preserve">H </w:t>
      </w:r>
      <w:r w:rsidRPr="008F33AD">
        <w:t>-1,2,4-triazol-1-yl)-2-butanol with an empirical formula of C</w:t>
      </w:r>
      <w:r w:rsidRPr="008F33AD">
        <w:rPr>
          <w:vertAlign w:val="subscript"/>
        </w:rPr>
        <w:t>16</w:t>
      </w:r>
      <w:r w:rsidRPr="008F33AD">
        <w:t>H</w:t>
      </w:r>
      <w:r w:rsidRPr="008F33AD">
        <w:rPr>
          <w:vertAlign w:val="subscript"/>
        </w:rPr>
        <w:t>14</w:t>
      </w:r>
      <w:r w:rsidRPr="008F33AD">
        <w:t>F</w:t>
      </w:r>
      <w:r w:rsidRPr="008F33AD">
        <w:rPr>
          <w:vertAlign w:val="subscript"/>
        </w:rPr>
        <w:t>3</w:t>
      </w:r>
      <w:r w:rsidRPr="008F33AD">
        <w:t>N</w:t>
      </w:r>
      <w:r w:rsidRPr="008F33AD">
        <w:rPr>
          <w:vertAlign w:val="subscript"/>
        </w:rPr>
        <w:t>5</w:t>
      </w:r>
      <w:r w:rsidRPr="008F33AD">
        <w:t>O and a molecular weight of 349.3.</w:t>
      </w:r>
    </w:p>
    <w:p w:rsidR="00FD0FF1" w:rsidRPr="008F33AD" w:rsidRDefault="00FD0FF1" w:rsidP="004D6B2D">
      <w:pPr>
        <w:pStyle w:val="PIHeading1"/>
      </w:pPr>
      <w:r w:rsidRPr="008F33AD">
        <w:t>DESCRIPTION</w:t>
      </w:r>
    </w:p>
    <w:p w:rsidR="00FD0FF1" w:rsidRPr="008F33AD" w:rsidRDefault="00FD0FF1" w:rsidP="00FD0FF1">
      <w:r w:rsidRPr="008F33AD">
        <w:t>Voriconazole, a broad-spectrum, triazole antifungal agent, is available as film-coated tablets for oral administration, a powder for oral suspension and as a lyophilised powder for solution for intravenous infusion.</w:t>
      </w:r>
    </w:p>
    <w:p w:rsidR="00B169D2" w:rsidRPr="008F33AD" w:rsidRDefault="00B169D2">
      <w:r w:rsidRPr="008F33AD">
        <w:t>Voriconazole drug substance is a white to off white powder. Its aqueous solubility is very low at 0.7 mg/mL at 25</w:t>
      </w:r>
      <w:r w:rsidRPr="008F33AD">
        <w:rPr>
          <w:snapToGrid w:val="0"/>
        </w:rPr>
        <w:t>ºC</w:t>
      </w:r>
      <w:r w:rsidRPr="008F33AD">
        <w:t>.</w:t>
      </w:r>
    </w:p>
    <w:p w:rsidR="00B169D2" w:rsidRPr="00625FE4" w:rsidRDefault="00B169D2" w:rsidP="00625FE4">
      <w:pPr>
        <w:pStyle w:val="Heading2"/>
      </w:pPr>
      <w:r w:rsidRPr="00625FE4">
        <w:t>Film-coated Tablets</w:t>
      </w:r>
    </w:p>
    <w:p w:rsidR="00B169D2" w:rsidRPr="008F33AD" w:rsidRDefault="00B169D2">
      <w:r w:rsidRPr="008F33AD">
        <w:t>VFEND Tablets contain 50 mg or 200 mg of voriconazole and the following inactive ingredients: lactose, pregelatinised maize starch, croscarmellose sodium, povidone, magnesium stearate and a coating containing hypromellose, titanium dioxide, lactose and glycerol triacetate.</w:t>
      </w:r>
    </w:p>
    <w:p w:rsidR="00B169D2" w:rsidRPr="00625FE4" w:rsidRDefault="00B169D2" w:rsidP="00625FE4">
      <w:pPr>
        <w:pStyle w:val="Heading2"/>
      </w:pPr>
      <w:r w:rsidRPr="00625FE4">
        <w:t>Powder for Injection</w:t>
      </w:r>
    </w:p>
    <w:p w:rsidR="00B169D2" w:rsidRPr="008F33AD" w:rsidRDefault="00B169D2" w:rsidP="00625FE4">
      <w:r w:rsidRPr="008F33AD">
        <w:t>VFEND IV is a white lyophilised powder containing nominally 200</w:t>
      </w:r>
      <w:r w:rsidR="0010037C" w:rsidRPr="008F33AD">
        <w:t> </w:t>
      </w:r>
      <w:r w:rsidRPr="008F33AD">
        <w:t xml:space="preserve">mg voriconazole in a </w:t>
      </w:r>
      <w:r w:rsidR="00133B28">
        <w:t xml:space="preserve">30 mL Type I clear glass vial. </w:t>
      </w:r>
      <w:r w:rsidRPr="008F33AD">
        <w:t>VFEND IV is intended for administr</w:t>
      </w:r>
      <w:r w:rsidR="00133B28">
        <w:t xml:space="preserve">ation by intravenous infusion. </w:t>
      </w:r>
      <w:r w:rsidRPr="008F33AD">
        <w:t>It is a single dose, unpreserved product.</w:t>
      </w:r>
    </w:p>
    <w:p w:rsidR="00B169D2" w:rsidRPr="008F33AD" w:rsidRDefault="00B169D2" w:rsidP="003016F9">
      <w:pPr>
        <w:keepLines/>
      </w:pPr>
      <w:r w:rsidRPr="008F33AD">
        <w:lastRenderedPageBreak/>
        <w:t>The lyophilised powder contents of the VFEND 200</w:t>
      </w:r>
      <w:r w:rsidR="0010037C" w:rsidRPr="008F33AD">
        <w:t> </w:t>
      </w:r>
      <w:r w:rsidRPr="008F33AD">
        <w:t>mg vials are intended for reconstitution with 19</w:t>
      </w:r>
      <w:r w:rsidR="0010037C" w:rsidRPr="008F33AD">
        <w:t> </w:t>
      </w:r>
      <w:r w:rsidRPr="008F33AD">
        <w:t>mL Water for Injections to produce a solution containin</w:t>
      </w:r>
      <w:r w:rsidR="0010037C" w:rsidRPr="008F33AD">
        <w:t>g 10 mg/mL voriconazole and 160 </w:t>
      </w:r>
      <w:r w:rsidRPr="008F33AD">
        <w:t>mg/mL of sulf</w:t>
      </w:r>
      <w:r w:rsidR="00133B28">
        <w:t xml:space="preserve">obutyl betadex sodium (SBECD). </w:t>
      </w:r>
      <w:r w:rsidRPr="008F33AD">
        <w:t xml:space="preserve">The resulting solution is further diluted prior to administration as an intravenous infusion (see </w:t>
      </w:r>
      <w:r w:rsidRPr="008F33AD">
        <w:rPr>
          <w:b/>
          <w:bCs/>
        </w:rPr>
        <w:t>DOSAGE AND ADMINISTRATION</w:t>
      </w:r>
      <w:r w:rsidRPr="008F33AD">
        <w:t>).</w:t>
      </w:r>
    </w:p>
    <w:p w:rsidR="00B169D2" w:rsidRPr="008F33AD" w:rsidRDefault="00B169D2">
      <w:pPr>
        <w:pStyle w:val="Heading2"/>
      </w:pPr>
      <w:r w:rsidRPr="008F33AD">
        <w:t>Powder for Oral Suspension</w:t>
      </w:r>
    </w:p>
    <w:p w:rsidR="00B169D2" w:rsidRPr="008F33AD" w:rsidRDefault="00B169D2">
      <w:r w:rsidRPr="008F33AD">
        <w:t>VFEND Powder for Oral Suspension is a white to off-white powder for oral suspension providing a white to off-white, orange flavoured suspension when reconstituted.  Each bottle contains 45 g</w:t>
      </w:r>
      <w:r w:rsidR="00BE2EC0">
        <w:t xml:space="preserve"> of powder for oral suspension. </w:t>
      </w:r>
      <w:r w:rsidRPr="008F33AD">
        <w:t>Following reconstitution, the volume of suspension is 75 mL, providing a usable volume of 70 mL of suspension at a voriconazole concentration of 40</w:t>
      </w:r>
      <w:r w:rsidR="001224B7" w:rsidRPr="008F33AD">
        <w:t> </w:t>
      </w:r>
      <w:r w:rsidR="00BE2EC0">
        <w:t xml:space="preserve">mg/mL. </w:t>
      </w:r>
      <w:r w:rsidRPr="008F33AD">
        <w:t>The suspension contains the following inactive ingredients: sucrose, colloidal anhydrous silica, titanium dioxide, xanthan gum, sodium citrate, sodium benzoate, anhydrous citric acid, natural orange flavour.</w:t>
      </w:r>
    </w:p>
    <w:p w:rsidR="00B169D2" w:rsidRPr="008F33AD" w:rsidRDefault="00B169D2" w:rsidP="004D6B2D">
      <w:pPr>
        <w:pStyle w:val="PIHeading1"/>
      </w:pPr>
      <w:r w:rsidRPr="008F33AD">
        <w:t>PHARMACOLOGY</w:t>
      </w:r>
    </w:p>
    <w:p w:rsidR="00B169D2" w:rsidRPr="008F33AD" w:rsidRDefault="00B169D2">
      <w:pPr>
        <w:pStyle w:val="Heading2"/>
        <w:spacing w:before="0"/>
      </w:pPr>
      <w:r w:rsidRPr="008F33AD">
        <w:t>Pharmacodynamic properties</w:t>
      </w:r>
    </w:p>
    <w:p w:rsidR="00B169D2" w:rsidRPr="008F33AD" w:rsidRDefault="00B169D2" w:rsidP="006001ED">
      <w:pPr>
        <w:pStyle w:val="Heading3"/>
      </w:pPr>
      <w:r w:rsidRPr="008F33AD">
        <w:t>Mechanism of Action</w:t>
      </w:r>
    </w:p>
    <w:p w:rsidR="00B169D2" w:rsidRPr="008F33AD" w:rsidRDefault="00B169D2" w:rsidP="00625FE4">
      <w:r w:rsidRPr="008F33AD">
        <w:t>Voriconazole i</w:t>
      </w:r>
      <w:r w:rsidR="00BE2EC0">
        <w:t xml:space="preserve">s a triazole antifungal agent. </w:t>
      </w:r>
      <w:r w:rsidRPr="008F33AD">
        <w:t>Voriconazole’s primary mode of action is the inhibition of fungal cytochrome P450-mediated 14</w:t>
      </w:r>
      <w:r w:rsidR="00625FE4">
        <w:sym w:font="Symbol" w:char="F061"/>
      </w:r>
      <w:r w:rsidR="00C4643C" w:rsidRPr="008F33AD">
        <w:noBreakHyphen/>
      </w:r>
      <w:r w:rsidRPr="008F33AD">
        <w:t>sterol demethylation, an essential st</w:t>
      </w:r>
      <w:r w:rsidR="00BE2EC0">
        <w:t xml:space="preserve">ep in ergosterol biosynthesis. </w:t>
      </w:r>
      <w:r w:rsidRPr="008F33AD">
        <w:t>Voriconazole is more selective than some other azole drugs for fungal as opposed to various mammalian c</w:t>
      </w:r>
      <w:r w:rsidR="00BE2EC0">
        <w:t xml:space="preserve">ytochrome P450 enzyme systems. </w:t>
      </w:r>
      <w:r w:rsidRPr="008F33AD">
        <w:t>The subsequent loss of normal sterols correlates with the accumulation of 14</w:t>
      </w:r>
      <w:r w:rsidR="00625FE4">
        <w:sym w:font="Symbol" w:char="F061"/>
      </w:r>
      <w:r w:rsidRPr="008F33AD">
        <w:t>-methyl sterols in fungi and may be responsible for its fungistatic/fungicidal activity.</w:t>
      </w:r>
    </w:p>
    <w:p w:rsidR="00B169D2" w:rsidRPr="008F33AD" w:rsidRDefault="00B169D2" w:rsidP="00625FE4">
      <w:r w:rsidRPr="008F33AD">
        <w:rPr>
          <w:i/>
        </w:rPr>
        <w:t>In vitro</w:t>
      </w:r>
      <w:r w:rsidRPr="008F33AD">
        <w:t xml:space="preserve">, voriconazole displays broad-spectrum antifungal activity with high antifungal potency against </w:t>
      </w:r>
      <w:r w:rsidRPr="008F33AD">
        <w:rPr>
          <w:i/>
        </w:rPr>
        <w:t xml:space="preserve">Candida </w:t>
      </w:r>
      <w:r w:rsidRPr="008F33AD">
        <w:t xml:space="preserve">species (including fluconazole resistant </w:t>
      </w:r>
      <w:r w:rsidRPr="008F33AD">
        <w:rPr>
          <w:i/>
        </w:rPr>
        <w:t xml:space="preserve">C. krusei </w:t>
      </w:r>
      <w:r w:rsidRPr="008F33AD">
        <w:t xml:space="preserve">and resistant strains of </w:t>
      </w:r>
      <w:r w:rsidRPr="008F33AD">
        <w:rPr>
          <w:i/>
        </w:rPr>
        <w:t>C. glabrata</w:t>
      </w:r>
      <w:r w:rsidRPr="008F33AD">
        <w:t xml:space="preserve"> and </w:t>
      </w:r>
      <w:r w:rsidRPr="008F33AD">
        <w:rPr>
          <w:i/>
        </w:rPr>
        <w:t>C. albicans</w:t>
      </w:r>
      <w:r w:rsidRPr="008F33AD">
        <w:t xml:space="preserve">) and fungicidal activity against all </w:t>
      </w:r>
      <w:r w:rsidRPr="008F33AD">
        <w:rPr>
          <w:i/>
        </w:rPr>
        <w:t xml:space="preserve">Aspergillus </w:t>
      </w:r>
      <w:r w:rsidR="00BE2EC0">
        <w:t xml:space="preserve">species tested. </w:t>
      </w:r>
      <w:r w:rsidRPr="008F33AD">
        <w:t xml:space="preserve">In addition, voriconazole shows </w:t>
      </w:r>
      <w:r w:rsidRPr="008F33AD">
        <w:rPr>
          <w:i/>
        </w:rPr>
        <w:t>in vitro</w:t>
      </w:r>
      <w:r w:rsidRPr="008F33AD">
        <w:t xml:space="preserve"> activity against emerging fungal pathogens, such as </w:t>
      </w:r>
      <w:r w:rsidRPr="008F33AD">
        <w:rPr>
          <w:i/>
        </w:rPr>
        <w:t>Scedosporium</w:t>
      </w:r>
      <w:r w:rsidRPr="008F33AD">
        <w:t xml:space="preserve"> or </w:t>
      </w:r>
      <w:r w:rsidRPr="008F33AD">
        <w:rPr>
          <w:i/>
        </w:rPr>
        <w:t>Fusarium</w:t>
      </w:r>
      <w:r w:rsidRPr="008F33AD">
        <w:rPr>
          <w:iCs/>
        </w:rPr>
        <w:t>, some isolates</w:t>
      </w:r>
      <w:r w:rsidRPr="008F33AD">
        <w:rPr>
          <w:i/>
        </w:rPr>
        <w:t xml:space="preserve"> </w:t>
      </w:r>
      <w:r w:rsidRPr="008F33AD">
        <w:rPr>
          <w:iCs/>
        </w:rPr>
        <w:t>of</w:t>
      </w:r>
      <w:r w:rsidRPr="008F33AD">
        <w:t xml:space="preserve"> which have limited susceptibility </w:t>
      </w:r>
      <w:r w:rsidR="00BE2EC0">
        <w:t xml:space="preserve">to existing antifungal agents. </w:t>
      </w:r>
      <w:r w:rsidRPr="008F33AD">
        <w:t xml:space="preserve">In addition, voriconazole exhibits </w:t>
      </w:r>
      <w:r w:rsidRPr="008F33AD">
        <w:rPr>
          <w:i/>
        </w:rPr>
        <w:t xml:space="preserve">in vitro </w:t>
      </w:r>
      <w:r w:rsidRPr="008F33AD">
        <w:t>fungicidal activity against some strains within these species.</w:t>
      </w:r>
    </w:p>
    <w:p w:rsidR="00C4643C" w:rsidRPr="008F33AD" w:rsidRDefault="00C4643C" w:rsidP="00625FE4">
      <w:r w:rsidRPr="008F33AD">
        <w:t>In animal studies there is a correlation between minimum inhibitory concentration values and efficacy</w:t>
      </w:r>
      <w:r w:rsidR="00BE2EC0">
        <w:t xml:space="preserve"> against experimental mycoses. </w:t>
      </w:r>
      <w:r w:rsidRPr="008F33AD">
        <w:t xml:space="preserve">Furthermore, there appears to be a correlation between minimum inhibitory concentration values and clinical outcome for </w:t>
      </w:r>
      <w:r w:rsidRPr="008F33AD">
        <w:rPr>
          <w:i/>
          <w:iCs/>
        </w:rPr>
        <w:t>Candida</w:t>
      </w:r>
      <w:r w:rsidRPr="008F33AD">
        <w:t xml:space="preserve"> species.</w:t>
      </w:r>
    </w:p>
    <w:p w:rsidR="00B169D2" w:rsidRPr="008F33AD" w:rsidRDefault="00B169D2">
      <w:pPr>
        <w:pStyle w:val="Heading3"/>
      </w:pPr>
      <w:r w:rsidRPr="008F33AD">
        <w:t>Microbiology</w:t>
      </w:r>
    </w:p>
    <w:p w:rsidR="00B169D2" w:rsidRPr="008F33AD" w:rsidRDefault="00B169D2" w:rsidP="00625FE4">
      <w:r w:rsidRPr="008F33AD">
        <w:t xml:space="preserve">Clinical efficacy has been demonstrated for </w:t>
      </w:r>
      <w:r w:rsidRPr="008F33AD">
        <w:rPr>
          <w:i/>
          <w:iCs/>
        </w:rPr>
        <w:t>Aspergillus</w:t>
      </w:r>
      <w:r w:rsidRPr="008F33AD">
        <w:t xml:space="preserve"> spp. including A. </w:t>
      </w:r>
      <w:r w:rsidRPr="008F33AD">
        <w:rPr>
          <w:i/>
          <w:iCs/>
        </w:rPr>
        <w:t>flavus</w:t>
      </w:r>
      <w:r w:rsidRPr="008F33AD">
        <w:t xml:space="preserve">, A. </w:t>
      </w:r>
      <w:r w:rsidRPr="008F33AD">
        <w:rPr>
          <w:i/>
          <w:iCs/>
        </w:rPr>
        <w:t>fumigatus</w:t>
      </w:r>
      <w:r w:rsidRPr="008F33AD">
        <w:t xml:space="preserve">, A. </w:t>
      </w:r>
      <w:r w:rsidRPr="008F33AD">
        <w:rPr>
          <w:i/>
          <w:iCs/>
        </w:rPr>
        <w:t>terreus</w:t>
      </w:r>
      <w:r w:rsidRPr="008F33AD">
        <w:t xml:space="preserve">, A. </w:t>
      </w:r>
      <w:r w:rsidRPr="008F33AD">
        <w:rPr>
          <w:i/>
          <w:iCs/>
        </w:rPr>
        <w:t>niger</w:t>
      </w:r>
      <w:r w:rsidRPr="008F33AD">
        <w:t xml:space="preserve">, A. </w:t>
      </w:r>
      <w:r w:rsidRPr="008F33AD">
        <w:rPr>
          <w:i/>
          <w:iCs/>
        </w:rPr>
        <w:t>nidulans</w:t>
      </w:r>
      <w:r w:rsidRPr="008F33AD">
        <w:t xml:space="preserve">, </w:t>
      </w:r>
      <w:r w:rsidRPr="008F33AD">
        <w:rPr>
          <w:i/>
          <w:iCs/>
        </w:rPr>
        <w:t>Candida</w:t>
      </w:r>
      <w:r w:rsidRPr="008F33AD">
        <w:t xml:space="preserve"> spp., including C. </w:t>
      </w:r>
      <w:r w:rsidRPr="008F33AD">
        <w:rPr>
          <w:i/>
          <w:iCs/>
        </w:rPr>
        <w:t>albicans</w:t>
      </w:r>
      <w:r w:rsidRPr="008F33AD">
        <w:t xml:space="preserve">, C. </w:t>
      </w:r>
      <w:r w:rsidRPr="008F33AD">
        <w:rPr>
          <w:i/>
          <w:iCs/>
        </w:rPr>
        <w:t>dubliniensis</w:t>
      </w:r>
      <w:r w:rsidRPr="008F33AD">
        <w:t xml:space="preserve">, C. </w:t>
      </w:r>
      <w:r w:rsidRPr="008F33AD">
        <w:rPr>
          <w:i/>
          <w:iCs/>
        </w:rPr>
        <w:t>glabrata</w:t>
      </w:r>
      <w:r w:rsidRPr="008F33AD">
        <w:t xml:space="preserve">, C. </w:t>
      </w:r>
      <w:r w:rsidRPr="008F33AD">
        <w:rPr>
          <w:i/>
          <w:iCs/>
        </w:rPr>
        <w:t>inconspicua</w:t>
      </w:r>
      <w:r w:rsidRPr="008F33AD">
        <w:t xml:space="preserve">, C. </w:t>
      </w:r>
      <w:r w:rsidRPr="008F33AD">
        <w:rPr>
          <w:i/>
          <w:iCs/>
        </w:rPr>
        <w:t>krusei</w:t>
      </w:r>
      <w:r w:rsidRPr="008F33AD">
        <w:t xml:space="preserve">, C. </w:t>
      </w:r>
      <w:r w:rsidRPr="008F33AD">
        <w:rPr>
          <w:i/>
          <w:iCs/>
        </w:rPr>
        <w:t>parapsilosis</w:t>
      </w:r>
      <w:r w:rsidRPr="008F33AD">
        <w:t xml:space="preserve">, C. </w:t>
      </w:r>
      <w:r w:rsidRPr="008F33AD">
        <w:rPr>
          <w:i/>
          <w:iCs/>
        </w:rPr>
        <w:t>tropicalis</w:t>
      </w:r>
      <w:r w:rsidRPr="008F33AD">
        <w:t xml:space="preserve"> and C. </w:t>
      </w:r>
      <w:r w:rsidRPr="008F33AD">
        <w:rPr>
          <w:i/>
          <w:iCs/>
        </w:rPr>
        <w:t>guilliermondii</w:t>
      </w:r>
      <w:r w:rsidRPr="008F33AD">
        <w:t xml:space="preserve">, </w:t>
      </w:r>
      <w:r w:rsidRPr="008F33AD">
        <w:rPr>
          <w:i/>
          <w:iCs/>
        </w:rPr>
        <w:t>Scedosporium</w:t>
      </w:r>
      <w:r w:rsidRPr="008F33AD">
        <w:t xml:space="preserve"> spp., including S. </w:t>
      </w:r>
      <w:r w:rsidRPr="008F33AD">
        <w:rPr>
          <w:i/>
          <w:iCs/>
        </w:rPr>
        <w:t>apiospermum</w:t>
      </w:r>
      <w:r w:rsidRPr="008F33AD">
        <w:t xml:space="preserve">, S. </w:t>
      </w:r>
      <w:r w:rsidRPr="008F33AD">
        <w:rPr>
          <w:i/>
          <w:iCs/>
        </w:rPr>
        <w:t>prolificans</w:t>
      </w:r>
      <w:r w:rsidRPr="008F33AD">
        <w:t xml:space="preserve"> and </w:t>
      </w:r>
      <w:r w:rsidRPr="008F33AD">
        <w:rPr>
          <w:i/>
          <w:iCs/>
        </w:rPr>
        <w:t>Fusarium</w:t>
      </w:r>
      <w:r w:rsidRPr="008F33AD">
        <w:t xml:space="preserve"> spp.</w:t>
      </w:r>
    </w:p>
    <w:p w:rsidR="00B169D2" w:rsidRPr="008F33AD" w:rsidRDefault="00B169D2" w:rsidP="00625FE4">
      <w:pPr>
        <w:rPr>
          <w:snapToGrid w:val="0"/>
        </w:rPr>
      </w:pPr>
      <w:r w:rsidRPr="008F33AD">
        <w:rPr>
          <w:snapToGrid w:val="0"/>
        </w:rPr>
        <w:t xml:space="preserve">Other successfully treated fungal infections included isolated cases of Alternaria spp., Blastomyces dermatitidis, Blastoschizomyces capitatus, Cladosporium spp., Coccidioides immitis, Conidiobolus coronatus, Cryptococcus neoformans, Exserohilum rostratum, Exophiala spinifera, Fonsecaea pedrosoi, Madurella mycetomatis, Paecilomyces lilacinus, </w:t>
      </w:r>
      <w:r w:rsidRPr="008F33AD">
        <w:rPr>
          <w:snapToGrid w:val="0"/>
        </w:rPr>
        <w:lastRenderedPageBreak/>
        <w:t>Penicillium spp including P. marneffei, Phialophora richardsiae, Scopulariopsis brevicaulis and Trichosporon spp including T. beigelii infections.</w:t>
      </w:r>
    </w:p>
    <w:p w:rsidR="00B169D2" w:rsidRPr="008F33AD" w:rsidRDefault="00B169D2" w:rsidP="00625FE4">
      <w:pPr>
        <w:rPr>
          <w:snapToGrid w:val="0"/>
        </w:rPr>
      </w:pPr>
      <w:r w:rsidRPr="008F33AD">
        <w:rPr>
          <w:i/>
          <w:snapToGrid w:val="0"/>
        </w:rPr>
        <w:t>In vitro</w:t>
      </w:r>
      <w:r w:rsidRPr="008F33AD">
        <w:rPr>
          <w:snapToGrid w:val="0"/>
        </w:rPr>
        <w:t xml:space="preserve"> activity against clinical isolates has been observed for </w:t>
      </w:r>
      <w:r w:rsidRPr="008F33AD">
        <w:rPr>
          <w:i/>
          <w:snapToGrid w:val="0"/>
        </w:rPr>
        <w:t xml:space="preserve">Acremonium </w:t>
      </w:r>
      <w:r w:rsidRPr="008F33AD">
        <w:rPr>
          <w:snapToGrid w:val="0"/>
        </w:rPr>
        <w:t xml:space="preserve">spp., </w:t>
      </w:r>
      <w:r w:rsidRPr="008F33AD">
        <w:rPr>
          <w:i/>
          <w:snapToGrid w:val="0"/>
        </w:rPr>
        <w:t xml:space="preserve">Alternaria </w:t>
      </w:r>
      <w:r w:rsidRPr="008F33AD">
        <w:rPr>
          <w:snapToGrid w:val="0"/>
        </w:rPr>
        <w:t xml:space="preserve">spp., </w:t>
      </w:r>
      <w:r w:rsidRPr="008F33AD">
        <w:rPr>
          <w:i/>
          <w:snapToGrid w:val="0"/>
        </w:rPr>
        <w:t xml:space="preserve">Bipolaris </w:t>
      </w:r>
      <w:r w:rsidRPr="008F33AD">
        <w:rPr>
          <w:snapToGrid w:val="0"/>
        </w:rPr>
        <w:t>spp</w:t>
      </w:r>
      <w:r w:rsidRPr="008F33AD">
        <w:rPr>
          <w:i/>
          <w:snapToGrid w:val="0"/>
        </w:rPr>
        <w:t>., Cladophialophora</w:t>
      </w:r>
      <w:r w:rsidRPr="008F33AD">
        <w:rPr>
          <w:snapToGrid w:val="0"/>
        </w:rPr>
        <w:t xml:space="preserve"> spp</w:t>
      </w:r>
      <w:r w:rsidRPr="008F33AD">
        <w:rPr>
          <w:i/>
          <w:snapToGrid w:val="0"/>
        </w:rPr>
        <w:t xml:space="preserve">, Histoplasma capsulatum, </w:t>
      </w:r>
      <w:r w:rsidRPr="008F33AD">
        <w:rPr>
          <w:snapToGrid w:val="0"/>
        </w:rPr>
        <w:t>with most strains being inhibited by concentrations of voriconazole in the range 0.05 to 2</w:t>
      </w:r>
      <w:r w:rsidR="001E52C0" w:rsidRPr="008F33AD">
        <w:rPr>
          <w:snapToGrid w:val="0"/>
        </w:rPr>
        <w:t> </w:t>
      </w:r>
      <w:r w:rsidRPr="008F33AD">
        <w:rPr>
          <w:snapToGrid w:val="0"/>
        </w:rPr>
        <w:t>µg/mL.</w:t>
      </w:r>
    </w:p>
    <w:p w:rsidR="00B169D2" w:rsidRPr="008F33AD" w:rsidRDefault="00B169D2" w:rsidP="00625FE4">
      <w:pPr>
        <w:rPr>
          <w:snapToGrid w:val="0"/>
        </w:rPr>
      </w:pPr>
      <w:r w:rsidRPr="008F33AD">
        <w:rPr>
          <w:i/>
          <w:snapToGrid w:val="0"/>
        </w:rPr>
        <w:t xml:space="preserve">In vitro </w:t>
      </w:r>
      <w:r w:rsidRPr="008F33AD">
        <w:rPr>
          <w:snapToGrid w:val="0"/>
        </w:rPr>
        <w:t xml:space="preserve">activity against the following pathogens has been shown, but the clinical significance is unknown: </w:t>
      </w:r>
      <w:r w:rsidRPr="008F33AD">
        <w:rPr>
          <w:i/>
          <w:snapToGrid w:val="0"/>
        </w:rPr>
        <w:t>Curvularia</w:t>
      </w:r>
      <w:r w:rsidRPr="008F33AD">
        <w:rPr>
          <w:snapToGrid w:val="0"/>
        </w:rPr>
        <w:t xml:space="preserve"> spp.</w:t>
      </w:r>
      <w:r w:rsidRPr="008F33AD">
        <w:rPr>
          <w:i/>
          <w:snapToGrid w:val="0"/>
        </w:rPr>
        <w:t xml:space="preserve"> and Sporothrix</w:t>
      </w:r>
      <w:r w:rsidRPr="008F33AD">
        <w:rPr>
          <w:snapToGrid w:val="0"/>
        </w:rPr>
        <w:t xml:space="preserve"> spp.</w:t>
      </w:r>
    </w:p>
    <w:p w:rsidR="001D2149" w:rsidRPr="001D2149" w:rsidRDefault="00B169D2" w:rsidP="00625FE4">
      <w:pPr>
        <w:rPr>
          <w:snapToGrid w:val="0"/>
        </w:rPr>
      </w:pPr>
      <w:r w:rsidRPr="008F33AD">
        <w:rPr>
          <w:snapToGrid w:val="0"/>
        </w:rPr>
        <w:t>Specimens for fungal culture and other relevant laboratory studies (serology, histopathology) should be obtained to isolate and identify causati</w:t>
      </w:r>
      <w:r w:rsidR="00300F6A">
        <w:rPr>
          <w:snapToGrid w:val="0"/>
        </w:rPr>
        <w:t xml:space="preserve">ve organisms prior to therapy. </w:t>
      </w:r>
      <w:r w:rsidRPr="008F33AD">
        <w:rPr>
          <w:snapToGrid w:val="0"/>
        </w:rPr>
        <w:t>Therapy may be instituted before the results of the cultures and other laboratory studies are known; however, once these results become available, anti-infective therapy should be adjusted accordingly.</w:t>
      </w:r>
    </w:p>
    <w:p w:rsidR="003139FF" w:rsidRPr="008F33AD" w:rsidRDefault="00430A3E" w:rsidP="00430A3E">
      <w:pPr>
        <w:pStyle w:val="Heading4"/>
        <w:ind w:hanging="284"/>
        <w:rPr>
          <w:color w:val="000000"/>
          <w:lang w:eastAsia="nl-NL"/>
        </w:rPr>
      </w:pPr>
      <w:r w:rsidRPr="008F33AD">
        <w:rPr>
          <w:color w:val="000000"/>
          <w:lang w:eastAsia="nl-NL"/>
        </w:rPr>
        <w:tab/>
      </w:r>
      <w:r w:rsidR="003139FF" w:rsidRPr="008F33AD">
        <w:rPr>
          <w:color w:val="000000"/>
          <w:lang w:eastAsia="nl-NL"/>
        </w:rPr>
        <w:t>Susceptibility Testing</w:t>
      </w:r>
    </w:p>
    <w:p w:rsidR="003139FF" w:rsidRPr="00860D07" w:rsidRDefault="00963EF6" w:rsidP="00860D07">
      <w:pPr>
        <w:spacing w:after="0"/>
        <w:rPr>
          <w:b/>
          <w:bCs/>
          <w:caps/>
        </w:rPr>
      </w:pPr>
      <w:r w:rsidRPr="00860D07">
        <w:rPr>
          <w:b/>
          <w:bCs/>
        </w:rPr>
        <w:t>Voriconazole</w:t>
      </w:r>
      <w:r w:rsidR="00E57ED1" w:rsidRPr="00860D07">
        <w:rPr>
          <w:b/>
          <w:bCs/>
        </w:rPr>
        <w:t xml:space="preserve"> </w:t>
      </w:r>
      <w:r w:rsidR="00B33B8D" w:rsidRPr="00860D07">
        <w:rPr>
          <w:b/>
          <w:bCs/>
        </w:rPr>
        <w:t xml:space="preserve">Interpretive Criteria (breakpoints) for susceptibility testing </w:t>
      </w:r>
      <w:r w:rsidR="00E57ED1" w:rsidRPr="00860D07">
        <w:rPr>
          <w:b/>
          <w:bCs/>
        </w:rPr>
        <w:t xml:space="preserve">against </w:t>
      </w:r>
      <w:r w:rsidR="00E57ED1" w:rsidRPr="00860D07">
        <w:rPr>
          <w:b/>
          <w:bCs/>
          <w:i/>
        </w:rPr>
        <w:t>Candida</w:t>
      </w:r>
      <w:r w:rsidR="00E57ED1" w:rsidRPr="00860D07">
        <w:rPr>
          <w:b/>
          <w:bCs/>
        </w:rPr>
        <w:t xml:space="preserve"> Species</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3"/>
        <w:gridCol w:w="1134"/>
        <w:gridCol w:w="1701"/>
        <w:gridCol w:w="956"/>
        <w:gridCol w:w="1145"/>
        <w:gridCol w:w="1701"/>
        <w:gridCol w:w="1004"/>
      </w:tblGrid>
      <w:tr w:rsidR="00BC6F05" w:rsidRPr="008F33AD">
        <w:trPr>
          <w:cantSplit/>
          <w:jc w:val="center"/>
        </w:trPr>
        <w:tc>
          <w:tcPr>
            <w:tcW w:w="1523" w:type="dxa"/>
            <w:vMerge w:val="restart"/>
          </w:tcPr>
          <w:p w:rsidR="00BC6F05" w:rsidRPr="008F33AD" w:rsidRDefault="00BC6F05" w:rsidP="003016F9">
            <w:pPr>
              <w:keepNext/>
              <w:keepLines/>
              <w:spacing w:before="60" w:after="60"/>
              <w:jc w:val="center"/>
            </w:pPr>
          </w:p>
        </w:tc>
        <w:tc>
          <w:tcPr>
            <w:tcW w:w="3791" w:type="dxa"/>
            <w:gridSpan w:val="3"/>
          </w:tcPr>
          <w:p w:rsidR="00BC6F05" w:rsidRPr="008F33AD" w:rsidRDefault="00BC6F05" w:rsidP="000E4850">
            <w:pPr>
              <w:keepNext/>
              <w:keepLines/>
              <w:spacing w:before="60" w:after="60"/>
              <w:jc w:val="center"/>
              <w:rPr>
                <w:sz w:val="20"/>
              </w:rPr>
            </w:pPr>
            <w:r w:rsidRPr="008F33AD">
              <w:rPr>
                <w:sz w:val="20"/>
              </w:rPr>
              <w:t>Minimum Inhibitory Concentrations</w:t>
            </w:r>
            <w:r w:rsidR="000E4850">
              <w:rPr>
                <w:sz w:val="20"/>
                <w:vertAlign w:val="superscript"/>
              </w:rPr>
              <w:t>a</w:t>
            </w:r>
            <w:r w:rsidRPr="008F33AD">
              <w:rPr>
                <w:sz w:val="20"/>
              </w:rPr>
              <w:br/>
              <w:t>(microgram/mL)</w:t>
            </w:r>
          </w:p>
        </w:tc>
        <w:tc>
          <w:tcPr>
            <w:tcW w:w="3850" w:type="dxa"/>
            <w:gridSpan w:val="3"/>
          </w:tcPr>
          <w:p w:rsidR="00BC6F05" w:rsidRPr="008F33AD" w:rsidRDefault="00BC6F05" w:rsidP="000E4850">
            <w:pPr>
              <w:keepNext/>
              <w:keepLines/>
              <w:spacing w:before="60" w:after="60"/>
              <w:jc w:val="center"/>
              <w:rPr>
                <w:sz w:val="20"/>
              </w:rPr>
            </w:pPr>
            <w:r w:rsidRPr="008F33AD">
              <w:rPr>
                <w:sz w:val="20"/>
              </w:rPr>
              <w:t>Disk Diffusion</w:t>
            </w:r>
            <w:r w:rsidR="000E4850">
              <w:rPr>
                <w:sz w:val="20"/>
                <w:vertAlign w:val="superscript"/>
              </w:rPr>
              <w:t>b</w:t>
            </w:r>
            <w:r w:rsidRPr="008F33AD">
              <w:rPr>
                <w:sz w:val="20"/>
              </w:rPr>
              <w:br/>
              <w:t>(Zone diameters in mm)</w:t>
            </w:r>
          </w:p>
        </w:tc>
      </w:tr>
      <w:tr w:rsidR="00BC6F05" w:rsidRPr="008F33AD">
        <w:trPr>
          <w:cantSplit/>
          <w:jc w:val="center"/>
        </w:trPr>
        <w:tc>
          <w:tcPr>
            <w:tcW w:w="1523" w:type="dxa"/>
            <w:vMerge/>
          </w:tcPr>
          <w:p w:rsidR="00BC6F05" w:rsidRPr="008F33AD" w:rsidRDefault="00BC6F05" w:rsidP="003016F9">
            <w:pPr>
              <w:keepNext/>
              <w:keepLines/>
              <w:spacing w:before="60" w:after="60"/>
              <w:jc w:val="center"/>
            </w:pPr>
          </w:p>
        </w:tc>
        <w:tc>
          <w:tcPr>
            <w:tcW w:w="1134" w:type="dxa"/>
          </w:tcPr>
          <w:p w:rsidR="00BC6F05" w:rsidRPr="008F33AD" w:rsidRDefault="00BC6F05" w:rsidP="003016F9">
            <w:pPr>
              <w:keepNext/>
              <w:keepLines/>
              <w:spacing w:before="60" w:after="60"/>
              <w:jc w:val="center"/>
              <w:rPr>
                <w:sz w:val="20"/>
              </w:rPr>
            </w:pPr>
            <w:r w:rsidRPr="008F33AD">
              <w:rPr>
                <w:sz w:val="20"/>
              </w:rPr>
              <w:t xml:space="preserve">Susceptible </w:t>
            </w:r>
          </w:p>
        </w:tc>
        <w:tc>
          <w:tcPr>
            <w:tcW w:w="1701" w:type="dxa"/>
          </w:tcPr>
          <w:p w:rsidR="00BC6F05" w:rsidRPr="008F33AD" w:rsidRDefault="00BC6F05" w:rsidP="003016F9">
            <w:pPr>
              <w:keepNext/>
              <w:keepLines/>
              <w:spacing w:before="60" w:after="60"/>
              <w:jc w:val="center"/>
              <w:rPr>
                <w:sz w:val="20"/>
              </w:rPr>
            </w:pPr>
            <w:r w:rsidRPr="008F33AD">
              <w:rPr>
                <w:sz w:val="20"/>
              </w:rPr>
              <w:t>Susceptible-dose dependent</w:t>
            </w:r>
          </w:p>
        </w:tc>
        <w:tc>
          <w:tcPr>
            <w:tcW w:w="956" w:type="dxa"/>
          </w:tcPr>
          <w:p w:rsidR="00BC6F05" w:rsidRPr="008F33AD" w:rsidRDefault="00BC6F05" w:rsidP="003016F9">
            <w:pPr>
              <w:keepNext/>
              <w:keepLines/>
              <w:spacing w:before="60" w:after="60"/>
              <w:jc w:val="center"/>
              <w:rPr>
                <w:sz w:val="20"/>
              </w:rPr>
            </w:pPr>
            <w:r w:rsidRPr="008F33AD">
              <w:rPr>
                <w:sz w:val="20"/>
              </w:rPr>
              <w:t xml:space="preserve">Resistant </w:t>
            </w:r>
          </w:p>
        </w:tc>
        <w:tc>
          <w:tcPr>
            <w:tcW w:w="1145" w:type="dxa"/>
          </w:tcPr>
          <w:p w:rsidR="00BC6F05" w:rsidRPr="008F33AD" w:rsidRDefault="00BC6F05" w:rsidP="003016F9">
            <w:pPr>
              <w:keepNext/>
              <w:keepLines/>
              <w:spacing w:before="60" w:after="60"/>
              <w:jc w:val="center"/>
              <w:rPr>
                <w:sz w:val="20"/>
              </w:rPr>
            </w:pPr>
            <w:r w:rsidRPr="008F33AD">
              <w:rPr>
                <w:sz w:val="20"/>
              </w:rPr>
              <w:t xml:space="preserve">Susceptible </w:t>
            </w:r>
          </w:p>
        </w:tc>
        <w:tc>
          <w:tcPr>
            <w:tcW w:w="1701" w:type="dxa"/>
          </w:tcPr>
          <w:p w:rsidR="00BC6F05" w:rsidRPr="008F33AD" w:rsidRDefault="00BC6F05" w:rsidP="003016F9">
            <w:pPr>
              <w:keepNext/>
              <w:keepLines/>
              <w:spacing w:before="60" w:after="60"/>
              <w:jc w:val="center"/>
              <w:rPr>
                <w:sz w:val="20"/>
              </w:rPr>
            </w:pPr>
            <w:r w:rsidRPr="008F33AD">
              <w:rPr>
                <w:sz w:val="20"/>
              </w:rPr>
              <w:t>Susceptible-dose dependent</w:t>
            </w:r>
          </w:p>
        </w:tc>
        <w:tc>
          <w:tcPr>
            <w:tcW w:w="1004" w:type="dxa"/>
          </w:tcPr>
          <w:p w:rsidR="00BC6F05" w:rsidRPr="008F33AD" w:rsidRDefault="00BC6F05" w:rsidP="003016F9">
            <w:pPr>
              <w:keepNext/>
              <w:keepLines/>
              <w:spacing w:before="60" w:after="60"/>
              <w:jc w:val="center"/>
              <w:rPr>
                <w:sz w:val="20"/>
              </w:rPr>
            </w:pPr>
            <w:r w:rsidRPr="008F33AD">
              <w:rPr>
                <w:sz w:val="20"/>
              </w:rPr>
              <w:t xml:space="preserve">Resistant </w:t>
            </w:r>
          </w:p>
        </w:tc>
      </w:tr>
      <w:tr w:rsidR="00BC6F05" w:rsidRPr="008F33AD">
        <w:trPr>
          <w:cantSplit/>
          <w:trHeight w:val="489"/>
          <w:jc w:val="center"/>
        </w:trPr>
        <w:tc>
          <w:tcPr>
            <w:tcW w:w="1523" w:type="dxa"/>
          </w:tcPr>
          <w:p w:rsidR="00BC6F05" w:rsidRPr="008F33AD" w:rsidRDefault="00BC6F05" w:rsidP="003016F9">
            <w:pPr>
              <w:keepNext/>
              <w:keepLines/>
              <w:spacing w:before="60" w:after="60"/>
              <w:jc w:val="center"/>
            </w:pPr>
            <w:r w:rsidRPr="008F33AD">
              <w:t>Voriconazole</w:t>
            </w:r>
          </w:p>
        </w:tc>
        <w:tc>
          <w:tcPr>
            <w:tcW w:w="1134" w:type="dxa"/>
          </w:tcPr>
          <w:p w:rsidR="00BC6F05" w:rsidRPr="008F33AD" w:rsidRDefault="00625FE4" w:rsidP="003016F9">
            <w:pPr>
              <w:keepNext/>
              <w:keepLines/>
              <w:spacing w:before="60" w:after="60"/>
              <w:jc w:val="center"/>
            </w:pPr>
            <w:r>
              <w:sym w:font="Symbol" w:char="F0A3"/>
            </w:r>
            <w:r w:rsidR="00BC6F05" w:rsidRPr="008F33AD">
              <w:t>1.0</w:t>
            </w:r>
          </w:p>
        </w:tc>
        <w:tc>
          <w:tcPr>
            <w:tcW w:w="1701" w:type="dxa"/>
          </w:tcPr>
          <w:p w:rsidR="00BC6F05" w:rsidRPr="008F33AD" w:rsidRDefault="00BC6F05" w:rsidP="003016F9">
            <w:pPr>
              <w:keepNext/>
              <w:keepLines/>
              <w:spacing w:before="60" w:after="60"/>
              <w:jc w:val="center"/>
            </w:pPr>
            <w:r w:rsidRPr="008F33AD">
              <w:t>2.0</w:t>
            </w:r>
          </w:p>
        </w:tc>
        <w:tc>
          <w:tcPr>
            <w:tcW w:w="956" w:type="dxa"/>
          </w:tcPr>
          <w:p w:rsidR="00BC6F05" w:rsidRPr="008F33AD" w:rsidRDefault="00625FE4" w:rsidP="003016F9">
            <w:pPr>
              <w:keepNext/>
              <w:keepLines/>
              <w:spacing w:before="60" w:after="60"/>
              <w:jc w:val="center"/>
            </w:pPr>
            <w:r>
              <w:sym w:font="Symbol" w:char="F0B3"/>
            </w:r>
            <w:r w:rsidR="00BC6F05" w:rsidRPr="008F33AD">
              <w:t>4.0</w:t>
            </w:r>
          </w:p>
        </w:tc>
        <w:tc>
          <w:tcPr>
            <w:tcW w:w="1145" w:type="dxa"/>
          </w:tcPr>
          <w:p w:rsidR="00BC6F05" w:rsidRPr="008F33AD" w:rsidRDefault="00625FE4" w:rsidP="003016F9">
            <w:pPr>
              <w:keepNext/>
              <w:keepLines/>
              <w:spacing w:before="60" w:after="60"/>
              <w:jc w:val="center"/>
            </w:pPr>
            <w:r>
              <w:sym w:font="Symbol" w:char="F0B3"/>
            </w:r>
            <w:r w:rsidR="00BC6F05" w:rsidRPr="008F33AD">
              <w:t>17</w:t>
            </w:r>
          </w:p>
        </w:tc>
        <w:tc>
          <w:tcPr>
            <w:tcW w:w="1701" w:type="dxa"/>
          </w:tcPr>
          <w:p w:rsidR="00BC6F05" w:rsidRPr="008F33AD" w:rsidRDefault="00BC6F05" w:rsidP="003016F9">
            <w:pPr>
              <w:keepNext/>
              <w:keepLines/>
              <w:spacing w:before="60" w:after="60"/>
              <w:jc w:val="center"/>
            </w:pPr>
            <w:r w:rsidRPr="008F33AD">
              <w:t>14-16</w:t>
            </w:r>
          </w:p>
        </w:tc>
        <w:tc>
          <w:tcPr>
            <w:tcW w:w="1004" w:type="dxa"/>
          </w:tcPr>
          <w:p w:rsidR="00BC6F05" w:rsidRPr="008F33AD" w:rsidRDefault="00625FE4" w:rsidP="003016F9">
            <w:pPr>
              <w:keepNext/>
              <w:keepLines/>
              <w:spacing w:before="60" w:after="60"/>
              <w:jc w:val="center"/>
            </w:pPr>
            <w:r>
              <w:sym w:font="Symbol" w:char="F0A3"/>
            </w:r>
            <w:r w:rsidR="00BC6F05" w:rsidRPr="008F33AD">
              <w:t>13</w:t>
            </w:r>
          </w:p>
        </w:tc>
      </w:tr>
      <w:tr w:rsidR="00BC6F05" w:rsidRPr="008F33AD">
        <w:trPr>
          <w:cantSplit/>
          <w:trHeight w:val="489"/>
          <w:jc w:val="center"/>
        </w:trPr>
        <w:tc>
          <w:tcPr>
            <w:tcW w:w="9164" w:type="dxa"/>
            <w:gridSpan w:val="7"/>
            <w:tcBorders>
              <w:bottom w:val="single" w:sz="4" w:space="0" w:color="auto"/>
            </w:tcBorders>
          </w:tcPr>
          <w:p w:rsidR="00BC6F05" w:rsidRPr="008F33AD" w:rsidRDefault="002A3854" w:rsidP="003016F9">
            <w:pPr>
              <w:keepLines/>
              <w:spacing w:after="0"/>
              <w:jc w:val="left"/>
              <w:rPr>
                <w:sz w:val="20"/>
              </w:rPr>
            </w:pPr>
            <w:r w:rsidRPr="008F33AD">
              <w:rPr>
                <w:sz w:val="20"/>
                <w:lang w:eastAsia="en-AU"/>
              </w:rPr>
              <w:t>In 10 therapeutic studies (4</w:t>
            </w:r>
            <w:r w:rsidR="0085226B" w:rsidRPr="008F33AD">
              <w:rPr>
                <w:sz w:val="20"/>
                <w:lang w:eastAsia="en-AU"/>
              </w:rPr>
              <w:t> </w:t>
            </w:r>
            <w:r w:rsidRPr="008F33AD">
              <w:rPr>
                <w:sz w:val="20"/>
                <w:lang w:eastAsia="en-AU"/>
              </w:rPr>
              <w:t xml:space="preserve">mg/kg IV twice daily </w:t>
            </w:r>
            <w:r w:rsidR="0085226B" w:rsidRPr="008F33AD">
              <w:rPr>
                <w:sz w:val="20"/>
                <w:lang w:eastAsia="en-AU"/>
              </w:rPr>
              <w:t>or</w:t>
            </w:r>
            <w:r w:rsidRPr="008F33AD">
              <w:rPr>
                <w:sz w:val="20"/>
                <w:lang w:eastAsia="en-AU"/>
              </w:rPr>
              <w:t xml:space="preserve"> 200</w:t>
            </w:r>
            <w:r w:rsidR="0085226B" w:rsidRPr="008F33AD">
              <w:rPr>
                <w:sz w:val="20"/>
                <w:lang w:eastAsia="en-AU"/>
              </w:rPr>
              <w:t> </w:t>
            </w:r>
            <w:r w:rsidRPr="008F33AD">
              <w:rPr>
                <w:sz w:val="20"/>
                <w:lang w:eastAsia="en-AU"/>
              </w:rPr>
              <w:t>mg oral</w:t>
            </w:r>
            <w:r w:rsidR="0085226B" w:rsidRPr="008F33AD">
              <w:rPr>
                <w:sz w:val="20"/>
                <w:lang w:eastAsia="en-AU"/>
              </w:rPr>
              <w:t>ly</w:t>
            </w:r>
            <w:r w:rsidRPr="008F33AD">
              <w:rPr>
                <w:sz w:val="20"/>
                <w:lang w:eastAsia="en-AU"/>
              </w:rPr>
              <w:t xml:space="preserve"> twice daily), the median for the average voriconazole plasma concentrations was 2.4</w:t>
            </w:r>
            <w:r w:rsidR="0028376D" w:rsidRPr="008F33AD">
              <w:rPr>
                <w:sz w:val="20"/>
                <w:lang w:eastAsia="en-AU"/>
              </w:rPr>
              <w:t> </w:t>
            </w:r>
            <w:r w:rsidRPr="008F33AD">
              <w:rPr>
                <w:rFonts w:ascii="Symbol" w:hAnsi="Symbol" w:cs="Symbol"/>
                <w:sz w:val="20"/>
                <w:lang w:eastAsia="en-AU"/>
              </w:rPr>
              <w:t></w:t>
            </w:r>
            <w:r w:rsidRPr="008F33AD">
              <w:rPr>
                <w:sz w:val="20"/>
                <w:lang w:eastAsia="en-AU"/>
              </w:rPr>
              <w:t>g/mL (inter-quartile range 1.2 to 4.4</w:t>
            </w:r>
            <w:r w:rsidR="0028376D" w:rsidRPr="008F33AD">
              <w:rPr>
                <w:sz w:val="20"/>
                <w:lang w:eastAsia="en-AU"/>
              </w:rPr>
              <w:t> </w:t>
            </w:r>
            <w:r w:rsidR="00625FE4">
              <w:rPr>
                <w:rFonts w:ascii="Symbol" w:hAnsi="Symbol" w:cs="Symbol"/>
                <w:sz w:val="20"/>
                <w:lang w:eastAsia="en-AU"/>
              </w:rPr>
              <w:sym w:font="Symbol" w:char="F06D"/>
            </w:r>
            <w:r w:rsidRPr="008F33AD">
              <w:rPr>
                <w:sz w:val="20"/>
                <w:lang w:eastAsia="en-AU"/>
              </w:rPr>
              <w:t>g/mL)</w:t>
            </w:r>
            <w:r w:rsidR="00BC6F05" w:rsidRPr="008F33AD">
              <w:rPr>
                <w:sz w:val="20"/>
              </w:rPr>
              <w:t>.</w:t>
            </w:r>
          </w:p>
          <w:p w:rsidR="00DF63D4" w:rsidRPr="008F33AD" w:rsidRDefault="00DF63D4" w:rsidP="003016F9">
            <w:pPr>
              <w:keepLines/>
              <w:spacing w:after="0"/>
              <w:jc w:val="left"/>
              <w:rPr>
                <w:sz w:val="20"/>
              </w:rPr>
            </w:pPr>
            <w:r w:rsidRPr="008F33AD">
              <w:rPr>
                <w:sz w:val="20"/>
              </w:rPr>
              <w:t xml:space="preserve">Correlation of </w:t>
            </w:r>
            <w:r w:rsidRPr="008F33AD">
              <w:rPr>
                <w:i/>
                <w:sz w:val="20"/>
              </w:rPr>
              <w:t>in vitro</w:t>
            </w:r>
            <w:r w:rsidRPr="008F33AD">
              <w:rPr>
                <w:sz w:val="20"/>
              </w:rPr>
              <w:t xml:space="preserve"> results with clinical response was based upon 249 baseline </w:t>
            </w:r>
            <w:r w:rsidRPr="008F33AD">
              <w:rPr>
                <w:i/>
                <w:sz w:val="20"/>
              </w:rPr>
              <w:t xml:space="preserve">Candida </w:t>
            </w:r>
            <w:r w:rsidRPr="008F33AD">
              <w:rPr>
                <w:sz w:val="20"/>
              </w:rPr>
              <w:t>species isolates from six clinical trials</w:t>
            </w:r>
            <w:r w:rsidR="0057420A" w:rsidRPr="008F33AD">
              <w:rPr>
                <w:sz w:val="20"/>
              </w:rPr>
              <w:t xml:space="preserve"> </w:t>
            </w:r>
            <w:r w:rsidRPr="008F33AD">
              <w:rPr>
                <w:sz w:val="20"/>
              </w:rPr>
              <w:t xml:space="preserve">(Pfaller </w:t>
            </w:r>
            <w:r w:rsidRPr="008F33AD">
              <w:rPr>
                <w:i/>
                <w:sz w:val="20"/>
              </w:rPr>
              <w:t>et. a</w:t>
            </w:r>
            <w:r w:rsidR="00761B76">
              <w:rPr>
                <w:i/>
                <w:sz w:val="20"/>
              </w:rPr>
              <w:t>l.</w:t>
            </w:r>
            <w:r w:rsidR="00761B76">
              <w:rPr>
                <w:sz w:val="20"/>
              </w:rPr>
              <w:t>,</w:t>
            </w:r>
            <w:r w:rsidRPr="008F33AD">
              <w:rPr>
                <w:sz w:val="20"/>
              </w:rPr>
              <w:t xml:space="preserve"> </w:t>
            </w:r>
            <w:r w:rsidR="00761B76" w:rsidRPr="008F33AD">
              <w:rPr>
                <w:sz w:val="20"/>
              </w:rPr>
              <w:t>2006</w:t>
            </w:r>
            <w:r w:rsidR="00761B76">
              <w:rPr>
                <w:sz w:val="20"/>
              </w:rPr>
              <w:t xml:space="preserve">, </w:t>
            </w:r>
            <w:r w:rsidRPr="008F33AD">
              <w:rPr>
                <w:sz w:val="20"/>
              </w:rPr>
              <w:t>J</w:t>
            </w:r>
            <w:r w:rsidR="00761B76">
              <w:rPr>
                <w:sz w:val="20"/>
              </w:rPr>
              <w:t>. </w:t>
            </w:r>
            <w:r w:rsidRPr="008F33AD">
              <w:rPr>
                <w:sz w:val="20"/>
              </w:rPr>
              <w:t>C</w:t>
            </w:r>
            <w:r w:rsidR="00876C98" w:rsidRPr="008F33AD">
              <w:rPr>
                <w:sz w:val="20"/>
              </w:rPr>
              <w:t>lin</w:t>
            </w:r>
            <w:r w:rsidR="00761B76">
              <w:rPr>
                <w:sz w:val="20"/>
              </w:rPr>
              <w:t>. </w:t>
            </w:r>
            <w:r w:rsidRPr="008F33AD">
              <w:rPr>
                <w:sz w:val="20"/>
              </w:rPr>
              <w:t>M</w:t>
            </w:r>
            <w:r w:rsidR="00876C98" w:rsidRPr="008F33AD">
              <w:rPr>
                <w:sz w:val="20"/>
              </w:rPr>
              <w:t>icrobiol</w:t>
            </w:r>
            <w:r w:rsidR="00761B76">
              <w:rPr>
                <w:sz w:val="20"/>
              </w:rPr>
              <w:t>.</w:t>
            </w:r>
            <w:r w:rsidR="00431D8F">
              <w:rPr>
                <w:sz w:val="20"/>
              </w:rPr>
              <w:t>,</w:t>
            </w:r>
            <w:r w:rsidR="00761B76">
              <w:rPr>
                <w:sz w:val="20"/>
              </w:rPr>
              <w:t xml:space="preserve"> 819</w:t>
            </w:r>
            <w:r w:rsidR="00761B76">
              <w:rPr>
                <w:sz w:val="20"/>
              </w:rPr>
              <w:noBreakHyphen/>
              <w:t>826</w:t>
            </w:r>
            <w:r w:rsidRPr="008F33AD">
              <w:rPr>
                <w:sz w:val="20"/>
              </w:rPr>
              <w:t>)</w:t>
            </w:r>
            <w:r w:rsidR="00075E9B" w:rsidRPr="008F33AD">
              <w:rPr>
                <w:sz w:val="20"/>
              </w:rPr>
              <w:t>.</w:t>
            </w:r>
          </w:p>
          <w:p w:rsidR="00BC6F05" w:rsidRPr="008F33AD" w:rsidRDefault="000E4850" w:rsidP="000E4850">
            <w:pPr>
              <w:keepLines/>
              <w:spacing w:after="0"/>
              <w:jc w:val="left"/>
            </w:pPr>
            <w:r>
              <w:rPr>
                <w:sz w:val="20"/>
                <w:vertAlign w:val="superscript"/>
              </w:rPr>
              <w:t>a</w:t>
            </w:r>
            <w:r w:rsidR="00DF63D4" w:rsidRPr="008F33AD">
              <w:rPr>
                <w:sz w:val="20"/>
              </w:rPr>
              <w:t xml:space="preserve"> </w:t>
            </w:r>
            <w:r w:rsidR="00BC6F05" w:rsidRPr="008F33AD">
              <w:rPr>
                <w:sz w:val="20"/>
              </w:rPr>
              <w:t xml:space="preserve">CLSI </w:t>
            </w:r>
            <w:r w:rsidR="0057420A" w:rsidRPr="008F33AD">
              <w:rPr>
                <w:sz w:val="20"/>
              </w:rPr>
              <w:t>M</w:t>
            </w:r>
            <w:r w:rsidR="00BC6F05" w:rsidRPr="008F33AD">
              <w:rPr>
                <w:sz w:val="20"/>
              </w:rPr>
              <w:t>ic</w:t>
            </w:r>
            <w:r w:rsidR="0057420A" w:rsidRPr="008F33AD">
              <w:rPr>
                <w:sz w:val="20"/>
              </w:rPr>
              <w:t>r</w:t>
            </w:r>
            <w:r w:rsidR="00BC6F05" w:rsidRPr="008F33AD">
              <w:rPr>
                <w:sz w:val="20"/>
              </w:rPr>
              <w:t xml:space="preserve">obroth dilution reference method M27  </w:t>
            </w:r>
            <w:r w:rsidR="0057420A" w:rsidRPr="008F33AD">
              <w:rPr>
                <w:sz w:val="20"/>
              </w:rPr>
              <w:t xml:space="preserve"> </w:t>
            </w:r>
            <w:r>
              <w:rPr>
                <w:sz w:val="20"/>
                <w:vertAlign w:val="superscript"/>
              </w:rPr>
              <w:t>b</w:t>
            </w:r>
            <w:r w:rsidR="00DF63D4" w:rsidRPr="008F33AD">
              <w:rPr>
                <w:sz w:val="20"/>
              </w:rPr>
              <w:t xml:space="preserve"> </w:t>
            </w:r>
            <w:r w:rsidR="00BC6F05" w:rsidRPr="008F33AD">
              <w:rPr>
                <w:sz w:val="20"/>
              </w:rPr>
              <w:t>Disc diffusion reference method M44.</w:t>
            </w:r>
          </w:p>
        </w:tc>
      </w:tr>
    </w:tbl>
    <w:p w:rsidR="001E52C0" w:rsidRPr="008F33AD" w:rsidRDefault="001E52C0" w:rsidP="003016F9">
      <w:pPr>
        <w:keepNext/>
        <w:spacing w:after="0"/>
        <w:rPr>
          <w:b/>
          <w:bCs/>
        </w:rPr>
      </w:pPr>
      <w:r w:rsidRPr="008F33AD">
        <w:rPr>
          <w:b/>
          <w:bCs/>
        </w:rPr>
        <w:t>Acceptable Quality Control Ranges for Voriconazole to be used in Validation of Susceptibility Test Results</w:t>
      </w:r>
      <w:r w:rsidR="00825888" w:rsidRPr="008F33AD">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1971"/>
        <w:gridCol w:w="1856"/>
        <w:gridCol w:w="2756"/>
      </w:tblGrid>
      <w:tr w:rsidR="001E52C0" w:rsidRPr="008F33AD">
        <w:trPr>
          <w:cantSplit/>
          <w:trHeight w:val="375"/>
        </w:trPr>
        <w:tc>
          <w:tcPr>
            <w:tcW w:w="2660" w:type="dxa"/>
            <w:vMerge w:val="restart"/>
          </w:tcPr>
          <w:p w:rsidR="001E52C0" w:rsidRPr="008F33AD" w:rsidRDefault="001E52C0" w:rsidP="00BB367C">
            <w:pPr>
              <w:keepNext/>
              <w:keepLines/>
              <w:spacing w:before="40" w:after="40"/>
              <w:jc w:val="center"/>
              <w:rPr>
                <w:b/>
                <w:bCs/>
              </w:rPr>
            </w:pPr>
          </w:p>
        </w:tc>
        <w:tc>
          <w:tcPr>
            <w:tcW w:w="3827" w:type="dxa"/>
            <w:gridSpan w:val="2"/>
            <w:vMerge w:val="restart"/>
          </w:tcPr>
          <w:p w:rsidR="001E52C0" w:rsidRPr="008F33AD" w:rsidRDefault="001E52C0" w:rsidP="00BB367C">
            <w:pPr>
              <w:keepNext/>
              <w:keepLines/>
              <w:spacing w:before="40" w:after="40"/>
              <w:jc w:val="center"/>
              <w:rPr>
                <w:b/>
                <w:bCs/>
              </w:rPr>
            </w:pPr>
            <w:r w:rsidRPr="008F33AD">
              <w:t xml:space="preserve">Minimum Inhibitory Concentration </w:t>
            </w:r>
            <w:r w:rsidRPr="008F33AD">
              <w:br/>
              <w:t xml:space="preserve">(MIC in </w:t>
            </w:r>
            <w:r w:rsidRPr="008F33AD">
              <w:sym w:font="Symbol" w:char="F06D"/>
            </w:r>
            <w:r w:rsidRPr="008F33AD">
              <w:t>g/mL)</w:t>
            </w:r>
          </w:p>
        </w:tc>
        <w:tc>
          <w:tcPr>
            <w:tcW w:w="2756" w:type="dxa"/>
            <w:vMerge w:val="restart"/>
          </w:tcPr>
          <w:p w:rsidR="001E52C0" w:rsidRPr="008F33AD" w:rsidRDefault="001E52C0" w:rsidP="00BB367C">
            <w:pPr>
              <w:keepNext/>
              <w:keepLines/>
              <w:spacing w:before="40" w:after="40"/>
              <w:jc w:val="center"/>
              <w:rPr>
                <w:b/>
                <w:bCs/>
              </w:rPr>
            </w:pPr>
            <w:r w:rsidRPr="008F33AD">
              <w:t>Disk Diffusion</w:t>
            </w:r>
            <w:r w:rsidRPr="008F33AD">
              <w:br/>
              <w:t>(Zone diameter in mm)</w:t>
            </w:r>
          </w:p>
        </w:tc>
      </w:tr>
      <w:tr w:rsidR="001E52C0" w:rsidRPr="008F33AD">
        <w:trPr>
          <w:cantSplit/>
          <w:trHeight w:val="375"/>
        </w:trPr>
        <w:tc>
          <w:tcPr>
            <w:tcW w:w="2660" w:type="dxa"/>
            <w:vMerge/>
          </w:tcPr>
          <w:p w:rsidR="001E52C0" w:rsidRPr="008F33AD" w:rsidRDefault="001E52C0" w:rsidP="00BB367C">
            <w:pPr>
              <w:keepNext/>
              <w:keepLines/>
              <w:spacing w:before="40" w:after="40"/>
              <w:jc w:val="center"/>
              <w:rPr>
                <w:b/>
                <w:bCs/>
              </w:rPr>
            </w:pPr>
          </w:p>
        </w:tc>
        <w:tc>
          <w:tcPr>
            <w:tcW w:w="3827" w:type="dxa"/>
            <w:gridSpan w:val="2"/>
            <w:vMerge/>
          </w:tcPr>
          <w:p w:rsidR="001E52C0" w:rsidRPr="008F33AD" w:rsidRDefault="001E52C0" w:rsidP="00BB367C">
            <w:pPr>
              <w:keepNext/>
              <w:keepLines/>
              <w:spacing w:before="40" w:after="40"/>
              <w:jc w:val="center"/>
              <w:rPr>
                <w:b/>
                <w:bCs/>
              </w:rPr>
            </w:pPr>
          </w:p>
        </w:tc>
        <w:tc>
          <w:tcPr>
            <w:tcW w:w="2756" w:type="dxa"/>
            <w:vMerge/>
          </w:tcPr>
          <w:p w:rsidR="001E52C0" w:rsidRPr="008F33AD" w:rsidRDefault="001E52C0" w:rsidP="00BB367C">
            <w:pPr>
              <w:keepNext/>
              <w:keepLines/>
              <w:spacing w:before="40" w:after="40"/>
              <w:jc w:val="center"/>
              <w:rPr>
                <w:b/>
                <w:bCs/>
              </w:rPr>
            </w:pPr>
          </w:p>
        </w:tc>
      </w:tr>
      <w:tr w:rsidR="001E52C0" w:rsidRPr="008F33AD">
        <w:trPr>
          <w:cantSplit/>
          <w:trHeight w:val="173"/>
        </w:trPr>
        <w:tc>
          <w:tcPr>
            <w:tcW w:w="2660" w:type="dxa"/>
            <w:vMerge/>
          </w:tcPr>
          <w:p w:rsidR="001E52C0" w:rsidRPr="008F33AD" w:rsidRDefault="001E52C0" w:rsidP="00BB367C">
            <w:pPr>
              <w:keepNext/>
              <w:keepLines/>
              <w:spacing w:before="40" w:after="40"/>
              <w:jc w:val="center"/>
              <w:rPr>
                <w:b/>
                <w:bCs/>
              </w:rPr>
            </w:pPr>
          </w:p>
        </w:tc>
        <w:tc>
          <w:tcPr>
            <w:tcW w:w="1971" w:type="dxa"/>
          </w:tcPr>
          <w:p w:rsidR="001E52C0" w:rsidRPr="008F33AD" w:rsidRDefault="001E52C0" w:rsidP="00BB367C">
            <w:pPr>
              <w:keepNext/>
              <w:keepLines/>
              <w:spacing w:before="40" w:after="40"/>
              <w:jc w:val="center"/>
              <w:rPr>
                <w:b/>
                <w:bCs/>
              </w:rPr>
            </w:pPr>
            <w:r w:rsidRPr="008F33AD">
              <w:t>@24-hour</w:t>
            </w:r>
          </w:p>
        </w:tc>
        <w:tc>
          <w:tcPr>
            <w:tcW w:w="1856" w:type="dxa"/>
          </w:tcPr>
          <w:p w:rsidR="001E52C0" w:rsidRPr="008F33AD" w:rsidRDefault="001E52C0" w:rsidP="00BB367C">
            <w:pPr>
              <w:keepNext/>
              <w:keepLines/>
              <w:spacing w:before="40" w:after="40"/>
              <w:jc w:val="center"/>
              <w:rPr>
                <w:b/>
                <w:bCs/>
              </w:rPr>
            </w:pPr>
            <w:r w:rsidRPr="008F33AD">
              <w:t>@48-hour</w:t>
            </w:r>
          </w:p>
        </w:tc>
        <w:tc>
          <w:tcPr>
            <w:tcW w:w="2756" w:type="dxa"/>
            <w:vMerge/>
          </w:tcPr>
          <w:p w:rsidR="001E52C0" w:rsidRPr="008F33AD" w:rsidRDefault="001E52C0" w:rsidP="00BB367C">
            <w:pPr>
              <w:keepNext/>
              <w:keepLines/>
              <w:spacing w:before="40" w:after="40"/>
              <w:jc w:val="center"/>
              <w:rPr>
                <w:b/>
                <w:bCs/>
              </w:rPr>
            </w:pPr>
          </w:p>
        </w:tc>
      </w:tr>
      <w:tr w:rsidR="001E52C0" w:rsidRPr="008F33AD">
        <w:trPr>
          <w:cantSplit/>
        </w:trPr>
        <w:tc>
          <w:tcPr>
            <w:tcW w:w="2660" w:type="dxa"/>
            <w:vAlign w:val="center"/>
          </w:tcPr>
          <w:p w:rsidR="001E52C0" w:rsidRPr="008F33AD" w:rsidRDefault="001E52C0" w:rsidP="00BB367C">
            <w:pPr>
              <w:keepNext/>
              <w:keepLines/>
              <w:spacing w:before="40" w:after="40"/>
              <w:jc w:val="center"/>
            </w:pPr>
            <w:r w:rsidRPr="008F33AD">
              <w:t>QC Strain</w:t>
            </w:r>
          </w:p>
        </w:tc>
        <w:tc>
          <w:tcPr>
            <w:tcW w:w="1971" w:type="dxa"/>
            <w:vAlign w:val="center"/>
          </w:tcPr>
          <w:p w:rsidR="001E52C0" w:rsidRPr="008F33AD" w:rsidRDefault="001E52C0" w:rsidP="00BB367C">
            <w:pPr>
              <w:keepNext/>
              <w:keepLines/>
              <w:spacing w:before="40" w:after="40"/>
              <w:jc w:val="center"/>
            </w:pPr>
          </w:p>
        </w:tc>
        <w:tc>
          <w:tcPr>
            <w:tcW w:w="1856" w:type="dxa"/>
            <w:vAlign w:val="center"/>
          </w:tcPr>
          <w:p w:rsidR="001E52C0" w:rsidRPr="008F33AD" w:rsidRDefault="001E52C0" w:rsidP="00BB367C">
            <w:pPr>
              <w:keepNext/>
              <w:keepLines/>
              <w:spacing w:before="40" w:after="40"/>
              <w:jc w:val="center"/>
            </w:pPr>
          </w:p>
        </w:tc>
        <w:tc>
          <w:tcPr>
            <w:tcW w:w="2756" w:type="dxa"/>
            <w:vAlign w:val="center"/>
          </w:tcPr>
          <w:p w:rsidR="001E52C0" w:rsidRPr="008F33AD" w:rsidRDefault="001E52C0" w:rsidP="00BB367C">
            <w:pPr>
              <w:keepNext/>
              <w:keepLines/>
              <w:spacing w:before="40" w:after="40"/>
              <w:jc w:val="center"/>
              <w:rPr>
                <w:b/>
                <w:bCs/>
              </w:rPr>
            </w:pPr>
          </w:p>
        </w:tc>
      </w:tr>
      <w:tr w:rsidR="001E52C0" w:rsidRPr="008F33AD">
        <w:trPr>
          <w:cantSplit/>
        </w:trPr>
        <w:tc>
          <w:tcPr>
            <w:tcW w:w="2660" w:type="dxa"/>
            <w:vAlign w:val="center"/>
          </w:tcPr>
          <w:p w:rsidR="001E52C0" w:rsidRPr="008F33AD" w:rsidRDefault="001E52C0" w:rsidP="00BB367C">
            <w:pPr>
              <w:keepNext/>
              <w:keepLines/>
              <w:spacing w:before="40" w:after="40"/>
              <w:jc w:val="center"/>
              <w:rPr>
                <w:b/>
                <w:bCs/>
              </w:rPr>
            </w:pPr>
            <w:r w:rsidRPr="008F33AD">
              <w:rPr>
                <w:i/>
                <w:iCs/>
              </w:rPr>
              <w:t>Candida parapsilosis</w:t>
            </w:r>
            <w:r w:rsidRPr="008F33AD">
              <w:rPr>
                <w:i/>
                <w:iCs/>
              </w:rPr>
              <w:br/>
            </w:r>
            <w:r w:rsidRPr="008F33AD">
              <w:t>ATCC 22019</w:t>
            </w:r>
            <w:r w:rsidR="009E7154" w:rsidRPr="008F33AD">
              <w:rPr>
                <w:vertAlign w:val="superscript"/>
              </w:rPr>
              <w:t>^</w:t>
            </w:r>
          </w:p>
        </w:tc>
        <w:tc>
          <w:tcPr>
            <w:tcW w:w="1971" w:type="dxa"/>
            <w:vAlign w:val="center"/>
          </w:tcPr>
          <w:p w:rsidR="001E52C0" w:rsidRPr="008F33AD" w:rsidRDefault="001E52C0" w:rsidP="00BB367C">
            <w:pPr>
              <w:keepNext/>
              <w:keepLines/>
              <w:spacing w:before="40" w:after="40"/>
              <w:jc w:val="center"/>
              <w:rPr>
                <w:b/>
                <w:bCs/>
              </w:rPr>
            </w:pPr>
            <w:r w:rsidRPr="008F33AD">
              <w:t>0.016-0.12</w:t>
            </w:r>
          </w:p>
        </w:tc>
        <w:tc>
          <w:tcPr>
            <w:tcW w:w="1856" w:type="dxa"/>
            <w:vAlign w:val="center"/>
          </w:tcPr>
          <w:p w:rsidR="001E52C0" w:rsidRPr="008F33AD" w:rsidRDefault="001E52C0" w:rsidP="00BB367C">
            <w:pPr>
              <w:keepNext/>
              <w:keepLines/>
              <w:spacing w:before="40" w:after="40"/>
              <w:jc w:val="center"/>
              <w:rPr>
                <w:b/>
                <w:bCs/>
              </w:rPr>
            </w:pPr>
            <w:r w:rsidRPr="008F33AD">
              <w:t>0.03-0.25</w:t>
            </w:r>
          </w:p>
        </w:tc>
        <w:tc>
          <w:tcPr>
            <w:tcW w:w="2756" w:type="dxa"/>
            <w:vAlign w:val="center"/>
          </w:tcPr>
          <w:p w:rsidR="001E52C0" w:rsidRPr="008F33AD" w:rsidRDefault="001E52C0" w:rsidP="00BB367C">
            <w:pPr>
              <w:keepNext/>
              <w:keepLines/>
              <w:spacing w:before="40" w:after="40"/>
              <w:jc w:val="center"/>
              <w:rPr>
                <w:b/>
                <w:bCs/>
              </w:rPr>
            </w:pPr>
            <w:r w:rsidRPr="008F33AD">
              <w:t>28-37</w:t>
            </w:r>
          </w:p>
        </w:tc>
      </w:tr>
      <w:tr w:rsidR="001E52C0" w:rsidRPr="008F33AD">
        <w:trPr>
          <w:cantSplit/>
        </w:trPr>
        <w:tc>
          <w:tcPr>
            <w:tcW w:w="2660" w:type="dxa"/>
            <w:vAlign w:val="center"/>
          </w:tcPr>
          <w:p w:rsidR="001E52C0" w:rsidRPr="008F33AD" w:rsidRDefault="001E52C0" w:rsidP="00BB367C">
            <w:pPr>
              <w:keepNext/>
              <w:keepLines/>
              <w:spacing w:before="40" w:after="40"/>
              <w:jc w:val="center"/>
              <w:rPr>
                <w:b/>
                <w:bCs/>
              </w:rPr>
            </w:pPr>
            <w:r w:rsidRPr="008F33AD">
              <w:rPr>
                <w:i/>
                <w:iCs/>
              </w:rPr>
              <w:t>Candida krusei</w:t>
            </w:r>
            <w:r w:rsidRPr="008F33AD">
              <w:rPr>
                <w:i/>
                <w:iCs/>
              </w:rPr>
              <w:br/>
            </w:r>
            <w:r w:rsidRPr="008F33AD">
              <w:t>ATCC 6258</w:t>
            </w:r>
            <w:r w:rsidR="009E7154" w:rsidRPr="008F33AD">
              <w:rPr>
                <w:vertAlign w:val="superscript"/>
              </w:rPr>
              <w:t>^</w:t>
            </w:r>
          </w:p>
        </w:tc>
        <w:tc>
          <w:tcPr>
            <w:tcW w:w="1971" w:type="dxa"/>
            <w:vAlign w:val="center"/>
          </w:tcPr>
          <w:p w:rsidR="001E52C0" w:rsidRPr="008F33AD" w:rsidRDefault="001E52C0" w:rsidP="00BB367C">
            <w:pPr>
              <w:keepNext/>
              <w:keepLines/>
              <w:spacing w:before="40" w:after="40"/>
              <w:jc w:val="center"/>
            </w:pPr>
            <w:r w:rsidRPr="008F33AD">
              <w:t>0.06-0.5</w:t>
            </w:r>
          </w:p>
        </w:tc>
        <w:tc>
          <w:tcPr>
            <w:tcW w:w="1856" w:type="dxa"/>
            <w:vAlign w:val="center"/>
          </w:tcPr>
          <w:p w:rsidR="001E52C0" w:rsidRPr="008F33AD" w:rsidRDefault="001E52C0" w:rsidP="00BB367C">
            <w:pPr>
              <w:keepNext/>
              <w:keepLines/>
              <w:spacing w:before="40" w:after="40"/>
              <w:jc w:val="center"/>
            </w:pPr>
            <w:r w:rsidRPr="008F33AD">
              <w:t>0.12-1.0</w:t>
            </w:r>
          </w:p>
        </w:tc>
        <w:tc>
          <w:tcPr>
            <w:tcW w:w="2756" w:type="dxa"/>
            <w:vAlign w:val="center"/>
          </w:tcPr>
          <w:p w:rsidR="001E52C0" w:rsidRPr="008F33AD" w:rsidRDefault="001E52C0" w:rsidP="00BB367C">
            <w:pPr>
              <w:keepNext/>
              <w:keepLines/>
              <w:spacing w:before="40" w:after="40"/>
              <w:jc w:val="center"/>
              <w:rPr>
                <w:b/>
                <w:bCs/>
              </w:rPr>
            </w:pPr>
            <w:r w:rsidRPr="008F33AD">
              <w:t>16-25</w:t>
            </w:r>
          </w:p>
        </w:tc>
      </w:tr>
      <w:tr w:rsidR="001E52C0" w:rsidRPr="008F33AD">
        <w:trPr>
          <w:cantSplit/>
        </w:trPr>
        <w:tc>
          <w:tcPr>
            <w:tcW w:w="2660" w:type="dxa"/>
            <w:vAlign w:val="center"/>
          </w:tcPr>
          <w:p w:rsidR="001E52C0" w:rsidRPr="008F33AD" w:rsidRDefault="001E52C0" w:rsidP="00BB367C">
            <w:pPr>
              <w:keepNext/>
              <w:keepLines/>
              <w:spacing w:before="40" w:after="40"/>
              <w:jc w:val="center"/>
              <w:rPr>
                <w:b/>
                <w:bCs/>
              </w:rPr>
            </w:pPr>
            <w:r w:rsidRPr="008F33AD">
              <w:rPr>
                <w:i/>
                <w:iCs/>
              </w:rPr>
              <w:t>Candida albicans</w:t>
            </w:r>
            <w:r w:rsidRPr="008F33AD">
              <w:rPr>
                <w:i/>
                <w:iCs/>
              </w:rPr>
              <w:br/>
            </w:r>
            <w:r w:rsidRPr="008F33AD">
              <w:t>ATCC 90028</w:t>
            </w:r>
            <w:r w:rsidR="009E7154" w:rsidRPr="008F33AD">
              <w:rPr>
                <w:vertAlign w:val="superscript"/>
              </w:rPr>
              <w:t>^</w:t>
            </w:r>
          </w:p>
        </w:tc>
        <w:tc>
          <w:tcPr>
            <w:tcW w:w="1971" w:type="dxa"/>
            <w:vAlign w:val="center"/>
          </w:tcPr>
          <w:p w:rsidR="001E52C0" w:rsidRPr="008F33AD" w:rsidRDefault="000E4850" w:rsidP="00BB367C">
            <w:pPr>
              <w:keepNext/>
              <w:keepLines/>
              <w:spacing w:before="40" w:after="40"/>
              <w:jc w:val="center"/>
            </w:pPr>
            <w:r>
              <w:t>†</w:t>
            </w:r>
          </w:p>
        </w:tc>
        <w:tc>
          <w:tcPr>
            <w:tcW w:w="1856" w:type="dxa"/>
            <w:vAlign w:val="center"/>
          </w:tcPr>
          <w:p w:rsidR="001E52C0" w:rsidRPr="008F33AD" w:rsidRDefault="000E4850" w:rsidP="00BB367C">
            <w:pPr>
              <w:keepNext/>
              <w:keepLines/>
              <w:spacing w:before="40" w:after="40"/>
              <w:jc w:val="center"/>
            </w:pPr>
            <w:r>
              <w:t>†</w:t>
            </w:r>
          </w:p>
        </w:tc>
        <w:tc>
          <w:tcPr>
            <w:tcW w:w="2756" w:type="dxa"/>
            <w:vAlign w:val="center"/>
          </w:tcPr>
          <w:p w:rsidR="001E52C0" w:rsidRPr="008F33AD" w:rsidRDefault="001E52C0" w:rsidP="00BB367C">
            <w:pPr>
              <w:keepNext/>
              <w:keepLines/>
              <w:spacing w:before="40" w:after="40"/>
              <w:jc w:val="center"/>
              <w:rPr>
                <w:b/>
                <w:bCs/>
              </w:rPr>
            </w:pPr>
            <w:r w:rsidRPr="008F33AD">
              <w:t>31-42</w:t>
            </w:r>
          </w:p>
        </w:tc>
      </w:tr>
    </w:tbl>
    <w:p w:rsidR="001E52C0" w:rsidRPr="008F33AD" w:rsidRDefault="000E4850" w:rsidP="00BB367C">
      <w:pPr>
        <w:keepNext/>
        <w:keepLines/>
        <w:spacing w:after="0"/>
        <w:ind w:left="142" w:hanging="142"/>
        <w:rPr>
          <w:sz w:val="20"/>
        </w:rPr>
      </w:pPr>
      <w:r>
        <w:rPr>
          <w:sz w:val="20"/>
        </w:rPr>
        <w:t>†</w:t>
      </w:r>
      <w:r w:rsidR="001E52C0" w:rsidRPr="008F33AD">
        <w:rPr>
          <w:sz w:val="20"/>
        </w:rPr>
        <w:t>Quality control ranges have not been established for this strain/antifungal agent combination due to their extensive interlaboratory variation during initial quality control studies.</w:t>
      </w:r>
    </w:p>
    <w:p w:rsidR="001E52C0" w:rsidRPr="008F33AD" w:rsidRDefault="009E7154" w:rsidP="009E7154">
      <w:pPr>
        <w:keepLines/>
        <w:ind w:left="142" w:hanging="142"/>
        <w:rPr>
          <w:i/>
          <w:color w:val="000000"/>
          <w:sz w:val="20"/>
        </w:rPr>
      </w:pPr>
      <w:r w:rsidRPr="008F33AD">
        <w:rPr>
          <w:vertAlign w:val="superscript"/>
        </w:rPr>
        <w:t>^</w:t>
      </w:r>
      <w:r w:rsidRPr="008F33AD">
        <w:rPr>
          <w:vertAlign w:val="superscript"/>
        </w:rPr>
        <w:tab/>
      </w:r>
      <w:r w:rsidR="001E52C0" w:rsidRPr="008F33AD">
        <w:rPr>
          <w:sz w:val="20"/>
        </w:rPr>
        <w:t>ATCC is a registered trademark of the American Type Culture Collection</w:t>
      </w:r>
      <w:r w:rsidR="001E52C0" w:rsidRPr="008F33AD">
        <w:rPr>
          <w:b/>
          <w:bCs/>
          <w:sz w:val="20"/>
        </w:rPr>
        <w:t>.</w:t>
      </w:r>
    </w:p>
    <w:p w:rsidR="00B169D2" w:rsidRPr="008F33AD" w:rsidRDefault="00B169D2" w:rsidP="001A34F4">
      <w:pPr>
        <w:pStyle w:val="Heading2"/>
      </w:pPr>
      <w:r w:rsidRPr="008F33AD">
        <w:lastRenderedPageBreak/>
        <w:t>Pharmacokinetics</w:t>
      </w:r>
    </w:p>
    <w:p w:rsidR="00B169D2" w:rsidRPr="008F33AD" w:rsidRDefault="00B169D2" w:rsidP="001A34F4">
      <w:pPr>
        <w:pStyle w:val="Heading3"/>
      </w:pPr>
      <w:r w:rsidRPr="008F33AD">
        <w:t>General Pharmacokinetic Characteristics</w:t>
      </w:r>
    </w:p>
    <w:p w:rsidR="00B169D2" w:rsidRPr="008F33AD" w:rsidRDefault="00B169D2" w:rsidP="00625FE4">
      <w:r w:rsidRPr="008F33AD">
        <w:t>The pharmacokinetics of voriconazole have been characterised in healthy subjects, spe</w:t>
      </w:r>
      <w:r w:rsidR="00300F6A">
        <w:t xml:space="preserve">cial populations and patients. </w:t>
      </w:r>
      <w:r w:rsidRPr="008F33AD">
        <w:t>Du</w:t>
      </w:r>
      <w:r w:rsidR="005C5BD9" w:rsidRPr="008F33AD">
        <w:t>ring oral administration of 200 mg or 300 </w:t>
      </w:r>
      <w:r w:rsidRPr="008F33AD">
        <w:t>mg twice daily for 14</w:t>
      </w:r>
      <w:r w:rsidR="005C5BD9" w:rsidRPr="008F33AD">
        <w:t> </w:t>
      </w:r>
      <w:r w:rsidRPr="008F33AD">
        <w:t>days in patients at risk of aspergillosis (mainly patients with malignant neoplasms of lymphatic or haematopoietic tissue), the observed pharmacokinetic characteristics of rapid and consistent absorption, accumulation and non-linear pharmacokinetics were in agreement with those observed in healthy subjects.</w:t>
      </w:r>
    </w:p>
    <w:p w:rsidR="00B169D2" w:rsidRPr="008F33AD" w:rsidRDefault="00B169D2" w:rsidP="00625FE4">
      <w:r w:rsidRPr="008F33AD">
        <w:t xml:space="preserve">The pharmacokinetics of voriconazole are non-linear due to saturation of its metabolism.  Greater than proportional increase in exposure is </w:t>
      </w:r>
      <w:r w:rsidR="007A41B4">
        <w:t xml:space="preserve">observed with increasing dose. </w:t>
      </w:r>
      <w:r w:rsidRPr="008F33AD">
        <w:t>It is estimated that, on average, increasing the oral dose from 200 mg twice daily to 300 mg twice daily leads to a 2.5-fold increase in exposure (AUC</w:t>
      </w:r>
      <w:r w:rsidRPr="0018438C">
        <w:rPr>
          <w:vertAlign w:val="subscript"/>
        </w:rPr>
        <w:sym w:font="Symbol" w:char="F074"/>
      </w:r>
      <w:r w:rsidRPr="008F33AD">
        <w:t xml:space="preserve">) </w:t>
      </w:r>
      <w:r w:rsidR="008D6948" w:rsidRPr="008F33AD">
        <w:t xml:space="preserve">(area under the plasma concentration time curve </w:t>
      </w:r>
      <w:r w:rsidR="00E7675E" w:rsidRPr="008F33AD">
        <w:t>over the 12-hour dosing interval</w:t>
      </w:r>
      <w:r w:rsidR="008D6948" w:rsidRPr="008F33AD">
        <w:t xml:space="preserve">) </w:t>
      </w:r>
      <w:r w:rsidRPr="008F33AD">
        <w:t>while increasing the intrav</w:t>
      </w:r>
      <w:r w:rsidR="005C5BD9" w:rsidRPr="008F33AD">
        <w:t xml:space="preserve">enous dose from 3 mg/kg </w:t>
      </w:r>
      <w:r w:rsidR="00B90576" w:rsidRPr="008F33AD">
        <w:t xml:space="preserve">twice daily </w:t>
      </w:r>
      <w:r w:rsidR="005C5BD9" w:rsidRPr="008F33AD">
        <w:t>to 4 </w:t>
      </w:r>
      <w:r w:rsidRPr="008F33AD">
        <w:t xml:space="preserve">mg/kg </w:t>
      </w:r>
      <w:r w:rsidR="00B90576" w:rsidRPr="008F33AD">
        <w:t xml:space="preserve">twice daily </w:t>
      </w:r>
      <w:r w:rsidRPr="008F33AD">
        <w:t>produces a 2.3</w:t>
      </w:r>
      <w:r w:rsidR="005C5BD9" w:rsidRPr="008F33AD">
        <w:noBreakHyphen/>
      </w:r>
      <w:r w:rsidRPr="008F33AD">
        <w:t>fold increase in expo</w:t>
      </w:r>
      <w:r w:rsidR="007A41B4">
        <w:t xml:space="preserve">sure. </w:t>
      </w:r>
      <w:r w:rsidRPr="008F33AD">
        <w:t>When the recommended intravenous or oral loading dose regimens are administered, plasma concentrations close to steady state are achieved within</w:t>
      </w:r>
      <w:r w:rsidR="007A41B4">
        <w:t xml:space="preserve"> the first 24 hours of dosing. </w:t>
      </w:r>
      <w:r w:rsidRPr="008F33AD">
        <w:t>Without the loading dose, accumulation occurs during twice daily multiple dosing with steady-state plasma voriconazole concentrations being achieved by day 6 in the majority of subjects.</w:t>
      </w:r>
    </w:p>
    <w:p w:rsidR="00B169D2" w:rsidRPr="008F33AD" w:rsidRDefault="00B169D2" w:rsidP="001A34F4">
      <w:pPr>
        <w:pStyle w:val="Heading3"/>
      </w:pPr>
      <w:r w:rsidRPr="008F33AD">
        <w:t>Absorption</w:t>
      </w:r>
    </w:p>
    <w:p w:rsidR="00B169D2" w:rsidRPr="008F33AD" w:rsidRDefault="00B169D2" w:rsidP="00625FE4">
      <w:r w:rsidRPr="008F33AD">
        <w:t>Voriconazole is rapidly and almost completely absorbed following oral administration, with maximum plasma concentrations (C</w:t>
      </w:r>
      <w:r w:rsidRPr="008F33AD">
        <w:rPr>
          <w:vertAlign w:val="subscript"/>
        </w:rPr>
        <w:t>max</w:t>
      </w:r>
      <w:r w:rsidR="005C5BD9" w:rsidRPr="008F33AD">
        <w:t>) achieved 1 to 2 </w:t>
      </w:r>
      <w:r w:rsidRPr="008F33AD">
        <w:t xml:space="preserve">hours after dosing.  </w:t>
      </w:r>
      <w:r w:rsidRPr="00D941B3">
        <w:t xml:space="preserve">The oral bioavailability of voriconazole </w:t>
      </w:r>
      <w:r w:rsidR="00DB54C7" w:rsidRPr="00D941B3">
        <w:t xml:space="preserve">in adults </w:t>
      </w:r>
      <w:r w:rsidRPr="00D941B3">
        <w:t>is estimated to be 96%.</w:t>
      </w:r>
      <w:r w:rsidR="007A41B4">
        <w:t xml:space="preserve"> </w:t>
      </w:r>
      <w:r w:rsidRPr="008F33AD">
        <w:t xml:space="preserve">Bioequivalence has been established between </w:t>
      </w:r>
      <w:r w:rsidR="005C5BD9" w:rsidRPr="008F33AD">
        <w:t>the 200 </w:t>
      </w:r>
      <w:r w:rsidRPr="008F33AD">
        <w:t>mg tablet and the 40 mg/mL oral suspension when administered as a 200 mg dose</w:t>
      </w:r>
      <w:r w:rsidR="00012B05">
        <w:t xml:space="preserve"> to adults</w:t>
      </w:r>
      <w:r w:rsidRPr="008F33AD">
        <w:t>.</w:t>
      </w:r>
      <w:r w:rsidR="00012B05" w:rsidRPr="00012B05">
        <w:rPr>
          <w:rStyle w:val="LineNumber"/>
        </w:rPr>
        <w:t xml:space="preserve"> </w:t>
      </w:r>
    </w:p>
    <w:p w:rsidR="00B169D2" w:rsidRPr="008F33AD" w:rsidRDefault="00B169D2" w:rsidP="00625FE4">
      <w:r w:rsidRPr="008F33AD">
        <w:t>When multiple doses of voriconazole are administered with high fat meals, C</w:t>
      </w:r>
      <w:r w:rsidRPr="008F33AD">
        <w:rPr>
          <w:vertAlign w:val="subscript"/>
        </w:rPr>
        <w:t xml:space="preserve">max </w:t>
      </w:r>
      <w:r w:rsidRPr="008F33AD">
        <w:t>and AUC</w:t>
      </w:r>
      <w:r w:rsidRPr="008F33AD">
        <w:rPr>
          <w:vertAlign w:val="subscript"/>
        </w:rPr>
        <w:sym w:font="Symbol" w:char="F074"/>
      </w:r>
      <w:r w:rsidRPr="008F33AD">
        <w:t xml:space="preserve">  of the tablets are reduced by 34% and 24% respectively, and C</w:t>
      </w:r>
      <w:r w:rsidRPr="008F33AD">
        <w:rPr>
          <w:vertAlign w:val="subscript"/>
        </w:rPr>
        <w:t xml:space="preserve">max </w:t>
      </w:r>
      <w:r w:rsidRPr="008F33AD">
        <w:t>and AUC</w:t>
      </w:r>
      <w:r w:rsidRPr="008F33AD">
        <w:rPr>
          <w:vertAlign w:val="subscript"/>
        </w:rPr>
        <w:sym w:font="Symbol" w:char="F074"/>
      </w:r>
      <w:r w:rsidRPr="008F33AD">
        <w:t xml:space="preserve"> of the suspension are reduced by 58% and 37%, respectively.</w:t>
      </w:r>
    </w:p>
    <w:p w:rsidR="00B169D2" w:rsidRPr="008F33AD" w:rsidRDefault="00B169D2" w:rsidP="00625FE4">
      <w:r w:rsidRPr="008F33AD">
        <w:t>The absorption of voriconazole is not affected by changes in gastric pH.</w:t>
      </w:r>
    </w:p>
    <w:p w:rsidR="00B169D2" w:rsidRPr="008F33AD" w:rsidRDefault="00B169D2" w:rsidP="001A34F4">
      <w:pPr>
        <w:pStyle w:val="Heading3"/>
      </w:pPr>
      <w:r w:rsidRPr="008F33AD">
        <w:t>Distribution</w:t>
      </w:r>
    </w:p>
    <w:p w:rsidR="00B169D2" w:rsidRPr="008F33AD" w:rsidRDefault="00B169D2" w:rsidP="00625FE4">
      <w:r w:rsidRPr="008F33AD">
        <w:t>The volume of distribution at steady state for voriconazole is estimated to be 4.6 L/kg, suggesting extens</w:t>
      </w:r>
      <w:r w:rsidR="007A41B4">
        <w:t xml:space="preserve">ive distribution into tissues. </w:t>
      </w:r>
      <w:r w:rsidRPr="008F33AD">
        <w:t>Plasma protein binding is estimated to be 58%.</w:t>
      </w:r>
    </w:p>
    <w:p w:rsidR="00B169D2" w:rsidRPr="008F33AD" w:rsidRDefault="00B169D2" w:rsidP="00625FE4">
      <w:r w:rsidRPr="008F33AD">
        <w:t>Cerebrospinal fluid samples from eight patients in a compassionate programme showed detectable voriconazole concentrations in all patients.</w:t>
      </w:r>
    </w:p>
    <w:p w:rsidR="00B169D2" w:rsidRPr="008F33AD" w:rsidRDefault="00B169D2" w:rsidP="001A34F4">
      <w:pPr>
        <w:pStyle w:val="Heading3"/>
      </w:pPr>
      <w:r w:rsidRPr="008F33AD">
        <w:t>Metabolism</w:t>
      </w:r>
    </w:p>
    <w:p w:rsidR="00B169D2" w:rsidRPr="008F33AD" w:rsidRDefault="00B169D2" w:rsidP="00625FE4">
      <w:pPr>
        <w:rPr>
          <w:b/>
        </w:rPr>
      </w:pPr>
      <w:r w:rsidRPr="008F33AD">
        <w:rPr>
          <w:i/>
        </w:rPr>
        <w:t>In vitro</w:t>
      </w:r>
      <w:r w:rsidRPr="008F33AD">
        <w:t xml:space="preserve"> studies showed that voriconazole is metabolised by the hepatic cytochrome P450 isoenzymes, CYP2C19, CYP2C9 and CYP3A4.</w:t>
      </w:r>
    </w:p>
    <w:p w:rsidR="00B169D2" w:rsidRPr="008F33AD" w:rsidRDefault="00B169D2" w:rsidP="00625FE4">
      <w:r w:rsidRPr="008F33AD">
        <w:t>The inter-individual variability of voriconazole pharmacokinetics is high.</w:t>
      </w:r>
    </w:p>
    <w:p w:rsidR="00B169D2" w:rsidRPr="008F33AD" w:rsidRDefault="00B169D2" w:rsidP="00625FE4">
      <w:r w:rsidRPr="008F33AD">
        <w:rPr>
          <w:i/>
        </w:rPr>
        <w:t>In vivo</w:t>
      </w:r>
      <w:r w:rsidRPr="008F33AD">
        <w:t xml:space="preserve"> studies indicated that CYP2C19 is significantly involved in t</w:t>
      </w:r>
      <w:r w:rsidR="007A41B4">
        <w:t xml:space="preserve">he metabolism of voriconazole. </w:t>
      </w:r>
      <w:r w:rsidRPr="008F33AD">
        <w:t xml:space="preserve">This enzyme </w:t>
      </w:r>
      <w:r w:rsidR="007A41B4">
        <w:t xml:space="preserve">exhibits genetic polymorphism. </w:t>
      </w:r>
      <w:r w:rsidRPr="008F33AD">
        <w:t>For example, 15-20% of Asian populations may be exp</w:t>
      </w:r>
      <w:r w:rsidR="007A41B4">
        <w:t xml:space="preserve">ected to be poor metabolisers. </w:t>
      </w:r>
      <w:r w:rsidRPr="008F33AD">
        <w:t xml:space="preserve">For Caucasians and Blacks the </w:t>
      </w:r>
      <w:r w:rsidRPr="008F33AD">
        <w:lastRenderedPageBreak/>
        <w:t>prevalence of poor metabolisers is 3-5%.</w:t>
      </w:r>
      <w:r w:rsidRPr="008F33AD">
        <w:rPr>
          <w:b/>
        </w:rPr>
        <w:t xml:space="preserve"> </w:t>
      </w:r>
      <w:r w:rsidRPr="008F33AD">
        <w:t>Studies conducted in Caucasian and Japanese healthy subjects have shown that poor metabolisers have, on average, 4-fold higher voriconazole exposure (AUC</w:t>
      </w:r>
      <w:r w:rsidRPr="008F33AD">
        <w:sym w:font="Symbol" w:char="F074"/>
      </w:r>
      <w:r w:rsidRPr="008F33AD">
        <w:t>) than their homozygous exten</w:t>
      </w:r>
      <w:r w:rsidR="007A41B4">
        <w:t xml:space="preserve">sive metaboliser counterparts. </w:t>
      </w:r>
      <w:r w:rsidRPr="008F33AD">
        <w:t>Subjects who are heterozygous extensive metabolisers have on average 2-fold higher voriconazole exposure than their homozygous extensive metaboliser counterparts.</w:t>
      </w:r>
    </w:p>
    <w:p w:rsidR="00B169D2" w:rsidRPr="008F33AD" w:rsidRDefault="00B169D2">
      <w:r w:rsidRPr="008F33AD">
        <w:t xml:space="preserve">The major metabolite of voriconazole is the N-oxide, which accounts for </w:t>
      </w:r>
      <w:r w:rsidRPr="008F33AD">
        <w:rPr>
          <w:snapToGrid w:val="0"/>
        </w:rPr>
        <w:t>72% of the circulating radiol</w:t>
      </w:r>
      <w:r w:rsidR="007A41B4">
        <w:rPr>
          <w:snapToGrid w:val="0"/>
        </w:rPr>
        <w:t xml:space="preserve">abelled metabolites in plasma. </w:t>
      </w:r>
      <w:r w:rsidRPr="008F33AD">
        <w:t>This metabolite has minimal antifungal activity and does not contribute to the overall efficacy of voriconazole.</w:t>
      </w:r>
    </w:p>
    <w:p w:rsidR="00B169D2" w:rsidRPr="008F33AD" w:rsidRDefault="00B169D2">
      <w:pPr>
        <w:pStyle w:val="Heading2"/>
        <w:keepLines/>
        <w:rPr>
          <w:i/>
          <w:iCs/>
        </w:rPr>
      </w:pPr>
      <w:r w:rsidRPr="008F33AD">
        <w:rPr>
          <w:i/>
          <w:iCs/>
        </w:rPr>
        <w:t>Excretion</w:t>
      </w:r>
    </w:p>
    <w:p w:rsidR="00B169D2" w:rsidRPr="008F33AD" w:rsidRDefault="00B169D2" w:rsidP="00625FE4">
      <w:r w:rsidRPr="008F33AD">
        <w:t>Voriconazole is eliminated via hepatic metabolism with less than 2% of the dose excreted unchanged in the urine.</w:t>
      </w:r>
    </w:p>
    <w:p w:rsidR="00B169D2" w:rsidRPr="008F33AD" w:rsidRDefault="00B169D2" w:rsidP="00625FE4">
      <w:r w:rsidRPr="008F33AD">
        <w:t>After administration of a radiolabelled dose of voriconazole, approximately 80% of the radioactivity is recovered in the urine after multiple intravenous dosing and 83% in the uri</w:t>
      </w:r>
      <w:r w:rsidR="007A41B4">
        <w:t xml:space="preserve">ne after multiple oral dosing. </w:t>
      </w:r>
      <w:r w:rsidRPr="008F33AD">
        <w:t>The majority (&gt;94%) of the total radioactivity is excreted in the first 96 hours after both oral and intravenous dosing.</w:t>
      </w:r>
    </w:p>
    <w:p w:rsidR="00B169D2" w:rsidRPr="008F33AD" w:rsidRDefault="00B169D2" w:rsidP="00625FE4">
      <w:r w:rsidRPr="008F33AD">
        <w:t>The terminal half-life of voriconazole depends</w:t>
      </w:r>
      <w:r w:rsidR="005C5BD9" w:rsidRPr="008F33AD">
        <w:t xml:space="preserve"> on dose and is approximately 6 </w:t>
      </w:r>
      <w:r w:rsidRPr="008F33AD">
        <w:t>hours at 3 mg/kg (intravenously) or 200</w:t>
      </w:r>
      <w:r w:rsidR="005C5BD9" w:rsidRPr="008F33AD">
        <w:t> </w:t>
      </w:r>
      <w:r w:rsidR="007A41B4">
        <w:t xml:space="preserve">mg (orally). </w:t>
      </w:r>
      <w:r w:rsidRPr="008F33AD">
        <w:t>Because of non-linear pharmacokinetics, the terminal half-life is not useful in the prediction of the accumulation or elimination of voriconazole.</w:t>
      </w:r>
    </w:p>
    <w:p w:rsidR="00B169D2" w:rsidRPr="008F33AD" w:rsidRDefault="00B169D2" w:rsidP="001A34F4">
      <w:pPr>
        <w:pStyle w:val="Heading2"/>
      </w:pPr>
      <w:r w:rsidRPr="008F33AD">
        <w:t>Pharmacokinetic-Pharmacodynamic (PK/PD) Relationships</w:t>
      </w:r>
    </w:p>
    <w:p w:rsidR="00B169D2" w:rsidRPr="008F33AD" w:rsidRDefault="00B169D2" w:rsidP="00625FE4">
      <w:r w:rsidRPr="008F33AD">
        <w:t>In 10 therapeutic studies, the median for the average and maximum plasma concentrations in individual subjects across the studies was 2425</w:t>
      </w:r>
      <w:r w:rsidR="005C5BD9" w:rsidRPr="008F33AD">
        <w:t> </w:t>
      </w:r>
      <w:r w:rsidRPr="008F33AD">
        <w:t>ng/mL (inter-quartile range 1193 to 4380 ng/mL) and 3742 ng/mL (inter-quartile range 2027 to 6302</w:t>
      </w:r>
      <w:r w:rsidR="005C5BD9" w:rsidRPr="008F33AD">
        <w:t> </w:t>
      </w:r>
      <w:r w:rsidR="007A41B4">
        <w:t xml:space="preserve">ng/mL), respectively. </w:t>
      </w:r>
      <w:r w:rsidRPr="008F33AD">
        <w:t>A positive association between mean, maximum or minimum plasma voriconazole concentration and efficacy in therapeutic studies was not found.</w:t>
      </w:r>
    </w:p>
    <w:p w:rsidR="00B169D2" w:rsidRPr="008F33AD" w:rsidRDefault="00B169D2" w:rsidP="00625FE4">
      <w:r w:rsidRPr="008F33AD">
        <w:t>PK/PD analyses of clinical trial data identified positive associations between plasma voriconazole concentrations and both LFT abnormalities and visual disturbances.</w:t>
      </w:r>
    </w:p>
    <w:p w:rsidR="00B169D2" w:rsidRPr="008F33AD" w:rsidRDefault="00B169D2" w:rsidP="001A34F4">
      <w:pPr>
        <w:pStyle w:val="Heading2"/>
      </w:pPr>
      <w:bookmarkStart w:id="0" w:name="OLE_LINK6"/>
      <w:bookmarkStart w:id="1" w:name="OLE_LINK11"/>
      <w:r w:rsidRPr="008F33AD">
        <w:t>Pharmacokinetics in Special Patient Groups</w:t>
      </w:r>
      <w:bookmarkEnd w:id="0"/>
      <w:bookmarkEnd w:id="1"/>
    </w:p>
    <w:p w:rsidR="00B169D2" w:rsidRPr="008F33AD" w:rsidRDefault="00B169D2" w:rsidP="001A34F4">
      <w:pPr>
        <w:pStyle w:val="Heading3"/>
      </w:pPr>
      <w:r w:rsidRPr="008F33AD">
        <w:t>Gender</w:t>
      </w:r>
    </w:p>
    <w:p w:rsidR="00B169D2" w:rsidRPr="008F33AD" w:rsidRDefault="00B169D2" w:rsidP="00625FE4">
      <w:r w:rsidRPr="008F33AD">
        <w:t>In an oral multiple dose study, C</w:t>
      </w:r>
      <w:r w:rsidRPr="008F33AD">
        <w:rPr>
          <w:vertAlign w:val="subscript"/>
        </w:rPr>
        <w:t>max</w:t>
      </w:r>
      <w:r w:rsidRPr="008F33AD">
        <w:t xml:space="preserve"> and AUC</w:t>
      </w:r>
      <w:r w:rsidRPr="008F33AD">
        <w:rPr>
          <w:vertAlign w:val="subscript"/>
        </w:rPr>
        <w:sym w:font="Symbol" w:char="F074"/>
      </w:r>
      <w:r w:rsidRPr="008F33AD">
        <w:t xml:space="preserve"> for healthy young females were 83% and 113% higher, respectively, than in healthy young males (18-45 years)</w:t>
      </w:r>
      <w:r w:rsidRPr="008F33AD">
        <w:rPr>
          <w:i/>
        </w:rPr>
        <w:t xml:space="preserve">. </w:t>
      </w:r>
      <w:r w:rsidRPr="008F33AD">
        <w:t>In the same study, no significant differences in C</w:t>
      </w:r>
      <w:r w:rsidRPr="008F33AD">
        <w:rPr>
          <w:vertAlign w:val="subscript"/>
        </w:rPr>
        <w:t>max</w:t>
      </w:r>
      <w:r w:rsidRPr="008F33AD">
        <w:t xml:space="preserve"> and AUC</w:t>
      </w:r>
      <w:r w:rsidRPr="008F33AD">
        <w:rPr>
          <w:vertAlign w:val="subscript"/>
        </w:rPr>
        <w:sym w:font="Symbol" w:char="F074"/>
      </w:r>
      <w:r w:rsidRPr="008F33AD">
        <w:t xml:space="preserve"> were observed between healthy elderly males and healthy elderly females (</w:t>
      </w:r>
      <w:r w:rsidRPr="008F33AD">
        <w:sym w:font="Symbol" w:char="F0B3"/>
      </w:r>
      <w:r w:rsidRPr="008F33AD">
        <w:t>65 years).</w:t>
      </w:r>
    </w:p>
    <w:p w:rsidR="00B169D2" w:rsidRPr="008F33AD" w:rsidRDefault="00B169D2" w:rsidP="00625FE4">
      <w:r w:rsidRPr="008F33AD">
        <w:t>In the clinical program, no dosage adjustment wa</w:t>
      </w:r>
      <w:r w:rsidR="00D413A7">
        <w:t xml:space="preserve">s made on the basis of gender. </w:t>
      </w:r>
      <w:r w:rsidRPr="008F33AD">
        <w:t>The safety profile and plasma concentrations observed in male and female patients were similar.  Therefore, no dosage adjustment based on gender is necessary.</w:t>
      </w:r>
    </w:p>
    <w:p w:rsidR="00B169D2" w:rsidRPr="008F33AD" w:rsidRDefault="00625FE4" w:rsidP="001A34F4">
      <w:pPr>
        <w:pStyle w:val="Heading3"/>
      </w:pPr>
      <w:r>
        <w:t>Elderly</w:t>
      </w:r>
    </w:p>
    <w:p w:rsidR="00B169D2" w:rsidRPr="008F33AD" w:rsidRDefault="00B169D2" w:rsidP="00625FE4">
      <w:r w:rsidRPr="008F33AD">
        <w:t>In an oral multiple dose study C</w:t>
      </w:r>
      <w:r w:rsidRPr="008F33AD">
        <w:rPr>
          <w:vertAlign w:val="subscript"/>
        </w:rPr>
        <w:t>max</w:t>
      </w:r>
      <w:r w:rsidRPr="008F33AD">
        <w:t xml:space="preserve"> and AUC</w:t>
      </w:r>
      <w:r w:rsidRPr="008F33AD">
        <w:rPr>
          <w:vertAlign w:val="subscript"/>
        </w:rPr>
        <w:sym w:font="Symbol" w:char="F074"/>
      </w:r>
      <w:r w:rsidRPr="008F33AD">
        <w:t xml:space="preserve"> in healthy elderly males (</w:t>
      </w:r>
      <w:r w:rsidR="00625FE4">
        <w:sym w:font="Symbol" w:char="F0B3"/>
      </w:r>
      <w:r w:rsidRPr="008F33AD">
        <w:t>65 years) were 61% and 86% higher, respectively, than in healthy young males (18</w:t>
      </w:r>
      <w:r w:rsidR="00625FE4">
        <w:t>-</w:t>
      </w:r>
      <w:r w:rsidRPr="008F33AD">
        <w:t>45</w:t>
      </w:r>
      <w:r w:rsidR="005C5BD9" w:rsidRPr="008F33AD">
        <w:t> </w:t>
      </w:r>
      <w:r w:rsidR="00D413A7">
        <w:t xml:space="preserve">years). </w:t>
      </w:r>
      <w:r w:rsidRPr="008F33AD">
        <w:t xml:space="preserve">No significant </w:t>
      </w:r>
      <w:r w:rsidRPr="008F33AD">
        <w:lastRenderedPageBreak/>
        <w:t>differences in C</w:t>
      </w:r>
      <w:r w:rsidRPr="008F33AD">
        <w:rPr>
          <w:vertAlign w:val="subscript"/>
        </w:rPr>
        <w:t>max</w:t>
      </w:r>
      <w:r w:rsidRPr="008F33AD">
        <w:t xml:space="preserve"> and AUC</w:t>
      </w:r>
      <w:r w:rsidRPr="008F33AD">
        <w:rPr>
          <w:vertAlign w:val="subscript"/>
        </w:rPr>
        <w:sym w:font="Symbol" w:char="F074"/>
      </w:r>
      <w:r w:rsidRPr="008F33AD">
        <w:t xml:space="preserve"> were observed between healthy elderly females (</w:t>
      </w:r>
      <w:r w:rsidR="00625FE4">
        <w:sym w:font="Symbol" w:char="F0B3"/>
      </w:r>
      <w:r w:rsidRPr="008F33AD">
        <w:t>65 years)</w:t>
      </w:r>
      <w:r w:rsidR="005C5BD9" w:rsidRPr="008F33AD">
        <w:t xml:space="preserve"> and healthy young females (18</w:t>
      </w:r>
      <w:r w:rsidR="00625FE4">
        <w:t>-</w:t>
      </w:r>
      <w:r w:rsidRPr="008F33AD">
        <w:t>45</w:t>
      </w:r>
      <w:r w:rsidR="005C5BD9" w:rsidRPr="008F33AD">
        <w:t> </w:t>
      </w:r>
      <w:r w:rsidRPr="008F33AD">
        <w:t>years).</w:t>
      </w:r>
    </w:p>
    <w:p w:rsidR="00B169D2" w:rsidRPr="008F33AD" w:rsidRDefault="00B169D2" w:rsidP="00625FE4">
      <w:r w:rsidRPr="008F33AD">
        <w:t>In the therapeutic studies no dosage adjustment was made on the</w:t>
      </w:r>
      <w:r w:rsidR="00D413A7">
        <w:t xml:space="preserve"> basis of age. </w:t>
      </w:r>
      <w:r w:rsidRPr="008F33AD">
        <w:t>A relationship between plasma concen</w:t>
      </w:r>
      <w:r w:rsidR="00D413A7">
        <w:t xml:space="preserve">trations and age was observed. </w:t>
      </w:r>
      <w:r w:rsidRPr="008F33AD">
        <w:t>The safety profile of voriconazole in young and elderly patients was similar and, therefore, no dosage adjustment is necessary for the elderly.</w:t>
      </w:r>
    </w:p>
    <w:p w:rsidR="00B169D2" w:rsidRPr="008F33AD" w:rsidRDefault="00B169D2" w:rsidP="001A34F4">
      <w:pPr>
        <w:pStyle w:val="Heading3"/>
      </w:pPr>
      <w:r w:rsidRPr="008F33AD">
        <w:t>Paediatrics</w:t>
      </w:r>
    </w:p>
    <w:p w:rsidR="00846716" w:rsidRDefault="001E1A8D" w:rsidP="00625FE4">
      <w:pPr>
        <w:rPr>
          <w:szCs w:val="22"/>
        </w:rPr>
      </w:pPr>
      <w:r w:rsidRPr="008F33AD">
        <w:rPr>
          <w:snapToGrid w:val="0"/>
        </w:rPr>
        <w:t>A population pharmacokinetic analysi</w:t>
      </w:r>
      <w:r w:rsidR="00576342" w:rsidRPr="008F33AD">
        <w:rPr>
          <w:snapToGrid w:val="0"/>
        </w:rPr>
        <w:t>s was conducted on data from 35 </w:t>
      </w:r>
      <w:r w:rsidRPr="008F33AD">
        <w:rPr>
          <w:snapToGrid w:val="0"/>
        </w:rPr>
        <w:t>immunocompromised subjects aged 2 to &lt;12 years old who were included in the intravenous single or multiple</w:t>
      </w:r>
      <w:r w:rsidR="00D413A7">
        <w:rPr>
          <w:snapToGrid w:val="0"/>
        </w:rPr>
        <w:t xml:space="preserve"> dose pharmacokinetic studies. </w:t>
      </w:r>
      <w:r w:rsidRPr="008F33AD">
        <w:rPr>
          <w:snapToGrid w:val="0"/>
        </w:rPr>
        <w:t>Twenty-four of these subjects received multiple doses of voricona</w:t>
      </w:r>
      <w:r w:rsidR="00D413A7">
        <w:rPr>
          <w:snapToGrid w:val="0"/>
        </w:rPr>
        <w:t xml:space="preserve">zole. </w:t>
      </w:r>
      <w:r w:rsidRPr="008F33AD">
        <w:rPr>
          <w:snapToGrid w:val="0"/>
        </w:rPr>
        <w:t xml:space="preserve">Average steady state plasma concentrations in children receiving a </w:t>
      </w:r>
      <w:r w:rsidR="008325D0" w:rsidRPr="008F33AD">
        <w:rPr>
          <w:snapToGrid w:val="0"/>
        </w:rPr>
        <w:t>maintenance dose of 4 </w:t>
      </w:r>
      <w:r w:rsidRPr="008F33AD">
        <w:rPr>
          <w:snapToGrid w:val="0"/>
        </w:rPr>
        <w:t xml:space="preserve">mg/kg </w:t>
      </w:r>
      <w:r w:rsidR="00846716" w:rsidRPr="008F33AD">
        <w:rPr>
          <w:szCs w:val="22"/>
        </w:rPr>
        <w:t xml:space="preserve">twice daily </w:t>
      </w:r>
      <w:r w:rsidRPr="008F33AD">
        <w:rPr>
          <w:snapToGrid w:val="0"/>
        </w:rPr>
        <w:t>were similar to those in adult</w:t>
      </w:r>
      <w:r w:rsidR="008325D0" w:rsidRPr="008F33AD">
        <w:rPr>
          <w:snapToGrid w:val="0"/>
        </w:rPr>
        <w:t>s receiving 3 </w:t>
      </w:r>
      <w:r w:rsidRPr="008F33AD">
        <w:rPr>
          <w:snapToGrid w:val="0"/>
        </w:rPr>
        <w:t xml:space="preserve">mg/kg </w:t>
      </w:r>
      <w:r w:rsidR="00846716" w:rsidRPr="008F33AD">
        <w:rPr>
          <w:szCs w:val="22"/>
        </w:rPr>
        <w:t>twice daily</w:t>
      </w:r>
      <w:r w:rsidR="008325D0" w:rsidRPr="008F33AD">
        <w:rPr>
          <w:snapToGrid w:val="0"/>
        </w:rPr>
        <w:t>, with medians of 1186 </w:t>
      </w:r>
      <w:r w:rsidRPr="008F33AD">
        <w:rPr>
          <w:snapToGrid w:val="0"/>
        </w:rPr>
        <w:t>ng/mL in chil</w:t>
      </w:r>
      <w:r w:rsidR="00D413A7">
        <w:rPr>
          <w:snapToGrid w:val="0"/>
        </w:rPr>
        <w:t xml:space="preserve">dren and 1155 ng/mL in adults. </w:t>
      </w:r>
      <w:r w:rsidRPr="005E4AC7">
        <w:rPr>
          <w:snapToGrid w:val="0"/>
        </w:rPr>
        <w:t xml:space="preserve">Therefore, </w:t>
      </w:r>
      <w:r w:rsidR="000E4108" w:rsidRPr="005E4AC7">
        <w:rPr>
          <w:snapToGrid w:val="0"/>
        </w:rPr>
        <w:t xml:space="preserve">intravenous </w:t>
      </w:r>
      <w:r w:rsidRPr="005E4AC7">
        <w:rPr>
          <w:snapToGrid w:val="0"/>
        </w:rPr>
        <w:t>maintenance dose</w:t>
      </w:r>
      <w:r w:rsidR="00846716" w:rsidRPr="005E4AC7">
        <w:rPr>
          <w:snapToGrid w:val="0"/>
        </w:rPr>
        <w:t>s</w:t>
      </w:r>
      <w:r w:rsidR="008325D0" w:rsidRPr="005E4AC7">
        <w:rPr>
          <w:snapToGrid w:val="0"/>
        </w:rPr>
        <w:t xml:space="preserve"> of 4 </w:t>
      </w:r>
      <w:r w:rsidRPr="005E4AC7">
        <w:rPr>
          <w:snapToGrid w:val="0"/>
        </w:rPr>
        <w:t xml:space="preserve">mg/kg </w:t>
      </w:r>
      <w:r w:rsidR="00846716" w:rsidRPr="005E4AC7">
        <w:rPr>
          <w:szCs w:val="22"/>
        </w:rPr>
        <w:t xml:space="preserve">twice daily </w:t>
      </w:r>
      <w:r w:rsidR="00322E37" w:rsidRPr="005E4AC7">
        <w:rPr>
          <w:snapToGrid w:val="0"/>
        </w:rPr>
        <w:t xml:space="preserve">in </w:t>
      </w:r>
      <w:r w:rsidR="008325D0" w:rsidRPr="005E4AC7">
        <w:rPr>
          <w:snapToGrid w:val="0"/>
        </w:rPr>
        <w:t>children aged between 2 to &lt;12 </w:t>
      </w:r>
      <w:r w:rsidRPr="005E4AC7">
        <w:rPr>
          <w:snapToGrid w:val="0"/>
        </w:rPr>
        <w:t>years of age</w:t>
      </w:r>
      <w:r w:rsidR="00FA1A90" w:rsidRPr="005E4AC7">
        <w:rPr>
          <w:snapToGrid w:val="0"/>
        </w:rPr>
        <w:t xml:space="preserve"> </w:t>
      </w:r>
      <w:r w:rsidR="00846716" w:rsidRPr="005E4AC7">
        <w:rPr>
          <w:snapToGrid w:val="0"/>
        </w:rPr>
        <w:t>match</w:t>
      </w:r>
      <w:r w:rsidR="00380D15">
        <w:rPr>
          <w:snapToGrid w:val="0"/>
        </w:rPr>
        <w:t>ed</w:t>
      </w:r>
      <w:r w:rsidR="00846716" w:rsidRPr="005E4AC7">
        <w:rPr>
          <w:snapToGrid w:val="0"/>
        </w:rPr>
        <w:t xml:space="preserve"> </w:t>
      </w:r>
      <w:r w:rsidR="00E830BB" w:rsidRPr="005E4AC7">
        <w:rPr>
          <w:snapToGrid w:val="0"/>
        </w:rPr>
        <w:t xml:space="preserve">the </w:t>
      </w:r>
      <w:r w:rsidR="00846716" w:rsidRPr="005E4AC7">
        <w:rPr>
          <w:szCs w:val="22"/>
        </w:rPr>
        <w:t>exposure in adults receiving intravenous doses of 3 mg/kg twice daily</w:t>
      </w:r>
      <w:r w:rsidR="00846716" w:rsidRPr="005E4AC7">
        <w:rPr>
          <w:snapToGrid w:val="0"/>
        </w:rPr>
        <w:t>.</w:t>
      </w:r>
    </w:p>
    <w:p w:rsidR="00D413A7" w:rsidRPr="008F33AD" w:rsidRDefault="00D413A7" w:rsidP="00625FE4">
      <w:pPr>
        <w:rPr>
          <w:snapToGrid w:val="0"/>
        </w:rPr>
      </w:pPr>
      <w:r>
        <w:rPr>
          <w:szCs w:val="22"/>
        </w:rPr>
        <w:t xml:space="preserve">Another </w:t>
      </w:r>
      <w:r w:rsidRPr="008F33AD">
        <w:t xml:space="preserve">pharmacokinetic </w:t>
      </w:r>
      <w:r w:rsidRPr="008F33AD">
        <w:rPr>
          <w:szCs w:val="22"/>
        </w:rPr>
        <w:t xml:space="preserve">study in </w:t>
      </w:r>
      <w:r w:rsidRPr="008F33AD">
        <w:t xml:space="preserve">47 immunocompromised </w:t>
      </w:r>
      <w:r w:rsidRPr="008F33AD">
        <w:rPr>
          <w:snapToGrid w:val="0"/>
        </w:rPr>
        <w:t xml:space="preserve">subjects </w:t>
      </w:r>
      <w:r w:rsidRPr="008F33AD">
        <w:t xml:space="preserve">aged 2 to &lt;12 years old evaluated </w:t>
      </w:r>
      <w:r w:rsidRPr="008F33AD">
        <w:rPr>
          <w:szCs w:val="22"/>
        </w:rPr>
        <w:t>intravenous doses of 4, 6 and 8 mg/kg twice daily and multiple oral suspension</w:t>
      </w:r>
      <w:r w:rsidR="00D91901">
        <w:rPr>
          <w:szCs w:val="22"/>
        </w:rPr>
        <w:t xml:space="preserve"> doses of 4 and 6 mg/kg twi</w:t>
      </w:r>
      <w:r w:rsidR="005A1B69">
        <w:rPr>
          <w:szCs w:val="22"/>
        </w:rPr>
        <w:t>c</w:t>
      </w:r>
      <w:r w:rsidR="00D91901">
        <w:rPr>
          <w:szCs w:val="22"/>
        </w:rPr>
        <w:t xml:space="preserve">e daily. The majority of patients received more than one dose </w:t>
      </w:r>
    </w:p>
    <w:p w:rsidR="00430A3E" w:rsidRPr="008F33AD" w:rsidRDefault="00846716" w:rsidP="00625FE4">
      <w:pPr>
        <w:rPr>
          <w:snapToGrid w:val="0"/>
        </w:rPr>
      </w:pPr>
      <w:r w:rsidRPr="008F33AD">
        <w:rPr>
          <w:szCs w:val="22"/>
        </w:rPr>
        <w:t xml:space="preserve">level with a maximum </w:t>
      </w:r>
      <w:r w:rsidR="00092AF8">
        <w:rPr>
          <w:szCs w:val="22"/>
        </w:rPr>
        <w:t xml:space="preserve">duration of dosing of 30 days. </w:t>
      </w:r>
      <w:r w:rsidRPr="008F33AD">
        <w:rPr>
          <w:szCs w:val="22"/>
        </w:rPr>
        <w:t>The non-linearity of the pharmacokinetics of voriconazole in children is less p</w:t>
      </w:r>
      <w:r w:rsidR="00092AF8">
        <w:rPr>
          <w:szCs w:val="22"/>
        </w:rPr>
        <w:t xml:space="preserve">ronounced than that in adults. </w:t>
      </w:r>
      <w:r w:rsidRPr="008F33AD">
        <w:rPr>
          <w:rFonts w:eastAsia="MS Mincho"/>
          <w:lang w:eastAsia="ja-JP"/>
        </w:rPr>
        <w:t xml:space="preserve">On average, the exposure achieved in </w:t>
      </w:r>
      <w:r w:rsidRPr="008F33AD">
        <w:rPr>
          <w:szCs w:val="22"/>
        </w:rPr>
        <w:t>adults receiving m</w:t>
      </w:r>
      <w:r w:rsidRPr="008F33AD">
        <w:rPr>
          <w:snapToGrid w:val="0"/>
        </w:rPr>
        <w:t xml:space="preserve">aintenance doses of 4 mg/kg </w:t>
      </w:r>
      <w:r w:rsidRPr="008F33AD">
        <w:rPr>
          <w:szCs w:val="22"/>
        </w:rPr>
        <w:t>twice daily is approximately 30 </w:t>
      </w:r>
      <w:r w:rsidR="00625FE4">
        <w:rPr>
          <w:rFonts w:eastAsia="MS Mincho"/>
          <w:lang w:eastAsia="ja-JP"/>
        </w:rPr>
        <w:sym w:font="Symbol" w:char="F06D"/>
      </w:r>
      <w:r w:rsidRPr="008F33AD">
        <w:rPr>
          <w:rFonts w:eastAsia="MS Mincho"/>
          <w:lang w:eastAsia="ja-JP"/>
        </w:rPr>
        <w:t>g</w:t>
      </w:r>
      <w:r w:rsidR="000B221E">
        <w:rPr>
          <w:rFonts w:eastAsia="MS Mincho"/>
          <w:lang w:eastAsia="ja-JP"/>
        </w:rPr>
        <w:t>·</w:t>
      </w:r>
      <w:r w:rsidR="00092AF8">
        <w:rPr>
          <w:rFonts w:eastAsia="MS Mincho"/>
          <w:lang w:eastAsia="ja-JP"/>
        </w:rPr>
        <w:t xml:space="preserve">h/mL. </w:t>
      </w:r>
      <w:r w:rsidRPr="008F33AD">
        <w:rPr>
          <w:szCs w:val="22"/>
        </w:rPr>
        <w:t xml:space="preserve">The average </w:t>
      </w:r>
      <w:r w:rsidRPr="008F33AD">
        <w:rPr>
          <w:rFonts w:eastAsia="MS Mincho"/>
          <w:lang w:eastAsia="ja-JP"/>
        </w:rPr>
        <w:t>voriconazole exposures (AUC</w:t>
      </w:r>
      <w:r w:rsidR="00847FF5" w:rsidRPr="0018438C">
        <w:rPr>
          <w:vertAlign w:val="subscript"/>
        </w:rPr>
        <w:sym w:font="Symbol" w:char="F074"/>
      </w:r>
      <w:r w:rsidRPr="008F33AD">
        <w:rPr>
          <w:rFonts w:eastAsia="MS Mincho"/>
          <w:lang w:eastAsia="ja-JP"/>
        </w:rPr>
        <w:t xml:space="preserve">) in children following multiple </w:t>
      </w:r>
      <w:r w:rsidRPr="008F33AD">
        <w:rPr>
          <w:szCs w:val="22"/>
        </w:rPr>
        <w:t xml:space="preserve">intravenous </w:t>
      </w:r>
      <w:r w:rsidRPr="008F33AD">
        <w:rPr>
          <w:rFonts w:eastAsia="MS Mincho"/>
          <w:lang w:eastAsia="ja-JP"/>
        </w:rPr>
        <w:t xml:space="preserve">doses of 6 and 8 mg/kg </w:t>
      </w:r>
      <w:r w:rsidRPr="008F33AD">
        <w:rPr>
          <w:szCs w:val="22"/>
        </w:rPr>
        <w:t xml:space="preserve">twice daily </w:t>
      </w:r>
      <w:r w:rsidR="00342152" w:rsidRPr="008F33AD">
        <w:rPr>
          <w:rFonts w:eastAsia="MS Mincho"/>
          <w:lang w:eastAsia="ja-JP"/>
        </w:rPr>
        <w:t>were approximately 20 and 29.8 </w:t>
      </w:r>
      <w:r w:rsidR="00625FE4">
        <w:rPr>
          <w:rFonts w:eastAsia="MS Mincho"/>
          <w:lang w:eastAsia="ja-JP"/>
        </w:rPr>
        <w:sym w:font="Symbol" w:char="F06D"/>
      </w:r>
      <w:r w:rsidRPr="008F33AD">
        <w:rPr>
          <w:rFonts w:eastAsia="MS Mincho"/>
          <w:lang w:eastAsia="ja-JP"/>
        </w:rPr>
        <w:t>g</w:t>
      </w:r>
      <w:r w:rsidR="000B221E">
        <w:rPr>
          <w:rFonts w:eastAsia="MS Mincho"/>
          <w:lang w:eastAsia="ja-JP"/>
        </w:rPr>
        <w:t>·</w:t>
      </w:r>
      <w:r w:rsidRPr="008F33AD">
        <w:rPr>
          <w:rFonts w:eastAsia="MS Mincho"/>
          <w:lang w:eastAsia="ja-JP"/>
        </w:rPr>
        <w:t>h/mL, respectively, with h</w:t>
      </w:r>
      <w:r w:rsidR="00092AF8">
        <w:rPr>
          <w:rFonts w:eastAsia="MS Mincho"/>
          <w:lang w:eastAsia="ja-JP"/>
        </w:rPr>
        <w:t xml:space="preserve">igh inter-subject variability. </w:t>
      </w:r>
      <w:r w:rsidRPr="008F33AD">
        <w:rPr>
          <w:rFonts w:eastAsia="MS Mincho"/>
          <w:lang w:eastAsia="ja-JP"/>
        </w:rPr>
        <w:t xml:space="preserve">A great percentage of children in the 8 mg/kg intravenous dose group had higher exposure than the typical range observed in adults receiving </w:t>
      </w:r>
      <w:r w:rsidRPr="008F33AD">
        <w:rPr>
          <w:szCs w:val="22"/>
        </w:rPr>
        <w:t>intravenous 4 mg/kg dose</w:t>
      </w:r>
      <w:r w:rsidRPr="008F33AD">
        <w:rPr>
          <w:rFonts w:eastAsia="MS Mincho"/>
          <w:lang w:eastAsia="ja-JP"/>
        </w:rPr>
        <w:t xml:space="preserve">. Average </w:t>
      </w:r>
      <w:r w:rsidR="008F7EF4">
        <w:rPr>
          <w:rFonts w:eastAsia="MS Mincho"/>
          <w:lang w:eastAsia="ja-JP"/>
        </w:rPr>
        <w:t xml:space="preserve">absolute </w:t>
      </w:r>
      <w:r w:rsidRPr="008F33AD">
        <w:rPr>
          <w:rFonts w:eastAsia="MS Mincho"/>
          <w:lang w:eastAsia="ja-JP"/>
        </w:rPr>
        <w:t xml:space="preserve">bioavailability of </w:t>
      </w:r>
      <w:r w:rsidR="008F7EF4">
        <w:rPr>
          <w:rFonts w:eastAsia="MS Mincho"/>
          <w:lang w:eastAsia="ja-JP"/>
        </w:rPr>
        <w:t xml:space="preserve">the </w:t>
      </w:r>
      <w:r w:rsidRPr="008F33AD">
        <w:rPr>
          <w:rFonts w:eastAsia="MS Mincho"/>
          <w:lang w:eastAsia="ja-JP"/>
        </w:rPr>
        <w:t>oral suspension was 66% in children with high inter-subject variability</w:t>
      </w:r>
      <w:r w:rsidR="00092AF8">
        <w:rPr>
          <w:rFonts w:eastAsia="MS Mincho"/>
          <w:lang w:eastAsia="ja-JP"/>
        </w:rPr>
        <w:t xml:space="preserve">. </w:t>
      </w:r>
      <w:r w:rsidR="009E4767">
        <w:rPr>
          <w:rFonts w:eastAsia="MS Mincho"/>
          <w:lang w:eastAsia="ja-JP"/>
        </w:rPr>
        <w:t xml:space="preserve">Bioavailability was lower in children </w:t>
      </w:r>
      <w:r w:rsidR="009E4767" w:rsidRPr="008F33AD">
        <w:t>aged 2 to &lt;</w:t>
      </w:r>
      <w:r w:rsidR="009E4767">
        <w:t>6</w:t>
      </w:r>
      <w:r w:rsidR="009E4767" w:rsidRPr="008F33AD">
        <w:t> years old</w:t>
      </w:r>
      <w:r w:rsidR="00D10140">
        <w:t xml:space="preserve"> </w:t>
      </w:r>
      <w:r w:rsidR="009E4767">
        <w:rPr>
          <w:rFonts w:eastAsia="MS Mincho"/>
          <w:lang w:eastAsia="ja-JP"/>
        </w:rPr>
        <w:t>(43.6%</w:t>
      </w:r>
      <w:r w:rsidR="00625FE4">
        <w:rPr>
          <w:rFonts w:eastAsia="MS Mincho"/>
          <w:lang w:eastAsia="ja-JP"/>
        </w:rPr>
        <w:t>-</w:t>
      </w:r>
      <w:r w:rsidR="009E4767">
        <w:rPr>
          <w:rFonts w:eastAsia="MS Mincho"/>
          <w:lang w:eastAsia="ja-JP"/>
        </w:rPr>
        <w:t xml:space="preserve">63.4%) than in children </w:t>
      </w:r>
      <w:r w:rsidR="009E4767" w:rsidRPr="008F33AD">
        <w:t xml:space="preserve">aged </w:t>
      </w:r>
      <w:r w:rsidR="009E4767">
        <w:t>6</w:t>
      </w:r>
      <w:r w:rsidR="009E4767" w:rsidRPr="008F33AD">
        <w:t xml:space="preserve"> to &lt;12 years old</w:t>
      </w:r>
      <w:r w:rsidR="009E4767">
        <w:rPr>
          <w:rFonts w:eastAsia="MS Mincho"/>
          <w:lang w:eastAsia="ja-JP"/>
        </w:rPr>
        <w:t xml:space="preserve"> (66.7%</w:t>
      </w:r>
      <w:r w:rsidR="00625FE4">
        <w:rPr>
          <w:rFonts w:eastAsia="MS Mincho"/>
          <w:lang w:eastAsia="ja-JP"/>
        </w:rPr>
        <w:t>-</w:t>
      </w:r>
      <w:r w:rsidR="009E4767">
        <w:rPr>
          <w:rFonts w:eastAsia="MS Mincho"/>
          <w:lang w:eastAsia="ja-JP"/>
        </w:rPr>
        <w:t>90.</w:t>
      </w:r>
      <w:r w:rsidR="00DF5928">
        <w:rPr>
          <w:rFonts w:eastAsia="MS Mincho"/>
          <w:lang w:eastAsia="ja-JP"/>
        </w:rPr>
        <w:t>9</w:t>
      </w:r>
      <w:r w:rsidR="009E4767">
        <w:rPr>
          <w:rFonts w:eastAsia="MS Mincho"/>
          <w:lang w:eastAsia="ja-JP"/>
        </w:rPr>
        <w:t>%).</w:t>
      </w:r>
    </w:p>
    <w:p w:rsidR="00B169D2" w:rsidRPr="008F33AD" w:rsidRDefault="00B169D2" w:rsidP="004D6B2D">
      <w:pPr>
        <w:pStyle w:val="Heading3"/>
      </w:pPr>
      <w:r w:rsidRPr="008F33AD">
        <w:t>Renal Impairment</w:t>
      </w:r>
    </w:p>
    <w:p w:rsidR="00B169D2" w:rsidRPr="008F33AD" w:rsidRDefault="00B169D2" w:rsidP="00625FE4">
      <w:r w:rsidRPr="008F33AD">
        <w:rPr>
          <w:snapToGrid w:val="0"/>
        </w:rPr>
        <w:t xml:space="preserve">In a single oral dose (200 mg) study in subjects with normal renal function and mild (creatinine clearance 41-60 mL/min) to severe (creatinine clearance &lt;20 mL/min) renal impairment, the </w:t>
      </w:r>
      <w:r w:rsidRPr="008F33AD">
        <w:t>pharmacokinetics of voriconazole were not significantly</w:t>
      </w:r>
      <w:r w:rsidR="006436E1">
        <w:t xml:space="preserve"> affected by renal impairment. </w:t>
      </w:r>
      <w:r w:rsidRPr="008F33AD">
        <w:t>The plasma protein binding of voriconazole was similar in subjects with different degrees of renal impairment.</w:t>
      </w:r>
    </w:p>
    <w:p w:rsidR="00B169D2" w:rsidRPr="008F33AD" w:rsidRDefault="00B169D2" w:rsidP="00625FE4">
      <w:r w:rsidRPr="008F33AD">
        <w:t>In patients with moderate to severe renal dysfunction (creatinine clearance &lt;50 mL/min), accumulation of the intra</w:t>
      </w:r>
      <w:r w:rsidR="006436E1">
        <w:t xml:space="preserve">venous vehicle, SBECD, occurs. </w:t>
      </w:r>
      <w:r w:rsidRPr="008F33AD">
        <w:t>Oral voriconazole should be administered to patients with moderate to severe renal dysfunction including dialysis patients, unless an assessment of the benefit risk to the patient justifies the us</w:t>
      </w:r>
      <w:r w:rsidR="006436E1">
        <w:t xml:space="preserve">e of intravenous voriconazole. </w:t>
      </w:r>
      <w:r w:rsidRPr="008F33AD">
        <w:t xml:space="preserve">Serum creatinine levels should be closely monitored in these patients, and if increases occur, consideration should be given to changing to oral voriconazole therapy (see </w:t>
      </w:r>
      <w:r w:rsidRPr="008F33AD">
        <w:rPr>
          <w:b/>
          <w:bCs/>
        </w:rPr>
        <w:t>DOSAGE AND ADMINISTRATION</w:t>
      </w:r>
      <w:r w:rsidRPr="008F33AD">
        <w:t>).</w:t>
      </w:r>
    </w:p>
    <w:p w:rsidR="00B169D2" w:rsidRPr="008F33AD" w:rsidRDefault="00B169D2" w:rsidP="00625FE4">
      <w:r w:rsidRPr="008F33AD">
        <w:lastRenderedPageBreak/>
        <w:t>A pharmacokinetic study in subjects with renal failure undergoing haemodialysis showed that voriconazole is dialysed</w:t>
      </w:r>
      <w:r w:rsidR="006436E1">
        <w:t xml:space="preserve"> with clearance of 121 mL/min. </w:t>
      </w:r>
      <w:r w:rsidRPr="008F33AD">
        <w:t>The intravenous vehicle, SBECD, is haemodialyse</w:t>
      </w:r>
      <w:r w:rsidR="006436E1">
        <w:t xml:space="preserve">d with clearance of 55 mL/min. </w:t>
      </w:r>
      <w:r w:rsidRPr="008F33AD">
        <w:t>A 4</w:t>
      </w:r>
      <w:r w:rsidR="007039EE" w:rsidRPr="008F33AD">
        <w:noBreakHyphen/>
      </w:r>
      <w:r w:rsidRPr="008F33AD">
        <w:t>hour haemodialysis session does not remove a sufficient amount of voriconazole to warrant dose adjustment.</w:t>
      </w:r>
    </w:p>
    <w:p w:rsidR="00B169D2" w:rsidRPr="008F33AD" w:rsidRDefault="00B169D2" w:rsidP="00625FE4">
      <w:r w:rsidRPr="008F33AD">
        <w:t>Mean SBECD and voriconazole plasma concentrations were measured at the end of infusion on study days 3, 4 and 5 for both</w:t>
      </w:r>
      <w:r w:rsidR="006436E1">
        <w:t xml:space="preserve"> dialysis and normal subjects. </w:t>
      </w:r>
      <w:r w:rsidRPr="008F33AD">
        <w:t>The pharmacokinetic data indicated that exposure to SBECD wa</w:t>
      </w:r>
      <w:r w:rsidR="006436E1">
        <w:t xml:space="preserve">s higher in dialysis subjects. </w:t>
      </w:r>
      <w:r w:rsidRPr="008F33AD">
        <w:t>There was no evidence of SBECD ac</w:t>
      </w:r>
      <w:r w:rsidR="006436E1">
        <w:t xml:space="preserve">cumulation in normal subjects. </w:t>
      </w:r>
      <w:r w:rsidRPr="008F33AD">
        <w:t>Exposure to voriconazole was lower in the dia</w:t>
      </w:r>
      <w:r w:rsidR="006436E1">
        <w:t xml:space="preserve">lysis subjects. </w:t>
      </w:r>
      <w:r w:rsidRPr="008F33AD">
        <w:t>Combining the Day 3, 4 and 5 data, the ratio of the post infusion means (dialysis/normal subjects) was 455% (95% CI: 340%, 609%) for SBECD and 50% (95% CI: 32%, 80%) for voriconazole.</w:t>
      </w:r>
    </w:p>
    <w:p w:rsidR="00B169D2" w:rsidRPr="008F33AD" w:rsidRDefault="00B169D2" w:rsidP="004D6B2D">
      <w:pPr>
        <w:pStyle w:val="Heading3"/>
      </w:pPr>
      <w:r w:rsidRPr="008F33AD">
        <w:t>Hepatic Impairment</w:t>
      </w:r>
    </w:p>
    <w:p w:rsidR="00B169D2" w:rsidRDefault="00B169D2" w:rsidP="00625FE4">
      <w:pPr>
        <w:rPr>
          <w:snapToGrid w:val="0"/>
        </w:rPr>
      </w:pPr>
      <w:r w:rsidRPr="008F33AD">
        <w:rPr>
          <w:snapToGrid w:val="0"/>
        </w:rPr>
        <w:t>After a single oral dose (200 mg), AUC was 233% higher in subjects with mild to moderate hepatic cirrhosis (Child-Pugh A and B) compared with subjects with normal hepatic function.  Protein binding of voriconazole was not affected by impaired hepatic function.</w:t>
      </w:r>
    </w:p>
    <w:p w:rsidR="00B169D2" w:rsidRPr="008F33AD" w:rsidRDefault="006436E1" w:rsidP="00625FE4">
      <w:r w:rsidRPr="008F33AD">
        <w:rPr>
          <w:snapToGrid w:val="0"/>
        </w:rPr>
        <w:t>In a multiple oral dose study, AUC</w:t>
      </w:r>
      <w:r w:rsidRPr="008F33AD">
        <w:rPr>
          <w:snapToGrid w:val="0"/>
        </w:rPr>
        <w:sym w:font="Symbol" w:char="F074"/>
      </w:r>
      <w:r w:rsidRPr="008F33AD">
        <w:t xml:space="preserve"> </w:t>
      </w:r>
      <w:r w:rsidRPr="008F33AD">
        <w:rPr>
          <w:snapToGrid w:val="0"/>
        </w:rPr>
        <w:t>was similar in subjects with moderate hepatic cirrhosis</w:t>
      </w:r>
      <w:r w:rsidR="00E85B5A">
        <w:rPr>
          <w:snapToGrid w:val="0"/>
        </w:rPr>
        <w:t xml:space="preserve"> (Child-Pugh B) given maintenance doses of 100 m</w:t>
      </w:r>
      <w:r w:rsidR="00BB7BC9">
        <w:rPr>
          <w:snapToGrid w:val="0"/>
        </w:rPr>
        <w:t>g</w:t>
      </w:r>
      <w:r w:rsidR="00E85B5A">
        <w:rPr>
          <w:snapToGrid w:val="0"/>
        </w:rPr>
        <w:t xml:space="preserve"> twice daily and subjects with normal hepatic function given 200 mg twice daily. No pharmacokinetic data are available for patients</w:t>
      </w:r>
      <w:r w:rsidR="00625FE4">
        <w:rPr>
          <w:snapToGrid w:val="0"/>
        </w:rPr>
        <w:t xml:space="preserve"> </w:t>
      </w:r>
      <w:r w:rsidR="00B169D2" w:rsidRPr="008F33AD">
        <w:t xml:space="preserve">with severe hepatic cirrhosis (Child-Pugh C) (see </w:t>
      </w:r>
      <w:r w:rsidR="00B169D2" w:rsidRPr="008F33AD">
        <w:rPr>
          <w:b/>
          <w:bCs/>
        </w:rPr>
        <w:t>DOSAGE AND ADMINISTRATION)</w:t>
      </w:r>
      <w:r w:rsidR="00B169D2" w:rsidRPr="008F33AD">
        <w:t>.</w:t>
      </w:r>
    </w:p>
    <w:p w:rsidR="00B169D2" w:rsidRPr="00AF6ADF" w:rsidRDefault="00B169D2" w:rsidP="004D6B2D">
      <w:pPr>
        <w:pStyle w:val="Heading1"/>
      </w:pPr>
      <w:r w:rsidRPr="00AF6ADF">
        <w:t>Clinical Trials</w:t>
      </w:r>
    </w:p>
    <w:p w:rsidR="00B169D2" w:rsidRPr="004D6B2D" w:rsidRDefault="00625FE4" w:rsidP="004D6B2D">
      <w:pPr>
        <w:pStyle w:val="Heading2"/>
      </w:pPr>
      <w:r w:rsidRPr="004D6B2D">
        <w:t>Duration of Treatment</w:t>
      </w:r>
    </w:p>
    <w:p w:rsidR="00B169D2" w:rsidRPr="008F33AD" w:rsidRDefault="00B169D2" w:rsidP="00625FE4">
      <w:r w:rsidRPr="008F33AD">
        <w:t xml:space="preserve">In clinical trials, </w:t>
      </w:r>
      <w:r w:rsidR="0042196A">
        <w:t>70</w:t>
      </w:r>
      <w:r w:rsidR="0091574F">
        <w:t>5</w:t>
      </w:r>
      <w:r w:rsidRPr="008F33AD">
        <w:t xml:space="preserve"> patients received voriconazole therapy for greater than 12 weeks, with </w:t>
      </w:r>
      <w:r w:rsidR="0042196A">
        <w:t>164</w:t>
      </w:r>
      <w:r w:rsidRPr="008F33AD">
        <w:t xml:space="preserve"> subjects receiving voriconazole for over 6 months.</w:t>
      </w:r>
    </w:p>
    <w:p w:rsidR="00B169D2" w:rsidRPr="008F33AD" w:rsidRDefault="00B169D2" w:rsidP="004D6B2D">
      <w:pPr>
        <w:pStyle w:val="Heading2"/>
      </w:pPr>
      <w:r w:rsidRPr="008F33AD">
        <w:t>Clinical Experience</w:t>
      </w:r>
    </w:p>
    <w:p w:rsidR="00B169D2" w:rsidRPr="008F33AD" w:rsidRDefault="00B169D2">
      <w:r w:rsidRPr="008F33AD">
        <w:t>Successful outcome in this section is defined as complete or partial response.</w:t>
      </w:r>
    </w:p>
    <w:p w:rsidR="00B169D2" w:rsidRPr="008F33AD" w:rsidRDefault="00B169D2" w:rsidP="004D6B2D">
      <w:pPr>
        <w:pStyle w:val="Heading2"/>
      </w:pPr>
      <w:r w:rsidRPr="008F33AD">
        <w:t>Invasive Aspergillosis</w:t>
      </w:r>
    </w:p>
    <w:p w:rsidR="00B169D2" w:rsidRPr="008F33AD" w:rsidRDefault="00B169D2" w:rsidP="00625FE4">
      <w:r w:rsidRPr="008F33AD">
        <w:t xml:space="preserve">The efficacy and survival benefit of voriconazole compared to conventional amphotericin B in the primary treatment of acute invasive aspergillosis was demonstrated in an open, </w:t>
      </w:r>
      <w:r w:rsidR="006436E1">
        <w:t xml:space="preserve">randomised, multicentre study. </w:t>
      </w:r>
      <w:r w:rsidRPr="008F33AD">
        <w:t>The total duration of treatment was 12 weeks.  Patients could be switched to Other Licensed Antifungal Therapy (OLAT) during the 12 week study period, either due to lack of efficacy of the initial randomised treatment (IRT) or fo</w:t>
      </w:r>
      <w:r w:rsidR="006436E1">
        <w:t xml:space="preserve">r safety/tolerability reasons. </w:t>
      </w:r>
      <w:r w:rsidRPr="008F33AD">
        <w:t>Efficacy was assessed at 12 weeks (primary endpoint) and at the end of I</w:t>
      </w:r>
      <w:r w:rsidR="006436E1">
        <w:t xml:space="preserve">RT by a Data Review Committee. </w:t>
      </w:r>
      <w:r w:rsidRPr="008F33AD">
        <w:t>Voriconazole was administered intravenously with a loading dose of 6 mg/kg every 12 hours for the first 24 hours followed by a maintenance dose of 4 mg/kg every 12 hours for a minimum of seven days, after which the oral formulation at a do</w:t>
      </w:r>
      <w:r w:rsidR="006436E1">
        <w:t xml:space="preserve">se of 200 mg bd could be used. </w:t>
      </w:r>
      <w:r w:rsidRPr="008F33AD">
        <w:t>Patients in the comparator group received conventional amphotericin B as a slow infusion at a daily dose of 1.0</w:t>
      </w:r>
      <w:r w:rsidRPr="008F33AD">
        <w:noBreakHyphen/>
        <w:t>1.5 mg/kg/day.</w:t>
      </w:r>
    </w:p>
    <w:p w:rsidR="00B169D2" w:rsidRPr="008F33AD" w:rsidRDefault="00B169D2" w:rsidP="00625FE4">
      <w:r w:rsidRPr="008F33AD">
        <w:t>In thi</w:t>
      </w:r>
      <w:r w:rsidR="00555BBF" w:rsidRPr="008F33AD">
        <w:t>s study, 277 </w:t>
      </w:r>
      <w:r w:rsidRPr="008F33AD">
        <w:t>immunocompromised patients with invasive aspergillosis (modified intent to tre</w:t>
      </w:r>
      <w:r w:rsidR="006436E1">
        <w:t xml:space="preserve">at population) were evaluated. </w:t>
      </w:r>
      <w:r w:rsidRPr="008F33AD">
        <w:t xml:space="preserve">At week 12, a satisfactory global response (complete or partial resolution of all attributable symptoms, signs, radiographic/bronchoscopic abnormalities present at baseline) was seen in 53% of patients in the voriconazole group </w:t>
      </w:r>
      <w:r w:rsidRPr="008F33AD">
        <w:lastRenderedPageBreak/>
        <w:t>compared to 31% of pat</w:t>
      </w:r>
      <w:r w:rsidR="006436E1">
        <w:t xml:space="preserve">ients in the comparator group. </w:t>
      </w:r>
      <w:r w:rsidRPr="008F33AD">
        <w:t>At the end of IRT, a satisfactory global response was seen in 53.5% of voriconazole treated patients compared to 21.8% of conventional am</w:t>
      </w:r>
      <w:r w:rsidR="006436E1">
        <w:t xml:space="preserve">photericin B treated patients. </w:t>
      </w:r>
      <w:r w:rsidRPr="008F33AD">
        <w:t>Subjects in the voriconazole group were treated longer than subjects in the amphotericin B group before switching to OLAT (media</w:t>
      </w:r>
      <w:r w:rsidR="007039EE" w:rsidRPr="008F33AD">
        <w:t>n duration of IRT was 73 vs. 12 </w:t>
      </w:r>
      <w:r w:rsidR="006436E1">
        <w:t xml:space="preserve">days respectively). </w:t>
      </w:r>
      <w:r w:rsidRPr="008F33AD">
        <w:t>OLAT included liposomal amphotericin B formulations,</w:t>
      </w:r>
      <w:r w:rsidR="006436E1">
        <w:t xml:space="preserve"> itraconazole and flucytosine. </w:t>
      </w:r>
      <w:r w:rsidRPr="008F33AD">
        <w:t>Survival in the voriconazole group (71%) was greater than in the comparator group (58%) at week 12.</w:t>
      </w:r>
    </w:p>
    <w:p w:rsidR="00B169D2" w:rsidRPr="004D6B2D" w:rsidRDefault="00B169D2" w:rsidP="004D6B2D">
      <w:pPr>
        <w:spacing w:after="0"/>
        <w:rPr>
          <w:b/>
          <w:bCs/>
        </w:rPr>
      </w:pPr>
      <w:r w:rsidRPr="004D6B2D">
        <w:rPr>
          <w:b/>
          <w:bCs/>
        </w:rPr>
        <w:t>Efficacy of Voriconazole in the Primary Treatment of Acute Invasive Aspergillosis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2410"/>
        <w:gridCol w:w="2693"/>
        <w:gridCol w:w="2268"/>
      </w:tblGrid>
      <w:tr w:rsidR="00B169D2" w:rsidRPr="008F33AD">
        <w:trPr>
          <w:cantSplit/>
        </w:trPr>
        <w:tc>
          <w:tcPr>
            <w:tcW w:w="1701" w:type="dxa"/>
          </w:tcPr>
          <w:p w:rsidR="00B169D2" w:rsidRPr="008F33AD" w:rsidRDefault="00B169D2" w:rsidP="003016F9">
            <w:pPr>
              <w:pStyle w:val="TableHeading"/>
              <w:keepLines/>
              <w:rPr>
                <w:color w:val="auto"/>
              </w:rPr>
            </w:pPr>
            <w:r w:rsidRPr="008F33AD">
              <w:rPr>
                <w:color w:val="auto"/>
              </w:rPr>
              <w:t xml:space="preserve"> </w:t>
            </w:r>
          </w:p>
        </w:tc>
        <w:tc>
          <w:tcPr>
            <w:tcW w:w="2410" w:type="dxa"/>
          </w:tcPr>
          <w:p w:rsidR="00B169D2" w:rsidRPr="008F33AD" w:rsidRDefault="00B169D2" w:rsidP="003016F9">
            <w:pPr>
              <w:pStyle w:val="TableHeading"/>
              <w:keepLines/>
              <w:jc w:val="center"/>
              <w:rPr>
                <w:color w:val="auto"/>
              </w:rPr>
            </w:pPr>
            <w:r w:rsidRPr="008F33AD">
              <w:rPr>
                <w:color w:val="auto"/>
              </w:rPr>
              <w:t>Satisfactory Global Response</w:t>
            </w:r>
          </w:p>
        </w:tc>
        <w:tc>
          <w:tcPr>
            <w:tcW w:w="2693" w:type="dxa"/>
          </w:tcPr>
          <w:p w:rsidR="00B169D2" w:rsidRPr="008F33AD" w:rsidRDefault="00B169D2" w:rsidP="003016F9">
            <w:pPr>
              <w:pStyle w:val="TableHeading"/>
              <w:keepLines/>
              <w:jc w:val="center"/>
              <w:rPr>
                <w:color w:val="auto"/>
              </w:rPr>
            </w:pPr>
            <w:r w:rsidRPr="008F33AD">
              <w:rPr>
                <w:color w:val="auto"/>
              </w:rPr>
              <w:t>Survival at Week 12</w:t>
            </w:r>
            <w:r w:rsidRPr="008F33AD">
              <w:rPr>
                <w:color w:val="auto"/>
                <w:vertAlign w:val="superscript"/>
              </w:rPr>
              <w:t>b</w:t>
            </w:r>
          </w:p>
        </w:tc>
        <w:tc>
          <w:tcPr>
            <w:tcW w:w="2268" w:type="dxa"/>
          </w:tcPr>
          <w:p w:rsidR="00B169D2" w:rsidRPr="008F33AD" w:rsidRDefault="00B169D2" w:rsidP="003016F9">
            <w:pPr>
              <w:pStyle w:val="TableHeading"/>
              <w:keepLines/>
              <w:jc w:val="center"/>
              <w:rPr>
                <w:color w:val="auto"/>
              </w:rPr>
            </w:pPr>
            <w:r w:rsidRPr="008F33AD">
              <w:rPr>
                <w:color w:val="auto"/>
              </w:rPr>
              <w:t>Discontinuations due to AEs</w:t>
            </w:r>
            <w:r w:rsidRPr="008F33AD">
              <w:rPr>
                <w:color w:val="auto"/>
                <w:vertAlign w:val="superscript"/>
              </w:rPr>
              <w:t>c</w:t>
            </w:r>
          </w:p>
        </w:tc>
      </w:tr>
      <w:tr w:rsidR="00B169D2" w:rsidRPr="008F33AD">
        <w:trPr>
          <w:cantSplit/>
        </w:trPr>
        <w:tc>
          <w:tcPr>
            <w:tcW w:w="1701" w:type="dxa"/>
          </w:tcPr>
          <w:p w:rsidR="00B169D2" w:rsidRPr="008F33AD" w:rsidRDefault="00B169D2" w:rsidP="003016F9">
            <w:pPr>
              <w:pStyle w:val="TableText"/>
              <w:keepNext/>
              <w:keepLines/>
              <w:rPr>
                <w:color w:val="auto"/>
              </w:rPr>
            </w:pPr>
          </w:p>
        </w:tc>
        <w:tc>
          <w:tcPr>
            <w:tcW w:w="2410" w:type="dxa"/>
          </w:tcPr>
          <w:p w:rsidR="00B169D2" w:rsidRPr="008F33AD" w:rsidRDefault="00B169D2" w:rsidP="003016F9">
            <w:pPr>
              <w:pStyle w:val="TableText"/>
              <w:keepNext/>
              <w:keepLines/>
              <w:jc w:val="center"/>
              <w:rPr>
                <w:b/>
                <w:color w:val="auto"/>
              </w:rPr>
            </w:pPr>
            <w:r w:rsidRPr="008F33AD">
              <w:rPr>
                <w:b/>
                <w:color w:val="auto"/>
              </w:rPr>
              <w:t>Study 307/602</w:t>
            </w:r>
            <w:r w:rsidRPr="008F33AD">
              <w:rPr>
                <w:b/>
                <w:color w:val="auto"/>
                <w:vertAlign w:val="superscript"/>
              </w:rPr>
              <w:t>a</w:t>
            </w:r>
          </w:p>
        </w:tc>
        <w:tc>
          <w:tcPr>
            <w:tcW w:w="2693" w:type="dxa"/>
          </w:tcPr>
          <w:p w:rsidR="00B169D2" w:rsidRPr="008F33AD" w:rsidRDefault="00B169D2" w:rsidP="003016F9">
            <w:pPr>
              <w:pStyle w:val="TableText"/>
              <w:keepNext/>
              <w:keepLines/>
              <w:jc w:val="center"/>
              <w:rPr>
                <w:b/>
                <w:color w:val="auto"/>
              </w:rPr>
            </w:pPr>
            <w:r w:rsidRPr="008F33AD">
              <w:rPr>
                <w:b/>
                <w:color w:val="auto"/>
              </w:rPr>
              <w:t>Study 307/602</w:t>
            </w:r>
          </w:p>
        </w:tc>
        <w:tc>
          <w:tcPr>
            <w:tcW w:w="2268" w:type="dxa"/>
          </w:tcPr>
          <w:p w:rsidR="00B169D2" w:rsidRPr="008F33AD" w:rsidRDefault="00B169D2" w:rsidP="003016F9">
            <w:pPr>
              <w:pStyle w:val="TableText"/>
              <w:keepNext/>
              <w:keepLines/>
              <w:jc w:val="center"/>
              <w:rPr>
                <w:b/>
                <w:color w:val="auto"/>
              </w:rPr>
            </w:pPr>
            <w:r w:rsidRPr="008F33AD">
              <w:rPr>
                <w:b/>
                <w:color w:val="auto"/>
              </w:rPr>
              <w:t>Study 307/602</w:t>
            </w:r>
          </w:p>
        </w:tc>
      </w:tr>
      <w:tr w:rsidR="00B169D2" w:rsidRPr="008F33AD">
        <w:trPr>
          <w:cantSplit/>
        </w:trPr>
        <w:tc>
          <w:tcPr>
            <w:tcW w:w="1701" w:type="dxa"/>
          </w:tcPr>
          <w:p w:rsidR="00B169D2" w:rsidRPr="008F33AD" w:rsidRDefault="00B169D2" w:rsidP="003016F9">
            <w:pPr>
              <w:pStyle w:val="TableText"/>
              <w:keepNext/>
              <w:keepLines/>
              <w:rPr>
                <w:b/>
                <w:bCs/>
                <w:color w:val="auto"/>
              </w:rPr>
            </w:pPr>
            <w:r w:rsidRPr="008F33AD">
              <w:rPr>
                <w:b/>
                <w:bCs/>
                <w:color w:val="auto"/>
              </w:rPr>
              <w:t>Voriconazole</w:t>
            </w:r>
          </w:p>
        </w:tc>
        <w:tc>
          <w:tcPr>
            <w:tcW w:w="2410" w:type="dxa"/>
          </w:tcPr>
          <w:p w:rsidR="00B169D2" w:rsidRPr="008F33AD" w:rsidRDefault="00B169D2" w:rsidP="003016F9">
            <w:pPr>
              <w:pStyle w:val="TableText"/>
              <w:keepNext/>
              <w:keepLines/>
              <w:jc w:val="center"/>
              <w:rPr>
                <w:color w:val="auto"/>
              </w:rPr>
            </w:pPr>
            <w:r w:rsidRPr="008F33AD">
              <w:rPr>
                <w:color w:val="auto"/>
              </w:rPr>
              <w:t xml:space="preserve">76/144 (53%) </w:t>
            </w:r>
            <w:r w:rsidRPr="008F33AD">
              <w:rPr>
                <w:color w:val="auto"/>
                <w:vertAlign w:val="superscript"/>
              </w:rPr>
              <w:t>e</w:t>
            </w:r>
          </w:p>
        </w:tc>
        <w:tc>
          <w:tcPr>
            <w:tcW w:w="2693" w:type="dxa"/>
          </w:tcPr>
          <w:p w:rsidR="00B169D2" w:rsidRPr="008F33AD" w:rsidRDefault="00B169D2" w:rsidP="003016F9">
            <w:pPr>
              <w:pStyle w:val="TableText"/>
              <w:keepNext/>
              <w:keepLines/>
              <w:jc w:val="center"/>
              <w:rPr>
                <w:color w:val="auto"/>
              </w:rPr>
            </w:pPr>
            <w:r w:rsidRPr="008F33AD">
              <w:rPr>
                <w:color w:val="auto"/>
              </w:rPr>
              <w:t>102/144 (71%)</w:t>
            </w:r>
          </w:p>
        </w:tc>
        <w:tc>
          <w:tcPr>
            <w:tcW w:w="2268" w:type="dxa"/>
          </w:tcPr>
          <w:p w:rsidR="00B169D2" w:rsidRPr="008F33AD" w:rsidRDefault="00B169D2" w:rsidP="003016F9">
            <w:pPr>
              <w:pStyle w:val="TableText"/>
              <w:keepNext/>
              <w:keepLines/>
              <w:jc w:val="center"/>
              <w:rPr>
                <w:color w:val="auto"/>
              </w:rPr>
            </w:pPr>
            <w:r w:rsidRPr="008F33AD">
              <w:rPr>
                <w:color w:val="auto"/>
              </w:rPr>
              <w:t>40/196 (20%)</w:t>
            </w:r>
          </w:p>
        </w:tc>
      </w:tr>
      <w:tr w:rsidR="00B169D2" w:rsidRPr="008F33AD">
        <w:trPr>
          <w:cantSplit/>
        </w:trPr>
        <w:tc>
          <w:tcPr>
            <w:tcW w:w="1701" w:type="dxa"/>
          </w:tcPr>
          <w:p w:rsidR="00B169D2" w:rsidRPr="008F33AD" w:rsidRDefault="00B169D2" w:rsidP="003016F9">
            <w:pPr>
              <w:pStyle w:val="TableText"/>
              <w:keepNext/>
              <w:keepLines/>
              <w:rPr>
                <w:b/>
                <w:bCs/>
                <w:color w:val="auto"/>
              </w:rPr>
            </w:pPr>
            <w:r w:rsidRPr="008F33AD">
              <w:rPr>
                <w:b/>
                <w:bCs/>
                <w:color w:val="auto"/>
              </w:rPr>
              <w:t>Comparator</w:t>
            </w:r>
          </w:p>
        </w:tc>
        <w:tc>
          <w:tcPr>
            <w:tcW w:w="2410" w:type="dxa"/>
          </w:tcPr>
          <w:p w:rsidR="00B169D2" w:rsidRPr="008F33AD" w:rsidRDefault="00B169D2" w:rsidP="003016F9">
            <w:pPr>
              <w:pStyle w:val="TableText"/>
              <w:keepNext/>
              <w:keepLines/>
              <w:jc w:val="center"/>
              <w:rPr>
                <w:color w:val="auto"/>
              </w:rPr>
            </w:pPr>
            <w:r w:rsidRPr="008F33AD">
              <w:rPr>
                <w:color w:val="auto"/>
              </w:rPr>
              <w:t xml:space="preserve">42/133 (31%) </w:t>
            </w:r>
            <w:r w:rsidRPr="008F33AD">
              <w:rPr>
                <w:color w:val="auto"/>
                <w:vertAlign w:val="superscript"/>
              </w:rPr>
              <w:t>d, e</w:t>
            </w:r>
          </w:p>
        </w:tc>
        <w:tc>
          <w:tcPr>
            <w:tcW w:w="2693" w:type="dxa"/>
          </w:tcPr>
          <w:p w:rsidR="00B169D2" w:rsidRPr="008F33AD" w:rsidRDefault="00B169D2" w:rsidP="003016F9">
            <w:pPr>
              <w:pStyle w:val="TableText"/>
              <w:keepNext/>
              <w:keepLines/>
              <w:jc w:val="center"/>
              <w:rPr>
                <w:color w:val="auto"/>
              </w:rPr>
            </w:pPr>
            <w:r w:rsidRPr="008F33AD">
              <w:rPr>
                <w:color w:val="auto"/>
              </w:rPr>
              <w:t>77/133 (58%)</w:t>
            </w:r>
          </w:p>
        </w:tc>
        <w:tc>
          <w:tcPr>
            <w:tcW w:w="2268" w:type="dxa"/>
          </w:tcPr>
          <w:p w:rsidR="00B169D2" w:rsidRPr="008F33AD" w:rsidRDefault="00B169D2" w:rsidP="003016F9">
            <w:pPr>
              <w:pStyle w:val="TableText"/>
              <w:keepNext/>
              <w:keepLines/>
              <w:jc w:val="center"/>
              <w:rPr>
                <w:color w:val="auto"/>
              </w:rPr>
            </w:pPr>
            <w:r w:rsidRPr="008F33AD">
              <w:rPr>
                <w:color w:val="auto"/>
              </w:rPr>
              <w:t>103/185 (56%)</w:t>
            </w:r>
          </w:p>
        </w:tc>
      </w:tr>
      <w:tr w:rsidR="00B169D2" w:rsidRPr="008F33AD">
        <w:trPr>
          <w:cantSplit/>
        </w:trPr>
        <w:tc>
          <w:tcPr>
            <w:tcW w:w="1701" w:type="dxa"/>
          </w:tcPr>
          <w:p w:rsidR="00B169D2" w:rsidRPr="008F33AD" w:rsidRDefault="00B169D2" w:rsidP="003016F9">
            <w:pPr>
              <w:pStyle w:val="TableText"/>
              <w:keepNext/>
              <w:keepLines/>
              <w:rPr>
                <w:color w:val="auto"/>
              </w:rPr>
            </w:pPr>
          </w:p>
        </w:tc>
        <w:tc>
          <w:tcPr>
            <w:tcW w:w="2410" w:type="dxa"/>
          </w:tcPr>
          <w:p w:rsidR="00B169D2" w:rsidRPr="008F33AD" w:rsidRDefault="00537C1E" w:rsidP="003016F9">
            <w:pPr>
              <w:pStyle w:val="TableText"/>
              <w:keepNext/>
              <w:keepLines/>
              <w:jc w:val="center"/>
              <w:rPr>
                <w:color w:val="auto"/>
              </w:rPr>
            </w:pPr>
            <w:r>
              <w:rPr>
                <w:color w:val="auto"/>
              </w:rPr>
              <w:t>p</w:t>
            </w:r>
            <w:r w:rsidR="00B169D2" w:rsidRPr="008F33AD">
              <w:rPr>
                <w:color w:val="auto"/>
              </w:rPr>
              <w:t xml:space="preserve"> &lt;0.0001</w:t>
            </w:r>
          </w:p>
        </w:tc>
        <w:tc>
          <w:tcPr>
            <w:tcW w:w="2693" w:type="dxa"/>
          </w:tcPr>
          <w:p w:rsidR="00B169D2" w:rsidRPr="008F33AD" w:rsidRDefault="00537C1E" w:rsidP="003016F9">
            <w:pPr>
              <w:pStyle w:val="TableText"/>
              <w:keepNext/>
              <w:keepLines/>
              <w:jc w:val="center"/>
              <w:rPr>
                <w:color w:val="auto"/>
              </w:rPr>
            </w:pPr>
            <w:r>
              <w:rPr>
                <w:color w:val="auto"/>
              </w:rPr>
              <w:t xml:space="preserve">p </w:t>
            </w:r>
            <w:r w:rsidR="00B169D2" w:rsidRPr="008F33AD">
              <w:rPr>
                <w:color w:val="auto"/>
              </w:rPr>
              <w:t>=</w:t>
            </w:r>
            <w:r>
              <w:rPr>
                <w:color w:val="auto"/>
              </w:rPr>
              <w:t xml:space="preserve"> </w:t>
            </w:r>
            <w:r w:rsidR="00B169D2" w:rsidRPr="008F33AD">
              <w:rPr>
                <w:color w:val="auto"/>
              </w:rPr>
              <w:t>0.02</w:t>
            </w:r>
          </w:p>
        </w:tc>
        <w:tc>
          <w:tcPr>
            <w:tcW w:w="2268" w:type="dxa"/>
          </w:tcPr>
          <w:p w:rsidR="00B169D2" w:rsidRPr="008F33AD" w:rsidRDefault="00B169D2" w:rsidP="003016F9">
            <w:pPr>
              <w:pStyle w:val="TableText"/>
              <w:keepNext/>
              <w:keepLines/>
              <w:jc w:val="center"/>
              <w:rPr>
                <w:color w:val="auto"/>
              </w:rPr>
            </w:pPr>
            <w:r w:rsidRPr="008F33AD">
              <w:rPr>
                <w:color w:val="auto"/>
              </w:rPr>
              <w:t>--</w:t>
            </w:r>
          </w:p>
        </w:tc>
      </w:tr>
    </w:tbl>
    <w:p w:rsidR="00B169D2" w:rsidRPr="008F33AD" w:rsidRDefault="00B169D2" w:rsidP="003016F9">
      <w:pPr>
        <w:pStyle w:val="TableFootnote"/>
        <w:keepNext/>
        <w:keepLines/>
        <w:rPr>
          <w:color w:val="auto"/>
        </w:rPr>
      </w:pPr>
      <w:r w:rsidRPr="008F33AD">
        <w:rPr>
          <w:color w:val="auto"/>
        </w:rPr>
        <w:t xml:space="preserve">a MITT (modified intent to treat) population assessed by independent Data Review Committee </w:t>
      </w:r>
    </w:p>
    <w:p w:rsidR="00B169D2" w:rsidRPr="008F33AD" w:rsidRDefault="00B169D2" w:rsidP="003016F9">
      <w:pPr>
        <w:pStyle w:val="TableFootnote"/>
        <w:keepNext/>
        <w:keepLines/>
        <w:rPr>
          <w:color w:val="auto"/>
        </w:rPr>
      </w:pPr>
      <w:r w:rsidRPr="008F33AD">
        <w:rPr>
          <w:color w:val="auto"/>
        </w:rPr>
        <w:t xml:space="preserve">b MITT population proportion of subjects alive </w:t>
      </w:r>
    </w:p>
    <w:p w:rsidR="00B169D2" w:rsidRPr="008F33AD" w:rsidRDefault="00B169D2" w:rsidP="003016F9">
      <w:pPr>
        <w:pStyle w:val="TableFootnote"/>
        <w:keepNext/>
        <w:keepLines/>
        <w:rPr>
          <w:color w:val="auto"/>
        </w:rPr>
      </w:pPr>
      <w:r w:rsidRPr="008F33AD">
        <w:rPr>
          <w:color w:val="auto"/>
        </w:rPr>
        <w:t>c Safety population discontinuations from initial randomised treatment due to adverse events/laboratory abnormalities,  (all causality)</w:t>
      </w:r>
    </w:p>
    <w:p w:rsidR="00B169D2" w:rsidRPr="008F33AD" w:rsidRDefault="00B169D2">
      <w:pPr>
        <w:pStyle w:val="TableFootnote"/>
        <w:keepNext/>
        <w:rPr>
          <w:color w:val="auto"/>
        </w:rPr>
      </w:pPr>
      <w:r w:rsidRPr="008F33AD">
        <w:rPr>
          <w:color w:val="auto"/>
        </w:rPr>
        <w:t xml:space="preserve">d Amphotericin B </w:t>
      </w:r>
    </w:p>
    <w:p w:rsidR="00B169D2" w:rsidRPr="008F33AD" w:rsidRDefault="00B169D2">
      <w:pPr>
        <w:pStyle w:val="TableFootnote"/>
        <w:rPr>
          <w:color w:val="auto"/>
          <w:sz w:val="22"/>
        </w:rPr>
      </w:pPr>
      <w:r w:rsidRPr="008F33AD">
        <w:rPr>
          <w:color w:val="auto"/>
        </w:rPr>
        <w:t>e Response rate stratified by protocol</w:t>
      </w:r>
    </w:p>
    <w:p w:rsidR="00B169D2" w:rsidRPr="008F33AD" w:rsidRDefault="00B169D2" w:rsidP="00625FE4">
      <w:pPr>
        <w:spacing w:before="240"/>
      </w:pPr>
      <w:r w:rsidRPr="008F33AD">
        <w:t>The results of this comparative trial confirmed the results of an earlier trial in the primary treatment of patients with acute invas</w:t>
      </w:r>
      <w:r w:rsidR="006436E1">
        <w:t xml:space="preserve">ive aspergillosis (Study 304). </w:t>
      </w:r>
      <w:r w:rsidRPr="008F33AD">
        <w:t>In this study, an overall success rate of 54% was seen in patients treated with voriconazole.</w:t>
      </w:r>
    </w:p>
    <w:p w:rsidR="00B169D2" w:rsidRPr="008F33AD" w:rsidRDefault="00B169D2" w:rsidP="00625FE4">
      <w:pPr>
        <w:rPr>
          <w:b/>
        </w:rPr>
      </w:pPr>
      <w:r w:rsidRPr="008F33AD">
        <w:t>Voriconazole successfully treated cerebral, sinus, pulmonary and disseminated aspergillosis in patients with bone marrow and solid organ transplants, haematological malignancies, cancer and AIDS.</w:t>
      </w:r>
    </w:p>
    <w:p w:rsidR="00B169D2" w:rsidRPr="008F33AD" w:rsidRDefault="00B169D2" w:rsidP="004D6B2D">
      <w:pPr>
        <w:pStyle w:val="Heading2"/>
      </w:pPr>
      <w:r w:rsidRPr="008F33AD">
        <w:t xml:space="preserve">Serious </w:t>
      </w:r>
      <w:r w:rsidRPr="008F33AD">
        <w:rPr>
          <w:i/>
          <w:iCs/>
        </w:rPr>
        <w:t>Candida</w:t>
      </w:r>
      <w:r w:rsidRPr="008F33AD">
        <w:t xml:space="preserve"> Infections</w:t>
      </w:r>
    </w:p>
    <w:p w:rsidR="00B169D2" w:rsidRPr="008F33AD" w:rsidRDefault="00B169D2" w:rsidP="004D6B2D">
      <w:pPr>
        <w:pStyle w:val="Heading2"/>
        <w:rPr>
          <w:b w:val="0"/>
          <w:bCs/>
        </w:rPr>
      </w:pPr>
      <w:r w:rsidRPr="008F33AD">
        <w:t xml:space="preserve">Systemic </w:t>
      </w:r>
      <w:r w:rsidRPr="008F33AD">
        <w:rPr>
          <w:i/>
        </w:rPr>
        <w:t>Candida</w:t>
      </w:r>
      <w:r w:rsidRPr="008F33AD">
        <w:t xml:space="preserve"> Infections</w:t>
      </w:r>
    </w:p>
    <w:p w:rsidR="00B169D2" w:rsidRPr="008F33AD" w:rsidRDefault="00B169D2" w:rsidP="00625FE4">
      <w:r w:rsidRPr="008F33AD">
        <w:t>The efficacy of voriconazole compared to the regimen of (conventional) amphotericin B followed by fluconazole in the primary treatment of candidaemia was demonstrated in an open comp</w:t>
      </w:r>
      <w:r w:rsidR="006436E1">
        <w:t xml:space="preserve">arative study (Study 150-608). </w:t>
      </w:r>
      <w:r w:rsidRPr="008F33AD">
        <w:t>Three hundred and seventy (370) non-neutropenic patients with documented candidaemia (positive blood culture and clinical signs of infection) were included in the study, of which 248 w</w:t>
      </w:r>
      <w:r w:rsidR="006436E1">
        <w:t xml:space="preserve">ere treated with voriconazole. </w:t>
      </w:r>
      <w:r w:rsidRPr="008F33AD">
        <w:t>The patient population was seriously ill, with approximately 50% of subjects in the intensive care unit and 40% mecha</w:t>
      </w:r>
      <w:r w:rsidR="006436E1">
        <w:t xml:space="preserve">nically ventilated at baseline. </w:t>
      </w:r>
      <w:r w:rsidRPr="008F33AD">
        <w:t>The median treatment duration was 1</w:t>
      </w:r>
      <w:r w:rsidR="006436E1">
        <w:t xml:space="preserve">5 days in both treatment arms. </w:t>
      </w:r>
      <w:r w:rsidRPr="008F33AD">
        <w:t xml:space="preserve">A successful response (resolution/improvement in all clinical signs and symptoms of infection, blood cultures negative for </w:t>
      </w:r>
      <w:r w:rsidRPr="008F33AD">
        <w:rPr>
          <w:i/>
          <w:iCs/>
        </w:rPr>
        <w:t>Candida</w:t>
      </w:r>
      <w:r w:rsidRPr="008F33AD">
        <w:t xml:space="preserve">, infected deep tissue sites negative for </w:t>
      </w:r>
      <w:r w:rsidRPr="008F33AD">
        <w:rPr>
          <w:i/>
          <w:iCs/>
        </w:rPr>
        <w:t>Candida</w:t>
      </w:r>
      <w:r w:rsidRPr="008F33AD">
        <w:t>) was seen in 41% of patients in both treatment arms 12 weeks a</w:t>
      </w:r>
      <w:r w:rsidR="006436E1">
        <w:t xml:space="preserve">fter the End of Therapy (EOT). </w:t>
      </w:r>
      <w:r w:rsidRPr="008F33AD">
        <w:t xml:space="preserve">In this analysis, patients who did not have an assessment 12 weeks </w:t>
      </w:r>
      <w:r w:rsidR="006436E1">
        <w:t xml:space="preserve">after EOT were set to failure. </w:t>
      </w:r>
      <w:r w:rsidRPr="008F33AD">
        <w:t>According to a secondary analysis, which compared response rates at the latest time point most relevant to the evaluation of the patient (EOT, or 2, 6, or 12 weeks after EOT, which is more appropriate for this type of study), voriconazole and the regimen of amphotericin B followed by fluconazole had response rates</w:t>
      </w:r>
      <w:r w:rsidR="006436E1">
        <w:t xml:space="preserve"> of 65% and 71%, respectively. </w:t>
      </w:r>
      <w:r w:rsidRPr="008F33AD">
        <w:t>Forty-seven per cent of isolated pathogens in the voriconazole treatment group were from non-</w:t>
      </w:r>
      <w:r w:rsidRPr="008F33AD">
        <w:rPr>
          <w:i/>
          <w:iCs/>
        </w:rPr>
        <w:t>albicans</w:t>
      </w:r>
      <w:r w:rsidRPr="008F33AD">
        <w:t xml:space="preserve"> species, including </w:t>
      </w:r>
      <w:r w:rsidRPr="008F33AD">
        <w:rPr>
          <w:i/>
          <w:iCs/>
        </w:rPr>
        <w:t>C glabrata</w:t>
      </w:r>
      <w:r w:rsidRPr="008F33AD">
        <w:t xml:space="preserve"> and </w:t>
      </w:r>
      <w:r w:rsidRPr="008F33AD">
        <w:rPr>
          <w:i/>
          <w:iCs/>
        </w:rPr>
        <w:t>C krusei</w:t>
      </w:r>
      <w:r w:rsidRPr="008F33AD">
        <w:t xml:space="preserve">, although </w:t>
      </w:r>
      <w:r w:rsidRPr="008F33AD">
        <w:rPr>
          <w:i/>
          <w:iCs/>
        </w:rPr>
        <w:t>C albicans</w:t>
      </w:r>
      <w:r w:rsidRPr="008F33AD">
        <w:t xml:space="preserve"> was the most commonly isolated species in the small subgroup of patients (n = 14) with </w:t>
      </w:r>
      <w:r w:rsidRPr="008F33AD">
        <w:lastRenderedPageBreak/>
        <w:t>confirmed deep</w:t>
      </w:r>
      <w:r w:rsidR="006436E1">
        <w:t xml:space="preserve"> tissue infections. </w:t>
      </w:r>
      <w:r w:rsidRPr="008F33AD">
        <w:t xml:space="preserve">When considering response at 12 weeks after EOT by pathogen, the success rates were comparable between voriconazole (43%) and amphotericin B followed by fluconazole (46%) for baseline </w:t>
      </w:r>
      <w:r w:rsidRPr="008F33AD">
        <w:rPr>
          <w:i/>
          <w:iCs/>
        </w:rPr>
        <w:t>Candida albicans</w:t>
      </w:r>
      <w:r w:rsidR="006436E1">
        <w:t xml:space="preserve"> infections. </w:t>
      </w:r>
      <w:r w:rsidRPr="008F33AD">
        <w:t>Success rates were more favourable with voriconazole (38.6%) than with amphotericin followed by fluconazole (32.3%) for baseline non-</w:t>
      </w:r>
      <w:r w:rsidRPr="008F33AD">
        <w:rPr>
          <w:i/>
          <w:iCs/>
        </w:rPr>
        <w:t>albicans</w:t>
      </w:r>
      <w:r w:rsidRPr="008F33AD">
        <w:t xml:space="preserve"> infections.</w:t>
      </w:r>
    </w:p>
    <w:p w:rsidR="00B169D2" w:rsidRPr="008F33AD" w:rsidRDefault="00B169D2" w:rsidP="004D6B2D">
      <w:pPr>
        <w:pStyle w:val="Heading2"/>
      </w:pPr>
      <w:r w:rsidRPr="008F33AD">
        <w:t xml:space="preserve">Refractory </w:t>
      </w:r>
      <w:r w:rsidRPr="008F33AD">
        <w:rPr>
          <w:i/>
          <w:iCs/>
        </w:rPr>
        <w:t>Candida</w:t>
      </w:r>
      <w:r w:rsidRPr="008F33AD">
        <w:t xml:space="preserve"> Infections</w:t>
      </w:r>
    </w:p>
    <w:p w:rsidR="00B169D2" w:rsidRPr="008F33AD" w:rsidRDefault="00B169D2" w:rsidP="00810F42">
      <w:r w:rsidRPr="008F33AD">
        <w:t>Stu</w:t>
      </w:r>
      <w:r w:rsidRPr="00810F42">
        <w:t>dy 309/604 (the combined results of 2 open-label, non-comparative trials) assessed vor</w:t>
      </w:r>
      <w:r w:rsidRPr="008F33AD">
        <w:t>iconazole in the treatment of fungal infections in patients refractory to, or intolerant of,</w:t>
      </w:r>
      <w:r w:rsidR="00EF120C">
        <w:t xml:space="preserve"> other antifungal medications. </w:t>
      </w:r>
      <w:r w:rsidRPr="008F33AD">
        <w:t xml:space="preserve">Of the 301 patients assessed for efficacy, 87 patients had serious candidiasis: 38 had oesophageal candidiasis and 47 had invasive candidiasis, of which 26 patients had deep tissue </w:t>
      </w:r>
      <w:r w:rsidRPr="008F33AD">
        <w:rPr>
          <w:i/>
          <w:iCs/>
        </w:rPr>
        <w:t>Candida</w:t>
      </w:r>
      <w:r w:rsidR="00EF120C">
        <w:t xml:space="preserve"> infections. </w:t>
      </w:r>
      <w:r w:rsidRPr="008F33AD">
        <w:t>The median duration of IV therapy was 11 days (range 1</w:t>
      </w:r>
      <w:r w:rsidRPr="008F33AD">
        <w:noBreakHyphen/>
        <w:t>138 days) and of oral therapy was 81 days (range 1</w:t>
      </w:r>
      <w:r w:rsidRPr="008F33AD">
        <w:noBreakHyphen/>
        <w:t>326 days).  Overall, 25/47 (53.2%) of invasive candidiasis subjects had a successful response, with 16/47 (34.0%) having a complete response and 9/47 (19.1%) having a partial response; 6/47 (1</w:t>
      </w:r>
      <w:r w:rsidR="00EF120C">
        <w:t xml:space="preserve">2.8%) were assessed as stable. </w:t>
      </w:r>
      <w:r w:rsidRPr="008F33AD">
        <w:t xml:space="preserve">Of the subjects with deep tissue </w:t>
      </w:r>
      <w:r w:rsidRPr="008F33AD">
        <w:rPr>
          <w:i/>
          <w:iCs/>
        </w:rPr>
        <w:t>Candida</w:t>
      </w:r>
      <w:r w:rsidRPr="008F33AD">
        <w:t xml:space="preserve"> infection, 14/26 (53.8%) had a successful response, with 8/26 (30.8%) having a complete response, 6/26 (23.1%) having a partial response and 5/26 (19.2%) assessed as stable.</w:t>
      </w:r>
    </w:p>
    <w:p w:rsidR="00B169D2" w:rsidRPr="008F33AD" w:rsidRDefault="00B169D2" w:rsidP="004D6B2D">
      <w:pPr>
        <w:pStyle w:val="Heading2"/>
        <w:rPr>
          <w:snapToGrid w:val="0"/>
        </w:rPr>
      </w:pPr>
      <w:r w:rsidRPr="008F33AD">
        <w:t>Oesophageal Candidiasis</w:t>
      </w:r>
    </w:p>
    <w:p w:rsidR="00B169D2" w:rsidRPr="008F33AD" w:rsidRDefault="00B169D2" w:rsidP="00810F42">
      <w:pPr>
        <w:rPr>
          <w:snapToGrid w:val="0"/>
        </w:rPr>
      </w:pPr>
      <w:r w:rsidRPr="008F33AD">
        <w:rPr>
          <w:snapToGrid w:val="0"/>
        </w:rPr>
        <w:t>Study 150-305 was a randomised, double-blind, comparative study versus oral fluconazole in immunocompromised patients with endoscopically-proven oesophageal candidiasis.  200</w:t>
      </w:r>
      <w:r w:rsidR="0085226B" w:rsidRPr="008F33AD">
        <w:rPr>
          <w:snapToGrid w:val="0"/>
        </w:rPr>
        <w:t> P</w:t>
      </w:r>
      <w:r w:rsidRPr="008F33AD">
        <w:rPr>
          <w:snapToGrid w:val="0"/>
        </w:rPr>
        <w:t xml:space="preserve">atients were randomised to receive voriconazole (200 mg twice daily) and </w:t>
      </w:r>
      <w:r w:rsidR="0085226B" w:rsidRPr="008F33AD">
        <w:rPr>
          <w:snapToGrid w:val="0"/>
        </w:rPr>
        <w:t>191 to receive fluconazole (400 </w:t>
      </w:r>
      <w:r w:rsidRPr="008F33AD">
        <w:rPr>
          <w:snapToGrid w:val="0"/>
        </w:rPr>
        <w:t>mg once daily on day 1 followed by 200 mg o</w:t>
      </w:r>
      <w:r w:rsidR="00EF120C">
        <w:rPr>
          <w:snapToGrid w:val="0"/>
        </w:rPr>
        <w:t xml:space="preserve">nce daily from day 2 onwards). </w:t>
      </w:r>
      <w:r w:rsidRPr="008F33AD">
        <w:rPr>
          <w:snapToGrid w:val="0"/>
        </w:rPr>
        <w:t>Over half of the patients in each group had advanced AIDS with CD4 cell counts &lt;50 cells/</w:t>
      </w:r>
      <w:r w:rsidRPr="008F33AD">
        <w:rPr>
          <w:snapToGrid w:val="0"/>
        </w:rPr>
        <w:sym w:font="Symbol" w:char="F06D"/>
      </w:r>
      <w:r w:rsidR="00EF120C">
        <w:rPr>
          <w:snapToGrid w:val="0"/>
        </w:rPr>
        <w:t xml:space="preserve">L. </w:t>
      </w:r>
      <w:r w:rsidRPr="008F33AD">
        <w:rPr>
          <w:snapToGrid w:val="0"/>
        </w:rPr>
        <w:t>Outcome was assessed by repeat endoscopy at day 43 or the end of therapy.  Voriconazole and fluconazole showed equivalent efficacy against oesophageal candidiasis in the per protocol and intention to treat analysis.</w:t>
      </w:r>
    </w:p>
    <w:p w:rsidR="00B169D2" w:rsidRPr="004D6B2D" w:rsidRDefault="00B169D2" w:rsidP="004D6B2D">
      <w:pPr>
        <w:spacing w:after="0"/>
        <w:rPr>
          <w:b/>
          <w:bCs/>
        </w:rPr>
      </w:pPr>
      <w:r w:rsidRPr="004D6B2D">
        <w:rPr>
          <w:b/>
          <w:bCs/>
        </w:rPr>
        <w:t>Efficacy of Voriconazole in the Treatment of Oesophageal Candidiasis</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tblPr>
      <w:tblGrid>
        <w:gridCol w:w="1843"/>
        <w:gridCol w:w="2126"/>
        <w:gridCol w:w="2268"/>
      </w:tblGrid>
      <w:tr w:rsidR="00B169D2" w:rsidRPr="008F33AD">
        <w:tc>
          <w:tcPr>
            <w:tcW w:w="1843" w:type="dxa"/>
            <w:tcBorders>
              <w:top w:val="single" w:sz="6" w:space="0" w:color="auto"/>
              <w:left w:val="single" w:sz="6" w:space="0" w:color="auto"/>
              <w:bottom w:val="single" w:sz="6" w:space="0" w:color="auto"/>
              <w:right w:val="single" w:sz="6" w:space="0" w:color="auto"/>
            </w:tcBorders>
          </w:tcPr>
          <w:p w:rsidR="00B169D2" w:rsidRPr="008F33AD" w:rsidRDefault="00B169D2" w:rsidP="00BB367C">
            <w:pPr>
              <w:pStyle w:val="TableText"/>
              <w:keepNext/>
              <w:rPr>
                <w:color w:val="auto"/>
              </w:rPr>
            </w:pPr>
          </w:p>
        </w:tc>
        <w:tc>
          <w:tcPr>
            <w:tcW w:w="4394" w:type="dxa"/>
            <w:gridSpan w:val="2"/>
            <w:tcBorders>
              <w:top w:val="single" w:sz="6" w:space="0" w:color="auto"/>
              <w:left w:val="single" w:sz="6" w:space="0" w:color="auto"/>
              <w:bottom w:val="single" w:sz="6" w:space="0" w:color="auto"/>
              <w:right w:val="single" w:sz="6" w:space="0" w:color="auto"/>
            </w:tcBorders>
          </w:tcPr>
          <w:p w:rsidR="00B169D2" w:rsidRPr="008F33AD" w:rsidRDefault="00B169D2" w:rsidP="00BB367C">
            <w:pPr>
              <w:pStyle w:val="TableText"/>
              <w:keepNext/>
              <w:jc w:val="center"/>
              <w:rPr>
                <w:b/>
                <w:color w:val="auto"/>
              </w:rPr>
            </w:pPr>
            <w:r w:rsidRPr="008F33AD">
              <w:rPr>
                <w:b/>
                <w:color w:val="auto"/>
              </w:rPr>
              <w:t>Success/total (%)</w:t>
            </w:r>
          </w:p>
        </w:tc>
      </w:tr>
      <w:tr w:rsidR="00B169D2" w:rsidRPr="008F33AD">
        <w:tc>
          <w:tcPr>
            <w:tcW w:w="1843" w:type="dxa"/>
            <w:tcBorders>
              <w:top w:val="single" w:sz="6" w:space="0" w:color="auto"/>
              <w:left w:val="single" w:sz="6" w:space="0" w:color="auto"/>
              <w:bottom w:val="single" w:sz="6" w:space="0" w:color="auto"/>
              <w:right w:val="single" w:sz="6" w:space="0" w:color="auto"/>
            </w:tcBorders>
          </w:tcPr>
          <w:p w:rsidR="00B169D2" w:rsidRPr="008F33AD" w:rsidRDefault="00B169D2" w:rsidP="00BB367C">
            <w:pPr>
              <w:pStyle w:val="TableText"/>
              <w:keepNext/>
              <w:rPr>
                <w:b/>
                <w:bCs/>
                <w:color w:val="auto"/>
              </w:rPr>
            </w:pPr>
            <w:r w:rsidRPr="008F33AD">
              <w:rPr>
                <w:b/>
                <w:bCs/>
                <w:color w:val="auto"/>
              </w:rPr>
              <w:t>Treatment</w:t>
            </w:r>
          </w:p>
        </w:tc>
        <w:tc>
          <w:tcPr>
            <w:tcW w:w="2126" w:type="dxa"/>
            <w:tcBorders>
              <w:top w:val="single" w:sz="6" w:space="0" w:color="auto"/>
              <w:left w:val="single" w:sz="6" w:space="0" w:color="auto"/>
              <w:bottom w:val="single" w:sz="6" w:space="0" w:color="auto"/>
              <w:right w:val="single" w:sz="6" w:space="0" w:color="auto"/>
            </w:tcBorders>
          </w:tcPr>
          <w:p w:rsidR="00B169D2" w:rsidRPr="008F33AD" w:rsidRDefault="00B169D2" w:rsidP="00BB367C">
            <w:pPr>
              <w:pStyle w:val="TableText"/>
              <w:keepNext/>
              <w:jc w:val="center"/>
              <w:rPr>
                <w:color w:val="auto"/>
              </w:rPr>
            </w:pPr>
            <w:r w:rsidRPr="008F33AD">
              <w:rPr>
                <w:color w:val="auto"/>
              </w:rPr>
              <w:t>PP</w:t>
            </w:r>
          </w:p>
        </w:tc>
        <w:tc>
          <w:tcPr>
            <w:tcW w:w="2268" w:type="dxa"/>
            <w:tcBorders>
              <w:top w:val="single" w:sz="6" w:space="0" w:color="auto"/>
              <w:left w:val="single" w:sz="6" w:space="0" w:color="auto"/>
              <w:bottom w:val="single" w:sz="6" w:space="0" w:color="auto"/>
              <w:right w:val="single" w:sz="6" w:space="0" w:color="auto"/>
            </w:tcBorders>
          </w:tcPr>
          <w:p w:rsidR="00B169D2" w:rsidRPr="008F33AD" w:rsidRDefault="00B169D2" w:rsidP="00BB367C">
            <w:pPr>
              <w:pStyle w:val="TableText"/>
              <w:keepNext/>
              <w:jc w:val="center"/>
              <w:rPr>
                <w:color w:val="auto"/>
              </w:rPr>
            </w:pPr>
            <w:r w:rsidRPr="008F33AD">
              <w:rPr>
                <w:color w:val="auto"/>
              </w:rPr>
              <w:t>ITT</w:t>
            </w:r>
          </w:p>
        </w:tc>
      </w:tr>
      <w:tr w:rsidR="00B169D2" w:rsidRPr="008F33AD">
        <w:tc>
          <w:tcPr>
            <w:tcW w:w="1843" w:type="dxa"/>
            <w:tcBorders>
              <w:top w:val="single" w:sz="6" w:space="0" w:color="auto"/>
              <w:left w:val="single" w:sz="6" w:space="0" w:color="auto"/>
              <w:bottom w:val="single" w:sz="6" w:space="0" w:color="auto"/>
              <w:right w:val="single" w:sz="6" w:space="0" w:color="auto"/>
            </w:tcBorders>
          </w:tcPr>
          <w:p w:rsidR="00B169D2" w:rsidRPr="008F33AD" w:rsidRDefault="00B169D2" w:rsidP="00BB367C">
            <w:pPr>
              <w:pStyle w:val="TableText"/>
              <w:keepNext/>
              <w:rPr>
                <w:b/>
                <w:bCs/>
                <w:color w:val="auto"/>
              </w:rPr>
            </w:pPr>
            <w:r w:rsidRPr="008F33AD">
              <w:rPr>
                <w:b/>
                <w:bCs/>
                <w:color w:val="auto"/>
              </w:rPr>
              <w:t xml:space="preserve">Voriconazole </w:t>
            </w:r>
          </w:p>
        </w:tc>
        <w:tc>
          <w:tcPr>
            <w:tcW w:w="2126" w:type="dxa"/>
            <w:tcBorders>
              <w:top w:val="single" w:sz="6" w:space="0" w:color="auto"/>
              <w:left w:val="single" w:sz="6" w:space="0" w:color="auto"/>
              <w:bottom w:val="single" w:sz="6" w:space="0" w:color="auto"/>
              <w:right w:val="single" w:sz="6" w:space="0" w:color="auto"/>
            </w:tcBorders>
          </w:tcPr>
          <w:p w:rsidR="00B169D2" w:rsidRPr="008F33AD" w:rsidRDefault="00B169D2" w:rsidP="00BB367C">
            <w:pPr>
              <w:pStyle w:val="TableText"/>
              <w:keepNext/>
              <w:jc w:val="center"/>
              <w:rPr>
                <w:color w:val="auto"/>
              </w:rPr>
            </w:pPr>
            <w:r w:rsidRPr="008F33AD">
              <w:rPr>
                <w:color w:val="auto"/>
              </w:rPr>
              <w:t>113/115 (98%)</w:t>
            </w:r>
          </w:p>
        </w:tc>
        <w:tc>
          <w:tcPr>
            <w:tcW w:w="2268" w:type="dxa"/>
            <w:tcBorders>
              <w:top w:val="single" w:sz="6" w:space="0" w:color="auto"/>
              <w:left w:val="single" w:sz="6" w:space="0" w:color="auto"/>
              <w:bottom w:val="single" w:sz="6" w:space="0" w:color="auto"/>
              <w:right w:val="single" w:sz="6" w:space="0" w:color="auto"/>
            </w:tcBorders>
          </w:tcPr>
          <w:p w:rsidR="00B169D2" w:rsidRPr="008F33AD" w:rsidRDefault="00B169D2" w:rsidP="00BB367C">
            <w:pPr>
              <w:pStyle w:val="TableText"/>
              <w:keepNext/>
              <w:jc w:val="center"/>
              <w:rPr>
                <w:color w:val="auto"/>
              </w:rPr>
            </w:pPr>
            <w:r w:rsidRPr="008F33AD">
              <w:rPr>
                <w:color w:val="auto"/>
              </w:rPr>
              <w:t>175/200 (88%)</w:t>
            </w:r>
          </w:p>
        </w:tc>
      </w:tr>
      <w:tr w:rsidR="00B169D2" w:rsidRPr="008F33AD">
        <w:tc>
          <w:tcPr>
            <w:tcW w:w="1843" w:type="dxa"/>
            <w:tcBorders>
              <w:top w:val="single" w:sz="6" w:space="0" w:color="auto"/>
              <w:left w:val="single" w:sz="6" w:space="0" w:color="auto"/>
              <w:bottom w:val="single" w:sz="6" w:space="0" w:color="auto"/>
              <w:right w:val="single" w:sz="6" w:space="0" w:color="auto"/>
            </w:tcBorders>
          </w:tcPr>
          <w:p w:rsidR="00B169D2" w:rsidRPr="008F33AD" w:rsidRDefault="00B169D2">
            <w:pPr>
              <w:pStyle w:val="TableText"/>
              <w:rPr>
                <w:b/>
                <w:bCs/>
                <w:color w:val="auto"/>
              </w:rPr>
            </w:pPr>
            <w:r w:rsidRPr="008F33AD">
              <w:rPr>
                <w:b/>
                <w:bCs/>
                <w:color w:val="auto"/>
              </w:rPr>
              <w:t xml:space="preserve">Fluconazole </w:t>
            </w:r>
          </w:p>
        </w:tc>
        <w:tc>
          <w:tcPr>
            <w:tcW w:w="2126" w:type="dxa"/>
            <w:tcBorders>
              <w:top w:val="single" w:sz="6" w:space="0" w:color="auto"/>
              <w:left w:val="single" w:sz="6" w:space="0" w:color="auto"/>
              <w:bottom w:val="single" w:sz="6" w:space="0" w:color="auto"/>
              <w:right w:val="single" w:sz="6" w:space="0" w:color="auto"/>
            </w:tcBorders>
          </w:tcPr>
          <w:p w:rsidR="00B169D2" w:rsidRPr="008F33AD" w:rsidRDefault="00B169D2" w:rsidP="00BB367C">
            <w:pPr>
              <w:pStyle w:val="TableText"/>
              <w:jc w:val="center"/>
              <w:rPr>
                <w:color w:val="auto"/>
              </w:rPr>
            </w:pPr>
            <w:r w:rsidRPr="008F33AD">
              <w:rPr>
                <w:color w:val="auto"/>
              </w:rPr>
              <w:t>134/141 (95%)</w:t>
            </w:r>
          </w:p>
        </w:tc>
        <w:tc>
          <w:tcPr>
            <w:tcW w:w="2268" w:type="dxa"/>
            <w:tcBorders>
              <w:top w:val="single" w:sz="6" w:space="0" w:color="auto"/>
              <w:left w:val="single" w:sz="6" w:space="0" w:color="auto"/>
              <w:bottom w:val="single" w:sz="6" w:space="0" w:color="auto"/>
              <w:right w:val="single" w:sz="6" w:space="0" w:color="auto"/>
            </w:tcBorders>
          </w:tcPr>
          <w:p w:rsidR="00B169D2" w:rsidRPr="008F33AD" w:rsidRDefault="00B169D2" w:rsidP="00BB367C">
            <w:pPr>
              <w:pStyle w:val="TableText"/>
              <w:jc w:val="center"/>
              <w:rPr>
                <w:color w:val="auto"/>
              </w:rPr>
            </w:pPr>
            <w:r w:rsidRPr="008F33AD">
              <w:rPr>
                <w:color w:val="auto"/>
              </w:rPr>
              <w:t>171/191 (90%)</w:t>
            </w:r>
          </w:p>
        </w:tc>
      </w:tr>
    </w:tbl>
    <w:p w:rsidR="00B169D2" w:rsidRPr="008F33AD" w:rsidRDefault="00B169D2" w:rsidP="004D6B2D">
      <w:pPr>
        <w:pStyle w:val="Heading2"/>
      </w:pPr>
      <w:r w:rsidRPr="008F33AD">
        <w:t>Other Serious Fungal Pathogens</w:t>
      </w:r>
    </w:p>
    <w:p w:rsidR="00B169D2" w:rsidRPr="008F33AD" w:rsidRDefault="00B169D2" w:rsidP="00810F42">
      <w:r w:rsidRPr="008F33AD">
        <w:t>The efficacy, safety and tolerability of voriconazole in the treatment of systemic and invasive fungal infections in patients failing, or intolerant to other therapy, or for invasive fungal infections due to pathogens for which there is no licensed therapy was assessed in two, open, non-comparat</w:t>
      </w:r>
      <w:r w:rsidR="00EF120C">
        <w:t xml:space="preserve">ive studies (Studies 309/604). </w:t>
      </w:r>
      <w:r w:rsidRPr="008F33AD">
        <w:t xml:space="preserve">A total of 301 patients were evaluated for efficacy, of whom 72 cases had invasive infections due to fungal pathogens other than </w:t>
      </w:r>
      <w:r w:rsidRPr="008F33AD">
        <w:rPr>
          <w:i/>
        </w:rPr>
        <w:t>Aspergillus</w:t>
      </w:r>
      <w:r w:rsidRPr="008F33AD">
        <w:t xml:space="preserve"> spp. or </w:t>
      </w:r>
      <w:r w:rsidRPr="008F33AD">
        <w:rPr>
          <w:i/>
        </w:rPr>
        <w:t>Candida</w:t>
      </w:r>
      <w:r w:rsidRPr="008F33AD">
        <w:t xml:space="preserve"> spp.</w:t>
      </w:r>
    </w:p>
    <w:p w:rsidR="00B169D2" w:rsidRPr="008F33AD" w:rsidRDefault="00B169D2" w:rsidP="00810F42">
      <w:r w:rsidRPr="008F33AD">
        <w:t>Patients received an initial intravenous loading dose of 6 mg/kg q12h</w:t>
      </w:r>
      <w:r w:rsidR="00B75EDA" w:rsidRPr="008F33AD">
        <w:t xml:space="preserve"> or an oral loading dose of 400 mg for the first 24 </w:t>
      </w:r>
      <w:r w:rsidRPr="008F33AD">
        <w:t xml:space="preserve">hours, followed </w:t>
      </w:r>
      <w:r w:rsidR="00B75EDA" w:rsidRPr="008F33AD">
        <w:t>by maintenance dosing with 4 </w:t>
      </w:r>
      <w:r w:rsidRPr="008F33AD">
        <w:t>mg/kg q12h or 200 mg bd, respectively, for up to 12</w:t>
      </w:r>
      <w:r w:rsidR="00B75EDA" w:rsidRPr="008F33AD">
        <w:t> </w:t>
      </w:r>
      <w:r w:rsidR="00EF120C">
        <w:t xml:space="preserve">weeks. </w:t>
      </w:r>
      <w:r w:rsidRPr="008F33AD">
        <w:t>The primary endpoint was satisfactory global response at End of Therapy, defined as ‘complete’ or ‘partial’ global response.</w:t>
      </w:r>
    </w:p>
    <w:p w:rsidR="00B169D2" w:rsidRPr="008F33AD" w:rsidRDefault="00B169D2" w:rsidP="00810F42">
      <w:r w:rsidRPr="008F33AD">
        <w:lastRenderedPageBreak/>
        <w:t>Overall 39/72 (54.2%) subjects with other (non-</w:t>
      </w:r>
      <w:r w:rsidRPr="008F33AD">
        <w:rPr>
          <w:i/>
        </w:rPr>
        <w:t>Aspergillus</w:t>
      </w:r>
      <w:r w:rsidRPr="008F33AD">
        <w:t>, non-</w:t>
      </w:r>
      <w:r w:rsidRPr="008F33AD">
        <w:rPr>
          <w:i/>
        </w:rPr>
        <w:t>Candida</w:t>
      </w:r>
      <w:r w:rsidRPr="008F33AD">
        <w:t>) serious fungal infections had a satisfactory global outcome at end of voriconazole therapy.</w:t>
      </w:r>
    </w:p>
    <w:p w:rsidR="00B169D2" w:rsidRPr="008F33AD" w:rsidRDefault="00B169D2" w:rsidP="00810F42">
      <w:r w:rsidRPr="008F33AD">
        <w:t xml:space="preserve">In pooled analyses of patients enrolled across the development program, including those from the combined 309/604 studies, voriconazole was shown to be effective against the following additional fungal pathogens: </w:t>
      </w:r>
    </w:p>
    <w:p w:rsidR="00B169D2" w:rsidRPr="008F33AD" w:rsidRDefault="00B169D2" w:rsidP="00810F42">
      <w:r w:rsidRPr="008F33AD">
        <w:rPr>
          <w:i/>
        </w:rPr>
        <w:t>Scedosporium</w:t>
      </w:r>
      <w:r w:rsidRPr="008F33AD">
        <w:t xml:space="preserve"> spp.</w:t>
      </w:r>
      <w:r w:rsidR="000A396F" w:rsidRPr="008F33AD">
        <w:t xml:space="preserve"> </w:t>
      </w:r>
      <w:r w:rsidRPr="008F33AD">
        <w:t>Successful response to voriconazo</w:t>
      </w:r>
      <w:r w:rsidR="00B75EDA" w:rsidRPr="008F33AD">
        <w:t>le therapy was seen in 16 of 28 </w:t>
      </w:r>
      <w:r w:rsidRPr="008F33AD">
        <w:t xml:space="preserve">patients with </w:t>
      </w:r>
      <w:r w:rsidRPr="008F33AD">
        <w:rPr>
          <w:i/>
        </w:rPr>
        <w:t>S. apiospermum</w:t>
      </w:r>
      <w:r w:rsidRPr="008F33AD">
        <w:t xml:space="preserve"> and in 2 of 7 patients with </w:t>
      </w:r>
      <w:r w:rsidRPr="008F33AD">
        <w:rPr>
          <w:i/>
        </w:rPr>
        <w:t>S. prolificans</w:t>
      </w:r>
      <w:r w:rsidR="00EF120C">
        <w:t xml:space="preserve"> infection. </w:t>
      </w:r>
      <w:r w:rsidRPr="008F33AD">
        <w:t>In addition, a successful response was seen in 1 of 3 patients with mixed organism infections.</w:t>
      </w:r>
    </w:p>
    <w:p w:rsidR="00B169D2" w:rsidRPr="008F33AD" w:rsidRDefault="00B169D2" w:rsidP="00810F42">
      <w:r w:rsidRPr="008F33AD">
        <w:rPr>
          <w:i/>
        </w:rPr>
        <w:t>Fusarium</w:t>
      </w:r>
      <w:r w:rsidRPr="008F33AD">
        <w:t xml:space="preserve"> spp. Seven of 17</w:t>
      </w:r>
      <w:r w:rsidR="00B75EDA" w:rsidRPr="008F33AD">
        <w:t> </w:t>
      </w:r>
      <w:r w:rsidRPr="008F33AD">
        <w:t>patients were successfully treated with</w:t>
      </w:r>
      <w:r w:rsidR="00EF120C">
        <w:t xml:space="preserve"> voriconazole. </w:t>
      </w:r>
      <w:r w:rsidRPr="008F33AD">
        <w:t>Of these seven patients, 3 had eye, 1 had sinus, and</w:t>
      </w:r>
      <w:r w:rsidR="00EF120C">
        <w:t xml:space="preserve"> 3 had disseminated infection. </w:t>
      </w:r>
      <w:r w:rsidRPr="008F33AD">
        <w:t xml:space="preserve">Four additional patients with </w:t>
      </w:r>
      <w:r w:rsidRPr="008F33AD">
        <w:rPr>
          <w:i/>
          <w:iCs/>
        </w:rPr>
        <w:t>fusariosis</w:t>
      </w:r>
      <w:r w:rsidRPr="008F33AD">
        <w:t xml:space="preserve"> had an infection caused by several organisms; two of them had a successful outcome.</w:t>
      </w:r>
    </w:p>
    <w:p w:rsidR="00B169D2" w:rsidRPr="008F33AD" w:rsidRDefault="00B169D2" w:rsidP="00810F42">
      <w:r w:rsidRPr="008F33AD">
        <w:t>The majority of patients receiving voriconazole treatment for rare fungal infections were intolerant of, or refractory to, prior antifungal therapy.</w:t>
      </w:r>
    </w:p>
    <w:p w:rsidR="00B169D2" w:rsidRDefault="00B169D2" w:rsidP="00810F42">
      <w:r w:rsidRPr="008F33AD">
        <w:t xml:space="preserve">Other successfully treated fungal infections included isolated cases of: </w:t>
      </w:r>
      <w:r w:rsidRPr="008F33AD">
        <w:rPr>
          <w:i/>
          <w:iCs/>
        </w:rPr>
        <w:t>Alternaria</w:t>
      </w:r>
      <w:r w:rsidRPr="008F33AD">
        <w:t xml:space="preserve"> spp., </w:t>
      </w:r>
      <w:r w:rsidRPr="008F33AD">
        <w:rPr>
          <w:i/>
          <w:iCs/>
        </w:rPr>
        <w:t>Blastomyces dermatitidis</w:t>
      </w:r>
      <w:r w:rsidRPr="008F33AD">
        <w:t xml:space="preserve">, </w:t>
      </w:r>
      <w:r w:rsidRPr="008F33AD">
        <w:rPr>
          <w:i/>
          <w:iCs/>
        </w:rPr>
        <w:t>Blastoschizomyces capitatus</w:t>
      </w:r>
      <w:r w:rsidRPr="008F33AD">
        <w:t xml:space="preserve">, </w:t>
      </w:r>
      <w:r w:rsidRPr="008F33AD">
        <w:rPr>
          <w:i/>
          <w:iCs/>
        </w:rPr>
        <w:t>Cladosporium</w:t>
      </w:r>
      <w:r w:rsidRPr="008F33AD">
        <w:t xml:space="preserve"> spp., </w:t>
      </w:r>
      <w:r w:rsidRPr="008F33AD">
        <w:rPr>
          <w:i/>
          <w:iCs/>
        </w:rPr>
        <w:t xml:space="preserve">Coccidioides immitis, Conidiobolus coronatus, Cryptococcus neoformans, Exserohilum rostratum, Exophiala spinifera, Fonsecaea pedrosoi, Madurella mycetomatis, Paecilomyces lilacinus, Penicillium spp including P. marneffei, Phialophora richardsiae, Scopulariopsis brevicaulis, </w:t>
      </w:r>
      <w:r w:rsidRPr="008F33AD">
        <w:t xml:space="preserve">and </w:t>
      </w:r>
      <w:r w:rsidRPr="008F33AD">
        <w:rPr>
          <w:i/>
          <w:iCs/>
        </w:rPr>
        <w:t>Trichosporon</w:t>
      </w:r>
      <w:r w:rsidRPr="008F33AD">
        <w:t xml:space="preserve"> spp. including </w:t>
      </w:r>
      <w:r w:rsidRPr="008F33AD">
        <w:rPr>
          <w:i/>
          <w:iCs/>
        </w:rPr>
        <w:t>T. beigelii</w:t>
      </w:r>
      <w:r w:rsidRPr="008F33AD">
        <w:t xml:space="preserve"> infections.</w:t>
      </w:r>
    </w:p>
    <w:p w:rsidR="00273ED1" w:rsidRPr="00F85105" w:rsidRDefault="00273ED1" w:rsidP="00273ED1">
      <w:pPr>
        <w:rPr>
          <w:b/>
          <w:bCs/>
          <w:u w:val="single"/>
          <w:lang w:val="en-AU"/>
        </w:rPr>
      </w:pPr>
      <w:r>
        <w:rPr>
          <w:b/>
          <w:bCs/>
          <w:u w:val="single"/>
          <w:lang w:val="en-AU"/>
        </w:rPr>
        <w:t>*</w:t>
      </w:r>
      <w:r w:rsidRPr="00F85105">
        <w:rPr>
          <w:b/>
          <w:bCs/>
          <w:u w:val="single"/>
          <w:lang w:val="en-AU"/>
        </w:rPr>
        <w:t>Primary Prophylaxis of Invasive Fungal Infections – Efficacy in h</w:t>
      </w:r>
      <w:r>
        <w:rPr>
          <w:b/>
          <w:bCs/>
          <w:u w:val="single"/>
          <w:lang w:val="en-AU"/>
        </w:rPr>
        <w:t>aematopo</w:t>
      </w:r>
      <w:r w:rsidRPr="00F85105">
        <w:rPr>
          <w:b/>
          <w:bCs/>
          <w:u w:val="single"/>
          <w:lang w:val="en-AU"/>
        </w:rPr>
        <w:t>i</w:t>
      </w:r>
      <w:r>
        <w:rPr>
          <w:b/>
          <w:bCs/>
          <w:u w:val="single"/>
          <w:lang w:val="en-AU"/>
        </w:rPr>
        <w:t>e</w:t>
      </w:r>
      <w:r w:rsidRPr="00F85105">
        <w:rPr>
          <w:b/>
          <w:bCs/>
          <w:u w:val="single"/>
          <w:lang w:val="en-AU"/>
        </w:rPr>
        <w:t>tic stem cell transplant (HSCT) recipients without prior proven or probable invasive fungal infection (IFI)</w:t>
      </w:r>
    </w:p>
    <w:p w:rsidR="00273ED1" w:rsidRDefault="00273ED1" w:rsidP="00273ED1">
      <w:r w:rsidRPr="00F85105">
        <w:t>Voriconazole was compared to itraconazole as primary prophylaxis in an open-label, comparative, multicenter study of adult and adolescent allogeneic HSCT recipients without prior proven or probable IFI</w:t>
      </w:r>
      <w:r>
        <w:t xml:space="preserve"> (Study A1501073)</w:t>
      </w:r>
      <w:r w:rsidRPr="00F85105">
        <w:t xml:space="preserve">. </w:t>
      </w:r>
      <w:r w:rsidR="0053680D" w:rsidRPr="0053680D">
        <w:t xml:space="preserve">Patients were aged ≥ 12 years and receiving allogeneic HSCT for acute leukaemia (AML, ALL, or myelodysplastic syndrome), failure of therapy for lymphoma or transformation of chronic myeloid leukaemia. Patients with possible, probable or proven IFI during the 6 months prior to study entry, a history of zygomycosis, impaired hepatic function, use of systemic antifungals within 7 days before study entry, or patients who received concomitant medications with major interactions with azoles were excluded from the study. </w:t>
      </w:r>
      <w:r w:rsidRPr="00F85105">
        <w:t xml:space="preserve">Success was defined as the ability to continue study drug prophylaxis for 100 days after HSCT (without stopping for &gt;14 days) and survival with no proven or probable IFI for 180 days after HSCT. The modified intent-to-treat </w:t>
      </w:r>
      <w:r>
        <w:t xml:space="preserve">(MITT) </w:t>
      </w:r>
      <w:r w:rsidRPr="00F85105">
        <w:t xml:space="preserve">group included 465 allogeneic HSCT recipients, with myeloablative (58%) or reduced-intensity (42%) conditioning regimens. Prophylaxis with study drug was started immediately after HSCT: 224 received voriconazole and 241 received itraconazole. The median duration of study drug prophylaxis </w:t>
      </w:r>
      <w:r>
        <w:t xml:space="preserve">in the MITT group </w:t>
      </w:r>
      <w:r w:rsidRPr="00F85105">
        <w:t>was 96 days for voriconazol</w:t>
      </w:r>
      <w:r w:rsidR="00810F42">
        <w:t>e and 68 days for itraconazole.</w:t>
      </w:r>
    </w:p>
    <w:p w:rsidR="0091574F" w:rsidRPr="001933CD" w:rsidRDefault="0091574F" w:rsidP="0091574F">
      <w:pPr>
        <w:spacing w:after="0"/>
      </w:pPr>
      <w:r w:rsidRPr="001933CD">
        <w:t>The primary endpoint was the success of antifungal prophylaxis at 180 days post-</w:t>
      </w:r>
      <w:r>
        <w:t>transplant</w:t>
      </w:r>
      <w:r w:rsidRPr="001933CD">
        <w:t xml:space="preserve">. To be a success at this time point, </w:t>
      </w:r>
      <w:r>
        <w:t>the patient</w:t>
      </w:r>
      <w:r w:rsidRPr="001933CD">
        <w:t xml:space="preserve"> had to meet all </w:t>
      </w:r>
      <w:r>
        <w:t>o</w:t>
      </w:r>
      <w:r w:rsidRPr="001933CD">
        <w:t>f the following conditions:</w:t>
      </w:r>
    </w:p>
    <w:p w:rsidR="0091574F" w:rsidRPr="001933CD" w:rsidRDefault="0091574F" w:rsidP="0091574F">
      <w:pPr>
        <w:numPr>
          <w:ilvl w:val="0"/>
          <w:numId w:val="3"/>
        </w:numPr>
        <w:spacing w:after="0"/>
        <w:ind w:left="714" w:hanging="357"/>
      </w:pPr>
      <w:r>
        <w:t xml:space="preserve">survive until Day 180 post transplant with no </w:t>
      </w:r>
      <w:r w:rsidRPr="001933CD">
        <w:t>breakthrough IFI</w:t>
      </w:r>
    </w:p>
    <w:p w:rsidR="0091574F" w:rsidRDefault="0091574F" w:rsidP="0091574F">
      <w:pPr>
        <w:numPr>
          <w:ilvl w:val="0"/>
          <w:numId w:val="3"/>
        </w:numPr>
        <w:spacing w:after="0"/>
        <w:ind w:left="714" w:hanging="357"/>
      </w:pPr>
      <w:r>
        <w:t>not discontinue study drug for &gt; 14 days during the first 100 days of prophylaxis</w:t>
      </w:r>
    </w:p>
    <w:p w:rsidR="0091574F" w:rsidRPr="00F558AA" w:rsidRDefault="0091574F" w:rsidP="0091574F">
      <w:pPr>
        <w:numPr>
          <w:ilvl w:val="0"/>
          <w:numId w:val="3"/>
        </w:numPr>
        <w:spacing w:after="0"/>
        <w:ind w:left="714" w:hanging="357"/>
      </w:pPr>
      <w:r>
        <w:lastRenderedPageBreak/>
        <w:t xml:space="preserve">for patients </w:t>
      </w:r>
      <w:r>
        <w:rPr>
          <w:bCs/>
          <w:iCs/>
        </w:rPr>
        <w:t xml:space="preserve">randomised to itraconazole, </w:t>
      </w:r>
      <w:r w:rsidRPr="00467A99">
        <w:rPr>
          <w:bCs/>
          <w:iCs/>
        </w:rPr>
        <w:t xml:space="preserve">not receive </w:t>
      </w:r>
      <w:r>
        <w:rPr>
          <w:bCs/>
          <w:iCs/>
        </w:rPr>
        <w:t xml:space="preserve">&gt; </w:t>
      </w:r>
      <w:r w:rsidRPr="00467A99">
        <w:rPr>
          <w:bCs/>
          <w:iCs/>
        </w:rPr>
        <w:t>14 days of itraconzole capsules during the first 100 days of prophylaxis</w:t>
      </w:r>
      <w:r>
        <w:rPr>
          <w:bCs/>
          <w:iCs/>
        </w:rPr>
        <w:t xml:space="preserve">.   </w:t>
      </w:r>
    </w:p>
    <w:p w:rsidR="00273ED1" w:rsidRPr="00F85105" w:rsidRDefault="00273ED1" w:rsidP="00810F42">
      <w:pPr>
        <w:spacing w:before="240"/>
      </w:pPr>
      <w:r w:rsidRPr="00F85105">
        <w:t>Success rates were 48.7% (109/224) for voriconazole, and 33.2% (80/24</w:t>
      </w:r>
      <w:r>
        <w:t>1) for itraconazole (p</w:t>
      </w:r>
      <w:r w:rsidR="00A17291">
        <w:t>=</w:t>
      </w:r>
      <w:r>
        <w:t>0.0</w:t>
      </w:r>
      <w:r w:rsidR="00A17291">
        <w:t>002</w:t>
      </w:r>
      <w:r>
        <w:t xml:space="preserve">). </w:t>
      </w:r>
      <w:r w:rsidRPr="00F85105">
        <w:t xml:space="preserve">The </w:t>
      </w:r>
      <w:r w:rsidR="00A17291">
        <w:t xml:space="preserve">number and </w:t>
      </w:r>
      <w:r w:rsidRPr="00F85105">
        <w:t xml:space="preserve">proportion of patients </w:t>
      </w:r>
      <w:r w:rsidR="00A17291">
        <w:t xml:space="preserve">with insufficient </w:t>
      </w:r>
      <w:r w:rsidRPr="00F85105">
        <w:t xml:space="preserve">prophylaxis </w:t>
      </w:r>
      <w:r w:rsidR="00A17291">
        <w:t xml:space="preserve">i.e. those who missed &gt; 14 days of prophylaxis during the first </w:t>
      </w:r>
      <w:r w:rsidRPr="00F85105">
        <w:t xml:space="preserve">100 days after </w:t>
      </w:r>
      <w:r w:rsidR="00A17291">
        <w:t xml:space="preserve">transplant (or if randomised to itraconazole, took &gt; 14 days of itraconazole capsules during this period) </w:t>
      </w:r>
      <w:r w:rsidRPr="00F85105">
        <w:t xml:space="preserve">was </w:t>
      </w:r>
      <w:r w:rsidR="00A17291">
        <w:t>104/224 (46</w:t>
      </w:r>
      <w:r w:rsidRPr="00F85105">
        <w:t>.</w:t>
      </w:r>
      <w:r w:rsidR="00A17291">
        <w:t>4</w:t>
      </w:r>
      <w:r w:rsidRPr="00F85105">
        <w:t xml:space="preserve">%) </w:t>
      </w:r>
      <w:r w:rsidR="00A17291">
        <w:t>in the voriconazole group and 1</w:t>
      </w:r>
      <w:r w:rsidRPr="00F85105">
        <w:t>4</w:t>
      </w:r>
      <w:r w:rsidR="00A17291">
        <w:t>7</w:t>
      </w:r>
      <w:r w:rsidRPr="00F85105">
        <w:t>/241</w:t>
      </w:r>
      <w:r w:rsidR="00A17291">
        <w:t xml:space="preserve"> (61.0%) in the itraconazole group, resulting in a treatment difference of -14.6% (95% CI: -23.5%, -5.6%; </w:t>
      </w:r>
      <w:r w:rsidRPr="00F85105">
        <w:t>p</w:t>
      </w:r>
      <w:r w:rsidR="00A17291">
        <w:t>=0.0015</w:t>
      </w:r>
      <w:r w:rsidRPr="00F85105">
        <w:t>)</w:t>
      </w:r>
      <w:r>
        <w:t>.</w:t>
      </w:r>
      <w:r w:rsidRPr="00F85105">
        <w:t xml:space="preserve"> Proven or probable IFI developed in 1.3% (3/224) of voriconazole patients and 2.1% (5/241) itraconazole patients during the 180 days after HSCT. The survival rate at Day 180 was 82.1% (184/224) vs 81.7% (197/241) and at 1 year was 7</w:t>
      </w:r>
      <w:r w:rsidR="00AF122C">
        <w:t>3</w:t>
      </w:r>
      <w:r w:rsidRPr="00F85105">
        <w:t>.</w:t>
      </w:r>
      <w:r w:rsidR="00AF122C">
        <w:t>7</w:t>
      </w:r>
      <w:r w:rsidRPr="00F85105">
        <w:t>% (16</w:t>
      </w:r>
      <w:r w:rsidR="00AF122C">
        <w:t>5</w:t>
      </w:r>
      <w:r w:rsidRPr="00F85105">
        <w:t>/224) vs 68.</w:t>
      </w:r>
      <w:r w:rsidR="00AF122C">
        <w:t>5</w:t>
      </w:r>
      <w:r w:rsidRPr="00F85105">
        <w:t>% (16</w:t>
      </w:r>
      <w:r w:rsidR="00AF122C">
        <w:t>5</w:t>
      </w:r>
      <w:r w:rsidRPr="00F85105">
        <w:t>/241) for voriconazole and itraconazole, respectively.</w:t>
      </w:r>
    </w:p>
    <w:p w:rsidR="00273ED1" w:rsidRPr="00F85105" w:rsidRDefault="00273ED1" w:rsidP="00273ED1">
      <w:pPr>
        <w:rPr>
          <w:b/>
          <w:bCs/>
          <w:u w:val="single"/>
          <w:lang w:val="en-AU"/>
        </w:rPr>
      </w:pPr>
      <w:r>
        <w:rPr>
          <w:b/>
          <w:bCs/>
          <w:u w:val="single"/>
          <w:lang w:val="en-AU"/>
        </w:rPr>
        <w:t>*</w:t>
      </w:r>
      <w:r w:rsidRPr="00F85105">
        <w:rPr>
          <w:b/>
          <w:bCs/>
          <w:u w:val="single"/>
          <w:lang w:val="en-AU"/>
        </w:rPr>
        <w:t>Secondary Prophylaxis of IFI – Efficacy in HSCT recipients</w:t>
      </w:r>
      <w:r w:rsidRPr="00F85105">
        <w:rPr>
          <w:rStyle w:val="CommentReference"/>
          <w:u w:val="single"/>
        </w:rPr>
        <w:t xml:space="preserve"> </w:t>
      </w:r>
      <w:r w:rsidRPr="00F85105">
        <w:rPr>
          <w:b/>
          <w:bCs/>
          <w:u w:val="single"/>
          <w:lang w:val="en-AU"/>
        </w:rPr>
        <w:t>with prior proven or probable IFI</w:t>
      </w:r>
    </w:p>
    <w:p w:rsidR="00273ED1" w:rsidRPr="00F85105" w:rsidRDefault="00273ED1" w:rsidP="00273ED1">
      <w:r w:rsidRPr="00F85105">
        <w:t xml:space="preserve">Voriconazole was investigated as secondary prophylaxis in an open-label, non-comparative, multicenter study of adult allogeneic HSCT recipients with prior proven or probable </w:t>
      </w:r>
      <w:r>
        <w:t xml:space="preserve">IFI (Study A1501038). </w:t>
      </w:r>
      <w:r w:rsidRPr="00F85105">
        <w:t xml:space="preserve">The primary endpoint was the rate of occurrence of proven and probable IFI during the first year after HSCT. The </w:t>
      </w:r>
      <w:r>
        <w:t>MITT</w:t>
      </w:r>
      <w:r w:rsidRPr="00F85105">
        <w:t xml:space="preserve"> group included 40 patients with prior IFI, including 31 with aspergillosis, 5 with candidiasis, and 4 with other IFI</w:t>
      </w:r>
      <w:r>
        <w:t xml:space="preserve">. </w:t>
      </w:r>
      <w:r w:rsidRPr="00F85105">
        <w:t xml:space="preserve">The median duration of study drug prophylaxis </w:t>
      </w:r>
      <w:r>
        <w:t xml:space="preserve">in the MITT group </w:t>
      </w:r>
      <w:r w:rsidRPr="00F85105">
        <w:t>was 95.5 days.</w:t>
      </w:r>
      <w:r w:rsidR="00D53F4E">
        <w:t xml:space="preserve"> Nine patients (22.5%) received empiric antifungal therapy for between 9 and 365 days.</w:t>
      </w:r>
    </w:p>
    <w:p w:rsidR="00273ED1" w:rsidRDefault="00D53F4E" w:rsidP="00273ED1">
      <w:r>
        <w:t>Recurrent p</w:t>
      </w:r>
      <w:r w:rsidR="00273ED1" w:rsidRPr="00F85105">
        <w:t xml:space="preserve">roven or probable IFIs </w:t>
      </w:r>
      <w:r>
        <w:t>in the MITT population was reported</w:t>
      </w:r>
      <w:r w:rsidR="00273ED1" w:rsidRPr="00F85105">
        <w:t xml:space="preserve"> in 3/</w:t>
      </w:r>
      <w:r>
        <w:t>28 (10.7%</w:t>
      </w:r>
      <w:r w:rsidR="00273ED1" w:rsidRPr="00F85105">
        <w:t xml:space="preserve">) </w:t>
      </w:r>
      <w:r>
        <w:t xml:space="preserve">[95% CI (2, 28)] </w:t>
      </w:r>
      <w:r w:rsidR="00273ED1">
        <w:t xml:space="preserve">of </w:t>
      </w:r>
      <w:r>
        <w:t xml:space="preserve">evaluable </w:t>
      </w:r>
      <w:r w:rsidR="00273ED1">
        <w:t xml:space="preserve">patients </w:t>
      </w:r>
      <w:r w:rsidR="00273ED1" w:rsidRPr="00F85105">
        <w:t>during the first year after HSCT, including one candid</w:t>
      </w:r>
      <w:r w:rsidR="00273ED1">
        <w:t>a</w:t>
      </w:r>
      <w:r w:rsidR="00273ED1" w:rsidRPr="00F85105">
        <w:t>emia, one scedosporiosis (both relapses of prior IFI), and one zygomycosis. The survival rate at Day 180 was 80.0% (32/40) and at 1 year was 70.0% (28/40).</w:t>
      </w:r>
    </w:p>
    <w:p w:rsidR="00B169D2" w:rsidRPr="008F33AD" w:rsidRDefault="00B169D2" w:rsidP="004D6B2D">
      <w:pPr>
        <w:pStyle w:val="Heading2"/>
      </w:pPr>
      <w:r w:rsidRPr="008F33AD">
        <w:t>Paediatric Use</w:t>
      </w:r>
    </w:p>
    <w:p w:rsidR="00B169D2" w:rsidRPr="008F33AD" w:rsidRDefault="00B169D2" w:rsidP="00810F42">
      <w:r w:rsidRPr="008F33AD">
        <w:t xml:space="preserve">Sixty four </w:t>
      </w:r>
      <w:r w:rsidR="0085226B" w:rsidRPr="008F33AD">
        <w:t>(64) paediatric patients aged 9 </w:t>
      </w:r>
      <w:r w:rsidRPr="008F33AD">
        <w:t>months up to 15</w:t>
      </w:r>
      <w:r w:rsidR="00B75EDA" w:rsidRPr="008F33AD">
        <w:t> </w:t>
      </w:r>
      <w:r w:rsidRPr="008F33AD">
        <w:t xml:space="preserve">years who had definite or </w:t>
      </w:r>
      <w:r w:rsidR="00B75EDA" w:rsidRPr="008F33AD">
        <w:t xml:space="preserve">probable </w:t>
      </w:r>
      <w:r w:rsidRPr="008F33AD">
        <w:t>invasive fungal infections were treated</w:t>
      </w:r>
      <w:r w:rsidR="00EF120C">
        <w:t xml:space="preserve"> with voriconazole. </w:t>
      </w:r>
      <w:r w:rsidRPr="008F33AD">
        <w:t>This population included 34 patients 2 to &lt;12 years old and 23 patients 12–15</w:t>
      </w:r>
      <w:r w:rsidR="0085226B" w:rsidRPr="008F33AD">
        <w:t> </w:t>
      </w:r>
      <w:r w:rsidR="00EF120C">
        <w:t xml:space="preserve">years of age. </w:t>
      </w:r>
      <w:r w:rsidRPr="008F33AD">
        <w:t xml:space="preserve">The majority (59/64) had failed </w:t>
      </w:r>
      <w:r w:rsidR="00EF120C">
        <w:t xml:space="preserve">previous antifungal therapies. </w:t>
      </w:r>
      <w:r w:rsidRPr="008F33AD">
        <w:t>Therapeutic trials included eight patients aged 12</w:t>
      </w:r>
      <w:r w:rsidR="0085226B" w:rsidRPr="008F33AD">
        <w:noBreakHyphen/>
      </w:r>
      <w:r w:rsidRPr="008F33AD">
        <w:t>15</w:t>
      </w:r>
      <w:r w:rsidR="0085226B" w:rsidRPr="008F33AD">
        <w:t> </w:t>
      </w:r>
      <w:r w:rsidRPr="008F33AD">
        <w:t>years, the remaining patients received voriconazole in the compassionate use programs.  Underlying diseases in these patients included haematologic malignancies and aplastic anaemia (27</w:t>
      </w:r>
      <w:r w:rsidR="00B75EDA" w:rsidRPr="008F33AD">
        <w:t> </w:t>
      </w:r>
      <w:r w:rsidRPr="008F33AD">
        <w:t>patients) and ch</w:t>
      </w:r>
      <w:r w:rsidR="00B75EDA" w:rsidRPr="008F33AD">
        <w:t>ronic granulomatous disease (14 </w:t>
      </w:r>
      <w:r w:rsidRPr="008F33AD">
        <w:t>patients). The most commonly treated fungal infection w</w:t>
      </w:r>
      <w:r w:rsidR="00EF120C">
        <w:t xml:space="preserve">as aspergillosis (46/64; 71%). </w:t>
      </w:r>
      <w:r w:rsidRPr="008F33AD">
        <w:t xml:space="preserve">In addition, a successful response was seen in one patient with infection caused by </w:t>
      </w:r>
      <w:r w:rsidRPr="008F33AD">
        <w:rPr>
          <w:i/>
        </w:rPr>
        <w:t xml:space="preserve">Aspergillus fumigatus </w:t>
      </w:r>
      <w:r w:rsidRPr="008F33AD">
        <w:t xml:space="preserve">and </w:t>
      </w:r>
      <w:r w:rsidRPr="008F33AD">
        <w:rPr>
          <w:i/>
        </w:rPr>
        <w:t>Phialophora richardsiae.</w:t>
      </w:r>
      <w:r w:rsidR="00EF120C">
        <w:t xml:space="preserve"> </w:t>
      </w:r>
      <w:r w:rsidRPr="008F33AD">
        <w:t xml:space="preserve">Other fungal infections were caused by </w:t>
      </w:r>
      <w:r w:rsidRPr="008F33AD">
        <w:rPr>
          <w:i/>
        </w:rPr>
        <w:t>Scedosporium, Candida, Fusarium, Conidiobolus, Alternaria</w:t>
      </w:r>
      <w:r w:rsidRPr="008F33AD">
        <w:t xml:space="preserve"> and </w:t>
      </w:r>
      <w:r w:rsidRPr="008F33AD">
        <w:rPr>
          <w:i/>
        </w:rPr>
        <w:t xml:space="preserve">Trichosporon </w:t>
      </w:r>
      <w:r w:rsidRPr="008F33AD">
        <w:t>spp.</w:t>
      </w:r>
    </w:p>
    <w:p w:rsidR="00B169D2" w:rsidRPr="008F33AD" w:rsidRDefault="00B169D2" w:rsidP="00BB367C">
      <w:pPr>
        <w:pStyle w:val="TableTitle"/>
        <w:keepLines/>
        <w:spacing w:before="0"/>
        <w:ind w:left="709"/>
        <w:rPr>
          <w:color w:val="auto"/>
        </w:rPr>
      </w:pPr>
      <w:r w:rsidRPr="008F33AD">
        <w:rPr>
          <w:color w:val="auto"/>
        </w:rPr>
        <w:lastRenderedPageBreak/>
        <w:t>Clinical Outcome in Paediatric Patients by Age and Fungal Infection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2268"/>
        <w:gridCol w:w="2551"/>
      </w:tblGrid>
      <w:tr w:rsidR="00B169D2" w:rsidRPr="008F33AD">
        <w:trPr>
          <w:cantSplit/>
        </w:trPr>
        <w:tc>
          <w:tcPr>
            <w:tcW w:w="2410" w:type="dxa"/>
            <w:tcBorders>
              <w:bottom w:val="nil"/>
            </w:tcBorders>
          </w:tcPr>
          <w:p w:rsidR="00B169D2" w:rsidRPr="008F33AD" w:rsidRDefault="00B169D2" w:rsidP="00DF7C7C">
            <w:pPr>
              <w:pStyle w:val="TableHeading"/>
              <w:keepLines/>
              <w:jc w:val="center"/>
              <w:rPr>
                <w:color w:val="auto"/>
              </w:rPr>
            </w:pPr>
            <w:r w:rsidRPr="008F33AD">
              <w:rPr>
                <w:color w:val="auto"/>
              </w:rPr>
              <w:t>Age (years)</w:t>
            </w:r>
          </w:p>
        </w:tc>
        <w:tc>
          <w:tcPr>
            <w:tcW w:w="2268" w:type="dxa"/>
            <w:tcBorders>
              <w:bottom w:val="nil"/>
            </w:tcBorders>
          </w:tcPr>
          <w:p w:rsidR="00B169D2" w:rsidRPr="008F33AD" w:rsidRDefault="00B169D2" w:rsidP="00DF7C7C">
            <w:pPr>
              <w:pStyle w:val="TableHeading"/>
              <w:keepLines/>
              <w:jc w:val="center"/>
              <w:rPr>
                <w:color w:val="auto"/>
              </w:rPr>
            </w:pPr>
            <w:r w:rsidRPr="008F33AD">
              <w:rPr>
                <w:color w:val="auto"/>
              </w:rPr>
              <w:t>Infection</w:t>
            </w:r>
          </w:p>
        </w:tc>
        <w:tc>
          <w:tcPr>
            <w:tcW w:w="2551" w:type="dxa"/>
            <w:tcBorders>
              <w:bottom w:val="nil"/>
              <w:right w:val="single" w:sz="4" w:space="0" w:color="auto"/>
            </w:tcBorders>
          </w:tcPr>
          <w:p w:rsidR="00B169D2" w:rsidRPr="008F33AD" w:rsidRDefault="00B169D2" w:rsidP="00DF7C7C">
            <w:pPr>
              <w:pStyle w:val="TableHeading"/>
              <w:keepLines/>
              <w:jc w:val="center"/>
              <w:rPr>
                <w:color w:val="auto"/>
              </w:rPr>
            </w:pPr>
            <w:r w:rsidRPr="008F33AD">
              <w:rPr>
                <w:color w:val="auto"/>
              </w:rPr>
              <w:t>Success/Treated</w:t>
            </w:r>
          </w:p>
        </w:tc>
      </w:tr>
      <w:tr w:rsidR="00B169D2" w:rsidRPr="008F33AD">
        <w:trPr>
          <w:cantSplit/>
        </w:trPr>
        <w:tc>
          <w:tcPr>
            <w:tcW w:w="2410" w:type="dxa"/>
            <w:tcBorders>
              <w:top w:val="double" w:sz="4" w:space="0" w:color="auto"/>
            </w:tcBorders>
          </w:tcPr>
          <w:p w:rsidR="00B169D2" w:rsidRPr="008F33AD" w:rsidRDefault="00B169D2" w:rsidP="00BB367C">
            <w:pPr>
              <w:pStyle w:val="TableText"/>
              <w:keepNext/>
              <w:keepLines/>
              <w:rPr>
                <w:b/>
                <w:bCs/>
                <w:color w:val="auto"/>
              </w:rPr>
            </w:pPr>
            <w:r w:rsidRPr="008F33AD">
              <w:rPr>
                <w:b/>
                <w:bCs/>
                <w:color w:val="auto"/>
              </w:rPr>
              <w:t>2 – &lt;12 years</w:t>
            </w:r>
          </w:p>
        </w:tc>
        <w:tc>
          <w:tcPr>
            <w:tcW w:w="2268" w:type="dxa"/>
            <w:tcBorders>
              <w:top w:val="double" w:sz="4" w:space="0" w:color="auto"/>
            </w:tcBorders>
          </w:tcPr>
          <w:p w:rsidR="00B169D2" w:rsidRPr="008F33AD" w:rsidRDefault="00B169D2" w:rsidP="00BB367C">
            <w:pPr>
              <w:pStyle w:val="TableText"/>
              <w:keepNext/>
              <w:keepLines/>
              <w:rPr>
                <w:color w:val="auto"/>
              </w:rPr>
            </w:pPr>
            <w:r w:rsidRPr="008F33AD">
              <w:rPr>
                <w:color w:val="auto"/>
              </w:rPr>
              <w:t>Aspergillosis</w:t>
            </w:r>
          </w:p>
        </w:tc>
        <w:tc>
          <w:tcPr>
            <w:tcW w:w="2551" w:type="dxa"/>
            <w:tcBorders>
              <w:top w:val="double" w:sz="4" w:space="0" w:color="auto"/>
              <w:right w:val="single" w:sz="4" w:space="0" w:color="auto"/>
            </w:tcBorders>
          </w:tcPr>
          <w:p w:rsidR="00B169D2" w:rsidRPr="008F33AD" w:rsidRDefault="00B169D2" w:rsidP="00DF7C7C">
            <w:pPr>
              <w:pStyle w:val="TableText"/>
              <w:keepNext/>
              <w:keepLines/>
              <w:jc w:val="center"/>
              <w:rPr>
                <w:color w:val="auto"/>
              </w:rPr>
            </w:pPr>
            <w:r w:rsidRPr="008F33AD">
              <w:rPr>
                <w:color w:val="auto"/>
              </w:rPr>
              <w:t>11/23</w:t>
            </w:r>
          </w:p>
        </w:tc>
      </w:tr>
      <w:tr w:rsidR="00B169D2" w:rsidRPr="008F33AD">
        <w:trPr>
          <w:cantSplit/>
        </w:trPr>
        <w:tc>
          <w:tcPr>
            <w:tcW w:w="2410" w:type="dxa"/>
          </w:tcPr>
          <w:p w:rsidR="00B169D2" w:rsidRPr="008F33AD" w:rsidRDefault="00B169D2" w:rsidP="00BB367C">
            <w:pPr>
              <w:pStyle w:val="TableText"/>
              <w:keepNext/>
              <w:keepLines/>
              <w:rPr>
                <w:color w:val="auto"/>
              </w:rPr>
            </w:pPr>
          </w:p>
        </w:tc>
        <w:tc>
          <w:tcPr>
            <w:tcW w:w="2268" w:type="dxa"/>
          </w:tcPr>
          <w:p w:rsidR="00B169D2" w:rsidRPr="008F33AD" w:rsidRDefault="00B169D2" w:rsidP="00BB367C">
            <w:pPr>
              <w:pStyle w:val="TableText"/>
              <w:keepNext/>
              <w:keepLines/>
              <w:rPr>
                <w:color w:val="auto"/>
              </w:rPr>
            </w:pPr>
            <w:r w:rsidRPr="008F33AD">
              <w:rPr>
                <w:color w:val="auto"/>
              </w:rPr>
              <w:t>Other</w:t>
            </w:r>
          </w:p>
        </w:tc>
        <w:tc>
          <w:tcPr>
            <w:tcW w:w="2551" w:type="dxa"/>
            <w:tcBorders>
              <w:right w:val="single" w:sz="4" w:space="0" w:color="auto"/>
            </w:tcBorders>
          </w:tcPr>
          <w:p w:rsidR="00B169D2" w:rsidRPr="008F33AD" w:rsidRDefault="00B169D2" w:rsidP="00DF7C7C">
            <w:pPr>
              <w:pStyle w:val="TableText"/>
              <w:keepNext/>
              <w:keepLines/>
              <w:jc w:val="center"/>
              <w:rPr>
                <w:color w:val="auto"/>
              </w:rPr>
            </w:pPr>
            <w:r w:rsidRPr="008F33AD">
              <w:rPr>
                <w:color w:val="auto"/>
              </w:rPr>
              <w:t>4/11</w:t>
            </w:r>
          </w:p>
        </w:tc>
      </w:tr>
      <w:tr w:rsidR="00B169D2" w:rsidRPr="008F33AD">
        <w:trPr>
          <w:cantSplit/>
        </w:trPr>
        <w:tc>
          <w:tcPr>
            <w:tcW w:w="2410" w:type="dxa"/>
            <w:tcBorders>
              <w:bottom w:val="nil"/>
            </w:tcBorders>
          </w:tcPr>
          <w:p w:rsidR="00B169D2" w:rsidRPr="008F33AD" w:rsidRDefault="00B169D2" w:rsidP="00BB367C">
            <w:pPr>
              <w:pStyle w:val="TableText"/>
              <w:keepNext/>
              <w:keepLines/>
              <w:rPr>
                <w:color w:val="auto"/>
              </w:rPr>
            </w:pPr>
          </w:p>
        </w:tc>
        <w:tc>
          <w:tcPr>
            <w:tcW w:w="2268" w:type="dxa"/>
            <w:tcBorders>
              <w:bottom w:val="nil"/>
            </w:tcBorders>
          </w:tcPr>
          <w:p w:rsidR="00B169D2" w:rsidRPr="008F33AD" w:rsidRDefault="00B169D2" w:rsidP="00BB367C">
            <w:pPr>
              <w:pStyle w:val="TableText"/>
              <w:keepNext/>
              <w:keepLines/>
              <w:rPr>
                <w:color w:val="auto"/>
              </w:rPr>
            </w:pPr>
            <w:r w:rsidRPr="008F33AD">
              <w:rPr>
                <w:color w:val="auto"/>
              </w:rPr>
              <w:t>Total</w:t>
            </w:r>
          </w:p>
        </w:tc>
        <w:tc>
          <w:tcPr>
            <w:tcW w:w="2551" w:type="dxa"/>
            <w:tcBorders>
              <w:bottom w:val="nil"/>
              <w:right w:val="single" w:sz="4" w:space="0" w:color="auto"/>
            </w:tcBorders>
          </w:tcPr>
          <w:p w:rsidR="00B169D2" w:rsidRPr="008F33AD" w:rsidRDefault="00B169D2" w:rsidP="00DF7C7C">
            <w:pPr>
              <w:pStyle w:val="TableText"/>
              <w:keepNext/>
              <w:keepLines/>
              <w:jc w:val="center"/>
              <w:rPr>
                <w:color w:val="auto"/>
              </w:rPr>
            </w:pPr>
            <w:r w:rsidRPr="008F33AD">
              <w:rPr>
                <w:color w:val="auto"/>
              </w:rPr>
              <w:t>15/34</w:t>
            </w:r>
          </w:p>
        </w:tc>
      </w:tr>
      <w:tr w:rsidR="00B169D2" w:rsidRPr="008F33AD">
        <w:trPr>
          <w:cantSplit/>
        </w:trPr>
        <w:tc>
          <w:tcPr>
            <w:tcW w:w="2410" w:type="dxa"/>
            <w:tcBorders>
              <w:top w:val="double" w:sz="4" w:space="0" w:color="auto"/>
            </w:tcBorders>
          </w:tcPr>
          <w:p w:rsidR="00B169D2" w:rsidRPr="008F33AD" w:rsidRDefault="00B169D2" w:rsidP="00BB367C">
            <w:pPr>
              <w:pStyle w:val="TableText"/>
              <w:keepNext/>
              <w:keepLines/>
              <w:rPr>
                <w:b/>
                <w:bCs/>
                <w:color w:val="auto"/>
              </w:rPr>
            </w:pPr>
            <w:r w:rsidRPr="008F33AD">
              <w:rPr>
                <w:b/>
                <w:bCs/>
                <w:color w:val="auto"/>
              </w:rPr>
              <w:t>12-15 years</w:t>
            </w:r>
          </w:p>
        </w:tc>
        <w:tc>
          <w:tcPr>
            <w:tcW w:w="2268" w:type="dxa"/>
            <w:tcBorders>
              <w:top w:val="double" w:sz="4" w:space="0" w:color="auto"/>
            </w:tcBorders>
          </w:tcPr>
          <w:p w:rsidR="00B169D2" w:rsidRPr="008F33AD" w:rsidRDefault="00B169D2" w:rsidP="00BB367C">
            <w:pPr>
              <w:pStyle w:val="TableText"/>
              <w:keepNext/>
              <w:keepLines/>
              <w:rPr>
                <w:color w:val="auto"/>
              </w:rPr>
            </w:pPr>
            <w:r w:rsidRPr="008F33AD">
              <w:rPr>
                <w:color w:val="auto"/>
              </w:rPr>
              <w:t>Aspergillosis</w:t>
            </w:r>
          </w:p>
        </w:tc>
        <w:tc>
          <w:tcPr>
            <w:tcW w:w="2551" w:type="dxa"/>
            <w:tcBorders>
              <w:top w:val="double" w:sz="4" w:space="0" w:color="auto"/>
              <w:right w:val="single" w:sz="4" w:space="0" w:color="auto"/>
            </w:tcBorders>
          </w:tcPr>
          <w:p w:rsidR="00B169D2" w:rsidRPr="008F33AD" w:rsidRDefault="00B169D2" w:rsidP="00DF7C7C">
            <w:pPr>
              <w:pStyle w:val="TableText"/>
              <w:keepNext/>
              <w:keepLines/>
              <w:jc w:val="center"/>
              <w:rPr>
                <w:color w:val="auto"/>
              </w:rPr>
            </w:pPr>
            <w:r w:rsidRPr="008F33AD">
              <w:rPr>
                <w:color w:val="auto"/>
              </w:rPr>
              <w:t>5/17</w:t>
            </w:r>
          </w:p>
        </w:tc>
      </w:tr>
      <w:tr w:rsidR="00B169D2" w:rsidRPr="008F33AD">
        <w:trPr>
          <w:cantSplit/>
        </w:trPr>
        <w:tc>
          <w:tcPr>
            <w:tcW w:w="2410" w:type="dxa"/>
          </w:tcPr>
          <w:p w:rsidR="00B169D2" w:rsidRPr="008F33AD" w:rsidRDefault="00B169D2" w:rsidP="00BB367C">
            <w:pPr>
              <w:pStyle w:val="TableText"/>
              <w:keepNext/>
              <w:keepLines/>
              <w:rPr>
                <w:color w:val="auto"/>
              </w:rPr>
            </w:pPr>
          </w:p>
        </w:tc>
        <w:tc>
          <w:tcPr>
            <w:tcW w:w="2268" w:type="dxa"/>
          </w:tcPr>
          <w:p w:rsidR="00B169D2" w:rsidRPr="008F33AD" w:rsidRDefault="00B169D2" w:rsidP="00BB367C">
            <w:pPr>
              <w:pStyle w:val="TableText"/>
              <w:keepNext/>
              <w:keepLines/>
              <w:rPr>
                <w:color w:val="auto"/>
              </w:rPr>
            </w:pPr>
            <w:r w:rsidRPr="008F33AD">
              <w:rPr>
                <w:color w:val="auto"/>
              </w:rPr>
              <w:t>Other</w:t>
            </w:r>
          </w:p>
        </w:tc>
        <w:tc>
          <w:tcPr>
            <w:tcW w:w="2551" w:type="dxa"/>
            <w:tcBorders>
              <w:right w:val="single" w:sz="4" w:space="0" w:color="auto"/>
            </w:tcBorders>
          </w:tcPr>
          <w:p w:rsidR="00B169D2" w:rsidRPr="008F33AD" w:rsidRDefault="00B169D2" w:rsidP="00DF7C7C">
            <w:pPr>
              <w:pStyle w:val="TableText"/>
              <w:keepNext/>
              <w:keepLines/>
              <w:jc w:val="center"/>
              <w:rPr>
                <w:color w:val="auto"/>
              </w:rPr>
            </w:pPr>
            <w:r w:rsidRPr="008F33AD">
              <w:rPr>
                <w:color w:val="auto"/>
              </w:rPr>
              <w:t>4/6</w:t>
            </w:r>
          </w:p>
        </w:tc>
      </w:tr>
      <w:tr w:rsidR="00B169D2" w:rsidRPr="008F33AD">
        <w:trPr>
          <w:cantSplit/>
          <w:trHeight w:val="321"/>
        </w:trPr>
        <w:tc>
          <w:tcPr>
            <w:tcW w:w="2410" w:type="dxa"/>
          </w:tcPr>
          <w:p w:rsidR="00B169D2" w:rsidRPr="008F33AD" w:rsidRDefault="00B169D2" w:rsidP="00F804E0">
            <w:pPr>
              <w:pStyle w:val="TableText"/>
              <w:keepLines/>
              <w:rPr>
                <w:color w:val="auto"/>
              </w:rPr>
            </w:pPr>
          </w:p>
        </w:tc>
        <w:tc>
          <w:tcPr>
            <w:tcW w:w="2268" w:type="dxa"/>
          </w:tcPr>
          <w:p w:rsidR="00B169D2" w:rsidRPr="008F33AD" w:rsidRDefault="00B169D2" w:rsidP="00F804E0">
            <w:pPr>
              <w:pStyle w:val="TableText"/>
              <w:keepLines/>
              <w:rPr>
                <w:color w:val="auto"/>
              </w:rPr>
            </w:pPr>
            <w:r w:rsidRPr="008F33AD">
              <w:rPr>
                <w:color w:val="auto"/>
              </w:rPr>
              <w:t>Total</w:t>
            </w:r>
          </w:p>
        </w:tc>
        <w:tc>
          <w:tcPr>
            <w:tcW w:w="2551" w:type="dxa"/>
            <w:tcBorders>
              <w:right w:val="single" w:sz="4" w:space="0" w:color="auto"/>
            </w:tcBorders>
          </w:tcPr>
          <w:p w:rsidR="00B169D2" w:rsidRPr="008F33AD" w:rsidRDefault="00B169D2" w:rsidP="00DF7C7C">
            <w:pPr>
              <w:pStyle w:val="TableText"/>
              <w:keepLines/>
              <w:jc w:val="center"/>
              <w:rPr>
                <w:color w:val="auto"/>
              </w:rPr>
            </w:pPr>
            <w:r w:rsidRPr="008F33AD">
              <w:rPr>
                <w:color w:val="auto"/>
              </w:rPr>
              <w:t>9/23</w:t>
            </w:r>
          </w:p>
        </w:tc>
      </w:tr>
    </w:tbl>
    <w:p w:rsidR="00B169D2" w:rsidRPr="008F33AD" w:rsidRDefault="00B169D2" w:rsidP="004D6B2D">
      <w:pPr>
        <w:pStyle w:val="Heading2"/>
      </w:pPr>
      <w:r w:rsidRPr="008F33AD">
        <w:t>Clinical Studies Examining QT Interval</w:t>
      </w:r>
    </w:p>
    <w:p w:rsidR="00B169D2" w:rsidRPr="008F33AD" w:rsidRDefault="00B169D2" w:rsidP="00810F42">
      <w:pPr>
        <w:rPr>
          <w:b/>
          <w:bCs/>
        </w:rPr>
      </w:pPr>
      <w:r w:rsidRPr="008F33AD">
        <w:t xml:space="preserve">A placebo-controlled, randomised, single-dose, crossover study to evaluate the effect on the QT interval of healthy volunteers was conducted with three oral doses of </w:t>
      </w:r>
      <w:r w:rsidR="00EF120C">
        <w:t xml:space="preserve">voriconazole and ketoconazole. </w:t>
      </w:r>
      <w:r w:rsidRPr="008F33AD">
        <w:t>The placebo-adjusted mean maximum increases in QTc from baseline after 800, 1200 and 1600 mg of voriconazole were 5.1, 4.8, and 8.2 msec, respectively and 7.0</w:t>
      </w:r>
      <w:r w:rsidR="005600FB" w:rsidRPr="008F33AD">
        <w:t> </w:t>
      </w:r>
      <w:r w:rsidR="00EF120C">
        <w:t xml:space="preserve">msec for ketoconazole 800 mg. </w:t>
      </w:r>
      <w:r w:rsidRPr="008F33AD">
        <w:t>No subject in any group had an increase in QTc of ≥60</w:t>
      </w:r>
      <w:r w:rsidR="005600FB" w:rsidRPr="008F33AD">
        <w:t> </w:t>
      </w:r>
      <w:r w:rsidRPr="008F33AD">
        <w:t>msec from baseline. No subject experienced an interval exceeding the potentially clinically r</w:t>
      </w:r>
      <w:r w:rsidR="00EF120C">
        <w:t xml:space="preserve">elevant threshold of 500 msec. </w:t>
      </w:r>
      <w:r w:rsidRPr="008F33AD">
        <w:t>Subjects who were CYP2C19 genotype poor metabolisers were excluded from this study; however</w:t>
      </w:r>
      <w:r w:rsidR="007039EE" w:rsidRPr="008F33AD">
        <w:t>,</w:t>
      </w:r>
      <w:r w:rsidRPr="008F33AD">
        <w:t xml:space="preserve"> the dose of 1600</w:t>
      </w:r>
      <w:r w:rsidR="007039EE" w:rsidRPr="008F33AD">
        <w:t> </w:t>
      </w:r>
      <w:r w:rsidRPr="008F33AD">
        <w:t>mg voriconazole achieved plasma concentrations of approximately 5,400 to 16,900</w:t>
      </w:r>
      <w:r w:rsidR="005600FB" w:rsidRPr="008F33AD">
        <w:t> </w:t>
      </w:r>
      <w:r w:rsidRPr="008F33AD">
        <w:t>ng/mL which covered the exposure seen in 95% of patients in Phase 2/3 trials where poor metabolisers were not excluded.</w:t>
      </w:r>
    </w:p>
    <w:p w:rsidR="00B169D2" w:rsidRPr="00AF6ADF" w:rsidRDefault="00B169D2" w:rsidP="004D6B2D">
      <w:pPr>
        <w:pStyle w:val="Heading1"/>
      </w:pPr>
      <w:r w:rsidRPr="00AF6ADF">
        <w:t>INDICATIONS</w:t>
      </w:r>
    </w:p>
    <w:p w:rsidR="00B169D2" w:rsidRPr="008F33AD" w:rsidRDefault="00B169D2">
      <w:r w:rsidRPr="008F33AD">
        <w:t>VFEND is indicated for treatment of the following fungal infections:</w:t>
      </w:r>
    </w:p>
    <w:p w:rsidR="00B169D2" w:rsidRPr="008F33AD" w:rsidRDefault="00B169D2">
      <w:r w:rsidRPr="008F33AD">
        <w:t>Invasive aspergillosis.</w:t>
      </w:r>
    </w:p>
    <w:p w:rsidR="00B169D2" w:rsidRPr="008F33AD" w:rsidRDefault="00B169D2">
      <w:r w:rsidRPr="008F33AD">
        <w:t xml:space="preserve">Serious </w:t>
      </w:r>
      <w:r w:rsidRPr="008F33AD">
        <w:rPr>
          <w:i/>
        </w:rPr>
        <w:t>Candida</w:t>
      </w:r>
      <w:r w:rsidRPr="008F33AD">
        <w:t xml:space="preserve"> infections (including </w:t>
      </w:r>
      <w:r w:rsidRPr="008F33AD">
        <w:rPr>
          <w:i/>
        </w:rPr>
        <w:t>C. krusei</w:t>
      </w:r>
      <w:r w:rsidRPr="008F33AD">
        <w:t xml:space="preserve">), including oesophageal and systemic </w:t>
      </w:r>
      <w:r w:rsidRPr="008F33AD">
        <w:rPr>
          <w:i/>
        </w:rPr>
        <w:t>Candida</w:t>
      </w:r>
      <w:r w:rsidRPr="008F33AD">
        <w:t xml:space="preserve"> infections (hepatosplenic candidiasis, disseminated candidiasis, candidaemia).</w:t>
      </w:r>
    </w:p>
    <w:p w:rsidR="00B169D2" w:rsidRPr="008F33AD" w:rsidRDefault="00B169D2">
      <w:r w:rsidRPr="008F33AD">
        <w:t xml:space="preserve">Serious fungal infections caused by </w:t>
      </w:r>
      <w:r w:rsidRPr="008F33AD">
        <w:rPr>
          <w:i/>
        </w:rPr>
        <w:t>Scedosporium</w:t>
      </w:r>
      <w:r w:rsidRPr="008F33AD">
        <w:t xml:space="preserve"> spp and </w:t>
      </w:r>
      <w:r w:rsidRPr="008F33AD">
        <w:rPr>
          <w:i/>
        </w:rPr>
        <w:t>Fusarium</w:t>
      </w:r>
      <w:r w:rsidRPr="008F33AD">
        <w:t xml:space="preserve"> spp.</w:t>
      </w:r>
    </w:p>
    <w:p w:rsidR="00B169D2" w:rsidRDefault="00B169D2">
      <w:r w:rsidRPr="008F33AD">
        <w:t>Other serious fungal infections, in patients intolerant of, or refractory to, other therapy.</w:t>
      </w:r>
    </w:p>
    <w:p w:rsidR="00273ED1" w:rsidRPr="00AE601F" w:rsidRDefault="00273ED1" w:rsidP="00273ED1">
      <w:pPr>
        <w:rPr>
          <w:szCs w:val="24"/>
        </w:rPr>
      </w:pPr>
      <w:r w:rsidRPr="00AE601F">
        <w:rPr>
          <w:szCs w:val="24"/>
        </w:rPr>
        <w:t>*Prophylaxis in patients who are at high risk of developing invasive fungal infections</w:t>
      </w:r>
      <w:r w:rsidR="00AF122C" w:rsidRPr="00AE601F">
        <w:rPr>
          <w:szCs w:val="24"/>
        </w:rPr>
        <w:t>. The indication is based on studies including patients undergoing</w:t>
      </w:r>
      <w:r w:rsidRPr="00AE601F">
        <w:rPr>
          <w:szCs w:val="24"/>
        </w:rPr>
        <w:t xml:space="preserve"> haematopoietic stem cell transplant</w:t>
      </w:r>
      <w:r w:rsidR="00AF122C" w:rsidRPr="00AE601F">
        <w:rPr>
          <w:szCs w:val="24"/>
        </w:rPr>
        <w:t>ation</w:t>
      </w:r>
      <w:r w:rsidRPr="00AE601F">
        <w:rPr>
          <w:szCs w:val="24"/>
        </w:rPr>
        <w:t>.</w:t>
      </w:r>
    </w:p>
    <w:p w:rsidR="00B169D2" w:rsidRPr="00AF6ADF" w:rsidRDefault="00B169D2" w:rsidP="004D6B2D">
      <w:pPr>
        <w:pStyle w:val="Heading1"/>
      </w:pPr>
      <w:r w:rsidRPr="00AF6ADF">
        <w:t>CONTRAINDICATIONS</w:t>
      </w:r>
    </w:p>
    <w:p w:rsidR="00B169D2" w:rsidRPr="008F33AD" w:rsidRDefault="00B169D2" w:rsidP="00810F42">
      <w:r w:rsidRPr="008F33AD">
        <w:t>VFEND is contraindicated in patients with known hypersensitivity to voriconazole or to any of the excipients.</w:t>
      </w:r>
    </w:p>
    <w:p w:rsidR="00B169D2" w:rsidRPr="008F33AD" w:rsidRDefault="00B169D2" w:rsidP="00810F42">
      <w:r w:rsidRPr="008F33AD">
        <w:t xml:space="preserve">Coadministration of the CYP3A4 substrates pimozide or quinidine with voriconazole is contraindicated since increased plasma concentrations of these medicinal products can lead to QTc prolongation and rare occurrences of </w:t>
      </w:r>
      <w:r w:rsidRPr="008F33AD">
        <w:rPr>
          <w:i/>
        </w:rPr>
        <w:t>torsades de pointes</w:t>
      </w:r>
      <w:r w:rsidRPr="008F33AD">
        <w:t xml:space="preserve"> (see </w:t>
      </w:r>
      <w:r w:rsidR="007A4154">
        <w:rPr>
          <w:b/>
        </w:rPr>
        <w:t>INTERACTIONS WITH OTHER MEDICINES</w:t>
      </w:r>
      <w:r w:rsidRPr="008F33AD">
        <w:t>).</w:t>
      </w:r>
    </w:p>
    <w:p w:rsidR="00B169D2" w:rsidRDefault="00B169D2" w:rsidP="00810F42">
      <w:r w:rsidRPr="008F33AD">
        <w:lastRenderedPageBreak/>
        <w:t xml:space="preserve">Coadministration of voriconazole with </w:t>
      </w:r>
      <w:r w:rsidR="0099625B">
        <w:t>rifabutin</w:t>
      </w:r>
      <w:r w:rsidR="00622244">
        <w:t>*</w:t>
      </w:r>
      <w:r w:rsidR="0099625B">
        <w:t xml:space="preserve">, </w:t>
      </w:r>
      <w:r w:rsidRPr="008F33AD">
        <w:t xml:space="preserve">rifampicin, carbamazepine and </w:t>
      </w:r>
      <w:r w:rsidR="009757CF" w:rsidRPr="008F33AD">
        <w:t xml:space="preserve">long-acting barbiturates (e.g. </w:t>
      </w:r>
      <w:r w:rsidRPr="008F33AD">
        <w:t>phenobarbitone</w:t>
      </w:r>
      <w:r w:rsidR="009757CF" w:rsidRPr="008F33AD">
        <w:t>)</w:t>
      </w:r>
      <w:r w:rsidRPr="008F33AD">
        <w:t xml:space="preserve"> is contraindicated since these medicinal products are likely to decrease plasma voriconazole concentrations significantly (see</w:t>
      </w:r>
      <w:r w:rsidRPr="008F33AD">
        <w:rPr>
          <w:b/>
          <w:bCs/>
        </w:rPr>
        <w:t xml:space="preserve"> </w:t>
      </w:r>
      <w:r w:rsidR="007A4154">
        <w:rPr>
          <w:b/>
        </w:rPr>
        <w:t>INTERACTIONS WITH OTHER MEDICINES</w:t>
      </w:r>
      <w:r w:rsidRPr="008F33AD">
        <w:t>).</w:t>
      </w:r>
    </w:p>
    <w:p w:rsidR="0099625B" w:rsidRPr="00945C5E" w:rsidRDefault="00622244" w:rsidP="00810F42">
      <w:pPr>
        <w:rPr>
          <w:b/>
        </w:rPr>
      </w:pPr>
      <w:r>
        <w:t>*</w:t>
      </w:r>
      <w:r w:rsidR="0099625B">
        <w:t>Coadministration with efavirenz</w:t>
      </w:r>
      <w:r w:rsidR="00BC11A5">
        <w:t xml:space="preserve"> at a dose of</w:t>
      </w:r>
      <w:r w:rsidR="0099625B">
        <w:t xml:space="preserve"> 400 mg </w:t>
      </w:r>
      <w:r w:rsidR="00B70241">
        <w:t>once</w:t>
      </w:r>
      <w:r w:rsidR="0099625B">
        <w:t xml:space="preserve"> daily</w:t>
      </w:r>
      <w:r w:rsidR="00BC11A5">
        <w:t xml:space="preserve"> </w:t>
      </w:r>
      <w:r w:rsidR="00735984">
        <w:t>or</w:t>
      </w:r>
      <w:r w:rsidR="00BC11A5">
        <w:t xml:space="preserve"> above</w:t>
      </w:r>
      <w:r w:rsidR="0099625B">
        <w:t xml:space="preserve"> is contraindicated because efavirenz significantly decreases plasma voriconazole concentrations in healthy subjects at this dose (see </w:t>
      </w:r>
      <w:r w:rsidR="007A4154">
        <w:rPr>
          <w:b/>
        </w:rPr>
        <w:t>INTERACTIONS WITH OTHER MEDICINES</w:t>
      </w:r>
      <w:r w:rsidR="0099625B" w:rsidRPr="009C193C">
        <w:t>)</w:t>
      </w:r>
      <w:r w:rsidR="00945C5E" w:rsidRPr="009C193C">
        <w:t>. For</w:t>
      </w:r>
      <w:r w:rsidR="004B63D1">
        <w:t xml:space="preserve"> </w:t>
      </w:r>
      <w:r w:rsidR="00945C5E" w:rsidRPr="009C193C">
        <w:t xml:space="preserve">information pertaining to lower doses of efavirenz see </w:t>
      </w:r>
      <w:r w:rsidR="007A4154">
        <w:rPr>
          <w:b/>
        </w:rPr>
        <w:t>INTERACTIONS WITH OTHER MEDICINES</w:t>
      </w:r>
      <w:r w:rsidR="00197259" w:rsidRPr="009C193C">
        <w:rPr>
          <w:b/>
        </w:rPr>
        <w:t xml:space="preserve"> and DOSAGE AND ADMINI</w:t>
      </w:r>
      <w:r w:rsidR="009C193C" w:rsidRPr="009C193C">
        <w:rPr>
          <w:b/>
        </w:rPr>
        <w:t>S</w:t>
      </w:r>
      <w:r w:rsidR="00197259" w:rsidRPr="009C193C">
        <w:rPr>
          <w:b/>
        </w:rPr>
        <w:t>TRATION)</w:t>
      </w:r>
      <w:r w:rsidR="00945C5E" w:rsidRPr="009C193C">
        <w:rPr>
          <w:b/>
        </w:rPr>
        <w:t>.</w:t>
      </w:r>
    </w:p>
    <w:p w:rsidR="00375C80" w:rsidRPr="008F33AD" w:rsidRDefault="00375C80" w:rsidP="00810F42">
      <w:r>
        <w:t xml:space="preserve">Coadministration of voriconazole with high dose ritonavir (400 mg and above twice daily) is contraindicated because ritonavir significantly decreased plasma voriconazole concentrations in healthy subjects at this dose (see </w:t>
      </w:r>
      <w:r w:rsidR="007A4154">
        <w:rPr>
          <w:b/>
        </w:rPr>
        <w:t>INTERACTIONS WITH OTHER MEDICINES</w:t>
      </w:r>
      <w:r>
        <w:t xml:space="preserve">). For information pertaining to lower doses of ritonavir see </w:t>
      </w:r>
      <w:r w:rsidRPr="001861E6">
        <w:rPr>
          <w:b/>
        </w:rPr>
        <w:t>PRECAUTIONS</w:t>
      </w:r>
      <w:r>
        <w:t>.</w:t>
      </w:r>
    </w:p>
    <w:p w:rsidR="00B169D2" w:rsidRPr="008F33AD" w:rsidRDefault="00B169D2" w:rsidP="00810F42">
      <w:r w:rsidRPr="008F33AD">
        <w:t xml:space="preserve">Coadministration of ergot alkaloids (ergotamine, dihydroergotamine), which are CYP3A4 substrates, is contraindicated since increased plasma concentrations of these medicinal products can lead to ergotism (see </w:t>
      </w:r>
      <w:r w:rsidR="007A4154">
        <w:rPr>
          <w:b/>
        </w:rPr>
        <w:t>INTERACTIONS WITH OTHER MEDICINES</w:t>
      </w:r>
      <w:r w:rsidRPr="008F33AD">
        <w:t>).</w:t>
      </w:r>
    </w:p>
    <w:p w:rsidR="00B169D2" w:rsidRPr="008F33AD" w:rsidRDefault="00B169D2" w:rsidP="00810F42">
      <w:r w:rsidRPr="008F33AD">
        <w:t xml:space="preserve">Coadministration of voriconazole and sirolimus is contraindicated, since voriconazole is likely to increase plasma concentrations of sirolimus significantly (see </w:t>
      </w:r>
      <w:r w:rsidR="007A4154">
        <w:rPr>
          <w:b/>
        </w:rPr>
        <w:t>INTERACTIONS WITH OTHER MEDICINES</w:t>
      </w:r>
      <w:r w:rsidRPr="008F33AD">
        <w:t>).</w:t>
      </w:r>
    </w:p>
    <w:p w:rsidR="00B86FD8" w:rsidRPr="008F33AD" w:rsidRDefault="009C363A" w:rsidP="00810F42">
      <w:pPr>
        <w:rPr>
          <w:szCs w:val="24"/>
        </w:rPr>
      </w:pPr>
      <w:r w:rsidRPr="008F33AD">
        <w:t xml:space="preserve">Coadministration </w:t>
      </w:r>
      <w:r w:rsidR="00B86FD8" w:rsidRPr="008F33AD">
        <w:rPr>
          <w:color w:val="000000"/>
          <w:szCs w:val="24"/>
        </w:rPr>
        <w:t xml:space="preserve">of voriconazole with St John’s Wort is contraindicated (see </w:t>
      </w:r>
      <w:r w:rsidR="007A4154">
        <w:rPr>
          <w:b/>
        </w:rPr>
        <w:t>INTERACTIONS WITH OTHER MEDICINES</w:t>
      </w:r>
      <w:r w:rsidR="00B86FD8" w:rsidRPr="008F33AD">
        <w:rPr>
          <w:color w:val="000000"/>
          <w:szCs w:val="24"/>
        </w:rPr>
        <w:t>).</w:t>
      </w:r>
    </w:p>
    <w:p w:rsidR="00B169D2" w:rsidRPr="00AF6ADF" w:rsidRDefault="00B169D2" w:rsidP="004D6B2D">
      <w:pPr>
        <w:pStyle w:val="Heading1"/>
      </w:pPr>
      <w:bookmarkStart w:id="2" w:name="OLE_LINK9"/>
      <w:bookmarkStart w:id="3" w:name="OLE_LINK10"/>
      <w:r w:rsidRPr="00AF6ADF">
        <w:t>PRECAUTIONS</w:t>
      </w:r>
    </w:p>
    <w:p w:rsidR="00B169D2" w:rsidRPr="008F33AD" w:rsidRDefault="00B169D2" w:rsidP="00810F42">
      <w:r w:rsidRPr="008F33AD">
        <w:rPr>
          <w:b/>
        </w:rPr>
        <w:t>Hypersensitivity:</w:t>
      </w:r>
      <w:r w:rsidRPr="008F33AD">
        <w:t xml:space="preserve"> Caution should be used in prescribing voriconazole to patients with hypersensitivity to other azoles.</w:t>
      </w:r>
    </w:p>
    <w:p w:rsidR="00B169D2" w:rsidRPr="008F33AD" w:rsidRDefault="00B169D2" w:rsidP="00810F42">
      <w:pPr>
        <w:rPr>
          <w:b/>
          <w:bCs/>
        </w:rPr>
      </w:pPr>
      <w:r w:rsidRPr="008F33AD">
        <w:rPr>
          <w:b/>
        </w:rPr>
        <w:t>Cardiovascular:</w:t>
      </w:r>
      <w:r w:rsidRPr="008F33AD">
        <w:rPr>
          <w:b/>
          <w:bCs/>
        </w:rPr>
        <w:t xml:space="preserve"> </w:t>
      </w:r>
      <w:r w:rsidRPr="008F33AD">
        <w:t xml:space="preserve">Some azoles, including voriconazole have been associated </w:t>
      </w:r>
      <w:r w:rsidR="00213C08">
        <w:t xml:space="preserve">with QT interval prolongation. </w:t>
      </w:r>
      <w:r w:rsidRPr="008F33AD">
        <w:t xml:space="preserve">There have been rare cases of </w:t>
      </w:r>
      <w:r w:rsidRPr="008F33AD">
        <w:rPr>
          <w:i/>
          <w:iCs/>
        </w:rPr>
        <w:t>torsade de pointes</w:t>
      </w:r>
      <w:r w:rsidRPr="008F33AD">
        <w:t xml:space="preserve"> in patients taking voriconazole who had risk factors, such as history of cardiotoxic chemotherapy, cardiomyopathy, hypokalemia and concomitant medications that may have been contributory.  Voriconazole should be administered with caution to patients with these potent</w:t>
      </w:r>
      <w:r w:rsidR="00213C08">
        <w:t xml:space="preserve">ially proarrhythmic conditions. </w:t>
      </w:r>
      <w:r w:rsidRPr="008F33AD">
        <w:t xml:space="preserve">Electrolyte disturbances such as hypokalaemia, hypomagnesaemia and hypocalcaemia should be corrected prior to initiation of voriconazole therapy (see </w:t>
      </w:r>
      <w:r w:rsidRPr="008F33AD">
        <w:rPr>
          <w:b/>
          <w:bCs/>
        </w:rPr>
        <w:t>DOSAGE AND ADMINISTRATION</w:t>
      </w:r>
      <w:r w:rsidR="00810F42">
        <w:t>).</w:t>
      </w:r>
    </w:p>
    <w:p w:rsidR="006731D5" w:rsidRDefault="00B169D2" w:rsidP="00810F42">
      <w:r w:rsidRPr="008F33AD">
        <w:rPr>
          <w:b/>
        </w:rPr>
        <w:t>Infusion Related Reactions:</w:t>
      </w:r>
      <w:r w:rsidR="003D54F0" w:rsidRPr="008F33AD">
        <w:t xml:space="preserve"> Anaphylactoid-type reactions, including flushing, fever, sweating, tachycardia, chest tightness, dyspnoea, faintness, nausea, pruritus and rash have occurred during the administration of the intravenous formulation of voriconazole.</w:t>
      </w:r>
      <w:r w:rsidRPr="008F33AD">
        <w:t xml:space="preserve">  Depending on the severity of symptoms, consideration should be given to stopping treatment</w:t>
      </w:r>
      <w:r w:rsidR="003D54F0" w:rsidRPr="008F33AD">
        <w:t>.</w:t>
      </w:r>
    </w:p>
    <w:p w:rsidR="00B169D2" w:rsidRPr="008F33AD" w:rsidRDefault="00213C08" w:rsidP="00810F42">
      <w:r>
        <w:rPr>
          <w:b/>
        </w:rPr>
        <w:t>Hepatic:</w:t>
      </w:r>
      <w:r>
        <w:t xml:space="preserve"> </w:t>
      </w:r>
      <w:r w:rsidRPr="008F33AD">
        <w:t>In clinical trials, there have been uncommon cases of serious hepatic reactions during treatment with voriconazole (including clinical hepatitis, cholestasis and fulminant</w:t>
      </w:r>
      <w:r>
        <w:t xml:space="preserve"> </w:t>
      </w:r>
      <w:r w:rsidRPr="008F33AD">
        <w:t xml:space="preserve">hepatic </w:t>
      </w:r>
      <w:r>
        <w:t xml:space="preserve">failure including fatalities). </w:t>
      </w:r>
      <w:r w:rsidRPr="008F33AD">
        <w:t>Instances of hepatic reactions were noted to</w:t>
      </w:r>
      <w:r>
        <w:t xml:space="preserve"> occur primarily in patients with serious underlying medical conditions (predominantly haematological malignancy). Transient hepatic reactions, including </w:t>
      </w:r>
      <w:r w:rsidR="004C0697">
        <w:t xml:space="preserve">hepatitis and jaundice, </w:t>
      </w:r>
      <w:r w:rsidR="00B169D2" w:rsidRPr="008F33AD">
        <w:lastRenderedPageBreak/>
        <w:t>have occurred among patients with no ot</w:t>
      </w:r>
      <w:r w:rsidR="004C0697">
        <w:t xml:space="preserve">her identifiable risk factors. </w:t>
      </w:r>
      <w:r w:rsidR="00B169D2" w:rsidRPr="008F33AD">
        <w:t>Liver dysfunction has usually been reversible on discontinuation of therapy.</w:t>
      </w:r>
    </w:p>
    <w:p w:rsidR="00B169D2" w:rsidRPr="008F33AD" w:rsidRDefault="00B169D2" w:rsidP="00810F42">
      <w:pPr>
        <w:rPr>
          <w:b/>
          <w:iCs/>
        </w:rPr>
      </w:pPr>
      <w:r w:rsidRPr="008F33AD">
        <w:t>It is recommended that patients on voriconazole therapy should have their hepatic</w:t>
      </w:r>
      <w:r w:rsidR="006856ED">
        <w:t xml:space="preserve"> function routinely monitored. </w:t>
      </w:r>
      <w:r w:rsidRPr="008F33AD">
        <w:t xml:space="preserve">Patient management should include laboratory evaluation of hepatic function (particularly liver </w:t>
      </w:r>
      <w:r w:rsidR="006856ED">
        <w:t xml:space="preserve">function tests and bilirubin). </w:t>
      </w:r>
      <w:r w:rsidRPr="008F33AD">
        <w:t>Discontinuation of voriconazole should be considered if clinical signs and symptoms are consistent with liver disease development</w:t>
      </w:r>
      <w:r w:rsidRPr="008F33AD">
        <w:rPr>
          <w:b/>
          <w:iCs/>
        </w:rPr>
        <w:t xml:space="preserve"> </w:t>
      </w:r>
      <w:r w:rsidRPr="008F33AD">
        <w:rPr>
          <w:iCs/>
        </w:rPr>
        <w:t xml:space="preserve">(see </w:t>
      </w:r>
      <w:r w:rsidRPr="008F33AD">
        <w:rPr>
          <w:b/>
          <w:bCs/>
          <w:iCs/>
        </w:rPr>
        <w:t>DOSAGE AND ADMINISTRATION</w:t>
      </w:r>
      <w:r w:rsidRPr="008F33AD">
        <w:rPr>
          <w:iCs/>
        </w:rPr>
        <w:t>).</w:t>
      </w:r>
    </w:p>
    <w:p w:rsidR="00B169D2" w:rsidRPr="008F33AD" w:rsidRDefault="00B169D2" w:rsidP="00810F42">
      <w:r w:rsidRPr="008F33AD">
        <w:rPr>
          <w:b/>
        </w:rPr>
        <w:t>Renal:</w:t>
      </w:r>
      <w:r w:rsidRPr="008F33AD">
        <w:t xml:space="preserve"> </w:t>
      </w:r>
      <w:r w:rsidR="00FA0287" w:rsidRPr="008F33AD">
        <w:t>The pharmacokinetics parameters of orally administered voriconazole are not</w:t>
      </w:r>
      <w:r w:rsidR="006856ED">
        <w:t xml:space="preserve"> affected by renal impairment. </w:t>
      </w:r>
      <w:r w:rsidR="00FA0287" w:rsidRPr="008F33AD">
        <w:t>However, a</w:t>
      </w:r>
      <w:r w:rsidRPr="008F33AD">
        <w:t>cute renal failure has been observed in severely ill patients undergoin</w:t>
      </w:r>
      <w:r w:rsidR="006856ED">
        <w:t xml:space="preserve">g treatment with voriconazole. </w:t>
      </w:r>
      <w:r w:rsidRPr="008F33AD">
        <w:rPr>
          <w:snapToGrid w:val="0"/>
        </w:rPr>
        <w:t>Patients being treated with voriconazole are likely to be treated concomitantly with nephrotoxic medications and have concurrent conditions that may result in decreased renal function.</w:t>
      </w:r>
    </w:p>
    <w:p w:rsidR="00FA0287" w:rsidRPr="008F33AD" w:rsidRDefault="00FA0287" w:rsidP="00810F42">
      <w:r w:rsidRPr="008F33AD">
        <w:t>In patients with moderate to severe renal dysfunction (creatinine clearance &lt;50 mL/min), including dialysis patients, accumulation of the intraven</w:t>
      </w:r>
      <w:r w:rsidR="006856ED">
        <w:t xml:space="preserve">ous vehicle SBECD occurs. </w:t>
      </w:r>
      <w:r w:rsidRPr="008F33AD">
        <w:t>Oral voriconazole should be administered to these patients unless an assessment of the risk to the patient justifies the use of intravenous voriconazole.</w:t>
      </w:r>
    </w:p>
    <w:p w:rsidR="00B169D2" w:rsidRPr="008F33AD" w:rsidRDefault="00B169D2" w:rsidP="00810F42">
      <w:pPr>
        <w:rPr>
          <w:b/>
        </w:rPr>
      </w:pPr>
      <w:r w:rsidRPr="008F33AD">
        <w:t>Patients should be monitored for the development of abnormal renal function</w:t>
      </w:r>
      <w:r w:rsidR="006856ED">
        <w:t xml:space="preserve">. </w:t>
      </w:r>
      <w:r w:rsidRPr="008F33AD">
        <w:t>This should include laboratory evaluation, particularly serum creatinine.</w:t>
      </w:r>
      <w:r w:rsidR="00FA0287" w:rsidRPr="008F33AD">
        <w:rPr>
          <w:b/>
          <w:i/>
        </w:rPr>
        <w:t xml:space="preserve"> </w:t>
      </w:r>
    </w:p>
    <w:p w:rsidR="00EA0277" w:rsidRPr="008F33AD" w:rsidRDefault="00EA0277" w:rsidP="00810F42">
      <w:pPr>
        <w:rPr>
          <w:szCs w:val="22"/>
        </w:rPr>
      </w:pPr>
      <w:r w:rsidRPr="008F33AD">
        <w:rPr>
          <w:b/>
          <w:szCs w:val="22"/>
        </w:rPr>
        <w:t xml:space="preserve">Monitoring of </w:t>
      </w:r>
      <w:r w:rsidR="001E547D" w:rsidRPr="008F33AD">
        <w:rPr>
          <w:b/>
          <w:szCs w:val="22"/>
        </w:rPr>
        <w:t>Pancreatic Function</w:t>
      </w:r>
      <w:r w:rsidRPr="008F33AD">
        <w:rPr>
          <w:b/>
          <w:szCs w:val="22"/>
        </w:rPr>
        <w:t>:</w:t>
      </w:r>
      <w:r w:rsidR="006856ED">
        <w:rPr>
          <w:szCs w:val="22"/>
        </w:rPr>
        <w:t xml:space="preserve"> </w:t>
      </w:r>
      <w:r w:rsidR="00B60963" w:rsidRPr="008F33AD">
        <w:rPr>
          <w:szCs w:val="22"/>
        </w:rPr>
        <w:t>Adults and</w:t>
      </w:r>
      <w:r w:rsidRPr="008F33AD">
        <w:rPr>
          <w:szCs w:val="22"/>
        </w:rPr>
        <w:t xml:space="preserve"> children, with risk factors for acute pancreatitis (e.g. recent chemotherapy, haematopoietic stem cell transplantation (HSCT)), should be monitored c</w:t>
      </w:r>
      <w:r w:rsidR="006856ED">
        <w:rPr>
          <w:szCs w:val="22"/>
        </w:rPr>
        <w:t xml:space="preserve">losely during VFEND treatment. </w:t>
      </w:r>
      <w:r w:rsidRPr="008F33AD">
        <w:rPr>
          <w:szCs w:val="22"/>
        </w:rPr>
        <w:t>Monitoring of serum amylase or lipase may be considered in this clinical situation</w:t>
      </w:r>
      <w:r w:rsidR="00676B5B" w:rsidRPr="008F33AD">
        <w:rPr>
          <w:szCs w:val="22"/>
        </w:rPr>
        <w:t>.</w:t>
      </w:r>
    </w:p>
    <w:p w:rsidR="006F6B50" w:rsidRDefault="00B169D2" w:rsidP="00810F42">
      <w:pPr>
        <w:rPr>
          <w:snapToGrid w:val="0"/>
        </w:rPr>
      </w:pPr>
      <w:r w:rsidRPr="008F33AD">
        <w:rPr>
          <w:b/>
        </w:rPr>
        <w:t xml:space="preserve">Dermatological </w:t>
      </w:r>
      <w:r w:rsidR="000A114C">
        <w:rPr>
          <w:b/>
        </w:rPr>
        <w:t>Adverse Events</w:t>
      </w:r>
      <w:r w:rsidRPr="008F33AD">
        <w:rPr>
          <w:b/>
        </w:rPr>
        <w:t>:</w:t>
      </w:r>
      <w:r w:rsidR="006856ED">
        <w:t xml:space="preserve"> </w:t>
      </w:r>
      <w:r w:rsidRPr="008F33AD">
        <w:t>Patients have rarely developed exfoliative cutaneous reactions, such as Stevens-Johnson syndrome, durin</w:t>
      </w:r>
      <w:r w:rsidR="006856ED">
        <w:t xml:space="preserve">g treatment with voriconazole. </w:t>
      </w:r>
      <w:r w:rsidRPr="008F33AD">
        <w:rPr>
          <w:snapToGrid w:val="0"/>
        </w:rPr>
        <w:t xml:space="preserve">If </w:t>
      </w:r>
      <w:r w:rsidR="000A114C">
        <w:rPr>
          <w:snapToGrid w:val="0"/>
        </w:rPr>
        <w:t xml:space="preserve">a </w:t>
      </w:r>
      <w:r w:rsidRPr="008F33AD">
        <w:rPr>
          <w:snapToGrid w:val="0"/>
        </w:rPr>
        <w:t>patient develop</w:t>
      </w:r>
      <w:r w:rsidR="000A114C">
        <w:rPr>
          <w:snapToGrid w:val="0"/>
        </w:rPr>
        <w:t>s</w:t>
      </w:r>
      <w:r w:rsidRPr="008F33AD">
        <w:rPr>
          <w:snapToGrid w:val="0"/>
        </w:rPr>
        <w:t xml:space="preserve"> a</w:t>
      </w:r>
      <w:r w:rsidR="000A114C">
        <w:rPr>
          <w:snapToGrid w:val="0"/>
        </w:rPr>
        <w:t>n exfoliative cutaneous reaction,</w:t>
      </w:r>
      <w:r w:rsidRPr="008F33AD">
        <w:rPr>
          <w:snapToGrid w:val="0"/>
        </w:rPr>
        <w:t xml:space="preserve"> </w:t>
      </w:r>
      <w:r w:rsidRPr="008F33AD">
        <w:t>voriconazole</w:t>
      </w:r>
      <w:r w:rsidR="00F006E2">
        <w:rPr>
          <w:snapToGrid w:val="0"/>
        </w:rPr>
        <w:t xml:space="preserve"> should be discontinued. </w:t>
      </w:r>
      <w:r w:rsidR="000A114C">
        <w:rPr>
          <w:snapToGrid w:val="0"/>
        </w:rPr>
        <w:t xml:space="preserve">In addition </w:t>
      </w:r>
      <w:r w:rsidR="000A114C">
        <w:t>v</w:t>
      </w:r>
      <w:r w:rsidRPr="008F33AD">
        <w:t xml:space="preserve">oriconazole </w:t>
      </w:r>
      <w:r w:rsidRPr="008F33AD">
        <w:rPr>
          <w:snapToGrid w:val="0"/>
        </w:rPr>
        <w:t>has been associated with p</w:t>
      </w:r>
      <w:r w:rsidR="006856ED">
        <w:rPr>
          <w:snapToGrid w:val="0"/>
        </w:rPr>
        <w:t xml:space="preserve">hotosensitivity skin reaction. </w:t>
      </w:r>
      <w:r w:rsidRPr="008F33AD">
        <w:rPr>
          <w:snapToGrid w:val="0"/>
        </w:rPr>
        <w:t xml:space="preserve">It is recommended that patients avoid </w:t>
      </w:r>
      <w:r w:rsidR="000A114C">
        <w:rPr>
          <w:snapToGrid w:val="0"/>
        </w:rPr>
        <w:t xml:space="preserve">intense or prolonged exposure to direct </w:t>
      </w:r>
      <w:r w:rsidRPr="008F33AD">
        <w:rPr>
          <w:snapToGrid w:val="0"/>
        </w:rPr>
        <w:t xml:space="preserve">sunlight during </w:t>
      </w:r>
      <w:r w:rsidRPr="008F33AD">
        <w:t xml:space="preserve">voriconazole </w:t>
      </w:r>
      <w:r w:rsidR="000A114C">
        <w:rPr>
          <w:snapToGrid w:val="0"/>
        </w:rPr>
        <w:t>treatment</w:t>
      </w:r>
      <w:r w:rsidR="006F6B50">
        <w:rPr>
          <w:snapToGrid w:val="0"/>
        </w:rPr>
        <w:t xml:space="preserve"> (see </w:t>
      </w:r>
      <w:r w:rsidR="006F6B50">
        <w:rPr>
          <w:b/>
          <w:snapToGrid w:val="0"/>
        </w:rPr>
        <w:t>Squamous Cell Carcinoma)</w:t>
      </w:r>
      <w:r w:rsidRPr="008F33AD">
        <w:rPr>
          <w:snapToGrid w:val="0"/>
        </w:rPr>
        <w:t>.</w:t>
      </w:r>
      <w:r w:rsidR="000A114C">
        <w:rPr>
          <w:snapToGrid w:val="0"/>
        </w:rPr>
        <w:t xml:space="preserve"> </w:t>
      </w:r>
    </w:p>
    <w:p w:rsidR="00B169D2" w:rsidRDefault="006F6B50" w:rsidP="00810F42">
      <w:pPr>
        <w:rPr>
          <w:snapToGrid w:val="0"/>
        </w:rPr>
      </w:pPr>
      <w:r>
        <w:rPr>
          <w:b/>
          <w:snapToGrid w:val="0"/>
        </w:rPr>
        <w:t xml:space="preserve">Squamous Cell </w:t>
      </w:r>
      <w:r w:rsidRPr="006F6B50">
        <w:rPr>
          <w:b/>
          <w:snapToGrid w:val="0"/>
        </w:rPr>
        <w:t>Carcinoma (SCC):</w:t>
      </w:r>
      <w:r>
        <w:rPr>
          <w:snapToGrid w:val="0"/>
        </w:rPr>
        <w:t xml:space="preserve"> </w:t>
      </w:r>
      <w:r w:rsidR="000A114C">
        <w:rPr>
          <w:snapToGrid w:val="0"/>
        </w:rPr>
        <w:t xml:space="preserve">In patients with photosensitivity skin reactions and additional risk factors, </w:t>
      </w:r>
      <w:r>
        <w:rPr>
          <w:snapToGrid w:val="0"/>
        </w:rPr>
        <w:t xml:space="preserve">*including immunosupression, </w:t>
      </w:r>
      <w:r w:rsidR="000A114C">
        <w:rPr>
          <w:snapToGrid w:val="0"/>
        </w:rPr>
        <w:t>squamous cell carcinoma of the skin and melanoma have been rep</w:t>
      </w:r>
      <w:r w:rsidR="006856ED">
        <w:rPr>
          <w:snapToGrid w:val="0"/>
        </w:rPr>
        <w:t xml:space="preserve">orted during long-term therapy. </w:t>
      </w:r>
      <w:r w:rsidR="000A114C">
        <w:rPr>
          <w:snapToGrid w:val="0"/>
        </w:rPr>
        <w:t>If a patient develops a skin lesion consistent with squamous cell carcinoma or melanoma, voriconazole discontinuation should be considered.</w:t>
      </w:r>
    </w:p>
    <w:p w:rsidR="00622244" w:rsidRDefault="00622244" w:rsidP="00810F42">
      <w:pPr>
        <w:rPr>
          <w:snapToGrid w:val="0"/>
        </w:rPr>
      </w:pPr>
      <w:r>
        <w:rPr>
          <w:snapToGrid w:val="0"/>
        </w:rPr>
        <w:t>*</w:t>
      </w:r>
      <w:r w:rsidRPr="00021AA3">
        <w:rPr>
          <w:b/>
          <w:snapToGrid w:val="0"/>
        </w:rPr>
        <w:t>Skeletal Adverse Events</w:t>
      </w:r>
      <w:r>
        <w:rPr>
          <w:snapToGrid w:val="0"/>
        </w:rPr>
        <w:t xml:space="preserve">: Periostitis has been reported in transplant patients during </w:t>
      </w:r>
      <w:r w:rsidR="006856ED">
        <w:rPr>
          <w:snapToGrid w:val="0"/>
        </w:rPr>
        <w:t xml:space="preserve">long-term voriconazole therapy. </w:t>
      </w:r>
      <w:r>
        <w:rPr>
          <w:snapToGrid w:val="0"/>
        </w:rPr>
        <w:t>If a patient develops skeletal pain and radiologic findings compatible with periostitis, voriconazole should be discontinued.</w:t>
      </w:r>
    </w:p>
    <w:p w:rsidR="00241850" w:rsidRPr="006856ED" w:rsidRDefault="009A6A14" w:rsidP="00810F42">
      <w:pPr>
        <w:rPr>
          <w:snapToGrid w:val="0"/>
        </w:rPr>
      </w:pPr>
      <w:r w:rsidRPr="009A6A14">
        <w:rPr>
          <w:b/>
          <w:snapToGrid w:val="0"/>
        </w:rPr>
        <w:t xml:space="preserve">Visual </w:t>
      </w:r>
      <w:r w:rsidR="00AE2C73">
        <w:rPr>
          <w:b/>
          <w:snapToGrid w:val="0"/>
        </w:rPr>
        <w:t>Adverse Events</w:t>
      </w:r>
      <w:r w:rsidR="006856ED">
        <w:rPr>
          <w:snapToGrid w:val="0"/>
        </w:rPr>
        <w:t xml:space="preserve">: There have been post-marketing reports of prolonged visual adverse events, including optic neuritis and papilloedema. These events occurred in primarily ill patients who had underlying conditions and/or consomitant medications which may have caused or contributed to these events (see </w:t>
      </w:r>
      <w:r w:rsidR="006856ED">
        <w:rPr>
          <w:b/>
          <w:bCs/>
          <w:snapToGrid w:val="0"/>
        </w:rPr>
        <w:t>ADVERSE EFFECTS, Visual Disturbances</w:t>
      </w:r>
      <w:r w:rsidR="006856ED">
        <w:rPr>
          <w:snapToGrid w:val="0"/>
        </w:rPr>
        <w:t>).</w:t>
      </w:r>
    </w:p>
    <w:p w:rsidR="00B169D2" w:rsidRPr="008F33AD" w:rsidRDefault="00B169D2" w:rsidP="00810F42">
      <w:r w:rsidRPr="008F33AD">
        <w:rPr>
          <w:b/>
        </w:rPr>
        <w:lastRenderedPageBreak/>
        <w:t>Visual Disturbances and Effect on Ability to Drive and Use Machines:</w:t>
      </w:r>
      <w:r w:rsidR="000A114C">
        <w:t xml:space="preserve"> Voriconazole may cause </w:t>
      </w:r>
      <w:r w:rsidRPr="008F33AD">
        <w:t xml:space="preserve">changes to vision, including blurring, altered/enhanced visual </w:t>
      </w:r>
      <w:r w:rsidR="00750E5E">
        <w:t xml:space="preserve">perception and/or photophobia. </w:t>
      </w:r>
      <w:r w:rsidRPr="008F33AD">
        <w:t>Patients must avoid potentially hazardous tasks, such as driving or operating machinery whils</w:t>
      </w:r>
      <w:r w:rsidR="00750E5E">
        <w:t xml:space="preserve">t experiencing these symptoms. </w:t>
      </w:r>
      <w:r w:rsidRPr="008F33AD">
        <w:t>Patients should be advised not to drive at night while taking voriconazole.</w:t>
      </w:r>
    </w:p>
    <w:p w:rsidR="006B1F5E" w:rsidRDefault="00F95EB9" w:rsidP="00810F42">
      <w:pPr>
        <w:rPr>
          <w:snapToGrid w:val="0"/>
        </w:rPr>
      </w:pPr>
      <w:r w:rsidRPr="008F33AD">
        <w:rPr>
          <w:b/>
        </w:rPr>
        <w:t>Methadone</w:t>
      </w:r>
      <w:r w:rsidRPr="008F33AD">
        <w:t xml:space="preserve"> (CYP3A4 substrate): </w:t>
      </w:r>
      <w:r w:rsidRPr="008F33AD">
        <w:rPr>
          <w:snapToGrid w:val="0"/>
        </w:rPr>
        <w:t>Increased plasma concentrations of methadone have been associated with toxic</w:t>
      </w:r>
      <w:r w:rsidR="00750E5E">
        <w:rPr>
          <w:snapToGrid w:val="0"/>
        </w:rPr>
        <w:t xml:space="preserve">ity including QT prolongation. </w:t>
      </w:r>
      <w:r w:rsidRPr="008F33AD">
        <w:rPr>
          <w:snapToGrid w:val="0"/>
        </w:rPr>
        <w:t>Frequent monitoring for adverse events and toxicity related to methadone is recomm</w:t>
      </w:r>
      <w:r w:rsidR="00750E5E">
        <w:rPr>
          <w:snapToGrid w:val="0"/>
        </w:rPr>
        <w:t xml:space="preserve">ended during coadministration. </w:t>
      </w:r>
      <w:r w:rsidRPr="008F33AD">
        <w:rPr>
          <w:snapToGrid w:val="0"/>
        </w:rPr>
        <w:t xml:space="preserve">Dose reduction of methadone may be needed (see </w:t>
      </w:r>
      <w:r w:rsidR="004705D1">
        <w:rPr>
          <w:b/>
        </w:rPr>
        <w:t>INTERACTIONS WITH OTHER MEDICINES</w:t>
      </w:r>
      <w:r w:rsidRPr="008F33AD">
        <w:rPr>
          <w:snapToGrid w:val="0"/>
        </w:rPr>
        <w:t>).</w:t>
      </w:r>
    </w:p>
    <w:p w:rsidR="00337906" w:rsidRDefault="00337906" w:rsidP="00810F42">
      <w:pPr>
        <w:rPr>
          <w:snapToGrid w:val="0"/>
        </w:rPr>
      </w:pPr>
      <w:r>
        <w:rPr>
          <w:b/>
          <w:snapToGrid w:val="0"/>
        </w:rPr>
        <w:t xml:space="preserve">Short Acting Opiates </w:t>
      </w:r>
      <w:r>
        <w:rPr>
          <w:snapToGrid w:val="0"/>
        </w:rPr>
        <w:t>(CYP3A4 substrate): Reduction in the dose of alfentanil and other short acting opiates similar in structure to alfentanil and metabolised by CYP3A4 (e.g., sufentanil, fentanyl</w:t>
      </w:r>
      <w:r w:rsidR="009F12D7">
        <w:rPr>
          <w:snapToGrid w:val="0"/>
        </w:rPr>
        <w:t>, remifentanil</w:t>
      </w:r>
      <w:r>
        <w:rPr>
          <w:snapToGrid w:val="0"/>
        </w:rPr>
        <w:t>) should be considered when coadministered with voriconazole</w:t>
      </w:r>
      <w:r w:rsidR="00813D07">
        <w:rPr>
          <w:snapToGrid w:val="0"/>
        </w:rPr>
        <w:t xml:space="preserve"> (see </w:t>
      </w:r>
      <w:r w:rsidR="004705D1">
        <w:rPr>
          <w:b/>
        </w:rPr>
        <w:t>INTERACTIONS WITH OTHER MEDICINES</w:t>
      </w:r>
      <w:r w:rsidR="00813D07">
        <w:rPr>
          <w:b/>
          <w:snapToGrid w:val="0"/>
        </w:rPr>
        <w:t>)</w:t>
      </w:r>
      <w:r>
        <w:rPr>
          <w:snapToGrid w:val="0"/>
        </w:rPr>
        <w:t xml:space="preserve">. </w:t>
      </w:r>
      <w:r w:rsidR="00813D07">
        <w:rPr>
          <w:snapToGrid w:val="0"/>
        </w:rPr>
        <w:t>As the half-life of alfentanil is prolonged in a 4-fold manner when alfentanil is coadministered with voriconazole, f</w:t>
      </w:r>
      <w:r>
        <w:rPr>
          <w:snapToGrid w:val="0"/>
        </w:rPr>
        <w:t>requent monitoring for opiate associated adverse events (including a longer respiratory monitoring period) may be necessary.</w:t>
      </w:r>
    </w:p>
    <w:p w:rsidR="00337906" w:rsidRDefault="00337906" w:rsidP="00810F42">
      <w:pPr>
        <w:rPr>
          <w:snapToGrid w:val="0"/>
        </w:rPr>
      </w:pPr>
      <w:r>
        <w:rPr>
          <w:b/>
          <w:snapToGrid w:val="0"/>
        </w:rPr>
        <w:t xml:space="preserve">Oxycodone </w:t>
      </w:r>
      <w:r>
        <w:rPr>
          <w:snapToGrid w:val="0"/>
        </w:rPr>
        <w:t>(CYP3A4 substrate): Reduction in the dose of oxycodone and other long-acting opiates metabolised by CYP3A4 (e.g., hydrocodone) should be considered when coadministered with voriconazole. Frequent monitoring for opiate associated adverse events may be necessary</w:t>
      </w:r>
      <w:r w:rsidR="0026572A">
        <w:rPr>
          <w:snapToGrid w:val="0"/>
        </w:rPr>
        <w:t xml:space="preserve"> (see </w:t>
      </w:r>
      <w:r w:rsidR="004705D1">
        <w:rPr>
          <w:b/>
        </w:rPr>
        <w:t>INTERACTIONS WITH OTHER MEDICINES</w:t>
      </w:r>
      <w:r w:rsidR="0026572A">
        <w:rPr>
          <w:b/>
          <w:snapToGrid w:val="0"/>
        </w:rPr>
        <w:t>)</w:t>
      </w:r>
      <w:r>
        <w:rPr>
          <w:snapToGrid w:val="0"/>
        </w:rPr>
        <w:t>.</w:t>
      </w:r>
    </w:p>
    <w:p w:rsidR="00945C5E" w:rsidRDefault="00C92D67" w:rsidP="00810F42">
      <w:pPr>
        <w:rPr>
          <w:b/>
          <w:snapToGrid w:val="0"/>
        </w:rPr>
      </w:pPr>
      <w:r>
        <w:rPr>
          <w:b/>
          <w:snapToGrid w:val="0"/>
        </w:rPr>
        <w:t>*</w:t>
      </w:r>
      <w:r w:rsidR="00945C5E">
        <w:rPr>
          <w:b/>
          <w:snapToGrid w:val="0"/>
        </w:rPr>
        <w:t xml:space="preserve">Everolimus </w:t>
      </w:r>
      <w:r w:rsidR="00945C5E">
        <w:rPr>
          <w:snapToGrid w:val="0"/>
        </w:rPr>
        <w:t xml:space="preserve">(CYP3A4 substrate, P-gp substrate): Coadministration of </w:t>
      </w:r>
      <w:r>
        <w:rPr>
          <w:snapToGrid w:val="0"/>
        </w:rPr>
        <w:t>voriconazole with everolimus is not recommended because voriconazole is expected to significantly incr</w:t>
      </w:r>
      <w:r w:rsidR="00750E5E">
        <w:rPr>
          <w:snapToGrid w:val="0"/>
        </w:rPr>
        <w:t xml:space="preserve">ease everolimus concentrations. </w:t>
      </w:r>
      <w:r>
        <w:rPr>
          <w:snapToGrid w:val="0"/>
        </w:rPr>
        <w:t xml:space="preserve">Currently there are insufficient data to allow dosing recommendations in this situation </w:t>
      </w:r>
      <w:r w:rsidRPr="009B2B3C">
        <w:rPr>
          <w:snapToGrid w:val="0"/>
        </w:rPr>
        <w:t xml:space="preserve">(see </w:t>
      </w:r>
      <w:r w:rsidR="004705D1">
        <w:rPr>
          <w:b/>
        </w:rPr>
        <w:t>INTERACTIONS WITH OTHER MEDICINES</w:t>
      </w:r>
      <w:r w:rsidRPr="009B2B3C">
        <w:rPr>
          <w:b/>
          <w:snapToGrid w:val="0"/>
        </w:rPr>
        <w:t>).</w:t>
      </w:r>
    </w:p>
    <w:p w:rsidR="00C92D67" w:rsidRDefault="00C92D67" w:rsidP="00810F42">
      <w:pPr>
        <w:rPr>
          <w:b/>
          <w:snapToGrid w:val="0"/>
        </w:rPr>
      </w:pPr>
      <w:r>
        <w:rPr>
          <w:b/>
          <w:snapToGrid w:val="0"/>
        </w:rPr>
        <w:t xml:space="preserve">*Fluconazole </w:t>
      </w:r>
      <w:r>
        <w:rPr>
          <w:snapToGrid w:val="0"/>
        </w:rPr>
        <w:t>(CYP2C9,</w:t>
      </w:r>
      <w:r w:rsidR="00750E5E">
        <w:rPr>
          <w:snapToGrid w:val="0"/>
        </w:rPr>
        <w:t xml:space="preserve"> CYP2C19 and CYP3A4 inhibitor): </w:t>
      </w:r>
      <w:r>
        <w:rPr>
          <w:snapToGrid w:val="0"/>
        </w:rPr>
        <w:t xml:space="preserve">Coadministration of oral voriconazole and oral fluconazole resulted in significant increase in </w:t>
      </w:r>
      <w:r w:rsidRPr="008F33AD">
        <w:t>C</w:t>
      </w:r>
      <w:r w:rsidRPr="008F33AD">
        <w:rPr>
          <w:vertAlign w:val="subscript"/>
        </w:rPr>
        <w:t>max</w:t>
      </w:r>
      <w:r w:rsidRPr="008F33AD">
        <w:t xml:space="preserve"> and AUC</w:t>
      </w:r>
      <w:r w:rsidRPr="008F33AD">
        <w:rPr>
          <w:vertAlign w:val="subscript"/>
        </w:rPr>
        <w:sym w:font="Symbol" w:char="F074"/>
      </w:r>
      <w:r>
        <w:t xml:space="preserve"> of voriconazole in healthy subjects. </w:t>
      </w:r>
      <w:r w:rsidR="00ED2236">
        <w:t>The clinical significance of this drug interaction has not been established and the coadministration of voriconazole and oral fluconazole is not recommended.</w:t>
      </w:r>
    </w:p>
    <w:p w:rsidR="006B1F5E" w:rsidRPr="008F33AD" w:rsidRDefault="00B169D2" w:rsidP="00810F42">
      <w:r w:rsidRPr="008F33AD">
        <w:rPr>
          <w:b/>
        </w:rPr>
        <w:t>Phenytoin</w:t>
      </w:r>
      <w:r w:rsidRPr="008F33AD">
        <w:t xml:space="preserve"> (CYP2C9 substrate and potent CYP450 inducer): Careful monitoring of phenytoin levels is recommended when phenytoin is coa</w:t>
      </w:r>
      <w:r w:rsidR="00750E5E">
        <w:t xml:space="preserve">dministered with voriconazole. </w:t>
      </w:r>
      <w:r w:rsidRPr="008F33AD">
        <w:t xml:space="preserve">Concomitant use of voriconazole and phenytoin should be avoided unless the benefit outweighs the risk (see </w:t>
      </w:r>
      <w:r w:rsidR="004705D1">
        <w:rPr>
          <w:b/>
        </w:rPr>
        <w:t>INTERACTIONS WITH OTHER MEDICINES</w:t>
      </w:r>
      <w:r w:rsidRPr="008F33AD">
        <w:t>).</w:t>
      </w:r>
    </w:p>
    <w:p w:rsidR="00671BB4" w:rsidRPr="008F33AD" w:rsidRDefault="00671BB4" w:rsidP="00810F42">
      <w:pPr>
        <w:rPr>
          <w:szCs w:val="24"/>
        </w:rPr>
      </w:pPr>
      <w:r w:rsidRPr="008F33AD">
        <w:rPr>
          <w:b/>
          <w:szCs w:val="24"/>
        </w:rPr>
        <w:t>Ritonavir</w:t>
      </w:r>
      <w:r w:rsidRPr="008F33AD">
        <w:rPr>
          <w:szCs w:val="24"/>
        </w:rPr>
        <w:t xml:space="preserve"> (potent CYP450 inducer; CYP3A4 inhibitor and substrate): Coadministration of voriconazole and low dose ritonavir (100 mg twice daily) should be avoided unless an assessment of the benefit/risk justifies the use of voriconazole (see </w:t>
      </w:r>
      <w:r w:rsidR="004705D1">
        <w:rPr>
          <w:b/>
        </w:rPr>
        <w:t>INTERACTIONS WITH OTHER MEDICINES</w:t>
      </w:r>
      <w:r w:rsidRPr="008F33AD">
        <w:rPr>
          <w:szCs w:val="24"/>
        </w:rPr>
        <w:t>).</w:t>
      </w:r>
      <w:r w:rsidR="00750E5E">
        <w:rPr>
          <w:szCs w:val="24"/>
        </w:rPr>
        <w:t xml:space="preserve"> </w:t>
      </w:r>
      <w:r w:rsidR="00BA65F6" w:rsidRPr="008F33AD">
        <w:rPr>
          <w:bCs/>
        </w:rPr>
        <w:t xml:space="preserve">Coadministration of voriconazole and ritonavir </w:t>
      </w:r>
      <w:r w:rsidR="00732CF3">
        <w:rPr>
          <w:bCs/>
        </w:rPr>
        <w:t>400 mg twice daily</w:t>
      </w:r>
      <w:r w:rsidR="00BA65F6" w:rsidRPr="008F33AD">
        <w:rPr>
          <w:bCs/>
        </w:rPr>
        <w:t xml:space="preserve"> is contraindicate</w:t>
      </w:r>
      <w:r w:rsidR="00755B95">
        <w:rPr>
          <w:bCs/>
        </w:rPr>
        <w:t>d</w:t>
      </w:r>
      <w:r w:rsidR="00CD14EB">
        <w:rPr>
          <w:bCs/>
        </w:rPr>
        <w:t xml:space="preserve"> (see </w:t>
      </w:r>
      <w:r w:rsidR="00CD14EB">
        <w:rPr>
          <w:b/>
          <w:bCs/>
        </w:rPr>
        <w:t>CONTRAINDICATIONS</w:t>
      </w:r>
      <w:r w:rsidR="00CD14EB">
        <w:rPr>
          <w:bCs/>
        </w:rPr>
        <w:t>)</w:t>
      </w:r>
      <w:r w:rsidR="00755B95">
        <w:rPr>
          <w:bCs/>
        </w:rPr>
        <w:t>.</w:t>
      </w:r>
    </w:p>
    <w:p w:rsidR="00B169D2" w:rsidRPr="008F33AD" w:rsidRDefault="001C33B7" w:rsidP="00810F42">
      <w:r w:rsidRPr="008F33AD">
        <w:rPr>
          <w:b/>
        </w:rPr>
        <w:t>Advice about Lactose and Sucrose</w:t>
      </w:r>
      <w:r w:rsidRPr="008F33AD">
        <w:t xml:space="preserve">: </w:t>
      </w:r>
      <w:r w:rsidR="00B169D2" w:rsidRPr="008F33AD">
        <w:t>VFEND Tablets contain lactose and should not be given to patients with rare hereditary problems of galactose intolerance, Lapp lactase deficiency or glucose-galactose malabsorption.</w:t>
      </w:r>
    </w:p>
    <w:p w:rsidR="00B169D2" w:rsidRPr="008F33AD" w:rsidRDefault="00B169D2" w:rsidP="00810F42">
      <w:r w:rsidRPr="008F33AD">
        <w:lastRenderedPageBreak/>
        <w:t>VFEND Powder for Oral Suspension contains sucrose (0.54 g/mL) and should not be given to patients with rare hereditary problems of fructose intolerance, sucrase-isomaltase deficiency or glucose-galactose malabsorption.</w:t>
      </w:r>
    </w:p>
    <w:p w:rsidR="000153DC" w:rsidRDefault="001C33B7" w:rsidP="00810F42">
      <w:r w:rsidRPr="008F33AD">
        <w:rPr>
          <w:b/>
        </w:rPr>
        <w:t>Sodium Content</w:t>
      </w:r>
      <w:r w:rsidRPr="008F33AD">
        <w:t xml:space="preserve">: Each vial of VFEND Powder for Injection contains 217.6 mg of sodium.  This </w:t>
      </w:r>
      <w:r w:rsidR="00B655CA" w:rsidRPr="008F33AD">
        <w:t>should be taken into consideration for patients on a controlled sodium diet.</w:t>
      </w:r>
      <w:r w:rsidR="000153DC" w:rsidRPr="008F33AD">
        <w:tab/>
      </w:r>
    </w:p>
    <w:p w:rsidR="00C4208C" w:rsidRPr="008F33AD" w:rsidRDefault="00C4208C" w:rsidP="004D6B2D">
      <w:pPr>
        <w:pStyle w:val="Heading1"/>
      </w:pPr>
      <w:r>
        <w:t xml:space="preserve">Effects on </w:t>
      </w:r>
      <w:r w:rsidRPr="008F33AD">
        <w:t>Fertility</w:t>
      </w:r>
    </w:p>
    <w:p w:rsidR="00C4208C" w:rsidRPr="008F33AD" w:rsidRDefault="00C4208C" w:rsidP="00810F42">
      <w:r w:rsidRPr="008F33AD">
        <w:t>Fertility of male and female rats was not affected at oral doses of up to 50 mg/kg/day, corresponding to exposures 4-6 times the expected human exposure (based on AUC) at the maintenance dose.</w:t>
      </w:r>
    </w:p>
    <w:p w:rsidR="00B169D2" w:rsidRPr="008F33AD" w:rsidRDefault="00B169D2" w:rsidP="004D6B2D">
      <w:pPr>
        <w:pStyle w:val="Heading1"/>
      </w:pPr>
      <w:r w:rsidRPr="008F33AD">
        <w:t>Use in Pregnancy</w:t>
      </w:r>
    </w:p>
    <w:p w:rsidR="00B169D2" w:rsidRPr="008F33AD" w:rsidRDefault="00B169D2" w:rsidP="004D6B2D">
      <w:pPr>
        <w:pStyle w:val="Heading2"/>
      </w:pPr>
      <w:r w:rsidRPr="008F33AD">
        <w:t>Pregnancy Category B3</w:t>
      </w:r>
    </w:p>
    <w:p w:rsidR="00B169D2" w:rsidRPr="008F33AD" w:rsidRDefault="00B169D2" w:rsidP="00810F42">
      <w:pPr>
        <w:rPr>
          <w:b/>
          <w:u w:val="single"/>
        </w:rPr>
      </w:pPr>
      <w:r w:rsidRPr="008F33AD">
        <w:t xml:space="preserve">There are no adequate studies in pregnant women.  Studies in rats have shown reproductive toxicity, including teratogenicity (cleft palates) at oral doses of </w:t>
      </w:r>
      <w:r w:rsidRPr="008F33AD">
        <w:sym w:font="Symbol" w:char="F0B3"/>
      </w:r>
      <w:r w:rsidRPr="008F33AD">
        <w:t xml:space="preserve">10 mg/kg/day and disturbance of parturition (dystocia) at oral doses of </w:t>
      </w:r>
      <w:r w:rsidRPr="008F33AD">
        <w:sym w:font="Symbol" w:char="F0B3"/>
      </w:r>
      <w:r w:rsidRPr="008F33AD">
        <w:t>3 mg/kg/day, with exposures similar to or below those expected in</w:t>
      </w:r>
      <w:r w:rsidR="00750E5E">
        <w:t xml:space="preserve"> humans at maintenance dosing. </w:t>
      </w:r>
      <w:r w:rsidRPr="008F33AD">
        <w:t>Voriconazole was not teratogenic in rabbits at oral doses of up to 100 mg/kg/day, but produced an increase in post implantation loss and a decrease in foetal body weight, with exposures approximately 4</w:t>
      </w:r>
      <w:r w:rsidR="00064618" w:rsidRPr="008F33AD">
        <w:t> </w:t>
      </w:r>
      <w:r w:rsidRPr="008F33AD">
        <w:t>time</w:t>
      </w:r>
      <w:r w:rsidR="00750E5E">
        <w:t xml:space="preserve">s the expected human exposure. </w:t>
      </w:r>
      <w:r w:rsidRPr="008F33AD">
        <w:t>Voriconazole must not be used during pregnancy except in patients with severe or potentially life-threatening fungal infections in whom voriconazole may be used if the benefit to the mother clearly outweighs the potential risk to the foetus</w:t>
      </w:r>
      <w:r w:rsidRPr="008F33AD">
        <w:rPr>
          <w:i/>
        </w:rPr>
        <w:t>.</w:t>
      </w:r>
    </w:p>
    <w:p w:rsidR="00B169D2" w:rsidRPr="008F33AD" w:rsidRDefault="00B169D2" w:rsidP="004D6B2D">
      <w:pPr>
        <w:pStyle w:val="Heading2"/>
      </w:pPr>
      <w:r w:rsidRPr="008F33AD">
        <w:t>Women of Childbearing Potential</w:t>
      </w:r>
    </w:p>
    <w:p w:rsidR="00B169D2" w:rsidRPr="008F33AD" w:rsidRDefault="00B169D2" w:rsidP="00810F42">
      <w:r w:rsidRPr="008F33AD">
        <w:t xml:space="preserve">Women of childbearing potential must always use effective contraception during treatment (see </w:t>
      </w:r>
      <w:r w:rsidRPr="008C309D">
        <w:rPr>
          <w:b/>
          <w:bCs/>
          <w:i/>
        </w:rPr>
        <w:t>Pregnancy</w:t>
      </w:r>
      <w:r w:rsidR="008C309D" w:rsidRPr="008C309D">
        <w:rPr>
          <w:b/>
          <w:bCs/>
          <w:i/>
        </w:rPr>
        <w:t xml:space="preserve"> Category B3</w:t>
      </w:r>
      <w:r w:rsidRPr="008F33AD">
        <w:t>).</w:t>
      </w:r>
    </w:p>
    <w:p w:rsidR="00B169D2" w:rsidRPr="008F33AD" w:rsidRDefault="00B169D2" w:rsidP="004D6B2D">
      <w:pPr>
        <w:pStyle w:val="Heading1"/>
      </w:pPr>
      <w:r w:rsidRPr="008F33AD">
        <w:t>Use in Lactation</w:t>
      </w:r>
    </w:p>
    <w:p w:rsidR="00750E5E" w:rsidRDefault="00B169D2" w:rsidP="00810F42">
      <w:r w:rsidRPr="008F33AD">
        <w:t>It is not known whether voriconazole is excreted in the milk of laboratory animals or in human breast milk.  Voriconazole must not be used in nursing mothers unless the benefit clearly outweighs the risk.</w:t>
      </w:r>
    </w:p>
    <w:p w:rsidR="00C4208C" w:rsidRDefault="00C4208C" w:rsidP="004D6B2D">
      <w:pPr>
        <w:pStyle w:val="Heading2"/>
      </w:pPr>
      <w:r w:rsidRPr="008F33AD">
        <w:t>Paediatric Use</w:t>
      </w:r>
    </w:p>
    <w:p w:rsidR="00C4208C" w:rsidRPr="008F33AD" w:rsidRDefault="00C4208C" w:rsidP="00810F42">
      <w:r w:rsidRPr="008F33AD">
        <w:t xml:space="preserve">Safety and </w:t>
      </w:r>
      <w:r>
        <w:t>efficacy</w:t>
      </w:r>
      <w:r w:rsidRPr="008F33AD">
        <w:t xml:space="preserve"> in paediatric subjects below the age of two years has not been established (see </w:t>
      </w:r>
      <w:r w:rsidRPr="008F33AD">
        <w:rPr>
          <w:b/>
          <w:bCs/>
        </w:rPr>
        <w:t>CLINICAL TRIALS</w:t>
      </w:r>
      <w:r w:rsidRPr="008F33AD">
        <w:t>).  Hepatic function and pancreatic function should be monitored.</w:t>
      </w:r>
    </w:p>
    <w:p w:rsidR="00C4208C" w:rsidRPr="008F33AD" w:rsidRDefault="00C4208C" w:rsidP="004D6B2D">
      <w:pPr>
        <w:pStyle w:val="Heading2"/>
      </w:pPr>
      <w:r w:rsidRPr="008F33AD">
        <w:t>Carcinogen</w:t>
      </w:r>
      <w:r>
        <w:t>icity</w:t>
      </w:r>
      <w:r w:rsidRPr="008F33AD">
        <w:t xml:space="preserve"> and Mutagen</w:t>
      </w:r>
      <w:r>
        <w:t>icity</w:t>
      </w:r>
    </w:p>
    <w:p w:rsidR="00D93C37" w:rsidRPr="008F33AD" w:rsidRDefault="00D93C37" w:rsidP="00810F42">
      <w:r w:rsidRPr="008F33AD">
        <w:t>Carcinogenic potential was studied in mice and rats at oral doses of up to 100 mg/kg/day and 50 mg/kg/da</w:t>
      </w:r>
      <w:r w:rsidR="00750E5E">
        <w:t xml:space="preserve">y for 24 months, respectively. </w:t>
      </w:r>
      <w:r w:rsidRPr="008F33AD">
        <w:t>Hepatocellular adenoma appeared in male and female mice at 100 mg/kg/day and i</w:t>
      </w:r>
      <w:r w:rsidR="00750E5E">
        <w:t xml:space="preserve">n female rats at 50 mg/kg/day. </w:t>
      </w:r>
      <w:r w:rsidRPr="008F33AD">
        <w:t>There was also an increased incidence of hepatocellular carci</w:t>
      </w:r>
      <w:r w:rsidR="00750E5E">
        <w:t xml:space="preserve">noma in mice at 100 mg/kg/day. </w:t>
      </w:r>
      <w:r w:rsidRPr="008F33AD">
        <w:t>Although mean plasma drug concentrations indicated there is no safety margin in humans in terms of exposure, adenoma and carcinoma (as well as non-neoplastic changes) are known to occur in rodents after chronic administration of compounds that are hepatic enzyme inducers.</w:t>
      </w:r>
    </w:p>
    <w:p w:rsidR="00D93C37" w:rsidRPr="008F33AD" w:rsidRDefault="00D93C37" w:rsidP="00810F42">
      <w:r w:rsidRPr="008F33AD">
        <w:lastRenderedPageBreak/>
        <w:t>Voriconazole showed no mutagenic potential in gene-mutation assays in bacterial (</w:t>
      </w:r>
      <w:r w:rsidRPr="008F33AD">
        <w:rPr>
          <w:i/>
        </w:rPr>
        <w:t>Salmonella typhimurium</w:t>
      </w:r>
      <w:r w:rsidRPr="008F33AD">
        <w:t xml:space="preserve">) and mammalian </w:t>
      </w:r>
      <w:r w:rsidR="00750E5E">
        <w:t xml:space="preserve">(Chinese hamster ovary) cells. </w:t>
      </w:r>
      <w:r w:rsidRPr="008F33AD">
        <w:t xml:space="preserve">While </w:t>
      </w:r>
      <w:r w:rsidRPr="008F33AD">
        <w:rPr>
          <w:i/>
        </w:rPr>
        <w:t>in vitro</w:t>
      </w:r>
      <w:r w:rsidRPr="008F33AD">
        <w:t xml:space="preserve"> exposure of human lymphocytes to voriconazole produced equivocal effects on chromosomes, </w:t>
      </w:r>
      <w:r w:rsidRPr="008F33AD">
        <w:rPr>
          <w:i/>
        </w:rPr>
        <w:t>in vivo</w:t>
      </w:r>
      <w:r w:rsidRPr="008F33AD">
        <w:t xml:space="preserve"> treatment of male and female mice at doses up to and including the maximum tolerated dose produced no evidence of chromosome damage as determined by the micronucleus assay.</w:t>
      </w:r>
    </w:p>
    <w:p w:rsidR="00B169D2" w:rsidRPr="00627285" w:rsidRDefault="00C4208C" w:rsidP="004D6B2D">
      <w:pPr>
        <w:pStyle w:val="Heading1"/>
      </w:pPr>
      <w:r w:rsidRPr="00627285">
        <w:t>INTERACTIONS WITH OTHER MEDICINES</w:t>
      </w:r>
    </w:p>
    <w:p w:rsidR="006B3C10" w:rsidRPr="008F33AD" w:rsidRDefault="00B169D2" w:rsidP="00810F42">
      <w:r w:rsidRPr="008F33AD">
        <w:t>Unless otherwise specified, drug interaction studies have been performed in healthy male subjects, using multiple dosing to steady state with oral voriconazole at 200 mg twice daily.  These results are relevant to other populations and routes of administration.</w:t>
      </w:r>
    </w:p>
    <w:p w:rsidR="00B169D2" w:rsidRPr="008F33AD" w:rsidRDefault="00B169D2" w:rsidP="00810F42">
      <w:r w:rsidRPr="008F33AD">
        <w:t>This section addresses the effects of other medicinal products on voriconazole, the effects of voriconazole on other medicinal prod</w:t>
      </w:r>
      <w:r w:rsidR="00750E5E">
        <w:t xml:space="preserve">ucts and two-way interactions. </w:t>
      </w:r>
      <w:r w:rsidRPr="008F33AD">
        <w:t xml:space="preserve">The interactions for the first two sections are presented in the following order: contraindications, those requiring dosage adjustment, those requiring careful </w:t>
      </w:r>
      <w:r w:rsidR="006B3C10">
        <w:t>clinical and/or bio</w:t>
      </w:r>
      <w:r w:rsidR="009C5A3F">
        <w:t>chemical</w:t>
      </w:r>
      <w:r w:rsidR="006B3C10">
        <w:t xml:space="preserve"> </w:t>
      </w:r>
      <w:r w:rsidRPr="008F33AD">
        <w:t>monitoring</w:t>
      </w:r>
      <w:r w:rsidR="006B3C10">
        <w:t>,</w:t>
      </w:r>
      <w:r w:rsidRPr="008F33AD">
        <w:t xml:space="preserve"> and finally those that have no significant pharmacokinetic interaction</w:t>
      </w:r>
      <w:r w:rsidR="006B3C10">
        <w:t xml:space="preserve"> but may be of clinical interest in this therapeutic field</w:t>
      </w:r>
      <w:r w:rsidRPr="008F33AD">
        <w:t>.</w:t>
      </w:r>
    </w:p>
    <w:p w:rsidR="00B169D2" w:rsidRPr="008F33AD" w:rsidRDefault="00B169D2" w:rsidP="004D6B2D">
      <w:pPr>
        <w:pStyle w:val="Heading2"/>
      </w:pPr>
      <w:r w:rsidRPr="008F33AD">
        <w:t>Effects of Other Medicinal Products on Voriconazole</w:t>
      </w:r>
    </w:p>
    <w:p w:rsidR="00B169D2" w:rsidRPr="008F33AD" w:rsidRDefault="00B169D2" w:rsidP="00810F42">
      <w:r w:rsidRPr="008F33AD">
        <w:t>Voriconazole is metabolised by cytochrome P450 isoenzyme</w:t>
      </w:r>
      <w:r w:rsidR="00750E5E">
        <w:t xml:space="preserve">s, CYP2C19, CYP2C9 and CYP3A4. </w:t>
      </w:r>
      <w:r w:rsidRPr="008F33AD">
        <w:t>Inhibitors or inducers of these isoenzymes may increase or decrease voriconazole plasma concentrations, respectively.</w:t>
      </w:r>
    </w:p>
    <w:p w:rsidR="00B169D2" w:rsidRPr="008F33AD" w:rsidRDefault="00B169D2" w:rsidP="00810F42">
      <w:pPr>
        <w:rPr>
          <w:i/>
          <w:u w:val="single"/>
        </w:rPr>
      </w:pPr>
      <w:r w:rsidRPr="008F33AD">
        <w:rPr>
          <w:i/>
          <w:u w:val="single"/>
        </w:rPr>
        <w:t xml:space="preserve">The exposure to voriconazole is significantly reduced by the concomitant administration of the following agents: </w:t>
      </w:r>
    </w:p>
    <w:bookmarkEnd w:id="2"/>
    <w:bookmarkEnd w:id="3"/>
    <w:p w:rsidR="00B169D2" w:rsidRDefault="00B169D2" w:rsidP="00810F42">
      <w:pPr>
        <w:rPr>
          <w:b/>
        </w:rPr>
      </w:pPr>
      <w:r w:rsidRPr="008F33AD">
        <w:rPr>
          <w:b/>
          <w:i/>
          <w:iCs/>
        </w:rPr>
        <w:t>Rifampicin</w:t>
      </w:r>
      <w:r w:rsidRPr="008F33AD">
        <w:rPr>
          <w:b/>
        </w:rPr>
        <w:t xml:space="preserve"> </w:t>
      </w:r>
      <w:r w:rsidR="00750E5E">
        <w:t xml:space="preserve">(CYP450 inducer): </w:t>
      </w:r>
      <w:r w:rsidRPr="008F33AD">
        <w:t>Rifampicin (600 mg once daily) decreased the C</w:t>
      </w:r>
      <w:r w:rsidRPr="008F33AD">
        <w:rPr>
          <w:vertAlign w:val="subscript"/>
        </w:rPr>
        <w:t>max</w:t>
      </w:r>
      <w:r w:rsidRPr="008F33AD">
        <w:t xml:space="preserve"> (maximum plasma concentration) and AUC</w:t>
      </w:r>
      <w:r w:rsidRPr="008F33AD">
        <w:rPr>
          <w:vertAlign w:val="subscript"/>
        </w:rPr>
        <w:sym w:font="Symbol" w:char="F074"/>
      </w:r>
      <w:r w:rsidRPr="008F33AD">
        <w:t xml:space="preserve"> (area under the plasma concentration time curve within a dose interval) of voriconazole</w:t>
      </w:r>
      <w:r w:rsidR="00750E5E">
        <w:t xml:space="preserve"> by 93% and 96%, respectively. </w:t>
      </w:r>
      <w:r w:rsidRPr="008F33AD">
        <w:t xml:space="preserve">Coadministration of voriconazole and rifampicin is contraindicated (see </w:t>
      </w:r>
      <w:r w:rsidRPr="008F33AD">
        <w:rPr>
          <w:b/>
          <w:bCs/>
        </w:rPr>
        <w:t>CONTRAINDICATIONS</w:t>
      </w:r>
      <w:r w:rsidRPr="008F33AD">
        <w:t>)</w:t>
      </w:r>
      <w:r w:rsidRPr="008F33AD">
        <w:rPr>
          <w:b/>
        </w:rPr>
        <w:t>.</w:t>
      </w:r>
    </w:p>
    <w:p w:rsidR="007F2B5E" w:rsidRPr="008F33AD" w:rsidRDefault="007F2B5E" w:rsidP="00810F42">
      <w:r>
        <w:rPr>
          <w:b/>
          <w:i/>
          <w:iCs/>
        </w:rPr>
        <w:t>*</w:t>
      </w:r>
      <w:r w:rsidRPr="008F33AD">
        <w:rPr>
          <w:b/>
          <w:i/>
          <w:iCs/>
        </w:rPr>
        <w:t>Rifabutin</w:t>
      </w:r>
      <w:r w:rsidRPr="008F33AD">
        <w:rPr>
          <w:b/>
        </w:rPr>
        <w:t xml:space="preserve"> </w:t>
      </w:r>
      <w:r w:rsidRPr="008F33AD">
        <w:t>(potent CYP450 inducer): Rifabutin (300 mg once daily) decreased the C</w:t>
      </w:r>
      <w:r w:rsidRPr="008F33AD">
        <w:rPr>
          <w:vertAlign w:val="subscript"/>
        </w:rPr>
        <w:t>max</w:t>
      </w:r>
      <w:r w:rsidRPr="008F33AD">
        <w:t xml:space="preserve"> and AUC</w:t>
      </w:r>
      <w:r w:rsidRPr="008F33AD">
        <w:rPr>
          <w:vertAlign w:val="subscript"/>
        </w:rPr>
        <w:sym w:font="Symbol" w:char="F074"/>
      </w:r>
      <w:r w:rsidRPr="008F33AD">
        <w:rPr>
          <w:vertAlign w:val="subscript"/>
        </w:rPr>
        <w:t xml:space="preserve"> </w:t>
      </w:r>
      <w:r w:rsidRPr="008F33AD">
        <w:t>of voriconazole at 200 mg twice daily</w:t>
      </w:r>
      <w:r w:rsidR="00750E5E">
        <w:t xml:space="preserve"> by 69% and 78%, respectively. </w:t>
      </w:r>
      <w:r w:rsidRPr="00197259">
        <w:rPr>
          <w:snapToGrid w:val="0"/>
        </w:rPr>
        <w:t>During coadministration with rifabutin, the C</w:t>
      </w:r>
      <w:r w:rsidRPr="00197259">
        <w:rPr>
          <w:snapToGrid w:val="0"/>
          <w:vertAlign w:val="subscript"/>
        </w:rPr>
        <w:t xml:space="preserve">max </w:t>
      </w:r>
      <w:r w:rsidRPr="00197259">
        <w:rPr>
          <w:snapToGrid w:val="0"/>
        </w:rPr>
        <w:t>and AUC</w:t>
      </w:r>
      <w:r w:rsidRPr="00197259">
        <w:rPr>
          <w:snapToGrid w:val="0"/>
          <w:vertAlign w:val="subscript"/>
        </w:rPr>
        <w:sym w:font="Symbol" w:char="F074"/>
      </w:r>
      <w:r w:rsidRPr="00197259">
        <w:rPr>
          <w:snapToGrid w:val="0"/>
          <w:vertAlign w:val="subscript"/>
        </w:rPr>
        <w:t xml:space="preserve"> </w:t>
      </w:r>
      <w:r w:rsidRPr="00197259">
        <w:rPr>
          <w:snapToGrid w:val="0"/>
        </w:rPr>
        <w:t>of voriconazole at 350 mg twice daily were 96% and 68% of the levels when administered alone at 200 mg twice daily.</w:t>
      </w:r>
      <w:r w:rsidR="00750E5E">
        <w:rPr>
          <w:snapToGrid w:val="0"/>
        </w:rPr>
        <w:t xml:space="preserve"> </w:t>
      </w:r>
      <w:r w:rsidRPr="008F33AD">
        <w:t>At a voriconazole dose of 400 mg twice daily C</w:t>
      </w:r>
      <w:r w:rsidRPr="008F33AD">
        <w:rPr>
          <w:vertAlign w:val="subscript"/>
        </w:rPr>
        <w:t>max</w:t>
      </w:r>
      <w:r w:rsidRPr="008F33AD">
        <w:t xml:space="preserve"> and AUC</w:t>
      </w:r>
      <w:r w:rsidRPr="008F33AD">
        <w:rPr>
          <w:vertAlign w:val="subscript"/>
        </w:rPr>
        <w:sym w:font="Symbol" w:char="F074"/>
      </w:r>
      <w:r w:rsidRPr="008F33AD">
        <w:rPr>
          <w:vertAlign w:val="subscript"/>
        </w:rPr>
        <w:t xml:space="preserve"> </w:t>
      </w:r>
      <w:r w:rsidRPr="008F33AD">
        <w:t>were 104% and 87% higher, respectively, compared with voriconazol</w:t>
      </w:r>
      <w:r w:rsidR="00750E5E">
        <w:t xml:space="preserve">e alone at 200 mg twice daily. </w:t>
      </w:r>
      <w:r w:rsidRPr="008F33AD">
        <w:t>Voriconazole at 400 mg twice daily increased C</w:t>
      </w:r>
      <w:r w:rsidRPr="008F33AD">
        <w:rPr>
          <w:vertAlign w:val="subscript"/>
        </w:rPr>
        <w:t>max</w:t>
      </w:r>
      <w:r w:rsidRPr="008F33AD">
        <w:t xml:space="preserve"> and AUC</w:t>
      </w:r>
      <w:r w:rsidRPr="008F33AD">
        <w:rPr>
          <w:vertAlign w:val="subscript"/>
        </w:rPr>
        <w:sym w:font="Symbol" w:char="F074"/>
      </w:r>
      <w:r w:rsidRPr="008F33AD">
        <w:rPr>
          <w:vertAlign w:val="subscript"/>
        </w:rPr>
        <w:t xml:space="preserve"> </w:t>
      </w:r>
      <w:r w:rsidRPr="008F33AD">
        <w:t>of rifabutin by 195% and 331%, respectively.</w:t>
      </w:r>
      <w:r>
        <w:t xml:space="preserve"> </w:t>
      </w:r>
      <w:r w:rsidRPr="008F33AD">
        <w:t xml:space="preserve">Coadministration of voriconazole with </w:t>
      </w:r>
      <w:r>
        <w:t xml:space="preserve">rifabutin </w:t>
      </w:r>
      <w:r w:rsidRPr="008F33AD">
        <w:t xml:space="preserve">is contraindicated (see </w:t>
      </w:r>
      <w:r w:rsidRPr="008F33AD">
        <w:rPr>
          <w:b/>
          <w:bCs/>
        </w:rPr>
        <w:t>CONTRAINDICATIONS</w:t>
      </w:r>
      <w:r w:rsidRPr="008F33AD">
        <w:t>).</w:t>
      </w:r>
    </w:p>
    <w:p w:rsidR="00B169D2" w:rsidRPr="008F33AD" w:rsidRDefault="00B169D2" w:rsidP="00810F42">
      <w:r w:rsidRPr="008F33AD">
        <w:rPr>
          <w:b/>
          <w:i/>
          <w:iCs/>
        </w:rPr>
        <w:t xml:space="preserve">Ritonavir </w:t>
      </w:r>
      <w:r w:rsidRPr="008F33AD">
        <w:t xml:space="preserve">(potent CYP450 inducer; CYP3A4 inhibitor and substrate): </w:t>
      </w:r>
      <w:r w:rsidR="00B11AC8" w:rsidRPr="008F33AD">
        <w:rPr>
          <w:color w:val="000000"/>
          <w:szCs w:val="22"/>
        </w:rPr>
        <w:t xml:space="preserve">The effect of the coadministration of oral voriconazole (200 mg twice daily) and high dose (400 mg) and low dose (100 mg) oral ritonavir was investigated in two separate studies in healthy volunteers.  High doses of </w:t>
      </w:r>
      <w:r w:rsidR="00B11AC8" w:rsidRPr="008F33AD">
        <w:t>r</w:t>
      </w:r>
      <w:r w:rsidRPr="008F33AD">
        <w:t>itonavir (400</w:t>
      </w:r>
      <w:r w:rsidR="006D2D55" w:rsidRPr="008F33AD">
        <w:t> </w:t>
      </w:r>
      <w:r w:rsidRPr="008F33AD">
        <w:t xml:space="preserve">mg </w:t>
      </w:r>
      <w:r w:rsidR="00B11AC8" w:rsidRPr="008F33AD">
        <w:t>twice daily</w:t>
      </w:r>
      <w:r w:rsidRPr="008F33AD">
        <w:t>) decreased the steady state C</w:t>
      </w:r>
      <w:r w:rsidRPr="008F33AD">
        <w:rPr>
          <w:vertAlign w:val="subscript"/>
        </w:rPr>
        <w:t>max</w:t>
      </w:r>
      <w:r w:rsidRPr="008F33AD">
        <w:t xml:space="preserve"> and AUC</w:t>
      </w:r>
      <w:r w:rsidRPr="008F33AD">
        <w:rPr>
          <w:vertAlign w:val="subscript"/>
        </w:rPr>
        <w:sym w:font="Symbol" w:char="F074"/>
      </w:r>
      <w:r w:rsidRPr="008F33AD">
        <w:t xml:space="preserve"> of oral voriconazole by an average of 66% and 82% respectively, </w:t>
      </w:r>
      <w:r w:rsidR="00B11AC8" w:rsidRPr="008F33AD">
        <w:t>whereas l</w:t>
      </w:r>
      <w:r w:rsidR="00002FD4" w:rsidRPr="008F33AD">
        <w:t xml:space="preserve">ow doses of ritonavir (100 mg </w:t>
      </w:r>
      <w:r w:rsidR="00BE2397" w:rsidRPr="008F33AD">
        <w:t>twice daily</w:t>
      </w:r>
      <w:r w:rsidR="00002FD4" w:rsidRPr="008F33AD">
        <w:t>) decreased the C</w:t>
      </w:r>
      <w:r w:rsidR="00002FD4" w:rsidRPr="008F33AD">
        <w:rPr>
          <w:vertAlign w:val="subscript"/>
        </w:rPr>
        <w:t>max</w:t>
      </w:r>
      <w:r w:rsidR="00002FD4" w:rsidRPr="008F33AD">
        <w:t xml:space="preserve"> and AUC</w:t>
      </w:r>
      <w:r w:rsidR="00002FD4" w:rsidRPr="008F33AD">
        <w:rPr>
          <w:vertAlign w:val="subscript"/>
        </w:rPr>
        <w:sym w:font="Symbol" w:char="F074"/>
      </w:r>
      <w:r w:rsidR="00002FD4" w:rsidRPr="008F33AD">
        <w:t xml:space="preserve"> of oral voriconazole by an average of </w:t>
      </w:r>
      <w:r w:rsidR="00DF2CEA" w:rsidRPr="008F33AD">
        <w:t>24</w:t>
      </w:r>
      <w:r w:rsidR="00002FD4" w:rsidRPr="008F33AD">
        <w:t xml:space="preserve">% and </w:t>
      </w:r>
      <w:r w:rsidR="00DF2CEA" w:rsidRPr="008F33AD">
        <w:t>39</w:t>
      </w:r>
      <w:r w:rsidR="00002FD4" w:rsidRPr="008F33AD">
        <w:t>% respectively</w:t>
      </w:r>
      <w:r w:rsidR="00DF2CEA" w:rsidRPr="008F33AD">
        <w:t xml:space="preserve">. </w:t>
      </w:r>
      <w:r w:rsidR="006818F4" w:rsidRPr="008F33AD">
        <w:t>A</w:t>
      </w:r>
      <w:r w:rsidRPr="008F33AD">
        <w:t xml:space="preserve">dministration of voriconazole did not have a significant effect </w:t>
      </w:r>
      <w:r w:rsidRPr="008F33AD">
        <w:lastRenderedPageBreak/>
        <w:t xml:space="preserve">on </w:t>
      </w:r>
      <w:r w:rsidR="006818F4" w:rsidRPr="008F33AD">
        <w:t>mean</w:t>
      </w:r>
      <w:r w:rsidRPr="008F33AD">
        <w:t xml:space="preserve"> C</w:t>
      </w:r>
      <w:r w:rsidRPr="008F33AD">
        <w:rPr>
          <w:vertAlign w:val="subscript"/>
        </w:rPr>
        <w:t>max</w:t>
      </w:r>
      <w:r w:rsidRPr="008F33AD">
        <w:t xml:space="preserve"> and AUC</w:t>
      </w:r>
      <w:r w:rsidRPr="008F33AD">
        <w:rPr>
          <w:vertAlign w:val="subscript"/>
        </w:rPr>
        <w:sym w:font="Symbol" w:char="F074"/>
      </w:r>
      <w:r w:rsidRPr="008F33AD">
        <w:t xml:space="preserve"> of ritonavir </w:t>
      </w:r>
      <w:r w:rsidR="00DF2CEA" w:rsidRPr="008F33AD">
        <w:t xml:space="preserve">in the high dose study, although a minor decrease in </w:t>
      </w:r>
      <w:r w:rsidR="001F4573" w:rsidRPr="008F33AD">
        <w:rPr>
          <w:color w:val="000000"/>
        </w:rPr>
        <w:t>steady state</w:t>
      </w:r>
      <w:r w:rsidR="001F4573" w:rsidRPr="008F33AD">
        <w:t xml:space="preserve"> </w:t>
      </w:r>
      <w:r w:rsidR="00DF2CEA" w:rsidRPr="008F33AD">
        <w:t>C</w:t>
      </w:r>
      <w:r w:rsidR="00DF2CEA" w:rsidRPr="008F33AD">
        <w:rPr>
          <w:vertAlign w:val="subscript"/>
        </w:rPr>
        <w:t>max</w:t>
      </w:r>
      <w:r w:rsidR="00DF2CEA" w:rsidRPr="008F33AD">
        <w:t xml:space="preserve"> and AUC</w:t>
      </w:r>
      <w:r w:rsidR="00DF2CEA" w:rsidRPr="008F33AD">
        <w:rPr>
          <w:vertAlign w:val="subscript"/>
        </w:rPr>
        <w:sym w:font="Symbol" w:char="F074"/>
      </w:r>
      <w:r w:rsidR="00DF2CEA" w:rsidRPr="008F33AD">
        <w:t xml:space="preserve"> of ritonavir </w:t>
      </w:r>
      <w:r w:rsidR="001F4573" w:rsidRPr="008F33AD">
        <w:rPr>
          <w:color w:val="000000"/>
        </w:rPr>
        <w:t xml:space="preserve">with an average of 25% and 13% respectively </w:t>
      </w:r>
      <w:r w:rsidR="00DF2CEA" w:rsidRPr="008F33AD">
        <w:t xml:space="preserve">was observed in the low dose </w:t>
      </w:r>
      <w:r w:rsidR="001F4573" w:rsidRPr="008F33AD">
        <w:rPr>
          <w:color w:val="000000"/>
        </w:rPr>
        <w:t>ritonavir interaction</w:t>
      </w:r>
      <w:r w:rsidR="001F4573" w:rsidRPr="008F33AD">
        <w:t xml:space="preserve"> </w:t>
      </w:r>
      <w:r w:rsidR="00DF2CEA" w:rsidRPr="008F33AD">
        <w:t>study</w:t>
      </w:r>
      <w:r w:rsidR="00750E5E">
        <w:t xml:space="preserve">. </w:t>
      </w:r>
      <w:r w:rsidR="00D36F76" w:rsidRPr="008F33AD">
        <w:t xml:space="preserve">One outlier subject with raised voriconazole levels was identified in each of the </w:t>
      </w:r>
      <w:r w:rsidR="00750E5E">
        <w:t xml:space="preserve">ritonavir interaction studies. </w:t>
      </w:r>
      <w:r w:rsidRPr="008F33AD">
        <w:t xml:space="preserve">Coadministration of </w:t>
      </w:r>
      <w:r w:rsidR="00436E53" w:rsidRPr="008F33AD">
        <w:t>voriconazole and ritonavir 400 </w:t>
      </w:r>
      <w:r w:rsidRPr="008F33AD">
        <w:t xml:space="preserve">mg </w:t>
      </w:r>
      <w:r w:rsidR="005B63A6" w:rsidRPr="008F33AD">
        <w:t>twice daily</w:t>
      </w:r>
      <w:r w:rsidRPr="008F33AD">
        <w:t xml:space="preserve"> is contraindicated</w:t>
      </w:r>
      <w:r w:rsidR="00F704B0">
        <w:t xml:space="preserve"> (see </w:t>
      </w:r>
      <w:r w:rsidR="00F704B0">
        <w:rPr>
          <w:b/>
        </w:rPr>
        <w:t>CONTRAINDICATIONS</w:t>
      </w:r>
      <w:r w:rsidR="00F704B0">
        <w:t>)</w:t>
      </w:r>
      <w:r w:rsidRPr="008F33AD">
        <w:t>.</w:t>
      </w:r>
      <w:r w:rsidR="006D2D55" w:rsidRPr="008F33AD">
        <w:t xml:space="preserve">  Coadministration of </w:t>
      </w:r>
      <w:r w:rsidR="005B63A6" w:rsidRPr="008F33AD">
        <w:t xml:space="preserve">voriconazole and </w:t>
      </w:r>
      <w:r w:rsidR="006D2D55" w:rsidRPr="008F33AD">
        <w:t xml:space="preserve">low dose ritonavir (100 mg </w:t>
      </w:r>
      <w:r w:rsidR="005B63A6" w:rsidRPr="008F33AD">
        <w:t>twice daily</w:t>
      </w:r>
      <w:r w:rsidR="006D2D55" w:rsidRPr="008F33AD">
        <w:t xml:space="preserve">) should be avoided unless </w:t>
      </w:r>
      <w:r w:rsidR="005B63A6" w:rsidRPr="008F33AD">
        <w:t xml:space="preserve">an assessment of </w:t>
      </w:r>
      <w:r w:rsidR="006D2D55" w:rsidRPr="008F33AD">
        <w:t>the benefit/risk to the patient justifies the use of voriconazole</w:t>
      </w:r>
      <w:r w:rsidR="005B63A6" w:rsidRPr="008F33AD">
        <w:t xml:space="preserve"> (see </w:t>
      </w:r>
      <w:r w:rsidR="00863E75" w:rsidRPr="008F33AD">
        <w:rPr>
          <w:b/>
        </w:rPr>
        <w:t>PRECAUTIONS</w:t>
      </w:r>
      <w:r w:rsidR="005B63A6" w:rsidRPr="008F33AD">
        <w:t>)</w:t>
      </w:r>
      <w:r w:rsidR="006D2D55" w:rsidRPr="008F33AD">
        <w:t>.</w:t>
      </w:r>
    </w:p>
    <w:p w:rsidR="00B169D2" w:rsidRPr="008F33AD" w:rsidRDefault="00B169D2" w:rsidP="00810F42">
      <w:r w:rsidRPr="008F33AD">
        <w:rPr>
          <w:b/>
          <w:i/>
          <w:iCs/>
        </w:rPr>
        <w:t>Carbamazepine and phenobarbitone</w:t>
      </w:r>
      <w:r w:rsidR="00750E5E">
        <w:t xml:space="preserve"> (CYP450 inducers): </w:t>
      </w:r>
      <w:r w:rsidRPr="008F33AD">
        <w:t xml:space="preserve">Although not studied, carbamazepine or phenobarbitone are likely to significantly decrease plasma voriconazole levels.  Coadministration of voriconazole with carbamazepine and long acting barbiturates are contraindicated (see </w:t>
      </w:r>
      <w:r w:rsidRPr="008F33AD">
        <w:rPr>
          <w:b/>
        </w:rPr>
        <w:t>CONTRAINDICATIONS</w:t>
      </w:r>
      <w:r w:rsidRPr="008F33AD">
        <w:t>).</w:t>
      </w:r>
    </w:p>
    <w:p w:rsidR="00B169D2" w:rsidRPr="008F33AD" w:rsidRDefault="00B169D2" w:rsidP="00614699">
      <w:pPr>
        <w:keepNext/>
        <w:keepLines/>
        <w:rPr>
          <w:i/>
          <w:u w:val="single"/>
        </w:rPr>
      </w:pPr>
      <w:r w:rsidRPr="008F33AD">
        <w:rPr>
          <w:i/>
          <w:u w:val="single"/>
        </w:rPr>
        <w:t>Minor or no significant pharmacokinetic interactions that require no dosage adjustment:</w:t>
      </w:r>
    </w:p>
    <w:p w:rsidR="00B169D2" w:rsidRPr="008F33AD" w:rsidRDefault="00B169D2" w:rsidP="00810F42">
      <w:r w:rsidRPr="008F33AD">
        <w:rPr>
          <w:b/>
          <w:i/>
          <w:iCs/>
        </w:rPr>
        <w:t>Cimetidine</w:t>
      </w:r>
      <w:r w:rsidRPr="008F33AD">
        <w:rPr>
          <w:b/>
        </w:rPr>
        <w:t xml:space="preserve"> </w:t>
      </w:r>
      <w:r w:rsidRPr="008F33AD">
        <w:t>(non-specific CYP450 inhibitor and increases gastric pH): Cimetidine (400 mg twice daily) increased voriconazole C</w:t>
      </w:r>
      <w:r w:rsidRPr="008F33AD">
        <w:rPr>
          <w:vertAlign w:val="subscript"/>
        </w:rPr>
        <w:t>max</w:t>
      </w:r>
      <w:r w:rsidRPr="008F33AD">
        <w:t xml:space="preserve"> and AUC</w:t>
      </w:r>
      <w:r w:rsidRPr="008F33AD">
        <w:rPr>
          <w:vertAlign w:val="subscript"/>
        </w:rPr>
        <w:sym w:font="Symbol" w:char="F074"/>
      </w:r>
      <w:r w:rsidR="00750E5E">
        <w:t xml:space="preserve"> by 18% and 23%, respectively. </w:t>
      </w:r>
      <w:r w:rsidRPr="008F33AD">
        <w:t>No dosage adjustment of voriconazole is recommended.</w:t>
      </w:r>
    </w:p>
    <w:p w:rsidR="00B169D2" w:rsidRPr="008F33AD" w:rsidRDefault="00B169D2" w:rsidP="00810F42">
      <w:r w:rsidRPr="008F33AD">
        <w:rPr>
          <w:b/>
          <w:i/>
          <w:iCs/>
        </w:rPr>
        <w:t>Ranitidine</w:t>
      </w:r>
      <w:r w:rsidRPr="008F33AD">
        <w:rPr>
          <w:b/>
        </w:rPr>
        <w:t xml:space="preserve"> </w:t>
      </w:r>
      <w:r w:rsidRPr="008F33AD">
        <w:t>(increases gastric pH): Ranitidine (150 mg twice daily) had no significant effect on voriconazole C</w:t>
      </w:r>
      <w:r w:rsidRPr="008A116D">
        <w:rPr>
          <w:vertAlign w:val="subscript"/>
        </w:rPr>
        <w:t xml:space="preserve">max </w:t>
      </w:r>
      <w:r w:rsidRPr="008F33AD">
        <w:t>and AUC</w:t>
      </w:r>
      <w:r w:rsidRPr="008F33AD">
        <w:rPr>
          <w:vertAlign w:val="subscript"/>
        </w:rPr>
        <w:sym w:font="Symbol" w:char="F074"/>
      </w:r>
      <w:r w:rsidRPr="008F33AD">
        <w:t>.</w:t>
      </w:r>
    </w:p>
    <w:p w:rsidR="00B169D2" w:rsidRPr="008F33AD" w:rsidRDefault="00B169D2" w:rsidP="00810F42">
      <w:r w:rsidRPr="008F33AD">
        <w:rPr>
          <w:b/>
          <w:i/>
          <w:iCs/>
        </w:rPr>
        <w:t>Macrolide antibiotics:</w:t>
      </w:r>
      <w:r w:rsidRPr="008F33AD">
        <w:t xml:space="preserve"> Erythromycin (CYP3A4 inhibitor; 1 g twice daily) and azithromycin (500 mg once daily) had no significant effect on voriconazole C</w:t>
      </w:r>
      <w:r w:rsidRPr="008A116D">
        <w:rPr>
          <w:vertAlign w:val="subscript"/>
        </w:rPr>
        <w:t>max</w:t>
      </w:r>
      <w:r w:rsidRPr="008F33AD">
        <w:t xml:space="preserve"> and AUC</w:t>
      </w:r>
      <w:r w:rsidRPr="008F33AD">
        <w:sym w:font="Symbol" w:char="F074"/>
      </w:r>
      <w:r w:rsidRPr="008F33AD">
        <w:t>.</w:t>
      </w:r>
    </w:p>
    <w:p w:rsidR="00B169D2" w:rsidRPr="008F33AD" w:rsidRDefault="001170BB" w:rsidP="00614699">
      <w:pPr>
        <w:pStyle w:val="Heading2"/>
        <w:keepLines/>
      </w:pPr>
      <w:r w:rsidRPr="008F33AD">
        <w:t>Effects o</w:t>
      </w:r>
      <w:r w:rsidR="00B169D2" w:rsidRPr="008F33AD">
        <w:t>f Voriconazole on Other Medicinal Products</w:t>
      </w:r>
    </w:p>
    <w:p w:rsidR="00B169D2" w:rsidRPr="008F33AD" w:rsidRDefault="00B169D2" w:rsidP="00810F42">
      <w:r w:rsidRPr="008F33AD">
        <w:t>Voriconazole inhibits the activity of cytochrome P450 isoenzyme</w:t>
      </w:r>
      <w:r w:rsidR="00750E5E">
        <w:t xml:space="preserve">s, CYP2C19, CYP2C9 and CYP3A4. </w:t>
      </w:r>
      <w:r w:rsidRPr="008F33AD">
        <w:t>Therefore, there is potential for voriconazole to increase the plasma levels of drugs metabolised by these CYP450 isoenzymes.</w:t>
      </w:r>
    </w:p>
    <w:p w:rsidR="00377D79" w:rsidRPr="008F33AD" w:rsidRDefault="00377D79" w:rsidP="00241850">
      <w:pPr>
        <w:keepLines/>
      </w:pPr>
      <w:r w:rsidRPr="008F33AD">
        <w:t>Voriconazole s</w:t>
      </w:r>
      <w:r w:rsidRPr="00810F42">
        <w:t>hould be administered with caution in patients receiving concomitant medication that is</w:t>
      </w:r>
      <w:r w:rsidR="00750E5E" w:rsidRPr="00810F42">
        <w:t xml:space="preserve"> known to prolong </w:t>
      </w:r>
      <w:r w:rsidR="00750E5E">
        <w:t xml:space="preserve">QT </w:t>
      </w:r>
      <w:r w:rsidR="00750E5E" w:rsidRPr="00810F42">
        <w:t>i</w:t>
      </w:r>
      <w:r w:rsidR="00750E5E">
        <w:t xml:space="preserve">nterval. </w:t>
      </w:r>
      <w:r w:rsidRPr="008F33AD">
        <w:t>When there is also a potential for voriconazole to increase the plasma levels of substances metabolised by CYP3A4 isoenzymes (</w:t>
      </w:r>
      <w:r w:rsidR="002718A7">
        <w:t xml:space="preserve">certain antihistamines, </w:t>
      </w:r>
      <w:r w:rsidRPr="008F33AD">
        <w:t xml:space="preserve">quinidine, pimozide) co-administration is contraindicated (see below and </w:t>
      </w:r>
      <w:r w:rsidRPr="008F33AD">
        <w:rPr>
          <w:b/>
        </w:rPr>
        <w:t>CONTRAINDICATIONS</w:t>
      </w:r>
      <w:r w:rsidRPr="008F33AD">
        <w:t>).</w:t>
      </w:r>
    </w:p>
    <w:p w:rsidR="00B169D2" w:rsidRPr="008F33AD" w:rsidRDefault="00B169D2" w:rsidP="00614699">
      <w:pPr>
        <w:keepNext/>
        <w:keepLines/>
        <w:rPr>
          <w:i/>
          <w:u w:val="single"/>
        </w:rPr>
      </w:pPr>
      <w:r w:rsidRPr="008F33AD">
        <w:rPr>
          <w:i/>
          <w:u w:val="single"/>
        </w:rPr>
        <w:t>Concomitant use of the following agents with voriconazole is contraindicated:</w:t>
      </w:r>
    </w:p>
    <w:p w:rsidR="00B169D2" w:rsidRPr="008F33AD" w:rsidRDefault="00092F10" w:rsidP="00810F42">
      <w:r>
        <w:rPr>
          <w:b/>
          <w:i/>
          <w:iCs/>
        </w:rPr>
        <w:t>P</w:t>
      </w:r>
      <w:r w:rsidR="00B169D2" w:rsidRPr="008F33AD">
        <w:rPr>
          <w:b/>
          <w:i/>
          <w:iCs/>
        </w:rPr>
        <w:t>imozide and quinidine</w:t>
      </w:r>
      <w:r w:rsidR="00B169D2" w:rsidRPr="008F33AD">
        <w:rPr>
          <w:b/>
        </w:rPr>
        <w:t xml:space="preserve"> </w:t>
      </w:r>
      <w:r w:rsidR="00B169D2" w:rsidRPr="008F33AD">
        <w:t xml:space="preserve">(CYP3A4 substrates): Although not studied, coadministration of voriconazole with pimozide or quinidine is contraindicated, since increased plasma concentrations of these drugs can lead to QTc prolongation and rare occurrences of </w:t>
      </w:r>
      <w:r w:rsidR="00B169D2" w:rsidRPr="008F33AD">
        <w:rPr>
          <w:i/>
        </w:rPr>
        <w:t>torsade de pointes</w:t>
      </w:r>
      <w:r w:rsidR="00B169D2" w:rsidRPr="008F33AD">
        <w:t xml:space="preserve"> (see </w:t>
      </w:r>
      <w:r w:rsidR="00B169D2" w:rsidRPr="008F33AD">
        <w:rPr>
          <w:b/>
          <w:bCs/>
        </w:rPr>
        <w:t>CONTRAINDICATIONS</w:t>
      </w:r>
      <w:r w:rsidR="00B169D2" w:rsidRPr="008F33AD">
        <w:t>).</w:t>
      </w:r>
    </w:p>
    <w:p w:rsidR="00B169D2" w:rsidRDefault="00B169D2" w:rsidP="00810F42">
      <w:r w:rsidRPr="008F33AD">
        <w:rPr>
          <w:b/>
          <w:i/>
          <w:iCs/>
        </w:rPr>
        <w:t>Sirolimus</w:t>
      </w:r>
      <w:r w:rsidRPr="008F33AD">
        <w:t xml:space="preserve"> (CYP3A4 substrate): Voriconazole increased sirolimus (2 mg single dose) C</w:t>
      </w:r>
      <w:r w:rsidRPr="008F33AD">
        <w:rPr>
          <w:vertAlign w:val="subscript"/>
        </w:rPr>
        <w:t>max</w:t>
      </w:r>
      <w:r w:rsidRPr="008F33AD">
        <w:t xml:space="preserve"> and AUC</w:t>
      </w:r>
      <w:r w:rsidR="00D71A9D" w:rsidRPr="008F33AD">
        <w:rPr>
          <w:vertAlign w:val="subscript"/>
        </w:rPr>
        <w:sym w:font="Symbol" w:char="F074"/>
      </w:r>
      <w:r w:rsidRPr="008F33AD">
        <w:t xml:space="preserve"> by</w:t>
      </w:r>
      <w:r w:rsidR="00BE3F22">
        <w:t xml:space="preserve"> 556% and 1014%, respectively. </w:t>
      </w:r>
      <w:r w:rsidRPr="008F33AD">
        <w:t xml:space="preserve">Coadministration of voriconazole and sirolimus is contraindicated (see </w:t>
      </w:r>
      <w:r w:rsidRPr="008F33AD">
        <w:rPr>
          <w:b/>
          <w:bCs/>
        </w:rPr>
        <w:t>CONTRAINDICATIONS</w:t>
      </w:r>
      <w:r w:rsidRPr="008F33AD">
        <w:t>).</w:t>
      </w:r>
    </w:p>
    <w:p w:rsidR="00B169D2" w:rsidRPr="008F33AD" w:rsidRDefault="00B169D2" w:rsidP="00810F42">
      <w:r w:rsidRPr="008F33AD">
        <w:rPr>
          <w:b/>
          <w:i/>
          <w:iCs/>
        </w:rPr>
        <w:t>Ergot alkaloids</w:t>
      </w:r>
      <w:r w:rsidRPr="008F33AD">
        <w:rPr>
          <w:b/>
        </w:rPr>
        <w:t xml:space="preserve"> </w:t>
      </w:r>
      <w:r w:rsidRPr="008F33AD">
        <w:t>(CYP3A4 substrates): Although not studied, voriconazole may increase the plasma concentrations of ergot alkaloids (ergotamine and dihydroerg</w:t>
      </w:r>
      <w:r w:rsidR="00BE3F22">
        <w:t xml:space="preserve">otamine) and lead to </w:t>
      </w:r>
      <w:r w:rsidR="00BE3F22">
        <w:lastRenderedPageBreak/>
        <w:t xml:space="preserve">ergotism. </w:t>
      </w:r>
      <w:r w:rsidRPr="008F33AD">
        <w:t xml:space="preserve">Coadministration of voriconazole with ergot alkaloids is contraindicated (see </w:t>
      </w:r>
      <w:r w:rsidRPr="008F33AD">
        <w:rPr>
          <w:b/>
          <w:bCs/>
        </w:rPr>
        <w:t>CONTRAINDICATIONS</w:t>
      </w:r>
      <w:r w:rsidRPr="008F33AD">
        <w:t>).</w:t>
      </w:r>
    </w:p>
    <w:p w:rsidR="00B921AF" w:rsidRPr="008F33AD" w:rsidRDefault="00B921AF" w:rsidP="00810F42">
      <w:pPr>
        <w:rPr>
          <w:szCs w:val="24"/>
        </w:rPr>
      </w:pPr>
      <w:r w:rsidRPr="008F33AD">
        <w:rPr>
          <w:b/>
          <w:i/>
          <w:szCs w:val="24"/>
        </w:rPr>
        <w:t>St John’s Wort</w:t>
      </w:r>
      <w:r w:rsidRPr="008F33AD">
        <w:rPr>
          <w:szCs w:val="24"/>
        </w:rPr>
        <w:t xml:space="preserve"> (CYP450 inducer; P-gp inducer): In </w:t>
      </w:r>
      <w:r w:rsidRPr="008F33AD">
        <w:rPr>
          <w:color w:val="000000"/>
          <w:szCs w:val="24"/>
        </w:rPr>
        <w:t>an independent published study</w:t>
      </w:r>
      <w:r w:rsidRPr="008F33AD">
        <w:rPr>
          <w:szCs w:val="24"/>
        </w:rPr>
        <w:t xml:space="preserve"> in healthy volunteers, St John’s Wort exhibited a short initial inhibitory effect followed by induction of vori</w:t>
      </w:r>
      <w:r w:rsidR="00BE3F22">
        <w:rPr>
          <w:szCs w:val="24"/>
        </w:rPr>
        <w:t xml:space="preserve">conazole metabolism. </w:t>
      </w:r>
      <w:r w:rsidRPr="008F33AD">
        <w:rPr>
          <w:szCs w:val="24"/>
        </w:rPr>
        <w:t>After 15 days of treatment with St John’s Wort (300 mg three times daily), plasma exposure following a single 400 mg dose of vor</w:t>
      </w:r>
      <w:r w:rsidR="00BE3F22">
        <w:rPr>
          <w:szCs w:val="24"/>
        </w:rPr>
        <w:t xml:space="preserve">iconazole decreased by 40-60%. </w:t>
      </w:r>
      <w:r w:rsidRPr="008F33AD">
        <w:rPr>
          <w:color w:val="000000"/>
          <w:szCs w:val="24"/>
        </w:rPr>
        <w:t xml:space="preserve">Therefore, concomitant use of voriconazole with St John’s Wort is contraindicated (see </w:t>
      </w:r>
      <w:r w:rsidRPr="008F33AD">
        <w:rPr>
          <w:b/>
          <w:bCs/>
          <w:szCs w:val="24"/>
        </w:rPr>
        <w:t>CONTRAINDICATIONS</w:t>
      </w:r>
      <w:r w:rsidRPr="008F33AD">
        <w:rPr>
          <w:color w:val="000000"/>
          <w:szCs w:val="24"/>
        </w:rPr>
        <w:t>)</w:t>
      </w:r>
      <w:r w:rsidR="00250792" w:rsidRPr="008F33AD">
        <w:rPr>
          <w:color w:val="000000"/>
          <w:szCs w:val="24"/>
        </w:rPr>
        <w:t>.</w:t>
      </w:r>
    </w:p>
    <w:p w:rsidR="00B169D2" w:rsidRPr="008F33AD" w:rsidRDefault="00B169D2" w:rsidP="00614699">
      <w:pPr>
        <w:keepLines/>
        <w:rPr>
          <w:i/>
          <w:u w:val="single"/>
        </w:rPr>
      </w:pPr>
      <w:r w:rsidRPr="008F33AD">
        <w:rPr>
          <w:i/>
          <w:u w:val="single"/>
        </w:rPr>
        <w:t>Interaction of voriconazole with the following agents may result in increased exposure to these drugs.  Careful monitoring and/or dosage adjustment should be considered</w:t>
      </w:r>
      <w:r w:rsidR="00FF4267" w:rsidRPr="008F33AD">
        <w:rPr>
          <w:i/>
          <w:u w:val="single"/>
        </w:rPr>
        <w:t>.</w:t>
      </w:r>
    </w:p>
    <w:p w:rsidR="00B169D2" w:rsidRPr="008F33AD" w:rsidRDefault="00B169D2" w:rsidP="00810F42">
      <w:r w:rsidRPr="008F33AD">
        <w:rPr>
          <w:b/>
          <w:i/>
          <w:iCs/>
        </w:rPr>
        <w:t>Cyclosporin</w:t>
      </w:r>
      <w:r w:rsidRPr="008F33AD">
        <w:rPr>
          <w:b/>
        </w:rPr>
        <w:t xml:space="preserve"> </w:t>
      </w:r>
      <w:r w:rsidRPr="008F33AD">
        <w:t>(CYP3A4 substrate):</w:t>
      </w:r>
      <w:r w:rsidRPr="008F33AD">
        <w:rPr>
          <w:b/>
        </w:rPr>
        <w:t xml:space="preserve"> </w:t>
      </w:r>
      <w:r w:rsidRPr="008F33AD">
        <w:t>In stable, renal transplant recipients,</w:t>
      </w:r>
      <w:r w:rsidRPr="008F33AD">
        <w:rPr>
          <w:b/>
        </w:rPr>
        <w:t xml:space="preserve"> </w:t>
      </w:r>
      <w:r w:rsidRPr="008F33AD">
        <w:t>voriconazole increased cyclosporin C</w:t>
      </w:r>
      <w:r w:rsidRPr="008F33AD">
        <w:rPr>
          <w:vertAlign w:val="subscript"/>
        </w:rPr>
        <w:t>max</w:t>
      </w:r>
      <w:r w:rsidRPr="008F33AD">
        <w:t xml:space="preserve"> and AUC</w:t>
      </w:r>
      <w:r w:rsidRPr="008F33AD">
        <w:rPr>
          <w:vertAlign w:val="subscript"/>
        </w:rPr>
        <w:sym w:font="Symbol" w:char="F074"/>
      </w:r>
      <w:r w:rsidRPr="008F33AD">
        <w:t xml:space="preserve"> by at l</w:t>
      </w:r>
      <w:r w:rsidR="00BE3F22">
        <w:t xml:space="preserve">east 13% and 70% respectively. </w:t>
      </w:r>
      <w:r w:rsidRPr="008F33AD">
        <w:t>When initiating voriconazole in patients already receiving cyclosporin it is recommended that the cyclosporin dose be halved and cyclosporin level ca</w:t>
      </w:r>
      <w:r w:rsidR="00BE3F22">
        <w:t xml:space="preserve">refully monitored. </w:t>
      </w:r>
      <w:r w:rsidRPr="008F33AD">
        <w:t>Increased cyclosporin levels have been a</w:t>
      </w:r>
      <w:r w:rsidR="00BE3F22">
        <w:t xml:space="preserve">ssociated with nephrotoxicity. </w:t>
      </w:r>
      <w:r w:rsidRPr="008F33AD">
        <w:rPr>
          <w:u w:val="single"/>
        </w:rPr>
        <w:t>When voriconazole is discontinued, cyclosporin levels must be carefully monitored and the dose increased as necessary</w:t>
      </w:r>
      <w:r w:rsidRPr="008F33AD">
        <w:t>.</w:t>
      </w:r>
    </w:p>
    <w:p w:rsidR="00B169D2" w:rsidRPr="008F33AD" w:rsidRDefault="00B169D2" w:rsidP="00810F42">
      <w:r w:rsidRPr="008F33AD">
        <w:rPr>
          <w:b/>
          <w:i/>
          <w:iCs/>
        </w:rPr>
        <w:t>Tacrolimus</w:t>
      </w:r>
      <w:r w:rsidRPr="008F33AD">
        <w:rPr>
          <w:b/>
        </w:rPr>
        <w:t xml:space="preserve"> </w:t>
      </w:r>
      <w:r w:rsidRPr="008F33AD">
        <w:t>(CYP3A4 substrate): Voriconazole increased tacrolimus (0.1 mg/kg single dose) C</w:t>
      </w:r>
      <w:r w:rsidRPr="008F33AD">
        <w:rPr>
          <w:vertAlign w:val="subscript"/>
        </w:rPr>
        <w:t xml:space="preserve">max </w:t>
      </w:r>
      <w:r w:rsidRPr="008F33AD">
        <w:t>and AUC</w:t>
      </w:r>
      <w:r w:rsidR="002C7D4E" w:rsidRPr="008F33AD">
        <w:rPr>
          <w:vertAlign w:val="subscript"/>
        </w:rPr>
        <w:sym w:font="Symbol" w:char="F074"/>
      </w:r>
      <w:r w:rsidRPr="008F33AD">
        <w:t xml:space="preserve"> b</w:t>
      </w:r>
      <w:r w:rsidR="00BE3F22">
        <w:t xml:space="preserve">y 117% and 221%, respectively. </w:t>
      </w:r>
      <w:r w:rsidRPr="008F33AD">
        <w:t>When initiating voriconazole in patients already receiving tacrolimus, it is recommended that the tacrolimus dose be reduced to a third of the original dose and tacrolimus level carefully monitored.  Increased tacrolimus levels have been a</w:t>
      </w:r>
      <w:r w:rsidR="00BE3F22">
        <w:t xml:space="preserve">ssociated with nephrotoxicity. </w:t>
      </w:r>
      <w:r w:rsidRPr="008F33AD">
        <w:rPr>
          <w:u w:val="single"/>
        </w:rPr>
        <w:t>When voriconazole is discontinued, tacrolimus levels must be carefully monitored and the dose increased as necessary</w:t>
      </w:r>
      <w:r w:rsidRPr="008F33AD">
        <w:t>.</w:t>
      </w:r>
    </w:p>
    <w:p w:rsidR="007F7765" w:rsidRDefault="007F7765" w:rsidP="00810F42">
      <w:r w:rsidRPr="009D73AE">
        <w:rPr>
          <w:b/>
          <w:bCs/>
          <w:i/>
        </w:rPr>
        <w:t>Methadone</w:t>
      </w:r>
      <w:r w:rsidRPr="008F33AD">
        <w:t xml:space="preserve"> (CYP3A4 substrate):</w:t>
      </w:r>
      <w:r w:rsidRPr="008F33AD">
        <w:rPr>
          <w:b/>
          <w:bCs/>
          <w:i/>
          <w:iCs/>
        </w:rPr>
        <w:t xml:space="preserve"> </w:t>
      </w:r>
      <w:r w:rsidRPr="008F33AD">
        <w:t xml:space="preserve">Repeat dose administration of oral voriconazole </w:t>
      </w:r>
      <w:r w:rsidR="00FC52DC" w:rsidRPr="008F33AD">
        <w:t xml:space="preserve">(400 mg every 12 hours for 1 day, then 200 mg every 12 hours for 4 days) </w:t>
      </w:r>
      <w:r w:rsidRPr="008F33AD">
        <w:t>increased the C</w:t>
      </w:r>
      <w:r w:rsidRPr="008F33AD">
        <w:rPr>
          <w:vertAlign w:val="subscript"/>
        </w:rPr>
        <w:t>max</w:t>
      </w:r>
      <w:r w:rsidRPr="008F33AD">
        <w:t xml:space="preserve"> and AUC</w:t>
      </w:r>
      <w:r w:rsidRPr="008F33AD">
        <w:rPr>
          <w:vertAlign w:val="subscript"/>
        </w:rPr>
        <w:t>τ</w:t>
      </w:r>
      <w:r w:rsidRPr="008F33AD">
        <w:t xml:space="preserve"> of pharmacologically active R-methadone </w:t>
      </w:r>
      <w:r w:rsidR="00917BF0" w:rsidRPr="008F33AD">
        <w:t xml:space="preserve">by 31% (90% CI: 22%, 40%) and 47% (90% CI: 38%, 57%) respectively </w:t>
      </w:r>
      <w:r w:rsidRPr="008F33AD">
        <w:t>in subjects receiving a methadone maintenance dose (30</w:t>
      </w:r>
      <w:r w:rsidR="00917BF0" w:rsidRPr="008F33AD">
        <w:noBreakHyphen/>
      </w:r>
      <w:r w:rsidRPr="008F33AD">
        <w:t xml:space="preserve">100 mg </w:t>
      </w:r>
      <w:r w:rsidR="00FC52DC" w:rsidRPr="008F33AD">
        <w:t>daily</w:t>
      </w:r>
      <w:r w:rsidRPr="008F33AD">
        <w:t xml:space="preserve">) (see </w:t>
      </w:r>
      <w:r w:rsidRPr="008F33AD">
        <w:rPr>
          <w:b/>
        </w:rPr>
        <w:t>PRECAUTIONS</w:t>
      </w:r>
      <w:r w:rsidRPr="008F33AD">
        <w:t>).</w:t>
      </w:r>
    </w:p>
    <w:p w:rsidR="00360BB8" w:rsidRDefault="0088171B" w:rsidP="00810F42">
      <w:r w:rsidRPr="009C193C">
        <w:rPr>
          <w:b/>
          <w:i/>
        </w:rPr>
        <w:t>Short Acting Opiates</w:t>
      </w:r>
      <w:r>
        <w:rPr>
          <w:b/>
        </w:rPr>
        <w:t xml:space="preserve"> </w:t>
      </w:r>
      <w:r>
        <w:t>(CYP3A4 substrate</w:t>
      </w:r>
      <w:r w:rsidR="00360BB8">
        <w:t>s</w:t>
      </w:r>
      <w:r w:rsidR="00810F42">
        <w:t>):</w:t>
      </w:r>
    </w:p>
    <w:p w:rsidR="0088171B" w:rsidRDefault="00360BB8" w:rsidP="00810F42">
      <w:r>
        <w:rPr>
          <w:b/>
        </w:rPr>
        <w:t xml:space="preserve">Alfentanil: </w:t>
      </w:r>
      <w:r w:rsidR="0088171B">
        <w:t xml:space="preserve">In an independent publication, steady-state administration of oral voriconazole increased the </w:t>
      </w:r>
      <w:r>
        <w:t>mean AUC</w:t>
      </w:r>
      <w:r w:rsidRPr="0088171B">
        <w:rPr>
          <w:vertAlign w:val="subscript"/>
        </w:rPr>
        <w:t>0-∞</w:t>
      </w:r>
      <w:r w:rsidR="0088171B">
        <w:t xml:space="preserve"> of a single dose of alfentanil by 6-fold. Reduction in the dose of alfentanil and other short acting opiates similar in structure to alfentanil and metab</w:t>
      </w:r>
      <w:r w:rsidR="0026572A">
        <w:t>o</w:t>
      </w:r>
      <w:r w:rsidR="0088171B">
        <w:t xml:space="preserve">lised by CYP3A4 (e.g. </w:t>
      </w:r>
      <w:r>
        <w:t>fenta</w:t>
      </w:r>
      <w:r w:rsidR="0081441E">
        <w:t>n</w:t>
      </w:r>
      <w:r>
        <w:t xml:space="preserve">yl, </w:t>
      </w:r>
      <w:r w:rsidR="0088171B">
        <w:t>sufentanil</w:t>
      </w:r>
      <w:r w:rsidR="003B34FF">
        <w:t>, remifentanil</w:t>
      </w:r>
      <w:r w:rsidR="0088171B">
        <w:t>), should be considered when co</w:t>
      </w:r>
      <w:r w:rsidR="0023610D">
        <w:t>administered with voriconazole.</w:t>
      </w:r>
    </w:p>
    <w:p w:rsidR="0088171B" w:rsidRDefault="0088171B" w:rsidP="00810F42">
      <w:r>
        <w:rPr>
          <w:b/>
        </w:rPr>
        <w:t>Fentanyl</w:t>
      </w:r>
      <w:r>
        <w:t>: In an independent published study, concomitant use of voriconazole (400 mg q12h on Day 1, then 200 mg q12h on Day 2) with a single intravenous dose of fentanyl (5 µg/kg) resulted in an increase in the mean AUC</w:t>
      </w:r>
      <w:r w:rsidRPr="0088171B">
        <w:rPr>
          <w:vertAlign w:val="subscript"/>
        </w:rPr>
        <w:t>0-∞</w:t>
      </w:r>
      <w:r>
        <w:t xml:space="preserve"> of fentanyl by 1.4-fold (range 1.12-</w:t>
      </w:r>
      <w:r w:rsidR="00CC4E2B">
        <w:t xml:space="preserve"> to </w:t>
      </w:r>
      <w:r>
        <w:t>1.60-fold). When voriconazole is coadministered with fentanyl, extended and frequent monitoring of patients for respiratory depression and other fentanyl-associated adverse events is recommended, and fentanyl dosage should be reduced if warranted.</w:t>
      </w:r>
    </w:p>
    <w:p w:rsidR="00810F42" w:rsidRDefault="00810F42">
      <w:pPr>
        <w:spacing w:after="0"/>
        <w:jc w:val="left"/>
        <w:rPr>
          <w:b/>
          <w:i/>
        </w:rPr>
      </w:pPr>
      <w:r>
        <w:rPr>
          <w:b/>
          <w:i/>
        </w:rPr>
        <w:br w:type="page"/>
      </w:r>
    </w:p>
    <w:p w:rsidR="00360BB8" w:rsidRPr="00360BB8" w:rsidRDefault="00360BB8" w:rsidP="00360BB8">
      <w:pPr>
        <w:keepLines/>
        <w:spacing w:after="0"/>
        <w:rPr>
          <w:b/>
        </w:rPr>
      </w:pPr>
      <w:r w:rsidRPr="009C193C">
        <w:rPr>
          <w:b/>
          <w:i/>
        </w:rPr>
        <w:lastRenderedPageBreak/>
        <w:t>Long Acting Opiates</w:t>
      </w:r>
      <w:r>
        <w:rPr>
          <w:b/>
        </w:rPr>
        <w:t xml:space="preserve"> </w:t>
      </w:r>
      <w:r>
        <w:t>(CYP3A4 substrates)</w:t>
      </w:r>
      <w:r w:rsidR="00627285">
        <w:t>:</w:t>
      </w:r>
    </w:p>
    <w:p w:rsidR="0088171B" w:rsidRDefault="0088171B" w:rsidP="00810F42">
      <w:r>
        <w:rPr>
          <w:b/>
        </w:rPr>
        <w:t>Oxycodone</w:t>
      </w:r>
      <w:r>
        <w:t xml:space="preserve">: In an independent published study, coadministration of </w:t>
      </w:r>
      <w:r w:rsidR="00CC4E2B">
        <w:t xml:space="preserve">multiple doses of oral </w:t>
      </w:r>
      <w:r>
        <w:t xml:space="preserve">voriconazole (400 mg q12h on Day 1, </w:t>
      </w:r>
      <w:r w:rsidR="00CC4E2B">
        <w:t xml:space="preserve">followed by five doses of </w:t>
      </w:r>
      <w:r>
        <w:t>200 mg q12h on Day</w:t>
      </w:r>
      <w:r w:rsidR="00CC4E2B">
        <w:t>s</w:t>
      </w:r>
      <w:r>
        <w:t xml:space="preserve"> 2</w:t>
      </w:r>
      <w:r w:rsidR="00CC4E2B">
        <w:t xml:space="preserve"> to 4</w:t>
      </w:r>
      <w:r>
        <w:t xml:space="preserve">) with a single </w:t>
      </w:r>
      <w:r w:rsidR="00CC4E2B">
        <w:t xml:space="preserve">10 mg oral </w:t>
      </w:r>
      <w:r>
        <w:t xml:space="preserve">dose of </w:t>
      </w:r>
      <w:r w:rsidR="00CC4E2B">
        <w:t xml:space="preserve">oxycodone on Day 3 </w:t>
      </w:r>
      <w:r>
        <w:t xml:space="preserve">resulted in an increase in the mean </w:t>
      </w:r>
      <w:r w:rsidR="00CC4E2B">
        <w:t>C</w:t>
      </w:r>
      <w:r w:rsidR="00CC4E2B" w:rsidRPr="00CC4E2B">
        <w:rPr>
          <w:vertAlign w:val="subscript"/>
        </w:rPr>
        <w:t>max</w:t>
      </w:r>
      <w:r w:rsidR="00CC4E2B">
        <w:t xml:space="preserve"> and </w:t>
      </w:r>
      <w:r>
        <w:t>AUC</w:t>
      </w:r>
      <w:r w:rsidRPr="0088171B">
        <w:rPr>
          <w:vertAlign w:val="subscript"/>
        </w:rPr>
        <w:t>0-∞</w:t>
      </w:r>
      <w:r>
        <w:t xml:space="preserve"> of </w:t>
      </w:r>
      <w:r w:rsidR="00CC4E2B">
        <w:t xml:space="preserve">oxycodone </w:t>
      </w:r>
      <w:r>
        <w:t>by 1.</w:t>
      </w:r>
      <w:r w:rsidR="00CC4E2B">
        <w:t>7</w:t>
      </w:r>
      <w:r>
        <w:t>-fold (range 1.</w:t>
      </w:r>
      <w:r w:rsidR="00CC4E2B">
        <w:t>4</w:t>
      </w:r>
      <w:r>
        <w:t>-</w:t>
      </w:r>
      <w:r w:rsidR="00CC4E2B">
        <w:t xml:space="preserve"> to 2</w:t>
      </w:r>
      <w:r>
        <w:t>.</w:t>
      </w:r>
      <w:r w:rsidR="00CC4E2B">
        <w:t>2</w:t>
      </w:r>
      <w:r>
        <w:t>-fold)</w:t>
      </w:r>
      <w:r w:rsidR="00CC4E2B">
        <w:t xml:space="preserve"> and 3.6-fold (range 2.7- to 5.6-fold), respectively. The mean elimination half-life of oxycodone was also increased by 2.0-fold (range 1.4- to 2.5-fold).</w:t>
      </w:r>
      <w:r w:rsidR="008C309D">
        <w:t xml:space="preserve"> </w:t>
      </w:r>
      <w:r w:rsidR="00CC4E2B">
        <w:t xml:space="preserve">A reduction in </w:t>
      </w:r>
      <w:r w:rsidR="00435086">
        <w:t>oxycodone dosage may be needed during voriconazole treatment to avoid opioid related adverse effects. Extended and frequent monitoring for adverse effects associated with oxycodone and other long-acting opiates metabolised by CYP3A4 is recommended.</w:t>
      </w:r>
    </w:p>
    <w:p w:rsidR="009C193C" w:rsidRDefault="00CE4695" w:rsidP="00810F42">
      <w:r>
        <w:t>*</w:t>
      </w:r>
      <w:r w:rsidR="009C193C">
        <w:rPr>
          <w:b/>
          <w:i/>
        </w:rPr>
        <w:t xml:space="preserve">Everolimus </w:t>
      </w:r>
      <w:r w:rsidR="009C193C">
        <w:t>(CYP3A4 substrate, P-gP substrate): Although not studied, voriconazole is likely to significantly increase the plasma concentrations of everolimus. Coadministration of voriconazole and everolimus is not recommended because voriconazole is expected to significantly increase everolimus concentrations</w:t>
      </w:r>
      <w:r w:rsidR="00771B64">
        <w:t>.</w:t>
      </w:r>
    </w:p>
    <w:p w:rsidR="00B169D2" w:rsidRPr="008F33AD" w:rsidRDefault="00B169D2" w:rsidP="00810F42">
      <w:r w:rsidRPr="008F33AD">
        <w:rPr>
          <w:b/>
          <w:i/>
          <w:iCs/>
        </w:rPr>
        <w:t>Warfarin</w:t>
      </w:r>
      <w:r w:rsidRPr="008F33AD">
        <w:t xml:space="preserve"> (CYP2C9 substrate): Coadministration of voriconazole (300 mg twice daily) with warfarin (30 mg single dose) increased maximum prothrombin time by 93%.  Close monitoring of prothrombin time is recommended if warfarin and voriconazole are coadministered.</w:t>
      </w:r>
    </w:p>
    <w:p w:rsidR="00B169D2" w:rsidRPr="008F33AD" w:rsidRDefault="00B169D2" w:rsidP="00810F42">
      <w:r w:rsidRPr="008F33AD">
        <w:rPr>
          <w:b/>
          <w:i/>
          <w:iCs/>
        </w:rPr>
        <w:t>Other Oral Anticoagulants</w:t>
      </w:r>
      <w:r w:rsidRPr="008F33AD">
        <w:rPr>
          <w:b/>
        </w:rPr>
        <w:t xml:space="preserve"> </w:t>
      </w:r>
      <w:r w:rsidR="00B134D6">
        <w:t xml:space="preserve">(CYP2C9, CYP3A4 substrates): </w:t>
      </w:r>
      <w:r w:rsidRPr="008F33AD">
        <w:t>Although not studied, voriconazole may increase the plasma concentrations of coumarins and therefore may cause an</w:t>
      </w:r>
      <w:r w:rsidR="00B134D6">
        <w:t xml:space="preserve"> increase in prothrombin time. </w:t>
      </w:r>
      <w:r w:rsidRPr="008F33AD">
        <w:t>If patients receiving coumarin preparations are treated simultaneously with voriconazole, the prothrombin time should be monitored at close intervals and the dosage of anticoagulants adjusted accordingly.</w:t>
      </w:r>
    </w:p>
    <w:p w:rsidR="00B169D2" w:rsidRPr="008F33AD" w:rsidRDefault="00B169D2" w:rsidP="00810F42">
      <w:r w:rsidRPr="008F33AD">
        <w:rPr>
          <w:b/>
          <w:i/>
          <w:iCs/>
        </w:rPr>
        <w:t>Sulphonylureas</w:t>
      </w:r>
      <w:r w:rsidRPr="008F33AD">
        <w:rPr>
          <w:b/>
        </w:rPr>
        <w:t xml:space="preserve"> </w:t>
      </w:r>
      <w:r w:rsidRPr="008F33AD">
        <w:t>(CYP2C9 substrates)</w:t>
      </w:r>
      <w:r w:rsidRPr="008F33AD">
        <w:rPr>
          <w:b/>
        </w:rPr>
        <w:t>:</w:t>
      </w:r>
      <w:r w:rsidRPr="008F33AD">
        <w:t xml:space="preserve"> Although not studied, voriconazole may increase the plasma levels of sulphonylureas, (e.g. tolbutamide, glipizide, and glyburide) and </w:t>
      </w:r>
      <w:r w:rsidR="00B134D6">
        <w:t xml:space="preserve">therefore cause hypoglycaemia. </w:t>
      </w:r>
      <w:r w:rsidRPr="008F33AD">
        <w:t>Careful monitoring of blood glucose is recommended during coadministration.</w:t>
      </w:r>
    </w:p>
    <w:p w:rsidR="00B169D2" w:rsidRPr="008F33AD" w:rsidRDefault="00B169D2" w:rsidP="00810F42">
      <w:r w:rsidRPr="008F33AD">
        <w:rPr>
          <w:b/>
          <w:i/>
          <w:iCs/>
        </w:rPr>
        <w:t>Statins</w:t>
      </w:r>
      <w:r w:rsidRPr="008F33AD">
        <w:rPr>
          <w:b/>
        </w:rPr>
        <w:t xml:space="preserve"> </w:t>
      </w:r>
      <w:r w:rsidRPr="008F33AD">
        <w:t>(CYP3A4 substrates):</w:t>
      </w:r>
      <w:r w:rsidRPr="008F33AD">
        <w:rPr>
          <w:b/>
        </w:rPr>
        <w:t xml:space="preserve"> </w:t>
      </w:r>
      <w:r w:rsidRPr="008F33AD">
        <w:t xml:space="preserve">Although not studied clinically, voriconazole has been shown to inhibit lovastatin metabolism </w:t>
      </w:r>
      <w:r w:rsidRPr="008F33AD">
        <w:rPr>
          <w:i/>
        </w:rPr>
        <w:t>in vitro</w:t>
      </w:r>
      <w:r w:rsidR="00B134D6">
        <w:t xml:space="preserve"> (human liver microsomes). </w:t>
      </w:r>
      <w:r w:rsidRPr="008F33AD">
        <w:t>Therefore,</w:t>
      </w:r>
      <w:r w:rsidRPr="008F33AD">
        <w:rPr>
          <w:b/>
        </w:rPr>
        <w:t xml:space="preserve"> </w:t>
      </w:r>
      <w:r w:rsidRPr="008F33AD">
        <w:t>voriconazole is likely to increase plasma levels of statins t</w:t>
      </w:r>
      <w:r w:rsidR="00B134D6">
        <w:t xml:space="preserve">hat are metabolised by CYP3A4. </w:t>
      </w:r>
      <w:r w:rsidRPr="008F33AD">
        <w:t>It is recommended that dose adjustment of the statin be considered during coadministration.  Increased statin levels have been associated with rhabdomyolysis.</w:t>
      </w:r>
    </w:p>
    <w:p w:rsidR="00B169D2" w:rsidRPr="008F33AD" w:rsidRDefault="00B169D2" w:rsidP="00810F42">
      <w:r w:rsidRPr="008F33AD">
        <w:rPr>
          <w:b/>
          <w:i/>
          <w:iCs/>
        </w:rPr>
        <w:t>Benzodiazepines</w:t>
      </w:r>
      <w:r w:rsidRPr="008F33AD">
        <w:rPr>
          <w:b/>
        </w:rPr>
        <w:t xml:space="preserve"> </w:t>
      </w:r>
      <w:r w:rsidRPr="008F33AD">
        <w:t>(CYP3A4 substrates):</w:t>
      </w:r>
      <w:r w:rsidRPr="008F33AD">
        <w:rPr>
          <w:b/>
        </w:rPr>
        <w:t xml:space="preserve"> </w:t>
      </w:r>
      <w:r w:rsidRPr="008F33AD">
        <w:t xml:space="preserve">Although not studied clinically, voriconazole has been shown to inhibit midazolam metabolism </w:t>
      </w:r>
      <w:r w:rsidRPr="008F33AD">
        <w:rPr>
          <w:i/>
        </w:rPr>
        <w:t>in vitro</w:t>
      </w:r>
      <w:r w:rsidRPr="008F33AD">
        <w:t xml:space="preserve"> (human liver mi</w:t>
      </w:r>
      <w:r w:rsidR="00B134D6">
        <w:t xml:space="preserve">crosomes). </w:t>
      </w:r>
      <w:r w:rsidRPr="008F33AD">
        <w:t>Therefore, voriconazole is likely to increase the plasma levels of benzodiazepines that are metabolised by CYP3A4 (e.g. midazolam, triazolam and alprazolam) and lead t</w:t>
      </w:r>
      <w:r w:rsidR="00B134D6">
        <w:t xml:space="preserve">o a prolonged sedative effect. </w:t>
      </w:r>
      <w:r w:rsidRPr="008F33AD">
        <w:t>It is recommended that dose adjustment of the benzodiazepine be considered during coadministration.</w:t>
      </w:r>
    </w:p>
    <w:p w:rsidR="00B169D2" w:rsidRDefault="00B169D2" w:rsidP="00810F42">
      <w:r w:rsidRPr="008F33AD">
        <w:rPr>
          <w:b/>
          <w:i/>
          <w:iCs/>
        </w:rPr>
        <w:t>Vinca Alkaloids</w:t>
      </w:r>
      <w:r w:rsidRPr="008F33AD">
        <w:t xml:space="preserve"> (CYP3A4 substrates): Although not studied, voriconazole may increase the plasma levels of the vinca alkaloids (e.g. vincristine and vinblasti</w:t>
      </w:r>
      <w:r w:rsidR="00B134D6">
        <w:t xml:space="preserve">ne) and lead to neurotoxicity. </w:t>
      </w:r>
      <w:r w:rsidRPr="008F33AD">
        <w:t>It is therefore recommended that dose adjustment of the vinca alkaloid be considered.</w:t>
      </w:r>
    </w:p>
    <w:p w:rsidR="00F81829" w:rsidRPr="00F81829" w:rsidRDefault="00F81829" w:rsidP="00810F42">
      <w:r>
        <w:rPr>
          <w:b/>
        </w:rPr>
        <w:lastRenderedPageBreak/>
        <w:t>Non-Steroidal Anti-Inflammatory Drugs (</w:t>
      </w:r>
      <w:r w:rsidR="00360BB8">
        <w:t>CYP2C9 substrates</w:t>
      </w:r>
      <w:r>
        <w:rPr>
          <w:b/>
        </w:rPr>
        <w:t xml:space="preserve">): </w:t>
      </w:r>
      <w:r>
        <w:t>Voriconazole increased C</w:t>
      </w:r>
      <w:r w:rsidRPr="00F81829">
        <w:rPr>
          <w:vertAlign w:val="subscript"/>
        </w:rPr>
        <w:t>max</w:t>
      </w:r>
      <w:r>
        <w:t xml:space="preserve"> and AUC of ibuprofen (400 mg single dose) by 20% and 100%, respectively. Voriconazole increased C</w:t>
      </w:r>
      <w:r w:rsidRPr="00F81829">
        <w:rPr>
          <w:vertAlign w:val="subscript"/>
        </w:rPr>
        <w:t>max</w:t>
      </w:r>
      <w:r>
        <w:t xml:space="preserve"> and AUC of diclofenac (50 mg single dose) by 114% and 78%, respectively. Frequent monitoring for adverse events and toxicity related to NSAIDs is recommended.</w:t>
      </w:r>
      <w:r w:rsidR="00B134D6">
        <w:t xml:space="preserve"> </w:t>
      </w:r>
      <w:r>
        <w:t>Adjustment of dosage of NSAIDs may be needed.</w:t>
      </w:r>
    </w:p>
    <w:p w:rsidR="00B169D2" w:rsidRPr="008F33AD" w:rsidRDefault="00B169D2">
      <w:pPr>
        <w:keepNext/>
        <w:keepLines/>
        <w:rPr>
          <w:i/>
        </w:rPr>
      </w:pPr>
      <w:r w:rsidRPr="008F33AD">
        <w:rPr>
          <w:i/>
          <w:u w:val="single"/>
        </w:rPr>
        <w:t>No significant pharmacokinetic interactions were observed when voriconazole was coadministe</w:t>
      </w:r>
      <w:r w:rsidR="00B134D6">
        <w:rPr>
          <w:i/>
          <w:u w:val="single"/>
        </w:rPr>
        <w:t xml:space="preserve">red with the following agents. </w:t>
      </w:r>
      <w:r w:rsidRPr="008F33AD">
        <w:rPr>
          <w:i/>
          <w:u w:val="single"/>
        </w:rPr>
        <w:t>No dosage adjustment for these agents is recommended</w:t>
      </w:r>
      <w:r w:rsidR="00A94BEE" w:rsidRPr="008F33AD">
        <w:rPr>
          <w:i/>
          <w:u w:val="single"/>
        </w:rPr>
        <w:t>.</w:t>
      </w:r>
    </w:p>
    <w:p w:rsidR="00B169D2" w:rsidRPr="008F33AD" w:rsidRDefault="00B169D2" w:rsidP="00810F42">
      <w:r w:rsidRPr="008F33AD">
        <w:rPr>
          <w:b/>
          <w:i/>
          <w:iCs/>
        </w:rPr>
        <w:t>Prednisolone</w:t>
      </w:r>
      <w:r w:rsidRPr="008F33AD">
        <w:rPr>
          <w:b/>
        </w:rPr>
        <w:t xml:space="preserve"> </w:t>
      </w:r>
      <w:r w:rsidRPr="008F33AD">
        <w:t>(CYP3A4 substrate): Voriconazole increased C</w:t>
      </w:r>
      <w:r w:rsidRPr="008F33AD">
        <w:rPr>
          <w:vertAlign w:val="subscript"/>
        </w:rPr>
        <w:t xml:space="preserve">max </w:t>
      </w:r>
      <w:r w:rsidRPr="008F33AD">
        <w:t>and AUC</w:t>
      </w:r>
      <w:r w:rsidRPr="008F33AD">
        <w:rPr>
          <w:vertAlign w:val="subscript"/>
        </w:rPr>
        <w:sym w:font="Symbol" w:char="F074"/>
      </w:r>
      <w:r w:rsidRPr="008F33AD">
        <w:t xml:space="preserve"> of prednisolone (60 mg single dose) by 11% and 34% re</w:t>
      </w:r>
      <w:r w:rsidR="00B134D6">
        <w:t xml:space="preserve">spectively. </w:t>
      </w:r>
      <w:r w:rsidRPr="008F33AD">
        <w:t>No dosage adjustment is recommended.</w:t>
      </w:r>
    </w:p>
    <w:p w:rsidR="00B169D2" w:rsidRPr="008F33AD" w:rsidRDefault="00B169D2" w:rsidP="00810F42">
      <w:r w:rsidRPr="008F33AD">
        <w:rPr>
          <w:b/>
          <w:i/>
          <w:iCs/>
        </w:rPr>
        <w:t>Digoxin</w:t>
      </w:r>
      <w:r w:rsidRPr="008F33AD">
        <w:rPr>
          <w:b/>
        </w:rPr>
        <w:t xml:space="preserve"> </w:t>
      </w:r>
      <w:r w:rsidRPr="008F33AD">
        <w:t>(P-glycoprotein mediated transport): Voriconazole had no significant effect on C</w:t>
      </w:r>
      <w:r w:rsidRPr="008F33AD">
        <w:rPr>
          <w:vertAlign w:val="subscript"/>
        </w:rPr>
        <w:t>max</w:t>
      </w:r>
      <w:r w:rsidRPr="008F33AD">
        <w:t xml:space="preserve"> and AUC</w:t>
      </w:r>
      <w:r w:rsidRPr="008F33AD">
        <w:rPr>
          <w:vertAlign w:val="subscript"/>
        </w:rPr>
        <w:sym w:font="Symbol" w:char="F074"/>
      </w:r>
      <w:r w:rsidRPr="008F33AD">
        <w:t xml:space="preserve"> of digoxin (0.25 mg once daily).</w:t>
      </w:r>
    </w:p>
    <w:p w:rsidR="00B169D2" w:rsidRPr="008F33AD" w:rsidRDefault="00B169D2" w:rsidP="00810F42">
      <w:r w:rsidRPr="008F33AD">
        <w:rPr>
          <w:b/>
          <w:i/>
          <w:iCs/>
        </w:rPr>
        <w:t>Mycophenolic acid</w:t>
      </w:r>
      <w:r w:rsidRPr="008F33AD">
        <w:rPr>
          <w:b/>
        </w:rPr>
        <w:t xml:space="preserve"> </w:t>
      </w:r>
      <w:r w:rsidRPr="008F33AD">
        <w:t>(UDP-glucuronyl transferase substrate): Voriconazole had no effect on the C</w:t>
      </w:r>
      <w:r w:rsidRPr="008F33AD">
        <w:rPr>
          <w:vertAlign w:val="subscript"/>
        </w:rPr>
        <w:t>max</w:t>
      </w:r>
      <w:r w:rsidRPr="008F33AD">
        <w:t xml:space="preserve"> and AUC</w:t>
      </w:r>
      <w:r w:rsidR="00917BF0" w:rsidRPr="008F33AD">
        <w:rPr>
          <w:vertAlign w:val="subscript"/>
        </w:rPr>
        <w:sym w:font="Symbol" w:char="F074"/>
      </w:r>
      <w:r w:rsidRPr="008F33AD">
        <w:t xml:space="preserve"> of mycophenolic acid (1 g single dose).</w:t>
      </w:r>
    </w:p>
    <w:p w:rsidR="00B169D2" w:rsidRPr="008F33AD" w:rsidRDefault="00B169D2" w:rsidP="00F23230">
      <w:pPr>
        <w:pStyle w:val="Heading2"/>
      </w:pPr>
      <w:r w:rsidRPr="008F33AD">
        <w:t>Two-way interactions</w:t>
      </w:r>
    </w:p>
    <w:p w:rsidR="00B169D2" w:rsidRPr="008F33AD" w:rsidRDefault="00B169D2" w:rsidP="00810F42">
      <w:r w:rsidRPr="008F33AD">
        <w:rPr>
          <w:b/>
          <w:i/>
          <w:iCs/>
        </w:rPr>
        <w:t>Phenytoin</w:t>
      </w:r>
      <w:r w:rsidRPr="008F33AD">
        <w:t xml:space="preserve"> (CYP2C9 substra</w:t>
      </w:r>
      <w:r w:rsidR="00360D34">
        <w:t xml:space="preserve">tes and potent CYP450 inducer): </w:t>
      </w:r>
      <w:r w:rsidRPr="008F33AD">
        <w:t>Concomitant use of voriconazole and phenytoin should be avoided unless the benefit outweighs the risk.</w:t>
      </w:r>
    </w:p>
    <w:p w:rsidR="00B169D2" w:rsidRDefault="00B169D2" w:rsidP="00810F42">
      <w:r w:rsidRPr="008F33AD">
        <w:t>Phenytoin (300 mg once daily) decreased the C</w:t>
      </w:r>
      <w:r w:rsidRPr="008F33AD">
        <w:rPr>
          <w:vertAlign w:val="subscript"/>
        </w:rPr>
        <w:t>max</w:t>
      </w:r>
      <w:r w:rsidRPr="008F33AD">
        <w:t xml:space="preserve"> and AUC</w:t>
      </w:r>
      <w:r w:rsidRPr="008F33AD">
        <w:rPr>
          <w:vertAlign w:val="subscript"/>
        </w:rPr>
        <w:sym w:font="Symbol" w:char="F074"/>
      </w:r>
      <w:r w:rsidRPr="008F33AD">
        <w:t xml:space="preserve"> of voriconazole</w:t>
      </w:r>
      <w:r w:rsidR="00360D34">
        <w:t xml:space="preserve"> by 49% and 69%, respectively. </w:t>
      </w:r>
      <w:r w:rsidRPr="008F33AD">
        <w:t>Voriconazole (400 mg twice daily) increased C</w:t>
      </w:r>
      <w:r w:rsidRPr="008F33AD">
        <w:rPr>
          <w:vertAlign w:val="subscript"/>
        </w:rPr>
        <w:t>max</w:t>
      </w:r>
      <w:r w:rsidRPr="008F33AD">
        <w:t xml:space="preserve"> and AUC</w:t>
      </w:r>
      <w:r w:rsidRPr="008F33AD">
        <w:rPr>
          <w:vertAlign w:val="subscript"/>
        </w:rPr>
        <w:sym w:font="Symbol" w:char="F074"/>
      </w:r>
      <w:r w:rsidRPr="008F33AD">
        <w:rPr>
          <w:vertAlign w:val="subscript"/>
        </w:rPr>
        <w:t xml:space="preserve"> </w:t>
      </w:r>
      <w:r w:rsidRPr="008F33AD">
        <w:t>of phenytoin (300 mg once daily) by 67% and 81%, respectively.</w:t>
      </w:r>
    </w:p>
    <w:p w:rsidR="00B169D2" w:rsidRPr="008F33AD" w:rsidRDefault="00627285" w:rsidP="00810F42">
      <w:r>
        <w:t xml:space="preserve">Phenytoin may be </w:t>
      </w:r>
      <w:r w:rsidRPr="008F33AD">
        <w:t>coadministered with voriconazole if the maintenance dose of voriconazole is increased to 5mg /kg intravenously twice daily or from 200 mg to 400 mg orally, twice daily (100 mg to 200 mg orally, twice daily</w:t>
      </w:r>
      <w:r>
        <w:t xml:space="preserve"> in patients less than 40 kg). </w:t>
      </w:r>
      <w:r w:rsidRPr="008F33AD">
        <w:t>Careful monitoring of phenytoin plasma levels is recommended when phenytoin is coadministered with</w:t>
      </w:r>
      <w:r w:rsidR="00C21BBB">
        <w:t xml:space="preserve"> </w:t>
      </w:r>
      <w:r w:rsidR="00B169D2" w:rsidRPr="008F33AD">
        <w:t>voriconazole.</w:t>
      </w:r>
    </w:p>
    <w:p w:rsidR="00BC11A5" w:rsidRDefault="00B169D2" w:rsidP="00810F42">
      <w:r w:rsidRPr="008F33AD">
        <w:rPr>
          <w:b/>
          <w:i/>
          <w:iCs/>
        </w:rPr>
        <w:t xml:space="preserve">Omeprazole </w:t>
      </w:r>
      <w:r w:rsidRPr="008F33AD">
        <w:t>(CYP2C19 inhibitor; CYP2C19 and CYP3A4 substrate):</w:t>
      </w:r>
      <w:r w:rsidRPr="008F33AD">
        <w:rPr>
          <w:b/>
        </w:rPr>
        <w:t xml:space="preserve"> </w:t>
      </w:r>
      <w:r w:rsidRPr="008F33AD">
        <w:t>Omeprazole</w:t>
      </w:r>
      <w:r w:rsidRPr="008F33AD">
        <w:rPr>
          <w:vertAlign w:val="subscript"/>
        </w:rPr>
        <w:t xml:space="preserve"> </w:t>
      </w:r>
      <w:r w:rsidRPr="008F33AD">
        <w:t>(40 mg once daily) increased voriconazole C</w:t>
      </w:r>
      <w:r w:rsidRPr="008F33AD">
        <w:rPr>
          <w:vertAlign w:val="subscript"/>
        </w:rPr>
        <w:t xml:space="preserve">max </w:t>
      </w:r>
      <w:r w:rsidRPr="008F33AD">
        <w:t>and AUC</w:t>
      </w:r>
      <w:r w:rsidRPr="008F33AD">
        <w:rPr>
          <w:vertAlign w:val="subscript"/>
        </w:rPr>
        <w:sym w:font="Symbol" w:char="F074"/>
      </w:r>
      <w:r w:rsidRPr="008F33AD">
        <w:rPr>
          <w:vertAlign w:val="subscript"/>
        </w:rPr>
        <w:t xml:space="preserve"> </w:t>
      </w:r>
      <w:r w:rsidRPr="008F33AD">
        <w:t>by 15% and 41%, respectively.</w:t>
      </w:r>
      <w:r w:rsidRPr="008F33AD">
        <w:rPr>
          <w:b/>
        </w:rPr>
        <w:t xml:space="preserve"> </w:t>
      </w:r>
      <w:r w:rsidRPr="008F33AD">
        <w:t xml:space="preserve"> No dosage adjustment o</w:t>
      </w:r>
      <w:r w:rsidR="00360D34">
        <w:t xml:space="preserve">f voriconazole is recommended. </w:t>
      </w:r>
      <w:r w:rsidRPr="008F33AD">
        <w:t>Voriconazole increased omeprazole C</w:t>
      </w:r>
      <w:r w:rsidRPr="008F33AD">
        <w:rPr>
          <w:vertAlign w:val="subscript"/>
        </w:rPr>
        <w:t>max</w:t>
      </w:r>
      <w:r w:rsidRPr="008F33AD">
        <w:t xml:space="preserve"> and AUC</w:t>
      </w:r>
      <w:r w:rsidRPr="008F33AD">
        <w:rPr>
          <w:vertAlign w:val="subscript"/>
        </w:rPr>
        <w:sym w:font="Symbol" w:char="F074"/>
      </w:r>
      <w:r w:rsidRPr="008F33AD">
        <w:rPr>
          <w:vertAlign w:val="subscript"/>
        </w:rPr>
        <w:t xml:space="preserve"> </w:t>
      </w:r>
      <w:r w:rsidRPr="008F33AD">
        <w:t>b</w:t>
      </w:r>
      <w:r w:rsidR="00360D34">
        <w:t xml:space="preserve">y 116% and 280%, respectively. </w:t>
      </w:r>
      <w:r w:rsidRPr="008F33AD">
        <w:t xml:space="preserve">When initiating voriconazole in patients already receiving omeprazole, it is recommended that </w:t>
      </w:r>
      <w:r w:rsidR="00360D34">
        <w:t xml:space="preserve">the omeprazole dose be halved. </w:t>
      </w:r>
      <w:r w:rsidRPr="008F33AD">
        <w:t>The metabolism of other proton pump inhibitors which are CYP2C19 substrates may also be inhibited by voriconazole.</w:t>
      </w:r>
    </w:p>
    <w:p w:rsidR="00127C95" w:rsidRPr="008F33AD" w:rsidRDefault="00C75485" w:rsidP="00810F42">
      <w:r w:rsidRPr="008F33AD">
        <w:rPr>
          <w:b/>
          <w:bCs/>
          <w:i/>
          <w:iCs/>
        </w:rPr>
        <w:t xml:space="preserve">Oral Contraceptives </w:t>
      </w:r>
      <w:r w:rsidRPr="008F33AD">
        <w:t>(CYP3A4 substrate): Coadministration of voriconazole and an oral contraceptive (norethisterone 1 mg and ethinylestradiol 0.035 mg once daily) in healthy female subjects resulted in increases in the C</w:t>
      </w:r>
      <w:r w:rsidRPr="008F33AD">
        <w:rPr>
          <w:vertAlign w:val="subscript"/>
        </w:rPr>
        <w:t>max</w:t>
      </w:r>
      <w:r w:rsidRPr="008F33AD">
        <w:t xml:space="preserve"> and AUC</w:t>
      </w:r>
      <w:r w:rsidRPr="008F33AD">
        <w:rPr>
          <w:vertAlign w:val="subscript"/>
        </w:rPr>
        <w:sym w:font="Symbol" w:char="F074"/>
      </w:r>
      <w:r w:rsidRPr="008F33AD">
        <w:t xml:space="preserve">.of ethinylestradiol </w:t>
      </w:r>
      <w:r w:rsidRPr="008F33AD">
        <w:rPr>
          <w:bCs/>
        </w:rPr>
        <w:t>(36% and 61% respectively) and norethisterone (15% and 53% respectively)</w:t>
      </w:r>
      <w:r w:rsidR="00360D34">
        <w:t xml:space="preserve">. </w:t>
      </w:r>
      <w:r w:rsidRPr="008F33AD">
        <w:t>Voriconazole C</w:t>
      </w:r>
      <w:r w:rsidRPr="008F33AD">
        <w:rPr>
          <w:vertAlign w:val="subscript"/>
        </w:rPr>
        <w:t>max</w:t>
      </w:r>
      <w:r w:rsidRPr="008F33AD">
        <w:t xml:space="preserve"> and AUC</w:t>
      </w:r>
      <w:r w:rsidRPr="008F33AD">
        <w:rPr>
          <w:vertAlign w:val="subscript"/>
        </w:rPr>
        <w:sym w:font="Symbol" w:char="F074"/>
      </w:r>
      <w:r w:rsidRPr="008F33AD">
        <w:t xml:space="preserve"> increased </w:t>
      </w:r>
      <w:r w:rsidRPr="008F33AD">
        <w:rPr>
          <w:bCs/>
        </w:rPr>
        <w:t>by 14% and 46% respectively</w:t>
      </w:r>
      <w:r w:rsidR="00360D34">
        <w:t xml:space="preserve">. </w:t>
      </w:r>
      <w:r w:rsidRPr="008F33AD">
        <w:rPr>
          <w:bCs/>
        </w:rPr>
        <w:t>Oral contraceptives containing doses other than</w:t>
      </w:r>
      <w:r>
        <w:rPr>
          <w:bCs/>
        </w:rPr>
        <w:t xml:space="preserve"> </w:t>
      </w:r>
      <w:r w:rsidRPr="008F33AD">
        <w:rPr>
          <w:bCs/>
        </w:rPr>
        <w:t>norethisterone 1 mg and ethinylestradiol 0</w:t>
      </w:r>
      <w:r w:rsidR="00360D34">
        <w:rPr>
          <w:bCs/>
        </w:rPr>
        <w:t xml:space="preserve">.035 mg have not been studied. </w:t>
      </w:r>
      <w:r w:rsidRPr="008F33AD">
        <w:rPr>
          <w:bCs/>
        </w:rPr>
        <w:t>As the ratio</w:t>
      </w:r>
      <w:r>
        <w:rPr>
          <w:bCs/>
        </w:rPr>
        <w:t xml:space="preserve"> </w:t>
      </w:r>
      <w:r w:rsidRPr="008F33AD">
        <w:rPr>
          <w:bCs/>
        </w:rPr>
        <w:t>between norethisterone and ethinylestradiol remained similar during interaction with</w:t>
      </w:r>
      <w:r>
        <w:rPr>
          <w:bCs/>
        </w:rPr>
        <w:t xml:space="preserve"> </w:t>
      </w:r>
      <w:r w:rsidRPr="008F33AD">
        <w:rPr>
          <w:bCs/>
        </w:rPr>
        <w:t>voriconazole, their contraceptive activity would p</w:t>
      </w:r>
      <w:r w:rsidR="00360D34">
        <w:rPr>
          <w:bCs/>
        </w:rPr>
        <w:t xml:space="preserve">robably not be affected. </w:t>
      </w:r>
      <w:r w:rsidRPr="008F33AD">
        <w:t>Monitoring for</w:t>
      </w:r>
      <w:r w:rsidR="00BC11A5">
        <w:t xml:space="preserve"> </w:t>
      </w:r>
      <w:r w:rsidR="00127C95" w:rsidRPr="008F33AD">
        <w:t>adverse events related to oral contraceptives is recommended during coadministration.</w:t>
      </w:r>
    </w:p>
    <w:p w:rsidR="00B169D2" w:rsidRPr="008F33AD" w:rsidRDefault="00B169D2" w:rsidP="00810F42">
      <w:r w:rsidRPr="008F33AD">
        <w:rPr>
          <w:b/>
          <w:bCs/>
          <w:i/>
          <w:iCs/>
        </w:rPr>
        <w:lastRenderedPageBreak/>
        <w:t xml:space="preserve">Indinavir </w:t>
      </w:r>
      <w:r w:rsidRPr="008F33AD">
        <w:t>(CYP3A4 inhibitor and substrate): Indinavir (800 mg three times daily) had no significant effect on voriconazole C</w:t>
      </w:r>
      <w:r w:rsidRPr="008F33AD">
        <w:rPr>
          <w:vertAlign w:val="subscript"/>
        </w:rPr>
        <w:t>max</w:t>
      </w:r>
      <w:r w:rsidRPr="008F33AD">
        <w:t xml:space="preserve"> and AUC</w:t>
      </w:r>
      <w:r w:rsidRPr="008F33AD">
        <w:rPr>
          <w:vertAlign w:val="subscript"/>
        </w:rPr>
        <w:sym w:font="Symbol" w:char="F074"/>
      </w:r>
      <w:r w:rsidRPr="008F33AD">
        <w:t>. Voriconazole did not have a significant effect on C</w:t>
      </w:r>
      <w:r w:rsidRPr="008F33AD">
        <w:rPr>
          <w:vertAlign w:val="subscript"/>
        </w:rPr>
        <w:t>max</w:t>
      </w:r>
      <w:r w:rsidRPr="008F33AD">
        <w:t>, C</w:t>
      </w:r>
      <w:r w:rsidRPr="008F33AD">
        <w:rPr>
          <w:vertAlign w:val="subscript"/>
        </w:rPr>
        <w:t>min</w:t>
      </w:r>
      <w:r w:rsidRPr="008F33AD">
        <w:t xml:space="preserve"> and AUC</w:t>
      </w:r>
      <w:r w:rsidRPr="008F33AD">
        <w:rPr>
          <w:vertAlign w:val="subscript"/>
        </w:rPr>
        <w:sym w:font="Symbol" w:char="F074"/>
      </w:r>
      <w:r w:rsidRPr="008F33AD">
        <w:rPr>
          <w:vertAlign w:val="subscript"/>
        </w:rPr>
        <w:t xml:space="preserve"> </w:t>
      </w:r>
      <w:r w:rsidRPr="008F33AD">
        <w:t>of indinavir.</w:t>
      </w:r>
    </w:p>
    <w:p w:rsidR="00B169D2" w:rsidRDefault="00B169D2" w:rsidP="00810F42">
      <w:r w:rsidRPr="008F33AD">
        <w:rPr>
          <w:b/>
          <w:i/>
          <w:iCs/>
        </w:rPr>
        <w:t>Other HIV protease inhibitors</w:t>
      </w:r>
      <w:r w:rsidRPr="008F33AD">
        <w:t xml:space="preserve"> (CYP3A4 substrates and inhibitors):</w:t>
      </w:r>
      <w:r w:rsidR="00DF1C3D" w:rsidRPr="008F33AD">
        <w:t xml:space="preserve"> </w:t>
      </w:r>
      <w:r w:rsidRPr="008F33AD">
        <w:rPr>
          <w:i/>
        </w:rPr>
        <w:t>In vitro</w:t>
      </w:r>
      <w:r w:rsidRPr="008F33AD">
        <w:t xml:space="preserve"> studies suggest that voriconazole may inhibit the metabolism of HIV protease inhibitors (e.g. saquinavir, amprenavir and nelfinavir). </w:t>
      </w:r>
      <w:r w:rsidRPr="008F33AD">
        <w:rPr>
          <w:i/>
        </w:rPr>
        <w:t>In vitro</w:t>
      </w:r>
      <w:r w:rsidRPr="008F33AD">
        <w:t xml:space="preserve"> studies also show that the metabolism of voriconazole may be inhibit</w:t>
      </w:r>
      <w:r w:rsidR="00360D34">
        <w:t xml:space="preserve">ed by HIV protease inhibitors. </w:t>
      </w:r>
      <w:r w:rsidRPr="008F33AD">
        <w:t>Patients should be carefully monitored for drug toxicity during the coadministration of voriconazole and HIV protease inhibitors.</w:t>
      </w:r>
    </w:p>
    <w:p w:rsidR="00B169D2" w:rsidRPr="008F33AD" w:rsidRDefault="00360D34" w:rsidP="00810F42">
      <w:r>
        <w:rPr>
          <w:b/>
          <w:i/>
        </w:rPr>
        <w:t xml:space="preserve">Efavirenz </w:t>
      </w:r>
      <w:r w:rsidRPr="008F33AD">
        <w:t xml:space="preserve">(a non-nucleoside reverse transcriptase inhibitor [CYP450 inducer; CYP3A4 inhibitor and substrate]): Standard doses of voriconazole and efavirenz </w:t>
      </w:r>
      <w:r>
        <w:t xml:space="preserve">at a dose of </w:t>
      </w:r>
      <w:r w:rsidRPr="00042771">
        <w:t xml:space="preserve">400 mg once daily or above is contraindicated (see </w:t>
      </w:r>
      <w:r w:rsidRPr="00C57F14">
        <w:rPr>
          <w:b/>
        </w:rPr>
        <w:t>CONTRAINDICATIONS</w:t>
      </w:r>
      <w:r w:rsidRPr="00042771">
        <w:t>).</w:t>
      </w:r>
      <w:r>
        <w:t xml:space="preserve"> </w:t>
      </w:r>
      <w:r w:rsidRPr="008F33AD">
        <w:t xml:space="preserve">In healthy subjects, </w:t>
      </w:r>
      <w:r>
        <w:t xml:space="preserve"> </w:t>
      </w:r>
      <w:r w:rsidRPr="008F33AD">
        <w:t>steady state efavirenz (400 mg oral once daily) decreased the steady state C</w:t>
      </w:r>
      <w:r w:rsidRPr="00043177">
        <w:rPr>
          <w:vertAlign w:val="subscript"/>
        </w:rPr>
        <w:t>max</w:t>
      </w:r>
      <w:r w:rsidRPr="008F33AD">
        <w:t xml:space="preserve"> and AUC</w:t>
      </w:r>
      <w:r w:rsidRPr="008F33AD">
        <w:rPr>
          <w:vertAlign w:val="subscript"/>
        </w:rPr>
        <w:sym w:font="Symbol" w:char="F074"/>
      </w:r>
      <w:r w:rsidRPr="008F33AD">
        <w:t xml:space="preserve"> of voriconazole by an averag</w:t>
      </w:r>
      <w:r>
        <w:t xml:space="preserve">e of 61% and 77% respectively. </w:t>
      </w:r>
      <w:r w:rsidRPr="008F33AD">
        <w:t>In the same study, voriconazole at</w:t>
      </w:r>
      <w:r>
        <w:t xml:space="preserve"> </w:t>
      </w:r>
      <w:r w:rsidRPr="008F33AD">
        <w:t>steady state (400 mg orally every 12 hours for 1 day, then 200 mg orally every 12 hours for 8 days) increased the steady state C</w:t>
      </w:r>
      <w:r w:rsidRPr="008F33AD">
        <w:rPr>
          <w:vertAlign w:val="subscript"/>
        </w:rPr>
        <w:t>max</w:t>
      </w:r>
      <w:r w:rsidRPr="008F33AD">
        <w:t xml:space="preserve"> and AUC</w:t>
      </w:r>
      <w:r w:rsidRPr="008F33AD">
        <w:rPr>
          <w:vertAlign w:val="subscript"/>
        </w:rPr>
        <w:sym w:font="Symbol" w:char="F074"/>
      </w:r>
      <w:r w:rsidRPr="008F33AD">
        <w:t xml:space="preserve"> of efavirenz by an average of 38% and 44%,</w:t>
      </w:r>
      <w:r w:rsidR="00627285">
        <w:t xml:space="preserve"> </w:t>
      </w:r>
      <w:r w:rsidR="00B169D2" w:rsidRPr="008F33AD">
        <w:t xml:space="preserve">respectively, in the same subjects. </w:t>
      </w:r>
    </w:p>
    <w:p w:rsidR="005E0120" w:rsidRPr="008F33AD" w:rsidRDefault="005E0120" w:rsidP="00810F42">
      <w:r w:rsidRPr="008F33AD">
        <w:t>In a separate study in healthy subjects, voriconazole dose of 300 mg twice daily in combination with low dose efavirenz (300 mg once daily) did not lead to sufficient voriconazole exposure.</w:t>
      </w:r>
    </w:p>
    <w:p w:rsidR="005E0120" w:rsidRPr="008F33AD" w:rsidDel="00745542" w:rsidRDefault="005E0120" w:rsidP="00810F42">
      <w:r w:rsidRPr="008F33AD">
        <w:rPr>
          <w:color w:val="000000"/>
        </w:rPr>
        <w:t>Following coadministration of voriconazole 400 mg twice daily with efavirenz 300 mg orally once daily in healthy subjects, the AUCτ of voriconazole was decreased by 7% and C</w:t>
      </w:r>
      <w:r w:rsidRPr="00043177">
        <w:rPr>
          <w:color w:val="000000"/>
          <w:vertAlign w:val="subscript"/>
        </w:rPr>
        <w:t xml:space="preserve">max </w:t>
      </w:r>
      <w:r w:rsidRPr="008F33AD">
        <w:rPr>
          <w:color w:val="000000"/>
        </w:rPr>
        <w:t>was increased by 23% compared to voricona</w:t>
      </w:r>
      <w:r w:rsidR="00E75969">
        <w:rPr>
          <w:color w:val="000000"/>
        </w:rPr>
        <w:t xml:space="preserve">zole 200 mg twice daily alone. </w:t>
      </w:r>
      <w:r w:rsidRPr="008F33AD">
        <w:rPr>
          <w:color w:val="000000"/>
        </w:rPr>
        <w:t>The AUCτ of efavirenz was increased by 17% and C</w:t>
      </w:r>
      <w:r w:rsidRPr="00043177">
        <w:rPr>
          <w:color w:val="000000"/>
          <w:vertAlign w:val="subscript"/>
        </w:rPr>
        <w:t>max</w:t>
      </w:r>
      <w:r w:rsidRPr="008F33AD">
        <w:rPr>
          <w:color w:val="000000"/>
        </w:rPr>
        <w:t xml:space="preserve"> was equivalent compared to efavirenz 600 mg once daily alone. </w:t>
      </w:r>
      <w:r w:rsidRPr="008F33AD">
        <w:t xml:space="preserve">These differences were not considered to be clinically significant. </w:t>
      </w:r>
    </w:p>
    <w:p w:rsidR="00E94AE1" w:rsidRPr="008F33AD" w:rsidRDefault="004A2878" w:rsidP="00810F42">
      <w:r>
        <w:t>V</w:t>
      </w:r>
      <w:r w:rsidR="00E94AE1" w:rsidRPr="008F33AD">
        <w:t xml:space="preserve">oriconazole </w:t>
      </w:r>
      <w:r>
        <w:t>may be</w:t>
      </w:r>
      <w:r w:rsidR="00E94AE1" w:rsidRPr="008F33AD">
        <w:t xml:space="preserve"> coadministered with efavirenz</w:t>
      </w:r>
      <w:r>
        <w:t xml:space="preserve"> if</w:t>
      </w:r>
      <w:r w:rsidR="00E94AE1" w:rsidRPr="008F33AD">
        <w:t xml:space="preserve"> the voriconazole maintenance dose </w:t>
      </w:r>
      <w:r>
        <w:t>is</w:t>
      </w:r>
      <w:r w:rsidR="00E94AE1" w:rsidRPr="008F33AD">
        <w:t xml:space="preserve"> increased to 400 mg twice daily and the efavirenz dose </w:t>
      </w:r>
      <w:r>
        <w:t>is</w:t>
      </w:r>
      <w:r w:rsidR="00E94AE1" w:rsidRPr="008F33AD">
        <w:t xml:space="preserve"> </w:t>
      </w:r>
      <w:r w:rsidR="005E0120" w:rsidRPr="008F33AD">
        <w:t>reduced by 50%</w:t>
      </w:r>
      <w:r w:rsidR="00C3190C" w:rsidRPr="008F33AD">
        <w:t xml:space="preserve">, </w:t>
      </w:r>
      <w:r w:rsidR="005E0120" w:rsidRPr="008F33AD">
        <w:t xml:space="preserve">i.e. to 300 mg once daily (see </w:t>
      </w:r>
      <w:r w:rsidR="005E0120" w:rsidRPr="008F33AD">
        <w:rPr>
          <w:b/>
        </w:rPr>
        <w:t xml:space="preserve">DOSAGE </w:t>
      </w:r>
      <w:r w:rsidR="00197259" w:rsidRPr="008F33AD">
        <w:rPr>
          <w:b/>
        </w:rPr>
        <w:t>AND</w:t>
      </w:r>
      <w:r w:rsidR="005E0120" w:rsidRPr="008F33AD">
        <w:rPr>
          <w:b/>
        </w:rPr>
        <w:t xml:space="preserve"> ADMINISTRATION</w:t>
      </w:r>
      <w:r w:rsidR="00E75969">
        <w:t xml:space="preserve">). </w:t>
      </w:r>
      <w:r w:rsidR="005E0120" w:rsidRPr="008F33AD">
        <w:t>When treatment with voriconazole is stopped, the initial dosage of efavirenz should be restored.</w:t>
      </w:r>
    </w:p>
    <w:p w:rsidR="006B6445" w:rsidRPr="008F33AD" w:rsidDel="00E94AE1" w:rsidRDefault="006B6445" w:rsidP="00810F42">
      <w:r w:rsidRPr="008F33AD">
        <w:rPr>
          <w:color w:val="000000"/>
        </w:rPr>
        <w:t>The concomitant use of intravenous voriconazole and oral efavirenz has not been studied.</w:t>
      </w:r>
    </w:p>
    <w:p w:rsidR="00B169D2" w:rsidRPr="008F33AD" w:rsidRDefault="00B169D2" w:rsidP="00810F42">
      <w:r w:rsidRPr="008F33AD">
        <w:rPr>
          <w:b/>
          <w:i/>
          <w:iCs/>
        </w:rPr>
        <w:t>Other non-nucleoside reverse transcriptase inhibitors (NNRTI)</w:t>
      </w:r>
      <w:r w:rsidRPr="008F33AD">
        <w:rPr>
          <w:b/>
        </w:rPr>
        <w:t xml:space="preserve"> </w:t>
      </w:r>
      <w:r w:rsidRPr="008F33AD">
        <w:t xml:space="preserve">(CYP3A4 substrates, inhibitors or CYP450 inducers): </w:t>
      </w:r>
      <w:r w:rsidRPr="008F33AD">
        <w:rPr>
          <w:i/>
        </w:rPr>
        <w:t>In vitro</w:t>
      </w:r>
      <w:r w:rsidRPr="008F33AD">
        <w:t xml:space="preserve"> studies show that the metabolism of voriconazole may be inhibited by delavirdine. Although not studied the metabolism of voriconazole</w:t>
      </w:r>
      <w:r w:rsidR="00E75969">
        <w:t xml:space="preserve"> may be induced by nevirapine. </w:t>
      </w:r>
      <w:r w:rsidRPr="008F33AD">
        <w:t>Voriconazole</w:t>
      </w:r>
      <w:r w:rsidRPr="008F33AD">
        <w:rPr>
          <w:i/>
        </w:rPr>
        <w:t xml:space="preserve"> </w:t>
      </w:r>
      <w:r w:rsidRPr="008F33AD">
        <w:t>may also inhibit the metabolism of NNRTIs.  Patients should be carefully monitored for drug toxicity during the coadministration of voriconazole and NNRTIs.</w:t>
      </w:r>
    </w:p>
    <w:p w:rsidR="00B169D2" w:rsidRPr="008F33AD" w:rsidRDefault="00B169D2" w:rsidP="006230D6">
      <w:pPr>
        <w:pStyle w:val="TableTitle"/>
        <w:spacing w:before="0"/>
        <w:rPr>
          <w:color w:val="auto"/>
        </w:rPr>
      </w:pPr>
      <w:r w:rsidRPr="008F33AD">
        <w:rPr>
          <w:color w:val="auto"/>
        </w:rPr>
        <w:lastRenderedPageBreak/>
        <w:t>Guidance on the Clinical Management of Drug Interactions</w:t>
      </w:r>
      <w:r w:rsidR="0080455D" w:rsidRPr="008F33AD">
        <w:rPr>
          <w:color w:val="auto"/>
        </w:rPr>
        <w:t xml:space="preserve"> </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8"/>
        <w:gridCol w:w="2435"/>
        <w:gridCol w:w="2132"/>
        <w:gridCol w:w="2314"/>
      </w:tblGrid>
      <w:tr w:rsidR="0071226F" w:rsidRPr="008F33AD">
        <w:trPr>
          <w:trHeight w:hRule="exact" w:val="851"/>
          <w:tblHeader/>
        </w:trPr>
        <w:tc>
          <w:tcPr>
            <w:tcW w:w="2588" w:type="dxa"/>
            <w:tcBorders>
              <w:bottom w:val="nil"/>
            </w:tcBorders>
            <w:vAlign w:val="center"/>
          </w:tcPr>
          <w:p w:rsidR="00B169D2" w:rsidRPr="008F33AD" w:rsidRDefault="00B169D2" w:rsidP="006B3BE2">
            <w:pPr>
              <w:pStyle w:val="TableHeading"/>
              <w:ind w:left="34"/>
              <w:jc w:val="center"/>
              <w:rPr>
                <w:color w:val="auto"/>
              </w:rPr>
            </w:pPr>
            <w:r w:rsidRPr="008F33AD">
              <w:rPr>
                <w:color w:val="auto"/>
              </w:rPr>
              <w:t>Contraindications</w:t>
            </w:r>
          </w:p>
        </w:tc>
        <w:tc>
          <w:tcPr>
            <w:tcW w:w="2435" w:type="dxa"/>
            <w:tcBorders>
              <w:bottom w:val="nil"/>
            </w:tcBorders>
            <w:vAlign w:val="center"/>
          </w:tcPr>
          <w:p w:rsidR="00B169D2" w:rsidRPr="008F33AD" w:rsidRDefault="00B169D2" w:rsidP="006B3BE2">
            <w:pPr>
              <w:pStyle w:val="TableHeading"/>
              <w:jc w:val="center"/>
              <w:rPr>
                <w:color w:val="auto"/>
              </w:rPr>
            </w:pPr>
            <w:r w:rsidRPr="008F33AD">
              <w:rPr>
                <w:color w:val="auto"/>
              </w:rPr>
              <w:t>Dose adjustment of voriconazole</w:t>
            </w:r>
          </w:p>
        </w:tc>
        <w:tc>
          <w:tcPr>
            <w:tcW w:w="2132" w:type="dxa"/>
            <w:tcBorders>
              <w:bottom w:val="nil"/>
            </w:tcBorders>
            <w:vAlign w:val="center"/>
          </w:tcPr>
          <w:p w:rsidR="00B169D2" w:rsidRPr="008F33AD" w:rsidRDefault="00B169D2" w:rsidP="006B3BE2">
            <w:pPr>
              <w:pStyle w:val="TableHeading"/>
              <w:jc w:val="center"/>
              <w:rPr>
                <w:color w:val="auto"/>
              </w:rPr>
            </w:pPr>
            <w:r w:rsidRPr="008F33AD">
              <w:rPr>
                <w:color w:val="auto"/>
              </w:rPr>
              <w:t>Dose adjustment and/or monitoring of other drugs</w:t>
            </w:r>
          </w:p>
        </w:tc>
        <w:tc>
          <w:tcPr>
            <w:tcW w:w="2314" w:type="dxa"/>
            <w:tcBorders>
              <w:bottom w:val="nil"/>
            </w:tcBorders>
            <w:vAlign w:val="center"/>
          </w:tcPr>
          <w:p w:rsidR="00B169D2" w:rsidRPr="008F33AD" w:rsidRDefault="00B169D2" w:rsidP="006B3BE2">
            <w:pPr>
              <w:pStyle w:val="TableHeading"/>
              <w:jc w:val="center"/>
              <w:rPr>
                <w:color w:val="auto"/>
              </w:rPr>
            </w:pPr>
            <w:r w:rsidRPr="008F33AD">
              <w:rPr>
                <w:color w:val="auto"/>
              </w:rPr>
              <w:t>No dose adjustment of voriconazole or other drugs</w:t>
            </w:r>
          </w:p>
        </w:tc>
      </w:tr>
      <w:tr w:rsidR="0071226F" w:rsidRPr="008F33AD">
        <w:trPr>
          <w:trHeight w:hRule="exact" w:val="255"/>
        </w:trPr>
        <w:tc>
          <w:tcPr>
            <w:tcW w:w="2588" w:type="dxa"/>
            <w:tcBorders>
              <w:top w:val="single" w:sz="4" w:space="0" w:color="auto"/>
              <w:left w:val="single" w:sz="4" w:space="0" w:color="auto"/>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Rifampi</w:t>
            </w:r>
            <w:r w:rsidR="00370F87" w:rsidRPr="008F33AD">
              <w:rPr>
                <w:color w:val="auto"/>
                <w:sz w:val="22"/>
                <w:szCs w:val="22"/>
              </w:rPr>
              <w:t>ci</w:t>
            </w:r>
            <w:r w:rsidRPr="008F33AD">
              <w:rPr>
                <w:color w:val="auto"/>
                <w:sz w:val="22"/>
                <w:szCs w:val="22"/>
              </w:rPr>
              <w:t>n</w:t>
            </w:r>
          </w:p>
        </w:tc>
        <w:tc>
          <w:tcPr>
            <w:tcW w:w="2435" w:type="dxa"/>
            <w:tcBorders>
              <w:top w:val="single" w:sz="4" w:space="0" w:color="auto"/>
              <w:left w:val="nil"/>
              <w:bottom w:val="nil"/>
              <w:right w:val="single" w:sz="4" w:space="0" w:color="auto"/>
            </w:tcBorders>
          </w:tcPr>
          <w:p w:rsidR="00B169D2" w:rsidRPr="008F33AD" w:rsidRDefault="00B169D2" w:rsidP="006B3BE2">
            <w:pPr>
              <w:pStyle w:val="TableText"/>
              <w:keepNext/>
              <w:rPr>
                <w:color w:val="auto"/>
                <w:sz w:val="22"/>
                <w:szCs w:val="22"/>
              </w:rPr>
            </w:pPr>
          </w:p>
        </w:tc>
        <w:tc>
          <w:tcPr>
            <w:tcW w:w="2132" w:type="dxa"/>
            <w:tcBorders>
              <w:top w:val="single" w:sz="4" w:space="0" w:color="auto"/>
              <w:left w:val="nil"/>
              <w:bottom w:val="nil"/>
              <w:right w:val="single" w:sz="4" w:space="0" w:color="auto"/>
            </w:tcBorders>
          </w:tcPr>
          <w:p w:rsidR="00B169D2" w:rsidRPr="008F33AD" w:rsidRDefault="0028169F" w:rsidP="006B3BE2">
            <w:pPr>
              <w:pStyle w:val="TableText"/>
              <w:keepNext/>
              <w:rPr>
                <w:color w:val="auto"/>
                <w:sz w:val="22"/>
                <w:szCs w:val="22"/>
              </w:rPr>
            </w:pPr>
            <w:r w:rsidRPr="008F33AD">
              <w:rPr>
                <w:color w:val="auto"/>
                <w:sz w:val="22"/>
                <w:szCs w:val="22"/>
              </w:rPr>
              <w:t>Cyc</w:t>
            </w:r>
            <w:r w:rsidR="00B169D2" w:rsidRPr="008F33AD">
              <w:rPr>
                <w:color w:val="auto"/>
                <w:sz w:val="22"/>
                <w:szCs w:val="22"/>
              </w:rPr>
              <w:t>l</w:t>
            </w:r>
            <w:r w:rsidRPr="008F33AD">
              <w:rPr>
                <w:color w:val="auto"/>
                <w:sz w:val="22"/>
                <w:szCs w:val="22"/>
              </w:rPr>
              <w:t>o</w:t>
            </w:r>
            <w:r w:rsidR="00B169D2" w:rsidRPr="008F33AD">
              <w:rPr>
                <w:color w:val="auto"/>
                <w:sz w:val="22"/>
                <w:szCs w:val="22"/>
              </w:rPr>
              <w:t>sporin</w:t>
            </w:r>
            <w:r w:rsidR="00070ED3" w:rsidRPr="008F33AD">
              <w:rPr>
                <w:color w:val="auto"/>
                <w:sz w:val="22"/>
                <w:szCs w:val="22"/>
              </w:rPr>
              <w:t xml:space="preserve"> </w:t>
            </w:r>
            <w:r w:rsidR="00B169D2" w:rsidRPr="008F33AD">
              <w:rPr>
                <w:color w:val="auto"/>
                <w:sz w:val="22"/>
                <w:szCs w:val="22"/>
                <w:vertAlign w:val="superscript"/>
              </w:rPr>
              <w:t>(2,3)</w:t>
            </w:r>
          </w:p>
        </w:tc>
        <w:tc>
          <w:tcPr>
            <w:tcW w:w="2314" w:type="dxa"/>
            <w:tcBorders>
              <w:top w:val="single" w:sz="4" w:space="0" w:color="auto"/>
              <w:left w:val="nil"/>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Indinavir</w:t>
            </w:r>
          </w:p>
        </w:tc>
      </w:tr>
      <w:tr w:rsidR="0071226F" w:rsidRPr="008F33AD">
        <w:trPr>
          <w:trHeight w:hRule="exact" w:val="255"/>
        </w:trPr>
        <w:tc>
          <w:tcPr>
            <w:tcW w:w="2588" w:type="dxa"/>
            <w:tcBorders>
              <w:top w:val="nil"/>
              <w:left w:val="single" w:sz="4" w:space="0" w:color="auto"/>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Sirolimus</w:t>
            </w:r>
          </w:p>
        </w:tc>
        <w:tc>
          <w:tcPr>
            <w:tcW w:w="2435"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p>
        </w:tc>
        <w:tc>
          <w:tcPr>
            <w:tcW w:w="2132"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Tacrolimus</w:t>
            </w:r>
            <w:r w:rsidR="00070ED3" w:rsidRPr="008F33AD">
              <w:rPr>
                <w:color w:val="auto"/>
                <w:sz w:val="22"/>
                <w:szCs w:val="22"/>
              </w:rPr>
              <w:t xml:space="preserve"> </w:t>
            </w:r>
            <w:r w:rsidR="00070ED3" w:rsidRPr="008F33AD">
              <w:rPr>
                <w:color w:val="auto"/>
                <w:sz w:val="22"/>
                <w:szCs w:val="22"/>
                <w:vertAlign w:val="superscript"/>
              </w:rPr>
              <w:t>(</w:t>
            </w:r>
            <w:r w:rsidRPr="008F33AD">
              <w:rPr>
                <w:color w:val="auto"/>
                <w:sz w:val="22"/>
                <w:szCs w:val="22"/>
                <w:vertAlign w:val="superscript"/>
              </w:rPr>
              <w:t>2,3)</w:t>
            </w:r>
          </w:p>
        </w:tc>
        <w:tc>
          <w:tcPr>
            <w:tcW w:w="2314"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Mycophenolate mofetil</w:t>
            </w:r>
          </w:p>
        </w:tc>
      </w:tr>
      <w:tr w:rsidR="0071226F" w:rsidRPr="008F33AD">
        <w:trPr>
          <w:trHeight w:hRule="exact" w:val="255"/>
        </w:trPr>
        <w:tc>
          <w:tcPr>
            <w:tcW w:w="2588" w:type="dxa"/>
            <w:tcBorders>
              <w:top w:val="nil"/>
              <w:left w:val="single" w:sz="4" w:space="0" w:color="auto"/>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Barbiturates (long acting)</w:t>
            </w:r>
          </w:p>
        </w:tc>
        <w:tc>
          <w:tcPr>
            <w:tcW w:w="2435"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p>
        </w:tc>
        <w:tc>
          <w:tcPr>
            <w:tcW w:w="2132"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Omeprazole</w:t>
            </w:r>
            <w:r w:rsidR="00070ED3" w:rsidRPr="008F33AD">
              <w:rPr>
                <w:color w:val="auto"/>
                <w:sz w:val="22"/>
                <w:szCs w:val="22"/>
              </w:rPr>
              <w:t xml:space="preserve"> </w:t>
            </w:r>
            <w:r w:rsidRPr="008F33AD">
              <w:rPr>
                <w:color w:val="auto"/>
                <w:sz w:val="22"/>
                <w:szCs w:val="22"/>
                <w:vertAlign w:val="superscript"/>
              </w:rPr>
              <w:t>(2)</w:t>
            </w:r>
          </w:p>
        </w:tc>
        <w:tc>
          <w:tcPr>
            <w:tcW w:w="2314"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Cimetidine</w:t>
            </w:r>
          </w:p>
        </w:tc>
      </w:tr>
      <w:tr w:rsidR="0071226F" w:rsidRPr="008F33AD">
        <w:trPr>
          <w:trHeight w:hRule="exact" w:val="255"/>
        </w:trPr>
        <w:tc>
          <w:tcPr>
            <w:tcW w:w="2588" w:type="dxa"/>
            <w:tcBorders>
              <w:top w:val="nil"/>
              <w:left w:val="single" w:sz="4" w:space="0" w:color="auto"/>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Carbamazepine</w:t>
            </w:r>
          </w:p>
        </w:tc>
        <w:tc>
          <w:tcPr>
            <w:tcW w:w="2435"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p>
        </w:tc>
        <w:tc>
          <w:tcPr>
            <w:tcW w:w="2132"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Warfarin</w:t>
            </w:r>
            <w:r w:rsidR="00D4034F" w:rsidRPr="008F33AD">
              <w:rPr>
                <w:color w:val="auto"/>
                <w:sz w:val="22"/>
                <w:szCs w:val="22"/>
              </w:rPr>
              <w:t xml:space="preserve"> </w:t>
            </w:r>
            <w:r w:rsidRPr="008F33AD">
              <w:rPr>
                <w:color w:val="auto"/>
                <w:sz w:val="22"/>
                <w:szCs w:val="22"/>
                <w:vertAlign w:val="superscript"/>
              </w:rPr>
              <w:t>(</w:t>
            </w:r>
            <w:r w:rsidR="00070ED3" w:rsidRPr="008F33AD">
              <w:rPr>
                <w:color w:val="auto"/>
                <w:sz w:val="22"/>
                <w:szCs w:val="22"/>
                <w:vertAlign w:val="superscript"/>
              </w:rPr>
              <w:t xml:space="preserve"> </w:t>
            </w:r>
            <w:r w:rsidRPr="008F33AD">
              <w:rPr>
                <w:color w:val="auto"/>
                <w:sz w:val="22"/>
                <w:szCs w:val="22"/>
                <w:vertAlign w:val="superscript"/>
              </w:rPr>
              <w:t>4)</w:t>
            </w:r>
          </w:p>
        </w:tc>
        <w:tc>
          <w:tcPr>
            <w:tcW w:w="2314"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Ranitidine</w:t>
            </w:r>
          </w:p>
        </w:tc>
      </w:tr>
      <w:tr w:rsidR="0071226F" w:rsidRPr="008F33AD">
        <w:trPr>
          <w:trHeight w:hRule="exact" w:val="255"/>
        </w:trPr>
        <w:tc>
          <w:tcPr>
            <w:tcW w:w="2588" w:type="dxa"/>
            <w:tcBorders>
              <w:top w:val="nil"/>
              <w:left w:val="single" w:sz="4" w:space="0" w:color="auto"/>
              <w:bottom w:val="nil"/>
              <w:right w:val="single" w:sz="4" w:space="0" w:color="auto"/>
            </w:tcBorders>
          </w:tcPr>
          <w:p w:rsidR="00B169D2" w:rsidRPr="008F33AD" w:rsidRDefault="00ED2B09" w:rsidP="0023610D">
            <w:pPr>
              <w:pStyle w:val="TableText"/>
              <w:keepNext/>
              <w:rPr>
                <w:color w:val="auto"/>
                <w:sz w:val="22"/>
                <w:szCs w:val="22"/>
              </w:rPr>
            </w:pPr>
            <w:r>
              <w:rPr>
                <w:color w:val="auto"/>
                <w:sz w:val="22"/>
                <w:szCs w:val="22"/>
              </w:rPr>
              <w:t>*</w:t>
            </w:r>
            <w:r w:rsidR="001E19E5" w:rsidRPr="00ED2B09">
              <w:rPr>
                <w:color w:val="auto"/>
                <w:sz w:val="22"/>
                <w:szCs w:val="22"/>
              </w:rPr>
              <w:t>Rifabutin</w:t>
            </w:r>
          </w:p>
        </w:tc>
        <w:tc>
          <w:tcPr>
            <w:tcW w:w="2435" w:type="dxa"/>
            <w:tcBorders>
              <w:top w:val="nil"/>
              <w:left w:val="nil"/>
              <w:bottom w:val="nil"/>
              <w:right w:val="single" w:sz="4" w:space="0" w:color="auto"/>
            </w:tcBorders>
          </w:tcPr>
          <w:p w:rsidR="00B169D2" w:rsidRPr="008F33AD" w:rsidRDefault="00CF3AC8" w:rsidP="006B3BE2">
            <w:pPr>
              <w:pStyle w:val="TableText"/>
              <w:keepNext/>
              <w:rPr>
                <w:color w:val="auto"/>
                <w:sz w:val="22"/>
                <w:szCs w:val="22"/>
              </w:rPr>
            </w:pPr>
            <w:r w:rsidRPr="008F33AD">
              <w:rPr>
                <w:color w:val="auto"/>
                <w:sz w:val="22"/>
                <w:szCs w:val="22"/>
              </w:rPr>
              <w:t xml:space="preserve">Phenytoin </w:t>
            </w:r>
            <w:r w:rsidRPr="008F33AD">
              <w:rPr>
                <w:color w:val="auto"/>
                <w:sz w:val="22"/>
                <w:szCs w:val="22"/>
                <w:vertAlign w:val="superscript"/>
              </w:rPr>
              <w:t>(1,3)</w:t>
            </w:r>
          </w:p>
        </w:tc>
        <w:tc>
          <w:tcPr>
            <w:tcW w:w="2132"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Phenytoin</w:t>
            </w:r>
            <w:r w:rsidR="00CB23D4" w:rsidRPr="008F33AD">
              <w:rPr>
                <w:color w:val="auto"/>
                <w:sz w:val="22"/>
                <w:szCs w:val="22"/>
              </w:rPr>
              <w:t xml:space="preserve"> </w:t>
            </w:r>
            <w:r w:rsidRPr="008F33AD">
              <w:rPr>
                <w:color w:val="auto"/>
                <w:sz w:val="22"/>
                <w:szCs w:val="22"/>
                <w:vertAlign w:val="superscript"/>
              </w:rPr>
              <w:t>(3)</w:t>
            </w:r>
          </w:p>
        </w:tc>
        <w:tc>
          <w:tcPr>
            <w:tcW w:w="2314"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Macrolide antibiotics</w:t>
            </w:r>
          </w:p>
        </w:tc>
      </w:tr>
      <w:tr w:rsidR="00370F87" w:rsidRPr="008F33AD">
        <w:trPr>
          <w:trHeight w:hRule="exact" w:val="255"/>
        </w:trPr>
        <w:tc>
          <w:tcPr>
            <w:tcW w:w="2588" w:type="dxa"/>
            <w:tcBorders>
              <w:top w:val="nil"/>
              <w:left w:val="single" w:sz="4" w:space="0" w:color="auto"/>
              <w:bottom w:val="nil"/>
              <w:right w:val="single" w:sz="4" w:space="0" w:color="auto"/>
            </w:tcBorders>
          </w:tcPr>
          <w:p w:rsidR="00370F87" w:rsidRPr="008F33AD" w:rsidRDefault="00370F87" w:rsidP="006B3BE2">
            <w:pPr>
              <w:pStyle w:val="TableText"/>
              <w:keepNext/>
              <w:rPr>
                <w:color w:val="auto"/>
                <w:sz w:val="22"/>
                <w:szCs w:val="22"/>
              </w:rPr>
            </w:pPr>
            <w:r w:rsidRPr="008F33AD">
              <w:rPr>
                <w:color w:val="auto"/>
                <w:sz w:val="22"/>
                <w:szCs w:val="22"/>
              </w:rPr>
              <w:t>Pimozide</w:t>
            </w:r>
          </w:p>
        </w:tc>
        <w:tc>
          <w:tcPr>
            <w:tcW w:w="2435" w:type="dxa"/>
            <w:tcBorders>
              <w:top w:val="nil"/>
              <w:left w:val="nil"/>
              <w:bottom w:val="nil"/>
              <w:right w:val="single" w:sz="4" w:space="0" w:color="auto"/>
            </w:tcBorders>
          </w:tcPr>
          <w:p w:rsidR="00370F87" w:rsidRPr="008F33AD" w:rsidRDefault="00370F87" w:rsidP="006B3BE2">
            <w:pPr>
              <w:pStyle w:val="TableText"/>
              <w:keepNext/>
              <w:rPr>
                <w:color w:val="auto"/>
                <w:sz w:val="22"/>
                <w:szCs w:val="22"/>
              </w:rPr>
            </w:pPr>
          </w:p>
        </w:tc>
        <w:tc>
          <w:tcPr>
            <w:tcW w:w="2132" w:type="dxa"/>
            <w:tcBorders>
              <w:top w:val="nil"/>
              <w:left w:val="nil"/>
              <w:bottom w:val="nil"/>
              <w:right w:val="single" w:sz="4" w:space="0" w:color="auto"/>
            </w:tcBorders>
          </w:tcPr>
          <w:p w:rsidR="00370F87" w:rsidRPr="008F33AD" w:rsidRDefault="00370F87" w:rsidP="006B3BE2">
            <w:pPr>
              <w:pStyle w:val="TableText"/>
              <w:keepNext/>
              <w:rPr>
                <w:color w:val="auto"/>
                <w:sz w:val="22"/>
                <w:szCs w:val="22"/>
              </w:rPr>
            </w:pPr>
            <w:r w:rsidRPr="008F33AD">
              <w:rPr>
                <w:color w:val="auto"/>
                <w:sz w:val="22"/>
                <w:szCs w:val="22"/>
              </w:rPr>
              <w:t xml:space="preserve">Sulphonylureas </w:t>
            </w:r>
            <w:r w:rsidRPr="008F33AD">
              <w:rPr>
                <w:color w:val="auto"/>
                <w:sz w:val="22"/>
                <w:szCs w:val="22"/>
                <w:vertAlign w:val="superscript"/>
              </w:rPr>
              <w:t>(5)</w:t>
            </w:r>
          </w:p>
        </w:tc>
        <w:tc>
          <w:tcPr>
            <w:tcW w:w="2314" w:type="dxa"/>
            <w:tcBorders>
              <w:top w:val="nil"/>
              <w:left w:val="nil"/>
              <w:bottom w:val="nil"/>
              <w:right w:val="single" w:sz="4" w:space="0" w:color="auto"/>
            </w:tcBorders>
          </w:tcPr>
          <w:p w:rsidR="00370F87" w:rsidRPr="008F33AD" w:rsidRDefault="00370F87" w:rsidP="006B3BE2">
            <w:pPr>
              <w:pStyle w:val="TableText"/>
              <w:keepNext/>
              <w:rPr>
                <w:color w:val="auto"/>
                <w:sz w:val="22"/>
                <w:szCs w:val="22"/>
              </w:rPr>
            </w:pPr>
            <w:r w:rsidRPr="008F33AD">
              <w:rPr>
                <w:color w:val="auto"/>
                <w:sz w:val="22"/>
                <w:szCs w:val="22"/>
              </w:rPr>
              <w:t>Prednisolone</w:t>
            </w:r>
          </w:p>
        </w:tc>
      </w:tr>
      <w:tr w:rsidR="00370F87" w:rsidRPr="008F33AD">
        <w:trPr>
          <w:trHeight w:hRule="exact" w:val="255"/>
        </w:trPr>
        <w:tc>
          <w:tcPr>
            <w:tcW w:w="2588" w:type="dxa"/>
            <w:tcBorders>
              <w:top w:val="nil"/>
              <w:left w:val="single" w:sz="4" w:space="0" w:color="auto"/>
              <w:bottom w:val="nil"/>
              <w:right w:val="single" w:sz="4" w:space="0" w:color="auto"/>
            </w:tcBorders>
          </w:tcPr>
          <w:p w:rsidR="00370F87" w:rsidRPr="008F33AD" w:rsidRDefault="00370F87" w:rsidP="006B3BE2">
            <w:pPr>
              <w:pStyle w:val="TableText"/>
              <w:keepNext/>
              <w:rPr>
                <w:color w:val="auto"/>
                <w:sz w:val="22"/>
                <w:szCs w:val="22"/>
              </w:rPr>
            </w:pPr>
            <w:r w:rsidRPr="008F33AD">
              <w:rPr>
                <w:color w:val="auto"/>
                <w:sz w:val="22"/>
                <w:szCs w:val="22"/>
              </w:rPr>
              <w:t>Quinidine</w:t>
            </w:r>
          </w:p>
        </w:tc>
        <w:tc>
          <w:tcPr>
            <w:tcW w:w="2435" w:type="dxa"/>
            <w:tcBorders>
              <w:top w:val="nil"/>
              <w:left w:val="nil"/>
              <w:bottom w:val="nil"/>
              <w:right w:val="single" w:sz="4" w:space="0" w:color="auto"/>
            </w:tcBorders>
          </w:tcPr>
          <w:p w:rsidR="00370F87" w:rsidRPr="008F33AD" w:rsidRDefault="00370F87" w:rsidP="001E19E5">
            <w:pPr>
              <w:pStyle w:val="TableText"/>
              <w:keepNext/>
              <w:rPr>
                <w:color w:val="auto"/>
                <w:sz w:val="22"/>
                <w:szCs w:val="22"/>
              </w:rPr>
            </w:pPr>
          </w:p>
        </w:tc>
        <w:tc>
          <w:tcPr>
            <w:tcW w:w="2132" w:type="dxa"/>
            <w:tcBorders>
              <w:top w:val="nil"/>
              <w:left w:val="nil"/>
              <w:bottom w:val="nil"/>
              <w:right w:val="single" w:sz="4" w:space="0" w:color="auto"/>
            </w:tcBorders>
          </w:tcPr>
          <w:p w:rsidR="00370F87" w:rsidRPr="008F33AD" w:rsidRDefault="00370F87" w:rsidP="001E19E5">
            <w:pPr>
              <w:pStyle w:val="TableText"/>
              <w:keepNext/>
              <w:rPr>
                <w:color w:val="auto"/>
                <w:sz w:val="22"/>
                <w:szCs w:val="22"/>
              </w:rPr>
            </w:pPr>
          </w:p>
        </w:tc>
        <w:tc>
          <w:tcPr>
            <w:tcW w:w="2314" w:type="dxa"/>
            <w:tcBorders>
              <w:top w:val="nil"/>
              <w:left w:val="nil"/>
              <w:bottom w:val="nil"/>
              <w:right w:val="single" w:sz="4" w:space="0" w:color="auto"/>
            </w:tcBorders>
          </w:tcPr>
          <w:p w:rsidR="00370F87" w:rsidRPr="008F33AD" w:rsidRDefault="00370F87" w:rsidP="006B3BE2">
            <w:pPr>
              <w:pStyle w:val="TableText"/>
              <w:keepNext/>
              <w:rPr>
                <w:color w:val="auto"/>
                <w:sz w:val="22"/>
                <w:szCs w:val="22"/>
              </w:rPr>
            </w:pPr>
            <w:r w:rsidRPr="008F33AD">
              <w:rPr>
                <w:color w:val="auto"/>
                <w:sz w:val="22"/>
                <w:szCs w:val="22"/>
              </w:rPr>
              <w:t>Digoxin</w:t>
            </w:r>
          </w:p>
        </w:tc>
      </w:tr>
      <w:tr w:rsidR="00370F87" w:rsidRPr="008F33AD">
        <w:trPr>
          <w:trHeight w:hRule="exact" w:val="255"/>
        </w:trPr>
        <w:tc>
          <w:tcPr>
            <w:tcW w:w="2588" w:type="dxa"/>
            <w:tcBorders>
              <w:top w:val="nil"/>
              <w:left w:val="single" w:sz="4" w:space="0" w:color="auto"/>
              <w:bottom w:val="nil"/>
              <w:right w:val="single" w:sz="4" w:space="0" w:color="auto"/>
            </w:tcBorders>
          </w:tcPr>
          <w:p w:rsidR="00370F87" w:rsidRPr="008F33AD" w:rsidRDefault="00370F87" w:rsidP="006B3BE2">
            <w:pPr>
              <w:pStyle w:val="TableText"/>
              <w:keepNext/>
              <w:rPr>
                <w:color w:val="auto"/>
                <w:sz w:val="22"/>
                <w:szCs w:val="22"/>
              </w:rPr>
            </w:pPr>
            <w:r w:rsidRPr="008F33AD">
              <w:rPr>
                <w:color w:val="auto"/>
                <w:sz w:val="22"/>
                <w:szCs w:val="22"/>
              </w:rPr>
              <w:t>Ergot alkaloids</w:t>
            </w:r>
          </w:p>
        </w:tc>
        <w:tc>
          <w:tcPr>
            <w:tcW w:w="2435" w:type="dxa"/>
            <w:tcBorders>
              <w:top w:val="nil"/>
              <w:left w:val="nil"/>
              <w:bottom w:val="nil"/>
              <w:right w:val="single" w:sz="4" w:space="0" w:color="auto"/>
            </w:tcBorders>
          </w:tcPr>
          <w:p w:rsidR="00370F87" w:rsidRPr="008F33AD" w:rsidRDefault="00370F87" w:rsidP="006B3BE2">
            <w:pPr>
              <w:pStyle w:val="TableText"/>
              <w:keepNext/>
              <w:rPr>
                <w:color w:val="auto"/>
                <w:sz w:val="22"/>
                <w:szCs w:val="22"/>
              </w:rPr>
            </w:pPr>
          </w:p>
        </w:tc>
        <w:tc>
          <w:tcPr>
            <w:tcW w:w="2132" w:type="dxa"/>
            <w:tcBorders>
              <w:top w:val="nil"/>
              <w:left w:val="nil"/>
              <w:bottom w:val="nil"/>
              <w:right w:val="single" w:sz="4" w:space="0" w:color="auto"/>
            </w:tcBorders>
          </w:tcPr>
          <w:p w:rsidR="00370F87" w:rsidRPr="008F33AD" w:rsidRDefault="00370F87" w:rsidP="006B3BE2">
            <w:pPr>
              <w:pStyle w:val="TableText"/>
              <w:keepNext/>
              <w:rPr>
                <w:color w:val="auto"/>
                <w:sz w:val="22"/>
                <w:szCs w:val="22"/>
              </w:rPr>
            </w:pPr>
            <w:r w:rsidRPr="008F33AD">
              <w:rPr>
                <w:color w:val="auto"/>
                <w:sz w:val="22"/>
                <w:szCs w:val="22"/>
              </w:rPr>
              <w:t xml:space="preserve">Statins </w:t>
            </w:r>
            <w:r w:rsidRPr="008F33AD">
              <w:rPr>
                <w:color w:val="auto"/>
                <w:sz w:val="22"/>
                <w:szCs w:val="22"/>
                <w:vertAlign w:val="superscript"/>
              </w:rPr>
              <w:t>(7)</w:t>
            </w:r>
          </w:p>
        </w:tc>
        <w:tc>
          <w:tcPr>
            <w:tcW w:w="2314" w:type="dxa"/>
            <w:tcBorders>
              <w:top w:val="nil"/>
              <w:left w:val="nil"/>
              <w:bottom w:val="nil"/>
              <w:right w:val="single" w:sz="4" w:space="0" w:color="auto"/>
            </w:tcBorders>
          </w:tcPr>
          <w:p w:rsidR="00370F87" w:rsidRPr="008F33AD" w:rsidRDefault="00370F87" w:rsidP="006B3BE2">
            <w:pPr>
              <w:pStyle w:val="TableText"/>
              <w:keepNext/>
              <w:rPr>
                <w:color w:val="auto"/>
                <w:sz w:val="22"/>
                <w:szCs w:val="22"/>
              </w:rPr>
            </w:pPr>
          </w:p>
        </w:tc>
      </w:tr>
      <w:tr w:rsidR="0071226F" w:rsidRPr="008F33AD">
        <w:trPr>
          <w:trHeight w:hRule="exact" w:val="255"/>
        </w:trPr>
        <w:tc>
          <w:tcPr>
            <w:tcW w:w="2588" w:type="dxa"/>
            <w:tcBorders>
              <w:top w:val="nil"/>
              <w:left w:val="single" w:sz="4" w:space="0" w:color="auto"/>
              <w:bottom w:val="nil"/>
              <w:right w:val="single" w:sz="4" w:space="0" w:color="auto"/>
            </w:tcBorders>
          </w:tcPr>
          <w:p w:rsidR="00B169D2" w:rsidRPr="008F33AD" w:rsidRDefault="00370F87" w:rsidP="006B3BE2">
            <w:pPr>
              <w:pStyle w:val="TableText"/>
              <w:keepNext/>
              <w:rPr>
                <w:color w:val="auto"/>
                <w:sz w:val="22"/>
                <w:szCs w:val="22"/>
              </w:rPr>
            </w:pPr>
            <w:smartTag w:uri="urn:schemas-microsoft-com:office:smarttags" w:element="City">
              <w:smartTag w:uri="urn:schemas-microsoft-com:office:smarttags" w:element="place">
                <w:r w:rsidRPr="008F33AD">
                  <w:rPr>
                    <w:color w:val="auto"/>
                    <w:sz w:val="22"/>
                    <w:szCs w:val="22"/>
                  </w:rPr>
                  <w:t>St John’s</w:t>
                </w:r>
              </w:smartTag>
            </w:smartTag>
            <w:r w:rsidRPr="008F33AD">
              <w:rPr>
                <w:color w:val="auto"/>
                <w:sz w:val="22"/>
                <w:szCs w:val="22"/>
              </w:rPr>
              <w:t xml:space="preserve"> Wort</w:t>
            </w:r>
          </w:p>
        </w:tc>
        <w:tc>
          <w:tcPr>
            <w:tcW w:w="2435"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p>
        </w:tc>
        <w:tc>
          <w:tcPr>
            <w:tcW w:w="2132"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Benzodiazepines</w:t>
            </w:r>
            <w:r w:rsidR="00070ED3" w:rsidRPr="008F33AD">
              <w:rPr>
                <w:color w:val="auto"/>
                <w:sz w:val="22"/>
                <w:szCs w:val="22"/>
              </w:rPr>
              <w:t xml:space="preserve"> </w:t>
            </w:r>
            <w:r w:rsidRPr="008F33AD">
              <w:rPr>
                <w:color w:val="auto"/>
                <w:sz w:val="22"/>
                <w:szCs w:val="22"/>
                <w:vertAlign w:val="superscript"/>
              </w:rPr>
              <w:t>(7)</w:t>
            </w:r>
          </w:p>
        </w:tc>
        <w:tc>
          <w:tcPr>
            <w:tcW w:w="2314"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p>
        </w:tc>
      </w:tr>
      <w:tr w:rsidR="0071226F" w:rsidRPr="008F33AD" w:rsidTr="0036414F">
        <w:trPr>
          <w:trHeight w:hRule="exact" w:val="255"/>
        </w:trPr>
        <w:tc>
          <w:tcPr>
            <w:tcW w:w="2588" w:type="dxa"/>
            <w:tcBorders>
              <w:top w:val="nil"/>
              <w:left w:val="single" w:sz="4" w:space="0" w:color="auto"/>
              <w:bottom w:val="nil"/>
              <w:right w:val="single" w:sz="4" w:space="0" w:color="auto"/>
            </w:tcBorders>
          </w:tcPr>
          <w:p w:rsidR="00B169D2" w:rsidRPr="008F33AD" w:rsidRDefault="00B169D2" w:rsidP="006B3BE2">
            <w:pPr>
              <w:pStyle w:val="TableText"/>
              <w:keepNext/>
              <w:rPr>
                <w:color w:val="auto"/>
                <w:sz w:val="22"/>
                <w:szCs w:val="22"/>
              </w:rPr>
            </w:pPr>
          </w:p>
        </w:tc>
        <w:tc>
          <w:tcPr>
            <w:tcW w:w="2435"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p>
        </w:tc>
        <w:tc>
          <w:tcPr>
            <w:tcW w:w="2132" w:type="dxa"/>
            <w:tcBorders>
              <w:top w:val="nil"/>
              <w:left w:val="nil"/>
              <w:bottom w:val="nil"/>
              <w:right w:val="single" w:sz="4" w:space="0" w:color="auto"/>
            </w:tcBorders>
          </w:tcPr>
          <w:p w:rsidR="00B169D2" w:rsidRPr="008F33AD" w:rsidRDefault="00B169D2" w:rsidP="006B3BE2">
            <w:pPr>
              <w:pStyle w:val="TableText"/>
              <w:keepNext/>
              <w:rPr>
                <w:color w:val="auto"/>
                <w:sz w:val="22"/>
                <w:szCs w:val="22"/>
              </w:rPr>
            </w:pPr>
            <w:r w:rsidRPr="008F33AD">
              <w:rPr>
                <w:color w:val="auto"/>
                <w:sz w:val="22"/>
                <w:szCs w:val="22"/>
              </w:rPr>
              <w:t>Vinca Alkaloids</w:t>
            </w:r>
            <w:r w:rsidR="00070ED3" w:rsidRPr="008F33AD">
              <w:rPr>
                <w:color w:val="auto"/>
                <w:sz w:val="22"/>
                <w:szCs w:val="22"/>
              </w:rPr>
              <w:t xml:space="preserve"> </w:t>
            </w:r>
            <w:r w:rsidRPr="008F33AD">
              <w:rPr>
                <w:color w:val="auto"/>
                <w:sz w:val="22"/>
                <w:szCs w:val="22"/>
                <w:vertAlign w:val="superscript"/>
              </w:rPr>
              <w:t>(7)</w:t>
            </w:r>
          </w:p>
        </w:tc>
        <w:tc>
          <w:tcPr>
            <w:tcW w:w="2314" w:type="dxa"/>
            <w:tcBorders>
              <w:top w:val="nil"/>
              <w:left w:val="nil"/>
              <w:bottom w:val="single" w:sz="4" w:space="0" w:color="auto"/>
              <w:right w:val="single" w:sz="4" w:space="0" w:color="auto"/>
            </w:tcBorders>
          </w:tcPr>
          <w:p w:rsidR="00B169D2" w:rsidRPr="008F33AD" w:rsidRDefault="00B169D2" w:rsidP="006B3BE2">
            <w:pPr>
              <w:pStyle w:val="TableText"/>
              <w:keepNext/>
              <w:rPr>
                <w:color w:val="auto"/>
                <w:sz w:val="22"/>
                <w:szCs w:val="22"/>
              </w:rPr>
            </w:pPr>
          </w:p>
        </w:tc>
      </w:tr>
      <w:tr w:rsidR="00A52DEB" w:rsidRPr="008F33AD" w:rsidTr="0036414F">
        <w:trPr>
          <w:trHeight w:hRule="exact" w:val="255"/>
        </w:trPr>
        <w:tc>
          <w:tcPr>
            <w:tcW w:w="2588" w:type="dxa"/>
            <w:tcBorders>
              <w:top w:val="nil"/>
              <w:left w:val="single" w:sz="4" w:space="0" w:color="auto"/>
              <w:bottom w:val="nil"/>
              <w:right w:val="single" w:sz="4" w:space="0" w:color="auto"/>
            </w:tcBorders>
          </w:tcPr>
          <w:p w:rsidR="00A52DEB" w:rsidRPr="008F33AD" w:rsidRDefault="00A52DEB" w:rsidP="00132F9A">
            <w:pPr>
              <w:pStyle w:val="TableText"/>
              <w:keepNext/>
              <w:rPr>
                <w:color w:val="auto"/>
                <w:sz w:val="22"/>
                <w:szCs w:val="22"/>
              </w:rPr>
            </w:pPr>
          </w:p>
        </w:tc>
        <w:tc>
          <w:tcPr>
            <w:tcW w:w="2435" w:type="dxa"/>
            <w:tcBorders>
              <w:top w:val="nil"/>
              <w:left w:val="nil"/>
              <w:bottom w:val="nil"/>
              <w:right w:val="single" w:sz="4" w:space="0" w:color="auto"/>
            </w:tcBorders>
          </w:tcPr>
          <w:p w:rsidR="00A52DEB" w:rsidRPr="008F33AD" w:rsidRDefault="00A52DEB" w:rsidP="00132F9A">
            <w:pPr>
              <w:pStyle w:val="TableText"/>
              <w:keepNext/>
              <w:rPr>
                <w:color w:val="auto"/>
                <w:sz w:val="22"/>
                <w:szCs w:val="22"/>
              </w:rPr>
            </w:pPr>
          </w:p>
        </w:tc>
        <w:tc>
          <w:tcPr>
            <w:tcW w:w="2132" w:type="dxa"/>
            <w:tcBorders>
              <w:top w:val="nil"/>
              <w:left w:val="nil"/>
              <w:bottom w:val="nil"/>
              <w:right w:val="single" w:sz="4" w:space="0" w:color="auto"/>
            </w:tcBorders>
          </w:tcPr>
          <w:p w:rsidR="00A52DEB" w:rsidRPr="008F33AD" w:rsidRDefault="00A52DEB" w:rsidP="006B3BE2">
            <w:pPr>
              <w:pStyle w:val="TableText"/>
              <w:keepNext/>
              <w:rPr>
                <w:color w:val="auto"/>
                <w:sz w:val="22"/>
                <w:szCs w:val="22"/>
              </w:rPr>
            </w:pPr>
            <w:r w:rsidRPr="008F33AD">
              <w:rPr>
                <w:color w:val="auto"/>
                <w:sz w:val="22"/>
                <w:szCs w:val="22"/>
              </w:rPr>
              <w:t>Nevirapine</w:t>
            </w:r>
            <w:r w:rsidRPr="008F33AD">
              <w:rPr>
                <w:color w:val="auto"/>
                <w:sz w:val="22"/>
                <w:szCs w:val="22"/>
                <w:vertAlign w:val="superscript"/>
              </w:rPr>
              <w:t>( 7)</w:t>
            </w:r>
          </w:p>
        </w:tc>
        <w:tc>
          <w:tcPr>
            <w:tcW w:w="2314" w:type="dxa"/>
            <w:vMerge w:val="restart"/>
            <w:tcBorders>
              <w:top w:val="single" w:sz="4" w:space="0" w:color="auto"/>
              <w:left w:val="nil"/>
              <w:right w:val="single" w:sz="4" w:space="0" w:color="auto"/>
            </w:tcBorders>
          </w:tcPr>
          <w:p w:rsidR="00A52DEB" w:rsidRPr="0036414F" w:rsidRDefault="00ED2236" w:rsidP="00A52DEB">
            <w:pPr>
              <w:pStyle w:val="TableText"/>
              <w:keepNext/>
              <w:rPr>
                <w:b/>
                <w:color w:val="auto"/>
                <w:sz w:val="22"/>
                <w:szCs w:val="22"/>
              </w:rPr>
            </w:pPr>
            <w:r>
              <w:rPr>
                <w:b/>
                <w:color w:val="auto"/>
                <w:sz w:val="22"/>
                <w:szCs w:val="22"/>
              </w:rPr>
              <w:t>*</w:t>
            </w:r>
            <w:r w:rsidR="00A52DEB">
              <w:rPr>
                <w:b/>
                <w:color w:val="auto"/>
                <w:sz w:val="22"/>
                <w:szCs w:val="22"/>
              </w:rPr>
              <w:t>No established dosing recommendation</w:t>
            </w:r>
          </w:p>
        </w:tc>
      </w:tr>
      <w:tr w:rsidR="00A52DEB" w:rsidRPr="008F33AD" w:rsidTr="006F6B50">
        <w:trPr>
          <w:trHeight w:hRule="exact" w:val="604"/>
        </w:trPr>
        <w:tc>
          <w:tcPr>
            <w:tcW w:w="2588" w:type="dxa"/>
            <w:tcBorders>
              <w:top w:val="nil"/>
              <w:left w:val="single" w:sz="4" w:space="0" w:color="auto"/>
              <w:bottom w:val="nil"/>
              <w:right w:val="single" w:sz="4" w:space="0" w:color="auto"/>
            </w:tcBorders>
          </w:tcPr>
          <w:p w:rsidR="00A52DEB" w:rsidRPr="008F33AD" w:rsidRDefault="00A52DEB" w:rsidP="00132F9A">
            <w:pPr>
              <w:pStyle w:val="TableText"/>
              <w:keepNext/>
              <w:rPr>
                <w:color w:val="auto"/>
                <w:sz w:val="22"/>
                <w:szCs w:val="22"/>
              </w:rPr>
            </w:pPr>
            <w:r w:rsidRPr="008F33AD">
              <w:rPr>
                <w:color w:val="auto"/>
                <w:sz w:val="22"/>
                <w:szCs w:val="22"/>
              </w:rPr>
              <w:t>Ritonavir (400 mg q12h)</w:t>
            </w:r>
          </w:p>
        </w:tc>
        <w:tc>
          <w:tcPr>
            <w:tcW w:w="2435" w:type="dxa"/>
            <w:tcBorders>
              <w:top w:val="nil"/>
              <w:left w:val="nil"/>
              <w:bottom w:val="nil"/>
              <w:right w:val="single" w:sz="4" w:space="0" w:color="auto"/>
            </w:tcBorders>
          </w:tcPr>
          <w:p w:rsidR="00A52DEB" w:rsidRPr="008F33AD" w:rsidRDefault="00A52DEB" w:rsidP="00132F9A">
            <w:pPr>
              <w:pStyle w:val="TableText"/>
              <w:keepNext/>
              <w:rPr>
                <w:color w:val="auto"/>
                <w:sz w:val="22"/>
                <w:szCs w:val="22"/>
              </w:rPr>
            </w:pPr>
            <w:r w:rsidRPr="00693F51">
              <w:rPr>
                <w:color w:val="auto"/>
                <w:sz w:val="22"/>
                <w:szCs w:val="22"/>
              </w:rPr>
              <w:t>Ritonavir (100 mg q12h)</w:t>
            </w:r>
          </w:p>
        </w:tc>
        <w:tc>
          <w:tcPr>
            <w:tcW w:w="2132" w:type="dxa"/>
            <w:tcBorders>
              <w:top w:val="nil"/>
              <w:left w:val="nil"/>
              <w:bottom w:val="nil"/>
              <w:right w:val="single" w:sz="4" w:space="0" w:color="auto"/>
            </w:tcBorders>
          </w:tcPr>
          <w:p w:rsidR="00A52DEB" w:rsidRPr="008F33AD" w:rsidRDefault="00A52DEB" w:rsidP="006B3BE2">
            <w:pPr>
              <w:pStyle w:val="TableText"/>
              <w:keepNext/>
              <w:rPr>
                <w:color w:val="auto"/>
                <w:sz w:val="22"/>
                <w:szCs w:val="22"/>
              </w:rPr>
            </w:pPr>
          </w:p>
        </w:tc>
        <w:tc>
          <w:tcPr>
            <w:tcW w:w="2314" w:type="dxa"/>
            <w:vMerge/>
            <w:tcBorders>
              <w:left w:val="nil"/>
              <w:bottom w:val="single" w:sz="4" w:space="0" w:color="auto"/>
              <w:right w:val="single" w:sz="4" w:space="0" w:color="auto"/>
            </w:tcBorders>
          </w:tcPr>
          <w:p w:rsidR="00A52DEB" w:rsidRPr="008F33AD" w:rsidRDefault="00A52DEB" w:rsidP="006B3BE2">
            <w:pPr>
              <w:pStyle w:val="TableText"/>
              <w:keepNext/>
              <w:rPr>
                <w:color w:val="auto"/>
                <w:sz w:val="22"/>
                <w:szCs w:val="22"/>
              </w:rPr>
            </w:pPr>
          </w:p>
        </w:tc>
      </w:tr>
      <w:tr w:rsidR="00A52DEB" w:rsidRPr="008F33AD" w:rsidTr="00273ED1">
        <w:trPr>
          <w:trHeight w:hRule="exact" w:val="494"/>
        </w:trPr>
        <w:tc>
          <w:tcPr>
            <w:tcW w:w="2588" w:type="dxa"/>
            <w:tcBorders>
              <w:top w:val="nil"/>
              <w:left w:val="single" w:sz="4" w:space="0" w:color="auto"/>
              <w:bottom w:val="nil"/>
              <w:right w:val="single" w:sz="4" w:space="0" w:color="auto"/>
            </w:tcBorders>
          </w:tcPr>
          <w:p w:rsidR="00A52DEB" w:rsidRPr="008F33AD" w:rsidRDefault="00A52DEB" w:rsidP="006F6B50">
            <w:pPr>
              <w:pStyle w:val="TableText"/>
              <w:keepNext/>
              <w:rPr>
                <w:color w:val="auto"/>
                <w:sz w:val="22"/>
                <w:szCs w:val="22"/>
              </w:rPr>
            </w:pPr>
            <w:r>
              <w:rPr>
                <w:color w:val="auto"/>
                <w:sz w:val="22"/>
                <w:szCs w:val="22"/>
              </w:rPr>
              <w:t>*Efavirenz (400 mg q</w:t>
            </w:r>
            <w:r w:rsidR="006F6B50">
              <w:rPr>
                <w:color w:val="auto"/>
                <w:sz w:val="22"/>
                <w:szCs w:val="22"/>
              </w:rPr>
              <w:t>24</w:t>
            </w:r>
            <w:r>
              <w:rPr>
                <w:color w:val="auto"/>
                <w:sz w:val="22"/>
                <w:szCs w:val="22"/>
              </w:rPr>
              <w:t>h)</w:t>
            </w:r>
          </w:p>
        </w:tc>
        <w:tc>
          <w:tcPr>
            <w:tcW w:w="2435" w:type="dxa"/>
            <w:tcBorders>
              <w:top w:val="nil"/>
              <w:left w:val="nil"/>
              <w:bottom w:val="nil"/>
              <w:right w:val="single" w:sz="4" w:space="0" w:color="auto"/>
            </w:tcBorders>
          </w:tcPr>
          <w:p w:rsidR="00A52DEB" w:rsidRPr="008F33AD" w:rsidRDefault="00A52DEB" w:rsidP="006B3BE2">
            <w:pPr>
              <w:pStyle w:val="TableText"/>
              <w:keepNext/>
              <w:rPr>
                <w:color w:val="auto"/>
                <w:sz w:val="22"/>
                <w:szCs w:val="22"/>
              </w:rPr>
            </w:pPr>
            <w:r w:rsidRPr="008F33AD">
              <w:rPr>
                <w:color w:val="auto"/>
                <w:sz w:val="22"/>
                <w:szCs w:val="22"/>
              </w:rPr>
              <w:t xml:space="preserve">Efavirenz </w:t>
            </w:r>
            <w:r w:rsidRPr="008F33AD">
              <w:rPr>
                <w:color w:val="auto"/>
                <w:sz w:val="22"/>
                <w:szCs w:val="22"/>
                <w:vertAlign w:val="superscript"/>
              </w:rPr>
              <w:t>(1)</w:t>
            </w:r>
          </w:p>
        </w:tc>
        <w:tc>
          <w:tcPr>
            <w:tcW w:w="2132" w:type="dxa"/>
            <w:tcBorders>
              <w:top w:val="nil"/>
              <w:left w:val="nil"/>
              <w:bottom w:val="nil"/>
              <w:right w:val="single" w:sz="4" w:space="0" w:color="auto"/>
            </w:tcBorders>
          </w:tcPr>
          <w:p w:rsidR="00A52DEB" w:rsidRPr="008F33AD" w:rsidRDefault="00A52DEB" w:rsidP="006B3BE2">
            <w:pPr>
              <w:pStyle w:val="TableText"/>
              <w:keepNext/>
              <w:rPr>
                <w:color w:val="auto"/>
                <w:sz w:val="22"/>
                <w:szCs w:val="22"/>
              </w:rPr>
            </w:pPr>
            <w:r w:rsidRPr="008F33AD">
              <w:rPr>
                <w:color w:val="auto"/>
                <w:sz w:val="22"/>
                <w:szCs w:val="22"/>
              </w:rPr>
              <w:t xml:space="preserve">Efavirenz </w:t>
            </w:r>
            <w:r w:rsidRPr="008F33AD">
              <w:rPr>
                <w:color w:val="auto"/>
                <w:sz w:val="22"/>
                <w:szCs w:val="22"/>
                <w:vertAlign w:val="superscript"/>
              </w:rPr>
              <w:t>(1)</w:t>
            </w:r>
          </w:p>
        </w:tc>
        <w:tc>
          <w:tcPr>
            <w:tcW w:w="2314" w:type="dxa"/>
            <w:tcBorders>
              <w:left w:val="nil"/>
              <w:bottom w:val="nil"/>
              <w:right w:val="single" w:sz="4" w:space="0" w:color="auto"/>
            </w:tcBorders>
          </w:tcPr>
          <w:p w:rsidR="00A52DEB" w:rsidRDefault="00ED2236" w:rsidP="00A52DEB">
            <w:pPr>
              <w:pStyle w:val="TableText"/>
              <w:keepNext/>
              <w:rPr>
                <w:color w:val="auto"/>
                <w:sz w:val="22"/>
                <w:szCs w:val="22"/>
              </w:rPr>
            </w:pPr>
            <w:r>
              <w:rPr>
                <w:color w:val="auto"/>
                <w:sz w:val="22"/>
                <w:szCs w:val="22"/>
              </w:rPr>
              <w:t>*</w:t>
            </w:r>
            <w:r w:rsidR="00A52DEB">
              <w:rPr>
                <w:color w:val="auto"/>
                <w:sz w:val="22"/>
                <w:szCs w:val="22"/>
              </w:rPr>
              <w:t>Everolimus</w:t>
            </w:r>
            <w:r w:rsidR="00A52DEB">
              <w:rPr>
                <w:color w:val="auto"/>
                <w:sz w:val="22"/>
                <w:szCs w:val="22"/>
                <w:vertAlign w:val="superscript"/>
              </w:rPr>
              <w:t>(8)</w:t>
            </w:r>
          </w:p>
          <w:p w:rsidR="00A52DEB" w:rsidRPr="0036414F" w:rsidRDefault="00273ED1" w:rsidP="006B3BE2">
            <w:pPr>
              <w:pStyle w:val="TableText"/>
              <w:keepNext/>
              <w:rPr>
                <w:color w:val="auto"/>
                <w:sz w:val="22"/>
                <w:szCs w:val="22"/>
              </w:rPr>
            </w:pPr>
            <w:r>
              <w:rPr>
                <w:color w:val="auto"/>
                <w:sz w:val="22"/>
                <w:szCs w:val="22"/>
              </w:rPr>
              <w:t>*Fluconazole</w:t>
            </w:r>
            <w:r>
              <w:rPr>
                <w:color w:val="auto"/>
                <w:sz w:val="22"/>
                <w:szCs w:val="22"/>
                <w:vertAlign w:val="superscript"/>
              </w:rPr>
              <w:t>(8)</w:t>
            </w:r>
          </w:p>
        </w:tc>
      </w:tr>
      <w:tr w:rsidR="0071226F" w:rsidRPr="008F33AD" w:rsidTr="00A52DEB">
        <w:tc>
          <w:tcPr>
            <w:tcW w:w="2588" w:type="dxa"/>
            <w:tcBorders>
              <w:top w:val="nil"/>
              <w:left w:val="single" w:sz="4" w:space="0" w:color="auto"/>
              <w:bottom w:val="nil"/>
              <w:right w:val="single" w:sz="4" w:space="0" w:color="auto"/>
            </w:tcBorders>
          </w:tcPr>
          <w:p w:rsidR="00401F5D" w:rsidRPr="008F33AD" w:rsidRDefault="00401F5D" w:rsidP="006B3BE2">
            <w:pPr>
              <w:pStyle w:val="TableText"/>
              <w:keepNext/>
              <w:rPr>
                <w:color w:val="auto"/>
                <w:sz w:val="22"/>
                <w:szCs w:val="22"/>
              </w:rPr>
            </w:pPr>
          </w:p>
        </w:tc>
        <w:tc>
          <w:tcPr>
            <w:tcW w:w="2435" w:type="dxa"/>
            <w:tcBorders>
              <w:top w:val="nil"/>
              <w:left w:val="nil"/>
              <w:bottom w:val="nil"/>
              <w:right w:val="single" w:sz="4" w:space="0" w:color="auto"/>
            </w:tcBorders>
          </w:tcPr>
          <w:p w:rsidR="00401F5D" w:rsidRPr="0036414F" w:rsidRDefault="00401F5D" w:rsidP="006B3BE2">
            <w:pPr>
              <w:pStyle w:val="TableText"/>
              <w:keepNext/>
              <w:rPr>
                <w:color w:val="auto"/>
                <w:sz w:val="22"/>
                <w:szCs w:val="22"/>
              </w:rPr>
            </w:pPr>
          </w:p>
        </w:tc>
        <w:tc>
          <w:tcPr>
            <w:tcW w:w="2132" w:type="dxa"/>
            <w:tcBorders>
              <w:top w:val="nil"/>
              <w:left w:val="nil"/>
              <w:bottom w:val="nil"/>
              <w:right w:val="single" w:sz="4" w:space="0" w:color="auto"/>
            </w:tcBorders>
          </w:tcPr>
          <w:p w:rsidR="00401F5D" w:rsidRPr="008F33AD" w:rsidRDefault="00401F5D" w:rsidP="006B3BE2">
            <w:pPr>
              <w:pStyle w:val="TableText"/>
              <w:keepNext/>
              <w:rPr>
                <w:color w:val="auto"/>
                <w:sz w:val="22"/>
                <w:szCs w:val="22"/>
              </w:rPr>
            </w:pPr>
            <w:r w:rsidRPr="008F33AD">
              <w:rPr>
                <w:color w:val="auto"/>
                <w:sz w:val="22"/>
                <w:szCs w:val="22"/>
              </w:rPr>
              <w:t>HIV protease inhibitors</w:t>
            </w:r>
            <w:r w:rsidR="00070ED3" w:rsidRPr="008F33AD">
              <w:rPr>
                <w:color w:val="auto"/>
                <w:sz w:val="22"/>
                <w:szCs w:val="22"/>
              </w:rPr>
              <w:t xml:space="preserve"> </w:t>
            </w:r>
            <w:r w:rsidRPr="008F33AD">
              <w:rPr>
                <w:color w:val="auto"/>
                <w:sz w:val="22"/>
                <w:szCs w:val="22"/>
                <w:vertAlign w:val="superscript"/>
              </w:rPr>
              <w:t>(7)</w:t>
            </w:r>
            <w:r w:rsidRPr="008F33AD">
              <w:rPr>
                <w:color w:val="auto"/>
                <w:sz w:val="22"/>
                <w:szCs w:val="22"/>
              </w:rPr>
              <w:t xml:space="preserve"> (excluding indinavir </w:t>
            </w:r>
            <w:r w:rsidRPr="00693F51">
              <w:rPr>
                <w:color w:val="auto"/>
                <w:sz w:val="22"/>
                <w:szCs w:val="22"/>
              </w:rPr>
              <w:t>&amp; ritonavir)</w:t>
            </w:r>
          </w:p>
        </w:tc>
        <w:tc>
          <w:tcPr>
            <w:tcW w:w="2314" w:type="dxa"/>
            <w:tcBorders>
              <w:top w:val="nil"/>
              <w:left w:val="nil"/>
              <w:bottom w:val="nil"/>
              <w:right w:val="single" w:sz="4" w:space="0" w:color="auto"/>
            </w:tcBorders>
          </w:tcPr>
          <w:p w:rsidR="00401F5D" w:rsidRPr="00ED2236" w:rsidRDefault="00401F5D" w:rsidP="006B3BE2">
            <w:pPr>
              <w:pStyle w:val="TableText"/>
              <w:keepNext/>
              <w:rPr>
                <w:color w:val="auto"/>
                <w:sz w:val="22"/>
                <w:szCs w:val="22"/>
              </w:rPr>
            </w:pPr>
          </w:p>
        </w:tc>
      </w:tr>
      <w:tr w:rsidR="0071226F" w:rsidRPr="008F33AD">
        <w:tc>
          <w:tcPr>
            <w:tcW w:w="2588" w:type="dxa"/>
            <w:tcBorders>
              <w:top w:val="nil"/>
              <w:left w:val="single" w:sz="4" w:space="0" w:color="auto"/>
              <w:bottom w:val="nil"/>
              <w:right w:val="single" w:sz="4" w:space="0" w:color="auto"/>
            </w:tcBorders>
          </w:tcPr>
          <w:p w:rsidR="00401F5D" w:rsidRPr="008F33AD" w:rsidRDefault="00401F5D" w:rsidP="006B3BE2">
            <w:pPr>
              <w:pStyle w:val="TableText"/>
              <w:keepNext/>
              <w:rPr>
                <w:color w:val="auto"/>
                <w:sz w:val="22"/>
                <w:szCs w:val="22"/>
              </w:rPr>
            </w:pPr>
          </w:p>
        </w:tc>
        <w:tc>
          <w:tcPr>
            <w:tcW w:w="2435" w:type="dxa"/>
            <w:tcBorders>
              <w:top w:val="nil"/>
              <w:left w:val="nil"/>
              <w:bottom w:val="nil"/>
              <w:right w:val="single" w:sz="4" w:space="0" w:color="auto"/>
            </w:tcBorders>
          </w:tcPr>
          <w:p w:rsidR="00401F5D" w:rsidRPr="008F33AD" w:rsidRDefault="00401F5D" w:rsidP="006B3BE2">
            <w:pPr>
              <w:pStyle w:val="TableText"/>
              <w:keepNext/>
              <w:rPr>
                <w:color w:val="auto"/>
                <w:sz w:val="22"/>
                <w:szCs w:val="22"/>
              </w:rPr>
            </w:pPr>
          </w:p>
        </w:tc>
        <w:tc>
          <w:tcPr>
            <w:tcW w:w="2132" w:type="dxa"/>
            <w:tcBorders>
              <w:top w:val="nil"/>
              <w:left w:val="nil"/>
              <w:bottom w:val="nil"/>
              <w:right w:val="single" w:sz="4" w:space="0" w:color="auto"/>
            </w:tcBorders>
          </w:tcPr>
          <w:p w:rsidR="00401F5D" w:rsidRPr="008F33AD" w:rsidRDefault="00401F5D" w:rsidP="006B3BE2">
            <w:pPr>
              <w:pStyle w:val="TableText"/>
              <w:keepNext/>
              <w:rPr>
                <w:color w:val="auto"/>
                <w:sz w:val="22"/>
                <w:szCs w:val="22"/>
              </w:rPr>
            </w:pPr>
            <w:r w:rsidRPr="008F33AD">
              <w:rPr>
                <w:color w:val="auto"/>
                <w:sz w:val="22"/>
                <w:szCs w:val="22"/>
              </w:rPr>
              <w:t>Methadone</w:t>
            </w:r>
            <w:r w:rsidRPr="008F33AD">
              <w:rPr>
                <w:color w:val="auto"/>
                <w:sz w:val="22"/>
                <w:szCs w:val="22"/>
                <w:vertAlign w:val="superscript"/>
              </w:rPr>
              <w:t>(7)</w:t>
            </w:r>
          </w:p>
        </w:tc>
        <w:tc>
          <w:tcPr>
            <w:tcW w:w="2314" w:type="dxa"/>
            <w:tcBorders>
              <w:top w:val="nil"/>
              <w:left w:val="nil"/>
              <w:bottom w:val="nil"/>
              <w:right w:val="single" w:sz="4" w:space="0" w:color="auto"/>
            </w:tcBorders>
          </w:tcPr>
          <w:p w:rsidR="00401F5D" w:rsidRPr="008F33AD" w:rsidRDefault="00401F5D" w:rsidP="006B3BE2">
            <w:pPr>
              <w:pStyle w:val="TableText"/>
              <w:keepNext/>
              <w:rPr>
                <w:color w:val="auto"/>
                <w:sz w:val="22"/>
                <w:szCs w:val="22"/>
              </w:rPr>
            </w:pPr>
          </w:p>
        </w:tc>
      </w:tr>
      <w:tr w:rsidR="0071226F" w:rsidRPr="008F33AD">
        <w:tc>
          <w:tcPr>
            <w:tcW w:w="2588" w:type="dxa"/>
            <w:tcBorders>
              <w:top w:val="nil"/>
              <w:left w:val="single" w:sz="4" w:space="0" w:color="auto"/>
              <w:bottom w:val="single" w:sz="4" w:space="0" w:color="auto"/>
              <w:right w:val="single" w:sz="4" w:space="0" w:color="auto"/>
            </w:tcBorders>
          </w:tcPr>
          <w:p w:rsidR="00401F5D" w:rsidRPr="008F33AD" w:rsidRDefault="00401F5D" w:rsidP="006B3BE2">
            <w:pPr>
              <w:pStyle w:val="TableText"/>
              <w:keepNext/>
              <w:rPr>
                <w:color w:val="auto"/>
                <w:sz w:val="22"/>
                <w:szCs w:val="22"/>
              </w:rPr>
            </w:pPr>
          </w:p>
        </w:tc>
        <w:tc>
          <w:tcPr>
            <w:tcW w:w="2435" w:type="dxa"/>
            <w:tcBorders>
              <w:top w:val="nil"/>
              <w:left w:val="nil"/>
              <w:bottom w:val="single" w:sz="4" w:space="0" w:color="auto"/>
              <w:right w:val="single" w:sz="4" w:space="0" w:color="auto"/>
            </w:tcBorders>
          </w:tcPr>
          <w:p w:rsidR="00401F5D" w:rsidRPr="008F33AD" w:rsidRDefault="00401F5D" w:rsidP="006B3BE2">
            <w:pPr>
              <w:pStyle w:val="TableText"/>
              <w:keepNext/>
              <w:rPr>
                <w:color w:val="auto"/>
                <w:sz w:val="22"/>
                <w:szCs w:val="22"/>
              </w:rPr>
            </w:pPr>
          </w:p>
        </w:tc>
        <w:tc>
          <w:tcPr>
            <w:tcW w:w="2132" w:type="dxa"/>
            <w:tcBorders>
              <w:top w:val="nil"/>
              <w:left w:val="nil"/>
              <w:bottom w:val="single" w:sz="4" w:space="0" w:color="auto"/>
              <w:right w:val="single" w:sz="4" w:space="0" w:color="auto"/>
            </w:tcBorders>
          </w:tcPr>
          <w:p w:rsidR="00401F5D" w:rsidRDefault="00401F5D" w:rsidP="006B3BE2">
            <w:pPr>
              <w:pStyle w:val="TableText"/>
              <w:keepNext/>
              <w:rPr>
                <w:color w:val="auto"/>
                <w:sz w:val="22"/>
                <w:szCs w:val="22"/>
                <w:vertAlign w:val="superscript"/>
              </w:rPr>
            </w:pPr>
            <w:r w:rsidRPr="008F33AD">
              <w:rPr>
                <w:color w:val="auto"/>
                <w:sz w:val="22"/>
                <w:szCs w:val="22"/>
              </w:rPr>
              <w:t>Oral Contraceptive</w:t>
            </w:r>
            <w:r w:rsidR="00070ED3" w:rsidRPr="008F33AD">
              <w:rPr>
                <w:color w:val="auto"/>
                <w:sz w:val="22"/>
                <w:szCs w:val="22"/>
              </w:rPr>
              <w:t xml:space="preserve"> </w:t>
            </w:r>
            <w:r w:rsidRPr="008F33AD">
              <w:rPr>
                <w:color w:val="auto"/>
                <w:sz w:val="22"/>
                <w:szCs w:val="22"/>
                <w:vertAlign w:val="superscript"/>
              </w:rPr>
              <w:t>(7)</w:t>
            </w:r>
          </w:p>
          <w:p w:rsidR="002B10DB" w:rsidRDefault="002B10DB" w:rsidP="006B3BE2">
            <w:pPr>
              <w:pStyle w:val="TableText"/>
              <w:keepNext/>
              <w:rPr>
                <w:color w:val="auto"/>
                <w:sz w:val="22"/>
                <w:szCs w:val="22"/>
              </w:rPr>
            </w:pPr>
            <w:r>
              <w:rPr>
                <w:color w:val="auto"/>
                <w:sz w:val="22"/>
                <w:szCs w:val="22"/>
              </w:rPr>
              <w:t>Short acting opiates</w:t>
            </w:r>
            <w:r w:rsidR="00011038">
              <w:rPr>
                <w:color w:val="auto"/>
                <w:sz w:val="22"/>
                <w:szCs w:val="22"/>
              </w:rPr>
              <w:t xml:space="preserve"> including fentanyl</w:t>
            </w:r>
            <w:r>
              <w:rPr>
                <w:color w:val="auto"/>
                <w:sz w:val="22"/>
                <w:szCs w:val="22"/>
                <w:vertAlign w:val="superscript"/>
              </w:rPr>
              <w:t>(7)</w:t>
            </w:r>
          </w:p>
          <w:p w:rsidR="002B10DB" w:rsidRDefault="002B10DB" w:rsidP="002B10DB">
            <w:pPr>
              <w:pStyle w:val="TableText"/>
              <w:keepNext/>
              <w:rPr>
                <w:color w:val="auto"/>
                <w:sz w:val="22"/>
                <w:szCs w:val="22"/>
              </w:rPr>
            </w:pPr>
            <w:r>
              <w:rPr>
                <w:color w:val="auto"/>
                <w:sz w:val="22"/>
                <w:szCs w:val="22"/>
              </w:rPr>
              <w:t>Oxycodone and other long-acting opiates</w:t>
            </w:r>
            <w:r>
              <w:rPr>
                <w:color w:val="auto"/>
                <w:sz w:val="22"/>
                <w:szCs w:val="22"/>
                <w:vertAlign w:val="superscript"/>
              </w:rPr>
              <w:t>(7)</w:t>
            </w:r>
          </w:p>
          <w:p w:rsidR="000A2134" w:rsidRPr="000A2134" w:rsidRDefault="000A2134" w:rsidP="002B10DB">
            <w:pPr>
              <w:pStyle w:val="TableText"/>
              <w:keepNext/>
              <w:rPr>
                <w:color w:val="auto"/>
                <w:sz w:val="22"/>
                <w:szCs w:val="22"/>
              </w:rPr>
            </w:pPr>
            <w:r>
              <w:rPr>
                <w:color w:val="auto"/>
                <w:sz w:val="22"/>
                <w:szCs w:val="22"/>
              </w:rPr>
              <w:t>NSAIDs</w:t>
            </w:r>
            <w:r>
              <w:rPr>
                <w:color w:val="auto"/>
                <w:sz w:val="22"/>
                <w:szCs w:val="22"/>
                <w:vertAlign w:val="superscript"/>
              </w:rPr>
              <w:t>(7)</w:t>
            </w:r>
          </w:p>
        </w:tc>
        <w:tc>
          <w:tcPr>
            <w:tcW w:w="2314" w:type="dxa"/>
            <w:tcBorders>
              <w:top w:val="nil"/>
              <w:left w:val="nil"/>
              <w:bottom w:val="single" w:sz="4" w:space="0" w:color="auto"/>
              <w:right w:val="single" w:sz="4" w:space="0" w:color="auto"/>
            </w:tcBorders>
          </w:tcPr>
          <w:p w:rsidR="00401F5D" w:rsidRPr="008F33AD" w:rsidRDefault="00401F5D" w:rsidP="006B3BE2">
            <w:pPr>
              <w:pStyle w:val="TableText"/>
              <w:keepNext/>
              <w:rPr>
                <w:color w:val="auto"/>
                <w:sz w:val="22"/>
                <w:szCs w:val="22"/>
              </w:rPr>
            </w:pPr>
          </w:p>
        </w:tc>
      </w:tr>
    </w:tbl>
    <w:p w:rsidR="00B169D2" w:rsidRPr="008F33AD" w:rsidRDefault="00B169D2" w:rsidP="006B3BE2">
      <w:pPr>
        <w:pStyle w:val="TableFootnote"/>
        <w:keepNext/>
        <w:ind w:left="142" w:hanging="142"/>
        <w:rPr>
          <w:color w:val="auto"/>
        </w:rPr>
      </w:pPr>
      <w:r w:rsidRPr="008F33AD">
        <w:rPr>
          <w:color w:val="auto"/>
          <w:vertAlign w:val="superscript"/>
        </w:rPr>
        <w:t>1</w:t>
      </w:r>
      <w:r w:rsidRPr="008F33AD">
        <w:rPr>
          <w:color w:val="auto"/>
        </w:rPr>
        <w:tab/>
      </w:r>
      <w:r w:rsidR="00126C28" w:rsidRPr="008F33AD">
        <w:t xml:space="preserve"> </w:t>
      </w:r>
      <w:r w:rsidR="00126C28" w:rsidRPr="008F33AD">
        <w:rPr>
          <w:color w:val="auto"/>
        </w:rPr>
        <w:t>S</w:t>
      </w:r>
      <w:r w:rsidR="00126C28" w:rsidRPr="008F33AD">
        <w:t xml:space="preserve">ee </w:t>
      </w:r>
      <w:r w:rsidR="00126C28" w:rsidRPr="008F33AD">
        <w:rPr>
          <w:b/>
        </w:rPr>
        <w:t>DOSAGE AND ADMINISTRATION, Dosage Adjustment</w:t>
      </w:r>
      <w:r w:rsidRPr="008F33AD">
        <w:rPr>
          <w:color w:val="auto"/>
        </w:rPr>
        <w:t>.</w:t>
      </w:r>
    </w:p>
    <w:p w:rsidR="00B169D2" w:rsidRPr="008F33AD" w:rsidRDefault="00B169D2" w:rsidP="008958D8">
      <w:pPr>
        <w:pStyle w:val="TableFootnote"/>
        <w:keepNext/>
        <w:ind w:left="142" w:hanging="142"/>
        <w:rPr>
          <w:color w:val="auto"/>
        </w:rPr>
      </w:pPr>
      <w:r w:rsidRPr="008F33AD">
        <w:rPr>
          <w:color w:val="auto"/>
          <w:vertAlign w:val="superscript"/>
        </w:rPr>
        <w:t>2</w:t>
      </w:r>
      <w:r w:rsidRPr="008F33AD">
        <w:rPr>
          <w:color w:val="auto"/>
        </w:rPr>
        <w:tab/>
        <w:t>Reduce dose (halve dose of cyclosporin and omeprazole, reduce dose to one third for tacrolimus)</w:t>
      </w:r>
    </w:p>
    <w:p w:rsidR="00B169D2" w:rsidRPr="008F33AD" w:rsidRDefault="00B169D2" w:rsidP="008958D8">
      <w:pPr>
        <w:pStyle w:val="TableFootnote"/>
        <w:keepNext/>
        <w:ind w:left="142" w:hanging="142"/>
        <w:rPr>
          <w:color w:val="auto"/>
        </w:rPr>
      </w:pPr>
      <w:r w:rsidRPr="008F33AD">
        <w:rPr>
          <w:color w:val="auto"/>
          <w:vertAlign w:val="superscript"/>
        </w:rPr>
        <w:t>3</w:t>
      </w:r>
      <w:r w:rsidRPr="008F33AD">
        <w:rPr>
          <w:color w:val="auto"/>
        </w:rPr>
        <w:tab/>
        <w:t>Carefully monitor blood levels</w:t>
      </w:r>
    </w:p>
    <w:p w:rsidR="00B169D2" w:rsidRPr="008F33AD" w:rsidRDefault="00B169D2" w:rsidP="008958D8">
      <w:pPr>
        <w:pStyle w:val="TableFootnote"/>
        <w:keepNext/>
        <w:ind w:left="142" w:hanging="142"/>
        <w:rPr>
          <w:color w:val="auto"/>
        </w:rPr>
      </w:pPr>
      <w:r w:rsidRPr="008F33AD">
        <w:rPr>
          <w:color w:val="auto"/>
          <w:vertAlign w:val="superscript"/>
        </w:rPr>
        <w:t>4</w:t>
      </w:r>
      <w:r w:rsidRPr="008F33AD">
        <w:rPr>
          <w:color w:val="auto"/>
        </w:rPr>
        <w:tab/>
        <w:t>Monitor prothrombin time</w:t>
      </w:r>
    </w:p>
    <w:p w:rsidR="00B169D2" w:rsidRPr="008F33AD" w:rsidRDefault="00B169D2" w:rsidP="008958D8">
      <w:pPr>
        <w:pStyle w:val="TableFootnote"/>
        <w:keepNext/>
        <w:ind w:left="142" w:hanging="142"/>
        <w:rPr>
          <w:color w:val="auto"/>
          <w:szCs w:val="20"/>
        </w:rPr>
      </w:pPr>
      <w:r w:rsidRPr="008F33AD">
        <w:rPr>
          <w:color w:val="auto"/>
          <w:szCs w:val="20"/>
          <w:vertAlign w:val="superscript"/>
        </w:rPr>
        <w:t>5</w:t>
      </w:r>
      <w:r w:rsidRPr="008F33AD">
        <w:rPr>
          <w:color w:val="auto"/>
          <w:szCs w:val="20"/>
        </w:rPr>
        <w:tab/>
        <w:t>Monitor blood glucose</w:t>
      </w:r>
    </w:p>
    <w:p w:rsidR="00B169D2" w:rsidRPr="008F33AD" w:rsidRDefault="00B169D2" w:rsidP="008958D8">
      <w:pPr>
        <w:pStyle w:val="TableFootnote"/>
        <w:keepNext/>
        <w:ind w:left="142" w:hanging="142"/>
        <w:rPr>
          <w:color w:val="auto"/>
          <w:szCs w:val="20"/>
        </w:rPr>
      </w:pPr>
      <w:r w:rsidRPr="008F33AD">
        <w:rPr>
          <w:color w:val="auto"/>
          <w:szCs w:val="20"/>
          <w:vertAlign w:val="superscript"/>
        </w:rPr>
        <w:t>6</w:t>
      </w:r>
      <w:r w:rsidRPr="008F33AD">
        <w:rPr>
          <w:color w:val="auto"/>
          <w:szCs w:val="20"/>
        </w:rPr>
        <w:tab/>
        <w:t>Monitor complete blood counts</w:t>
      </w:r>
    </w:p>
    <w:p w:rsidR="00070ED3" w:rsidRDefault="00070ED3" w:rsidP="00291D3D">
      <w:pPr>
        <w:pStyle w:val="TableFootnote"/>
        <w:ind w:left="142" w:hanging="142"/>
        <w:rPr>
          <w:szCs w:val="20"/>
        </w:rPr>
      </w:pPr>
      <w:r w:rsidRPr="008F33AD">
        <w:rPr>
          <w:color w:val="auto"/>
          <w:szCs w:val="20"/>
          <w:vertAlign w:val="superscript"/>
        </w:rPr>
        <w:t>7</w:t>
      </w:r>
      <w:r w:rsidRPr="008F33AD">
        <w:rPr>
          <w:color w:val="auto"/>
          <w:szCs w:val="20"/>
        </w:rPr>
        <w:tab/>
        <w:t xml:space="preserve">Monitor </w:t>
      </w:r>
      <w:r w:rsidRPr="008F33AD">
        <w:rPr>
          <w:szCs w:val="20"/>
        </w:rPr>
        <w:t>for potential drug toxicity and consider dose reduction</w:t>
      </w:r>
    </w:p>
    <w:p w:rsidR="0036414F" w:rsidRPr="0036414F" w:rsidRDefault="0036414F" w:rsidP="0036414F">
      <w:pPr>
        <w:spacing w:after="0"/>
        <w:rPr>
          <w:sz w:val="20"/>
        </w:rPr>
      </w:pPr>
      <w:r>
        <w:rPr>
          <w:sz w:val="20"/>
          <w:vertAlign w:val="superscript"/>
        </w:rPr>
        <w:t>8</w:t>
      </w:r>
      <w:r>
        <w:rPr>
          <w:sz w:val="20"/>
        </w:rPr>
        <w:t xml:space="preserve"> Coadministration with voriconazole is not recommended</w:t>
      </w:r>
    </w:p>
    <w:p w:rsidR="00B169D2" w:rsidRPr="00AF6ADF" w:rsidRDefault="00B169D2" w:rsidP="00F23230">
      <w:pPr>
        <w:pStyle w:val="Heading1"/>
      </w:pPr>
      <w:r w:rsidRPr="00AF6ADF">
        <w:t xml:space="preserve">Adverse </w:t>
      </w:r>
      <w:r w:rsidR="003460FB" w:rsidRPr="00AF6ADF">
        <w:t>EFFECTS</w:t>
      </w:r>
    </w:p>
    <w:p w:rsidR="00B169D2" w:rsidRPr="008F33AD" w:rsidRDefault="00B169D2" w:rsidP="00F23230">
      <w:pPr>
        <w:pStyle w:val="Heading2"/>
      </w:pPr>
      <w:r w:rsidRPr="008F33AD">
        <w:t>Clinical Trial Data</w:t>
      </w:r>
    </w:p>
    <w:p w:rsidR="00B169D2" w:rsidRDefault="00B169D2" w:rsidP="00810F42">
      <w:r w:rsidRPr="008F33AD">
        <w:t>The safety of voriconazole is based on an</w:t>
      </w:r>
      <w:r w:rsidR="00DF1C3D" w:rsidRPr="008F33AD">
        <w:t xml:space="preserve"> integrated safety database of </w:t>
      </w:r>
      <w:r w:rsidRPr="008F33AD">
        <w:t>more than 2000</w:t>
      </w:r>
      <w:r w:rsidR="00985AD4" w:rsidRPr="008F33AD">
        <w:t> </w:t>
      </w:r>
      <w:r w:rsidRPr="008F33AD">
        <w:t>subjects (1655</w:t>
      </w:r>
      <w:r w:rsidR="00985AD4" w:rsidRPr="008F33AD">
        <w:t> </w:t>
      </w:r>
      <w:r w:rsidRPr="008F33AD">
        <w:t>pat</w:t>
      </w:r>
      <w:r w:rsidR="00E75969">
        <w:t xml:space="preserve">ients in therapeutic studies). </w:t>
      </w:r>
      <w:r w:rsidRPr="008F33AD">
        <w:t>This represents a heterogeneous population, containing patients with haematological malignancy, HIV infected patients with oesophageal candidiasis and refractory fungal infections, non-neutropenic patients with candidaemia or aspergi</w:t>
      </w:r>
      <w:r w:rsidR="00E75969">
        <w:t xml:space="preserve">llosis and healthy volunteers. </w:t>
      </w:r>
      <w:r w:rsidRPr="008F33AD">
        <w:t>Five hundred and sixty one patients had a duration of voriconazole therapy of greater than 12 weeks, with 136 patients receiving voriconazole for over 6 months.</w:t>
      </w:r>
    </w:p>
    <w:p w:rsidR="00FA7175" w:rsidRDefault="00FA7175" w:rsidP="00810F42">
      <w:r>
        <w:t xml:space="preserve">*In addition, the safety of voriconazole was investigated in 279 patients who were treated with voriconazole in prophylaxis studies. The adverse event profile in these prophylaxis </w:t>
      </w:r>
      <w:r>
        <w:lastRenderedPageBreak/>
        <w:t>studies was similar to the established safety profile from 2000 subjects in voriconazole clinical trials.</w:t>
      </w:r>
    </w:p>
    <w:p w:rsidR="00B169D2" w:rsidRPr="008F33AD" w:rsidRDefault="00B169D2" w:rsidP="00810F42">
      <w:pPr>
        <w:rPr>
          <w:snapToGrid w:val="0"/>
        </w:rPr>
      </w:pPr>
      <w:r w:rsidRPr="008F33AD">
        <w:t>The table below includes adverse reactions from therapeutic and/or compassionate/ extension studies, if possibly causally rela</w:t>
      </w:r>
      <w:r w:rsidR="00E75969">
        <w:t xml:space="preserve">ted. </w:t>
      </w:r>
      <w:r w:rsidRPr="008F33AD">
        <w:t>The most commonly reported adverse events were visual disturbances, fever, rash, vomiting, nausea, diarrhoea, headache, periphe</w:t>
      </w:r>
      <w:r w:rsidR="00E75969">
        <w:t xml:space="preserve">ral oedema and abdominal pain. </w:t>
      </w:r>
      <w:r w:rsidRPr="008F33AD">
        <w:t>The severity of the adverse events w</w:t>
      </w:r>
      <w:r w:rsidR="00E75969">
        <w:t xml:space="preserve">as generally mild to moderate. </w:t>
      </w:r>
      <w:r w:rsidRPr="008F33AD">
        <w:rPr>
          <w:snapToGrid w:val="0"/>
        </w:rPr>
        <w:t>No clinically significant differences were seen when the safety data were analysed by age, race, or gender.</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tblPr>
      <w:tblGrid>
        <w:gridCol w:w="3402"/>
        <w:gridCol w:w="5634"/>
      </w:tblGrid>
      <w:tr w:rsidR="00B169D2" w:rsidRPr="008F33AD">
        <w:trPr>
          <w:cantSplit/>
          <w:tblHeader/>
        </w:trPr>
        <w:tc>
          <w:tcPr>
            <w:tcW w:w="3402" w:type="dxa"/>
            <w:tcBorders>
              <w:bottom w:val="single" w:sz="12" w:space="0" w:color="000000"/>
            </w:tcBorders>
          </w:tcPr>
          <w:p w:rsidR="00B169D2" w:rsidRPr="008F33AD" w:rsidRDefault="00B169D2">
            <w:pPr>
              <w:pStyle w:val="TableHeading"/>
              <w:rPr>
                <w:color w:val="auto"/>
              </w:rPr>
            </w:pPr>
            <w:r w:rsidRPr="008F33AD">
              <w:rPr>
                <w:color w:val="auto"/>
              </w:rPr>
              <w:t>MedDRA System Organ Class</w:t>
            </w:r>
          </w:p>
          <w:p w:rsidR="00B169D2" w:rsidRPr="008F33AD" w:rsidRDefault="00B169D2" w:rsidP="00FA7175">
            <w:pPr>
              <w:pStyle w:val="TableHeading"/>
              <w:rPr>
                <w:color w:val="auto"/>
              </w:rPr>
            </w:pPr>
            <w:r w:rsidRPr="008F33AD">
              <w:rPr>
                <w:color w:val="auto"/>
              </w:rPr>
              <w:t>Frequency</w:t>
            </w:r>
            <w:r w:rsidR="00FA7175" w:rsidRPr="002E55CB">
              <w:rPr>
                <w:color w:val="auto"/>
                <w:vertAlign w:val="superscript"/>
              </w:rPr>
              <w:t>†</w:t>
            </w:r>
          </w:p>
        </w:tc>
        <w:tc>
          <w:tcPr>
            <w:tcW w:w="5634" w:type="dxa"/>
            <w:tcBorders>
              <w:bottom w:val="single" w:sz="12" w:space="0" w:color="000000"/>
            </w:tcBorders>
          </w:tcPr>
          <w:p w:rsidR="00B169D2" w:rsidRPr="008F33AD" w:rsidRDefault="00B169D2">
            <w:pPr>
              <w:pStyle w:val="TableHeading"/>
              <w:rPr>
                <w:color w:val="auto"/>
              </w:rPr>
            </w:pPr>
            <w:r w:rsidRPr="008F33AD">
              <w:rPr>
                <w:color w:val="auto"/>
              </w:rPr>
              <w:t>Adverse Drug Reactions</w:t>
            </w:r>
          </w:p>
        </w:tc>
      </w:tr>
      <w:tr w:rsidR="00B169D2" w:rsidRPr="008F33AD">
        <w:trPr>
          <w:cantSplit/>
        </w:trPr>
        <w:tc>
          <w:tcPr>
            <w:tcW w:w="3402" w:type="dxa"/>
            <w:tcBorders>
              <w:top w:val="nil"/>
            </w:tcBorders>
          </w:tcPr>
          <w:p w:rsidR="00B169D2" w:rsidRPr="008F33AD" w:rsidRDefault="00B169D2">
            <w:pPr>
              <w:pStyle w:val="TableHeading"/>
              <w:keepLines/>
              <w:rPr>
                <w:color w:val="auto"/>
              </w:rPr>
            </w:pPr>
            <w:r w:rsidRPr="008F33AD">
              <w:rPr>
                <w:color w:val="auto"/>
              </w:rPr>
              <w:t>Infections and infestations</w:t>
            </w:r>
          </w:p>
        </w:tc>
        <w:tc>
          <w:tcPr>
            <w:tcW w:w="5634" w:type="dxa"/>
            <w:tcBorders>
              <w:top w:val="nil"/>
            </w:tcBorders>
          </w:tcPr>
          <w:p w:rsidR="00B169D2" w:rsidRPr="008F33AD" w:rsidRDefault="00B169D2">
            <w:pPr>
              <w:pStyle w:val="TableHeading"/>
              <w:keepLines/>
              <w:rPr>
                <w:color w:val="auto"/>
              </w:rPr>
            </w:pPr>
          </w:p>
        </w:tc>
      </w:tr>
      <w:tr w:rsidR="00B169D2" w:rsidRPr="008F33AD">
        <w:trPr>
          <w:cantSplit/>
        </w:trPr>
        <w:tc>
          <w:tcPr>
            <w:tcW w:w="3402" w:type="dxa"/>
            <w:tcBorders>
              <w:top w:val="nil"/>
            </w:tcBorders>
          </w:tcPr>
          <w:p w:rsidR="00B169D2" w:rsidRPr="008F33AD" w:rsidRDefault="00B169D2">
            <w:pPr>
              <w:pStyle w:val="TableText"/>
              <w:keepNext/>
              <w:keepLines/>
              <w:rPr>
                <w:color w:val="auto"/>
              </w:rPr>
            </w:pPr>
            <w:r w:rsidRPr="008F33AD">
              <w:rPr>
                <w:color w:val="auto"/>
              </w:rPr>
              <w:t>Common</w:t>
            </w:r>
          </w:p>
        </w:tc>
        <w:tc>
          <w:tcPr>
            <w:tcW w:w="5634" w:type="dxa"/>
            <w:tcBorders>
              <w:top w:val="nil"/>
            </w:tcBorders>
          </w:tcPr>
          <w:p w:rsidR="00B169D2" w:rsidRPr="008F33AD" w:rsidRDefault="00B169D2">
            <w:pPr>
              <w:pStyle w:val="TableText"/>
              <w:keepNext/>
              <w:keepLines/>
              <w:rPr>
                <w:color w:val="auto"/>
              </w:rPr>
            </w:pPr>
            <w:r w:rsidRPr="008F33AD">
              <w:rPr>
                <w:color w:val="auto"/>
              </w:rPr>
              <w:t>Sinusitis</w:t>
            </w:r>
          </w:p>
        </w:tc>
      </w:tr>
      <w:tr w:rsidR="007E5A28" w:rsidRPr="008F33AD" w:rsidTr="00195424">
        <w:trPr>
          <w:cantSplit/>
        </w:trPr>
        <w:tc>
          <w:tcPr>
            <w:tcW w:w="3402" w:type="dxa"/>
          </w:tcPr>
          <w:p w:rsidR="007E5A28" w:rsidRPr="008F33AD" w:rsidRDefault="007E5A28" w:rsidP="00195424">
            <w:pPr>
              <w:pStyle w:val="TableHeading"/>
              <w:rPr>
                <w:color w:val="auto"/>
              </w:rPr>
            </w:pPr>
            <w:r w:rsidRPr="008F33AD">
              <w:rPr>
                <w:color w:val="auto"/>
              </w:rPr>
              <w:t>Blood and lymphatic system disorders</w:t>
            </w:r>
          </w:p>
        </w:tc>
        <w:tc>
          <w:tcPr>
            <w:tcW w:w="5634" w:type="dxa"/>
          </w:tcPr>
          <w:p w:rsidR="007E5A28" w:rsidRPr="008F33AD" w:rsidRDefault="007E5A28" w:rsidP="00195424">
            <w:pPr>
              <w:pStyle w:val="TableHeading"/>
              <w:rPr>
                <w:color w:val="auto"/>
              </w:rPr>
            </w:pPr>
          </w:p>
        </w:tc>
      </w:tr>
      <w:tr w:rsidR="007E5A28" w:rsidRPr="008F33AD" w:rsidTr="00195424">
        <w:trPr>
          <w:cantSplit/>
        </w:trPr>
        <w:tc>
          <w:tcPr>
            <w:tcW w:w="3402" w:type="dxa"/>
          </w:tcPr>
          <w:p w:rsidR="007E5A28" w:rsidRPr="008F33AD" w:rsidRDefault="007E5A28" w:rsidP="00195424">
            <w:pPr>
              <w:pStyle w:val="TableText"/>
              <w:rPr>
                <w:color w:val="auto"/>
              </w:rPr>
            </w:pPr>
            <w:r w:rsidRPr="008F33AD">
              <w:rPr>
                <w:color w:val="auto"/>
              </w:rPr>
              <w:t>Common</w:t>
            </w:r>
          </w:p>
          <w:p w:rsidR="007E5A28" w:rsidRPr="008F33AD" w:rsidRDefault="007E5A28" w:rsidP="00195424">
            <w:pPr>
              <w:pStyle w:val="TableText"/>
              <w:rPr>
                <w:color w:val="auto"/>
              </w:rPr>
            </w:pPr>
          </w:p>
        </w:tc>
        <w:tc>
          <w:tcPr>
            <w:tcW w:w="5634" w:type="dxa"/>
          </w:tcPr>
          <w:p w:rsidR="007E5A28" w:rsidRPr="008F33AD" w:rsidRDefault="007E5A28" w:rsidP="00195424">
            <w:pPr>
              <w:pStyle w:val="TableText"/>
              <w:rPr>
                <w:color w:val="auto"/>
              </w:rPr>
            </w:pPr>
            <w:r w:rsidRPr="008F33AD">
              <w:rPr>
                <w:color w:val="auto"/>
              </w:rPr>
              <w:t>Thrombocytopenia, anaemia (including macrocytic, microcytic, normocytic, megaloblastic, aplastic), leukopenia, pancytopenia</w:t>
            </w:r>
          </w:p>
        </w:tc>
      </w:tr>
      <w:tr w:rsidR="007E5A28" w:rsidRPr="008F33AD" w:rsidTr="00195424">
        <w:trPr>
          <w:cantSplit/>
        </w:trPr>
        <w:tc>
          <w:tcPr>
            <w:tcW w:w="3402" w:type="dxa"/>
          </w:tcPr>
          <w:p w:rsidR="007E5A28" w:rsidRPr="008F33AD" w:rsidRDefault="007E5A28" w:rsidP="00195424">
            <w:pPr>
              <w:pStyle w:val="TableText"/>
              <w:rPr>
                <w:color w:val="auto"/>
              </w:rPr>
            </w:pPr>
            <w:r w:rsidRPr="008F33AD">
              <w:rPr>
                <w:color w:val="auto"/>
              </w:rPr>
              <w:t>Uncommon</w:t>
            </w:r>
          </w:p>
        </w:tc>
        <w:tc>
          <w:tcPr>
            <w:tcW w:w="5634" w:type="dxa"/>
          </w:tcPr>
          <w:p w:rsidR="007E5A28" w:rsidRPr="008F33AD" w:rsidRDefault="007E5A28" w:rsidP="00195424">
            <w:pPr>
              <w:pStyle w:val="TableText"/>
              <w:rPr>
                <w:color w:val="auto"/>
              </w:rPr>
            </w:pPr>
            <w:r w:rsidRPr="008F33AD">
              <w:rPr>
                <w:color w:val="auto"/>
              </w:rPr>
              <w:t>Lymphadenopathy, agranulocytosis, eosinophilia, disseminated intravascular coagulation, marrow depression</w:t>
            </w:r>
          </w:p>
        </w:tc>
      </w:tr>
      <w:tr w:rsidR="00B169D2" w:rsidRPr="008F33AD">
        <w:trPr>
          <w:cantSplit/>
        </w:trPr>
        <w:tc>
          <w:tcPr>
            <w:tcW w:w="3402" w:type="dxa"/>
            <w:tcBorders>
              <w:top w:val="nil"/>
            </w:tcBorders>
          </w:tcPr>
          <w:p w:rsidR="00B169D2" w:rsidRPr="008F33AD" w:rsidRDefault="00B169D2">
            <w:pPr>
              <w:pStyle w:val="TableHeading"/>
              <w:keepLines/>
              <w:rPr>
                <w:color w:val="auto"/>
              </w:rPr>
            </w:pPr>
            <w:r w:rsidRPr="008F33AD">
              <w:rPr>
                <w:color w:val="auto"/>
              </w:rPr>
              <w:t>Immune system disorders</w:t>
            </w:r>
          </w:p>
        </w:tc>
        <w:tc>
          <w:tcPr>
            <w:tcW w:w="5634" w:type="dxa"/>
            <w:tcBorders>
              <w:top w:val="nil"/>
            </w:tcBorders>
          </w:tcPr>
          <w:p w:rsidR="00B169D2" w:rsidRPr="008F33AD" w:rsidRDefault="00B169D2">
            <w:pPr>
              <w:pStyle w:val="TableHeading"/>
              <w:keepLines/>
              <w:rPr>
                <w:color w:val="auto"/>
              </w:rPr>
            </w:pPr>
          </w:p>
        </w:tc>
      </w:tr>
      <w:tr w:rsidR="00B169D2" w:rsidRPr="008F33AD">
        <w:trPr>
          <w:cantSplit/>
        </w:trPr>
        <w:tc>
          <w:tcPr>
            <w:tcW w:w="3402" w:type="dxa"/>
            <w:tcBorders>
              <w:top w:val="nil"/>
            </w:tcBorders>
          </w:tcPr>
          <w:p w:rsidR="00B169D2" w:rsidRPr="008F33AD" w:rsidRDefault="00B169D2">
            <w:pPr>
              <w:pStyle w:val="TableText"/>
              <w:rPr>
                <w:color w:val="auto"/>
              </w:rPr>
            </w:pPr>
            <w:r w:rsidRPr="008F33AD">
              <w:rPr>
                <w:color w:val="auto"/>
              </w:rPr>
              <w:t>Uncommon</w:t>
            </w:r>
          </w:p>
        </w:tc>
        <w:tc>
          <w:tcPr>
            <w:tcW w:w="5634" w:type="dxa"/>
            <w:tcBorders>
              <w:top w:val="nil"/>
            </w:tcBorders>
          </w:tcPr>
          <w:p w:rsidR="00B169D2" w:rsidRPr="008F33AD" w:rsidRDefault="00B169D2">
            <w:pPr>
              <w:pStyle w:val="TableText"/>
              <w:keepNext/>
              <w:keepLines/>
              <w:rPr>
                <w:color w:val="auto"/>
              </w:rPr>
            </w:pPr>
            <w:r w:rsidRPr="008F33AD">
              <w:rPr>
                <w:color w:val="auto"/>
              </w:rPr>
              <w:t>Allergic reaction, anaphylactoid reaction</w:t>
            </w:r>
          </w:p>
        </w:tc>
      </w:tr>
      <w:tr w:rsidR="0001340B" w:rsidRPr="008F33AD" w:rsidTr="00195424">
        <w:trPr>
          <w:cantSplit/>
        </w:trPr>
        <w:tc>
          <w:tcPr>
            <w:tcW w:w="3402" w:type="dxa"/>
          </w:tcPr>
          <w:p w:rsidR="0001340B" w:rsidRPr="008F33AD" w:rsidRDefault="0001340B" w:rsidP="00195424">
            <w:pPr>
              <w:pStyle w:val="TableHeading"/>
              <w:rPr>
                <w:color w:val="auto"/>
              </w:rPr>
            </w:pPr>
            <w:r w:rsidRPr="008F33AD">
              <w:rPr>
                <w:color w:val="auto"/>
              </w:rPr>
              <w:t>Endocrine disorders</w:t>
            </w:r>
          </w:p>
        </w:tc>
        <w:tc>
          <w:tcPr>
            <w:tcW w:w="5634" w:type="dxa"/>
          </w:tcPr>
          <w:p w:rsidR="0001340B" w:rsidRPr="008F33AD" w:rsidRDefault="0001340B" w:rsidP="00195424">
            <w:pPr>
              <w:pStyle w:val="TableHeading"/>
              <w:rPr>
                <w:color w:val="auto"/>
              </w:rPr>
            </w:pPr>
          </w:p>
        </w:tc>
      </w:tr>
      <w:tr w:rsidR="0001340B" w:rsidRPr="008F33AD" w:rsidTr="00195424">
        <w:trPr>
          <w:cantSplit/>
        </w:trPr>
        <w:tc>
          <w:tcPr>
            <w:tcW w:w="3402" w:type="dxa"/>
          </w:tcPr>
          <w:p w:rsidR="0001340B" w:rsidRPr="008F33AD" w:rsidRDefault="0001340B" w:rsidP="00195424">
            <w:pPr>
              <w:pStyle w:val="TableText"/>
              <w:rPr>
                <w:color w:val="auto"/>
              </w:rPr>
            </w:pPr>
            <w:r w:rsidRPr="008F33AD">
              <w:rPr>
                <w:color w:val="auto"/>
              </w:rPr>
              <w:t>Uncommon</w:t>
            </w:r>
          </w:p>
        </w:tc>
        <w:tc>
          <w:tcPr>
            <w:tcW w:w="5634" w:type="dxa"/>
          </w:tcPr>
          <w:p w:rsidR="0001340B" w:rsidRPr="008F33AD" w:rsidRDefault="0001340B" w:rsidP="00195424">
            <w:pPr>
              <w:pStyle w:val="TableText"/>
              <w:rPr>
                <w:color w:val="auto"/>
              </w:rPr>
            </w:pPr>
            <w:r w:rsidRPr="008F33AD">
              <w:rPr>
                <w:color w:val="auto"/>
              </w:rPr>
              <w:t>Adrenal cortex insufficiency</w:t>
            </w:r>
          </w:p>
        </w:tc>
      </w:tr>
      <w:tr w:rsidR="0001340B" w:rsidRPr="008F33AD" w:rsidTr="00195424">
        <w:trPr>
          <w:cantSplit/>
        </w:trPr>
        <w:tc>
          <w:tcPr>
            <w:tcW w:w="3402" w:type="dxa"/>
          </w:tcPr>
          <w:p w:rsidR="0001340B" w:rsidRPr="008F33AD" w:rsidRDefault="0001340B" w:rsidP="00195424">
            <w:pPr>
              <w:pStyle w:val="TableText"/>
              <w:rPr>
                <w:color w:val="auto"/>
              </w:rPr>
            </w:pPr>
            <w:r w:rsidRPr="008F33AD">
              <w:rPr>
                <w:color w:val="auto"/>
              </w:rPr>
              <w:t>Rare</w:t>
            </w:r>
          </w:p>
        </w:tc>
        <w:tc>
          <w:tcPr>
            <w:tcW w:w="5634" w:type="dxa"/>
          </w:tcPr>
          <w:p w:rsidR="0001340B" w:rsidRPr="008F33AD" w:rsidRDefault="0001340B" w:rsidP="00195424">
            <w:pPr>
              <w:pStyle w:val="TableText"/>
              <w:rPr>
                <w:color w:val="auto"/>
              </w:rPr>
            </w:pPr>
            <w:r w:rsidRPr="008F33AD">
              <w:rPr>
                <w:color w:val="auto"/>
              </w:rPr>
              <w:t>Hyperthyroidism, hypothyroidism</w:t>
            </w:r>
          </w:p>
        </w:tc>
      </w:tr>
      <w:tr w:rsidR="009529FA" w:rsidRPr="008F33AD" w:rsidTr="00195424">
        <w:trPr>
          <w:cantSplit/>
        </w:trPr>
        <w:tc>
          <w:tcPr>
            <w:tcW w:w="3402" w:type="dxa"/>
          </w:tcPr>
          <w:p w:rsidR="009529FA" w:rsidRPr="008F33AD" w:rsidRDefault="009529FA" w:rsidP="00195424">
            <w:pPr>
              <w:pStyle w:val="TableText"/>
              <w:rPr>
                <w:b/>
                <w:bCs/>
                <w:color w:val="auto"/>
              </w:rPr>
            </w:pPr>
            <w:r w:rsidRPr="008F33AD">
              <w:rPr>
                <w:b/>
                <w:bCs/>
                <w:color w:val="auto"/>
              </w:rPr>
              <w:t>Metabolism and nutrition disorders</w:t>
            </w:r>
          </w:p>
        </w:tc>
        <w:tc>
          <w:tcPr>
            <w:tcW w:w="5634" w:type="dxa"/>
          </w:tcPr>
          <w:p w:rsidR="009529FA" w:rsidRPr="008F33AD" w:rsidRDefault="009529FA" w:rsidP="00195424">
            <w:pPr>
              <w:pStyle w:val="TableText"/>
              <w:rPr>
                <w:color w:val="auto"/>
              </w:rPr>
            </w:pP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Common</w:t>
            </w:r>
          </w:p>
        </w:tc>
        <w:tc>
          <w:tcPr>
            <w:tcW w:w="5634" w:type="dxa"/>
          </w:tcPr>
          <w:p w:rsidR="009529FA" w:rsidRPr="008F33AD" w:rsidRDefault="009529FA" w:rsidP="00195424">
            <w:pPr>
              <w:pStyle w:val="TableText"/>
              <w:rPr>
                <w:color w:val="auto"/>
              </w:rPr>
            </w:pPr>
            <w:r w:rsidRPr="008F33AD">
              <w:rPr>
                <w:color w:val="auto"/>
              </w:rPr>
              <w:t>Hypokalaemia, hypoglycaemia</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Uncommon</w:t>
            </w:r>
          </w:p>
        </w:tc>
        <w:tc>
          <w:tcPr>
            <w:tcW w:w="5634" w:type="dxa"/>
          </w:tcPr>
          <w:p w:rsidR="009529FA" w:rsidRPr="008F33AD" w:rsidRDefault="009529FA" w:rsidP="00195424">
            <w:pPr>
              <w:pStyle w:val="TableText"/>
              <w:rPr>
                <w:color w:val="auto"/>
              </w:rPr>
            </w:pPr>
            <w:r w:rsidRPr="008F33AD">
              <w:rPr>
                <w:color w:val="auto"/>
              </w:rPr>
              <w:t>Hypercholesterolaemia</w:t>
            </w:r>
          </w:p>
        </w:tc>
      </w:tr>
      <w:tr w:rsidR="009529FA" w:rsidRPr="008F33AD" w:rsidTr="00195424">
        <w:trPr>
          <w:cantSplit/>
        </w:trPr>
        <w:tc>
          <w:tcPr>
            <w:tcW w:w="3402" w:type="dxa"/>
          </w:tcPr>
          <w:p w:rsidR="009529FA" w:rsidRPr="008F33AD" w:rsidRDefault="009529FA" w:rsidP="00195424">
            <w:pPr>
              <w:pStyle w:val="TableHeading"/>
              <w:rPr>
                <w:color w:val="auto"/>
              </w:rPr>
            </w:pPr>
            <w:r w:rsidRPr="008F33AD">
              <w:rPr>
                <w:color w:val="auto"/>
              </w:rPr>
              <w:t>Psychiatric disorders</w:t>
            </w:r>
          </w:p>
        </w:tc>
        <w:tc>
          <w:tcPr>
            <w:tcW w:w="5634" w:type="dxa"/>
          </w:tcPr>
          <w:p w:rsidR="009529FA" w:rsidRPr="008F33AD" w:rsidRDefault="009529FA" w:rsidP="00195424">
            <w:pPr>
              <w:pStyle w:val="TableHeading"/>
              <w:rPr>
                <w:color w:val="auto"/>
              </w:rPr>
            </w:pP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Common</w:t>
            </w:r>
          </w:p>
        </w:tc>
        <w:tc>
          <w:tcPr>
            <w:tcW w:w="5634" w:type="dxa"/>
          </w:tcPr>
          <w:p w:rsidR="009529FA" w:rsidRPr="008F33AD" w:rsidRDefault="009529FA" w:rsidP="00195424">
            <w:pPr>
              <w:pStyle w:val="TableText"/>
              <w:rPr>
                <w:color w:val="auto"/>
              </w:rPr>
            </w:pPr>
            <w:r w:rsidRPr="008F33AD">
              <w:rPr>
                <w:color w:val="auto"/>
              </w:rPr>
              <w:t>Hallucinations, confusion, depression, anxiety, agitation</w:t>
            </w:r>
          </w:p>
        </w:tc>
      </w:tr>
      <w:tr w:rsidR="009529FA" w:rsidRPr="008F33AD" w:rsidTr="00195424">
        <w:trPr>
          <w:cantSplit/>
        </w:trPr>
        <w:tc>
          <w:tcPr>
            <w:tcW w:w="3402" w:type="dxa"/>
          </w:tcPr>
          <w:p w:rsidR="009529FA" w:rsidRPr="008F33AD" w:rsidRDefault="009529FA" w:rsidP="00195424">
            <w:pPr>
              <w:pStyle w:val="TableHeading"/>
              <w:rPr>
                <w:color w:val="auto"/>
              </w:rPr>
            </w:pPr>
            <w:r w:rsidRPr="008F33AD">
              <w:rPr>
                <w:color w:val="auto"/>
              </w:rPr>
              <w:t>Nervous system disorders</w:t>
            </w:r>
          </w:p>
        </w:tc>
        <w:tc>
          <w:tcPr>
            <w:tcW w:w="5634" w:type="dxa"/>
          </w:tcPr>
          <w:p w:rsidR="009529FA" w:rsidRPr="008F33AD" w:rsidRDefault="009529FA" w:rsidP="00195424">
            <w:pPr>
              <w:pStyle w:val="TableHeading"/>
              <w:rPr>
                <w:color w:val="auto"/>
              </w:rPr>
            </w:pPr>
            <w:r w:rsidRPr="008F33AD">
              <w:rPr>
                <w:color w:val="auto"/>
              </w:rPr>
              <w:t xml:space="preserve"> </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Very common</w:t>
            </w:r>
          </w:p>
        </w:tc>
        <w:tc>
          <w:tcPr>
            <w:tcW w:w="5634" w:type="dxa"/>
          </w:tcPr>
          <w:p w:rsidR="009529FA" w:rsidRPr="008F33AD" w:rsidRDefault="009529FA" w:rsidP="00195424">
            <w:pPr>
              <w:pStyle w:val="TableText"/>
              <w:rPr>
                <w:color w:val="auto"/>
              </w:rPr>
            </w:pPr>
            <w:r w:rsidRPr="008F33AD">
              <w:rPr>
                <w:color w:val="auto"/>
              </w:rPr>
              <w:t>Headache</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Common</w:t>
            </w:r>
          </w:p>
        </w:tc>
        <w:tc>
          <w:tcPr>
            <w:tcW w:w="5634" w:type="dxa"/>
          </w:tcPr>
          <w:p w:rsidR="009529FA" w:rsidRPr="008F33AD" w:rsidRDefault="009529FA" w:rsidP="00195424">
            <w:pPr>
              <w:pStyle w:val="TableText"/>
              <w:rPr>
                <w:color w:val="auto"/>
              </w:rPr>
            </w:pPr>
            <w:r w:rsidRPr="008F33AD">
              <w:rPr>
                <w:color w:val="auto"/>
              </w:rPr>
              <w:t>Dizziness, tremor, paraesthesia</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Uncommon</w:t>
            </w:r>
          </w:p>
        </w:tc>
        <w:tc>
          <w:tcPr>
            <w:tcW w:w="5634" w:type="dxa"/>
          </w:tcPr>
          <w:p w:rsidR="009529FA" w:rsidRPr="008F33AD" w:rsidRDefault="009529FA" w:rsidP="00195424">
            <w:pPr>
              <w:pStyle w:val="TableText"/>
              <w:rPr>
                <w:color w:val="auto"/>
              </w:rPr>
            </w:pPr>
            <w:r w:rsidRPr="008F33AD">
              <w:rPr>
                <w:color w:val="auto"/>
              </w:rPr>
              <w:t>Ataxia, brain oedema, hypertonia, hypoaesthesia, nystagmus, syncope, altered taste perception</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Rare</w:t>
            </w:r>
          </w:p>
        </w:tc>
        <w:tc>
          <w:tcPr>
            <w:tcW w:w="5634" w:type="dxa"/>
          </w:tcPr>
          <w:p w:rsidR="009529FA" w:rsidRPr="008F33AD" w:rsidRDefault="009529FA" w:rsidP="003B34FF">
            <w:pPr>
              <w:pStyle w:val="TableText"/>
              <w:rPr>
                <w:color w:val="auto"/>
              </w:rPr>
            </w:pPr>
            <w:r w:rsidRPr="008F33AD">
              <w:rPr>
                <w:color w:val="auto"/>
              </w:rPr>
              <w:t>Guillain-Barr</w:t>
            </w:r>
            <w:r w:rsidR="003B34FF">
              <w:rPr>
                <w:color w:val="auto"/>
              </w:rPr>
              <w:t>é</w:t>
            </w:r>
            <w:r w:rsidRPr="008F33AD">
              <w:rPr>
                <w:color w:val="auto"/>
              </w:rPr>
              <w:t xml:space="preserve"> syndrome, oculogyric crisis, extrapyramidal syndrome, hepatic coma, insomnia, encephalopathy, somnolence during infusion, convulsion</w:t>
            </w:r>
            <w:r w:rsidR="00B92684">
              <w:rPr>
                <w:color w:val="auto"/>
              </w:rPr>
              <w:t>, *peripheral neuropathy</w:t>
            </w:r>
            <w:r w:rsidRPr="008F33AD">
              <w:rPr>
                <w:color w:val="auto"/>
              </w:rPr>
              <w:t xml:space="preserve"> </w:t>
            </w:r>
          </w:p>
        </w:tc>
      </w:tr>
      <w:tr w:rsidR="009529FA" w:rsidRPr="008F33AD" w:rsidTr="00195424">
        <w:trPr>
          <w:cantSplit/>
        </w:trPr>
        <w:tc>
          <w:tcPr>
            <w:tcW w:w="3402" w:type="dxa"/>
          </w:tcPr>
          <w:p w:rsidR="009529FA" w:rsidRPr="008F33AD" w:rsidRDefault="009529FA" w:rsidP="00195424">
            <w:pPr>
              <w:pStyle w:val="TableHeading"/>
              <w:rPr>
                <w:color w:val="auto"/>
              </w:rPr>
            </w:pPr>
            <w:r w:rsidRPr="008F33AD">
              <w:rPr>
                <w:color w:val="auto"/>
              </w:rPr>
              <w:t>Eye disorders</w:t>
            </w:r>
          </w:p>
        </w:tc>
        <w:tc>
          <w:tcPr>
            <w:tcW w:w="5634" w:type="dxa"/>
          </w:tcPr>
          <w:p w:rsidR="009529FA" w:rsidRPr="008F33AD" w:rsidRDefault="009529FA" w:rsidP="00195424">
            <w:pPr>
              <w:pStyle w:val="TableHeading"/>
              <w:rPr>
                <w:color w:val="auto"/>
              </w:rPr>
            </w:pPr>
            <w:r w:rsidRPr="008F33AD">
              <w:rPr>
                <w:color w:val="auto"/>
              </w:rPr>
              <w:t xml:space="preserve"> </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Very Common</w:t>
            </w:r>
          </w:p>
        </w:tc>
        <w:tc>
          <w:tcPr>
            <w:tcW w:w="5634" w:type="dxa"/>
          </w:tcPr>
          <w:p w:rsidR="009529FA" w:rsidRPr="008F33AD" w:rsidRDefault="009529FA" w:rsidP="00195424">
            <w:pPr>
              <w:pStyle w:val="TableText"/>
              <w:rPr>
                <w:color w:val="auto"/>
              </w:rPr>
            </w:pPr>
            <w:r w:rsidRPr="008F33AD">
              <w:rPr>
                <w:color w:val="auto"/>
              </w:rPr>
              <w:t>Visual disturbances (including altered/enhanced visual perception, blurred vision, colour vision change, photophobia)</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 xml:space="preserve">Uncommon </w:t>
            </w:r>
          </w:p>
        </w:tc>
        <w:tc>
          <w:tcPr>
            <w:tcW w:w="5634" w:type="dxa"/>
          </w:tcPr>
          <w:p w:rsidR="009529FA" w:rsidRPr="008F33AD" w:rsidRDefault="009529FA" w:rsidP="00195424">
            <w:pPr>
              <w:pStyle w:val="TableText"/>
              <w:rPr>
                <w:color w:val="auto"/>
              </w:rPr>
            </w:pPr>
            <w:r w:rsidRPr="008F33AD">
              <w:rPr>
                <w:color w:val="auto"/>
              </w:rPr>
              <w:t>Blepharitis, optic neuritis, papilloedema, scleritis, diplopia</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Rare</w:t>
            </w:r>
          </w:p>
        </w:tc>
        <w:tc>
          <w:tcPr>
            <w:tcW w:w="5634" w:type="dxa"/>
          </w:tcPr>
          <w:p w:rsidR="009529FA" w:rsidRPr="008F33AD" w:rsidRDefault="009529FA" w:rsidP="00195424">
            <w:pPr>
              <w:pStyle w:val="TableText"/>
              <w:rPr>
                <w:color w:val="auto"/>
              </w:rPr>
            </w:pPr>
            <w:r w:rsidRPr="008F33AD">
              <w:rPr>
                <w:color w:val="auto"/>
              </w:rPr>
              <w:t>Retinal haemorrhage, corneal opacity, optic atrophy</w:t>
            </w:r>
          </w:p>
        </w:tc>
      </w:tr>
      <w:tr w:rsidR="009529FA" w:rsidRPr="008F33AD" w:rsidTr="00195424">
        <w:trPr>
          <w:cantSplit/>
        </w:trPr>
        <w:tc>
          <w:tcPr>
            <w:tcW w:w="3402" w:type="dxa"/>
          </w:tcPr>
          <w:p w:rsidR="009529FA" w:rsidRPr="008F33AD" w:rsidRDefault="009529FA" w:rsidP="00195424">
            <w:pPr>
              <w:pStyle w:val="TableHeading"/>
              <w:rPr>
                <w:color w:val="auto"/>
              </w:rPr>
            </w:pPr>
            <w:r w:rsidRPr="008F33AD">
              <w:rPr>
                <w:color w:val="auto"/>
              </w:rPr>
              <w:lastRenderedPageBreak/>
              <w:t>Ear and labyrinth disorders</w:t>
            </w:r>
          </w:p>
        </w:tc>
        <w:tc>
          <w:tcPr>
            <w:tcW w:w="5634" w:type="dxa"/>
          </w:tcPr>
          <w:p w:rsidR="009529FA" w:rsidRPr="008F33AD" w:rsidRDefault="009529FA" w:rsidP="00195424">
            <w:pPr>
              <w:pStyle w:val="TableHeading"/>
              <w:rPr>
                <w:color w:val="auto"/>
              </w:rPr>
            </w:pP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Uncommon</w:t>
            </w:r>
          </w:p>
        </w:tc>
        <w:tc>
          <w:tcPr>
            <w:tcW w:w="5634" w:type="dxa"/>
          </w:tcPr>
          <w:p w:rsidR="009529FA" w:rsidRPr="008F33AD" w:rsidRDefault="009529FA" w:rsidP="00195424">
            <w:pPr>
              <w:pStyle w:val="TableText"/>
              <w:rPr>
                <w:color w:val="auto"/>
              </w:rPr>
            </w:pPr>
            <w:r w:rsidRPr="008F33AD">
              <w:rPr>
                <w:color w:val="auto"/>
              </w:rPr>
              <w:t>Vertigo</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Rare</w:t>
            </w:r>
          </w:p>
        </w:tc>
        <w:tc>
          <w:tcPr>
            <w:tcW w:w="5634" w:type="dxa"/>
          </w:tcPr>
          <w:p w:rsidR="009529FA" w:rsidRPr="008F33AD" w:rsidRDefault="009529FA" w:rsidP="00195424">
            <w:pPr>
              <w:pStyle w:val="TableText"/>
              <w:rPr>
                <w:color w:val="auto"/>
              </w:rPr>
            </w:pPr>
            <w:r w:rsidRPr="008F33AD">
              <w:rPr>
                <w:color w:val="auto"/>
              </w:rPr>
              <w:t>Hypoacusis, tinnitus</w:t>
            </w:r>
          </w:p>
        </w:tc>
      </w:tr>
      <w:tr w:rsidR="00B169D2" w:rsidRPr="008F33AD">
        <w:trPr>
          <w:cantSplit/>
        </w:trPr>
        <w:tc>
          <w:tcPr>
            <w:tcW w:w="3402" w:type="dxa"/>
          </w:tcPr>
          <w:p w:rsidR="00B169D2" w:rsidRPr="008F33AD" w:rsidRDefault="00B169D2">
            <w:pPr>
              <w:pStyle w:val="TableHeading"/>
              <w:keepLines/>
              <w:rPr>
                <w:color w:val="auto"/>
              </w:rPr>
            </w:pPr>
            <w:r w:rsidRPr="008F33AD">
              <w:rPr>
                <w:color w:val="auto"/>
              </w:rPr>
              <w:t>Cardiac disorders</w:t>
            </w:r>
          </w:p>
        </w:tc>
        <w:tc>
          <w:tcPr>
            <w:tcW w:w="5634" w:type="dxa"/>
          </w:tcPr>
          <w:p w:rsidR="00B169D2" w:rsidRPr="008F33AD" w:rsidRDefault="00B169D2">
            <w:pPr>
              <w:pStyle w:val="TableHeading"/>
              <w:keepLines/>
              <w:rPr>
                <w:color w:val="auto"/>
              </w:rPr>
            </w:pPr>
          </w:p>
        </w:tc>
      </w:tr>
      <w:tr w:rsidR="00B169D2" w:rsidRPr="008F33AD">
        <w:trPr>
          <w:cantSplit/>
        </w:trPr>
        <w:tc>
          <w:tcPr>
            <w:tcW w:w="3402" w:type="dxa"/>
          </w:tcPr>
          <w:p w:rsidR="00B169D2" w:rsidRPr="008F33AD" w:rsidRDefault="00B169D2">
            <w:pPr>
              <w:pStyle w:val="TableText"/>
              <w:rPr>
                <w:color w:val="auto"/>
              </w:rPr>
            </w:pPr>
            <w:r w:rsidRPr="008F33AD">
              <w:rPr>
                <w:color w:val="auto"/>
              </w:rPr>
              <w:t>Common</w:t>
            </w:r>
          </w:p>
        </w:tc>
        <w:tc>
          <w:tcPr>
            <w:tcW w:w="5634" w:type="dxa"/>
          </w:tcPr>
          <w:p w:rsidR="00B169D2" w:rsidRPr="008F33AD" w:rsidRDefault="00B169D2">
            <w:pPr>
              <w:pStyle w:val="TableText"/>
              <w:rPr>
                <w:color w:val="auto"/>
              </w:rPr>
            </w:pPr>
            <w:r w:rsidRPr="008F33AD">
              <w:rPr>
                <w:color w:val="auto"/>
              </w:rPr>
              <w:t>Lung oedema</w:t>
            </w:r>
          </w:p>
        </w:tc>
      </w:tr>
      <w:tr w:rsidR="00B169D2" w:rsidRPr="008F33AD">
        <w:trPr>
          <w:cantSplit/>
        </w:trPr>
        <w:tc>
          <w:tcPr>
            <w:tcW w:w="3402" w:type="dxa"/>
          </w:tcPr>
          <w:p w:rsidR="00B169D2" w:rsidRPr="008F33AD" w:rsidRDefault="00B169D2">
            <w:pPr>
              <w:pStyle w:val="TableText"/>
              <w:rPr>
                <w:color w:val="auto"/>
              </w:rPr>
            </w:pPr>
            <w:r w:rsidRPr="008F33AD">
              <w:rPr>
                <w:color w:val="auto"/>
              </w:rPr>
              <w:t>Uncommon</w:t>
            </w:r>
          </w:p>
        </w:tc>
        <w:tc>
          <w:tcPr>
            <w:tcW w:w="5634" w:type="dxa"/>
          </w:tcPr>
          <w:p w:rsidR="00B169D2" w:rsidRPr="008F33AD" w:rsidRDefault="00B169D2">
            <w:pPr>
              <w:pStyle w:val="TableText"/>
              <w:rPr>
                <w:color w:val="auto"/>
              </w:rPr>
            </w:pPr>
            <w:r w:rsidRPr="008F33AD">
              <w:rPr>
                <w:color w:val="auto"/>
              </w:rPr>
              <w:t>Atrial arrhythmia, bradycardia, tachycardia, ventricular arrhythmia, ventricular fibrillation, supraventricular tachycardia, QT prolongat</w:t>
            </w:r>
            <w:r w:rsidR="00203F78" w:rsidRPr="008F33AD">
              <w:rPr>
                <w:color w:val="auto"/>
              </w:rPr>
              <w:t>ion</w:t>
            </w:r>
          </w:p>
        </w:tc>
      </w:tr>
      <w:tr w:rsidR="00B169D2" w:rsidRPr="008F33AD">
        <w:trPr>
          <w:cantSplit/>
        </w:trPr>
        <w:tc>
          <w:tcPr>
            <w:tcW w:w="3402" w:type="dxa"/>
          </w:tcPr>
          <w:p w:rsidR="00B169D2" w:rsidRPr="008F33AD" w:rsidRDefault="00B169D2">
            <w:pPr>
              <w:pStyle w:val="TableText"/>
              <w:rPr>
                <w:color w:val="auto"/>
              </w:rPr>
            </w:pPr>
            <w:r w:rsidRPr="008F33AD">
              <w:rPr>
                <w:color w:val="auto"/>
              </w:rPr>
              <w:t>Rare</w:t>
            </w:r>
          </w:p>
        </w:tc>
        <w:tc>
          <w:tcPr>
            <w:tcW w:w="5634" w:type="dxa"/>
          </w:tcPr>
          <w:p w:rsidR="00B169D2" w:rsidRPr="008F33AD" w:rsidRDefault="00B169D2">
            <w:pPr>
              <w:pStyle w:val="TableText"/>
              <w:rPr>
                <w:color w:val="auto"/>
              </w:rPr>
            </w:pPr>
            <w:r w:rsidRPr="008F33AD">
              <w:rPr>
                <w:color w:val="auto"/>
              </w:rPr>
              <w:t>Atrioventricular (AV) complete block, bundle branch block, nodal arrhythmia, torsade de pointes, ventricular tachycardia</w:t>
            </w:r>
          </w:p>
        </w:tc>
      </w:tr>
      <w:tr w:rsidR="009529FA" w:rsidRPr="008F33AD" w:rsidTr="00195424">
        <w:trPr>
          <w:cantSplit/>
        </w:trPr>
        <w:tc>
          <w:tcPr>
            <w:tcW w:w="3402" w:type="dxa"/>
          </w:tcPr>
          <w:p w:rsidR="009529FA" w:rsidRPr="008F33AD" w:rsidRDefault="009529FA" w:rsidP="00195424">
            <w:pPr>
              <w:pStyle w:val="TableHeading"/>
              <w:rPr>
                <w:color w:val="auto"/>
              </w:rPr>
            </w:pPr>
            <w:r w:rsidRPr="008F33AD">
              <w:rPr>
                <w:color w:val="auto"/>
              </w:rPr>
              <w:t>Vascular disorders</w:t>
            </w:r>
          </w:p>
        </w:tc>
        <w:tc>
          <w:tcPr>
            <w:tcW w:w="5634" w:type="dxa"/>
          </w:tcPr>
          <w:p w:rsidR="009529FA" w:rsidRPr="008F33AD" w:rsidRDefault="009529FA" w:rsidP="00195424">
            <w:pPr>
              <w:pStyle w:val="TableHeading"/>
              <w:rPr>
                <w:color w:val="auto"/>
              </w:rPr>
            </w:pP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Common</w:t>
            </w:r>
          </w:p>
        </w:tc>
        <w:tc>
          <w:tcPr>
            <w:tcW w:w="5634" w:type="dxa"/>
          </w:tcPr>
          <w:p w:rsidR="009529FA" w:rsidRPr="008F33AD" w:rsidRDefault="009529FA" w:rsidP="00195424">
            <w:pPr>
              <w:pStyle w:val="TableText"/>
              <w:rPr>
                <w:color w:val="auto"/>
              </w:rPr>
            </w:pPr>
            <w:r w:rsidRPr="008F33AD">
              <w:rPr>
                <w:color w:val="auto"/>
              </w:rPr>
              <w:t>Hypotension, thrombophlebitis, phlebitis</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Rare</w:t>
            </w:r>
          </w:p>
        </w:tc>
        <w:tc>
          <w:tcPr>
            <w:tcW w:w="5634" w:type="dxa"/>
          </w:tcPr>
          <w:p w:rsidR="009529FA" w:rsidRPr="008F33AD" w:rsidRDefault="009529FA" w:rsidP="00195424">
            <w:pPr>
              <w:pStyle w:val="TableText"/>
              <w:rPr>
                <w:color w:val="auto"/>
              </w:rPr>
            </w:pPr>
            <w:r w:rsidRPr="008F33AD">
              <w:rPr>
                <w:color w:val="auto"/>
              </w:rPr>
              <w:t>Lymphangitis</w:t>
            </w:r>
          </w:p>
        </w:tc>
      </w:tr>
      <w:tr w:rsidR="009529FA" w:rsidRPr="008F33AD" w:rsidTr="00195424">
        <w:trPr>
          <w:cantSplit/>
        </w:trPr>
        <w:tc>
          <w:tcPr>
            <w:tcW w:w="3402" w:type="dxa"/>
          </w:tcPr>
          <w:p w:rsidR="009529FA" w:rsidRPr="008F33AD" w:rsidRDefault="009529FA" w:rsidP="00195424">
            <w:pPr>
              <w:pStyle w:val="TableHeading"/>
              <w:rPr>
                <w:color w:val="auto"/>
              </w:rPr>
            </w:pPr>
            <w:r w:rsidRPr="008F33AD">
              <w:rPr>
                <w:color w:val="auto"/>
              </w:rPr>
              <w:t>Respiratory, thoracic and mediastinal disorders</w:t>
            </w:r>
          </w:p>
        </w:tc>
        <w:tc>
          <w:tcPr>
            <w:tcW w:w="5634" w:type="dxa"/>
          </w:tcPr>
          <w:p w:rsidR="009529FA" w:rsidRPr="008F33AD" w:rsidRDefault="009529FA" w:rsidP="00195424">
            <w:pPr>
              <w:pStyle w:val="TableHeading"/>
              <w:rPr>
                <w:color w:val="auto"/>
              </w:rPr>
            </w:pPr>
            <w:r w:rsidRPr="008F33AD">
              <w:rPr>
                <w:color w:val="auto"/>
              </w:rPr>
              <w:t xml:space="preserve"> </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Common</w:t>
            </w:r>
          </w:p>
        </w:tc>
        <w:tc>
          <w:tcPr>
            <w:tcW w:w="5634" w:type="dxa"/>
          </w:tcPr>
          <w:p w:rsidR="009529FA" w:rsidRPr="008F33AD" w:rsidRDefault="009529FA" w:rsidP="00195424">
            <w:pPr>
              <w:pStyle w:val="TableText"/>
              <w:rPr>
                <w:color w:val="auto"/>
              </w:rPr>
            </w:pPr>
            <w:r w:rsidRPr="008F33AD">
              <w:rPr>
                <w:color w:val="auto"/>
              </w:rPr>
              <w:t>Respiratory distress syndrome</w:t>
            </w:r>
          </w:p>
        </w:tc>
      </w:tr>
      <w:tr w:rsidR="00B169D2" w:rsidRPr="008F33AD">
        <w:trPr>
          <w:cantSplit/>
        </w:trPr>
        <w:tc>
          <w:tcPr>
            <w:tcW w:w="3402" w:type="dxa"/>
          </w:tcPr>
          <w:p w:rsidR="00B169D2" w:rsidRPr="008F33AD" w:rsidRDefault="00B169D2">
            <w:pPr>
              <w:pStyle w:val="TableHeading"/>
              <w:rPr>
                <w:color w:val="auto"/>
              </w:rPr>
            </w:pPr>
            <w:r w:rsidRPr="008F33AD">
              <w:rPr>
                <w:color w:val="auto"/>
              </w:rPr>
              <w:t>Gastrointestinal disorders</w:t>
            </w:r>
          </w:p>
        </w:tc>
        <w:tc>
          <w:tcPr>
            <w:tcW w:w="5634" w:type="dxa"/>
          </w:tcPr>
          <w:p w:rsidR="00B169D2" w:rsidRPr="008F33AD" w:rsidRDefault="00B169D2">
            <w:pPr>
              <w:pStyle w:val="TableHeading"/>
              <w:rPr>
                <w:color w:val="auto"/>
              </w:rPr>
            </w:pPr>
            <w:r w:rsidRPr="008F33AD">
              <w:rPr>
                <w:color w:val="auto"/>
              </w:rPr>
              <w:t xml:space="preserve"> </w:t>
            </w:r>
          </w:p>
        </w:tc>
      </w:tr>
      <w:tr w:rsidR="00B169D2" w:rsidRPr="008F33AD">
        <w:trPr>
          <w:cantSplit/>
        </w:trPr>
        <w:tc>
          <w:tcPr>
            <w:tcW w:w="3402" w:type="dxa"/>
          </w:tcPr>
          <w:p w:rsidR="00B169D2" w:rsidRPr="008F33AD" w:rsidRDefault="00B169D2">
            <w:pPr>
              <w:pStyle w:val="TableText"/>
              <w:rPr>
                <w:color w:val="auto"/>
              </w:rPr>
            </w:pPr>
            <w:r w:rsidRPr="008F33AD">
              <w:rPr>
                <w:color w:val="auto"/>
              </w:rPr>
              <w:t>Very common</w:t>
            </w:r>
          </w:p>
        </w:tc>
        <w:tc>
          <w:tcPr>
            <w:tcW w:w="5634" w:type="dxa"/>
          </w:tcPr>
          <w:p w:rsidR="00B169D2" w:rsidRPr="008F33AD" w:rsidRDefault="00B169D2">
            <w:pPr>
              <w:pStyle w:val="TableText"/>
              <w:rPr>
                <w:color w:val="auto"/>
              </w:rPr>
            </w:pPr>
            <w:r w:rsidRPr="008F33AD">
              <w:rPr>
                <w:color w:val="auto"/>
              </w:rPr>
              <w:t>Nausea, vomiting, diarrhoea, abdominal pain</w:t>
            </w:r>
          </w:p>
        </w:tc>
      </w:tr>
      <w:tr w:rsidR="00B169D2" w:rsidRPr="008F33AD">
        <w:trPr>
          <w:cantSplit/>
        </w:trPr>
        <w:tc>
          <w:tcPr>
            <w:tcW w:w="3402" w:type="dxa"/>
          </w:tcPr>
          <w:p w:rsidR="00B169D2" w:rsidRPr="008F33AD" w:rsidRDefault="00B169D2">
            <w:pPr>
              <w:pStyle w:val="TableText"/>
              <w:rPr>
                <w:color w:val="auto"/>
              </w:rPr>
            </w:pPr>
            <w:r w:rsidRPr="008F33AD">
              <w:rPr>
                <w:color w:val="auto"/>
              </w:rPr>
              <w:t>Common</w:t>
            </w:r>
          </w:p>
          <w:p w:rsidR="00B169D2" w:rsidRPr="008F33AD" w:rsidRDefault="00B169D2">
            <w:pPr>
              <w:pStyle w:val="TableText"/>
              <w:rPr>
                <w:color w:val="auto"/>
              </w:rPr>
            </w:pPr>
          </w:p>
        </w:tc>
        <w:tc>
          <w:tcPr>
            <w:tcW w:w="5634" w:type="dxa"/>
          </w:tcPr>
          <w:p w:rsidR="00B169D2" w:rsidRPr="008F33AD" w:rsidRDefault="00B169D2">
            <w:pPr>
              <w:pStyle w:val="TableText"/>
              <w:rPr>
                <w:color w:val="auto"/>
              </w:rPr>
            </w:pPr>
            <w:r w:rsidRPr="008F33AD">
              <w:rPr>
                <w:color w:val="auto"/>
              </w:rPr>
              <w:t>Cheilitis, gastroenteritis</w:t>
            </w:r>
          </w:p>
        </w:tc>
      </w:tr>
      <w:tr w:rsidR="00B169D2" w:rsidRPr="008F33AD">
        <w:trPr>
          <w:cantSplit/>
        </w:trPr>
        <w:tc>
          <w:tcPr>
            <w:tcW w:w="3402" w:type="dxa"/>
          </w:tcPr>
          <w:p w:rsidR="00B169D2" w:rsidRPr="008F33AD" w:rsidRDefault="00B169D2">
            <w:pPr>
              <w:pStyle w:val="TableText"/>
              <w:rPr>
                <w:color w:val="auto"/>
              </w:rPr>
            </w:pPr>
            <w:r w:rsidRPr="008F33AD">
              <w:rPr>
                <w:color w:val="auto"/>
              </w:rPr>
              <w:t>Uncommon</w:t>
            </w:r>
          </w:p>
        </w:tc>
        <w:tc>
          <w:tcPr>
            <w:tcW w:w="5634" w:type="dxa"/>
          </w:tcPr>
          <w:p w:rsidR="00B169D2" w:rsidRPr="008F33AD" w:rsidRDefault="00B169D2">
            <w:pPr>
              <w:pStyle w:val="TableText"/>
              <w:rPr>
                <w:color w:val="auto"/>
              </w:rPr>
            </w:pPr>
            <w:r w:rsidRPr="008F33AD">
              <w:rPr>
                <w:color w:val="auto"/>
              </w:rPr>
              <w:t>Constipation, duodenitis, dyspepsia, gingivitis, glossitis, pancreatitis, tongue oedema, peritonitis</w:t>
            </w:r>
          </w:p>
        </w:tc>
      </w:tr>
      <w:tr w:rsidR="00B169D2" w:rsidRPr="008F33AD">
        <w:trPr>
          <w:cantSplit/>
        </w:trPr>
        <w:tc>
          <w:tcPr>
            <w:tcW w:w="3402" w:type="dxa"/>
          </w:tcPr>
          <w:p w:rsidR="00B169D2" w:rsidRPr="008F33AD" w:rsidRDefault="00B169D2">
            <w:pPr>
              <w:pStyle w:val="TableText"/>
              <w:rPr>
                <w:color w:val="auto"/>
              </w:rPr>
            </w:pPr>
            <w:r w:rsidRPr="008F33AD">
              <w:rPr>
                <w:color w:val="auto"/>
              </w:rPr>
              <w:t>Rare</w:t>
            </w:r>
          </w:p>
        </w:tc>
        <w:tc>
          <w:tcPr>
            <w:tcW w:w="5634" w:type="dxa"/>
          </w:tcPr>
          <w:p w:rsidR="00B169D2" w:rsidRPr="008F33AD" w:rsidRDefault="00B169D2">
            <w:pPr>
              <w:pStyle w:val="TableText"/>
              <w:rPr>
                <w:color w:val="auto"/>
              </w:rPr>
            </w:pPr>
            <w:r w:rsidRPr="008F33AD">
              <w:rPr>
                <w:color w:val="auto"/>
              </w:rPr>
              <w:t>Pseudomembranous colitis</w:t>
            </w:r>
          </w:p>
        </w:tc>
      </w:tr>
      <w:tr w:rsidR="00B169D2" w:rsidRPr="008F33AD">
        <w:trPr>
          <w:cantSplit/>
        </w:trPr>
        <w:tc>
          <w:tcPr>
            <w:tcW w:w="3402" w:type="dxa"/>
          </w:tcPr>
          <w:p w:rsidR="00B169D2" w:rsidRPr="008F33AD" w:rsidRDefault="00B169D2">
            <w:pPr>
              <w:pStyle w:val="TableHeading"/>
              <w:rPr>
                <w:color w:val="auto"/>
              </w:rPr>
            </w:pPr>
            <w:r w:rsidRPr="008F33AD">
              <w:rPr>
                <w:color w:val="auto"/>
              </w:rPr>
              <w:t>Hepatobiliary disorders</w:t>
            </w:r>
          </w:p>
        </w:tc>
        <w:tc>
          <w:tcPr>
            <w:tcW w:w="5634" w:type="dxa"/>
          </w:tcPr>
          <w:p w:rsidR="00B169D2" w:rsidRPr="008F33AD" w:rsidRDefault="00B169D2">
            <w:pPr>
              <w:pStyle w:val="TableHeading"/>
              <w:rPr>
                <w:color w:val="auto"/>
              </w:rPr>
            </w:pPr>
          </w:p>
        </w:tc>
      </w:tr>
      <w:tr w:rsidR="00B169D2" w:rsidRPr="008F33AD">
        <w:trPr>
          <w:cantSplit/>
        </w:trPr>
        <w:tc>
          <w:tcPr>
            <w:tcW w:w="3402" w:type="dxa"/>
          </w:tcPr>
          <w:p w:rsidR="00B169D2" w:rsidRPr="008F33AD" w:rsidRDefault="00B169D2">
            <w:pPr>
              <w:pStyle w:val="TableText"/>
              <w:rPr>
                <w:color w:val="auto"/>
              </w:rPr>
            </w:pPr>
            <w:r w:rsidRPr="008F33AD">
              <w:rPr>
                <w:color w:val="auto"/>
              </w:rPr>
              <w:t>Common</w:t>
            </w:r>
          </w:p>
        </w:tc>
        <w:tc>
          <w:tcPr>
            <w:tcW w:w="5634" w:type="dxa"/>
          </w:tcPr>
          <w:p w:rsidR="00B169D2" w:rsidRPr="008F33AD" w:rsidRDefault="00B169D2">
            <w:pPr>
              <w:pStyle w:val="TableText"/>
              <w:rPr>
                <w:color w:val="auto"/>
              </w:rPr>
            </w:pPr>
            <w:r w:rsidRPr="008F33AD">
              <w:rPr>
                <w:color w:val="auto"/>
              </w:rPr>
              <w:t>Elevated liver function tests (including AST (SGOT),  ALT (SGPT), alkaline phosphatase, GGT, LDH, bilirubin), jaundice, cholestatic jaundice</w:t>
            </w:r>
          </w:p>
        </w:tc>
      </w:tr>
      <w:tr w:rsidR="00B169D2" w:rsidRPr="008F33AD">
        <w:trPr>
          <w:cantSplit/>
        </w:trPr>
        <w:tc>
          <w:tcPr>
            <w:tcW w:w="3402" w:type="dxa"/>
          </w:tcPr>
          <w:p w:rsidR="00B169D2" w:rsidRPr="008F33AD" w:rsidRDefault="00B169D2">
            <w:pPr>
              <w:pStyle w:val="TableText"/>
              <w:rPr>
                <w:color w:val="auto"/>
              </w:rPr>
            </w:pPr>
            <w:r w:rsidRPr="008F33AD">
              <w:rPr>
                <w:color w:val="auto"/>
              </w:rPr>
              <w:t>Uncommon</w:t>
            </w:r>
          </w:p>
        </w:tc>
        <w:tc>
          <w:tcPr>
            <w:tcW w:w="5634" w:type="dxa"/>
          </w:tcPr>
          <w:p w:rsidR="00B169D2" w:rsidRPr="008F33AD" w:rsidRDefault="00B169D2">
            <w:pPr>
              <w:pStyle w:val="TableText"/>
              <w:rPr>
                <w:color w:val="auto"/>
              </w:rPr>
            </w:pPr>
            <w:r w:rsidRPr="008F33AD">
              <w:rPr>
                <w:color w:val="auto"/>
              </w:rPr>
              <w:t>Cholecystitis, cholelithiasis, enlarged liver, hepatitis, hepatic failure</w:t>
            </w:r>
          </w:p>
        </w:tc>
      </w:tr>
      <w:tr w:rsidR="009529FA" w:rsidRPr="008F33AD" w:rsidTr="00195424">
        <w:trPr>
          <w:cantSplit/>
        </w:trPr>
        <w:tc>
          <w:tcPr>
            <w:tcW w:w="3402" w:type="dxa"/>
          </w:tcPr>
          <w:p w:rsidR="009529FA" w:rsidRPr="008F33AD" w:rsidRDefault="009529FA" w:rsidP="00195424">
            <w:pPr>
              <w:pStyle w:val="TableHeading"/>
              <w:rPr>
                <w:color w:val="auto"/>
              </w:rPr>
            </w:pPr>
            <w:r w:rsidRPr="008F33AD">
              <w:rPr>
                <w:color w:val="auto"/>
              </w:rPr>
              <w:t>Skin and subcutaneous tissue disorders</w:t>
            </w:r>
          </w:p>
        </w:tc>
        <w:tc>
          <w:tcPr>
            <w:tcW w:w="5634" w:type="dxa"/>
          </w:tcPr>
          <w:p w:rsidR="009529FA" w:rsidRPr="008F33AD" w:rsidRDefault="009529FA" w:rsidP="00195424">
            <w:pPr>
              <w:pStyle w:val="TableHeading"/>
              <w:rPr>
                <w:color w:val="auto"/>
              </w:rPr>
            </w:pPr>
            <w:r w:rsidRPr="008F33AD">
              <w:rPr>
                <w:color w:val="auto"/>
              </w:rPr>
              <w:t xml:space="preserve"> </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Very common</w:t>
            </w:r>
          </w:p>
        </w:tc>
        <w:tc>
          <w:tcPr>
            <w:tcW w:w="5634" w:type="dxa"/>
          </w:tcPr>
          <w:p w:rsidR="009529FA" w:rsidRPr="008F33AD" w:rsidRDefault="009529FA" w:rsidP="00195424">
            <w:pPr>
              <w:pStyle w:val="TableText"/>
              <w:rPr>
                <w:color w:val="auto"/>
              </w:rPr>
            </w:pPr>
            <w:r w:rsidRPr="008F33AD">
              <w:rPr>
                <w:color w:val="auto"/>
              </w:rPr>
              <w:t xml:space="preserve">Rash </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Common</w:t>
            </w:r>
          </w:p>
          <w:p w:rsidR="009529FA" w:rsidRPr="008F33AD" w:rsidRDefault="009529FA" w:rsidP="00195424">
            <w:pPr>
              <w:pStyle w:val="TableText"/>
              <w:rPr>
                <w:color w:val="auto"/>
              </w:rPr>
            </w:pPr>
          </w:p>
        </w:tc>
        <w:tc>
          <w:tcPr>
            <w:tcW w:w="5634" w:type="dxa"/>
          </w:tcPr>
          <w:p w:rsidR="009529FA" w:rsidRPr="008F33AD" w:rsidRDefault="009529FA" w:rsidP="00195424">
            <w:pPr>
              <w:pStyle w:val="TableText"/>
              <w:rPr>
                <w:color w:val="auto"/>
              </w:rPr>
            </w:pPr>
            <w:r w:rsidRPr="008F33AD">
              <w:rPr>
                <w:color w:val="auto"/>
              </w:rPr>
              <w:t>Face oedema, pruritus, maculopapular rash, photosensitivity skin reaction, alopecia, exfoliative dermatitis, purpura</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Uncommon</w:t>
            </w:r>
          </w:p>
        </w:tc>
        <w:tc>
          <w:tcPr>
            <w:tcW w:w="5634" w:type="dxa"/>
          </w:tcPr>
          <w:p w:rsidR="009529FA" w:rsidRPr="008F33AD" w:rsidRDefault="009529FA" w:rsidP="00195424">
            <w:pPr>
              <w:pStyle w:val="TableText"/>
              <w:rPr>
                <w:color w:val="auto"/>
              </w:rPr>
            </w:pPr>
            <w:r w:rsidRPr="008F33AD">
              <w:rPr>
                <w:color w:val="auto"/>
              </w:rPr>
              <w:t>Fixed drug eruption, eczema, psoriasis, Stevens-Johnson syndrome, urticaria</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Rare</w:t>
            </w:r>
          </w:p>
        </w:tc>
        <w:tc>
          <w:tcPr>
            <w:tcW w:w="5634" w:type="dxa"/>
          </w:tcPr>
          <w:p w:rsidR="009529FA" w:rsidRPr="008F33AD" w:rsidRDefault="009529FA" w:rsidP="00195424">
            <w:pPr>
              <w:pStyle w:val="TableText"/>
              <w:rPr>
                <w:color w:val="auto"/>
              </w:rPr>
            </w:pPr>
            <w:r w:rsidRPr="008F33AD">
              <w:rPr>
                <w:color w:val="auto"/>
              </w:rPr>
              <w:t>Angioedema, discoid lupus erythematosis, erythema multiforme, toxic epidermal necrolysis</w:t>
            </w:r>
            <w:r>
              <w:rPr>
                <w:color w:val="auto"/>
              </w:rPr>
              <w:t>, pseudoporphyria</w:t>
            </w:r>
          </w:p>
        </w:tc>
      </w:tr>
      <w:tr w:rsidR="00B169D2" w:rsidRPr="008F33AD">
        <w:trPr>
          <w:cantSplit/>
        </w:trPr>
        <w:tc>
          <w:tcPr>
            <w:tcW w:w="3402" w:type="dxa"/>
          </w:tcPr>
          <w:p w:rsidR="00B169D2" w:rsidRPr="008F33AD" w:rsidRDefault="00B169D2">
            <w:pPr>
              <w:pStyle w:val="TableHeading"/>
              <w:rPr>
                <w:color w:val="auto"/>
              </w:rPr>
            </w:pPr>
            <w:r w:rsidRPr="008F33AD">
              <w:rPr>
                <w:color w:val="auto"/>
              </w:rPr>
              <w:t>Musculoskeletal, connective tissue and bone disorders</w:t>
            </w:r>
          </w:p>
        </w:tc>
        <w:tc>
          <w:tcPr>
            <w:tcW w:w="5634" w:type="dxa"/>
          </w:tcPr>
          <w:p w:rsidR="00B169D2" w:rsidRPr="008F33AD" w:rsidRDefault="00B169D2">
            <w:pPr>
              <w:pStyle w:val="TableHeading"/>
              <w:rPr>
                <w:color w:val="auto"/>
              </w:rPr>
            </w:pPr>
          </w:p>
        </w:tc>
      </w:tr>
      <w:tr w:rsidR="00B169D2" w:rsidRPr="008F33AD">
        <w:trPr>
          <w:cantSplit/>
        </w:trPr>
        <w:tc>
          <w:tcPr>
            <w:tcW w:w="3402" w:type="dxa"/>
          </w:tcPr>
          <w:p w:rsidR="00B169D2" w:rsidRPr="008F33AD" w:rsidRDefault="00B169D2">
            <w:pPr>
              <w:pStyle w:val="TableText"/>
              <w:rPr>
                <w:color w:val="auto"/>
              </w:rPr>
            </w:pPr>
            <w:r w:rsidRPr="008F33AD">
              <w:rPr>
                <w:color w:val="auto"/>
              </w:rPr>
              <w:t>Common</w:t>
            </w:r>
          </w:p>
        </w:tc>
        <w:tc>
          <w:tcPr>
            <w:tcW w:w="5634" w:type="dxa"/>
          </w:tcPr>
          <w:p w:rsidR="00B169D2" w:rsidRPr="008F33AD" w:rsidRDefault="00B169D2">
            <w:pPr>
              <w:pStyle w:val="TableText"/>
              <w:rPr>
                <w:color w:val="auto"/>
              </w:rPr>
            </w:pPr>
            <w:r w:rsidRPr="008F33AD">
              <w:rPr>
                <w:color w:val="auto"/>
              </w:rPr>
              <w:t>Back pain</w:t>
            </w:r>
          </w:p>
        </w:tc>
      </w:tr>
      <w:tr w:rsidR="00B169D2" w:rsidRPr="008F33AD">
        <w:trPr>
          <w:cantSplit/>
        </w:trPr>
        <w:tc>
          <w:tcPr>
            <w:tcW w:w="3402" w:type="dxa"/>
          </w:tcPr>
          <w:p w:rsidR="00B169D2" w:rsidRPr="008F33AD" w:rsidRDefault="00B169D2">
            <w:pPr>
              <w:pStyle w:val="TableText"/>
              <w:rPr>
                <w:color w:val="auto"/>
              </w:rPr>
            </w:pPr>
            <w:r w:rsidRPr="008F33AD">
              <w:rPr>
                <w:color w:val="auto"/>
              </w:rPr>
              <w:t>Uncommon</w:t>
            </w:r>
          </w:p>
        </w:tc>
        <w:tc>
          <w:tcPr>
            <w:tcW w:w="5634" w:type="dxa"/>
          </w:tcPr>
          <w:p w:rsidR="00B169D2" w:rsidRPr="008F33AD" w:rsidRDefault="00B169D2">
            <w:pPr>
              <w:pStyle w:val="TableText"/>
              <w:rPr>
                <w:color w:val="auto"/>
              </w:rPr>
            </w:pPr>
            <w:r w:rsidRPr="008F33AD">
              <w:rPr>
                <w:color w:val="auto"/>
              </w:rPr>
              <w:t>Arthritis</w:t>
            </w:r>
          </w:p>
        </w:tc>
      </w:tr>
      <w:tr w:rsidR="00B169D2" w:rsidRPr="008F33AD">
        <w:trPr>
          <w:cantSplit/>
        </w:trPr>
        <w:tc>
          <w:tcPr>
            <w:tcW w:w="3402" w:type="dxa"/>
          </w:tcPr>
          <w:p w:rsidR="00B169D2" w:rsidRPr="008F33AD" w:rsidRDefault="00B169D2">
            <w:pPr>
              <w:pStyle w:val="TableHeading"/>
              <w:rPr>
                <w:color w:val="auto"/>
              </w:rPr>
            </w:pPr>
            <w:r w:rsidRPr="008F33AD">
              <w:rPr>
                <w:color w:val="auto"/>
              </w:rPr>
              <w:lastRenderedPageBreak/>
              <w:t>Renal and urinary disorders</w:t>
            </w:r>
          </w:p>
        </w:tc>
        <w:tc>
          <w:tcPr>
            <w:tcW w:w="5634" w:type="dxa"/>
          </w:tcPr>
          <w:p w:rsidR="00B169D2" w:rsidRPr="008F33AD" w:rsidRDefault="00B169D2">
            <w:pPr>
              <w:pStyle w:val="TableHeading"/>
              <w:rPr>
                <w:color w:val="auto"/>
              </w:rPr>
            </w:pPr>
            <w:r w:rsidRPr="008F33AD">
              <w:rPr>
                <w:color w:val="auto"/>
              </w:rPr>
              <w:t xml:space="preserve"> </w:t>
            </w:r>
          </w:p>
        </w:tc>
      </w:tr>
      <w:tr w:rsidR="00B169D2" w:rsidRPr="008F33AD">
        <w:trPr>
          <w:cantSplit/>
        </w:trPr>
        <w:tc>
          <w:tcPr>
            <w:tcW w:w="3402" w:type="dxa"/>
          </w:tcPr>
          <w:p w:rsidR="00B169D2" w:rsidRPr="008F33AD" w:rsidRDefault="00B169D2">
            <w:pPr>
              <w:pStyle w:val="TableText"/>
              <w:rPr>
                <w:color w:val="auto"/>
              </w:rPr>
            </w:pPr>
            <w:r w:rsidRPr="008F33AD">
              <w:rPr>
                <w:color w:val="auto"/>
              </w:rPr>
              <w:t>Common</w:t>
            </w:r>
          </w:p>
        </w:tc>
        <w:tc>
          <w:tcPr>
            <w:tcW w:w="5634" w:type="dxa"/>
          </w:tcPr>
          <w:p w:rsidR="00B169D2" w:rsidRPr="008F33AD" w:rsidRDefault="00B169D2">
            <w:pPr>
              <w:pStyle w:val="TableText"/>
              <w:rPr>
                <w:color w:val="auto"/>
              </w:rPr>
            </w:pPr>
            <w:r w:rsidRPr="008F33AD">
              <w:rPr>
                <w:color w:val="auto"/>
              </w:rPr>
              <w:t>Creatinine increased, acute kidney failure, haematuria</w:t>
            </w:r>
          </w:p>
        </w:tc>
      </w:tr>
      <w:tr w:rsidR="00B169D2" w:rsidRPr="008F33AD">
        <w:trPr>
          <w:cantSplit/>
        </w:trPr>
        <w:tc>
          <w:tcPr>
            <w:tcW w:w="3402" w:type="dxa"/>
          </w:tcPr>
          <w:p w:rsidR="00B169D2" w:rsidRPr="008F33AD" w:rsidRDefault="00B169D2">
            <w:pPr>
              <w:pStyle w:val="TableText"/>
              <w:rPr>
                <w:color w:val="auto"/>
              </w:rPr>
            </w:pPr>
            <w:r w:rsidRPr="008F33AD">
              <w:rPr>
                <w:color w:val="auto"/>
              </w:rPr>
              <w:t>Uncommon</w:t>
            </w:r>
          </w:p>
        </w:tc>
        <w:tc>
          <w:tcPr>
            <w:tcW w:w="5634" w:type="dxa"/>
          </w:tcPr>
          <w:p w:rsidR="00B169D2" w:rsidRPr="008F33AD" w:rsidRDefault="00B169D2">
            <w:pPr>
              <w:pStyle w:val="TableText"/>
              <w:rPr>
                <w:color w:val="auto"/>
              </w:rPr>
            </w:pPr>
            <w:r w:rsidRPr="008F33AD">
              <w:rPr>
                <w:color w:val="auto"/>
              </w:rPr>
              <w:t>BUN increased, albuminuria, nephritis</w:t>
            </w:r>
          </w:p>
        </w:tc>
      </w:tr>
      <w:tr w:rsidR="00B169D2" w:rsidRPr="008F33AD">
        <w:trPr>
          <w:cantSplit/>
        </w:trPr>
        <w:tc>
          <w:tcPr>
            <w:tcW w:w="3402" w:type="dxa"/>
          </w:tcPr>
          <w:p w:rsidR="00B169D2" w:rsidRPr="008F33AD" w:rsidRDefault="00B169D2">
            <w:pPr>
              <w:pStyle w:val="TableText"/>
              <w:rPr>
                <w:color w:val="auto"/>
              </w:rPr>
            </w:pPr>
            <w:r w:rsidRPr="008F33AD">
              <w:rPr>
                <w:color w:val="auto"/>
              </w:rPr>
              <w:t>Rare</w:t>
            </w:r>
          </w:p>
        </w:tc>
        <w:tc>
          <w:tcPr>
            <w:tcW w:w="5634" w:type="dxa"/>
          </w:tcPr>
          <w:p w:rsidR="00B169D2" w:rsidRPr="008F33AD" w:rsidRDefault="00B169D2">
            <w:pPr>
              <w:pStyle w:val="TableText"/>
              <w:rPr>
                <w:color w:val="auto"/>
              </w:rPr>
            </w:pPr>
            <w:r w:rsidRPr="008F33AD">
              <w:rPr>
                <w:color w:val="auto"/>
              </w:rPr>
              <w:t>Kidney tubular necrosis</w:t>
            </w:r>
          </w:p>
        </w:tc>
      </w:tr>
      <w:tr w:rsidR="009529FA" w:rsidRPr="008F33AD" w:rsidTr="00195424">
        <w:trPr>
          <w:cantSplit/>
        </w:trPr>
        <w:tc>
          <w:tcPr>
            <w:tcW w:w="3402" w:type="dxa"/>
            <w:tcBorders>
              <w:top w:val="nil"/>
            </w:tcBorders>
          </w:tcPr>
          <w:p w:rsidR="009529FA" w:rsidRPr="008F33AD" w:rsidRDefault="009529FA" w:rsidP="00195424">
            <w:pPr>
              <w:pStyle w:val="TableHeading"/>
              <w:keepLines/>
              <w:rPr>
                <w:color w:val="auto"/>
              </w:rPr>
            </w:pPr>
            <w:r w:rsidRPr="008F33AD">
              <w:rPr>
                <w:color w:val="auto"/>
              </w:rPr>
              <w:t>General disorders and administration site conditions</w:t>
            </w:r>
          </w:p>
        </w:tc>
        <w:tc>
          <w:tcPr>
            <w:tcW w:w="5634" w:type="dxa"/>
            <w:tcBorders>
              <w:top w:val="nil"/>
            </w:tcBorders>
          </w:tcPr>
          <w:p w:rsidR="009529FA" w:rsidRPr="008F33AD" w:rsidRDefault="009529FA" w:rsidP="00195424">
            <w:pPr>
              <w:pStyle w:val="TableHeading"/>
              <w:keepLines/>
              <w:rPr>
                <w:color w:val="auto"/>
              </w:rPr>
            </w:pPr>
            <w:r w:rsidRPr="008F33AD">
              <w:rPr>
                <w:color w:val="auto"/>
              </w:rPr>
              <w:t xml:space="preserve"> </w:t>
            </w:r>
          </w:p>
        </w:tc>
      </w:tr>
      <w:tr w:rsidR="009529FA" w:rsidRPr="008F33AD" w:rsidTr="00195424">
        <w:trPr>
          <w:cantSplit/>
        </w:trPr>
        <w:tc>
          <w:tcPr>
            <w:tcW w:w="3402" w:type="dxa"/>
          </w:tcPr>
          <w:p w:rsidR="009529FA" w:rsidRPr="008F33AD" w:rsidRDefault="009529FA" w:rsidP="00195424">
            <w:pPr>
              <w:pStyle w:val="TableText"/>
              <w:rPr>
                <w:color w:val="auto"/>
              </w:rPr>
            </w:pPr>
            <w:r w:rsidRPr="008F33AD">
              <w:rPr>
                <w:color w:val="auto"/>
              </w:rPr>
              <w:t>Very common</w:t>
            </w:r>
          </w:p>
        </w:tc>
        <w:tc>
          <w:tcPr>
            <w:tcW w:w="5634" w:type="dxa"/>
          </w:tcPr>
          <w:p w:rsidR="009529FA" w:rsidRPr="008F33AD" w:rsidRDefault="009529FA" w:rsidP="00195424">
            <w:pPr>
              <w:pStyle w:val="TableText"/>
              <w:keepNext/>
              <w:keepLines/>
              <w:rPr>
                <w:color w:val="auto"/>
              </w:rPr>
            </w:pPr>
            <w:r w:rsidRPr="008F33AD">
              <w:rPr>
                <w:color w:val="auto"/>
              </w:rPr>
              <w:t>Fever, peripheral oedema</w:t>
            </w:r>
          </w:p>
        </w:tc>
      </w:tr>
      <w:tr w:rsidR="009529FA" w:rsidRPr="008F33AD" w:rsidTr="00195424">
        <w:trPr>
          <w:cantSplit/>
          <w:trHeight w:val="483"/>
        </w:trPr>
        <w:tc>
          <w:tcPr>
            <w:tcW w:w="3402" w:type="dxa"/>
          </w:tcPr>
          <w:p w:rsidR="009529FA" w:rsidRPr="008F33AD" w:rsidRDefault="009529FA" w:rsidP="00195424">
            <w:pPr>
              <w:pStyle w:val="TableText"/>
              <w:rPr>
                <w:color w:val="auto"/>
              </w:rPr>
            </w:pPr>
            <w:r w:rsidRPr="008F33AD">
              <w:rPr>
                <w:color w:val="auto"/>
              </w:rPr>
              <w:t>Common</w:t>
            </w:r>
          </w:p>
        </w:tc>
        <w:tc>
          <w:tcPr>
            <w:tcW w:w="5634" w:type="dxa"/>
          </w:tcPr>
          <w:p w:rsidR="009529FA" w:rsidRPr="008F33AD" w:rsidRDefault="009529FA" w:rsidP="00195424">
            <w:pPr>
              <w:pStyle w:val="TableText"/>
              <w:keepNext/>
              <w:keepLines/>
              <w:rPr>
                <w:color w:val="auto"/>
              </w:rPr>
            </w:pPr>
            <w:r w:rsidRPr="008F33AD">
              <w:rPr>
                <w:color w:val="auto"/>
              </w:rPr>
              <w:t>Chills, asthenia, chest pain, injection site reaction/inflammation, flu syndrome</w:t>
            </w:r>
          </w:p>
        </w:tc>
      </w:tr>
    </w:tbl>
    <w:p w:rsidR="00B169D2" w:rsidRPr="008F33AD" w:rsidRDefault="00FA7175">
      <w:pPr>
        <w:pStyle w:val="TableFootnote"/>
        <w:rPr>
          <w:color w:val="auto"/>
        </w:rPr>
      </w:pPr>
      <w:r w:rsidRPr="002E55CB">
        <w:rPr>
          <w:color w:val="auto"/>
          <w:vertAlign w:val="superscript"/>
        </w:rPr>
        <w:t>†</w:t>
      </w:r>
      <w:r w:rsidR="00B169D2" w:rsidRPr="008F33AD">
        <w:rPr>
          <w:color w:val="auto"/>
        </w:rPr>
        <w:t xml:space="preserve">Frequencies are categorised as follows:  very common </w:t>
      </w:r>
      <w:r w:rsidR="00B169D2" w:rsidRPr="008F33AD">
        <w:rPr>
          <w:color w:val="auto"/>
        </w:rPr>
        <w:sym w:font="Symbol" w:char="F0B3"/>
      </w:r>
      <w:r w:rsidR="00B169D2" w:rsidRPr="008F33AD">
        <w:rPr>
          <w:color w:val="auto"/>
        </w:rPr>
        <w:t xml:space="preserve">10%; common from </w:t>
      </w:r>
      <w:r w:rsidR="00B169D2" w:rsidRPr="008F33AD">
        <w:rPr>
          <w:color w:val="auto"/>
        </w:rPr>
        <w:sym w:font="Symbol" w:char="F0B3"/>
      </w:r>
      <w:r w:rsidR="00B169D2" w:rsidRPr="008F33AD">
        <w:rPr>
          <w:color w:val="auto"/>
        </w:rPr>
        <w:t xml:space="preserve">1% to &lt;10%; uncommon from </w:t>
      </w:r>
      <w:r w:rsidR="00B169D2" w:rsidRPr="008F33AD">
        <w:rPr>
          <w:color w:val="auto"/>
        </w:rPr>
        <w:sym w:font="Symbol" w:char="F0B3"/>
      </w:r>
      <w:r w:rsidR="00B169D2" w:rsidRPr="008F33AD">
        <w:rPr>
          <w:color w:val="auto"/>
        </w:rPr>
        <w:t>0.1% to &lt;1%; rare from 0.01% to &lt;0.1%)</w:t>
      </w:r>
    </w:p>
    <w:p w:rsidR="00B169D2" w:rsidRPr="008F33AD" w:rsidRDefault="00B169D2">
      <w:pPr>
        <w:pStyle w:val="TableTitle"/>
        <w:keepLines/>
        <w:rPr>
          <w:color w:val="auto"/>
        </w:rPr>
      </w:pPr>
      <w:r w:rsidRPr="008F33AD">
        <w:rPr>
          <w:color w:val="auto"/>
        </w:rPr>
        <w:t xml:space="preserve">Adverse Events Reported in Comparative Therapeutic Studies 305 and 307/602 at a rate of </w:t>
      </w:r>
      <w:r w:rsidRPr="008F33AD">
        <w:rPr>
          <w:color w:val="auto"/>
        </w:rPr>
        <w:sym w:font="Symbol" w:char="F0B3"/>
      </w:r>
      <w:r w:rsidRPr="008F33AD">
        <w:rPr>
          <w:color w:val="auto"/>
        </w:rPr>
        <w:t xml:space="preserve"> 1% Possibly Related to Therapy or Causality Unknown</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61"/>
        <w:gridCol w:w="1417"/>
        <w:gridCol w:w="1418"/>
        <w:gridCol w:w="1559"/>
        <w:gridCol w:w="1843"/>
      </w:tblGrid>
      <w:tr w:rsidR="00B169D2" w:rsidRPr="008F33AD">
        <w:trPr>
          <w:cantSplit/>
          <w:tblHeader/>
        </w:trPr>
        <w:tc>
          <w:tcPr>
            <w:tcW w:w="3261" w:type="dxa"/>
            <w:tcBorders>
              <w:top w:val="single" w:sz="4" w:space="0" w:color="auto"/>
              <w:left w:val="single" w:sz="4" w:space="0" w:color="auto"/>
              <w:bottom w:val="single" w:sz="4" w:space="0" w:color="auto"/>
              <w:right w:val="single" w:sz="4" w:space="0" w:color="auto"/>
            </w:tcBorders>
          </w:tcPr>
          <w:p w:rsidR="00B169D2" w:rsidRPr="008F33AD" w:rsidRDefault="00B169D2">
            <w:pPr>
              <w:pStyle w:val="TableHeading"/>
              <w:rPr>
                <w:color w:val="auto"/>
              </w:rPr>
            </w:pPr>
          </w:p>
          <w:p w:rsidR="00B169D2" w:rsidRPr="008F33AD" w:rsidRDefault="00B169D2">
            <w:pPr>
              <w:pStyle w:val="TableHeading"/>
              <w:rPr>
                <w:color w:val="auto"/>
              </w:rPr>
            </w:pPr>
          </w:p>
          <w:p w:rsidR="00B169D2" w:rsidRPr="008F33AD" w:rsidRDefault="00B169D2">
            <w:pPr>
              <w:pStyle w:val="TableHeading"/>
              <w:rPr>
                <w:color w:val="auto"/>
              </w:rPr>
            </w:pPr>
          </w:p>
          <w:p w:rsidR="00B169D2" w:rsidRPr="008F33AD" w:rsidRDefault="00B169D2">
            <w:pPr>
              <w:pStyle w:val="TableHeading"/>
              <w:rPr>
                <w:color w:val="auto"/>
              </w:rPr>
            </w:pPr>
          </w:p>
        </w:tc>
        <w:tc>
          <w:tcPr>
            <w:tcW w:w="2835" w:type="dxa"/>
            <w:gridSpan w:val="2"/>
            <w:tcBorders>
              <w:top w:val="single" w:sz="4" w:space="0" w:color="auto"/>
              <w:left w:val="single" w:sz="4" w:space="0" w:color="auto"/>
              <w:bottom w:val="single" w:sz="4" w:space="0" w:color="auto"/>
              <w:right w:val="single" w:sz="4" w:space="0" w:color="auto"/>
            </w:tcBorders>
          </w:tcPr>
          <w:p w:rsidR="00B169D2" w:rsidRPr="008F33AD" w:rsidRDefault="00B169D2" w:rsidP="00671D47">
            <w:pPr>
              <w:pStyle w:val="TableHeading"/>
              <w:jc w:val="center"/>
              <w:rPr>
                <w:bCs w:val="0"/>
                <w:color w:val="auto"/>
              </w:rPr>
            </w:pPr>
            <w:r w:rsidRPr="008F33AD">
              <w:rPr>
                <w:bCs w:val="0"/>
                <w:color w:val="auto"/>
              </w:rPr>
              <w:t>Protocol 305</w:t>
            </w:r>
          </w:p>
          <w:p w:rsidR="00B169D2" w:rsidRPr="008F33AD" w:rsidRDefault="00B169D2" w:rsidP="00671D47">
            <w:pPr>
              <w:pStyle w:val="TableHeading"/>
              <w:jc w:val="center"/>
              <w:rPr>
                <w:b w:val="0"/>
                <w:color w:val="auto"/>
              </w:rPr>
            </w:pPr>
            <w:r w:rsidRPr="008F33AD">
              <w:rPr>
                <w:bCs w:val="0"/>
                <w:color w:val="auto"/>
              </w:rPr>
              <w:t>Voriconazole vs Fluconazole</w:t>
            </w:r>
          </w:p>
          <w:p w:rsidR="00B169D2" w:rsidRPr="008F33AD" w:rsidRDefault="00B169D2" w:rsidP="00671D47">
            <w:pPr>
              <w:pStyle w:val="TableHeading"/>
              <w:jc w:val="center"/>
              <w:rPr>
                <w:b w:val="0"/>
                <w:bCs w:val="0"/>
                <w:color w:val="auto"/>
              </w:rPr>
            </w:pPr>
            <w:r w:rsidRPr="008F33AD">
              <w:rPr>
                <w:b w:val="0"/>
                <w:bCs w:val="0"/>
                <w:color w:val="auto"/>
              </w:rPr>
              <w:t>(oral therapy)</w:t>
            </w:r>
          </w:p>
        </w:tc>
        <w:tc>
          <w:tcPr>
            <w:tcW w:w="3402" w:type="dxa"/>
            <w:gridSpan w:val="2"/>
            <w:tcBorders>
              <w:top w:val="single" w:sz="4" w:space="0" w:color="auto"/>
              <w:left w:val="single" w:sz="4" w:space="0" w:color="auto"/>
              <w:bottom w:val="single" w:sz="4" w:space="0" w:color="auto"/>
              <w:right w:val="single" w:sz="4" w:space="0" w:color="auto"/>
            </w:tcBorders>
          </w:tcPr>
          <w:p w:rsidR="00B169D2" w:rsidRPr="008F33AD" w:rsidRDefault="00B169D2" w:rsidP="00671D47">
            <w:pPr>
              <w:pStyle w:val="TableHeading"/>
              <w:jc w:val="center"/>
              <w:rPr>
                <w:bCs w:val="0"/>
                <w:color w:val="auto"/>
              </w:rPr>
            </w:pPr>
            <w:r w:rsidRPr="008F33AD">
              <w:rPr>
                <w:bCs w:val="0"/>
                <w:color w:val="auto"/>
              </w:rPr>
              <w:t>Protocol 307/602</w:t>
            </w:r>
          </w:p>
          <w:p w:rsidR="00B169D2" w:rsidRPr="008F33AD" w:rsidRDefault="00B169D2" w:rsidP="00671D47">
            <w:pPr>
              <w:pStyle w:val="TableHeading"/>
              <w:jc w:val="center"/>
              <w:rPr>
                <w:b w:val="0"/>
                <w:color w:val="auto"/>
              </w:rPr>
            </w:pPr>
            <w:r w:rsidRPr="008F33AD">
              <w:rPr>
                <w:bCs w:val="0"/>
                <w:color w:val="auto"/>
              </w:rPr>
              <w:t>Voriconazole vs Conventional Amphotericin B</w:t>
            </w:r>
          </w:p>
          <w:p w:rsidR="00B169D2" w:rsidRPr="008F33AD" w:rsidRDefault="00B169D2" w:rsidP="00671D47">
            <w:pPr>
              <w:pStyle w:val="TableHeading"/>
              <w:jc w:val="center"/>
              <w:rPr>
                <w:b w:val="0"/>
                <w:bCs w:val="0"/>
                <w:color w:val="auto"/>
              </w:rPr>
            </w:pPr>
            <w:r w:rsidRPr="008F33AD">
              <w:rPr>
                <w:b w:val="0"/>
                <w:bCs w:val="0"/>
                <w:color w:val="auto"/>
              </w:rPr>
              <w:t>(IV/oral therapy)</w:t>
            </w:r>
          </w:p>
        </w:tc>
      </w:tr>
      <w:tr w:rsidR="00B169D2" w:rsidRPr="008F33AD">
        <w:trPr>
          <w:cantSplit/>
          <w:tblHeader/>
        </w:trPr>
        <w:tc>
          <w:tcPr>
            <w:tcW w:w="3261" w:type="dxa"/>
            <w:tcBorders>
              <w:top w:val="nil"/>
              <w:left w:val="single" w:sz="4" w:space="0" w:color="auto"/>
              <w:bottom w:val="nil"/>
              <w:right w:val="single" w:sz="4" w:space="0" w:color="auto"/>
            </w:tcBorders>
          </w:tcPr>
          <w:p w:rsidR="00B169D2" w:rsidRPr="008F33AD" w:rsidRDefault="00B169D2">
            <w:pPr>
              <w:pStyle w:val="TableText"/>
              <w:rPr>
                <w:color w:val="auto"/>
              </w:rPr>
            </w:pPr>
          </w:p>
        </w:tc>
        <w:tc>
          <w:tcPr>
            <w:tcW w:w="1417" w:type="dxa"/>
            <w:tcBorders>
              <w:top w:val="single" w:sz="4" w:space="0" w:color="auto"/>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Vori</w:t>
            </w:r>
          </w:p>
          <w:p w:rsidR="00B169D2" w:rsidRPr="008F33AD" w:rsidRDefault="00B169D2" w:rsidP="00671D47">
            <w:pPr>
              <w:pStyle w:val="TableText"/>
              <w:jc w:val="center"/>
              <w:rPr>
                <w:color w:val="auto"/>
              </w:rPr>
            </w:pPr>
            <w:r w:rsidRPr="008F33AD">
              <w:rPr>
                <w:color w:val="auto"/>
              </w:rPr>
              <w:t>N = 200</w:t>
            </w:r>
          </w:p>
        </w:tc>
        <w:tc>
          <w:tcPr>
            <w:tcW w:w="1418" w:type="dxa"/>
            <w:tcBorders>
              <w:top w:val="single" w:sz="4" w:space="0" w:color="auto"/>
              <w:left w:val="nil"/>
              <w:bottom w:val="nil"/>
              <w:right w:val="single" w:sz="4" w:space="0" w:color="auto"/>
            </w:tcBorders>
          </w:tcPr>
          <w:p w:rsidR="00B169D2" w:rsidRPr="008F33AD" w:rsidRDefault="00B169D2" w:rsidP="00671D47">
            <w:pPr>
              <w:pStyle w:val="TableText"/>
              <w:jc w:val="center"/>
              <w:rPr>
                <w:color w:val="auto"/>
              </w:rPr>
            </w:pPr>
            <w:r w:rsidRPr="008F33AD">
              <w:rPr>
                <w:color w:val="auto"/>
              </w:rPr>
              <w:t>Fluc</w:t>
            </w:r>
          </w:p>
          <w:p w:rsidR="00B169D2" w:rsidRPr="008F33AD" w:rsidRDefault="00B169D2" w:rsidP="00671D47">
            <w:pPr>
              <w:pStyle w:val="TableText"/>
              <w:jc w:val="center"/>
              <w:rPr>
                <w:color w:val="auto"/>
              </w:rPr>
            </w:pPr>
            <w:r w:rsidRPr="008F33AD">
              <w:rPr>
                <w:color w:val="auto"/>
              </w:rPr>
              <w:t>N =191</w:t>
            </w:r>
          </w:p>
        </w:tc>
        <w:tc>
          <w:tcPr>
            <w:tcW w:w="1559" w:type="dxa"/>
            <w:tcBorders>
              <w:top w:val="single" w:sz="4" w:space="0" w:color="auto"/>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Vori</w:t>
            </w:r>
          </w:p>
          <w:p w:rsidR="00B169D2" w:rsidRPr="008F33AD" w:rsidRDefault="00B169D2" w:rsidP="00671D47">
            <w:pPr>
              <w:pStyle w:val="TableText"/>
              <w:jc w:val="center"/>
              <w:rPr>
                <w:color w:val="auto"/>
              </w:rPr>
            </w:pPr>
            <w:r w:rsidRPr="008F33AD">
              <w:rPr>
                <w:color w:val="auto"/>
              </w:rPr>
              <w:t>N =196</w:t>
            </w:r>
          </w:p>
        </w:tc>
        <w:tc>
          <w:tcPr>
            <w:tcW w:w="1843" w:type="dxa"/>
            <w:tcBorders>
              <w:top w:val="single" w:sz="4" w:space="0" w:color="auto"/>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Ampho B</w:t>
            </w:r>
            <w:r w:rsidR="00FA7175" w:rsidRPr="002E55CB">
              <w:rPr>
                <w:color w:val="auto"/>
                <w:vertAlign w:val="superscript"/>
              </w:rPr>
              <w:t>†</w:t>
            </w:r>
          </w:p>
          <w:p w:rsidR="00B169D2" w:rsidRPr="008F33AD" w:rsidRDefault="00B169D2" w:rsidP="00671D47">
            <w:pPr>
              <w:pStyle w:val="TableText"/>
              <w:jc w:val="center"/>
              <w:rPr>
                <w:color w:val="auto"/>
              </w:rPr>
            </w:pPr>
            <w:r w:rsidRPr="008F33AD">
              <w:rPr>
                <w:color w:val="auto"/>
              </w:rPr>
              <w:t>N = 185</w:t>
            </w:r>
          </w:p>
        </w:tc>
      </w:tr>
      <w:tr w:rsidR="00B169D2" w:rsidRPr="008F33AD">
        <w:trPr>
          <w:cantSplit/>
          <w:tblHeader/>
        </w:trPr>
        <w:tc>
          <w:tcPr>
            <w:tcW w:w="3261" w:type="dxa"/>
            <w:tcBorders>
              <w:top w:val="nil"/>
              <w:left w:val="single" w:sz="4" w:space="0" w:color="auto"/>
              <w:bottom w:val="single" w:sz="4" w:space="0" w:color="auto"/>
              <w:right w:val="nil"/>
            </w:tcBorders>
          </w:tcPr>
          <w:p w:rsidR="00B169D2" w:rsidRPr="008F33AD" w:rsidRDefault="00B169D2">
            <w:pPr>
              <w:pStyle w:val="TableText"/>
              <w:rPr>
                <w:color w:val="auto"/>
              </w:rPr>
            </w:pPr>
          </w:p>
        </w:tc>
        <w:tc>
          <w:tcPr>
            <w:tcW w:w="1417" w:type="dxa"/>
            <w:tcBorders>
              <w:top w:val="nil"/>
              <w:left w:val="single" w:sz="4" w:space="0" w:color="auto"/>
              <w:bottom w:val="single" w:sz="4" w:space="0" w:color="auto"/>
              <w:right w:val="single" w:sz="4" w:space="0" w:color="auto"/>
            </w:tcBorders>
          </w:tcPr>
          <w:p w:rsidR="00B169D2" w:rsidRPr="008F33AD" w:rsidRDefault="00B169D2" w:rsidP="00671D47">
            <w:pPr>
              <w:pStyle w:val="TableText"/>
              <w:jc w:val="center"/>
              <w:rPr>
                <w:color w:val="auto"/>
              </w:rPr>
            </w:pPr>
            <w:r w:rsidRPr="008F33AD">
              <w:rPr>
                <w:color w:val="auto"/>
              </w:rPr>
              <w:t>N (%)</w:t>
            </w:r>
          </w:p>
        </w:tc>
        <w:tc>
          <w:tcPr>
            <w:tcW w:w="1418" w:type="dxa"/>
            <w:tcBorders>
              <w:top w:val="nil"/>
              <w:left w:val="nil"/>
              <w:bottom w:val="single" w:sz="4" w:space="0" w:color="auto"/>
              <w:right w:val="single" w:sz="4" w:space="0" w:color="auto"/>
            </w:tcBorders>
          </w:tcPr>
          <w:p w:rsidR="00B169D2" w:rsidRPr="008F33AD" w:rsidRDefault="00B169D2" w:rsidP="00671D47">
            <w:pPr>
              <w:pStyle w:val="TableText"/>
              <w:jc w:val="center"/>
              <w:rPr>
                <w:color w:val="auto"/>
              </w:rPr>
            </w:pPr>
            <w:r w:rsidRPr="008F33AD">
              <w:rPr>
                <w:color w:val="auto"/>
              </w:rPr>
              <w:t>N (%)</w:t>
            </w:r>
          </w:p>
        </w:tc>
        <w:tc>
          <w:tcPr>
            <w:tcW w:w="1559" w:type="dxa"/>
            <w:tcBorders>
              <w:top w:val="nil"/>
              <w:left w:val="single" w:sz="4" w:space="0" w:color="auto"/>
              <w:bottom w:val="single" w:sz="4" w:space="0" w:color="auto"/>
              <w:right w:val="single" w:sz="4" w:space="0" w:color="auto"/>
            </w:tcBorders>
          </w:tcPr>
          <w:p w:rsidR="00B169D2" w:rsidRPr="008F33AD" w:rsidRDefault="00B169D2" w:rsidP="00671D47">
            <w:pPr>
              <w:pStyle w:val="TableText"/>
              <w:jc w:val="center"/>
              <w:rPr>
                <w:color w:val="auto"/>
              </w:rPr>
            </w:pPr>
            <w:r w:rsidRPr="008F33AD">
              <w:rPr>
                <w:color w:val="auto"/>
              </w:rPr>
              <w:t>N (%)</w:t>
            </w:r>
          </w:p>
        </w:tc>
        <w:tc>
          <w:tcPr>
            <w:tcW w:w="1843" w:type="dxa"/>
            <w:tcBorders>
              <w:top w:val="nil"/>
              <w:left w:val="single" w:sz="4" w:space="0" w:color="auto"/>
              <w:bottom w:val="single" w:sz="4" w:space="0" w:color="auto"/>
              <w:right w:val="single" w:sz="4" w:space="0" w:color="auto"/>
            </w:tcBorders>
          </w:tcPr>
          <w:p w:rsidR="00B169D2" w:rsidRPr="008F33AD" w:rsidRDefault="00B169D2" w:rsidP="00671D47">
            <w:pPr>
              <w:pStyle w:val="TableText"/>
              <w:jc w:val="center"/>
              <w:rPr>
                <w:color w:val="auto"/>
              </w:rPr>
            </w:pPr>
            <w:r w:rsidRPr="008F33AD">
              <w:rPr>
                <w:color w:val="auto"/>
              </w:rPr>
              <w:t>N (%)</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Heading"/>
              <w:rPr>
                <w:color w:val="auto"/>
              </w:rPr>
            </w:pPr>
            <w:r w:rsidRPr="008F33AD">
              <w:rPr>
                <w:color w:val="auto"/>
              </w:rPr>
              <w:t>Body as a Whole</w:t>
            </w:r>
          </w:p>
        </w:tc>
        <w:tc>
          <w:tcPr>
            <w:tcW w:w="1417"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418"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559" w:type="dxa"/>
            <w:tcBorders>
              <w:top w:val="nil"/>
              <w:left w:val="single" w:sz="4" w:space="0" w:color="auto"/>
              <w:bottom w:val="nil"/>
              <w:right w:val="nil"/>
            </w:tcBorders>
          </w:tcPr>
          <w:p w:rsidR="00B169D2" w:rsidRPr="008F33AD" w:rsidRDefault="00B169D2" w:rsidP="00671D47">
            <w:pPr>
              <w:pStyle w:val="TableHeading"/>
              <w:jc w:val="center"/>
              <w:rPr>
                <w:color w:val="auto"/>
              </w:rPr>
            </w:pPr>
          </w:p>
        </w:tc>
        <w:tc>
          <w:tcPr>
            <w:tcW w:w="1843"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Fever</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7 (3.6)</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25 (13.5)</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Chills</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36 (19.5)</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Headache</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7 (3.6)</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8 (4.3)</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Abdominal pain</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5 (2.6)</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6 (3.2)</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Chest pain</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4 (2.0)</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(1.1)</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Heading"/>
              <w:rPr>
                <w:color w:val="auto"/>
              </w:rPr>
            </w:pPr>
            <w:r w:rsidRPr="008F33AD">
              <w:rPr>
                <w:color w:val="auto"/>
              </w:rPr>
              <w:t>Cardiovascular system</w:t>
            </w:r>
          </w:p>
        </w:tc>
        <w:tc>
          <w:tcPr>
            <w:tcW w:w="1417"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418"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559" w:type="dxa"/>
            <w:tcBorders>
              <w:top w:val="nil"/>
              <w:left w:val="single" w:sz="4" w:space="0" w:color="auto"/>
              <w:bottom w:val="nil"/>
              <w:right w:val="nil"/>
            </w:tcBorders>
          </w:tcPr>
          <w:p w:rsidR="00B169D2" w:rsidRPr="008F33AD" w:rsidRDefault="00B169D2" w:rsidP="00671D47">
            <w:pPr>
              <w:pStyle w:val="TableHeading"/>
              <w:jc w:val="center"/>
              <w:rPr>
                <w:color w:val="auto"/>
              </w:rPr>
            </w:pPr>
          </w:p>
        </w:tc>
        <w:tc>
          <w:tcPr>
            <w:tcW w:w="1843"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Tachycardia</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5 (2.6)</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5 (2.7)</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Hypertension</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(1.1)</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Hypotension</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3 (1.6)</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Vasodilatation</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2 (1.0)</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(1.1)</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Heading"/>
              <w:rPr>
                <w:color w:val="auto"/>
              </w:rPr>
            </w:pPr>
            <w:r w:rsidRPr="008F33AD">
              <w:rPr>
                <w:color w:val="auto"/>
              </w:rPr>
              <w:t>Digestive system</w:t>
            </w:r>
          </w:p>
        </w:tc>
        <w:tc>
          <w:tcPr>
            <w:tcW w:w="1417"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418"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559" w:type="dxa"/>
            <w:tcBorders>
              <w:top w:val="nil"/>
              <w:left w:val="single" w:sz="4" w:space="0" w:color="auto"/>
              <w:bottom w:val="nil"/>
              <w:right w:val="nil"/>
            </w:tcBorders>
          </w:tcPr>
          <w:p w:rsidR="00B169D2" w:rsidRPr="008F33AD" w:rsidRDefault="00B169D2" w:rsidP="00671D47">
            <w:pPr>
              <w:pStyle w:val="TableHeading"/>
              <w:jc w:val="center"/>
              <w:rPr>
                <w:color w:val="auto"/>
              </w:rPr>
            </w:pPr>
          </w:p>
        </w:tc>
        <w:tc>
          <w:tcPr>
            <w:tcW w:w="1843"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Nausea</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(1.0)</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3 (1.6)</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14 (7.1)</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29 (15.7)</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Vomiting</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(1.0)</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11 (5.6)</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18 (9.7)</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Liver function tests abnormal</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6 (3.0)</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(1.0)</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9 (4.6)</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4 (2.2)</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Diarrhoea</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3 (1.5)</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6 (3.2)</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Cholestatic jaundice</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3 (1.5)</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4 (2.0)</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Dry mouth</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3 (1.5)</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r>
      <w:tr w:rsidR="00B169D2" w:rsidRPr="008F33AD">
        <w:trPr>
          <w:cantSplit/>
        </w:trPr>
        <w:tc>
          <w:tcPr>
            <w:tcW w:w="3261" w:type="dxa"/>
            <w:tcBorders>
              <w:top w:val="nil"/>
              <w:left w:val="single" w:sz="4" w:space="0" w:color="auto"/>
              <w:bottom w:val="nil"/>
              <w:right w:val="nil"/>
            </w:tcBorders>
          </w:tcPr>
          <w:p w:rsidR="00B169D2" w:rsidRPr="008F33AD" w:rsidRDefault="00B169D2" w:rsidP="00986F7E">
            <w:pPr>
              <w:pStyle w:val="TableHeading"/>
              <w:rPr>
                <w:color w:val="auto"/>
              </w:rPr>
            </w:pPr>
            <w:r w:rsidRPr="008F33AD">
              <w:rPr>
                <w:color w:val="auto"/>
              </w:rPr>
              <w:t>Haemic and lymphatic system</w:t>
            </w:r>
          </w:p>
        </w:tc>
        <w:tc>
          <w:tcPr>
            <w:tcW w:w="1417"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418"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559" w:type="dxa"/>
            <w:tcBorders>
              <w:top w:val="nil"/>
              <w:left w:val="single" w:sz="4" w:space="0" w:color="auto"/>
              <w:bottom w:val="nil"/>
              <w:right w:val="nil"/>
            </w:tcBorders>
          </w:tcPr>
          <w:p w:rsidR="00B169D2" w:rsidRPr="008F33AD" w:rsidRDefault="00B169D2" w:rsidP="00671D47">
            <w:pPr>
              <w:pStyle w:val="TableHeading"/>
              <w:jc w:val="center"/>
              <w:rPr>
                <w:color w:val="auto"/>
              </w:rPr>
            </w:pPr>
          </w:p>
        </w:tc>
        <w:tc>
          <w:tcPr>
            <w:tcW w:w="1843"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r>
      <w:tr w:rsidR="00B169D2" w:rsidRPr="008F33AD">
        <w:trPr>
          <w:cantSplit/>
        </w:trPr>
        <w:tc>
          <w:tcPr>
            <w:tcW w:w="3261" w:type="dxa"/>
            <w:tcBorders>
              <w:top w:val="nil"/>
              <w:left w:val="single" w:sz="4" w:space="0" w:color="auto"/>
              <w:bottom w:val="nil"/>
              <w:right w:val="nil"/>
            </w:tcBorders>
          </w:tcPr>
          <w:p w:rsidR="00B169D2" w:rsidRPr="008F33AD" w:rsidRDefault="00B169D2" w:rsidP="00986F7E">
            <w:pPr>
              <w:pStyle w:val="TableText"/>
              <w:keepNext/>
              <w:rPr>
                <w:color w:val="auto"/>
              </w:rPr>
            </w:pPr>
            <w:r w:rsidRPr="008F33AD">
              <w:rPr>
                <w:color w:val="auto"/>
              </w:rPr>
              <w:t>Thrombocytopenia</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2 (1.0)</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(1.1)</w:t>
            </w:r>
          </w:p>
        </w:tc>
      </w:tr>
      <w:tr w:rsidR="00B169D2" w:rsidRPr="008F33AD">
        <w:trPr>
          <w:cantSplit/>
        </w:trPr>
        <w:tc>
          <w:tcPr>
            <w:tcW w:w="3261" w:type="dxa"/>
            <w:tcBorders>
              <w:top w:val="nil"/>
              <w:left w:val="single" w:sz="4" w:space="0" w:color="auto"/>
              <w:bottom w:val="nil"/>
              <w:right w:val="nil"/>
            </w:tcBorders>
          </w:tcPr>
          <w:p w:rsidR="00B169D2" w:rsidRPr="008F33AD" w:rsidRDefault="00B169D2" w:rsidP="00986F7E">
            <w:pPr>
              <w:pStyle w:val="TableText"/>
              <w:keepNext/>
              <w:rPr>
                <w:color w:val="auto"/>
              </w:rPr>
            </w:pPr>
            <w:r w:rsidRPr="008F33AD">
              <w:rPr>
                <w:color w:val="auto"/>
              </w:rPr>
              <w:t>Anaemia</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5 (2.7)</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Heading"/>
              <w:rPr>
                <w:color w:val="auto"/>
              </w:rPr>
            </w:pPr>
            <w:r w:rsidRPr="008F33AD">
              <w:rPr>
                <w:color w:val="auto"/>
              </w:rPr>
              <w:t>Metabolic and Nutritional Systems</w:t>
            </w:r>
          </w:p>
        </w:tc>
        <w:tc>
          <w:tcPr>
            <w:tcW w:w="1417"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418"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559" w:type="dxa"/>
            <w:tcBorders>
              <w:top w:val="nil"/>
              <w:left w:val="single" w:sz="4" w:space="0" w:color="auto"/>
              <w:bottom w:val="nil"/>
              <w:right w:val="nil"/>
            </w:tcBorders>
          </w:tcPr>
          <w:p w:rsidR="00B169D2" w:rsidRPr="008F33AD" w:rsidRDefault="00B169D2" w:rsidP="00671D47">
            <w:pPr>
              <w:pStyle w:val="TableHeading"/>
              <w:jc w:val="center"/>
              <w:rPr>
                <w:color w:val="auto"/>
              </w:rPr>
            </w:pPr>
          </w:p>
        </w:tc>
        <w:tc>
          <w:tcPr>
            <w:tcW w:w="1843"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Alkaline phosphatase increased</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10 (5.0)</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3 (1.6)</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6 (3.1)</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4 (2.2)</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Hepatic enzymes increased</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3 (1.5)</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7 (3.6)</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5 (2.7)</w:t>
            </w:r>
          </w:p>
        </w:tc>
      </w:tr>
      <w:tr w:rsidR="00B169D2" w:rsidRPr="008F33AD">
        <w:trPr>
          <w:cantSplit/>
        </w:trPr>
        <w:tc>
          <w:tcPr>
            <w:tcW w:w="3261" w:type="dxa"/>
            <w:tcBorders>
              <w:top w:val="nil"/>
              <w:left w:val="single" w:sz="4" w:space="0" w:color="auto"/>
              <w:bottom w:val="nil"/>
              <w:right w:val="nil"/>
            </w:tcBorders>
          </w:tcPr>
          <w:p w:rsidR="00B169D2" w:rsidRPr="008F33AD" w:rsidRDefault="0027715F">
            <w:pPr>
              <w:pStyle w:val="TableText"/>
              <w:rPr>
                <w:color w:val="auto"/>
              </w:rPr>
            </w:pPr>
            <w:r w:rsidRPr="008F33AD">
              <w:rPr>
                <w:color w:val="auto"/>
              </w:rPr>
              <w:lastRenderedPageBreak/>
              <w:t>AST (</w:t>
            </w:r>
            <w:r w:rsidR="00B169D2" w:rsidRPr="008F33AD">
              <w:rPr>
                <w:color w:val="auto"/>
              </w:rPr>
              <w:t>SGOT</w:t>
            </w:r>
            <w:r w:rsidRPr="008F33AD">
              <w:rPr>
                <w:color w:val="auto"/>
              </w:rPr>
              <w:t>)</w:t>
            </w:r>
            <w:r w:rsidR="00B169D2" w:rsidRPr="008F33AD">
              <w:rPr>
                <w:color w:val="auto"/>
              </w:rPr>
              <w:t xml:space="preserve"> increased</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8 (4.0)</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(1.0)</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r>
      <w:tr w:rsidR="00B169D2" w:rsidRPr="008F33AD">
        <w:trPr>
          <w:cantSplit/>
        </w:trPr>
        <w:tc>
          <w:tcPr>
            <w:tcW w:w="3261" w:type="dxa"/>
            <w:tcBorders>
              <w:top w:val="nil"/>
              <w:left w:val="single" w:sz="4" w:space="0" w:color="auto"/>
              <w:bottom w:val="nil"/>
              <w:right w:val="nil"/>
            </w:tcBorders>
          </w:tcPr>
          <w:p w:rsidR="00B169D2" w:rsidRPr="008F33AD" w:rsidRDefault="0027715F">
            <w:pPr>
              <w:pStyle w:val="TableText"/>
              <w:rPr>
                <w:color w:val="auto"/>
              </w:rPr>
            </w:pPr>
            <w:r w:rsidRPr="008F33AD">
              <w:rPr>
                <w:color w:val="auto"/>
              </w:rPr>
              <w:t>ALT (</w:t>
            </w:r>
            <w:r w:rsidR="00B169D2" w:rsidRPr="008F33AD">
              <w:rPr>
                <w:color w:val="auto"/>
              </w:rPr>
              <w:t>SGPT</w:t>
            </w:r>
            <w:r w:rsidRPr="008F33AD">
              <w:rPr>
                <w:color w:val="auto"/>
              </w:rPr>
              <w:t>)</w:t>
            </w:r>
            <w:r w:rsidR="00B169D2" w:rsidRPr="008F33AD">
              <w:rPr>
                <w:color w:val="auto"/>
              </w:rPr>
              <w:t xml:space="preserve"> increased</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6 (3.0)</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(1.0)</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3 (1.5)</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Hypokalaemia</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softHyphen/>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36 (19.5)</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Peripheral oedema</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softHyphen/>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7 (3.6)</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9 (4.9)</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Hypomagnesaemia</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softHyphen/>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r w:rsidRPr="008F33AD">
              <w:rPr>
                <w:color w:val="auto"/>
              </w:rPr>
              <w:softHyphen/>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2 (1.0)</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10 (5.4)</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Bilirubinaemia</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3 (1.6)</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Creatinine increased</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59 (31.9)</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Heading"/>
              <w:keepLines/>
              <w:rPr>
                <w:color w:val="auto"/>
              </w:rPr>
            </w:pPr>
            <w:r w:rsidRPr="008F33AD">
              <w:rPr>
                <w:color w:val="auto"/>
              </w:rPr>
              <w:t>Nervous system</w:t>
            </w:r>
          </w:p>
        </w:tc>
        <w:tc>
          <w:tcPr>
            <w:tcW w:w="1417" w:type="dxa"/>
            <w:tcBorders>
              <w:top w:val="nil"/>
              <w:left w:val="single" w:sz="4" w:space="0" w:color="auto"/>
              <w:bottom w:val="nil"/>
              <w:right w:val="single" w:sz="4" w:space="0" w:color="auto"/>
            </w:tcBorders>
          </w:tcPr>
          <w:p w:rsidR="00B169D2" w:rsidRPr="008F33AD" w:rsidRDefault="00B169D2" w:rsidP="00671D47">
            <w:pPr>
              <w:pStyle w:val="TableHeading"/>
              <w:keepLines/>
              <w:jc w:val="center"/>
              <w:rPr>
                <w:color w:val="auto"/>
              </w:rPr>
            </w:pPr>
          </w:p>
        </w:tc>
        <w:tc>
          <w:tcPr>
            <w:tcW w:w="1418" w:type="dxa"/>
            <w:tcBorders>
              <w:top w:val="nil"/>
              <w:left w:val="single" w:sz="4" w:space="0" w:color="auto"/>
              <w:bottom w:val="nil"/>
              <w:right w:val="single" w:sz="4" w:space="0" w:color="auto"/>
            </w:tcBorders>
          </w:tcPr>
          <w:p w:rsidR="00B169D2" w:rsidRPr="008F33AD" w:rsidRDefault="00B169D2" w:rsidP="00671D47">
            <w:pPr>
              <w:pStyle w:val="TableHeading"/>
              <w:keepLines/>
              <w:jc w:val="center"/>
              <w:rPr>
                <w:color w:val="auto"/>
              </w:rPr>
            </w:pPr>
          </w:p>
        </w:tc>
        <w:tc>
          <w:tcPr>
            <w:tcW w:w="1559" w:type="dxa"/>
            <w:tcBorders>
              <w:top w:val="nil"/>
              <w:left w:val="single" w:sz="4" w:space="0" w:color="auto"/>
              <w:bottom w:val="nil"/>
              <w:right w:val="nil"/>
            </w:tcBorders>
          </w:tcPr>
          <w:p w:rsidR="00B169D2" w:rsidRPr="008F33AD" w:rsidRDefault="00B169D2" w:rsidP="00671D47">
            <w:pPr>
              <w:pStyle w:val="TableHeading"/>
              <w:keepLines/>
              <w:jc w:val="center"/>
              <w:rPr>
                <w:color w:val="auto"/>
              </w:rPr>
            </w:pPr>
          </w:p>
        </w:tc>
        <w:tc>
          <w:tcPr>
            <w:tcW w:w="1843" w:type="dxa"/>
            <w:tcBorders>
              <w:top w:val="nil"/>
              <w:left w:val="single" w:sz="4" w:space="0" w:color="auto"/>
              <w:bottom w:val="nil"/>
              <w:right w:val="single" w:sz="4" w:space="0" w:color="auto"/>
            </w:tcBorders>
          </w:tcPr>
          <w:p w:rsidR="00B169D2" w:rsidRPr="008F33AD" w:rsidRDefault="00B169D2" w:rsidP="00671D47">
            <w:pPr>
              <w:pStyle w:val="TableHeading"/>
              <w:keepLines/>
              <w:jc w:val="center"/>
              <w:rPr>
                <w:color w:val="auto"/>
              </w:rPr>
            </w:pP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keepNext/>
              <w:keepLines/>
              <w:rPr>
                <w:color w:val="auto"/>
              </w:rPr>
            </w:pPr>
            <w:r w:rsidRPr="008F33AD">
              <w:rPr>
                <w:color w:val="auto"/>
              </w:rPr>
              <w:t>Hallucinations</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keepNext/>
              <w:keepLines/>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keepNext/>
              <w:keepLines/>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keepNext/>
              <w:keepLines/>
              <w:jc w:val="center"/>
              <w:rPr>
                <w:color w:val="auto"/>
              </w:rPr>
            </w:pPr>
            <w:r w:rsidRPr="008F33AD">
              <w:rPr>
                <w:color w:val="auto"/>
              </w:rPr>
              <w:t>10 (5.1)</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keepNext/>
              <w:keepLines/>
              <w:jc w:val="center"/>
              <w:rPr>
                <w:color w:val="auto"/>
              </w:rPr>
            </w:pPr>
            <w:r w:rsidRPr="008F33AD">
              <w:rPr>
                <w:color w:val="auto"/>
              </w:rPr>
              <w:t>-</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keepNext/>
              <w:keepLines/>
              <w:rPr>
                <w:color w:val="auto"/>
              </w:rPr>
            </w:pPr>
            <w:r w:rsidRPr="008F33AD">
              <w:rPr>
                <w:color w:val="auto"/>
              </w:rPr>
              <w:t>Dizziness</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(1.0)</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5 (2.6)</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Heading"/>
              <w:rPr>
                <w:color w:val="auto"/>
              </w:rPr>
            </w:pPr>
            <w:r w:rsidRPr="008F33AD">
              <w:rPr>
                <w:color w:val="auto"/>
              </w:rPr>
              <w:t>Skin and Appendages</w:t>
            </w:r>
          </w:p>
        </w:tc>
        <w:tc>
          <w:tcPr>
            <w:tcW w:w="1417"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418"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559" w:type="dxa"/>
            <w:tcBorders>
              <w:top w:val="nil"/>
              <w:left w:val="single" w:sz="4" w:space="0" w:color="auto"/>
              <w:bottom w:val="nil"/>
              <w:right w:val="nil"/>
            </w:tcBorders>
          </w:tcPr>
          <w:p w:rsidR="00B169D2" w:rsidRPr="008F33AD" w:rsidRDefault="00B169D2" w:rsidP="00671D47">
            <w:pPr>
              <w:pStyle w:val="TableHeading"/>
              <w:jc w:val="center"/>
              <w:rPr>
                <w:color w:val="auto"/>
              </w:rPr>
            </w:pPr>
          </w:p>
        </w:tc>
        <w:tc>
          <w:tcPr>
            <w:tcW w:w="1843"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Rash</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3 (1.5)</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1 (0.5)</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13 (6.6)</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7 (3.8)</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Pruritus</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2 (1.0)</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(1.1)</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Maculopapular rash</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3 (1.5)</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Heading"/>
              <w:rPr>
                <w:color w:val="auto"/>
              </w:rPr>
            </w:pPr>
            <w:r w:rsidRPr="008F33AD">
              <w:rPr>
                <w:color w:val="auto"/>
              </w:rPr>
              <w:t>Special senses</w:t>
            </w:r>
          </w:p>
        </w:tc>
        <w:tc>
          <w:tcPr>
            <w:tcW w:w="1417"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418"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559" w:type="dxa"/>
            <w:tcBorders>
              <w:top w:val="nil"/>
              <w:left w:val="single" w:sz="4" w:space="0" w:color="auto"/>
              <w:bottom w:val="nil"/>
              <w:right w:val="nil"/>
            </w:tcBorders>
          </w:tcPr>
          <w:p w:rsidR="00B169D2" w:rsidRPr="008F33AD" w:rsidRDefault="00B169D2" w:rsidP="00671D47">
            <w:pPr>
              <w:pStyle w:val="TableHeading"/>
              <w:jc w:val="center"/>
              <w:rPr>
                <w:color w:val="auto"/>
              </w:rPr>
            </w:pPr>
          </w:p>
        </w:tc>
        <w:tc>
          <w:tcPr>
            <w:tcW w:w="1843"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Abnormal vision</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31 (15.5)</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8 (4.2)</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55 (28.1)</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1 (0.5)</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Photophobia</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5 (2.5)</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(1.0)</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7 (3.6)</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Chromatopsia</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2 (1.0)</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2 (1.0)</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Heading"/>
              <w:rPr>
                <w:color w:val="auto"/>
              </w:rPr>
            </w:pPr>
            <w:r w:rsidRPr="008F33AD">
              <w:rPr>
                <w:color w:val="auto"/>
              </w:rPr>
              <w:t>Urogenital</w:t>
            </w:r>
          </w:p>
        </w:tc>
        <w:tc>
          <w:tcPr>
            <w:tcW w:w="1417"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418"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c>
          <w:tcPr>
            <w:tcW w:w="1559" w:type="dxa"/>
            <w:tcBorders>
              <w:top w:val="nil"/>
              <w:left w:val="single" w:sz="4" w:space="0" w:color="auto"/>
              <w:bottom w:val="nil"/>
              <w:right w:val="nil"/>
            </w:tcBorders>
          </w:tcPr>
          <w:p w:rsidR="00B169D2" w:rsidRPr="008F33AD" w:rsidRDefault="00B169D2" w:rsidP="00671D47">
            <w:pPr>
              <w:pStyle w:val="TableHeading"/>
              <w:jc w:val="center"/>
              <w:rPr>
                <w:color w:val="auto"/>
              </w:rPr>
            </w:pPr>
          </w:p>
        </w:tc>
        <w:tc>
          <w:tcPr>
            <w:tcW w:w="1843" w:type="dxa"/>
            <w:tcBorders>
              <w:top w:val="nil"/>
              <w:left w:val="single" w:sz="4" w:space="0" w:color="auto"/>
              <w:bottom w:val="nil"/>
              <w:right w:val="single" w:sz="4" w:space="0" w:color="auto"/>
            </w:tcBorders>
          </w:tcPr>
          <w:p w:rsidR="00B169D2" w:rsidRPr="008F33AD" w:rsidRDefault="00B169D2" w:rsidP="00671D47">
            <w:pPr>
              <w:pStyle w:val="TableHeading"/>
              <w:jc w:val="center"/>
              <w:rPr>
                <w:color w:val="auto"/>
              </w:rPr>
            </w:pPr>
          </w:p>
        </w:tc>
      </w:tr>
      <w:tr w:rsidR="00B169D2" w:rsidRPr="008F33AD">
        <w:trPr>
          <w:cantSplit/>
        </w:trPr>
        <w:tc>
          <w:tcPr>
            <w:tcW w:w="3261" w:type="dxa"/>
            <w:tcBorders>
              <w:top w:val="nil"/>
              <w:left w:val="single" w:sz="4" w:space="0" w:color="auto"/>
              <w:bottom w:val="nil"/>
              <w:right w:val="nil"/>
            </w:tcBorders>
          </w:tcPr>
          <w:p w:rsidR="00B169D2" w:rsidRPr="008F33AD" w:rsidRDefault="00B169D2">
            <w:pPr>
              <w:pStyle w:val="TableText"/>
              <w:rPr>
                <w:color w:val="auto"/>
              </w:rPr>
            </w:pPr>
            <w:r w:rsidRPr="008F33AD">
              <w:rPr>
                <w:color w:val="auto"/>
              </w:rPr>
              <w:t>Kidney function abnormal</w:t>
            </w:r>
          </w:p>
        </w:tc>
        <w:tc>
          <w:tcPr>
            <w:tcW w:w="1417"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nil"/>
              <w:right w:val="nil"/>
            </w:tcBorders>
          </w:tcPr>
          <w:p w:rsidR="00B169D2" w:rsidRPr="008F33AD" w:rsidRDefault="00B169D2" w:rsidP="00671D47">
            <w:pPr>
              <w:pStyle w:val="TableText"/>
              <w:jc w:val="center"/>
              <w:rPr>
                <w:color w:val="auto"/>
              </w:rPr>
            </w:pPr>
            <w:r w:rsidRPr="008F33AD">
              <w:rPr>
                <w:color w:val="auto"/>
              </w:rPr>
              <w:t>4 (2.0)</w:t>
            </w:r>
          </w:p>
        </w:tc>
        <w:tc>
          <w:tcPr>
            <w:tcW w:w="1843" w:type="dxa"/>
            <w:tcBorders>
              <w:top w:val="nil"/>
              <w:left w:val="single" w:sz="4" w:space="0" w:color="auto"/>
              <w:bottom w:val="nil"/>
              <w:right w:val="single" w:sz="4" w:space="0" w:color="auto"/>
            </w:tcBorders>
          </w:tcPr>
          <w:p w:rsidR="00B169D2" w:rsidRPr="008F33AD" w:rsidRDefault="00B169D2" w:rsidP="00671D47">
            <w:pPr>
              <w:pStyle w:val="TableText"/>
              <w:jc w:val="center"/>
              <w:rPr>
                <w:color w:val="auto"/>
              </w:rPr>
            </w:pPr>
            <w:r w:rsidRPr="008F33AD">
              <w:rPr>
                <w:color w:val="auto"/>
              </w:rPr>
              <w:t>40 (21.6)</w:t>
            </w:r>
          </w:p>
        </w:tc>
      </w:tr>
      <w:tr w:rsidR="00B169D2" w:rsidRPr="008F33AD">
        <w:trPr>
          <w:cantSplit/>
        </w:trPr>
        <w:tc>
          <w:tcPr>
            <w:tcW w:w="3261" w:type="dxa"/>
            <w:tcBorders>
              <w:top w:val="nil"/>
              <w:left w:val="single" w:sz="4" w:space="0" w:color="auto"/>
              <w:bottom w:val="single" w:sz="4" w:space="0" w:color="auto"/>
              <w:right w:val="nil"/>
            </w:tcBorders>
          </w:tcPr>
          <w:p w:rsidR="00B169D2" w:rsidRPr="008F33AD" w:rsidRDefault="00B169D2">
            <w:pPr>
              <w:pStyle w:val="TableText"/>
              <w:rPr>
                <w:color w:val="auto"/>
              </w:rPr>
            </w:pPr>
            <w:r w:rsidRPr="008F33AD">
              <w:rPr>
                <w:color w:val="auto"/>
              </w:rPr>
              <w:t>Acute kidney failure</w:t>
            </w:r>
          </w:p>
        </w:tc>
        <w:tc>
          <w:tcPr>
            <w:tcW w:w="1417" w:type="dxa"/>
            <w:tcBorders>
              <w:top w:val="nil"/>
              <w:left w:val="single" w:sz="4" w:space="0" w:color="auto"/>
              <w:bottom w:val="single" w:sz="4" w:space="0" w:color="auto"/>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418" w:type="dxa"/>
            <w:tcBorders>
              <w:top w:val="nil"/>
              <w:left w:val="single" w:sz="4" w:space="0" w:color="auto"/>
              <w:bottom w:val="single" w:sz="4" w:space="0" w:color="auto"/>
              <w:right w:val="single" w:sz="4" w:space="0" w:color="auto"/>
            </w:tcBorders>
          </w:tcPr>
          <w:p w:rsidR="00B169D2" w:rsidRPr="008F33AD" w:rsidRDefault="00B169D2" w:rsidP="00671D47">
            <w:pPr>
              <w:pStyle w:val="TableText"/>
              <w:jc w:val="center"/>
              <w:rPr>
                <w:color w:val="auto"/>
              </w:rPr>
            </w:pPr>
            <w:r w:rsidRPr="008F33AD">
              <w:rPr>
                <w:color w:val="auto"/>
              </w:rPr>
              <w:t>-</w:t>
            </w:r>
          </w:p>
        </w:tc>
        <w:tc>
          <w:tcPr>
            <w:tcW w:w="1559" w:type="dxa"/>
            <w:tcBorders>
              <w:top w:val="nil"/>
              <w:left w:val="single" w:sz="4" w:space="0" w:color="auto"/>
              <w:bottom w:val="single" w:sz="4" w:space="0" w:color="auto"/>
              <w:right w:val="nil"/>
            </w:tcBorders>
          </w:tcPr>
          <w:p w:rsidR="00B169D2" w:rsidRPr="008F33AD" w:rsidRDefault="00B169D2" w:rsidP="00671D47">
            <w:pPr>
              <w:pStyle w:val="TableText"/>
              <w:jc w:val="center"/>
              <w:rPr>
                <w:color w:val="auto"/>
              </w:rPr>
            </w:pPr>
            <w:r w:rsidRPr="008F33AD">
              <w:rPr>
                <w:color w:val="auto"/>
              </w:rPr>
              <w:t>-</w:t>
            </w:r>
          </w:p>
        </w:tc>
        <w:tc>
          <w:tcPr>
            <w:tcW w:w="1843" w:type="dxa"/>
            <w:tcBorders>
              <w:top w:val="nil"/>
              <w:left w:val="single" w:sz="4" w:space="0" w:color="auto"/>
              <w:bottom w:val="single" w:sz="4" w:space="0" w:color="auto"/>
              <w:right w:val="single" w:sz="4" w:space="0" w:color="auto"/>
            </w:tcBorders>
          </w:tcPr>
          <w:p w:rsidR="00B169D2" w:rsidRPr="008F33AD" w:rsidRDefault="00B169D2" w:rsidP="00671D47">
            <w:pPr>
              <w:pStyle w:val="TableText"/>
              <w:jc w:val="center"/>
              <w:rPr>
                <w:color w:val="auto"/>
              </w:rPr>
            </w:pPr>
            <w:r w:rsidRPr="008F33AD">
              <w:rPr>
                <w:color w:val="auto"/>
              </w:rPr>
              <w:t>11 (5.9)</w:t>
            </w:r>
          </w:p>
        </w:tc>
      </w:tr>
    </w:tbl>
    <w:p w:rsidR="00B169D2" w:rsidRPr="008F33AD" w:rsidRDefault="00FA7175">
      <w:pPr>
        <w:pStyle w:val="TableFootnote"/>
        <w:rPr>
          <w:color w:val="auto"/>
        </w:rPr>
      </w:pPr>
      <w:r w:rsidRPr="002E55CB">
        <w:rPr>
          <w:color w:val="auto"/>
          <w:vertAlign w:val="superscript"/>
        </w:rPr>
        <w:t>†</w:t>
      </w:r>
      <w:r w:rsidR="00B169D2" w:rsidRPr="008F33AD">
        <w:rPr>
          <w:color w:val="auto"/>
        </w:rPr>
        <w:t>Amphotericin B followed by other licensed antifungal therapy</w:t>
      </w:r>
    </w:p>
    <w:p w:rsidR="00B169D2" w:rsidRPr="008F33AD" w:rsidRDefault="00B169D2" w:rsidP="00F23230">
      <w:pPr>
        <w:pStyle w:val="Heading2"/>
      </w:pPr>
      <w:r w:rsidRPr="008F33AD">
        <w:t>Visual Disturbances</w:t>
      </w:r>
    </w:p>
    <w:p w:rsidR="00B169D2" w:rsidRDefault="00BB6EA3" w:rsidP="00810F42">
      <w:r>
        <w:t>In clinical tr</w:t>
      </w:r>
      <w:r w:rsidR="006230D6">
        <w:t>i</w:t>
      </w:r>
      <w:r>
        <w:t>als, v</w:t>
      </w:r>
      <w:r w:rsidR="00B169D2" w:rsidRPr="008F33AD">
        <w:t xml:space="preserve">oriconazole treatment-related visual </w:t>
      </w:r>
      <w:r w:rsidR="00E75969">
        <w:t xml:space="preserve">disturbances were very common. </w:t>
      </w:r>
      <w:r w:rsidR="00B169D2" w:rsidRPr="008F33AD">
        <w:t xml:space="preserve">In </w:t>
      </w:r>
      <w:r>
        <w:t>these studies</w:t>
      </w:r>
      <w:r w:rsidR="00B169D2" w:rsidRPr="008F33AD">
        <w:t xml:space="preserve">, approximately </w:t>
      </w:r>
      <w:r w:rsidR="00F5743A" w:rsidRPr="008F33AD">
        <w:t>21</w:t>
      </w:r>
      <w:r w:rsidR="00B169D2" w:rsidRPr="008F33AD">
        <w:t>% of subjects experienced altered/enhanced visual perception, blurred vision, colour</w:t>
      </w:r>
      <w:r w:rsidR="00E75969">
        <w:t xml:space="preserve"> vision change or photophobia. </w:t>
      </w:r>
      <w:r w:rsidR="00B169D2" w:rsidRPr="008F33AD">
        <w:t>The</w:t>
      </w:r>
      <w:r>
        <w:t>se</w:t>
      </w:r>
      <w:r w:rsidR="00B169D2" w:rsidRPr="008F33AD">
        <w:t xml:space="preserve"> visual disturbances </w:t>
      </w:r>
      <w:r>
        <w:t>were</w:t>
      </w:r>
      <w:r w:rsidR="00B169D2" w:rsidRPr="008F33AD">
        <w:t xml:space="preserve"> transient and fully reversible, with the majority spontaneously resolving within 60</w:t>
      </w:r>
      <w:r w:rsidR="00D86798" w:rsidRPr="008F33AD">
        <w:t> </w:t>
      </w:r>
      <w:r w:rsidR="00E75969">
        <w:t xml:space="preserve">minutes. </w:t>
      </w:r>
      <w:r w:rsidR="00B169D2" w:rsidRPr="008F33AD">
        <w:t xml:space="preserve">There </w:t>
      </w:r>
      <w:r>
        <w:t>was</w:t>
      </w:r>
      <w:r w:rsidR="00B169D2" w:rsidRPr="008F33AD">
        <w:t xml:space="preserve"> evidence of attenuation with r</w:t>
      </w:r>
      <w:r w:rsidR="00E75969">
        <w:t xml:space="preserve">epeated doses of voriconazole. </w:t>
      </w:r>
      <w:r w:rsidR="00B169D2" w:rsidRPr="008F33AD">
        <w:t>The visual disturbance</w:t>
      </w:r>
      <w:r>
        <w:t>s</w:t>
      </w:r>
      <w:r w:rsidR="00B169D2" w:rsidRPr="008F33AD">
        <w:t xml:space="preserve"> </w:t>
      </w:r>
      <w:r>
        <w:t>were</w:t>
      </w:r>
      <w:r w:rsidR="00B169D2" w:rsidRPr="008F33AD">
        <w:t xml:space="preserve"> generally mild, rarely result</w:t>
      </w:r>
      <w:r>
        <w:t>ed</w:t>
      </w:r>
      <w:r w:rsidR="00B169D2" w:rsidRPr="008F33AD">
        <w:t xml:space="preserve"> in discontinuation and </w:t>
      </w:r>
      <w:r>
        <w:t>were</w:t>
      </w:r>
      <w:r w:rsidR="00B169D2" w:rsidRPr="008F33AD">
        <w:t xml:space="preserve"> not associated with long-term</w:t>
      </w:r>
      <w:r w:rsidR="00E75969">
        <w:t xml:space="preserve"> sequelae. </w:t>
      </w:r>
      <w:r w:rsidR="00B169D2" w:rsidRPr="008F33AD">
        <w:t>Visual disturbances may be associated with higher plasma concentrations and/or doses.</w:t>
      </w:r>
    </w:p>
    <w:p w:rsidR="00BB6EA3" w:rsidRPr="00700B0D" w:rsidRDefault="00BB6EA3" w:rsidP="00810F42">
      <w:r>
        <w:t xml:space="preserve">There have been post-marketing reports of prolonged visual adverse events (see </w:t>
      </w:r>
      <w:r w:rsidR="00700B0D">
        <w:rPr>
          <w:b/>
          <w:bCs/>
        </w:rPr>
        <w:t>PRECAUTIONS</w:t>
      </w:r>
      <w:r w:rsidR="00700B0D">
        <w:t>)</w:t>
      </w:r>
      <w:r w:rsidR="00F41778">
        <w:t>.</w:t>
      </w:r>
    </w:p>
    <w:p w:rsidR="00B169D2" w:rsidRPr="008F33AD" w:rsidRDefault="00B169D2" w:rsidP="00810F42">
      <w:r w:rsidRPr="008F33AD">
        <w:t>The mechanism of action is unknown</w:t>
      </w:r>
      <w:r w:rsidRPr="00810F42">
        <w:t xml:space="preserve">, although the site of action is most likely to be within the retina.  </w:t>
      </w:r>
    </w:p>
    <w:p w:rsidR="00B169D2" w:rsidRPr="008F33AD" w:rsidRDefault="00B169D2" w:rsidP="00810F42">
      <w:r w:rsidRPr="008F33AD">
        <w:t>In a study in healthy volunteers investigating the impact of voriconazole on retinal function, voriconazole caused a decrease in the electroretino</w:t>
      </w:r>
      <w:r w:rsidR="00E75969">
        <w:t xml:space="preserve">gram (ERG) waveform amplitude. </w:t>
      </w:r>
      <w:r w:rsidRPr="008F33AD">
        <w:t xml:space="preserve">The ERG measures electrical currents </w:t>
      </w:r>
      <w:r w:rsidR="00E75969">
        <w:t>in th</w:t>
      </w:r>
      <w:r w:rsidR="00E75969" w:rsidRPr="00810F42">
        <w:t xml:space="preserve">e retina. </w:t>
      </w:r>
      <w:r w:rsidRPr="00810F42">
        <w:t>The ERG changes did not progress over 29 days of treatment and were fully rev</w:t>
      </w:r>
      <w:r w:rsidRPr="008F33AD">
        <w:t>ersible on withdrawal of voriconazole.</w:t>
      </w:r>
    </w:p>
    <w:p w:rsidR="00B169D2" w:rsidRPr="008F33AD" w:rsidRDefault="00B169D2" w:rsidP="00810F42">
      <w:r w:rsidRPr="008F33AD">
        <w:lastRenderedPageBreak/>
        <w:t>The long-term effect of voriconazole (median 169 days; range 5-353 days) on visual function was evaluated in subjects with paracoccidioidomycoses.</w:t>
      </w:r>
      <w:r w:rsidR="008C309D">
        <w:t xml:space="preserve"> </w:t>
      </w:r>
      <w:r w:rsidRPr="008F33AD">
        <w:t>Voriconazole had no clinically relevant effect on visual function as assessed by testing of visual acuity, visual fields, colour vision and contrast sensitivity. There were no signs of retinal toxicity. 17/35 voriconazole subjects experienced visual adverse events. These events did not lead to discontinuation, were generally mild, occurred in the first week of therapy and resolved during continued voriconazole therapy.</w:t>
      </w:r>
    </w:p>
    <w:p w:rsidR="00B169D2" w:rsidRPr="008F33AD" w:rsidRDefault="00B169D2">
      <w:pPr>
        <w:pStyle w:val="Heading2"/>
        <w:keepLines/>
      </w:pPr>
      <w:r w:rsidRPr="008F33AD">
        <w:t>Dermatological Reactions</w:t>
      </w:r>
    </w:p>
    <w:p w:rsidR="00B169D2" w:rsidRPr="008F33AD" w:rsidRDefault="00B169D2" w:rsidP="00810F42">
      <w:r w:rsidRPr="008F33AD">
        <w:t>Dermatological reactions were common in patie</w:t>
      </w:r>
      <w:r w:rsidR="00E75969">
        <w:t xml:space="preserve">nts treated with voriconazole. </w:t>
      </w:r>
      <w:r w:rsidRPr="008F33AD">
        <w:t>In clinical trials, rashes were reported by 19% (278/1493) of voriconazole treated patients, but these patients had serious underlying diseases and were receiving mul</w:t>
      </w:r>
      <w:r w:rsidR="00E75969">
        <w:t xml:space="preserve">tiple concomitant medications. </w:t>
      </w:r>
      <w:r w:rsidRPr="008F33AD">
        <w:t>The majority of rashes were</w:t>
      </w:r>
      <w:r w:rsidR="00E75969">
        <w:t xml:space="preserve"> of mild to moderate severity. </w:t>
      </w:r>
      <w:r w:rsidRPr="008F33AD">
        <w:t>Patients have developed serious cutaneous reactions, including Stevens-Johnson syndrome (uncommon), toxic epidermal necrolysis (rare) and erythema multiforme (rare) during treatment with voriconazole.</w:t>
      </w:r>
    </w:p>
    <w:p w:rsidR="00B169D2" w:rsidRDefault="00B169D2" w:rsidP="00810F42">
      <w:pPr>
        <w:rPr>
          <w:snapToGrid w:val="0"/>
        </w:rPr>
      </w:pPr>
      <w:r w:rsidRPr="008F33AD">
        <w:rPr>
          <w:snapToGrid w:val="0"/>
        </w:rPr>
        <w:t>If patients develop a rash they should be monitored closely and voriconazole dis</w:t>
      </w:r>
      <w:r w:rsidR="00E75969">
        <w:rPr>
          <w:snapToGrid w:val="0"/>
        </w:rPr>
        <w:t xml:space="preserve">continued if lesions progress. </w:t>
      </w:r>
      <w:r w:rsidRPr="008F33AD">
        <w:rPr>
          <w:snapToGrid w:val="0"/>
        </w:rPr>
        <w:t xml:space="preserve">Photosensitivity reactions have been reported, especially during long-term therapy (see </w:t>
      </w:r>
      <w:r w:rsidRPr="008F33AD">
        <w:rPr>
          <w:b/>
          <w:bCs/>
          <w:snapToGrid w:val="0"/>
        </w:rPr>
        <w:t>PRECAUTIONS</w:t>
      </w:r>
      <w:r w:rsidRPr="008F33AD">
        <w:rPr>
          <w:snapToGrid w:val="0"/>
        </w:rPr>
        <w:t>).</w:t>
      </w:r>
    </w:p>
    <w:p w:rsidR="001B513B" w:rsidRDefault="001B513B" w:rsidP="00F23230">
      <w:pPr>
        <w:pStyle w:val="Heading2"/>
        <w:rPr>
          <w:snapToGrid w:val="0"/>
        </w:rPr>
      </w:pPr>
      <w:r>
        <w:rPr>
          <w:snapToGrid w:val="0"/>
        </w:rPr>
        <w:t>Liver Function Tests</w:t>
      </w:r>
    </w:p>
    <w:p w:rsidR="001B513B" w:rsidRPr="001B513B" w:rsidRDefault="001B513B" w:rsidP="00810F42">
      <w:pPr>
        <w:rPr>
          <w:snapToGrid w:val="0"/>
        </w:rPr>
      </w:pPr>
      <w:r w:rsidRPr="008F33AD">
        <w:t>The overall incidence of clinically significant transaminase abnormalities in the voriconazole clinical program was 13.4% (200/1493) of subje</w:t>
      </w:r>
      <w:r>
        <w:t xml:space="preserve">cts treated with voriconazole. </w:t>
      </w:r>
      <w:r w:rsidRPr="008F33AD">
        <w:t>Liver function test abnormalities may be associated with higher plasm</w:t>
      </w:r>
      <w:r>
        <w:t xml:space="preserve">a concentrations and/or doses. </w:t>
      </w:r>
      <w:r w:rsidRPr="008F33AD">
        <w:t>The majority of abnormal liver function tests either resolved during treatment without dose</w:t>
      </w:r>
    </w:p>
    <w:p w:rsidR="00B169D2" w:rsidRPr="008F33AD" w:rsidRDefault="00B169D2" w:rsidP="00614699">
      <w:pPr>
        <w:keepLines/>
      </w:pPr>
      <w:r w:rsidRPr="008F33AD">
        <w:t>adjustment or following dose adjustment, including discontinuation of therapy.</w:t>
      </w:r>
    </w:p>
    <w:p w:rsidR="00B169D2" w:rsidRDefault="00B169D2" w:rsidP="00614699">
      <w:pPr>
        <w:keepLines/>
      </w:pPr>
      <w:r w:rsidRPr="008F33AD">
        <w:t xml:space="preserve">Voriconazole has been infrequently associated with cases of serious hepatic toxicity, in patients with other </w:t>
      </w:r>
      <w:r w:rsidR="00E75969">
        <w:t xml:space="preserve">serious underlying conditions. </w:t>
      </w:r>
      <w:r w:rsidRPr="008F33AD">
        <w:t xml:space="preserve">This includes cases of jaundice, and cases of hepatitis and hepatic failure leading to death (see </w:t>
      </w:r>
      <w:r w:rsidRPr="008F33AD">
        <w:rPr>
          <w:b/>
          <w:bCs/>
        </w:rPr>
        <w:t>PRECAUTIONS</w:t>
      </w:r>
      <w:r w:rsidRPr="008F33AD">
        <w:t>).</w:t>
      </w:r>
    </w:p>
    <w:p w:rsidR="00E75969" w:rsidRDefault="00E75969" w:rsidP="00F23230">
      <w:pPr>
        <w:pStyle w:val="Heading2"/>
      </w:pPr>
      <w:r>
        <w:t>Paediatric Use</w:t>
      </w:r>
    </w:p>
    <w:p w:rsidR="00F5743A" w:rsidRPr="008F33AD" w:rsidRDefault="00E75969" w:rsidP="001B513B">
      <w:r>
        <w:t xml:space="preserve">The safety of </w:t>
      </w:r>
      <w:r w:rsidRPr="008F33AD">
        <w:t>voriconazole was investigated in 245 paediatric patients aged 2 to &lt;12 years</w:t>
      </w:r>
      <w:r>
        <w:t xml:space="preserve"> who were treated </w:t>
      </w:r>
      <w:r w:rsidRPr="008F33AD">
        <w:t>with voriconazole in pharmacokinetic studies (87 paediatric patients) and in</w:t>
      </w:r>
      <w:r w:rsidR="001B513B">
        <w:t xml:space="preserve"> </w:t>
      </w:r>
      <w:r w:rsidR="00F5743A" w:rsidRPr="008F33AD">
        <w:t>compassionate use progr</w:t>
      </w:r>
      <w:r>
        <w:t xml:space="preserve">ams (158 paediatric patients). </w:t>
      </w:r>
      <w:r w:rsidR="00F5743A" w:rsidRPr="008F33AD">
        <w:t>The adverse event profile of these 245 paediatrics was similar to adults</w:t>
      </w:r>
      <w:r w:rsidR="00453D8B">
        <w:t xml:space="preserve"> although post-marketing data suggest there might be a higher occurrence of skin reactions in the paediatric population compared to adults</w:t>
      </w:r>
      <w:r w:rsidR="00F5743A" w:rsidRPr="008F33AD">
        <w:t>.</w:t>
      </w:r>
    </w:p>
    <w:p w:rsidR="00794F53" w:rsidRPr="008F33AD" w:rsidRDefault="00794F53" w:rsidP="00810F42">
      <w:r w:rsidRPr="008F33AD">
        <w:rPr>
          <w:lang w:eastAsia="nl-NL"/>
        </w:rPr>
        <w:t>There have been post-marketing reports of pancreatitis in paediatric patients.</w:t>
      </w:r>
    </w:p>
    <w:p w:rsidR="00B169D2" w:rsidRPr="008F33AD" w:rsidRDefault="00B169D2" w:rsidP="00F23230">
      <w:pPr>
        <w:pStyle w:val="Heading2"/>
        <w:rPr>
          <w:snapToGrid w:val="0"/>
        </w:rPr>
      </w:pPr>
      <w:r w:rsidRPr="008F33AD">
        <w:rPr>
          <w:snapToGrid w:val="0"/>
        </w:rPr>
        <w:t>Infusion-Related Reactions</w:t>
      </w:r>
    </w:p>
    <w:p w:rsidR="00B169D2" w:rsidRPr="008F33AD" w:rsidRDefault="00B169D2" w:rsidP="00810F42">
      <w:r w:rsidRPr="008F33AD">
        <w:t>During infusion of the intravenous formulation of voriconazole in healthy subjects, anaphylactoid-type reactions, including flushing, fever, sweating, tachycardia, chest tightness, dyspnoea, faintness, nausea, pr</w:t>
      </w:r>
      <w:r w:rsidR="003C56EF">
        <w:t xml:space="preserve">uritus and rash have occurred. </w:t>
      </w:r>
      <w:r w:rsidRPr="008F33AD">
        <w:t xml:space="preserve">Symptoms appeared immediately upon initiating the infusion </w:t>
      </w:r>
      <w:r w:rsidRPr="00693F51">
        <w:t xml:space="preserve">(see </w:t>
      </w:r>
      <w:r w:rsidRPr="00693F51">
        <w:rPr>
          <w:b/>
          <w:bCs/>
        </w:rPr>
        <w:t>PRECAUTIONS</w:t>
      </w:r>
      <w:r w:rsidRPr="00693F51">
        <w:t>)</w:t>
      </w:r>
      <w:r w:rsidRPr="008F33AD">
        <w:t>.</w:t>
      </w:r>
    </w:p>
    <w:p w:rsidR="00B169D2" w:rsidRPr="00AF6ADF" w:rsidRDefault="00B169D2" w:rsidP="00F23230">
      <w:pPr>
        <w:pStyle w:val="Heading1"/>
      </w:pPr>
      <w:r w:rsidRPr="00AF6ADF">
        <w:lastRenderedPageBreak/>
        <w:t>DOSAGE AND ADMINISTRATION</w:t>
      </w:r>
    </w:p>
    <w:p w:rsidR="00B169D2" w:rsidRPr="008F33AD" w:rsidRDefault="00B169D2" w:rsidP="00810F42">
      <w:r w:rsidRPr="008F33AD">
        <w:t>VFEND Tablets and Powder for Oral Suspension are to be taken at least one hour before, or one hour following, a meal.</w:t>
      </w:r>
    </w:p>
    <w:p w:rsidR="00B169D2" w:rsidRPr="008F33AD" w:rsidRDefault="00B169D2" w:rsidP="00810F42">
      <w:r w:rsidRPr="008F33AD">
        <w:t xml:space="preserve">VFEND Powder for Oral Suspension requires reconstitution before use (see </w:t>
      </w:r>
      <w:r w:rsidRPr="008F33AD">
        <w:rPr>
          <w:b/>
          <w:bCs/>
        </w:rPr>
        <w:t>Administration and Incompatibilities - Powder for Oral Suspension</w:t>
      </w:r>
      <w:r w:rsidRPr="008F33AD">
        <w:t>).</w:t>
      </w:r>
    </w:p>
    <w:p w:rsidR="00B169D2" w:rsidRPr="008F33AD" w:rsidRDefault="00B169D2" w:rsidP="00810F42">
      <w:r w:rsidRPr="008F33AD">
        <w:t>VFEND IV requires reconstitution and dilution prior to administration as an intravenous infusion</w:t>
      </w:r>
      <w:r w:rsidR="00C237FE" w:rsidRPr="008F33AD">
        <w:t xml:space="preserve"> (see </w:t>
      </w:r>
      <w:r w:rsidR="00C237FE" w:rsidRPr="008F33AD">
        <w:rPr>
          <w:b/>
          <w:bCs/>
        </w:rPr>
        <w:t>Administration and Incompatibilities - Intravenous</w:t>
      </w:r>
      <w:r w:rsidR="00C237FE" w:rsidRPr="008F33AD">
        <w:t>)</w:t>
      </w:r>
      <w:r w:rsidRPr="008F33AD">
        <w:t>.</w:t>
      </w:r>
    </w:p>
    <w:p w:rsidR="00772BFB" w:rsidRPr="008F33AD" w:rsidRDefault="00772BFB" w:rsidP="00810F42">
      <w:bookmarkStart w:id="4" w:name="OLE_LINK1"/>
      <w:bookmarkStart w:id="5" w:name="OLE_LINK2"/>
      <w:r w:rsidRPr="008F33AD">
        <w:t xml:space="preserve">VFEND IV is </w:t>
      </w:r>
      <w:r w:rsidRPr="008F33AD">
        <w:rPr>
          <w:b/>
        </w:rPr>
        <w:t>not</w:t>
      </w:r>
      <w:r w:rsidRPr="008F33AD">
        <w:t xml:space="preserve"> recommended for bolus injection.</w:t>
      </w:r>
    </w:p>
    <w:bookmarkEnd w:id="4"/>
    <w:bookmarkEnd w:id="5"/>
    <w:p w:rsidR="00B169D2" w:rsidRPr="008F33AD" w:rsidRDefault="00B169D2" w:rsidP="00810F42">
      <w:r w:rsidRPr="008F33AD">
        <w:t xml:space="preserve">It is recommended that VFEND IV be administered at a maximum rate </w:t>
      </w:r>
      <w:r w:rsidR="00C237FE" w:rsidRPr="008F33AD">
        <w:t>of 3 mg/kg per hour over 1 to 2 </w:t>
      </w:r>
      <w:r w:rsidR="003C56EF">
        <w:t xml:space="preserve">hours. </w:t>
      </w:r>
      <w:r w:rsidRPr="008F33AD">
        <w:t xml:space="preserve">Electrolyte disturbances such as hypokalaemia, hypomagnesaemia and hypocalcaemia should be corrected prior to initiation of voriconazole therapy (see </w:t>
      </w:r>
      <w:r w:rsidRPr="008F33AD">
        <w:rPr>
          <w:b/>
          <w:bCs/>
        </w:rPr>
        <w:t>PRECAUTIONS, Cardiovascular</w:t>
      </w:r>
      <w:r w:rsidRPr="008F33AD">
        <w:t>).</w:t>
      </w:r>
    </w:p>
    <w:p w:rsidR="00B169D2" w:rsidRPr="008F33AD" w:rsidRDefault="00B169D2" w:rsidP="00F23230">
      <w:pPr>
        <w:pStyle w:val="Heading2"/>
      </w:pPr>
      <w:r w:rsidRPr="008F33AD">
        <w:t>Use in Adults</w:t>
      </w:r>
    </w:p>
    <w:p w:rsidR="00AC3534" w:rsidRPr="008F33AD" w:rsidRDefault="00B169D2" w:rsidP="00810F42">
      <w:r w:rsidRPr="008F33AD">
        <w:t>Therapy must be initiated with the specified loading dose regimen of either intravenous or oral VFEND to achieve plasma concentrations on Day 1 t</w:t>
      </w:r>
      <w:r w:rsidR="003C56EF">
        <w:t xml:space="preserve">hat are close to steady state. </w:t>
      </w:r>
      <w:r w:rsidRPr="008F33AD">
        <w:t xml:space="preserve">On the basis of the high oral bioavailability (96%; see </w:t>
      </w:r>
      <w:r w:rsidRPr="008F33AD">
        <w:rPr>
          <w:b/>
          <w:bCs/>
        </w:rPr>
        <w:t>Pharmacokinetics</w:t>
      </w:r>
      <w:r w:rsidRPr="008F33AD">
        <w:t xml:space="preserve">), switching between intravenous and oral administration is appropriate when clinically indicated.  </w:t>
      </w:r>
    </w:p>
    <w:p w:rsidR="00B169D2" w:rsidRPr="008F33AD" w:rsidRDefault="00B169D2" w:rsidP="00810F42">
      <w:r w:rsidRPr="008F33AD">
        <w:t>Intravenous administration is not recommended for the treatment of oesophageal candidiasis; dosage recommendations for oesophageal candidiasis are provided in the table below.</w:t>
      </w:r>
    </w:p>
    <w:p w:rsidR="00B169D2" w:rsidRPr="008F33AD" w:rsidRDefault="00B169D2">
      <w:pPr>
        <w:pStyle w:val="TableTitle"/>
        <w:spacing w:before="0"/>
        <w:rPr>
          <w:color w:val="auto"/>
        </w:rPr>
      </w:pPr>
      <w:r w:rsidRPr="008F33AD">
        <w:rPr>
          <w:color w:val="auto"/>
        </w:rPr>
        <w:t>Dosage recommendations for oesophageal candidiasis:</w:t>
      </w:r>
    </w:p>
    <w:tbl>
      <w:tblPr>
        <w:tblW w:w="9072" w:type="dxa"/>
        <w:tblInd w:w="72"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tblPr>
      <w:tblGrid>
        <w:gridCol w:w="2410"/>
        <w:gridCol w:w="2410"/>
        <w:gridCol w:w="2185"/>
        <w:gridCol w:w="2067"/>
      </w:tblGrid>
      <w:tr w:rsidR="00B169D2" w:rsidRPr="008F33AD">
        <w:trPr>
          <w:trHeight w:val="40"/>
        </w:trPr>
        <w:tc>
          <w:tcPr>
            <w:tcW w:w="2410" w:type="dxa"/>
            <w:vMerge w:val="restart"/>
            <w:tcBorders>
              <w:top w:val="single" w:sz="4" w:space="0" w:color="auto"/>
              <w:left w:val="single" w:sz="4" w:space="0" w:color="auto"/>
              <w:right w:val="single" w:sz="4" w:space="0" w:color="auto"/>
            </w:tcBorders>
          </w:tcPr>
          <w:p w:rsidR="00B169D2" w:rsidRPr="008F33AD" w:rsidRDefault="00B169D2" w:rsidP="003F090E">
            <w:pPr>
              <w:pStyle w:val="TableHeading"/>
              <w:keepLines/>
              <w:rPr>
                <w:bCs w:val="0"/>
                <w:color w:val="auto"/>
              </w:rPr>
            </w:pPr>
          </w:p>
        </w:tc>
        <w:tc>
          <w:tcPr>
            <w:tcW w:w="2410" w:type="dxa"/>
            <w:vMerge w:val="restart"/>
            <w:tcBorders>
              <w:top w:val="single" w:sz="4" w:space="0" w:color="auto"/>
              <w:left w:val="single" w:sz="4" w:space="0" w:color="auto"/>
              <w:right w:val="single" w:sz="4" w:space="0" w:color="auto"/>
            </w:tcBorders>
          </w:tcPr>
          <w:p w:rsidR="00B169D2" w:rsidRPr="008F33AD" w:rsidRDefault="00B169D2" w:rsidP="003F090E">
            <w:pPr>
              <w:pStyle w:val="TableHeading"/>
              <w:keepLines/>
              <w:jc w:val="center"/>
              <w:rPr>
                <w:bCs w:val="0"/>
                <w:color w:val="auto"/>
              </w:rPr>
            </w:pPr>
            <w:r w:rsidRPr="008F33AD">
              <w:rPr>
                <w:bCs w:val="0"/>
                <w:color w:val="auto"/>
              </w:rPr>
              <w:t>Intravenous</w:t>
            </w:r>
          </w:p>
        </w:tc>
        <w:tc>
          <w:tcPr>
            <w:tcW w:w="4252" w:type="dxa"/>
            <w:gridSpan w:val="2"/>
            <w:tcBorders>
              <w:top w:val="single" w:sz="4" w:space="0" w:color="auto"/>
              <w:left w:val="single" w:sz="4" w:space="0" w:color="auto"/>
              <w:bottom w:val="single" w:sz="4" w:space="0" w:color="auto"/>
              <w:right w:val="single" w:sz="4" w:space="0" w:color="auto"/>
            </w:tcBorders>
          </w:tcPr>
          <w:p w:rsidR="00B169D2" w:rsidRPr="008F33AD" w:rsidRDefault="00B169D2">
            <w:pPr>
              <w:pStyle w:val="TableHeading"/>
              <w:jc w:val="center"/>
              <w:rPr>
                <w:bCs w:val="0"/>
                <w:color w:val="auto"/>
              </w:rPr>
            </w:pPr>
            <w:r w:rsidRPr="008F33AD">
              <w:rPr>
                <w:bCs w:val="0"/>
                <w:color w:val="auto"/>
              </w:rPr>
              <w:t>Oral Tablets or Suspension</w:t>
            </w:r>
          </w:p>
        </w:tc>
      </w:tr>
      <w:tr w:rsidR="00B169D2" w:rsidRPr="008F33AD">
        <w:trPr>
          <w:trHeight w:val="40"/>
        </w:trPr>
        <w:tc>
          <w:tcPr>
            <w:tcW w:w="2410" w:type="dxa"/>
            <w:vMerge/>
            <w:tcBorders>
              <w:left w:val="single" w:sz="4" w:space="0" w:color="auto"/>
              <w:bottom w:val="single" w:sz="4" w:space="0" w:color="auto"/>
              <w:right w:val="single" w:sz="4" w:space="0" w:color="auto"/>
            </w:tcBorders>
          </w:tcPr>
          <w:p w:rsidR="00B169D2" w:rsidRPr="008F33AD" w:rsidRDefault="00B169D2" w:rsidP="003F090E">
            <w:pPr>
              <w:keepNext/>
              <w:keepLines/>
              <w:rPr>
                <w:sz w:val="22"/>
                <w:u w:val="single"/>
              </w:rPr>
            </w:pPr>
          </w:p>
        </w:tc>
        <w:tc>
          <w:tcPr>
            <w:tcW w:w="2410" w:type="dxa"/>
            <w:vMerge/>
            <w:tcBorders>
              <w:left w:val="single" w:sz="4" w:space="0" w:color="auto"/>
              <w:bottom w:val="single" w:sz="4" w:space="0" w:color="auto"/>
              <w:right w:val="single" w:sz="4" w:space="0" w:color="auto"/>
            </w:tcBorders>
          </w:tcPr>
          <w:p w:rsidR="00B169D2" w:rsidRPr="008F33AD" w:rsidRDefault="00B169D2" w:rsidP="003F090E">
            <w:pPr>
              <w:keepNext/>
              <w:keepLines/>
              <w:jc w:val="center"/>
              <w:rPr>
                <w:sz w:val="22"/>
              </w:rPr>
            </w:pPr>
          </w:p>
        </w:tc>
        <w:tc>
          <w:tcPr>
            <w:tcW w:w="2185" w:type="dxa"/>
            <w:tcBorders>
              <w:top w:val="single" w:sz="4" w:space="0" w:color="auto"/>
              <w:left w:val="single" w:sz="4" w:space="0" w:color="auto"/>
              <w:bottom w:val="single" w:sz="4" w:space="0" w:color="auto"/>
              <w:right w:val="single" w:sz="4" w:space="0" w:color="auto"/>
            </w:tcBorders>
          </w:tcPr>
          <w:p w:rsidR="00B169D2" w:rsidRPr="008F33AD" w:rsidRDefault="007E5A28">
            <w:pPr>
              <w:pStyle w:val="TableText"/>
              <w:jc w:val="center"/>
              <w:rPr>
                <w:b/>
                <w:bCs/>
                <w:color w:val="auto"/>
              </w:rPr>
            </w:pPr>
            <w:r>
              <w:rPr>
                <w:b/>
                <w:bCs/>
                <w:color w:val="auto"/>
              </w:rPr>
              <w:t>≥</w:t>
            </w:r>
            <w:r w:rsidR="00B92684">
              <w:rPr>
                <w:b/>
                <w:bCs/>
                <w:color w:val="auto"/>
              </w:rPr>
              <w:t xml:space="preserve"> </w:t>
            </w:r>
            <w:r w:rsidR="00B169D2" w:rsidRPr="008F33AD">
              <w:rPr>
                <w:b/>
                <w:bCs/>
                <w:color w:val="auto"/>
              </w:rPr>
              <w:t>40 kg</w:t>
            </w:r>
          </w:p>
        </w:tc>
        <w:tc>
          <w:tcPr>
            <w:tcW w:w="2067" w:type="dxa"/>
            <w:tcBorders>
              <w:top w:val="single" w:sz="4" w:space="0" w:color="auto"/>
              <w:left w:val="single" w:sz="4" w:space="0" w:color="auto"/>
              <w:bottom w:val="single" w:sz="4" w:space="0" w:color="auto"/>
              <w:right w:val="single" w:sz="4" w:space="0" w:color="auto"/>
            </w:tcBorders>
          </w:tcPr>
          <w:p w:rsidR="00B169D2" w:rsidRPr="008F33AD" w:rsidRDefault="00B169D2">
            <w:pPr>
              <w:pStyle w:val="TableText"/>
              <w:jc w:val="center"/>
              <w:rPr>
                <w:b/>
                <w:bCs/>
                <w:color w:val="auto"/>
              </w:rPr>
            </w:pPr>
            <w:r w:rsidRPr="008F33AD">
              <w:rPr>
                <w:b/>
                <w:bCs/>
                <w:color w:val="auto"/>
              </w:rPr>
              <w:t>&lt;</w:t>
            </w:r>
            <w:r w:rsidR="00B92684">
              <w:rPr>
                <w:b/>
                <w:bCs/>
                <w:color w:val="auto"/>
              </w:rPr>
              <w:t xml:space="preserve"> </w:t>
            </w:r>
            <w:r w:rsidRPr="008F33AD">
              <w:rPr>
                <w:b/>
                <w:bCs/>
                <w:color w:val="auto"/>
              </w:rPr>
              <w:t>40 kg</w:t>
            </w:r>
          </w:p>
        </w:tc>
      </w:tr>
      <w:tr w:rsidR="00B169D2" w:rsidRPr="008F33AD">
        <w:trPr>
          <w:trHeight w:val="40"/>
        </w:trPr>
        <w:tc>
          <w:tcPr>
            <w:tcW w:w="2410" w:type="dxa"/>
            <w:tcBorders>
              <w:top w:val="single" w:sz="4" w:space="0" w:color="auto"/>
              <w:left w:val="single" w:sz="4" w:space="0" w:color="auto"/>
              <w:bottom w:val="single" w:sz="4" w:space="0" w:color="auto"/>
              <w:right w:val="single" w:sz="4" w:space="0" w:color="auto"/>
            </w:tcBorders>
          </w:tcPr>
          <w:p w:rsidR="00B169D2" w:rsidRPr="008F33AD" w:rsidRDefault="00B169D2" w:rsidP="005F1AEF">
            <w:pPr>
              <w:pStyle w:val="TableText"/>
              <w:keepNext/>
              <w:keepLines/>
              <w:rPr>
                <w:b/>
                <w:bCs/>
                <w:color w:val="auto"/>
              </w:rPr>
            </w:pPr>
            <w:r w:rsidRPr="008F33AD">
              <w:rPr>
                <w:b/>
                <w:bCs/>
                <w:color w:val="auto"/>
              </w:rPr>
              <w:t>Loading Dose Regimen</w:t>
            </w:r>
          </w:p>
          <w:p w:rsidR="00B169D2" w:rsidRPr="008F33AD" w:rsidRDefault="00B169D2" w:rsidP="003F090E">
            <w:pPr>
              <w:pStyle w:val="TableText"/>
              <w:keepNext/>
              <w:keepLines/>
              <w:rPr>
                <w:color w:val="auto"/>
              </w:rPr>
            </w:pPr>
            <w:r w:rsidRPr="008F33AD">
              <w:rPr>
                <w:b/>
                <w:bCs/>
                <w:color w:val="auto"/>
              </w:rPr>
              <w:t>(first 24 hours)</w:t>
            </w:r>
          </w:p>
        </w:tc>
        <w:tc>
          <w:tcPr>
            <w:tcW w:w="2410"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jc w:val="center"/>
              <w:rPr>
                <w:color w:val="auto"/>
              </w:rPr>
            </w:pPr>
            <w:r w:rsidRPr="008F33AD">
              <w:rPr>
                <w:color w:val="auto"/>
              </w:rPr>
              <w:t>Not recommended</w:t>
            </w:r>
          </w:p>
        </w:tc>
        <w:tc>
          <w:tcPr>
            <w:tcW w:w="2185" w:type="dxa"/>
            <w:tcBorders>
              <w:top w:val="single" w:sz="4" w:space="0" w:color="auto"/>
              <w:left w:val="single" w:sz="4" w:space="0" w:color="auto"/>
              <w:bottom w:val="single" w:sz="4" w:space="0" w:color="auto"/>
              <w:right w:val="single" w:sz="4" w:space="0" w:color="auto"/>
            </w:tcBorders>
          </w:tcPr>
          <w:p w:rsidR="00B169D2" w:rsidRPr="008F33AD" w:rsidRDefault="00B169D2">
            <w:pPr>
              <w:pStyle w:val="TableText"/>
              <w:rPr>
                <w:color w:val="auto"/>
              </w:rPr>
            </w:pPr>
            <w:r w:rsidRPr="008F33AD">
              <w:rPr>
                <w:color w:val="auto"/>
              </w:rPr>
              <w:t>400 mg or 10 mL every 12 hours (for the first 24 hours)</w:t>
            </w:r>
          </w:p>
        </w:tc>
        <w:tc>
          <w:tcPr>
            <w:tcW w:w="2067" w:type="dxa"/>
            <w:tcBorders>
              <w:top w:val="single" w:sz="4" w:space="0" w:color="auto"/>
              <w:left w:val="single" w:sz="4" w:space="0" w:color="auto"/>
              <w:bottom w:val="single" w:sz="4" w:space="0" w:color="auto"/>
              <w:right w:val="single" w:sz="4" w:space="0" w:color="auto"/>
            </w:tcBorders>
          </w:tcPr>
          <w:p w:rsidR="00B169D2" w:rsidRPr="008F33AD" w:rsidRDefault="00B169D2">
            <w:pPr>
              <w:pStyle w:val="TableText"/>
              <w:rPr>
                <w:color w:val="auto"/>
              </w:rPr>
            </w:pPr>
            <w:r w:rsidRPr="008F33AD">
              <w:rPr>
                <w:color w:val="auto"/>
              </w:rPr>
              <w:t>200 mg or 5 mL every 12 hours (for the first 24 hours)</w:t>
            </w:r>
          </w:p>
        </w:tc>
      </w:tr>
      <w:tr w:rsidR="00B169D2" w:rsidRPr="008F33AD">
        <w:trPr>
          <w:trHeight w:val="40"/>
        </w:trPr>
        <w:tc>
          <w:tcPr>
            <w:tcW w:w="2410" w:type="dxa"/>
            <w:tcBorders>
              <w:top w:val="single" w:sz="4" w:space="0" w:color="auto"/>
              <w:left w:val="single" w:sz="4" w:space="0" w:color="auto"/>
              <w:bottom w:val="single" w:sz="4" w:space="0" w:color="auto"/>
              <w:right w:val="single" w:sz="4" w:space="0" w:color="auto"/>
            </w:tcBorders>
          </w:tcPr>
          <w:p w:rsidR="00B169D2" w:rsidRPr="008F33AD" w:rsidRDefault="00B169D2">
            <w:pPr>
              <w:pStyle w:val="TableText"/>
              <w:rPr>
                <w:b/>
                <w:bCs/>
                <w:color w:val="auto"/>
              </w:rPr>
            </w:pPr>
            <w:r w:rsidRPr="008F33AD">
              <w:rPr>
                <w:b/>
                <w:bCs/>
                <w:color w:val="auto"/>
              </w:rPr>
              <w:t xml:space="preserve">Maintenance Dose </w:t>
            </w:r>
          </w:p>
          <w:p w:rsidR="00B169D2" w:rsidRPr="008F33AD" w:rsidRDefault="00B169D2">
            <w:pPr>
              <w:pStyle w:val="TableText"/>
              <w:rPr>
                <w:b/>
                <w:bCs/>
                <w:color w:val="auto"/>
              </w:rPr>
            </w:pPr>
            <w:r w:rsidRPr="008F33AD">
              <w:rPr>
                <w:b/>
                <w:bCs/>
                <w:color w:val="auto"/>
              </w:rPr>
              <w:t>(after first 24 hours)</w:t>
            </w:r>
          </w:p>
        </w:tc>
        <w:tc>
          <w:tcPr>
            <w:tcW w:w="2410" w:type="dxa"/>
            <w:tcBorders>
              <w:top w:val="single" w:sz="4" w:space="0" w:color="auto"/>
              <w:left w:val="single" w:sz="4" w:space="0" w:color="auto"/>
              <w:bottom w:val="single" w:sz="4" w:space="0" w:color="auto"/>
              <w:right w:val="single" w:sz="4" w:space="0" w:color="auto"/>
            </w:tcBorders>
          </w:tcPr>
          <w:p w:rsidR="00B169D2" w:rsidRPr="008F33AD" w:rsidRDefault="00B169D2">
            <w:pPr>
              <w:pStyle w:val="TableText"/>
              <w:jc w:val="center"/>
              <w:rPr>
                <w:b/>
                <w:bCs/>
                <w:color w:val="auto"/>
                <w:highlight w:val="lightGray"/>
              </w:rPr>
            </w:pPr>
            <w:r w:rsidRPr="008F33AD">
              <w:rPr>
                <w:color w:val="auto"/>
              </w:rPr>
              <w:t>Not recommended</w:t>
            </w:r>
          </w:p>
        </w:tc>
        <w:tc>
          <w:tcPr>
            <w:tcW w:w="2185" w:type="dxa"/>
            <w:tcBorders>
              <w:top w:val="single" w:sz="4" w:space="0" w:color="auto"/>
              <w:left w:val="single" w:sz="4" w:space="0" w:color="auto"/>
              <w:bottom w:val="single" w:sz="4" w:space="0" w:color="auto"/>
              <w:right w:val="single" w:sz="4" w:space="0" w:color="auto"/>
            </w:tcBorders>
          </w:tcPr>
          <w:p w:rsidR="00B169D2" w:rsidRPr="008F33AD" w:rsidRDefault="00B169D2">
            <w:pPr>
              <w:pStyle w:val="TableText"/>
              <w:rPr>
                <w:b/>
                <w:bCs/>
                <w:color w:val="auto"/>
                <w:highlight w:val="lightGray"/>
              </w:rPr>
            </w:pPr>
            <w:r w:rsidRPr="008F33AD">
              <w:rPr>
                <w:color w:val="auto"/>
              </w:rPr>
              <w:t>200 mg or 5 mL twice daily</w:t>
            </w:r>
          </w:p>
        </w:tc>
        <w:tc>
          <w:tcPr>
            <w:tcW w:w="2067" w:type="dxa"/>
            <w:tcBorders>
              <w:top w:val="single" w:sz="4" w:space="0" w:color="auto"/>
              <w:left w:val="single" w:sz="4" w:space="0" w:color="auto"/>
              <w:bottom w:val="single" w:sz="4" w:space="0" w:color="auto"/>
              <w:right w:val="single" w:sz="4" w:space="0" w:color="auto"/>
            </w:tcBorders>
          </w:tcPr>
          <w:p w:rsidR="00B169D2" w:rsidRPr="008F33AD" w:rsidRDefault="00B169D2">
            <w:pPr>
              <w:pStyle w:val="TableText"/>
              <w:rPr>
                <w:b/>
                <w:bCs/>
                <w:color w:val="auto"/>
                <w:highlight w:val="lightGray"/>
              </w:rPr>
            </w:pPr>
            <w:r w:rsidRPr="008F33AD">
              <w:rPr>
                <w:color w:val="auto"/>
              </w:rPr>
              <w:t>100 mg or 2.5 mL twice daily</w:t>
            </w:r>
          </w:p>
        </w:tc>
      </w:tr>
    </w:tbl>
    <w:p w:rsidR="00B169D2" w:rsidRPr="008F33AD" w:rsidRDefault="00B169D2" w:rsidP="00D530E2">
      <w:pPr>
        <w:pStyle w:val="TableTitle"/>
        <w:keepNext w:val="0"/>
        <w:spacing w:before="240" w:after="240"/>
        <w:rPr>
          <w:b w:val="0"/>
          <w:bCs/>
          <w:color w:val="auto"/>
        </w:rPr>
      </w:pPr>
      <w:r w:rsidRPr="008F33AD">
        <w:rPr>
          <w:b w:val="0"/>
          <w:bCs/>
          <w:color w:val="auto"/>
        </w:rPr>
        <w:t>Dosage recommendations for other indications are provided in the following table.</w:t>
      </w:r>
    </w:p>
    <w:p w:rsidR="00997A48" w:rsidRPr="008F33AD" w:rsidRDefault="00997A48" w:rsidP="003F090E">
      <w:pPr>
        <w:pStyle w:val="TableTitle"/>
        <w:keepLines/>
        <w:spacing w:before="0"/>
        <w:rPr>
          <w:color w:val="auto"/>
        </w:rPr>
      </w:pPr>
      <w:r w:rsidRPr="008F33AD">
        <w:rPr>
          <w:color w:val="auto"/>
        </w:rPr>
        <w:t>Dosage recommendations for indications other than oesophageal candidiasis:</w:t>
      </w:r>
    </w:p>
    <w:tbl>
      <w:tblPr>
        <w:tblW w:w="9072" w:type="dxa"/>
        <w:tblInd w:w="72"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tblPr>
      <w:tblGrid>
        <w:gridCol w:w="2425"/>
        <w:gridCol w:w="2425"/>
        <w:gridCol w:w="2111"/>
        <w:gridCol w:w="2111"/>
      </w:tblGrid>
      <w:tr w:rsidR="00B169D2" w:rsidRPr="008F33AD">
        <w:trPr>
          <w:trHeight w:val="40"/>
        </w:trPr>
        <w:tc>
          <w:tcPr>
            <w:tcW w:w="2425" w:type="dxa"/>
            <w:vMerge w:val="restart"/>
            <w:tcBorders>
              <w:top w:val="single" w:sz="4" w:space="0" w:color="auto"/>
              <w:left w:val="single" w:sz="4" w:space="0" w:color="auto"/>
              <w:right w:val="single" w:sz="4" w:space="0" w:color="auto"/>
            </w:tcBorders>
          </w:tcPr>
          <w:p w:rsidR="00B169D2" w:rsidRPr="008F33AD" w:rsidRDefault="00B169D2" w:rsidP="003F090E">
            <w:pPr>
              <w:pStyle w:val="TableHeading"/>
              <w:keepLines/>
              <w:rPr>
                <w:bCs w:val="0"/>
                <w:color w:val="auto"/>
              </w:rPr>
            </w:pPr>
          </w:p>
        </w:tc>
        <w:tc>
          <w:tcPr>
            <w:tcW w:w="2425" w:type="dxa"/>
            <w:vMerge w:val="restart"/>
            <w:tcBorders>
              <w:top w:val="single" w:sz="4" w:space="0" w:color="auto"/>
              <w:left w:val="single" w:sz="4" w:space="0" w:color="auto"/>
              <w:right w:val="single" w:sz="4" w:space="0" w:color="auto"/>
            </w:tcBorders>
          </w:tcPr>
          <w:p w:rsidR="00B169D2" w:rsidRPr="008F33AD" w:rsidRDefault="00B169D2" w:rsidP="003F090E">
            <w:pPr>
              <w:pStyle w:val="TableHeading"/>
              <w:keepLines/>
              <w:jc w:val="center"/>
              <w:rPr>
                <w:bCs w:val="0"/>
                <w:color w:val="auto"/>
              </w:rPr>
            </w:pPr>
            <w:r w:rsidRPr="008F33AD">
              <w:rPr>
                <w:bCs w:val="0"/>
                <w:color w:val="auto"/>
              </w:rPr>
              <w:t>Intravenous</w:t>
            </w:r>
          </w:p>
        </w:tc>
        <w:tc>
          <w:tcPr>
            <w:tcW w:w="4222" w:type="dxa"/>
            <w:gridSpan w:val="2"/>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Heading"/>
              <w:keepLines/>
              <w:jc w:val="center"/>
              <w:rPr>
                <w:bCs w:val="0"/>
                <w:color w:val="auto"/>
              </w:rPr>
            </w:pPr>
            <w:r w:rsidRPr="008F33AD">
              <w:rPr>
                <w:bCs w:val="0"/>
                <w:color w:val="auto"/>
              </w:rPr>
              <w:t>Oral Tablets or Suspension</w:t>
            </w:r>
          </w:p>
        </w:tc>
      </w:tr>
      <w:tr w:rsidR="00B169D2" w:rsidRPr="008F33AD">
        <w:trPr>
          <w:trHeight w:val="40"/>
        </w:trPr>
        <w:tc>
          <w:tcPr>
            <w:tcW w:w="2425" w:type="dxa"/>
            <w:vMerge/>
            <w:tcBorders>
              <w:left w:val="single" w:sz="4" w:space="0" w:color="auto"/>
              <w:bottom w:val="single" w:sz="4" w:space="0" w:color="auto"/>
              <w:right w:val="single" w:sz="4" w:space="0" w:color="auto"/>
            </w:tcBorders>
          </w:tcPr>
          <w:p w:rsidR="00B169D2" w:rsidRPr="008F33AD" w:rsidRDefault="00B169D2" w:rsidP="003F090E">
            <w:pPr>
              <w:keepNext/>
              <w:keepLines/>
              <w:rPr>
                <w:sz w:val="22"/>
                <w:u w:val="single"/>
              </w:rPr>
            </w:pPr>
          </w:p>
        </w:tc>
        <w:tc>
          <w:tcPr>
            <w:tcW w:w="2425" w:type="dxa"/>
            <w:vMerge/>
            <w:tcBorders>
              <w:left w:val="single" w:sz="4" w:space="0" w:color="auto"/>
              <w:bottom w:val="single" w:sz="4" w:space="0" w:color="auto"/>
              <w:right w:val="single" w:sz="4" w:space="0" w:color="auto"/>
            </w:tcBorders>
          </w:tcPr>
          <w:p w:rsidR="00B169D2" w:rsidRPr="008F33AD" w:rsidRDefault="00B169D2" w:rsidP="003F090E">
            <w:pPr>
              <w:keepNext/>
              <w:keepLines/>
              <w:jc w:val="center"/>
              <w:rPr>
                <w:sz w:val="22"/>
              </w:rPr>
            </w:pPr>
          </w:p>
        </w:tc>
        <w:tc>
          <w:tcPr>
            <w:tcW w:w="2111" w:type="dxa"/>
            <w:tcBorders>
              <w:top w:val="single" w:sz="4" w:space="0" w:color="auto"/>
              <w:left w:val="single" w:sz="4" w:space="0" w:color="auto"/>
              <w:bottom w:val="single" w:sz="4" w:space="0" w:color="auto"/>
              <w:right w:val="single" w:sz="4" w:space="0" w:color="auto"/>
            </w:tcBorders>
          </w:tcPr>
          <w:p w:rsidR="00B169D2" w:rsidRPr="008F33AD" w:rsidRDefault="007E5A28" w:rsidP="003F090E">
            <w:pPr>
              <w:pStyle w:val="TableText"/>
              <w:keepNext/>
              <w:keepLines/>
              <w:jc w:val="center"/>
              <w:rPr>
                <w:b/>
                <w:bCs/>
                <w:color w:val="auto"/>
              </w:rPr>
            </w:pPr>
            <w:r>
              <w:rPr>
                <w:b/>
                <w:bCs/>
                <w:color w:val="auto"/>
              </w:rPr>
              <w:t>≥</w:t>
            </w:r>
            <w:r w:rsidR="00B92684">
              <w:rPr>
                <w:b/>
                <w:bCs/>
                <w:color w:val="auto"/>
              </w:rPr>
              <w:t xml:space="preserve"> </w:t>
            </w:r>
            <w:r w:rsidR="00B169D2" w:rsidRPr="008F33AD">
              <w:rPr>
                <w:b/>
                <w:bCs/>
                <w:color w:val="auto"/>
              </w:rPr>
              <w:t>40 kg</w:t>
            </w:r>
          </w:p>
        </w:tc>
        <w:tc>
          <w:tcPr>
            <w:tcW w:w="2111"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jc w:val="center"/>
              <w:rPr>
                <w:b/>
                <w:bCs/>
                <w:color w:val="auto"/>
              </w:rPr>
            </w:pPr>
            <w:r w:rsidRPr="008F33AD">
              <w:rPr>
                <w:b/>
                <w:bCs/>
                <w:color w:val="auto"/>
              </w:rPr>
              <w:t>&lt;</w:t>
            </w:r>
            <w:r w:rsidR="00B92684">
              <w:rPr>
                <w:b/>
                <w:bCs/>
                <w:color w:val="auto"/>
              </w:rPr>
              <w:t xml:space="preserve"> </w:t>
            </w:r>
            <w:r w:rsidRPr="008F33AD">
              <w:rPr>
                <w:b/>
                <w:bCs/>
                <w:color w:val="auto"/>
              </w:rPr>
              <w:t>40 kg</w:t>
            </w:r>
          </w:p>
        </w:tc>
      </w:tr>
      <w:tr w:rsidR="00B169D2" w:rsidRPr="008F33AD">
        <w:trPr>
          <w:trHeight w:val="40"/>
        </w:trPr>
        <w:tc>
          <w:tcPr>
            <w:tcW w:w="2425"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b/>
                <w:bCs/>
                <w:color w:val="auto"/>
              </w:rPr>
            </w:pPr>
            <w:r w:rsidRPr="008F33AD">
              <w:rPr>
                <w:b/>
                <w:bCs/>
                <w:color w:val="auto"/>
              </w:rPr>
              <w:t>Loading Dose Regimen</w:t>
            </w:r>
          </w:p>
          <w:p w:rsidR="00B169D2" w:rsidRPr="008F33AD" w:rsidRDefault="00B169D2" w:rsidP="003F090E">
            <w:pPr>
              <w:pStyle w:val="TableText"/>
              <w:keepNext/>
              <w:keepLines/>
              <w:rPr>
                <w:color w:val="auto"/>
              </w:rPr>
            </w:pPr>
            <w:r w:rsidRPr="008F33AD">
              <w:rPr>
                <w:b/>
                <w:bCs/>
                <w:color w:val="auto"/>
              </w:rPr>
              <w:t>(first 24 hours)</w:t>
            </w:r>
          </w:p>
        </w:tc>
        <w:tc>
          <w:tcPr>
            <w:tcW w:w="2425"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color w:val="auto"/>
              </w:rPr>
            </w:pPr>
            <w:r w:rsidRPr="008F33AD">
              <w:rPr>
                <w:color w:val="auto"/>
              </w:rPr>
              <w:t>6 mg/kg every 12 hours (for the first 24 hours)</w:t>
            </w:r>
          </w:p>
        </w:tc>
        <w:tc>
          <w:tcPr>
            <w:tcW w:w="2111"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color w:val="auto"/>
              </w:rPr>
            </w:pPr>
            <w:r w:rsidRPr="008F33AD">
              <w:rPr>
                <w:color w:val="auto"/>
              </w:rPr>
              <w:t>400 mg or 10 mL every 12 hours (for the first 24 hours)</w:t>
            </w:r>
          </w:p>
        </w:tc>
        <w:tc>
          <w:tcPr>
            <w:tcW w:w="2111"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color w:val="auto"/>
              </w:rPr>
            </w:pPr>
            <w:r w:rsidRPr="008F33AD">
              <w:rPr>
                <w:color w:val="auto"/>
              </w:rPr>
              <w:t>200 mg or 5 mL every 12 hours (for the first 24 hours)</w:t>
            </w:r>
          </w:p>
        </w:tc>
      </w:tr>
      <w:tr w:rsidR="00B169D2" w:rsidRPr="008F33AD">
        <w:trPr>
          <w:trHeight w:val="40"/>
        </w:trPr>
        <w:tc>
          <w:tcPr>
            <w:tcW w:w="2425"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b/>
                <w:bCs/>
                <w:color w:val="auto"/>
              </w:rPr>
            </w:pPr>
            <w:r w:rsidRPr="008F33AD">
              <w:rPr>
                <w:b/>
                <w:bCs/>
                <w:color w:val="auto"/>
              </w:rPr>
              <w:t xml:space="preserve">Maintenance Dose </w:t>
            </w:r>
          </w:p>
          <w:p w:rsidR="00B169D2" w:rsidRPr="008F33AD" w:rsidRDefault="00B169D2" w:rsidP="003F090E">
            <w:pPr>
              <w:pStyle w:val="TableText"/>
              <w:keepNext/>
              <w:keepLines/>
              <w:rPr>
                <w:b/>
                <w:bCs/>
                <w:color w:val="auto"/>
              </w:rPr>
            </w:pPr>
            <w:r w:rsidRPr="008F33AD">
              <w:rPr>
                <w:b/>
                <w:bCs/>
                <w:color w:val="auto"/>
              </w:rPr>
              <w:t>(after first 24 hours)</w:t>
            </w:r>
          </w:p>
        </w:tc>
        <w:tc>
          <w:tcPr>
            <w:tcW w:w="2425"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b/>
                <w:bCs/>
                <w:color w:val="auto"/>
                <w:highlight w:val="lightGray"/>
              </w:rPr>
            </w:pPr>
          </w:p>
        </w:tc>
        <w:tc>
          <w:tcPr>
            <w:tcW w:w="2111"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b/>
                <w:bCs/>
                <w:color w:val="auto"/>
                <w:highlight w:val="lightGray"/>
              </w:rPr>
            </w:pPr>
          </w:p>
        </w:tc>
        <w:tc>
          <w:tcPr>
            <w:tcW w:w="2111"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b/>
                <w:bCs/>
                <w:color w:val="auto"/>
                <w:highlight w:val="lightGray"/>
              </w:rPr>
            </w:pPr>
          </w:p>
        </w:tc>
      </w:tr>
      <w:tr w:rsidR="00B169D2" w:rsidRPr="008F33AD">
        <w:trPr>
          <w:trHeight w:val="40"/>
        </w:trPr>
        <w:tc>
          <w:tcPr>
            <w:tcW w:w="2425"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b/>
                <w:color w:val="auto"/>
                <w:u w:val="single"/>
              </w:rPr>
            </w:pPr>
            <w:r w:rsidRPr="008F33AD">
              <w:rPr>
                <w:color w:val="auto"/>
              </w:rPr>
              <w:t xml:space="preserve">Serious </w:t>
            </w:r>
            <w:r w:rsidRPr="008F33AD">
              <w:rPr>
                <w:i/>
                <w:color w:val="auto"/>
              </w:rPr>
              <w:t>Candida</w:t>
            </w:r>
            <w:r w:rsidRPr="008F33AD">
              <w:rPr>
                <w:color w:val="auto"/>
              </w:rPr>
              <w:t xml:space="preserve"> infections </w:t>
            </w:r>
          </w:p>
        </w:tc>
        <w:tc>
          <w:tcPr>
            <w:tcW w:w="2425"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color w:val="auto"/>
              </w:rPr>
            </w:pPr>
            <w:r w:rsidRPr="008F33AD">
              <w:rPr>
                <w:color w:val="auto"/>
              </w:rPr>
              <w:t>3 mg/kg every 12 hours</w:t>
            </w:r>
          </w:p>
        </w:tc>
        <w:tc>
          <w:tcPr>
            <w:tcW w:w="2111"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color w:val="auto"/>
              </w:rPr>
            </w:pPr>
            <w:r w:rsidRPr="008F33AD">
              <w:rPr>
                <w:color w:val="auto"/>
              </w:rPr>
              <w:t>200 mg or 5 mL twice daily</w:t>
            </w:r>
          </w:p>
        </w:tc>
        <w:tc>
          <w:tcPr>
            <w:tcW w:w="2111" w:type="dxa"/>
            <w:tcBorders>
              <w:top w:val="single" w:sz="4" w:space="0" w:color="auto"/>
              <w:left w:val="single" w:sz="4" w:space="0" w:color="auto"/>
              <w:bottom w:val="single" w:sz="4" w:space="0" w:color="auto"/>
              <w:right w:val="single" w:sz="4" w:space="0" w:color="auto"/>
            </w:tcBorders>
          </w:tcPr>
          <w:p w:rsidR="00B169D2" w:rsidRPr="008F33AD" w:rsidRDefault="00B169D2" w:rsidP="003F090E">
            <w:pPr>
              <w:pStyle w:val="TableText"/>
              <w:keepNext/>
              <w:keepLines/>
              <w:rPr>
                <w:color w:val="auto"/>
              </w:rPr>
            </w:pPr>
            <w:r w:rsidRPr="008F33AD">
              <w:rPr>
                <w:color w:val="auto"/>
              </w:rPr>
              <w:t>100 mg or 2.5 mL twice daily</w:t>
            </w:r>
          </w:p>
        </w:tc>
      </w:tr>
      <w:tr w:rsidR="00B169D2" w:rsidRPr="008F33AD">
        <w:trPr>
          <w:trHeight w:val="40"/>
        </w:trPr>
        <w:tc>
          <w:tcPr>
            <w:tcW w:w="2425" w:type="dxa"/>
            <w:tcBorders>
              <w:top w:val="single" w:sz="4" w:space="0" w:color="auto"/>
              <w:left w:val="single" w:sz="4" w:space="0" w:color="auto"/>
              <w:bottom w:val="single" w:sz="4" w:space="0" w:color="auto"/>
              <w:right w:val="single" w:sz="4" w:space="0" w:color="auto"/>
            </w:tcBorders>
          </w:tcPr>
          <w:p w:rsidR="00B169D2" w:rsidRPr="008F33AD" w:rsidRDefault="00B169D2" w:rsidP="00D530E2">
            <w:pPr>
              <w:pStyle w:val="TableText"/>
              <w:keepLines/>
              <w:rPr>
                <w:b/>
                <w:color w:val="auto"/>
                <w:u w:val="single"/>
              </w:rPr>
            </w:pPr>
            <w:r w:rsidRPr="008F33AD">
              <w:rPr>
                <w:color w:val="auto"/>
              </w:rPr>
              <w:t xml:space="preserve">Invasive aspergillosis; </w:t>
            </w:r>
            <w:r w:rsidRPr="008F33AD">
              <w:rPr>
                <w:i/>
                <w:color w:val="auto"/>
              </w:rPr>
              <w:t xml:space="preserve">Scedosporium </w:t>
            </w:r>
            <w:r w:rsidRPr="008F33AD">
              <w:rPr>
                <w:color w:val="auto"/>
              </w:rPr>
              <w:t xml:space="preserve">and </w:t>
            </w:r>
            <w:r w:rsidRPr="008F33AD">
              <w:rPr>
                <w:i/>
                <w:color w:val="auto"/>
              </w:rPr>
              <w:lastRenderedPageBreak/>
              <w:t xml:space="preserve">Fusarium </w:t>
            </w:r>
            <w:r w:rsidRPr="008F33AD">
              <w:rPr>
                <w:color w:val="auto"/>
              </w:rPr>
              <w:t>infections; other serious mould infections</w:t>
            </w:r>
          </w:p>
        </w:tc>
        <w:tc>
          <w:tcPr>
            <w:tcW w:w="2425" w:type="dxa"/>
            <w:tcBorders>
              <w:top w:val="single" w:sz="4" w:space="0" w:color="auto"/>
              <w:left w:val="single" w:sz="4" w:space="0" w:color="auto"/>
              <w:bottom w:val="single" w:sz="4" w:space="0" w:color="auto"/>
              <w:right w:val="single" w:sz="4" w:space="0" w:color="auto"/>
            </w:tcBorders>
          </w:tcPr>
          <w:p w:rsidR="00B169D2" w:rsidRPr="008F33AD" w:rsidRDefault="00B169D2" w:rsidP="00D530E2">
            <w:pPr>
              <w:pStyle w:val="TableText"/>
              <w:keepNext/>
              <w:keepLines/>
              <w:rPr>
                <w:color w:val="auto"/>
              </w:rPr>
            </w:pPr>
            <w:r w:rsidRPr="008F33AD">
              <w:rPr>
                <w:color w:val="auto"/>
              </w:rPr>
              <w:lastRenderedPageBreak/>
              <w:t>4 mg/kg every 12 hours</w:t>
            </w:r>
          </w:p>
        </w:tc>
        <w:tc>
          <w:tcPr>
            <w:tcW w:w="2111" w:type="dxa"/>
            <w:tcBorders>
              <w:top w:val="single" w:sz="4" w:space="0" w:color="auto"/>
              <w:left w:val="single" w:sz="4" w:space="0" w:color="auto"/>
              <w:bottom w:val="single" w:sz="4" w:space="0" w:color="auto"/>
              <w:right w:val="single" w:sz="4" w:space="0" w:color="auto"/>
            </w:tcBorders>
          </w:tcPr>
          <w:p w:rsidR="00B169D2" w:rsidRPr="008F33AD" w:rsidRDefault="00B169D2" w:rsidP="00D530E2">
            <w:pPr>
              <w:pStyle w:val="TableText"/>
              <w:keepNext/>
              <w:keepLines/>
              <w:rPr>
                <w:color w:val="auto"/>
              </w:rPr>
            </w:pPr>
            <w:r w:rsidRPr="008F33AD">
              <w:rPr>
                <w:color w:val="auto"/>
              </w:rPr>
              <w:t>200 mg or 5 mL twice daily</w:t>
            </w:r>
          </w:p>
        </w:tc>
        <w:tc>
          <w:tcPr>
            <w:tcW w:w="2111" w:type="dxa"/>
            <w:tcBorders>
              <w:top w:val="single" w:sz="4" w:space="0" w:color="auto"/>
              <w:left w:val="single" w:sz="4" w:space="0" w:color="auto"/>
              <w:bottom w:val="single" w:sz="4" w:space="0" w:color="auto"/>
              <w:right w:val="single" w:sz="4" w:space="0" w:color="auto"/>
            </w:tcBorders>
          </w:tcPr>
          <w:p w:rsidR="00B169D2" w:rsidRPr="008F33AD" w:rsidRDefault="00B169D2" w:rsidP="00D530E2">
            <w:pPr>
              <w:pStyle w:val="TableText"/>
              <w:keepNext/>
              <w:keepLines/>
              <w:rPr>
                <w:color w:val="auto"/>
              </w:rPr>
            </w:pPr>
            <w:r w:rsidRPr="008F33AD">
              <w:rPr>
                <w:color w:val="auto"/>
              </w:rPr>
              <w:t>100 mg or 2.5 mL twice daily</w:t>
            </w:r>
          </w:p>
        </w:tc>
      </w:tr>
    </w:tbl>
    <w:p w:rsidR="00FA7175" w:rsidRDefault="00FA7175" w:rsidP="00810F42">
      <w:pPr>
        <w:pStyle w:val="TableTitle"/>
        <w:spacing w:before="240" w:after="240"/>
        <w:rPr>
          <w:color w:val="auto"/>
        </w:rPr>
      </w:pPr>
      <w:r>
        <w:rPr>
          <w:color w:val="auto"/>
        </w:rPr>
        <w:lastRenderedPageBreak/>
        <w:t>*Dosage recommendations for prophylaxis of invasive fungal infections:</w:t>
      </w:r>
    </w:p>
    <w:tbl>
      <w:tblPr>
        <w:tblW w:w="9075" w:type="dxa"/>
        <w:tblInd w:w="72" w:type="dxa"/>
        <w:tblCellMar>
          <w:left w:w="0" w:type="dxa"/>
          <w:right w:w="0" w:type="dxa"/>
        </w:tblCellMar>
        <w:tblLook w:val="04A0"/>
      </w:tblPr>
      <w:tblGrid>
        <w:gridCol w:w="2425"/>
        <w:gridCol w:w="2426"/>
        <w:gridCol w:w="2112"/>
        <w:gridCol w:w="2112"/>
      </w:tblGrid>
      <w:tr w:rsidR="00FA7175" w:rsidTr="00810F42">
        <w:trPr>
          <w:trHeight w:val="40"/>
        </w:trPr>
        <w:tc>
          <w:tcPr>
            <w:tcW w:w="2425" w:type="dxa"/>
            <w:vMerge w:val="restart"/>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rsidR="00FA7175" w:rsidRDefault="00FA7175" w:rsidP="00D746FF">
            <w:pPr>
              <w:pStyle w:val="TableHeading"/>
              <w:rPr>
                <w:color w:val="auto"/>
              </w:rPr>
            </w:pPr>
          </w:p>
        </w:tc>
        <w:tc>
          <w:tcPr>
            <w:tcW w:w="2426" w:type="dxa"/>
            <w:vMerge w:val="restart"/>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FA7175" w:rsidRDefault="00FA7175" w:rsidP="00D746FF">
            <w:pPr>
              <w:pStyle w:val="TableHeading"/>
              <w:jc w:val="center"/>
              <w:rPr>
                <w:color w:val="auto"/>
              </w:rPr>
            </w:pPr>
            <w:r>
              <w:rPr>
                <w:color w:val="auto"/>
              </w:rPr>
              <w:t>Intravenous</w:t>
            </w:r>
          </w:p>
        </w:tc>
        <w:tc>
          <w:tcPr>
            <w:tcW w:w="4224" w:type="dxa"/>
            <w:gridSpan w:val="2"/>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FA7175" w:rsidRDefault="00FA7175" w:rsidP="00D746FF">
            <w:pPr>
              <w:pStyle w:val="TableHeading"/>
              <w:jc w:val="center"/>
              <w:rPr>
                <w:color w:val="auto"/>
              </w:rPr>
            </w:pPr>
            <w:r>
              <w:rPr>
                <w:color w:val="auto"/>
              </w:rPr>
              <w:t>Oral Tablets or Suspension</w:t>
            </w:r>
          </w:p>
        </w:tc>
      </w:tr>
      <w:tr w:rsidR="00FA7175" w:rsidTr="00810F42">
        <w:trPr>
          <w:trHeight w:val="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FA7175" w:rsidRDefault="00FA7175" w:rsidP="00D746FF">
            <w:pPr>
              <w:rPr>
                <w:rFonts w:eastAsia="Calibri"/>
                <w:b/>
                <w:bCs/>
                <w:szCs w:val="24"/>
              </w:rPr>
            </w:pPr>
          </w:p>
        </w:tc>
        <w:tc>
          <w:tcPr>
            <w:tcW w:w="0" w:type="auto"/>
            <w:vMerge/>
            <w:tcBorders>
              <w:top w:val="single" w:sz="8" w:space="0" w:color="auto"/>
              <w:left w:val="nil"/>
              <w:bottom w:val="single" w:sz="8" w:space="0" w:color="auto"/>
              <w:right w:val="single" w:sz="8" w:space="0" w:color="auto"/>
            </w:tcBorders>
            <w:vAlign w:val="center"/>
            <w:hideMark/>
          </w:tcPr>
          <w:p w:rsidR="00FA7175" w:rsidRDefault="00FA7175" w:rsidP="00D746FF">
            <w:pPr>
              <w:rPr>
                <w:rFonts w:eastAsia="Calibri"/>
                <w:b/>
                <w:bCs/>
                <w:szCs w:val="24"/>
              </w:rPr>
            </w:pPr>
          </w:p>
        </w:tc>
        <w:tc>
          <w:tcPr>
            <w:tcW w:w="2112" w:type="dxa"/>
            <w:tcBorders>
              <w:top w:val="nil"/>
              <w:left w:val="nil"/>
              <w:bottom w:val="single" w:sz="8" w:space="0" w:color="auto"/>
              <w:right w:val="single" w:sz="8" w:space="0" w:color="auto"/>
            </w:tcBorders>
            <w:tcMar>
              <w:top w:w="0" w:type="dxa"/>
              <w:left w:w="72" w:type="dxa"/>
              <w:bottom w:w="0" w:type="dxa"/>
              <w:right w:w="72" w:type="dxa"/>
            </w:tcMar>
            <w:hideMark/>
          </w:tcPr>
          <w:p w:rsidR="00FA7175" w:rsidRDefault="00FA7175" w:rsidP="00D746FF">
            <w:pPr>
              <w:pStyle w:val="TableText"/>
              <w:keepNext/>
              <w:jc w:val="center"/>
              <w:rPr>
                <w:b/>
                <w:bCs/>
                <w:color w:val="auto"/>
              </w:rPr>
            </w:pPr>
            <w:r>
              <w:rPr>
                <w:b/>
                <w:bCs/>
                <w:color w:val="auto"/>
              </w:rPr>
              <w:t>≥</w:t>
            </w:r>
            <w:r w:rsidR="00B92684">
              <w:rPr>
                <w:b/>
                <w:bCs/>
                <w:color w:val="auto"/>
              </w:rPr>
              <w:t xml:space="preserve"> </w:t>
            </w:r>
            <w:r>
              <w:rPr>
                <w:b/>
                <w:bCs/>
                <w:color w:val="auto"/>
              </w:rPr>
              <w:t>40 kg</w:t>
            </w:r>
          </w:p>
        </w:tc>
        <w:tc>
          <w:tcPr>
            <w:tcW w:w="2112" w:type="dxa"/>
            <w:tcBorders>
              <w:top w:val="nil"/>
              <w:left w:val="nil"/>
              <w:bottom w:val="single" w:sz="8" w:space="0" w:color="auto"/>
              <w:right w:val="single" w:sz="8" w:space="0" w:color="auto"/>
            </w:tcBorders>
            <w:tcMar>
              <w:top w:w="0" w:type="dxa"/>
              <w:left w:w="72" w:type="dxa"/>
              <w:bottom w:w="0" w:type="dxa"/>
              <w:right w:w="72" w:type="dxa"/>
            </w:tcMar>
            <w:hideMark/>
          </w:tcPr>
          <w:p w:rsidR="00FA7175" w:rsidRDefault="00FA7175" w:rsidP="00D746FF">
            <w:pPr>
              <w:pStyle w:val="TableText"/>
              <w:keepNext/>
              <w:jc w:val="center"/>
              <w:rPr>
                <w:b/>
                <w:bCs/>
                <w:color w:val="auto"/>
              </w:rPr>
            </w:pPr>
            <w:r>
              <w:rPr>
                <w:b/>
                <w:bCs/>
                <w:color w:val="auto"/>
              </w:rPr>
              <w:t>&lt;</w:t>
            </w:r>
            <w:r w:rsidR="00B92684">
              <w:rPr>
                <w:b/>
                <w:bCs/>
                <w:color w:val="auto"/>
              </w:rPr>
              <w:t xml:space="preserve"> </w:t>
            </w:r>
            <w:r>
              <w:rPr>
                <w:b/>
                <w:bCs/>
                <w:color w:val="auto"/>
              </w:rPr>
              <w:t>40 kg</w:t>
            </w:r>
          </w:p>
        </w:tc>
      </w:tr>
      <w:tr w:rsidR="00FA7175" w:rsidTr="00810F42">
        <w:trPr>
          <w:trHeight w:val="40"/>
        </w:trPr>
        <w:tc>
          <w:tcPr>
            <w:tcW w:w="242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FA7175" w:rsidRDefault="00FA7175" w:rsidP="00D746FF">
            <w:pPr>
              <w:pStyle w:val="TableText"/>
              <w:keepNext/>
              <w:rPr>
                <w:color w:val="auto"/>
              </w:rPr>
            </w:pPr>
            <w:r>
              <w:rPr>
                <w:b/>
                <w:bCs/>
                <w:color w:val="auto"/>
              </w:rPr>
              <w:t>Loading Dose Regimen (first 24 hrs)</w:t>
            </w:r>
          </w:p>
        </w:tc>
        <w:tc>
          <w:tcPr>
            <w:tcW w:w="2426" w:type="dxa"/>
            <w:tcBorders>
              <w:top w:val="nil"/>
              <w:left w:val="nil"/>
              <w:bottom w:val="single" w:sz="8" w:space="0" w:color="auto"/>
              <w:right w:val="single" w:sz="8" w:space="0" w:color="auto"/>
            </w:tcBorders>
            <w:tcMar>
              <w:top w:w="0" w:type="dxa"/>
              <w:left w:w="72" w:type="dxa"/>
              <w:bottom w:w="0" w:type="dxa"/>
              <w:right w:w="72" w:type="dxa"/>
            </w:tcMar>
            <w:hideMark/>
          </w:tcPr>
          <w:p w:rsidR="00FA7175" w:rsidRDefault="00FA7175" w:rsidP="00D746FF">
            <w:pPr>
              <w:pStyle w:val="TableText"/>
              <w:keepNext/>
              <w:rPr>
                <w:color w:val="auto"/>
              </w:rPr>
            </w:pPr>
            <w:r>
              <w:rPr>
                <w:color w:val="auto"/>
              </w:rPr>
              <w:t>6 mg/kg every 12 hours (for the first 24 hrs)</w:t>
            </w:r>
          </w:p>
        </w:tc>
        <w:tc>
          <w:tcPr>
            <w:tcW w:w="2112" w:type="dxa"/>
            <w:tcBorders>
              <w:top w:val="nil"/>
              <w:left w:val="nil"/>
              <w:bottom w:val="single" w:sz="8" w:space="0" w:color="auto"/>
              <w:right w:val="single" w:sz="8" w:space="0" w:color="auto"/>
            </w:tcBorders>
            <w:tcMar>
              <w:top w:w="0" w:type="dxa"/>
              <w:left w:w="72" w:type="dxa"/>
              <w:bottom w:w="0" w:type="dxa"/>
              <w:right w:w="72" w:type="dxa"/>
            </w:tcMar>
            <w:hideMark/>
          </w:tcPr>
          <w:p w:rsidR="00FA7175" w:rsidRDefault="00FA7175" w:rsidP="00D746FF">
            <w:pPr>
              <w:jc w:val="left"/>
              <w:rPr>
                <w:sz w:val="20"/>
              </w:rPr>
            </w:pPr>
          </w:p>
        </w:tc>
        <w:tc>
          <w:tcPr>
            <w:tcW w:w="2112" w:type="dxa"/>
            <w:tcBorders>
              <w:top w:val="nil"/>
              <w:left w:val="nil"/>
              <w:bottom w:val="single" w:sz="8" w:space="0" w:color="auto"/>
              <w:right w:val="single" w:sz="8" w:space="0" w:color="auto"/>
            </w:tcBorders>
            <w:tcMar>
              <w:top w:w="0" w:type="dxa"/>
              <w:left w:w="72" w:type="dxa"/>
              <w:bottom w:w="0" w:type="dxa"/>
              <w:right w:w="72" w:type="dxa"/>
            </w:tcMar>
            <w:hideMark/>
          </w:tcPr>
          <w:p w:rsidR="00FA7175" w:rsidRDefault="00FA7175" w:rsidP="00D746FF">
            <w:pPr>
              <w:jc w:val="left"/>
              <w:rPr>
                <w:sz w:val="20"/>
              </w:rPr>
            </w:pPr>
          </w:p>
        </w:tc>
      </w:tr>
      <w:tr w:rsidR="00FA7175" w:rsidTr="00810F42">
        <w:trPr>
          <w:trHeight w:val="40"/>
        </w:trPr>
        <w:tc>
          <w:tcPr>
            <w:tcW w:w="242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FA7175" w:rsidRDefault="00FA7175" w:rsidP="00D746FF">
            <w:pPr>
              <w:pStyle w:val="TableText"/>
              <w:keepNext/>
              <w:rPr>
                <w:rFonts w:eastAsia="Calibri"/>
                <w:b/>
                <w:bCs/>
                <w:color w:val="auto"/>
              </w:rPr>
            </w:pPr>
            <w:r>
              <w:rPr>
                <w:b/>
                <w:bCs/>
                <w:color w:val="auto"/>
              </w:rPr>
              <w:t xml:space="preserve">Maintenance Dose </w:t>
            </w:r>
          </w:p>
          <w:p w:rsidR="00FA7175" w:rsidRDefault="00FA7175" w:rsidP="00D746FF">
            <w:pPr>
              <w:pStyle w:val="TableText"/>
              <w:keepNext/>
              <w:rPr>
                <w:b/>
                <w:bCs/>
                <w:color w:val="auto"/>
              </w:rPr>
            </w:pPr>
            <w:r>
              <w:rPr>
                <w:b/>
                <w:bCs/>
                <w:color w:val="auto"/>
              </w:rPr>
              <w:t>(after first 24 hrs)</w:t>
            </w:r>
          </w:p>
        </w:tc>
        <w:tc>
          <w:tcPr>
            <w:tcW w:w="2426" w:type="dxa"/>
            <w:tcBorders>
              <w:top w:val="nil"/>
              <w:left w:val="nil"/>
              <w:bottom w:val="single" w:sz="8" w:space="0" w:color="auto"/>
              <w:right w:val="single" w:sz="8" w:space="0" w:color="auto"/>
            </w:tcBorders>
            <w:tcMar>
              <w:top w:w="0" w:type="dxa"/>
              <w:left w:w="72" w:type="dxa"/>
              <w:bottom w:w="0" w:type="dxa"/>
              <w:right w:w="72" w:type="dxa"/>
            </w:tcMar>
            <w:hideMark/>
          </w:tcPr>
          <w:p w:rsidR="00FA7175" w:rsidRDefault="00FA7175" w:rsidP="00D746FF">
            <w:pPr>
              <w:pStyle w:val="TableText"/>
              <w:keepNext/>
              <w:rPr>
                <w:color w:val="auto"/>
                <w:highlight w:val="lightGray"/>
              </w:rPr>
            </w:pPr>
            <w:r>
              <w:rPr>
                <w:color w:val="auto"/>
              </w:rPr>
              <w:t>4 mg/kg every 12 hrs</w:t>
            </w:r>
          </w:p>
        </w:tc>
        <w:tc>
          <w:tcPr>
            <w:tcW w:w="2112" w:type="dxa"/>
            <w:tcBorders>
              <w:top w:val="nil"/>
              <w:left w:val="nil"/>
              <w:bottom w:val="single" w:sz="8" w:space="0" w:color="auto"/>
              <w:right w:val="single" w:sz="8" w:space="0" w:color="auto"/>
            </w:tcBorders>
            <w:tcMar>
              <w:top w:w="0" w:type="dxa"/>
              <w:left w:w="72" w:type="dxa"/>
              <w:bottom w:w="0" w:type="dxa"/>
              <w:right w:w="72" w:type="dxa"/>
            </w:tcMar>
            <w:hideMark/>
          </w:tcPr>
          <w:p w:rsidR="00FA7175" w:rsidRDefault="00FA7175" w:rsidP="00D746FF">
            <w:pPr>
              <w:pStyle w:val="TableText"/>
              <w:keepNext/>
              <w:rPr>
                <w:b/>
                <w:bCs/>
                <w:color w:val="auto"/>
                <w:highlight w:val="lightGray"/>
              </w:rPr>
            </w:pPr>
            <w:r>
              <w:rPr>
                <w:color w:val="auto"/>
              </w:rPr>
              <w:t xml:space="preserve">200 mg or 5 mL every 12 hrs </w:t>
            </w:r>
          </w:p>
        </w:tc>
        <w:tc>
          <w:tcPr>
            <w:tcW w:w="2112" w:type="dxa"/>
            <w:tcBorders>
              <w:top w:val="nil"/>
              <w:left w:val="nil"/>
              <w:bottom w:val="single" w:sz="8" w:space="0" w:color="auto"/>
              <w:right w:val="single" w:sz="8" w:space="0" w:color="auto"/>
            </w:tcBorders>
            <w:tcMar>
              <w:top w:w="0" w:type="dxa"/>
              <w:left w:w="72" w:type="dxa"/>
              <w:bottom w:w="0" w:type="dxa"/>
              <w:right w:w="72" w:type="dxa"/>
            </w:tcMar>
            <w:hideMark/>
          </w:tcPr>
          <w:p w:rsidR="00FA7175" w:rsidRDefault="00FA7175" w:rsidP="00D746FF">
            <w:pPr>
              <w:pStyle w:val="TableText"/>
              <w:keepNext/>
              <w:rPr>
                <w:b/>
                <w:bCs/>
                <w:color w:val="auto"/>
                <w:highlight w:val="lightGray"/>
              </w:rPr>
            </w:pPr>
            <w:r>
              <w:rPr>
                <w:color w:val="auto"/>
              </w:rPr>
              <w:t xml:space="preserve">100 mg or 2.5 mL every 12 hrs </w:t>
            </w:r>
          </w:p>
        </w:tc>
      </w:tr>
    </w:tbl>
    <w:p w:rsidR="00B169D2" w:rsidRPr="008F33AD" w:rsidRDefault="00B169D2" w:rsidP="00F23230">
      <w:pPr>
        <w:pStyle w:val="Heading2"/>
      </w:pPr>
      <w:r w:rsidRPr="008F33AD">
        <w:t>Dosage Adjustment</w:t>
      </w:r>
    </w:p>
    <w:p w:rsidR="00A46723" w:rsidRPr="008F33AD" w:rsidRDefault="00A46723" w:rsidP="00F23230">
      <w:pPr>
        <w:pStyle w:val="Heading3"/>
      </w:pPr>
      <w:r w:rsidRPr="008F33AD">
        <w:t>Oral administration</w:t>
      </w:r>
    </w:p>
    <w:p w:rsidR="00B169D2" w:rsidRPr="008F33AD" w:rsidRDefault="00B169D2" w:rsidP="00810F42">
      <w:r w:rsidRPr="008F33AD">
        <w:t xml:space="preserve">If patient response is inadequate, the maintenance dose may be increased to 300 mg twice </w:t>
      </w:r>
      <w:r w:rsidR="003C56EF">
        <w:t xml:space="preserve">daily for oral administration. </w:t>
      </w:r>
      <w:r w:rsidRPr="008F33AD">
        <w:t>For patients less than 40 kg, the oral dose may be increased to 150 mg twice daily.</w:t>
      </w:r>
      <w:r w:rsidR="003C56EF">
        <w:t xml:space="preserve"> </w:t>
      </w:r>
      <w:r w:rsidRPr="008F33AD">
        <w:t xml:space="preserve">If patients are unable to tolerate treatment at these higher doses reduce the oral dose by 50 mg steps to </w:t>
      </w:r>
      <w:r w:rsidR="00320564" w:rsidRPr="008F33AD">
        <w:t xml:space="preserve">a minimum </w:t>
      </w:r>
      <w:r w:rsidRPr="008F33AD">
        <w:t>200 mg twice daily (or 100 mg twice daily for patients less than 40 kg) maintenance dose.</w:t>
      </w:r>
    </w:p>
    <w:p w:rsidR="00B169D2" w:rsidRDefault="00B169D2" w:rsidP="00810F42">
      <w:r w:rsidRPr="008F33AD">
        <w:t>Phenytoin may be coadministered with voriconazole if the maintenance dose of voriconazole is increased from 200</w:t>
      </w:r>
      <w:r w:rsidR="00526BD6" w:rsidRPr="008F33AD">
        <w:t> mg</w:t>
      </w:r>
      <w:r w:rsidRPr="008F33AD">
        <w:t xml:space="preserve"> to 400 mg </w:t>
      </w:r>
      <w:r w:rsidR="0025680D" w:rsidRPr="008F33AD">
        <w:t xml:space="preserve">orally </w:t>
      </w:r>
      <w:r w:rsidRPr="008F33AD">
        <w:t xml:space="preserve">twice daily (100 mg to 200 mg </w:t>
      </w:r>
      <w:r w:rsidR="0025680D" w:rsidRPr="008F33AD">
        <w:t xml:space="preserve">orally </w:t>
      </w:r>
      <w:r w:rsidRPr="008F33AD">
        <w:t>twice daily in patients less than 40 kg)</w:t>
      </w:r>
      <w:r w:rsidR="003C56EF">
        <w:t xml:space="preserve">. </w:t>
      </w:r>
      <w:r w:rsidR="00BD6B1E" w:rsidRPr="008F33AD">
        <w:t xml:space="preserve">The </w:t>
      </w:r>
      <w:r w:rsidR="00693F51">
        <w:t>l</w:t>
      </w:r>
      <w:r w:rsidR="00537610" w:rsidRPr="008F33AD">
        <w:t>oading dose regimen remains unchanged</w:t>
      </w:r>
      <w:r w:rsidRPr="008F33AD">
        <w:t xml:space="preserve"> (see </w:t>
      </w:r>
      <w:r w:rsidR="00320564" w:rsidRPr="008F33AD">
        <w:rPr>
          <w:b/>
        </w:rPr>
        <w:t>PRECAUTIONS</w:t>
      </w:r>
      <w:r w:rsidR="00320564" w:rsidRPr="008F33AD">
        <w:t xml:space="preserve"> and </w:t>
      </w:r>
      <w:r w:rsidR="00C4208C">
        <w:rPr>
          <w:b/>
          <w:bCs/>
        </w:rPr>
        <w:t>INTERACTIONS WITH OTHER MEDICINES</w:t>
      </w:r>
      <w:r w:rsidRPr="008F33AD">
        <w:t>).</w:t>
      </w:r>
    </w:p>
    <w:p w:rsidR="003C56EF" w:rsidRDefault="003C56EF" w:rsidP="00810F42">
      <w:r>
        <w:t>V</w:t>
      </w:r>
      <w:r w:rsidRPr="008F33AD">
        <w:t xml:space="preserve">oriconazole </w:t>
      </w:r>
      <w:r>
        <w:t>may be</w:t>
      </w:r>
      <w:r w:rsidRPr="008F33AD">
        <w:t xml:space="preserve"> coadministered with efavirenz</w:t>
      </w:r>
      <w:r>
        <w:t xml:space="preserve"> if</w:t>
      </w:r>
      <w:r w:rsidRPr="008F33AD">
        <w:t xml:space="preserve"> the voriconazole maintenance dose </w:t>
      </w:r>
      <w:r>
        <w:t>is</w:t>
      </w:r>
      <w:r w:rsidRPr="008F33AD">
        <w:t xml:space="preserve"> increased to 400 mg every 12 hours and the efavirenz dose </w:t>
      </w:r>
      <w:r>
        <w:t>is</w:t>
      </w:r>
      <w:r w:rsidRPr="008F33AD">
        <w:t xml:space="preserve"> decreased to 300 mg every</w:t>
      </w:r>
      <w:r>
        <w:t xml:space="preserve"> 24 hours (see </w:t>
      </w:r>
      <w:r>
        <w:rPr>
          <w:b/>
          <w:bCs/>
        </w:rPr>
        <w:t>INTERACTIONS WITH OTHER MEDICINES</w:t>
      </w:r>
      <w:r w:rsidRPr="008F33AD">
        <w:t>).</w:t>
      </w:r>
    </w:p>
    <w:p w:rsidR="00B169D2" w:rsidRPr="008F33AD" w:rsidRDefault="00B169D2" w:rsidP="00810F42">
      <w:r w:rsidRPr="008F33AD">
        <w:t>Treatment duration depends upon patients’ clinical and mycological response.</w:t>
      </w:r>
    </w:p>
    <w:p w:rsidR="00320564" w:rsidRPr="008F33AD" w:rsidRDefault="00320564" w:rsidP="00F23230">
      <w:pPr>
        <w:pStyle w:val="Heading3"/>
      </w:pPr>
      <w:r w:rsidRPr="008F33AD">
        <w:t>Intravenous administration</w:t>
      </w:r>
    </w:p>
    <w:p w:rsidR="00150924" w:rsidRPr="008F33AD" w:rsidRDefault="00320564" w:rsidP="00810F42">
      <w:r w:rsidRPr="008F33AD">
        <w:t xml:space="preserve">If patient response </w:t>
      </w:r>
      <w:r w:rsidR="009E6EBA" w:rsidRPr="008F33AD">
        <w:t xml:space="preserve">at 3 mg/kg every 12 hours </w:t>
      </w:r>
      <w:r w:rsidRPr="008F33AD">
        <w:t xml:space="preserve">is inadequate, the </w:t>
      </w:r>
      <w:r w:rsidR="009E6EBA" w:rsidRPr="008F33AD">
        <w:t xml:space="preserve">intravenous </w:t>
      </w:r>
      <w:r w:rsidRPr="008F33AD">
        <w:t>maintenance dose may be increased to 4 mg/kg every 12 hours.</w:t>
      </w:r>
    </w:p>
    <w:p w:rsidR="00320564" w:rsidRPr="008F33AD" w:rsidRDefault="00320564" w:rsidP="00810F42">
      <w:r w:rsidRPr="008F33AD">
        <w:t xml:space="preserve">If patients are unable to tolerate </w:t>
      </w:r>
      <w:r w:rsidR="006F7275" w:rsidRPr="008F33AD">
        <w:t xml:space="preserve">4 mg/kg every 12 hours, </w:t>
      </w:r>
      <w:r w:rsidRPr="008F33AD">
        <w:t>reduce the intravenous dose to 3 mg/kg every 12 hours.</w:t>
      </w:r>
    </w:p>
    <w:p w:rsidR="00730EA9" w:rsidRPr="008F33AD" w:rsidRDefault="00CA7F51" w:rsidP="00810F42">
      <w:r>
        <w:t>P</w:t>
      </w:r>
      <w:r w:rsidR="00320564" w:rsidRPr="008F33AD">
        <w:t>henytoin may be coadministered with voriconazole if the maintenance dose of voriconazole is increased to 5 mg/kg IV every 12 hours</w:t>
      </w:r>
      <w:r w:rsidR="00BD6B1E" w:rsidRPr="008F33AD">
        <w:t>. The Loading dose regimen remains unchanged</w:t>
      </w:r>
      <w:r w:rsidR="00320564" w:rsidRPr="008F33AD">
        <w:t xml:space="preserve"> (see </w:t>
      </w:r>
      <w:r w:rsidR="00320564" w:rsidRPr="008F33AD">
        <w:rPr>
          <w:b/>
        </w:rPr>
        <w:t>PRECAUTIONS</w:t>
      </w:r>
      <w:r w:rsidR="00320564" w:rsidRPr="008F33AD">
        <w:t xml:space="preserve"> and </w:t>
      </w:r>
      <w:r w:rsidR="00C4208C">
        <w:rPr>
          <w:b/>
          <w:bCs/>
        </w:rPr>
        <w:t>INTERACTIONS WITH OTHER MEDICINES</w:t>
      </w:r>
      <w:r w:rsidR="00320564" w:rsidRPr="008F33AD">
        <w:t>).</w:t>
      </w:r>
    </w:p>
    <w:p w:rsidR="00537610" w:rsidRPr="008F33AD" w:rsidRDefault="00537610" w:rsidP="00810F42">
      <w:r w:rsidRPr="008F33AD">
        <w:t>The dose recommendation for concomitant use of intravenous voriconazole and oral efavirenz has not been determined</w:t>
      </w:r>
      <w:r w:rsidRPr="008F33AD" w:rsidDel="007A7432">
        <w:rPr>
          <w:szCs w:val="24"/>
        </w:rPr>
        <w:t xml:space="preserve"> </w:t>
      </w:r>
      <w:r w:rsidRPr="008F33AD">
        <w:t xml:space="preserve">(see </w:t>
      </w:r>
      <w:r w:rsidR="00C4208C">
        <w:rPr>
          <w:b/>
          <w:bCs/>
          <w:szCs w:val="24"/>
        </w:rPr>
        <w:t>INTERACTIONS WITH OTHER MEDICINES</w:t>
      </w:r>
      <w:r w:rsidRPr="008F33AD">
        <w:t>).</w:t>
      </w:r>
    </w:p>
    <w:p w:rsidR="00320564" w:rsidRPr="008F33AD" w:rsidRDefault="00320564" w:rsidP="00810F42">
      <w:r w:rsidRPr="008F33AD">
        <w:t>Treatment duration depends upon patients’ clinical and mycological response.</w:t>
      </w:r>
      <w:r w:rsidR="003F090E" w:rsidRPr="008F33AD">
        <w:rPr>
          <w:rStyle w:val="FootnoteReference"/>
        </w:rPr>
        <w:t xml:space="preserve"> </w:t>
      </w:r>
    </w:p>
    <w:p w:rsidR="00B169D2" w:rsidRPr="008F33AD" w:rsidRDefault="00B169D2" w:rsidP="00F23230">
      <w:pPr>
        <w:pStyle w:val="Heading2"/>
      </w:pPr>
      <w:r w:rsidRPr="008F33AD">
        <w:lastRenderedPageBreak/>
        <w:t>Use in the Elderly</w:t>
      </w:r>
    </w:p>
    <w:p w:rsidR="00B169D2" w:rsidRPr="008F33AD" w:rsidRDefault="00B169D2" w:rsidP="00810F42">
      <w:r w:rsidRPr="008F33AD">
        <w:t>No dose adjustment is necessary for elderly patients.</w:t>
      </w:r>
    </w:p>
    <w:p w:rsidR="00B169D2" w:rsidRPr="008F33AD" w:rsidRDefault="00B169D2" w:rsidP="00F23230">
      <w:pPr>
        <w:pStyle w:val="Heading2"/>
      </w:pPr>
      <w:r w:rsidRPr="008F33AD">
        <w:t>Use in Patients with Renal Impairment</w:t>
      </w:r>
    </w:p>
    <w:p w:rsidR="00B169D2" w:rsidRPr="008F33AD" w:rsidRDefault="00B169D2" w:rsidP="00810F42">
      <w:r w:rsidRPr="008F33AD">
        <w:t>The pharmacokinetics of orally administered voriconazole are not</w:t>
      </w:r>
      <w:r w:rsidR="003C56EF">
        <w:t xml:space="preserve"> affected by renal impairment. </w:t>
      </w:r>
      <w:r w:rsidRPr="008F33AD">
        <w:t>Therefore, no adjustment is necessary for oral dosing for patients with mild to severe renal impairment.</w:t>
      </w:r>
    </w:p>
    <w:p w:rsidR="00B169D2" w:rsidRPr="008F33AD" w:rsidRDefault="00B169D2" w:rsidP="00810F42">
      <w:r w:rsidRPr="008F33AD">
        <w:rPr>
          <w:snapToGrid w:val="0"/>
        </w:rPr>
        <w:t>In patients with moderate to severe renal dysfunction (creatinine clearance &lt;50</w:t>
      </w:r>
      <w:r w:rsidR="00150924" w:rsidRPr="008F33AD">
        <w:rPr>
          <w:snapToGrid w:val="0"/>
        </w:rPr>
        <w:t> </w:t>
      </w:r>
      <w:r w:rsidRPr="008F33AD">
        <w:rPr>
          <w:snapToGrid w:val="0"/>
        </w:rPr>
        <w:t>mL/min), including dialysis patients, accumulation of the intra</w:t>
      </w:r>
      <w:r w:rsidR="003C56EF">
        <w:rPr>
          <w:snapToGrid w:val="0"/>
        </w:rPr>
        <w:t xml:space="preserve">venous vehicle, SBECD, occurs. </w:t>
      </w:r>
      <w:r w:rsidRPr="008F33AD">
        <w:rPr>
          <w:snapToGrid w:val="0"/>
        </w:rPr>
        <w:t>Oral voriconazole should be administered</w:t>
      </w:r>
      <w:r w:rsidRPr="00810F42">
        <w:t xml:space="preserve"> t</w:t>
      </w:r>
      <w:r w:rsidRPr="008F33AD">
        <w:rPr>
          <w:snapToGrid w:val="0"/>
        </w:rPr>
        <w:t>o these patients, unless an assessment of the risk benefit to the patient justifies the us</w:t>
      </w:r>
      <w:r w:rsidR="003C56EF">
        <w:rPr>
          <w:snapToGrid w:val="0"/>
        </w:rPr>
        <w:t xml:space="preserve">e of intravenous voriconazole. </w:t>
      </w:r>
      <w:r w:rsidRPr="008F33AD">
        <w:rPr>
          <w:snapToGrid w:val="0"/>
        </w:rPr>
        <w:t xml:space="preserve">Serum creatinine levels should be closely monitored in these patients and, if increases occur, consideration should be given to changing to oral voriconazole therapy (see </w:t>
      </w:r>
      <w:r w:rsidRPr="008F33AD">
        <w:rPr>
          <w:b/>
          <w:bCs/>
          <w:snapToGrid w:val="0"/>
        </w:rPr>
        <w:t xml:space="preserve">Pharmacokinetics, </w:t>
      </w:r>
      <w:r w:rsidRPr="008F33AD">
        <w:rPr>
          <w:b/>
          <w:bCs/>
          <w:i/>
          <w:snapToGrid w:val="0"/>
        </w:rPr>
        <w:t>Renal Impairment</w:t>
      </w:r>
      <w:r w:rsidRPr="008F33AD">
        <w:rPr>
          <w:i/>
          <w:snapToGrid w:val="0"/>
        </w:rPr>
        <w:t>)</w:t>
      </w:r>
      <w:r w:rsidRPr="008F33AD">
        <w:rPr>
          <w:snapToGrid w:val="0"/>
        </w:rPr>
        <w:t>.</w:t>
      </w:r>
    </w:p>
    <w:p w:rsidR="00B169D2" w:rsidRPr="008F33AD" w:rsidRDefault="00B169D2" w:rsidP="00F23230">
      <w:pPr>
        <w:pStyle w:val="Heading2"/>
      </w:pPr>
      <w:r w:rsidRPr="008F33AD">
        <w:t>Use in Patients with Hepatic Impairment</w:t>
      </w:r>
    </w:p>
    <w:p w:rsidR="00B169D2" w:rsidRPr="008F33AD" w:rsidRDefault="00B169D2" w:rsidP="00810F42">
      <w:r w:rsidRPr="008F33AD">
        <w:t xml:space="preserve">No dose adjustment is necessary in patients with acute hepatic injury, </w:t>
      </w:r>
      <w:r w:rsidRPr="008F33AD">
        <w:rPr>
          <w:snapToGrid w:val="0"/>
        </w:rPr>
        <w:t>manifested by elevated liver function tests (ALT, AS</w:t>
      </w:r>
      <w:r w:rsidRPr="00810F42">
        <w:t>T</w:t>
      </w:r>
      <w:r w:rsidRPr="008F33AD">
        <w:rPr>
          <w:snapToGrid w:val="0"/>
        </w:rPr>
        <w:t>)</w:t>
      </w:r>
      <w:r w:rsidRPr="008F33AD">
        <w:t xml:space="preserve"> </w:t>
      </w:r>
      <w:r w:rsidRPr="008F33AD">
        <w:rPr>
          <w:snapToGrid w:val="0"/>
        </w:rPr>
        <w:t>(but continued monitoring of liver function tests for further elevations is recommended)</w:t>
      </w:r>
      <w:r w:rsidRPr="008F33AD">
        <w:t>.</w:t>
      </w:r>
    </w:p>
    <w:p w:rsidR="00B169D2" w:rsidRPr="008F33AD" w:rsidRDefault="00B169D2" w:rsidP="00810F42">
      <w:pPr>
        <w:rPr>
          <w:snapToGrid w:val="0"/>
        </w:rPr>
      </w:pPr>
      <w:r w:rsidRPr="008F33AD">
        <w:t xml:space="preserve">It is recommended that the standard </w:t>
      </w:r>
      <w:r w:rsidRPr="008F33AD">
        <w:rPr>
          <w:snapToGrid w:val="0"/>
        </w:rPr>
        <w:t xml:space="preserve">loading dose regimens be used but </w:t>
      </w:r>
      <w:r w:rsidRPr="008F33AD">
        <w:t>that</w:t>
      </w:r>
      <w:r w:rsidRPr="008F33AD">
        <w:rPr>
          <w:snapToGrid w:val="0"/>
        </w:rPr>
        <w:t xml:space="preserve"> the maintenance dose </w:t>
      </w:r>
      <w:r w:rsidRPr="008F33AD">
        <w:t xml:space="preserve">be halved </w:t>
      </w:r>
      <w:r w:rsidRPr="008F33AD">
        <w:rPr>
          <w:snapToGrid w:val="0"/>
        </w:rPr>
        <w:t>in patients with mild to moderate hepatic cirrhosis (Child-Pugh A and B) receiving voriconazole.</w:t>
      </w:r>
    </w:p>
    <w:p w:rsidR="00B169D2" w:rsidRPr="008F33AD" w:rsidRDefault="00B169D2" w:rsidP="00810F42">
      <w:r w:rsidRPr="008F33AD">
        <w:t>Voriconazole has not been studied in patients with severe chronic hep</w:t>
      </w:r>
      <w:r w:rsidR="003C56EF">
        <w:t xml:space="preserve">atic cirrhosis (Child-Pugh C). </w:t>
      </w:r>
      <w:r w:rsidRPr="008F33AD">
        <w:t>Voriconazole has been associated with elevations in liver function tests and clinical signs of liver damage such as jaundice, and must only be used in patients with severe hepatic impairment if the benefit</w:t>
      </w:r>
      <w:r w:rsidR="003C56EF">
        <w:t xml:space="preserve"> outweighs the potential risk. </w:t>
      </w:r>
      <w:r w:rsidRPr="008F33AD">
        <w:t xml:space="preserve">Patients with severe hepatic impairment must be carefully monitored for drug toxicity (see </w:t>
      </w:r>
      <w:r w:rsidRPr="00367B29">
        <w:rPr>
          <w:b/>
          <w:bCs/>
          <w:szCs w:val="24"/>
        </w:rPr>
        <w:t xml:space="preserve">ADVERSE </w:t>
      </w:r>
      <w:r w:rsidR="00446D66" w:rsidRPr="00367B29">
        <w:rPr>
          <w:b/>
          <w:bCs/>
          <w:szCs w:val="24"/>
        </w:rPr>
        <w:t>EFFECTS</w:t>
      </w:r>
      <w:r w:rsidRPr="008F33AD">
        <w:t>).</w:t>
      </w:r>
    </w:p>
    <w:p w:rsidR="00B169D2" w:rsidRPr="00F23230" w:rsidRDefault="00B169D2" w:rsidP="00F23230">
      <w:pPr>
        <w:pStyle w:val="Heading2"/>
      </w:pPr>
      <w:r w:rsidRPr="008F33AD">
        <w:t>Use in Children</w:t>
      </w:r>
    </w:p>
    <w:p w:rsidR="007C4070" w:rsidRPr="00856449" w:rsidRDefault="007C4070" w:rsidP="00810F42">
      <w:pPr>
        <w:rPr>
          <w:rFonts w:ascii="Arial" w:hAnsi="Arial"/>
          <w:sz w:val="22"/>
        </w:rPr>
      </w:pPr>
      <w:r w:rsidRPr="00856449">
        <w:t xml:space="preserve">Safety and </w:t>
      </w:r>
      <w:r w:rsidR="00FC3F2C">
        <w:t>efficacy</w:t>
      </w:r>
      <w:r w:rsidR="00FC3F2C" w:rsidRPr="00856449">
        <w:t xml:space="preserve"> </w:t>
      </w:r>
      <w:r w:rsidRPr="00856449">
        <w:t>in paediatric subjects below the age of 2 years has not been established.  Therefore voriconazole is not recommended for children less than 2 years of age.</w:t>
      </w:r>
      <w:r w:rsidR="00367B29">
        <w:t xml:space="preserve"> </w:t>
      </w:r>
      <w:r w:rsidR="0051187A">
        <w:t xml:space="preserve"> </w:t>
      </w:r>
      <w:r w:rsidR="00367B29">
        <w:t xml:space="preserve">*Use in paediatric patients aged 2 to </w:t>
      </w:r>
      <w:r w:rsidR="002F4624">
        <w:t>&lt;</w:t>
      </w:r>
      <w:r w:rsidR="00367B29">
        <w:t xml:space="preserve"> 12 years with hepatic or renal insufficiency has not been studied (see </w:t>
      </w:r>
      <w:r w:rsidR="00367B29" w:rsidRPr="00367B29">
        <w:rPr>
          <w:b/>
        </w:rPr>
        <w:t>PRECAUTIONS</w:t>
      </w:r>
      <w:r w:rsidR="00367B29">
        <w:t>).</w:t>
      </w:r>
    </w:p>
    <w:p w:rsidR="00A134F7" w:rsidRDefault="000E218C" w:rsidP="00810F42">
      <w:pPr>
        <w:rPr>
          <w:highlight w:val="green"/>
        </w:rPr>
      </w:pPr>
      <w:r w:rsidRPr="00856449">
        <w:t xml:space="preserve">Limited data are currently available to determine the optimal </w:t>
      </w:r>
      <w:r w:rsidR="003A6424">
        <w:t>dosing regimen</w:t>
      </w:r>
      <w:r w:rsidRPr="00856449">
        <w:t xml:space="preserve">.  </w:t>
      </w:r>
      <w:r w:rsidR="00A134F7" w:rsidRPr="00B946D6">
        <w:t xml:space="preserve">Multiple intravenous doses </w:t>
      </w:r>
      <w:r w:rsidR="00A134F7" w:rsidRPr="0005048C">
        <w:t>(3,</w:t>
      </w:r>
      <w:r w:rsidR="00A134F7" w:rsidRPr="00B946D6">
        <w:t xml:space="preserve"> 4, 6 and 8 mg/kg twice daily) and oral doses (4 and 6 mg/kg twice daily) have been used in pharmacokinetic studies</w:t>
      </w:r>
      <w:r w:rsidR="00C05A3D">
        <w:t xml:space="preserve"> conducted in children 2 to 12 years</w:t>
      </w:r>
      <w:r w:rsidR="00415753">
        <w:t>.</w:t>
      </w:r>
    </w:p>
    <w:p w:rsidR="00415753" w:rsidRPr="00A35488" w:rsidRDefault="00415753" w:rsidP="00810F42">
      <w:pPr>
        <w:rPr>
          <w:rFonts w:eastAsia="MS Mincho"/>
          <w:lang w:eastAsia="ja-JP"/>
        </w:rPr>
      </w:pPr>
      <w:r w:rsidRPr="00291D3D">
        <w:t xml:space="preserve">The </w:t>
      </w:r>
      <w:r w:rsidR="00C05A3D" w:rsidRPr="00291D3D">
        <w:t xml:space="preserve">study results showed that </w:t>
      </w:r>
      <w:r w:rsidRPr="00291D3D">
        <w:t xml:space="preserve">4 mg/kg IV </w:t>
      </w:r>
      <w:r w:rsidR="009F66B5" w:rsidRPr="00291D3D">
        <w:t xml:space="preserve">twice daily </w:t>
      </w:r>
      <w:r w:rsidRPr="00291D3D">
        <w:t>in children achieve</w:t>
      </w:r>
      <w:r w:rsidR="00D3156E" w:rsidRPr="00291D3D">
        <w:t>d</w:t>
      </w:r>
      <w:r w:rsidRPr="00291D3D">
        <w:t xml:space="preserve"> exposure comparable to that in adults receiving 3 mg/kg IV</w:t>
      </w:r>
      <w:r w:rsidR="009F66B5" w:rsidRPr="00291D3D">
        <w:t xml:space="preserve"> twice daily</w:t>
      </w:r>
      <w:r w:rsidRPr="00291D3D">
        <w:t>.</w:t>
      </w:r>
      <w:r w:rsidR="003C56EF">
        <w:t xml:space="preserve"> </w:t>
      </w:r>
      <w:r w:rsidRPr="00291D3D">
        <w:rPr>
          <w:szCs w:val="22"/>
        </w:rPr>
        <w:t xml:space="preserve">The average </w:t>
      </w:r>
      <w:r w:rsidRPr="00291D3D">
        <w:rPr>
          <w:rFonts w:eastAsia="MS Mincho"/>
          <w:lang w:eastAsia="ja-JP"/>
        </w:rPr>
        <w:t>vori</w:t>
      </w:r>
      <w:r>
        <w:rPr>
          <w:rFonts w:eastAsia="MS Mincho"/>
          <w:lang w:eastAsia="ja-JP"/>
        </w:rPr>
        <w:t xml:space="preserve">conazole exposure </w:t>
      </w:r>
      <w:r w:rsidRPr="008F33AD">
        <w:rPr>
          <w:rFonts w:eastAsia="MS Mincho"/>
          <w:lang w:eastAsia="ja-JP"/>
        </w:rPr>
        <w:t xml:space="preserve">in children </w:t>
      </w:r>
      <w:r>
        <w:rPr>
          <w:rFonts w:eastAsia="MS Mincho"/>
          <w:lang w:eastAsia="ja-JP"/>
        </w:rPr>
        <w:t xml:space="preserve">receiving </w:t>
      </w:r>
      <w:r w:rsidRPr="008F33AD">
        <w:rPr>
          <w:rFonts w:eastAsia="MS Mincho"/>
          <w:lang w:eastAsia="ja-JP"/>
        </w:rPr>
        <w:t>6</w:t>
      </w:r>
      <w:r>
        <w:rPr>
          <w:rFonts w:eastAsia="MS Mincho"/>
          <w:lang w:eastAsia="ja-JP"/>
        </w:rPr>
        <w:t xml:space="preserve"> mg/kg IV doses </w:t>
      </w:r>
      <w:r w:rsidR="00672105" w:rsidRPr="007814DC">
        <w:rPr>
          <w:rFonts w:eastAsia="MS Mincho"/>
          <w:lang w:eastAsia="ja-JP"/>
        </w:rPr>
        <w:t xml:space="preserve">twice daily </w:t>
      </w:r>
      <w:r w:rsidRPr="007814DC">
        <w:rPr>
          <w:rFonts w:eastAsia="MS Mincho"/>
          <w:lang w:eastAsia="ja-JP"/>
        </w:rPr>
        <w:t>was slightly lower than in adults receiving 4 mg/kg IV doses</w:t>
      </w:r>
      <w:r w:rsidR="00672105" w:rsidRPr="007814DC">
        <w:rPr>
          <w:rFonts w:eastAsia="MS Mincho"/>
          <w:lang w:eastAsia="ja-JP"/>
        </w:rPr>
        <w:t xml:space="preserve"> twice daily</w:t>
      </w:r>
      <w:r w:rsidRPr="007814DC">
        <w:rPr>
          <w:rFonts w:eastAsia="MS Mincho"/>
          <w:lang w:eastAsia="ja-JP"/>
        </w:rPr>
        <w:t xml:space="preserve">. </w:t>
      </w:r>
      <w:r w:rsidR="00672105" w:rsidRPr="007814DC">
        <w:rPr>
          <w:rFonts w:eastAsia="MS Mincho"/>
          <w:lang w:eastAsia="ja-JP"/>
        </w:rPr>
        <w:t>B</w:t>
      </w:r>
      <w:r w:rsidRPr="007814DC">
        <w:rPr>
          <w:rFonts w:eastAsia="MS Mincho"/>
          <w:lang w:eastAsia="ja-JP"/>
        </w:rPr>
        <w:t>ased on the data, physicians may initiate therapy in children with 6 mg/kg IV tw</w:t>
      </w:r>
      <w:r w:rsidR="003C56EF">
        <w:rPr>
          <w:rFonts w:eastAsia="MS Mincho"/>
          <w:lang w:eastAsia="ja-JP"/>
        </w:rPr>
        <w:t xml:space="preserve">ice daily. </w:t>
      </w:r>
      <w:r>
        <w:rPr>
          <w:rFonts w:eastAsia="MS Mincho"/>
          <w:lang w:eastAsia="ja-JP"/>
        </w:rPr>
        <w:t xml:space="preserve">The dose may be increased to 7 mg/kg IV twice daily if clinically indicated. </w:t>
      </w:r>
    </w:p>
    <w:p w:rsidR="00D3156E" w:rsidRDefault="00C20F32" w:rsidP="001C02AC">
      <w:r>
        <w:t>Further study is required to determine the optimal oral dose for children 2 to &lt;12 years.</w:t>
      </w:r>
    </w:p>
    <w:p w:rsidR="00B169D2" w:rsidRPr="008F33AD" w:rsidRDefault="00B169D2" w:rsidP="00F57A5C">
      <w:pPr>
        <w:spacing w:after="0"/>
      </w:pPr>
      <w:r w:rsidRPr="008F33AD">
        <w:rPr>
          <w:b/>
        </w:rPr>
        <w:t>Adolescents</w:t>
      </w:r>
      <w:r w:rsidRPr="008F33AD">
        <w:t xml:space="preserve"> (12 </w:t>
      </w:r>
      <w:r w:rsidRPr="008F33AD">
        <w:noBreakHyphen/>
        <w:t>16 years of age) should be dosed as adults.</w:t>
      </w:r>
    </w:p>
    <w:p w:rsidR="00B169D2" w:rsidRPr="008F33AD" w:rsidRDefault="00B169D2" w:rsidP="00F23230">
      <w:pPr>
        <w:pStyle w:val="Heading2"/>
      </w:pPr>
      <w:r w:rsidRPr="008F33AD">
        <w:lastRenderedPageBreak/>
        <w:t>Administration and Incompatibilities – Intravenous</w:t>
      </w:r>
    </w:p>
    <w:p w:rsidR="00B169D2" w:rsidRPr="008F33AD" w:rsidRDefault="00B169D2" w:rsidP="00F23230">
      <w:pPr>
        <w:pStyle w:val="Heading3"/>
      </w:pPr>
      <w:r w:rsidRPr="008F33AD">
        <w:t>Intravenous Administration:</w:t>
      </w:r>
    </w:p>
    <w:p w:rsidR="00B169D2" w:rsidRPr="008F33AD" w:rsidRDefault="00B169D2" w:rsidP="00810F42">
      <w:r w:rsidRPr="008F33AD">
        <w:t xml:space="preserve">VFEND IV powder for injection is supplied in single </w:t>
      </w:r>
      <w:r w:rsidR="003C56EF">
        <w:t xml:space="preserve">use vials. </w:t>
      </w:r>
      <w:r w:rsidRPr="008F33AD">
        <w:t xml:space="preserve">The powder should be reconstituted with </w:t>
      </w:r>
      <w:r w:rsidR="003C56EF">
        <w:t xml:space="preserve">19 mL of Water for Injections. </w:t>
      </w:r>
      <w:r w:rsidRPr="008F33AD">
        <w:t>Shake thoroughly to give a clear concentrate containing 10 mg/mL of voriconazole and a</w:t>
      </w:r>
      <w:r w:rsidR="003C56EF">
        <w:t xml:space="preserve">n extractable volume of 20 mL. </w:t>
      </w:r>
      <w:r w:rsidRPr="008F33AD">
        <w:t>It is recommended that a standard 20 mL (non-automated) syringe be used to ensure that the exact amount (19.0 mL) of Wate</w:t>
      </w:r>
      <w:r w:rsidR="003C56EF">
        <w:t xml:space="preserve">r for Injections is dispensed. </w:t>
      </w:r>
      <w:r w:rsidRPr="008F33AD">
        <w:t>Discard the vial if a vacuum does not pull the diluent into the vial.</w:t>
      </w:r>
    </w:p>
    <w:p w:rsidR="00B169D2" w:rsidRPr="008F33AD" w:rsidRDefault="00B169D2" w:rsidP="00810F42">
      <w:r w:rsidRPr="008F33AD">
        <w:t xml:space="preserve">For administration, the required volume of the reconstituted concentrate is added to a recommended compatible infusion solution (detailed below) to obtain a final solution containing voriconazole at a concentration </w:t>
      </w:r>
      <w:r w:rsidR="003C56EF">
        <w:t xml:space="preserve">between 0.5 mg/mL and 5 mg/mL. </w:t>
      </w:r>
      <w:r w:rsidRPr="008F33AD">
        <w:t>VFEND IV should be administered at a maximum rate of 3 mg/kg per hour over 1 to 2 hours and must not be given as a bolus injection.</w:t>
      </w:r>
    </w:p>
    <w:p w:rsidR="00B169D2" w:rsidRPr="008F33AD" w:rsidRDefault="00B169D2" w:rsidP="00810F42">
      <w:pPr>
        <w:rPr>
          <w:snapToGrid w:val="0"/>
        </w:rPr>
      </w:pPr>
      <w:r w:rsidRPr="008F33AD">
        <w:rPr>
          <w:snapToGrid w:val="0"/>
        </w:rPr>
        <w:t xml:space="preserve">VFEND IV contains no </w:t>
      </w:r>
      <w:r w:rsidR="003B34FF">
        <w:rPr>
          <w:snapToGrid w:val="0"/>
        </w:rPr>
        <w:t>preservative</w:t>
      </w:r>
      <w:r w:rsidR="003C56EF">
        <w:rPr>
          <w:snapToGrid w:val="0"/>
        </w:rPr>
        <w:t xml:space="preserve">. </w:t>
      </w:r>
      <w:r w:rsidRPr="008F33AD">
        <w:rPr>
          <w:snapToGrid w:val="0"/>
        </w:rPr>
        <w:t>To reduce microbiological hazard, use as soon as pra</w:t>
      </w:r>
      <w:r w:rsidR="003C56EF">
        <w:rPr>
          <w:snapToGrid w:val="0"/>
        </w:rPr>
        <w:t xml:space="preserve">cticable after reconstitution. </w:t>
      </w:r>
      <w:r w:rsidRPr="008F33AD">
        <w:rPr>
          <w:snapToGrid w:val="0"/>
        </w:rPr>
        <w:t>If storage is necessary, hold at 2</w:t>
      </w:r>
      <w:r w:rsidRPr="008F33AD">
        <w:sym w:font="Symbol" w:char="F0B0"/>
      </w:r>
      <w:r w:rsidRPr="008F33AD">
        <w:t>C</w:t>
      </w:r>
      <w:r w:rsidRPr="008F33AD">
        <w:rPr>
          <w:snapToGrid w:val="0"/>
        </w:rPr>
        <w:t xml:space="preserve"> to 8</w:t>
      </w:r>
      <w:r w:rsidRPr="008F33AD">
        <w:sym w:font="Symbol" w:char="F0B0"/>
      </w:r>
      <w:r w:rsidRPr="008F33AD">
        <w:t>C</w:t>
      </w:r>
      <w:r w:rsidR="003C56EF">
        <w:rPr>
          <w:snapToGrid w:val="0"/>
        </w:rPr>
        <w:t xml:space="preserve"> for not more than 24 hours. </w:t>
      </w:r>
      <w:r w:rsidRPr="008F33AD">
        <w:rPr>
          <w:snapToGrid w:val="0"/>
        </w:rPr>
        <w:t>Product is for single use i</w:t>
      </w:r>
      <w:r w:rsidR="003C56EF">
        <w:rPr>
          <w:snapToGrid w:val="0"/>
        </w:rPr>
        <w:t xml:space="preserve">n one patient only. Discard any residue. </w:t>
      </w:r>
      <w:r w:rsidRPr="008F33AD">
        <w:rPr>
          <w:snapToGrid w:val="0"/>
        </w:rPr>
        <w:t>Only clear solutions without particles should be used.</w:t>
      </w:r>
    </w:p>
    <w:p w:rsidR="00B169D2" w:rsidRPr="008F33AD" w:rsidRDefault="00B169D2" w:rsidP="00810F42">
      <w:r w:rsidRPr="008F33AD">
        <w:t>Chemical and physical in use stability has been demonstrated for 24 hours at 2</w:t>
      </w:r>
      <w:r w:rsidRPr="008F33AD">
        <w:sym w:font="Symbol" w:char="F0B0"/>
      </w:r>
      <w:r w:rsidRPr="008F33AD">
        <w:t>C to 8</w:t>
      </w:r>
      <w:r w:rsidRPr="008F33AD">
        <w:sym w:font="Symbol" w:char="F0B0"/>
      </w:r>
      <w:r w:rsidRPr="008F33AD">
        <w:t>C.</w:t>
      </w:r>
    </w:p>
    <w:p w:rsidR="00B169D2" w:rsidRPr="008F33AD" w:rsidRDefault="00B169D2" w:rsidP="00810F42">
      <w:r w:rsidRPr="008F33AD">
        <w:t>The reconstituted solution can be diluted with:</w:t>
      </w:r>
    </w:p>
    <w:p w:rsidR="00B169D2" w:rsidRPr="008F33AD" w:rsidRDefault="006A50E7" w:rsidP="006A50E7">
      <w:pPr>
        <w:spacing w:after="120"/>
        <w:rPr>
          <w:snapToGrid w:val="0"/>
        </w:rPr>
      </w:pPr>
      <w:r w:rsidRPr="008F33AD">
        <w:rPr>
          <w:snapToGrid w:val="0"/>
        </w:rPr>
        <w:t>0.9</w:t>
      </w:r>
      <w:r w:rsidR="00B169D2" w:rsidRPr="008F33AD">
        <w:rPr>
          <w:snapToGrid w:val="0"/>
        </w:rPr>
        <w:t xml:space="preserve">% Sodium Chloride Intravenous Infusion </w:t>
      </w:r>
    </w:p>
    <w:p w:rsidR="00B169D2" w:rsidRPr="008F33AD" w:rsidRDefault="00B169D2" w:rsidP="006A50E7">
      <w:pPr>
        <w:spacing w:after="120"/>
        <w:rPr>
          <w:snapToGrid w:val="0"/>
        </w:rPr>
      </w:pPr>
      <w:r w:rsidRPr="008F33AD">
        <w:rPr>
          <w:snapToGrid w:val="0"/>
        </w:rPr>
        <w:t>Compound Sodium Lactate Intravenous Infusion</w:t>
      </w:r>
    </w:p>
    <w:p w:rsidR="00B169D2" w:rsidRPr="008F33AD" w:rsidRDefault="00B169D2" w:rsidP="006A50E7">
      <w:pPr>
        <w:spacing w:after="120"/>
        <w:rPr>
          <w:snapToGrid w:val="0"/>
        </w:rPr>
      </w:pPr>
      <w:r w:rsidRPr="008F33AD">
        <w:rPr>
          <w:snapToGrid w:val="0"/>
        </w:rPr>
        <w:t>5% Glucose and Compound Sodium Lactate Intravenous Infusion</w:t>
      </w:r>
    </w:p>
    <w:p w:rsidR="00B169D2" w:rsidRPr="008F33AD" w:rsidRDefault="00B169D2" w:rsidP="006A50E7">
      <w:pPr>
        <w:spacing w:after="120"/>
        <w:rPr>
          <w:snapToGrid w:val="0"/>
        </w:rPr>
      </w:pPr>
      <w:r w:rsidRPr="008F33AD">
        <w:rPr>
          <w:snapToGrid w:val="0"/>
        </w:rPr>
        <w:t>5% Glucose and 0.45% Sodium Chloride Intravenous Infusion</w:t>
      </w:r>
    </w:p>
    <w:p w:rsidR="00B169D2" w:rsidRPr="008F33AD" w:rsidRDefault="00B169D2" w:rsidP="006A50E7">
      <w:pPr>
        <w:spacing w:after="120"/>
        <w:rPr>
          <w:snapToGrid w:val="0"/>
        </w:rPr>
      </w:pPr>
      <w:r w:rsidRPr="008F33AD">
        <w:rPr>
          <w:snapToGrid w:val="0"/>
        </w:rPr>
        <w:t>5% Glucose Intravenous Infusion</w:t>
      </w:r>
    </w:p>
    <w:p w:rsidR="00B169D2" w:rsidRPr="008F33AD" w:rsidRDefault="00B169D2" w:rsidP="006A50E7">
      <w:pPr>
        <w:spacing w:after="120"/>
        <w:rPr>
          <w:snapToGrid w:val="0"/>
        </w:rPr>
      </w:pPr>
      <w:r w:rsidRPr="008F33AD">
        <w:rPr>
          <w:snapToGrid w:val="0"/>
        </w:rPr>
        <w:t>5% Glucose in 20 mEq Potassium Chloride Intravenous Infusion</w:t>
      </w:r>
    </w:p>
    <w:p w:rsidR="00B169D2" w:rsidRPr="008F33AD" w:rsidRDefault="00B169D2" w:rsidP="006A50E7">
      <w:pPr>
        <w:spacing w:after="120"/>
        <w:rPr>
          <w:snapToGrid w:val="0"/>
        </w:rPr>
      </w:pPr>
      <w:r w:rsidRPr="008F33AD">
        <w:rPr>
          <w:snapToGrid w:val="0"/>
        </w:rPr>
        <w:t xml:space="preserve">0.45% Sodium Chloride Intravenous Infusion </w:t>
      </w:r>
    </w:p>
    <w:p w:rsidR="00B169D2" w:rsidRPr="008F33AD" w:rsidRDefault="00B169D2">
      <w:pPr>
        <w:rPr>
          <w:snapToGrid w:val="0"/>
        </w:rPr>
      </w:pPr>
      <w:r w:rsidRPr="008F33AD">
        <w:rPr>
          <w:snapToGrid w:val="0"/>
        </w:rPr>
        <w:t>5% Glucose and 0.9% Sodium Chloride Intravenous Infusion</w:t>
      </w:r>
    </w:p>
    <w:p w:rsidR="00B169D2" w:rsidRPr="008F33AD" w:rsidRDefault="00B169D2" w:rsidP="00810F42">
      <w:r w:rsidRPr="008F33AD">
        <w:rPr>
          <w:snapToGrid w:val="0"/>
        </w:rPr>
        <w:t xml:space="preserve">The compatibility of </w:t>
      </w:r>
      <w:r w:rsidRPr="008F33AD">
        <w:t xml:space="preserve">VFEND IV with diluents other than those described above is unknown (see </w:t>
      </w:r>
      <w:r w:rsidRPr="008F33AD">
        <w:rPr>
          <w:b/>
          <w:bCs/>
          <w:i/>
          <w:iCs/>
        </w:rPr>
        <w:t>Intravenous Incompatibilities</w:t>
      </w:r>
      <w:r w:rsidRPr="008F33AD">
        <w:t>).</w:t>
      </w:r>
    </w:p>
    <w:p w:rsidR="00B169D2" w:rsidRPr="008F33AD" w:rsidRDefault="00B169D2" w:rsidP="00F23230">
      <w:pPr>
        <w:pStyle w:val="Heading3"/>
      </w:pPr>
      <w:r w:rsidRPr="008F33AD">
        <w:t>Intravenous Incompatibilities:</w:t>
      </w:r>
    </w:p>
    <w:p w:rsidR="00F47E5C" w:rsidRPr="008F33AD" w:rsidRDefault="00F47E5C" w:rsidP="005F1AEF">
      <w:pPr>
        <w:keepNext/>
        <w:spacing w:after="0"/>
        <w:rPr>
          <w:color w:val="000000"/>
          <w:u w:val="single"/>
        </w:rPr>
      </w:pPr>
      <w:r w:rsidRPr="008F33AD">
        <w:rPr>
          <w:color w:val="000000"/>
          <w:u w:val="single"/>
        </w:rPr>
        <w:t xml:space="preserve">Blood Products and </w:t>
      </w:r>
      <w:r w:rsidR="00230037" w:rsidRPr="008F33AD">
        <w:rPr>
          <w:color w:val="000000"/>
          <w:u w:val="single"/>
        </w:rPr>
        <w:t>Concentrated Elect</w:t>
      </w:r>
      <w:r w:rsidR="00B473BA" w:rsidRPr="008F33AD">
        <w:rPr>
          <w:color w:val="000000"/>
          <w:u w:val="single"/>
        </w:rPr>
        <w:t>r</w:t>
      </w:r>
      <w:r w:rsidR="00230037" w:rsidRPr="008F33AD">
        <w:rPr>
          <w:color w:val="000000"/>
          <w:u w:val="single"/>
        </w:rPr>
        <w:t>olytes</w:t>
      </w:r>
    </w:p>
    <w:p w:rsidR="00F47E5C" w:rsidRPr="008F33AD" w:rsidRDefault="00F47E5C" w:rsidP="00810F42">
      <w:pPr>
        <w:rPr>
          <w:bCs/>
        </w:rPr>
      </w:pPr>
      <w:r w:rsidRPr="008F33AD">
        <w:t xml:space="preserve">Voriconazole must not be </w:t>
      </w:r>
      <w:r w:rsidR="00230037" w:rsidRPr="008F33AD">
        <w:t>infused concomitantly</w:t>
      </w:r>
      <w:r w:rsidRPr="008F33AD">
        <w:t xml:space="preserve"> with any blood product or any </w:t>
      </w:r>
      <w:r w:rsidR="00853814" w:rsidRPr="008F33AD">
        <w:t xml:space="preserve">short-term infusion of concentrated solution of </w:t>
      </w:r>
      <w:r w:rsidRPr="008F33AD">
        <w:t>electrolytes, even if the two infusions are running in separate</w:t>
      </w:r>
      <w:r w:rsidR="003C56EF">
        <w:t xml:space="preserve"> lines. </w:t>
      </w:r>
      <w:r w:rsidRPr="008F33AD">
        <w:t xml:space="preserve">Electrolyte disturbances such as hypokalaemia, hypomagnesaemia and hypocalcaemia should be corrected prior to initiation of voriconazole therapy (see </w:t>
      </w:r>
      <w:r w:rsidR="0028640A" w:rsidRPr="008F33AD">
        <w:rPr>
          <w:b/>
          <w:bCs/>
        </w:rPr>
        <w:t>PRECAUTIONS, Cardiovascular</w:t>
      </w:r>
      <w:r w:rsidR="00D61780" w:rsidRPr="008F33AD">
        <w:rPr>
          <w:bCs/>
        </w:rPr>
        <w:t>).</w:t>
      </w:r>
    </w:p>
    <w:p w:rsidR="00230037" w:rsidRPr="008F33AD" w:rsidRDefault="00230037" w:rsidP="005F1AEF">
      <w:pPr>
        <w:keepNext/>
        <w:keepLines/>
        <w:spacing w:after="0"/>
        <w:rPr>
          <w:u w:val="single"/>
        </w:rPr>
      </w:pPr>
      <w:r w:rsidRPr="008F33AD">
        <w:rPr>
          <w:u w:val="single"/>
        </w:rPr>
        <w:t>Intravenous solutions containing (non-concentrated) electrolytes</w:t>
      </w:r>
    </w:p>
    <w:p w:rsidR="00230037" w:rsidRPr="008F33AD" w:rsidRDefault="00230037" w:rsidP="00810F42">
      <w:r w:rsidRPr="008F33AD">
        <w:t>Voriconazole can be infused at the same time as other intravenous solutions containing (non</w:t>
      </w:r>
      <w:r w:rsidRPr="008F33AD">
        <w:noBreakHyphen/>
        <w:t>concentrated) electrolytes, but must be infused through a separate line.</w:t>
      </w:r>
    </w:p>
    <w:p w:rsidR="00F47E5C" w:rsidRPr="008F33AD" w:rsidRDefault="00103980" w:rsidP="005F1AEF">
      <w:pPr>
        <w:pStyle w:val="Heading3"/>
        <w:keepLines/>
        <w:tabs>
          <w:tab w:val="left" w:pos="5436"/>
        </w:tabs>
        <w:spacing w:before="0" w:after="0"/>
        <w:rPr>
          <w:b w:val="0"/>
          <w:i w:val="0"/>
          <w:color w:val="000000"/>
          <w:u w:val="single"/>
        </w:rPr>
      </w:pPr>
      <w:r w:rsidRPr="008F33AD">
        <w:rPr>
          <w:b w:val="0"/>
          <w:i w:val="0"/>
          <w:color w:val="000000"/>
          <w:u w:val="single"/>
        </w:rPr>
        <w:lastRenderedPageBreak/>
        <w:t>Total Parenteral Nutrition (</w:t>
      </w:r>
      <w:r w:rsidR="00F47E5C" w:rsidRPr="008F33AD">
        <w:rPr>
          <w:b w:val="0"/>
          <w:i w:val="0"/>
          <w:color w:val="000000"/>
          <w:u w:val="single"/>
        </w:rPr>
        <w:t>TPN</w:t>
      </w:r>
      <w:r w:rsidRPr="008F33AD">
        <w:rPr>
          <w:b w:val="0"/>
          <w:i w:val="0"/>
          <w:color w:val="000000"/>
          <w:u w:val="single"/>
        </w:rPr>
        <w:t>)</w:t>
      </w:r>
    </w:p>
    <w:p w:rsidR="00F47E5C" w:rsidRPr="008F33AD" w:rsidRDefault="00B473BA" w:rsidP="00810F42">
      <w:r w:rsidRPr="008F33AD">
        <w:t>Voriconazole can be infused at the same time as total parenteral nutrition</w:t>
      </w:r>
      <w:r w:rsidR="00F47E5C" w:rsidRPr="008F33AD">
        <w:t xml:space="preserve">, but </w:t>
      </w:r>
      <w:r w:rsidRPr="008F33AD">
        <w:t>must</w:t>
      </w:r>
      <w:r w:rsidR="00F47E5C" w:rsidRPr="008F33AD">
        <w:t xml:space="preserve"> be infused </w:t>
      </w:r>
      <w:r w:rsidRPr="008F33AD">
        <w:t xml:space="preserve">in </w:t>
      </w:r>
      <w:r w:rsidR="003C56EF">
        <w:t xml:space="preserve">a separate line. </w:t>
      </w:r>
      <w:r w:rsidR="00F47E5C" w:rsidRPr="008F33AD">
        <w:t>If infused through a multiple-lumen catheter, TPN needs to be administered using a different port from the one used for voriconazole.</w:t>
      </w:r>
    </w:p>
    <w:p w:rsidR="00B169D2" w:rsidRPr="008F33AD" w:rsidRDefault="00F47E5C" w:rsidP="00810F42">
      <w:r w:rsidRPr="008F33AD">
        <w:t>Voriconazole must not be diluted with 4.2% Sodium Bicarbonate Infusion.</w:t>
      </w:r>
      <w:r w:rsidR="00B169D2" w:rsidRPr="008F33AD">
        <w:t xml:space="preserve"> Compatibility with other concentrations is unknown.</w:t>
      </w:r>
    </w:p>
    <w:p w:rsidR="00B169D2" w:rsidRPr="008F33AD" w:rsidRDefault="00B169D2" w:rsidP="00810F42">
      <w:r w:rsidRPr="008F33AD">
        <w:t>VFEND IV must not be mixed with other medicinal products except those mentioned under Intravenous Administration.</w:t>
      </w:r>
      <w:r w:rsidR="003212EB" w:rsidRPr="008F33AD">
        <w:rPr>
          <w:rStyle w:val="FootnoteReference"/>
          <w:iCs/>
          <w:color w:val="000000"/>
        </w:rPr>
        <w:t xml:space="preserve"> </w:t>
      </w:r>
    </w:p>
    <w:p w:rsidR="00B169D2" w:rsidRPr="008F33AD" w:rsidRDefault="00B169D2" w:rsidP="00F23230">
      <w:pPr>
        <w:pStyle w:val="Heading2"/>
      </w:pPr>
      <w:r w:rsidRPr="008F33AD">
        <w:t xml:space="preserve">Administration &amp; Incompatibilities - Powder for Oral Suspension </w:t>
      </w:r>
    </w:p>
    <w:p w:rsidR="00B169D2" w:rsidRPr="008F33AD" w:rsidRDefault="00B169D2" w:rsidP="00F23230">
      <w:pPr>
        <w:pStyle w:val="Heading3"/>
        <w:rPr>
          <w:bCs/>
        </w:rPr>
      </w:pPr>
      <w:r w:rsidRPr="008F33AD">
        <w:t>Reconstitution</w:t>
      </w:r>
      <w:r w:rsidRPr="008F33AD">
        <w:rPr>
          <w:bCs/>
        </w:rPr>
        <w:t xml:space="preserve"> </w:t>
      </w:r>
      <w:r w:rsidRPr="008F33AD">
        <w:t>Instructions</w:t>
      </w:r>
      <w:r w:rsidRPr="008F33AD">
        <w:rPr>
          <w:bCs/>
        </w:rPr>
        <w:t>:</w:t>
      </w:r>
    </w:p>
    <w:p w:rsidR="00B169D2" w:rsidRPr="008F33AD" w:rsidRDefault="00B169D2" w:rsidP="00C902EF">
      <w:pPr>
        <w:pStyle w:val="ListNumber"/>
        <w:tabs>
          <w:tab w:val="clear" w:pos="357"/>
          <w:tab w:val="clear" w:pos="720"/>
          <w:tab w:val="num" w:pos="284"/>
        </w:tabs>
        <w:ind w:left="341" w:hanging="284"/>
      </w:pPr>
      <w:r w:rsidRPr="008F33AD">
        <w:t>Tap the bottle to release the powder.</w:t>
      </w:r>
    </w:p>
    <w:p w:rsidR="00B169D2" w:rsidRPr="008F33AD" w:rsidRDefault="00B169D2" w:rsidP="00C902EF">
      <w:pPr>
        <w:pStyle w:val="ListNumber"/>
        <w:tabs>
          <w:tab w:val="clear" w:pos="357"/>
          <w:tab w:val="clear" w:pos="720"/>
          <w:tab w:val="num" w:pos="284"/>
        </w:tabs>
        <w:ind w:left="341" w:hanging="284"/>
      </w:pPr>
      <w:r w:rsidRPr="008F33AD">
        <w:t>Add 46 mL of distilled water to the bottle.</w:t>
      </w:r>
    </w:p>
    <w:p w:rsidR="00B169D2" w:rsidRPr="008F33AD" w:rsidRDefault="00B169D2" w:rsidP="00C902EF">
      <w:pPr>
        <w:pStyle w:val="ListNumber"/>
        <w:tabs>
          <w:tab w:val="clear" w:pos="357"/>
          <w:tab w:val="clear" w:pos="720"/>
          <w:tab w:val="num" w:pos="284"/>
        </w:tabs>
        <w:ind w:left="341" w:hanging="284"/>
      </w:pPr>
      <w:r w:rsidRPr="008F33AD">
        <w:t>Shake the closed bottle vigorously for about 1 minute.</w:t>
      </w:r>
    </w:p>
    <w:p w:rsidR="00B169D2" w:rsidRPr="008F33AD" w:rsidRDefault="00B169D2" w:rsidP="00C902EF">
      <w:pPr>
        <w:pStyle w:val="ListNumber"/>
        <w:tabs>
          <w:tab w:val="clear" w:pos="357"/>
          <w:tab w:val="clear" w:pos="720"/>
          <w:tab w:val="num" w:pos="284"/>
        </w:tabs>
        <w:ind w:left="341" w:hanging="284"/>
      </w:pPr>
      <w:r w:rsidRPr="008F33AD">
        <w:t xml:space="preserve">Remove child-resistant cap. Press bottle adaptor into the neck of the bottle and replace cap. </w:t>
      </w:r>
    </w:p>
    <w:p w:rsidR="00B169D2" w:rsidRPr="008F33AD" w:rsidRDefault="00B169D2">
      <w:r w:rsidRPr="008F33AD">
        <w:t xml:space="preserve">Reconstituted VFEND Powder for Oral Suspension should be shaken well before use. </w:t>
      </w:r>
    </w:p>
    <w:p w:rsidR="00B169D2" w:rsidRPr="008F33AD" w:rsidRDefault="00B169D2" w:rsidP="00810F42">
      <w:r w:rsidRPr="008F33AD">
        <w:t>VFEND Powder for Oral Suspension should be administered using the syringe provided in the pack.</w:t>
      </w:r>
    </w:p>
    <w:p w:rsidR="00B169D2" w:rsidRPr="008F33AD" w:rsidRDefault="00B169D2" w:rsidP="00810F42">
      <w:r w:rsidRPr="008F33AD">
        <w:t xml:space="preserve">VFEND Powder for Oral Suspension should not be mixed with any other medication. </w:t>
      </w:r>
      <w:r w:rsidR="0051187A">
        <w:t xml:space="preserve"> </w:t>
      </w:r>
      <w:r w:rsidRPr="008F33AD">
        <w:t>It is not intended that the reconstituted suspension be further diluted with water or other vehicles.</w:t>
      </w:r>
    </w:p>
    <w:p w:rsidR="00B169D2" w:rsidRPr="00AF6ADF" w:rsidRDefault="00B169D2" w:rsidP="00F23230">
      <w:pPr>
        <w:pStyle w:val="Heading1"/>
      </w:pPr>
      <w:r w:rsidRPr="00AF6ADF">
        <w:t>OVERDOS</w:t>
      </w:r>
      <w:r w:rsidR="008E70D6" w:rsidRPr="00AF6ADF">
        <w:t>AG</w:t>
      </w:r>
      <w:r w:rsidRPr="00AF6ADF">
        <w:t>E</w:t>
      </w:r>
    </w:p>
    <w:p w:rsidR="00807E6B" w:rsidRPr="008F33AD" w:rsidRDefault="00807E6B" w:rsidP="00810F42">
      <w:pPr>
        <w:rPr>
          <w:snapToGrid w:val="0"/>
        </w:rPr>
      </w:pPr>
      <w:r w:rsidRPr="008F33AD">
        <w:rPr>
          <w:snapToGrid w:val="0"/>
        </w:rPr>
        <w:t>Clinical data on overdose with this agent is scant.</w:t>
      </w:r>
    </w:p>
    <w:p w:rsidR="00B169D2" w:rsidRPr="008F33AD" w:rsidRDefault="00B169D2" w:rsidP="00810F42">
      <w:pPr>
        <w:rPr>
          <w:snapToGrid w:val="0"/>
        </w:rPr>
      </w:pPr>
      <w:r w:rsidRPr="008F33AD">
        <w:rPr>
          <w:snapToGrid w:val="0"/>
        </w:rPr>
        <w:t xml:space="preserve">In clinical trials there were </w:t>
      </w:r>
      <w:r w:rsidR="00D8653A" w:rsidRPr="008F33AD">
        <w:rPr>
          <w:snapToGrid w:val="0"/>
        </w:rPr>
        <w:t xml:space="preserve">three </w:t>
      </w:r>
      <w:r w:rsidRPr="008F33AD">
        <w:rPr>
          <w:snapToGrid w:val="0"/>
        </w:rPr>
        <w:t>cases of acciden</w:t>
      </w:r>
      <w:r w:rsidR="003C56EF">
        <w:rPr>
          <w:snapToGrid w:val="0"/>
        </w:rPr>
        <w:t xml:space="preserve">tal overdose. </w:t>
      </w:r>
      <w:r w:rsidRPr="008F33AD">
        <w:rPr>
          <w:snapToGrid w:val="0"/>
        </w:rPr>
        <w:t>All occurred in paediatric patients, who received up to five times the recommended intravenous dose of voriconazole.  A single adverse event of photophobia of 10</w:t>
      </w:r>
      <w:r w:rsidR="00D8653A" w:rsidRPr="008F33AD">
        <w:rPr>
          <w:snapToGrid w:val="0"/>
        </w:rPr>
        <w:t> </w:t>
      </w:r>
      <w:r w:rsidRPr="008F33AD">
        <w:rPr>
          <w:snapToGrid w:val="0"/>
        </w:rPr>
        <w:t>minutes duration was reported.</w:t>
      </w:r>
    </w:p>
    <w:p w:rsidR="00B169D2" w:rsidRPr="008F33AD" w:rsidRDefault="00B169D2" w:rsidP="00810F42">
      <w:r w:rsidRPr="008F33AD">
        <w:t>There is no k</w:t>
      </w:r>
      <w:r w:rsidR="003C56EF">
        <w:t xml:space="preserve">nown antidote to voriconazole. </w:t>
      </w:r>
      <w:r w:rsidRPr="008F33AD">
        <w:t>It is recommended that treatment of overdose is symptomatic and supportive.</w:t>
      </w:r>
    </w:p>
    <w:p w:rsidR="003532DB" w:rsidRPr="008F33AD" w:rsidRDefault="003532DB" w:rsidP="00810F42">
      <w:r w:rsidRPr="008F33AD">
        <w:t xml:space="preserve">Monitor potassium, full blood count and liver function following an overdose. </w:t>
      </w:r>
    </w:p>
    <w:p w:rsidR="006725AA" w:rsidRPr="008F33AD" w:rsidRDefault="006725AA" w:rsidP="00810F42">
      <w:r w:rsidRPr="008F33AD">
        <w:t>Consider administration of activated charcoal in the event of a potentially toxic ingestion.</w:t>
      </w:r>
      <w:r w:rsidR="003532DB" w:rsidRPr="008F33AD">
        <w:t xml:space="preserve"> </w:t>
      </w:r>
      <w:r w:rsidRPr="008F33AD">
        <w:rPr>
          <w:i/>
        </w:rPr>
        <w:t xml:space="preserve"> </w:t>
      </w:r>
      <w:r w:rsidRPr="008F33AD">
        <w:t>Activated charcoal is most effec</w:t>
      </w:r>
      <w:r w:rsidR="003532DB" w:rsidRPr="008F33AD">
        <w:t xml:space="preserve">tive when administered within one </w:t>
      </w:r>
      <w:r w:rsidRPr="008F33AD">
        <w:t>hour</w:t>
      </w:r>
      <w:r w:rsidRPr="008F33AD">
        <w:rPr>
          <w:b/>
        </w:rPr>
        <w:t xml:space="preserve"> </w:t>
      </w:r>
      <w:r w:rsidRPr="008F33AD">
        <w:t xml:space="preserve">of ingestion. In patients who are not fully conscious or have impaired gag reflex, consideration should be given to administering activated charcoal via nasogastric tube once the airway is protected. </w:t>
      </w:r>
    </w:p>
    <w:p w:rsidR="00776680" w:rsidRPr="008F33AD" w:rsidRDefault="00B169D2" w:rsidP="00810F42">
      <w:r w:rsidRPr="008F33AD">
        <w:t>Voriconazole is haemodialysed w</w:t>
      </w:r>
      <w:r w:rsidR="003C56EF">
        <w:t xml:space="preserve">ith a clearance of 121 mL/min. </w:t>
      </w:r>
      <w:r w:rsidRPr="008F33AD">
        <w:t xml:space="preserve">The intravenous vehicle, SBECD, is haemodialysed </w:t>
      </w:r>
      <w:r w:rsidR="003C56EF">
        <w:t xml:space="preserve">with a clearance of 55 mL/min. </w:t>
      </w:r>
      <w:r w:rsidRPr="008F33AD">
        <w:t>In an overdose, haemodialysis may assist in the removal of voriconazole and SBECD from the body.</w:t>
      </w:r>
    </w:p>
    <w:p w:rsidR="00776680" w:rsidRPr="008F33AD" w:rsidRDefault="006725AA" w:rsidP="00810F42">
      <w:r w:rsidRPr="008F33AD">
        <w:lastRenderedPageBreak/>
        <w:t xml:space="preserve">Contact the Poisons Information Centre </w:t>
      </w:r>
      <w:r w:rsidR="007152A8" w:rsidRPr="008F33AD">
        <w:t xml:space="preserve">on 13 11 26 </w:t>
      </w:r>
      <w:r w:rsidRPr="008F33AD">
        <w:t>for advice on the management of an overdose.</w:t>
      </w:r>
    </w:p>
    <w:p w:rsidR="00B169D2" w:rsidRPr="00AF6ADF" w:rsidRDefault="00B169D2" w:rsidP="00F23230">
      <w:pPr>
        <w:pStyle w:val="Heading1"/>
      </w:pPr>
      <w:r w:rsidRPr="00AF6ADF">
        <w:t>PRESENTATION</w:t>
      </w:r>
      <w:r w:rsidR="00C4208C" w:rsidRPr="00AF6ADF">
        <w:t xml:space="preserve"> AND STORAGE CONDITIONS</w:t>
      </w:r>
    </w:p>
    <w:p w:rsidR="00B169D2" w:rsidRPr="008F33AD" w:rsidRDefault="00F23230" w:rsidP="00F23230">
      <w:pPr>
        <w:pStyle w:val="Heading2"/>
      </w:pPr>
      <w:r>
        <w:t>VFEND Tablets</w:t>
      </w:r>
    </w:p>
    <w:p w:rsidR="00B169D2" w:rsidRPr="008F33AD" w:rsidRDefault="00B169D2" w:rsidP="00810F42">
      <w:r w:rsidRPr="008F33AD">
        <w:t>VFEND 50 mg film-coated tablets are white, round tablets, debossed “Pfizer” on one side and “VOR50” on the reverse.</w:t>
      </w:r>
    </w:p>
    <w:p w:rsidR="00B169D2" w:rsidRPr="008F33AD" w:rsidRDefault="00B169D2" w:rsidP="00810F42">
      <w:r w:rsidRPr="008F33AD">
        <w:t>VFEND 200 mg film-coated tablets are white, capsule-shaped tablets, debossed “Pfizer” on one side and “VOR200” on the reverse.</w:t>
      </w:r>
    </w:p>
    <w:p w:rsidR="00B169D2" w:rsidRPr="008F33AD" w:rsidRDefault="00B169D2" w:rsidP="00810F42">
      <w:r w:rsidRPr="008F33AD">
        <w:t>PVC / Aluminium blister</w:t>
      </w:r>
      <w:r w:rsidR="00C36D28" w:rsidRPr="008F33AD">
        <w:t>s</w:t>
      </w:r>
      <w:r w:rsidRPr="008F33AD">
        <w:t xml:space="preserve"> of 2, 10, 14, 20, 28, 30, 50, 56 and 100</w:t>
      </w:r>
      <w:r w:rsidR="00D814E8" w:rsidRPr="008F33AD">
        <w:t xml:space="preserve"> tablets</w:t>
      </w:r>
      <w:r w:rsidR="00C36D28" w:rsidRPr="008F33AD">
        <w:t xml:space="preserve"> in cartons</w:t>
      </w:r>
      <w:r w:rsidRPr="008F33AD">
        <w:t>.  Not all pack sizes may be marketed.</w:t>
      </w:r>
    </w:p>
    <w:p w:rsidR="00B169D2" w:rsidRPr="008F33AD" w:rsidRDefault="00F23230">
      <w:pPr>
        <w:pStyle w:val="Heading2"/>
      </w:pPr>
      <w:r>
        <w:t>VFEND IV</w:t>
      </w:r>
    </w:p>
    <w:p w:rsidR="00B169D2" w:rsidRPr="008F33AD" w:rsidRDefault="00B169D2" w:rsidP="00810F42">
      <w:r w:rsidRPr="008F33AD">
        <w:t>VFEND IV 200 mg/vial is supplied as a sterile lyophilised powder in single use 30 mL clear glass vials.  Packs of 1.</w:t>
      </w:r>
    </w:p>
    <w:p w:rsidR="00B169D2" w:rsidRPr="008F33AD" w:rsidRDefault="00B169D2" w:rsidP="005F1AEF">
      <w:pPr>
        <w:pStyle w:val="Heading2"/>
        <w:keepLines/>
      </w:pPr>
      <w:r w:rsidRPr="008F33AD">
        <w:t>VFEND Powder for Oral Suspension</w:t>
      </w:r>
    </w:p>
    <w:p w:rsidR="00B169D2" w:rsidRPr="008F33AD" w:rsidRDefault="00B169D2" w:rsidP="00810F42">
      <w:r w:rsidRPr="008F33AD">
        <w:t xml:space="preserve">VFEND Powder for Oral Suspension is supplied in a 100 mL HDPE bottle. Each bottle contains 45 g of powder for oral suspension, providing a usable volume of 70 mL of suspension at a voriconazole concentration of 40 mg/mL following reconstitution. </w:t>
      </w:r>
    </w:p>
    <w:p w:rsidR="00B169D2" w:rsidRDefault="00B169D2">
      <w:r w:rsidRPr="008F33AD">
        <w:t>A 5 mL syringe dispenser and a press-in bottle adaptor are also provided.</w:t>
      </w:r>
    </w:p>
    <w:p w:rsidR="00C4208C" w:rsidRPr="008F33AD" w:rsidRDefault="00C4208C" w:rsidP="00F23230">
      <w:pPr>
        <w:pStyle w:val="Heading2"/>
      </w:pPr>
      <w:r w:rsidRPr="008F33AD">
        <w:t>Storage</w:t>
      </w:r>
    </w:p>
    <w:p w:rsidR="00C4208C" w:rsidRPr="008F33AD" w:rsidRDefault="00C4208C" w:rsidP="00810F42">
      <w:r w:rsidRPr="008F33AD">
        <w:t>VFEND IV is a single dose unpreserved sterile lyophile powder that should be stored below 30</w:t>
      </w:r>
      <w:r w:rsidRPr="008F33AD">
        <w:sym w:font="Symbol" w:char="F0B0"/>
      </w:r>
      <w:r w:rsidRPr="008F33AD">
        <w:t>C.</w:t>
      </w:r>
    </w:p>
    <w:p w:rsidR="00C4208C" w:rsidRPr="008F33AD" w:rsidRDefault="00C4208C" w:rsidP="00810F42">
      <w:r w:rsidRPr="008F33AD">
        <w:t>Following reconstitution of the lyophile with Water for Injections to 10 mg/mL, VFEND reconstituted concentrate can be stored at 2</w:t>
      </w:r>
      <w:r w:rsidRPr="008F33AD">
        <w:sym w:font="Symbol" w:char="F0B0"/>
      </w:r>
      <w:r w:rsidRPr="008F33AD">
        <w:t>C to 8</w:t>
      </w:r>
      <w:r w:rsidRPr="008F33AD">
        <w:sym w:font="Symbol" w:char="F0B0"/>
      </w:r>
      <w:r w:rsidRPr="008F33AD">
        <w:t xml:space="preserve">C in a refrigerator for up to 24 hours prior to use (see </w:t>
      </w:r>
      <w:r w:rsidRPr="008F33AD">
        <w:rPr>
          <w:b/>
          <w:bCs/>
        </w:rPr>
        <w:t xml:space="preserve">DOSAGE AND ADMINISTRATION, </w:t>
      </w:r>
      <w:r w:rsidRPr="008F33AD">
        <w:rPr>
          <w:b/>
          <w:bCs/>
          <w:i/>
          <w:iCs/>
        </w:rPr>
        <w:t>Intravenous Administration</w:t>
      </w:r>
      <w:r w:rsidRPr="008F33AD">
        <w:t>).</w:t>
      </w:r>
    </w:p>
    <w:p w:rsidR="00C4208C" w:rsidRDefault="00C4208C" w:rsidP="00810F42">
      <w:r w:rsidRPr="008F33AD">
        <w:t>VFEND Powder for Oral Suspension should be stored at 2</w:t>
      </w:r>
      <w:r w:rsidRPr="008F33AD">
        <w:sym w:font="Symbol" w:char="F0B0"/>
      </w:r>
      <w:r w:rsidRPr="008F33AD">
        <w:t>C to 8</w:t>
      </w:r>
      <w:r w:rsidRPr="008F33AD">
        <w:sym w:font="Symbol" w:char="F0B0"/>
      </w:r>
      <w:r w:rsidRPr="008F33AD">
        <w:t>C (in a refrigerator) before reconstitution.  Store reconstituted suspension below 30</w:t>
      </w:r>
      <w:r w:rsidRPr="008F33AD">
        <w:sym w:font="Symbol" w:char="F0B0"/>
      </w:r>
      <w:r w:rsidRPr="008F33AD">
        <w:t>C.</w:t>
      </w:r>
      <w:r>
        <w:t xml:space="preserve"> </w:t>
      </w:r>
      <w:r w:rsidRPr="008F33AD">
        <w:t xml:space="preserve"> Discard suspension 14 days after reconstitution. </w:t>
      </w:r>
    </w:p>
    <w:p w:rsidR="00EF1144" w:rsidRPr="00EB3940" w:rsidRDefault="00EF1144" w:rsidP="00F23230">
      <w:pPr>
        <w:pStyle w:val="Heading1"/>
      </w:pPr>
      <w:r w:rsidRPr="00EB3940">
        <w:t xml:space="preserve">NAME AND ADDRESS OF </w:t>
      </w:r>
      <w:r>
        <w:t xml:space="preserve">THE </w:t>
      </w:r>
      <w:r w:rsidRPr="00EB3940">
        <w:t>SPONSOR</w:t>
      </w:r>
    </w:p>
    <w:p w:rsidR="00EF1144" w:rsidRPr="008F33AD" w:rsidRDefault="00EF1144" w:rsidP="00EF1144">
      <w:pPr>
        <w:pStyle w:val="PINormal"/>
        <w:jc w:val="left"/>
      </w:pPr>
      <w:r w:rsidRPr="008F33AD">
        <w:t>Pfizer Australia Pty Limited</w:t>
      </w:r>
      <w:r w:rsidRPr="008F33AD">
        <w:br/>
        <w:t>ABN 50 008 422 348</w:t>
      </w:r>
      <w:r w:rsidRPr="008F33AD">
        <w:br/>
        <w:t>38-42 Wharf Road</w:t>
      </w:r>
      <w:r w:rsidRPr="008F33AD">
        <w:br/>
        <w:t>West Ryde NSW 2114</w:t>
      </w:r>
      <w:r w:rsidRPr="008F33AD">
        <w:br/>
        <w:t>Australia</w:t>
      </w:r>
    </w:p>
    <w:p w:rsidR="00446D66" w:rsidRDefault="00446D66" w:rsidP="00F23230">
      <w:pPr>
        <w:pStyle w:val="Heading1"/>
        <w:rPr>
          <w:lang w:val="en-US"/>
        </w:rPr>
      </w:pPr>
      <w:r>
        <w:t>Poison schedule</w:t>
      </w:r>
      <w:r w:rsidR="00EF1144">
        <w:t xml:space="preserve"> OF THE MEDICINE</w:t>
      </w:r>
    </w:p>
    <w:p w:rsidR="00446D66" w:rsidRDefault="00446D66" w:rsidP="00446D66">
      <w:pPr>
        <w:pStyle w:val="PINormal"/>
      </w:pPr>
      <w:r>
        <w:t>S4</w:t>
      </w:r>
      <w:r w:rsidR="00EF1144">
        <w:t xml:space="preserve"> (Prescription Medicine)</w:t>
      </w:r>
      <w:r>
        <w:t>.</w:t>
      </w:r>
    </w:p>
    <w:p w:rsidR="00B169D2" w:rsidRPr="008F33AD" w:rsidRDefault="00B169D2" w:rsidP="00F23230">
      <w:pPr>
        <w:pStyle w:val="Heading1"/>
      </w:pPr>
      <w:r w:rsidRPr="008F33AD">
        <w:lastRenderedPageBreak/>
        <w:t xml:space="preserve">DATE OF </w:t>
      </w:r>
      <w:r w:rsidR="00EF1144">
        <w:t>FIRST INCLUSION IN THE AUSTRALIAN REGISTER OF THERAPEUTIC GOODS (THE ARTG)</w:t>
      </w:r>
      <w:r w:rsidRPr="008F33AD">
        <w:t xml:space="preserve"> </w:t>
      </w:r>
    </w:p>
    <w:p w:rsidR="00B169D2" w:rsidRDefault="00EF1144" w:rsidP="00E36710">
      <w:pPr>
        <w:pStyle w:val="PINormal"/>
      </w:pPr>
      <w:r>
        <w:t>13 September 2002</w:t>
      </w:r>
      <w:r w:rsidR="0051187A">
        <w:t>.</w:t>
      </w:r>
    </w:p>
    <w:p w:rsidR="00EF1144" w:rsidRDefault="00EF1144" w:rsidP="00F23230">
      <w:pPr>
        <w:pStyle w:val="Heading1"/>
      </w:pPr>
      <w:r>
        <w:t>DATE OF MOST RECENT AMENDMENT</w:t>
      </w:r>
    </w:p>
    <w:p w:rsidR="001B513B" w:rsidRPr="00E36710" w:rsidRDefault="00E36710" w:rsidP="00E36710">
      <w:pPr>
        <w:pStyle w:val="PINormal"/>
      </w:pPr>
      <w:r>
        <w:t>11 January 2013</w:t>
      </w:r>
    </w:p>
    <w:p w:rsidR="00B169D2" w:rsidRPr="008F33AD" w:rsidRDefault="00B169D2">
      <w:pPr>
        <w:jc w:val="left"/>
      </w:pPr>
      <w:r w:rsidRPr="00453D8B">
        <w:t xml:space="preserve">* </w:t>
      </w:r>
      <w:r w:rsidRPr="008F33AD">
        <w:t>Please note change</w:t>
      </w:r>
      <w:r w:rsidR="007E5A28">
        <w:t>(</w:t>
      </w:r>
      <w:r w:rsidRPr="008F33AD">
        <w:t>s</w:t>
      </w:r>
      <w:r w:rsidR="007E5A28">
        <w:t>)</w:t>
      </w:r>
      <w:r w:rsidRPr="008F33AD">
        <w:t xml:space="preserve"> in Product Information</w:t>
      </w:r>
      <w:r w:rsidR="00CE43C3" w:rsidRPr="008F33AD">
        <w:t>.</w:t>
      </w:r>
    </w:p>
    <w:sectPr w:rsidR="00B169D2" w:rsidRPr="008F33AD" w:rsidSect="00B5686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283" w:footer="720" w:gutter="0"/>
      <w:paperSrc w:first="259" w:other="25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611" w:rsidRDefault="00D24611">
      <w:r>
        <w:separator/>
      </w:r>
    </w:p>
  </w:endnote>
  <w:endnote w:type="continuationSeparator" w:id="0">
    <w:p w:rsidR="00D24611" w:rsidRDefault="00D246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E4" w:rsidRDefault="000E0D57">
    <w:pPr>
      <w:pStyle w:val="Footer"/>
      <w:framePr w:wrap="around" w:vAnchor="text" w:hAnchor="margin" w:xAlign="right" w:y="1"/>
      <w:rPr>
        <w:rStyle w:val="PageNumber"/>
      </w:rPr>
    </w:pPr>
    <w:r>
      <w:rPr>
        <w:rStyle w:val="PageNumber"/>
      </w:rPr>
      <w:fldChar w:fldCharType="begin"/>
    </w:r>
    <w:r w:rsidR="00625FE4">
      <w:rPr>
        <w:rStyle w:val="PageNumber"/>
      </w:rPr>
      <w:instrText xml:space="preserve">PAGE  </w:instrText>
    </w:r>
    <w:r>
      <w:rPr>
        <w:rStyle w:val="PageNumber"/>
      </w:rPr>
      <w:fldChar w:fldCharType="separate"/>
    </w:r>
    <w:r w:rsidR="00625FE4">
      <w:rPr>
        <w:rStyle w:val="PageNumber"/>
        <w:noProof/>
      </w:rPr>
      <w:t>32</w:t>
    </w:r>
    <w:r>
      <w:rPr>
        <w:rStyle w:val="PageNumber"/>
      </w:rPr>
      <w:fldChar w:fldCharType="end"/>
    </w:r>
  </w:p>
  <w:p w:rsidR="00625FE4" w:rsidRDefault="00625FE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E4" w:rsidRPr="00BB6EA3" w:rsidRDefault="00625FE4" w:rsidP="001211C6">
    <w:pPr>
      <w:pStyle w:val="Footer"/>
      <w:tabs>
        <w:tab w:val="clear" w:pos="9923"/>
        <w:tab w:val="right" w:pos="8931"/>
      </w:tabs>
      <w:rPr>
        <w:rStyle w:val="PageNumber"/>
        <w:rFonts w:ascii="Arial" w:hAnsi="Arial"/>
        <w:sz w:val="16"/>
        <w:lang w:val="fr-FR"/>
      </w:rPr>
    </w:pPr>
    <w:r w:rsidRPr="00BB6EA3">
      <w:rPr>
        <w:rFonts w:ascii="Arial" w:hAnsi="Arial"/>
        <w:sz w:val="16"/>
        <w:lang w:val="fr-FR"/>
      </w:rPr>
      <w:t>Version:</w:t>
    </w:r>
    <w:r>
      <w:rPr>
        <w:rFonts w:ascii="Arial" w:hAnsi="Arial"/>
        <w:sz w:val="16"/>
        <w:lang w:val="fr-FR"/>
      </w:rPr>
      <w:t xml:space="preserve"> pfpvfend10113</w:t>
    </w:r>
    <w:r w:rsidRPr="00BB6EA3">
      <w:rPr>
        <w:rFonts w:ascii="Arial" w:hAnsi="Arial"/>
        <w:sz w:val="16"/>
        <w:lang w:val="fr-FR"/>
      </w:rPr>
      <w:tab/>
    </w:r>
    <w:r w:rsidRPr="00BB6EA3">
      <w:rPr>
        <w:rStyle w:val="PageNumber"/>
        <w:rFonts w:ascii="Arial" w:hAnsi="Arial"/>
        <w:sz w:val="16"/>
        <w:lang w:val="fr-FR"/>
      </w:rPr>
      <w:t xml:space="preserve">Supersedes: </w:t>
    </w:r>
    <w:r w:rsidRPr="00BB6EA3">
      <w:rPr>
        <w:rFonts w:ascii="Arial" w:hAnsi="Arial"/>
        <w:sz w:val="16"/>
        <w:lang w:val="fr-FR"/>
      </w:rPr>
      <w:t>pfpvfend</w:t>
    </w:r>
    <w:r>
      <w:rPr>
        <w:rFonts w:ascii="Arial" w:hAnsi="Arial"/>
        <w:color w:val="000000"/>
        <w:sz w:val="16"/>
        <w:lang w:val="fr-FR"/>
      </w:rPr>
      <w:t>10712</w:t>
    </w:r>
  </w:p>
  <w:p w:rsidR="00625FE4" w:rsidRDefault="00625FE4">
    <w:pPr>
      <w:pStyle w:val="Footer"/>
      <w:tabs>
        <w:tab w:val="clear" w:pos="9923"/>
        <w:tab w:val="right" w:pos="8931"/>
      </w:tabs>
      <w:rPr>
        <w:lang w:val="fr-FR"/>
      </w:rPr>
    </w:pPr>
    <w:r w:rsidRPr="00BB6EA3">
      <w:rPr>
        <w:rStyle w:val="PageNumber"/>
        <w:rFonts w:ascii="Arial" w:hAnsi="Arial"/>
        <w:sz w:val="16"/>
        <w:lang w:val="fr-FR"/>
      </w:rPr>
      <w:tab/>
      <w:t xml:space="preserve">Page </w:t>
    </w:r>
    <w:r w:rsidR="000E0D57">
      <w:rPr>
        <w:rStyle w:val="PageNumber"/>
        <w:rFonts w:ascii="Arial" w:hAnsi="Arial"/>
        <w:sz w:val="16"/>
        <w:lang w:val="en-US"/>
      </w:rPr>
      <w:fldChar w:fldCharType="begin"/>
    </w:r>
    <w:r w:rsidRPr="00BB6EA3">
      <w:rPr>
        <w:rStyle w:val="PageNumber"/>
        <w:rFonts w:ascii="Arial" w:hAnsi="Arial"/>
        <w:sz w:val="16"/>
        <w:lang w:val="fr-FR"/>
      </w:rPr>
      <w:instrText xml:space="preserve"> PAGE </w:instrText>
    </w:r>
    <w:r w:rsidR="000E0D57">
      <w:rPr>
        <w:rStyle w:val="PageNumber"/>
        <w:rFonts w:ascii="Arial" w:hAnsi="Arial"/>
        <w:sz w:val="16"/>
        <w:lang w:val="en-US"/>
      </w:rPr>
      <w:fldChar w:fldCharType="separate"/>
    </w:r>
    <w:r w:rsidR="0013489D">
      <w:rPr>
        <w:rStyle w:val="PageNumber"/>
        <w:rFonts w:ascii="Arial" w:hAnsi="Arial"/>
        <w:noProof/>
        <w:sz w:val="16"/>
        <w:lang w:val="fr-FR"/>
      </w:rPr>
      <w:t>1</w:t>
    </w:r>
    <w:r w:rsidR="000E0D57">
      <w:rPr>
        <w:rStyle w:val="PageNumber"/>
        <w:rFonts w:ascii="Arial" w:hAnsi="Arial"/>
        <w:sz w:val="16"/>
        <w:lang w:val="en-US"/>
      </w:rPr>
      <w:fldChar w:fldCharType="end"/>
    </w:r>
    <w:r w:rsidRPr="00BB6EA3">
      <w:rPr>
        <w:rStyle w:val="PageNumber"/>
        <w:rFonts w:ascii="Arial" w:hAnsi="Arial"/>
        <w:sz w:val="16"/>
        <w:lang w:val="fr-FR"/>
      </w:rPr>
      <w:t xml:space="preserve"> of </w:t>
    </w:r>
    <w:r w:rsidR="000E0D57">
      <w:rPr>
        <w:rStyle w:val="PageNumber"/>
        <w:rFonts w:ascii="Arial" w:hAnsi="Arial"/>
        <w:sz w:val="16"/>
        <w:lang w:val="en-US"/>
      </w:rPr>
      <w:fldChar w:fldCharType="begin"/>
    </w:r>
    <w:r w:rsidRPr="00BB6EA3">
      <w:rPr>
        <w:rStyle w:val="PageNumber"/>
        <w:rFonts w:ascii="Arial" w:hAnsi="Arial"/>
        <w:sz w:val="16"/>
        <w:lang w:val="fr-FR"/>
      </w:rPr>
      <w:instrText xml:space="preserve"> NUMPAGES </w:instrText>
    </w:r>
    <w:r w:rsidR="000E0D57">
      <w:rPr>
        <w:rStyle w:val="PageNumber"/>
        <w:rFonts w:ascii="Arial" w:hAnsi="Arial"/>
        <w:sz w:val="16"/>
        <w:lang w:val="en-US"/>
      </w:rPr>
      <w:fldChar w:fldCharType="separate"/>
    </w:r>
    <w:r w:rsidR="0013489D">
      <w:rPr>
        <w:rStyle w:val="PageNumber"/>
        <w:rFonts w:ascii="Arial" w:hAnsi="Arial"/>
        <w:noProof/>
        <w:sz w:val="16"/>
        <w:lang w:val="fr-FR"/>
      </w:rPr>
      <w:t>35</w:t>
    </w:r>
    <w:r w:rsidR="000E0D57">
      <w:rPr>
        <w:rStyle w:val="PageNumber"/>
        <w:rFonts w:ascii="Arial" w:hAnsi="Arial"/>
        <w:sz w:val="16"/>
        <w:lang w:val="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9D" w:rsidRDefault="001348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611" w:rsidRDefault="00D24611">
      <w:r>
        <w:separator/>
      </w:r>
    </w:p>
  </w:footnote>
  <w:footnote w:type="continuationSeparator" w:id="0">
    <w:p w:rsidR="00D24611" w:rsidRDefault="00D24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9D" w:rsidRDefault="001348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61" w:rsidRPr="00B56861" w:rsidRDefault="00B56861" w:rsidP="00BA1B68">
    <w:pPr>
      <w:pBdr>
        <w:top w:val="single" w:sz="4" w:space="1" w:color="auto"/>
        <w:left w:val="single" w:sz="4" w:space="4" w:color="auto"/>
        <w:bottom w:val="single" w:sz="4" w:space="1" w:color="auto"/>
        <w:right w:val="single" w:sz="4" w:space="4" w:color="auto"/>
      </w:pBdr>
      <w:shd w:val="clear" w:color="auto" w:fill="E4F2E0"/>
      <w:spacing w:before="40" w:after="40" w:line="240" w:lineRule="atLeast"/>
      <w:rPr>
        <w:rFonts w:ascii="Cambria" w:eastAsiaTheme="minorEastAsia" w:hAnsi="Cambria"/>
        <w:b/>
        <w:sz w:val="20"/>
        <w:lang w:val="en-AU" w:eastAsia="en-AU"/>
      </w:rPr>
    </w:pPr>
    <w:r w:rsidRPr="00B56861">
      <w:rPr>
        <w:rFonts w:ascii="Cambria" w:eastAsiaTheme="minorEastAsia" w:hAnsi="Cambria"/>
        <w:b/>
        <w:sz w:val="20"/>
        <w:lang w:val="en-AU" w:eastAsia="en-AU"/>
      </w:rPr>
      <w:t xml:space="preserve">Attachment 1: Product information for </w:t>
    </w:r>
    <w:r w:rsidR="00BA1B68" w:rsidRPr="00BA1B68">
      <w:rPr>
        <w:rFonts w:ascii="Cambria" w:hAnsi="Cambria"/>
        <w:b/>
        <w:sz w:val="20"/>
      </w:rPr>
      <w:t>AusPAR Vfend Voriconazole Pfizer Australia Pty Ltd PM-2011-03524-3-2</w:t>
    </w:r>
    <w:r w:rsidR="00BA1B68">
      <w:rPr>
        <w:rFonts w:ascii="Cambria" w:hAnsi="Cambria"/>
        <w:b/>
        <w:sz w:val="20"/>
      </w:rPr>
      <w:t xml:space="preserve"> d</w:t>
    </w:r>
    <w:r w:rsidR="00BA1B68" w:rsidRPr="00BA1B68">
      <w:rPr>
        <w:rFonts w:ascii="Cambria" w:hAnsi="Cambria"/>
        <w:b/>
        <w:sz w:val="20"/>
      </w:rPr>
      <w:t xml:space="preserve">ate of finalisation </w:t>
    </w:r>
    <w:r w:rsidR="0013489D">
      <w:rPr>
        <w:rFonts w:ascii="Cambria" w:hAnsi="Cambria"/>
        <w:b/>
        <w:sz w:val="20"/>
      </w:rPr>
      <w:t xml:space="preserve">21 </w:t>
    </w:r>
    <w:r w:rsidR="00BA1B68" w:rsidRPr="00BA1B68">
      <w:rPr>
        <w:rFonts w:ascii="Cambria" w:hAnsi="Cambria"/>
        <w:b/>
        <w:sz w:val="20"/>
      </w:rPr>
      <w:t>May 2013</w:t>
    </w:r>
    <w:r w:rsidRPr="00B56861">
      <w:rPr>
        <w:rFonts w:ascii="Cambria" w:eastAsiaTheme="minorEastAsia" w:hAnsi="Cambria"/>
        <w:b/>
        <w:sz w:val="20"/>
        <w:lang w:val="en-AU" w:eastAsia="en-AU"/>
      </w:rPr>
      <w:t>. This Product Information was approved at the time this AusPAR was published.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9D" w:rsidRDefault="001348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B9E6F3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2B2349"/>
    <w:multiLevelType w:val="hybridMultilevel"/>
    <w:tmpl w:val="DB748B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EA506D"/>
    <w:multiLevelType w:val="hybridMultilevel"/>
    <w:tmpl w:val="308CE41C"/>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activeWritingStyle w:appName="MSWord" w:lang="en-AU" w:vendorID="8" w:dllVersion="513" w:checkStyle="1"/>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defaultTabStop w:val="720"/>
  <w:doNotHyphenateCaps/>
  <w:drawingGridHorizontalSpacing w:val="12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rsids>
    <w:rsidRoot w:val="009B11FB"/>
    <w:rsid w:val="00002FD4"/>
    <w:rsid w:val="00007066"/>
    <w:rsid w:val="00010F8B"/>
    <w:rsid w:val="00011038"/>
    <w:rsid w:val="00011A36"/>
    <w:rsid w:val="00012B05"/>
    <w:rsid w:val="00012DDF"/>
    <w:rsid w:val="0001340B"/>
    <w:rsid w:val="00014500"/>
    <w:rsid w:val="000153DC"/>
    <w:rsid w:val="00021923"/>
    <w:rsid w:val="00021AA3"/>
    <w:rsid w:val="00023756"/>
    <w:rsid w:val="00025255"/>
    <w:rsid w:val="000259AE"/>
    <w:rsid w:val="00026556"/>
    <w:rsid w:val="00027A2E"/>
    <w:rsid w:val="0003560F"/>
    <w:rsid w:val="00040837"/>
    <w:rsid w:val="00042771"/>
    <w:rsid w:val="00043177"/>
    <w:rsid w:val="0005048C"/>
    <w:rsid w:val="00050A82"/>
    <w:rsid w:val="000515F1"/>
    <w:rsid w:val="00051CAF"/>
    <w:rsid w:val="00061555"/>
    <w:rsid w:val="00064618"/>
    <w:rsid w:val="000662D0"/>
    <w:rsid w:val="000663B8"/>
    <w:rsid w:val="00067DEA"/>
    <w:rsid w:val="00070ED3"/>
    <w:rsid w:val="00075E9B"/>
    <w:rsid w:val="00076C31"/>
    <w:rsid w:val="000772FF"/>
    <w:rsid w:val="00082670"/>
    <w:rsid w:val="000833D1"/>
    <w:rsid w:val="0008500C"/>
    <w:rsid w:val="00087E25"/>
    <w:rsid w:val="00092AF8"/>
    <w:rsid w:val="00092F10"/>
    <w:rsid w:val="0009466E"/>
    <w:rsid w:val="00096508"/>
    <w:rsid w:val="00096CBB"/>
    <w:rsid w:val="00097A7C"/>
    <w:rsid w:val="000A114C"/>
    <w:rsid w:val="000A2134"/>
    <w:rsid w:val="000A38F3"/>
    <w:rsid w:val="000A396F"/>
    <w:rsid w:val="000B008D"/>
    <w:rsid w:val="000B221E"/>
    <w:rsid w:val="000B3B62"/>
    <w:rsid w:val="000B5E2A"/>
    <w:rsid w:val="000B6A0E"/>
    <w:rsid w:val="000C2EBA"/>
    <w:rsid w:val="000D0678"/>
    <w:rsid w:val="000D3ADA"/>
    <w:rsid w:val="000D4D68"/>
    <w:rsid w:val="000D54EE"/>
    <w:rsid w:val="000D7AD6"/>
    <w:rsid w:val="000E04E3"/>
    <w:rsid w:val="000E0D57"/>
    <w:rsid w:val="000E218C"/>
    <w:rsid w:val="000E4108"/>
    <w:rsid w:val="000E4850"/>
    <w:rsid w:val="000E6546"/>
    <w:rsid w:val="000F3F6D"/>
    <w:rsid w:val="0010037C"/>
    <w:rsid w:val="0010291B"/>
    <w:rsid w:val="00103980"/>
    <w:rsid w:val="0010406A"/>
    <w:rsid w:val="00113295"/>
    <w:rsid w:val="001170BB"/>
    <w:rsid w:val="001211C6"/>
    <w:rsid w:val="00121C4F"/>
    <w:rsid w:val="001224B7"/>
    <w:rsid w:val="00122878"/>
    <w:rsid w:val="00126212"/>
    <w:rsid w:val="00126C28"/>
    <w:rsid w:val="00126C5F"/>
    <w:rsid w:val="001271DC"/>
    <w:rsid w:val="00127C95"/>
    <w:rsid w:val="00132F9A"/>
    <w:rsid w:val="00133535"/>
    <w:rsid w:val="00133B28"/>
    <w:rsid w:val="00134677"/>
    <w:rsid w:val="0013489D"/>
    <w:rsid w:val="00134BFA"/>
    <w:rsid w:val="00141C76"/>
    <w:rsid w:val="00147B54"/>
    <w:rsid w:val="00150924"/>
    <w:rsid w:val="00154E50"/>
    <w:rsid w:val="00161FD9"/>
    <w:rsid w:val="00165CD4"/>
    <w:rsid w:val="00165D82"/>
    <w:rsid w:val="001670A1"/>
    <w:rsid w:val="00170DF1"/>
    <w:rsid w:val="00170E40"/>
    <w:rsid w:val="0017415B"/>
    <w:rsid w:val="00174A02"/>
    <w:rsid w:val="0018438C"/>
    <w:rsid w:val="001859A2"/>
    <w:rsid w:val="00187BDC"/>
    <w:rsid w:val="00192C66"/>
    <w:rsid w:val="00195424"/>
    <w:rsid w:val="00197259"/>
    <w:rsid w:val="001A34F4"/>
    <w:rsid w:val="001A45CA"/>
    <w:rsid w:val="001A5B86"/>
    <w:rsid w:val="001A5DED"/>
    <w:rsid w:val="001A7B57"/>
    <w:rsid w:val="001B238E"/>
    <w:rsid w:val="001B513B"/>
    <w:rsid w:val="001C02AC"/>
    <w:rsid w:val="001C0AB5"/>
    <w:rsid w:val="001C2469"/>
    <w:rsid w:val="001C2932"/>
    <w:rsid w:val="001C33B7"/>
    <w:rsid w:val="001C4755"/>
    <w:rsid w:val="001C7ABD"/>
    <w:rsid w:val="001D1ADE"/>
    <w:rsid w:val="001D1EC0"/>
    <w:rsid w:val="001D2149"/>
    <w:rsid w:val="001D44B5"/>
    <w:rsid w:val="001D4589"/>
    <w:rsid w:val="001D55CD"/>
    <w:rsid w:val="001D6A53"/>
    <w:rsid w:val="001E19E5"/>
    <w:rsid w:val="001E1A8D"/>
    <w:rsid w:val="001E52C0"/>
    <w:rsid w:val="001E547D"/>
    <w:rsid w:val="001E70AE"/>
    <w:rsid w:val="001F16AF"/>
    <w:rsid w:val="001F4198"/>
    <w:rsid w:val="001F4573"/>
    <w:rsid w:val="001F5AE2"/>
    <w:rsid w:val="001F5C9B"/>
    <w:rsid w:val="001F5CD4"/>
    <w:rsid w:val="00201CED"/>
    <w:rsid w:val="00202D88"/>
    <w:rsid w:val="00203F78"/>
    <w:rsid w:val="00205AB7"/>
    <w:rsid w:val="00213C08"/>
    <w:rsid w:val="002163B2"/>
    <w:rsid w:val="00220544"/>
    <w:rsid w:val="00221FEF"/>
    <w:rsid w:val="00222404"/>
    <w:rsid w:val="00223915"/>
    <w:rsid w:val="002243C6"/>
    <w:rsid w:val="00230037"/>
    <w:rsid w:val="0023077A"/>
    <w:rsid w:val="0023399E"/>
    <w:rsid w:val="0023610D"/>
    <w:rsid w:val="00236F11"/>
    <w:rsid w:val="00241850"/>
    <w:rsid w:val="00243B56"/>
    <w:rsid w:val="00244D25"/>
    <w:rsid w:val="00250792"/>
    <w:rsid w:val="0025310B"/>
    <w:rsid w:val="00255B87"/>
    <w:rsid w:val="0025680D"/>
    <w:rsid w:val="00256D72"/>
    <w:rsid w:val="00257D99"/>
    <w:rsid w:val="0026061B"/>
    <w:rsid w:val="002607C8"/>
    <w:rsid w:val="002607F7"/>
    <w:rsid w:val="002615A3"/>
    <w:rsid w:val="00263B3F"/>
    <w:rsid w:val="0026572A"/>
    <w:rsid w:val="002718A7"/>
    <w:rsid w:val="00273ED1"/>
    <w:rsid w:val="00274AED"/>
    <w:rsid w:val="0027715F"/>
    <w:rsid w:val="0028169F"/>
    <w:rsid w:val="0028376D"/>
    <w:rsid w:val="00284B25"/>
    <w:rsid w:val="002858B9"/>
    <w:rsid w:val="0028640A"/>
    <w:rsid w:val="00291D3D"/>
    <w:rsid w:val="002954EB"/>
    <w:rsid w:val="00295D50"/>
    <w:rsid w:val="002A3854"/>
    <w:rsid w:val="002A6F6B"/>
    <w:rsid w:val="002B0CF6"/>
    <w:rsid w:val="002B10DB"/>
    <w:rsid w:val="002B3532"/>
    <w:rsid w:val="002B5C4B"/>
    <w:rsid w:val="002C5A2D"/>
    <w:rsid w:val="002C7D4E"/>
    <w:rsid w:val="002D24F8"/>
    <w:rsid w:val="002D2E5C"/>
    <w:rsid w:val="002D3B4F"/>
    <w:rsid w:val="002D3F59"/>
    <w:rsid w:val="002D4CE5"/>
    <w:rsid w:val="002E38BD"/>
    <w:rsid w:val="002E461E"/>
    <w:rsid w:val="002F0223"/>
    <w:rsid w:val="002F0808"/>
    <w:rsid w:val="002F368F"/>
    <w:rsid w:val="002F3F6C"/>
    <w:rsid w:val="002F4624"/>
    <w:rsid w:val="00300F6A"/>
    <w:rsid w:val="003016F9"/>
    <w:rsid w:val="00301719"/>
    <w:rsid w:val="00302856"/>
    <w:rsid w:val="003032C5"/>
    <w:rsid w:val="003114CB"/>
    <w:rsid w:val="00312C86"/>
    <w:rsid w:val="00312EF6"/>
    <w:rsid w:val="003139FF"/>
    <w:rsid w:val="003174B3"/>
    <w:rsid w:val="00320326"/>
    <w:rsid w:val="00320564"/>
    <w:rsid w:val="003212EB"/>
    <w:rsid w:val="00321A57"/>
    <w:rsid w:val="00322C92"/>
    <w:rsid w:val="00322E37"/>
    <w:rsid w:val="00322FC2"/>
    <w:rsid w:val="00323E21"/>
    <w:rsid w:val="003308D5"/>
    <w:rsid w:val="0033151C"/>
    <w:rsid w:val="003336F6"/>
    <w:rsid w:val="0033489F"/>
    <w:rsid w:val="00336EAD"/>
    <w:rsid w:val="00337906"/>
    <w:rsid w:val="00342152"/>
    <w:rsid w:val="00343821"/>
    <w:rsid w:val="003460FB"/>
    <w:rsid w:val="003532DB"/>
    <w:rsid w:val="00354E81"/>
    <w:rsid w:val="00355EF7"/>
    <w:rsid w:val="0035719D"/>
    <w:rsid w:val="0036013E"/>
    <w:rsid w:val="00360BB8"/>
    <w:rsid w:val="00360D34"/>
    <w:rsid w:val="00361EB6"/>
    <w:rsid w:val="0036414F"/>
    <w:rsid w:val="00366C6C"/>
    <w:rsid w:val="00367B29"/>
    <w:rsid w:val="00370F87"/>
    <w:rsid w:val="00375974"/>
    <w:rsid w:val="00375C80"/>
    <w:rsid w:val="00377D79"/>
    <w:rsid w:val="00380D15"/>
    <w:rsid w:val="00381AB8"/>
    <w:rsid w:val="00383574"/>
    <w:rsid w:val="00385A6C"/>
    <w:rsid w:val="00386E05"/>
    <w:rsid w:val="00394DF3"/>
    <w:rsid w:val="00395AF4"/>
    <w:rsid w:val="00395E51"/>
    <w:rsid w:val="00396456"/>
    <w:rsid w:val="003A12F7"/>
    <w:rsid w:val="003A613E"/>
    <w:rsid w:val="003A6424"/>
    <w:rsid w:val="003B0D6F"/>
    <w:rsid w:val="003B0F2B"/>
    <w:rsid w:val="003B23EC"/>
    <w:rsid w:val="003B34FF"/>
    <w:rsid w:val="003B5B27"/>
    <w:rsid w:val="003B7A12"/>
    <w:rsid w:val="003B7BBF"/>
    <w:rsid w:val="003C2421"/>
    <w:rsid w:val="003C56EF"/>
    <w:rsid w:val="003D0C99"/>
    <w:rsid w:val="003D4657"/>
    <w:rsid w:val="003D54F0"/>
    <w:rsid w:val="003E709F"/>
    <w:rsid w:val="003E79C8"/>
    <w:rsid w:val="003F090E"/>
    <w:rsid w:val="003F7A8C"/>
    <w:rsid w:val="00401F5D"/>
    <w:rsid w:val="00402167"/>
    <w:rsid w:val="004100B1"/>
    <w:rsid w:val="00412BCF"/>
    <w:rsid w:val="00414F25"/>
    <w:rsid w:val="00415753"/>
    <w:rsid w:val="00416AFC"/>
    <w:rsid w:val="00416C06"/>
    <w:rsid w:val="0042196A"/>
    <w:rsid w:val="00422DC0"/>
    <w:rsid w:val="00422E98"/>
    <w:rsid w:val="004273B8"/>
    <w:rsid w:val="00430A3E"/>
    <w:rsid w:val="00431D8F"/>
    <w:rsid w:val="00432E5C"/>
    <w:rsid w:val="004345E8"/>
    <w:rsid w:val="00434778"/>
    <w:rsid w:val="00434913"/>
    <w:rsid w:val="00435086"/>
    <w:rsid w:val="00436E53"/>
    <w:rsid w:val="004370E1"/>
    <w:rsid w:val="00437B43"/>
    <w:rsid w:val="00441764"/>
    <w:rsid w:val="0044348B"/>
    <w:rsid w:val="00446D66"/>
    <w:rsid w:val="00453D8B"/>
    <w:rsid w:val="0045605C"/>
    <w:rsid w:val="00457AAA"/>
    <w:rsid w:val="00461362"/>
    <w:rsid w:val="0046730B"/>
    <w:rsid w:val="004705D1"/>
    <w:rsid w:val="00472007"/>
    <w:rsid w:val="00475990"/>
    <w:rsid w:val="00476F51"/>
    <w:rsid w:val="0048179B"/>
    <w:rsid w:val="0048797A"/>
    <w:rsid w:val="00490AC2"/>
    <w:rsid w:val="0049112C"/>
    <w:rsid w:val="00491EA3"/>
    <w:rsid w:val="004924E8"/>
    <w:rsid w:val="00492752"/>
    <w:rsid w:val="004950E5"/>
    <w:rsid w:val="00495EA2"/>
    <w:rsid w:val="004A1560"/>
    <w:rsid w:val="004A2878"/>
    <w:rsid w:val="004A55DA"/>
    <w:rsid w:val="004A7021"/>
    <w:rsid w:val="004B3439"/>
    <w:rsid w:val="004B5131"/>
    <w:rsid w:val="004B63D1"/>
    <w:rsid w:val="004C0697"/>
    <w:rsid w:val="004C120C"/>
    <w:rsid w:val="004D3248"/>
    <w:rsid w:val="004D6B2D"/>
    <w:rsid w:val="004E097C"/>
    <w:rsid w:val="004E09BB"/>
    <w:rsid w:val="004E3028"/>
    <w:rsid w:val="004E3843"/>
    <w:rsid w:val="004E79D3"/>
    <w:rsid w:val="004F0759"/>
    <w:rsid w:val="004F0A05"/>
    <w:rsid w:val="004F1BBE"/>
    <w:rsid w:val="004F35E8"/>
    <w:rsid w:val="004F3986"/>
    <w:rsid w:val="005028D6"/>
    <w:rsid w:val="00506BC7"/>
    <w:rsid w:val="0051187A"/>
    <w:rsid w:val="00514409"/>
    <w:rsid w:val="00517F9D"/>
    <w:rsid w:val="00521342"/>
    <w:rsid w:val="00523485"/>
    <w:rsid w:val="00526BD6"/>
    <w:rsid w:val="00527854"/>
    <w:rsid w:val="005316BE"/>
    <w:rsid w:val="0053256A"/>
    <w:rsid w:val="005353BE"/>
    <w:rsid w:val="0053680D"/>
    <w:rsid w:val="00537610"/>
    <w:rsid w:val="00537C1E"/>
    <w:rsid w:val="00541FA9"/>
    <w:rsid w:val="00542576"/>
    <w:rsid w:val="00543243"/>
    <w:rsid w:val="00544803"/>
    <w:rsid w:val="00552720"/>
    <w:rsid w:val="00554321"/>
    <w:rsid w:val="00555BBF"/>
    <w:rsid w:val="00555DA2"/>
    <w:rsid w:val="00556AAC"/>
    <w:rsid w:val="00557D47"/>
    <w:rsid w:val="005600FB"/>
    <w:rsid w:val="005608F0"/>
    <w:rsid w:val="00565327"/>
    <w:rsid w:val="00565B39"/>
    <w:rsid w:val="0056707F"/>
    <w:rsid w:val="00572A35"/>
    <w:rsid w:val="005736B8"/>
    <w:rsid w:val="00573B4B"/>
    <w:rsid w:val="00573DA3"/>
    <w:rsid w:val="0057420A"/>
    <w:rsid w:val="00576342"/>
    <w:rsid w:val="0057776A"/>
    <w:rsid w:val="005833E2"/>
    <w:rsid w:val="00583C50"/>
    <w:rsid w:val="00583D8B"/>
    <w:rsid w:val="005959EE"/>
    <w:rsid w:val="005A1B69"/>
    <w:rsid w:val="005A5129"/>
    <w:rsid w:val="005B3E67"/>
    <w:rsid w:val="005B63A6"/>
    <w:rsid w:val="005C374D"/>
    <w:rsid w:val="005C3BC4"/>
    <w:rsid w:val="005C5BD9"/>
    <w:rsid w:val="005C654F"/>
    <w:rsid w:val="005D4080"/>
    <w:rsid w:val="005D43D1"/>
    <w:rsid w:val="005D6607"/>
    <w:rsid w:val="005D755A"/>
    <w:rsid w:val="005E0120"/>
    <w:rsid w:val="005E1012"/>
    <w:rsid w:val="005E3406"/>
    <w:rsid w:val="005E408C"/>
    <w:rsid w:val="005E4AC7"/>
    <w:rsid w:val="005E4DBE"/>
    <w:rsid w:val="005E518D"/>
    <w:rsid w:val="005E5939"/>
    <w:rsid w:val="005E7427"/>
    <w:rsid w:val="005F1AEF"/>
    <w:rsid w:val="005F41CF"/>
    <w:rsid w:val="005F46BD"/>
    <w:rsid w:val="005F47D3"/>
    <w:rsid w:val="006001ED"/>
    <w:rsid w:val="00601400"/>
    <w:rsid w:val="006064BB"/>
    <w:rsid w:val="00614699"/>
    <w:rsid w:val="00617796"/>
    <w:rsid w:val="00621D32"/>
    <w:rsid w:val="00622244"/>
    <w:rsid w:val="00622F4A"/>
    <w:rsid w:val="006230D6"/>
    <w:rsid w:val="00625FE4"/>
    <w:rsid w:val="00627285"/>
    <w:rsid w:val="006358B1"/>
    <w:rsid w:val="0063657B"/>
    <w:rsid w:val="00636D2F"/>
    <w:rsid w:val="006436E1"/>
    <w:rsid w:val="00645E07"/>
    <w:rsid w:val="00645EEE"/>
    <w:rsid w:val="00646967"/>
    <w:rsid w:val="006470B7"/>
    <w:rsid w:val="0064746F"/>
    <w:rsid w:val="00653F2B"/>
    <w:rsid w:val="00664478"/>
    <w:rsid w:val="00666086"/>
    <w:rsid w:val="0067118B"/>
    <w:rsid w:val="0067193E"/>
    <w:rsid w:val="00671BB4"/>
    <w:rsid w:val="00671D47"/>
    <w:rsid w:val="00672105"/>
    <w:rsid w:val="006725AA"/>
    <w:rsid w:val="006731D5"/>
    <w:rsid w:val="0067487B"/>
    <w:rsid w:val="00676B5B"/>
    <w:rsid w:val="0068173E"/>
    <w:rsid w:val="006818F4"/>
    <w:rsid w:val="00683909"/>
    <w:rsid w:val="006856ED"/>
    <w:rsid w:val="00693F51"/>
    <w:rsid w:val="006954C4"/>
    <w:rsid w:val="006A014D"/>
    <w:rsid w:val="006A312C"/>
    <w:rsid w:val="006A31A3"/>
    <w:rsid w:val="006A50E7"/>
    <w:rsid w:val="006A5D78"/>
    <w:rsid w:val="006B1F5E"/>
    <w:rsid w:val="006B3BE2"/>
    <w:rsid w:val="006B3C10"/>
    <w:rsid w:val="006B6445"/>
    <w:rsid w:val="006C7524"/>
    <w:rsid w:val="006D2D55"/>
    <w:rsid w:val="006D4851"/>
    <w:rsid w:val="006E640A"/>
    <w:rsid w:val="006E7480"/>
    <w:rsid w:val="006F1299"/>
    <w:rsid w:val="006F6B50"/>
    <w:rsid w:val="006F6FC3"/>
    <w:rsid w:val="006F7275"/>
    <w:rsid w:val="00700B0D"/>
    <w:rsid w:val="007020A4"/>
    <w:rsid w:val="007039EE"/>
    <w:rsid w:val="00710C31"/>
    <w:rsid w:val="0071226F"/>
    <w:rsid w:val="007152A8"/>
    <w:rsid w:val="00716A5E"/>
    <w:rsid w:val="00717BB9"/>
    <w:rsid w:val="00717ECA"/>
    <w:rsid w:val="0072036A"/>
    <w:rsid w:val="00721979"/>
    <w:rsid w:val="00721C62"/>
    <w:rsid w:val="0072250E"/>
    <w:rsid w:val="00723441"/>
    <w:rsid w:val="00724D31"/>
    <w:rsid w:val="00730980"/>
    <w:rsid w:val="00730EA9"/>
    <w:rsid w:val="00731373"/>
    <w:rsid w:val="00732CF3"/>
    <w:rsid w:val="00732E0C"/>
    <w:rsid w:val="00735984"/>
    <w:rsid w:val="00737AE1"/>
    <w:rsid w:val="007419C7"/>
    <w:rsid w:val="00750E5E"/>
    <w:rsid w:val="00755B95"/>
    <w:rsid w:val="00756317"/>
    <w:rsid w:val="007579DB"/>
    <w:rsid w:val="007607EA"/>
    <w:rsid w:val="00760D3A"/>
    <w:rsid w:val="00760D3F"/>
    <w:rsid w:val="00761B76"/>
    <w:rsid w:val="00762E65"/>
    <w:rsid w:val="00763457"/>
    <w:rsid w:val="007704FA"/>
    <w:rsid w:val="00771B64"/>
    <w:rsid w:val="00771B77"/>
    <w:rsid w:val="00772BFB"/>
    <w:rsid w:val="00776680"/>
    <w:rsid w:val="00777D3D"/>
    <w:rsid w:val="007814DC"/>
    <w:rsid w:val="00786320"/>
    <w:rsid w:val="007867C8"/>
    <w:rsid w:val="0078681F"/>
    <w:rsid w:val="00791E7B"/>
    <w:rsid w:val="007920AC"/>
    <w:rsid w:val="00792443"/>
    <w:rsid w:val="00793EA5"/>
    <w:rsid w:val="00794C29"/>
    <w:rsid w:val="00794F53"/>
    <w:rsid w:val="00797723"/>
    <w:rsid w:val="007A4154"/>
    <w:rsid w:val="007A41B4"/>
    <w:rsid w:val="007A52C4"/>
    <w:rsid w:val="007A6FE7"/>
    <w:rsid w:val="007B2DFE"/>
    <w:rsid w:val="007B5FED"/>
    <w:rsid w:val="007B61F3"/>
    <w:rsid w:val="007B7286"/>
    <w:rsid w:val="007C4070"/>
    <w:rsid w:val="007C5891"/>
    <w:rsid w:val="007C6E09"/>
    <w:rsid w:val="007D257A"/>
    <w:rsid w:val="007D37AE"/>
    <w:rsid w:val="007D7B32"/>
    <w:rsid w:val="007E49EE"/>
    <w:rsid w:val="007E5A28"/>
    <w:rsid w:val="007F2B5E"/>
    <w:rsid w:val="007F3B66"/>
    <w:rsid w:val="007F7765"/>
    <w:rsid w:val="00800B99"/>
    <w:rsid w:val="00802948"/>
    <w:rsid w:val="0080455D"/>
    <w:rsid w:val="008066AB"/>
    <w:rsid w:val="00807E6B"/>
    <w:rsid w:val="00810C6D"/>
    <w:rsid w:val="00810F42"/>
    <w:rsid w:val="00811B30"/>
    <w:rsid w:val="00812A03"/>
    <w:rsid w:val="0081379E"/>
    <w:rsid w:val="00813D07"/>
    <w:rsid w:val="008143FE"/>
    <w:rsid w:val="0081441E"/>
    <w:rsid w:val="00815652"/>
    <w:rsid w:val="00817732"/>
    <w:rsid w:val="00817EEE"/>
    <w:rsid w:val="0082049C"/>
    <w:rsid w:val="008222DB"/>
    <w:rsid w:val="00824856"/>
    <w:rsid w:val="00825888"/>
    <w:rsid w:val="00827E5D"/>
    <w:rsid w:val="00832357"/>
    <w:rsid w:val="008325D0"/>
    <w:rsid w:val="00832984"/>
    <w:rsid w:val="0083671C"/>
    <w:rsid w:val="00842B23"/>
    <w:rsid w:val="00843324"/>
    <w:rsid w:val="00846716"/>
    <w:rsid w:val="00847FF5"/>
    <w:rsid w:val="0085226B"/>
    <w:rsid w:val="00853256"/>
    <w:rsid w:val="00853814"/>
    <w:rsid w:val="00856449"/>
    <w:rsid w:val="008578A9"/>
    <w:rsid w:val="00860D07"/>
    <w:rsid w:val="00862A14"/>
    <w:rsid w:val="00863E75"/>
    <w:rsid w:val="00864FED"/>
    <w:rsid w:val="00867F26"/>
    <w:rsid w:val="00870508"/>
    <w:rsid w:val="008719F6"/>
    <w:rsid w:val="0087322F"/>
    <w:rsid w:val="00874845"/>
    <w:rsid w:val="00874A96"/>
    <w:rsid w:val="00876C98"/>
    <w:rsid w:val="0088171B"/>
    <w:rsid w:val="00881BE2"/>
    <w:rsid w:val="00881F4D"/>
    <w:rsid w:val="00887147"/>
    <w:rsid w:val="008958D8"/>
    <w:rsid w:val="008A116D"/>
    <w:rsid w:val="008A1C57"/>
    <w:rsid w:val="008A209A"/>
    <w:rsid w:val="008B21B7"/>
    <w:rsid w:val="008B6D4A"/>
    <w:rsid w:val="008C309D"/>
    <w:rsid w:val="008C5FE8"/>
    <w:rsid w:val="008C6E1A"/>
    <w:rsid w:val="008D324C"/>
    <w:rsid w:val="008D48CD"/>
    <w:rsid w:val="008D52D4"/>
    <w:rsid w:val="008D6948"/>
    <w:rsid w:val="008D6E68"/>
    <w:rsid w:val="008E70D6"/>
    <w:rsid w:val="008F09C7"/>
    <w:rsid w:val="008F33AD"/>
    <w:rsid w:val="008F625C"/>
    <w:rsid w:val="008F7A2E"/>
    <w:rsid w:val="008F7EF4"/>
    <w:rsid w:val="0090513B"/>
    <w:rsid w:val="009051B6"/>
    <w:rsid w:val="00910303"/>
    <w:rsid w:val="0091059F"/>
    <w:rsid w:val="00910C23"/>
    <w:rsid w:val="0091574F"/>
    <w:rsid w:val="00916F64"/>
    <w:rsid w:val="00917BF0"/>
    <w:rsid w:val="00923F8F"/>
    <w:rsid w:val="00930222"/>
    <w:rsid w:val="00933650"/>
    <w:rsid w:val="00934E8A"/>
    <w:rsid w:val="0094064F"/>
    <w:rsid w:val="00942667"/>
    <w:rsid w:val="00945C5E"/>
    <w:rsid w:val="009529FA"/>
    <w:rsid w:val="0095699F"/>
    <w:rsid w:val="009572FD"/>
    <w:rsid w:val="0096262D"/>
    <w:rsid w:val="00962C6D"/>
    <w:rsid w:val="00963471"/>
    <w:rsid w:val="00963EF6"/>
    <w:rsid w:val="00971607"/>
    <w:rsid w:val="009742DF"/>
    <w:rsid w:val="009757CF"/>
    <w:rsid w:val="00977DD3"/>
    <w:rsid w:val="00983ABF"/>
    <w:rsid w:val="00985AD4"/>
    <w:rsid w:val="00986F7E"/>
    <w:rsid w:val="0098787E"/>
    <w:rsid w:val="00993BF4"/>
    <w:rsid w:val="00993E1C"/>
    <w:rsid w:val="0099625B"/>
    <w:rsid w:val="00997A48"/>
    <w:rsid w:val="009A1A93"/>
    <w:rsid w:val="009A254B"/>
    <w:rsid w:val="009A6A14"/>
    <w:rsid w:val="009B0439"/>
    <w:rsid w:val="009B11FB"/>
    <w:rsid w:val="009B13D0"/>
    <w:rsid w:val="009B1CE6"/>
    <w:rsid w:val="009B2B3C"/>
    <w:rsid w:val="009B394A"/>
    <w:rsid w:val="009B3F9F"/>
    <w:rsid w:val="009B486A"/>
    <w:rsid w:val="009C193C"/>
    <w:rsid w:val="009C2CC8"/>
    <w:rsid w:val="009C363A"/>
    <w:rsid w:val="009C5A3F"/>
    <w:rsid w:val="009C6EE1"/>
    <w:rsid w:val="009C7D86"/>
    <w:rsid w:val="009D242F"/>
    <w:rsid w:val="009D4475"/>
    <w:rsid w:val="009D49CC"/>
    <w:rsid w:val="009D6E0B"/>
    <w:rsid w:val="009D73AE"/>
    <w:rsid w:val="009E4767"/>
    <w:rsid w:val="009E6C5E"/>
    <w:rsid w:val="009E6EBA"/>
    <w:rsid w:val="009E7154"/>
    <w:rsid w:val="009F12D7"/>
    <w:rsid w:val="009F40DA"/>
    <w:rsid w:val="009F4ACA"/>
    <w:rsid w:val="009F55F7"/>
    <w:rsid w:val="009F597C"/>
    <w:rsid w:val="009F5CC8"/>
    <w:rsid w:val="009F66B5"/>
    <w:rsid w:val="00A004C8"/>
    <w:rsid w:val="00A01772"/>
    <w:rsid w:val="00A02051"/>
    <w:rsid w:val="00A05053"/>
    <w:rsid w:val="00A134F7"/>
    <w:rsid w:val="00A15FD7"/>
    <w:rsid w:val="00A17291"/>
    <w:rsid w:val="00A21A16"/>
    <w:rsid w:val="00A241F3"/>
    <w:rsid w:val="00A33188"/>
    <w:rsid w:val="00A41E81"/>
    <w:rsid w:val="00A42361"/>
    <w:rsid w:val="00A42384"/>
    <w:rsid w:val="00A44F8B"/>
    <w:rsid w:val="00A46723"/>
    <w:rsid w:val="00A50C6D"/>
    <w:rsid w:val="00A52DEB"/>
    <w:rsid w:val="00A53D43"/>
    <w:rsid w:val="00A5410E"/>
    <w:rsid w:val="00A54AE2"/>
    <w:rsid w:val="00A55B45"/>
    <w:rsid w:val="00A562A1"/>
    <w:rsid w:val="00A563D1"/>
    <w:rsid w:val="00A5732D"/>
    <w:rsid w:val="00A63DC8"/>
    <w:rsid w:val="00A667AD"/>
    <w:rsid w:val="00A673D9"/>
    <w:rsid w:val="00A707B8"/>
    <w:rsid w:val="00A72F6D"/>
    <w:rsid w:val="00A809F2"/>
    <w:rsid w:val="00A822EB"/>
    <w:rsid w:val="00A82F86"/>
    <w:rsid w:val="00A852E7"/>
    <w:rsid w:val="00A85A0B"/>
    <w:rsid w:val="00A87158"/>
    <w:rsid w:val="00A93864"/>
    <w:rsid w:val="00A94BEE"/>
    <w:rsid w:val="00A964A4"/>
    <w:rsid w:val="00AA05C4"/>
    <w:rsid w:val="00AA5D08"/>
    <w:rsid w:val="00AB1CB0"/>
    <w:rsid w:val="00AB558D"/>
    <w:rsid w:val="00AC1FC8"/>
    <w:rsid w:val="00AC3534"/>
    <w:rsid w:val="00AC4EEC"/>
    <w:rsid w:val="00AD1030"/>
    <w:rsid w:val="00AE2847"/>
    <w:rsid w:val="00AE2C73"/>
    <w:rsid w:val="00AE5B09"/>
    <w:rsid w:val="00AE601F"/>
    <w:rsid w:val="00AF122C"/>
    <w:rsid w:val="00AF23DD"/>
    <w:rsid w:val="00AF5AE4"/>
    <w:rsid w:val="00AF6ADF"/>
    <w:rsid w:val="00B03677"/>
    <w:rsid w:val="00B047A6"/>
    <w:rsid w:val="00B11AC8"/>
    <w:rsid w:val="00B134D6"/>
    <w:rsid w:val="00B1370A"/>
    <w:rsid w:val="00B169D2"/>
    <w:rsid w:val="00B17192"/>
    <w:rsid w:val="00B202F2"/>
    <w:rsid w:val="00B20A83"/>
    <w:rsid w:val="00B25961"/>
    <w:rsid w:val="00B26071"/>
    <w:rsid w:val="00B27822"/>
    <w:rsid w:val="00B33B8D"/>
    <w:rsid w:val="00B36B71"/>
    <w:rsid w:val="00B43379"/>
    <w:rsid w:val="00B473BA"/>
    <w:rsid w:val="00B514DF"/>
    <w:rsid w:val="00B56861"/>
    <w:rsid w:val="00B60963"/>
    <w:rsid w:val="00B655CA"/>
    <w:rsid w:val="00B66752"/>
    <w:rsid w:val="00B670C7"/>
    <w:rsid w:val="00B70241"/>
    <w:rsid w:val="00B7533D"/>
    <w:rsid w:val="00B75EDA"/>
    <w:rsid w:val="00B7701E"/>
    <w:rsid w:val="00B80E65"/>
    <w:rsid w:val="00B8304C"/>
    <w:rsid w:val="00B86A48"/>
    <w:rsid w:val="00B86FD8"/>
    <w:rsid w:val="00B87814"/>
    <w:rsid w:val="00B90576"/>
    <w:rsid w:val="00B91D1E"/>
    <w:rsid w:val="00B921AF"/>
    <w:rsid w:val="00B92684"/>
    <w:rsid w:val="00B94338"/>
    <w:rsid w:val="00B9690C"/>
    <w:rsid w:val="00BA0C4E"/>
    <w:rsid w:val="00BA1B68"/>
    <w:rsid w:val="00BA65F6"/>
    <w:rsid w:val="00BB0598"/>
    <w:rsid w:val="00BB2692"/>
    <w:rsid w:val="00BB367C"/>
    <w:rsid w:val="00BB38D3"/>
    <w:rsid w:val="00BB4495"/>
    <w:rsid w:val="00BB5E76"/>
    <w:rsid w:val="00BB6EA3"/>
    <w:rsid w:val="00BB7BC9"/>
    <w:rsid w:val="00BC108F"/>
    <w:rsid w:val="00BC11A5"/>
    <w:rsid w:val="00BC6D9B"/>
    <w:rsid w:val="00BC6E93"/>
    <w:rsid w:val="00BC6EF9"/>
    <w:rsid w:val="00BC6F05"/>
    <w:rsid w:val="00BD08DA"/>
    <w:rsid w:val="00BD6B1E"/>
    <w:rsid w:val="00BE0144"/>
    <w:rsid w:val="00BE2397"/>
    <w:rsid w:val="00BE2EC0"/>
    <w:rsid w:val="00BE3F22"/>
    <w:rsid w:val="00BE419C"/>
    <w:rsid w:val="00BE61C9"/>
    <w:rsid w:val="00BE6B10"/>
    <w:rsid w:val="00BF1901"/>
    <w:rsid w:val="00BF559F"/>
    <w:rsid w:val="00BF57BD"/>
    <w:rsid w:val="00BF6D4A"/>
    <w:rsid w:val="00C05A3D"/>
    <w:rsid w:val="00C12FBA"/>
    <w:rsid w:val="00C1415C"/>
    <w:rsid w:val="00C147AD"/>
    <w:rsid w:val="00C16DB6"/>
    <w:rsid w:val="00C20F32"/>
    <w:rsid w:val="00C21BBB"/>
    <w:rsid w:val="00C22ABE"/>
    <w:rsid w:val="00C237FE"/>
    <w:rsid w:val="00C24045"/>
    <w:rsid w:val="00C24FD3"/>
    <w:rsid w:val="00C3190C"/>
    <w:rsid w:val="00C361C8"/>
    <w:rsid w:val="00C36D28"/>
    <w:rsid w:val="00C36DA0"/>
    <w:rsid w:val="00C4208C"/>
    <w:rsid w:val="00C42DC2"/>
    <w:rsid w:val="00C4643C"/>
    <w:rsid w:val="00C505FF"/>
    <w:rsid w:val="00C50AFD"/>
    <w:rsid w:val="00C5394C"/>
    <w:rsid w:val="00C55269"/>
    <w:rsid w:val="00C57F14"/>
    <w:rsid w:val="00C63586"/>
    <w:rsid w:val="00C63D45"/>
    <w:rsid w:val="00C64802"/>
    <w:rsid w:val="00C7054F"/>
    <w:rsid w:val="00C75485"/>
    <w:rsid w:val="00C86830"/>
    <w:rsid w:val="00C871CB"/>
    <w:rsid w:val="00C90045"/>
    <w:rsid w:val="00C902EF"/>
    <w:rsid w:val="00C90D53"/>
    <w:rsid w:val="00C91227"/>
    <w:rsid w:val="00C9129F"/>
    <w:rsid w:val="00C9231D"/>
    <w:rsid w:val="00C92D67"/>
    <w:rsid w:val="00C93F88"/>
    <w:rsid w:val="00CA095F"/>
    <w:rsid w:val="00CA4895"/>
    <w:rsid w:val="00CA4AD8"/>
    <w:rsid w:val="00CA63CB"/>
    <w:rsid w:val="00CA7F51"/>
    <w:rsid w:val="00CB23D4"/>
    <w:rsid w:val="00CB2AAB"/>
    <w:rsid w:val="00CB4019"/>
    <w:rsid w:val="00CB7AC3"/>
    <w:rsid w:val="00CC0EFD"/>
    <w:rsid w:val="00CC18A6"/>
    <w:rsid w:val="00CC3AD0"/>
    <w:rsid w:val="00CC4293"/>
    <w:rsid w:val="00CC4E2B"/>
    <w:rsid w:val="00CD14EB"/>
    <w:rsid w:val="00CD1735"/>
    <w:rsid w:val="00CD5389"/>
    <w:rsid w:val="00CD55E9"/>
    <w:rsid w:val="00CD6957"/>
    <w:rsid w:val="00CE1F7F"/>
    <w:rsid w:val="00CE40CA"/>
    <w:rsid w:val="00CE43C3"/>
    <w:rsid w:val="00CE4695"/>
    <w:rsid w:val="00CE7AAA"/>
    <w:rsid w:val="00CF1776"/>
    <w:rsid w:val="00CF2970"/>
    <w:rsid w:val="00CF340E"/>
    <w:rsid w:val="00CF3AC8"/>
    <w:rsid w:val="00CF3D79"/>
    <w:rsid w:val="00D04E35"/>
    <w:rsid w:val="00D10140"/>
    <w:rsid w:val="00D11D14"/>
    <w:rsid w:val="00D15320"/>
    <w:rsid w:val="00D158B1"/>
    <w:rsid w:val="00D2229E"/>
    <w:rsid w:val="00D24611"/>
    <w:rsid w:val="00D26DA4"/>
    <w:rsid w:val="00D3156E"/>
    <w:rsid w:val="00D32BD3"/>
    <w:rsid w:val="00D33DA1"/>
    <w:rsid w:val="00D34CD0"/>
    <w:rsid w:val="00D36F76"/>
    <w:rsid w:val="00D4034F"/>
    <w:rsid w:val="00D413A7"/>
    <w:rsid w:val="00D443CF"/>
    <w:rsid w:val="00D45A45"/>
    <w:rsid w:val="00D45D8D"/>
    <w:rsid w:val="00D468F8"/>
    <w:rsid w:val="00D47AED"/>
    <w:rsid w:val="00D52175"/>
    <w:rsid w:val="00D530E2"/>
    <w:rsid w:val="00D53F4E"/>
    <w:rsid w:val="00D54225"/>
    <w:rsid w:val="00D61780"/>
    <w:rsid w:val="00D6495C"/>
    <w:rsid w:val="00D704FE"/>
    <w:rsid w:val="00D71A9D"/>
    <w:rsid w:val="00D72366"/>
    <w:rsid w:val="00D746FF"/>
    <w:rsid w:val="00D7556A"/>
    <w:rsid w:val="00D764C5"/>
    <w:rsid w:val="00D814E8"/>
    <w:rsid w:val="00D82D1E"/>
    <w:rsid w:val="00D8372E"/>
    <w:rsid w:val="00D85CE3"/>
    <w:rsid w:val="00D8653A"/>
    <w:rsid w:val="00D86798"/>
    <w:rsid w:val="00D901D6"/>
    <w:rsid w:val="00D91901"/>
    <w:rsid w:val="00D93C37"/>
    <w:rsid w:val="00D941B3"/>
    <w:rsid w:val="00D94651"/>
    <w:rsid w:val="00DA19CD"/>
    <w:rsid w:val="00DA3C0D"/>
    <w:rsid w:val="00DA7163"/>
    <w:rsid w:val="00DB234D"/>
    <w:rsid w:val="00DB270D"/>
    <w:rsid w:val="00DB54C7"/>
    <w:rsid w:val="00DB5FF5"/>
    <w:rsid w:val="00DC1641"/>
    <w:rsid w:val="00DC5DAE"/>
    <w:rsid w:val="00DD1ED8"/>
    <w:rsid w:val="00DD386C"/>
    <w:rsid w:val="00DD5D77"/>
    <w:rsid w:val="00DD68B7"/>
    <w:rsid w:val="00DD760D"/>
    <w:rsid w:val="00DE26D2"/>
    <w:rsid w:val="00DF080F"/>
    <w:rsid w:val="00DF1C3D"/>
    <w:rsid w:val="00DF2CEA"/>
    <w:rsid w:val="00DF30D4"/>
    <w:rsid w:val="00DF4748"/>
    <w:rsid w:val="00DF5928"/>
    <w:rsid w:val="00DF63D4"/>
    <w:rsid w:val="00DF7855"/>
    <w:rsid w:val="00DF7C7C"/>
    <w:rsid w:val="00E028BD"/>
    <w:rsid w:val="00E04EDC"/>
    <w:rsid w:val="00E16F31"/>
    <w:rsid w:val="00E177BC"/>
    <w:rsid w:val="00E262FC"/>
    <w:rsid w:val="00E3170E"/>
    <w:rsid w:val="00E33FE7"/>
    <w:rsid w:val="00E34B7B"/>
    <w:rsid w:val="00E35431"/>
    <w:rsid w:val="00E36651"/>
    <w:rsid w:val="00E36710"/>
    <w:rsid w:val="00E37D6F"/>
    <w:rsid w:val="00E452CD"/>
    <w:rsid w:val="00E462D2"/>
    <w:rsid w:val="00E4696B"/>
    <w:rsid w:val="00E53A09"/>
    <w:rsid w:val="00E55387"/>
    <w:rsid w:val="00E56C9F"/>
    <w:rsid w:val="00E57D0E"/>
    <w:rsid w:val="00E57ED1"/>
    <w:rsid w:val="00E618D2"/>
    <w:rsid w:val="00E61986"/>
    <w:rsid w:val="00E6662D"/>
    <w:rsid w:val="00E675DB"/>
    <w:rsid w:val="00E71874"/>
    <w:rsid w:val="00E75969"/>
    <w:rsid w:val="00E7675E"/>
    <w:rsid w:val="00E768B7"/>
    <w:rsid w:val="00E830BB"/>
    <w:rsid w:val="00E83939"/>
    <w:rsid w:val="00E8403E"/>
    <w:rsid w:val="00E85B5A"/>
    <w:rsid w:val="00E86C14"/>
    <w:rsid w:val="00E86C4F"/>
    <w:rsid w:val="00E86E0E"/>
    <w:rsid w:val="00E875B5"/>
    <w:rsid w:val="00E90FE3"/>
    <w:rsid w:val="00E92DAC"/>
    <w:rsid w:val="00E94AE1"/>
    <w:rsid w:val="00E94E2A"/>
    <w:rsid w:val="00E95EEA"/>
    <w:rsid w:val="00E96A85"/>
    <w:rsid w:val="00EA0277"/>
    <w:rsid w:val="00EA08F8"/>
    <w:rsid w:val="00EA6ABA"/>
    <w:rsid w:val="00EB63C6"/>
    <w:rsid w:val="00EB6FA7"/>
    <w:rsid w:val="00EC1377"/>
    <w:rsid w:val="00EC14D3"/>
    <w:rsid w:val="00EC2B5B"/>
    <w:rsid w:val="00EC3F37"/>
    <w:rsid w:val="00ED2236"/>
    <w:rsid w:val="00ED2B09"/>
    <w:rsid w:val="00EE7528"/>
    <w:rsid w:val="00EF001C"/>
    <w:rsid w:val="00EF03E7"/>
    <w:rsid w:val="00EF1144"/>
    <w:rsid w:val="00EF120C"/>
    <w:rsid w:val="00EF15CA"/>
    <w:rsid w:val="00EF4C41"/>
    <w:rsid w:val="00EF76F2"/>
    <w:rsid w:val="00F006E2"/>
    <w:rsid w:val="00F00BB3"/>
    <w:rsid w:val="00F0368F"/>
    <w:rsid w:val="00F04B92"/>
    <w:rsid w:val="00F107BE"/>
    <w:rsid w:val="00F14019"/>
    <w:rsid w:val="00F152A8"/>
    <w:rsid w:val="00F1535A"/>
    <w:rsid w:val="00F2115A"/>
    <w:rsid w:val="00F22869"/>
    <w:rsid w:val="00F23230"/>
    <w:rsid w:val="00F26B62"/>
    <w:rsid w:val="00F303E1"/>
    <w:rsid w:val="00F33B89"/>
    <w:rsid w:val="00F3421D"/>
    <w:rsid w:val="00F40DB9"/>
    <w:rsid w:val="00F4158B"/>
    <w:rsid w:val="00F41778"/>
    <w:rsid w:val="00F428D7"/>
    <w:rsid w:val="00F44775"/>
    <w:rsid w:val="00F4529A"/>
    <w:rsid w:val="00F46805"/>
    <w:rsid w:val="00F47E5C"/>
    <w:rsid w:val="00F532E8"/>
    <w:rsid w:val="00F53C55"/>
    <w:rsid w:val="00F54130"/>
    <w:rsid w:val="00F56AAC"/>
    <w:rsid w:val="00F5743A"/>
    <w:rsid w:val="00F57A5C"/>
    <w:rsid w:val="00F604BA"/>
    <w:rsid w:val="00F634DF"/>
    <w:rsid w:val="00F63A25"/>
    <w:rsid w:val="00F641FE"/>
    <w:rsid w:val="00F66809"/>
    <w:rsid w:val="00F6704B"/>
    <w:rsid w:val="00F704B0"/>
    <w:rsid w:val="00F71455"/>
    <w:rsid w:val="00F72DBC"/>
    <w:rsid w:val="00F734EC"/>
    <w:rsid w:val="00F75EF0"/>
    <w:rsid w:val="00F804E0"/>
    <w:rsid w:val="00F81829"/>
    <w:rsid w:val="00F84375"/>
    <w:rsid w:val="00F8665A"/>
    <w:rsid w:val="00F86DE4"/>
    <w:rsid w:val="00F91F9D"/>
    <w:rsid w:val="00F92D89"/>
    <w:rsid w:val="00F95EB9"/>
    <w:rsid w:val="00F969FA"/>
    <w:rsid w:val="00F97189"/>
    <w:rsid w:val="00F97560"/>
    <w:rsid w:val="00FA0287"/>
    <w:rsid w:val="00FA1A90"/>
    <w:rsid w:val="00FA7175"/>
    <w:rsid w:val="00FC0CC6"/>
    <w:rsid w:val="00FC2BEE"/>
    <w:rsid w:val="00FC3F2C"/>
    <w:rsid w:val="00FC4670"/>
    <w:rsid w:val="00FC4BB0"/>
    <w:rsid w:val="00FC50CB"/>
    <w:rsid w:val="00FC52DC"/>
    <w:rsid w:val="00FC5F81"/>
    <w:rsid w:val="00FC64F4"/>
    <w:rsid w:val="00FD0FF1"/>
    <w:rsid w:val="00FD5040"/>
    <w:rsid w:val="00FE490D"/>
    <w:rsid w:val="00FE5A8D"/>
    <w:rsid w:val="00FE5F1C"/>
    <w:rsid w:val="00FE6B81"/>
    <w:rsid w:val="00FF072D"/>
    <w:rsid w:val="00FF4267"/>
    <w:rsid w:val="00FF691B"/>
    <w:rsid w:val="00FF7B3D"/>
    <w:rsid w:val="00FF7DB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048C"/>
    <w:pPr>
      <w:spacing w:after="240"/>
      <w:jc w:val="both"/>
    </w:pPr>
    <w:rPr>
      <w:sz w:val="24"/>
      <w:lang w:val="en-GB" w:eastAsia="en-US"/>
    </w:rPr>
  </w:style>
  <w:style w:type="paragraph" w:styleId="Heading1">
    <w:name w:val="heading 1"/>
    <w:basedOn w:val="Normal"/>
    <w:next w:val="Normal"/>
    <w:qFormat/>
    <w:rsid w:val="004D6B2D"/>
    <w:pPr>
      <w:keepNext/>
      <w:tabs>
        <w:tab w:val="left" w:pos="9180"/>
        <w:tab w:val="left" w:pos="10173"/>
      </w:tabs>
      <w:spacing w:before="360" w:line="280" w:lineRule="exact"/>
      <w:outlineLvl w:val="0"/>
    </w:pPr>
    <w:rPr>
      <w:b/>
      <w:caps/>
      <w:kern w:val="28"/>
      <w:sz w:val="28"/>
      <w:szCs w:val="28"/>
    </w:rPr>
  </w:style>
  <w:style w:type="paragraph" w:styleId="Heading2">
    <w:name w:val="heading 2"/>
    <w:basedOn w:val="Normal"/>
    <w:next w:val="Normal"/>
    <w:qFormat/>
    <w:rsid w:val="00F53C55"/>
    <w:pPr>
      <w:keepNext/>
      <w:spacing w:before="240" w:after="120" w:line="280" w:lineRule="exact"/>
      <w:outlineLvl w:val="1"/>
    </w:pPr>
    <w:rPr>
      <w:b/>
    </w:rPr>
  </w:style>
  <w:style w:type="paragraph" w:styleId="Heading3">
    <w:name w:val="heading 3"/>
    <w:basedOn w:val="Normal"/>
    <w:next w:val="Normal"/>
    <w:qFormat/>
    <w:rsid w:val="00F53C55"/>
    <w:pPr>
      <w:keepNext/>
      <w:spacing w:before="120" w:after="120"/>
      <w:outlineLvl w:val="2"/>
    </w:pPr>
    <w:rPr>
      <w:b/>
      <w:i/>
      <w:iCs/>
    </w:rPr>
  </w:style>
  <w:style w:type="paragraph" w:styleId="Heading4">
    <w:name w:val="heading 4"/>
    <w:basedOn w:val="Normal"/>
    <w:next w:val="Normal"/>
    <w:qFormat/>
    <w:rsid w:val="00F53C55"/>
    <w:pPr>
      <w:keepNext/>
      <w:outlineLvl w:val="3"/>
    </w:pPr>
    <w:rPr>
      <w:i/>
      <w:iCs/>
    </w:rPr>
  </w:style>
  <w:style w:type="paragraph" w:styleId="Heading5">
    <w:name w:val="heading 5"/>
    <w:basedOn w:val="Normal"/>
    <w:next w:val="Normal"/>
    <w:qFormat/>
    <w:rsid w:val="00F53C55"/>
    <w:pPr>
      <w:keepNext/>
      <w:outlineLvl w:val="4"/>
    </w:pPr>
    <w:rPr>
      <w:rFonts w:ascii="Arial" w:hAnsi="Arial"/>
      <w:b/>
      <w:sz w:val="22"/>
      <w:u w:val="single"/>
    </w:rPr>
  </w:style>
  <w:style w:type="paragraph" w:styleId="Heading6">
    <w:name w:val="heading 6"/>
    <w:basedOn w:val="Normal"/>
    <w:next w:val="Normal"/>
    <w:qFormat/>
    <w:rsid w:val="00F53C55"/>
    <w:pPr>
      <w:keepNext/>
      <w:outlineLvl w:val="5"/>
    </w:pPr>
    <w:rPr>
      <w:rFonts w:ascii="Arial" w:hAnsi="Arial"/>
      <w:b/>
      <w:sz w:val="22"/>
    </w:rPr>
  </w:style>
  <w:style w:type="paragraph" w:styleId="Heading7">
    <w:name w:val="heading 7"/>
    <w:basedOn w:val="Normal"/>
    <w:next w:val="Normal"/>
    <w:qFormat/>
    <w:rsid w:val="00F53C55"/>
    <w:pPr>
      <w:keepNext/>
      <w:outlineLvl w:val="6"/>
    </w:pPr>
    <w:rPr>
      <w:rFonts w:ascii="Arial" w:hAnsi="Arial"/>
      <w:b/>
      <w:sz w:val="22"/>
    </w:rPr>
  </w:style>
  <w:style w:type="paragraph" w:styleId="Heading8">
    <w:name w:val="heading 8"/>
    <w:basedOn w:val="Normal"/>
    <w:next w:val="Normal"/>
    <w:qFormat/>
    <w:rsid w:val="00F53C55"/>
    <w:pPr>
      <w:keepNext/>
      <w:outlineLvl w:val="7"/>
    </w:pPr>
    <w:rPr>
      <w:rFonts w:ascii="Helvetica" w:hAnsi="Helvetica"/>
      <w:b/>
    </w:rPr>
  </w:style>
  <w:style w:type="paragraph" w:styleId="Heading9">
    <w:name w:val="heading 9"/>
    <w:basedOn w:val="Normal"/>
    <w:next w:val="Normal"/>
    <w:qFormat/>
    <w:rsid w:val="00F53C55"/>
    <w:pPr>
      <w:keepNext/>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F53C55"/>
  </w:style>
  <w:style w:type="paragraph" w:styleId="Footer">
    <w:name w:val="footer"/>
    <w:basedOn w:val="Normal"/>
    <w:rsid w:val="00F53C55"/>
    <w:pPr>
      <w:pBdr>
        <w:top w:val="single" w:sz="6" w:space="1" w:color="auto"/>
      </w:pBdr>
      <w:tabs>
        <w:tab w:val="left" w:pos="9923"/>
      </w:tabs>
      <w:spacing w:after="0" w:line="280" w:lineRule="exact"/>
      <w:jc w:val="left"/>
    </w:pPr>
    <w:rPr>
      <w:sz w:val="20"/>
    </w:rPr>
  </w:style>
  <w:style w:type="character" w:styleId="PageNumber">
    <w:name w:val="page number"/>
    <w:basedOn w:val="DefaultParagraphFont"/>
    <w:rsid w:val="00F53C55"/>
  </w:style>
  <w:style w:type="paragraph" w:styleId="BlockText">
    <w:name w:val="Block Text"/>
    <w:basedOn w:val="Normal"/>
    <w:rsid w:val="00F53C55"/>
    <w:pPr>
      <w:pBdr>
        <w:top w:val="single" w:sz="6" w:space="1" w:color="auto"/>
        <w:left w:val="single" w:sz="6" w:space="4" w:color="auto"/>
        <w:bottom w:val="single" w:sz="6" w:space="1" w:color="auto"/>
        <w:right w:val="single" w:sz="6" w:space="4" w:color="auto"/>
      </w:pBdr>
      <w:ind w:left="34" w:right="602"/>
    </w:pPr>
    <w:rPr>
      <w:rFonts w:ascii="Arial" w:hAnsi="Arial"/>
    </w:rPr>
  </w:style>
  <w:style w:type="paragraph" w:styleId="BodyText">
    <w:name w:val="Body Text"/>
    <w:basedOn w:val="Normal"/>
    <w:rsid w:val="00F53C55"/>
    <w:rPr>
      <w:rFonts w:ascii="Arial" w:hAnsi="Arial"/>
      <w:strike/>
    </w:rPr>
  </w:style>
  <w:style w:type="paragraph" w:styleId="Header">
    <w:name w:val="header"/>
    <w:basedOn w:val="Normal"/>
    <w:rsid w:val="00F53C55"/>
    <w:pPr>
      <w:tabs>
        <w:tab w:val="center" w:pos="4153"/>
        <w:tab w:val="right" w:pos="8306"/>
      </w:tabs>
    </w:pPr>
  </w:style>
  <w:style w:type="paragraph" w:styleId="BodyText2">
    <w:name w:val="Body Text 2"/>
    <w:basedOn w:val="Normal"/>
    <w:rsid w:val="00F53C55"/>
    <w:rPr>
      <w:rFonts w:ascii="Arial" w:hAnsi="Arial"/>
      <w:color w:val="000000"/>
    </w:rPr>
  </w:style>
  <w:style w:type="paragraph" w:styleId="BodyText3">
    <w:name w:val="Body Text 3"/>
    <w:basedOn w:val="Normal"/>
    <w:rsid w:val="00F53C55"/>
    <w:rPr>
      <w:rFonts w:ascii="Arial" w:hAnsi="Arial"/>
      <w:b/>
    </w:rPr>
  </w:style>
  <w:style w:type="paragraph" w:styleId="BodyTextIndent">
    <w:name w:val="Body Text Indent"/>
    <w:basedOn w:val="Normal"/>
    <w:rsid w:val="00F53C55"/>
    <w:pPr>
      <w:tabs>
        <w:tab w:val="left" w:pos="851"/>
        <w:tab w:val="left" w:pos="7218"/>
      </w:tabs>
      <w:ind w:left="851" w:hanging="851"/>
    </w:pPr>
    <w:rPr>
      <w:rFonts w:ascii="Arial" w:hAnsi="Arial"/>
      <w:b/>
    </w:rPr>
  </w:style>
  <w:style w:type="paragraph" w:styleId="EndnoteText">
    <w:name w:val="endnote text"/>
    <w:basedOn w:val="Normal"/>
    <w:semiHidden/>
    <w:rsid w:val="00F53C55"/>
    <w:pPr>
      <w:tabs>
        <w:tab w:val="left" w:pos="567"/>
      </w:tabs>
    </w:pPr>
    <w:rPr>
      <w:sz w:val="22"/>
    </w:rPr>
  </w:style>
  <w:style w:type="paragraph" w:customStyle="1" w:styleId="PrinInv">
    <w:name w:val="Prin Inv"/>
    <w:basedOn w:val="Normal"/>
    <w:rsid w:val="00F53C55"/>
    <w:rPr>
      <w:rFonts w:ascii="Arial" w:hAnsi="Arial"/>
      <w:sz w:val="18"/>
      <w:lang w:val="en-US"/>
    </w:rPr>
  </w:style>
  <w:style w:type="paragraph" w:customStyle="1" w:styleId="fig">
    <w:name w:val="fig"/>
    <w:basedOn w:val="Normal"/>
    <w:rsid w:val="00F53C55"/>
    <w:pPr>
      <w:spacing w:after="200"/>
      <w:jc w:val="center"/>
    </w:pPr>
    <w:rPr>
      <w:rFonts w:ascii="Arial" w:hAnsi="Arial"/>
      <w:sz w:val="18"/>
      <w:lang w:val="en-US"/>
    </w:rPr>
  </w:style>
  <w:style w:type="paragraph" w:styleId="Caption">
    <w:name w:val="caption"/>
    <w:basedOn w:val="Normal"/>
    <w:next w:val="Normal"/>
    <w:qFormat/>
    <w:rsid w:val="00F53C55"/>
    <w:pPr>
      <w:tabs>
        <w:tab w:val="left" w:pos="567"/>
      </w:tabs>
      <w:spacing w:line="260" w:lineRule="exact"/>
    </w:pPr>
    <w:rPr>
      <w:b/>
      <w:sz w:val="22"/>
    </w:rPr>
  </w:style>
  <w:style w:type="paragraph" w:styleId="Title">
    <w:name w:val="Title"/>
    <w:basedOn w:val="Normal"/>
    <w:qFormat/>
    <w:rsid w:val="00F53C55"/>
    <w:pPr>
      <w:spacing w:before="240" w:after="60"/>
      <w:outlineLvl w:val="0"/>
    </w:pPr>
    <w:rPr>
      <w:b/>
      <w:kern w:val="28"/>
      <w:sz w:val="40"/>
    </w:rPr>
  </w:style>
  <w:style w:type="paragraph" w:styleId="ListBullet">
    <w:name w:val="List Bullet"/>
    <w:basedOn w:val="Normal"/>
    <w:rsid w:val="00F53C55"/>
    <w:pPr>
      <w:numPr>
        <w:numId w:val="1"/>
      </w:numPr>
    </w:pPr>
  </w:style>
  <w:style w:type="paragraph" w:styleId="ListNumber">
    <w:name w:val="List Number"/>
    <w:basedOn w:val="Normal"/>
    <w:rsid w:val="00F53C55"/>
    <w:pPr>
      <w:numPr>
        <w:numId w:val="2"/>
      </w:numPr>
      <w:tabs>
        <w:tab w:val="left" w:pos="357"/>
      </w:tabs>
    </w:pPr>
  </w:style>
  <w:style w:type="paragraph" w:customStyle="1" w:styleId="Figure">
    <w:name w:val="Figure"/>
    <w:basedOn w:val="Normal"/>
    <w:next w:val="Normal"/>
    <w:rsid w:val="00F53C55"/>
    <w:pPr>
      <w:spacing w:before="240" w:after="360"/>
    </w:pPr>
    <w:rPr>
      <w:color w:val="000000"/>
    </w:rPr>
  </w:style>
  <w:style w:type="paragraph" w:customStyle="1" w:styleId="FigureFootnote">
    <w:name w:val="Figure Footnote"/>
    <w:basedOn w:val="Normal"/>
    <w:next w:val="Normal"/>
    <w:rsid w:val="00F53C55"/>
    <w:pPr>
      <w:spacing w:before="240" w:after="360"/>
    </w:pPr>
    <w:rPr>
      <w:color w:val="000000"/>
    </w:rPr>
  </w:style>
  <w:style w:type="paragraph" w:customStyle="1" w:styleId="FigureTitle">
    <w:name w:val="Figure Title"/>
    <w:basedOn w:val="Normal"/>
    <w:next w:val="Figure"/>
    <w:rsid w:val="00F53C55"/>
    <w:pPr>
      <w:keepNext/>
      <w:spacing w:before="360"/>
    </w:pPr>
    <w:rPr>
      <w:b/>
      <w:color w:val="000000"/>
    </w:rPr>
  </w:style>
  <w:style w:type="character" w:styleId="FootnoteReference">
    <w:name w:val="footnote reference"/>
    <w:basedOn w:val="DefaultParagraphFont"/>
    <w:semiHidden/>
    <w:rsid w:val="00F53C55"/>
    <w:rPr>
      <w:sz w:val="24"/>
      <w:vertAlign w:val="superscript"/>
    </w:rPr>
  </w:style>
  <w:style w:type="character" w:styleId="Hyperlink">
    <w:name w:val="Hyperlink"/>
    <w:basedOn w:val="DefaultParagraphFont"/>
    <w:rsid w:val="00F53C55"/>
    <w:rPr>
      <w:color w:val="auto"/>
      <w:u w:val="none"/>
    </w:rPr>
  </w:style>
  <w:style w:type="paragraph" w:styleId="Subtitle">
    <w:name w:val="Subtitle"/>
    <w:basedOn w:val="Normal"/>
    <w:qFormat/>
    <w:rsid w:val="00F53C55"/>
    <w:pPr>
      <w:spacing w:after="60"/>
      <w:outlineLvl w:val="1"/>
    </w:pPr>
    <w:rPr>
      <w:b/>
      <w:sz w:val="32"/>
    </w:rPr>
  </w:style>
  <w:style w:type="paragraph" w:customStyle="1" w:styleId="TableFootnote">
    <w:name w:val="Table Footnote"/>
    <w:basedOn w:val="FigureFootnote"/>
    <w:next w:val="Normal"/>
    <w:rsid w:val="00F53C55"/>
    <w:pPr>
      <w:spacing w:before="0" w:after="0"/>
      <w:jc w:val="left"/>
    </w:pPr>
    <w:rPr>
      <w:sz w:val="20"/>
      <w:szCs w:val="24"/>
    </w:rPr>
  </w:style>
  <w:style w:type="paragraph" w:customStyle="1" w:styleId="TableText">
    <w:name w:val="Table Text"/>
    <w:basedOn w:val="Figure"/>
    <w:rsid w:val="00F53C55"/>
    <w:pPr>
      <w:spacing w:before="0" w:after="0"/>
      <w:jc w:val="left"/>
    </w:pPr>
    <w:rPr>
      <w:snapToGrid w:val="0"/>
      <w:szCs w:val="24"/>
    </w:rPr>
  </w:style>
  <w:style w:type="paragraph" w:customStyle="1" w:styleId="TableHeading">
    <w:name w:val="Table Heading"/>
    <w:basedOn w:val="TableText"/>
    <w:rsid w:val="00F53C55"/>
    <w:pPr>
      <w:keepNext/>
    </w:pPr>
    <w:rPr>
      <w:b/>
      <w:bCs/>
    </w:rPr>
  </w:style>
  <w:style w:type="paragraph" w:customStyle="1" w:styleId="TableSpace">
    <w:name w:val="Table Space"/>
    <w:basedOn w:val="Figure"/>
    <w:next w:val="Normal"/>
    <w:rsid w:val="00F53C55"/>
    <w:pPr>
      <w:spacing w:before="0" w:after="480"/>
      <w:jc w:val="left"/>
    </w:pPr>
    <w:rPr>
      <w:szCs w:val="24"/>
    </w:rPr>
  </w:style>
  <w:style w:type="paragraph" w:customStyle="1" w:styleId="TableTitle">
    <w:name w:val="Table Title"/>
    <w:basedOn w:val="FigureTitle"/>
    <w:next w:val="TableText"/>
    <w:rsid w:val="00F53C55"/>
    <w:pPr>
      <w:spacing w:after="0"/>
      <w:jc w:val="left"/>
    </w:pPr>
    <w:rPr>
      <w:szCs w:val="24"/>
    </w:rPr>
  </w:style>
  <w:style w:type="paragraph" w:customStyle="1" w:styleId="TableTitleCont">
    <w:name w:val="Table Title Cont"/>
    <w:basedOn w:val="TableTitle"/>
    <w:next w:val="TableText"/>
    <w:rsid w:val="00F53C55"/>
    <w:pPr>
      <w:spacing w:before="0"/>
    </w:pPr>
    <w:rPr>
      <w:b w:val="0"/>
    </w:rPr>
  </w:style>
  <w:style w:type="character" w:styleId="FollowedHyperlink">
    <w:name w:val="FollowedHyperlink"/>
    <w:basedOn w:val="DefaultParagraphFont"/>
    <w:rsid w:val="00F53C55"/>
    <w:rPr>
      <w:color w:val="800080"/>
      <w:u w:val="single"/>
    </w:rPr>
  </w:style>
  <w:style w:type="paragraph" w:styleId="FootnoteText">
    <w:name w:val="footnote text"/>
    <w:basedOn w:val="Normal"/>
    <w:semiHidden/>
    <w:rsid w:val="00F53C55"/>
    <w:rPr>
      <w:sz w:val="20"/>
    </w:rPr>
  </w:style>
  <w:style w:type="paragraph" w:styleId="BalloonText">
    <w:name w:val="Balloon Text"/>
    <w:basedOn w:val="Normal"/>
    <w:semiHidden/>
    <w:rsid w:val="00CE43C3"/>
    <w:rPr>
      <w:rFonts w:ascii="Tahoma" w:hAnsi="Tahoma" w:cs="Tahoma"/>
      <w:sz w:val="16"/>
      <w:szCs w:val="16"/>
    </w:rPr>
  </w:style>
  <w:style w:type="paragraph" w:customStyle="1" w:styleId="Default">
    <w:name w:val="Default"/>
    <w:rsid w:val="00776680"/>
    <w:pPr>
      <w:widowControl w:val="0"/>
      <w:autoSpaceDE w:val="0"/>
      <w:autoSpaceDN w:val="0"/>
      <w:adjustRightInd w:val="0"/>
    </w:pPr>
    <w:rPr>
      <w:color w:val="000000"/>
      <w:sz w:val="24"/>
      <w:szCs w:val="24"/>
      <w:lang w:val="en-US" w:eastAsia="en-US"/>
    </w:rPr>
  </w:style>
  <w:style w:type="table" w:styleId="TableGrid">
    <w:name w:val="Table Grid"/>
    <w:basedOn w:val="TableNormal"/>
    <w:uiPriority w:val="59"/>
    <w:rsid w:val="0091059F"/>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3421D"/>
    <w:rPr>
      <w:sz w:val="16"/>
      <w:szCs w:val="16"/>
    </w:rPr>
  </w:style>
  <w:style w:type="paragraph" w:styleId="CommentText">
    <w:name w:val="annotation text"/>
    <w:basedOn w:val="Normal"/>
    <w:semiHidden/>
    <w:rsid w:val="00F3421D"/>
    <w:rPr>
      <w:sz w:val="20"/>
    </w:rPr>
  </w:style>
  <w:style w:type="paragraph" w:styleId="CommentSubject">
    <w:name w:val="annotation subject"/>
    <w:basedOn w:val="CommentText"/>
    <w:next w:val="CommentText"/>
    <w:semiHidden/>
    <w:rsid w:val="00F3421D"/>
    <w:rPr>
      <w:b/>
      <w:bCs/>
    </w:rPr>
  </w:style>
  <w:style w:type="paragraph" w:customStyle="1" w:styleId="PIHeading1">
    <w:name w:val="PI Heading 1"/>
    <w:basedOn w:val="Heading1"/>
    <w:uiPriority w:val="2"/>
    <w:qFormat/>
    <w:rsid w:val="00385A6C"/>
    <w:pPr>
      <w:tabs>
        <w:tab w:val="clear" w:pos="9180"/>
        <w:tab w:val="clear" w:pos="10173"/>
      </w:tabs>
    </w:pPr>
    <w:rPr>
      <w:lang w:val="en-AU"/>
    </w:rPr>
  </w:style>
  <w:style w:type="paragraph" w:customStyle="1" w:styleId="PINormal">
    <w:name w:val="PI Normal"/>
    <w:basedOn w:val="Normal"/>
    <w:uiPriority w:val="6"/>
    <w:qFormat/>
    <w:rsid w:val="00446D66"/>
    <w:pPr>
      <w:tabs>
        <w:tab w:val="left" w:pos="425"/>
      </w:tabs>
    </w:pPr>
    <w:rPr>
      <w:color w:val="000000"/>
      <w:szCs w:val="24"/>
      <w:lang w:val="en-AU"/>
    </w:rPr>
  </w:style>
</w:styles>
</file>

<file path=word/webSettings.xml><?xml version="1.0" encoding="utf-8"?>
<w:webSettings xmlns:r="http://schemas.openxmlformats.org/officeDocument/2006/relationships" xmlns:w="http://schemas.openxmlformats.org/wordprocessingml/2006/main">
  <w:divs>
    <w:div w:id="111768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C23D1-DA2F-49D2-80EA-D592E098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35</Pages>
  <Words>13897</Words>
  <Characters>77551</Characters>
  <Application>Microsoft Office Word</Application>
  <DocSecurity>0</DocSecurity>
  <Lines>1436</Lines>
  <Paragraphs>667</Paragraphs>
  <ScaleCrop>false</ScaleCrop>
  <HeadingPairs>
    <vt:vector size="2" baseType="variant">
      <vt:variant>
        <vt:lpstr>Title</vt:lpstr>
      </vt:variant>
      <vt:variant>
        <vt:i4>1</vt:i4>
      </vt:variant>
    </vt:vector>
  </HeadingPairs>
  <TitlesOfParts>
    <vt:vector size="1" baseType="lpstr">
      <vt:lpstr>Product Information for Vfend (voriconazole)</vt:lpstr>
    </vt:vector>
  </TitlesOfParts>
  <Company>Pfizer (Aust)  Pty Limited</Company>
  <LinksUpToDate>false</LinksUpToDate>
  <CharactersWithSpaces>90781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Vfend (voriconazole)</dc:title>
  <dc:subject>prescription medicine regulation</dc:subject>
  <dc:creator>Pfizer Australia Pty Limited</dc:creator>
  <cp:keywords>product, information, pi, vfend, voriconazole</cp:keywords>
  <cp:lastModifiedBy>Sheppard, Fran</cp:lastModifiedBy>
  <cp:revision>10</cp:revision>
  <cp:lastPrinted>2012-05-01T06:09:00Z</cp:lastPrinted>
  <dcterms:created xsi:type="dcterms:W3CDTF">2013-06-06T03:02:00Z</dcterms:created>
  <dcterms:modified xsi:type="dcterms:W3CDTF">2013-06-06T06:23:00Z</dcterms:modified>
</cp:coreProperties>
</file>