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E19BF70" w14:textId="77777777" w:rsidTr="00BF1190">
        <w:trPr>
          <w:trHeight w:val="1863"/>
        </w:trPr>
        <w:tc>
          <w:tcPr>
            <w:tcW w:w="3652" w:type="dxa"/>
            <w:tcBorders>
              <w:top w:val="nil"/>
              <w:left w:val="nil"/>
              <w:bottom w:val="nil"/>
              <w:right w:val="nil"/>
            </w:tcBorders>
          </w:tcPr>
          <w:p w14:paraId="0D840E00" w14:textId="6501D145" w:rsidR="008E7846" w:rsidRPr="00096AA7" w:rsidRDefault="008A53C0" w:rsidP="00096AA7">
            <w:pPr>
              <w:rPr>
                <w:rFonts w:ascii="Arial" w:hAnsi="Arial" w:cs="Arial"/>
                <w:b/>
                <w:color w:val="002C47"/>
                <w:sz w:val="36"/>
                <w:szCs w:val="36"/>
              </w:rPr>
            </w:pPr>
            <w:r>
              <w:rPr>
                <w:rFonts w:ascii="Arial" w:hAnsi="Arial" w:cs="Arial"/>
                <w:b/>
                <w:color w:val="002C47"/>
                <w:sz w:val="36"/>
                <w:szCs w:val="36"/>
              </w:rPr>
              <w:t xml:space="preserve">December </w:t>
            </w:r>
            <w:r w:rsidR="008F6506">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CFD6250" w14:textId="77777777" w:rsidTr="0032583B">
        <w:trPr>
          <w:trHeight w:val="868"/>
        </w:trPr>
        <w:tc>
          <w:tcPr>
            <w:tcW w:w="9079" w:type="dxa"/>
          </w:tcPr>
          <w:p w14:paraId="5CD1F052" w14:textId="6E3C0394" w:rsidR="0032583B" w:rsidRPr="00A964D1" w:rsidRDefault="0032583B" w:rsidP="0069107D">
            <w:pPr>
              <w:pStyle w:val="Title"/>
              <w:rPr>
                <w:color w:val="FFFFFF" w:themeColor="background1"/>
              </w:rPr>
            </w:pPr>
            <w:r w:rsidRPr="00A964D1">
              <w:rPr>
                <w:color w:val="FFFFFF" w:themeColor="background1"/>
              </w:rPr>
              <w:t xml:space="preserve">Australian Public Assessment Report for </w:t>
            </w:r>
            <w:r w:rsidR="008551AF">
              <w:rPr>
                <w:color w:val="FFFFFF" w:themeColor="background1"/>
              </w:rPr>
              <w:t>V</w:t>
            </w:r>
            <w:r w:rsidR="0069107D">
              <w:rPr>
                <w:color w:val="FFFFFF" w:themeColor="background1"/>
              </w:rPr>
              <w:t>oretigene neparvovec</w:t>
            </w:r>
          </w:p>
        </w:tc>
      </w:tr>
      <w:tr w:rsidR="0032583B" w:rsidRPr="00B64760" w14:paraId="77812600" w14:textId="77777777" w:rsidTr="0032583B">
        <w:tc>
          <w:tcPr>
            <w:tcW w:w="9079" w:type="dxa"/>
          </w:tcPr>
          <w:p w14:paraId="1FB17FD1" w14:textId="77777777" w:rsidR="0032583B" w:rsidRPr="008E7846" w:rsidRDefault="0032583B" w:rsidP="0069107D">
            <w:pPr>
              <w:pStyle w:val="Subtitle"/>
              <w:rPr>
                <w:color w:val="FFFFFF" w:themeColor="background1"/>
              </w:rPr>
            </w:pPr>
            <w:r w:rsidRPr="008E7846">
              <w:rPr>
                <w:color w:val="FFFFFF" w:themeColor="background1"/>
              </w:rPr>
              <w:t xml:space="preserve">Proprietary Product Name: </w:t>
            </w:r>
            <w:r w:rsidR="0069107D">
              <w:rPr>
                <w:color w:val="FFFFFF" w:themeColor="background1"/>
              </w:rPr>
              <w:t>Luxturna</w:t>
            </w:r>
          </w:p>
        </w:tc>
      </w:tr>
      <w:tr w:rsidR="0032583B" w:rsidRPr="00B64760" w14:paraId="641D1464" w14:textId="77777777" w:rsidTr="0032583B">
        <w:trPr>
          <w:trHeight w:val="486"/>
        </w:trPr>
        <w:tc>
          <w:tcPr>
            <w:tcW w:w="9079" w:type="dxa"/>
          </w:tcPr>
          <w:p w14:paraId="309BCD3B" w14:textId="0D4D2C4F" w:rsidR="0032583B" w:rsidRPr="008E7846" w:rsidRDefault="00460036" w:rsidP="0069107D">
            <w:pPr>
              <w:pStyle w:val="Subtitle"/>
              <w:rPr>
                <w:color w:val="FFFFFF" w:themeColor="background1"/>
              </w:rPr>
            </w:pPr>
            <w:r>
              <w:rPr>
                <w:color w:val="FFFFFF" w:themeColor="background1"/>
              </w:rPr>
              <w:t xml:space="preserve">Sponsor: </w:t>
            </w:r>
            <w:r w:rsidR="0069107D">
              <w:rPr>
                <w:color w:val="FFFFFF" w:themeColor="background1"/>
              </w:rPr>
              <w:t>Novartis Pharmaceutical</w:t>
            </w:r>
            <w:r w:rsidR="000C6C1C">
              <w:rPr>
                <w:color w:val="FFFFFF" w:themeColor="background1"/>
              </w:rPr>
              <w:t>s</w:t>
            </w:r>
            <w:r w:rsidR="0069107D">
              <w:rPr>
                <w:color w:val="FFFFFF" w:themeColor="background1"/>
              </w:rPr>
              <w:t xml:space="preserve"> Australia Pty Ltd</w:t>
            </w:r>
          </w:p>
        </w:tc>
      </w:tr>
    </w:tbl>
    <w:p w14:paraId="4AA436DD" w14:textId="77777777" w:rsidR="008E7846" w:rsidRPr="0085156D" w:rsidRDefault="008E7846" w:rsidP="0085156D">
      <w:r w:rsidRPr="0085156D">
        <w:br w:type="page"/>
      </w:r>
    </w:p>
    <w:p w14:paraId="18D9A3C4" w14:textId="77777777" w:rsidR="008E7846" w:rsidRPr="001F6CBA" w:rsidRDefault="008E7846" w:rsidP="008E7846">
      <w:pPr>
        <w:pStyle w:val="NonTOCHeading2"/>
      </w:pPr>
      <w:r w:rsidRPr="001F6CBA">
        <w:lastRenderedPageBreak/>
        <w:t>About the Therapeutic Goods Administration (TGA)</w:t>
      </w:r>
    </w:p>
    <w:p w14:paraId="706C43C2"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470541A"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4572F34"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FBABBD9"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9C56B7E"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3" w:history="1">
        <w:r w:rsidR="00441C3F">
          <w:rPr>
            <w:rStyle w:val="Hyperlink"/>
          </w:rPr>
          <w:t>https://www.tga.gov.au</w:t>
        </w:r>
      </w:hyperlink>
      <w:r w:rsidR="00441C3F">
        <w:t>&gt;.</w:t>
      </w:r>
    </w:p>
    <w:p w14:paraId="65B99DC2" w14:textId="77777777" w:rsidR="008E7846" w:rsidRDefault="008E7846" w:rsidP="00875A6B">
      <w:pPr>
        <w:pStyle w:val="NonTOCHeading2"/>
      </w:pPr>
      <w:r>
        <w:t>About AusPARs</w:t>
      </w:r>
    </w:p>
    <w:p w14:paraId="1CE60547"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F653A8D" w14:textId="77777777" w:rsidR="008E7846" w:rsidRDefault="008E7846" w:rsidP="008E7846">
      <w:pPr>
        <w:pStyle w:val="ListBullet"/>
        <w:numPr>
          <w:ilvl w:val="0"/>
          <w:numId w:val="3"/>
        </w:numPr>
        <w:ind w:left="357" w:hanging="357"/>
      </w:pPr>
      <w:r>
        <w:t>AusPARs are prepared and published by the TGA.</w:t>
      </w:r>
    </w:p>
    <w:p w14:paraId="2984112F"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A94095F"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C385E6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98B3812" w14:textId="77777777" w:rsidR="00924482" w:rsidRPr="00DF1D7F" w:rsidRDefault="00924482" w:rsidP="00F54B65">
      <w:pPr>
        <w:pStyle w:val="LegalSubheading"/>
        <w:spacing w:before="3120"/>
      </w:pPr>
      <w:r w:rsidRPr="00DF1D7F">
        <w:t>Copyright</w:t>
      </w:r>
    </w:p>
    <w:p w14:paraId="3CF2AE0E" w14:textId="7777777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4" w:history="1">
        <w:r w:rsidRPr="00191B3B">
          <w:rPr>
            <w:rStyle w:val="Hyperlink"/>
            <w:rFonts w:cs="Arial"/>
            <w:lang w:val="en-GB"/>
          </w:rPr>
          <w:t>tga.copyright@tga.gov.au</w:t>
        </w:r>
      </w:hyperlink>
      <w:r w:rsidRPr="00191B3B">
        <w:rPr>
          <w:rFonts w:cs="Arial"/>
        </w:rPr>
        <w:t>&gt;.</w:t>
      </w:r>
    </w:p>
    <w:p w14:paraId="450C2CAC" w14:textId="77777777" w:rsidR="00924482" w:rsidRDefault="00924482" w:rsidP="00924482">
      <w:pPr>
        <w:pStyle w:val="LegalCopy"/>
        <w:sectPr w:rsidR="00924482" w:rsidSect="003D1E62">
          <w:headerReference w:type="even" r:id="rId15"/>
          <w:headerReference w:type="default" r:id="rId16"/>
          <w:footerReference w:type="even" r:id="rId17"/>
          <w:footerReference w:type="default" r:id="rId18"/>
          <w:headerReference w:type="first" r:id="rId19"/>
          <w:footerReference w:type="first" r:id="rId20"/>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F1A974D" w14:textId="77777777" w:rsidR="0089635C" w:rsidRPr="0089635C" w:rsidRDefault="0089635C" w:rsidP="0010788A">
          <w:pPr>
            <w:pStyle w:val="Contents"/>
          </w:pPr>
          <w:r w:rsidRPr="0010788A">
            <w:t>Conte</w:t>
          </w:r>
          <w:bookmarkStart w:id="2" w:name="_GoBack"/>
          <w:bookmarkEnd w:id="2"/>
          <w:r w:rsidRPr="0010788A">
            <w:t>nts</w:t>
          </w:r>
        </w:p>
        <w:p w14:paraId="4DEA1668" w14:textId="04BA31FD" w:rsidR="0090187F"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9006612" w:history="1">
            <w:r w:rsidR="0090187F" w:rsidRPr="00786D15">
              <w:rPr>
                <w:rStyle w:val="Hyperlink"/>
                <w:noProof/>
              </w:rPr>
              <w:t>Common abbreviations</w:t>
            </w:r>
            <w:r w:rsidR="0090187F">
              <w:rPr>
                <w:noProof/>
                <w:webHidden/>
              </w:rPr>
              <w:tab/>
            </w:r>
            <w:r w:rsidR="0090187F">
              <w:rPr>
                <w:noProof/>
                <w:webHidden/>
              </w:rPr>
              <w:fldChar w:fldCharType="begin"/>
            </w:r>
            <w:r w:rsidR="0090187F">
              <w:rPr>
                <w:noProof/>
                <w:webHidden/>
              </w:rPr>
              <w:instrText xml:space="preserve"> PAGEREF _Toc59006612 \h </w:instrText>
            </w:r>
            <w:r w:rsidR="0090187F">
              <w:rPr>
                <w:noProof/>
                <w:webHidden/>
              </w:rPr>
            </w:r>
            <w:r w:rsidR="0090187F">
              <w:rPr>
                <w:noProof/>
                <w:webHidden/>
              </w:rPr>
              <w:fldChar w:fldCharType="separate"/>
            </w:r>
            <w:r w:rsidR="0090187F">
              <w:rPr>
                <w:noProof/>
                <w:webHidden/>
              </w:rPr>
              <w:t>4</w:t>
            </w:r>
            <w:r w:rsidR="0090187F">
              <w:rPr>
                <w:noProof/>
                <w:webHidden/>
              </w:rPr>
              <w:fldChar w:fldCharType="end"/>
            </w:r>
          </w:hyperlink>
        </w:p>
        <w:p w14:paraId="286A672E" w14:textId="57B6BD5D" w:rsidR="0090187F" w:rsidRDefault="0090187F">
          <w:pPr>
            <w:pStyle w:val="TOC1"/>
            <w:rPr>
              <w:rFonts w:asciiTheme="minorHAnsi" w:eastAsiaTheme="minorEastAsia" w:hAnsiTheme="minorHAnsi" w:cstheme="minorBidi"/>
              <w:b w:val="0"/>
              <w:noProof/>
              <w:sz w:val="22"/>
              <w:lang w:eastAsia="en-AU"/>
            </w:rPr>
          </w:pPr>
          <w:hyperlink w:anchor="_Toc59006613" w:history="1">
            <w:r w:rsidRPr="00786D15">
              <w:rPr>
                <w:rStyle w:val="Hyperlink"/>
                <w:noProof/>
              </w:rPr>
              <w:t>I. Introduction to product submission</w:t>
            </w:r>
            <w:r>
              <w:rPr>
                <w:noProof/>
                <w:webHidden/>
              </w:rPr>
              <w:tab/>
            </w:r>
            <w:r>
              <w:rPr>
                <w:noProof/>
                <w:webHidden/>
              </w:rPr>
              <w:fldChar w:fldCharType="begin"/>
            </w:r>
            <w:r>
              <w:rPr>
                <w:noProof/>
                <w:webHidden/>
              </w:rPr>
              <w:instrText xml:space="preserve"> PAGEREF _Toc59006613 \h </w:instrText>
            </w:r>
            <w:r>
              <w:rPr>
                <w:noProof/>
                <w:webHidden/>
              </w:rPr>
            </w:r>
            <w:r>
              <w:rPr>
                <w:noProof/>
                <w:webHidden/>
              </w:rPr>
              <w:fldChar w:fldCharType="separate"/>
            </w:r>
            <w:r>
              <w:rPr>
                <w:noProof/>
                <w:webHidden/>
              </w:rPr>
              <w:t>6</w:t>
            </w:r>
            <w:r>
              <w:rPr>
                <w:noProof/>
                <w:webHidden/>
              </w:rPr>
              <w:fldChar w:fldCharType="end"/>
            </w:r>
          </w:hyperlink>
        </w:p>
        <w:p w14:paraId="1505098F" w14:textId="53ED79A6" w:rsidR="0090187F" w:rsidRDefault="0090187F">
          <w:pPr>
            <w:pStyle w:val="TOC2"/>
            <w:rPr>
              <w:rFonts w:asciiTheme="minorHAnsi" w:eastAsiaTheme="minorEastAsia" w:hAnsiTheme="minorHAnsi" w:cstheme="minorBidi"/>
              <w:b w:val="0"/>
              <w:noProof/>
              <w:sz w:val="22"/>
              <w:lang w:eastAsia="en-AU"/>
            </w:rPr>
          </w:pPr>
          <w:hyperlink w:anchor="_Toc59006614" w:history="1">
            <w:r w:rsidRPr="00786D15">
              <w:rPr>
                <w:rStyle w:val="Hyperlink"/>
                <w:noProof/>
                <w:lang w:eastAsia="en-AU"/>
              </w:rPr>
              <w:t>Submission details</w:t>
            </w:r>
            <w:r>
              <w:rPr>
                <w:noProof/>
                <w:webHidden/>
              </w:rPr>
              <w:tab/>
            </w:r>
            <w:r>
              <w:rPr>
                <w:noProof/>
                <w:webHidden/>
              </w:rPr>
              <w:fldChar w:fldCharType="begin"/>
            </w:r>
            <w:r>
              <w:rPr>
                <w:noProof/>
                <w:webHidden/>
              </w:rPr>
              <w:instrText xml:space="preserve"> PAGEREF _Toc59006614 \h </w:instrText>
            </w:r>
            <w:r>
              <w:rPr>
                <w:noProof/>
                <w:webHidden/>
              </w:rPr>
            </w:r>
            <w:r>
              <w:rPr>
                <w:noProof/>
                <w:webHidden/>
              </w:rPr>
              <w:fldChar w:fldCharType="separate"/>
            </w:r>
            <w:r>
              <w:rPr>
                <w:noProof/>
                <w:webHidden/>
              </w:rPr>
              <w:t>6</w:t>
            </w:r>
            <w:r>
              <w:rPr>
                <w:noProof/>
                <w:webHidden/>
              </w:rPr>
              <w:fldChar w:fldCharType="end"/>
            </w:r>
          </w:hyperlink>
        </w:p>
        <w:p w14:paraId="7D4C6F1D" w14:textId="20FB36E3" w:rsidR="0090187F" w:rsidRDefault="0090187F">
          <w:pPr>
            <w:pStyle w:val="TOC2"/>
            <w:rPr>
              <w:rFonts w:asciiTheme="minorHAnsi" w:eastAsiaTheme="minorEastAsia" w:hAnsiTheme="minorHAnsi" w:cstheme="minorBidi"/>
              <w:b w:val="0"/>
              <w:noProof/>
              <w:sz w:val="22"/>
              <w:lang w:eastAsia="en-AU"/>
            </w:rPr>
          </w:pPr>
          <w:hyperlink w:anchor="_Toc59006615" w:history="1">
            <w:r w:rsidRPr="00786D15">
              <w:rPr>
                <w:rStyle w:val="Hyperlink"/>
                <w:noProof/>
              </w:rPr>
              <w:t>Product background</w:t>
            </w:r>
            <w:r>
              <w:rPr>
                <w:noProof/>
                <w:webHidden/>
              </w:rPr>
              <w:tab/>
            </w:r>
            <w:r>
              <w:rPr>
                <w:noProof/>
                <w:webHidden/>
              </w:rPr>
              <w:fldChar w:fldCharType="begin"/>
            </w:r>
            <w:r>
              <w:rPr>
                <w:noProof/>
                <w:webHidden/>
              </w:rPr>
              <w:instrText xml:space="preserve"> PAGEREF _Toc59006615 \h </w:instrText>
            </w:r>
            <w:r>
              <w:rPr>
                <w:noProof/>
                <w:webHidden/>
              </w:rPr>
            </w:r>
            <w:r>
              <w:rPr>
                <w:noProof/>
                <w:webHidden/>
              </w:rPr>
              <w:fldChar w:fldCharType="separate"/>
            </w:r>
            <w:r>
              <w:rPr>
                <w:noProof/>
                <w:webHidden/>
              </w:rPr>
              <w:t>7</w:t>
            </w:r>
            <w:r>
              <w:rPr>
                <w:noProof/>
                <w:webHidden/>
              </w:rPr>
              <w:fldChar w:fldCharType="end"/>
            </w:r>
          </w:hyperlink>
        </w:p>
        <w:p w14:paraId="784FA644" w14:textId="0A0877AE" w:rsidR="0090187F" w:rsidRDefault="0090187F">
          <w:pPr>
            <w:pStyle w:val="TOC2"/>
            <w:rPr>
              <w:rFonts w:asciiTheme="minorHAnsi" w:eastAsiaTheme="minorEastAsia" w:hAnsiTheme="minorHAnsi" w:cstheme="minorBidi"/>
              <w:b w:val="0"/>
              <w:noProof/>
              <w:sz w:val="22"/>
              <w:lang w:eastAsia="en-AU"/>
            </w:rPr>
          </w:pPr>
          <w:hyperlink w:anchor="_Toc59006616" w:history="1">
            <w:r w:rsidRPr="00786D15">
              <w:rPr>
                <w:rStyle w:val="Hyperlink"/>
                <w:noProof/>
              </w:rPr>
              <w:t>Regulatory status</w:t>
            </w:r>
            <w:r>
              <w:rPr>
                <w:noProof/>
                <w:webHidden/>
              </w:rPr>
              <w:tab/>
            </w:r>
            <w:r>
              <w:rPr>
                <w:noProof/>
                <w:webHidden/>
              </w:rPr>
              <w:fldChar w:fldCharType="begin"/>
            </w:r>
            <w:r>
              <w:rPr>
                <w:noProof/>
                <w:webHidden/>
              </w:rPr>
              <w:instrText xml:space="preserve"> PAGEREF _Toc59006616 \h </w:instrText>
            </w:r>
            <w:r>
              <w:rPr>
                <w:noProof/>
                <w:webHidden/>
              </w:rPr>
            </w:r>
            <w:r>
              <w:rPr>
                <w:noProof/>
                <w:webHidden/>
              </w:rPr>
              <w:fldChar w:fldCharType="separate"/>
            </w:r>
            <w:r>
              <w:rPr>
                <w:noProof/>
                <w:webHidden/>
              </w:rPr>
              <w:t>8</w:t>
            </w:r>
            <w:r>
              <w:rPr>
                <w:noProof/>
                <w:webHidden/>
              </w:rPr>
              <w:fldChar w:fldCharType="end"/>
            </w:r>
          </w:hyperlink>
        </w:p>
        <w:p w14:paraId="22AA6CED" w14:textId="4574D389" w:rsidR="0090187F" w:rsidRDefault="0090187F">
          <w:pPr>
            <w:pStyle w:val="TOC2"/>
            <w:rPr>
              <w:rFonts w:asciiTheme="minorHAnsi" w:eastAsiaTheme="minorEastAsia" w:hAnsiTheme="minorHAnsi" w:cstheme="minorBidi"/>
              <w:b w:val="0"/>
              <w:noProof/>
              <w:sz w:val="22"/>
              <w:lang w:eastAsia="en-AU"/>
            </w:rPr>
          </w:pPr>
          <w:hyperlink w:anchor="_Toc59006617" w:history="1">
            <w:r w:rsidRPr="00786D15">
              <w:rPr>
                <w:rStyle w:val="Hyperlink"/>
                <w:noProof/>
              </w:rPr>
              <w:t>Product Information</w:t>
            </w:r>
            <w:r>
              <w:rPr>
                <w:noProof/>
                <w:webHidden/>
              </w:rPr>
              <w:tab/>
            </w:r>
            <w:r>
              <w:rPr>
                <w:noProof/>
                <w:webHidden/>
              </w:rPr>
              <w:fldChar w:fldCharType="begin"/>
            </w:r>
            <w:r>
              <w:rPr>
                <w:noProof/>
                <w:webHidden/>
              </w:rPr>
              <w:instrText xml:space="preserve"> PAGEREF _Toc59006617 \h </w:instrText>
            </w:r>
            <w:r>
              <w:rPr>
                <w:noProof/>
                <w:webHidden/>
              </w:rPr>
            </w:r>
            <w:r>
              <w:rPr>
                <w:noProof/>
                <w:webHidden/>
              </w:rPr>
              <w:fldChar w:fldCharType="separate"/>
            </w:r>
            <w:r>
              <w:rPr>
                <w:noProof/>
                <w:webHidden/>
              </w:rPr>
              <w:t>9</w:t>
            </w:r>
            <w:r>
              <w:rPr>
                <w:noProof/>
                <w:webHidden/>
              </w:rPr>
              <w:fldChar w:fldCharType="end"/>
            </w:r>
          </w:hyperlink>
        </w:p>
        <w:p w14:paraId="7F217B10" w14:textId="3CA05A60" w:rsidR="0090187F" w:rsidRDefault="0090187F">
          <w:pPr>
            <w:pStyle w:val="TOC1"/>
            <w:rPr>
              <w:rFonts w:asciiTheme="minorHAnsi" w:eastAsiaTheme="minorEastAsia" w:hAnsiTheme="minorHAnsi" w:cstheme="minorBidi"/>
              <w:b w:val="0"/>
              <w:noProof/>
              <w:sz w:val="22"/>
              <w:lang w:eastAsia="en-AU"/>
            </w:rPr>
          </w:pPr>
          <w:hyperlink w:anchor="_Toc59006618" w:history="1">
            <w:r w:rsidRPr="00786D15">
              <w:rPr>
                <w:rStyle w:val="Hyperlink"/>
                <w:noProof/>
              </w:rPr>
              <w:t>II. Registration timeline</w:t>
            </w:r>
            <w:r>
              <w:rPr>
                <w:noProof/>
                <w:webHidden/>
              </w:rPr>
              <w:tab/>
            </w:r>
            <w:r>
              <w:rPr>
                <w:noProof/>
                <w:webHidden/>
              </w:rPr>
              <w:fldChar w:fldCharType="begin"/>
            </w:r>
            <w:r>
              <w:rPr>
                <w:noProof/>
                <w:webHidden/>
              </w:rPr>
              <w:instrText xml:space="preserve"> PAGEREF _Toc59006618 \h </w:instrText>
            </w:r>
            <w:r>
              <w:rPr>
                <w:noProof/>
                <w:webHidden/>
              </w:rPr>
            </w:r>
            <w:r>
              <w:rPr>
                <w:noProof/>
                <w:webHidden/>
              </w:rPr>
              <w:fldChar w:fldCharType="separate"/>
            </w:r>
            <w:r>
              <w:rPr>
                <w:noProof/>
                <w:webHidden/>
              </w:rPr>
              <w:t>9</w:t>
            </w:r>
            <w:r>
              <w:rPr>
                <w:noProof/>
                <w:webHidden/>
              </w:rPr>
              <w:fldChar w:fldCharType="end"/>
            </w:r>
          </w:hyperlink>
        </w:p>
        <w:p w14:paraId="427B1324" w14:textId="2313D399" w:rsidR="0090187F" w:rsidRDefault="0090187F">
          <w:pPr>
            <w:pStyle w:val="TOC1"/>
            <w:rPr>
              <w:rFonts w:asciiTheme="minorHAnsi" w:eastAsiaTheme="minorEastAsia" w:hAnsiTheme="minorHAnsi" w:cstheme="minorBidi"/>
              <w:b w:val="0"/>
              <w:noProof/>
              <w:sz w:val="22"/>
              <w:lang w:eastAsia="en-AU"/>
            </w:rPr>
          </w:pPr>
          <w:hyperlink w:anchor="_Toc59006619" w:history="1">
            <w:r w:rsidRPr="00786D15">
              <w:rPr>
                <w:rStyle w:val="Hyperlink"/>
                <w:noProof/>
              </w:rPr>
              <w:t>III. Submission overview and risk/benefit assessment</w:t>
            </w:r>
            <w:r>
              <w:rPr>
                <w:noProof/>
                <w:webHidden/>
              </w:rPr>
              <w:tab/>
            </w:r>
            <w:r>
              <w:rPr>
                <w:noProof/>
                <w:webHidden/>
              </w:rPr>
              <w:fldChar w:fldCharType="begin"/>
            </w:r>
            <w:r>
              <w:rPr>
                <w:noProof/>
                <w:webHidden/>
              </w:rPr>
              <w:instrText xml:space="preserve"> PAGEREF _Toc59006619 \h </w:instrText>
            </w:r>
            <w:r>
              <w:rPr>
                <w:noProof/>
                <w:webHidden/>
              </w:rPr>
            </w:r>
            <w:r>
              <w:rPr>
                <w:noProof/>
                <w:webHidden/>
              </w:rPr>
              <w:fldChar w:fldCharType="separate"/>
            </w:r>
            <w:r>
              <w:rPr>
                <w:noProof/>
                <w:webHidden/>
              </w:rPr>
              <w:t>10</w:t>
            </w:r>
            <w:r>
              <w:rPr>
                <w:noProof/>
                <w:webHidden/>
              </w:rPr>
              <w:fldChar w:fldCharType="end"/>
            </w:r>
          </w:hyperlink>
        </w:p>
        <w:p w14:paraId="069A2F83" w14:textId="23F62FEF" w:rsidR="0090187F" w:rsidRDefault="0090187F">
          <w:pPr>
            <w:pStyle w:val="TOC2"/>
            <w:rPr>
              <w:rFonts w:asciiTheme="minorHAnsi" w:eastAsiaTheme="minorEastAsia" w:hAnsiTheme="minorHAnsi" w:cstheme="minorBidi"/>
              <w:b w:val="0"/>
              <w:noProof/>
              <w:sz w:val="22"/>
              <w:lang w:eastAsia="en-AU"/>
            </w:rPr>
          </w:pPr>
          <w:hyperlink w:anchor="_Toc59006620" w:history="1">
            <w:r w:rsidRPr="00786D15">
              <w:rPr>
                <w:rStyle w:val="Hyperlink"/>
                <w:noProof/>
              </w:rPr>
              <w:t>Quality</w:t>
            </w:r>
            <w:r>
              <w:rPr>
                <w:noProof/>
                <w:webHidden/>
              </w:rPr>
              <w:tab/>
            </w:r>
            <w:r>
              <w:rPr>
                <w:noProof/>
                <w:webHidden/>
              </w:rPr>
              <w:fldChar w:fldCharType="begin"/>
            </w:r>
            <w:r>
              <w:rPr>
                <w:noProof/>
                <w:webHidden/>
              </w:rPr>
              <w:instrText xml:space="preserve"> PAGEREF _Toc59006620 \h </w:instrText>
            </w:r>
            <w:r>
              <w:rPr>
                <w:noProof/>
                <w:webHidden/>
              </w:rPr>
            </w:r>
            <w:r>
              <w:rPr>
                <w:noProof/>
                <w:webHidden/>
              </w:rPr>
              <w:fldChar w:fldCharType="separate"/>
            </w:r>
            <w:r>
              <w:rPr>
                <w:noProof/>
                <w:webHidden/>
              </w:rPr>
              <w:t>11</w:t>
            </w:r>
            <w:r>
              <w:rPr>
                <w:noProof/>
                <w:webHidden/>
              </w:rPr>
              <w:fldChar w:fldCharType="end"/>
            </w:r>
          </w:hyperlink>
        </w:p>
        <w:p w14:paraId="641D697D" w14:textId="77243EF7" w:rsidR="0090187F" w:rsidRDefault="0090187F">
          <w:pPr>
            <w:pStyle w:val="TOC2"/>
            <w:rPr>
              <w:rFonts w:asciiTheme="minorHAnsi" w:eastAsiaTheme="minorEastAsia" w:hAnsiTheme="minorHAnsi" w:cstheme="minorBidi"/>
              <w:b w:val="0"/>
              <w:noProof/>
              <w:sz w:val="22"/>
              <w:lang w:eastAsia="en-AU"/>
            </w:rPr>
          </w:pPr>
          <w:hyperlink w:anchor="_Toc59006621" w:history="1">
            <w:r w:rsidRPr="00786D15">
              <w:rPr>
                <w:rStyle w:val="Hyperlink"/>
                <w:noProof/>
              </w:rPr>
              <w:t>Nonclinical</w:t>
            </w:r>
            <w:r>
              <w:rPr>
                <w:noProof/>
                <w:webHidden/>
              </w:rPr>
              <w:tab/>
            </w:r>
            <w:r>
              <w:rPr>
                <w:noProof/>
                <w:webHidden/>
              </w:rPr>
              <w:fldChar w:fldCharType="begin"/>
            </w:r>
            <w:r>
              <w:rPr>
                <w:noProof/>
                <w:webHidden/>
              </w:rPr>
              <w:instrText xml:space="preserve"> PAGEREF _Toc59006621 \h </w:instrText>
            </w:r>
            <w:r>
              <w:rPr>
                <w:noProof/>
                <w:webHidden/>
              </w:rPr>
            </w:r>
            <w:r>
              <w:rPr>
                <w:noProof/>
                <w:webHidden/>
              </w:rPr>
              <w:fldChar w:fldCharType="separate"/>
            </w:r>
            <w:r>
              <w:rPr>
                <w:noProof/>
                <w:webHidden/>
              </w:rPr>
              <w:t>12</w:t>
            </w:r>
            <w:r>
              <w:rPr>
                <w:noProof/>
                <w:webHidden/>
              </w:rPr>
              <w:fldChar w:fldCharType="end"/>
            </w:r>
          </w:hyperlink>
        </w:p>
        <w:p w14:paraId="5764C364" w14:textId="31895ACD" w:rsidR="0090187F" w:rsidRDefault="0090187F">
          <w:pPr>
            <w:pStyle w:val="TOC2"/>
            <w:rPr>
              <w:rFonts w:asciiTheme="minorHAnsi" w:eastAsiaTheme="minorEastAsia" w:hAnsiTheme="minorHAnsi" w:cstheme="minorBidi"/>
              <w:b w:val="0"/>
              <w:noProof/>
              <w:sz w:val="22"/>
              <w:lang w:eastAsia="en-AU"/>
            </w:rPr>
          </w:pPr>
          <w:hyperlink w:anchor="_Toc59006622" w:history="1">
            <w:r w:rsidRPr="00786D15">
              <w:rPr>
                <w:rStyle w:val="Hyperlink"/>
                <w:noProof/>
              </w:rPr>
              <w:t>Clinical</w:t>
            </w:r>
            <w:r>
              <w:rPr>
                <w:noProof/>
                <w:webHidden/>
              </w:rPr>
              <w:tab/>
            </w:r>
            <w:r>
              <w:rPr>
                <w:noProof/>
                <w:webHidden/>
              </w:rPr>
              <w:fldChar w:fldCharType="begin"/>
            </w:r>
            <w:r>
              <w:rPr>
                <w:noProof/>
                <w:webHidden/>
              </w:rPr>
              <w:instrText xml:space="preserve"> PAGEREF _Toc59006622 \h </w:instrText>
            </w:r>
            <w:r>
              <w:rPr>
                <w:noProof/>
                <w:webHidden/>
              </w:rPr>
            </w:r>
            <w:r>
              <w:rPr>
                <w:noProof/>
                <w:webHidden/>
              </w:rPr>
              <w:fldChar w:fldCharType="separate"/>
            </w:r>
            <w:r>
              <w:rPr>
                <w:noProof/>
                <w:webHidden/>
              </w:rPr>
              <w:t>13</w:t>
            </w:r>
            <w:r>
              <w:rPr>
                <w:noProof/>
                <w:webHidden/>
              </w:rPr>
              <w:fldChar w:fldCharType="end"/>
            </w:r>
          </w:hyperlink>
        </w:p>
        <w:p w14:paraId="4FA8AB25" w14:textId="116C56BA" w:rsidR="0090187F" w:rsidRDefault="0090187F">
          <w:pPr>
            <w:pStyle w:val="TOC2"/>
            <w:rPr>
              <w:rFonts w:asciiTheme="minorHAnsi" w:eastAsiaTheme="minorEastAsia" w:hAnsiTheme="minorHAnsi" w:cstheme="minorBidi"/>
              <w:b w:val="0"/>
              <w:noProof/>
              <w:sz w:val="22"/>
              <w:lang w:eastAsia="en-AU"/>
            </w:rPr>
          </w:pPr>
          <w:hyperlink w:anchor="_Toc59006623" w:history="1">
            <w:r w:rsidRPr="00786D15">
              <w:rPr>
                <w:rStyle w:val="Hyperlink"/>
                <w:noProof/>
                <w:lang w:eastAsia="en-AU"/>
              </w:rPr>
              <w:t>Risk management plan</w:t>
            </w:r>
            <w:r>
              <w:rPr>
                <w:noProof/>
                <w:webHidden/>
              </w:rPr>
              <w:tab/>
            </w:r>
            <w:r>
              <w:rPr>
                <w:noProof/>
                <w:webHidden/>
              </w:rPr>
              <w:fldChar w:fldCharType="begin"/>
            </w:r>
            <w:r>
              <w:rPr>
                <w:noProof/>
                <w:webHidden/>
              </w:rPr>
              <w:instrText xml:space="preserve"> PAGEREF _Toc59006623 \h </w:instrText>
            </w:r>
            <w:r>
              <w:rPr>
                <w:noProof/>
                <w:webHidden/>
              </w:rPr>
            </w:r>
            <w:r>
              <w:rPr>
                <w:noProof/>
                <w:webHidden/>
              </w:rPr>
              <w:fldChar w:fldCharType="separate"/>
            </w:r>
            <w:r>
              <w:rPr>
                <w:noProof/>
                <w:webHidden/>
              </w:rPr>
              <w:t>22</w:t>
            </w:r>
            <w:r>
              <w:rPr>
                <w:noProof/>
                <w:webHidden/>
              </w:rPr>
              <w:fldChar w:fldCharType="end"/>
            </w:r>
          </w:hyperlink>
        </w:p>
        <w:p w14:paraId="14BA7FCA" w14:textId="61138C30" w:rsidR="0090187F" w:rsidRDefault="0090187F">
          <w:pPr>
            <w:pStyle w:val="TOC2"/>
            <w:rPr>
              <w:rFonts w:asciiTheme="minorHAnsi" w:eastAsiaTheme="minorEastAsia" w:hAnsiTheme="minorHAnsi" w:cstheme="minorBidi"/>
              <w:b w:val="0"/>
              <w:noProof/>
              <w:sz w:val="22"/>
              <w:lang w:eastAsia="en-AU"/>
            </w:rPr>
          </w:pPr>
          <w:hyperlink w:anchor="_Toc59006624" w:history="1">
            <w:r w:rsidRPr="00786D15">
              <w:rPr>
                <w:rStyle w:val="Hyperlink"/>
                <w:noProof/>
              </w:rPr>
              <w:t>Risk-benefit analysis</w:t>
            </w:r>
            <w:r>
              <w:rPr>
                <w:noProof/>
                <w:webHidden/>
              </w:rPr>
              <w:tab/>
            </w:r>
            <w:r>
              <w:rPr>
                <w:noProof/>
                <w:webHidden/>
              </w:rPr>
              <w:fldChar w:fldCharType="begin"/>
            </w:r>
            <w:r>
              <w:rPr>
                <w:noProof/>
                <w:webHidden/>
              </w:rPr>
              <w:instrText xml:space="preserve"> PAGEREF _Toc59006624 \h </w:instrText>
            </w:r>
            <w:r>
              <w:rPr>
                <w:noProof/>
                <w:webHidden/>
              </w:rPr>
            </w:r>
            <w:r>
              <w:rPr>
                <w:noProof/>
                <w:webHidden/>
              </w:rPr>
              <w:fldChar w:fldCharType="separate"/>
            </w:r>
            <w:r>
              <w:rPr>
                <w:noProof/>
                <w:webHidden/>
              </w:rPr>
              <w:t>24</w:t>
            </w:r>
            <w:r>
              <w:rPr>
                <w:noProof/>
                <w:webHidden/>
              </w:rPr>
              <w:fldChar w:fldCharType="end"/>
            </w:r>
          </w:hyperlink>
        </w:p>
        <w:p w14:paraId="51C51796" w14:textId="02EA43BA" w:rsidR="0090187F" w:rsidRDefault="0090187F">
          <w:pPr>
            <w:pStyle w:val="TOC2"/>
            <w:rPr>
              <w:rFonts w:asciiTheme="minorHAnsi" w:eastAsiaTheme="minorEastAsia" w:hAnsiTheme="minorHAnsi" w:cstheme="minorBidi"/>
              <w:b w:val="0"/>
              <w:noProof/>
              <w:sz w:val="22"/>
              <w:lang w:eastAsia="en-AU"/>
            </w:rPr>
          </w:pPr>
          <w:hyperlink w:anchor="_Toc59006625" w:history="1">
            <w:r w:rsidRPr="00786D15">
              <w:rPr>
                <w:rStyle w:val="Hyperlink"/>
                <w:noProof/>
              </w:rPr>
              <w:t>Outcome</w:t>
            </w:r>
            <w:r>
              <w:rPr>
                <w:noProof/>
                <w:webHidden/>
              </w:rPr>
              <w:tab/>
            </w:r>
            <w:r>
              <w:rPr>
                <w:noProof/>
                <w:webHidden/>
              </w:rPr>
              <w:fldChar w:fldCharType="begin"/>
            </w:r>
            <w:r>
              <w:rPr>
                <w:noProof/>
                <w:webHidden/>
              </w:rPr>
              <w:instrText xml:space="preserve"> PAGEREF _Toc59006625 \h </w:instrText>
            </w:r>
            <w:r>
              <w:rPr>
                <w:noProof/>
                <w:webHidden/>
              </w:rPr>
            </w:r>
            <w:r>
              <w:rPr>
                <w:noProof/>
                <w:webHidden/>
              </w:rPr>
              <w:fldChar w:fldCharType="separate"/>
            </w:r>
            <w:r>
              <w:rPr>
                <w:noProof/>
                <w:webHidden/>
              </w:rPr>
              <w:t>31</w:t>
            </w:r>
            <w:r>
              <w:rPr>
                <w:noProof/>
                <w:webHidden/>
              </w:rPr>
              <w:fldChar w:fldCharType="end"/>
            </w:r>
          </w:hyperlink>
        </w:p>
        <w:p w14:paraId="1126BFF8" w14:textId="07408CEA" w:rsidR="0090187F" w:rsidRDefault="0090187F">
          <w:pPr>
            <w:pStyle w:val="TOC1"/>
            <w:rPr>
              <w:rFonts w:asciiTheme="minorHAnsi" w:eastAsiaTheme="minorEastAsia" w:hAnsiTheme="minorHAnsi" w:cstheme="minorBidi"/>
              <w:b w:val="0"/>
              <w:noProof/>
              <w:sz w:val="22"/>
              <w:lang w:eastAsia="en-AU"/>
            </w:rPr>
          </w:pPr>
          <w:hyperlink w:anchor="_Toc59006626" w:history="1">
            <w:r w:rsidRPr="00786D15">
              <w:rPr>
                <w:rStyle w:val="Hyperlink"/>
                <w:noProof/>
              </w:rPr>
              <w:t>Attachment 1. Product Information</w:t>
            </w:r>
            <w:r>
              <w:rPr>
                <w:noProof/>
                <w:webHidden/>
              </w:rPr>
              <w:tab/>
            </w:r>
            <w:r>
              <w:rPr>
                <w:noProof/>
                <w:webHidden/>
              </w:rPr>
              <w:fldChar w:fldCharType="begin"/>
            </w:r>
            <w:r>
              <w:rPr>
                <w:noProof/>
                <w:webHidden/>
              </w:rPr>
              <w:instrText xml:space="preserve"> PAGEREF _Toc59006626 \h </w:instrText>
            </w:r>
            <w:r>
              <w:rPr>
                <w:noProof/>
                <w:webHidden/>
              </w:rPr>
            </w:r>
            <w:r>
              <w:rPr>
                <w:noProof/>
                <w:webHidden/>
              </w:rPr>
              <w:fldChar w:fldCharType="separate"/>
            </w:r>
            <w:r>
              <w:rPr>
                <w:noProof/>
                <w:webHidden/>
              </w:rPr>
              <w:t>33</w:t>
            </w:r>
            <w:r>
              <w:rPr>
                <w:noProof/>
                <w:webHidden/>
              </w:rPr>
              <w:fldChar w:fldCharType="end"/>
            </w:r>
          </w:hyperlink>
        </w:p>
        <w:p w14:paraId="6EC27F62" w14:textId="1239C93E" w:rsidR="003A7F6C" w:rsidRPr="00B811C6" w:rsidRDefault="00C525A2" w:rsidP="00B811C6">
          <w:pPr>
            <w:pStyle w:val="TOC2"/>
          </w:pPr>
          <w:r>
            <w:fldChar w:fldCharType="end"/>
          </w:r>
        </w:p>
      </w:sdtContent>
    </w:sdt>
    <w:bookmarkStart w:id="3" w:name="_Toc314842482" w:displacedByCustomXml="prev"/>
    <w:p w14:paraId="369DBAFA" w14:textId="77777777" w:rsidR="00FD119B" w:rsidRDefault="00FD119B">
      <w:pPr>
        <w:spacing w:before="0" w:after="200" w:line="0" w:lineRule="auto"/>
      </w:pPr>
      <w:r>
        <w:br w:type="page"/>
      </w:r>
    </w:p>
    <w:p w14:paraId="0E9E7D42" w14:textId="2897D8D1" w:rsidR="00C52E24" w:rsidRPr="00C52E24" w:rsidRDefault="00441C3F" w:rsidP="002F5B84">
      <w:pPr>
        <w:pStyle w:val="Heading2"/>
      </w:pPr>
      <w:bookmarkStart w:id="4" w:name="_Toc351716269"/>
      <w:bookmarkStart w:id="5" w:name="_Toc351718881"/>
      <w:bookmarkStart w:id="6" w:name="_Toc355338616"/>
      <w:bookmarkStart w:id="7" w:name="_Toc356306144"/>
      <w:bookmarkStart w:id="8" w:name="_Toc59006612"/>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2084"/>
        <w:gridCol w:w="6410"/>
      </w:tblGrid>
      <w:tr w:rsidR="00FD119B" w:rsidRPr="00FD119B" w14:paraId="01E520FE" w14:textId="77777777" w:rsidTr="00AA03B3">
        <w:trPr>
          <w:cnfStyle w:val="100000000000" w:firstRow="1" w:lastRow="0" w:firstColumn="0" w:lastColumn="0" w:oddVBand="0" w:evenVBand="0" w:oddHBand="0" w:evenHBand="0" w:firstRowFirstColumn="0" w:firstRowLastColumn="0" w:lastRowFirstColumn="0" w:lastRowLastColumn="0"/>
        </w:trPr>
        <w:tc>
          <w:tcPr>
            <w:tcW w:w="2093" w:type="dxa"/>
            <w:tcBorders>
              <w:top w:val="single" w:sz="4" w:space="0" w:color="auto"/>
              <w:left w:val="single" w:sz="4" w:space="0" w:color="auto"/>
              <w:bottom w:val="single" w:sz="4" w:space="0" w:color="auto"/>
              <w:right w:val="single" w:sz="4" w:space="0" w:color="auto"/>
            </w:tcBorders>
          </w:tcPr>
          <w:p w14:paraId="71381308" w14:textId="77777777" w:rsidR="00FD119B" w:rsidRPr="0093401C" w:rsidRDefault="00FD119B" w:rsidP="0093401C">
            <w:r w:rsidRPr="0093401C">
              <w:t>Abbreviation</w:t>
            </w:r>
          </w:p>
        </w:tc>
        <w:tc>
          <w:tcPr>
            <w:tcW w:w="6627" w:type="dxa"/>
            <w:tcBorders>
              <w:top w:val="single" w:sz="4" w:space="0" w:color="auto"/>
              <w:left w:val="single" w:sz="4" w:space="0" w:color="auto"/>
              <w:bottom w:val="single" w:sz="4" w:space="0" w:color="auto"/>
              <w:right w:val="single" w:sz="4" w:space="0" w:color="auto"/>
            </w:tcBorders>
          </w:tcPr>
          <w:p w14:paraId="0F3F13BE" w14:textId="77777777" w:rsidR="00FD119B" w:rsidRPr="0093401C" w:rsidRDefault="00FD119B" w:rsidP="0093401C">
            <w:r w:rsidRPr="0093401C">
              <w:t>Meaning</w:t>
            </w:r>
          </w:p>
        </w:tc>
      </w:tr>
      <w:tr w:rsidR="00503101" w:rsidRPr="00FD119B" w14:paraId="75EAB451" w14:textId="77777777" w:rsidTr="00AA03B3">
        <w:tc>
          <w:tcPr>
            <w:tcW w:w="2093" w:type="dxa"/>
            <w:tcBorders>
              <w:top w:val="single" w:sz="4" w:space="0" w:color="auto"/>
            </w:tcBorders>
          </w:tcPr>
          <w:p w14:paraId="589F14A3" w14:textId="419615B5" w:rsidR="00503101" w:rsidRPr="0093401C" w:rsidRDefault="00503101" w:rsidP="0093401C">
            <w:r w:rsidRPr="0093401C">
              <w:t>AAV2</w:t>
            </w:r>
          </w:p>
        </w:tc>
        <w:tc>
          <w:tcPr>
            <w:tcW w:w="6627" w:type="dxa"/>
            <w:tcBorders>
              <w:top w:val="single" w:sz="4" w:space="0" w:color="auto"/>
            </w:tcBorders>
          </w:tcPr>
          <w:p w14:paraId="69E79FCF" w14:textId="51A02A8C" w:rsidR="00503101" w:rsidRPr="0093401C" w:rsidRDefault="0093401C" w:rsidP="00E25485">
            <w:r>
              <w:t>A</w:t>
            </w:r>
            <w:r w:rsidR="00503101" w:rsidRPr="0093401C">
              <w:t xml:space="preserve">deno-associated virus </w:t>
            </w:r>
            <w:r w:rsidR="00E25485">
              <w:t>serotype</w:t>
            </w:r>
            <w:r w:rsidR="00E25485" w:rsidRPr="0093401C">
              <w:t xml:space="preserve"> </w:t>
            </w:r>
            <w:r w:rsidR="00503101" w:rsidRPr="0093401C">
              <w:t>2</w:t>
            </w:r>
          </w:p>
        </w:tc>
      </w:tr>
      <w:tr w:rsidR="00460036" w:rsidRPr="00FD119B" w14:paraId="3B0B189A" w14:textId="77777777" w:rsidTr="00AA03B3">
        <w:tc>
          <w:tcPr>
            <w:tcW w:w="2093" w:type="dxa"/>
            <w:tcBorders>
              <w:top w:val="single" w:sz="4" w:space="0" w:color="auto"/>
            </w:tcBorders>
          </w:tcPr>
          <w:p w14:paraId="4E2F4FE5" w14:textId="77777777" w:rsidR="00460036" w:rsidRPr="0093401C" w:rsidRDefault="00460036" w:rsidP="0093401C">
            <w:r w:rsidRPr="0093401C">
              <w:t>ACM</w:t>
            </w:r>
          </w:p>
        </w:tc>
        <w:tc>
          <w:tcPr>
            <w:tcW w:w="6627" w:type="dxa"/>
            <w:tcBorders>
              <w:top w:val="single" w:sz="4" w:space="0" w:color="auto"/>
            </w:tcBorders>
          </w:tcPr>
          <w:p w14:paraId="0818D0B3" w14:textId="77777777" w:rsidR="00460036" w:rsidRPr="0093401C" w:rsidRDefault="00460036" w:rsidP="0093401C">
            <w:r w:rsidRPr="0093401C">
              <w:t>Advisory Committee on Medicines</w:t>
            </w:r>
          </w:p>
        </w:tc>
      </w:tr>
      <w:tr w:rsidR="00460036" w:rsidRPr="00FD119B" w14:paraId="1BA539CD" w14:textId="77777777" w:rsidTr="00AA03B3">
        <w:tc>
          <w:tcPr>
            <w:tcW w:w="2093" w:type="dxa"/>
          </w:tcPr>
          <w:p w14:paraId="33BBA0EA" w14:textId="77777777" w:rsidR="00460036" w:rsidRPr="0093401C" w:rsidRDefault="00460036" w:rsidP="0093401C">
            <w:r w:rsidRPr="0093401C">
              <w:t>ARTG</w:t>
            </w:r>
          </w:p>
        </w:tc>
        <w:tc>
          <w:tcPr>
            <w:tcW w:w="6627" w:type="dxa"/>
          </w:tcPr>
          <w:p w14:paraId="40190A19" w14:textId="77777777" w:rsidR="00460036" w:rsidRPr="0093401C" w:rsidRDefault="00460036" w:rsidP="0093401C">
            <w:r w:rsidRPr="0093401C">
              <w:t>Australian Register of Therapeutic Goods</w:t>
            </w:r>
          </w:p>
        </w:tc>
      </w:tr>
      <w:tr w:rsidR="005F6196" w:rsidRPr="00FD119B" w14:paraId="38A40371" w14:textId="77777777" w:rsidTr="00AA03B3">
        <w:tc>
          <w:tcPr>
            <w:tcW w:w="2093" w:type="dxa"/>
          </w:tcPr>
          <w:p w14:paraId="37C12155" w14:textId="6400FACF" w:rsidR="005F6196" w:rsidRPr="0093401C" w:rsidRDefault="005F6196" w:rsidP="0093401C">
            <w:r w:rsidRPr="0093401C">
              <w:t>ASA</w:t>
            </w:r>
          </w:p>
        </w:tc>
        <w:tc>
          <w:tcPr>
            <w:tcW w:w="6627" w:type="dxa"/>
          </w:tcPr>
          <w:p w14:paraId="072885DC" w14:textId="0A7D972C" w:rsidR="005F6196" w:rsidRPr="0093401C" w:rsidRDefault="005F6196" w:rsidP="0093401C">
            <w:r w:rsidRPr="0093401C">
              <w:t>Australian specific annex</w:t>
            </w:r>
          </w:p>
        </w:tc>
      </w:tr>
      <w:tr w:rsidR="00CB6E7B" w:rsidRPr="00FD119B" w14:paraId="46B107E6" w14:textId="77777777" w:rsidTr="00AA03B3">
        <w:tc>
          <w:tcPr>
            <w:tcW w:w="2093" w:type="dxa"/>
          </w:tcPr>
          <w:p w14:paraId="546663E8" w14:textId="7F56A7A6" w:rsidR="00CB6E7B" w:rsidRPr="0093401C" w:rsidRDefault="00CB6E7B" w:rsidP="0093401C">
            <w:proofErr w:type="spellStart"/>
            <w:r w:rsidRPr="0093401C">
              <w:t>bp</w:t>
            </w:r>
            <w:proofErr w:type="spellEnd"/>
          </w:p>
        </w:tc>
        <w:tc>
          <w:tcPr>
            <w:tcW w:w="6627" w:type="dxa"/>
          </w:tcPr>
          <w:p w14:paraId="77139E69" w14:textId="31E0042F" w:rsidR="00CB6E7B" w:rsidRPr="0093401C" w:rsidRDefault="0093401C" w:rsidP="0093401C">
            <w:r>
              <w:t>B</w:t>
            </w:r>
            <w:r w:rsidR="005E7331" w:rsidRPr="0093401C">
              <w:t>ase pair</w:t>
            </w:r>
          </w:p>
        </w:tc>
      </w:tr>
      <w:tr w:rsidR="00BA7BCB" w:rsidRPr="00FD119B" w14:paraId="35D67605" w14:textId="77777777" w:rsidTr="00AA03B3">
        <w:tc>
          <w:tcPr>
            <w:tcW w:w="2093" w:type="dxa"/>
          </w:tcPr>
          <w:p w14:paraId="2B50D0F6" w14:textId="55742122" w:rsidR="00BA7BCB" w:rsidRPr="0093401C" w:rsidRDefault="00BA7BCB" w:rsidP="0093401C">
            <w:proofErr w:type="spellStart"/>
            <w:r w:rsidRPr="0093401C">
              <w:t>cd.s</w:t>
            </w:r>
            <w:proofErr w:type="spellEnd"/>
            <w:r w:rsidRPr="0093401C">
              <w:t>/m</w:t>
            </w:r>
            <w:r w:rsidRPr="0033623B">
              <w:rPr>
                <w:vertAlign w:val="superscript"/>
              </w:rPr>
              <w:t>2</w:t>
            </w:r>
          </w:p>
        </w:tc>
        <w:tc>
          <w:tcPr>
            <w:tcW w:w="6627" w:type="dxa"/>
          </w:tcPr>
          <w:p w14:paraId="566D2FFA" w14:textId="1796C077" w:rsidR="00BA7BCB" w:rsidRPr="0093401C" w:rsidRDefault="0093401C" w:rsidP="0093401C">
            <w:r>
              <w:t>C</w:t>
            </w:r>
            <w:r w:rsidR="00BA7BCB" w:rsidRPr="0093401C">
              <w:t xml:space="preserve">andela </w:t>
            </w:r>
            <w:r w:rsidR="008551AF">
              <w:t xml:space="preserve">second </w:t>
            </w:r>
            <w:r w:rsidR="00BA7BCB" w:rsidRPr="0093401C">
              <w:t>per metre</w:t>
            </w:r>
            <w:r w:rsidR="002762D1">
              <w:t xml:space="preserve"> squared</w:t>
            </w:r>
          </w:p>
        </w:tc>
      </w:tr>
      <w:tr w:rsidR="00087262" w:rsidRPr="00FD119B" w14:paraId="20E975D0" w14:textId="77777777" w:rsidTr="00AA03B3">
        <w:tc>
          <w:tcPr>
            <w:tcW w:w="2093" w:type="dxa"/>
          </w:tcPr>
          <w:p w14:paraId="091B7304" w14:textId="3726A70F" w:rsidR="00087262" w:rsidRPr="0093401C" w:rsidRDefault="00087262" w:rsidP="0093401C">
            <w:r w:rsidRPr="0093401C">
              <w:t>CI</w:t>
            </w:r>
          </w:p>
        </w:tc>
        <w:tc>
          <w:tcPr>
            <w:tcW w:w="6627" w:type="dxa"/>
          </w:tcPr>
          <w:p w14:paraId="7D181BA5" w14:textId="0759CC69" w:rsidR="00087262" w:rsidRPr="0093401C" w:rsidRDefault="0093401C" w:rsidP="0093401C">
            <w:r>
              <w:t>C</w:t>
            </w:r>
            <w:r w:rsidRPr="0093401C">
              <w:t xml:space="preserve">onfidence </w:t>
            </w:r>
            <w:r w:rsidR="00087262" w:rsidRPr="0093401C">
              <w:t>interval</w:t>
            </w:r>
          </w:p>
        </w:tc>
      </w:tr>
      <w:tr w:rsidR="00667FE4" w:rsidRPr="00FD119B" w14:paraId="66B1B5B0" w14:textId="77777777" w:rsidTr="00AA03B3">
        <w:tc>
          <w:tcPr>
            <w:tcW w:w="2093" w:type="dxa"/>
          </w:tcPr>
          <w:p w14:paraId="51B8553E" w14:textId="0A9B98EB" w:rsidR="00667FE4" w:rsidRPr="0093401C" w:rsidRDefault="00667FE4" w:rsidP="0093401C">
            <w:r w:rsidRPr="0093401C">
              <w:t>CLIA</w:t>
            </w:r>
          </w:p>
        </w:tc>
        <w:tc>
          <w:tcPr>
            <w:tcW w:w="6627" w:type="dxa"/>
          </w:tcPr>
          <w:p w14:paraId="27AB037E" w14:textId="3F2B7F47" w:rsidR="00667FE4" w:rsidRPr="0093401C" w:rsidRDefault="00667FE4" w:rsidP="0093401C">
            <w:r w:rsidRPr="0093401C">
              <w:t>Clinical Laboratory Improvement Amendments of 1988 (U</w:t>
            </w:r>
            <w:r w:rsidR="006A37FF">
              <w:t>nited States l</w:t>
            </w:r>
            <w:r w:rsidRPr="0093401C">
              <w:t>aw)</w:t>
            </w:r>
          </w:p>
        </w:tc>
      </w:tr>
      <w:tr w:rsidR="003B2857" w:rsidRPr="0028051E" w14:paraId="35A3A688" w14:textId="77777777" w:rsidTr="00AA03B3">
        <w:tc>
          <w:tcPr>
            <w:tcW w:w="2093" w:type="dxa"/>
          </w:tcPr>
          <w:p w14:paraId="7944E661" w14:textId="0CA43AE8" w:rsidR="003B2857" w:rsidRPr="0093401C" w:rsidRDefault="003B2857" w:rsidP="0093401C">
            <w:r w:rsidRPr="0093401C">
              <w:t>ELISpot</w:t>
            </w:r>
          </w:p>
        </w:tc>
        <w:tc>
          <w:tcPr>
            <w:tcW w:w="6627" w:type="dxa"/>
          </w:tcPr>
          <w:p w14:paraId="6346FEA3" w14:textId="72A00819" w:rsidR="003B2857" w:rsidRPr="0076747A" w:rsidRDefault="003B2857" w:rsidP="0093401C">
            <w:r w:rsidRPr="0076747A">
              <w:t>Enzyme-linked immune absorbent spot</w:t>
            </w:r>
          </w:p>
        </w:tc>
      </w:tr>
      <w:tr w:rsidR="00DB42FC" w:rsidRPr="00FD119B" w14:paraId="24860282" w14:textId="77777777" w:rsidTr="00AA03B3">
        <w:tc>
          <w:tcPr>
            <w:tcW w:w="2093" w:type="dxa"/>
          </w:tcPr>
          <w:p w14:paraId="72F23A13" w14:textId="55089495" w:rsidR="00DB42FC" w:rsidRPr="0093401C" w:rsidRDefault="00DB42FC" w:rsidP="0093401C">
            <w:r w:rsidRPr="0093401C">
              <w:t>EMA</w:t>
            </w:r>
          </w:p>
        </w:tc>
        <w:tc>
          <w:tcPr>
            <w:tcW w:w="6627" w:type="dxa"/>
          </w:tcPr>
          <w:p w14:paraId="51AAE7A8" w14:textId="24D8719C" w:rsidR="00DB42FC" w:rsidRPr="0093401C" w:rsidRDefault="00DB42FC" w:rsidP="0093401C">
            <w:r w:rsidRPr="0093401C">
              <w:t>European Medicines Agency</w:t>
            </w:r>
            <w:r w:rsidR="006A37FF">
              <w:t xml:space="preserve"> (European Union)</w:t>
            </w:r>
          </w:p>
        </w:tc>
      </w:tr>
      <w:tr w:rsidR="00470B32" w:rsidRPr="00FD119B" w14:paraId="1AFAA40D" w14:textId="77777777" w:rsidTr="00AA03B3">
        <w:tc>
          <w:tcPr>
            <w:tcW w:w="2093" w:type="dxa"/>
          </w:tcPr>
          <w:p w14:paraId="0EF0B4B4" w14:textId="12AB1557" w:rsidR="00470B32" w:rsidRPr="0093401C" w:rsidRDefault="00470B32" w:rsidP="0093401C">
            <w:r>
              <w:t>EU</w:t>
            </w:r>
          </w:p>
        </w:tc>
        <w:tc>
          <w:tcPr>
            <w:tcW w:w="6627" w:type="dxa"/>
          </w:tcPr>
          <w:p w14:paraId="435124B9" w14:textId="27FFFD9C" w:rsidR="00470B32" w:rsidRPr="0093401C" w:rsidRDefault="00470B32" w:rsidP="0093401C">
            <w:r>
              <w:t>European Union</w:t>
            </w:r>
          </w:p>
        </w:tc>
      </w:tr>
      <w:tr w:rsidR="00DB42FC" w:rsidRPr="00FD119B" w14:paraId="55FDEE8A" w14:textId="77777777" w:rsidTr="00AA03B3">
        <w:tc>
          <w:tcPr>
            <w:tcW w:w="2093" w:type="dxa"/>
          </w:tcPr>
          <w:p w14:paraId="3BDAA690" w14:textId="6473550D" w:rsidR="00DB42FC" w:rsidRPr="0093401C" w:rsidRDefault="00DB42FC" w:rsidP="0093401C">
            <w:r w:rsidRPr="0093401C">
              <w:t>FDA</w:t>
            </w:r>
          </w:p>
        </w:tc>
        <w:tc>
          <w:tcPr>
            <w:tcW w:w="6627" w:type="dxa"/>
          </w:tcPr>
          <w:p w14:paraId="4E34ADD7" w14:textId="78354549" w:rsidR="00DB42FC" w:rsidRPr="0093401C" w:rsidRDefault="00DB42FC" w:rsidP="0093401C">
            <w:r w:rsidRPr="0093401C">
              <w:t>Food and Drug Administration</w:t>
            </w:r>
            <w:r w:rsidR="006A37FF">
              <w:t xml:space="preserve"> </w:t>
            </w:r>
            <w:r w:rsidR="006A37FF" w:rsidRPr="0093401C">
              <w:t>(United States)</w:t>
            </w:r>
          </w:p>
        </w:tc>
      </w:tr>
      <w:tr w:rsidR="00423CCD" w:rsidRPr="00FD119B" w14:paraId="423E3A44" w14:textId="77777777" w:rsidTr="00AA03B3">
        <w:tc>
          <w:tcPr>
            <w:tcW w:w="2093" w:type="dxa"/>
          </w:tcPr>
          <w:p w14:paraId="77575B7D" w14:textId="5E6860B0" w:rsidR="00423CCD" w:rsidRPr="0093401C" w:rsidRDefault="00423CCD" w:rsidP="0093401C">
            <w:r w:rsidRPr="0093401C">
              <w:t>FST</w:t>
            </w:r>
          </w:p>
        </w:tc>
        <w:tc>
          <w:tcPr>
            <w:tcW w:w="6627" w:type="dxa"/>
          </w:tcPr>
          <w:p w14:paraId="6D5DCAE9" w14:textId="36F2D137" w:rsidR="00423CCD" w:rsidRPr="0093401C" w:rsidRDefault="006A37FF" w:rsidP="0093401C">
            <w:r>
              <w:t>F</w:t>
            </w:r>
            <w:r w:rsidR="00423CCD" w:rsidRPr="0093401C">
              <w:t>ull-field light sensitivity threshold</w:t>
            </w:r>
            <w:r w:rsidR="004F63D3" w:rsidRPr="0093401C">
              <w:t>, or full field scotopic threshold</w:t>
            </w:r>
          </w:p>
        </w:tc>
      </w:tr>
      <w:tr w:rsidR="003B2857" w:rsidRPr="00FD119B" w14:paraId="5CD5F2E3" w14:textId="77777777" w:rsidTr="00AA03B3">
        <w:tc>
          <w:tcPr>
            <w:tcW w:w="2093" w:type="dxa"/>
          </w:tcPr>
          <w:p w14:paraId="35481924" w14:textId="317D95B3" w:rsidR="003B2857" w:rsidRPr="0093401C" w:rsidRDefault="003B2857" w:rsidP="0093401C">
            <w:r w:rsidRPr="0093401C">
              <w:t>IFN-γ</w:t>
            </w:r>
          </w:p>
        </w:tc>
        <w:tc>
          <w:tcPr>
            <w:tcW w:w="6627" w:type="dxa"/>
          </w:tcPr>
          <w:p w14:paraId="29F95245" w14:textId="2B35EA04" w:rsidR="003B2857" w:rsidRPr="0093401C" w:rsidRDefault="006A37FF" w:rsidP="0093401C">
            <w:r>
              <w:t>I</w:t>
            </w:r>
            <w:r w:rsidR="003B2857" w:rsidRPr="0093401C">
              <w:t>nterferon gamma</w:t>
            </w:r>
          </w:p>
        </w:tc>
      </w:tr>
      <w:tr w:rsidR="006B300A" w:rsidRPr="00FD119B" w14:paraId="4CEF57F1" w14:textId="77777777" w:rsidTr="00AA03B3">
        <w:tc>
          <w:tcPr>
            <w:tcW w:w="2093" w:type="dxa"/>
          </w:tcPr>
          <w:p w14:paraId="2B096381" w14:textId="6F0267F6" w:rsidR="006B300A" w:rsidRPr="0093401C" w:rsidRDefault="006B300A" w:rsidP="0093401C">
            <w:r w:rsidRPr="0093401C">
              <w:t>ILAC</w:t>
            </w:r>
          </w:p>
        </w:tc>
        <w:tc>
          <w:tcPr>
            <w:tcW w:w="6627" w:type="dxa"/>
          </w:tcPr>
          <w:p w14:paraId="223B0303" w14:textId="20073EDE" w:rsidR="006B300A" w:rsidRPr="0093401C" w:rsidRDefault="006B300A" w:rsidP="0093401C">
            <w:r w:rsidRPr="0093401C">
              <w:t>International Laboratory Accreditation Cooperation</w:t>
            </w:r>
          </w:p>
        </w:tc>
      </w:tr>
      <w:tr w:rsidR="00FF2EB7" w:rsidRPr="00FD119B" w14:paraId="5126D7F6" w14:textId="77777777" w:rsidTr="00AA03B3">
        <w:tc>
          <w:tcPr>
            <w:tcW w:w="2093" w:type="dxa"/>
          </w:tcPr>
          <w:p w14:paraId="5791C1CD" w14:textId="6C991546" w:rsidR="00FF2EB7" w:rsidRPr="0093401C" w:rsidRDefault="00FF2EB7" w:rsidP="0093401C">
            <w:r w:rsidRPr="0093401C">
              <w:t>IRD</w:t>
            </w:r>
          </w:p>
        </w:tc>
        <w:tc>
          <w:tcPr>
            <w:tcW w:w="6627" w:type="dxa"/>
          </w:tcPr>
          <w:p w14:paraId="0DC4C784" w14:textId="07F41B03" w:rsidR="00FF2EB7" w:rsidRPr="0093401C" w:rsidRDefault="006A37FF" w:rsidP="0093401C">
            <w:r>
              <w:t>I</w:t>
            </w:r>
            <w:r w:rsidR="00FF2EB7" w:rsidRPr="0093401C">
              <w:t>nherited retinal dystrophies</w:t>
            </w:r>
          </w:p>
        </w:tc>
      </w:tr>
      <w:tr w:rsidR="007F0851" w:rsidRPr="00FD119B" w14:paraId="4E35A91F" w14:textId="77777777" w:rsidTr="00AA03B3">
        <w:tc>
          <w:tcPr>
            <w:tcW w:w="2093" w:type="dxa"/>
          </w:tcPr>
          <w:p w14:paraId="64F1B336" w14:textId="6BC715AD" w:rsidR="007F0851" w:rsidRPr="0093401C" w:rsidRDefault="007F0851" w:rsidP="0093401C">
            <w:r w:rsidRPr="0093401C">
              <w:t>ITT</w:t>
            </w:r>
          </w:p>
        </w:tc>
        <w:tc>
          <w:tcPr>
            <w:tcW w:w="6627" w:type="dxa"/>
          </w:tcPr>
          <w:p w14:paraId="2774FDB4" w14:textId="3D52667D" w:rsidR="007F0851" w:rsidRPr="0093401C" w:rsidRDefault="006A37FF" w:rsidP="0093401C">
            <w:r>
              <w:t>I</w:t>
            </w:r>
            <w:r w:rsidR="007F0851" w:rsidRPr="0093401C">
              <w:t>ntention to treat</w:t>
            </w:r>
          </w:p>
        </w:tc>
      </w:tr>
      <w:tr w:rsidR="00556D7C" w:rsidRPr="00FD119B" w14:paraId="2DB0EB6F" w14:textId="77777777" w:rsidTr="00AA03B3">
        <w:tc>
          <w:tcPr>
            <w:tcW w:w="2093" w:type="dxa"/>
          </w:tcPr>
          <w:p w14:paraId="66E84719" w14:textId="2567B757" w:rsidR="00556D7C" w:rsidRPr="0093401C" w:rsidRDefault="00556D7C" w:rsidP="0093401C">
            <w:r w:rsidRPr="0093401C">
              <w:t>LCA</w:t>
            </w:r>
          </w:p>
        </w:tc>
        <w:tc>
          <w:tcPr>
            <w:tcW w:w="6627" w:type="dxa"/>
          </w:tcPr>
          <w:p w14:paraId="77FC8616" w14:textId="7753F695" w:rsidR="00556D7C" w:rsidRPr="0093401C" w:rsidRDefault="00556D7C" w:rsidP="0093401C">
            <w:proofErr w:type="spellStart"/>
            <w:r w:rsidRPr="0093401C">
              <w:t>Leber</w:t>
            </w:r>
            <w:proofErr w:type="spellEnd"/>
            <w:r w:rsidRPr="0093401C">
              <w:t xml:space="preserve"> congenital </w:t>
            </w:r>
            <w:proofErr w:type="spellStart"/>
            <w:r w:rsidRPr="0093401C">
              <w:t>amaurosis</w:t>
            </w:r>
            <w:proofErr w:type="spellEnd"/>
          </w:p>
        </w:tc>
      </w:tr>
      <w:tr w:rsidR="00657B7F" w:rsidRPr="00FD119B" w14:paraId="677927E6" w14:textId="77777777" w:rsidTr="00AA03B3">
        <w:tc>
          <w:tcPr>
            <w:tcW w:w="2093" w:type="dxa"/>
          </w:tcPr>
          <w:p w14:paraId="51B4CE63" w14:textId="032E2198" w:rsidR="00657B7F" w:rsidRPr="0093401C" w:rsidRDefault="00657B7F" w:rsidP="0093401C">
            <w:proofErr w:type="spellStart"/>
            <w:r w:rsidRPr="0093401C">
              <w:t>LogMAR</w:t>
            </w:r>
            <w:proofErr w:type="spellEnd"/>
          </w:p>
        </w:tc>
        <w:tc>
          <w:tcPr>
            <w:tcW w:w="6627" w:type="dxa"/>
          </w:tcPr>
          <w:p w14:paraId="205E94A4" w14:textId="650DC26F" w:rsidR="00657B7F" w:rsidRPr="0093401C" w:rsidRDefault="006A37FF" w:rsidP="0093401C">
            <w:r>
              <w:t>L</w:t>
            </w:r>
            <w:r w:rsidR="00657B7F" w:rsidRPr="0093401C">
              <w:t xml:space="preserve">ogarithm of </w:t>
            </w:r>
            <w:r w:rsidRPr="0093401C">
              <w:t>the minimum angle of resolution</w:t>
            </w:r>
          </w:p>
        </w:tc>
      </w:tr>
      <w:tr w:rsidR="003079FD" w:rsidRPr="00FD119B" w14:paraId="142B601D" w14:textId="77777777" w:rsidTr="00AA03B3">
        <w:tc>
          <w:tcPr>
            <w:tcW w:w="2093" w:type="dxa"/>
          </w:tcPr>
          <w:p w14:paraId="0F401E46" w14:textId="612BC755" w:rsidR="003079FD" w:rsidRPr="0093401C" w:rsidRDefault="003079FD" w:rsidP="0093401C">
            <w:r w:rsidRPr="0093401C">
              <w:t>MedDRA</w:t>
            </w:r>
          </w:p>
        </w:tc>
        <w:tc>
          <w:tcPr>
            <w:tcW w:w="6627" w:type="dxa"/>
          </w:tcPr>
          <w:p w14:paraId="29D60FDD" w14:textId="715B9EC3" w:rsidR="003079FD" w:rsidRPr="0093401C" w:rsidRDefault="006A37FF" w:rsidP="0093401C">
            <w:r>
              <w:t>M</w:t>
            </w:r>
            <w:r w:rsidRPr="0093401C">
              <w:t xml:space="preserve">edical </w:t>
            </w:r>
            <w:r>
              <w:t>D</w:t>
            </w:r>
            <w:r w:rsidR="003079FD" w:rsidRPr="0093401C">
              <w:t xml:space="preserve">ictionary for </w:t>
            </w:r>
            <w:r>
              <w:t>R</w:t>
            </w:r>
            <w:r w:rsidR="003079FD" w:rsidRPr="0093401C">
              <w:t xml:space="preserve">egulatory </w:t>
            </w:r>
            <w:r>
              <w:t>A</w:t>
            </w:r>
            <w:r w:rsidR="003079FD" w:rsidRPr="0093401C">
              <w:t>ctivities</w:t>
            </w:r>
          </w:p>
        </w:tc>
      </w:tr>
      <w:tr w:rsidR="008C6FB5" w:rsidRPr="00FD119B" w14:paraId="5B2F33F3" w14:textId="77777777" w:rsidTr="00AA03B3">
        <w:tc>
          <w:tcPr>
            <w:tcW w:w="2093" w:type="dxa"/>
          </w:tcPr>
          <w:p w14:paraId="2F67B3BB" w14:textId="3A731253" w:rsidR="008C6FB5" w:rsidRPr="0093401C" w:rsidRDefault="008C6FB5" w:rsidP="0093401C">
            <w:r w:rsidRPr="0093401C">
              <w:t>MLMT</w:t>
            </w:r>
          </w:p>
        </w:tc>
        <w:tc>
          <w:tcPr>
            <w:tcW w:w="6627" w:type="dxa"/>
          </w:tcPr>
          <w:p w14:paraId="3866CF65" w14:textId="2ED98E21" w:rsidR="008C6FB5" w:rsidRPr="0093401C" w:rsidRDefault="006A37FF" w:rsidP="0093401C">
            <w:r>
              <w:t>M</w:t>
            </w:r>
            <w:r w:rsidR="008C6FB5" w:rsidRPr="0093401C">
              <w:t>ulti luminance mobility testing</w:t>
            </w:r>
          </w:p>
        </w:tc>
      </w:tr>
      <w:tr w:rsidR="006B300A" w:rsidRPr="00FD119B" w14:paraId="2A70E7D4" w14:textId="77777777" w:rsidTr="00AA03B3">
        <w:tc>
          <w:tcPr>
            <w:tcW w:w="2093" w:type="dxa"/>
          </w:tcPr>
          <w:p w14:paraId="5941024E" w14:textId="0F69E883" w:rsidR="006B300A" w:rsidRPr="0093401C" w:rsidRDefault="006B300A" w:rsidP="0093401C">
            <w:r w:rsidRPr="0093401C">
              <w:t>NATA</w:t>
            </w:r>
          </w:p>
        </w:tc>
        <w:tc>
          <w:tcPr>
            <w:tcW w:w="6627" w:type="dxa"/>
          </w:tcPr>
          <w:p w14:paraId="2E025483" w14:textId="4838244C" w:rsidR="006B300A" w:rsidRPr="0093401C" w:rsidRDefault="006B300A" w:rsidP="0093401C">
            <w:r w:rsidRPr="0093401C">
              <w:t>National Association of Testing Authorities</w:t>
            </w:r>
          </w:p>
        </w:tc>
      </w:tr>
      <w:tr w:rsidR="002C3630" w:rsidRPr="00FD119B" w14:paraId="22EEED19" w14:textId="77777777" w:rsidTr="00AA03B3">
        <w:tc>
          <w:tcPr>
            <w:tcW w:w="2093" w:type="dxa"/>
          </w:tcPr>
          <w:p w14:paraId="7A77ADE7" w14:textId="737648C5" w:rsidR="002C3630" w:rsidRPr="0093401C" w:rsidRDefault="002C3630" w:rsidP="0093401C">
            <w:r w:rsidRPr="0093401C">
              <w:t>OGTR</w:t>
            </w:r>
          </w:p>
        </w:tc>
        <w:tc>
          <w:tcPr>
            <w:tcW w:w="6627" w:type="dxa"/>
          </w:tcPr>
          <w:p w14:paraId="5C5779F7" w14:textId="19A98D93" w:rsidR="002C3630" w:rsidRPr="0093401C" w:rsidRDefault="002C3630" w:rsidP="0093401C">
            <w:r w:rsidRPr="0093401C">
              <w:t>Office of the Gene Technology Regulator, Australian Government Department of Health</w:t>
            </w:r>
          </w:p>
        </w:tc>
      </w:tr>
      <w:tr w:rsidR="006C0E93" w:rsidRPr="00FD119B" w14:paraId="796D2786" w14:textId="77777777" w:rsidTr="00AA03B3">
        <w:tc>
          <w:tcPr>
            <w:tcW w:w="2093" w:type="dxa"/>
          </w:tcPr>
          <w:p w14:paraId="45370C09" w14:textId="7F7E407F" w:rsidR="006C0E93" w:rsidRPr="0093401C" w:rsidRDefault="006C0E93" w:rsidP="0093401C">
            <w:r w:rsidRPr="0093401C">
              <w:lastRenderedPageBreak/>
              <w:t>OCT</w:t>
            </w:r>
          </w:p>
        </w:tc>
        <w:tc>
          <w:tcPr>
            <w:tcW w:w="6627" w:type="dxa"/>
          </w:tcPr>
          <w:p w14:paraId="6BD58571" w14:textId="24D7A693" w:rsidR="006C0E93" w:rsidRPr="0093401C" w:rsidRDefault="006A37FF" w:rsidP="0093401C">
            <w:r>
              <w:t>O</w:t>
            </w:r>
            <w:r w:rsidR="006C0E93" w:rsidRPr="0093401C">
              <w:t>ptical coherence tomography</w:t>
            </w:r>
          </w:p>
        </w:tc>
      </w:tr>
      <w:tr w:rsidR="00FE7E15" w:rsidRPr="00FD119B" w14:paraId="5E2A7347" w14:textId="77777777" w:rsidTr="00AA03B3">
        <w:tc>
          <w:tcPr>
            <w:tcW w:w="2093" w:type="dxa"/>
          </w:tcPr>
          <w:p w14:paraId="08A09A67" w14:textId="6265012A" w:rsidR="00FE7E15" w:rsidRPr="0093401C" w:rsidRDefault="00FE7E15" w:rsidP="0093401C">
            <w:r w:rsidRPr="0093401C">
              <w:t>PI</w:t>
            </w:r>
          </w:p>
        </w:tc>
        <w:tc>
          <w:tcPr>
            <w:tcW w:w="6627" w:type="dxa"/>
          </w:tcPr>
          <w:p w14:paraId="14500DB4" w14:textId="5939B4BD" w:rsidR="00FE7E15" w:rsidRPr="0093401C" w:rsidRDefault="00E262C9" w:rsidP="0093401C">
            <w:r w:rsidRPr="0093401C">
              <w:t>Product I</w:t>
            </w:r>
            <w:r w:rsidR="00FE7E15" w:rsidRPr="0093401C">
              <w:t>nformation</w:t>
            </w:r>
          </w:p>
        </w:tc>
      </w:tr>
      <w:tr w:rsidR="006224D8" w:rsidRPr="00FD119B" w14:paraId="2415AE4F" w14:textId="77777777" w:rsidTr="00AA03B3">
        <w:tc>
          <w:tcPr>
            <w:tcW w:w="2093" w:type="dxa"/>
          </w:tcPr>
          <w:p w14:paraId="6E0C8EFC" w14:textId="6980C86F" w:rsidR="006224D8" w:rsidRPr="0093401C" w:rsidRDefault="006224D8" w:rsidP="0093401C">
            <w:r w:rsidRPr="0093401C">
              <w:t>RMP</w:t>
            </w:r>
          </w:p>
        </w:tc>
        <w:tc>
          <w:tcPr>
            <w:tcW w:w="6627" w:type="dxa"/>
          </w:tcPr>
          <w:p w14:paraId="72D658B3" w14:textId="04FDE6CF" w:rsidR="006224D8" w:rsidRPr="0093401C" w:rsidRDefault="006A37FF" w:rsidP="0093401C">
            <w:r>
              <w:t>R</w:t>
            </w:r>
            <w:r w:rsidR="006224D8" w:rsidRPr="0093401C">
              <w:t>isk management plan</w:t>
            </w:r>
          </w:p>
        </w:tc>
      </w:tr>
      <w:tr w:rsidR="00556D7C" w:rsidRPr="00FD119B" w14:paraId="06A52941" w14:textId="77777777" w:rsidTr="00AA03B3">
        <w:tc>
          <w:tcPr>
            <w:tcW w:w="2093" w:type="dxa"/>
          </w:tcPr>
          <w:p w14:paraId="3310E3A8" w14:textId="3730DE1B" w:rsidR="00556D7C" w:rsidRPr="0093401C" w:rsidRDefault="00556D7C" w:rsidP="0093401C">
            <w:r w:rsidRPr="0093401C">
              <w:t>RP</w:t>
            </w:r>
          </w:p>
        </w:tc>
        <w:tc>
          <w:tcPr>
            <w:tcW w:w="6627" w:type="dxa"/>
          </w:tcPr>
          <w:p w14:paraId="29FA6944" w14:textId="10D10F63" w:rsidR="00556D7C" w:rsidRPr="0093401C" w:rsidRDefault="006A37FF" w:rsidP="0093401C">
            <w:r>
              <w:t>R</w:t>
            </w:r>
            <w:r w:rsidR="00556D7C" w:rsidRPr="0093401C">
              <w:t xml:space="preserve">etinitis </w:t>
            </w:r>
            <w:proofErr w:type="spellStart"/>
            <w:r w:rsidR="00556D7C" w:rsidRPr="0093401C">
              <w:t>pigmentosa</w:t>
            </w:r>
            <w:proofErr w:type="spellEnd"/>
          </w:p>
        </w:tc>
      </w:tr>
      <w:tr w:rsidR="00F53EDB" w:rsidRPr="00FD119B" w14:paraId="39A2CE99" w14:textId="77777777" w:rsidTr="00AA03B3">
        <w:tc>
          <w:tcPr>
            <w:tcW w:w="2093" w:type="dxa"/>
          </w:tcPr>
          <w:p w14:paraId="0AC0D0F2" w14:textId="53D497AB" w:rsidR="00F53EDB" w:rsidRPr="0093401C" w:rsidRDefault="00F53EDB" w:rsidP="0093401C">
            <w:r w:rsidRPr="0093401C">
              <w:t>RPE</w:t>
            </w:r>
          </w:p>
        </w:tc>
        <w:tc>
          <w:tcPr>
            <w:tcW w:w="6627" w:type="dxa"/>
          </w:tcPr>
          <w:p w14:paraId="221C7AE1" w14:textId="305C03F5" w:rsidR="00F53EDB" w:rsidRPr="0093401C" w:rsidRDefault="006A37FF" w:rsidP="0093401C">
            <w:r>
              <w:t>R</w:t>
            </w:r>
            <w:r w:rsidR="00F53EDB" w:rsidRPr="0093401C">
              <w:t>etinal pigment epithelium</w:t>
            </w:r>
          </w:p>
        </w:tc>
      </w:tr>
      <w:tr w:rsidR="006B300A" w:rsidRPr="00FD119B" w14:paraId="21C6D72F" w14:textId="77777777" w:rsidTr="00AA03B3">
        <w:tc>
          <w:tcPr>
            <w:tcW w:w="2093" w:type="dxa"/>
          </w:tcPr>
          <w:p w14:paraId="28C59EDF" w14:textId="328DF989" w:rsidR="006B300A" w:rsidRPr="0093401C" w:rsidRDefault="006B300A" w:rsidP="0093401C">
            <w:r w:rsidRPr="0093401C">
              <w:t>RPE65</w:t>
            </w:r>
          </w:p>
        </w:tc>
        <w:tc>
          <w:tcPr>
            <w:tcW w:w="6627" w:type="dxa"/>
          </w:tcPr>
          <w:p w14:paraId="406C9CC4" w14:textId="25F6A873" w:rsidR="006B300A" w:rsidRPr="0093401C" w:rsidRDefault="006A37FF" w:rsidP="006A37FF">
            <w:r>
              <w:t>R</w:t>
            </w:r>
            <w:r w:rsidR="007215D2" w:rsidRPr="0093401C">
              <w:t>etinal pigment epithelium 65</w:t>
            </w:r>
            <w:r>
              <w:t xml:space="preserve"> </w:t>
            </w:r>
            <w:proofErr w:type="spellStart"/>
            <w:r w:rsidR="007215D2" w:rsidRPr="0093401C">
              <w:t>kDA</w:t>
            </w:r>
            <w:proofErr w:type="spellEnd"/>
            <w:r w:rsidR="007215D2" w:rsidRPr="0093401C">
              <w:t xml:space="preserve"> protein</w:t>
            </w:r>
          </w:p>
        </w:tc>
      </w:tr>
      <w:tr w:rsidR="009876A3" w:rsidRPr="00FD119B" w14:paraId="1C9B1D26" w14:textId="77777777" w:rsidTr="00AA03B3">
        <w:tc>
          <w:tcPr>
            <w:tcW w:w="2093" w:type="dxa"/>
          </w:tcPr>
          <w:p w14:paraId="67E845A5" w14:textId="2603DB48" w:rsidR="009876A3" w:rsidRPr="0033623B" w:rsidRDefault="009876A3" w:rsidP="0093401C">
            <w:pPr>
              <w:rPr>
                <w:i/>
              </w:rPr>
            </w:pPr>
            <w:r w:rsidRPr="0033623B">
              <w:rPr>
                <w:i/>
              </w:rPr>
              <w:t>RPE65</w:t>
            </w:r>
          </w:p>
        </w:tc>
        <w:tc>
          <w:tcPr>
            <w:tcW w:w="6627" w:type="dxa"/>
          </w:tcPr>
          <w:p w14:paraId="54C4CA8B" w14:textId="175A51A0" w:rsidR="009876A3" w:rsidRPr="0093401C" w:rsidRDefault="009876A3" w:rsidP="0093401C">
            <w:r w:rsidRPr="0093401C">
              <w:t>RPE65 gene</w:t>
            </w:r>
          </w:p>
        </w:tc>
      </w:tr>
      <w:tr w:rsidR="00423CCD" w:rsidRPr="00FD119B" w14:paraId="3D9BF065" w14:textId="77777777" w:rsidTr="00AA03B3">
        <w:tc>
          <w:tcPr>
            <w:tcW w:w="2093" w:type="dxa"/>
          </w:tcPr>
          <w:p w14:paraId="5AA9A05E" w14:textId="1506248B" w:rsidR="00423CCD" w:rsidRPr="0093401C" w:rsidRDefault="00423CCD" w:rsidP="0093401C">
            <w:r w:rsidRPr="0093401C">
              <w:t>SD</w:t>
            </w:r>
          </w:p>
        </w:tc>
        <w:tc>
          <w:tcPr>
            <w:tcW w:w="6627" w:type="dxa"/>
          </w:tcPr>
          <w:p w14:paraId="387A0EF0" w14:textId="632E9EB7" w:rsidR="00423CCD" w:rsidRPr="0093401C" w:rsidRDefault="006A37FF" w:rsidP="0093401C">
            <w:r>
              <w:t>S</w:t>
            </w:r>
            <w:r w:rsidR="00423CCD" w:rsidRPr="0093401C">
              <w:t>tandard deviation</w:t>
            </w:r>
          </w:p>
        </w:tc>
      </w:tr>
      <w:tr w:rsidR="00003131" w:rsidRPr="00FD119B" w14:paraId="36CFDDB6" w14:textId="77777777" w:rsidTr="00AA03B3">
        <w:tc>
          <w:tcPr>
            <w:tcW w:w="2093" w:type="dxa"/>
          </w:tcPr>
          <w:p w14:paraId="0B17DEDC" w14:textId="24C1E687" w:rsidR="00003131" w:rsidRPr="0093401C" w:rsidRDefault="00003131" w:rsidP="0093401C">
            <w:r w:rsidRPr="0093401C">
              <w:t>SE</w:t>
            </w:r>
          </w:p>
        </w:tc>
        <w:tc>
          <w:tcPr>
            <w:tcW w:w="6627" w:type="dxa"/>
          </w:tcPr>
          <w:p w14:paraId="2DCD44A9" w14:textId="44797E56" w:rsidR="00003131" w:rsidRPr="0093401C" w:rsidRDefault="006A37FF" w:rsidP="0093401C">
            <w:r>
              <w:t>S</w:t>
            </w:r>
            <w:r w:rsidR="00003131" w:rsidRPr="0093401C">
              <w:t>tandard error of the mean</w:t>
            </w:r>
          </w:p>
        </w:tc>
      </w:tr>
      <w:tr w:rsidR="003079FD" w:rsidRPr="00FD119B" w14:paraId="006B07B6" w14:textId="77777777" w:rsidTr="00AA03B3">
        <w:tc>
          <w:tcPr>
            <w:tcW w:w="2093" w:type="dxa"/>
          </w:tcPr>
          <w:p w14:paraId="1E539264" w14:textId="3BE55920" w:rsidR="003079FD" w:rsidRPr="0093401C" w:rsidRDefault="003079FD" w:rsidP="0093401C">
            <w:r w:rsidRPr="0093401C">
              <w:t>SOC</w:t>
            </w:r>
          </w:p>
        </w:tc>
        <w:tc>
          <w:tcPr>
            <w:tcW w:w="6627" w:type="dxa"/>
          </w:tcPr>
          <w:p w14:paraId="0723B889" w14:textId="175C7713" w:rsidR="003079FD" w:rsidRPr="0093401C" w:rsidRDefault="003079FD" w:rsidP="0093401C">
            <w:r w:rsidRPr="0093401C">
              <w:t>System Organ Class</w:t>
            </w:r>
          </w:p>
        </w:tc>
      </w:tr>
      <w:tr w:rsidR="009351AD" w:rsidRPr="00FD119B" w14:paraId="5A61E77A" w14:textId="77777777" w:rsidTr="00AA03B3">
        <w:tc>
          <w:tcPr>
            <w:tcW w:w="2093" w:type="dxa"/>
          </w:tcPr>
          <w:p w14:paraId="680747DE" w14:textId="34236131" w:rsidR="009351AD" w:rsidRPr="0093401C" w:rsidRDefault="009351AD" w:rsidP="0093401C">
            <w:r w:rsidRPr="0093401C">
              <w:t>TEAE</w:t>
            </w:r>
          </w:p>
        </w:tc>
        <w:tc>
          <w:tcPr>
            <w:tcW w:w="6627" w:type="dxa"/>
          </w:tcPr>
          <w:p w14:paraId="7A5CEFA1" w14:textId="6FF4A757" w:rsidR="009351AD" w:rsidRPr="0093401C" w:rsidRDefault="006A37FF" w:rsidP="00414723">
            <w:r>
              <w:t>T</w:t>
            </w:r>
            <w:r w:rsidR="009351AD" w:rsidRPr="0093401C">
              <w:t xml:space="preserve">reatment emergent adverse </w:t>
            </w:r>
            <w:r w:rsidR="00414723">
              <w:t>event</w:t>
            </w:r>
          </w:p>
        </w:tc>
      </w:tr>
      <w:tr w:rsidR="002C3630" w:rsidRPr="00FD119B" w14:paraId="077DCFFE" w14:textId="77777777" w:rsidTr="00AA03B3">
        <w:tc>
          <w:tcPr>
            <w:tcW w:w="2093" w:type="dxa"/>
          </w:tcPr>
          <w:p w14:paraId="0625C170" w14:textId="78D08FCF" w:rsidR="002C3630" w:rsidRPr="0093401C" w:rsidRDefault="002C3630" w:rsidP="0093401C">
            <w:r w:rsidRPr="0093401C">
              <w:t>TGA</w:t>
            </w:r>
          </w:p>
        </w:tc>
        <w:tc>
          <w:tcPr>
            <w:tcW w:w="6627" w:type="dxa"/>
          </w:tcPr>
          <w:p w14:paraId="717A9A49" w14:textId="60BD9D9C" w:rsidR="002C3630" w:rsidRPr="0093401C" w:rsidRDefault="002C3630" w:rsidP="006A37FF">
            <w:r w:rsidRPr="0093401C">
              <w:t>Therapeutic Goods Administration</w:t>
            </w:r>
          </w:p>
        </w:tc>
      </w:tr>
      <w:tr w:rsidR="00470B32" w:rsidRPr="00FD119B" w14:paraId="3B898EC2" w14:textId="77777777" w:rsidTr="00AA03B3">
        <w:tc>
          <w:tcPr>
            <w:tcW w:w="2093" w:type="dxa"/>
          </w:tcPr>
          <w:p w14:paraId="4A84D4B9" w14:textId="61AFFE9D" w:rsidR="00470B32" w:rsidRPr="0093401C" w:rsidRDefault="00470B32" w:rsidP="0093401C">
            <w:r>
              <w:t>US</w:t>
            </w:r>
          </w:p>
        </w:tc>
        <w:tc>
          <w:tcPr>
            <w:tcW w:w="6627" w:type="dxa"/>
          </w:tcPr>
          <w:p w14:paraId="64E18A75" w14:textId="38B5B7EC" w:rsidR="00470B32" w:rsidRPr="0093401C" w:rsidRDefault="00470B32" w:rsidP="006A37FF">
            <w:r>
              <w:t>United States of America</w:t>
            </w:r>
          </w:p>
        </w:tc>
      </w:tr>
      <w:tr w:rsidR="00154494" w:rsidRPr="00FD119B" w14:paraId="4120DB78" w14:textId="77777777" w:rsidTr="00AA03B3">
        <w:tc>
          <w:tcPr>
            <w:tcW w:w="2093" w:type="dxa"/>
          </w:tcPr>
          <w:p w14:paraId="77926225" w14:textId="00A63E54" w:rsidR="00154494" w:rsidRPr="0093401C" w:rsidRDefault="00154494" w:rsidP="0093401C">
            <w:r w:rsidRPr="0093401C">
              <w:t>VA</w:t>
            </w:r>
          </w:p>
        </w:tc>
        <w:tc>
          <w:tcPr>
            <w:tcW w:w="6627" w:type="dxa"/>
          </w:tcPr>
          <w:p w14:paraId="45CC13D0" w14:textId="6CE11EEC" w:rsidR="00154494" w:rsidRPr="0093401C" w:rsidRDefault="006A37FF" w:rsidP="0093401C">
            <w:r>
              <w:t>V</w:t>
            </w:r>
            <w:r w:rsidR="00154494" w:rsidRPr="0093401C">
              <w:t>isual acuity</w:t>
            </w:r>
          </w:p>
        </w:tc>
      </w:tr>
      <w:tr w:rsidR="00B34823" w:rsidRPr="00FD119B" w14:paraId="3B9806E0" w14:textId="77777777" w:rsidTr="00AA03B3">
        <w:tc>
          <w:tcPr>
            <w:tcW w:w="2093" w:type="dxa"/>
          </w:tcPr>
          <w:p w14:paraId="14154AA5" w14:textId="7AECFDD7" w:rsidR="00B34823" w:rsidRPr="0093401C" w:rsidRDefault="00B34823" w:rsidP="0093401C">
            <w:r w:rsidRPr="0093401C">
              <w:t>VF</w:t>
            </w:r>
          </w:p>
        </w:tc>
        <w:tc>
          <w:tcPr>
            <w:tcW w:w="6627" w:type="dxa"/>
          </w:tcPr>
          <w:p w14:paraId="0FDD65D3" w14:textId="01BC4D76" w:rsidR="00B34823" w:rsidRPr="0093401C" w:rsidRDefault="006A37FF" w:rsidP="0093401C">
            <w:r>
              <w:t>V</w:t>
            </w:r>
            <w:r w:rsidR="00B34823" w:rsidRPr="0093401C">
              <w:t>isual field</w:t>
            </w:r>
          </w:p>
        </w:tc>
      </w:tr>
      <w:tr w:rsidR="008758AC" w:rsidRPr="00FD119B" w14:paraId="51369E39" w14:textId="77777777" w:rsidTr="00AA03B3">
        <w:tc>
          <w:tcPr>
            <w:tcW w:w="2093" w:type="dxa"/>
          </w:tcPr>
          <w:p w14:paraId="77B662BB" w14:textId="62C7C682" w:rsidR="008758AC" w:rsidRPr="0093401C" w:rsidRDefault="008758AC" w:rsidP="0093401C">
            <w:r w:rsidRPr="0093401C">
              <w:t>VFQ-25</w:t>
            </w:r>
          </w:p>
        </w:tc>
        <w:tc>
          <w:tcPr>
            <w:tcW w:w="6627" w:type="dxa"/>
          </w:tcPr>
          <w:p w14:paraId="2AF6981F" w14:textId="49E03F7A" w:rsidR="008758AC" w:rsidRPr="0093401C" w:rsidRDefault="006A37FF" w:rsidP="0093401C">
            <w:r>
              <w:t>V</w:t>
            </w:r>
            <w:r w:rsidR="008758AC" w:rsidRPr="0093401C">
              <w:t xml:space="preserve">isual </w:t>
            </w:r>
            <w:r>
              <w:t>F</w:t>
            </w:r>
            <w:r w:rsidR="008758AC" w:rsidRPr="0093401C">
              <w:t xml:space="preserve">unction </w:t>
            </w:r>
            <w:r>
              <w:t>Q</w:t>
            </w:r>
            <w:r w:rsidR="008758AC" w:rsidRPr="0093401C">
              <w:t>uestionnaire 25</w:t>
            </w:r>
          </w:p>
        </w:tc>
      </w:tr>
      <w:tr w:rsidR="00FD119B" w:rsidRPr="00FD119B" w14:paraId="657B0F2B" w14:textId="77777777" w:rsidTr="00AA03B3">
        <w:tc>
          <w:tcPr>
            <w:tcW w:w="2093" w:type="dxa"/>
          </w:tcPr>
          <w:p w14:paraId="2CA72359" w14:textId="71DD9231" w:rsidR="00FD119B" w:rsidRPr="0093401C" w:rsidRDefault="009876A3" w:rsidP="0093401C">
            <w:r w:rsidRPr="0093401C">
              <w:t>v</w:t>
            </w:r>
            <w:r w:rsidR="006B300A" w:rsidRPr="0093401C">
              <w:t>g</w:t>
            </w:r>
          </w:p>
        </w:tc>
        <w:tc>
          <w:tcPr>
            <w:tcW w:w="6627" w:type="dxa"/>
          </w:tcPr>
          <w:p w14:paraId="2303D7D0" w14:textId="7810F089" w:rsidR="00FD119B" w:rsidRPr="0093401C" w:rsidRDefault="006A37FF" w:rsidP="0093401C">
            <w:r>
              <w:t>V</w:t>
            </w:r>
            <w:r w:rsidR="006B300A" w:rsidRPr="0093401C">
              <w:t>ector genome</w:t>
            </w:r>
          </w:p>
        </w:tc>
      </w:tr>
    </w:tbl>
    <w:p w14:paraId="77C1B4EA" w14:textId="77777777" w:rsidR="00FD119B" w:rsidRDefault="00FD119B" w:rsidP="00FD119B"/>
    <w:p w14:paraId="5D467BE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E74428A" w14:textId="77777777" w:rsidR="008E7846" w:rsidRDefault="00F53C07" w:rsidP="008E7846">
      <w:pPr>
        <w:pStyle w:val="Heading2"/>
      </w:pPr>
      <w:bookmarkStart w:id="9" w:name="_Toc59006613"/>
      <w:r>
        <w:lastRenderedPageBreak/>
        <w:t>I.</w:t>
      </w:r>
      <w:r w:rsidR="008E7846">
        <w:t xml:space="preserve"> Introduction to product submission</w:t>
      </w:r>
      <w:bookmarkEnd w:id="0"/>
      <w:bookmarkEnd w:id="3"/>
      <w:bookmarkEnd w:id="9"/>
    </w:p>
    <w:p w14:paraId="7D2997D9" w14:textId="77777777" w:rsidR="008E7846" w:rsidRDefault="008E7846" w:rsidP="008E7846">
      <w:pPr>
        <w:pStyle w:val="Heading3"/>
        <w:rPr>
          <w:lang w:eastAsia="en-AU"/>
        </w:rPr>
      </w:pPr>
      <w:bookmarkStart w:id="10" w:name="_Toc247691502"/>
      <w:bookmarkStart w:id="11" w:name="_Toc314842483"/>
      <w:bookmarkStart w:id="12" w:name="_Toc5900661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317126F" w14:textId="77777777" w:rsidTr="003735BC">
        <w:tc>
          <w:tcPr>
            <w:tcW w:w="2907" w:type="dxa"/>
          </w:tcPr>
          <w:p w14:paraId="3FB35971"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E7B1665" w14:textId="77777777" w:rsidR="008E7846" w:rsidRPr="003D1E62" w:rsidRDefault="008E7846" w:rsidP="008F6506">
            <w:r w:rsidRPr="003D1E62">
              <w:t xml:space="preserve">New </w:t>
            </w:r>
            <w:r w:rsidR="008F6506">
              <w:t>biological entity</w:t>
            </w:r>
          </w:p>
        </w:tc>
      </w:tr>
      <w:tr w:rsidR="00460036" w:rsidRPr="003D1E62" w14:paraId="438A50F0" w14:textId="77777777" w:rsidTr="003735BC">
        <w:tc>
          <w:tcPr>
            <w:tcW w:w="2907" w:type="dxa"/>
          </w:tcPr>
          <w:p w14:paraId="172AFBD3" w14:textId="265AFC4A" w:rsidR="00460036" w:rsidRPr="003D1E62" w:rsidRDefault="00460036" w:rsidP="003D1E62">
            <w:pPr>
              <w:rPr>
                <w:i/>
              </w:rPr>
            </w:pPr>
            <w:r w:rsidRPr="00460036">
              <w:rPr>
                <w:i/>
              </w:rPr>
              <w:t>Product name:</w:t>
            </w:r>
          </w:p>
        </w:tc>
        <w:tc>
          <w:tcPr>
            <w:tcW w:w="6307" w:type="dxa"/>
          </w:tcPr>
          <w:p w14:paraId="670B9CC6" w14:textId="77777777" w:rsidR="00460036" w:rsidRPr="003D1E62" w:rsidRDefault="008F6506" w:rsidP="001B5C90">
            <w:r>
              <w:t>Luxturna</w:t>
            </w:r>
          </w:p>
        </w:tc>
      </w:tr>
      <w:tr w:rsidR="00460036" w:rsidRPr="003D1E62" w14:paraId="3C2370CD" w14:textId="77777777" w:rsidTr="003735BC">
        <w:tc>
          <w:tcPr>
            <w:tcW w:w="2907" w:type="dxa"/>
          </w:tcPr>
          <w:p w14:paraId="2C4FEE71" w14:textId="3CB5870C" w:rsidR="00460036" w:rsidRPr="003D1E62" w:rsidRDefault="00460036" w:rsidP="003D1E62">
            <w:pPr>
              <w:rPr>
                <w:i/>
              </w:rPr>
            </w:pPr>
            <w:r w:rsidRPr="00460036">
              <w:rPr>
                <w:i/>
              </w:rPr>
              <w:t>Active ingredient:</w:t>
            </w:r>
          </w:p>
        </w:tc>
        <w:tc>
          <w:tcPr>
            <w:tcW w:w="6307" w:type="dxa"/>
          </w:tcPr>
          <w:p w14:paraId="117B2412" w14:textId="33DE5753" w:rsidR="00460036" w:rsidRPr="003D1E62" w:rsidRDefault="009F4BFF" w:rsidP="001B5C90">
            <w:r>
              <w:t>V</w:t>
            </w:r>
            <w:r w:rsidR="008F6506">
              <w:t>oretigene neparvovec</w:t>
            </w:r>
          </w:p>
        </w:tc>
      </w:tr>
      <w:tr w:rsidR="008E7846" w:rsidRPr="003D1E62" w14:paraId="65D334BC" w14:textId="77777777" w:rsidTr="003735BC">
        <w:tc>
          <w:tcPr>
            <w:tcW w:w="2907" w:type="dxa"/>
          </w:tcPr>
          <w:p w14:paraId="36AB2D08" w14:textId="77777777" w:rsidR="008E7846" w:rsidRPr="003D1E62" w:rsidRDefault="008E7846" w:rsidP="003D1E62">
            <w:r w:rsidRPr="003D1E62">
              <w:rPr>
                <w:i/>
              </w:rPr>
              <w:t>Decision</w:t>
            </w:r>
            <w:r w:rsidRPr="003D1E62">
              <w:t>:</w:t>
            </w:r>
          </w:p>
        </w:tc>
        <w:tc>
          <w:tcPr>
            <w:tcW w:w="6307" w:type="dxa"/>
          </w:tcPr>
          <w:p w14:paraId="5FEB6D76" w14:textId="77777777" w:rsidR="008E7846" w:rsidRPr="003D1E62" w:rsidRDefault="00460036" w:rsidP="008F6506">
            <w:r w:rsidRPr="00460036">
              <w:t>Approved</w:t>
            </w:r>
          </w:p>
        </w:tc>
      </w:tr>
      <w:tr w:rsidR="008E7846" w:rsidRPr="003D1E62" w14:paraId="4F88DFB6" w14:textId="77777777" w:rsidTr="003735BC">
        <w:tc>
          <w:tcPr>
            <w:tcW w:w="2907" w:type="dxa"/>
          </w:tcPr>
          <w:p w14:paraId="729B0D93"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164B537" w14:textId="77777777" w:rsidR="008E7846" w:rsidRPr="003D1E62" w:rsidRDefault="008F6506" w:rsidP="001B5C90">
            <w:r>
              <w:t>4 August 2020</w:t>
            </w:r>
          </w:p>
        </w:tc>
      </w:tr>
      <w:tr w:rsidR="00ED2922" w:rsidRPr="003D1E62" w14:paraId="09C05A5C" w14:textId="77777777" w:rsidTr="003735BC">
        <w:tc>
          <w:tcPr>
            <w:tcW w:w="2907" w:type="dxa"/>
          </w:tcPr>
          <w:p w14:paraId="50FB3610" w14:textId="77777777" w:rsidR="00ED2922" w:rsidRPr="00441C3F" w:rsidRDefault="00ED2922" w:rsidP="001B5C90">
            <w:pPr>
              <w:rPr>
                <w:i/>
              </w:rPr>
            </w:pPr>
            <w:r w:rsidRPr="00441C3F">
              <w:rPr>
                <w:i/>
              </w:rPr>
              <w:t>Date of entry onto ARTG</w:t>
            </w:r>
            <w:r w:rsidR="00500337">
              <w:rPr>
                <w:i/>
              </w:rPr>
              <w:t>:</w:t>
            </w:r>
          </w:p>
        </w:tc>
        <w:tc>
          <w:tcPr>
            <w:tcW w:w="6307" w:type="dxa"/>
          </w:tcPr>
          <w:p w14:paraId="5055E1B2" w14:textId="77777777" w:rsidR="00ED2922" w:rsidRPr="00441C3F" w:rsidRDefault="008F6506" w:rsidP="00D153D8">
            <w:pPr>
              <w:rPr>
                <w:i/>
              </w:rPr>
            </w:pPr>
            <w:r>
              <w:t>5 August 2020</w:t>
            </w:r>
          </w:p>
        </w:tc>
      </w:tr>
      <w:tr w:rsidR="00500337" w:rsidRPr="003D1E62" w14:paraId="58E9E2F6" w14:textId="77777777" w:rsidTr="003735BC">
        <w:tc>
          <w:tcPr>
            <w:tcW w:w="2907" w:type="dxa"/>
          </w:tcPr>
          <w:p w14:paraId="33573618" w14:textId="361E0F19" w:rsidR="00500337" w:rsidRPr="00441C3F" w:rsidRDefault="00500337" w:rsidP="001B5C90">
            <w:pPr>
              <w:rPr>
                <w:i/>
              </w:rPr>
            </w:pPr>
            <w:r>
              <w:rPr>
                <w:i/>
              </w:rPr>
              <w:t>ARTG number:</w:t>
            </w:r>
          </w:p>
        </w:tc>
        <w:tc>
          <w:tcPr>
            <w:tcW w:w="6307" w:type="dxa"/>
          </w:tcPr>
          <w:p w14:paraId="33C2F2D0" w14:textId="77777777" w:rsidR="00500337" w:rsidRPr="00441C3F" w:rsidRDefault="008F6506" w:rsidP="00EC463D">
            <w:r>
              <w:t>318929</w:t>
            </w:r>
          </w:p>
        </w:tc>
      </w:tr>
      <w:tr w:rsidR="003735BC" w:rsidRPr="003D1E62" w14:paraId="52B78BAF" w14:textId="77777777" w:rsidTr="003735BC">
        <w:tc>
          <w:tcPr>
            <w:tcW w:w="2907" w:type="dxa"/>
          </w:tcPr>
          <w:p w14:paraId="1FB4E98F"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7A70E5E4" w14:textId="77777777" w:rsidR="003735BC" w:rsidRDefault="008F6506" w:rsidP="003735BC">
            <w:r>
              <w:t>Yes</w:t>
            </w:r>
          </w:p>
          <w:p w14:paraId="58305EF4" w14:textId="77777777" w:rsidR="003735BC" w:rsidRPr="00487162" w:rsidRDefault="003735BC" w:rsidP="003735BC">
            <w:r>
              <w:t xml:space="preserve">This product will remain in the scheme for 5 years, starting on the date the product is first supplied in </w:t>
            </w:r>
            <w:r w:rsidR="008F6506">
              <w:t>Australia</w:t>
            </w:r>
          </w:p>
        </w:tc>
      </w:tr>
      <w:tr w:rsidR="008E7846" w:rsidRPr="00487162" w14:paraId="147050DE" w14:textId="77777777" w:rsidTr="00BF1190">
        <w:tc>
          <w:tcPr>
            <w:tcW w:w="2907" w:type="dxa"/>
          </w:tcPr>
          <w:p w14:paraId="667698A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ECA5371" w14:textId="77777777" w:rsidR="008E7846" w:rsidRDefault="008F6506" w:rsidP="00E45619">
            <w:r>
              <w:t>Novartis Pharmaceuticals Australia Pty Ltd</w:t>
            </w:r>
          </w:p>
          <w:p w14:paraId="62F01906" w14:textId="77777777" w:rsidR="008F6506" w:rsidRDefault="00F16A56" w:rsidP="00E45619">
            <w:r>
              <w:t>54 Waterloo Road</w:t>
            </w:r>
          </w:p>
          <w:p w14:paraId="2FFCE880" w14:textId="207D6020" w:rsidR="008F6506" w:rsidRPr="00487162" w:rsidRDefault="0054158F" w:rsidP="0054158F">
            <w:r>
              <w:t xml:space="preserve">Macquarie </w:t>
            </w:r>
            <w:r w:rsidR="00F16A56">
              <w:t>P</w:t>
            </w:r>
            <w:r>
              <w:t>ark</w:t>
            </w:r>
            <w:r w:rsidR="00F16A56">
              <w:t xml:space="preserve"> NSW 2113</w:t>
            </w:r>
          </w:p>
        </w:tc>
      </w:tr>
      <w:tr w:rsidR="008E7846" w:rsidRPr="00487162" w14:paraId="5DEDF6B8" w14:textId="77777777" w:rsidTr="00BF1190">
        <w:tc>
          <w:tcPr>
            <w:tcW w:w="2907" w:type="dxa"/>
          </w:tcPr>
          <w:p w14:paraId="33DB0A60" w14:textId="1672125C" w:rsidR="008E7846" w:rsidRPr="00487162" w:rsidRDefault="001B5C90" w:rsidP="00E45619">
            <w:pPr>
              <w:rPr>
                <w:i/>
              </w:rPr>
            </w:pPr>
            <w:r>
              <w:rPr>
                <w:i/>
              </w:rPr>
              <w:t>Dose form:</w:t>
            </w:r>
          </w:p>
        </w:tc>
        <w:tc>
          <w:tcPr>
            <w:tcW w:w="6307" w:type="dxa"/>
          </w:tcPr>
          <w:p w14:paraId="7529C16A" w14:textId="77777777" w:rsidR="008E7846" w:rsidRPr="00487162" w:rsidRDefault="008F6506" w:rsidP="00E45619">
            <w:r>
              <w:t>Concentrated solution for injection vial with diluent ampoule</w:t>
            </w:r>
          </w:p>
        </w:tc>
      </w:tr>
      <w:tr w:rsidR="008E7846" w:rsidRPr="00487162" w14:paraId="491C3BB7" w14:textId="77777777" w:rsidTr="00BF1190">
        <w:tc>
          <w:tcPr>
            <w:tcW w:w="2907" w:type="dxa"/>
          </w:tcPr>
          <w:p w14:paraId="0D1ECA63" w14:textId="12A38E46" w:rsidR="008E7846" w:rsidRPr="00487162" w:rsidRDefault="008E7846" w:rsidP="00E45619">
            <w:pPr>
              <w:rPr>
                <w:i/>
              </w:rPr>
            </w:pPr>
            <w:r w:rsidRPr="00487162">
              <w:rPr>
                <w:i/>
              </w:rPr>
              <w:t xml:space="preserve">Strength: </w:t>
            </w:r>
          </w:p>
        </w:tc>
        <w:tc>
          <w:tcPr>
            <w:tcW w:w="6307" w:type="dxa"/>
          </w:tcPr>
          <w:p w14:paraId="7146EDC3" w14:textId="77777777" w:rsidR="008E7846" w:rsidRPr="00487162" w:rsidRDefault="008F6506" w:rsidP="00E45619">
            <w:r>
              <w:t>5 x 10</w:t>
            </w:r>
            <w:r w:rsidRPr="00F16A56">
              <w:rPr>
                <w:vertAlign w:val="superscript"/>
              </w:rPr>
              <w:t>12</w:t>
            </w:r>
            <w:r>
              <w:t xml:space="preserve"> vector genomes (vg) per mL </w:t>
            </w:r>
          </w:p>
        </w:tc>
      </w:tr>
      <w:tr w:rsidR="008E7846" w:rsidRPr="00487162" w14:paraId="1E557B49" w14:textId="77777777" w:rsidTr="00BF1190">
        <w:tc>
          <w:tcPr>
            <w:tcW w:w="2907" w:type="dxa"/>
          </w:tcPr>
          <w:p w14:paraId="5B2BA848" w14:textId="3B15C086" w:rsidR="008E7846" w:rsidRPr="00487162" w:rsidRDefault="008E7846" w:rsidP="0020652B">
            <w:pPr>
              <w:rPr>
                <w:i/>
              </w:rPr>
            </w:pPr>
            <w:r w:rsidRPr="00487162">
              <w:rPr>
                <w:i/>
              </w:rPr>
              <w:t>Container:</w:t>
            </w:r>
          </w:p>
        </w:tc>
        <w:tc>
          <w:tcPr>
            <w:tcW w:w="6307" w:type="dxa"/>
          </w:tcPr>
          <w:p w14:paraId="34E3B2F7" w14:textId="0A896AA2" w:rsidR="008E7846" w:rsidRPr="00487162" w:rsidRDefault="0054158F" w:rsidP="0026739F">
            <w:r>
              <w:t>V</w:t>
            </w:r>
            <w:r w:rsidR="0026739F">
              <w:t>ial</w:t>
            </w:r>
          </w:p>
        </w:tc>
      </w:tr>
      <w:tr w:rsidR="00F16A56" w:rsidRPr="00487162" w14:paraId="38359033" w14:textId="77777777" w:rsidTr="00BF1190">
        <w:tc>
          <w:tcPr>
            <w:tcW w:w="2907" w:type="dxa"/>
          </w:tcPr>
          <w:p w14:paraId="506752EB" w14:textId="475AC807" w:rsidR="00F16A56" w:rsidRPr="00487162" w:rsidRDefault="00F16A56" w:rsidP="00E45619">
            <w:pPr>
              <w:rPr>
                <w:i/>
              </w:rPr>
            </w:pPr>
            <w:r>
              <w:rPr>
                <w:i/>
              </w:rPr>
              <w:t>Pack size</w:t>
            </w:r>
          </w:p>
        </w:tc>
        <w:tc>
          <w:tcPr>
            <w:tcW w:w="6307" w:type="dxa"/>
          </w:tcPr>
          <w:p w14:paraId="26E4F271" w14:textId="709A88F5" w:rsidR="00F16A56" w:rsidRDefault="000C6C1C" w:rsidP="0026739F">
            <w:r>
              <w:t>One</w:t>
            </w:r>
            <w:r w:rsidR="00F16A56">
              <w:t xml:space="preserve"> vial of concen</w:t>
            </w:r>
            <w:r>
              <w:t xml:space="preserve">trated solution for injection, </w:t>
            </w:r>
            <w:r w:rsidR="00651476">
              <w:t>t</w:t>
            </w:r>
            <w:r>
              <w:t>wo</w:t>
            </w:r>
            <w:r w:rsidR="00F16A56">
              <w:t xml:space="preserve"> ampoules of diluent</w:t>
            </w:r>
          </w:p>
        </w:tc>
      </w:tr>
      <w:tr w:rsidR="008E7846" w:rsidRPr="00487162" w14:paraId="3D03D42F" w14:textId="77777777" w:rsidTr="00BF1190">
        <w:tc>
          <w:tcPr>
            <w:tcW w:w="2907" w:type="dxa"/>
          </w:tcPr>
          <w:p w14:paraId="79E9C260"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7D2D284" w14:textId="77777777" w:rsidR="00F16A56" w:rsidRPr="0033623B" w:rsidRDefault="00F16A56" w:rsidP="00F16A56">
            <w:pPr>
              <w:rPr>
                <w:i/>
              </w:rPr>
            </w:pPr>
            <w:r w:rsidRPr="0033623B">
              <w:rPr>
                <w:i/>
              </w:rPr>
              <w:t xml:space="preserve">Treatment of patients with inherited retinal dystrophy caused by pathological </w:t>
            </w:r>
            <w:proofErr w:type="spellStart"/>
            <w:r w:rsidRPr="0033623B">
              <w:rPr>
                <w:i/>
              </w:rPr>
              <w:t>biallelic</w:t>
            </w:r>
            <w:proofErr w:type="spellEnd"/>
            <w:r w:rsidRPr="0033623B">
              <w:rPr>
                <w:i/>
              </w:rPr>
              <w:t xml:space="preserve"> RPE65 mutations and who have sufficient viable retinal cells as determined by the treating physician.</w:t>
            </w:r>
          </w:p>
          <w:p w14:paraId="50C552BC" w14:textId="10E2950A" w:rsidR="008E7846" w:rsidRPr="00487162" w:rsidRDefault="00F16A56" w:rsidP="00E45619">
            <w:pPr>
              <w:rPr>
                <w:rFonts w:eastAsia="MS Mincho"/>
                <w:lang w:eastAsia="ja-JP"/>
              </w:rPr>
            </w:pPr>
            <w:r w:rsidRPr="0033623B">
              <w:rPr>
                <w:i/>
              </w:rPr>
              <w:t>Pathological mutations of RPE65 should be confirmed by a National Association of Testing Authorities (NATA) or International Laboratory Accreditation Cooperation (ILAC) accredited laboratory.</w:t>
            </w:r>
          </w:p>
        </w:tc>
      </w:tr>
      <w:tr w:rsidR="008E7846" w:rsidRPr="00487162" w14:paraId="64CD8F3B" w14:textId="77777777" w:rsidTr="00BF1190">
        <w:tc>
          <w:tcPr>
            <w:tcW w:w="2907" w:type="dxa"/>
          </w:tcPr>
          <w:p w14:paraId="56EFD967" w14:textId="09CE6159" w:rsidR="008E7846" w:rsidRPr="00487162" w:rsidRDefault="008E7846" w:rsidP="00E45619">
            <w:pPr>
              <w:rPr>
                <w:i/>
              </w:rPr>
            </w:pPr>
            <w:r w:rsidRPr="00487162">
              <w:rPr>
                <w:i/>
              </w:rPr>
              <w:t>Route of administration:</w:t>
            </w:r>
          </w:p>
        </w:tc>
        <w:tc>
          <w:tcPr>
            <w:tcW w:w="6307" w:type="dxa"/>
          </w:tcPr>
          <w:p w14:paraId="4A742573" w14:textId="0528C14B" w:rsidR="008E7846" w:rsidRPr="00487162" w:rsidRDefault="00F16A56" w:rsidP="00E45619">
            <w:proofErr w:type="spellStart"/>
            <w:r>
              <w:t>S</w:t>
            </w:r>
            <w:r w:rsidR="006B300A">
              <w:t>ub</w:t>
            </w:r>
            <w:r>
              <w:t>retinal</w:t>
            </w:r>
            <w:proofErr w:type="spellEnd"/>
            <w:r>
              <w:t xml:space="preserve"> injection</w:t>
            </w:r>
          </w:p>
        </w:tc>
      </w:tr>
      <w:tr w:rsidR="008E7846" w:rsidRPr="00487162" w14:paraId="41D1AB85" w14:textId="77777777" w:rsidTr="00BF1190">
        <w:tc>
          <w:tcPr>
            <w:tcW w:w="2907" w:type="dxa"/>
          </w:tcPr>
          <w:p w14:paraId="3CFCBE33" w14:textId="77777777" w:rsidR="008E7846" w:rsidRPr="00487162" w:rsidRDefault="008E7846" w:rsidP="00E45619">
            <w:pPr>
              <w:rPr>
                <w:i/>
              </w:rPr>
            </w:pPr>
            <w:r w:rsidRPr="00487162">
              <w:rPr>
                <w:i/>
              </w:rPr>
              <w:lastRenderedPageBreak/>
              <w:t>Dosage:</w:t>
            </w:r>
          </w:p>
        </w:tc>
        <w:tc>
          <w:tcPr>
            <w:tcW w:w="6307" w:type="dxa"/>
          </w:tcPr>
          <w:p w14:paraId="4719765B" w14:textId="59C9C9D1" w:rsidR="00F16A56" w:rsidRPr="00F16A56" w:rsidRDefault="00F16A56" w:rsidP="00F16A56">
            <w:r w:rsidRPr="00F16A56">
              <w:t>Treatment should be initiated and administered by a retinal surgeon experienced in performing macular surgery.</w:t>
            </w:r>
          </w:p>
          <w:p w14:paraId="36DE5401" w14:textId="77777777" w:rsidR="008E7846" w:rsidRDefault="00F16A56" w:rsidP="00F16A56">
            <w:r w:rsidRPr="00F16A56">
              <w:t>Patients will receive a single dose of 1.5 x 10</w:t>
            </w:r>
            <w:r w:rsidRPr="00F16A56">
              <w:rPr>
                <w:vertAlign w:val="superscript"/>
              </w:rPr>
              <w:t>11</w:t>
            </w:r>
            <w:r w:rsidRPr="00F16A56">
              <w:t xml:space="preserve"> vg of Luxturna in each eye. Each dose will be delivered into the </w:t>
            </w:r>
            <w:proofErr w:type="spellStart"/>
            <w:r w:rsidRPr="00F16A56">
              <w:t>subretinal</w:t>
            </w:r>
            <w:proofErr w:type="spellEnd"/>
            <w:r w:rsidRPr="00F16A56">
              <w:t xml:space="preserve"> space in a total volume of 0.3 </w:t>
            </w:r>
            <w:proofErr w:type="spellStart"/>
            <w:r w:rsidRPr="00F16A56">
              <w:t>mL.</w:t>
            </w:r>
            <w:proofErr w:type="spellEnd"/>
            <w:r w:rsidRPr="00F16A56">
              <w:t xml:space="preserve"> The individual administration procedure to each eye is performed on separate days within a close interval, but no fewer than 6 days apart.</w:t>
            </w:r>
          </w:p>
          <w:p w14:paraId="0A498721" w14:textId="77777777" w:rsidR="00460036" w:rsidRPr="00487162" w:rsidRDefault="00460036" w:rsidP="00E45619">
            <w:r w:rsidRPr="00460036">
              <w:t>For further information regarding dosage, refer to the Product Information.</w:t>
            </w:r>
          </w:p>
        </w:tc>
      </w:tr>
      <w:tr w:rsidR="00460036" w:rsidRPr="00487162" w14:paraId="660DCB3E" w14:textId="77777777" w:rsidTr="00BF1190">
        <w:tc>
          <w:tcPr>
            <w:tcW w:w="2907" w:type="dxa"/>
          </w:tcPr>
          <w:p w14:paraId="23ADDF71" w14:textId="77777777" w:rsidR="00460036" w:rsidRPr="00487162" w:rsidRDefault="00460036" w:rsidP="00E45619">
            <w:pPr>
              <w:rPr>
                <w:i/>
              </w:rPr>
            </w:pPr>
            <w:r w:rsidRPr="00460036">
              <w:rPr>
                <w:i/>
              </w:rPr>
              <w:t>Pregnancy category</w:t>
            </w:r>
            <w:r>
              <w:rPr>
                <w:i/>
              </w:rPr>
              <w:t>:</w:t>
            </w:r>
          </w:p>
        </w:tc>
        <w:tc>
          <w:tcPr>
            <w:tcW w:w="6307" w:type="dxa"/>
          </w:tcPr>
          <w:p w14:paraId="6061A886" w14:textId="77777777" w:rsidR="00460036" w:rsidRPr="00F16A56" w:rsidRDefault="00F16A56" w:rsidP="00F16A56">
            <w:r w:rsidRPr="00F16A56">
              <w:t>B2</w:t>
            </w:r>
          </w:p>
          <w:p w14:paraId="1D8AF88B" w14:textId="77777777" w:rsidR="00F16A56" w:rsidRPr="00F16A56" w:rsidRDefault="00F16A56" w:rsidP="00F16A56">
            <w:pPr>
              <w:rPr>
                <w:rFonts w:eastAsia="Times New Roman" w:cs="Noto Sans"/>
              </w:rPr>
            </w:pPr>
            <w:r w:rsidRPr="00F16A56">
              <w:rPr>
                <w:rFonts w:cs="Noto Sans"/>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F16A56">
              <w:rPr>
                <w:rFonts w:cs="Noto Sans"/>
              </w:rPr>
              <w:t>fetus</w:t>
            </w:r>
            <w:proofErr w:type="spellEnd"/>
            <w:r w:rsidRPr="00F16A56">
              <w:rPr>
                <w:rFonts w:cs="Noto Sans"/>
              </w:rPr>
              <w:t xml:space="preserve"> having been observed.</w:t>
            </w:r>
          </w:p>
          <w:p w14:paraId="776DBA7E" w14:textId="77777777" w:rsidR="00F16A56" w:rsidRPr="00F16A56" w:rsidRDefault="00F16A56" w:rsidP="00F16A56">
            <w:pPr>
              <w:rPr>
                <w:rFonts w:cs="Noto Sans"/>
              </w:rPr>
            </w:pPr>
            <w:r w:rsidRPr="00F16A56">
              <w:rPr>
                <w:rFonts w:cs="Noto Sans"/>
              </w:rPr>
              <w:t xml:space="preserve">Studies in animals are inadequate or may be lacking, but available data show no evidence of an increased occurrence of </w:t>
            </w:r>
            <w:proofErr w:type="spellStart"/>
            <w:r w:rsidRPr="00F16A56">
              <w:rPr>
                <w:rFonts w:cs="Noto Sans"/>
              </w:rPr>
              <w:t>fetal</w:t>
            </w:r>
            <w:proofErr w:type="spellEnd"/>
            <w:r w:rsidRPr="00F16A56">
              <w:rPr>
                <w:rFonts w:cs="Noto Sans"/>
              </w:rPr>
              <w:t xml:space="preserve"> damage.</w:t>
            </w:r>
          </w:p>
          <w:p w14:paraId="3F2769AC" w14:textId="71BDBC1F" w:rsidR="00460036" w:rsidRPr="00F16A56" w:rsidRDefault="00460036" w:rsidP="00F16A56">
            <w:r w:rsidRPr="00F16A56">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3A3AE89C" w14:textId="77777777" w:rsidR="008E7846" w:rsidRDefault="008E7846" w:rsidP="008E7846">
      <w:pPr>
        <w:pStyle w:val="Heading3"/>
      </w:pPr>
      <w:bookmarkStart w:id="13" w:name="_Toc247691503"/>
      <w:bookmarkStart w:id="14" w:name="_Toc314842484"/>
      <w:bookmarkStart w:id="15" w:name="_Toc59006615"/>
      <w:r>
        <w:t>Product background</w:t>
      </w:r>
      <w:bookmarkEnd w:id="13"/>
      <w:bookmarkEnd w:id="14"/>
      <w:bookmarkEnd w:id="15"/>
    </w:p>
    <w:p w14:paraId="00FA6F69" w14:textId="738512FD" w:rsidR="008E7846" w:rsidRDefault="00250271" w:rsidP="00940A89">
      <w:r w:rsidRPr="00250271">
        <w:t xml:space="preserve">This AusPAR describes the application by </w:t>
      </w:r>
      <w:r w:rsidR="000C6C1C">
        <w:t>Novartis Pharmaceuticals Australia Pty Ltd</w:t>
      </w:r>
      <w:r w:rsidRPr="00250271">
        <w:t xml:space="preserve"> (the</w:t>
      </w:r>
      <w:r w:rsidR="00651476">
        <w:t> </w:t>
      </w:r>
      <w:r w:rsidRPr="00250271">
        <w:t xml:space="preserve">sponsor) to register </w:t>
      </w:r>
      <w:r w:rsidR="000C6C1C">
        <w:t>Luxturna</w:t>
      </w:r>
      <w:r w:rsidRPr="00250271">
        <w:t xml:space="preserve"> (</w:t>
      </w:r>
      <w:r w:rsidR="000C6C1C">
        <w:t>voretigene neparvovec</w:t>
      </w:r>
      <w:r w:rsidRPr="00250271">
        <w:t>)</w:t>
      </w:r>
      <w:r w:rsidR="00AA62B1">
        <w:t xml:space="preserve"> </w:t>
      </w:r>
      <w:r w:rsidR="000C6C1C">
        <w:t>5 x 10</w:t>
      </w:r>
      <w:r w:rsidR="000C6C1C" w:rsidRPr="00D10DA2">
        <w:rPr>
          <w:vertAlign w:val="superscript"/>
        </w:rPr>
        <w:t>12</w:t>
      </w:r>
      <w:r w:rsidR="000C6C1C">
        <w:t xml:space="preserve"> vg/mL</w:t>
      </w:r>
      <w:r w:rsidRPr="00250271">
        <w:t xml:space="preserve">, </w:t>
      </w:r>
      <w:r w:rsidR="000C6C1C">
        <w:t>con</w:t>
      </w:r>
      <w:r w:rsidR="00D10DA2">
        <w:t xml:space="preserve">centrated </w:t>
      </w:r>
      <w:proofErr w:type="spellStart"/>
      <w:r w:rsidR="0020652B">
        <w:t>subretinal</w:t>
      </w:r>
      <w:proofErr w:type="spellEnd"/>
      <w:r w:rsidR="0020652B">
        <w:t xml:space="preserve"> </w:t>
      </w:r>
      <w:r w:rsidR="00D10DA2">
        <w:t>solution for injection</w:t>
      </w:r>
      <w:r w:rsidRPr="00250271">
        <w:t xml:space="preserve"> for the following proposed indication</w:t>
      </w:r>
      <w:r w:rsidR="00D10DA2">
        <w:t>:</w:t>
      </w:r>
    </w:p>
    <w:p w14:paraId="35FFEF3E" w14:textId="1C1ED787" w:rsidR="00AA62B1" w:rsidRPr="00102F50" w:rsidRDefault="00D10DA2" w:rsidP="00102F50">
      <w:pPr>
        <w:ind w:left="720"/>
        <w:rPr>
          <w:i/>
        </w:rPr>
      </w:pPr>
      <w:r w:rsidRPr="00102F50">
        <w:rPr>
          <w:i/>
        </w:rPr>
        <w:t>Luxturna is indicated for the treatment of adult and paediatric patients with vision loss</w:t>
      </w:r>
      <w:r w:rsidR="00AA62B1" w:rsidRPr="00102F50">
        <w:rPr>
          <w:i/>
        </w:rPr>
        <w:t xml:space="preserve"> </w:t>
      </w:r>
      <w:r w:rsidRPr="00102F50">
        <w:rPr>
          <w:i/>
        </w:rPr>
        <w:t>due to inherited retinal dystrophy caused by confirm</w:t>
      </w:r>
      <w:r w:rsidR="00AA62B1" w:rsidRPr="00102F50">
        <w:rPr>
          <w:i/>
        </w:rPr>
        <w:t xml:space="preserve">ed </w:t>
      </w:r>
      <w:proofErr w:type="spellStart"/>
      <w:r w:rsidR="00AA62B1" w:rsidRPr="00102F50">
        <w:rPr>
          <w:i/>
        </w:rPr>
        <w:t>biallelic</w:t>
      </w:r>
      <w:proofErr w:type="spellEnd"/>
      <w:r w:rsidR="00AA62B1" w:rsidRPr="00102F50">
        <w:rPr>
          <w:i/>
        </w:rPr>
        <w:t xml:space="preserve"> RPE65 mutation who </w:t>
      </w:r>
      <w:r w:rsidRPr="00102F50">
        <w:rPr>
          <w:i/>
        </w:rPr>
        <w:t>have sufficient viable retinal cells.</w:t>
      </w:r>
    </w:p>
    <w:p w14:paraId="4A7B21B0" w14:textId="53367B01" w:rsidR="00AA62B1" w:rsidRDefault="00A26430" w:rsidP="00AA62B1">
      <w:r>
        <w:t>I</w:t>
      </w:r>
      <w:r w:rsidRPr="00A26430">
        <w:t>nherited retinal dystrophies</w:t>
      </w:r>
      <w:r w:rsidR="00FF2EB7">
        <w:t xml:space="preserve"> (IRD)</w:t>
      </w:r>
      <w:r w:rsidRPr="00A26430">
        <w:t xml:space="preserve"> are a broad range of genetic retinal disorders associated with progressive visual dysfunction caused by mutations in any o</w:t>
      </w:r>
      <w:r w:rsidR="00FF2EB7">
        <w:t>ne of over 220</w:t>
      </w:r>
      <w:r w:rsidR="00651476">
        <w:t> </w:t>
      </w:r>
      <w:r w:rsidR="00FF2EB7">
        <w:t>different genes.</w:t>
      </w:r>
    </w:p>
    <w:p w14:paraId="0DCEC9D2" w14:textId="50D9728A" w:rsidR="00A26430" w:rsidRDefault="00A26430" w:rsidP="00A26430">
      <w:pPr>
        <w:spacing w:before="0" w:after="0" w:line="240" w:lineRule="auto"/>
        <w:rPr>
          <w:rFonts w:asciiTheme="minorHAnsi" w:hAnsiTheme="minorHAnsi"/>
        </w:rPr>
      </w:pPr>
      <w:r w:rsidRPr="00A26430">
        <w:rPr>
          <w:rFonts w:asciiTheme="minorHAnsi" w:hAnsiTheme="minorHAnsi"/>
        </w:rPr>
        <w:t xml:space="preserve">The </w:t>
      </w:r>
      <w:r w:rsidRPr="0033623B">
        <w:rPr>
          <w:rFonts w:asciiTheme="minorHAnsi" w:hAnsiTheme="minorHAnsi"/>
          <w:i/>
        </w:rPr>
        <w:t>RPE65</w:t>
      </w:r>
      <w:r w:rsidRPr="00A26430">
        <w:rPr>
          <w:rFonts w:asciiTheme="minorHAnsi" w:hAnsiTheme="minorHAnsi"/>
        </w:rPr>
        <w:t xml:space="preserve"> gene codes for the retinal p</w:t>
      </w:r>
      <w:r w:rsidR="00FF2EB7">
        <w:rPr>
          <w:rFonts w:asciiTheme="minorHAnsi" w:hAnsiTheme="minorHAnsi"/>
        </w:rPr>
        <w:t>igment epithelium 65kDa protein</w:t>
      </w:r>
      <w:r w:rsidR="00291F7A">
        <w:rPr>
          <w:rFonts w:asciiTheme="minorHAnsi" w:hAnsiTheme="minorHAnsi"/>
        </w:rPr>
        <w:t xml:space="preserve"> (RPE65)</w:t>
      </w:r>
      <w:r w:rsidRPr="00A26430">
        <w:rPr>
          <w:rFonts w:asciiTheme="minorHAnsi" w:hAnsiTheme="minorHAnsi"/>
        </w:rPr>
        <w:t xml:space="preserve"> also known as all-</w:t>
      </w:r>
      <w:proofErr w:type="spellStart"/>
      <w:r w:rsidRPr="00A26430">
        <w:rPr>
          <w:rFonts w:asciiTheme="minorHAnsi" w:hAnsiTheme="minorHAnsi"/>
        </w:rPr>
        <w:t>transretinyl</w:t>
      </w:r>
      <w:proofErr w:type="spellEnd"/>
      <w:r w:rsidRPr="00A26430">
        <w:rPr>
          <w:rFonts w:asciiTheme="minorHAnsi" w:hAnsiTheme="minorHAnsi"/>
        </w:rPr>
        <w:t xml:space="preserve"> isomerase, which catalyses the regeneration of 11-cis-retinal. This process is an essential part of the retinoid cycle for the biological conversion of light energy to electrical signalling by retinal photoreceptors. </w:t>
      </w:r>
      <w:proofErr w:type="spellStart"/>
      <w:r w:rsidRPr="00A26430">
        <w:rPr>
          <w:rFonts w:asciiTheme="minorHAnsi" w:hAnsiTheme="minorHAnsi"/>
        </w:rPr>
        <w:t>Biallelic</w:t>
      </w:r>
      <w:proofErr w:type="spellEnd"/>
      <w:r w:rsidRPr="00A26430">
        <w:rPr>
          <w:rFonts w:asciiTheme="minorHAnsi" w:hAnsiTheme="minorHAnsi"/>
        </w:rPr>
        <w:t xml:space="preserve"> </w:t>
      </w:r>
      <w:r w:rsidRPr="0033623B">
        <w:rPr>
          <w:rFonts w:asciiTheme="minorHAnsi" w:hAnsiTheme="minorHAnsi"/>
          <w:i/>
        </w:rPr>
        <w:t>RPE65</w:t>
      </w:r>
      <w:r w:rsidRPr="00A26430">
        <w:rPr>
          <w:rFonts w:asciiTheme="minorHAnsi" w:hAnsiTheme="minorHAnsi"/>
        </w:rPr>
        <w:t xml:space="preserve"> mutations lead to </w:t>
      </w:r>
      <w:r w:rsidR="00651476">
        <w:rPr>
          <w:rFonts w:asciiTheme="minorHAnsi" w:hAnsiTheme="minorHAnsi"/>
        </w:rPr>
        <w:t xml:space="preserve">the </w:t>
      </w:r>
      <w:r w:rsidRPr="00A26430">
        <w:rPr>
          <w:rFonts w:asciiTheme="minorHAnsi" w:hAnsiTheme="minorHAnsi"/>
        </w:rPr>
        <w:t xml:space="preserve">absence of </w:t>
      </w:r>
      <w:r w:rsidR="00651476">
        <w:rPr>
          <w:rFonts w:asciiTheme="minorHAnsi" w:hAnsiTheme="minorHAnsi"/>
        </w:rPr>
        <w:t xml:space="preserve">the </w:t>
      </w:r>
      <w:r w:rsidR="0028051E">
        <w:rPr>
          <w:rFonts w:asciiTheme="minorHAnsi" w:hAnsiTheme="minorHAnsi"/>
        </w:rPr>
        <w:t>functional</w:t>
      </w:r>
      <w:r w:rsidR="00651476">
        <w:rPr>
          <w:rFonts w:asciiTheme="minorHAnsi" w:hAnsiTheme="minorHAnsi"/>
        </w:rPr>
        <w:t xml:space="preserve"> </w:t>
      </w:r>
      <w:r w:rsidRPr="00A26430">
        <w:rPr>
          <w:rFonts w:asciiTheme="minorHAnsi" w:hAnsiTheme="minorHAnsi"/>
        </w:rPr>
        <w:t>RPE65 enzyme</w:t>
      </w:r>
      <w:r w:rsidR="00FF2EB7">
        <w:rPr>
          <w:rFonts w:asciiTheme="minorHAnsi" w:hAnsiTheme="minorHAnsi"/>
        </w:rPr>
        <w:t>,</w:t>
      </w:r>
      <w:r w:rsidRPr="00A26430">
        <w:rPr>
          <w:rFonts w:asciiTheme="minorHAnsi" w:hAnsiTheme="minorHAnsi"/>
        </w:rPr>
        <w:t xml:space="preserve"> resulting in accumulation of toxic precursors and damage to the retinal pigment epithelium, which in turn leads to damage of the photoreceptors that depend on the </w:t>
      </w:r>
      <w:r w:rsidR="00291F7A">
        <w:t>r</w:t>
      </w:r>
      <w:r w:rsidR="00291F7A" w:rsidRPr="0093401C">
        <w:t>etinal pigment epithelium</w:t>
      </w:r>
      <w:r w:rsidR="00291F7A" w:rsidRPr="00A26430">
        <w:rPr>
          <w:rFonts w:asciiTheme="minorHAnsi" w:hAnsiTheme="minorHAnsi"/>
        </w:rPr>
        <w:t xml:space="preserve"> </w:t>
      </w:r>
      <w:r w:rsidR="00291F7A">
        <w:rPr>
          <w:rFonts w:asciiTheme="minorHAnsi" w:hAnsiTheme="minorHAnsi"/>
        </w:rPr>
        <w:t>(</w:t>
      </w:r>
      <w:r w:rsidRPr="00A26430">
        <w:rPr>
          <w:rFonts w:asciiTheme="minorHAnsi" w:hAnsiTheme="minorHAnsi"/>
        </w:rPr>
        <w:t>RPE</w:t>
      </w:r>
      <w:r w:rsidR="00291F7A">
        <w:rPr>
          <w:rFonts w:asciiTheme="minorHAnsi" w:hAnsiTheme="minorHAnsi"/>
        </w:rPr>
        <w:t>)</w:t>
      </w:r>
      <w:r w:rsidRPr="00A26430">
        <w:rPr>
          <w:rFonts w:asciiTheme="minorHAnsi" w:hAnsiTheme="minorHAnsi"/>
        </w:rPr>
        <w:t xml:space="preserve"> cellular metabolism.</w:t>
      </w:r>
    </w:p>
    <w:p w14:paraId="7ADAE299" w14:textId="6C19C262" w:rsidR="00A26430" w:rsidRDefault="00A26430" w:rsidP="00A26430">
      <w:pPr>
        <w:tabs>
          <w:tab w:val="left" w:pos="567"/>
        </w:tabs>
        <w:autoSpaceDE w:val="0"/>
        <w:autoSpaceDN w:val="0"/>
        <w:spacing w:after="0" w:line="240" w:lineRule="auto"/>
        <w:rPr>
          <w:rFonts w:asciiTheme="minorHAnsi" w:eastAsiaTheme="minorHAnsi" w:hAnsiTheme="minorHAnsi" w:cs="Calibri"/>
        </w:rPr>
      </w:pPr>
      <w:r w:rsidRPr="00A26430">
        <w:rPr>
          <w:rFonts w:asciiTheme="minorHAnsi" w:eastAsiaTheme="minorHAnsi" w:hAnsiTheme="minorHAnsi" w:cs="Calibri"/>
        </w:rPr>
        <w:t>RPE65 enzyme deficiency mainly affects rod photoreceptors</w:t>
      </w:r>
      <w:r w:rsidR="00FF2EB7">
        <w:rPr>
          <w:rFonts w:asciiTheme="minorHAnsi" w:eastAsiaTheme="minorHAnsi" w:hAnsiTheme="minorHAnsi" w:cs="Calibri"/>
        </w:rPr>
        <w:t xml:space="preserve"> that mediate peripheral vision, </w:t>
      </w:r>
      <w:r w:rsidRPr="00A26430">
        <w:rPr>
          <w:rFonts w:asciiTheme="minorHAnsi" w:eastAsiaTheme="minorHAnsi" w:hAnsiTheme="minorHAnsi" w:cs="Calibri"/>
        </w:rPr>
        <w:t>and the ability to detect and see in low luminance light.</w:t>
      </w:r>
      <w:r w:rsidRPr="00A26430">
        <w:rPr>
          <w:rFonts w:asciiTheme="minorHAnsi" w:eastAsiaTheme="minorHAnsi" w:hAnsiTheme="minorHAnsi"/>
          <w:sz w:val="20"/>
        </w:rPr>
        <w:t xml:space="preserve"> </w:t>
      </w:r>
      <w:r w:rsidRPr="00A26430">
        <w:rPr>
          <w:rFonts w:asciiTheme="minorHAnsi" w:eastAsiaTheme="minorHAnsi" w:hAnsiTheme="minorHAnsi" w:cs="Calibri"/>
        </w:rPr>
        <w:t xml:space="preserve">Cone photoreceptors are regulated by a different biochemical pathway and are secondarily affected in </w:t>
      </w:r>
      <w:r w:rsidR="000E3E17" w:rsidRPr="00A26430">
        <w:rPr>
          <w:rFonts w:asciiTheme="minorHAnsi" w:eastAsiaTheme="minorHAnsi" w:hAnsiTheme="minorHAnsi" w:cs="Calibri"/>
        </w:rPr>
        <w:t>these individuals</w:t>
      </w:r>
      <w:r w:rsidRPr="00A26430">
        <w:rPr>
          <w:rFonts w:asciiTheme="minorHAnsi" w:eastAsiaTheme="minorHAnsi" w:hAnsiTheme="minorHAnsi" w:cs="Calibri"/>
        </w:rPr>
        <w:t xml:space="preserve">. As a result of rod-mediated degeneration, affected individuals have such </w:t>
      </w:r>
      <w:r w:rsidRPr="00A26430">
        <w:rPr>
          <w:rFonts w:asciiTheme="minorHAnsi" w:eastAsiaTheme="minorHAnsi" w:hAnsiTheme="minorHAnsi" w:cs="Calibri"/>
        </w:rPr>
        <w:lastRenderedPageBreak/>
        <w:t>decreased light sensitivity that they are night blind and have difficulty performing daily living</w:t>
      </w:r>
      <w:r w:rsidR="00FF2EB7">
        <w:rPr>
          <w:rFonts w:asciiTheme="minorHAnsi" w:eastAsiaTheme="minorHAnsi" w:hAnsiTheme="minorHAnsi" w:cs="Calibri"/>
        </w:rPr>
        <w:t xml:space="preserve"> activit</w:t>
      </w:r>
      <w:r w:rsidR="00291F7A">
        <w:rPr>
          <w:rFonts w:asciiTheme="minorHAnsi" w:eastAsiaTheme="minorHAnsi" w:hAnsiTheme="minorHAnsi" w:cs="Calibri"/>
        </w:rPr>
        <w:t>i</w:t>
      </w:r>
      <w:r w:rsidR="00FF2EB7">
        <w:rPr>
          <w:rFonts w:asciiTheme="minorHAnsi" w:eastAsiaTheme="minorHAnsi" w:hAnsiTheme="minorHAnsi" w:cs="Calibri"/>
        </w:rPr>
        <w:t>es</w:t>
      </w:r>
      <w:r w:rsidRPr="00A26430">
        <w:rPr>
          <w:rFonts w:asciiTheme="minorHAnsi" w:eastAsiaTheme="minorHAnsi" w:hAnsiTheme="minorHAnsi" w:cs="Calibri"/>
        </w:rPr>
        <w:t>, even under normal daytime lighting conditions. Continued retinal degeneration inevitably includes cone photoreceptors as well</w:t>
      </w:r>
      <w:r w:rsidR="00FF2EB7">
        <w:rPr>
          <w:rFonts w:asciiTheme="minorHAnsi" w:eastAsiaTheme="minorHAnsi" w:hAnsiTheme="minorHAnsi" w:cs="Calibri"/>
        </w:rPr>
        <w:t>,</w:t>
      </w:r>
      <w:r w:rsidRPr="00A26430">
        <w:rPr>
          <w:rFonts w:asciiTheme="minorHAnsi" w:eastAsiaTheme="minorHAnsi" w:hAnsiTheme="minorHAnsi" w:cs="Calibri"/>
        </w:rPr>
        <w:t xml:space="preserve"> and eventually progresses to near total blindness in almost all patients.</w:t>
      </w:r>
    </w:p>
    <w:p w14:paraId="02FA6840" w14:textId="09B775EC" w:rsidR="00A26430" w:rsidRDefault="00A26430" w:rsidP="00A26430">
      <w:pPr>
        <w:tabs>
          <w:tab w:val="left" w:pos="567"/>
        </w:tabs>
        <w:autoSpaceDE w:val="0"/>
        <w:autoSpaceDN w:val="0"/>
        <w:spacing w:after="0" w:line="240" w:lineRule="auto"/>
        <w:rPr>
          <w:rFonts w:asciiTheme="minorHAnsi" w:eastAsiaTheme="minorHAnsi" w:hAnsiTheme="minorHAnsi" w:cs="Calibri"/>
        </w:rPr>
      </w:pPr>
      <w:r w:rsidRPr="00A26430">
        <w:rPr>
          <w:rFonts w:asciiTheme="minorHAnsi" w:eastAsiaTheme="minorHAnsi" w:hAnsiTheme="minorHAnsi" w:cs="Calibri"/>
        </w:rPr>
        <w:t>Depending on time of onset, sev</w:t>
      </w:r>
      <w:r w:rsidR="00FF2EB7">
        <w:rPr>
          <w:rFonts w:asciiTheme="minorHAnsi" w:eastAsiaTheme="minorHAnsi" w:hAnsiTheme="minorHAnsi" w:cs="Calibri"/>
        </w:rPr>
        <w:t>erity, and presenting phenotype</w:t>
      </w:r>
      <w:r w:rsidR="001D3833">
        <w:rPr>
          <w:rFonts w:asciiTheme="minorHAnsi" w:eastAsiaTheme="minorHAnsi" w:hAnsiTheme="minorHAnsi" w:cs="Calibri"/>
        </w:rPr>
        <w:t>,</w:t>
      </w:r>
      <w:r w:rsidRPr="00A26430">
        <w:rPr>
          <w:rFonts w:asciiTheme="minorHAnsi" w:eastAsiaTheme="minorHAnsi" w:hAnsiTheme="minorHAnsi" w:cs="Calibri"/>
        </w:rPr>
        <w:t xml:space="preserve"> individuals with IRD</w:t>
      </w:r>
      <w:r w:rsidRPr="00A26430">
        <w:rPr>
          <w:rFonts w:asciiTheme="minorHAnsi" w:eastAsiaTheme="minorHAnsi" w:hAnsiTheme="minorHAnsi" w:cs="Cambria"/>
        </w:rPr>
        <w:t xml:space="preserve"> due to autosomal recessive mutations in </w:t>
      </w:r>
      <w:r w:rsidRPr="00A26430">
        <w:rPr>
          <w:rFonts w:asciiTheme="minorHAnsi" w:eastAsiaTheme="minorHAnsi" w:hAnsiTheme="minorHAnsi" w:cs="Cambria"/>
          <w:i/>
          <w:iCs/>
        </w:rPr>
        <w:t>RPE65</w:t>
      </w:r>
      <w:r w:rsidRPr="00A26430">
        <w:rPr>
          <w:rFonts w:asciiTheme="minorHAnsi" w:eastAsiaTheme="minorHAnsi" w:hAnsiTheme="minorHAnsi" w:cs="Calibri"/>
        </w:rPr>
        <w:t xml:space="preserve"> may have different clinical presentations resulting from a common cause of reduced or absent levels of RPE65 enzyme</w:t>
      </w:r>
      <w:r w:rsidRPr="00A26430">
        <w:rPr>
          <w:rFonts w:asciiTheme="minorHAnsi" w:eastAsiaTheme="minorHAnsi" w:hAnsiTheme="minorHAnsi" w:cs="Cambria"/>
        </w:rPr>
        <w:t xml:space="preserve">. Common </w:t>
      </w:r>
      <w:r w:rsidRPr="00A26430">
        <w:rPr>
          <w:rFonts w:asciiTheme="minorHAnsi" w:eastAsiaTheme="minorHAnsi" w:hAnsiTheme="minorHAnsi" w:cs="Calibri"/>
        </w:rPr>
        <w:t>presentations</w:t>
      </w:r>
      <w:r w:rsidRPr="00A26430">
        <w:rPr>
          <w:rFonts w:asciiTheme="minorHAnsi" w:eastAsiaTheme="minorHAnsi" w:hAnsiTheme="minorHAnsi" w:cs="Cambria"/>
        </w:rPr>
        <w:t xml:space="preserve"> include what would have previously been described as </w:t>
      </w:r>
      <w:proofErr w:type="spellStart"/>
      <w:r w:rsidRPr="00A26430">
        <w:rPr>
          <w:rFonts w:asciiTheme="minorHAnsi" w:eastAsiaTheme="minorHAnsi" w:hAnsiTheme="minorHAnsi" w:cs="Cambria"/>
        </w:rPr>
        <w:t>Leber</w:t>
      </w:r>
      <w:proofErr w:type="spellEnd"/>
      <w:r w:rsidRPr="00A26430">
        <w:rPr>
          <w:rFonts w:asciiTheme="minorHAnsi" w:eastAsiaTheme="minorHAnsi" w:hAnsiTheme="minorHAnsi" w:cs="Cambria"/>
        </w:rPr>
        <w:t xml:space="preserve"> congenital </w:t>
      </w:r>
      <w:proofErr w:type="spellStart"/>
      <w:r w:rsidRPr="00A26430">
        <w:rPr>
          <w:rFonts w:asciiTheme="minorHAnsi" w:eastAsiaTheme="minorHAnsi" w:hAnsiTheme="minorHAnsi" w:cs="Cambria"/>
        </w:rPr>
        <w:t>amaurosis</w:t>
      </w:r>
      <w:proofErr w:type="spellEnd"/>
      <w:r w:rsidRPr="00A26430">
        <w:rPr>
          <w:rFonts w:asciiTheme="minorHAnsi" w:eastAsiaTheme="minorHAnsi" w:hAnsiTheme="minorHAnsi" w:cs="Cambria"/>
        </w:rPr>
        <w:t xml:space="preserve"> (LCA) and retinitis </w:t>
      </w:r>
      <w:proofErr w:type="spellStart"/>
      <w:r w:rsidRPr="00A26430">
        <w:rPr>
          <w:rFonts w:asciiTheme="minorHAnsi" w:eastAsiaTheme="minorHAnsi" w:hAnsiTheme="minorHAnsi" w:cs="Cambria"/>
        </w:rPr>
        <w:t>pigmentosa</w:t>
      </w:r>
      <w:proofErr w:type="spellEnd"/>
      <w:r w:rsidRPr="00A26430">
        <w:rPr>
          <w:rFonts w:asciiTheme="minorHAnsi" w:eastAsiaTheme="minorHAnsi" w:hAnsiTheme="minorHAnsi" w:cs="Cambria"/>
        </w:rPr>
        <w:t xml:space="preserve"> (RP). There is considerable heterogeneity in clinical presentation amongst patients with </w:t>
      </w:r>
      <w:proofErr w:type="spellStart"/>
      <w:r w:rsidRPr="00A26430">
        <w:rPr>
          <w:rFonts w:asciiTheme="minorHAnsi" w:eastAsiaTheme="minorHAnsi" w:hAnsiTheme="minorHAnsi" w:cs="Cambria"/>
        </w:rPr>
        <w:t>biallelic</w:t>
      </w:r>
      <w:proofErr w:type="spellEnd"/>
      <w:r w:rsidRPr="00A26430">
        <w:rPr>
          <w:rFonts w:asciiTheme="minorHAnsi" w:eastAsiaTheme="minorHAnsi" w:hAnsiTheme="minorHAnsi" w:cs="Cambria"/>
        </w:rPr>
        <w:t xml:space="preserve"> </w:t>
      </w:r>
      <w:r w:rsidRPr="0033623B">
        <w:rPr>
          <w:rFonts w:asciiTheme="minorHAnsi" w:eastAsiaTheme="minorHAnsi" w:hAnsiTheme="minorHAnsi" w:cs="Cambria"/>
          <w:i/>
        </w:rPr>
        <w:t>RPE65</w:t>
      </w:r>
      <w:r w:rsidRPr="00A26430">
        <w:rPr>
          <w:rFonts w:asciiTheme="minorHAnsi" w:eastAsiaTheme="minorHAnsi" w:hAnsiTheme="minorHAnsi" w:cs="Cambria"/>
        </w:rPr>
        <w:t xml:space="preserve"> mutations.</w:t>
      </w:r>
    </w:p>
    <w:p w14:paraId="6E009D25" w14:textId="33430E75" w:rsidR="00DB42FC" w:rsidRDefault="00A26430" w:rsidP="00A26430">
      <w:pPr>
        <w:tabs>
          <w:tab w:val="left" w:pos="567"/>
        </w:tabs>
        <w:autoSpaceDE w:val="0"/>
        <w:autoSpaceDN w:val="0"/>
        <w:spacing w:after="0" w:line="240" w:lineRule="auto"/>
        <w:rPr>
          <w:rFonts w:asciiTheme="minorHAnsi" w:eastAsiaTheme="minorHAnsi" w:hAnsiTheme="minorHAnsi" w:cs="Cambria"/>
        </w:rPr>
      </w:pPr>
      <w:r w:rsidRPr="00A26430">
        <w:rPr>
          <w:rFonts w:asciiTheme="minorHAnsi" w:eastAsiaTheme="minorHAnsi" w:hAnsiTheme="minorHAnsi" w:cs="Calibri"/>
        </w:rPr>
        <w:t xml:space="preserve">LCA is a group of autosomal recessive eye disorders that primarily affects the retina. </w:t>
      </w:r>
      <w:r w:rsidRPr="00A26430">
        <w:rPr>
          <w:rFonts w:asciiTheme="minorHAnsi" w:eastAsiaTheme="minorHAnsi" w:hAnsiTheme="minorHAnsi" w:cs="Cambria"/>
        </w:rPr>
        <w:t>The estimated worldwide preva</w:t>
      </w:r>
      <w:r w:rsidR="00DB42FC">
        <w:rPr>
          <w:rFonts w:asciiTheme="minorHAnsi" w:eastAsiaTheme="minorHAnsi" w:hAnsiTheme="minorHAnsi" w:cs="Cambria"/>
        </w:rPr>
        <w:t>lence of LCA is between 1 in 33</w:t>
      </w:r>
      <w:r w:rsidR="00291F7A">
        <w:rPr>
          <w:rFonts w:asciiTheme="minorHAnsi" w:eastAsiaTheme="minorHAnsi" w:hAnsiTheme="minorHAnsi" w:cs="Cambria"/>
        </w:rPr>
        <w:t>,</w:t>
      </w:r>
      <w:r w:rsidR="00DB42FC">
        <w:rPr>
          <w:rFonts w:asciiTheme="minorHAnsi" w:eastAsiaTheme="minorHAnsi" w:hAnsiTheme="minorHAnsi" w:cs="Cambria"/>
        </w:rPr>
        <w:t>000 and 1 in 81</w:t>
      </w:r>
      <w:r w:rsidR="00291F7A">
        <w:rPr>
          <w:rFonts w:asciiTheme="minorHAnsi" w:eastAsiaTheme="minorHAnsi" w:hAnsiTheme="minorHAnsi" w:cs="Cambria"/>
        </w:rPr>
        <w:t>,</w:t>
      </w:r>
      <w:r w:rsidRPr="00A26430">
        <w:rPr>
          <w:rFonts w:asciiTheme="minorHAnsi" w:eastAsiaTheme="minorHAnsi" w:hAnsiTheme="minorHAnsi" w:cs="Cambria"/>
        </w:rPr>
        <w:t>000</w:t>
      </w:r>
      <w:r w:rsidR="00651476">
        <w:rPr>
          <w:rFonts w:asciiTheme="minorHAnsi" w:eastAsiaTheme="minorHAnsi" w:hAnsiTheme="minorHAnsi" w:cs="Cambria"/>
        </w:rPr>
        <w:t> </w:t>
      </w:r>
      <w:r w:rsidRPr="00A26430">
        <w:rPr>
          <w:rFonts w:asciiTheme="minorHAnsi" w:eastAsiaTheme="minorHAnsi" w:hAnsiTheme="minorHAnsi" w:cs="Cambria"/>
        </w:rPr>
        <w:t xml:space="preserve">individuals. Based on published data, mutations in the </w:t>
      </w:r>
      <w:r w:rsidR="00DB42FC">
        <w:rPr>
          <w:rFonts w:asciiTheme="minorHAnsi" w:eastAsiaTheme="minorHAnsi" w:hAnsiTheme="minorHAnsi" w:cs="Cambria"/>
        </w:rPr>
        <w:t xml:space="preserve">RPE65 gene were identified in 8 to </w:t>
      </w:r>
      <w:r w:rsidRPr="00A26430">
        <w:rPr>
          <w:rFonts w:asciiTheme="minorHAnsi" w:eastAsiaTheme="minorHAnsi" w:hAnsiTheme="minorHAnsi" w:cs="Cambria"/>
        </w:rPr>
        <w:t>16% of patients described as having LCA, which equates to 40 to 80 individuals in Australia. Symptoms of LCA typically become evident from 2 to 3 months of age and include progressive, prof</w:t>
      </w:r>
      <w:r w:rsidR="00DB42FC">
        <w:rPr>
          <w:rFonts w:asciiTheme="minorHAnsi" w:eastAsiaTheme="minorHAnsi" w:hAnsiTheme="minorHAnsi" w:cs="Cambria"/>
        </w:rPr>
        <w:t>ound reduction of visual acuity;</w:t>
      </w:r>
      <w:r w:rsidRPr="00A26430">
        <w:rPr>
          <w:rFonts w:asciiTheme="minorHAnsi" w:eastAsiaTheme="minorHAnsi" w:hAnsiTheme="minorHAnsi" w:cs="Cambria"/>
        </w:rPr>
        <w:t xml:space="preserve"> concen</w:t>
      </w:r>
      <w:r w:rsidR="00DB42FC">
        <w:rPr>
          <w:rFonts w:asciiTheme="minorHAnsi" w:eastAsiaTheme="minorHAnsi" w:hAnsiTheme="minorHAnsi" w:cs="Cambria"/>
        </w:rPr>
        <w:t>tric reduction of visual fields;</w:t>
      </w:r>
      <w:r w:rsidRPr="00A26430">
        <w:rPr>
          <w:rFonts w:asciiTheme="minorHAnsi" w:eastAsiaTheme="minorHAnsi" w:hAnsiTheme="minorHAnsi" w:cs="Cambria"/>
        </w:rPr>
        <w:t xml:space="preserve"> night blindness</w:t>
      </w:r>
      <w:r w:rsidR="00DB42FC">
        <w:rPr>
          <w:rFonts w:asciiTheme="minorHAnsi" w:eastAsiaTheme="minorHAnsi" w:hAnsiTheme="minorHAnsi" w:cs="Cambria"/>
        </w:rPr>
        <w:t xml:space="preserve">; </w:t>
      </w:r>
      <w:r w:rsidRPr="00A26430">
        <w:rPr>
          <w:rFonts w:asciiTheme="minorHAnsi" w:eastAsiaTheme="minorHAnsi" w:hAnsiTheme="minorHAnsi" w:cs="Cambria"/>
        </w:rPr>
        <w:t>and nystagmus. Patients have great difficulty performing</w:t>
      </w:r>
      <w:r w:rsidR="00DB42FC">
        <w:rPr>
          <w:rFonts w:asciiTheme="minorHAnsi" w:eastAsiaTheme="minorHAnsi" w:hAnsiTheme="minorHAnsi" w:cs="Cambria"/>
        </w:rPr>
        <w:t xml:space="preserve"> daily living activities</w:t>
      </w:r>
      <w:r w:rsidRPr="00A26430">
        <w:rPr>
          <w:rFonts w:asciiTheme="minorHAnsi" w:eastAsiaTheme="minorHAnsi" w:hAnsiTheme="minorHAnsi" w:cs="Cambria"/>
        </w:rPr>
        <w:t>, even under normal daytime lighting conditions, and most are blind by young adulthood.</w:t>
      </w:r>
    </w:p>
    <w:p w14:paraId="351CBA87" w14:textId="064AC6EB" w:rsidR="00A26430" w:rsidRDefault="00A26430" w:rsidP="00A26430">
      <w:pPr>
        <w:tabs>
          <w:tab w:val="left" w:pos="567"/>
        </w:tabs>
        <w:autoSpaceDE w:val="0"/>
        <w:autoSpaceDN w:val="0"/>
        <w:spacing w:after="0" w:line="240" w:lineRule="auto"/>
        <w:rPr>
          <w:rFonts w:asciiTheme="minorHAnsi" w:eastAsiaTheme="minorHAnsi" w:hAnsiTheme="minorHAnsi" w:cs="Calibri"/>
        </w:rPr>
      </w:pPr>
      <w:r w:rsidRPr="00A26430">
        <w:rPr>
          <w:rFonts w:asciiTheme="minorHAnsi" w:eastAsiaTheme="minorHAnsi" w:hAnsiTheme="minorHAnsi" w:cs="Calibri"/>
        </w:rPr>
        <w:t xml:space="preserve">RP comprises heterogeneous retinal diseases characterised by progressive degeneration of rod and cone photoreceptors. </w:t>
      </w:r>
      <w:r w:rsidRPr="00A26430">
        <w:rPr>
          <w:rFonts w:asciiTheme="minorHAnsi" w:eastAsiaTheme="minorHAnsi" w:hAnsiTheme="minorHAnsi" w:cs="Cambria"/>
        </w:rPr>
        <w:t xml:space="preserve">RP can have either autosomal dominant, autosomal recessive or X-linked pattern of inheritance. </w:t>
      </w:r>
      <w:r w:rsidRPr="00A26430">
        <w:rPr>
          <w:rFonts w:asciiTheme="minorHAnsi" w:eastAsiaTheme="minorHAnsi" w:hAnsiTheme="minorHAnsi" w:cs="Calibri"/>
        </w:rPr>
        <w:t xml:space="preserve">RP is a major cause of inherited blindness, affecting approximately 1 in 5000 people worldwide. </w:t>
      </w:r>
      <w:r w:rsidRPr="00A26430">
        <w:rPr>
          <w:rFonts w:asciiTheme="minorHAnsi" w:eastAsiaTheme="minorHAnsi" w:hAnsiTheme="minorHAnsi" w:cs="Cambria"/>
        </w:rPr>
        <w:t>Patients with a clinical diagnosis of RP generally have a more variable onset and slower disease progression.</w:t>
      </w:r>
      <w:r w:rsidR="00DB42FC">
        <w:rPr>
          <w:rFonts w:asciiTheme="minorHAnsi" w:eastAsiaTheme="minorHAnsi" w:hAnsiTheme="minorHAnsi" w:cs="Cambria"/>
          <w:color w:val="FF0000"/>
        </w:rPr>
        <w:t xml:space="preserve"> </w:t>
      </w:r>
      <w:r w:rsidRPr="00A26430">
        <w:rPr>
          <w:rFonts w:asciiTheme="minorHAnsi" w:eastAsiaTheme="minorHAnsi" w:hAnsiTheme="minorHAnsi" w:cs="Calibri"/>
        </w:rPr>
        <w:t>Symptoms include a progressive loss</w:t>
      </w:r>
      <w:r w:rsidR="00DB42FC">
        <w:rPr>
          <w:rFonts w:asciiTheme="minorHAnsi" w:eastAsiaTheme="minorHAnsi" w:hAnsiTheme="minorHAnsi" w:cs="Calibri"/>
        </w:rPr>
        <w:t xml:space="preserve"> of night and peripheral vision</w:t>
      </w:r>
      <w:r w:rsidRPr="00A26430">
        <w:rPr>
          <w:rFonts w:asciiTheme="minorHAnsi" w:eastAsiaTheme="minorHAnsi" w:hAnsiTheme="minorHAnsi" w:cs="Calibri"/>
        </w:rPr>
        <w:t xml:space="preserve"> and c</w:t>
      </w:r>
      <w:r w:rsidR="00DB42FC">
        <w:rPr>
          <w:rFonts w:asciiTheme="minorHAnsi" w:eastAsiaTheme="minorHAnsi" w:hAnsiTheme="minorHAnsi" w:cs="Calibri"/>
        </w:rPr>
        <w:t>onstriction of the visual field</w:t>
      </w:r>
      <w:r w:rsidR="00291F7A">
        <w:rPr>
          <w:rFonts w:asciiTheme="minorHAnsi" w:eastAsiaTheme="minorHAnsi" w:hAnsiTheme="minorHAnsi" w:cs="Calibri"/>
        </w:rPr>
        <w:t>,</w:t>
      </w:r>
      <w:r w:rsidRPr="00A26430">
        <w:rPr>
          <w:rFonts w:asciiTheme="minorHAnsi" w:eastAsiaTheme="minorHAnsi" w:hAnsiTheme="minorHAnsi" w:cs="Calibri"/>
        </w:rPr>
        <w:t xml:space="preserve"> with most patients eventually experiencing loss of visual acuity </w:t>
      </w:r>
      <w:r w:rsidR="00291F7A">
        <w:rPr>
          <w:rFonts w:asciiTheme="minorHAnsi" w:eastAsiaTheme="minorHAnsi" w:hAnsiTheme="minorHAnsi" w:cs="Calibri"/>
        </w:rPr>
        <w:t xml:space="preserve">(VA) </w:t>
      </w:r>
      <w:r w:rsidRPr="00A26430">
        <w:rPr>
          <w:rFonts w:asciiTheme="minorHAnsi" w:eastAsiaTheme="minorHAnsi" w:hAnsiTheme="minorHAnsi" w:cs="Calibri"/>
        </w:rPr>
        <w:t>as the disease progresses.</w:t>
      </w:r>
      <w:r w:rsidR="00DB42FC">
        <w:rPr>
          <w:rFonts w:asciiTheme="minorHAnsi" w:eastAsiaTheme="minorHAnsi" w:hAnsiTheme="minorHAnsi" w:cs="Calibri"/>
        </w:rPr>
        <w:t xml:space="preserve"> It is estimated that 1 to</w:t>
      </w:r>
      <w:r w:rsidR="00EA7531">
        <w:rPr>
          <w:rFonts w:asciiTheme="minorHAnsi" w:eastAsiaTheme="minorHAnsi" w:hAnsiTheme="minorHAnsi" w:cs="Calibri"/>
        </w:rPr>
        <w:t xml:space="preserve"> </w:t>
      </w:r>
      <w:r w:rsidRPr="00A26430">
        <w:rPr>
          <w:rFonts w:asciiTheme="minorHAnsi" w:eastAsiaTheme="minorHAnsi" w:hAnsiTheme="minorHAnsi" w:cs="Calibri"/>
        </w:rPr>
        <w:t xml:space="preserve">3% of all patients with RP have an underlying </w:t>
      </w:r>
      <w:r w:rsidRPr="00A26430">
        <w:rPr>
          <w:rFonts w:asciiTheme="minorHAnsi" w:eastAsiaTheme="minorHAnsi" w:hAnsiTheme="minorHAnsi" w:cs="Calibri"/>
          <w:i/>
          <w:iCs/>
        </w:rPr>
        <w:t>RPE65</w:t>
      </w:r>
      <w:r w:rsidR="00DB42FC">
        <w:rPr>
          <w:rFonts w:asciiTheme="minorHAnsi" w:eastAsiaTheme="minorHAnsi" w:hAnsiTheme="minorHAnsi" w:cs="Calibri"/>
        </w:rPr>
        <w:t xml:space="preserve"> mutation, </w:t>
      </w:r>
      <w:r w:rsidRPr="00A26430">
        <w:rPr>
          <w:rFonts w:asciiTheme="minorHAnsi" w:eastAsiaTheme="minorHAnsi" w:hAnsiTheme="minorHAnsi" w:cs="Calibri"/>
        </w:rPr>
        <w:t>equating to approximately 222 people affected by this specific mutation in Australia.</w:t>
      </w:r>
    </w:p>
    <w:p w14:paraId="26B20505" w14:textId="2E8E64DD" w:rsidR="00A26430" w:rsidRPr="00A26430" w:rsidRDefault="00A26430" w:rsidP="00A26430">
      <w:pPr>
        <w:tabs>
          <w:tab w:val="left" w:pos="567"/>
        </w:tabs>
        <w:autoSpaceDE w:val="0"/>
        <w:autoSpaceDN w:val="0"/>
        <w:spacing w:after="0" w:line="240" w:lineRule="auto"/>
        <w:rPr>
          <w:rFonts w:asciiTheme="minorHAnsi" w:eastAsiaTheme="minorHAnsi" w:hAnsiTheme="minorHAnsi" w:cs="Calibri"/>
        </w:rPr>
      </w:pPr>
      <w:r w:rsidRPr="00A26430">
        <w:rPr>
          <w:rFonts w:asciiTheme="minorHAnsi" w:eastAsiaTheme="minorHAnsi" w:hAnsiTheme="minorHAnsi" w:cs="Calibri"/>
        </w:rPr>
        <w:t>Patients with inherited retinal disorders are currently seen in specialised ophthalmology clinics in Australia. They are offered genetic testing, primarily to assist with counselling of other family members.</w:t>
      </w:r>
    </w:p>
    <w:p w14:paraId="6C60F55F" w14:textId="77777777" w:rsidR="008E7846" w:rsidRPr="003F31A2" w:rsidRDefault="00386150" w:rsidP="008E7846">
      <w:pPr>
        <w:pStyle w:val="Heading3"/>
      </w:pPr>
      <w:bookmarkStart w:id="16" w:name="_Toc314842485"/>
      <w:bookmarkStart w:id="17" w:name="_Toc247691504"/>
      <w:bookmarkStart w:id="18" w:name="_Toc59006616"/>
      <w:r>
        <w:t>Regulatory s</w:t>
      </w:r>
      <w:r w:rsidR="008E7846">
        <w:t>tatus</w:t>
      </w:r>
      <w:bookmarkEnd w:id="16"/>
      <w:bookmarkEnd w:id="17"/>
      <w:bookmarkEnd w:id="18"/>
    </w:p>
    <w:p w14:paraId="3A410543" w14:textId="27C03B44" w:rsidR="0032639E" w:rsidRDefault="0032639E" w:rsidP="00006FAB">
      <w:bookmarkStart w:id="19" w:name="_Toc247691505"/>
      <w:bookmarkStart w:id="20" w:name="_Toc314842486"/>
      <w:r>
        <w:t xml:space="preserve">Luxturna </w:t>
      </w:r>
      <w:r w:rsidR="00651476">
        <w:t>(</w:t>
      </w:r>
      <w:r>
        <w:t>voretigene neparvovec</w:t>
      </w:r>
      <w:r w:rsidR="00651476">
        <w:t>)</w:t>
      </w:r>
      <w:r>
        <w:t xml:space="preserve"> </w:t>
      </w:r>
      <w:r w:rsidR="00651476">
        <w:t>is</w:t>
      </w:r>
      <w:r>
        <w:t xml:space="preserve"> considered </w:t>
      </w:r>
      <w:r w:rsidR="00651476">
        <w:t>to be</w:t>
      </w:r>
      <w:r>
        <w:t xml:space="preserve"> a new biological entity for regulatory purposes.</w:t>
      </w:r>
    </w:p>
    <w:p w14:paraId="51A58975" w14:textId="14AE7666" w:rsidR="00006FAB" w:rsidRDefault="00006FAB" w:rsidP="00006FAB">
      <w:r>
        <w:t>At the time the TGA considered this application, similar application</w:t>
      </w:r>
      <w:r w:rsidR="00651476">
        <w:t>s</w:t>
      </w:r>
      <w:r>
        <w:t xml:space="preserve"> had been approv</w:t>
      </w:r>
      <w:r w:rsidR="00C81936">
        <w:t xml:space="preserve">ed in </w:t>
      </w:r>
      <w:r w:rsidR="00337DBD">
        <w:t>3</w:t>
      </w:r>
      <w:r w:rsidR="00C81936">
        <w:t xml:space="preserve"> jurisdictions (</w:t>
      </w:r>
      <w:r w:rsidR="0032639E">
        <w:t xml:space="preserve">the </w:t>
      </w:r>
      <w:r w:rsidR="009F4BFF">
        <w:t>European Union (</w:t>
      </w:r>
      <w:r w:rsidR="00C81936">
        <w:t>EU</w:t>
      </w:r>
      <w:r w:rsidR="009F4BFF">
        <w:t>)</w:t>
      </w:r>
      <w:r w:rsidR="00C81936">
        <w:t xml:space="preserve">, </w:t>
      </w:r>
      <w:r w:rsidR="009F4BFF">
        <w:t>United States of America (</w:t>
      </w:r>
      <w:r w:rsidR="00C81936">
        <w:t>US</w:t>
      </w:r>
      <w:r w:rsidR="00291F7A">
        <w:t>A</w:t>
      </w:r>
      <w:r w:rsidR="009F4BFF">
        <w:t>)</w:t>
      </w:r>
      <w:r w:rsidR="00337DBD">
        <w:t xml:space="preserve"> and</w:t>
      </w:r>
      <w:r w:rsidR="00C81936">
        <w:t xml:space="preserve"> Switzerland</w:t>
      </w:r>
      <w:r w:rsidR="00337DBD">
        <w:t>)</w:t>
      </w:r>
      <w:r w:rsidR="00C81936">
        <w:t xml:space="preserve"> and </w:t>
      </w:r>
      <w:r w:rsidR="00337DBD">
        <w:t xml:space="preserve">was under consideration in </w:t>
      </w:r>
      <w:r w:rsidR="00C81936">
        <w:t>Canada</w:t>
      </w:r>
      <w:r w:rsidR="00337DBD">
        <w:t>,</w:t>
      </w:r>
      <w:r w:rsidR="00C81936">
        <w:t xml:space="preserve"> as </w:t>
      </w:r>
      <w:r w:rsidR="00291F7A">
        <w:t xml:space="preserve">shown in the table </w:t>
      </w:r>
      <w:r w:rsidR="00C81936">
        <w:t>below.</w:t>
      </w:r>
    </w:p>
    <w:p w14:paraId="7780CA6D" w14:textId="6C342771" w:rsidR="00573F93" w:rsidRDefault="00573F93" w:rsidP="00006FAB">
      <w:r w:rsidRPr="00A26430">
        <w:rPr>
          <w:rFonts w:eastAsiaTheme="minorHAnsi" w:cs="Cambria"/>
        </w:rPr>
        <w:t xml:space="preserve">There had been extensive consultation between Spark Therapeutics, legacy sponsors and the </w:t>
      </w:r>
      <w:r w:rsidR="00193021">
        <w:rPr>
          <w:rFonts w:eastAsiaTheme="minorHAnsi" w:cs="Cambria"/>
        </w:rPr>
        <w:t>US Food and Drug Administration (</w:t>
      </w:r>
      <w:r w:rsidRPr="00A26430">
        <w:rPr>
          <w:rFonts w:eastAsiaTheme="minorHAnsi" w:cs="Cambria"/>
        </w:rPr>
        <w:t>FDA</w:t>
      </w:r>
      <w:r w:rsidR="00193021">
        <w:rPr>
          <w:rFonts w:eastAsiaTheme="minorHAnsi" w:cs="Cambria"/>
        </w:rPr>
        <w:t>)</w:t>
      </w:r>
      <w:r w:rsidRPr="00A26430">
        <w:rPr>
          <w:rFonts w:eastAsiaTheme="minorHAnsi" w:cs="Cambria"/>
        </w:rPr>
        <w:t xml:space="preserve"> during product development.</w:t>
      </w:r>
    </w:p>
    <w:p w14:paraId="00BA17A1" w14:textId="3C58ECFB" w:rsidR="0032639E" w:rsidRDefault="0032639E" w:rsidP="009F6B3A">
      <w:pPr>
        <w:pStyle w:val="TableTitle"/>
      </w:pPr>
      <w:r>
        <w:lastRenderedPageBreak/>
        <w:t xml:space="preserve">Table </w:t>
      </w:r>
      <w:r>
        <w:fldChar w:fldCharType="begin"/>
      </w:r>
      <w:r>
        <w:instrText>SEQ Table \* ARABIC</w:instrText>
      </w:r>
      <w:r>
        <w:fldChar w:fldCharType="separate"/>
      </w:r>
      <w:r w:rsidR="00E25485">
        <w:rPr>
          <w:noProof/>
        </w:rPr>
        <w:t>1</w:t>
      </w:r>
      <w:r>
        <w:fldChar w:fldCharType="end"/>
      </w:r>
      <w:r>
        <w:t>: International regulatory history</w:t>
      </w:r>
    </w:p>
    <w:tbl>
      <w:tblPr>
        <w:tblStyle w:val="TableTGAblue"/>
        <w:tblW w:w="0" w:type="auto"/>
        <w:tblLook w:val="04A0" w:firstRow="1" w:lastRow="0" w:firstColumn="1" w:lastColumn="0" w:noHBand="0" w:noVBand="1"/>
      </w:tblPr>
      <w:tblGrid>
        <w:gridCol w:w="1682"/>
        <w:gridCol w:w="1725"/>
        <w:gridCol w:w="1589"/>
        <w:gridCol w:w="3498"/>
      </w:tblGrid>
      <w:tr w:rsidR="00006FAB" w14:paraId="573DE1AD" w14:textId="77777777" w:rsidTr="009F6B3A">
        <w:trPr>
          <w:cnfStyle w:val="100000000000" w:firstRow="1" w:lastRow="0" w:firstColumn="0" w:lastColumn="0" w:oddVBand="0" w:evenVBand="0" w:oddHBand="0" w:evenHBand="0" w:firstRowFirstColumn="0" w:firstRowLastColumn="0" w:lastRowFirstColumn="0" w:lastRowLastColumn="0"/>
        </w:trPr>
        <w:tc>
          <w:tcPr>
            <w:tcW w:w="1682" w:type="dxa"/>
            <w:tcBorders>
              <w:top w:val="single" w:sz="4" w:space="0" w:color="auto"/>
              <w:left w:val="single" w:sz="4" w:space="0" w:color="auto"/>
              <w:bottom w:val="single" w:sz="4" w:space="0" w:color="auto"/>
              <w:right w:val="single" w:sz="4" w:space="0" w:color="auto"/>
            </w:tcBorders>
          </w:tcPr>
          <w:p w14:paraId="7EEFD698" w14:textId="77777777" w:rsidR="00006FAB" w:rsidRPr="00291F7A" w:rsidRDefault="00006FAB" w:rsidP="0033623B">
            <w:r w:rsidRPr="00291F7A">
              <w:t>Region</w:t>
            </w:r>
          </w:p>
        </w:tc>
        <w:tc>
          <w:tcPr>
            <w:tcW w:w="1725" w:type="dxa"/>
            <w:tcBorders>
              <w:top w:val="single" w:sz="4" w:space="0" w:color="auto"/>
              <w:left w:val="single" w:sz="4" w:space="0" w:color="auto"/>
              <w:bottom w:val="single" w:sz="4" w:space="0" w:color="auto"/>
              <w:right w:val="single" w:sz="4" w:space="0" w:color="auto"/>
            </w:tcBorders>
          </w:tcPr>
          <w:p w14:paraId="52088F63" w14:textId="77777777" w:rsidR="00006FAB" w:rsidRPr="00291F7A" w:rsidRDefault="00006FAB" w:rsidP="0033623B">
            <w:r w:rsidRPr="00291F7A">
              <w:t>Submission date</w:t>
            </w:r>
          </w:p>
        </w:tc>
        <w:tc>
          <w:tcPr>
            <w:tcW w:w="1514" w:type="dxa"/>
            <w:tcBorders>
              <w:top w:val="single" w:sz="4" w:space="0" w:color="auto"/>
              <w:left w:val="single" w:sz="4" w:space="0" w:color="auto"/>
              <w:bottom w:val="single" w:sz="4" w:space="0" w:color="auto"/>
              <w:right w:val="single" w:sz="4" w:space="0" w:color="auto"/>
            </w:tcBorders>
          </w:tcPr>
          <w:p w14:paraId="2D71A0B5" w14:textId="77777777" w:rsidR="00006FAB" w:rsidRPr="0032639E" w:rsidRDefault="00006FAB" w:rsidP="0033623B">
            <w:r w:rsidRPr="0032639E">
              <w:t>Status</w:t>
            </w:r>
          </w:p>
        </w:tc>
        <w:tc>
          <w:tcPr>
            <w:tcW w:w="3799" w:type="dxa"/>
            <w:tcBorders>
              <w:top w:val="single" w:sz="4" w:space="0" w:color="auto"/>
              <w:left w:val="single" w:sz="4" w:space="0" w:color="auto"/>
              <w:bottom w:val="single" w:sz="4" w:space="0" w:color="auto"/>
              <w:right w:val="single" w:sz="4" w:space="0" w:color="auto"/>
            </w:tcBorders>
          </w:tcPr>
          <w:p w14:paraId="7B2F0E20" w14:textId="77777777" w:rsidR="00006FAB" w:rsidRPr="0032639E" w:rsidRDefault="00006FAB" w:rsidP="0033623B">
            <w:r w:rsidRPr="0032639E">
              <w:t>Approved indications</w:t>
            </w:r>
          </w:p>
        </w:tc>
      </w:tr>
      <w:tr w:rsidR="00006FAB" w14:paraId="5B6A07D3" w14:textId="77777777" w:rsidTr="009F6B3A">
        <w:tc>
          <w:tcPr>
            <w:tcW w:w="1682" w:type="dxa"/>
            <w:tcBorders>
              <w:top w:val="single" w:sz="4" w:space="0" w:color="auto"/>
            </w:tcBorders>
          </w:tcPr>
          <w:p w14:paraId="7C079405" w14:textId="6C95D100" w:rsidR="00006FAB" w:rsidRPr="0032639E" w:rsidRDefault="00DD1BD7" w:rsidP="0033623B">
            <w:r w:rsidRPr="00291F7A">
              <w:t>European Union</w:t>
            </w:r>
          </w:p>
        </w:tc>
        <w:tc>
          <w:tcPr>
            <w:tcW w:w="1725" w:type="dxa"/>
            <w:tcBorders>
              <w:top w:val="single" w:sz="4" w:space="0" w:color="auto"/>
            </w:tcBorders>
          </w:tcPr>
          <w:p w14:paraId="49C66C6B" w14:textId="79F525B5" w:rsidR="00006FAB" w:rsidRDefault="00DD1BD7" w:rsidP="00006FAB">
            <w:pPr>
              <w:ind w:left="0" w:right="0"/>
            </w:pPr>
            <w:r>
              <w:t>29 July 2017</w:t>
            </w:r>
          </w:p>
        </w:tc>
        <w:tc>
          <w:tcPr>
            <w:tcW w:w="1514" w:type="dxa"/>
            <w:tcBorders>
              <w:top w:val="single" w:sz="4" w:space="0" w:color="auto"/>
            </w:tcBorders>
          </w:tcPr>
          <w:p w14:paraId="5C3A0E39" w14:textId="3B2F4A43" w:rsidR="00006FAB" w:rsidRDefault="00DD1BD7" w:rsidP="00006FAB">
            <w:pPr>
              <w:ind w:left="0" w:right="0"/>
            </w:pPr>
            <w:r>
              <w:t>Approved on 22 November 2018</w:t>
            </w:r>
            <w:r w:rsidR="0032639E">
              <w:t>;</w:t>
            </w:r>
            <w:r>
              <w:rPr>
                <w:rStyle w:val="FootnoteReference"/>
              </w:rPr>
              <w:footnoteReference w:id="3"/>
            </w:r>
          </w:p>
        </w:tc>
        <w:tc>
          <w:tcPr>
            <w:tcW w:w="3799" w:type="dxa"/>
            <w:tcBorders>
              <w:top w:val="single" w:sz="4" w:space="0" w:color="auto"/>
            </w:tcBorders>
          </w:tcPr>
          <w:p w14:paraId="3A409A3E" w14:textId="534A5831" w:rsidR="00006FAB" w:rsidRPr="0033623B" w:rsidRDefault="00DD1BD7" w:rsidP="0033623B">
            <w:pPr>
              <w:rPr>
                <w:i/>
              </w:rPr>
            </w:pPr>
            <w:r w:rsidRPr="0033623B">
              <w:rPr>
                <w:i/>
              </w:rPr>
              <w:t xml:space="preserve">treatment of adult and paediatric patients with vision loss due to inherited retinal dystrophy caused by confirmed </w:t>
            </w:r>
            <w:proofErr w:type="spellStart"/>
            <w:r w:rsidRPr="0033623B">
              <w:rPr>
                <w:i/>
              </w:rPr>
              <w:t>biallelic</w:t>
            </w:r>
            <w:proofErr w:type="spellEnd"/>
            <w:r w:rsidRPr="0033623B">
              <w:rPr>
                <w:i/>
              </w:rPr>
              <w:t xml:space="preserve"> RPE65 mutations and who have sufficient viable retinal cells.</w:t>
            </w:r>
          </w:p>
        </w:tc>
      </w:tr>
      <w:tr w:rsidR="00DD1BD7" w14:paraId="45C3FCE4" w14:textId="77777777" w:rsidTr="009F6B3A">
        <w:tc>
          <w:tcPr>
            <w:tcW w:w="1682" w:type="dxa"/>
            <w:tcBorders>
              <w:top w:val="single" w:sz="4" w:space="0" w:color="auto"/>
            </w:tcBorders>
          </w:tcPr>
          <w:p w14:paraId="1EF8AC64" w14:textId="303C098A" w:rsidR="00DD1BD7" w:rsidRPr="0032639E" w:rsidRDefault="00DD1BD7" w:rsidP="0033623B">
            <w:r w:rsidRPr="00291F7A">
              <w:t>United States of America</w:t>
            </w:r>
          </w:p>
        </w:tc>
        <w:tc>
          <w:tcPr>
            <w:tcW w:w="1725" w:type="dxa"/>
            <w:tcBorders>
              <w:top w:val="single" w:sz="4" w:space="0" w:color="auto"/>
            </w:tcBorders>
          </w:tcPr>
          <w:p w14:paraId="44FA2835" w14:textId="482B3F48" w:rsidR="00DD1BD7" w:rsidRDefault="00DD1BD7" w:rsidP="00DD1BD7">
            <w:pPr>
              <w:ind w:left="0"/>
            </w:pPr>
            <w:r>
              <w:t>14 July 2017</w:t>
            </w:r>
          </w:p>
        </w:tc>
        <w:tc>
          <w:tcPr>
            <w:tcW w:w="1514" w:type="dxa"/>
            <w:tcBorders>
              <w:top w:val="single" w:sz="4" w:space="0" w:color="auto"/>
            </w:tcBorders>
          </w:tcPr>
          <w:p w14:paraId="4BE555B7" w14:textId="0019EA87" w:rsidR="00DD1BD7" w:rsidRPr="00006FAB" w:rsidRDefault="00DD1BD7" w:rsidP="00DD1BD7">
            <w:pPr>
              <w:ind w:left="0"/>
            </w:pPr>
            <w:r>
              <w:t>Approved on 19 December 2017</w:t>
            </w:r>
            <w:r w:rsidR="0032639E">
              <w:t>;</w:t>
            </w:r>
            <w:r>
              <w:rPr>
                <w:rStyle w:val="FootnoteReference"/>
              </w:rPr>
              <w:footnoteReference w:id="4"/>
            </w:r>
          </w:p>
        </w:tc>
        <w:tc>
          <w:tcPr>
            <w:tcW w:w="3799" w:type="dxa"/>
            <w:tcBorders>
              <w:top w:val="single" w:sz="4" w:space="0" w:color="auto"/>
            </w:tcBorders>
          </w:tcPr>
          <w:p w14:paraId="38162CDD" w14:textId="39BD0988" w:rsidR="00DD1BD7" w:rsidRPr="0033623B" w:rsidRDefault="00DD1BD7" w:rsidP="0033623B">
            <w:pPr>
              <w:rPr>
                <w:i/>
              </w:rPr>
            </w:pPr>
            <w:r w:rsidRPr="0033623B">
              <w:rPr>
                <w:i/>
              </w:rPr>
              <w:t xml:space="preserve">treatment of patients with confirmed </w:t>
            </w:r>
            <w:proofErr w:type="spellStart"/>
            <w:r w:rsidRPr="0033623B">
              <w:rPr>
                <w:i/>
              </w:rPr>
              <w:t>biallelic</w:t>
            </w:r>
            <w:proofErr w:type="spellEnd"/>
            <w:r w:rsidRPr="0033623B">
              <w:rPr>
                <w:i/>
              </w:rPr>
              <w:t xml:space="preserve"> RPE65 mutation associated retinal dystrophy. Patients must have viable retinal cells as determined by the treating physician(s).</w:t>
            </w:r>
          </w:p>
        </w:tc>
      </w:tr>
      <w:tr w:rsidR="00DD1BD7" w14:paraId="3E4C0ADD" w14:textId="77777777" w:rsidTr="009F6B3A">
        <w:tc>
          <w:tcPr>
            <w:tcW w:w="1682" w:type="dxa"/>
            <w:tcBorders>
              <w:top w:val="single" w:sz="4" w:space="0" w:color="auto"/>
            </w:tcBorders>
          </w:tcPr>
          <w:p w14:paraId="38CF1337" w14:textId="5EFD807E" w:rsidR="00DD1BD7" w:rsidRPr="0032639E" w:rsidRDefault="00DD1BD7" w:rsidP="0033623B">
            <w:r w:rsidRPr="00291F7A">
              <w:t>Switzerland</w:t>
            </w:r>
          </w:p>
        </w:tc>
        <w:tc>
          <w:tcPr>
            <w:tcW w:w="1725" w:type="dxa"/>
            <w:tcBorders>
              <w:top w:val="single" w:sz="4" w:space="0" w:color="auto"/>
            </w:tcBorders>
          </w:tcPr>
          <w:p w14:paraId="7B2106AF" w14:textId="6C19647B" w:rsidR="00DD1BD7" w:rsidRDefault="00DD1BD7" w:rsidP="00DD1BD7">
            <w:pPr>
              <w:ind w:left="0"/>
            </w:pPr>
            <w:r>
              <w:t>10 May 2019</w:t>
            </w:r>
          </w:p>
        </w:tc>
        <w:tc>
          <w:tcPr>
            <w:tcW w:w="1514" w:type="dxa"/>
            <w:tcBorders>
              <w:top w:val="single" w:sz="4" w:space="0" w:color="auto"/>
            </w:tcBorders>
          </w:tcPr>
          <w:p w14:paraId="3D0A6262" w14:textId="44F2AA2D" w:rsidR="00DD1BD7" w:rsidRPr="00006FAB" w:rsidRDefault="00DD1BD7" w:rsidP="00DD1BD7">
            <w:pPr>
              <w:ind w:left="0"/>
            </w:pPr>
            <w:r>
              <w:t>Approved on 14 February 2020</w:t>
            </w:r>
          </w:p>
        </w:tc>
        <w:tc>
          <w:tcPr>
            <w:tcW w:w="3799" w:type="dxa"/>
            <w:tcBorders>
              <w:top w:val="single" w:sz="4" w:space="0" w:color="auto"/>
            </w:tcBorders>
          </w:tcPr>
          <w:p w14:paraId="526D185A" w14:textId="4F1AE9A8" w:rsidR="00DD1BD7" w:rsidRPr="0033623B" w:rsidRDefault="00DD1BD7" w:rsidP="0033623B">
            <w:pPr>
              <w:rPr>
                <w:i/>
              </w:rPr>
            </w:pPr>
            <w:r w:rsidRPr="0033623B">
              <w:rPr>
                <w:i/>
              </w:rPr>
              <w:t xml:space="preserve">treatment of adult and paediatric patients with vision loss due to inherited retinal dystrophy caused by confirmed </w:t>
            </w:r>
            <w:proofErr w:type="spellStart"/>
            <w:r w:rsidRPr="0033623B">
              <w:rPr>
                <w:i/>
              </w:rPr>
              <w:t>biallelic</w:t>
            </w:r>
            <w:proofErr w:type="spellEnd"/>
            <w:r w:rsidRPr="0033623B">
              <w:rPr>
                <w:i/>
              </w:rPr>
              <w:t xml:space="preserve"> RPE65 mutations and who have sufficient viable retinal cells.</w:t>
            </w:r>
          </w:p>
        </w:tc>
      </w:tr>
      <w:tr w:rsidR="00006FAB" w14:paraId="59B64140" w14:textId="77777777" w:rsidTr="009F6B3A">
        <w:tc>
          <w:tcPr>
            <w:tcW w:w="1682" w:type="dxa"/>
          </w:tcPr>
          <w:p w14:paraId="0DBB188D" w14:textId="1CA4F2A8" w:rsidR="00006FAB" w:rsidRPr="0032639E" w:rsidRDefault="00DD1BD7" w:rsidP="0033623B">
            <w:r w:rsidRPr="00291F7A">
              <w:t>Canada</w:t>
            </w:r>
          </w:p>
        </w:tc>
        <w:tc>
          <w:tcPr>
            <w:tcW w:w="1725" w:type="dxa"/>
          </w:tcPr>
          <w:p w14:paraId="5DA9861A" w14:textId="0E9379C3" w:rsidR="00006FAB" w:rsidRDefault="00DD1BD7" w:rsidP="00006FAB">
            <w:pPr>
              <w:ind w:left="0" w:right="0"/>
            </w:pPr>
            <w:r>
              <w:t>31 October 2019</w:t>
            </w:r>
          </w:p>
        </w:tc>
        <w:tc>
          <w:tcPr>
            <w:tcW w:w="1514" w:type="dxa"/>
          </w:tcPr>
          <w:p w14:paraId="4B8A8C14" w14:textId="6282BBE2" w:rsidR="00006FAB" w:rsidRDefault="00337DBD" w:rsidP="00337DBD">
            <w:pPr>
              <w:ind w:left="0" w:right="0"/>
            </w:pPr>
            <w:r>
              <w:t>Under consideration</w:t>
            </w:r>
            <w:r>
              <w:rPr>
                <w:rStyle w:val="FootnoteReference"/>
              </w:rPr>
              <w:footnoteReference w:id="5"/>
            </w:r>
          </w:p>
        </w:tc>
        <w:tc>
          <w:tcPr>
            <w:tcW w:w="3799" w:type="dxa"/>
          </w:tcPr>
          <w:p w14:paraId="1D2CC60A" w14:textId="31833EB3" w:rsidR="00006FAB" w:rsidRPr="0033623B" w:rsidRDefault="00337DBD" w:rsidP="00712515">
            <w:pPr>
              <w:rPr>
                <w:i/>
              </w:rPr>
            </w:pPr>
            <w:r w:rsidRPr="0076747A">
              <w:t>Under consideration</w:t>
            </w:r>
          </w:p>
        </w:tc>
      </w:tr>
    </w:tbl>
    <w:p w14:paraId="3FF2295D" w14:textId="77777777" w:rsidR="008E7846" w:rsidRDefault="008E7846" w:rsidP="00940A89">
      <w:pPr>
        <w:pStyle w:val="Heading3"/>
      </w:pPr>
      <w:bookmarkStart w:id="21" w:name="_Toc59006617"/>
      <w:r>
        <w:t>Product Information</w:t>
      </w:r>
      <w:bookmarkEnd w:id="19"/>
      <w:bookmarkEnd w:id="20"/>
      <w:bookmarkEnd w:id="21"/>
    </w:p>
    <w:p w14:paraId="4829AAF4"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21" w:history="1">
        <w:r w:rsidR="00441C3F" w:rsidRPr="00441C3F">
          <w:rPr>
            <w:rStyle w:val="Hyperlink"/>
          </w:rPr>
          <w:t>https://www.tga.gov.au/product-information-pi</w:t>
        </w:r>
      </w:hyperlink>
      <w:r w:rsidR="00441C3F">
        <w:t>&gt;</w:t>
      </w:r>
      <w:r w:rsidR="00940A89" w:rsidRPr="00940A89">
        <w:t>.</w:t>
      </w:r>
    </w:p>
    <w:p w14:paraId="126083DC" w14:textId="77777777" w:rsidR="00500337" w:rsidRDefault="00500337" w:rsidP="00500337">
      <w:pPr>
        <w:pStyle w:val="Heading2"/>
      </w:pPr>
      <w:bookmarkStart w:id="24" w:name="_Toc504480011"/>
      <w:bookmarkStart w:id="25" w:name="_Toc59006618"/>
      <w:r>
        <w:t>II. Registration timeline</w:t>
      </w:r>
      <w:bookmarkEnd w:id="24"/>
      <w:bookmarkEnd w:id="25"/>
    </w:p>
    <w:p w14:paraId="3F168CDD" w14:textId="78046A03" w:rsidR="006A58A8" w:rsidRPr="006A58A8" w:rsidRDefault="00500337" w:rsidP="0033623B">
      <w:r>
        <w:t>The following table captures the key steps and dates for this application and which are detailed and discussed in this AusPAR.</w:t>
      </w:r>
    </w:p>
    <w:p w14:paraId="5CAB3861" w14:textId="42B513FD" w:rsidR="00E25485" w:rsidRDefault="00E25485" w:rsidP="0033623B">
      <w:pPr>
        <w:pStyle w:val="TableTitle"/>
      </w:pPr>
      <w:r>
        <w:lastRenderedPageBreak/>
        <w:t xml:space="preserve">Table </w:t>
      </w:r>
      <w:r>
        <w:fldChar w:fldCharType="begin"/>
      </w:r>
      <w:r>
        <w:instrText>SEQ Table \* ARABIC</w:instrText>
      </w:r>
      <w:r>
        <w:fldChar w:fldCharType="separate"/>
      </w:r>
      <w:r>
        <w:rPr>
          <w:noProof/>
        </w:rPr>
        <w:t>2</w:t>
      </w:r>
      <w:r>
        <w:fldChar w:fldCharType="end"/>
      </w:r>
      <w:r>
        <w:t xml:space="preserve">: </w:t>
      </w:r>
      <w:r w:rsidRPr="00B7094D">
        <w:t>Timeline for Submission PM-2019-02585-1-5</w:t>
      </w:r>
    </w:p>
    <w:tbl>
      <w:tblPr>
        <w:tblStyle w:val="TableTGAblue"/>
        <w:tblW w:w="0" w:type="auto"/>
        <w:tblLook w:val="04A0" w:firstRow="1" w:lastRow="0" w:firstColumn="1" w:lastColumn="0" w:noHBand="0" w:noVBand="1"/>
      </w:tblPr>
      <w:tblGrid>
        <w:gridCol w:w="4259"/>
        <w:gridCol w:w="4235"/>
      </w:tblGrid>
      <w:tr w:rsidR="00500337" w14:paraId="575506D7" w14:textId="77777777" w:rsidTr="00CF5DAD">
        <w:trPr>
          <w:cnfStyle w:val="100000000000" w:firstRow="1" w:lastRow="0" w:firstColumn="0" w:lastColumn="0" w:oddVBand="0" w:evenVBand="0" w:oddHBand="0" w:evenHBand="0" w:firstRowFirstColumn="0" w:firstRowLastColumn="0" w:lastRowFirstColumn="0" w:lastRowLastColumn="0"/>
          <w:cantSplit/>
        </w:trPr>
        <w:tc>
          <w:tcPr>
            <w:tcW w:w="4360" w:type="dxa"/>
            <w:tcBorders>
              <w:top w:val="single" w:sz="4" w:space="0" w:color="auto"/>
              <w:left w:val="single" w:sz="4" w:space="0" w:color="auto"/>
              <w:bottom w:val="single" w:sz="4" w:space="0" w:color="auto"/>
              <w:right w:val="single" w:sz="4" w:space="0" w:color="auto"/>
            </w:tcBorders>
          </w:tcPr>
          <w:p w14:paraId="0E930FED" w14:textId="77777777" w:rsidR="00500337" w:rsidRDefault="00500337" w:rsidP="00500337">
            <w:pPr>
              <w:ind w:left="0" w:right="0"/>
            </w:pPr>
            <w:r>
              <w:t>Description</w:t>
            </w:r>
          </w:p>
        </w:tc>
        <w:tc>
          <w:tcPr>
            <w:tcW w:w="4360" w:type="dxa"/>
            <w:tcBorders>
              <w:top w:val="single" w:sz="4" w:space="0" w:color="auto"/>
              <w:left w:val="single" w:sz="4" w:space="0" w:color="auto"/>
              <w:bottom w:val="single" w:sz="4" w:space="0" w:color="auto"/>
              <w:right w:val="single" w:sz="4" w:space="0" w:color="auto"/>
            </w:tcBorders>
          </w:tcPr>
          <w:p w14:paraId="3AD6A3C1" w14:textId="77777777" w:rsidR="00500337" w:rsidRDefault="00500337" w:rsidP="00500337">
            <w:pPr>
              <w:ind w:left="0" w:right="0"/>
            </w:pPr>
            <w:r>
              <w:t>Date</w:t>
            </w:r>
          </w:p>
        </w:tc>
      </w:tr>
      <w:tr w:rsidR="00500337" w14:paraId="10EA2736" w14:textId="77777777" w:rsidTr="00CF5DAD">
        <w:tc>
          <w:tcPr>
            <w:tcW w:w="4360" w:type="dxa"/>
            <w:tcBorders>
              <w:top w:val="single" w:sz="4" w:space="0" w:color="auto"/>
            </w:tcBorders>
          </w:tcPr>
          <w:p w14:paraId="73F45D3D" w14:textId="7C1400AF" w:rsidR="00500337" w:rsidRDefault="00500337" w:rsidP="00B2258A">
            <w:pPr>
              <w:ind w:left="0" w:right="0"/>
            </w:pPr>
            <w:r>
              <w:t>Designation (Orphan</w:t>
            </w:r>
            <w:r w:rsidR="009F6B3A">
              <w:rPr>
                <w:rStyle w:val="FootnoteReference"/>
              </w:rPr>
              <w:footnoteReference w:id="6"/>
            </w:r>
            <w:r>
              <w:t>)</w:t>
            </w:r>
          </w:p>
        </w:tc>
        <w:tc>
          <w:tcPr>
            <w:tcW w:w="4360" w:type="dxa"/>
            <w:tcBorders>
              <w:top w:val="single" w:sz="4" w:space="0" w:color="auto"/>
            </w:tcBorders>
          </w:tcPr>
          <w:p w14:paraId="00A9E606" w14:textId="33845FFB" w:rsidR="00500337" w:rsidRDefault="00540EF3" w:rsidP="00500337">
            <w:pPr>
              <w:ind w:left="0" w:right="0"/>
            </w:pPr>
            <w:r>
              <w:t>1</w:t>
            </w:r>
            <w:r w:rsidR="00323AEA">
              <w:t>9 March 20</w:t>
            </w:r>
            <w:r>
              <w:t>19</w:t>
            </w:r>
          </w:p>
        </w:tc>
      </w:tr>
      <w:tr w:rsidR="00500337" w14:paraId="17229CD2" w14:textId="77777777" w:rsidTr="00500337">
        <w:tc>
          <w:tcPr>
            <w:tcW w:w="4360" w:type="dxa"/>
          </w:tcPr>
          <w:p w14:paraId="01EEEA7C" w14:textId="77777777" w:rsidR="00500337" w:rsidRDefault="00500337" w:rsidP="00500337">
            <w:pPr>
              <w:ind w:left="0" w:right="0"/>
            </w:pPr>
            <w:r>
              <w:t>Submission dossier accepted and first round evaluation commenced</w:t>
            </w:r>
          </w:p>
        </w:tc>
        <w:tc>
          <w:tcPr>
            <w:tcW w:w="4360" w:type="dxa"/>
          </w:tcPr>
          <w:p w14:paraId="45A647F0" w14:textId="65DA8AA8" w:rsidR="00500337" w:rsidRDefault="00BC36F4" w:rsidP="00500337">
            <w:pPr>
              <w:ind w:left="0" w:right="0"/>
            </w:pPr>
            <w:r>
              <w:t>31 July 2019</w:t>
            </w:r>
          </w:p>
        </w:tc>
      </w:tr>
      <w:tr w:rsidR="00500337" w14:paraId="2B73D15B" w14:textId="77777777" w:rsidTr="00500337">
        <w:tc>
          <w:tcPr>
            <w:tcW w:w="4360" w:type="dxa"/>
          </w:tcPr>
          <w:p w14:paraId="25E6CFD3" w14:textId="77777777" w:rsidR="00500337" w:rsidRDefault="00500337" w:rsidP="00500337">
            <w:pPr>
              <w:ind w:left="0" w:right="0"/>
            </w:pPr>
            <w:r>
              <w:t>First round evaluation completed</w:t>
            </w:r>
          </w:p>
        </w:tc>
        <w:tc>
          <w:tcPr>
            <w:tcW w:w="4360" w:type="dxa"/>
          </w:tcPr>
          <w:p w14:paraId="22BF9996" w14:textId="6E6D88BD" w:rsidR="00500337" w:rsidRDefault="00BC36F4" w:rsidP="00500337">
            <w:pPr>
              <w:ind w:left="0" w:right="0"/>
            </w:pPr>
            <w:r>
              <w:t>8 January 2020</w:t>
            </w:r>
          </w:p>
        </w:tc>
      </w:tr>
      <w:tr w:rsidR="00500337" w14:paraId="6B65F15F" w14:textId="77777777" w:rsidTr="00500337">
        <w:tc>
          <w:tcPr>
            <w:tcW w:w="4360" w:type="dxa"/>
          </w:tcPr>
          <w:p w14:paraId="15335CF0" w14:textId="77777777" w:rsidR="00500337" w:rsidRDefault="00500337" w:rsidP="00500337">
            <w:pPr>
              <w:ind w:left="0" w:right="0"/>
            </w:pPr>
            <w:r>
              <w:t>Sponsor provides responses on questions raised in first round evaluation</w:t>
            </w:r>
          </w:p>
        </w:tc>
        <w:tc>
          <w:tcPr>
            <w:tcW w:w="4360" w:type="dxa"/>
          </w:tcPr>
          <w:p w14:paraId="6E812499" w14:textId="45201A10" w:rsidR="00500337" w:rsidRDefault="00BC36F4" w:rsidP="00500337">
            <w:pPr>
              <w:ind w:left="0" w:right="0"/>
            </w:pPr>
            <w:r>
              <w:t>10 March 2020</w:t>
            </w:r>
          </w:p>
        </w:tc>
      </w:tr>
      <w:tr w:rsidR="00500337" w14:paraId="32F58FFE" w14:textId="77777777" w:rsidTr="00500337">
        <w:tc>
          <w:tcPr>
            <w:tcW w:w="4360" w:type="dxa"/>
          </w:tcPr>
          <w:p w14:paraId="40E9CA04" w14:textId="77777777" w:rsidR="00500337" w:rsidRDefault="00500337" w:rsidP="00500337">
            <w:pPr>
              <w:ind w:left="0" w:right="0"/>
            </w:pPr>
            <w:r>
              <w:t>Second round evaluation completed</w:t>
            </w:r>
          </w:p>
        </w:tc>
        <w:tc>
          <w:tcPr>
            <w:tcW w:w="4360" w:type="dxa"/>
          </w:tcPr>
          <w:p w14:paraId="63F7C2B5" w14:textId="514130E7" w:rsidR="00500337" w:rsidRDefault="00BC36F4" w:rsidP="00500337">
            <w:pPr>
              <w:ind w:left="0" w:right="0"/>
            </w:pPr>
            <w:r>
              <w:t>15 April 2020</w:t>
            </w:r>
          </w:p>
        </w:tc>
      </w:tr>
      <w:tr w:rsidR="00500337" w14:paraId="5F89FA6A" w14:textId="77777777" w:rsidTr="00500337">
        <w:tc>
          <w:tcPr>
            <w:tcW w:w="4360" w:type="dxa"/>
          </w:tcPr>
          <w:p w14:paraId="11A1CEE1" w14:textId="77777777" w:rsidR="00500337" w:rsidRDefault="00500337" w:rsidP="00500337">
            <w:pPr>
              <w:ind w:left="0" w:right="0"/>
            </w:pPr>
            <w:r>
              <w:t>Delegate’s Overall benefit-risk assessment and request for Advisory Committee advice</w:t>
            </w:r>
          </w:p>
        </w:tc>
        <w:tc>
          <w:tcPr>
            <w:tcW w:w="4360" w:type="dxa"/>
          </w:tcPr>
          <w:p w14:paraId="078A4BC8" w14:textId="5CCBA77A" w:rsidR="00500337" w:rsidRDefault="00E5525E" w:rsidP="00500337">
            <w:pPr>
              <w:ind w:left="0" w:right="0"/>
            </w:pPr>
            <w:r>
              <w:t>30 April 2020</w:t>
            </w:r>
          </w:p>
        </w:tc>
      </w:tr>
      <w:tr w:rsidR="00500337" w14:paraId="79674CA0" w14:textId="77777777" w:rsidTr="00500337">
        <w:tc>
          <w:tcPr>
            <w:tcW w:w="4360" w:type="dxa"/>
          </w:tcPr>
          <w:p w14:paraId="4B58AEA4" w14:textId="77777777" w:rsidR="00500337" w:rsidRDefault="00500337" w:rsidP="00500337">
            <w:pPr>
              <w:ind w:left="0" w:right="0"/>
            </w:pPr>
            <w:r>
              <w:t>Sponsor’s pre-Advisory Committee response</w:t>
            </w:r>
          </w:p>
        </w:tc>
        <w:tc>
          <w:tcPr>
            <w:tcW w:w="4360" w:type="dxa"/>
          </w:tcPr>
          <w:p w14:paraId="2430A644" w14:textId="12AA5B4D" w:rsidR="00500337" w:rsidRDefault="00E5525E" w:rsidP="00500337">
            <w:pPr>
              <w:ind w:left="0" w:right="0"/>
            </w:pPr>
            <w:r>
              <w:t>19 May 2020</w:t>
            </w:r>
          </w:p>
        </w:tc>
      </w:tr>
      <w:tr w:rsidR="00500337" w14:paraId="648C9DF2" w14:textId="77777777" w:rsidTr="00500337">
        <w:tc>
          <w:tcPr>
            <w:tcW w:w="4360" w:type="dxa"/>
          </w:tcPr>
          <w:p w14:paraId="0AF392BC" w14:textId="77777777" w:rsidR="00500337" w:rsidRDefault="00500337" w:rsidP="00500337">
            <w:pPr>
              <w:ind w:left="0" w:right="0"/>
            </w:pPr>
            <w:r>
              <w:t>Advisory Committee meeting</w:t>
            </w:r>
          </w:p>
        </w:tc>
        <w:tc>
          <w:tcPr>
            <w:tcW w:w="4360" w:type="dxa"/>
          </w:tcPr>
          <w:p w14:paraId="3D50EC78" w14:textId="085BA820" w:rsidR="00500337" w:rsidRDefault="00513D29" w:rsidP="00500337">
            <w:pPr>
              <w:ind w:left="0" w:right="0"/>
            </w:pPr>
            <w:r>
              <w:t>5 June 2020</w:t>
            </w:r>
          </w:p>
        </w:tc>
      </w:tr>
      <w:tr w:rsidR="00500337" w14:paraId="57D01CA1" w14:textId="77777777" w:rsidTr="00500337">
        <w:tc>
          <w:tcPr>
            <w:tcW w:w="4360" w:type="dxa"/>
          </w:tcPr>
          <w:p w14:paraId="01942B67" w14:textId="77777777" w:rsidR="00500337" w:rsidRDefault="00500337" w:rsidP="00500337">
            <w:pPr>
              <w:ind w:left="0" w:right="0"/>
            </w:pPr>
            <w:r>
              <w:t>Registration decision (Outcome)</w:t>
            </w:r>
          </w:p>
        </w:tc>
        <w:tc>
          <w:tcPr>
            <w:tcW w:w="4360" w:type="dxa"/>
          </w:tcPr>
          <w:p w14:paraId="2C51C3C5" w14:textId="563E5A7B" w:rsidR="00500337" w:rsidRDefault="00BC36F4" w:rsidP="00500337">
            <w:pPr>
              <w:ind w:left="0" w:right="0"/>
            </w:pPr>
            <w:r>
              <w:t>4 August 2020</w:t>
            </w:r>
          </w:p>
        </w:tc>
      </w:tr>
      <w:tr w:rsidR="00500337" w14:paraId="2022D42A" w14:textId="77777777" w:rsidTr="00500337">
        <w:tc>
          <w:tcPr>
            <w:tcW w:w="4360" w:type="dxa"/>
          </w:tcPr>
          <w:p w14:paraId="65E73D71" w14:textId="77777777" w:rsidR="00500337" w:rsidRDefault="00500337" w:rsidP="00500337">
            <w:pPr>
              <w:ind w:left="0" w:right="0"/>
            </w:pPr>
            <w:r>
              <w:t xml:space="preserve">Completion of administrative activities and registration on </w:t>
            </w:r>
            <w:r w:rsidR="00006FAB">
              <w:t xml:space="preserve">the </w:t>
            </w:r>
            <w:r>
              <w:t>ARTG</w:t>
            </w:r>
          </w:p>
        </w:tc>
        <w:tc>
          <w:tcPr>
            <w:tcW w:w="4360" w:type="dxa"/>
          </w:tcPr>
          <w:p w14:paraId="732CFE40" w14:textId="5B564923" w:rsidR="00500337" w:rsidRDefault="00BC36F4" w:rsidP="00500337">
            <w:pPr>
              <w:ind w:left="0" w:right="0"/>
            </w:pPr>
            <w:r>
              <w:t>5 August 2020</w:t>
            </w:r>
          </w:p>
        </w:tc>
      </w:tr>
      <w:tr w:rsidR="00500337" w14:paraId="7FC9BFC2" w14:textId="77777777" w:rsidTr="00500337">
        <w:tc>
          <w:tcPr>
            <w:tcW w:w="4360" w:type="dxa"/>
          </w:tcPr>
          <w:p w14:paraId="73320CEC" w14:textId="77777777" w:rsidR="00500337" w:rsidRDefault="00500337" w:rsidP="00500337">
            <w:pPr>
              <w:ind w:left="0" w:right="0"/>
            </w:pPr>
            <w:r>
              <w:t>Number of working days from submission dossier acceptance to registration decision*</w:t>
            </w:r>
          </w:p>
        </w:tc>
        <w:tc>
          <w:tcPr>
            <w:tcW w:w="4360" w:type="dxa"/>
          </w:tcPr>
          <w:p w14:paraId="6226A661" w14:textId="0256502B" w:rsidR="00500337" w:rsidRDefault="00BC36F4" w:rsidP="00500337">
            <w:pPr>
              <w:ind w:left="0" w:right="0"/>
            </w:pPr>
            <w:r>
              <w:t>208</w:t>
            </w:r>
          </w:p>
        </w:tc>
      </w:tr>
    </w:tbl>
    <w:p w14:paraId="79CE8496" w14:textId="77777777" w:rsidR="00500337" w:rsidRDefault="00500337" w:rsidP="00500337">
      <w:pPr>
        <w:pStyle w:val="TableDescription"/>
      </w:pPr>
      <w:r>
        <w:t>*</w:t>
      </w:r>
      <w:r w:rsidR="006603BC" w:rsidRPr="006603BC">
        <w:t>Statutory timeframe for standard applications is 255 working days</w:t>
      </w:r>
    </w:p>
    <w:p w14:paraId="6E4C1140"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59006619"/>
      <w:bookmarkEnd w:id="22"/>
      <w:bookmarkEnd w:id="23"/>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773EB949" w14:textId="77777777" w:rsidR="00006FAB" w:rsidRDefault="00006FAB" w:rsidP="00006FAB">
      <w:bookmarkStart w:id="31" w:name="_Toc247691528"/>
      <w:r>
        <w:t>The submission was summarised in the following Delegate’s overview and recommendations.</w:t>
      </w:r>
    </w:p>
    <w:p w14:paraId="74BC8E0E" w14:textId="77777777" w:rsidR="00006FAB" w:rsidRDefault="00006FAB" w:rsidP="00006FAB">
      <w:r>
        <w:t>This section is a TGA summary of wording used in TGA’s evaluation report, which discussed numerous aspects of overseas evaluation reports and included some information that was commercial-in-confidence.</w:t>
      </w:r>
    </w:p>
    <w:p w14:paraId="65798115" w14:textId="0ABAE87E" w:rsidR="008E7846" w:rsidRDefault="008E7846" w:rsidP="008E7846">
      <w:pPr>
        <w:pStyle w:val="Heading3"/>
      </w:pPr>
      <w:bookmarkStart w:id="32" w:name="_Toc314842511"/>
      <w:bookmarkStart w:id="33" w:name="_Toc59006620"/>
      <w:r>
        <w:lastRenderedPageBreak/>
        <w:t>Quality</w:t>
      </w:r>
      <w:bookmarkEnd w:id="31"/>
      <w:bookmarkEnd w:id="32"/>
      <w:bookmarkEnd w:id="33"/>
    </w:p>
    <w:p w14:paraId="5B27FD6F" w14:textId="28E7049C" w:rsidR="00BD6537" w:rsidRPr="00FF49C5" w:rsidRDefault="00BD6537" w:rsidP="00BD6537">
      <w:r w:rsidRPr="001B796C">
        <w:t xml:space="preserve">The </w:t>
      </w:r>
      <w:r>
        <w:t xml:space="preserve">quality </w:t>
      </w:r>
      <w:r w:rsidR="00FF49C5">
        <w:t>evaluator recommended approval.</w:t>
      </w:r>
    </w:p>
    <w:p w14:paraId="350E7800" w14:textId="142F2F3D" w:rsidR="00BD6537" w:rsidRDefault="00BD6537" w:rsidP="00BD6537">
      <w:pPr>
        <w:rPr>
          <w:rFonts w:eastAsiaTheme="minorHAnsi" w:cs="Cambria"/>
        </w:rPr>
      </w:pPr>
      <w:r>
        <w:rPr>
          <w:rFonts w:eastAsiaTheme="minorHAnsi" w:cs="Cambria"/>
        </w:rPr>
        <w:t>Voretigene neparvovec employs the</w:t>
      </w:r>
      <w:r w:rsidR="00E25485">
        <w:rPr>
          <w:rFonts w:eastAsiaTheme="minorHAnsi" w:cs="Cambria"/>
        </w:rPr>
        <w:t xml:space="preserve"> adeno-associated virus serotype 2</w:t>
      </w:r>
      <w:r>
        <w:rPr>
          <w:rFonts w:eastAsiaTheme="minorHAnsi" w:cs="Cambria"/>
        </w:rPr>
        <w:t xml:space="preserve"> </w:t>
      </w:r>
      <w:r w:rsidR="00E25485">
        <w:rPr>
          <w:rFonts w:eastAsiaTheme="minorHAnsi" w:cs="Cambria"/>
        </w:rPr>
        <w:t>(</w:t>
      </w:r>
      <w:r>
        <w:rPr>
          <w:rFonts w:eastAsiaTheme="minorHAnsi" w:cs="Cambria"/>
        </w:rPr>
        <w:t>AAV2</w:t>
      </w:r>
      <w:r w:rsidR="00E25485">
        <w:rPr>
          <w:rFonts w:eastAsiaTheme="minorHAnsi" w:cs="Cambria"/>
        </w:rPr>
        <w:t>)</w:t>
      </w:r>
      <w:r>
        <w:rPr>
          <w:rFonts w:eastAsiaTheme="minorHAnsi" w:cs="Cambria"/>
        </w:rPr>
        <w:t xml:space="preserve"> vector as a delivery vehicle for an expression cassette that contains a normal human </w:t>
      </w:r>
      <w:r>
        <w:rPr>
          <w:rFonts w:eastAsiaTheme="minorHAnsi" w:cs="Cambria"/>
          <w:i/>
          <w:iCs/>
        </w:rPr>
        <w:t xml:space="preserve">RPE65 </w:t>
      </w:r>
      <w:r>
        <w:rPr>
          <w:rFonts w:eastAsiaTheme="minorHAnsi" w:cs="Cambria"/>
        </w:rPr>
        <w:t>gene. The recombinant vector is a non-enveloped icosahedral virion</w:t>
      </w:r>
      <w:r w:rsidR="0021728D">
        <w:rPr>
          <w:rFonts w:eastAsiaTheme="minorHAnsi" w:cs="Cambria"/>
        </w:rPr>
        <w:t xml:space="preserve"> of approximately 26</w:t>
      </w:r>
      <w:r w:rsidR="0008765F">
        <w:rPr>
          <w:rFonts w:eastAsiaTheme="minorHAnsi" w:cs="Cambria"/>
        </w:rPr>
        <w:t> </w:t>
      </w:r>
      <w:r w:rsidR="0021728D">
        <w:rPr>
          <w:rFonts w:eastAsiaTheme="minorHAnsi" w:cs="Cambria"/>
        </w:rPr>
        <w:t>nanometres in diameter</w:t>
      </w:r>
      <w:r>
        <w:rPr>
          <w:rFonts w:eastAsiaTheme="minorHAnsi" w:cs="Cambria"/>
        </w:rPr>
        <w:t>. The parent AAV2 virus is a non-pathogenic, single-stranded DNA genome-containing, helper virus-dependent member of the parvovirus family.</w:t>
      </w:r>
    </w:p>
    <w:p w14:paraId="371EA9FA" w14:textId="38CBCA7D" w:rsidR="00BD6537" w:rsidRDefault="00BD6537" w:rsidP="00BD6537">
      <w:r>
        <w:t>Voretigene neparvovec (AAV2-hRPE65v2)</w:t>
      </w:r>
      <w:r w:rsidR="00E25485">
        <w:t>;</w:t>
      </w:r>
      <w:r w:rsidR="00E25485">
        <w:rPr>
          <w:rStyle w:val="FootnoteReference"/>
        </w:rPr>
        <w:footnoteReference w:id="7"/>
      </w:r>
      <w:r>
        <w:t xml:space="preserve"> was derived from the naturally-occurring AAV2, a member of the parvovirus family. Wild-type </w:t>
      </w:r>
      <w:r w:rsidR="00E25485">
        <w:t>adeno</w:t>
      </w:r>
      <w:r w:rsidR="00E25485">
        <w:noBreakHyphen/>
        <w:t>associated virus (</w:t>
      </w:r>
      <w:r>
        <w:t>AAV</w:t>
      </w:r>
      <w:r w:rsidR="00A31C77">
        <w:t>)</w:t>
      </w:r>
      <w:r>
        <w:t xml:space="preserve">, which is ubiquitous in the environment, has not been associated with human disease. It is naturally replication deficient, requiring coinfection with helper viruses to replicate. The wild-type virus consists of a single-stranded DNA genome </w:t>
      </w:r>
      <w:proofErr w:type="spellStart"/>
      <w:r>
        <w:t>encapsidated</w:t>
      </w:r>
      <w:proofErr w:type="spellEnd"/>
      <w:r>
        <w:t xml:space="preserve"> in a protein coat. The genome consists of three elements: the </w:t>
      </w:r>
      <w:r w:rsidRPr="00FF49C5">
        <w:rPr>
          <w:i/>
        </w:rPr>
        <w:t>rep</w:t>
      </w:r>
      <w:r>
        <w:t xml:space="preserve"> gene, the </w:t>
      </w:r>
      <w:r w:rsidRPr="00FF49C5">
        <w:rPr>
          <w:i/>
        </w:rPr>
        <w:t>cap</w:t>
      </w:r>
      <w:r>
        <w:t xml:space="preserve"> gene, and the inverted terminal repeats (ITRs). The </w:t>
      </w:r>
      <w:r w:rsidRPr="00FF49C5">
        <w:rPr>
          <w:i/>
        </w:rPr>
        <w:t>rep</w:t>
      </w:r>
      <w:r>
        <w:t xml:space="preserve"> gene codes for proteins involved in DNA replication, and the </w:t>
      </w:r>
      <w:r w:rsidRPr="00FF49C5">
        <w:rPr>
          <w:i/>
        </w:rPr>
        <w:t>cap</w:t>
      </w:r>
      <w:r>
        <w:t xml:space="preserve"> gene, through a differential splicing mechanism, encodes three amino-terminal variant virus proteins, VP1, VP2 and VP3, that make up the coat of the virus. </w:t>
      </w:r>
    </w:p>
    <w:p w14:paraId="00632641" w14:textId="7133F44D" w:rsidR="00BD6537" w:rsidRDefault="00BD6537" w:rsidP="0076747A">
      <w:r>
        <w:t>For the recombinant vector voretigene neparvovec DS, the AAV2 wild-type genome containing rep and cap genes is replaced with the following components:</w:t>
      </w:r>
    </w:p>
    <w:p w14:paraId="59A53309" w14:textId="77777777" w:rsidR="0021728D" w:rsidRDefault="0021728D" w:rsidP="0076747A">
      <w:pPr>
        <w:pStyle w:val="ListBullet"/>
      </w:pPr>
      <w:r>
        <w:t>the cytomegalovirus (CMV) enhancer;</w:t>
      </w:r>
    </w:p>
    <w:p w14:paraId="31A3BB62" w14:textId="77777777" w:rsidR="0021728D" w:rsidRDefault="0021728D" w:rsidP="0076747A">
      <w:pPr>
        <w:pStyle w:val="ListBullet"/>
      </w:pPr>
      <w:r>
        <w:t>the chicken beta actin (CBA) promoter;</w:t>
      </w:r>
    </w:p>
    <w:p w14:paraId="715873A4" w14:textId="77777777" w:rsidR="0021728D" w:rsidRDefault="0021728D" w:rsidP="0076747A">
      <w:pPr>
        <w:pStyle w:val="ListBullet"/>
      </w:pPr>
      <w:r>
        <w:t>the CBA exon 1 and intron;</w:t>
      </w:r>
    </w:p>
    <w:p w14:paraId="695960FF" w14:textId="77777777" w:rsidR="0021728D" w:rsidRDefault="0021728D" w:rsidP="0076747A">
      <w:pPr>
        <w:pStyle w:val="ListBullet"/>
      </w:pPr>
      <w:r>
        <w:t>the cloned cDNA coding for human retinal pigment epithelium 65kDA protein (hRPE65); and</w:t>
      </w:r>
    </w:p>
    <w:p w14:paraId="3D33AB81" w14:textId="24EB11BF" w:rsidR="0021728D" w:rsidRDefault="0021728D" w:rsidP="0076747A">
      <w:pPr>
        <w:pStyle w:val="ListBullet"/>
      </w:pPr>
      <w:r>
        <w:t>the bovine growth hormone polyadenylation (</w:t>
      </w:r>
      <w:proofErr w:type="spellStart"/>
      <w:r>
        <w:t>PolyA</w:t>
      </w:r>
      <w:proofErr w:type="spellEnd"/>
      <w:r>
        <w:t>) region.</w:t>
      </w:r>
    </w:p>
    <w:p w14:paraId="2C09E547" w14:textId="0A8CAD86" w:rsidR="00BD6537" w:rsidRPr="00BD6537" w:rsidRDefault="00BD6537" w:rsidP="00BD6537">
      <w:pPr>
        <w:pStyle w:val="ListBullet"/>
        <w:numPr>
          <w:ilvl w:val="0"/>
          <w:numId w:val="0"/>
        </w:numPr>
      </w:pPr>
      <w:r>
        <w:t>The ITR regions, which flank the inserted genes, are retained.</w:t>
      </w:r>
    </w:p>
    <w:p w14:paraId="1AC4B258" w14:textId="5B2D56BF" w:rsidR="00BD6537" w:rsidRDefault="00BD6537" w:rsidP="00BD3672">
      <w:pPr>
        <w:pStyle w:val="FigureTitle"/>
      </w:pPr>
      <w:r>
        <w:t xml:space="preserve">Figure </w:t>
      </w:r>
      <w:r>
        <w:fldChar w:fldCharType="begin"/>
      </w:r>
      <w:r>
        <w:instrText>SEQ Figure \* ARABIC</w:instrText>
      </w:r>
      <w:r>
        <w:fldChar w:fldCharType="separate"/>
      </w:r>
      <w:r>
        <w:rPr>
          <w:noProof/>
        </w:rPr>
        <w:t>1</w:t>
      </w:r>
      <w:r>
        <w:fldChar w:fldCharType="end"/>
      </w:r>
      <w:r w:rsidR="00A31C77">
        <w:t xml:space="preserve">: </w:t>
      </w:r>
      <w:r>
        <w:t>Schematic representation of the voretigene neparvovec vector</w:t>
      </w:r>
    </w:p>
    <w:p w14:paraId="12AD9037" w14:textId="77777777" w:rsidR="00BD6537" w:rsidRDefault="00BD6537" w:rsidP="00BD6537">
      <w:pPr>
        <w:autoSpaceDE w:val="0"/>
        <w:autoSpaceDN w:val="0"/>
        <w:spacing w:line="240" w:lineRule="auto"/>
        <w:rPr>
          <w:rFonts w:eastAsiaTheme="minorHAnsi" w:cs="Cambria"/>
        </w:rPr>
      </w:pPr>
      <w:r>
        <w:rPr>
          <w:noProof/>
          <w:lang w:eastAsia="en-AU"/>
        </w:rPr>
        <w:drawing>
          <wp:inline distT="0" distB="0" distL="0" distR="0" wp14:anchorId="33373FEB" wp14:editId="215BC107">
            <wp:extent cx="5732780" cy="1437640"/>
            <wp:effectExtent l="0" t="0" r="1270" b="0"/>
            <wp:docPr id="3" name="Picture 3" descr="For the recombinant vector voretigene neparvovec DS, the AAV2 wild-type genome containing rep and cap genes is replaced with the following components:&#10;• the cytomegalovirus (CMV) enhancer;&#10;• the chicken beta actin (CBA) promoter;&#10;• the CBA exon 1 and intron;&#10;•  the cloned cDNA coding for human retinal pigment epithelium 65kDA protein (hRPE65); and&#10;• the bovine growth hormone polyadenylation (PolyA) region. &#10;The ITR regions, which flank the inserted genes, are retain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732780" cy="1437640"/>
                    </a:xfrm>
                    <a:prstGeom prst="rect">
                      <a:avLst/>
                    </a:prstGeom>
                  </pic:spPr>
                </pic:pic>
              </a:graphicData>
            </a:graphic>
          </wp:inline>
        </w:drawing>
      </w:r>
    </w:p>
    <w:p w14:paraId="4B525476" w14:textId="2A038642" w:rsidR="00BD6537" w:rsidRPr="00FF49C5" w:rsidRDefault="00BD6537" w:rsidP="00A20A63">
      <w:pPr>
        <w:pStyle w:val="TableDescription"/>
      </w:pPr>
      <w:r>
        <w:t>BGH = bovine growth hormone, CβA = chicken beta actin, CMV = cytomegalovirus, ITR = inverted terminal repeat, R</w:t>
      </w:r>
      <w:r w:rsidR="00FF49C5">
        <w:t>PE = retinal pigment epithelium</w:t>
      </w:r>
      <w:r w:rsidR="00A31C77">
        <w:t>.</w:t>
      </w:r>
    </w:p>
    <w:p w14:paraId="307F0271" w14:textId="06F714D1" w:rsidR="00BD6537" w:rsidRDefault="00BD6537" w:rsidP="00BD6537">
      <w:r>
        <w:t>AAV2 is produced in HEK293 cells through transient transfection with three plasmids that contain the genetic information to produce the coded viral vector. The three plasmids required for the manufacture of voretigene neparvovec are:</w:t>
      </w:r>
    </w:p>
    <w:p w14:paraId="3F75DA2D" w14:textId="690E718F" w:rsidR="00BD6537" w:rsidRPr="00BD6537" w:rsidRDefault="33AF3E8F" w:rsidP="005316A0">
      <w:r>
        <w:t xml:space="preserve">A </w:t>
      </w:r>
      <w:r w:rsidR="4E42954D">
        <w:t>v</w:t>
      </w:r>
      <w:r w:rsidR="00BD6537">
        <w:t xml:space="preserve">ector plasmid pAAV2-hRPE65v2, a </w:t>
      </w:r>
      <w:r w:rsidR="00616A26">
        <w:t xml:space="preserve">[Information redacted] </w:t>
      </w:r>
      <w:r w:rsidR="00BD6537">
        <w:t>plasmid encoding a human retina associated</w:t>
      </w:r>
      <w:r w:rsidR="00966932">
        <w:t xml:space="preserve"> </w:t>
      </w:r>
      <w:r w:rsidR="00BD6537">
        <w:t>hRPE6</w:t>
      </w:r>
      <w:r w:rsidR="00CB6E7B">
        <w:t>5 gene and regulatory elements;</w:t>
      </w:r>
      <w:r w:rsidR="3991A2D1">
        <w:t xml:space="preserve"> a </w:t>
      </w:r>
      <w:r w:rsidR="00BD6537">
        <w:t>packaging plasmid</w:t>
      </w:r>
      <w:r w:rsidR="00616A26">
        <w:t xml:space="preserve"> [Information redacted]</w:t>
      </w:r>
      <w:r w:rsidR="78DC5007">
        <w:t>, a</w:t>
      </w:r>
      <w:r w:rsidR="120EB65C">
        <w:t>nd a</w:t>
      </w:r>
      <w:r w:rsidR="00BD6537">
        <w:t xml:space="preserve"> helper plasmid</w:t>
      </w:r>
      <w:r w:rsidR="00616A26">
        <w:t xml:space="preserve"> [Information redacted]</w:t>
      </w:r>
      <w:r w:rsidR="43D86C8D">
        <w:t>.</w:t>
      </w:r>
      <w:r w:rsidR="00BD6537">
        <w:t xml:space="preserve"> </w:t>
      </w:r>
      <w:r w:rsidR="00BD6537">
        <w:rPr>
          <w:rFonts w:asciiTheme="minorHAnsi" w:hAnsiTheme="minorHAnsi"/>
        </w:rPr>
        <w:t>T</w:t>
      </w:r>
      <w:r w:rsidR="00FF49C5">
        <w:rPr>
          <w:rFonts w:asciiTheme="minorHAnsi" w:hAnsiTheme="minorHAnsi"/>
        </w:rPr>
        <w:t>he drug is manufactured</w:t>
      </w:r>
      <w:r w:rsidR="00BD6537">
        <w:rPr>
          <w:rFonts w:asciiTheme="minorHAnsi" w:hAnsiTheme="minorHAnsi"/>
        </w:rPr>
        <w:t xml:space="preserve"> in the USA and transported to Australia.</w:t>
      </w:r>
    </w:p>
    <w:p w14:paraId="51732362" w14:textId="77777777" w:rsidR="008E7846" w:rsidRDefault="008E7846" w:rsidP="008E7846">
      <w:pPr>
        <w:pStyle w:val="Heading3"/>
      </w:pPr>
      <w:bookmarkStart w:id="34" w:name="_Toc314842512"/>
      <w:bookmarkStart w:id="35" w:name="_Toc59006621"/>
      <w:r>
        <w:lastRenderedPageBreak/>
        <w:t>Nonclinical</w:t>
      </w:r>
      <w:bookmarkEnd w:id="34"/>
      <w:bookmarkEnd w:id="35"/>
    </w:p>
    <w:p w14:paraId="50DC2099" w14:textId="4FE64A9A" w:rsidR="00503C1E" w:rsidRPr="00503C1E" w:rsidRDefault="00635FB9" w:rsidP="00F53EDB">
      <w:bookmarkStart w:id="36" w:name="_Toc247691530"/>
      <w:bookmarkStart w:id="37" w:name="_Toc314842513"/>
      <w:r w:rsidRPr="0081170E">
        <w:t>The nonclinical evaluator recommended approval</w:t>
      </w:r>
      <w:r w:rsidR="00503C1E">
        <w:t>, for the following reasons</w:t>
      </w:r>
      <w:r w:rsidR="00A31C77">
        <w:t xml:space="preserve"> discussed in this section.</w:t>
      </w:r>
    </w:p>
    <w:p w14:paraId="57138F92" w14:textId="77777777" w:rsidR="00A31C77" w:rsidRPr="00A31C77" w:rsidRDefault="007F7E9B" w:rsidP="00BD3672">
      <w:pPr>
        <w:pStyle w:val="Heading4"/>
      </w:pPr>
      <w:r w:rsidRPr="00BD3672">
        <w:t xml:space="preserve">Biochemical, electroretinography, </w:t>
      </w:r>
      <w:proofErr w:type="spellStart"/>
      <w:r w:rsidRPr="00BD3672">
        <w:t>pupillometry</w:t>
      </w:r>
      <w:proofErr w:type="spellEnd"/>
      <w:r w:rsidRPr="00BD3672">
        <w:t xml:space="preserve"> and behavioural effects</w:t>
      </w:r>
    </w:p>
    <w:p w14:paraId="2BBF3391" w14:textId="3769F3D2" w:rsidR="00635FB9" w:rsidRPr="002365A5" w:rsidRDefault="00503C1E" w:rsidP="00F53EDB">
      <w:r>
        <w:t xml:space="preserve">Following </w:t>
      </w:r>
      <w:proofErr w:type="spellStart"/>
      <w:r w:rsidR="00635FB9" w:rsidRPr="002365A5">
        <w:t>subretinal</w:t>
      </w:r>
      <w:proofErr w:type="spellEnd"/>
      <w:r w:rsidR="00635FB9" w:rsidRPr="002365A5">
        <w:t xml:space="preserve"> injection of voretigene neparvovec or similar vectors to young </w:t>
      </w:r>
      <w:r w:rsidR="00635FB9" w:rsidRPr="002365A5">
        <w:rPr>
          <w:i/>
          <w:iCs/>
        </w:rPr>
        <w:t>RPE65</w:t>
      </w:r>
      <w:r w:rsidR="00635FB9" w:rsidRPr="002365A5">
        <w:t>-deficient mice and dogs</w:t>
      </w:r>
      <w:r>
        <w:t>; the positive b</w:t>
      </w:r>
      <w:r w:rsidRPr="002365A5">
        <w:t xml:space="preserve">iochemical, electroretinography, </w:t>
      </w:r>
      <w:proofErr w:type="spellStart"/>
      <w:r w:rsidRPr="002365A5">
        <w:t>pupillometry</w:t>
      </w:r>
      <w:proofErr w:type="spellEnd"/>
      <w:r w:rsidRPr="002365A5">
        <w:t xml:space="preserve"> an</w:t>
      </w:r>
      <w:r>
        <w:t>d behavioural effects observed supports Luxturna</w:t>
      </w:r>
      <w:r w:rsidR="00635FB9" w:rsidRPr="002365A5">
        <w:t xml:space="preserve"> </w:t>
      </w:r>
      <w:r>
        <w:t xml:space="preserve">use </w:t>
      </w:r>
      <w:r w:rsidR="00F7506E">
        <w:t>for the proposed indication. The l</w:t>
      </w:r>
      <w:r w:rsidR="00635FB9" w:rsidRPr="002365A5">
        <w:t>ocalised and selective trans</w:t>
      </w:r>
      <w:r w:rsidR="00F7506E">
        <w:t>duction of RPE</w:t>
      </w:r>
      <w:r w:rsidR="00635FB9" w:rsidRPr="002365A5">
        <w:t xml:space="preserve"> cells resulted in expression of </w:t>
      </w:r>
      <w:r w:rsidR="00F7506E">
        <w:t xml:space="preserve">the </w:t>
      </w:r>
      <w:r w:rsidR="00635FB9" w:rsidRPr="002365A5">
        <w:t>RPE65 protein, recovery of the visual cycle</w:t>
      </w:r>
      <w:r w:rsidR="00F7506E">
        <w:t>,</w:t>
      </w:r>
      <w:r w:rsidR="00635FB9" w:rsidRPr="002365A5">
        <w:t xml:space="preserve"> and recovery of visual function.</w:t>
      </w:r>
    </w:p>
    <w:p w14:paraId="1424D83A" w14:textId="77777777" w:rsidR="00A31C77" w:rsidRPr="00BD3672" w:rsidRDefault="007F7E9B" w:rsidP="00BD3672">
      <w:pPr>
        <w:pStyle w:val="Heading4"/>
      </w:pPr>
      <w:r w:rsidRPr="00A31C77">
        <w:rPr>
          <w:rStyle w:val="Heading5Char"/>
          <w:rFonts w:eastAsia="Cambria"/>
          <w:b/>
          <w:bCs/>
          <w:i w:val="0"/>
          <w:color w:val="auto"/>
        </w:rPr>
        <w:t xml:space="preserve">Vector </w:t>
      </w:r>
      <w:proofErr w:type="spellStart"/>
      <w:r w:rsidRPr="00F806B8">
        <w:rPr>
          <w:rStyle w:val="Heading5Char"/>
          <w:rFonts w:eastAsia="Cambria"/>
          <w:b/>
          <w:bCs/>
          <w:i w:val="0"/>
          <w:color w:val="auto"/>
        </w:rPr>
        <w:t>biodistribution</w:t>
      </w:r>
      <w:proofErr w:type="spellEnd"/>
    </w:p>
    <w:p w14:paraId="20664692" w14:textId="12C9FC6A" w:rsidR="007F7E9B" w:rsidRDefault="00635FB9" w:rsidP="00F53EDB">
      <w:pPr>
        <w:rPr>
          <w:rFonts w:eastAsiaTheme="minorHAnsi" w:cs="Calibri"/>
        </w:rPr>
      </w:pPr>
      <w:r w:rsidRPr="007F7E9B">
        <w:rPr>
          <w:rFonts w:eastAsiaTheme="minorHAnsi" w:cs="Calibri"/>
        </w:rPr>
        <w:t xml:space="preserve">Vector </w:t>
      </w:r>
      <w:proofErr w:type="spellStart"/>
      <w:r w:rsidRPr="007F7E9B">
        <w:rPr>
          <w:rFonts w:eastAsiaTheme="minorHAnsi" w:cs="Calibri"/>
        </w:rPr>
        <w:t>biodistribution</w:t>
      </w:r>
      <w:proofErr w:type="spellEnd"/>
      <w:r w:rsidRPr="007F7E9B">
        <w:rPr>
          <w:rFonts w:eastAsiaTheme="minorHAnsi" w:cs="Calibri"/>
        </w:rPr>
        <w:t xml:space="preserve"> was evaluated in the toxicology studies in dogs and monkeys. Vector DNA was primarily detected in intraocular fluids of injected eyes, with lower levels detected i</w:t>
      </w:r>
      <w:r w:rsidR="007F7E9B" w:rsidRPr="007F7E9B">
        <w:rPr>
          <w:rFonts w:eastAsiaTheme="minorHAnsi" w:cs="Calibri"/>
        </w:rPr>
        <w:t xml:space="preserve">n the optic nerve of the vector </w:t>
      </w:r>
      <w:r w:rsidRPr="007F7E9B">
        <w:rPr>
          <w:rFonts w:eastAsiaTheme="minorHAnsi" w:cs="Calibri"/>
        </w:rPr>
        <w:t xml:space="preserve">injected eye and in the optic chiasm. In two dogs, the </w:t>
      </w:r>
      <w:proofErr w:type="spellStart"/>
      <w:r w:rsidRPr="007F7E9B">
        <w:rPr>
          <w:rFonts w:eastAsiaTheme="minorHAnsi" w:cs="Calibri"/>
        </w:rPr>
        <w:t>preauricular</w:t>
      </w:r>
      <w:proofErr w:type="spellEnd"/>
      <w:r w:rsidRPr="007F7E9B">
        <w:rPr>
          <w:rFonts w:eastAsiaTheme="minorHAnsi" w:cs="Calibri"/>
        </w:rPr>
        <w:t xml:space="preserve"> lymph nodes draining the bulbar conjunctiva on the injected side had pos</w:t>
      </w:r>
      <w:r w:rsidR="007F7E9B" w:rsidRPr="007F7E9B">
        <w:rPr>
          <w:rFonts w:eastAsiaTheme="minorHAnsi" w:cs="Calibri"/>
        </w:rPr>
        <w:t xml:space="preserve">itive responses for </w:t>
      </w:r>
      <w:r w:rsidRPr="007F7E9B">
        <w:rPr>
          <w:rFonts w:eastAsiaTheme="minorHAnsi" w:cs="Calibri"/>
        </w:rPr>
        <w:t>vector</w:t>
      </w:r>
      <w:r w:rsidR="007F7E9B" w:rsidRPr="007F7E9B">
        <w:rPr>
          <w:rFonts w:eastAsiaTheme="minorHAnsi" w:cs="Calibri"/>
        </w:rPr>
        <w:t xml:space="preserve"> DNA</w:t>
      </w:r>
      <w:r w:rsidRPr="007F7E9B">
        <w:rPr>
          <w:rFonts w:eastAsiaTheme="minorHAnsi" w:cs="Calibri"/>
        </w:rPr>
        <w:t xml:space="preserve"> three months after injection. In addition, in monkeys, vector</w:t>
      </w:r>
      <w:r w:rsidR="007F7E9B" w:rsidRPr="007F7E9B">
        <w:rPr>
          <w:rFonts w:eastAsiaTheme="minorHAnsi" w:cs="Calibri"/>
        </w:rPr>
        <w:t xml:space="preserve"> DNA</w:t>
      </w:r>
      <w:r w:rsidRPr="007F7E9B">
        <w:rPr>
          <w:rFonts w:eastAsiaTheme="minorHAnsi" w:cs="Calibri"/>
        </w:rPr>
        <w:t xml:space="preserve"> was detected in spleen and liver, and sporadically in the lymph nodes. Very low levels of vector were also detected in the colon, duodenum and trachea of a single high dose</w:t>
      </w:r>
      <w:r w:rsidR="007F7E9B" w:rsidRPr="007F7E9B">
        <w:rPr>
          <w:rFonts w:eastAsiaTheme="minorHAnsi" w:cs="Calibri"/>
        </w:rPr>
        <w:t>d</w:t>
      </w:r>
      <w:r w:rsidRPr="007F7E9B">
        <w:rPr>
          <w:rFonts w:eastAsiaTheme="minorHAnsi" w:cs="Calibri"/>
        </w:rPr>
        <w:t xml:space="preserve"> monkey. Importantly, vector DNA was not detected in the gonads of either species, nor in brain, heart or lungs.</w:t>
      </w:r>
    </w:p>
    <w:p w14:paraId="7D5755E0" w14:textId="77777777" w:rsidR="00A31C77" w:rsidRPr="00BD3672" w:rsidRDefault="00431F8E" w:rsidP="00BD3672">
      <w:pPr>
        <w:pStyle w:val="Heading4"/>
      </w:pPr>
      <w:r w:rsidRPr="00F806B8">
        <w:rPr>
          <w:rStyle w:val="Heading5Char"/>
          <w:rFonts w:eastAsia="Cambria"/>
          <w:b/>
          <w:bCs/>
          <w:i w:val="0"/>
          <w:color w:val="auto"/>
        </w:rPr>
        <w:t>Immune response</w:t>
      </w:r>
    </w:p>
    <w:p w14:paraId="548A49FF" w14:textId="29E807A3" w:rsidR="00756BE2" w:rsidRPr="002365A5" w:rsidRDefault="00431F8E" w:rsidP="00F53EDB">
      <w:pPr>
        <w:rPr>
          <w:rFonts w:eastAsiaTheme="minorHAnsi" w:cs="Calibri"/>
        </w:rPr>
      </w:pPr>
      <w:r w:rsidRPr="00756BE2">
        <w:rPr>
          <w:rFonts w:eastAsiaTheme="minorHAnsi" w:cs="Calibri"/>
        </w:rPr>
        <w:t xml:space="preserve">There was no evidence of pro-inflammatory T-cell responses to the AAV2 capsid or RPE65 protein in monkeys, and a limited T-cell response to (human) RPE65 in dogs. Antibodies to RPE65 were only detected in isolated cases. Antibodies (including neutralising antibodies) to AAV2 capsid proteins were variously detected in the anterior chamber fluid or serum of both normal and RPE65-deificient dogs; monkeys did not develop anti-AAV2 antibodies after single </w:t>
      </w:r>
      <w:proofErr w:type="spellStart"/>
      <w:r w:rsidRPr="00756BE2">
        <w:rPr>
          <w:rFonts w:eastAsiaTheme="minorHAnsi" w:cs="Calibri"/>
        </w:rPr>
        <w:t>subretinal</w:t>
      </w:r>
      <w:proofErr w:type="spellEnd"/>
      <w:r w:rsidRPr="00756BE2">
        <w:rPr>
          <w:rFonts w:eastAsiaTheme="minorHAnsi" w:cs="Calibri"/>
        </w:rPr>
        <w:t xml:space="preserve"> administration of voretigene neparvovec.</w:t>
      </w:r>
    </w:p>
    <w:p w14:paraId="5914CCE7" w14:textId="77777777" w:rsidR="00A31C77" w:rsidRPr="00A31C77" w:rsidRDefault="007F7E9B" w:rsidP="00BD3672">
      <w:pPr>
        <w:pStyle w:val="Heading4"/>
      </w:pPr>
      <w:r w:rsidRPr="00A31C77">
        <w:rPr>
          <w:rStyle w:val="Heading5Char"/>
          <w:rFonts w:eastAsia="Cambria"/>
          <w:b/>
          <w:bCs/>
          <w:i w:val="0"/>
          <w:color w:val="auto"/>
        </w:rPr>
        <w:t>Toxicity studies</w:t>
      </w:r>
    </w:p>
    <w:p w14:paraId="6CA5556D" w14:textId="71301033" w:rsidR="00756BE2" w:rsidRDefault="00635FB9" w:rsidP="00F53EDB">
      <w:r w:rsidRPr="007F7E9B">
        <w:t xml:space="preserve">The toxicity of </w:t>
      </w:r>
      <w:proofErr w:type="spellStart"/>
      <w:r w:rsidRPr="007F7E9B">
        <w:t>subretinally</w:t>
      </w:r>
      <w:proofErr w:type="spellEnd"/>
      <w:r w:rsidRPr="007F7E9B">
        <w:t xml:space="preserve"> administered voretigene neparvovec was examined in single- and repeat-dose studies in dogs (normal and RPE65-deficient) and monkeys. Single-dose studies with an earlier version of the vector (yielding limited protein expression) were additionally performed in dogs. Follow-up periods ranged </w:t>
      </w:r>
      <w:r w:rsidR="00756BE2">
        <w:t>from three</w:t>
      </w:r>
      <w:r w:rsidR="00F53EDB">
        <w:t xml:space="preserve"> </w:t>
      </w:r>
      <w:r w:rsidR="00756BE2">
        <w:t>weeks to two</w:t>
      </w:r>
      <w:r w:rsidR="00F53EDB">
        <w:t xml:space="preserve"> </w:t>
      </w:r>
      <w:r w:rsidR="00756BE2">
        <w:t>years. Repeat dosage</w:t>
      </w:r>
      <w:r w:rsidRPr="007F7E9B">
        <w:t xml:space="preserve"> studies involved a second administration </w:t>
      </w:r>
      <w:r w:rsidR="00756BE2">
        <w:t>to either the contralateral eye</w:t>
      </w:r>
      <w:r w:rsidRPr="007F7E9B">
        <w:t xml:space="preserve"> or to the initial eye again. Doses of voretigene neparvovec te</w:t>
      </w:r>
      <w:r w:rsidR="00756BE2">
        <w:t>sted in animals were up to 5.5</w:t>
      </w:r>
      <w:r w:rsidR="00E71F9C">
        <w:t> </w:t>
      </w:r>
      <w:r w:rsidR="00756BE2">
        <w:t xml:space="preserve">times the clinical dose in dogs; and five </w:t>
      </w:r>
      <w:r w:rsidRPr="007F7E9B">
        <w:t xml:space="preserve">times </w:t>
      </w:r>
      <w:r w:rsidR="00756BE2">
        <w:t>in monkeys</w:t>
      </w:r>
      <w:r w:rsidRPr="007F7E9B">
        <w:t xml:space="preserve"> respectively. The earlier version of the vector was given</w:t>
      </w:r>
      <w:r w:rsidR="00756BE2">
        <w:t xml:space="preserve"> to dogs at ten</w:t>
      </w:r>
      <w:r w:rsidRPr="007F7E9B">
        <w:t xml:space="preserve"> times the human dose.</w:t>
      </w:r>
    </w:p>
    <w:p w14:paraId="38EA95B9" w14:textId="5BEA79D3" w:rsidR="00635FB9" w:rsidRPr="00756BE2" w:rsidRDefault="00635FB9" w:rsidP="00F53EDB">
      <w:r w:rsidRPr="00756BE2">
        <w:rPr>
          <w:rFonts w:cs="Calibri"/>
        </w:rPr>
        <w:t>The main findings in the toxicity program were inflammatory responses at the injection site and trauma relating to the injection procedure.</w:t>
      </w:r>
    </w:p>
    <w:p w14:paraId="034F671F" w14:textId="201DF03B" w:rsidR="00431F8E" w:rsidRDefault="00635FB9" w:rsidP="00F53EDB">
      <w:pPr>
        <w:rPr>
          <w:rFonts w:cs="Calibri"/>
        </w:rPr>
      </w:pPr>
      <w:r w:rsidRPr="002365A5">
        <w:rPr>
          <w:rFonts w:cs="Calibri"/>
        </w:rPr>
        <w:t>The only extraocular findings were minimal perivascular lymphocyte cuffing in</w:t>
      </w:r>
      <w:r w:rsidR="00756BE2">
        <w:rPr>
          <w:rFonts w:cs="Calibri"/>
        </w:rPr>
        <w:t xml:space="preserve"> the brainstem and midbrain;</w:t>
      </w:r>
      <w:r w:rsidRPr="002365A5">
        <w:rPr>
          <w:rFonts w:cs="Calibri"/>
        </w:rPr>
        <w:t xml:space="preserve"> minimal mixed perivascular infiltration of the choroid plexus</w:t>
      </w:r>
      <w:r w:rsidR="00756BE2">
        <w:rPr>
          <w:rFonts w:cs="Calibri"/>
        </w:rPr>
        <w:t>;</w:t>
      </w:r>
      <w:r w:rsidRPr="002365A5">
        <w:rPr>
          <w:rFonts w:cs="Calibri"/>
        </w:rPr>
        <w:t xml:space="preserve"> and mild optic nerve lesions in </w:t>
      </w:r>
      <w:r>
        <w:rPr>
          <w:rFonts w:cs="Calibri"/>
        </w:rPr>
        <w:t xml:space="preserve">25% of the </w:t>
      </w:r>
      <w:r w:rsidRPr="002365A5">
        <w:rPr>
          <w:rFonts w:cs="Calibri"/>
        </w:rPr>
        <w:t>dogs who were administered the earlier version of the vector at 1.5</w:t>
      </w:r>
      <w:r w:rsidR="00E71F9C">
        <w:rPr>
          <w:rFonts w:cs="Calibri"/>
        </w:rPr>
        <w:t> </w:t>
      </w:r>
      <w:r w:rsidRPr="002365A5">
        <w:rPr>
          <w:rFonts w:cs="Calibri"/>
        </w:rPr>
        <w:t>×</w:t>
      </w:r>
      <w:r w:rsidR="00E71F9C">
        <w:rPr>
          <w:rFonts w:cs="Calibri"/>
        </w:rPr>
        <w:t> </w:t>
      </w:r>
      <w:r w:rsidRPr="002365A5">
        <w:rPr>
          <w:rFonts w:cs="Calibri"/>
        </w:rPr>
        <w:t>10</w:t>
      </w:r>
      <w:r w:rsidRPr="002365A5">
        <w:rPr>
          <w:rFonts w:cs="Calibri"/>
          <w:vertAlign w:val="superscript"/>
        </w:rPr>
        <w:t>12</w:t>
      </w:r>
      <w:r w:rsidR="00756BE2">
        <w:rPr>
          <w:rFonts w:cs="Calibri"/>
        </w:rPr>
        <w:t xml:space="preserve"> vg per </w:t>
      </w:r>
      <w:r w:rsidRPr="002365A5">
        <w:rPr>
          <w:rFonts w:cs="Calibri"/>
        </w:rPr>
        <w:t>eye. This may reflect an immune response following vector leakage by reflux into the vitreous chamber, leading to ganglion cell exposure. This is unlikely to</w:t>
      </w:r>
      <w:r w:rsidR="00756BE2">
        <w:rPr>
          <w:rFonts w:cs="Calibri"/>
        </w:rPr>
        <w:t xml:space="preserve"> be relevant to human where a ten</w:t>
      </w:r>
      <w:r w:rsidRPr="002365A5">
        <w:rPr>
          <w:rFonts w:cs="Calibri"/>
        </w:rPr>
        <w:t xml:space="preserve">-fold lower dose is used and a more refined surgical procedure is employed. In addition, the gene administered to dogs is not identical </w:t>
      </w:r>
      <w:r w:rsidRPr="002365A5">
        <w:rPr>
          <w:rFonts w:cs="Calibri"/>
        </w:rPr>
        <w:lastRenderedPageBreak/>
        <w:t>to the gene coding for a similar protein, and the animals did not receive pr</w:t>
      </w:r>
      <w:r w:rsidR="00756BE2">
        <w:rPr>
          <w:rFonts w:cs="Calibri"/>
        </w:rPr>
        <w:t>e-treatment with prednisolone.</w:t>
      </w:r>
    </w:p>
    <w:p w14:paraId="084FB33C" w14:textId="4F1271EA" w:rsidR="00635FB9" w:rsidRDefault="00431F8E" w:rsidP="00F53EDB">
      <w:r>
        <w:t>Although n</w:t>
      </w:r>
      <w:r w:rsidRPr="00431F8E">
        <w:t xml:space="preserve">o </w:t>
      </w:r>
      <w:proofErr w:type="spellStart"/>
      <w:r w:rsidRPr="00431F8E">
        <w:t>genotoxicity</w:t>
      </w:r>
      <w:proofErr w:type="spellEnd"/>
      <w:r w:rsidRPr="00431F8E">
        <w:t xml:space="preserve"> or carcinogenicity studies have been conducted</w:t>
      </w:r>
      <w:r>
        <w:t xml:space="preserve">, based </w:t>
      </w:r>
      <w:r w:rsidRPr="00431F8E">
        <w:t>on published literature,</w:t>
      </w:r>
      <w:r w:rsidR="005B6238">
        <w:rPr>
          <w:rStyle w:val="FootnoteReference"/>
        </w:rPr>
        <w:footnoteReference w:id="8"/>
      </w:r>
      <w:r w:rsidRPr="00431F8E">
        <w:t xml:space="preserve"> the</w:t>
      </w:r>
      <w:r>
        <w:t xml:space="preserve"> </w:t>
      </w:r>
      <w:r w:rsidRPr="00431F8E">
        <w:t>risk of insertional mutagenesis and carcinogenicity with a vector of this type is considered to be low.</w:t>
      </w:r>
    </w:p>
    <w:p w14:paraId="4B36F2EA" w14:textId="4571B1F3" w:rsidR="00635FB9" w:rsidRPr="00431F8E" w:rsidRDefault="00431F8E" w:rsidP="00F53EDB">
      <w:pPr>
        <w:rPr>
          <w:rFonts w:eastAsiaTheme="minorHAnsi" w:cs="Calibri"/>
        </w:rPr>
      </w:pPr>
      <w:r w:rsidRPr="00431F8E">
        <w:rPr>
          <w:rFonts w:eastAsiaTheme="minorHAnsi" w:cs="Calibri"/>
        </w:rPr>
        <w:t xml:space="preserve">No reproductive and developmental toxicity studies with voretigene neparvovec have been </w:t>
      </w:r>
      <w:r w:rsidR="00C137D2">
        <w:rPr>
          <w:rFonts w:eastAsiaTheme="minorHAnsi" w:cs="Calibri"/>
        </w:rPr>
        <w:t xml:space="preserve">performed. This was considered </w:t>
      </w:r>
      <w:r w:rsidRPr="00431F8E">
        <w:rPr>
          <w:rFonts w:eastAsiaTheme="minorHAnsi" w:cs="Calibri"/>
        </w:rPr>
        <w:t xml:space="preserve">acceptable given the nature of the product and from the absence of </w:t>
      </w:r>
      <w:proofErr w:type="spellStart"/>
      <w:r w:rsidRPr="00431F8E">
        <w:rPr>
          <w:rFonts w:eastAsiaTheme="minorHAnsi" w:cs="Calibri"/>
        </w:rPr>
        <w:t>biodistribution</w:t>
      </w:r>
      <w:proofErr w:type="spellEnd"/>
      <w:r w:rsidRPr="00431F8E">
        <w:rPr>
          <w:rFonts w:eastAsiaTheme="minorHAnsi" w:cs="Calibri"/>
        </w:rPr>
        <w:t xml:space="preserve"> to the gonads. Assignment to Pregnancy Category B2</w:t>
      </w:r>
      <w:r w:rsidR="00A31C77">
        <w:rPr>
          <w:rFonts w:eastAsiaTheme="minorHAnsi" w:cs="Calibri"/>
        </w:rPr>
        <w:t>;</w:t>
      </w:r>
      <w:r w:rsidR="00A31C77">
        <w:rPr>
          <w:rStyle w:val="FootnoteReference"/>
          <w:rFonts w:eastAsiaTheme="minorHAnsi" w:cs="Calibri"/>
        </w:rPr>
        <w:footnoteReference w:id="9"/>
      </w:r>
      <w:r w:rsidRPr="00431F8E">
        <w:rPr>
          <w:rFonts w:eastAsiaTheme="minorHAnsi" w:cs="Calibri"/>
        </w:rPr>
        <w:t xml:space="preserve"> was recommended.</w:t>
      </w:r>
    </w:p>
    <w:p w14:paraId="6FDDAA44" w14:textId="2BCAF1FC" w:rsidR="008E7846" w:rsidRDefault="008E7846" w:rsidP="008E7846">
      <w:pPr>
        <w:pStyle w:val="Heading3"/>
      </w:pPr>
      <w:bookmarkStart w:id="38" w:name="_Toc59006622"/>
      <w:r>
        <w:t>Clinical</w:t>
      </w:r>
      <w:bookmarkEnd w:id="36"/>
      <w:bookmarkEnd w:id="37"/>
      <w:bookmarkEnd w:id="38"/>
    </w:p>
    <w:p w14:paraId="23B22764" w14:textId="745BF253" w:rsidR="00A31C77" w:rsidRPr="00A31C77" w:rsidRDefault="00A31C77" w:rsidP="000E3E17">
      <w:pPr>
        <w:pStyle w:val="Heading4"/>
      </w:pPr>
      <w:r>
        <w:t>Contents of the clinical dossier</w:t>
      </w:r>
    </w:p>
    <w:p w14:paraId="756D5B0F" w14:textId="4CDAE011" w:rsidR="00C137D2" w:rsidRPr="002672C8" w:rsidRDefault="00C137D2" w:rsidP="00956171">
      <w:bookmarkStart w:id="39" w:name="_Toc314842514"/>
      <w:r w:rsidRPr="002672C8">
        <w:t>The clinical evaluation contained the following components</w:t>
      </w:r>
      <w:r w:rsidR="00956171">
        <w:t>:</w:t>
      </w:r>
    </w:p>
    <w:p w14:paraId="32EDD800" w14:textId="79F024AB" w:rsidR="00956171" w:rsidRDefault="006E0CE0" w:rsidP="00956171">
      <w:pPr>
        <w:pStyle w:val="ListBullet"/>
      </w:pPr>
      <w:r>
        <w:t>Study</w:t>
      </w:r>
      <w:r w:rsidR="00F1460F">
        <w:t xml:space="preserve"> AAV2-hRPE65v2-301 (</w:t>
      </w:r>
      <w:r w:rsidR="00091BF6">
        <w:t>S</w:t>
      </w:r>
      <w:r w:rsidR="00C137D2" w:rsidRPr="002672C8">
        <w:t>tudy 301)</w:t>
      </w:r>
      <w:r w:rsidR="00E71F9C">
        <w:t xml:space="preserve">, a </w:t>
      </w:r>
      <w:r w:rsidR="00E71F9C" w:rsidRPr="002672C8">
        <w:t>Phas</w:t>
      </w:r>
      <w:r w:rsidR="00E71F9C">
        <w:t xml:space="preserve">e III study </w:t>
      </w:r>
      <w:r w:rsidR="00C137D2" w:rsidRPr="002672C8">
        <w:t>with 3</w:t>
      </w:r>
      <w:r w:rsidR="00E71F9C">
        <w:t> </w:t>
      </w:r>
      <w:r w:rsidR="00C137D2" w:rsidRPr="002672C8">
        <w:t>addenda</w:t>
      </w:r>
      <w:r w:rsidR="00295D12">
        <w:t>, considered as the pivotal study</w:t>
      </w:r>
      <w:r w:rsidR="00E71F9C">
        <w:t>;</w:t>
      </w:r>
    </w:p>
    <w:p w14:paraId="214E523A" w14:textId="450605BC" w:rsidR="00956171" w:rsidRPr="00956171" w:rsidRDefault="006E0CE0" w:rsidP="00956171">
      <w:pPr>
        <w:pStyle w:val="ListBullet"/>
      </w:pPr>
      <w:r>
        <w:rPr>
          <w:rFonts w:eastAsiaTheme="minorHAnsi" w:cs="Calibri"/>
        </w:rPr>
        <w:t>Study</w:t>
      </w:r>
      <w:r w:rsidR="00F1460F">
        <w:rPr>
          <w:rFonts w:eastAsiaTheme="minorHAnsi" w:cs="Calibri"/>
        </w:rPr>
        <w:t>AAV2-hRPE65v2-101 (</w:t>
      </w:r>
      <w:r w:rsidR="00091BF6">
        <w:rPr>
          <w:rFonts w:eastAsiaTheme="minorHAnsi" w:cs="Calibri"/>
        </w:rPr>
        <w:t>S</w:t>
      </w:r>
      <w:r w:rsidR="00C137D2" w:rsidRPr="00956171">
        <w:rPr>
          <w:rFonts w:eastAsiaTheme="minorHAnsi" w:cs="Calibri"/>
        </w:rPr>
        <w:t>tudy 101)</w:t>
      </w:r>
      <w:r w:rsidR="00E71F9C">
        <w:rPr>
          <w:rFonts w:eastAsiaTheme="minorHAnsi" w:cs="Calibri"/>
        </w:rPr>
        <w:t>, a Phase I study;</w:t>
      </w:r>
    </w:p>
    <w:p w14:paraId="61FCC7BE" w14:textId="1C05024C" w:rsidR="00956171" w:rsidRPr="00956171" w:rsidRDefault="006E0CE0" w:rsidP="00956171">
      <w:pPr>
        <w:pStyle w:val="ListBullet"/>
      </w:pPr>
      <w:r>
        <w:rPr>
          <w:rFonts w:eastAsiaTheme="minorHAnsi" w:cs="Calibri"/>
        </w:rPr>
        <w:t>Study</w:t>
      </w:r>
      <w:r w:rsidR="00F1460F">
        <w:rPr>
          <w:rFonts w:eastAsiaTheme="minorHAnsi" w:cs="Calibri"/>
        </w:rPr>
        <w:t xml:space="preserve"> AAV2-hRPE65v2-102 (</w:t>
      </w:r>
      <w:r w:rsidR="00091BF6">
        <w:rPr>
          <w:rFonts w:eastAsiaTheme="minorHAnsi" w:cs="Calibri"/>
        </w:rPr>
        <w:t>S</w:t>
      </w:r>
      <w:r w:rsidR="00C137D2" w:rsidRPr="00956171">
        <w:rPr>
          <w:rFonts w:eastAsiaTheme="minorHAnsi" w:cs="Calibri"/>
        </w:rPr>
        <w:t>tudy 102)</w:t>
      </w:r>
      <w:r w:rsidR="00E71F9C">
        <w:rPr>
          <w:rFonts w:eastAsiaTheme="minorHAnsi" w:cs="Calibri"/>
        </w:rPr>
        <w:t>, a Phase I study</w:t>
      </w:r>
      <w:r w:rsidR="00C137D2" w:rsidRPr="00956171">
        <w:rPr>
          <w:rFonts w:eastAsiaTheme="minorHAnsi" w:cs="Calibri"/>
        </w:rPr>
        <w:t xml:space="preserve"> with 2 addenda</w:t>
      </w:r>
      <w:r w:rsidR="00E71F9C">
        <w:rPr>
          <w:rFonts w:eastAsiaTheme="minorHAnsi" w:cs="Calibri"/>
        </w:rPr>
        <w:t>;</w:t>
      </w:r>
    </w:p>
    <w:p w14:paraId="6EB792EC" w14:textId="3B26ADAE" w:rsidR="00956171" w:rsidRPr="00956171" w:rsidRDefault="00956171" w:rsidP="00956171">
      <w:pPr>
        <w:pStyle w:val="ListBullet"/>
      </w:pPr>
      <w:r>
        <w:rPr>
          <w:rFonts w:eastAsiaTheme="minorHAnsi" w:cs="Calibri"/>
        </w:rPr>
        <w:t>Study MTVS</w:t>
      </w:r>
      <w:r w:rsidR="00E71F9C">
        <w:rPr>
          <w:rFonts w:eastAsiaTheme="minorHAnsi" w:cs="Calibri"/>
        </w:rPr>
        <w:t>,</w:t>
      </w:r>
      <w:r>
        <w:rPr>
          <w:rFonts w:eastAsiaTheme="minorHAnsi" w:cs="Calibri"/>
        </w:rPr>
        <w:t xml:space="preserve"> a m</w:t>
      </w:r>
      <w:r w:rsidR="00C137D2" w:rsidRPr="00956171">
        <w:rPr>
          <w:rFonts w:eastAsiaTheme="minorHAnsi" w:cs="Calibri"/>
        </w:rPr>
        <w:t>obility testing validation study (prospective observational study to support the use of mu</w:t>
      </w:r>
      <w:r w:rsidR="008C6FB5">
        <w:rPr>
          <w:rFonts w:eastAsiaTheme="minorHAnsi" w:cs="Calibri"/>
        </w:rPr>
        <w:t>lti-luminance mobility testing (MLMT)</w:t>
      </w:r>
      <w:r w:rsidR="00C137D2" w:rsidRPr="00956171">
        <w:rPr>
          <w:rFonts w:eastAsiaTheme="minorHAnsi" w:cs="Calibri"/>
        </w:rPr>
        <w:t xml:space="preserve"> as the</w:t>
      </w:r>
      <w:r w:rsidR="00F1460F">
        <w:rPr>
          <w:rFonts w:eastAsiaTheme="minorHAnsi" w:cs="Calibri"/>
        </w:rPr>
        <w:t xml:space="preserve"> primary efficacy endpoint for </w:t>
      </w:r>
      <w:r w:rsidR="00E71F9C">
        <w:rPr>
          <w:rFonts w:eastAsiaTheme="minorHAnsi" w:cs="Calibri"/>
        </w:rPr>
        <w:t>S</w:t>
      </w:r>
      <w:r w:rsidR="00C137D2" w:rsidRPr="00956171">
        <w:rPr>
          <w:rFonts w:eastAsiaTheme="minorHAnsi" w:cs="Calibri"/>
        </w:rPr>
        <w:t>tudy 301)</w:t>
      </w:r>
      <w:r w:rsidR="00E71F9C">
        <w:rPr>
          <w:rFonts w:eastAsiaTheme="minorHAnsi" w:cs="Calibri"/>
        </w:rPr>
        <w:t>;</w:t>
      </w:r>
    </w:p>
    <w:p w14:paraId="7B10F2AA" w14:textId="453A3C3F" w:rsidR="00956171" w:rsidRPr="00956171" w:rsidRDefault="00C137D2" w:rsidP="00956171">
      <w:pPr>
        <w:pStyle w:val="ListBullet"/>
      </w:pPr>
      <w:r w:rsidRPr="00956171">
        <w:rPr>
          <w:rFonts w:eastAsiaTheme="minorHAnsi" w:cs="Calibri"/>
        </w:rPr>
        <w:t>St</w:t>
      </w:r>
      <w:r w:rsidR="00956171">
        <w:rPr>
          <w:rFonts w:eastAsiaTheme="minorHAnsi" w:cs="Calibri"/>
        </w:rPr>
        <w:t xml:space="preserve">udy RPE65 </w:t>
      </w:r>
      <w:proofErr w:type="spellStart"/>
      <w:r w:rsidR="00956171">
        <w:rPr>
          <w:rFonts w:eastAsiaTheme="minorHAnsi" w:cs="Calibri"/>
        </w:rPr>
        <w:t>NHx</w:t>
      </w:r>
      <w:proofErr w:type="spellEnd"/>
      <w:r w:rsidR="00E71F9C">
        <w:rPr>
          <w:rFonts w:eastAsiaTheme="minorHAnsi" w:cs="Calibri"/>
        </w:rPr>
        <w:t>,</w:t>
      </w:r>
      <w:r w:rsidR="00956171">
        <w:rPr>
          <w:rFonts w:eastAsiaTheme="minorHAnsi" w:cs="Calibri"/>
        </w:rPr>
        <w:t xml:space="preserve"> </w:t>
      </w:r>
      <w:r w:rsidRPr="00956171">
        <w:rPr>
          <w:rFonts w:eastAsiaTheme="minorHAnsi" w:cs="Calibri"/>
        </w:rPr>
        <w:t xml:space="preserve">a retrospective </w:t>
      </w:r>
      <w:r w:rsidR="00E71F9C">
        <w:rPr>
          <w:rFonts w:eastAsiaTheme="minorHAnsi" w:cs="Calibri"/>
        </w:rPr>
        <w:t>n</w:t>
      </w:r>
      <w:r w:rsidRPr="00956171">
        <w:rPr>
          <w:rFonts w:eastAsiaTheme="minorHAnsi" w:cs="Calibri"/>
        </w:rPr>
        <w:t xml:space="preserve">atural </w:t>
      </w:r>
      <w:r w:rsidR="00E71F9C">
        <w:rPr>
          <w:rFonts w:eastAsiaTheme="minorHAnsi" w:cs="Calibri"/>
        </w:rPr>
        <w:t>h</w:t>
      </w:r>
      <w:r w:rsidRPr="00956171">
        <w:rPr>
          <w:rFonts w:eastAsiaTheme="minorHAnsi" w:cs="Calibri"/>
        </w:rPr>
        <w:t>istory study</w:t>
      </w:r>
      <w:r w:rsidR="00E71F9C">
        <w:rPr>
          <w:rFonts w:eastAsiaTheme="minorHAnsi" w:cs="Calibri"/>
        </w:rPr>
        <w:t>;</w:t>
      </w:r>
    </w:p>
    <w:p w14:paraId="5F8913E9" w14:textId="5EE670B3" w:rsidR="001A46FA" w:rsidRPr="001A46FA" w:rsidRDefault="00E71F9C" w:rsidP="001A46FA">
      <w:pPr>
        <w:pStyle w:val="ListBullet"/>
      </w:pPr>
      <w:r>
        <w:rPr>
          <w:rFonts w:eastAsiaTheme="minorHAnsi" w:cs="Calibri"/>
        </w:rPr>
        <w:t>p</w:t>
      </w:r>
      <w:r w:rsidR="00C137D2" w:rsidRPr="00956171">
        <w:rPr>
          <w:rFonts w:eastAsiaTheme="minorHAnsi" w:cs="Calibri"/>
        </w:rPr>
        <w:t xml:space="preserve">eriodic </w:t>
      </w:r>
      <w:r>
        <w:rPr>
          <w:rFonts w:eastAsiaTheme="minorHAnsi" w:cs="Calibri"/>
        </w:rPr>
        <w:t>s</w:t>
      </w:r>
      <w:r w:rsidR="00C137D2" w:rsidRPr="00956171">
        <w:rPr>
          <w:rFonts w:eastAsiaTheme="minorHAnsi" w:cs="Calibri"/>
        </w:rPr>
        <w:t xml:space="preserve">afety </w:t>
      </w:r>
      <w:r>
        <w:rPr>
          <w:rFonts w:eastAsiaTheme="minorHAnsi" w:cs="Calibri"/>
        </w:rPr>
        <w:t>u</w:t>
      </w:r>
      <w:r w:rsidR="00C137D2" w:rsidRPr="00956171">
        <w:rPr>
          <w:rFonts w:eastAsiaTheme="minorHAnsi" w:cs="Calibri"/>
        </w:rPr>
        <w:t xml:space="preserve">pdate </w:t>
      </w:r>
      <w:r>
        <w:rPr>
          <w:rFonts w:eastAsiaTheme="minorHAnsi" w:cs="Calibri"/>
        </w:rPr>
        <w:t>r</w:t>
      </w:r>
      <w:r w:rsidR="00C137D2" w:rsidRPr="00956171">
        <w:rPr>
          <w:rFonts w:eastAsiaTheme="minorHAnsi" w:cs="Calibri"/>
        </w:rPr>
        <w:t xml:space="preserve">eports (PSUR) covering the reporting period </w:t>
      </w:r>
      <w:r w:rsidR="00956171">
        <w:rPr>
          <w:rFonts w:eastAsiaTheme="minorHAnsi" w:cs="Calibri"/>
        </w:rPr>
        <w:t xml:space="preserve">of </w:t>
      </w:r>
      <w:r w:rsidR="00C137D2" w:rsidRPr="00956171">
        <w:rPr>
          <w:rFonts w:eastAsiaTheme="minorHAnsi" w:cs="Calibri"/>
        </w:rPr>
        <w:t>19</w:t>
      </w:r>
      <w:r>
        <w:rPr>
          <w:rFonts w:eastAsiaTheme="minorHAnsi" w:cs="Calibri"/>
          <w:vertAlign w:val="superscript"/>
        </w:rPr>
        <w:t> </w:t>
      </w:r>
      <w:r w:rsidR="00956171">
        <w:rPr>
          <w:rFonts w:eastAsiaTheme="minorHAnsi" w:cs="Calibri"/>
        </w:rPr>
        <w:t xml:space="preserve">December 2017to </w:t>
      </w:r>
      <w:r>
        <w:rPr>
          <w:rFonts w:eastAsiaTheme="minorHAnsi" w:cs="Calibri"/>
        </w:rPr>
        <w:t xml:space="preserve">24 </w:t>
      </w:r>
      <w:r w:rsidR="00C137D2" w:rsidRPr="00956171">
        <w:rPr>
          <w:rFonts w:eastAsiaTheme="minorHAnsi" w:cs="Calibri"/>
        </w:rPr>
        <w:t>January 2019</w:t>
      </w:r>
      <w:r>
        <w:rPr>
          <w:rFonts w:eastAsiaTheme="minorHAnsi" w:cs="Calibri"/>
        </w:rPr>
        <w:t>; and</w:t>
      </w:r>
    </w:p>
    <w:p w14:paraId="45CCEAA3" w14:textId="497E7751" w:rsidR="00C137D2" w:rsidRPr="001A46FA" w:rsidRDefault="00E71F9C" w:rsidP="001A46FA">
      <w:pPr>
        <w:pStyle w:val="ListBullet"/>
      </w:pPr>
      <w:r>
        <w:t>multiple l</w:t>
      </w:r>
      <w:r w:rsidR="00C137D2" w:rsidRPr="001A46FA">
        <w:t>iterature references</w:t>
      </w:r>
      <w:r>
        <w:t>.</w:t>
      </w:r>
    </w:p>
    <w:p w14:paraId="30C89CAC" w14:textId="578E8B41" w:rsidR="00EF284C" w:rsidRDefault="00EF284C" w:rsidP="00EF284C">
      <w:pPr>
        <w:pStyle w:val="FigureTitle"/>
      </w:pPr>
      <w:r>
        <w:lastRenderedPageBreak/>
        <w:t xml:space="preserve">Figure </w:t>
      </w:r>
      <w:r>
        <w:fldChar w:fldCharType="begin"/>
      </w:r>
      <w:r>
        <w:instrText>SEQ Figure \* ARABIC</w:instrText>
      </w:r>
      <w:r>
        <w:fldChar w:fldCharType="separate"/>
      </w:r>
      <w:r w:rsidR="00BD6537">
        <w:rPr>
          <w:noProof/>
        </w:rPr>
        <w:t>2</w:t>
      </w:r>
      <w:r>
        <w:fldChar w:fldCharType="end"/>
      </w:r>
      <w:r w:rsidR="00295D12">
        <w:t xml:space="preserve">: </w:t>
      </w:r>
      <w:r>
        <w:t xml:space="preserve">Clinical </w:t>
      </w:r>
      <w:r w:rsidR="00E86CD2">
        <w:t>p</w:t>
      </w:r>
      <w:r>
        <w:t xml:space="preserve">rogramme </w:t>
      </w:r>
      <w:r w:rsidR="00295D12">
        <w:t>o</w:t>
      </w:r>
      <w:r>
        <w:t>verview</w:t>
      </w:r>
    </w:p>
    <w:p w14:paraId="6152453B" w14:textId="77777777" w:rsidR="00C137D2" w:rsidRDefault="00C137D2" w:rsidP="00D17695">
      <w:pPr>
        <w:rPr>
          <w:rFonts w:eastAsiaTheme="minorHAnsi" w:cs="Cambria"/>
        </w:rPr>
      </w:pPr>
      <w:r>
        <w:rPr>
          <w:noProof/>
          <w:lang w:eastAsia="en-AU"/>
        </w:rPr>
        <w:drawing>
          <wp:inline distT="0" distB="0" distL="0" distR="0" wp14:anchorId="7F42E867" wp14:editId="16D6EE81">
            <wp:extent cx="5430302" cy="2989580"/>
            <wp:effectExtent l="0" t="0" r="0" b="1270"/>
            <wp:docPr id="5" name="Picture 5" descr="Study 101 (first injection in the worse eye) had 3 patients on high dose, 6 on medium, 3 on low. &#10;Study 102 had 11 patients from Study 101 had second high dose injection on the other eye after more than 1 year with ongoing follow up assessments for 15 years. &#10;Study 301 was randomised into 21 patients in the intervention group and 10 in the control group. Intervention group had high dose injected then 2nd eye 6-18 days after. &#10;Study 302 had the Study 301 patients being treated with intervention drug using the same regimen as Study 301 intervention. Both groups then have follow up assessments for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430302" cy="2989580"/>
                    </a:xfrm>
                    <a:prstGeom prst="rect">
                      <a:avLst/>
                    </a:prstGeom>
                  </pic:spPr>
                </pic:pic>
              </a:graphicData>
            </a:graphic>
          </wp:inline>
        </w:drawing>
      </w:r>
    </w:p>
    <w:p w14:paraId="2C36D65B" w14:textId="13B434AC" w:rsidR="00C137D2" w:rsidRDefault="00C137D2" w:rsidP="00C137D2">
      <w:pPr>
        <w:tabs>
          <w:tab w:val="left" w:pos="1135"/>
        </w:tabs>
        <w:autoSpaceDE w:val="0"/>
        <w:autoSpaceDN w:val="0"/>
        <w:spacing w:line="240" w:lineRule="auto"/>
        <w:rPr>
          <w:rFonts w:eastAsiaTheme="minorHAnsi" w:cs="Cambria"/>
        </w:rPr>
      </w:pPr>
      <w:r>
        <w:rPr>
          <w:rFonts w:eastAsiaTheme="minorHAnsi" w:cs="Cambria"/>
        </w:rPr>
        <w:t xml:space="preserve">Overall there were 41 subjects who received voretigene neparvovec as part of the clinical development programme, with all subjects having a molecular diagnosis of </w:t>
      </w:r>
      <w:proofErr w:type="spellStart"/>
      <w:r>
        <w:rPr>
          <w:rFonts w:eastAsiaTheme="minorHAnsi" w:cs="Cambria"/>
        </w:rPr>
        <w:t>biallelic</w:t>
      </w:r>
      <w:proofErr w:type="spellEnd"/>
      <w:r>
        <w:rPr>
          <w:rFonts w:eastAsiaTheme="minorHAnsi" w:cs="Cambria"/>
        </w:rPr>
        <w:t xml:space="preserve"> </w:t>
      </w:r>
      <w:r>
        <w:rPr>
          <w:rFonts w:eastAsiaTheme="minorHAnsi" w:cs="Cambria"/>
          <w:i/>
          <w:iCs/>
        </w:rPr>
        <w:t xml:space="preserve">RPE65 </w:t>
      </w:r>
      <w:r>
        <w:rPr>
          <w:rFonts w:eastAsiaTheme="minorHAnsi" w:cs="Cambria"/>
        </w:rPr>
        <w:t xml:space="preserve">mutation by a certified laboratory. There were 34 unique </w:t>
      </w:r>
      <w:r w:rsidRPr="005316A0">
        <w:rPr>
          <w:rFonts w:eastAsiaTheme="minorHAnsi" w:cs="Cambria"/>
          <w:i/>
        </w:rPr>
        <w:t>RPE65</w:t>
      </w:r>
      <w:r>
        <w:rPr>
          <w:rFonts w:eastAsiaTheme="minorHAnsi" w:cs="Cambria"/>
        </w:rPr>
        <w:t xml:space="preserve"> mutations among the 41</w:t>
      </w:r>
      <w:r w:rsidR="00E71F9C">
        <w:rPr>
          <w:rFonts w:eastAsiaTheme="minorHAnsi" w:cs="Cambria"/>
        </w:rPr>
        <w:t> </w:t>
      </w:r>
      <w:r>
        <w:rPr>
          <w:rFonts w:eastAsiaTheme="minorHAnsi" w:cs="Cambria"/>
        </w:rPr>
        <w:t xml:space="preserve">subjects in the development programme; both compound heterozygotes and homozygotes were included. </w:t>
      </w:r>
    </w:p>
    <w:p w14:paraId="0B1C0A7B" w14:textId="03556096" w:rsidR="00C137D2" w:rsidRPr="00EF284C" w:rsidRDefault="00C137D2" w:rsidP="00EF284C">
      <w:pPr>
        <w:tabs>
          <w:tab w:val="left" w:pos="1135"/>
        </w:tabs>
        <w:autoSpaceDE w:val="0"/>
        <w:autoSpaceDN w:val="0"/>
        <w:spacing w:line="240" w:lineRule="auto"/>
        <w:rPr>
          <w:rFonts w:eastAsiaTheme="minorHAnsi" w:cs="Cambria"/>
        </w:rPr>
      </w:pPr>
      <w:r>
        <w:rPr>
          <w:rFonts w:eastAsiaTheme="minorHAnsi" w:cs="Cambria"/>
        </w:rPr>
        <w:t>Subjects participating in Studies 301, 101 and 102 were transfer</w:t>
      </w:r>
      <w:r w:rsidR="00F1460F">
        <w:rPr>
          <w:rFonts w:eastAsiaTheme="minorHAnsi" w:cs="Cambria"/>
        </w:rPr>
        <w:t xml:space="preserve">red to the long-term follow-up </w:t>
      </w:r>
      <w:r w:rsidR="00E71F9C">
        <w:rPr>
          <w:rFonts w:eastAsiaTheme="minorHAnsi" w:cs="Cambria"/>
        </w:rPr>
        <w:t>S</w:t>
      </w:r>
      <w:r>
        <w:rPr>
          <w:rFonts w:eastAsiaTheme="minorHAnsi" w:cs="Cambria"/>
        </w:rPr>
        <w:t xml:space="preserve">tudy AAV2-hRPE65v2-LTFU-01, which will evaluate safety and efficacy outcomes annually for a total period of 15 years. </w:t>
      </w:r>
    </w:p>
    <w:p w14:paraId="75FC9443" w14:textId="64162372" w:rsidR="00C137D2" w:rsidRDefault="003043E4" w:rsidP="00011EA1">
      <w:pPr>
        <w:pStyle w:val="Heading4"/>
      </w:pPr>
      <w:r>
        <w:t>Efficacy</w:t>
      </w:r>
    </w:p>
    <w:p w14:paraId="75D0D043" w14:textId="50C8C405" w:rsidR="00C137D2" w:rsidRPr="0044662A" w:rsidRDefault="00C137D2" w:rsidP="00EF284C">
      <w:pPr>
        <w:pStyle w:val="Heading5"/>
      </w:pPr>
      <w:r>
        <w:t>Study AAV2-hRPE65v2-301</w:t>
      </w:r>
    </w:p>
    <w:p w14:paraId="66D29957" w14:textId="71AC077A" w:rsidR="00C137D2" w:rsidRDefault="00295D12" w:rsidP="00C137D2">
      <w:pPr>
        <w:tabs>
          <w:tab w:val="left" w:pos="1418"/>
        </w:tabs>
        <w:autoSpaceDE w:val="0"/>
        <w:autoSpaceDN w:val="0"/>
        <w:spacing w:line="240" w:lineRule="auto"/>
        <w:rPr>
          <w:rFonts w:eastAsiaTheme="minorHAnsi" w:cs="Cambria"/>
        </w:rPr>
      </w:pPr>
      <w:r>
        <w:rPr>
          <w:rFonts w:eastAsiaTheme="minorHAnsi" w:cs="Cambria"/>
        </w:rPr>
        <w:t xml:space="preserve">Study AAV2-hRPE65v2-301 (also referred to as </w:t>
      </w:r>
      <w:r w:rsidR="00C137D2">
        <w:rPr>
          <w:rFonts w:eastAsiaTheme="minorHAnsi" w:cs="Cambria"/>
        </w:rPr>
        <w:t>Study 301</w:t>
      </w:r>
      <w:r>
        <w:rPr>
          <w:rFonts w:eastAsiaTheme="minorHAnsi" w:cs="Cambria"/>
        </w:rPr>
        <w:t>)</w:t>
      </w:r>
      <w:r w:rsidR="00C137D2">
        <w:rPr>
          <w:rFonts w:eastAsiaTheme="minorHAnsi" w:cs="Cambria"/>
        </w:rPr>
        <w:t xml:space="preserve"> was a Phase III, open-label, randomised, controlled study to assess the safety and efficacy of AAV2-hRPE65v2 (voretigene neparvovec) in subjects with LCA due to </w:t>
      </w:r>
      <w:r w:rsidR="00C137D2">
        <w:rPr>
          <w:rFonts w:eastAsiaTheme="minorHAnsi" w:cs="Cambria"/>
          <w:i/>
          <w:iCs/>
        </w:rPr>
        <w:t xml:space="preserve">RPE65 </w:t>
      </w:r>
      <w:r w:rsidR="00C137D2">
        <w:rPr>
          <w:rFonts w:eastAsiaTheme="minorHAnsi" w:cs="Cambria"/>
        </w:rPr>
        <w:t>mutations.</w:t>
      </w:r>
    </w:p>
    <w:p w14:paraId="38519A50" w14:textId="77777777"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The primary objective of the study was</w:t>
      </w:r>
      <w:r>
        <w:rPr>
          <w:rFonts w:ascii="Times New Roman" w:eastAsiaTheme="minorHAnsi" w:hAnsi="Times New Roman"/>
          <w:sz w:val="20"/>
        </w:rPr>
        <w:t xml:space="preserve"> </w:t>
      </w:r>
      <w:r>
        <w:rPr>
          <w:rFonts w:ascii="Calibri" w:eastAsiaTheme="minorHAnsi" w:hAnsi="Calibri" w:cs="Calibri"/>
        </w:rPr>
        <w:t xml:space="preserve">to </w:t>
      </w:r>
      <w:r>
        <w:rPr>
          <w:rFonts w:eastAsiaTheme="minorHAnsi" w:cs="Cambria"/>
        </w:rPr>
        <w:t xml:space="preserve">determine whether non-simultaneous, bilateral sub-retinal administration of AAV2-hRPE65v2 improves the ability to navigate (as measured by standardised mobility testing) in adults and children aged 3 years and older with </w:t>
      </w:r>
      <w:r>
        <w:rPr>
          <w:rFonts w:eastAsiaTheme="minorHAnsi" w:cs="Cambria"/>
          <w:i/>
          <w:iCs/>
        </w:rPr>
        <w:t xml:space="preserve">RPE65 </w:t>
      </w:r>
      <w:r>
        <w:rPr>
          <w:rFonts w:eastAsiaTheme="minorHAnsi" w:cs="Cambria"/>
        </w:rPr>
        <w:t>mutations.</w:t>
      </w:r>
    </w:p>
    <w:p w14:paraId="2D99C4A2" w14:textId="76646B32"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Subjects randomised to the intervention group (n = 21) received a dose of 1.5</w:t>
      </w:r>
      <w:r w:rsidR="00480046">
        <w:rPr>
          <w:rFonts w:eastAsiaTheme="minorHAnsi" w:cs="Cambria"/>
        </w:rPr>
        <w:t xml:space="preserve"> x 10</w:t>
      </w:r>
      <w:r w:rsidRPr="00480046">
        <w:rPr>
          <w:rFonts w:eastAsiaTheme="minorHAnsi" w:cs="Cambria"/>
          <w:vertAlign w:val="superscript"/>
        </w:rPr>
        <w:t>11</w:t>
      </w:r>
      <w:r w:rsidR="00480046">
        <w:rPr>
          <w:rFonts w:eastAsiaTheme="minorHAnsi" w:cs="Cambria"/>
        </w:rPr>
        <w:t xml:space="preserve"> vg of </w:t>
      </w:r>
      <w:r w:rsidRPr="00332B66">
        <w:t>AAV2-hRPE65v2</w:t>
      </w:r>
      <w:r>
        <w:rPr>
          <w:rFonts w:eastAsiaTheme="minorHAnsi" w:cs="Cambria"/>
        </w:rPr>
        <w:t xml:space="preserve"> in each eye. Subjects in the control group did not receive any treatment for at least 12 months. Following retinal and visual assessments at 12 months, subjects in the control group still meeting eligibility criteria were crossed over to receive non</w:t>
      </w:r>
      <w:r w:rsidR="00E71F9C">
        <w:rPr>
          <w:rFonts w:eastAsiaTheme="minorHAnsi" w:cs="Cambria"/>
        </w:rPr>
        <w:noBreakHyphen/>
      </w:r>
      <w:r>
        <w:rPr>
          <w:rFonts w:eastAsiaTheme="minorHAnsi" w:cs="Cambria"/>
        </w:rPr>
        <w:t>simultaneous bilateral (within 6</w:t>
      </w:r>
      <w:r w:rsidR="00E71F9C">
        <w:rPr>
          <w:rFonts w:eastAsiaTheme="minorHAnsi" w:cs="Cambria"/>
        </w:rPr>
        <w:t xml:space="preserve"> to </w:t>
      </w:r>
      <w:r>
        <w:rPr>
          <w:rFonts w:eastAsiaTheme="minorHAnsi" w:cs="Cambria"/>
        </w:rPr>
        <w:t>18 days</w:t>
      </w:r>
      <w:r w:rsidR="00480046">
        <w:rPr>
          <w:rFonts w:eastAsiaTheme="minorHAnsi" w:cs="Cambria"/>
        </w:rPr>
        <w:t>) sub-retinal injections of 1.5 x 10</w:t>
      </w:r>
      <w:r w:rsidRPr="00480046">
        <w:rPr>
          <w:rFonts w:eastAsiaTheme="minorHAnsi" w:cs="Cambria"/>
          <w:vertAlign w:val="superscript"/>
        </w:rPr>
        <w:t>11</w:t>
      </w:r>
      <w:r w:rsidR="00480046">
        <w:rPr>
          <w:rFonts w:eastAsiaTheme="minorHAnsi" w:cs="Cambria"/>
        </w:rPr>
        <w:t xml:space="preserve"> vg of </w:t>
      </w:r>
      <w:r>
        <w:rPr>
          <w:rFonts w:eastAsiaTheme="minorHAnsi" w:cs="Cambria"/>
        </w:rPr>
        <w:t>AA</w:t>
      </w:r>
      <w:r>
        <w:rPr>
          <w:rFonts w:ascii="Calibri" w:eastAsiaTheme="minorHAnsi" w:hAnsi="Calibri" w:cs="Calibri"/>
        </w:rPr>
        <w:t>V</w:t>
      </w:r>
      <w:r>
        <w:rPr>
          <w:rFonts w:eastAsiaTheme="minorHAnsi" w:cs="Cambria"/>
        </w:rPr>
        <w:t>2</w:t>
      </w:r>
      <w:r w:rsidR="00C80A97">
        <w:rPr>
          <w:rFonts w:eastAsiaTheme="minorHAnsi" w:cs="Cambria"/>
        </w:rPr>
        <w:noBreakHyphen/>
      </w:r>
      <w:r w:rsidRPr="00332B66">
        <w:t>hRPE65v2</w:t>
      </w:r>
      <w:r>
        <w:rPr>
          <w:rFonts w:eastAsiaTheme="minorHAnsi" w:cs="Cambria"/>
        </w:rPr>
        <w:t xml:space="preserve"> as per the intervention group. This part of the study is </w:t>
      </w:r>
      <w:r w:rsidR="00F1460F">
        <w:rPr>
          <w:rFonts w:eastAsiaTheme="minorHAnsi" w:cs="Cambria"/>
        </w:rPr>
        <w:t xml:space="preserve">referred to by the </w:t>
      </w:r>
      <w:r w:rsidR="00C80A97">
        <w:rPr>
          <w:rFonts w:eastAsiaTheme="minorHAnsi" w:cs="Cambria"/>
        </w:rPr>
        <w:t xml:space="preserve">sponsor </w:t>
      </w:r>
      <w:r w:rsidR="00F1460F">
        <w:rPr>
          <w:rFonts w:eastAsiaTheme="minorHAnsi" w:cs="Cambria"/>
        </w:rPr>
        <w:t>as ‘</w:t>
      </w:r>
      <w:r w:rsidR="00C80A97">
        <w:rPr>
          <w:rFonts w:eastAsiaTheme="minorHAnsi" w:cs="Cambria"/>
        </w:rPr>
        <w:t>S</w:t>
      </w:r>
      <w:r>
        <w:rPr>
          <w:rFonts w:eastAsiaTheme="minorHAnsi" w:cs="Cambria"/>
        </w:rPr>
        <w:t>tudy 302’</w:t>
      </w:r>
      <w:r w:rsidR="00480046">
        <w:rPr>
          <w:rFonts w:eastAsiaTheme="minorHAnsi" w:cs="Cambria"/>
        </w:rPr>
        <w:t>.</w:t>
      </w:r>
    </w:p>
    <w:p w14:paraId="7F193EF5" w14:textId="083A1669"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Efficacy assessments were conducted at Day</w:t>
      </w:r>
      <w:r w:rsidR="001616C0">
        <w:rPr>
          <w:rFonts w:eastAsiaTheme="minorHAnsi" w:cs="Cambria"/>
        </w:rPr>
        <w:t>s</w:t>
      </w:r>
      <w:r>
        <w:rPr>
          <w:rFonts w:eastAsiaTheme="minorHAnsi" w:cs="Cambria"/>
        </w:rPr>
        <w:t xml:space="preserve"> 30, 90, 180 and 1 year following the second vector administration procedure with the primary efficacy analysis at Year</w:t>
      </w:r>
      <w:r w:rsidR="00480046">
        <w:rPr>
          <w:rFonts w:eastAsiaTheme="minorHAnsi" w:cs="Cambria"/>
        </w:rPr>
        <w:t xml:space="preserve"> 1. The study was conducted at two</w:t>
      </w:r>
      <w:r>
        <w:rPr>
          <w:rFonts w:eastAsiaTheme="minorHAnsi" w:cs="Cambria"/>
        </w:rPr>
        <w:t xml:space="preserve"> centres in the USA.</w:t>
      </w:r>
    </w:p>
    <w:p w14:paraId="0691417B" w14:textId="364FB245" w:rsidR="00C137D2" w:rsidRPr="00B1483D" w:rsidRDefault="00C137D2" w:rsidP="00E74AC5">
      <w:pPr>
        <w:rPr>
          <w:rFonts w:asciiTheme="minorHAnsi" w:hAnsiTheme="minorHAnsi"/>
        </w:rPr>
      </w:pPr>
      <w:r w:rsidRPr="00B1483D">
        <w:lastRenderedPageBreak/>
        <w:t xml:space="preserve">Eligible participants were male and female subjects aged 3 years and older with </w:t>
      </w:r>
      <w:r w:rsidR="00480046">
        <w:t>IRD due to</w:t>
      </w:r>
      <w:r w:rsidRPr="00B1483D">
        <w:t xml:space="preserve"> </w:t>
      </w:r>
      <w:r w:rsidRPr="00B1483D">
        <w:rPr>
          <w:i/>
          <w:iCs/>
        </w:rPr>
        <w:t>RPE65</w:t>
      </w:r>
      <w:r w:rsidR="00332B66">
        <w:t xml:space="preserve"> mutations</w:t>
      </w:r>
      <w:r w:rsidR="00C80A97">
        <w:t>;</w:t>
      </w:r>
      <w:r w:rsidR="00332B66">
        <w:rPr>
          <w:rStyle w:val="FootnoteReference"/>
          <w:rFonts w:eastAsiaTheme="minorHAnsi" w:cs="Cambria"/>
        </w:rPr>
        <w:footnoteReference w:id="10"/>
      </w:r>
      <w:r w:rsidRPr="00B1483D">
        <w:t xml:space="preserve"> with best-corrected </w:t>
      </w:r>
      <w:r w:rsidR="00332B66">
        <w:t>visual acuity worse than 20/60 in both eyes,</w:t>
      </w:r>
      <w:r w:rsidRPr="00B1483D">
        <w:t xml:space="preserve"> and/or visual field</w:t>
      </w:r>
      <w:r w:rsidR="00332B66">
        <w:t xml:space="preserve"> less than 20</w:t>
      </w:r>
      <w:r w:rsidR="00C80A97">
        <w:t xml:space="preserve"> degrees</w:t>
      </w:r>
      <w:r w:rsidR="00332B66">
        <w:t xml:space="preserve"> in any meridian</w:t>
      </w:r>
      <w:r w:rsidRPr="00B1483D">
        <w:t xml:space="preserve"> as measured </w:t>
      </w:r>
      <w:r w:rsidR="00C80A97" w:rsidRPr="00B1483D">
        <w:t xml:space="preserve">by </w:t>
      </w:r>
      <w:r w:rsidR="00C80A97">
        <w:t>visual field score</w:t>
      </w:r>
      <w:r w:rsidR="00332B66">
        <w:t xml:space="preserve"> of </w:t>
      </w:r>
      <w:proofErr w:type="spellStart"/>
      <w:r w:rsidR="00332B66">
        <w:t>Goldmann</w:t>
      </w:r>
      <w:proofErr w:type="spellEnd"/>
      <w:r w:rsidR="00332B66">
        <w:t xml:space="preserve"> </w:t>
      </w:r>
      <w:r w:rsidRPr="00B1483D">
        <w:t xml:space="preserve">III4e </w:t>
      </w:r>
      <w:proofErr w:type="spellStart"/>
      <w:r w:rsidRPr="00B1483D">
        <w:t>isopter</w:t>
      </w:r>
      <w:proofErr w:type="spellEnd"/>
      <w:r w:rsidRPr="00B1483D">
        <w:t xml:space="preserve"> or equivalent</w:t>
      </w:r>
      <w:bookmarkStart w:id="40" w:name="_Ref54692057"/>
      <w:r w:rsidR="00C80A97">
        <w:t>;</w:t>
      </w:r>
      <w:bookmarkStart w:id="41" w:name="_Ref58921482"/>
      <w:r w:rsidR="00332B66">
        <w:rPr>
          <w:rStyle w:val="FootnoteReference"/>
          <w:rFonts w:eastAsiaTheme="minorHAnsi" w:cs="Cambria"/>
        </w:rPr>
        <w:footnoteReference w:id="11"/>
      </w:r>
      <w:bookmarkEnd w:id="40"/>
      <w:bookmarkEnd w:id="41"/>
      <w:r w:rsidRPr="00B1483D">
        <w:t xml:space="preserve"> in both eyes. The sponsor did not consider the subgrouping of patients using historical labels such as LCA or RP to be as important as a genetic diagnosis in defining patients eligible for treatment. Subjects were to have sufficient viable retinal cells as determined by non-invasive means (</w:t>
      </w:r>
      <w:r w:rsidR="00713B45">
        <w:t xml:space="preserve">such as </w:t>
      </w:r>
      <w:r w:rsidR="00C80A97">
        <w:t>optical coherence tomography (</w:t>
      </w:r>
      <w:r w:rsidRPr="00B1483D">
        <w:t>OCT</w:t>
      </w:r>
      <w:r w:rsidR="00C80A97">
        <w:t>)</w:t>
      </w:r>
      <w:r w:rsidRPr="00B1483D">
        <w:t xml:space="preserve"> </w:t>
      </w:r>
      <w:r w:rsidR="00713B45">
        <w:t>and/</w:t>
      </w:r>
      <w:r w:rsidRPr="00B1483D">
        <w:t xml:space="preserve">or ophthalmoscopy). This was </w:t>
      </w:r>
      <w:r w:rsidRPr="00B1483D">
        <w:rPr>
          <w:rFonts w:asciiTheme="minorHAnsi" w:hAnsiTheme="minorHAnsi"/>
        </w:rPr>
        <w:t>defined as either:</w:t>
      </w:r>
    </w:p>
    <w:p w14:paraId="1DE3E6B4" w14:textId="49EAF00D" w:rsidR="00E74AC5" w:rsidRDefault="00C80A97" w:rsidP="00E74AC5">
      <w:pPr>
        <w:pStyle w:val="ListBullet"/>
      </w:pPr>
      <w:r>
        <w:t>a</w:t>
      </w:r>
      <w:r w:rsidR="00C137D2" w:rsidRPr="00E74AC5">
        <w:t>n area of retin</w:t>
      </w:r>
      <w:r w:rsidR="009913FD">
        <w:t>a within the posterior pole of greater than</w:t>
      </w:r>
      <w:r w:rsidR="00C137D2" w:rsidRPr="00E74AC5">
        <w:t xml:space="preserve"> 100 µm thickness shown on OCT</w:t>
      </w:r>
      <w:r w:rsidR="009913FD">
        <w:t>;</w:t>
      </w:r>
    </w:p>
    <w:p w14:paraId="328D3813" w14:textId="141FA497" w:rsidR="00E74AC5" w:rsidRPr="00E74AC5" w:rsidRDefault="00C80A97" w:rsidP="00E74AC5">
      <w:pPr>
        <w:pStyle w:val="ListBullet"/>
      </w:pPr>
      <w:r>
        <w:rPr>
          <w:rFonts w:asciiTheme="minorHAnsi" w:eastAsiaTheme="minorHAnsi" w:hAnsiTheme="minorHAnsi" w:cs="Calibri"/>
        </w:rPr>
        <w:t>g</w:t>
      </w:r>
      <w:r w:rsidR="009913FD">
        <w:rPr>
          <w:rFonts w:asciiTheme="minorHAnsi" w:eastAsiaTheme="minorHAnsi" w:hAnsiTheme="minorHAnsi" w:cs="Calibri"/>
        </w:rPr>
        <w:t>reater than or equal to three</w:t>
      </w:r>
      <w:r w:rsidR="00C137D2" w:rsidRPr="00E74AC5">
        <w:rPr>
          <w:rFonts w:asciiTheme="minorHAnsi" w:eastAsiaTheme="minorHAnsi" w:hAnsiTheme="minorHAnsi" w:cs="Calibri"/>
        </w:rPr>
        <w:t xml:space="preserve"> disc areas of retina without atrophy or </w:t>
      </w:r>
      <w:proofErr w:type="spellStart"/>
      <w:r w:rsidR="00C137D2" w:rsidRPr="00E74AC5">
        <w:rPr>
          <w:rFonts w:asciiTheme="minorHAnsi" w:eastAsiaTheme="minorHAnsi" w:hAnsiTheme="minorHAnsi" w:cs="Calibri"/>
        </w:rPr>
        <w:t>pigmentary</w:t>
      </w:r>
      <w:proofErr w:type="spellEnd"/>
      <w:r w:rsidR="00C137D2" w:rsidRPr="00E74AC5">
        <w:rPr>
          <w:rFonts w:asciiTheme="minorHAnsi" w:eastAsiaTheme="minorHAnsi" w:hAnsiTheme="minorHAnsi" w:cs="Calibri"/>
        </w:rPr>
        <w:t xml:space="preserve"> degeneration </w:t>
      </w:r>
      <w:r w:rsidR="009913FD">
        <w:rPr>
          <w:rFonts w:asciiTheme="minorHAnsi" w:eastAsiaTheme="minorHAnsi" w:hAnsiTheme="minorHAnsi" w:cs="Calibri"/>
        </w:rPr>
        <w:t xml:space="preserve">within the posterior pole; </w:t>
      </w:r>
      <w:r w:rsidR="00C137D2" w:rsidRPr="00E74AC5">
        <w:rPr>
          <w:rFonts w:asciiTheme="minorHAnsi" w:eastAsiaTheme="minorHAnsi" w:hAnsiTheme="minorHAnsi" w:cs="Calibri"/>
        </w:rPr>
        <w:t>or</w:t>
      </w:r>
    </w:p>
    <w:p w14:paraId="1981B132" w14:textId="05714F95" w:rsidR="00C137D2" w:rsidRPr="00E74AC5" w:rsidRDefault="001616C0" w:rsidP="00E74AC5">
      <w:pPr>
        <w:pStyle w:val="ListBullet"/>
      </w:pPr>
      <w:r>
        <w:rPr>
          <w:rFonts w:asciiTheme="minorHAnsi" w:eastAsiaTheme="minorHAnsi" w:hAnsiTheme="minorHAnsi" w:cs="Calibri"/>
        </w:rPr>
        <w:t>r</w:t>
      </w:r>
      <w:r w:rsidR="00C137D2" w:rsidRPr="00E74AC5">
        <w:rPr>
          <w:rFonts w:asciiTheme="minorHAnsi" w:eastAsiaTheme="minorHAnsi" w:hAnsiTheme="minorHAnsi" w:cs="Calibri"/>
        </w:rPr>
        <w:t xml:space="preserve">emaining visual field within 30 ͦ of fixation as measured by </w:t>
      </w:r>
      <w:proofErr w:type="spellStart"/>
      <w:r w:rsidR="009913FD">
        <w:rPr>
          <w:rFonts w:asciiTheme="minorHAnsi" w:eastAsiaTheme="minorHAnsi" w:hAnsiTheme="minorHAnsi" w:cs="Calibri"/>
        </w:rPr>
        <w:t>Goldmann</w:t>
      </w:r>
      <w:proofErr w:type="spellEnd"/>
      <w:r w:rsidR="009913FD">
        <w:rPr>
          <w:rFonts w:asciiTheme="minorHAnsi" w:eastAsiaTheme="minorHAnsi" w:hAnsiTheme="minorHAnsi" w:cs="Calibri"/>
        </w:rPr>
        <w:t xml:space="preserve"> </w:t>
      </w:r>
      <w:r w:rsidR="00C137D2" w:rsidRPr="00E74AC5">
        <w:rPr>
          <w:rFonts w:asciiTheme="minorHAnsi" w:eastAsiaTheme="minorHAnsi" w:hAnsiTheme="minorHAnsi" w:cs="Calibri"/>
        </w:rPr>
        <w:t xml:space="preserve">III4e </w:t>
      </w:r>
      <w:proofErr w:type="spellStart"/>
      <w:r w:rsidR="00C137D2" w:rsidRPr="00E74AC5">
        <w:rPr>
          <w:rFonts w:asciiTheme="minorHAnsi" w:eastAsiaTheme="minorHAnsi" w:hAnsiTheme="minorHAnsi" w:cs="Calibri"/>
        </w:rPr>
        <w:t>isopter</w:t>
      </w:r>
      <w:proofErr w:type="spellEnd"/>
      <w:r w:rsidR="00C137D2" w:rsidRPr="00E74AC5">
        <w:rPr>
          <w:rFonts w:asciiTheme="minorHAnsi" w:eastAsiaTheme="minorHAnsi" w:hAnsiTheme="minorHAnsi" w:cs="Calibri"/>
        </w:rPr>
        <w:t xml:space="preserve"> or equivalent</w:t>
      </w:r>
      <w:r w:rsidR="009913FD">
        <w:rPr>
          <w:rFonts w:asciiTheme="minorHAnsi" w:eastAsiaTheme="minorHAnsi" w:hAnsiTheme="minorHAnsi" w:cs="Calibri"/>
        </w:rPr>
        <w:t>.</w:t>
      </w:r>
      <w:r w:rsidR="005316A0" w:rsidRPr="005316A0">
        <w:rPr>
          <w:rFonts w:asciiTheme="minorHAnsi" w:eastAsiaTheme="minorHAnsi" w:hAnsiTheme="minorHAnsi" w:cs="Calibri"/>
          <w:vertAlign w:val="superscript"/>
        </w:rPr>
        <w:fldChar w:fldCharType="begin"/>
      </w:r>
      <w:r w:rsidR="005316A0" w:rsidRPr="005316A0">
        <w:rPr>
          <w:rFonts w:asciiTheme="minorHAnsi" w:eastAsiaTheme="minorHAnsi" w:hAnsiTheme="minorHAnsi" w:cs="Calibri"/>
          <w:vertAlign w:val="superscript"/>
        </w:rPr>
        <w:instrText xml:space="preserve"> NOTEREF _Ref58921482 \h </w:instrText>
      </w:r>
      <w:r w:rsidR="005316A0">
        <w:rPr>
          <w:rFonts w:asciiTheme="minorHAnsi" w:eastAsiaTheme="minorHAnsi" w:hAnsiTheme="minorHAnsi" w:cs="Calibri"/>
          <w:vertAlign w:val="superscript"/>
        </w:rPr>
        <w:instrText xml:space="preserve"> \* MERGEFORMAT </w:instrText>
      </w:r>
      <w:r w:rsidR="005316A0" w:rsidRPr="005316A0">
        <w:rPr>
          <w:rFonts w:asciiTheme="minorHAnsi" w:eastAsiaTheme="minorHAnsi" w:hAnsiTheme="minorHAnsi" w:cs="Calibri"/>
          <w:vertAlign w:val="superscript"/>
        </w:rPr>
      </w:r>
      <w:r w:rsidR="005316A0" w:rsidRPr="005316A0">
        <w:rPr>
          <w:rFonts w:asciiTheme="minorHAnsi" w:eastAsiaTheme="minorHAnsi" w:hAnsiTheme="minorHAnsi" w:cs="Calibri"/>
          <w:vertAlign w:val="superscript"/>
        </w:rPr>
        <w:fldChar w:fldCharType="separate"/>
      </w:r>
      <w:r w:rsidR="005316A0" w:rsidRPr="005316A0">
        <w:rPr>
          <w:rFonts w:asciiTheme="minorHAnsi" w:eastAsiaTheme="minorHAnsi" w:hAnsiTheme="minorHAnsi" w:cs="Calibri"/>
          <w:vertAlign w:val="superscript"/>
        </w:rPr>
        <w:t>10</w:t>
      </w:r>
      <w:r w:rsidR="005316A0" w:rsidRPr="005316A0">
        <w:rPr>
          <w:rFonts w:asciiTheme="minorHAnsi" w:eastAsiaTheme="minorHAnsi" w:hAnsiTheme="minorHAnsi" w:cs="Calibri"/>
          <w:vertAlign w:val="superscript"/>
        </w:rPr>
        <w:fldChar w:fldCharType="end"/>
      </w:r>
    </w:p>
    <w:p w14:paraId="1F778E14" w14:textId="481A3412" w:rsidR="00C137D2" w:rsidRPr="00647872" w:rsidRDefault="00C80A97" w:rsidP="00647872">
      <w:pPr>
        <w:pStyle w:val="Heading6"/>
      </w:pPr>
      <w:r>
        <w:rPr>
          <w:rStyle w:val="Heading6Char"/>
          <w:rFonts w:eastAsia="Cambria"/>
          <w:bCs/>
          <w:i/>
        </w:rPr>
        <w:t>Procedure technique</w:t>
      </w:r>
    </w:p>
    <w:p w14:paraId="4892509C" w14:textId="39061FE1" w:rsidR="00C137D2" w:rsidRDefault="00C137D2" w:rsidP="00D356FF">
      <w:r>
        <w:t>Deli</w:t>
      </w:r>
      <w:r>
        <w:rPr>
          <w:rFonts w:ascii="Calibri" w:hAnsi="Calibri" w:cs="Calibri"/>
        </w:rPr>
        <w:t>v</w:t>
      </w:r>
      <w:r>
        <w:t xml:space="preserve">ery of </w:t>
      </w:r>
      <w:r w:rsidRPr="009913FD">
        <w:t>AAV2-hRPE65v2</w:t>
      </w:r>
      <w:r>
        <w:t xml:space="preserve"> </w:t>
      </w:r>
      <w:r w:rsidR="00A72490" w:rsidRPr="00A72490">
        <w:t xml:space="preserve">used </w:t>
      </w:r>
      <w:r>
        <w:t>a standardi</w:t>
      </w:r>
      <w:r>
        <w:rPr>
          <w:rFonts w:ascii="Calibri" w:hAnsi="Calibri" w:cs="Calibri"/>
        </w:rPr>
        <w:t>s</w:t>
      </w:r>
      <w:r>
        <w:t>ed procedure</w:t>
      </w:r>
      <w:r w:rsidR="00A72490">
        <w:t xml:space="preserve">. It </w:t>
      </w:r>
      <w:r>
        <w:t xml:space="preserve">comprised of </w:t>
      </w:r>
      <w:r w:rsidR="00A72490">
        <w:t xml:space="preserve">a </w:t>
      </w:r>
      <w:r>
        <w:t>standard 3</w:t>
      </w:r>
      <w:r w:rsidR="00C80A97">
        <w:noBreakHyphen/>
      </w:r>
      <w:r>
        <w:t xml:space="preserve">port pars </w:t>
      </w:r>
      <w:proofErr w:type="spellStart"/>
      <w:r>
        <w:t>plana</w:t>
      </w:r>
      <w:proofErr w:type="spellEnd"/>
      <w:r>
        <w:t xml:space="preserve"> vitrectomy and </w:t>
      </w:r>
      <w:proofErr w:type="spellStart"/>
      <w:r>
        <w:t>subretinal</w:t>
      </w:r>
      <w:proofErr w:type="spellEnd"/>
      <w:r>
        <w:t xml:space="preserve"> injection of AAV2-hRPE65v2. Two surgeon</w:t>
      </w:r>
      <w:r w:rsidR="00A72490">
        <w:t>s</w:t>
      </w:r>
      <w:r>
        <w:t xml:space="preserve"> are required to perform this procedure. Surgery </w:t>
      </w:r>
      <w:r>
        <w:rPr>
          <w:rFonts w:ascii="Calibri" w:hAnsi="Calibri" w:cs="Calibri"/>
        </w:rPr>
        <w:t>w</w:t>
      </w:r>
      <w:r>
        <w:t xml:space="preserve">as performed under general anaesthesia supplemented by </w:t>
      </w:r>
      <w:proofErr w:type="spellStart"/>
      <w:r>
        <w:t>retrobulbar</w:t>
      </w:r>
      <w:proofErr w:type="spellEnd"/>
      <w:r>
        <w:t xml:space="preserve"> </w:t>
      </w:r>
      <w:r w:rsidR="00A72490">
        <w:t>block</w:t>
      </w:r>
      <w:r>
        <w:t>. The eye was prepped with 5% betadine solution placed in the conj</w:t>
      </w:r>
      <w:r w:rsidR="00A72490">
        <w:t>unctival fornix and on the peri</w:t>
      </w:r>
      <w:r>
        <w:t>ocular skin</w:t>
      </w:r>
      <w:r w:rsidR="00A72490">
        <w:t>,</w:t>
      </w:r>
      <w:r>
        <w:t xml:space="preserve"> and draped under sterile conditions. AAV2-hRPE65v2 was administered using a commercially ava</w:t>
      </w:r>
      <w:r w:rsidR="00A72490">
        <w:t xml:space="preserve">ilable cannula designed for </w:t>
      </w:r>
      <w:proofErr w:type="spellStart"/>
      <w:r w:rsidR="00A72490">
        <w:t>sub</w:t>
      </w:r>
      <w:r>
        <w:t>retinal</w:t>
      </w:r>
      <w:proofErr w:type="spellEnd"/>
      <w:r>
        <w:t xml:space="preserve"> injection</w:t>
      </w:r>
      <w:r w:rsidR="00A72490">
        <w:t>.</w:t>
      </w:r>
      <w:r w:rsidR="00A72490">
        <w:rPr>
          <w:rStyle w:val="FootnoteReference"/>
          <w:rFonts w:eastAsiaTheme="minorHAnsi" w:cs="Cambria"/>
        </w:rPr>
        <w:footnoteReference w:id="12"/>
      </w:r>
      <w:r w:rsidR="00DB43A1">
        <w:t>The extent of the injection included a portion of the macular area, but avoiding the vicinity of the fovea</w:t>
      </w:r>
      <w:r>
        <w:t xml:space="preserve">. The cannula tip was placed on the retina in the area of the </w:t>
      </w:r>
      <w:proofErr w:type="spellStart"/>
      <w:r>
        <w:t>papillomacular</w:t>
      </w:r>
      <w:proofErr w:type="spellEnd"/>
      <w:r>
        <w:t xml:space="preserve"> bundle, </w:t>
      </w:r>
      <w:proofErr w:type="spellStart"/>
      <w:r>
        <w:t>superotemporal</w:t>
      </w:r>
      <w:proofErr w:type="spellEnd"/>
      <w:r>
        <w:t xml:space="preserve"> to the optic nerve and superior to the macular centre. The cannula was placed a minimum of 2 mm from the </w:t>
      </w:r>
      <w:proofErr w:type="spellStart"/>
      <w:r>
        <w:t>foveal</w:t>
      </w:r>
      <w:proofErr w:type="spellEnd"/>
      <w:r>
        <w:t xml:space="preserve"> centre but posterior to the equator of the eye. Ocular corticosteroids and antibiotics were used during the procedure</w:t>
      </w:r>
      <w:r w:rsidR="008A5415">
        <w:t xml:space="preserve">. They were </w:t>
      </w:r>
      <w:proofErr w:type="spellStart"/>
      <w:r>
        <w:t>retrobulbar</w:t>
      </w:r>
      <w:proofErr w:type="spellEnd"/>
      <w:r>
        <w:t xml:space="preserve"> infusion of 1 mL triamcinolone </w:t>
      </w:r>
      <w:proofErr w:type="spellStart"/>
      <w:r>
        <w:t>acetonide</w:t>
      </w:r>
      <w:proofErr w:type="spellEnd"/>
      <w:r>
        <w:t xml:space="preserve"> s</w:t>
      </w:r>
      <w:r w:rsidR="008A5415">
        <w:t>olution (40 mg/mL)</w:t>
      </w:r>
      <w:r>
        <w:t xml:space="preserve">, </w:t>
      </w:r>
      <w:proofErr w:type="spellStart"/>
      <w:r>
        <w:t>subconjunctival</w:t>
      </w:r>
      <w:proofErr w:type="spellEnd"/>
      <w:r>
        <w:t xml:space="preserve"> injection of 0.</w:t>
      </w:r>
      <w:r w:rsidR="008A5415">
        <w:t>5 mL of dexamethasone solution (4 mg/mL) and 0.5 mL vancomycin (50 mg/mL); or 0.5 mL cefazolin sodium (100</w:t>
      </w:r>
      <w:r w:rsidR="00C80A97">
        <w:t> </w:t>
      </w:r>
      <w:r w:rsidR="008A5415">
        <w:t>mg/mL) antibiotic solution</w:t>
      </w:r>
      <w:r>
        <w:t>. The ocular surface was dressed with prednisolone acetate 0.6%/gentami</w:t>
      </w:r>
      <w:r w:rsidR="008A5415">
        <w:t xml:space="preserve">cin sulfate 0.3%; </w:t>
      </w:r>
      <w:r>
        <w:t>or tobramycin 0.3%/dexamethasone 0.1% ointment.</w:t>
      </w:r>
    </w:p>
    <w:p w14:paraId="302B451E" w14:textId="6706C8B0"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Systemic corticosteroids were adminis</w:t>
      </w:r>
      <w:r w:rsidR="00F80C8B">
        <w:rPr>
          <w:rFonts w:eastAsiaTheme="minorHAnsi" w:cs="Cambria"/>
        </w:rPr>
        <w:t>tered for 18</w:t>
      </w:r>
      <w:r w:rsidR="00C80A97">
        <w:rPr>
          <w:rFonts w:eastAsiaTheme="minorHAnsi" w:cs="Cambria"/>
        </w:rPr>
        <w:t xml:space="preserve"> to </w:t>
      </w:r>
      <w:r w:rsidR="00F80C8B">
        <w:rPr>
          <w:rFonts w:eastAsiaTheme="minorHAnsi" w:cs="Cambria"/>
        </w:rPr>
        <w:t>30 days inclusive</w:t>
      </w:r>
      <w:r w:rsidR="00C80A97">
        <w:rPr>
          <w:rFonts w:eastAsiaTheme="minorHAnsi" w:cs="Cambria"/>
        </w:rPr>
        <w:t>,</w:t>
      </w:r>
      <w:r w:rsidR="00F80C8B">
        <w:rPr>
          <w:rFonts w:eastAsiaTheme="minorHAnsi" w:cs="Cambria"/>
        </w:rPr>
        <w:t xml:space="preserve"> </w:t>
      </w:r>
      <w:r>
        <w:rPr>
          <w:rFonts w:eastAsiaTheme="minorHAnsi" w:cs="Cambria"/>
        </w:rPr>
        <w:t>depending on the</w:t>
      </w:r>
      <w:r w:rsidR="00F80C8B">
        <w:rPr>
          <w:rFonts w:eastAsiaTheme="minorHAnsi" w:cs="Cambria"/>
        </w:rPr>
        <w:t xml:space="preserve"> timing of the second injection</w:t>
      </w:r>
      <w:r w:rsidR="00C80A97">
        <w:rPr>
          <w:rFonts w:eastAsiaTheme="minorHAnsi" w:cs="Cambria"/>
        </w:rPr>
        <w:t>,</w:t>
      </w:r>
      <w:r>
        <w:rPr>
          <w:rFonts w:eastAsiaTheme="minorHAnsi" w:cs="Cambria"/>
        </w:rPr>
        <w:t xml:space="preserve"> to minimise inflammation associated with the surgical procedure and to reduce the potential for an immune response to the AAV2-hRPE65v2 capsid and transgene product. Subjects received oral prednisone at a dose of 1 mg/kg/day (maximum 40 mg/day) commencing 3 days prior to the first administration of AAV2</w:t>
      </w:r>
      <w:r w:rsidR="001616C0">
        <w:rPr>
          <w:rFonts w:eastAsiaTheme="minorHAnsi" w:cs="Cambria"/>
        </w:rPr>
        <w:noBreakHyphen/>
      </w:r>
      <w:r>
        <w:rPr>
          <w:rFonts w:eastAsiaTheme="minorHAnsi" w:cs="Cambria"/>
        </w:rPr>
        <w:t>hRPE65v2, for a total of 7 days</w:t>
      </w:r>
      <w:r w:rsidR="00F80C8B">
        <w:rPr>
          <w:rFonts w:eastAsiaTheme="minorHAnsi" w:cs="Cambria"/>
        </w:rPr>
        <w:t xml:space="preserve"> followed by a tapering course, which was </w:t>
      </w:r>
      <w:r>
        <w:rPr>
          <w:rFonts w:eastAsiaTheme="minorHAnsi" w:cs="Cambria"/>
        </w:rPr>
        <w:t>0.5 mg/kg/day for 5 days, then 0.5 m</w:t>
      </w:r>
      <w:r w:rsidR="00F80C8B">
        <w:rPr>
          <w:rFonts w:eastAsiaTheme="minorHAnsi" w:cs="Cambria"/>
        </w:rPr>
        <w:t>g/kg/every other day for 5 days</w:t>
      </w:r>
      <w:r>
        <w:rPr>
          <w:rFonts w:eastAsiaTheme="minorHAnsi" w:cs="Cambria"/>
        </w:rPr>
        <w:t>. The prednisone regimen was repeated for the second injection, with this regimen superseding the tapering of the regimen following the first injection.</w:t>
      </w:r>
    </w:p>
    <w:p w14:paraId="07075E94" w14:textId="22CBF940" w:rsidR="00C137D2" w:rsidRPr="00647872" w:rsidRDefault="00C137D2" w:rsidP="00647872">
      <w:pPr>
        <w:pStyle w:val="Heading6"/>
        <w:rPr>
          <w:rFonts w:eastAsiaTheme="minorHAnsi"/>
        </w:rPr>
      </w:pPr>
      <w:r w:rsidRPr="00647872">
        <w:rPr>
          <w:rStyle w:val="Heading6Char"/>
          <w:rFonts w:eastAsiaTheme="minorHAnsi"/>
          <w:bCs/>
          <w:i/>
        </w:rPr>
        <w:t>Endpoints</w:t>
      </w:r>
    </w:p>
    <w:p w14:paraId="40C3FC9A" w14:textId="6E3C4304" w:rsidR="00C137D2" w:rsidRDefault="00C137D2" w:rsidP="454C25EC">
      <w:pPr>
        <w:tabs>
          <w:tab w:val="left" w:pos="1418"/>
        </w:tabs>
        <w:autoSpaceDE w:val="0"/>
        <w:autoSpaceDN w:val="0"/>
        <w:spacing w:line="240" w:lineRule="auto"/>
        <w:rPr>
          <w:rFonts w:eastAsiaTheme="minorEastAsia" w:cs="Cambria"/>
        </w:rPr>
      </w:pPr>
      <w:r w:rsidRPr="454C25EC">
        <w:rPr>
          <w:rFonts w:eastAsiaTheme="minorEastAsia" w:cs="Cambria"/>
        </w:rPr>
        <w:t xml:space="preserve">The primary efficacy endpoint </w:t>
      </w:r>
      <w:r w:rsidR="00003F87" w:rsidRPr="454C25EC">
        <w:rPr>
          <w:rFonts w:eastAsiaTheme="minorEastAsia" w:cs="Cambria"/>
        </w:rPr>
        <w:t>was bilateral performance on the standardi</w:t>
      </w:r>
      <w:r w:rsidR="00DB43A1">
        <w:rPr>
          <w:rFonts w:eastAsiaTheme="minorEastAsia" w:cs="Cambria"/>
        </w:rPr>
        <w:t>s</w:t>
      </w:r>
      <w:r w:rsidR="00003F87" w:rsidRPr="454C25EC">
        <w:rPr>
          <w:rFonts w:eastAsiaTheme="minorEastAsia" w:cs="Cambria"/>
        </w:rPr>
        <w:t>ed multi-luminance mobility test (MLMT), as measured by the mean change from Baseline to Year</w:t>
      </w:r>
      <w:r w:rsidR="001616C0">
        <w:rPr>
          <w:rFonts w:eastAsiaTheme="minorEastAsia" w:cs="Cambria"/>
        </w:rPr>
        <w:t> </w:t>
      </w:r>
      <w:r w:rsidR="00003F87" w:rsidRPr="454C25EC">
        <w:rPr>
          <w:rFonts w:eastAsiaTheme="minorEastAsia" w:cs="Cambria"/>
        </w:rPr>
        <w:t>1</w:t>
      </w:r>
      <w:r w:rsidRPr="454C25EC">
        <w:rPr>
          <w:rFonts w:eastAsiaTheme="minorEastAsia" w:cs="Cambria"/>
        </w:rPr>
        <w:t>. The MLMT was developed by the sponsor to capture the specific functional defect caused by this disorder. It comprised 12 different mobility courses</w:t>
      </w:r>
      <w:r w:rsidR="002C3339">
        <w:rPr>
          <w:rFonts w:eastAsiaTheme="minorEastAsia" w:cs="Cambria"/>
        </w:rPr>
        <w:t xml:space="preserve"> </w:t>
      </w:r>
      <w:r w:rsidR="002C3339">
        <w:rPr>
          <w:rFonts w:eastAsiaTheme="minorHAnsi" w:cs="Cambria"/>
        </w:rPr>
        <w:t xml:space="preserve">printed on heavy white </w:t>
      </w:r>
      <w:r w:rsidR="002C3339">
        <w:rPr>
          <w:rFonts w:eastAsiaTheme="minorHAnsi" w:cs="Cambria"/>
        </w:rPr>
        <w:lastRenderedPageBreak/>
        <w:t>cloth with the path indicated by printed black arrows standardised to dimensions consistent with Snellen lettering for VA of 20/200 at 2 metres. The mobility course was 5</w:t>
      </w:r>
      <w:r w:rsidR="001616C0">
        <w:rPr>
          <w:rFonts w:eastAsiaTheme="minorHAnsi" w:cs="Cambria"/>
        </w:rPr>
        <w:t> </w:t>
      </w:r>
      <w:r w:rsidR="002C3339">
        <w:rPr>
          <w:rFonts w:eastAsiaTheme="minorHAnsi" w:cs="Cambria"/>
        </w:rPr>
        <w:t>feet by 10 feet in size with a one foot border. Each course included standardised number of arrows, turns and obstacles</w:t>
      </w:r>
      <w:r w:rsidR="005F083C" w:rsidRPr="454C25EC">
        <w:rPr>
          <w:rFonts w:eastAsiaTheme="minorEastAsia" w:cs="Cambria"/>
        </w:rPr>
        <w:t>.</w:t>
      </w:r>
      <w:r w:rsidRPr="454C25EC">
        <w:rPr>
          <w:rFonts w:eastAsiaTheme="minorEastAsia" w:cs="Cambria"/>
        </w:rPr>
        <w:t xml:space="preserve"> There were 7 specified luminance levels: 1, 4, 10, 50, 125, 250 and 400 lux corresponding to poorly lit sidewalk at night (1 lux) to studio with floodlights (400 lux). Subjects were tested from dimmest to brightest light.</w:t>
      </w:r>
      <w:r w:rsidR="00DB43A1">
        <w:rPr>
          <w:rStyle w:val="FootnoteReference"/>
          <w:rFonts w:eastAsiaTheme="minorEastAsia" w:cs="Cambria"/>
        </w:rPr>
        <w:footnoteReference w:id="13"/>
      </w:r>
      <w:r w:rsidR="005F083C" w:rsidRPr="454C25EC">
        <w:rPr>
          <w:rFonts w:eastAsiaTheme="minorEastAsia" w:cs="Cambria"/>
        </w:rPr>
        <w:t xml:space="preserve"> </w:t>
      </w:r>
    </w:p>
    <w:p w14:paraId="39BE798F" w14:textId="067DB27F"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 xml:space="preserve">A change score of 1 was considered a clinically meaningful change based upon advice from physicians familiar with these patients and the </w:t>
      </w:r>
      <w:r w:rsidR="000C5A15">
        <w:rPr>
          <w:rFonts w:eastAsiaTheme="minorHAnsi" w:cs="Cambria"/>
        </w:rPr>
        <w:t>MTVS study.</w:t>
      </w:r>
    </w:p>
    <w:p w14:paraId="5B4A4614" w14:textId="77777777" w:rsidR="00C137D2" w:rsidRPr="005C7F4F" w:rsidRDefault="00C137D2" w:rsidP="00C137D2">
      <w:pPr>
        <w:tabs>
          <w:tab w:val="left" w:pos="567"/>
        </w:tabs>
        <w:autoSpaceDE w:val="0"/>
        <w:autoSpaceDN w:val="0"/>
        <w:spacing w:line="240" w:lineRule="auto"/>
        <w:rPr>
          <w:rFonts w:asciiTheme="minorHAnsi" w:eastAsiaTheme="minorHAnsi" w:hAnsiTheme="minorHAnsi" w:cs="Cambria"/>
        </w:rPr>
      </w:pPr>
      <w:r w:rsidRPr="005C7F4F">
        <w:rPr>
          <w:rFonts w:asciiTheme="minorHAnsi" w:eastAsiaTheme="minorHAnsi" w:hAnsiTheme="minorHAnsi" w:cs="Cambria"/>
        </w:rPr>
        <w:t>The secondary endpoints of the study were:</w:t>
      </w:r>
    </w:p>
    <w:p w14:paraId="5F37CBE9" w14:textId="4E3652D3" w:rsidR="000C5A15" w:rsidRDefault="00C80A97" w:rsidP="000C5A15">
      <w:pPr>
        <w:pStyle w:val="ListBullet"/>
      </w:pPr>
      <w:r>
        <w:t>f</w:t>
      </w:r>
      <w:r w:rsidRPr="005C7F4F">
        <w:t>ull</w:t>
      </w:r>
      <w:r w:rsidR="00C137D2" w:rsidRPr="005C7F4F">
        <w:t>-field light sensitivity threshold (FST) testing: ch</w:t>
      </w:r>
      <w:r w:rsidR="006665D6">
        <w:t>ange f</w:t>
      </w:r>
      <w:r w:rsidR="00FC68F2">
        <w:t>rom B</w:t>
      </w:r>
      <w:r w:rsidR="00C137D2" w:rsidRPr="005C7F4F">
        <w:t>aseline to Year 1 in average light sensitivity for white light (averaged over both eyes)</w:t>
      </w:r>
      <w:r>
        <w:t>;</w:t>
      </w:r>
    </w:p>
    <w:p w14:paraId="4F9E0B17" w14:textId="204F52B6" w:rsidR="000C5A15" w:rsidRPr="000C5A15" w:rsidRDefault="00C80A97" w:rsidP="000C5A15">
      <w:pPr>
        <w:pStyle w:val="ListBullet"/>
      </w:pPr>
      <w:r>
        <w:rPr>
          <w:rFonts w:asciiTheme="minorHAnsi" w:eastAsiaTheme="minorHAnsi" w:hAnsiTheme="minorHAnsi" w:cs="Calibri"/>
        </w:rPr>
        <w:t>m</w:t>
      </w:r>
      <w:r w:rsidRPr="000C5A15">
        <w:rPr>
          <w:rFonts w:asciiTheme="minorHAnsi" w:eastAsiaTheme="minorHAnsi" w:hAnsiTheme="minorHAnsi" w:cs="Calibri"/>
        </w:rPr>
        <w:t xml:space="preserve">onocular </w:t>
      </w:r>
      <w:r w:rsidR="00C137D2" w:rsidRPr="000C5A15">
        <w:rPr>
          <w:rFonts w:asciiTheme="minorHAnsi" w:eastAsiaTheme="minorHAnsi" w:hAnsiTheme="minorHAnsi" w:cs="Calibri"/>
        </w:rPr>
        <w:t>mobilit</w:t>
      </w:r>
      <w:r w:rsidR="006665D6">
        <w:rPr>
          <w:rFonts w:asciiTheme="minorHAnsi" w:eastAsiaTheme="minorHAnsi" w:hAnsiTheme="minorHAnsi" w:cs="Calibri"/>
        </w:rPr>
        <w:t>y testing change score: change f</w:t>
      </w:r>
      <w:r w:rsidR="00FC68F2">
        <w:rPr>
          <w:rFonts w:asciiTheme="minorHAnsi" w:eastAsiaTheme="minorHAnsi" w:hAnsiTheme="minorHAnsi" w:cs="Calibri"/>
        </w:rPr>
        <w:t>rom B</w:t>
      </w:r>
      <w:r w:rsidR="00C137D2" w:rsidRPr="000C5A15">
        <w:rPr>
          <w:rFonts w:asciiTheme="minorHAnsi" w:eastAsiaTheme="minorHAnsi" w:hAnsiTheme="minorHAnsi" w:cs="Calibri"/>
        </w:rPr>
        <w:t>aseline to Year 1 in the score of the mobility testing for the first eye</w:t>
      </w:r>
      <w:r>
        <w:rPr>
          <w:rFonts w:asciiTheme="minorHAnsi" w:eastAsiaTheme="minorHAnsi" w:hAnsiTheme="minorHAnsi" w:cs="Calibri"/>
        </w:rPr>
        <w:t>; and</w:t>
      </w:r>
    </w:p>
    <w:p w14:paraId="499314B0" w14:textId="076D7282" w:rsidR="00C137D2" w:rsidRPr="000C5A15" w:rsidRDefault="00C80A97" w:rsidP="000C5A15">
      <w:pPr>
        <w:pStyle w:val="ListBullet"/>
      </w:pPr>
      <w:r>
        <w:rPr>
          <w:rFonts w:asciiTheme="minorHAnsi" w:eastAsiaTheme="minorHAnsi" w:hAnsiTheme="minorHAnsi" w:cs="Calibri"/>
        </w:rPr>
        <w:t xml:space="preserve">visual </w:t>
      </w:r>
      <w:r w:rsidR="000C5A15">
        <w:rPr>
          <w:rFonts w:asciiTheme="minorHAnsi" w:eastAsiaTheme="minorHAnsi" w:hAnsiTheme="minorHAnsi" w:cs="Calibri"/>
        </w:rPr>
        <w:t>acuity (VA)</w:t>
      </w:r>
      <w:r w:rsidR="00C137D2" w:rsidRPr="000C5A15">
        <w:rPr>
          <w:rFonts w:asciiTheme="minorHAnsi" w:eastAsiaTheme="minorHAnsi" w:hAnsiTheme="minorHAnsi" w:cs="Calibri"/>
        </w:rPr>
        <w:t>: average c</w:t>
      </w:r>
      <w:r w:rsidR="006665D6">
        <w:rPr>
          <w:rFonts w:asciiTheme="minorHAnsi" w:eastAsiaTheme="minorHAnsi" w:hAnsiTheme="minorHAnsi" w:cs="Calibri"/>
        </w:rPr>
        <w:t>hange in VA f</w:t>
      </w:r>
      <w:r w:rsidR="00FC68F2">
        <w:rPr>
          <w:rFonts w:asciiTheme="minorHAnsi" w:eastAsiaTheme="minorHAnsi" w:hAnsiTheme="minorHAnsi" w:cs="Calibri"/>
        </w:rPr>
        <w:t>rom B</w:t>
      </w:r>
      <w:r w:rsidR="00C137D2" w:rsidRPr="000C5A15">
        <w:rPr>
          <w:rFonts w:asciiTheme="minorHAnsi" w:eastAsiaTheme="minorHAnsi" w:hAnsiTheme="minorHAnsi" w:cs="Calibri"/>
        </w:rPr>
        <w:t>aseline to Year 1 (averaged over both eyes)</w:t>
      </w:r>
      <w:r>
        <w:rPr>
          <w:rFonts w:asciiTheme="minorHAnsi" w:eastAsiaTheme="minorHAnsi" w:hAnsiTheme="minorHAnsi" w:cs="Calibri"/>
        </w:rPr>
        <w:t>.</w:t>
      </w:r>
    </w:p>
    <w:p w14:paraId="2A8D875E" w14:textId="77777777" w:rsidR="00C137D2" w:rsidRDefault="00C137D2" w:rsidP="00C137D2">
      <w:pPr>
        <w:tabs>
          <w:tab w:val="left" w:pos="567"/>
        </w:tabs>
        <w:autoSpaceDE w:val="0"/>
        <w:autoSpaceDN w:val="0"/>
        <w:spacing w:line="240" w:lineRule="auto"/>
        <w:rPr>
          <w:rFonts w:eastAsiaTheme="minorHAnsi" w:cs="Cambria"/>
        </w:rPr>
      </w:pPr>
      <w:r>
        <w:rPr>
          <w:rFonts w:eastAsiaTheme="minorHAnsi" w:cs="Cambria"/>
        </w:rPr>
        <w:t xml:space="preserve">Exploratory endpoints included visual field (VF) testing (Humphrey and </w:t>
      </w:r>
      <w:proofErr w:type="spellStart"/>
      <w:r>
        <w:rPr>
          <w:rFonts w:eastAsiaTheme="minorHAnsi" w:cs="Cambria"/>
        </w:rPr>
        <w:t>Goldmann</w:t>
      </w:r>
      <w:proofErr w:type="spellEnd"/>
      <w:r>
        <w:rPr>
          <w:rFonts w:eastAsiaTheme="minorHAnsi" w:cs="Cambria"/>
        </w:rPr>
        <w:t>), visual function questionnaire, pupillary light reflex testing, contrast sensitivity and independent orientation and mobility assessments.</w:t>
      </w:r>
    </w:p>
    <w:p w14:paraId="128EFC6A" w14:textId="56E0609A" w:rsidR="00C137D2" w:rsidRPr="00A25C56" w:rsidRDefault="00C137D2" w:rsidP="005B6238">
      <w:pPr>
        <w:pStyle w:val="Heading6"/>
        <w:rPr>
          <w:rFonts w:eastAsiaTheme="minorHAnsi"/>
        </w:rPr>
      </w:pPr>
      <w:r w:rsidRPr="00A25C56">
        <w:rPr>
          <w:rStyle w:val="Heading6Char"/>
          <w:rFonts w:eastAsiaTheme="minorHAnsi"/>
          <w:bCs/>
          <w:i/>
        </w:rPr>
        <w:t>Results</w:t>
      </w:r>
    </w:p>
    <w:p w14:paraId="12762B21" w14:textId="547388A5"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 xml:space="preserve">There were 36 subjects screened and 31 subjects randomised (n = 21 </w:t>
      </w:r>
      <w:r w:rsidR="00C80A97">
        <w:rPr>
          <w:rFonts w:eastAsiaTheme="minorHAnsi" w:cs="Cambria"/>
        </w:rPr>
        <w:t xml:space="preserve">to </w:t>
      </w:r>
      <w:r>
        <w:rPr>
          <w:rFonts w:eastAsiaTheme="minorHAnsi" w:cs="Cambria"/>
        </w:rPr>
        <w:t>intervention</w:t>
      </w:r>
      <w:r w:rsidR="00C80A97">
        <w:rPr>
          <w:rFonts w:eastAsiaTheme="minorHAnsi" w:cs="Cambria"/>
        </w:rPr>
        <w:t xml:space="preserve"> and</w:t>
      </w:r>
      <w:r>
        <w:rPr>
          <w:rFonts w:eastAsiaTheme="minorHAnsi" w:cs="Cambria"/>
        </w:rPr>
        <w:t xml:space="preserve"> n = 10 </w:t>
      </w:r>
      <w:r w:rsidR="00C80A97">
        <w:rPr>
          <w:rFonts w:eastAsiaTheme="minorHAnsi" w:cs="Cambria"/>
        </w:rPr>
        <w:t xml:space="preserve">to </w:t>
      </w:r>
      <w:r>
        <w:rPr>
          <w:rFonts w:eastAsiaTheme="minorHAnsi" w:cs="Cambria"/>
        </w:rPr>
        <w:t>control). Overall 29 subjects (n = 20 intervention, n = 9 control) completed the Year 1 assessment. Two subjects discontinued the study on the day of randomisation prior to any intervention.</w:t>
      </w:r>
    </w:p>
    <w:p w14:paraId="5A614271" w14:textId="002FE1C0" w:rsidR="00C137D2" w:rsidRPr="00423CCD" w:rsidRDefault="00C137D2" w:rsidP="00C137D2">
      <w:pPr>
        <w:tabs>
          <w:tab w:val="left" w:pos="1418"/>
        </w:tabs>
        <w:autoSpaceDE w:val="0"/>
        <w:autoSpaceDN w:val="0"/>
        <w:spacing w:line="240" w:lineRule="auto"/>
        <w:rPr>
          <w:rFonts w:asciiTheme="minorHAnsi" w:hAnsiTheme="minorHAnsi"/>
        </w:rPr>
      </w:pPr>
      <w:r w:rsidRPr="002542E3">
        <w:rPr>
          <w:rFonts w:asciiTheme="minorHAnsi" w:hAnsiTheme="minorHAnsi"/>
        </w:rPr>
        <w:t xml:space="preserve">There were 21 subjects in the intervention group and 10 subjects in the control group. </w:t>
      </w:r>
      <w:r>
        <w:rPr>
          <w:rFonts w:asciiTheme="minorHAnsi" w:hAnsiTheme="minorHAnsi"/>
        </w:rPr>
        <w:t>The mean age w</w:t>
      </w:r>
      <w:r w:rsidR="00BA7BCB">
        <w:rPr>
          <w:rFonts w:asciiTheme="minorHAnsi" w:hAnsiTheme="minorHAnsi"/>
        </w:rPr>
        <w:t>as 15.1 years (range 4 to</w:t>
      </w:r>
      <w:r>
        <w:rPr>
          <w:rFonts w:asciiTheme="minorHAnsi" w:hAnsiTheme="minorHAnsi"/>
        </w:rPr>
        <w:t>44 years). Nystagmus was p</w:t>
      </w:r>
      <w:r w:rsidR="00657B7F">
        <w:rPr>
          <w:rFonts w:asciiTheme="minorHAnsi" w:hAnsiTheme="minorHAnsi"/>
        </w:rPr>
        <w:t>resent for all subjects except one</w:t>
      </w:r>
      <w:r>
        <w:rPr>
          <w:rFonts w:asciiTheme="minorHAnsi" w:hAnsiTheme="minorHAnsi"/>
        </w:rPr>
        <w:t xml:space="preserve"> in the i</w:t>
      </w:r>
      <w:r w:rsidR="006665D6">
        <w:rPr>
          <w:rFonts w:asciiTheme="minorHAnsi" w:hAnsiTheme="minorHAnsi"/>
        </w:rPr>
        <w:t>ntervention group. The mean VA a</w:t>
      </w:r>
      <w:r w:rsidR="00FC68F2">
        <w:rPr>
          <w:rFonts w:asciiTheme="minorHAnsi" w:hAnsiTheme="minorHAnsi"/>
        </w:rPr>
        <w:t>t B</w:t>
      </w:r>
      <w:r>
        <w:rPr>
          <w:rFonts w:asciiTheme="minorHAnsi" w:hAnsiTheme="minorHAnsi"/>
        </w:rPr>
        <w:t xml:space="preserve">aseline was 1.18 </w:t>
      </w:r>
      <w:proofErr w:type="spellStart"/>
      <w:r w:rsidR="00CE0FE2">
        <w:rPr>
          <w:rFonts w:asciiTheme="minorHAnsi" w:hAnsiTheme="minorHAnsi"/>
        </w:rPr>
        <w:t>l</w:t>
      </w:r>
      <w:r>
        <w:rPr>
          <w:rFonts w:asciiTheme="minorHAnsi" w:hAnsiTheme="minorHAnsi"/>
        </w:rPr>
        <w:t>ogMAR</w:t>
      </w:r>
      <w:proofErr w:type="spellEnd"/>
      <w:r>
        <w:rPr>
          <w:rFonts w:asciiTheme="minorHAnsi" w:hAnsiTheme="minorHAnsi"/>
        </w:rPr>
        <w:t xml:space="preserve"> in the</w:t>
      </w:r>
      <w:r w:rsidR="00BA7BCB">
        <w:rPr>
          <w:rFonts w:asciiTheme="minorHAnsi" w:hAnsiTheme="minorHAnsi"/>
        </w:rPr>
        <w:t xml:space="preserve"> intervention group (range 0.72 to </w:t>
      </w:r>
      <w:r>
        <w:rPr>
          <w:rFonts w:asciiTheme="minorHAnsi" w:hAnsiTheme="minorHAnsi"/>
        </w:rPr>
        <w:t>2.17), and 1.29 i</w:t>
      </w:r>
      <w:r w:rsidR="00BA7BCB">
        <w:rPr>
          <w:rFonts w:asciiTheme="minorHAnsi" w:hAnsiTheme="minorHAnsi"/>
        </w:rPr>
        <w:t xml:space="preserve">n the control group (range 0.51 to </w:t>
      </w:r>
      <w:r>
        <w:rPr>
          <w:rFonts w:asciiTheme="minorHAnsi" w:hAnsiTheme="minorHAnsi"/>
        </w:rPr>
        <w:t>4)</w:t>
      </w:r>
      <w:r w:rsidR="00423CCD">
        <w:rPr>
          <w:rFonts w:asciiTheme="minorHAnsi" w:hAnsiTheme="minorHAnsi"/>
        </w:rPr>
        <w:t>;</w:t>
      </w:r>
      <w:r w:rsidR="00CE0FE2">
        <w:rPr>
          <w:rStyle w:val="FootnoteReference"/>
          <w:rFonts w:asciiTheme="minorHAnsi" w:hAnsiTheme="minorHAnsi"/>
        </w:rPr>
        <w:footnoteReference w:id="14"/>
      </w:r>
      <w:r w:rsidR="00CE0FE2">
        <w:rPr>
          <w:rFonts w:asciiTheme="minorHAnsi" w:hAnsiTheme="minorHAnsi"/>
          <w:vertAlign w:val="superscript"/>
        </w:rPr>
        <w:t>,</w:t>
      </w:r>
      <w:r w:rsidR="00423CCD">
        <w:rPr>
          <w:rStyle w:val="FootnoteReference"/>
          <w:rFonts w:asciiTheme="minorHAnsi" w:hAnsiTheme="minorHAnsi"/>
        </w:rPr>
        <w:footnoteReference w:id="15"/>
      </w:r>
      <w:r>
        <w:rPr>
          <w:rFonts w:asciiTheme="minorHAnsi" w:hAnsiTheme="minorHAnsi"/>
        </w:rPr>
        <w:t xml:space="preserve"> </w:t>
      </w:r>
      <w:r w:rsidR="00423CCD">
        <w:rPr>
          <w:rFonts w:asciiTheme="minorHAnsi" w:hAnsiTheme="minorHAnsi"/>
        </w:rPr>
        <w:t xml:space="preserve">The </w:t>
      </w:r>
      <w:r w:rsidR="00423CCD">
        <w:rPr>
          <w:rFonts w:eastAsiaTheme="minorHAnsi" w:cs="Cambria"/>
        </w:rPr>
        <w:t>m</w:t>
      </w:r>
      <w:r w:rsidR="00BA7BCB">
        <w:rPr>
          <w:rFonts w:eastAsiaTheme="minorHAnsi" w:cs="Cambria"/>
        </w:rPr>
        <w:t xml:space="preserve">ean and </w:t>
      </w:r>
      <w:r w:rsidR="00423CCD">
        <w:rPr>
          <w:rFonts w:eastAsiaTheme="minorHAnsi" w:cs="Cambria"/>
        </w:rPr>
        <w:t xml:space="preserve">standard deviation (SD) </w:t>
      </w:r>
      <w:r w:rsidR="00BA7BCB">
        <w:rPr>
          <w:rFonts w:eastAsiaTheme="minorHAnsi" w:cs="Cambria"/>
        </w:rPr>
        <w:t xml:space="preserve">FST score </w:t>
      </w:r>
      <w:r w:rsidR="00423CCD">
        <w:rPr>
          <w:rFonts w:eastAsiaTheme="minorHAnsi" w:cs="Cambria"/>
        </w:rPr>
        <w:t xml:space="preserve">for white light </w:t>
      </w:r>
      <w:r>
        <w:rPr>
          <w:rFonts w:eastAsiaTheme="minorHAnsi" w:cs="Cambria"/>
        </w:rPr>
        <w:t>was -1.29 (0.09) and -1.65 (0.14) log</w:t>
      </w:r>
      <w:r w:rsidRPr="00185D36">
        <w:rPr>
          <w:rFonts w:eastAsiaTheme="minorHAnsi" w:cs="Cambria"/>
          <w:vertAlign w:val="subscript"/>
        </w:rPr>
        <w:t>10</w:t>
      </w:r>
      <w:r w:rsidR="002762D1">
        <w:rPr>
          <w:rFonts w:eastAsiaTheme="minorHAnsi" w:cs="Cambria"/>
        </w:rPr>
        <w:t xml:space="preserve"> </w:t>
      </w:r>
      <w:r w:rsidR="002762D1">
        <w:t>c</w:t>
      </w:r>
      <w:r w:rsidR="002762D1" w:rsidRPr="0093401C">
        <w:t xml:space="preserve">andela </w:t>
      </w:r>
      <w:r w:rsidR="002762D1">
        <w:t xml:space="preserve">second per </w:t>
      </w:r>
      <w:r w:rsidR="002762D1" w:rsidRPr="0093401C">
        <w:t>metre</w:t>
      </w:r>
      <w:r w:rsidR="002762D1">
        <w:t xml:space="preserve"> squared</w:t>
      </w:r>
      <w:r w:rsidR="002762D1">
        <w:rPr>
          <w:rFonts w:eastAsiaTheme="minorHAnsi" w:cs="Cambria"/>
        </w:rPr>
        <w:t xml:space="preserve"> </w:t>
      </w:r>
      <w:r>
        <w:rPr>
          <w:rFonts w:eastAsiaTheme="minorHAnsi" w:cs="Cambria"/>
        </w:rPr>
        <w:t>(</w:t>
      </w:r>
      <w:proofErr w:type="spellStart"/>
      <w:r>
        <w:rPr>
          <w:rFonts w:eastAsiaTheme="minorHAnsi" w:cs="Cambria"/>
        </w:rPr>
        <w:t>cd.s</w:t>
      </w:r>
      <w:proofErr w:type="spellEnd"/>
      <w:r>
        <w:rPr>
          <w:rFonts w:eastAsiaTheme="minorHAnsi" w:cs="Cambria"/>
        </w:rPr>
        <w:t>/m</w:t>
      </w:r>
      <w:r>
        <w:rPr>
          <w:rFonts w:eastAsiaTheme="minorHAnsi" w:cs="Cambria"/>
          <w:vertAlign w:val="superscript"/>
        </w:rPr>
        <w:t>2</w:t>
      </w:r>
      <w:r>
        <w:rPr>
          <w:rFonts w:eastAsiaTheme="minorHAnsi" w:cs="Cambria"/>
        </w:rPr>
        <w:t xml:space="preserve">) in the intervention </w:t>
      </w:r>
      <w:r w:rsidR="006665D6">
        <w:rPr>
          <w:rFonts w:eastAsiaTheme="minorHAnsi" w:cs="Cambria"/>
        </w:rPr>
        <w:t>and control group respectively a</w:t>
      </w:r>
      <w:r w:rsidR="00FC68F2">
        <w:rPr>
          <w:rFonts w:eastAsiaTheme="minorHAnsi" w:cs="Cambria"/>
        </w:rPr>
        <w:t>t B</w:t>
      </w:r>
      <w:r>
        <w:rPr>
          <w:rFonts w:eastAsiaTheme="minorHAnsi" w:cs="Cambria"/>
        </w:rPr>
        <w:t>aseline.</w:t>
      </w:r>
      <w:r w:rsidR="00087262">
        <w:rPr>
          <w:rFonts w:eastAsiaTheme="minorHAnsi" w:cs="Cambria"/>
          <w:color w:val="FF0000"/>
        </w:rPr>
        <w:t xml:space="preserve"> </w:t>
      </w:r>
      <w:r>
        <w:rPr>
          <w:rFonts w:eastAsiaTheme="minorHAnsi" w:cs="Cambria"/>
        </w:rPr>
        <w:t>The lowest lux level at which subjects in the intervention group passed the MLMT</w:t>
      </w:r>
      <w:r w:rsidR="006665D6">
        <w:rPr>
          <w:rFonts w:eastAsiaTheme="minorHAnsi" w:cs="Cambria"/>
        </w:rPr>
        <w:t xml:space="preserve"> a</w:t>
      </w:r>
      <w:r w:rsidR="00FC68F2">
        <w:rPr>
          <w:rFonts w:eastAsiaTheme="minorHAnsi" w:cs="Cambria"/>
        </w:rPr>
        <w:t>t B</w:t>
      </w:r>
      <w:r w:rsidR="00087262">
        <w:rPr>
          <w:rFonts w:eastAsiaTheme="minorHAnsi" w:cs="Cambria"/>
        </w:rPr>
        <w:t xml:space="preserve">aseline ranged from 4 to greater than </w:t>
      </w:r>
      <w:r>
        <w:rPr>
          <w:rFonts w:eastAsiaTheme="minorHAnsi" w:cs="Cambria"/>
        </w:rPr>
        <w:t>400 lux, with the majority of subjects p</w:t>
      </w:r>
      <w:r w:rsidR="00087262">
        <w:rPr>
          <w:rFonts w:eastAsiaTheme="minorHAnsi" w:cs="Cambria"/>
        </w:rPr>
        <w:t>assing the test bilaterally at less than 125 lux. There were two</w:t>
      </w:r>
      <w:r>
        <w:rPr>
          <w:rFonts w:eastAsiaTheme="minorHAnsi" w:cs="Cambria"/>
        </w:rPr>
        <w:t xml:space="preserve"> (10%) subjects </w:t>
      </w:r>
      <w:r w:rsidR="00087262">
        <w:rPr>
          <w:rFonts w:eastAsiaTheme="minorHAnsi" w:cs="Cambria"/>
        </w:rPr>
        <w:t xml:space="preserve">in the intervention group and one </w:t>
      </w:r>
      <w:r>
        <w:rPr>
          <w:rFonts w:eastAsiaTheme="minorHAnsi" w:cs="Cambria"/>
        </w:rPr>
        <w:t>(10%) subject in the control group who did not pass the test at 400 lux, and</w:t>
      </w:r>
      <w:r w:rsidR="00087262">
        <w:rPr>
          <w:rFonts w:eastAsiaTheme="minorHAnsi" w:cs="Cambria"/>
        </w:rPr>
        <w:t xml:space="preserve"> were assigned a lux level of greater than </w:t>
      </w:r>
      <w:r>
        <w:rPr>
          <w:rFonts w:eastAsiaTheme="minorHAnsi" w:cs="Cambria"/>
        </w:rPr>
        <w:t>400</w:t>
      </w:r>
      <w:r w:rsidR="00087262">
        <w:rPr>
          <w:rFonts w:eastAsiaTheme="minorHAnsi" w:cs="Cambria"/>
        </w:rPr>
        <w:t>.</w:t>
      </w:r>
    </w:p>
    <w:p w14:paraId="603EBE64" w14:textId="18E3DEC0" w:rsidR="00C137D2" w:rsidRDefault="00087262" w:rsidP="00C137D2">
      <w:pPr>
        <w:tabs>
          <w:tab w:val="left" w:pos="1418"/>
        </w:tabs>
        <w:autoSpaceDE w:val="0"/>
        <w:autoSpaceDN w:val="0"/>
        <w:spacing w:line="240" w:lineRule="auto"/>
        <w:rPr>
          <w:rFonts w:eastAsiaTheme="minorHAnsi" w:cs="Cambria"/>
        </w:rPr>
      </w:pPr>
      <w:r>
        <w:rPr>
          <w:rFonts w:eastAsiaTheme="minorHAnsi" w:cs="Cambria"/>
        </w:rPr>
        <w:lastRenderedPageBreak/>
        <w:t>The mean and SD</w:t>
      </w:r>
      <w:r w:rsidR="00C137D2">
        <w:rPr>
          <w:rFonts w:eastAsiaTheme="minorHAnsi" w:cs="Cambria"/>
        </w:rPr>
        <w:t xml:space="preserve"> bilateral MLMT chang</w:t>
      </w:r>
      <w:r w:rsidR="006665D6">
        <w:rPr>
          <w:rFonts w:eastAsiaTheme="minorHAnsi" w:cs="Cambria"/>
        </w:rPr>
        <w:t>e score for Year 1 compared to B</w:t>
      </w:r>
      <w:r w:rsidR="00C137D2">
        <w:rPr>
          <w:rFonts w:eastAsiaTheme="minorHAnsi" w:cs="Cambria"/>
        </w:rPr>
        <w:t>aseline was 1.8 (1.1) and 0.2 (1.0) for the intervention and control groups respect</w:t>
      </w:r>
      <w:r>
        <w:rPr>
          <w:rFonts w:eastAsiaTheme="minorHAnsi" w:cs="Cambria"/>
        </w:rPr>
        <w:t>ively;</w:t>
      </w:r>
      <w:r w:rsidR="00C137D2">
        <w:rPr>
          <w:rFonts w:eastAsiaTheme="minorHAnsi" w:cs="Cambria"/>
        </w:rPr>
        <w:t xml:space="preserve"> with a mean difference (intervention </w:t>
      </w:r>
      <w:r w:rsidR="00D025E6">
        <w:rPr>
          <w:rFonts w:eastAsiaTheme="minorHAnsi" w:cs="Cambria"/>
        </w:rPr>
        <w:t xml:space="preserve">versus </w:t>
      </w:r>
      <w:r w:rsidR="00C137D2">
        <w:rPr>
          <w:rFonts w:eastAsiaTheme="minorHAnsi" w:cs="Cambria"/>
        </w:rPr>
        <w:t xml:space="preserve">control) of 1.6 (95% </w:t>
      </w:r>
      <w:r w:rsidR="00414723">
        <w:rPr>
          <w:rFonts w:eastAsiaTheme="minorHAnsi" w:cs="Cambria"/>
        </w:rPr>
        <w:t>confidence interval (</w:t>
      </w:r>
      <w:r w:rsidR="00C137D2">
        <w:rPr>
          <w:rFonts w:eastAsiaTheme="minorHAnsi" w:cs="Cambria"/>
        </w:rPr>
        <w:t>CI</w:t>
      </w:r>
      <w:r w:rsidR="00414723">
        <w:rPr>
          <w:rFonts w:eastAsiaTheme="minorHAnsi" w:cs="Cambria"/>
        </w:rPr>
        <w:t>)</w:t>
      </w:r>
      <w:r w:rsidR="00C137D2">
        <w:rPr>
          <w:rFonts w:eastAsiaTheme="minorHAnsi" w:cs="Cambria"/>
        </w:rPr>
        <w:t>: 0.72, 2.41; p</w:t>
      </w:r>
      <w:r w:rsidR="001616C0">
        <w:rPr>
          <w:rFonts w:eastAsiaTheme="minorHAnsi" w:cs="Cambria"/>
        </w:rPr>
        <w:t> </w:t>
      </w:r>
      <w:r w:rsidR="00C137D2">
        <w:rPr>
          <w:rFonts w:eastAsiaTheme="minorHAnsi" w:cs="Cambria"/>
        </w:rPr>
        <w:t>= 0.001). The median MLMT change score was 2 in the intervention group and 0 in the control group.</w:t>
      </w:r>
    </w:p>
    <w:p w14:paraId="38D323A1" w14:textId="099A034F" w:rsidR="007F0851" w:rsidRDefault="007F0851" w:rsidP="007F0851">
      <w:pPr>
        <w:pStyle w:val="TableTitle"/>
      </w:pPr>
      <w:r>
        <w:t xml:space="preserve">Figure </w:t>
      </w:r>
      <w:r>
        <w:fldChar w:fldCharType="begin"/>
      </w:r>
      <w:r>
        <w:instrText>SEQ Figure \* ARABIC</w:instrText>
      </w:r>
      <w:r>
        <w:fldChar w:fldCharType="separate"/>
      </w:r>
      <w:r w:rsidR="00BD6537">
        <w:rPr>
          <w:noProof/>
        </w:rPr>
        <w:t>3</w:t>
      </w:r>
      <w:r>
        <w:fldChar w:fldCharType="end"/>
      </w:r>
      <w:r w:rsidR="006665D6">
        <w:t xml:space="preserve">: </w:t>
      </w:r>
      <w:r w:rsidR="00EB1807">
        <w:t xml:space="preserve">Study AAV2-hRPE65v2-301 </w:t>
      </w:r>
      <w:r w:rsidR="006665D6">
        <w:t xml:space="preserve">Bilateral </w:t>
      </w:r>
      <w:r w:rsidR="00EB1807">
        <w:t>multi-luminance mobility test</w:t>
      </w:r>
      <w:r w:rsidR="00A96B50">
        <w:t xml:space="preserve"> </w:t>
      </w:r>
      <w:r w:rsidR="006665D6">
        <w:t>scores at B</w:t>
      </w:r>
      <w:r>
        <w:t>aseline and Year 1 by individual (</w:t>
      </w:r>
      <w:r w:rsidR="00EB1807">
        <w:t>intention to treat population</w:t>
      </w:r>
      <w:r>
        <w:t>)</w:t>
      </w:r>
    </w:p>
    <w:p w14:paraId="21C20A17" w14:textId="1E1F90FB" w:rsidR="00944F16" w:rsidRDefault="00944F16" w:rsidP="00C137D2">
      <w:pPr>
        <w:tabs>
          <w:tab w:val="left" w:pos="1418"/>
        </w:tabs>
        <w:autoSpaceDE w:val="0"/>
        <w:autoSpaceDN w:val="0"/>
        <w:spacing w:line="240" w:lineRule="auto"/>
        <w:rPr>
          <w:rFonts w:eastAsiaTheme="minorHAnsi" w:cs="Cambria"/>
        </w:rPr>
      </w:pPr>
      <w:r>
        <w:rPr>
          <w:noProof/>
          <w:lang w:eastAsia="en-AU"/>
        </w:rPr>
        <w:drawing>
          <wp:inline distT="0" distB="0" distL="0" distR="0" wp14:anchorId="3C09B364" wp14:editId="3C401691">
            <wp:extent cx="5400040" cy="6072503"/>
            <wp:effectExtent l="0" t="0" r="0" b="5080"/>
            <wp:docPr id="10" name="Picture 10" descr="This graph shows each individual patient in the Intent to Treat group against their Lux scores at baseline, and an arrow toward their Lux scores after 1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4">
                      <a:extLst>
                        <a:ext uri="{28A0092B-C50C-407E-A947-70E740481C1C}">
                          <a14:useLocalDpi xmlns:a14="http://schemas.microsoft.com/office/drawing/2010/main" val="0"/>
                        </a:ext>
                      </a:extLst>
                    </a:blip>
                    <a:stretch>
                      <a:fillRect/>
                    </a:stretch>
                  </pic:blipFill>
                  <pic:spPr>
                    <a:xfrm>
                      <a:off x="0" y="0"/>
                      <a:ext cx="5400040" cy="6072503"/>
                    </a:xfrm>
                    <a:prstGeom prst="rect">
                      <a:avLst/>
                    </a:prstGeom>
                  </pic:spPr>
                </pic:pic>
              </a:graphicData>
            </a:graphic>
          </wp:inline>
        </w:drawing>
      </w:r>
    </w:p>
    <w:p w14:paraId="289CF379" w14:textId="53DEDD64" w:rsidR="007F0851" w:rsidRDefault="006665D6" w:rsidP="008157F2">
      <w:pPr>
        <w:pStyle w:val="FigureDescription"/>
      </w:pPr>
      <w:r>
        <w:t>BL = Baseline, Y1 = Y</w:t>
      </w:r>
      <w:r w:rsidR="007F0851">
        <w:t xml:space="preserve">ear 1, </w:t>
      </w:r>
      <w:proofErr w:type="spellStart"/>
      <w:r w:rsidR="007F0851">
        <w:t>mITT</w:t>
      </w:r>
      <w:proofErr w:type="spellEnd"/>
      <w:r w:rsidR="007F0851">
        <w:t xml:space="preserve"> </w:t>
      </w:r>
      <w:r w:rsidR="00013AF4">
        <w:t>=</w:t>
      </w:r>
      <w:r w:rsidR="007F0851">
        <w:t xml:space="preserve"> </w:t>
      </w:r>
      <w:r w:rsidR="00EB1807">
        <w:t xml:space="preserve">modified </w:t>
      </w:r>
      <w:r w:rsidR="007F0851">
        <w:t>intention to treat group.</w:t>
      </w:r>
    </w:p>
    <w:p w14:paraId="2BB77098" w14:textId="6A50FAE3" w:rsidR="007F0851" w:rsidRDefault="007F0851" w:rsidP="005511D6">
      <w:pPr>
        <w:pStyle w:val="TableDescription"/>
      </w:pPr>
      <w:r>
        <w:t>The ages of patients at randomisation are displayed at the leftmost section of graph next to each Subject ID</w:t>
      </w:r>
      <w:r w:rsidR="002762D1">
        <w:t xml:space="preserve"> [subject IDs redacted]</w:t>
      </w:r>
      <w:r>
        <w:t>; the Lux change scores are displayed next to the Year 1 Lux score.</w:t>
      </w:r>
    </w:p>
    <w:p w14:paraId="14C8ACB4" w14:textId="04DBBBDE" w:rsidR="00C137D2" w:rsidRPr="00EB1807" w:rsidRDefault="00C137D2" w:rsidP="000C3FA0">
      <w:r>
        <w:t xml:space="preserve">The sponsor stated a </w:t>
      </w:r>
      <w:r w:rsidR="008C6BCC">
        <w:t>minimal clinically important difference (</w:t>
      </w:r>
      <w:r>
        <w:t>MCID</w:t>
      </w:r>
      <w:r w:rsidR="008C6BCC">
        <w:t>) in L</w:t>
      </w:r>
      <w:r>
        <w:t xml:space="preserve">ux score was 1, however the figure above demonstrates a variability of +/- 1 in the control group. The improvement in Lux score was noticed at </w:t>
      </w:r>
      <w:r w:rsidR="00AB53C6">
        <w:t>D</w:t>
      </w:r>
      <w:r>
        <w:t>ay</w:t>
      </w:r>
      <w:r w:rsidR="00E64BE2">
        <w:t xml:space="preserve"> 30 and persisted until 1 year. </w:t>
      </w:r>
      <w:r w:rsidR="00AB53C6">
        <w:t xml:space="preserve">Eleven </w:t>
      </w:r>
      <w:r w:rsidR="00E64BE2">
        <w:t xml:space="preserve">out of </w:t>
      </w:r>
      <w:r>
        <w:t>21</w:t>
      </w:r>
      <w:r w:rsidR="00EB1807">
        <w:t> </w:t>
      </w:r>
      <w:r>
        <w:t>subjects in the treatment g</w:t>
      </w:r>
      <w:r w:rsidR="00E64BE2">
        <w:t xml:space="preserve">roup had an improvement in 2 Lux scores or more; </w:t>
      </w:r>
      <w:r w:rsidR="00185D36">
        <w:t>one</w:t>
      </w:r>
      <w:r w:rsidR="00E64BE2">
        <w:t xml:space="preserve"> out </w:t>
      </w:r>
      <w:r w:rsidR="00E64BE2">
        <w:lastRenderedPageBreak/>
        <w:t xml:space="preserve">of </w:t>
      </w:r>
      <w:r>
        <w:t>10 subjects in the control group</w:t>
      </w:r>
      <w:r w:rsidR="00E64BE2">
        <w:t xml:space="preserve"> had an improvement of 2 Lux</w:t>
      </w:r>
      <w:r>
        <w:t xml:space="preserve"> score</w:t>
      </w:r>
      <w:r w:rsidR="00E64BE2">
        <w:t>s</w:t>
      </w:r>
      <w:r>
        <w:t>. No patient in the in</w:t>
      </w:r>
      <w:r w:rsidR="00EC1F20">
        <w:t>tervention group deteriorated. Two</w:t>
      </w:r>
      <w:r>
        <w:t xml:space="preserve"> patients in the treatment group had no response.</w:t>
      </w:r>
    </w:p>
    <w:p w14:paraId="719623B2" w14:textId="124B3EF0" w:rsidR="00C137D2" w:rsidRDefault="00003131" w:rsidP="000C3FA0">
      <w:pPr>
        <w:rPr>
          <w:rFonts w:eastAsiaTheme="minorHAnsi" w:cs="Cambria"/>
        </w:rPr>
      </w:pPr>
      <w:r>
        <w:rPr>
          <w:rFonts w:eastAsiaTheme="minorHAnsi" w:cs="Cambria"/>
        </w:rPr>
        <w:t xml:space="preserve">The mean and </w:t>
      </w:r>
      <w:r w:rsidR="00EB1807">
        <w:rPr>
          <w:rFonts w:eastAsiaTheme="minorHAnsi" w:cs="Cambria"/>
        </w:rPr>
        <w:t xml:space="preserve">standard error </w:t>
      </w:r>
      <w:r>
        <w:rPr>
          <w:rFonts w:eastAsiaTheme="minorHAnsi" w:cs="Cambria"/>
        </w:rPr>
        <w:t>of the mean (</w:t>
      </w:r>
      <w:r w:rsidR="00C137D2">
        <w:rPr>
          <w:rFonts w:eastAsiaTheme="minorHAnsi" w:cs="Cambria"/>
        </w:rPr>
        <w:t>SE) change</w:t>
      </w:r>
      <w:r w:rsidR="006665D6">
        <w:rPr>
          <w:rFonts w:eastAsiaTheme="minorHAnsi" w:cs="Cambria"/>
        </w:rPr>
        <w:t xml:space="preserve"> across both eyes for FST from B</w:t>
      </w:r>
      <w:r w:rsidR="00C137D2">
        <w:rPr>
          <w:rFonts w:eastAsiaTheme="minorHAnsi" w:cs="Cambria"/>
        </w:rPr>
        <w:t>aseline to Year 1 was -2.08 (0.29) log</w:t>
      </w:r>
      <w:r w:rsidR="00C137D2" w:rsidRPr="005511D6">
        <w:rPr>
          <w:rFonts w:eastAsiaTheme="minorHAnsi" w:cs="Cambria"/>
          <w:vertAlign w:val="subscript"/>
        </w:rPr>
        <w:t>10</w:t>
      </w:r>
      <w:r w:rsidR="00C137D2">
        <w:rPr>
          <w:rFonts w:eastAsiaTheme="minorHAnsi" w:cs="Cambria"/>
        </w:rPr>
        <w:t>(</w:t>
      </w:r>
      <w:proofErr w:type="spellStart"/>
      <w:r w:rsidR="00C137D2">
        <w:rPr>
          <w:rFonts w:eastAsiaTheme="minorHAnsi" w:cs="Cambria"/>
        </w:rPr>
        <w:t>cd.s</w:t>
      </w:r>
      <w:proofErr w:type="spellEnd"/>
      <w:r w:rsidR="00C137D2">
        <w:rPr>
          <w:rFonts w:eastAsiaTheme="minorHAnsi" w:cs="Cambria"/>
        </w:rPr>
        <w:t>/m</w:t>
      </w:r>
      <w:r w:rsidR="00C137D2">
        <w:rPr>
          <w:rFonts w:eastAsiaTheme="minorHAnsi" w:cs="Cambria"/>
          <w:vertAlign w:val="superscript"/>
        </w:rPr>
        <w:t>2</w:t>
      </w:r>
      <w:r w:rsidR="00C137D2">
        <w:rPr>
          <w:rFonts w:eastAsiaTheme="minorHAnsi" w:cs="Cambria"/>
        </w:rPr>
        <w:t>) and 0.04 (0.44) log</w:t>
      </w:r>
      <w:r w:rsidR="00C137D2" w:rsidRPr="005511D6">
        <w:rPr>
          <w:rFonts w:eastAsiaTheme="minorHAnsi" w:cs="Cambria"/>
          <w:vertAlign w:val="subscript"/>
        </w:rPr>
        <w:t>10</w:t>
      </w:r>
      <w:r w:rsidR="00C137D2">
        <w:rPr>
          <w:rFonts w:eastAsiaTheme="minorHAnsi" w:cs="Cambria"/>
        </w:rPr>
        <w:t>(</w:t>
      </w:r>
      <w:proofErr w:type="spellStart"/>
      <w:r w:rsidR="00C137D2">
        <w:rPr>
          <w:rFonts w:eastAsiaTheme="minorHAnsi" w:cs="Cambria"/>
        </w:rPr>
        <w:t>cd.s</w:t>
      </w:r>
      <w:proofErr w:type="spellEnd"/>
      <w:r w:rsidR="00C137D2">
        <w:rPr>
          <w:rFonts w:eastAsiaTheme="minorHAnsi" w:cs="Cambria"/>
        </w:rPr>
        <w:t>/m</w:t>
      </w:r>
      <w:r w:rsidR="00C137D2">
        <w:rPr>
          <w:rFonts w:eastAsiaTheme="minorHAnsi" w:cs="Cambria"/>
          <w:vertAlign w:val="superscript"/>
        </w:rPr>
        <w:t>2</w:t>
      </w:r>
      <w:r w:rsidR="00C137D2">
        <w:rPr>
          <w:rFonts w:eastAsiaTheme="minorHAnsi" w:cs="Cambria"/>
        </w:rPr>
        <w:t xml:space="preserve">) for the intervention and control groups respectively, with a mean treatment difference (intervention </w:t>
      </w:r>
      <w:r w:rsidR="00EB1807">
        <w:rPr>
          <w:rFonts w:eastAsiaTheme="minorHAnsi" w:cs="Cambria"/>
        </w:rPr>
        <w:t>versus</w:t>
      </w:r>
      <w:r w:rsidR="00C137D2">
        <w:rPr>
          <w:rFonts w:eastAsiaTheme="minorHAnsi" w:cs="Cambria"/>
        </w:rPr>
        <w:t xml:space="preserve"> control) of -2.11 log</w:t>
      </w:r>
      <w:r w:rsidR="00C137D2" w:rsidRPr="005511D6">
        <w:rPr>
          <w:rFonts w:eastAsiaTheme="minorHAnsi" w:cs="Cambria"/>
          <w:vertAlign w:val="subscript"/>
        </w:rPr>
        <w:t>10</w:t>
      </w:r>
      <w:r w:rsidR="00C137D2">
        <w:rPr>
          <w:rFonts w:eastAsiaTheme="minorHAnsi" w:cs="Cambria"/>
        </w:rPr>
        <w:t>(</w:t>
      </w:r>
      <w:proofErr w:type="spellStart"/>
      <w:r w:rsidR="00C137D2">
        <w:rPr>
          <w:rFonts w:eastAsiaTheme="minorHAnsi" w:cs="Cambria"/>
        </w:rPr>
        <w:t>cd.s</w:t>
      </w:r>
      <w:proofErr w:type="spellEnd"/>
      <w:r w:rsidR="00C137D2">
        <w:rPr>
          <w:rFonts w:eastAsiaTheme="minorHAnsi" w:cs="Cambria"/>
        </w:rPr>
        <w:t>/m</w:t>
      </w:r>
      <w:r w:rsidR="00C137D2">
        <w:rPr>
          <w:rFonts w:eastAsiaTheme="minorHAnsi" w:cs="Cambria"/>
          <w:vertAlign w:val="superscript"/>
        </w:rPr>
        <w:t>2</w:t>
      </w:r>
      <w:r w:rsidR="00C137D2">
        <w:rPr>
          <w:rFonts w:eastAsiaTheme="minorHAnsi" w:cs="Cambria"/>
        </w:rPr>
        <w:t>) (95%</w:t>
      </w:r>
      <w:r w:rsidR="00344ACF">
        <w:rPr>
          <w:rFonts w:eastAsiaTheme="minorHAnsi" w:cs="Cambria"/>
        </w:rPr>
        <w:t xml:space="preserve"> CI: -3.19, -1.04; p &lt; 0.001). </w:t>
      </w:r>
      <w:r w:rsidR="00C137D2">
        <w:rPr>
          <w:rFonts w:eastAsiaTheme="minorHAnsi" w:cs="Cambria"/>
        </w:rPr>
        <w:t>This represents a 100 fold improvement in light sensitivity and is above what is considered clinically meaningful.</w:t>
      </w:r>
    </w:p>
    <w:p w14:paraId="40969927" w14:textId="2AEDD65E" w:rsidR="00344ACF" w:rsidRPr="00EB1807" w:rsidRDefault="00C137D2" w:rsidP="00EB1807">
      <w:pPr>
        <w:spacing w:before="0" w:after="0" w:line="240" w:lineRule="auto"/>
      </w:pPr>
      <w:r>
        <w:t>In rel</w:t>
      </w:r>
      <w:r w:rsidR="00344ACF">
        <w:t>ation to exploratory endpoints, t</w:t>
      </w:r>
      <w:r w:rsidRPr="0047641C">
        <w:t>here was an improvement in the visual function questionnaire in the intervention group but not the control group.</w:t>
      </w:r>
    </w:p>
    <w:p w14:paraId="0C0AB0E8" w14:textId="77777777" w:rsidR="00C137D2" w:rsidRPr="00F97BB5" w:rsidRDefault="00C137D2" w:rsidP="00344ACF">
      <w:pPr>
        <w:pStyle w:val="Heading6"/>
      </w:pPr>
      <w:r w:rsidRPr="00F97BB5">
        <w:t>Long term efficacy</w:t>
      </w:r>
    </w:p>
    <w:p w14:paraId="13A1D3F8" w14:textId="0B13ACEA" w:rsidR="00344ACF" w:rsidRDefault="00C137D2" w:rsidP="00344ACF">
      <w:r>
        <w:t>The dossier included efficacy data through to 2 July 2018. This included year 4 data for 20</w:t>
      </w:r>
      <w:r w:rsidR="001616C0">
        <w:t> </w:t>
      </w:r>
      <w:r>
        <w:t xml:space="preserve">subjects in the original intervention group and </w:t>
      </w:r>
      <w:r w:rsidR="001616C0">
        <w:t>Y</w:t>
      </w:r>
      <w:r>
        <w:t xml:space="preserve">ear 3 data for 8 subjects in </w:t>
      </w:r>
      <w:r w:rsidR="00344ACF">
        <w:t>the control/intervention group.</w:t>
      </w:r>
    </w:p>
    <w:p w14:paraId="2DC9CE64" w14:textId="211C0E68" w:rsidR="00C137D2" w:rsidRPr="00344ACF" w:rsidRDefault="00C137D2" w:rsidP="00344ACF">
      <w:r>
        <w:rPr>
          <w:rFonts w:eastAsiaTheme="minorHAnsi" w:cs="Cambria"/>
        </w:rPr>
        <w:t>For subjects in the origin</w:t>
      </w:r>
      <w:r w:rsidR="00881B15">
        <w:rPr>
          <w:rFonts w:eastAsiaTheme="minorHAnsi" w:cs="Cambria"/>
        </w:rPr>
        <w:t>al intervention group, the mean and SD</w:t>
      </w:r>
      <w:r>
        <w:rPr>
          <w:rFonts w:eastAsiaTheme="minorHAnsi" w:cs="Cambria"/>
        </w:rPr>
        <w:t xml:space="preserve"> bilateral MLMT change score from injection </w:t>
      </w:r>
      <w:r w:rsidR="001616C0">
        <w:rPr>
          <w:rFonts w:eastAsiaTheme="minorHAnsi" w:cs="Cambria"/>
        </w:rPr>
        <w:t>B</w:t>
      </w:r>
      <w:r>
        <w:rPr>
          <w:rFonts w:eastAsiaTheme="minorHAnsi" w:cs="Cambria"/>
        </w:rPr>
        <w:t>aseline was 1.9 (1.1), 1.8 (1.0) and 1.7 (1.1) at Year 2, Year 3 and Year 4 respectively. For subjects in the contro</w:t>
      </w:r>
      <w:r w:rsidR="00881B15">
        <w:rPr>
          <w:rFonts w:eastAsiaTheme="minorHAnsi" w:cs="Cambria"/>
        </w:rPr>
        <w:t>l/intervention group, the mean and SD</w:t>
      </w:r>
      <w:r>
        <w:rPr>
          <w:rFonts w:eastAsiaTheme="minorHAnsi" w:cs="Cambria"/>
        </w:rPr>
        <w:t xml:space="preserve"> bilateral MLMT change score from injection </w:t>
      </w:r>
      <w:r w:rsidR="001616C0">
        <w:rPr>
          <w:rFonts w:eastAsiaTheme="minorHAnsi" w:cs="Cambria"/>
        </w:rPr>
        <w:t>B</w:t>
      </w:r>
      <w:r>
        <w:rPr>
          <w:rFonts w:eastAsiaTheme="minorHAnsi" w:cs="Cambria"/>
        </w:rPr>
        <w:t>aseline was 2.1 (1.6) at Year 2 and 2.4 (1.5) at Year 3.</w:t>
      </w:r>
    </w:p>
    <w:p w14:paraId="77556849" w14:textId="1D666FC3" w:rsidR="00881B15" w:rsidRDefault="00881B15" w:rsidP="00881B15">
      <w:pPr>
        <w:pStyle w:val="FigureTitle"/>
      </w:pPr>
      <w:r>
        <w:lastRenderedPageBreak/>
        <w:t xml:space="preserve">Figure </w:t>
      </w:r>
      <w:r>
        <w:fldChar w:fldCharType="begin"/>
      </w:r>
      <w:r>
        <w:instrText>SEQ Figure \* ARABIC</w:instrText>
      </w:r>
      <w:r>
        <w:fldChar w:fldCharType="separate"/>
      </w:r>
      <w:r w:rsidR="00BD6537">
        <w:rPr>
          <w:noProof/>
        </w:rPr>
        <w:t>4</w:t>
      </w:r>
      <w:r>
        <w:fldChar w:fldCharType="end"/>
      </w:r>
      <w:r>
        <w:t xml:space="preserve">: </w:t>
      </w:r>
      <w:r w:rsidR="00EB1807">
        <w:t xml:space="preserve">Study AAV-hRPE65v2-301 </w:t>
      </w:r>
      <w:r>
        <w:t xml:space="preserve">Bilateral </w:t>
      </w:r>
      <w:r w:rsidR="00EB1807">
        <w:t>m</w:t>
      </w:r>
      <w:r>
        <w:t xml:space="preserve">obility </w:t>
      </w:r>
      <w:r w:rsidR="00EB1807">
        <w:t>t</w:t>
      </w:r>
      <w:r>
        <w:t>esting scores, means over time (m</w:t>
      </w:r>
      <w:r w:rsidR="00EB1807">
        <w:t>odified intention to treat population</w:t>
      </w:r>
      <w:r>
        <w:t xml:space="preserve">/ </w:t>
      </w:r>
      <w:r w:rsidR="00EB1807">
        <w:t>s</w:t>
      </w:r>
      <w:r>
        <w:t xml:space="preserve">afety </w:t>
      </w:r>
      <w:r w:rsidR="00EB1807">
        <w:t>p</w:t>
      </w:r>
      <w:r>
        <w:t>opulation)</w:t>
      </w:r>
    </w:p>
    <w:p w14:paraId="31FFA13B" w14:textId="1D547738" w:rsidR="00C137D2" w:rsidRDefault="00C137D2" w:rsidP="00C137D2">
      <w:pPr>
        <w:tabs>
          <w:tab w:val="left" w:pos="1418"/>
        </w:tabs>
        <w:autoSpaceDE w:val="0"/>
        <w:autoSpaceDN w:val="0"/>
        <w:spacing w:line="240" w:lineRule="auto"/>
        <w:rPr>
          <w:rFonts w:eastAsiaTheme="minorHAnsi" w:cs="Cambria"/>
        </w:rPr>
      </w:pPr>
      <w:r>
        <w:rPr>
          <w:noProof/>
          <w:lang w:eastAsia="en-AU"/>
        </w:rPr>
        <w:drawing>
          <wp:inline distT="0" distB="0" distL="0" distR="0" wp14:anchorId="271418E8" wp14:editId="43F7C175">
            <wp:extent cx="5024756" cy="4989830"/>
            <wp:effectExtent l="0" t="0" r="4445" b="1270"/>
            <wp:docPr id="2" name="Picture 2" descr="The graphs show the changes and standard error intervals of the control/inervention in dashed lines, compared to the original intervention in bold line, from baseline to crossover to year 3/4 of the studies.&#10;The top graph is for bilateral lux score changes, and the bottom graph is for bilateral change scores." title="Figure 3: bilateral mobility testing scores, means over time (mITT group compared to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28A0092B-C50C-407E-A947-70E740481C1C}">
                          <a14:useLocalDpi xmlns:a14="http://schemas.microsoft.com/office/drawing/2010/main" val="0"/>
                        </a:ext>
                      </a:extLst>
                    </a:blip>
                    <a:stretch>
                      <a:fillRect/>
                    </a:stretch>
                  </pic:blipFill>
                  <pic:spPr>
                    <a:xfrm>
                      <a:off x="0" y="0"/>
                      <a:ext cx="5024756" cy="4989830"/>
                    </a:xfrm>
                    <a:prstGeom prst="rect">
                      <a:avLst/>
                    </a:prstGeom>
                  </pic:spPr>
                </pic:pic>
              </a:graphicData>
            </a:graphic>
          </wp:inline>
        </w:drawing>
      </w:r>
    </w:p>
    <w:p w14:paraId="619106D3" w14:textId="36D99345" w:rsidR="00881B15" w:rsidRDefault="006665D6" w:rsidP="00647872">
      <w:pPr>
        <w:pStyle w:val="FigureDescription"/>
      </w:pPr>
      <w:r>
        <w:t>BL = B</w:t>
      </w:r>
      <w:r w:rsidR="00881B15">
        <w:t xml:space="preserve">aseline. MT = mobility testing. D </w:t>
      </w:r>
      <w:r w:rsidR="003C5778">
        <w:t>= Day. Y = Y</w:t>
      </w:r>
      <w:r w:rsidR="00647872">
        <w:t xml:space="preserve">ear. X = crossover. </w:t>
      </w:r>
      <w:r w:rsidR="00881B15">
        <w:t xml:space="preserve">Intervals are </w:t>
      </w:r>
      <w:r w:rsidR="00881B15" w:rsidRPr="00881B15">
        <w:t>±</w:t>
      </w:r>
      <w:r w:rsidR="00EB1807">
        <w:t xml:space="preserve"> standard error of the mean (SE)</w:t>
      </w:r>
      <w:r w:rsidR="00647872">
        <w:t>.</w:t>
      </w:r>
    </w:p>
    <w:p w14:paraId="474B7370" w14:textId="01FE189A" w:rsidR="00647872" w:rsidRDefault="00647872" w:rsidP="00647872">
      <w:pPr>
        <w:pStyle w:val="FigureTitle"/>
      </w:pPr>
      <w:r>
        <w:lastRenderedPageBreak/>
        <w:t xml:space="preserve">Figure </w:t>
      </w:r>
      <w:r>
        <w:fldChar w:fldCharType="begin"/>
      </w:r>
      <w:r>
        <w:instrText>SEQ Figure \* ARABIC</w:instrText>
      </w:r>
      <w:r>
        <w:fldChar w:fldCharType="separate"/>
      </w:r>
      <w:r w:rsidR="00BD6537">
        <w:rPr>
          <w:noProof/>
        </w:rPr>
        <w:t>5</w:t>
      </w:r>
      <w:r>
        <w:fldChar w:fldCharType="end"/>
      </w:r>
      <w:r>
        <w:t xml:space="preserve">: </w:t>
      </w:r>
      <w:r w:rsidR="00EB1807">
        <w:t xml:space="preserve">Study AAV-hRPE65v2-301 </w:t>
      </w:r>
      <w:r w:rsidR="00346735">
        <w:t>Full field light sensitivity threshold</w:t>
      </w:r>
      <w:r>
        <w:t xml:space="preserve"> with white light, observed means over time for both eyes (</w:t>
      </w:r>
      <w:r w:rsidR="00346735">
        <w:t>modified intention to treat population</w:t>
      </w:r>
      <w:r>
        <w:t xml:space="preserve">/ </w:t>
      </w:r>
      <w:r w:rsidR="00346735">
        <w:t>s</w:t>
      </w:r>
      <w:r>
        <w:t>afety population)</w:t>
      </w:r>
    </w:p>
    <w:p w14:paraId="189872D7" w14:textId="77777777" w:rsidR="00C137D2" w:rsidRDefault="00C137D2" w:rsidP="00647872">
      <w:pPr>
        <w:tabs>
          <w:tab w:val="left" w:pos="1418"/>
        </w:tabs>
        <w:autoSpaceDE w:val="0"/>
        <w:autoSpaceDN w:val="0"/>
        <w:spacing w:line="240" w:lineRule="auto"/>
        <w:rPr>
          <w:rFonts w:eastAsiaTheme="minorHAnsi" w:cs="Cambria"/>
        </w:rPr>
      </w:pPr>
      <w:r>
        <w:rPr>
          <w:noProof/>
          <w:lang w:eastAsia="en-AU"/>
        </w:rPr>
        <w:drawing>
          <wp:inline distT="0" distB="0" distL="0" distR="0" wp14:anchorId="77E3A55B" wp14:editId="51D84CA9">
            <wp:extent cx="4391660" cy="5095238"/>
            <wp:effectExtent l="0" t="0" r="8890" b="0"/>
            <wp:docPr id="9" name="Picture 9" descr="The graphs show the changes and standard error intervals of the control/intervention group in dashed lines, compared to the original intervention in bold line, from baseline to crossover to year 3/4 of the studies.&#10;The top graph is for FST testing for both eyes, and the bottom graph is for change from baseline for both eyes." title="Figure 4: FST with white light, observed means over time for both eyes (mITT group compared to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6">
                      <a:extLst>
                        <a:ext uri="{28A0092B-C50C-407E-A947-70E740481C1C}">
                          <a14:useLocalDpi xmlns:a14="http://schemas.microsoft.com/office/drawing/2010/main" val="0"/>
                        </a:ext>
                      </a:extLst>
                    </a:blip>
                    <a:stretch>
                      <a:fillRect/>
                    </a:stretch>
                  </pic:blipFill>
                  <pic:spPr>
                    <a:xfrm>
                      <a:off x="0" y="0"/>
                      <a:ext cx="4391660" cy="5095238"/>
                    </a:xfrm>
                    <a:prstGeom prst="rect">
                      <a:avLst/>
                    </a:prstGeom>
                  </pic:spPr>
                </pic:pic>
              </a:graphicData>
            </a:graphic>
          </wp:inline>
        </w:drawing>
      </w:r>
    </w:p>
    <w:p w14:paraId="321246F4" w14:textId="4C617DAD" w:rsidR="00647872" w:rsidRPr="00647872" w:rsidRDefault="006665D6" w:rsidP="008157F2">
      <w:pPr>
        <w:pStyle w:val="FigureDescription"/>
      </w:pPr>
      <w:r>
        <w:t>BL = B</w:t>
      </w:r>
      <w:r w:rsidR="00647872">
        <w:t>aseline.</w:t>
      </w:r>
      <w:r w:rsidR="00647872" w:rsidRPr="00682995">
        <w:t xml:space="preserve"> </w:t>
      </w:r>
      <w:proofErr w:type="spellStart"/>
      <w:r w:rsidR="00647872" w:rsidRPr="00682995">
        <w:t>cd.s</w:t>
      </w:r>
      <w:proofErr w:type="spellEnd"/>
      <w:r w:rsidR="00647872" w:rsidRPr="00682995">
        <w:t>/m</w:t>
      </w:r>
      <w:r w:rsidR="00647872" w:rsidRPr="00682995">
        <w:rPr>
          <w:vertAlign w:val="superscript"/>
        </w:rPr>
        <w:t>2</w:t>
      </w:r>
      <w:r w:rsidR="00647872">
        <w:t xml:space="preserve"> = </w:t>
      </w:r>
      <w:r w:rsidR="00647872" w:rsidRPr="00682995">
        <w:t>c</w:t>
      </w:r>
      <w:r w:rsidR="00647872">
        <w:t xml:space="preserve">andela second per meter squared. FST = </w:t>
      </w:r>
      <w:r w:rsidR="00647872" w:rsidRPr="00682995">
        <w:t>full-fie</w:t>
      </w:r>
      <w:r w:rsidR="00647872">
        <w:t>ld light sensitivity threshold. SE</w:t>
      </w:r>
      <w:r w:rsidR="00835F06">
        <w:t> </w:t>
      </w:r>
      <w:r w:rsidR="00647872">
        <w:t xml:space="preserve">= standard error. X = </w:t>
      </w:r>
      <w:r w:rsidR="00647872" w:rsidRPr="00682995">
        <w:t xml:space="preserve">cross over. Data presented as mean ± SE. For </w:t>
      </w:r>
      <w:r w:rsidR="00346735">
        <w:t>c</w:t>
      </w:r>
      <w:r w:rsidR="00647872">
        <w:t>ontrol/</w:t>
      </w:r>
      <w:r w:rsidR="00346735">
        <w:t>i</w:t>
      </w:r>
      <w:r w:rsidR="00647872" w:rsidRPr="00682995">
        <w:t xml:space="preserve">ntervention, change is relative to injection </w:t>
      </w:r>
      <w:r w:rsidR="00346735">
        <w:t>B</w:t>
      </w:r>
      <w:r w:rsidR="00647872" w:rsidRPr="00682995">
        <w:t>aseline after Year 1</w:t>
      </w:r>
      <w:r w:rsidR="00647872">
        <w:t>.</w:t>
      </w:r>
    </w:p>
    <w:p w14:paraId="35D7BF7E" w14:textId="0D873D79" w:rsidR="00F1460F" w:rsidRPr="00F1460F" w:rsidRDefault="00C137D2" w:rsidP="00F1460F">
      <w:pPr>
        <w:pStyle w:val="Heading4"/>
      </w:pPr>
      <w:r w:rsidRPr="003F08CF">
        <w:t>Safety</w:t>
      </w:r>
    </w:p>
    <w:p w14:paraId="4E2F31E5" w14:textId="0265B472" w:rsidR="00C137D2" w:rsidRPr="001B796C" w:rsidRDefault="00C137D2" w:rsidP="00F1460F">
      <w:r>
        <w:t>The dossier contained a consolidated safety analysis across</w:t>
      </w:r>
      <w:r w:rsidR="00F1460F">
        <w:t xml:space="preserve"> all clinical studies (data cut</w:t>
      </w:r>
      <w:r>
        <w:t xml:space="preserve"> off May 2017). This included at least </w:t>
      </w:r>
      <w:r w:rsidR="00C53482">
        <w:t xml:space="preserve">3 </w:t>
      </w:r>
      <w:r>
        <w:t xml:space="preserve">years of follow up from </w:t>
      </w:r>
      <w:r w:rsidR="00346735">
        <w:t>S</w:t>
      </w:r>
      <w:r>
        <w:t>tudy 301, and 2 year</w:t>
      </w:r>
      <w:r w:rsidR="00F1460F">
        <w:t xml:space="preserve">s of follow up from </w:t>
      </w:r>
      <w:r w:rsidR="00346735">
        <w:t>S</w:t>
      </w:r>
      <w:r w:rsidR="00F1460F">
        <w:t xml:space="preserve">tudy 302. </w:t>
      </w:r>
      <w:r>
        <w:t xml:space="preserve">Studies 101 and 102 provided at least 7 years of cumulative data and 4 years of data following administration of voretigene neparvovec to the second eye for subjects in </w:t>
      </w:r>
      <w:r w:rsidR="00414723">
        <w:t>S</w:t>
      </w:r>
      <w:r>
        <w:t>tudy 102.</w:t>
      </w:r>
    </w:p>
    <w:p w14:paraId="441244FC" w14:textId="5BF806E6" w:rsidR="00C137D2" w:rsidRPr="009351AD" w:rsidRDefault="00C137D2" w:rsidP="00F1460F">
      <w:r w:rsidRPr="001B796C">
        <w:t xml:space="preserve">Overall, 41 subjects and 81 eyes </w:t>
      </w:r>
      <w:r>
        <w:t xml:space="preserve">have received </w:t>
      </w:r>
      <w:proofErr w:type="spellStart"/>
      <w:r>
        <w:t>subretinal</w:t>
      </w:r>
      <w:proofErr w:type="spellEnd"/>
      <w:r>
        <w:t xml:space="preserve"> injections o</w:t>
      </w:r>
      <w:r w:rsidR="009351AD">
        <w:t>f voretigene neparvovec across Phase I and Phase III</w:t>
      </w:r>
      <w:r>
        <w:t xml:space="preserve"> studies. There was no placebo or control group.</w:t>
      </w:r>
    </w:p>
    <w:p w14:paraId="0BED5044" w14:textId="688578DC" w:rsidR="00C137D2" w:rsidRPr="005C7F4F" w:rsidRDefault="00C137D2" w:rsidP="00F1460F">
      <w:pPr>
        <w:rPr>
          <w:rFonts w:eastAsiaTheme="minorHAnsi" w:cs="Cambria"/>
        </w:rPr>
      </w:pPr>
      <w:r w:rsidRPr="005C7F4F">
        <w:rPr>
          <w:rFonts w:eastAsiaTheme="minorHAnsi" w:cs="Cambria"/>
        </w:rPr>
        <w:t>The most com</w:t>
      </w:r>
      <w:r w:rsidR="003079FD">
        <w:rPr>
          <w:rFonts w:eastAsiaTheme="minorHAnsi" w:cs="Cambria"/>
        </w:rPr>
        <w:t xml:space="preserve">mon treatment emergent adverse </w:t>
      </w:r>
      <w:r w:rsidR="00414723">
        <w:rPr>
          <w:rFonts w:eastAsiaTheme="minorHAnsi" w:cs="Cambria"/>
        </w:rPr>
        <w:t xml:space="preserve">events </w:t>
      </w:r>
      <w:r w:rsidR="003079FD">
        <w:rPr>
          <w:rFonts w:eastAsiaTheme="minorHAnsi" w:cs="Cambria"/>
        </w:rPr>
        <w:t xml:space="preserve">(TEAE) by </w:t>
      </w:r>
      <w:r w:rsidR="00F5665D">
        <w:rPr>
          <w:rFonts w:eastAsiaTheme="minorHAnsi" w:cs="Cambria"/>
        </w:rPr>
        <w:t>P</w:t>
      </w:r>
      <w:r w:rsidR="003079FD">
        <w:rPr>
          <w:rFonts w:eastAsiaTheme="minorHAnsi" w:cs="Cambria"/>
        </w:rPr>
        <w:t xml:space="preserve">referred </w:t>
      </w:r>
      <w:r w:rsidR="00F5665D">
        <w:rPr>
          <w:rFonts w:eastAsiaTheme="minorHAnsi" w:cs="Cambria"/>
        </w:rPr>
        <w:t>T</w:t>
      </w:r>
      <w:r w:rsidR="003079FD">
        <w:rPr>
          <w:rFonts w:eastAsiaTheme="minorHAnsi" w:cs="Cambria"/>
        </w:rPr>
        <w:t>erm</w:t>
      </w:r>
      <w:r w:rsidRPr="005C7F4F">
        <w:rPr>
          <w:rFonts w:eastAsiaTheme="minorHAnsi" w:cs="Cambria"/>
        </w:rPr>
        <w:t xml:space="preserve"> were: headache (n = </w:t>
      </w:r>
      <w:r w:rsidR="003079FD">
        <w:rPr>
          <w:rFonts w:eastAsiaTheme="minorHAnsi" w:cs="Cambria"/>
        </w:rPr>
        <w:t>21</w:t>
      </w:r>
      <w:r w:rsidR="00A578EC">
        <w:rPr>
          <w:rFonts w:eastAsiaTheme="minorHAnsi" w:cs="Cambria"/>
        </w:rPr>
        <w:t>;</w:t>
      </w:r>
      <w:r w:rsidR="008A4E43">
        <w:rPr>
          <w:rFonts w:eastAsiaTheme="minorHAnsi" w:cs="Cambria"/>
        </w:rPr>
        <w:t xml:space="preserve"> </w:t>
      </w:r>
      <w:r w:rsidR="003079FD">
        <w:rPr>
          <w:rFonts w:eastAsiaTheme="minorHAnsi" w:cs="Cambria"/>
        </w:rPr>
        <w:t>51%), leucocytosis (n = 17</w:t>
      </w:r>
      <w:r w:rsidR="00A578EC">
        <w:rPr>
          <w:rFonts w:eastAsiaTheme="minorHAnsi" w:cs="Cambria"/>
        </w:rPr>
        <w:t>;</w:t>
      </w:r>
      <w:r w:rsidR="008A4E43">
        <w:rPr>
          <w:rFonts w:eastAsiaTheme="minorHAnsi" w:cs="Cambria"/>
        </w:rPr>
        <w:t xml:space="preserve"> </w:t>
      </w:r>
      <w:r w:rsidR="003079FD">
        <w:rPr>
          <w:rFonts w:eastAsiaTheme="minorHAnsi" w:cs="Cambria"/>
        </w:rPr>
        <w:t>41%), pyrexia (n = 17</w:t>
      </w:r>
      <w:r w:rsidR="00A578EC">
        <w:rPr>
          <w:rFonts w:eastAsiaTheme="minorHAnsi" w:cs="Cambria"/>
        </w:rPr>
        <w:t>;</w:t>
      </w:r>
      <w:r w:rsidR="008A4E43">
        <w:rPr>
          <w:rFonts w:eastAsiaTheme="minorHAnsi" w:cs="Cambria"/>
        </w:rPr>
        <w:t xml:space="preserve"> </w:t>
      </w:r>
      <w:r w:rsidR="003079FD">
        <w:rPr>
          <w:rFonts w:eastAsiaTheme="minorHAnsi" w:cs="Cambria"/>
        </w:rPr>
        <w:t xml:space="preserve">41%), </w:t>
      </w:r>
      <w:proofErr w:type="spellStart"/>
      <w:r w:rsidR="003079FD">
        <w:rPr>
          <w:rFonts w:eastAsiaTheme="minorHAnsi" w:cs="Cambria"/>
        </w:rPr>
        <w:t>nasopharyngitis</w:t>
      </w:r>
      <w:proofErr w:type="spellEnd"/>
      <w:r w:rsidR="003079FD">
        <w:rPr>
          <w:rFonts w:eastAsiaTheme="minorHAnsi" w:cs="Cambria"/>
        </w:rPr>
        <w:t xml:space="preserve"> (n = 16</w:t>
      </w:r>
      <w:r w:rsidR="00A578EC">
        <w:rPr>
          <w:rFonts w:eastAsiaTheme="minorHAnsi" w:cs="Cambria"/>
        </w:rPr>
        <w:t>;</w:t>
      </w:r>
      <w:r w:rsidR="008A4E43">
        <w:rPr>
          <w:rFonts w:eastAsiaTheme="minorHAnsi" w:cs="Cambria"/>
        </w:rPr>
        <w:t xml:space="preserve"> </w:t>
      </w:r>
      <w:r w:rsidRPr="005C7F4F">
        <w:rPr>
          <w:rFonts w:eastAsiaTheme="minorHAnsi" w:cs="Cambria"/>
        </w:rPr>
        <w:t>39%), nause</w:t>
      </w:r>
      <w:r w:rsidR="003079FD">
        <w:rPr>
          <w:rFonts w:eastAsiaTheme="minorHAnsi" w:cs="Cambria"/>
        </w:rPr>
        <w:t>a (n = 14</w:t>
      </w:r>
      <w:r w:rsidR="00A578EC">
        <w:rPr>
          <w:rFonts w:eastAsiaTheme="minorHAnsi" w:cs="Cambria"/>
        </w:rPr>
        <w:t>;</w:t>
      </w:r>
      <w:r w:rsidR="008A4E43">
        <w:rPr>
          <w:rFonts w:eastAsiaTheme="minorHAnsi" w:cs="Cambria"/>
        </w:rPr>
        <w:t xml:space="preserve"> </w:t>
      </w:r>
      <w:r w:rsidR="003079FD">
        <w:rPr>
          <w:rFonts w:eastAsiaTheme="minorHAnsi" w:cs="Cambria"/>
        </w:rPr>
        <w:t>34%), cough (n = 13</w:t>
      </w:r>
      <w:r w:rsidR="00A578EC">
        <w:rPr>
          <w:rFonts w:eastAsiaTheme="minorHAnsi" w:cs="Cambria"/>
        </w:rPr>
        <w:t>;</w:t>
      </w:r>
      <w:r w:rsidR="008A4E43">
        <w:rPr>
          <w:rFonts w:eastAsiaTheme="minorHAnsi" w:cs="Cambria"/>
        </w:rPr>
        <w:t xml:space="preserve"> </w:t>
      </w:r>
      <w:r w:rsidR="003079FD">
        <w:rPr>
          <w:rFonts w:eastAsiaTheme="minorHAnsi" w:cs="Cambria"/>
        </w:rPr>
        <w:t>32%), vomiting (n</w:t>
      </w:r>
      <w:r w:rsidR="00F5665D">
        <w:rPr>
          <w:rFonts w:eastAsiaTheme="minorHAnsi" w:cs="Cambria"/>
        </w:rPr>
        <w:t> </w:t>
      </w:r>
      <w:r w:rsidR="003079FD">
        <w:rPr>
          <w:rFonts w:eastAsiaTheme="minorHAnsi" w:cs="Cambria"/>
        </w:rPr>
        <w:t>=</w:t>
      </w:r>
      <w:r w:rsidR="00F5665D">
        <w:rPr>
          <w:rFonts w:eastAsiaTheme="minorHAnsi" w:cs="Cambria"/>
        </w:rPr>
        <w:t> </w:t>
      </w:r>
      <w:r w:rsidR="003079FD">
        <w:rPr>
          <w:rFonts w:eastAsiaTheme="minorHAnsi" w:cs="Cambria"/>
        </w:rPr>
        <w:t>13</w:t>
      </w:r>
      <w:r w:rsidR="00A578EC">
        <w:rPr>
          <w:rFonts w:eastAsiaTheme="minorHAnsi" w:cs="Cambria"/>
        </w:rPr>
        <w:t>;</w:t>
      </w:r>
      <w:r w:rsidR="008A4E43">
        <w:rPr>
          <w:rFonts w:eastAsiaTheme="minorHAnsi" w:cs="Cambria"/>
        </w:rPr>
        <w:t xml:space="preserve"> </w:t>
      </w:r>
      <w:r w:rsidRPr="005C7F4F">
        <w:rPr>
          <w:rFonts w:eastAsiaTheme="minorHAnsi" w:cs="Cambria"/>
        </w:rPr>
        <w:t>32%)</w:t>
      </w:r>
      <w:r w:rsidR="002C3339">
        <w:rPr>
          <w:rFonts w:eastAsiaTheme="minorHAnsi" w:cs="Cambria"/>
        </w:rPr>
        <w:t xml:space="preserve"> </w:t>
      </w:r>
      <w:r w:rsidR="002C3339" w:rsidRPr="005C7F4F">
        <w:rPr>
          <w:rFonts w:eastAsiaTheme="minorHAnsi" w:cs="Cambria"/>
        </w:rPr>
        <w:t>and oropha</w:t>
      </w:r>
      <w:r w:rsidR="002C3339">
        <w:rPr>
          <w:rFonts w:eastAsiaTheme="minorHAnsi" w:cs="Cambria"/>
        </w:rPr>
        <w:t>ryngeal pain (n = 11;</w:t>
      </w:r>
      <w:r w:rsidR="008A4E43">
        <w:rPr>
          <w:rFonts w:eastAsiaTheme="minorHAnsi" w:cs="Cambria"/>
        </w:rPr>
        <w:t xml:space="preserve"> </w:t>
      </w:r>
      <w:r w:rsidR="002C3339">
        <w:rPr>
          <w:rFonts w:eastAsiaTheme="minorHAnsi" w:cs="Cambria"/>
        </w:rPr>
        <w:t>27%)</w:t>
      </w:r>
      <w:r w:rsidR="003079FD">
        <w:rPr>
          <w:rFonts w:eastAsiaTheme="minorHAnsi" w:cs="Cambria"/>
        </w:rPr>
        <w:t>.</w:t>
      </w:r>
    </w:p>
    <w:p w14:paraId="2A2CF694" w14:textId="035A5140" w:rsidR="00C137D2" w:rsidRDefault="003079FD" w:rsidP="00F1460F">
      <w:pPr>
        <w:rPr>
          <w:rFonts w:eastAsiaTheme="minorHAnsi" w:cs="Cambria"/>
        </w:rPr>
      </w:pPr>
      <w:r>
        <w:rPr>
          <w:rFonts w:eastAsiaTheme="minorHAnsi" w:cs="Cambria"/>
        </w:rPr>
        <w:lastRenderedPageBreak/>
        <w:t xml:space="preserve">At the time of data cut </w:t>
      </w:r>
      <w:r w:rsidR="00C137D2">
        <w:rPr>
          <w:rFonts w:eastAsiaTheme="minorHAnsi" w:cs="Cambria"/>
        </w:rPr>
        <w:t>off there were 17 (41%) subjects reporting 29 ongoing TEAEs, most commonly cataract (</w:t>
      </w:r>
      <w:r w:rsidR="000F2280">
        <w:rPr>
          <w:rFonts w:eastAsiaTheme="minorHAnsi" w:cs="Cambria"/>
        </w:rPr>
        <w:t xml:space="preserve">9 eyes in </w:t>
      </w:r>
      <w:r w:rsidR="00C137D2">
        <w:rPr>
          <w:rFonts w:eastAsiaTheme="minorHAnsi" w:cs="Cambria"/>
        </w:rPr>
        <w:t>5 subjects). Fourteen of the ongoing events were considered</w:t>
      </w:r>
      <w:r>
        <w:rPr>
          <w:rFonts w:eastAsiaTheme="minorHAnsi" w:cs="Cambria"/>
        </w:rPr>
        <w:t xml:space="preserve"> to be </w:t>
      </w:r>
      <w:r w:rsidR="00C137D2">
        <w:rPr>
          <w:rFonts w:eastAsiaTheme="minorHAnsi" w:cs="Cambria"/>
        </w:rPr>
        <w:t xml:space="preserve">related to </w:t>
      </w:r>
      <w:r>
        <w:rPr>
          <w:rFonts w:eastAsiaTheme="minorHAnsi" w:cs="Cambria"/>
        </w:rPr>
        <w:t xml:space="preserve">the </w:t>
      </w:r>
      <w:r w:rsidR="00C137D2">
        <w:rPr>
          <w:rFonts w:eastAsiaTheme="minorHAnsi" w:cs="Cambria"/>
        </w:rPr>
        <w:t>administration procedure (most frequently cataract, followed by maculopathy) and none considered related to the vector.</w:t>
      </w:r>
    </w:p>
    <w:p w14:paraId="19FC563F" w14:textId="6EC73B01" w:rsidR="00C137D2" w:rsidRDefault="00C137D2" w:rsidP="00F1460F">
      <w:pPr>
        <w:rPr>
          <w:rFonts w:eastAsiaTheme="minorHAnsi" w:cs="Cambria"/>
        </w:rPr>
      </w:pPr>
      <w:r>
        <w:rPr>
          <w:rFonts w:eastAsiaTheme="minorHAnsi" w:cs="Cambria"/>
        </w:rPr>
        <w:t xml:space="preserve">Ocular TEAEs were considered adverse events of special interest and included events reported in the </w:t>
      </w:r>
      <w:r w:rsidR="003079FD">
        <w:rPr>
          <w:rFonts w:eastAsiaTheme="minorHAnsi" w:cs="Cambria"/>
        </w:rPr>
        <w:t>MedDRA</w:t>
      </w:r>
      <w:r w:rsidR="00F5665D">
        <w:rPr>
          <w:rFonts w:eastAsiaTheme="minorHAnsi" w:cs="Cambria"/>
        </w:rPr>
        <w:t>;</w:t>
      </w:r>
      <w:r w:rsidR="00F5665D">
        <w:rPr>
          <w:rStyle w:val="FootnoteReference"/>
          <w:rFonts w:eastAsiaTheme="minorHAnsi" w:cs="Cambria"/>
        </w:rPr>
        <w:footnoteReference w:id="16"/>
      </w:r>
      <w:r w:rsidR="003079FD">
        <w:rPr>
          <w:rFonts w:eastAsiaTheme="minorHAnsi" w:cs="Cambria"/>
        </w:rPr>
        <w:t>System Organ Class (</w:t>
      </w:r>
      <w:r>
        <w:rPr>
          <w:rFonts w:eastAsiaTheme="minorHAnsi" w:cs="Cambria"/>
        </w:rPr>
        <w:t>SOC</w:t>
      </w:r>
      <w:r w:rsidR="003079FD">
        <w:rPr>
          <w:rFonts w:eastAsiaTheme="minorHAnsi" w:cs="Cambria"/>
        </w:rPr>
        <w:t>) of</w:t>
      </w:r>
      <w:r>
        <w:rPr>
          <w:rFonts w:eastAsiaTheme="minorHAnsi" w:cs="Cambria"/>
        </w:rPr>
        <w:t xml:space="preserve"> </w:t>
      </w:r>
      <w:r w:rsidR="003B2D31">
        <w:rPr>
          <w:rFonts w:eastAsiaTheme="minorHAnsi" w:cs="Cambria"/>
        </w:rPr>
        <w:t>‘</w:t>
      </w:r>
      <w:r>
        <w:rPr>
          <w:rFonts w:eastAsiaTheme="minorHAnsi" w:cs="Cambria"/>
        </w:rPr>
        <w:t>Eye Disorders</w:t>
      </w:r>
      <w:r w:rsidR="003B2D31">
        <w:rPr>
          <w:rFonts w:eastAsiaTheme="minorHAnsi" w:cs="Cambria"/>
        </w:rPr>
        <w:t>’</w:t>
      </w:r>
      <w:r>
        <w:rPr>
          <w:rFonts w:eastAsiaTheme="minorHAnsi" w:cs="Cambria"/>
        </w:rPr>
        <w:t xml:space="preserve"> and particular TEAEs in the SOCs </w:t>
      </w:r>
      <w:r w:rsidR="003B2D31">
        <w:rPr>
          <w:rFonts w:eastAsiaTheme="minorHAnsi" w:cs="Cambria"/>
        </w:rPr>
        <w:t>‘</w:t>
      </w:r>
      <w:r>
        <w:rPr>
          <w:rFonts w:eastAsiaTheme="minorHAnsi" w:cs="Cambria"/>
        </w:rPr>
        <w:t>Infections and Infestations</w:t>
      </w:r>
      <w:r w:rsidR="003B2D31">
        <w:rPr>
          <w:rFonts w:eastAsiaTheme="minorHAnsi" w:cs="Cambria"/>
        </w:rPr>
        <w:t>’</w:t>
      </w:r>
      <w:r>
        <w:rPr>
          <w:rFonts w:eastAsiaTheme="minorHAnsi" w:cs="Cambria"/>
        </w:rPr>
        <w:t xml:space="preserve"> </w:t>
      </w:r>
      <w:r w:rsidR="007539D9">
        <w:rPr>
          <w:rFonts w:eastAsiaTheme="minorHAnsi" w:cs="Cambria"/>
        </w:rPr>
        <w:t xml:space="preserve">and </w:t>
      </w:r>
      <w:r w:rsidR="003B2D31">
        <w:rPr>
          <w:rFonts w:eastAsiaTheme="minorHAnsi" w:cs="Cambria"/>
        </w:rPr>
        <w:t>‘</w:t>
      </w:r>
      <w:r>
        <w:rPr>
          <w:rFonts w:eastAsiaTheme="minorHAnsi" w:cs="Cambria"/>
        </w:rPr>
        <w:t>Injury, Poisoning and Procedural Complications</w:t>
      </w:r>
      <w:r w:rsidR="003B2D31">
        <w:rPr>
          <w:rFonts w:eastAsiaTheme="minorHAnsi" w:cs="Cambria"/>
        </w:rPr>
        <w:t>’</w:t>
      </w:r>
      <w:r>
        <w:rPr>
          <w:rFonts w:eastAsiaTheme="minorHAnsi" w:cs="Cambria"/>
        </w:rPr>
        <w:t>. There were 30 (73%) subjects with ocula</w:t>
      </w:r>
      <w:r w:rsidR="003B2D31">
        <w:rPr>
          <w:rFonts w:eastAsiaTheme="minorHAnsi" w:cs="Cambria"/>
        </w:rPr>
        <w:t xml:space="preserve">r TEAEs at the time of data cut </w:t>
      </w:r>
      <w:r>
        <w:rPr>
          <w:rFonts w:eastAsiaTheme="minorHAnsi" w:cs="Cambria"/>
        </w:rPr>
        <w:t>off. The most common ocular TEAEs across the clinical studies were:</w:t>
      </w:r>
      <w:r w:rsidR="003B2D31">
        <w:rPr>
          <w:rFonts w:eastAsiaTheme="minorHAnsi" w:cs="Cambria"/>
        </w:rPr>
        <w:t xml:space="preserve"> conjunctival hyperaemia (n = 9</w:t>
      </w:r>
      <w:r w:rsidR="00384C9E">
        <w:rPr>
          <w:rFonts w:eastAsiaTheme="minorHAnsi" w:cs="Cambria"/>
        </w:rPr>
        <w:t>;</w:t>
      </w:r>
      <w:r w:rsidR="00F5665D">
        <w:rPr>
          <w:rFonts w:eastAsiaTheme="minorHAnsi" w:cs="Cambria"/>
        </w:rPr>
        <w:t xml:space="preserve"> </w:t>
      </w:r>
      <w:r>
        <w:rPr>
          <w:rFonts w:eastAsiaTheme="minorHAnsi" w:cs="Cambria"/>
        </w:rPr>
        <w:t>22%), cata</w:t>
      </w:r>
      <w:r w:rsidR="003B2D31">
        <w:rPr>
          <w:rFonts w:eastAsiaTheme="minorHAnsi" w:cs="Cambria"/>
        </w:rPr>
        <w:t>ract (n = 9</w:t>
      </w:r>
      <w:r w:rsidR="00384C9E">
        <w:rPr>
          <w:rFonts w:eastAsiaTheme="minorHAnsi" w:cs="Cambria"/>
        </w:rPr>
        <w:t>;</w:t>
      </w:r>
      <w:r w:rsidR="00F5665D">
        <w:rPr>
          <w:rFonts w:eastAsiaTheme="minorHAnsi" w:cs="Cambria"/>
        </w:rPr>
        <w:t xml:space="preserve"> </w:t>
      </w:r>
      <w:r>
        <w:rPr>
          <w:rFonts w:eastAsiaTheme="minorHAnsi" w:cs="Cambria"/>
        </w:rPr>
        <w:t>22%), increased</w:t>
      </w:r>
      <w:r w:rsidR="003B2D31">
        <w:rPr>
          <w:rFonts w:eastAsiaTheme="minorHAnsi" w:cs="Cambria"/>
        </w:rPr>
        <w:t xml:space="preserve"> intraocular pressure</w:t>
      </w:r>
      <w:r>
        <w:rPr>
          <w:rFonts w:eastAsiaTheme="minorHAnsi" w:cs="Cambria"/>
        </w:rPr>
        <w:t xml:space="preserve"> (n </w:t>
      </w:r>
      <w:r w:rsidR="003B2D31">
        <w:rPr>
          <w:rFonts w:eastAsiaTheme="minorHAnsi" w:cs="Cambria"/>
        </w:rPr>
        <w:t>= 8</w:t>
      </w:r>
      <w:r w:rsidR="00384C9E">
        <w:rPr>
          <w:rFonts w:eastAsiaTheme="minorHAnsi" w:cs="Cambria"/>
        </w:rPr>
        <w:t>;</w:t>
      </w:r>
      <w:r w:rsidR="00F5665D">
        <w:rPr>
          <w:rFonts w:eastAsiaTheme="minorHAnsi" w:cs="Cambria"/>
        </w:rPr>
        <w:t xml:space="preserve"> </w:t>
      </w:r>
      <w:r w:rsidR="003B2D31">
        <w:rPr>
          <w:rFonts w:eastAsiaTheme="minorHAnsi" w:cs="Cambria"/>
        </w:rPr>
        <w:t>20%), retinal tear (n = 4</w:t>
      </w:r>
      <w:r w:rsidR="00384C9E">
        <w:rPr>
          <w:rFonts w:eastAsiaTheme="minorHAnsi" w:cs="Cambria"/>
        </w:rPr>
        <w:t>;</w:t>
      </w:r>
      <w:r w:rsidR="00F5665D">
        <w:rPr>
          <w:rFonts w:eastAsiaTheme="minorHAnsi" w:cs="Cambria"/>
        </w:rPr>
        <w:t xml:space="preserve"> </w:t>
      </w:r>
      <w:r w:rsidR="003B2D31">
        <w:rPr>
          <w:rFonts w:eastAsiaTheme="minorHAnsi" w:cs="Cambria"/>
        </w:rPr>
        <w:t>10%) and eye pain (n = 4</w:t>
      </w:r>
      <w:r w:rsidR="00384C9E">
        <w:rPr>
          <w:rFonts w:eastAsiaTheme="minorHAnsi" w:cs="Cambria"/>
        </w:rPr>
        <w:t>;</w:t>
      </w:r>
      <w:r w:rsidR="00F5665D">
        <w:rPr>
          <w:rFonts w:eastAsiaTheme="minorHAnsi" w:cs="Cambria"/>
        </w:rPr>
        <w:t xml:space="preserve"> </w:t>
      </w:r>
      <w:r>
        <w:rPr>
          <w:rFonts w:eastAsiaTheme="minorHAnsi" w:cs="Cambria"/>
        </w:rPr>
        <w:t xml:space="preserve">10%). The majority of ocular events were related to the </w:t>
      </w:r>
      <w:r w:rsidR="003B2D31">
        <w:rPr>
          <w:rFonts w:eastAsiaTheme="minorHAnsi" w:cs="Cambria"/>
        </w:rPr>
        <w:t>administration procedure, with three</w:t>
      </w:r>
      <w:r>
        <w:rPr>
          <w:rFonts w:eastAsiaTheme="minorHAnsi" w:cs="Cambria"/>
        </w:rPr>
        <w:t xml:space="preserve"> events of retinal deposit considered to be related to the vector. Retinal deposits were transient. </w:t>
      </w:r>
    </w:p>
    <w:p w14:paraId="0085777F" w14:textId="1F72DF30" w:rsidR="00C137D2" w:rsidRPr="00B23ED3" w:rsidRDefault="00C137D2" w:rsidP="00F1460F">
      <w:r>
        <w:t xml:space="preserve">Cataracts are a known complication of IRD. Retinal tears were repaired with </w:t>
      </w:r>
      <w:proofErr w:type="spellStart"/>
      <w:r>
        <w:t>laserpexy</w:t>
      </w:r>
      <w:proofErr w:type="spellEnd"/>
      <w:r>
        <w:t xml:space="preserve"> during the vector administration procedure and all resolved without sequelae. </w:t>
      </w:r>
    </w:p>
    <w:p w14:paraId="1B45F6FD" w14:textId="4AF38F88" w:rsidR="00C137D2" w:rsidRPr="00C73691" w:rsidRDefault="003B2D31" w:rsidP="00F1460F">
      <w:pPr>
        <w:rPr>
          <w:rFonts w:eastAsiaTheme="minorHAnsi" w:cs="Cambria"/>
          <w:strike/>
        </w:rPr>
      </w:pPr>
      <w:r>
        <w:rPr>
          <w:rFonts w:eastAsiaTheme="minorHAnsi" w:cs="Cambria"/>
        </w:rPr>
        <w:t>Serious adverse effects</w:t>
      </w:r>
      <w:r w:rsidR="00C137D2">
        <w:rPr>
          <w:rFonts w:eastAsiaTheme="minorHAnsi" w:cs="Cambria"/>
        </w:rPr>
        <w:t xml:space="preserve"> considered related to the administration procedure were reported for 3 of 41 subjects (7%); n = 1 (2%) each with retinal disorder (loss of </w:t>
      </w:r>
      <w:proofErr w:type="spellStart"/>
      <w:r w:rsidR="00C137D2">
        <w:rPr>
          <w:rFonts w:eastAsiaTheme="minorHAnsi" w:cs="Cambria"/>
        </w:rPr>
        <w:t>foveal</w:t>
      </w:r>
      <w:proofErr w:type="spellEnd"/>
      <w:r w:rsidR="00C137D2">
        <w:rPr>
          <w:rFonts w:eastAsiaTheme="minorHAnsi" w:cs="Cambria"/>
        </w:rPr>
        <w:t xml:space="preserve"> function), retinal detachment and increased </w:t>
      </w:r>
      <w:r>
        <w:rPr>
          <w:rFonts w:eastAsiaTheme="minorHAnsi" w:cs="Cambria"/>
        </w:rPr>
        <w:t>intraocular pressure</w:t>
      </w:r>
      <w:r w:rsidR="00C137D2">
        <w:rPr>
          <w:rFonts w:eastAsiaTheme="minorHAnsi" w:cs="Cambria"/>
        </w:rPr>
        <w:t xml:space="preserve"> resulting in optic atrophy (secondary to administration of depo</w:t>
      </w:r>
      <w:r w:rsidR="003E0952">
        <w:rPr>
          <w:rFonts w:eastAsiaTheme="minorHAnsi" w:cs="Cambria"/>
        </w:rPr>
        <w:t>t</w:t>
      </w:r>
      <w:r w:rsidR="00C137D2">
        <w:rPr>
          <w:rFonts w:eastAsiaTheme="minorHAnsi" w:cs="Cambria"/>
        </w:rPr>
        <w:t>-</w:t>
      </w:r>
      <w:r w:rsidR="003E0952">
        <w:rPr>
          <w:rFonts w:eastAsiaTheme="minorHAnsi" w:cs="Cambria"/>
        </w:rPr>
        <w:t>cortico</w:t>
      </w:r>
      <w:r w:rsidR="00C137D2">
        <w:rPr>
          <w:rFonts w:eastAsiaTheme="minorHAnsi" w:cs="Cambria"/>
        </w:rPr>
        <w:t xml:space="preserve">steroid given </w:t>
      </w:r>
      <w:r w:rsidR="00C137D2" w:rsidRPr="00C73691">
        <w:rPr>
          <w:rFonts w:eastAsiaTheme="minorHAnsi" w:cs="Cambria"/>
        </w:rPr>
        <w:t>to treat endophthalmitis related to the administration procedure).</w:t>
      </w:r>
    </w:p>
    <w:p w14:paraId="34FC0923" w14:textId="552D7BB9" w:rsidR="003B2857" w:rsidRDefault="00C137D2" w:rsidP="003B2857">
      <w:pPr>
        <w:pStyle w:val="Heading5"/>
      </w:pPr>
      <w:r w:rsidRPr="00A25FB5">
        <w:t>Vector shedding</w:t>
      </w:r>
    </w:p>
    <w:p w14:paraId="6621160F" w14:textId="4CF03DB3" w:rsidR="00C137D2" w:rsidRDefault="003B2857" w:rsidP="00C137D2">
      <w:pPr>
        <w:tabs>
          <w:tab w:val="left" w:pos="1418"/>
        </w:tabs>
        <w:autoSpaceDE w:val="0"/>
        <w:autoSpaceDN w:val="0"/>
        <w:spacing w:line="240" w:lineRule="auto"/>
        <w:rPr>
          <w:rFonts w:eastAsiaTheme="minorHAnsi" w:cs="Cambria"/>
        </w:rPr>
      </w:pPr>
      <w:r>
        <w:rPr>
          <w:rFonts w:asciiTheme="minorHAnsi" w:hAnsiTheme="minorHAnsi"/>
        </w:rPr>
        <w:t>Vector shedding was measured by quantitative polymerase chain reaction</w:t>
      </w:r>
      <w:r w:rsidR="00C137D2" w:rsidRPr="00C73691">
        <w:rPr>
          <w:rFonts w:asciiTheme="minorHAnsi" w:hAnsiTheme="minorHAnsi"/>
        </w:rPr>
        <w:t xml:space="preserve"> to detect AAV2 vector DNA containing the </w:t>
      </w:r>
      <w:r w:rsidR="00C137D2" w:rsidRPr="00FC1CE0">
        <w:rPr>
          <w:rFonts w:asciiTheme="minorHAnsi" w:hAnsiTheme="minorHAnsi"/>
          <w:i/>
        </w:rPr>
        <w:t>RPE65</w:t>
      </w:r>
      <w:r w:rsidR="00C137D2" w:rsidRPr="00C73691">
        <w:rPr>
          <w:rFonts w:asciiTheme="minorHAnsi" w:hAnsiTheme="minorHAnsi"/>
        </w:rPr>
        <w:t xml:space="preserve">-transgene. </w:t>
      </w:r>
      <w:r w:rsidR="00C137D2">
        <w:rPr>
          <w:rFonts w:asciiTheme="minorHAnsi" w:hAnsiTheme="minorHAnsi"/>
        </w:rPr>
        <w:t xml:space="preserve">Samples were taken from tears and blood. </w:t>
      </w:r>
      <w:r w:rsidR="00C137D2">
        <w:rPr>
          <w:rFonts w:eastAsiaTheme="minorHAnsi" w:cs="Cambria"/>
        </w:rPr>
        <w:t xml:space="preserve">There were 14 of 29 (48%) of subjects in the </w:t>
      </w:r>
      <w:r w:rsidR="00FC1363">
        <w:rPr>
          <w:rFonts w:eastAsiaTheme="minorHAnsi" w:cs="Cambria"/>
        </w:rPr>
        <w:t xml:space="preserve">modified </w:t>
      </w:r>
      <w:r w:rsidR="00C137D2">
        <w:rPr>
          <w:rFonts w:eastAsiaTheme="minorHAnsi" w:cs="Cambria"/>
        </w:rPr>
        <w:t>ITT/</w:t>
      </w:r>
      <w:r w:rsidR="000000AE">
        <w:rPr>
          <w:rFonts w:eastAsiaTheme="minorHAnsi" w:cs="Cambria"/>
        </w:rPr>
        <w:t>s</w:t>
      </w:r>
      <w:r w:rsidR="00C137D2">
        <w:rPr>
          <w:rFonts w:eastAsiaTheme="minorHAnsi" w:cs="Cambria"/>
        </w:rPr>
        <w:t>afety population of</w:t>
      </w:r>
      <w:r w:rsidR="00F1460F">
        <w:rPr>
          <w:rFonts w:eastAsiaTheme="minorHAnsi" w:cs="Cambria"/>
        </w:rPr>
        <w:t xml:space="preserve"> s</w:t>
      </w:r>
      <w:r>
        <w:rPr>
          <w:rFonts w:eastAsiaTheme="minorHAnsi" w:cs="Cambria"/>
        </w:rPr>
        <w:t>tudies</w:t>
      </w:r>
      <w:r w:rsidR="00C137D2">
        <w:rPr>
          <w:rFonts w:eastAsiaTheme="minorHAnsi" w:cs="Cambria"/>
        </w:rPr>
        <w:t xml:space="preserve"> 301/302 with positive t</w:t>
      </w:r>
      <w:r>
        <w:rPr>
          <w:rFonts w:eastAsiaTheme="minorHAnsi" w:cs="Cambria"/>
        </w:rPr>
        <w:t>ear and or serum samples; n = 9</w:t>
      </w:r>
      <w:r w:rsidR="00C137D2">
        <w:rPr>
          <w:rFonts w:eastAsiaTheme="minorHAnsi" w:cs="Cambria"/>
        </w:rPr>
        <w:t>(45%) in the origin</w:t>
      </w:r>
      <w:r>
        <w:rPr>
          <w:rFonts w:eastAsiaTheme="minorHAnsi" w:cs="Cambria"/>
        </w:rPr>
        <w:t>al intervention group and n = 5</w:t>
      </w:r>
      <w:r w:rsidR="00C137D2">
        <w:rPr>
          <w:rFonts w:eastAsiaTheme="minorHAnsi" w:cs="Cambria"/>
        </w:rPr>
        <w:t>(56%) in the control/intervention group. Overall, vector genome was detected in tears for 13 of 29 (45%) subjects. Vector DNA was not detected in any whole blood samples.</w:t>
      </w:r>
    </w:p>
    <w:p w14:paraId="1E58341A" w14:textId="6C2F7D96"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Thirteen subjects had positive tear samples; for 8 subjects samples were positive on Day 1 only. There were 5 subjects with more than one positive sample; 4 subjects were positive up to Day 3 post vector administration and 1 subject in the control/ intervention group had positive tear samples at Day 14 post vector administration. The range for copies of AAV2 hRPE65v2 per reaction was 12 to 994 copies across tear samples for Day 1 and Day</w:t>
      </w:r>
      <w:r w:rsidR="00F5665D">
        <w:rPr>
          <w:rFonts w:eastAsiaTheme="minorHAnsi" w:cs="Cambria"/>
        </w:rPr>
        <w:t> </w:t>
      </w:r>
      <w:r>
        <w:rPr>
          <w:rFonts w:eastAsiaTheme="minorHAnsi" w:cs="Cambria"/>
        </w:rPr>
        <w:t xml:space="preserve">3, and 61 copies of AAV2 hRPE65v2 at Day 14 for </w:t>
      </w:r>
      <w:r w:rsidR="003B2857">
        <w:rPr>
          <w:rFonts w:eastAsiaTheme="minorHAnsi" w:cs="Cambria"/>
        </w:rPr>
        <w:t>one patient</w:t>
      </w:r>
      <w:r>
        <w:rPr>
          <w:rFonts w:eastAsiaTheme="minorHAnsi" w:cs="Cambria"/>
        </w:rPr>
        <w:t xml:space="preserve"> in the</w:t>
      </w:r>
      <w:r w:rsidR="003B2857">
        <w:rPr>
          <w:rFonts w:eastAsiaTheme="minorHAnsi" w:cs="Cambria"/>
        </w:rPr>
        <w:t xml:space="preserve"> control/ intervention group – that are</w:t>
      </w:r>
      <w:r>
        <w:rPr>
          <w:rFonts w:eastAsiaTheme="minorHAnsi" w:cs="Cambria"/>
        </w:rPr>
        <w:t xml:space="preserve"> a</w:t>
      </w:r>
      <w:r w:rsidR="003B2857">
        <w:rPr>
          <w:rFonts w:eastAsiaTheme="minorHAnsi" w:cs="Cambria"/>
        </w:rPr>
        <w:t>ll very low number of viral DNA</w:t>
      </w:r>
      <w:r>
        <w:rPr>
          <w:rFonts w:eastAsiaTheme="minorHAnsi" w:cs="Cambria"/>
        </w:rPr>
        <w:t>.</w:t>
      </w:r>
    </w:p>
    <w:p w14:paraId="38D381CB" w14:textId="377BDF88"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Vector genome was detected in serum samples from 3 of 29 subjects, for all subjects serum samples were positive for up to 3 days.</w:t>
      </w:r>
    </w:p>
    <w:p w14:paraId="25271301" w14:textId="74F1D6CE" w:rsidR="00C137D2" w:rsidRPr="00A25FB5" w:rsidRDefault="00C137D2" w:rsidP="146A1CE9">
      <w:pPr>
        <w:spacing w:before="0" w:after="0" w:line="240" w:lineRule="auto"/>
        <w:rPr>
          <w:rFonts w:asciiTheme="minorHAnsi" w:hAnsiTheme="minorHAnsi"/>
        </w:rPr>
      </w:pPr>
      <w:r w:rsidRPr="146A1CE9">
        <w:rPr>
          <w:rFonts w:asciiTheme="minorHAnsi" w:hAnsiTheme="minorHAnsi"/>
        </w:rPr>
        <w:t xml:space="preserve">Cell mediated and humoral immune response to both capsid and transgene product were tracked in </w:t>
      </w:r>
      <w:r w:rsidR="0069437D">
        <w:rPr>
          <w:rFonts w:asciiTheme="minorHAnsi" w:hAnsiTheme="minorHAnsi"/>
        </w:rPr>
        <w:t>S</w:t>
      </w:r>
      <w:r w:rsidRPr="146A1CE9">
        <w:rPr>
          <w:rFonts w:asciiTheme="minorHAnsi" w:hAnsiTheme="minorHAnsi"/>
        </w:rPr>
        <w:t>tudies 301 and 302 using antigen specif</w:t>
      </w:r>
      <w:r w:rsidR="003B2857" w:rsidRPr="146A1CE9">
        <w:rPr>
          <w:rFonts w:asciiTheme="minorHAnsi" w:hAnsiTheme="minorHAnsi"/>
        </w:rPr>
        <w:t>ic T cell reactivity against AAV</w:t>
      </w:r>
      <w:r w:rsidRPr="146A1CE9">
        <w:rPr>
          <w:rFonts w:asciiTheme="minorHAnsi" w:hAnsiTheme="minorHAnsi"/>
        </w:rPr>
        <w:t>2 capsid and RPE 65 whole protein in peripheral blood mononuclear cell</w:t>
      </w:r>
      <w:r w:rsidR="003B2857" w:rsidRPr="146A1CE9">
        <w:rPr>
          <w:rFonts w:asciiTheme="minorHAnsi" w:hAnsiTheme="minorHAnsi"/>
        </w:rPr>
        <w:t>s</w:t>
      </w:r>
      <w:r w:rsidRPr="146A1CE9">
        <w:rPr>
          <w:rFonts w:asciiTheme="minorHAnsi" w:hAnsiTheme="minorHAnsi"/>
        </w:rPr>
        <w:t>. Sa</w:t>
      </w:r>
      <w:r w:rsidR="003B2857" w:rsidRPr="146A1CE9">
        <w:rPr>
          <w:rFonts w:asciiTheme="minorHAnsi" w:hAnsiTheme="minorHAnsi"/>
        </w:rPr>
        <w:t>mples were analysed with ELISpot</w:t>
      </w:r>
      <w:r w:rsidRPr="146A1CE9">
        <w:rPr>
          <w:rFonts w:asciiTheme="minorHAnsi" w:hAnsiTheme="minorHAnsi"/>
        </w:rPr>
        <w:t xml:space="preserve"> </w:t>
      </w:r>
      <w:r w:rsidR="003B2857" w:rsidRPr="146A1CE9">
        <w:rPr>
          <w:rFonts w:asciiTheme="minorHAnsi" w:hAnsiTheme="minorHAnsi"/>
        </w:rPr>
        <w:t xml:space="preserve">assays </w:t>
      </w:r>
      <w:r w:rsidRPr="146A1CE9">
        <w:rPr>
          <w:rFonts w:asciiTheme="minorHAnsi" w:hAnsiTheme="minorHAnsi"/>
        </w:rPr>
        <w:t xml:space="preserve">to detect interferon </w:t>
      </w:r>
      <w:r w:rsidR="2B513447" w:rsidRPr="146A1CE9">
        <w:rPr>
          <w:rFonts w:asciiTheme="minorHAnsi" w:hAnsiTheme="minorHAnsi"/>
        </w:rPr>
        <w:t>gamma</w:t>
      </w:r>
      <w:r w:rsidRPr="146A1CE9">
        <w:rPr>
          <w:rFonts w:asciiTheme="minorHAnsi" w:hAnsiTheme="minorHAnsi"/>
        </w:rPr>
        <w:t xml:space="preserve"> through quantification of ‘spot forming units’ and concentratio</w:t>
      </w:r>
      <w:r w:rsidR="003B2857" w:rsidRPr="146A1CE9">
        <w:rPr>
          <w:rFonts w:asciiTheme="minorHAnsi" w:hAnsiTheme="minorHAnsi"/>
        </w:rPr>
        <w:t>ns of Immunoglobulin G antibodies against AAV</w:t>
      </w:r>
      <w:r w:rsidRPr="146A1CE9">
        <w:rPr>
          <w:rFonts w:asciiTheme="minorHAnsi" w:hAnsiTheme="minorHAnsi"/>
        </w:rPr>
        <w:t xml:space="preserve">2 capsid in serum </w:t>
      </w:r>
      <w:r w:rsidRPr="146A1CE9">
        <w:rPr>
          <w:rFonts w:asciiTheme="minorHAnsi" w:hAnsiTheme="minorHAnsi"/>
        </w:rPr>
        <w:lastRenderedPageBreak/>
        <w:t xml:space="preserve">samples were analysed using a validated </w:t>
      </w:r>
      <w:r w:rsidR="003B2857" w:rsidRPr="146A1CE9">
        <w:rPr>
          <w:rFonts w:asciiTheme="minorHAnsi" w:hAnsiTheme="minorHAnsi"/>
        </w:rPr>
        <w:t>enzyme-linked immunosorbent assay (</w:t>
      </w:r>
      <w:r w:rsidRPr="146A1CE9">
        <w:rPr>
          <w:rFonts w:asciiTheme="minorHAnsi" w:hAnsiTheme="minorHAnsi"/>
        </w:rPr>
        <w:t>ELISA</w:t>
      </w:r>
      <w:r w:rsidR="003B2857" w:rsidRPr="146A1CE9">
        <w:rPr>
          <w:rFonts w:asciiTheme="minorHAnsi" w:hAnsiTheme="minorHAnsi"/>
        </w:rPr>
        <w:t>)</w:t>
      </w:r>
      <w:r w:rsidRPr="146A1CE9">
        <w:rPr>
          <w:rFonts w:asciiTheme="minorHAnsi" w:hAnsiTheme="minorHAnsi"/>
        </w:rPr>
        <w:t xml:space="preserve"> method.</w:t>
      </w:r>
    </w:p>
    <w:p w14:paraId="08CB6965" w14:textId="25B8353E" w:rsidR="00C137D2" w:rsidRDefault="00C137D2" w:rsidP="00C137D2">
      <w:pPr>
        <w:tabs>
          <w:tab w:val="left" w:pos="1418"/>
        </w:tabs>
        <w:autoSpaceDE w:val="0"/>
        <w:autoSpaceDN w:val="0"/>
        <w:spacing w:line="240" w:lineRule="auto"/>
        <w:rPr>
          <w:rFonts w:eastAsiaTheme="minorHAnsi" w:cs="Cambria"/>
        </w:rPr>
      </w:pPr>
      <w:r>
        <w:rPr>
          <w:rFonts w:eastAsiaTheme="minorHAnsi" w:cs="Cambria"/>
        </w:rPr>
        <w:t xml:space="preserve">In </w:t>
      </w:r>
      <w:r w:rsidR="000000AE">
        <w:rPr>
          <w:rFonts w:eastAsiaTheme="minorHAnsi" w:cs="Cambria"/>
        </w:rPr>
        <w:t xml:space="preserve">Study </w:t>
      </w:r>
      <w:r>
        <w:rPr>
          <w:rFonts w:eastAsiaTheme="minorHAnsi" w:cs="Cambria"/>
        </w:rPr>
        <w:t xml:space="preserve">301, </w:t>
      </w:r>
      <w:r w:rsidR="003B2857">
        <w:rPr>
          <w:rFonts w:eastAsiaTheme="minorHAnsi" w:cs="Cambria"/>
        </w:rPr>
        <w:t>interferon gamma (IFN-γ)</w:t>
      </w:r>
      <w:r>
        <w:rPr>
          <w:rFonts w:eastAsiaTheme="minorHAnsi" w:cs="Cambria"/>
        </w:rPr>
        <w:t xml:space="preserve"> ELI</w:t>
      </w:r>
      <w:r w:rsidR="003B2857">
        <w:rPr>
          <w:rFonts w:eastAsiaTheme="minorHAnsi" w:cs="Cambria"/>
        </w:rPr>
        <w:t>Spot</w:t>
      </w:r>
      <w:r>
        <w:rPr>
          <w:rFonts w:eastAsiaTheme="minorHAnsi" w:cs="Cambria"/>
        </w:rPr>
        <w:t xml:space="preserve"> assay results for AAV2 capsid and RPE65 were negative at the time points evaluated, with the exception of 3 subjects with a positive response at a single time point, against either RPE65 or AAV2 capsid, not both simultaneously. In </w:t>
      </w:r>
      <w:r w:rsidR="003043E4">
        <w:rPr>
          <w:rFonts w:eastAsiaTheme="minorHAnsi" w:cs="Cambria"/>
        </w:rPr>
        <w:t>S</w:t>
      </w:r>
      <w:r>
        <w:rPr>
          <w:rFonts w:eastAsiaTheme="minorHAnsi" w:cs="Cambria"/>
        </w:rPr>
        <w:t>tudy 302, five subjects in the control/intervention group showed</w:t>
      </w:r>
      <w:r w:rsidR="00785A5F">
        <w:rPr>
          <w:rFonts w:eastAsiaTheme="minorHAnsi" w:cs="Cambria"/>
        </w:rPr>
        <w:t xml:space="preserve"> a positive IFN-γ ELISpot</w:t>
      </w:r>
      <w:r>
        <w:rPr>
          <w:rFonts w:eastAsiaTheme="minorHAnsi" w:cs="Cambria"/>
        </w:rPr>
        <w:t xml:space="preserve"> assay result and four subjects had a positive response to RPE65.</w:t>
      </w:r>
    </w:p>
    <w:p w14:paraId="3A3D93E0" w14:textId="700FD8DE" w:rsidR="00C137D2" w:rsidRPr="00785A5F" w:rsidRDefault="00C137D2" w:rsidP="00785A5F">
      <w:pPr>
        <w:tabs>
          <w:tab w:val="left" w:pos="1418"/>
        </w:tabs>
        <w:autoSpaceDE w:val="0"/>
        <w:autoSpaceDN w:val="0"/>
        <w:spacing w:after="0" w:line="240" w:lineRule="auto"/>
        <w:rPr>
          <w:rFonts w:eastAsiaTheme="minorHAnsi" w:cs="Cambria"/>
        </w:rPr>
      </w:pPr>
      <w:r>
        <w:rPr>
          <w:rFonts w:eastAsiaTheme="minorHAnsi" w:cs="Cambria"/>
        </w:rPr>
        <w:t>The</w:t>
      </w:r>
      <w:r w:rsidR="003B2857">
        <w:rPr>
          <w:rFonts w:eastAsiaTheme="minorHAnsi" w:cs="Cambria"/>
        </w:rPr>
        <w:t xml:space="preserve">re was a variable response in </w:t>
      </w:r>
      <w:r w:rsidR="000000AE">
        <w:rPr>
          <w:rFonts w:asciiTheme="minorHAnsi" w:hAnsiTheme="minorHAnsi"/>
        </w:rPr>
        <w:t>i</w:t>
      </w:r>
      <w:r w:rsidR="003B2857">
        <w:rPr>
          <w:rFonts w:asciiTheme="minorHAnsi" w:hAnsiTheme="minorHAnsi"/>
        </w:rPr>
        <w:t>mmunoglobulin</w:t>
      </w:r>
      <w:r w:rsidR="003B2857">
        <w:rPr>
          <w:rFonts w:eastAsiaTheme="minorHAnsi" w:cs="Cambria"/>
        </w:rPr>
        <w:t xml:space="preserve"> </w:t>
      </w:r>
      <w:r>
        <w:rPr>
          <w:rFonts w:eastAsiaTheme="minorHAnsi" w:cs="Cambria"/>
        </w:rPr>
        <w:t>G antibodies</w:t>
      </w:r>
      <w:r w:rsidR="000000AE">
        <w:rPr>
          <w:rFonts w:eastAsiaTheme="minorHAnsi" w:cs="Cambria"/>
        </w:rPr>
        <w:t>;</w:t>
      </w:r>
      <w:r>
        <w:rPr>
          <w:rFonts w:eastAsiaTheme="minorHAnsi" w:cs="Cambria"/>
        </w:rPr>
        <w:t xml:space="preserve"> some patients had no response, others a small transient increase. There was no clinical correlation with these responses.</w:t>
      </w:r>
    </w:p>
    <w:p w14:paraId="4FAC9BE0" w14:textId="77777777" w:rsidR="008E7846" w:rsidRDefault="00386150" w:rsidP="007B6132">
      <w:pPr>
        <w:pStyle w:val="Heading3"/>
        <w:rPr>
          <w:lang w:eastAsia="en-AU"/>
        </w:rPr>
      </w:pPr>
      <w:bookmarkStart w:id="42" w:name="_Toc59006623"/>
      <w:r>
        <w:rPr>
          <w:lang w:eastAsia="en-AU"/>
        </w:rPr>
        <w:t>Risk m</w:t>
      </w:r>
      <w:r w:rsidR="008E7846">
        <w:rPr>
          <w:lang w:eastAsia="en-AU"/>
        </w:rPr>
        <w:t xml:space="preserve">anagement </w:t>
      </w:r>
      <w:r>
        <w:rPr>
          <w:lang w:eastAsia="en-AU"/>
        </w:rPr>
        <w:t>p</w:t>
      </w:r>
      <w:r w:rsidR="008E7846">
        <w:rPr>
          <w:lang w:eastAsia="en-AU"/>
        </w:rPr>
        <w:t>lan</w:t>
      </w:r>
      <w:bookmarkEnd w:id="39"/>
      <w:bookmarkEnd w:id="42"/>
    </w:p>
    <w:p w14:paraId="1A171C87" w14:textId="00065EDE" w:rsidR="00785A5F" w:rsidRDefault="00785A5F" w:rsidP="00785A5F">
      <w:pPr>
        <w:rPr>
          <w:rFonts w:eastAsiaTheme="minorHAnsi" w:cs="Cambria"/>
        </w:rPr>
      </w:pPr>
      <w:r>
        <w:rPr>
          <w:rFonts w:eastAsiaTheme="minorHAnsi" w:cs="Cambria"/>
        </w:rPr>
        <w:t>The following risk management plan versions were submitted and evaluated:</w:t>
      </w:r>
    </w:p>
    <w:p w14:paraId="37E6F5C5" w14:textId="2B59625C" w:rsidR="00785A5F" w:rsidRDefault="00785A5F" w:rsidP="00785A5F">
      <w:pPr>
        <w:pStyle w:val="ListBullet"/>
      </w:pPr>
      <w:r>
        <w:t>European Union-RMP version 1.5 (dated 4 October 2018; Data lock point 5 May 2017)</w:t>
      </w:r>
    </w:p>
    <w:p w14:paraId="7C3F7EC4" w14:textId="1BD29ED0" w:rsidR="00785A5F" w:rsidRDefault="00785A5F" w:rsidP="00785A5F">
      <w:pPr>
        <w:pStyle w:val="ListBullet"/>
      </w:pPr>
      <w:r>
        <w:t xml:space="preserve">Australian </w:t>
      </w:r>
      <w:r w:rsidR="002C00EF">
        <w:t>Specific</w:t>
      </w:r>
      <w:r>
        <w:t xml:space="preserve"> Annex version 1.0 (dated 13 June 2019)</w:t>
      </w:r>
    </w:p>
    <w:p w14:paraId="662AFB51" w14:textId="6E080BA9" w:rsidR="00785A5F" w:rsidRPr="00785A5F" w:rsidRDefault="00785A5F" w:rsidP="00785A5F">
      <w:pPr>
        <w:pStyle w:val="ListBullet"/>
      </w:pPr>
      <w:r>
        <w:t xml:space="preserve">Updated version Australian </w:t>
      </w:r>
      <w:r w:rsidR="002C00EF">
        <w:t>Specific</w:t>
      </w:r>
      <w:r>
        <w:t xml:space="preserve"> Annex 2.0 (dated 26 February 2020).</w:t>
      </w:r>
    </w:p>
    <w:p w14:paraId="67AA7399" w14:textId="60DECDCE" w:rsidR="006A196A" w:rsidRDefault="007D53B6" w:rsidP="007D53B6">
      <w:r>
        <w:t>The summary of safety concerns and their associated risk monitoring and mitigation strate</w:t>
      </w:r>
      <w:r w:rsidR="00785A5F">
        <w:t>gies are summarised in</w:t>
      </w:r>
      <w:r w:rsidR="006A196A">
        <w:t xml:space="preserve"> </w:t>
      </w:r>
      <w:r w:rsidR="006A196A">
        <w:fldChar w:fldCharType="begin"/>
      </w:r>
      <w:r w:rsidR="006A196A">
        <w:instrText xml:space="preserve"> REF _Ref54724784 \h </w:instrText>
      </w:r>
      <w:r w:rsidR="006A196A">
        <w:fldChar w:fldCharType="separate"/>
      </w:r>
      <w:r w:rsidR="003043E4">
        <w:t xml:space="preserve">Table </w:t>
      </w:r>
      <w:r w:rsidR="003043E4">
        <w:rPr>
          <w:noProof/>
        </w:rPr>
        <w:t>3</w:t>
      </w:r>
      <w:r w:rsidR="006A196A">
        <w:fldChar w:fldCharType="end"/>
      </w:r>
      <w:r w:rsidR="006A196A">
        <w:t>.</w:t>
      </w:r>
      <w:r>
        <w:rPr>
          <w:rStyle w:val="FootnoteReference"/>
        </w:rPr>
        <w:footnoteReference w:id="17"/>
      </w:r>
    </w:p>
    <w:p w14:paraId="0D777517" w14:textId="248BC2AA" w:rsidR="006A196A" w:rsidRDefault="006A196A" w:rsidP="006A196A">
      <w:pPr>
        <w:pStyle w:val="TableTitle"/>
      </w:pPr>
      <w:bookmarkStart w:id="43" w:name="_Ref54724784"/>
      <w:bookmarkStart w:id="44" w:name="_Ref54724762"/>
      <w:r>
        <w:t xml:space="preserve">Table </w:t>
      </w:r>
      <w:r>
        <w:fldChar w:fldCharType="begin"/>
      </w:r>
      <w:r>
        <w:instrText>SEQ Table \* ARABIC</w:instrText>
      </w:r>
      <w:r>
        <w:fldChar w:fldCharType="separate"/>
      </w:r>
      <w:r w:rsidR="00E25485">
        <w:rPr>
          <w:noProof/>
        </w:rPr>
        <w:t>3</w:t>
      </w:r>
      <w:r>
        <w:fldChar w:fldCharType="end"/>
      </w:r>
      <w:bookmarkEnd w:id="43"/>
      <w:r>
        <w:t>: Risk Management Plan for Luxturna</w:t>
      </w:r>
      <w:bookmarkEnd w:id="44"/>
    </w:p>
    <w:tbl>
      <w:tblPr>
        <w:tblStyle w:val="TableTGAblue"/>
        <w:tblW w:w="5000" w:type="pct"/>
        <w:tblLayout w:type="fixed"/>
        <w:tblLook w:val="04A0" w:firstRow="1" w:lastRow="0" w:firstColumn="1" w:lastColumn="0" w:noHBand="0" w:noVBand="1"/>
      </w:tblPr>
      <w:tblGrid>
        <w:gridCol w:w="1358"/>
        <w:gridCol w:w="2200"/>
        <w:gridCol w:w="1104"/>
        <w:gridCol w:w="1383"/>
        <w:gridCol w:w="1104"/>
        <w:gridCol w:w="1345"/>
      </w:tblGrid>
      <w:tr w:rsidR="004C5B76" w:rsidRPr="008157F2" w14:paraId="02DE3592" w14:textId="77777777" w:rsidTr="008157F2">
        <w:trPr>
          <w:cnfStyle w:val="100000000000" w:firstRow="1" w:lastRow="0" w:firstColumn="0" w:lastColumn="0" w:oddVBand="0" w:evenVBand="0" w:oddHBand="0" w:evenHBand="0" w:firstRowFirstColumn="0" w:firstRowLastColumn="0" w:lastRowFirstColumn="0" w:lastRowLastColumn="0"/>
          <w:trHeight w:val="146"/>
        </w:trPr>
        <w:tc>
          <w:tcPr>
            <w:tcW w:w="2094" w:type="pct"/>
            <w:gridSpan w:val="2"/>
            <w:vMerge w:val="restart"/>
            <w:tcBorders>
              <w:top w:val="single" w:sz="4" w:space="0" w:color="auto"/>
              <w:left w:val="single" w:sz="4" w:space="0" w:color="auto"/>
              <w:right w:val="single" w:sz="4" w:space="0" w:color="auto"/>
            </w:tcBorders>
          </w:tcPr>
          <w:p w14:paraId="3642D081" w14:textId="57134A5E" w:rsidR="00785A5F" w:rsidRPr="008157F2" w:rsidRDefault="000469C9" w:rsidP="008157F2">
            <w:pPr>
              <w:rPr>
                <w:sz w:val="18"/>
                <w:szCs w:val="18"/>
              </w:rPr>
            </w:pPr>
            <w:r w:rsidRPr="008157F2">
              <w:rPr>
                <w:sz w:val="18"/>
                <w:szCs w:val="18"/>
              </w:rPr>
              <w:t>Summary of safety concerns</w:t>
            </w:r>
          </w:p>
        </w:tc>
        <w:tc>
          <w:tcPr>
            <w:tcW w:w="1464" w:type="pct"/>
            <w:gridSpan w:val="2"/>
            <w:tcBorders>
              <w:top w:val="single" w:sz="4" w:space="0" w:color="auto"/>
              <w:left w:val="single" w:sz="4" w:space="0" w:color="auto"/>
              <w:bottom w:val="single" w:sz="4" w:space="0" w:color="auto"/>
              <w:right w:val="single" w:sz="4" w:space="0" w:color="auto"/>
            </w:tcBorders>
          </w:tcPr>
          <w:p w14:paraId="290EFA3E" w14:textId="153932A7" w:rsidR="00785A5F" w:rsidRPr="008157F2" w:rsidRDefault="00785A5F" w:rsidP="008157F2">
            <w:pPr>
              <w:rPr>
                <w:sz w:val="18"/>
                <w:szCs w:val="18"/>
              </w:rPr>
            </w:pPr>
            <w:r w:rsidRPr="008157F2">
              <w:rPr>
                <w:sz w:val="18"/>
                <w:szCs w:val="18"/>
              </w:rPr>
              <w:t>Pharmacovigilance</w:t>
            </w:r>
          </w:p>
        </w:tc>
        <w:tc>
          <w:tcPr>
            <w:tcW w:w="1442" w:type="pct"/>
            <w:gridSpan w:val="2"/>
            <w:tcBorders>
              <w:top w:val="single" w:sz="4" w:space="0" w:color="auto"/>
              <w:left w:val="single" w:sz="4" w:space="0" w:color="auto"/>
              <w:right w:val="single" w:sz="4" w:space="0" w:color="auto"/>
            </w:tcBorders>
          </w:tcPr>
          <w:p w14:paraId="5816EF11" w14:textId="2125479B" w:rsidR="00785A5F" w:rsidRPr="008157F2" w:rsidRDefault="00785A5F" w:rsidP="008157F2">
            <w:pPr>
              <w:rPr>
                <w:sz w:val="18"/>
                <w:szCs w:val="18"/>
              </w:rPr>
            </w:pPr>
            <w:r w:rsidRPr="008157F2">
              <w:rPr>
                <w:sz w:val="18"/>
                <w:szCs w:val="18"/>
              </w:rPr>
              <w:t xml:space="preserve">Risk </w:t>
            </w:r>
            <w:r w:rsidR="003043E4" w:rsidRPr="008157F2">
              <w:rPr>
                <w:sz w:val="18"/>
                <w:szCs w:val="18"/>
              </w:rPr>
              <w:t>m</w:t>
            </w:r>
            <w:r w:rsidRPr="008157F2">
              <w:rPr>
                <w:sz w:val="18"/>
                <w:szCs w:val="18"/>
              </w:rPr>
              <w:t>inimisation</w:t>
            </w:r>
          </w:p>
        </w:tc>
      </w:tr>
      <w:tr w:rsidR="000469C9" w:rsidRPr="008157F2" w14:paraId="5D1B63A3" w14:textId="77777777" w:rsidTr="008157F2">
        <w:trPr>
          <w:cnfStyle w:val="100000000000" w:firstRow="1" w:lastRow="0" w:firstColumn="0" w:lastColumn="0" w:oddVBand="0" w:evenVBand="0" w:oddHBand="0" w:evenHBand="0" w:firstRowFirstColumn="0" w:firstRowLastColumn="0" w:lastRowFirstColumn="0" w:lastRowLastColumn="0"/>
          <w:trHeight w:val="146"/>
        </w:trPr>
        <w:tc>
          <w:tcPr>
            <w:tcW w:w="2094" w:type="pct"/>
            <w:gridSpan w:val="2"/>
            <w:vMerge/>
            <w:tcBorders>
              <w:left w:val="single" w:sz="4" w:space="0" w:color="auto"/>
              <w:bottom w:val="single" w:sz="4" w:space="0" w:color="auto"/>
              <w:right w:val="single" w:sz="4" w:space="0" w:color="auto"/>
            </w:tcBorders>
          </w:tcPr>
          <w:p w14:paraId="149704A5" w14:textId="77777777" w:rsidR="00785A5F" w:rsidRPr="008157F2" w:rsidRDefault="00785A5F" w:rsidP="008157F2">
            <w:pPr>
              <w:rPr>
                <w:sz w:val="18"/>
                <w:szCs w:val="18"/>
              </w:rPr>
            </w:pPr>
          </w:p>
        </w:tc>
        <w:tc>
          <w:tcPr>
            <w:tcW w:w="650" w:type="pct"/>
            <w:tcBorders>
              <w:top w:val="single" w:sz="4" w:space="0" w:color="auto"/>
              <w:left w:val="single" w:sz="4" w:space="0" w:color="auto"/>
              <w:bottom w:val="single" w:sz="4" w:space="0" w:color="auto"/>
              <w:right w:val="single" w:sz="4" w:space="0" w:color="auto"/>
            </w:tcBorders>
            <w:shd w:val="clear" w:color="auto" w:fill="0070B5" w:themeFill="text2" w:themeFillTint="BF"/>
          </w:tcPr>
          <w:p w14:paraId="57AF707C" w14:textId="4B2ECCC1" w:rsidR="00785A5F" w:rsidRPr="008157F2" w:rsidRDefault="00785A5F" w:rsidP="008157F2">
            <w:pPr>
              <w:ind w:left="18"/>
              <w:rPr>
                <w:b w:val="0"/>
                <w:sz w:val="18"/>
                <w:szCs w:val="18"/>
              </w:rPr>
            </w:pPr>
            <w:r w:rsidRPr="008157F2">
              <w:rPr>
                <w:b w:val="0"/>
                <w:sz w:val="18"/>
                <w:szCs w:val="18"/>
              </w:rPr>
              <w:t>Routine</w:t>
            </w:r>
          </w:p>
        </w:tc>
        <w:tc>
          <w:tcPr>
            <w:tcW w:w="814" w:type="pct"/>
            <w:tcBorders>
              <w:top w:val="single" w:sz="4" w:space="0" w:color="auto"/>
              <w:left w:val="single" w:sz="4" w:space="0" w:color="auto"/>
              <w:bottom w:val="single" w:sz="4" w:space="0" w:color="auto"/>
              <w:right w:val="single" w:sz="4" w:space="0" w:color="auto"/>
            </w:tcBorders>
            <w:shd w:val="clear" w:color="auto" w:fill="0070B5" w:themeFill="text2" w:themeFillTint="BF"/>
          </w:tcPr>
          <w:p w14:paraId="0099E505" w14:textId="37C8DEC3" w:rsidR="00785A5F" w:rsidRPr="008157F2" w:rsidRDefault="00785A5F" w:rsidP="008157F2">
            <w:pPr>
              <w:rPr>
                <w:b w:val="0"/>
                <w:sz w:val="18"/>
                <w:szCs w:val="18"/>
              </w:rPr>
            </w:pPr>
            <w:r w:rsidRPr="008157F2">
              <w:rPr>
                <w:b w:val="0"/>
                <w:sz w:val="18"/>
                <w:szCs w:val="18"/>
              </w:rPr>
              <w:t>Additional</w:t>
            </w:r>
          </w:p>
        </w:tc>
        <w:tc>
          <w:tcPr>
            <w:tcW w:w="650" w:type="pct"/>
            <w:tcBorders>
              <w:left w:val="single" w:sz="4" w:space="0" w:color="auto"/>
              <w:bottom w:val="single" w:sz="4" w:space="0" w:color="auto"/>
              <w:right w:val="single" w:sz="4" w:space="0" w:color="auto"/>
            </w:tcBorders>
            <w:shd w:val="clear" w:color="auto" w:fill="0070B5" w:themeFill="text2" w:themeFillTint="BF"/>
          </w:tcPr>
          <w:p w14:paraId="70355E89" w14:textId="16C4FC37" w:rsidR="00785A5F" w:rsidRPr="008157F2" w:rsidRDefault="00785A5F" w:rsidP="008157F2">
            <w:pPr>
              <w:ind w:left="77"/>
              <w:rPr>
                <w:b w:val="0"/>
                <w:sz w:val="18"/>
                <w:szCs w:val="18"/>
              </w:rPr>
            </w:pPr>
            <w:r w:rsidRPr="008157F2">
              <w:rPr>
                <w:b w:val="0"/>
                <w:sz w:val="18"/>
                <w:szCs w:val="18"/>
              </w:rPr>
              <w:t>Routine</w:t>
            </w:r>
          </w:p>
        </w:tc>
        <w:tc>
          <w:tcPr>
            <w:tcW w:w="791" w:type="pct"/>
            <w:tcBorders>
              <w:left w:val="single" w:sz="4" w:space="0" w:color="auto"/>
              <w:bottom w:val="single" w:sz="4" w:space="0" w:color="auto"/>
              <w:right w:val="single" w:sz="4" w:space="0" w:color="auto"/>
            </w:tcBorders>
            <w:shd w:val="clear" w:color="auto" w:fill="0070B5" w:themeFill="text2" w:themeFillTint="BF"/>
          </w:tcPr>
          <w:p w14:paraId="2AF39156" w14:textId="299E04B9" w:rsidR="00785A5F" w:rsidRPr="008157F2" w:rsidRDefault="00785A5F" w:rsidP="008157F2">
            <w:pPr>
              <w:ind w:left="109"/>
              <w:rPr>
                <w:b w:val="0"/>
                <w:sz w:val="18"/>
                <w:szCs w:val="18"/>
              </w:rPr>
            </w:pPr>
            <w:r w:rsidRPr="008157F2">
              <w:rPr>
                <w:b w:val="0"/>
                <w:sz w:val="18"/>
                <w:szCs w:val="18"/>
              </w:rPr>
              <w:t>Additional</w:t>
            </w:r>
          </w:p>
        </w:tc>
      </w:tr>
      <w:tr w:rsidR="000469C9" w:rsidRPr="008157F2" w14:paraId="347FA157" w14:textId="77777777" w:rsidTr="00A46908">
        <w:tc>
          <w:tcPr>
            <w:tcW w:w="799" w:type="pct"/>
            <w:vMerge w:val="restart"/>
            <w:tcBorders>
              <w:top w:val="single" w:sz="4" w:space="0" w:color="auto"/>
              <w:left w:val="single" w:sz="4" w:space="0" w:color="auto"/>
              <w:right w:val="single" w:sz="4" w:space="0" w:color="auto"/>
            </w:tcBorders>
          </w:tcPr>
          <w:p w14:paraId="4E44994B" w14:textId="4DE1FF43" w:rsidR="004C5B76" w:rsidRPr="008157F2" w:rsidRDefault="004C5B76" w:rsidP="008157F2">
            <w:pPr>
              <w:rPr>
                <w:sz w:val="18"/>
                <w:szCs w:val="18"/>
              </w:rPr>
            </w:pPr>
            <w:r w:rsidRPr="008157F2">
              <w:rPr>
                <w:sz w:val="18"/>
                <w:szCs w:val="18"/>
              </w:rPr>
              <w:t>Important Identified Risks</w:t>
            </w:r>
          </w:p>
        </w:tc>
        <w:tc>
          <w:tcPr>
            <w:tcW w:w="1295" w:type="pct"/>
            <w:tcBorders>
              <w:top w:val="single" w:sz="4" w:space="0" w:color="auto"/>
              <w:left w:val="single" w:sz="4" w:space="0" w:color="auto"/>
              <w:bottom w:val="single" w:sz="4" w:space="0" w:color="auto"/>
              <w:right w:val="single" w:sz="4" w:space="0" w:color="auto"/>
            </w:tcBorders>
          </w:tcPr>
          <w:p w14:paraId="38B9B753" w14:textId="053436F7" w:rsidR="004C5B76" w:rsidRPr="008157F2" w:rsidRDefault="004C5B76" w:rsidP="008157F2">
            <w:pPr>
              <w:rPr>
                <w:sz w:val="18"/>
                <w:szCs w:val="18"/>
              </w:rPr>
            </w:pPr>
            <w:r w:rsidRPr="008157F2">
              <w:rPr>
                <w:rFonts w:eastAsiaTheme="minorHAnsi" w:cs="Cambria"/>
                <w:sz w:val="18"/>
                <w:szCs w:val="18"/>
              </w:rPr>
              <w:t>Increased intraocular pressure</w:t>
            </w:r>
          </w:p>
        </w:tc>
        <w:tc>
          <w:tcPr>
            <w:tcW w:w="650" w:type="pct"/>
            <w:tcBorders>
              <w:top w:val="single" w:sz="4" w:space="0" w:color="auto"/>
              <w:left w:val="single" w:sz="4" w:space="0" w:color="auto"/>
              <w:bottom w:val="single" w:sz="4" w:space="0" w:color="auto"/>
              <w:right w:val="single" w:sz="4" w:space="0" w:color="auto"/>
            </w:tcBorders>
          </w:tcPr>
          <w:p w14:paraId="47BAC644" w14:textId="5BC3AA02" w:rsidR="004C5B76" w:rsidRPr="008157F2" w:rsidRDefault="004C5B76" w:rsidP="008157F2">
            <w:pPr>
              <w:rPr>
                <w:sz w:val="18"/>
                <w:szCs w:val="18"/>
              </w:rPr>
            </w:pPr>
            <w:r w:rsidRPr="008157F2">
              <w:rPr>
                <w:rFonts w:ascii="Wingdings" w:eastAsiaTheme="minorHAnsi" w:hAnsi="Wingdings" w:cs="Wingdings"/>
                <w:sz w:val="18"/>
                <w:szCs w:val="18"/>
                <w:lang w:eastAsia="en-US"/>
              </w:rPr>
              <w:t></w:t>
            </w:r>
            <w:r w:rsidRPr="008157F2">
              <w:rPr>
                <w:rFonts w:ascii="Wingdings" w:eastAsiaTheme="minorHAnsi" w:hAnsi="Wingdings" w:cs="Wingdings"/>
                <w:sz w:val="18"/>
                <w:szCs w:val="18"/>
                <w:lang w:eastAsia="en-US"/>
              </w:rPr>
              <w:t></w:t>
            </w:r>
          </w:p>
        </w:tc>
        <w:tc>
          <w:tcPr>
            <w:tcW w:w="814" w:type="pct"/>
            <w:tcBorders>
              <w:top w:val="single" w:sz="4" w:space="0" w:color="auto"/>
              <w:left w:val="single" w:sz="4" w:space="0" w:color="auto"/>
              <w:bottom w:val="single" w:sz="4" w:space="0" w:color="auto"/>
              <w:right w:val="single" w:sz="4" w:space="0" w:color="auto"/>
            </w:tcBorders>
          </w:tcPr>
          <w:p w14:paraId="6354F3BF" w14:textId="299A5D87"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Borders>
              <w:top w:val="single" w:sz="4" w:space="0" w:color="auto"/>
              <w:left w:val="single" w:sz="4" w:space="0" w:color="auto"/>
              <w:bottom w:val="single" w:sz="4" w:space="0" w:color="auto"/>
              <w:right w:val="single" w:sz="4" w:space="0" w:color="auto"/>
            </w:tcBorders>
          </w:tcPr>
          <w:p w14:paraId="4D17C672" w14:textId="2202D09F"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Borders>
              <w:top w:val="single" w:sz="4" w:space="0" w:color="auto"/>
              <w:left w:val="single" w:sz="4" w:space="0" w:color="auto"/>
              <w:bottom w:val="single" w:sz="4" w:space="0" w:color="auto"/>
              <w:right w:val="single" w:sz="4" w:space="0" w:color="auto"/>
            </w:tcBorders>
          </w:tcPr>
          <w:p w14:paraId="2424D803" w14:textId="610A2FAA" w:rsidR="004C5B76" w:rsidRPr="008157F2" w:rsidRDefault="004C5B76" w:rsidP="008157F2">
            <w:pPr>
              <w:rPr>
                <w:sz w:val="18"/>
                <w:szCs w:val="18"/>
              </w:rPr>
            </w:pPr>
            <w:r w:rsidRPr="008157F2">
              <w:rPr>
                <w:rFonts w:ascii="Wingdings" w:eastAsiaTheme="minorHAnsi" w:hAnsi="Wingdings" w:cs="Wingdings"/>
                <w:sz w:val="18"/>
                <w:szCs w:val="18"/>
                <w:lang w:eastAsia="en-US"/>
              </w:rPr>
              <w:t></w:t>
            </w:r>
            <w:r w:rsidRPr="008157F2">
              <w:rPr>
                <w:rFonts w:ascii="Calibri" w:eastAsiaTheme="minorHAnsi" w:hAnsi="Calibri" w:cs="Calibri"/>
                <w:sz w:val="18"/>
                <w:szCs w:val="18"/>
                <w:lang w:eastAsia="en-US"/>
              </w:rPr>
              <w:t>*</w:t>
            </w:r>
          </w:p>
        </w:tc>
      </w:tr>
      <w:tr w:rsidR="000469C9" w:rsidRPr="008157F2" w14:paraId="37C18451" w14:textId="77777777" w:rsidTr="00A46908">
        <w:tc>
          <w:tcPr>
            <w:tcW w:w="799" w:type="pct"/>
            <w:vMerge/>
            <w:tcBorders>
              <w:left w:val="single" w:sz="4" w:space="0" w:color="auto"/>
              <w:right w:val="single" w:sz="4" w:space="0" w:color="auto"/>
            </w:tcBorders>
          </w:tcPr>
          <w:p w14:paraId="21B9E613" w14:textId="57E6C9F6" w:rsidR="004C5B76" w:rsidRPr="008157F2" w:rsidRDefault="004C5B76" w:rsidP="008157F2">
            <w:pPr>
              <w:rPr>
                <w:sz w:val="18"/>
                <w:szCs w:val="18"/>
              </w:rPr>
            </w:pPr>
          </w:p>
        </w:tc>
        <w:tc>
          <w:tcPr>
            <w:tcW w:w="1295" w:type="pct"/>
            <w:tcBorders>
              <w:top w:val="single" w:sz="4" w:space="0" w:color="auto"/>
              <w:left w:val="single" w:sz="4" w:space="0" w:color="auto"/>
            </w:tcBorders>
          </w:tcPr>
          <w:p w14:paraId="73BC3E0B" w14:textId="097AAC95" w:rsidR="004C5B76" w:rsidRPr="008157F2" w:rsidRDefault="004C5B76" w:rsidP="008157F2">
            <w:pPr>
              <w:rPr>
                <w:sz w:val="18"/>
                <w:szCs w:val="18"/>
              </w:rPr>
            </w:pPr>
            <w:r w:rsidRPr="008157F2">
              <w:rPr>
                <w:rFonts w:eastAsiaTheme="minorHAnsi" w:cs="Cambria"/>
                <w:sz w:val="18"/>
                <w:szCs w:val="18"/>
              </w:rPr>
              <w:t>Retinal tear</w:t>
            </w:r>
          </w:p>
        </w:tc>
        <w:tc>
          <w:tcPr>
            <w:tcW w:w="650" w:type="pct"/>
            <w:tcBorders>
              <w:top w:val="single" w:sz="4" w:space="0" w:color="auto"/>
            </w:tcBorders>
          </w:tcPr>
          <w:p w14:paraId="17A5265B" w14:textId="5ED366AC"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Borders>
              <w:top w:val="single" w:sz="4" w:space="0" w:color="auto"/>
            </w:tcBorders>
          </w:tcPr>
          <w:p w14:paraId="0D0B9CE0" w14:textId="6F16AD1F"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Borders>
              <w:top w:val="single" w:sz="4" w:space="0" w:color="auto"/>
            </w:tcBorders>
          </w:tcPr>
          <w:p w14:paraId="5523E361" w14:textId="53FC79E4"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Borders>
              <w:top w:val="single" w:sz="4" w:space="0" w:color="auto"/>
            </w:tcBorders>
          </w:tcPr>
          <w:p w14:paraId="35BD3C5D" w14:textId="17DD14F2" w:rsidR="004C5B76" w:rsidRPr="008157F2" w:rsidRDefault="004C5B76" w:rsidP="008157F2">
            <w:pPr>
              <w:rPr>
                <w:sz w:val="18"/>
                <w:szCs w:val="18"/>
              </w:rPr>
            </w:pPr>
            <w:r w:rsidRPr="008157F2">
              <w:rPr>
                <w:rFonts w:ascii="Wingdings" w:eastAsiaTheme="minorHAnsi" w:hAnsi="Wingdings" w:cs="Wingdings"/>
                <w:sz w:val="18"/>
                <w:szCs w:val="18"/>
              </w:rPr>
              <w:t></w:t>
            </w:r>
            <w:r w:rsidRPr="008157F2">
              <w:rPr>
                <w:rFonts w:ascii="Calibri" w:eastAsiaTheme="minorHAnsi" w:hAnsi="Calibri" w:cs="Calibri"/>
                <w:sz w:val="18"/>
                <w:szCs w:val="18"/>
              </w:rPr>
              <w:t>*</w:t>
            </w:r>
          </w:p>
        </w:tc>
      </w:tr>
      <w:tr w:rsidR="000469C9" w:rsidRPr="008157F2" w14:paraId="23EE9ABF" w14:textId="77777777" w:rsidTr="00A46908">
        <w:tc>
          <w:tcPr>
            <w:tcW w:w="799" w:type="pct"/>
            <w:vMerge/>
            <w:tcBorders>
              <w:left w:val="single" w:sz="4" w:space="0" w:color="auto"/>
              <w:right w:val="single" w:sz="4" w:space="0" w:color="auto"/>
            </w:tcBorders>
          </w:tcPr>
          <w:p w14:paraId="15FDEAAD" w14:textId="77777777" w:rsidR="004C5B76" w:rsidRPr="008157F2" w:rsidRDefault="004C5B76" w:rsidP="008157F2">
            <w:pPr>
              <w:rPr>
                <w:sz w:val="18"/>
                <w:szCs w:val="18"/>
              </w:rPr>
            </w:pPr>
          </w:p>
        </w:tc>
        <w:tc>
          <w:tcPr>
            <w:tcW w:w="1295" w:type="pct"/>
            <w:tcBorders>
              <w:left w:val="single" w:sz="4" w:space="0" w:color="auto"/>
            </w:tcBorders>
          </w:tcPr>
          <w:p w14:paraId="49209AC1" w14:textId="1D1311B0" w:rsidR="004C5B76" w:rsidRPr="008157F2" w:rsidRDefault="004C5B76" w:rsidP="008157F2">
            <w:pPr>
              <w:rPr>
                <w:sz w:val="18"/>
                <w:szCs w:val="18"/>
              </w:rPr>
            </w:pPr>
            <w:r w:rsidRPr="008157F2">
              <w:rPr>
                <w:sz w:val="18"/>
                <w:szCs w:val="18"/>
              </w:rPr>
              <w:t>Macular disorders</w:t>
            </w:r>
          </w:p>
        </w:tc>
        <w:tc>
          <w:tcPr>
            <w:tcW w:w="650" w:type="pct"/>
          </w:tcPr>
          <w:p w14:paraId="02DDC8E4" w14:textId="177937B9" w:rsidR="004C5B76" w:rsidRPr="008157F2" w:rsidRDefault="004C5B76" w:rsidP="008157F2">
            <w:pPr>
              <w:rPr>
                <w:sz w:val="18"/>
                <w:szCs w:val="18"/>
              </w:rPr>
            </w:pPr>
            <w:r w:rsidRPr="008157F2">
              <w:rPr>
                <w:rFonts w:ascii="Wingdings" w:eastAsiaTheme="minorHAnsi" w:hAnsi="Wingdings" w:cs="Wingdings"/>
                <w:sz w:val="18"/>
                <w:szCs w:val="18"/>
              </w:rPr>
              <w:t></w:t>
            </w:r>
          </w:p>
        </w:tc>
        <w:tc>
          <w:tcPr>
            <w:tcW w:w="814" w:type="pct"/>
          </w:tcPr>
          <w:p w14:paraId="0C71F77A" w14:textId="205B6357"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3D055A12" w14:textId="6CFEBDBF" w:rsidR="004C5B76" w:rsidRPr="008157F2" w:rsidRDefault="004C5B76" w:rsidP="008157F2">
            <w:pPr>
              <w:rPr>
                <w:sz w:val="18"/>
                <w:szCs w:val="18"/>
              </w:rPr>
            </w:pPr>
            <w:r w:rsidRPr="008157F2">
              <w:rPr>
                <w:rFonts w:ascii="Wingdings" w:eastAsiaTheme="minorHAnsi" w:hAnsi="Wingdings" w:cs="Wingdings"/>
                <w:sz w:val="18"/>
                <w:szCs w:val="18"/>
              </w:rPr>
              <w:t></w:t>
            </w:r>
          </w:p>
        </w:tc>
        <w:tc>
          <w:tcPr>
            <w:tcW w:w="791" w:type="pct"/>
          </w:tcPr>
          <w:p w14:paraId="11708017" w14:textId="03C22A9F" w:rsidR="004C5B76" w:rsidRPr="008157F2" w:rsidRDefault="004C5B76" w:rsidP="008157F2">
            <w:pPr>
              <w:rPr>
                <w:sz w:val="18"/>
                <w:szCs w:val="18"/>
              </w:rPr>
            </w:pPr>
            <w:r w:rsidRPr="008157F2">
              <w:rPr>
                <w:rFonts w:ascii="Wingdings" w:eastAsiaTheme="minorHAnsi" w:hAnsi="Wingdings" w:cs="Wingdings"/>
                <w:sz w:val="18"/>
                <w:szCs w:val="18"/>
              </w:rPr>
              <w:t></w:t>
            </w:r>
            <w:r w:rsidRPr="008157F2">
              <w:rPr>
                <w:rFonts w:ascii="Calibri" w:eastAsiaTheme="minorHAnsi" w:hAnsi="Calibri" w:cs="Calibri"/>
                <w:sz w:val="18"/>
                <w:szCs w:val="18"/>
              </w:rPr>
              <w:t>*</w:t>
            </w:r>
          </w:p>
        </w:tc>
      </w:tr>
      <w:tr w:rsidR="000469C9" w:rsidRPr="008157F2" w14:paraId="76DA9A1F" w14:textId="77777777" w:rsidTr="00A46908">
        <w:tc>
          <w:tcPr>
            <w:tcW w:w="799" w:type="pct"/>
            <w:vMerge/>
            <w:tcBorders>
              <w:left w:val="single" w:sz="4" w:space="0" w:color="auto"/>
              <w:right w:val="single" w:sz="4" w:space="0" w:color="auto"/>
            </w:tcBorders>
          </w:tcPr>
          <w:p w14:paraId="42AD0A20" w14:textId="77777777" w:rsidR="004C5B76" w:rsidRPr="008157F2" w:rsidRDefault="004C5B76" w:rsidP="008157F2">
            <w:pPr>
              <w:rPr>
                <w:sz w:val="18"/>
                <w:szCs w:val="18"/>
              </w:rPr>
            </w:pPr>
          </w:p>
        </w:tc>
        <w:tc>
          <w:tcPr>
            <w:tcW w:w="1295" w:type="pct"/>
            <w:tcBorders>
              <w:left w:val="single" w:sz="4" w:space="0" w:color="auto"/>
            </w:tcBorders>
          </w:tcPr>
          <w:p w14:paraId="036A3449" w14:textId="0AF9C1B8" w:rsidR="004C5B76" w:rsidRPr="008157F2" w:rsidRDefault="004C5B76" w:rsidP="008157F2">
            <w:pPr>
              <w:rPr>
                <w:sz w:val="18"/>
                <w:szCs w:val="18"/>
              </w:rPr>
            </w:pPr>
            <w:r w:rsidRPr="008157F2">
              <w:rPr>
                <w:sz w:val="18"/>
                <w:szCs w:val="18"/>
              </w:rPr>
              <w:t>cataract</w:t>
            </w:r>
          </w:p>
        </w:tc>
        <w:tc>
          <w:tcPr>
            <w:tcW w:w="650" w:type="pct"/>
          </w:tcPr>
          <w:p w14:paraId="1C649303" w14:textId="4AE9CE55" w:rsidR="004C5B76" w:rsidRPr="008157F2" w:rsidRDefault="004C5B76" w:rsidP="008157F2">
            <w:pPr>
              <w:rPr>
                <w:sz w:val="18"/>
                <w:szCs w:val="18"/>
              </w:rPr>
            </w:pPr>
            <w:r w:rsidRPr="008157F2">
              <w:rPr>
                <w:rFonts w:ascii="Wingdings" w:eastAsiaTheme="minorHAnsi" w:hAnsi="Wingdings" w:cs="Wingdings"/>
                <w:sz w:val="18"/>
                <w:szCs w:val="18"/>
              </w:rPr>
              <w:t></w:t>
            </w:r>
          </w:p>
        </w:tc>
        <w:tc>
          <w:tcPr>
            <w:tcW w:w="814" w:type="pct"/>
          </w:tcPr>
          <w:p w14:paraId="5968A04C" w14:textId="069D720B"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1DDA6505" w14:textId="612CB755" w:rsidR="004C5B76" w:rsidRPr="008157F2" w:rsidRDefault="004C5B76" w:rsidP="008157F2">
            <w:pPr>
              <w:rPr>
                <w:sz w:val="18"/>
                <w:szCs w:val="18"/>
              </w:rPr>
            </w:pPr>
            <w:r w:rsidRPr="008157F2">
              <w:rPr>
                <w:rFonts w:ascii="Wingdings" w:eastAsiaTheme="minorHAnsi" w:hAnsi="Wingdings" w:cs="Wingdings"/>
                <w:sz w:val="18"/>
                <w:szCs w:val="18"/>
              </w:rPr>
              <w:t></w:t>
            </w:r>
          </w:p>
        </w:tc>
        <w:tc>
          <w:tcPr>
            <w:tcW w:w="791" w:type="pct"/>
          </w:tcPr>
          <w:p w14:paraId="5E622963" w14:textId="0B821F95" w:rsidR="004C5B76" w:rsidRPr="008157F2" w:rsidRDefault="004C5B76" w:rsidP="008157F2">
            <w:pPr>
              <w:rPr>
                <w:sz w:val="18"/>
                <w:szCs w:val="18"/>
              </w:rPr>
            </w:pPr>
            <w:r w:rsidRPr="008157F2">
              <w:rPr>
                <w:rFonts w:ascii="Wingdings" w:eastAsiaTheme="minorHAnsi" w:hAnsi="Wingdings" w:cs="Wingdings"/>
                <w:sz w:val="18"/>
                <w:szCs w:val="18"/>
              </w:rPr>
              <w:t></w:t>
            </w:r>
            <w:r w:rsidRPr="008157F2">
              <w:rPr>
                <w:rFonts w:ascii="Calibri" w:eastAsiaTheme="minorHAnsi" w:hAnsi="Calibri" w:cs="Calibri"/>
                <w:sz w:val="18"/>
                <w:szCs w:val="18"/>
              </w:rPr>
              <w:t>*</w:t>
            </w:r>
          </w:p>
        </w:tc>
      </w:tr>
      <w:tr w:rsidR="000469C9" w:rsidRPr="008157F2" w14:paraId="50C197AF" w14:textId="77777777" w:rsidTr="00A46908">
        <w:tc>
          <w:tcPr>
            <w:tcW w:w="799" w:type="pct"/>
            <w:vMerge/>
            <w:tcBorders>
              <w:left w:val="single" w:sz="4" w:space="0" w:color="auto"/>
              <w:right w:val="single" w:sz="4" w:space="0" w:color="auto"/>
            </w:tcBorders>
          </w:tcPr>
          <w:p w14:paraId="6DA72479" w14:textId="77777777" w:rsidR="004C5B76" w:rsidRPr="008157F2" w:rsidRDefault="004C5B76" w:rsidP="008157F2">
            <w:pPr>
              <w:rPr>
                <w:sz w:val="18"/>
                <w:szCs w:val="18"/>
              </w:rPr>
            </w:pPr>
          </w:p>
        </w:tc>
        <w:tc>
          <w:tcPr>
            <w:tcW w:w="1295" w:type="pct"/>
            <w:tcBorders>
              <w:left w:val="single" w:sz="4" w:space="0" w:color="auto"/>
            </w:tcBorders>
          </w:tcPr>
          <w:p w14:paraId="402F3064" w14:textId="612E50D8" w:rsidR="004C5B76" w:rsidRPr="008157F2" w:rsidRDefault="004C5B76" w:rsidP="008157F2">
            <w:pPr>
              <w:rPr>
                <w:sz w:val="18"/>
                <w:szCs w:val="18"/>
              </w:rPr>
            </w:pPr>
            <w:r w:rsidRPr="008157F2">
              <w:rPr>
                <w:rFonts w:eastAsiaTheme="minorHAnsi" w:cs="Cambria"/>
                <w:sz w:val="18"/>
                <w:szCs w:val="18"/>
              </w:rPr>
              <w:t>Intraocular inflammation and/or infection related to the procedure</w:t>
            </w:r>
          </w:p>
        </w:tc>
        <w:tc>
          <w:tcPr>
            <w:tcW w:w="650" w:type="pct"/>
          </w:tcPr>
          <w:p w14:paraId="6D603EAC" w14:textId="1A025998" w:rsidR="004C5B76" w:rsidRPr="008157F2" w:rsidRDefault="004C5B76" w:rsidP="008157F2">
            <w:pPr>
              <w:rPr>
                <w:sz w:val="18"/>
                <w:szCs w:val="18"/>
              </w:rPr>
            </w:pPr>
            <w:r w:rsidRPr="008157F2">
              <w:rPr>
                <w:rFonts w:ascii="Wingdings" w:eastAsiaTheme="minorHAnsi" w:hAnsi="Wingdings" w:cs="Wingdings"/>
                <w:sz w:val="18"/>
                <w:szCs w:val="18"/>
              </w:rPr>
              <w:t></w:t>
            </w:r>
          </w:p>
        </w:tc>
        <w:tc>
          <w:tcPr>
            <w:tcW w:w="814" w:type="pct"/>
          </w:tcPr>
          <w:p w14:paraId="20513E3A" w14:textId="6733D41D"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67CD06B8" w14:textId="4A5D49B5" w:rsidR="004C5B76" w:rsidRPr="008157F2" w:rsidRDefault="004C5B76" w:rsidP="008157F2">
            <w:pPr>
              <w:rPr>
                <w:sz w:val="18"/>
                <w:szCs w:val="18"/>
              </w:rPr>
            </w:pPr>
            <w:r w:rsidRPr="008157F2">
              <w:rPr>
                <w:rFonts w:ascii="Wingdings" w:eastAsiaTheme="minorHAnsi" w:hAnsi="Wingdings" w:cs="Wingdings"/>
                <w:sz w:val="18"/>
                <w:szCs w:val="18"/>
              </w:rPr>
              <w:t></w:t>
            </w:r>
          </w:p>
        </w:tc>
        <w:tc>
          <w:tcPr>
            <w:tcW w:w="791" w:type="pct"/>
          </w:tcPr>
          <w:p w14:paraId="3F879DE8" w14:textId="77E1712D" w:rsidR="004C5B76" w:rsidRPr="008157F2" w:rsidRDefault="004C5B76" w:rsidP="008157F2">
            <w:pPr>
              <w:rPr>
                <w:sz w:val="18"/>
                <w:szCs w:val="18"/>
              </w:rPr>
            </w:pPr>
            <w:r w:rsidRPr="008157F2">
              <w:rPr>
                <w:rFonts w:ascii="Wingdings" w:eastAsiaTheme="minorHAnsi" w:hAnsi="Wingdings" w:cs="Wingdings"/>
                <w:sz w:val="18"/>
                <w:szCs w:val="18"/>
              </w:rPr>
              <w:t></w:t>
            </w:r>
            <w:r w:rsidRPr="008157F2">
              <w:rPr>
                <w:rFonts w:ascii="Calibri" w:eastAsiaTheme="minorHAnsi" w:hAnsi="Calibri" w:cs="Calibri"/>
                <w:sz w:val="18"/>
                <w:szCs w:val="18"/>
              </w:rPr>
              <w:t>*</w:t>
            </w:r>
          </w:p>
        </w:tc>
      </w:tr>
      <w:tr w:rsidR="000469C9" w:rsidRPr="008157F2" w14:paraId="55932DDB" w14:textId="77777777" w:rsidTr="00A46908">
        <w:tc>
          <w:tcPr>
            <w:tcW w:w="799" w:type="pct"/>
            <w:vMerge/>
            <w:tcBorders>
              <w:left w:val="single" w:sz="4" w:space="0" w:color="auto"/>
              <w:right w:val="single" w:sz="4" w:space="0" w:color="auto"/>
            </w:tcBorders>
          </w:tcPr>
          <w:p w14:paraId="2363AA7B" w14:textId="77777777" w:rsidR="004C5B76" w:rsidRPr="008157F2" w:rsidRDefault="004C5B76" w:rsidP="008157F2">
            <w:pPr>
              <w:rPr>
                <w:sz w:val="18"/>
                <w:szCs w:val="18"/>
              </w:rPr>
            </w:pPr>
          </w:p>
        </w:tc>
        <w:tc>
          <w:tcPr>
            <w:tcW w:w="1295" w:type="pct"/>
            <w:tcBorders>
              <w:left w:val="single" w:sz="4" w:space="0" w:color="auto"/>
            </w:tcBorders>
          </w:tcPr>
          <w:p w14:paraId="418FE6B5" w14:textId="21581B52" w:rsidR="004C5B76" w:rsidRPr="008157F2" w:rsidRDefault="004C5B76" w:rsidP="008157F2">
            <w:pPr>
              <w:rPr>
                <w:sz w:val="18"/>
                <w:szCs w:val="18"/>
              </w:rPr>
            </w:pPr>
            <w:r w:rsidRPr="008157F2">
              <w:rPr>
                <w:rFonts w:eastAsiaTheme="minorHAnsi" w:cs="Cambria"/>
                <w:sz w:val="18"/>
                <w:szCs w:val="18"/>
              </w:rPr>
              <w:t>Retinal detachment</w:t>
            </w:r>
          </w:p>
        </w:tc>
        <w:tc>
          <w:tcPr>
            <w:tcW w:w="650" w:type="pct"/>
          </w:tcPr>
          <w:p w14:paraId="4892862B" w14:textId="1EBFD60B"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38320659" w14:textId="40831FDD"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722A5F4B" w14:textId="016A4026"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Pr>
          <w:p w14:paraId="5E96ADB7" w14:textId="642BA3A1" w:rsidR="004C5B76" w:rsidRPr="008157F2" w:rsidRDefault="004C5B76" w:rsidP="008157F2">
            <w:pPr>
              <w:rPr>
                <w:sz w:val="18"/>
                <w:szCs w:val="18"/>
              </w:rPr>
            </w:pPr>
            <w:r w:rsidRPr="008157F2">
              <w:rPr>
                <w:rFonts w:ascii="Wingdings" w:eastAsiaTheme="minorHAnsi" w:hAnsi="Wingdings" w:cs="Wingdings"/>
                <w:sz w:val="18"/>
                <w:szCs w:val="18"/>
                <w:lang w:eastAsia="en-US"/>
              </w:rPr>
              <w:t></w:t>
            </w:r>
            <w:r w:rsidRPr="008157F2">
              <w:rPr>
                <w:rFonts w:ascii="Calibri" w:eastAsiaTheme="minorHAnsi" w:hAnsi="Calibri" w:cs="Calibri"/>
                <w:sz w:val="18"/>
                <w:szCs w:val="18"/>
                <w:lang w:eastAsia="en-US"/>
              </w:rPr>
              <w:t>*</w:t>
            </w:r>
          </w:p>
        </w:tc>
      </w:tr>
      <w:tr w:rsidR="000469C9" w:rsidRPr="008157F2" w14:paraId="5C961203" w14:textId="77777777" w:rsidTr="00A46908">
        <w:tc>
          <w:tcPr>
            <w:tcW w:w="799" w:type="pct"/>
            <w:vMerge w:val="restart"/>
          </w:tcPr>
          <w:p w14:paraId="5EBDA712" w14:textId="4FEDDB74" w:rsidR="004C5B76" w:rsidRPr="008157F2" w:rsidRDefault="004C5B76" w:rsidP="008157F2">
            <w:pPr>
              <w:rPr>
                <w:sz w:val="18"/>
                <w:szCs w:val="18"/>
              </w:rPr>
            </w:pPr>
            <w:r w:rsidRPr="008157F2">
              <w:rPr>
                <w:sz w:val="18"/>
                <w:szCs w:val="18"/>
              </w:rPr>
              <w:lastRenderedPageBreak/>
              <w:t>Important potential risks</w:t>
            </w:r>
          </w:p>
        </w:tc>
        <w:tc>
          <w:tcPr>
            <w:tcW w:w="1295" w:type="pct"/>
          </w:tcPr>
          <w:p w14:paraId="2CBF5281" w14:textId="493E589F" w:rsidR="004C5B76" w:rsidRPr="008157F2" w:rsidRDefault="000469C9" w:rsidP="008157F2">
            <w:pPr>
              <w:rPr>
                <w:sz w:val="18"/>
                <w:szCs w:val="18"/>
              </w:rPr>
            </w:pPr>
            <w:proofErr w:type="spellStart"/>
            <w:r w:rsidRPr="008157F2">
              <w:rPr>
                <w:sz w:val="18"/>
                <w:szCs w:val="18"/>
              </w:rPr>
              <w:t>T</w:t>
            </w:r>
            <w:r w:rsidR="004C5B76" w:rsidRPr="008157F2">
              <w:rPr>
                <w:sz w:val="18"/>
                <w:szCs w:val="18"/>
              </w:rPr>
              <w:t>umorigenicity</w:t>
            </w:r>
            <w:proofErr w:type="spellEnd"/>
          </w:p>
        </w:tc>
        <w:tc>
          <w:tcPr>
            <w:tcW w:w="650" w:type="pct"/>
          </w:tcPr>
          <w:p w14:paraId="42CCE718" w14:textId="79314FAC"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49CA6174" w14:textId="73CA6C46"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740981E5" w14:textId="37A89DC2" w:rsidR="004C5B76" w:rsidRPr="008157F2" w:rsidRDefault="004C5B76" w:rsidP="008157F2">
            <w:pPr>
              <w:rPr>
                <w:sz w:val="18"/>
                <w:szCs w:val="18"/>
              </w:rPr>
            </w:pPr>
            <w:r w:rsidRPr="008157F2">
              <w:rPr>
                <w:rFonts w:eastAsiaTheme="minorHAnsi" w:cs="Cambria"/>
                <w:sz w:val="18"/>
                <w:szCs w:val="18"/>
                <w:lang w:eastAsia="en-US"/>
              </w:rPr>
              <w:t>–</w:t>
            </w:r>
          </w:p>
        </w:tc>
        <w:tc>
          <w:tcPr>
            <w:tcW w:w="791" w:type="pct"/>
          </w:tcPr>
          <w:p w14:paraId="2BC91778" w14:textId="5AB8FDB5"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01F7EC52" w14:textId="77777777" w:rsidTr="00A46908">
        <w:tc>
          <w:tcPr>
            <w:tcW w:w="799" w:type="pct"/>
            <w:vMerge/>
          </w:tcPr>
          <w:p w14:paraId="742E9456" w14:textId="77777777" w:rsidR="004C5B76" w:rsidRPr="008157F2" w:rsidRDefault="004C5B76" w:rsidP="008157F2">
            <w:pPr>
              <w:rPr>
                <w:sz w:val="18"/>
                <w:szCs w:val="18"/>
              </w:rPr>
            </w:pPr>
          </w:p>
        </w:tc>
        <w:tc>
          <w:tcPr>
            <w:tcW w:w="1295" w:type="pct"/>
          </w:tcPr>
          <w:p w14:paraId="39FD9982" w14:textId="69DE4A30" w:rsidR="004C5B76" w:rsidRPr="008157F2" w:rsidRDefault="004C5B76" w:rsidP="008157F2">
            <w:pPr>
              <w:rPr>
                <w:sz w:val="18"/>
                <w:szCs w:val="18"/>
              </w:rPr>
            </w:pPr>
            <w:r w:rsidRPr="008157F2">
              <w:rPr>
                <w:sz w:val="18"/>
                <w:szCs w:val="18"/>
              </w:rPr>
              <w:t>Host immune response</w:t>
            </w:r>
          </w:p>
        </w:tc>
        <w:tc>
          <w:tcPr>
            <w:tcW w:w="650" w:type="pct"/>
          </w:tcPr>
          <w:p w14:paraId="50F6EA37" w14:textId="05E9E79E"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2B841F97" w14:textId="79674A39"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06BCB502" w14:textId="0A9764E5"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Pr>
          <w:p w14:paraId="1078B657" w14:textId="6D066627"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698ED112" w14:textId="77777777" w:rsidTr="00A46908">
        <w:tc>
          <w:tcPr>
            <w:tcW w:w="799" w:type="pct"/>
            <w:vMerge/>
          </w:tcPr>
          <w:p w14:paraId="039D14FD" w14:textId="77777777" w:rsidR="004C5B76" w:rsidRPr="008157F2" w:rsidRDefault="004C5B76" w:rsidP="008157F2">
            <w:pPr>
              <w:rPr>
                <w:sz w:val="18"/>
                <w:szCs w:val="18"/>
              </w:rPr>
            </w:pPr>
          </w:p>
        </w:tc>
        <w:tc>
          <w:tcPr>
            <w:tcW w:w="1295" w:type="pct"/>
          </w:tcPr>
          <w:p w14:paraId="3C3AF1DF" w14:textId="356777EA" w:rsidR="004C5B76" w:rsidRPr="008157F2" w:rsidRDefault="004C5B76" w:rsidP="008157F2">
            <w:pPr>
              <w:rPr>
                <w:sz w:val="18"/>
                <w:szCs w:val="18"/>
              </w:rPr>
            </w:pPr>
            <w:r w:rsidRPr="008157F2">
              <w:rPr>
                <w:sz w:val="18"/>
                <w:szCs w:val="18"/>
              </w:rPr>
              <w:t>Third party transmission</w:t>
            </w:r>
          </w:p>
        </w:tc>
        <w:tc>
          <w:tcPr>
            <w:tcW w:w="650" w:type="pct"/>
          </w:tcPr>
          <w:p w14:paraId="3C5DC82F" w14:textId="2989D284"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74D59A8C" w14:textId="275DDE9B"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4196E724" w14:textId="5731B32E"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Pr>
          <w:p w14:paraId="552E3AB3" w14:textId="28B3C181"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72A74BB7" w14:textId="77777777" w:rsidTr="00A46908">
        <w:tc>
          <w:tcPr>
            <w:tcW w:w="799" w:type="pct"/>
            <w:vMerge w:val="restart"/>
          </w:tcPr>
          <w:p w14:paraId="3A927422" w14:textId="19438576" w:rsidR="004C5B76" w:rsidRPr="008157F2" w:rsidRDefault="004C5B76" w:rsidP="008157F2">
            <w:pPr>
              <w:rPr>
                <w:sz w:val="18"/>
                <w:szCs w:val="18"/>
              </w:rPr>
            </w:pPr>
            <w:r w:rsidRPr="008157F2">
              <w:rPr>
                <w:sz w:val="18"/>
                <w:szCs w:val="18"/>
              </w:rPr>
              <w:t>Missing information</w:t>
            </w:r>
          </w:p>
        </w:tc>
        <w:tc>
          <w:tcPr>
            <w:tcW w:w="1295" w:type="pct"/>
          </w:tcPr>
          <w:p w14:paraId="1F7DFF7D" w14:textId="31ECADB7" w:rsidR="004C5B76" w:rsidRPr="008157F2" w:rsidRDefault="004C5B76" w:rsidP="008157F2">
            <w:pPr>
              <w:rPr>
                <w:sz w:val="18"/>
                <w:szCs w:val="18"/>
              </w:rPr>
            </w:pPr>
            <w:r w:rsidRPr="008157F2">
              <w:rPr>
                <w:sz w:val="18"/>
                <w:szCs w:val="18"/>
              </w:rPr>
              <w:t>Long term efficacy (&gt;</w:t>
            </w:r>
            <w:r w:rsidR="003043E4" w:rsidRPr="008157F2">
              <w:rPr>
                <w:sz w:val="18"/>
                <w:szCs w:val="18"/>
              </w:rPr>
              <w:t> </w:t>
            </w:r>
            <w:r w:rsidRPr="008157F2">
              <w:rPr>
                <w:sz w:val="18"/>
                <w:szCs w:val="18"/>
              </w:rPr>
              <w:t>4 years)</w:t>
            </w:r>
          </w:p>
        </w:tc>
        <w:tc>
          <w:tcPr>
            <w:tcW w:w="650" w:type="pct"/>
          </w:tcPr>
          <w:p w14:paraId="3FBF2EA9" w14:textId="13134AE2"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246DD17A" w14:textId="662C6B7C"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240A051F" w14:textId="51245467" w:rsidR="004C5B76" w:rsidRPr="008157F2" w:rsidRDefault="004C5B76" w:rsidP="008157F2">
            <w:pPr>
              <w:rPr>
                <w:sz w:val="18"/>
                <w:szCs w:val="18"/>
              </w:rPr>
            </w:pPr>
            <w:r w:rsidRPr="008157F2">
              <w:rPr>
                <w:rFonts w:eastAsiaTheme="minorHAnsi" w:cs="Cambria"/>
                <w:sz w:val="18"/>
                <w:szCs w:val="18"/>
                <w:lang w:eastAsia="en-US"/>
              </w:rPr>
              <w:t>–</w:t>
            </w:r>
          </w:p>
        </w:tc>
        <w:tc>
          <w:tcPr>
            <w:tcW w:w="791" w:type="pct"/>
          </w:tcPr>
          <w:p w14:paraId="2F733AE6" w14:textId="79C6E3E2"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22C87FD2" w14:textId="77777777" w:rsidTr="00A46908">
        <w:tc>
          <w:tcPr>
            <w:tcW w:w="799" w:type="pct"/>
            <w:vMerge/>
          </w:tcPr>
          <w:p w14:paraId="72ED9E4C" w14:textId="77777777" w:rsidR="004C5B76" w:rsidRPr="008157F2" w:rsidRDefault="004C5B76" w:rsidP="008157F2">
            <w:pPr>
              <w:rPr>
                <w:sz w:val="18"/>
                <w:szCs w:val="18"/>
              </w:rPr>
            </w:pPr>
          </w:p>
        </w:tc>
        <w:tc>
          <w:tcPr>
            <w:tcW w:w="1295" w:type="pct"/>
          </w:tcPr>
          <w:p w14:paraId="20DEB37C" w14:textId="5C7A9B4F" w:rsidR="004C5B76" w:rsidRPr="008157F2" w:rsidRDefault="004C5B76" w:rsidP="008157F2">
            <w:pPr>
              <w:rPr>
                <w:sz w:val="18"/>
                <w:szCs w:val="18"/>
              </w:rPr>
            </w:pPr>
            <w:r w:rsidRPr="008157F2">
              <w:rPr>
                <w:sz w:val="18"/>
                <w:szCs w:val="18"/>
              </w:rPr>
              <w:t>Use in pregnancy and lactation</w:t>
            </w:r>
          </w:p>
        </w:tc>
        <w:tc>
          <w:tcPr>
            <w:tcW w:w="650" w:type="pct"/>
          </w:tcPr>
          <w:p w14:paraId="1A9868DA" w14:textId="5E214797"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63FB2DA3" w14:textId="3DC45AAD"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3612BA21" w14:textId="30D76B20"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Pr>
          <w:p w14:paraId="077B5DC2" w14:textId="53358104"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03781206" w14:textId="77777777" w:rsidTr="00A46908">
        <w:tc>
          <w:tcPr>
            <w:tcW w:w="799" w:type="pct"/>
            <w:vMerge/>
          </w:tcPr>
          <w:p w14:paraId="31D70B52" w14:textId="77777777" w:rsidR="004C5B76" w:rsidRPr="008157F2" w:rsidRDefault="004C5B76" w:rsidP="008157F2">
            <w:pPr>
              <w:rPr>
                <w:sz w:val="18"/>
                <w:szCs w:val="18"/>
              </w:rPr>
            </w:pPr>
          </w:p>
        </w:tc>
        <w:tc>
          <w:tcPr>
            <w:tcW w:w="1295" w:type="pct"/>
          </w:tcPr>
          <w:p w14:paraId="21DA143E" w14:textId="656BEDCD" w:rsidR="004C5B76" w:rsidRPr="008157F2" w:rsidRDefault="004C5B76" w:rsidP="008157F2">
            <w:pPr>
              <w:rPr>
                <w:sz w:val="18"/>
                <w:szCs w:val="18"/>
              </w:rPr>
            </w:pPr>
            <w:r w:rsidRPr="008157F2">
              <w:rPr>
                <w:sz w:val="18"/>
                <w:szCs w:val="18"/>
              </w:rPr>
              <w:t>Use in children &lt;</w:t>
            </w:r>
            <w:r w:rsidR="003043E4" w:rsidRPr="008157F2">
              <w:rPr>
                <w:sz w:val="18"/>
                <w:szCs w:val="18"/>
              </w:rPr>
              <w:t xml:space="preserve"> </w:t>
            </w:r>
            <w:r w:rsidRPr="008157F2">
              <w:rPr>
                <w:sz w:val="18"/>
                <w:szCs w:val="18"/>
              </w:rPr>
              <w:t>3 years of age</w:t>
            </w:r>
          </w:p>
        </w:tc>
        <w:tc>
          <w:tcPr>
            <w:tcW w:w="650" w:type="pct"/>
          </w:tcPr>
          <w:p w14:paraId="464764FE" w14:textId="46A360DA"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3BFA2F47" w14:textId="04C76257"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07F489D1" w14:textId="70146098"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791" w:type="pct"/>
          </w:tcPr>
          <w:p w14:paraId="4B57D44B" w14:textId="58CAA1E0" w:rsidR="004C5B76" w:rsidRPr="008157F2" w:rsidRDefault="004C5B76" w:rsidP="008157F2">
            <w:pPr>
              <w:rPr>
                <w:sz w:val="18"/>
                <w:szCs w:val="18"/>
              </w:rPr>
            </w:pPr>
            <w:r w:rsidRPr="008157F2">
              <w:rPr>
                <w:rFonts w:eastAsiaTheme="minorHAnsi" w:cs="Cambria"/>
                <w:sz w:val="18"/>
                <w:szCs w:val="18"/>
                <w:lang w:eastAsia="en-US"/>
              </w:rPr>
              <w:t>–</w:t>
            </w:r>
          </w:p>
        </w:tc>
      </w:tr>
      <w:tr w:rsidR="000469C9" w:rsidRPr="008157F2" w14:paraId="2FC6ECDB" w14:textId="77777777" w:rsidTr="00A46908">
        <w:tc>
          <w:tcPr>
            <w:tcW w:w="799" w:type="pct"/>
            <w:vMerge/>
          </w:tcPr>
          <w:p w14:paraId="25578287" w14:textId="77777777" w:rsidR="004C5B76" w:rsidRPr="008157F2" w:rsidRDefault="004C5B76" w:rsidP="008157F2">
            <w:pPr>
              <w:rPr>
                <w:sz w:val="18"/>
                <w:szCs w:val="18"/>
              </w:rPr>
            </w:pPr>
          </w:p>
        </w:tc>
        <w:tc>
          <w:tcPr>
            <w:tcW w:w="1295" w:type="pct"/>
          </w:tcPr>
          <w:p w14:paraId="293728BF" w14:textId="6C806F09" w:rsidR="004C5B76" w:rsidRPr="008157F2" w:rsidRDefault="004C5B76" w:rsidP="008157F2">
            <w:pPr>
              <w:rPr>
                <w:sz w:val="18"/>
                <w:szCs w:val="18"/>
              </w:rPr>
            </w:pPr>
            <w:r w:rsidRPr="008157F2">
              <w:rPr>
                <w:sz w:val="18"/>
                <w:szCs w:val="18"/>
              </w:rPr>
              <w:t>Long term safety (&gt;</w:t>
            </w:r>
            <w:r w:rsidR="003043E4" w:rsidRPr="008157F2">
              <w:rPr>
                <w:sz w:val="18"/>
                <w:szCs w:val="18"/>
              </w:rPr>
              <w:t> </w:t>
            </w:r>
            <w:r w:rsidRPr="008157F2">
              <w:rPr>
                <w:sz w:val="18"/>
                <w:szCs w:val="18"/>
              </w:rPr>
              <w:t>9 years)</w:t>
            </w:r>
          </w:p>
        </w:tc>
        <w:tc>
          <w:tcPr>
            <w:tcW w:w="650" w:type="pct"/>
          </w:tcPr>
          <w:p w14:paraId="4422E79A" w14:textId="70B0F58C" w:rsidR="004C5B76" w:rsidRPr="008157F2" w:rsidRDefault="004C5B76" w:rsidP="008157F2">
            <w:pPr>
              <w:rPr>
                <w:sz w:val="18"/>
                <w:szCs w:val="18"/>
              </w:rPr>
            </w:pPr>
            <w:r w:rsidRPr="008157F2">
              <w:rPr>
                <w:rFonts w:ascii="Wingdings" w:eastAsiaTheme="minorHAnsi" w:hAnsi="Wingdings" w:cs="Wingdings"/>
                <w:sz w:val="18"/>
                <w:szCs w:val="18"/>
                <w:lang w:eastAsia="en-US"/>
              </w:rPr>
              <w:t></w:t>
            </w:r>
          </w:p>
        </w:tc>
        <w:tc>
          <w:tcPr>
            <w:tcW w:w="814" w:type="pct"/>
          </w:tcPr>
          <w:p w14:paraId="0A1BCBFA" w14:textId="4FC900A2" w:rsidR="004C5B76" w:rsidRPr="008157F2" w:rsidRDefault="004C5B76" w:rsidP="008157F2">
            <w:pPr>
              <w:rPr>
                <w:sz w:val="18"/>
                <w:szCs w:val="18"/>
              </w:rPr>
            </w:pPr>
            <w:r w:rsidRPr="008157F2">
              <w:rPr>
                <w:rFonts w:ascii="Wingdings" w:eastAsiaTheme="minorHAnsi" w:hAnsi="Wingdings" w:cs="Wingdings"/>
                <w:sz w:val="18"/>
                <w:szCs w:val="18"/>
              </w:rPr>
              <w:t></w:t>
            </w:r>
          </w:p>
        </w:tc>
        <w:tc>
          <w:tcPr>
            <w:tcW w:w="650" w:type="pct"/>
          </w:tcPr>
          <w:p w14:paraId="676CDECE" w14:textId="6D2A1B98" w:rsidR="004C5B76" w:rsidRPr="008157F2" w:rsidRDefault="004C5B76" w:rsidP="008157F2">
            <w:pPr>
              <w:rPr>
                <w:sz w:val="18"/>
                <w:szCs w:val="18"/>
              </w:rPr>
            </w:pPr>
            <w:r w:rsidRPr="008157F2">
              <w:rPr>
                <w:rFonts w:eastAsiaTheme="minorHAnsi" w:cs="Cambria"/>
                <w:sz w:val="18"/>
                <w:szCs w:val="18"/>
                <w:lang w:eastAsia="en-US"/>
              </w:rPr>
              <w:t>–</w:t>
            </w:r>
          </w:p>
        </w:tc>
        <w:tc>
          <w:tcPr>
            <w:tcW w:w="791" w:type="pct"/>
          </w:tcPr>
          <w:p w14:paraId="56AC6C63" w14:textId="037180C5" w:rsidR="004C5B76" w:rsidRPr="008157F2" w:rsidRDefault="004C5B76" w:rsidP="008157F2">
            <w:pPr>
              <w:rPr>
                <w:sz w:val="18"/>
                <w:szCs w:val="18"/>
              </w:rPr>
            </w:pPr>
            <w:r w:rsidRPr="008157F2">
              <w:rPr>
                <w:rFonts w:eastAsiaTheme="minorHAnsi" w:cs="Cambria"/>
                <w:sz w:val="18"/>
                <w:szCs w:val="18"/>
                <w:lang w:eastAsia="en-US"/>
              </w:rPr>
              <w:t>–</w:t>
            </w:r>
          </w:p>
        </w:tc>
      </w:tr>
    </w:tbl>
    <w:p w14:paraId="1E8848FC" w14:textId="5D8BC3A6" w:rsidR="004C5B76" w:rsidRPr="004C5B76" w:rsidRDefault="004C5B76" w:rsidP="004C5B76">
      <w:pPr>
        <w:pStyle w:val="TableDescription"/>
        <w:rPr>
          <w:rFonts w:asciiTheme="minorHAnsi" w:hAnsiTheme="minorHAnsi"/>
        </w:rPr>
      </w:pPr>
      <w:r w:rsidRPr="004C5B76">
        <w:rPr>
          <w:rFonts w:asciiTheme="minorHAnsi" w:hAnsiTheme="minorHAnsi"/>
        </w:rPr>
        <w:t>Additional pharmacovigilance includes ongoing long-term</w:t>
      </w:r>
      <w:r w:rsidRPr="004C5B76">
        <w:rPr>
          <w:rFonts w:asciiTheme="minorHAnsi" w:hAnsiTheme="minorHAnsi"/>
          <w:szCs w:val="22"/>
        </w:rPr>
        <w:t xml:space="preserve"> </w:t>
      </w:r>
      <w:r w:rsidRPr="004C5B76">
        <w:rPr>
          <w:rFonts w:asciiTheme="minorHAnsi" w:hAnsiTheme="minorHAnsi"/>
        </w:rPr>
        <w:t>follow-up study to address all s</w:t>
      </w:r>
      <w:r w:rsidR="006A196A">
        <w:rPr>
          <w:rFonts w:asciiTheme="minorHAnsi" w:hAnsiTheme="minorHAnsi"/>
        </w:rPr>
        <w:t>afety concerns and a proposed European Union</w:t>
      </w:r>
      <w:r w:rsidRPr="004C5B76">
        <w:rPr>
          <w:rFonts w:asciiTheme="minorHAnsi" w:hAnsiTheme="minorHAnsi"/>
        </w:rPr>
        <w:t xml:space="preserve"> patient registry to address all but long-term safety (&gt; 9 years). </w:t>
      </w:r>
      <w:r w:rsidRPr="006A196A">
        <w:rPr>
          <w:rFonts w:asciiTheme="minorHAnsi" w:hAnsiTheme="minorHAnsi"/>
        </w:rPr>
        <w:t>Australian patients will be included in this registry.</w:t>
      </w:r>
    </w:p>
    <w:p w14:paraId="6D64B9B2" w14:textId="263B46A4" w:rsidR="004C5B76" w:rsidRDefault="004C5B76" w:rsidP="004C5B76">
      <w:pPr>
        <w:pStyle w:val="TableDescription"/>
        <w:rPr>
          <w:rFonts w:asciiTheme="minorHAnsi" w:hAnsiTheme="minorHAnsi" w:cs="Calibri Light"/>
        </w:rPr>
      </w:pPr>
      <w:r w:rsidRPr="004C5B76">
        <w:rPr>
          <w:rFonts w:asciiTheme="minorHAnsi" w:hAnsiTheme="minorHAnsi" w:cs="Calibri Light"/>
        </w:rPr>
        <w:t xml:space="preserve">* Additional risk minimisation measures include patient alert card, </w:t>
      </w:r>
      <w:r w:rsidRPr="006A196A">
        <w:rPr>
          <w:rFonts w:asciiTheme="minorHAnsi" w:hAnsiTheme="minorHAnsi" w:cs="Calibri Light"/>
        </w:rPr>
        <w:t>patient leaflet</w:t>
      </w:r>
      <w:r w:rsidR="006A196A">
        <w:rPr>
          <w:rFonts w:asciiTheme="minorHAnsi" w:hAnsiTheme="minorHAnsi" w:cs="Calibri Light"/>
        </w:rPr>
        <w:t xml:space="preserve"> and Healthcare Professional</w:t>
      </w:r>
      <w:r w:rsidRPr="004C5B76">
        <w:rPr>
          <w:rFonts w:asciiTheme="minorHAnsi" w:hAnsiTheme="minorHAnsi" w:cs="Calibri Light"/>
        </w:rPr>
        <w:t xml:space="preserve"> education.</w:t>
      </w:r>
    </w:p>
    <w:p w14:paraId="34FE9520" w14:textId="4B11BA13" w:rsidR="00F14F77" w:rsidRDefault="00F14F77" w:rsidP="00EE42BA">
      <w:pPr>
        <w:pStyle w:val="ListBullet"/>
      </w:pPr>
      <w:r>
        <w:t xml:space="preserve">The summary of safety concerns is acceptable from an RMP perspective at </w:t>
      </w:r>
      <w:r w:rsidR="000000AE">
        <w:t>the first round</w:t>
      </w:r>
      <w:r w:rsidR="003043E4">
        <w:t xml:space="preserve"> of evaluation</w:t>
      </w:r>
      <w:r w:rsidR="00476A67">
        <w:t>.</w:t>
      </w:r>
    </w:p>
    <w:p w14:paraId="25ABB396" w14:textId="2A523218" w:rsidR="00F14F77" w:rsidRDefault="00F14F77" w:rsidP="00F14F77">
      <w:pPr>
        <w:pStyle w:val="ListBullet"/>
      </w:pPr>
      <w:r>
        <w:t>A patient registry is planned to be conducted in the EU. The sponsor states that Australian patients will be included in the EU registry.</w:t>
      </w:r>
    </w:p>
    <w:p w14:paraId="4715357E" w14:textId="021C4319" w:rsidR="00F14F77" w:rsidRPr="00476A67" w:rsidRDefault="00F14F77" w:rsidP="00F14F77">
      <w:pPr>
        <w:pStyle w:val="ListBullet"/>
      </w:pPr>
      <w:r>
        <w:t>The RMP evaluator has requested more information from the sponsor with regards to the risk minimisation plan in order to evaluate its acceptability.</w:t>
      </w:r>
      <w:r w:rsidR="003043E4">
        <w:t xml:space="preserve"> </w:t>
      </w:r>
      <w:r w:rsidR="003043E4" w:rsidRPr="00EE42BA">
        <w:t xml:space="preserve">The sponsor should provide </w:t>
      </w:r>
      <w:r w:rsidR="003043E4" w:rsidRPr="00EE42BA">
        <w:rPr>
          <w:bCs/>
        </w:rPr>
        <w:t>the Surgical and Pharmacy manuals, patient alert card and the patient leaflet intended for Australia</w:t>
      </w:r>
      <w:r w:rsidR="003043E4" w:rsidRPr="00EE42BA">
        <w:t xml:space="preserve"> to the TGA for approval prior to implementation.</w:t>
      </w:r>
    </w:p>
    <w:p w14:paraId="7DA71DFD" w14:textId="77777777" w:rsidR="00F14F77" w:rsidRDefault="00F14F77" w:rsidP="00F14F77">
      <w:pPr>
        <w:pStyle w:val="ListBullet"/>
      </w:pPr>
      <w:r>
        <w:t>There are ongoing studies:</w:t>
      </w:r>
    </w:p>
    <w:p w14:paraId="12D9ECFC" w14:textId="4D82BD7F" w:rsidR="00F14F77" w:rsidRDefault="00F14F77" w:rsidP="00F14F77">
      <w:pPr>
        <w:pStyle w:val="ListBullet2"/>
      </w:pPr>
      <w:r w:rsidRPr="00F14F77">
        <w:t>Study AAV2-hRPE65v2-LTFU-01 is a long term safety and efficacy follow up study of trial participants who received voretigene neparvovec in the clinical program</w:t>
      </w:r>
      <w:r>
        <w:t>me. The final report is due in 2031.</w:t>
      </w:r>
    </w:p>
    <w:p w14:paraId="4B53532D" w14:textId="37034523" w:rsidR="00785A5F" w:rsidRDefault="00F14F77" w:rsidP="00F14F77">
      <w:pPr>
        <w:pStyle w:val="ListBullet2"/>
      </w:pPr>
      <w:r w:rsidRPr="00F14F77">
        <w:rPr>
          <w:rFonts w:eastAsiaTheme="minorHAnsi" w:cs="Cambria"/>
        </w:rPr>
        <w:t>SPKRPE-EUPASS is a single group, prospective, observational, multi-centre (in ocular gene therapy centres and inherited retinal dystrophy referral sites) registry designed to collect data on long term safety outcomes in patients treated with voretigene neparvovec. The final report is due</w:t>
      </w:r>
      <w:r w:rsidR="0069437D">
        <w:rPr>
          <w:rFonts w:eastAsiaTheme="minorHAnsi" w:cs="Cambria"/>
        </w:rPr>
        <w:t xml:space="preserve"> in</w:t>
      </w:r>
      <w:r w:rsidRPr="00F14F77">
        <w:rPr>
          <w:rFonts w:eastAsiaTheme="minorHAnsi" w:cs="Cambria"/>
        </w:rPr>
        <w:t xml:space="preserve"> June 2030.</w:t>
      </w:r>
    </w:p>
    <w:p w14:paraId="2591F086" w14:textId="77777777" w:rsidR="008E7846" w:rsidRDefault="00AA0ED0" w:rsidP="008E7846">
      <w:pPr>
        <w:pStyle w:val="Heading3"/>
      </w:pPr>
      <w:bookmarkStart w:id="45" w:name="_Toc247691531"/>
      <w:bookmarkStart w:id="46" w:name="_Toc314842515"/>
      <w:bookmarkStart w:id="47" w:name="_Toc196046505"/>
      <w:bookmarkStart w:id="48" w:name="_Toc196046949"/>
      <w:bookmarkStart w:id="49" w:name="_Toc59006624"/>
      <w:r>
        <w:lastRenderedPageBreak/>
        <w:t>Risk-benefit a</w:t>
      </w:r>
      <w:r w:rsidR="008E7846">
        <w:t>nalysis</w:t>
      </w:r>
      <w:bookmarkEnd w:id="45"/>
      <w:bookmarkEnd w:id="46"/>
      <w:bookmarkEnd w:id="49"/>
    </w:p>
    <w:p w14:paraId="6AC51C6B" w14:textId="77777777" w:rsidR="00D23139" w:rsidRDefault="007D53B6" w:rsidP="00D23139">
      <w:pPr>
        <w:pStyle w:val="Heading4"/>
      </w:pPr>
      <w:r>
        <w:t>Delegate’s considerations</w:t>
      </w:r>
    </w:p>
    <w:p w14:paraId="5B7D52AD" w14:textId="7C614EC4" w:rsidR="00F2263D" w:rsidRPr="000F0887" w:rsidRDefault="000000AE" w:rsidP="00F2263D">
      <w:pPr>
        <w:pStyle w:val="Heading5"/>
      </w:pPr>
      <w:r>
        <w:t>I</w:t>
      </w:r>
      <w:r w:rsidR="00F2263D">
        <w:t>ndication</w:t>
      </w:r>
    </w:p>
    <w:p w14:paraId="434E3913" w14:textId="709FF1A5" w:rsidR="00F2263D" w:rsidRPr="00A922BC" w:rsidRDefault="00F2263D" w:rsidP="00A922BC">
      <w:pPr>
        <w:ind w:left="720"/>
        <w:rPr>
          <w:i/>
        </w:rPr>
      </w:pPr>
      <w:r w:rsidRPr="00A922BC">
        <w:rPr>
          <w:i/>
        </w:rPr>
        <w:t xml:space="preserve">Luxturna is indicated for the treatment of adult and paediatric patients with vision loss due to inherited retinal dystrophy caused by confirmed </w:t>
      </w:r>
      <w:proofErr w:type="spellStart"/>
      <w:r w:rsidRPr="00A922BC">
        <w:rPr>
          <w:i/>
        </w:rPr>
        <w:t>biallelic</w:t>
      </w:r>
      <w:proofErr w:type="spellEnd"/>
      <w:r w:rsidRPr="00A922BC">
        <w:rPr>
          <w:i/>
        </w:rPr>
        <w:t xml:space="preserve"> RPE65 mutations and who have s</w:t>
      </w:r>
      <w:r w:rsidR="00A922BC" w:rsidRPr="00A922BC">
        <w:rPr>
          <w:i/>
        </w:rPr>
        <w:t>ufficient viable retinal cells.</w:t>
      </w:r>
    </w:p>
    <w:p w14:paraId="2AF063D9" w14:textId="72E246F3" w:rsidR="00F2263D" w:rsidRPr="00BB52F9" w:rsidRDefault="00F2263D" w:rsidP="00F2263D">
      <w:r w:rsidRPr="00BB52F9">
        <w:t>Several aspects of this indication require further discussion</w:t>
      </w:r>
      <w:r w:rsidR="000000AE">
        <w:t>.</w:t>
      </w:r>
    </w:p>
    <w:p w14:paraId="3FA1C4BD" w14:textId="25452CE5" w:rsidR="00F2263D" w:rsidRPr="00BB52F9" w:rsidRDefault="00F2263D" w:rsidP="00F2263D">
      <w:r w:rsidRPr="00BB52F9">
        <w:t>Firstly, treatment of paediatric and adult patients is proposed. As this is an inherited disorder and may present in infancy or childhood, once all currently diagnosed patients are treated in Australia the treatment will most likely involve primarily children.</w:t>
      </w:r>
      <w:r>
        <w:t xml:space="preserve"> </w:t>
      </w:r>
      <w:r w:rsidRPr="00BB52F9">
        <w:t>In the clinical studies, the youngest child was 4 years</w:t>
      </w:r>
      <w:r w:rsidR="0058407F">
        <w:t xml:space="preserve"> old</w:t>
      </w:r>
      <w:r w:rsidRPr="00BB52F9">
        <w:t>. Although efficacy in younger children with the genetic mutation could be extrapolated from the data, the dose required and optimal surgical technique is not established.</w:t>
      </w:r>
    </w:p>
    <w:p w14:paraId="3679F0C5" w14:textId="6156FF38" w:rsidR="00F2263D" w:rsidRDefault="00F2263D" w:rsidP="00F2263D">
      <w:r w:rsidRPr="00BB52F9">
        <w:t>Second</w:t>
      </w:r>
      <w:r>
        <w:t xml:space="preserve"> the term</w:t>
      </w:r>
      <w:r w:rsidRPr="00BB52F9">
        <w:t xml:space="preserve"> ‘vision loss’ </w:t>
      </w:r>
      <w:r>
        <w:t xml:space="preserve">in the indication </w:t>
      </w:r>
      <w:r w:rsidRPr="00BB52F9">
        <w:t xml:space="preserve">is ill defined. </w:t>
      </w:r>
      <w:r>
        <w:t>The criteria for enrolment included best corrected visual acuity of 20/60 or worse with both eyes, and/or a visual field less than 20</w:t>
      </w:r>
      <w:r w:rsidR="00347DF0">
        <w:t xml:space="preserve"> </w:t>
      </w:r>
      <w:r>
        <w:t>degrees meridian. In addition they must have been unable to</w:t>
      </w:r>
      <w:r w:rsidR="0058407F">
        <w:t xml:space="preserve"> pass mobility testing at 1 lux.</w:t>
      </w:r>
      <w:r>
        <w:t xml:space="preserve"> </w:t>
      </w:r>
      <w:r w:rsidRPr="00BB52F9">
        <w:t>The clinical studies included patients with a range of disease severity</w:t>
      </w:r>
      <w:r>
        <w:t>. The study did not examine whether this treatment is helpful to prevent vision deteriorating in patients without ‘vi</w:t>
      </w:r>
      <w:r w:rsidR="0058407F">
        <w:t>sion loss’</w:t>
      </w:r>
      <w:r w:rsidR="00476A67">
        <w:t>.</w:t>
      </w:r>
    </w:p>
    <w:p w14:paraId="1D7D31FE" w14:textId="7CCA8BA7" w:rsidR="00F2263D" w:rsidRPr="00BB52F9" w:rsidRDefault="00F2263D" w:rsidP="00F2263D">
      <w:r>
        <w:t>Thirdly</w:t>
      </w:r>
      <w:r w:rsidRPr="00BB52F9">
        <w:t xml:space="preserve"> ‘sufficient viable retinal cells’ </w:t>
      </w:r>
      <w:r>
        <w:t xml:space="preserve">was defined in the clinical studies as either </w:t>
      </w:r>
      <w:r w:rsidR="0058407F">
        <w:t>‘</w:t>
      </w:r>
      <w:r>
        <w:t>an area of retina</w:t>
      </w:r>
      <w:r w:rsidR="0058407F">
        <w:t xml:space="preserve"> within the posterior pole of greater than </w:t>
      </w:r>
      <w:r>
        <w:t>1</w:t>
      </w:r>
      <w:r w:rsidR="0058407F">
        <w:t>00</w:t>
      </w:r>
      <w:r w:rsidR="00476A67">
        <w:t xml:space="preserve"> </w:t>
      </w:r>
      <w:r w:rsidR="0058407F">
        <w:t>µm thickness as shown on OCT’; ‘greater than or equal to</w:t>
      </w:r>
      <w:r>
        <w:t xml:space="preserve"> 3 disc areas of retina without atrophy or </w:t>
      </w:r>
      <w:proofErr w:type="spellStart"/>
      <w:r>
        <w:t>pigmentary</w:t>
      </w:r>
      <w:proofErr w:type="spellEnd"/>
      <w:r>
        <w:t xml:space="preserve"> degeneration within the posterior pole or the remaining visual field within 30 degree of fixation as measured by III4e </w:t>
      </w:r>
      <w:proofErr w:type="spellStart"/>
      <w:r>
        <w:t>isopter</w:t>
      </w:r>
      <w:proofErr w:type="spellEnd"/>
      <w:r>
        <w:t xml:space="preserve"> or equivalent</w:t>
      </w:r>
      <w:r w:rsidR="0058407F">
        <w:t>’</w:t>
      </w:r>
      <w:r>
        <w:t>. The importance of suf</w:t>
      </w:r>
      <w:r w:rsidR="0058407F">
        <w:t>ficient viable retinal cells for Luxturna</w:t>
      </w:r>
      <w:r>
        <w:t xml:space="preserve"> to be efficacious is highlighted by the sponsor in response to questio</w:t>
      </w:r>
      <w:r w:rsidR="0058407F">
        <w:t xml:space="preserve">ns by the </w:t>
      </w:r>
      <w:r w:rsidR="00347DF0">
        <w:t xml:space="preserve">European Medicines Agency </w:t>
      </w:r>
      <w:r w:rsidR="00926B3B">
        <w:t xml:space="preserve">(EMA) </w:t>
      </w:r>
      <w:r w:rsidR="0058407F">
        <w:t xml:space="preserve">and TGA. However, the Delegate is </w:t>
      </w:r>
      <w:r>
        <w:t>unsure if these methods are sufficiently robust to determin</w:t>
      </w:r>
      <w:r w:rsidR="0058407F">
        <w:t>e whether the cells are viable.</w:t>
      </w:r>
    </w:p>
    <w:p w14:paraId="3F59AAE3" w14:textId="77777777" w:rsidR="0058407F" w:rsidRDefault="0058407F" w:rsidP="00F2263D">
      <w:r>
        <w:t>In the Delegate’s</w:t>
      </w:r>
      <w:r w:rsidR="00F2263D">
        <w:t xml:space="preserve"> opinion, the indication should include more specific information about patients who are eligible for treatment including</w:t>
      </w:r>
      <w:r>
        <w:t>:</w:t>
      </w:r>
    </w:p>
    <w:p w14:paraId="3BFBA10F" w14:textId="77777777" w:rsidR="0058407F" w:rsidRDefault="00F2263D" w:rsidP="00F2263D">
      <w:pPr>
        <w:pStyle w:val="ListBullet"/>
      </w:pPr>
      <w:r>
        <w:t>A description of what is meant by poor vision</w:t>
      </w:r>
    </w:p>
    <w:p w14:paraId="7E8B874F" w14:textId="658D83D4" w:rsidR="00F2263D" w:rsidRDefault="00F2263D" w:rsidP="00F2263D">
      <w:pPr>
        <w:pStyle w:val="ListBullet"/>
      </w:pPr>
      <w:r>
        <w:t>A description of what is meant by sufficient numbers of viable retinal cells.</w:t>
      </w:r>
    </w:p>
    <w:p w14:paraId="3BE61902" w14:textId="0533DBCF" w:rsidR="00F2263D" w:rsidRDefault="00F2263D" w:rsidP="0058407F">
      <w:pPr>
        <w:pStyle w:val="Heading5"/>
      </w:pPr>
      <w:r w:rsidRPr="000F0887">
        <w:t>E</w:t>
      </w:r>
      <w:r w:rsidR="0058407F">
        <w:t>fficacy</w:t>
      </w:r>
    </w:p>
    <w:p w14:paraId="055A3580" w14:textId="3E7A35DB" w:rsidR="00F2263D" w:rsidRDefault="00F2263D" w:rsidP="00F2263D">
      <w:r>
        <w:t>As expected for a rare disease, the number of patients treated was small. The sponsor developed a novel e</w:t>
      </w:r>
      <w:r w:rsidR="009D018D">
        <w:t xml:space="preserve">fficacy endpoint </w:t>
      </w:r>
      <w:r>
        <w:t>that is sensitive for the specific visual deficits seen in the patients and relevant to patients</w:t>
      </w:r>
      <w:r w:rsidR="009D018D">
        <w:t>’</w:t>
      </w:r>
      <w:r>
        <w:t xml:space="preserve"> ability to function in the community. The problem with thi</w:t>
      </w:r>
      <w:r w:rsidR="009D018D">
        <w:t>s is that the improvement in Lux</w:t>
      </w:r>
      <w:r>
        <w:t xml:space="preserve"> scores may not be linear in terms of clin</w:t>
      </w:r>
      <w:r w:rsidR="009D018D">
        <w:t>ical significance;</w:t>
      </w:r>
      <w:r>
        <w:t xml:space="preserve"> the test is unable to b</w:t>
      </w:r>
      <w:r w:rsidR="009D018D">
        <w:t>e repeated in clinical practice; and the sponsor-</w:t>
      </w:r>
      <w:r>
        <w:t>defined level o</w:t>
      </w:r>
      <w:r w:rsidR="009D018D">
        <w:t>f clinical significance of 1 Lux</w:t>
      </w:r>
      <w:r>
        <w:t xml:space="preserve"> score is questionable as there appeared </w:t>
      </w:r>
      <w:r w:rsidR="009D018D">
        <w:t>to be a variability of +/- 1 Lux</w:t>
      </w:r>
      <w:r>
        <w:t xml:space="preserve"> in the control group.</w:t>
      </w:r>
    </w:p>
    <w:p w14:paraId="6D8BA99C" w14:textId="37EA6A73" w:rsidR="005C14FA" w:rsidRDefault="00F2263D" w:rsidP="00F2263D">
      <w:r>
        <w:t>The improvements in MLMT were mirrored by improvements in FST which is measured clinically. There was no significant improvement in visual acuity, which is expected from the disease</w:t>
      </w:r>
      <w:r w:rsidR="005C14FA">
        <w:t>,</w:t>
      </w:r>
      <w:r>
        <w:t xml:space="preserve"> however </w:t>
      </w:r>
      <w:r w:rsidR="005C14FA">
        <w:t xml:space="preserve">it </w:t>
      </w:r>
      <w:r>
        <w:t>does question the signifi</w:t>
      </w:r>
      <w:r w:rsidR="005C14FA">
        <w:t>cance of the improvements in Lux</w:t>
      </w:r>
      <w:r>
        <w:t xml:space="preserve"> scores. The measures of visual fields are difficult to interpret but did appear to be in a positive direction. The quality of life questionnai</w:t>
      </w:r>
      <w:r w:rsidR="005C14FA">
        <w:t>re also showed an improvement.</w:t>
      </w:r>
    </w:p>
    <w:p w14:paraId="06B22231" w14:textId="015C7863" w:rsidR="00F2263D" w:rsidRDefault="00F2263D" w:rsidP="00F2263D">
      <w:r>
        <w:t xml:space="preserve">Some patients treated with </w:t>
      </w:r>
      <w:r w:rsidR="005C14FA">
        <w:t>Luxturna</w:t>
      </w:r>
      <w:r>
        <w:t xml:space="preserve"> did not respond. In response to questions from the </w:t>
      </w:r>
      <w:r w:rsidR="00926B3B">
        <w:t xml:space="preserve">EMA </w:t>
      </w:r>
      <w:r>
        <w:t xml:space="preserve">and TGA evaluator, the sponsor could not describe any readily definable factors that </w:t>
      </w:r>
      <w:r>
        <w:lastRenderedPageBreak/>
        <w:t>may have caused this. P</w:t>
      </w:r>
      <w:r w:rsidR="005C14FA">
        <w:t xml:space="preserve">otential causes would include </w:t>
      </w:r>
      <w:r>
        <w:t>patients having insufficient viable retinal cells (despite f</w:t>
      </w:r>
      <w:r w:rsidR="005C14FA">
        <w:t>ulfilling the defined criteria), and</w:t>
      </w:r>
      <w:r>
        <w:t xml:space="preserve"> pro</w:t>
      </w:r>
      <w:r w:rsidR="005C14FA">
        <w:t>blems with surgical technique.</w:t>
      </w:r>
    </w:p>
    <w:p w14:paraId="0ECCDCE6" w14:textId="10CE5D66" w:rsidR="00F2263D" w:rsidRDefault="00F2263D" w:rsidP="00F2263D">
      <w:r>
        <w:t xml:space="preserve">Efficacy in the real world setting may not be as great as that observed in the clinical trial as despite completing training, Australian experts would not have had the experience with </w:t>
      </w:r>
      <w:r w:rsidR="005C14FA">
        <w:t>this therapy as experts in the two</w:t>
      </w:r>
      <w:r>
        <w:t xml:space="preserve"> treatment centres involved in the clinical st</w:t>
      </w:r>
      <w:r w:rsidR="005C14FA">
        <w:t>udies.</w:t>
      </w:r>
    </w:p>
    <w:p w14:paraId="7D10DCFD" w14:textId="161B5A85" w:rsidR="00F2263D" w:rsidRDefault="00F2263D" w:rsidP="00F2263D">
      <w:r>
        <w:t>The improvements seen in the clinical study were larg</w:t>
      </w:r>
      <w:r w:rsidR="005C14FA">
        <w:t>ely in relation to MLMT and FST;</w:t>
      </w:r>
      <w:r>
        <w:t xml:space="preserve"> very little change was seen in VA or visual fields. It is unclear if the changes observed in the clinical trial would change a patient’s functional status. In addition, as none of the criteria </w:t>
      </w:r>
      <w:r w:rsidR="005C14FA">
        <w:t xml:space="preserve">were </w:t>
      </w:r>
      <w:r>
        <w:t>used to define ‘vision loss’ in the in</w:t>
      </w:r>
      <w:r w:rsidR="005C14FA">
        <w:t>dication, it is unclear if the patients’</w:t>
      </w:r>
      <w:r>
        <w:t xml:space="preserve"> v</w:t>
      </w:r>
      <w:r w:rsidR="005C14FA">
        <w:t>isual status actually changed.</w:t>
      </w:r>
    </w:p>
    <w:p w14:paraId="530932E3" w14:textId="01AA0DC4" w:rsidR="00F2263D" w:rsidRDefault="005C14FA" w:rsidP="005C14FA">
      <w:pPr>
        <w:pStyle w:val="Heading5"/>
      </w:pPr>
      <w:r>
        <w:t>Safety</w:t>
      </w:r>
    </w:p>
    <w:p w14:paraId="3A15CB6E" w14:textId="0DE3B8D7" w:rsidR="00F2263D" w:rsidRDefault="00F2263D" w:rsidP="00F2263D">
      <w:r>
        <w:t>The main adverse events seen in this study were consistent with those seen either as part of the natural hist</w:t>
      </w:r>
      <w:r w:rsidR="005C14FA">
        <w:t>ory of the disease; due to prednisolone therapy;</w:t>
      </w:r>
      <w:r>
        <w:t xml:space="preserve"> or the procedure. The retinal deposits attributable to the vector were transient and of no </w:t>
      </w:r>
      <w:r w:rsidR="005C14FA">
        <w:t>functional visual significance.</w:t>
      </w:r>
    </w:p>
    <w:p w14:paraId="7766E2E4" w14:textId="2C157704" w:rsidR="00F2263D" w:rsidRDefault="00F2263D" w:rsidP="00F2263D">
      <w:r>
        <w:t>There was no definable patte</w:t>
      </w:r>
      <w:r w:rsidR="005C14FA">
        <w:t>rn of immune response observed.</w:t>
      </w:r>
    </w:p>
    <w:p w14:paraId="4C28ED31" w14:textId="53832509" w:rsidR="00F2263D" w:rsidRDefault="00F2263D" w:rsidP="00F2263D">
      <w:r>
        <w:t>Shedding of the viral vector was examined in tears and blood. Loss in tears</w:t>
      </w:r>
      <w:r w:rsidR="005C14FA">
        <w:t xml:space="preserve"> occurred for up to 14 days; </w:t>
      </w:r>
      <w:r>
        <w:t>in serum 3 days (in low ti</w:t>
      </w:r>
      <w:r w:rsidR="002E7D44">
        <w:t>t</w:t>
      </w:r>
      <w:r>
        <w:t>res). As this is a non-pathogenic non replicating virus th</w:t>
      </w:r>
      <w:r w:rsidR="00AB0272">
        <w:t>is is not of clinical concern.</w:t>
      </w:r>
    </w:p>
    <w:p w14:paraId="454139BE" w14:textId="6930B784" w:rsidR="00F2263D" w:rsidRDefault="00F2263D" w:rsidP="00F2263D">
      <w:r>
        <w:t>There ha</w:t>
      </w:r>
      <w:r w:rsidR="003B0241">
        <w:t>ve</w:t>
      </w:r>
      <w:r>
        <w:t xml:space="preserve"> been cases of malignancy associated with previous gene therapies. This has not been identified so f</w:t>
      </w:r>
      <w:r w:rsidR="00AB0272">
        <w:t>ar in the clinical studies for Luxturna</w:t>
      </w:r>
      <w:r>
        <w:t>, and is considered unlikely due to the non-p</w:t>
      </w:r>
      <w:r w:rsidR="00AB0272">
        <w:t>athogenic nature of the virus.</w:t>
      </w:r>
    </w:p>
    <w:p w14:paraId="3460ECE6" w14:textId="56869A76" w:rsidR="00F2263D" w:rsidRDefault="00F2263D" w:rsidP="00F2263D">
      <w:r>
        <w:t>It will be important to identify and train surgeons with expertise in this area so that the techniques involved in administer</w:t>
      </w:r>
      <w:r w:rsidR="00AB0272">
        <w:t>ing the medicine are optimised.</w:t>
      </w:r>
    </w:p>
    <w:p w14:paraId="4182A611" w14:textId="7DBB0F02" w:rsidR="00F2263D" w:rsidRDefault="00AB0272" w:rsidP="00AB0272">
      <w:pPr>
        <w:pStyle w:val="Heading5"/>
      </w:pPr>
      <w:r>
        <w:t xml:space="preserve">Comments on the </w:t>
      </w:r>
      <w:r w:rsidR="000469C9">
        <w:t>risk management plan</w:t>
      </w:r>
    </w:p>
    <w:p w14:paraId="02A6BD02" w14:textId="77777777" w:rsidR="00926B3B" w:rsidRDefault="00AB0272" w:rsidP="00F2263D">
      <w:r>
        <w:t xml:space="preserve">The Delegate </w:t>
      </w:r>
      <w:r w:rsidR="00F2263D">
        <w:t>note</w:t>
      </w:r>
      <w:r>
        <w:t>s that</w:t>
      </w:r>
      <w:r w:rsidR="00F2263D">
        <w:t xml:space="preserve"> the EU-RMP has an a</w:t>
      </w:r>
      <w:r>
        <w:t>ddition</w:t>
      </w:r>
      <w:r w:rsidR="00476A67">
        <w:t>al</w:t>
      </w:r>
      <w:r>
        <w:t xml:space="preserve"> risk mitigation measure:</w:t>
      </w:r>
    </w:p>
    <w:p w14:paraId="7FC23E36" w14:textId="0CFD21D1" w:rsidR="00926B3B" w:rsidRDefault="00AB0272" w:rsidP="00F2263D">
      <w:pPr>
        <w:rPr>
          <w:rFonts w:eastAsiaTheme="minorHAnsi" w:cs="Verdana"/>
          <w:i/>
        </w:rPr>
      </w:pPr>
      <w:r>
        <w:t>‘</w:t>
      </w:r>
      <w:r w:rsidR="00F2263D" w:rsidRPr="00781DA6">
        <w:rPr>
          <w:rFonts w:eastAsiaTheme="minorHAnsi" w:cs="Verdana"/>
          <w:i/>
        </w:rPr>
        <w:t xml:space="preserve">Distribution through treatment centres who have participated in the mandatory educational program on use of product and pharmacy training. Study sites/treatment centres should fulfil the following three criteria: (1) the presence of a specialist ophthalmologist with expertise in care and treatment of patients with IRDs. (2) the presence of or affiliation with a retinal surgeon experienced in </w:t>
      </w:r>
      <w:proofErr w:type="spellStart"/>
      <w:r w:rsidR="00F2263D" w:rsidRPr="00781DA6">
        <w:rPr>
          <w:rFonts w:eastAsiaTheme="minorHAnsi" w:cs="Verdana"/>
          <w:i/>
        </w:rPr>
        <w:t>subretinal</w:t>
      </w:r>
      <w:proofErr w:type="spellEnd"/>
      <w:r w:rsidR="00F2263D" w:rsidRPr="00781DA6">
        <w:rPr>
          <w:rFonts w:eastAsiaTheme="minorHAnsi" w:cs="Verdana"/>
          <w:i/>
        </w:rPr>
        <w:t xml:space="preserve"> surgery and capable of administrating voretigene neparvovec, (3) the presence of a clinical pharmacy capable of handling and preparin</w:t>
      </w:r>
      <w:r w:rsidR="00F2263D">
        <w:rPr>
          <w:rFonts w:eastAsiaTheme="minorHAnsi" w:cs="Verdana"/>
          <w:i/>
        </w:rPr>
        <w:t xml:space="preserve">g AAV vector-based gene therapy </w:t>
      </w:r>
      <w:r w:rsidR="00F2263D" w:rsidRPr="00781DA6">
        <w:rPr>
          <w:rFonts w:eastAsiaTheme="minorHAnsi" w:cs="Verdana"/>
          <w:i/>
        </w:rPr>
        <w:t>products</w:t>
      </w:r>
      <w:r>
        <w:rPr>
          <w:rFonts w:eastAsiaTheme="minorHAnsi" w:cs="Verdana"/>
          <w:i/>
        </w:rPr>
        <w:t>’</w:t>
      </w:r>
      <w:r w:rsidR="00F2263D" w:rsidRPr="00781DA6">
        <w:rPr>
          <w:rFonts w:eastAsiaTheme="minorHAnsi" w:cs="Verdana"/>
          <w:i/>
        </w:rPr>
        <w:t>.</w:t>
      </w:r>
    </w:p>
    <w:p w14:paraId="4C29A10F" w14:textId="660700C0" w:rsidR="00F2263D" w:rsidRDefault="00AB0272" w:rsidP="00F2263D">
      <w:pPr>
        <w:rPr>
          <w:rFonts w:eastAsiaTheme="minorHAnsi" w:cs="Verdana"/>
        </w:rPr>
      </w:pPr>
      <w:r>
        <w:rPr>
          <w:rFonts w:eastAsiaTheme="minorHAnsi" w:cs="Verdana"/>
        </w:rPr>
        <w:t>The Delegate</w:t>
      </w:r>
      <w:r w:rsidR="00F2263D" w:rsidRPr="00781DA6">
        <w:rPr>
          <w:rFonts w:eastAsiaTheme="minorHAnsi" w:cs="Verdana"/>
        </w:rPr>
        <w:t xml:space="preserve"> agree</w:t>
      </w:r>
      <w:r w:rsidR="003B0241">
        <w:rPr>
          <w:rFonts w:eastAsiaTheme="minorHAnsi" w:cs="Verdana"/>
        </w:rPr>
        <w:t>s</w:t>
      </w:r>
      <w:r w:rsidR="00F2263D" w:rsidRPr="00781DA6">
        <w:rPr>
          <w:rFonts w:eastAsiaTheme="minorHAnsi" w:cs="Verdana"/>
        </w:rPr>
        <w:t xml:space="preserve"> with th</w:t>
      </w:r>
      <w:r w:rsidR="00F2263D">
        <w:rPr>
          <w:rFonts w:eastAsiaTheme="minorHAnsi" w:cs="Verdana"/>
        </w:rPr>
        <w:t>ese</w:t>
      </w:r>
      <w:r w:rsidR="00F2263D" w:rsidRPr="00781DA6">
        <w:rPr>
          <w:rFonts w:eastAsiaTheme="minorHAnsi" w:cs="Verdana"/>
        </w:rPr>
        <w:t xml:space="preserve"> requirements</w:t>
      </w:r>
      <w:r w:rsidR="00476A67">
        <w:rPr>
          <w:rFonts w:eastAsiaTheme="minorHAnsi" w:cs="Verdana"/>
        </w:rPr>
        <w:t>,</w:t>
      </w:r>
      <w:r w:rsidR="00F2263D" w:rsidRPr="00781DA6">
        <w:rPr>
          <w:rFonts w:eastAsiaTheme="minorHAnsi" w:cs="Verdana"/>
        </w:rPr>
        <w:t xml:space="preserve"> however</w:t>
      </w:r>
      <w:r w:rsidR="00476A67">
        <w:rPr>
          <w:rFonts w:eastAsiaTheme="minorHAnsi" w:cs="Verdana"/>
        </w:rPr>
        <w:t>,</w:t>
      </w:r>
      <w:r w:rsidR="00F2263D" w:rsidRPr="00781DA6">
        <w:rPr>
          <w:rFonts w:eastAsiaTheme="minorHAnsi" w:cs="Verdana"/>
        </w:rPr>
        <w:t xml:space="preserve"> </w:t>
      </w:r>
      <w:r>
        <w:rPr>
          <w:rFonts w:eastAsiaTheme="minorHAnsi" w:cs="Verdana"/>
        </w:rPr>
        <w:t>would also add the following three</w:t>
      </w:r>
      <w:r w:rsidR="00F2263D">
        <w:rPr>
          <w:rFonts w:eastAsiaTheme="minorHAnsi" w:cs="Verdana"/>
        </w:rPr>
        <w:t xml:space="preserve"> criteria</w:t>
      </w:r>
      <w:r>
        <w:rPr>
          <w:rFonts w:eastAsiaTheme="minorHAnsi" w:cs="Verdana"/>
        </w:rPr>
        <w:t>:</w:t>
      </w:r>
    </w:p>
    <w:p w14:paraId="037EF1B2" w14:textId="35B4BDF0" w:rsidR="00AB0272" w:rsidRDefault="00926B3B" w:rsidP="00F2263D">
      <w:pPr>
        <w:pStyle w:val="ListBullet"/>
      </w:pPr>
      <w:r>
        <w:t>i</w:t>
      </w:r>
      <w:r w:rsidR="00F2263D">
        <w:t>nclude the involvement of a clinical geneticist in the multidisciplinary team to assist in interpretation of genetic testing</w:t>
      </w:r>
      <w:r>
        <w:t>;</w:t>
      </w:r>
    </w:p>
    <w:p w14:paraId="7944FE82" w14:textId="68D270F8" w:rsidR="00AB0272" w:rsidRPr="00AB0272" w:rsidRDefault="00F2263D" w:rsidP="00F2263D">
      <w:pPr>
        <w:pStyle w:val="ListBullet"/>
      </w:pPr>
      <w:r w:rsidRPr="00AB0272">
        <w:rPr>
          <w:rFonts w:eastAsiaTheme="minorHAnsi" w:cs="Verdana"/>
        </w:rPr>
        <w:t xml:space="preserve">keep a registry of patients treated with </w:t>
      </w:r>
      <w:r w:rsidR="00AB0272">
        <w:rPr>
          <w:rFonts w:eastAsiaTheme="minorHAnsi" w:cs="Verdana"/>
        </w:rPr>
        <w:t>Luxturna</w:t>
      </w:r>
      <w:r w:rsidRPr="00AB0272">
        <w:rPr>
          <w:rFonts w:eastAsiaTheme="minorHAnsi" w:cs="Verdana"/>
        </w:rPr>
        <w:t xml:space="preserve"> (or be involved in the sponsor’s registry) which tracks long term efficacy and safety and can identify patients who may need alerting for future safety issues</w:t>
      </w:r>
      <w:r w:rsidR="00926B3B">
        <w:rPr>
          <w:rFonts w:eastAsiaTheme="minorHAnsi" w:cs="Verdana"/>
        </w:rPr>
        <w:t>; and</w:t>
      </w:r>
    </w:p>
    <w:p w14:paraId="51D26D61" w14:textId="73D070DD" w:rsidR="00F2263D" w:rsidRDefault="00F2263D" w:rsidP="00F2263D">
      <w:pPr>
        <w:pStyle w:val="ListBullet"/>
      </w:pPr>
      <w:r w:rsidRPr="00AB0272">
        <w:rPr>
          <w:rFonts w:eastAsiaTheme="minorHAnsi" w:cs="Verdana"/>
        </w:rPr>
        <w:t>be involved in ongoing quality audits which include benchmarking of the treatment centre against other centres to ensure optimal performance</w:t>
      </w:r>
      <w:r w:rsidR="00FE7E15">
        <w:rPr>
          <w:rFonts w:eastAsiaTheme="minorHAnsi" w:cs="Verdana"/>
        </w:rPr>
        <w:t>.</w:t>
      </w:r>
    </w:p>
    <w:p w14:paraId="6F6E280F" w14:textId="787F2DD9" w:rsidR="00F2263D" w:rsidRDefault="00F2263D" w:rsidP="00AB0272">
      <w:pPr>
        <w:pStyle w:val="Heading5"/>
      </w:pPr>
      <w:r w:rsidRPr="000A0DD7">
        <w:t>Disposal o</w:t>
      </w:r>
      <w:r w:rsidR="00AB0272">
        <w:t>f clinical waste and biohazards</w:t>
      </w:r>
    </w:p>
    <w:p w14:paraId="579CD6A0" w14:textId="71E76126" w:rsidR="00F2263D" w:rsidRDefault="00F2263D" w:rsidP="00F2263D">
      <w:r>
        <w:t xml:space="preserve">According to </w:t>
      </w:r>
      <w:r w:rsidR="002C00EF">
        <w:t xml:space="preserve">the </w:t>
      </w:r>
      <w:r>
        <w:t>Guideline on the disposal of geneti</w:t>
      </w:r>
      <w:r w:rsidR="00FE7E15">
        <w:t>cally modified organs from NSW</w:t>
      </w:r>
      <w:r w:rsidR="001B1B30">
        <w:t> </w:t>
      </w:r>
      <w:r w:rsidR="00FE7E15">
        <w:t>H</w:t>
      </w:r>
      <w:r>
        <w:t>ealth</w:t>
      </w:r>
      <w:r w:rsidR="00FE7E15">
        <w:t>, genetically modified materials</w:t>
      </w:r>
      <w:r>
        <w:t xml:space="preserve"> should be disposed in clinical waste bins. </w:t>
      </w:r>
      <w:r>
        <w:lastRenderedPageBreak/>
        <w:t>These are readily available in hospital settings. Other options for disposal would include a s</w:t>
      </w:r>
      <w:r w:rsidR="00AB0272">
        <w:t>harps bin or the pharmacy bin.</w:t>
      </w:r>
    </w:p>
    <w:p w14:paraId="36E2AD3D" w14:textId="3E93ECFC" w:rsidR="00F2263D" w:rsidRDefault="00F2263D" w:rsidP="00F2263D">
      <w:r>
        <w:t>The PI states that</w:t>
      </w:r>
      <w:r w:rsidR="00FE7E15">
        <w:t>:</w:t>
      </w:r>
    </w:p>
    <w:p w14:paraId="5DAB414E" w14:textId="77777777" w:rsidR="002816E9" w:rsidRDefault="00FE7E15" w:rsidP="00EE42BA">
      <w:pPr>
        <w:ind w:left="720"/>
      </w:pPr>
      <w:r>
        <w:t>‘</w:t>
      </w:r>
      <w:r w:rsidR="00F2263D">
        <w:t xml:space="preserve">As a precautionary measure, patients/caregivers should be advised to handle waste material generated from dressings, tears and nasal secretion appropriately, which may include storage of waste material in sealed bags prior to disposal. These handling precautions should be followed for 14 days after administration of Luxturna. It is recommended that patients/caregivers wear gloves for dressing changes and waste disposal, especially in case of underlying pregnancy, breastfeeding and </w:t>
      </w:r>
      <w:r>
        <w:t>immunodeficiency of caregivers.’</w:t>
      </w:r>
    </w:p>
    <w:p w14:paraId="7DBA173A" w14:textId="1A34263A" w:rsidR="00F2263D" w:rsidRPr="002816E9" w:rsidRDefault="00F2263D" w:rsidP="002816E9">
      <w:pPr>
        <w:pStyle w:val="Heading6"/>
        <w:rPr>
          <w:rFonts w:eastAsiaTheme="minorHAnsi"/>
        </w:rPr>
      </w:pPr>
      <w:r>
        <w:rPr>
          <w:rFonts w:eastAsiaTheme="minorHAnsi"/>
        </w:rPr>
        <w:t>Special precautions for disposal</w:t>
      </w:r>
    </w:p>
    <w:p w14:paraId="49631176" w14:textId="0E5DDF2F" w:rsidR="00F2263D" w:rsidRDefault="002816E9" w:rsidP="00EE42BA">
      <w:pPr>
        <w:ind w:left="720"/>
      </w:pPr>
      <w:r>
        <w:t>‘</w:t>
      </w:r>
      <w:r w:rsidR="00F2263D">
        <w:t>This medicine contains genetically modified organisms. Unused medicine and waste</w:t>
      </w:r>
      <w:r w:rsidR="00D83443">
        <w:t xml:space="preserve"> </w:t>
      </w:r>
      <w:r w:rsidR="00F2263D">
        <w:t>products must be disposed of in compliance with the institutional guidelines for genetically modified organisms or bio</w:t>
      </w:r>
      <w:r>
        <w:t>hazardous waste, as appropriate’</w:t>
      </w:r>
      <w:r w:rsidR="00F2263D">
        <w:t>.</w:t>
      </w:r>
    </w:p>
    <w:p w14:paraId="6CF8C71E" w14:textId="349E4641" w:rsidR="00F2263D" w:rsidRDefault="00F2263D" w:rsidP="00D83443">
      <w:r>
        <w:t xml:space="preserve">These instructions </w:t>
      </w:r>
      <w:r w:rsidR="00476A67">
        <w:t xml:space="preserve">in the PI </w:t>
      </w:r>
      <w:r>
        <w:t>appe</w:t>
      </w:r>
      <w:r w:rsidR="002816E9">
        <w:t xml:space="preserve">ar to be appropriate. However the Delegate </w:t>
      </w:r>
      <w:r>
        <w:t xml:space="preserve">would recommend the term ‘biohazard waste’ be expanded to ‘clinical biohazard waste’ as there are several other </w:t>
      </w:r>
      <w:r w:rsidR="002816E9">
        <w:t xml:space="preserve">categories of biohazard waste. </w:t>
      </w:r>
    </w:p>
    <w:p w14:paraId="542ABC28" w14:textId="4D1C708D" w:rsidR="00F2263D" w:rsidRPr="00F2263D" w:rsidRDefault="002816E9" w:rsidP="00D83443">
      <w:r>
        <w:t xml:space="preserve">Furthermore, the Delegate is awaiting </w:t>
      </w:r>
      <w:r w:rsidR="00F2263D">
        <w:t xml:space="preserve">advice from the </w:t>
      </w:r>
      <w:r>
        <w:t>Office of the Gene Technology Regulator</w:t>
      </w:r>
      <w:r w:rsidR="002C3630">
        <w:t xml:space="preserve"> (OGTR) of the </w:t>
      </w:r>
      <w:r>
        <w:t xml:space="preserve">Australian </w:t>
      </w:r>
      <w:r w:rsidR="00476A67">
        <w:t>F</w:t>
      </w:r>
      <w:r>
        <w:t xml:space="preserve">ederal </w:t>
      </w:r>
      <w:r w:rsidR="00476A67">
        <w:t>D</w:t>
      </w:r>
      <w:r>
        <w:t xml:space="preserve">epartment </w:t>
      </w:r>
      <w:r w:rsidR="002C3630">
        <w:t xml:space="preserve">of </w:t>
      </w:r>
      <w:r w:rsidR="00476A67">
        <w:t>H</w:t>
      </w:r>
      <w:r>
        <w:t>ealth, in relation to this issue.</w:t>
      </w:r>
    </w:p>
    <w:p w14:paraId="00A91F84" w14:textId="77777777" w:rsidR="00D23139" w:rsidRDefault="00D23139" w:rsidP="00D23139">
      <w:pPr>
        <w:pStyle w:val="Heading4"/>
      </w:pPr>
      <w:r w:rsidRPr="00D23139">
        <w:t>Proposed action</w:t>
      </w:r>
    </w:p>
    <w:p w14:paraId="751F7D0E" w14:textId="549233D2" w:rsidR="00760139" w:rsidRDefault="00760139" w:rsidP="00760139">
      <w:pPr>
        <w:rPr>
          <w:rFonts w:asciiTheme="minorHAnsi" w:hAnsiTheme="minorHAnsi"/>
        </w:rPr>
      </w:pPr>
      <w:r>
        <w:rPr>
          <w:rFonts w:asciiTheme="minorHAnsi" w:hAnsiTheme="minorHAnsi"/>
        </w:rPr>
        <w:t>Overall, the data submitted was adequate to support the quality, safety and efficacy of this product. However, the Delegate ha</w:t>
      </w:r>
      <w:r w:rsidR="001B1B30">
        <w:rPr>
          <w:rFonts w:asciiTheme="minorHAnsi" w:hAnsiTheme="minorHAnsi"/>
        </w:rPr>
        <w:t>s</w:t>
      </w:r>
      <w:r>
        <w:rPr>
          <w:rFonts w:asciiTheme="minorHAnsi" w:hAnsiTheme="minorHAnsi"/>
        </w:rPr>
        <w:t xml:space="preserve"> a number of questions </w:t>
      </w:r>
      <w:r w:rsidR="001B1B30">
        <w:rPr>
          <w:rFonts w:asciiTheme="minorHAnsi" w:hAnsiTheme="minorHAnsi"/>
        </w:rPr>
        <w:t xml:space="preserve">for </w:t>
      </w:r>
      <w:r>
        <w:rPr>
          <w:rFonts w:asciiTheme="minorHAnsi" w:hAnsiTheme="minorHAnsi"/>
        </w:rPr>
        <w:t xml:space="preserve">the sponsor and </w:t>
      </w:r>
      <w:r w:rsidR="001B1B30">
        <w:rPr>
          <w:rFonts w:asciiTheme="minorHAnsi" w:hAnsiTheme="minorHAnsi"/>
        </w:rPr>
        <w:t>the Advisory Committee of Medicines (</w:t>
      </w:r>
      <w:r>
        <w:rPr>
          <w:rFonts w:asciiTheme="minorHAnsi" w:hAnsiTheme="minorHAnsi"/>
        </w:rPr>
        <w:t>ACM</w:t>
      </w:r>
      <w:r w:rsidR="001B1B30">
        <w:rPr>
          <w:rFonts w:asciiTheme="minorHAnsi" w:hAnsiTheme="minorHAnsi"/>
        </w:rPr>
        <w:t>)</w:t>
      </w:r>
      <w:r>
        <w:rPr>
          <w:rFonts w:asciiTheme="minorHAnsi" w:hAnsiTheme="minorHAnsi"/>
        </w:rPr>
        <w:t xml:space="preserve"> around ensuring the correct patient selection for treatment; clarifying the significance of the efficacy outcomes; identifying relevant parameters to monitor in clinical practice; and ensuring there is a process of ongoing re-evaluation of efficacy and safety at each treatment centre.</w:t>
      </w:r>
    </w:p>
    <w:p w14:paraId="20ADD898" w14:textId="0B70A157" w:rsidR="00512DA7" w:rsidRPr="00760139" w:rsidRDefault="00512DA7" w:rsidP="00760139">
      <w:r>
        <w:t>The Delegate</w:t>
      </w:r>
      <w:r w:rsidR="00476A67">
        <w:t xml:space="preserve"> has </w:t>
      </w:r>
      <w:r w:rsidRPr="00512DA7">
        <w:t xml:space="preserve">no reason to say, at this time, that the application for </w:t>
      </w:r>
      <w:r w:rsidRPr="00512DA7">
        <w:rPr>
          <w:sz w:val="21"/>
          <w:szCs w:val="21"/>
        </w:rPr>
        <w:t>L</w:t>
      </w:r>
      <w:r>
        <w:rPr>
          <w:sz w:val="21"/>
          <w:szCs w:val="21"/>
        </w:rPr>
        <w:t>uxturna</w:t>
      </w:r>
      <w:r w:rsidRPr="00512DA7">
        <w:rPr>
          <w:sz w:val="21"/>
          <w:szCs w:val="21"/>
        </w:rPr>
        <w:t xml:space="preserve"> </w:t>
      </w:r>
      <w:r w:rsidRPr="00512DA7">
        <w:t>should not be approved for registration</w:t>
      </w:r>
      <w:r w:rsidR="00476A67">
        <w:t>.</w:t>
      </w:r>
    </w:p>
    <w:p w14:paraId="489F01BB" w14:textId="056EB512" w:rsidR="007D53B6" w:rsidRDefault="007D53B6" w:rsidP="007D53B6">
      <w:pPr>
        <w:pStyle w:val="Heading4"/>
      </w:pPr>
      <w:r>
        <w:t>Questions for sponsor</w:t>
      </w:r>
    </w:p>
    <w:p w14:paraId="03253375" w14:textId="52310478" w:rsidR="00CE1F33" w:rsidRPr="00CE1F33" w:rsidRDefault="00CE1F33" w:rsidP="001D2DA1">
      <w:r>
        <w:t xml:space="preserve">The sponsor </w:t>
      </w:r>
      <w:r w:rsidR="009D3D25">
        <w:t>provided</w:t>
      </w:r>
      <w:r>
        <w:t xml:space="preserve"> the following information in response to questions from the Delegate.</w:t>
      </w:r>
    </w:p>
    <w:p w14:paraId="1CB7DB6A" w14:textId="07DAD22A" w:rsidR="00760139" w:rsidRPr="001D2DA1" w:rsidRDefault="00760139" w:rsidP="001D2DA1">
      <w:pPr>
        <w:pStyle w:val="Numberbullet0"/>
        <w:rPr>
          <w:b/>
          <w:i/>
        </w:rPr>
      </w:pPr>
      <w:r w:rsidRPr="001D2DA1">
        <w:rPr>
          <w:b/>
          <w:i/>
        </w:rPr>
        <w:t>Please comment on how many patients in the clinical study were considered to be l</w:t>
      </w:r>
      <w:r w:rsidR="006665D6" w:rsidRPr="001D2DA1">
        <w:rPr>
          <w:b/>
          <w:i/>
        </w:rPr>
        <w:t>egally blind at B</w:t>
      </w:r>
      <w:r w:rsidRPr="001D2DA1">
        <w:rPr>
          <w:b/>
          <w:i/>
        </w:rPr>
        <w:t>aseline, and how this changed as a result of treatment with Luxturna</w:t>
      </w:r>
    </w:p>
    <w:p w14:paraId="74A0E35A" w14:textId="113D9932" w:rsidR="00E12887" w:rsidRDefault="00E12887" w:rsidP="00E12887">
      <w:r>
        <w:t>In Australia, the definition of legal blindness, as established by the Australian Government for the purposes of determining permanent blindness for Disability Support Pension or Age Pension – Blind under Section 95 of the Social Security Act 1991 (Australian Government 2006), is as follows:</w:t>
      </w:r>
    </w:p>
    <w:p w14:paraId="73AC90CC" w14:textId="28AE8C7D" w:rsidR="00E12887" w:rsidRDefault="00E12887" w:rsidP="001D2DA1">
      <w:pPr>
        <w:ind w:left="720"/>
      </w:pPr>
      <w:r>
        <w:t>‘Visual acuity on the Snellen scale after correction by suitable lenses must be less than 6/60 in both eyes; or constriction to within 10 degrees of fixation in the better eye irrespective of corrected visual acuity; or a combination of visual defects resulting in the same degree of visual impairment as that occurring in the above points.’</w:t>
      </w:r>
    </w:p>
    <w:p w14:paraId="1680759D" w14:textId="68C7A019" w:rsidR="00E12887" w:rsidRDefault="00E12887" w:rsidP="00E12887">
      <w:r>
        <w:t>For the assessments of visual function performed in the voretigene neparvovec clinical study (</w:t>
      </w:r>
      <w:r w:rsidR="003B0241">
        <w:t>S</w:t>
      </w:r>
      <w:r>
        <w:t>tudy 301), these criteria would translate to:</w:t>
      </w:r>
    </w:p>
    <w:p w14:paraId="38D809A0" w14:textId="2CABB9F7" w:rsidR="00E12887" w:rsidRDefault="00E12887" w:rsidP="001D2DA1">
      <w:pPr>
        <w:pStyle w:val="ListBullet"/>
      </w:pPr>
      <w:r>
        <w:lastRenderedPageBreak/>
        <w:t xml:space="preserve">Visual acuity of greater than 1.0 </w:t>
      </w:r>
      <w:proofErr w:type="spellStart"/>
      <w:r>
        <w:t>logMAR</w:t>
      </w:r>
      <w:proofErr w:type="spellEnd"/>
      <w:r>
        <w:t xml:space="preserve"> in both the left eye and the right eye, or</w:t>
      </w:r>
    </w:p>
    <w:p w14:paraId="2973E999" w14:textId="7A9FFD79" w:rsidR="00E12887" w:rsidRDefault="00E12887" w:rsidP="001D2DA1">
      <w:pPr>
        <w:pStyle w:val="ListBullet"/>
      </w:pPr>
      <w:r>
        <w:t>Goldman visual fields (III4e test) sum total degrees for each meridian less than or equal to 240 degrees in either eye (i.e., less than or equal to 10 degrees in each of the 24 meridians assessed in either eye).</w:t>
      </w:r>
    </w:p>
    <w:p w14:paraId="5BFC86A1" w14:textId="333C03AC" w:rsidR="00E12887" w:rsidRDefault="00E12887" w:rsidP="00E12887">
      <w:r>
        <w:t>Using these criteria, the proportion of subjects in the pivotal study 301 who were considered legally blind during the</w:t>
      </w:r>
      <w:r w:rsidR="006665D6">
        <w:t xml:space="preserve"> study decreased from 72.4% at B</w:t>
      </w:r>
      <w:r>
        <w:t>aseline to 37.9% one year after treatment (</w:t>
      </w:r>
      <w:r>
        <w:fldChar w:fldCharType="begin"/>
      </w:r>
      <w:r>
        <w:instrText xml:space="preserve"> REF _Ref54775847 \h </w:instrText>
      </w:r>
      <w:r>
        <w:fldChar w:fldCharType="separate"/>
      </w:r>
      <w:r>
        <w:t xml:space="preserve">Table </w:t>
      </w:r>
      <w:r>
        <w:rPr>
          <w:noProof/>
        </w:rPr>
        <w:t>2</w:t>
      </w:r>
      <w:r>
        <w:fldChar w:fldCharType="end"/>
      </w:r>
      <w:r>
        <w:t>). This reduction was maintained out to four years, based on the 22 subjects who have completed the 4 year assessments.</w:t>
      </w:r>
    </w:p>
    <w:p w14:paraId="26F8B6DC" w14:textId="7AA10426" w:rsidR="00E12887" w:rsidRDefault="00E12887" w:rsidP="00E12887">
      <w:pPr>
        <w:pStyle w:val="TableTitle"/>
      </w:pPr>
      <w:bookmarkStart w:id="50" w:name="_Ref54775847"/>
      <w:bookmarkStart w:id="51" w:name="_Ref54775814"/>
      <w:r>
        <w:t xml:space="preserve">Table </w:t>
      </w:r>
      <w:r>
        <w:fldChar w:fldCharType="begin"/>
      </w:r>
      <w:r>
        <w:instrText>SEQ Table \* ARABIC</w:instrText>
      </w:r>
      <w:r>
        <w:fldChar w:fldCharType="separate"/>
      </w:r>
      <w:r w:rsidR="006955CB">
        <w:rPr>
          <w:noProof/>
        </w:rPr>
        <w:t>4</w:t>
      </w:r>
      <w:r>
        <w:fldChar w:fldCharType="end"/>
      </w:r>
      <w:bookmarkEnd w:id="50"/>
      <w:r>
        <w:t xml:space="preserve">: </w:t>
      </w:r>
      <w:r w:rsidR="003B0241">
        <w:t xml:space="preserve">Study AAV2-hRPE65v2-301 </w:t>
      </w:r>
      <w:r>
        <w:t xml:space="preserve">Proportion </w:t>
      </w:r>
      <w:r w:rsidR="00EA7531">
        <w:t xml:space="preserve">of subjects </w:t>
      </w:r>
      <w:r>
        <w:t>meeting the criteria for legal blindness in Australia</w:t>
      </w:r>
      <w:bookmarkEnd w:id="51"/>
    </w:p>
    <w:tbl>
      <w:tblPr>
        <w:tblStyle w:val="TableTGAblue"/>
        <w:tblW w:w="0" w:type="auto"/>
        <w:tblLook w:val="04A0" w:firstRow="1" w:lastRow="0" w:firstColumn="1" w:lastColumn="0" w:noHBand="0" w:noVBand="1"/>
        <w:tblCaption w:val="Table 2: Proportion of subjects in study 301 meeting the criteria for legal blindness in Australia"/>
        <w:tblDescription w:val="At baseline, 21 out of 29 subjects were legally blind. The same number presisted in year 1 and 2 after treatment. In year 3 it was 11 out of 28, and in year 4 it was 9 out of 22."/>
      </w:tblPr>
      <w:tblGrid>
        <w:gridCol w:w="4250"/>
        <w:gridCol w:w="4244"/>
      </w:tblGrid>
      <w:tr w:rsidR="00E12887" w14:paraId="745ECDF9" w14:textId="77777777" w:rsidTr="006C67C2">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62E84D25" w14:textId="1AE422BB" w:rsidR="00E12887" w:rsidRDefault="00E12887" w:rsidP="006C67C2">
            <w:pPr>
              <w:ind w:left="0" w:right="0"/>
            </w:pPr>
          </w:p>
        </w:tc>
        <w:tc>
          <w:tcPr>
            <w:tcW w:w="4360" w:type="dxa"/>
            <w:tcBorders>
              <w:top w:val="single" w:sz="4" w:space="0" w:color="auto"/>
              <w:left w:val="single" w:sz="4" w:space="0" w:color="auto"/>
              <w:bottom w:val="single" w:sz="4" w:space="0" w:color="auto"/>
              <w:right w:val="single" w:sz="4" w:space="0" w:color="auto"/>
            </w:tcBorders>
          </w:tcPr>
          <w:p w14:paraId="4A35287B" w14:textId="7216B333" w:rsidR="00E12887" w:rsidRDefault="00E12887" w:rsidP="00E12887">
            <w:pPr>
              <w:ind w:left="0" w:right="0"/>
            </w:pPr>
            <w:r>
              <w:t>Study 301 subjects (n=29)*</w:t>
            </w:r>
          </w:p>
        </w:tc>
      </w:tr>
      <w:tr w:rsidR="00E12887" w14:paraId="4C0AF021" w14:textId="77777777" w:rsidTr="006C67C2">
        <w:tc>
          <w:tcPr>
            <w:tcW w:w="4360" w:type="dxa"/>
            <w:tcBorders>
              <w:top w:val="single" w:sz="4" w:space="0" w:color="auto"/>
            </w:tcBorders>
          </w:tcPr>
          <w:p w14:paraId="40D923CD" w14:textId="14EF3298" w:rsidR="00E12887" w:rsidRDefault="00E12887" w:rsidP="006C67C2">
            <w:pPr>
              <w:ind w:left="0" w:right="0"/>
            </w:pPr>
            <w:r>
              <w:t>Baseline</w:t>
            </w:r>
          </w:p>
        </w:tc>
        <w:tc>
          <w:tcPr>
            <w:tcW w:w="4360" w:type="dxa"/>
            <w:tcBorders>
              <w:top w:val="single" w:sz="4" w:space="0" w:color="auto"/>
            </w:tcBorders>
          </w:tcPr>
          <w:p w14:paraId="4A08BB6C" w14:textId="45A10F4D" w:rsidR="00E12887" w:rsidRDefault="00E12887" w:rsidP="006C67C2">
            <w:pPr>
              <w:ind w:left="0" w:right="0"/>
            </w:pPr>
            <w:r>
              <w:t>21/29 (72.4%)</w:t>
            </w:r>
          </w:p>
        </w:tc>
      </w:tr>
      <w:tr w:rsidR="00E12887" w14:paraId="47499E41" w14:textId="77777777" w:rsidTr="006C67C2">
        <w:tc>
          <w:tcPr>
            <w:tcW w:w="4360" w:type="dxa"/>
          </w:tcPr>
          <w:p w14:paraId="6F9C8261" w14:textId="693B5E17" w:rsidR="00E12887" w:rsidRDefault="00E12887" w:rsidP="006C67C2">
            <w:pPr>
              <w:ind w:left="0" w:right="0"/>
            </w:pPr>
            <w:r>
              <w:t>1 year after treatment</w:t>
            </w:r>
          </w:p>
        </w:tc>
        <w:tc>
          <w:tcPr>
            <w:tcW w:w="4360" w:type="dxa"/>
          </w:tcPr>
          <w:p w14:paraId="345F4E3F" w14:textId="2C15B921" w:rsidR="00E12887" w:rsidRDefault="00E12887" w:rsidP="006C67C2">
            <w:pPr>
              <w:ind w:left="0" w:right="0"/>
            </w:pPr>
            <w:r>
              <w:t>11/29 (37.9%)</w:t>
            </w:r>
          </w:p>
        </w:tc>
      </w:tr>
      <w:tr w:rsidR="00E12887" w14:paraId="6B24421D" w14:textId="77777777" w:rsidTr="006C67C2">
        <w:tc>
          <w:tcPr>
            <w:tcW w:w="4360" w:type="dxa"/>
          </w:tcPr>
          <w:p w14:paraId="14B8E157" w14:textId="2722AF23" w:rsidR="00E12887" w:rsidRDefault="00E12887" w:rsidP="00E12887">
            <w:pPr>
              <w:ind w:left="0"/>
            </w:pPr>
            <w:r>
              <w:t>2 years after treatment</w:t>
            </w:r>
          </w:p>
        </w:tc>
        <w:tc>
          <w:tcPr>
            <w:tcW w:w="4360" w:type="dxa"/>
          </w:tcPr>
          <w:p w14:paraId="13A990CA" w14:textId="343229D3" w:rsidR="00E12887" w:rsidRDefault="00E12887" w:rsidP="00E12887">
            <w:pPr>
              <w:ind w:left="0"/>
            </w:pPr>
            <w:r>
              <w:t>11/29 (37.9%)</w:t>
            </w:r>
          </w:p>
        </w:tc>
      </w:tr>
      <w:tr w:rsidR="00E12887" w14:paraId="163BF46E" w14:textId="77777777" w:rsidTr="006C67C2">
        <w:tc>
          <w:tcPr>
            <w:tcW w:w="4360" w:type="dxa"/>
          </w:tcPr>
          <w:p w14:paraId="39EEAF9B" w14:textId="626A8A07" w:rsidR="00E12887" w:rsidRDefault="00E12887" w:rsidP="00E12887">
            <w:pPr>
              <w:ind w:left="0"/>
            </w:pPr>
            <w:r>
              <w:t>3 years after treatment</w:t>
            </w:r>
          </w:p>
        </w:tc>
        <w:tc>
          <w:tcPr>
            <w:tcW w:w="4360" w:type="dxa"/>
          </w:tcPr>
          <w:p w14:paraId="14D3A3B4" w14:textId="0A80ADC6" w:rsidR="00E12887" w:rsidRDefault="00E12887" w:rsidP="00E12887">
            <w:pPr>
              <w:ind w:left="0"/>
            </w:pPr>
            <w:r>
              <w:t>11/28 (39.3%)</w:t>
            </w:r>
          </w:p>
        </w:tc>
      </w:tr>
      <w:tr w:rsidR="00E12887" w14:paraId="26F7B23B" w14:textId="77777777" w:rsidTr="006C67C2">
        <w:tc>
          <w:tcPr>
            <w:tcW w:w="4360" w:type="dxa"/>
          </w:tcPr>
          <w:p w14:paraId="7F2123F0" w14:textId="3BFA4245" w:rsidR="00E12887" w:rsidRDefault="00E12887" w:rsidP="00E12887">
            <w:pPr>
              <w:ind w:left="0"/>
            </w:pPr>
            <w:r>
              <w:t>4 years after treatment</w:t>
            </w:r>
          </w:p>
        </w:tc>
        <w:tc>
          <w:tcPr>
            <w:tcW w:w="4360" w:type="dxa"/>
          </w:tcPr>
          <w:p w14:paraId="356CB8BB" w14:textId="4A7E4E77" w:rsidR="00E12887" w:rsidRDefault="00E12887" w:rsidP="00E12887">
            <w:pPr>
              <w:ind w:left="0"/>
            </w:pPr>
            <w:r>
              <w:t>9/22 (40.9%)</w:t>
            </w:r>
          </w:p>
        </w:tc>
      </w:tr>
    </w:tbl>
    <w:p w14:paraId="60A0D5A0" w14:textId="62D590E7" w:rsidR="00341396" w:rsidRDefault="00E12887" w:rsidP="00341396">
      <w:pPr>
        <w:pStyle w:val="TableDescription"/>
      </w:pPr>
      <w:r>
        <w:t>(*) = number</w:t>
      </w:r>
      <w:r w:rsidR="003B0241">
        <w:t xml:space="preserve"> (percentage)</w:t>
      </w:r>
      <w:r>
        <w:t xml:space="preserve"> of subjects </w:t>
      </w:r>
      <w:r w:rsidR="003B0241">
        <w:t xml:space="preserve">meeting the criteria for </w:t>
      </w:r>
      <w:r>
        <w:t>legal blind</w:t>
      </w:r>
      <w:r w:rsidR="003B0241">
        <w:t>ness</w:t>
      </w:r>
      <w:r>
        <w:t xml:space="preserve"> as a </w:t>
      </w:r>
      <w:r w:rsidR="003B0241">
        <w:t>proportion</w:t>
      </w:r>
      <w:r>
        <w:t xml:space="preserve"> of the </w:t>
      </w:r>
      <w:r w:rsidR="0004139B">
        <w:t>number of subjects remaining in the study</w:t>
      </w:r>
      <w:r w:rsidR="003B0241">
        <w:t xml:space="preserve"> at the given time point.</w:t>
      </w:r>
    </w:p>
    <w:p w14:paraId="35E04578" w14:textId="6FCE1489" w:rsidR="006955CB" w:rsidRPr="006955CB" w:rsidRDefault="00341396" w:rsidP="001D2DA1">
      <w:r>
        <w:t xml:space="preserve">This </w:t>
      </w:r>
      <w:r w:rsidRPr="006955CB">
        <w:rPr>
          <w:i/>
        </w:rPr>
        <w:t>post hoc</w:t>
      </w:r>
      <w:r>
        <w:t xml:space="preserve"> analysis showed that voretigene neparvovec treatment halved the proportion of</w:t>
      </w:r>
      <w:r>
        <w:rPr>
          <w:sz w:val="19"/>
          <w:szCs w:val="19"/>
        </w:rPr>
        <w:t xml:space="preserve"> </w:t>
      </w:r>
      <w:r>
        <w:t>subjects who were considered legally blind, with this benefit persisting out to at least 4 years after</w:t>
      </w:r>
      <w:r>
        <w:rPr>
          <w:sz w:val="19"/>
          <w:szCs w:val="19"/>
        </w:rPr>
        <w:t xml:space="preserve"> </w:t>
      </w:r>
      <w:r>
        <w:t>treatment. This finding is aligned with the improvements in functional vision and visual function</w:t>
      </w:r>
      <w:r>
        <w:rPr>
          <w:sz w:val="19"/>
          <w:szCs w:val="19"/>
        </w:rPr>
        <w:t xml:space="preserve"> </w:t>
      </w:r>
      <w:r>
        <w:t>observed in the study, and is in contrast to the progressive nature of inherited retinal degenerative</w:t>
      </w:r>
      <w:r>
        <w:rPr>
          <w:sz w:val="19"/>
          <w:szCs w:val="19"/>
        </w:rPr>
        <w:t xml:space="preserve"> </w:t>
      </w:r>
      <w:r>
        <w:t>conditions, in which patients face an inexorable deterioration of retinal and visual function, which</w:t>
      </w:r>
      <w:r>
        <w:rPr>
          <w:sz w:val="19"/>
          <w:szCs w:val="19"/>
        </w:rPr>
        <w:t xml:space="preserve"> </w:t>
      </w:r>
      <w:r>
        <w:t>progresses until no useful vision</w:t>
      </w:r>
      <w:r w:rsidR="006955CB" w:rsidRPr="006955CB">
        <w:t xml:space="preserve"> remains.</w:t>
      </w:r>
    </w:p>
    <w:p w14:paraId="5830C893" w14:textId="70BD44AF" w:rsidR="00760139" w:rsidRPr="001D2DA1" w:rsidRDefault="00760139" w:rsidP="001D2DA1">
      <w:pPr>
        <w:pStyle w:val="Numberbullet0"/>
        <w:rPr>
          <w:b/>
          <w:i/>
        </w:rPr>
      </w:pPr>
      <w:r w:rsidRPr="001D2DA1">
        <w:rPr>
          <w:b/>
          <w:i/>
        </w:rPr>
        <w:t>Please comment on the methods used to determine viable retinal cells. How accurate are these methods?</w:t>
      </w:r>
    </w:p>
    <w:p w14:paraId="588B5D5D" w14:textId="431BAB6E" w:rsidR="00A44CDF" w:rsidRDefault="00A44CDF" w:rsidP="00A44CDF">
      <w:r>
        <w:t xml:space="preserve">In the clinical study, subjects were only enrolled if they were judged by the investigators to have sufficient viable retinal cells, as determined by non-invasive means, such as </w:t>
      </w:r>
      <w:r w:rsidR="00B64168">
        <w:t>OCT</w:t>
      </w:r>
      <w:r>
        <w:t xml:space="preserve"> and/or ophthalmoscopy. The exact criteria w</w:t>
      </w:r>
      <w:r w:rsidR="00C63DCF">
        <w:t xml:space="preserve">ere that subjects must have had </w:t>
      </w:r>
      <w:r>
        <w:t>either:</w:t>
      </w:r>
    </w:p>
    <w:p w14:paraId="6D0F4A61" w14:textId="26FFFF6C" w:rsidR="00C63DCF" w:rsidRDefault="00A44CDF" w:rsidP="001D2DA1">
      <w:pPr>
        <w:pStyle w:val="ListBullet"/>
      </w:pPr>
      <w:r>
        <w:t xml:space="preserve">An area of retina within the posterior pole of greater than 100 </w:t>
      </w:r>
      <w:proofErr w:type="spellStart"/>
      <w:r>
        <w:t>μm</w:t>
      </w:r>
      <w:proofErr w:type="spellEnd"/>
      <w:r>
        <w:t xml:space="preserve"> thickness shown on OCT, or</w:t>
      </w:r>
    </w:p>
    <w:p w14:paraId="1918387E" w14:textId="58D16182" w:rsidR="00A44CDF" w:rsidRDefault="00A44CDF" w:rsidP="001D2DA1">
      <w:pPr>
        <w:pStyle w:val="ListBullet"/>
      </w:pPr>
      <w:r>
        <w:t xml:space="preserve">Greater than 3 disc areas of retina without atrophy or </w:t>
      </w:r>
      <w:proofErr w:type="spellStart"/>
      <w:r>
        <w:t>pigmentary</w:t>
      </w:r>
      <w:proofErr w:type="spellEnd"/>
      <w:r>
        <w:t xml:space="preserve"> degeneration within the posterior pole, or</w:t>
      </w:r>
    </w:p>
    <w:p w14:paraId="635C773D" w14:textId="3C51C31A" w:rsidR="00A44CDF" w:rsidRDefault="00A44CDF" w:rsidP="001D2DA1">
      <w:pPr>
        <w:pStyle w:val="ListBullet"/>
      </w:pPr>
      <w:r>
        <w:t xml:space="preserve">Remaining visual field within 30° of fixation as measured by III4e </w:t>
      </w:r>
      <w:proofErr w:type="spellStart"/>
      <w:r>
        <w:t>isopter</w:t>
      </w:r>
      <w:proofErr w:type="spellEnd"/>
      <w:r>
        <w:t xml:space="preserve"> or equivalent.</w:t>
      </w:r>
    </w:p>
    <w:p w14:paraId="3CD0563B" w14:textId="0336EF32" w:rsidR="00A44CDF" w:rsidRDefault="00A44CDF" w:rsidP="00A44CDF">
      <w:r>
        <w:t>The methods used in the clinical study to determine viable retinal cells assessed structural (</w:t>
      </w:r>
      <w:r w:rsidR="00C63DCF">
        <w:t>that is</w:t>
      </w:r>
      <w:r>
        <w:t xml:space="preserve"> OCT and fundus appearance) or functional (</w:t>
      </w:r>
      <w:r w:rsidR="00C63DCF">
        <w:t>that is</w:t>
      </w:r>
      <w:r>
        <w:t xml:space="preserve"> visual field function) parameters. Although these are </w:t>
      </w:r>
      <w:r w:rsidR="00C63DCF">
        <w:t xml:space="preserve">standard and </w:t>
      </w:r>
      <w:r>
        <w:t xml:space="preserve">commonly performed ophthalmological examination methods, there are limitations with both these methods in assessing cell viability. Anatomic assessments may not determine if the tissue is actually viable, while the functional assessment may not reflect viable but poorly functioning photoreceptors. Nonetheless, these assessments were necessary in the clinical study to minimise the </w:t>
      </w:r>
      <w:r>
        <w:lastRenderedPageBreak/>
        <w:t>chance of enrolling any study subject with end-stage disease, who may not have provided any meaningful data on the potential benefits of voretigene neparvovec during its evaluation in the clinical program.</w:t>
      </w:r>
    </w:p>
    <w:p w14:paraId="631FB4AD" w14:textId="19D37B9B" w:rsidR="00A44CDF" w:rsidRDefault="00A44CDF" w:rsidP="00A44CDF">
      <w:r>
        <w:t xml:space="preserve">Although these clearly defined criteria were necessary for standardising the subject population in the clinical study, they are not optimal in real-world clinical practice, where the treating physician is best placed to determine if the patient has sufficient viable retinal cells to justify therapy. Experienced ophthalmologists in specialist </w:t>
      </w:r>
      <w:r w:rsidR="00C63DCF">
        <w:t>centres</w:t>
      </w:r>
      <w:r>
        <w:t xml:space="preserve"> can take a holistic view of the clinical and social aspects of the patient to have an informed discussion with the patient on the appropriateness of the treatment.</w:t>
      </w:r>
    </w:p>
    <w:p w14:paraId="114BB0C5" w14:textId="5ABBCE2F" w:rsidR="00A44CDF" w:rsidRDefault="00A44CDF" w:rsidP="00A44CDF">
      <w:r>
        <w:t>Furthermore, as technology is moving rapidly in the field of ophthalmology, the treating physician can use the most appropriate examinations to guide their treatment decision. This is in line with the opinions of the EMA and FDA assessments (Luxturna EPAR 2018</w:t>
      </w:r>
      <w:r w:rsidR="007B07BE">
        <w:t>;</w:t>
      </w:r>
      <w:r w:rsidR="00C63DCF">
        <w:rPr>
          <w:rStyle w:val="FootnoteReference"/>
        </w:rPr>
        <w:footnoteReference w:id="18"/>
      </w:r>
      <w:r>
        <w:t xml:space="preserve"> Luxturna US Prescribing </w:t>
      </w:r>
      <w:r w:rsidR="00C63DCF">
        <w:t>Information</w:t>
      </w:r>
      <w:r w:rsidR="007B07BE">
        <w:t>;</w:t>
      </w:r>
      <w:r w:rsidR="00C63DCF">
        <w:rPr>
          <w:rStyle w:val="FootnoteReference"/>
        </w:rPr>
        <w:footnoteReference w:id="19"/>
      </w:r>
      <w:r>
        <w:t>).</w:t>
      </w:r>
    </w:p>
    <w:p w14:paraId="1C59F7F5" w14:textId="470C4C13" w:rsidR="00413BE2" w:rsidRPr="00AF25E0" w:rsidRDefault="00A44CDF" w:rsidP="001D2DA1">
      <w:pPr>
        <w:rPr>
          <w:rStyle w:val="Heading4Char"/>
          <w:b w:val="0"/>
          <w:bCs w:val="0"/>
        </w:rPr>
      </w:pPr>
      <w:r>
        <w:t xml:space="preserve">In addition, </w:t>
      </w:r>
      <w:r w:rsidR="00B64168">
        <w:t xml:space="preserve">the sponsor </w:t>
      </w:r>
      <w:r>
        <w:t xml:space="preserve">believes that the revised Clinical Trials section of the Product Information (PI) better characterises the patient population that was included in the pivotal study supporting </w:t>
      </w:r>
      <w:r w:rsidR="00AF25E0" w:rsidRPr="00AF25E0">
        <w:rPr>
          <w:bCs/>
        </w:rPr>
        <w:t>registration.</w:t>
      </w:r>
    </w:p>
    <w:p w14:paraId="6E6D0A12" w14:textId="64545B44" w:rsidR="00413BE2" w:rsidRPr="001D2DA1" w:rsidRDefault="00413BE2" w:rsidP="001D2DA1">
      <w:pPr>
        <w:pStyle w:val="Numberbullet0"/>
        <w:rPr>
          <w:b/>
          <w:bCs/>
          <w:i/>
          <w:szCs w:val="21"/>
        </w:rPr>
      </w:pPr>
      <w:r w:rsidRPr="001D2DA1">
        <w:rPr>
          <w:b/>
          <w:i/>
        </w:rPr>
        <w:t>In section 5.3 of the ASA, it is stated that ‘voretigene neparvovec will only be supplied to centres who meet the defined RMP eligibility criteria as assessed by the Australian Department of Health…’ Please clarify which agency in the Department of Health that this refers to.</w:t>
      </w:r>
    </w:p>
    <w:p w14:paraId="36827BAC" w14:textId="7F8F2DE9" w:rsidR="001908FF" w:rsidRDefault="00B64168" w:rsidP="001908FF">
      <w:r>
        <w:t>The sponsor</w:t>
      </w:r>
      <w:r w:rsidR="001908FF">
        <w:t xml:space="preserve"> wishes to clarify that the treatment centres for which fun</w:t>
      </w:r>
      <w:r>
        <w:t xml:space="preserve">ding allocation by Commonwealth </w:t>
      </w:r>
      <w:r w:rsidR="001908FF">
        <w:t xml:space="preserve">and State Health Departments is independent of </w:t>
      </w:r>
      <w:r>
        <w:t>the sponsor</w:t>
      </w:r>
      <w:r w:rsidR="001908FF">
        <w:t>. However,</w:t>
      </w:r>
      <w:r>
        <w:t xml:space="preserve"> these centres will be supplied </w:t>
      </w:r>
      <w:r w:rsidR="001908FF">
        <w:t xml:space="preserve">based on their ability to meet the </w:t>
      </w:r>
      <w:r w:rsidR="002C3630">
        <w:t xml:space="preserve">OGTR </w:t>
      </w:r>
      <w:r w:rsidR="001908FF">
        <w:t>license conditions, which pertain to environmental issues a</w:t>
      </w:r>
      <w:r>
        <w:t xml:space="preserve">ssociated with genetic products </w:t>
      </w:r>
      <w:r w:rsidR="001908FF">
        <w:t>such as the transport, and disposal of genetically modified organ</w:t>
      </w:r>
      <w:r w:rsidR="002C3630">
        <w:t>isms</w:t>
      </w:r>
      <w:r>
        <w:t xml:space="preserve">, and the eligibility </w:t>
      </w:r>
      <w:r w:rsidR="001908FF">
        <w:t>criteria spelt out in the proposed RMP/ASA that is being asse</w:t>
      </w:r>
      <w:r>
        <w:t xml:space="preserve">ssed by the TGA as part of this </w:t>
      </w:r>
      <w:r w:rsidR="001908FF">
        <w:t>application. Compliance to the OGTR and TGA requirements wil</w:t>
      </w:r>
      <w:r>
        <w:t xml:space="preserve">l be included in the commercial </w:t>
      </w:r>
      <w:r w:rsidR="001908FF">
        <w:t xml:space="preserve">agreement between </w:t>
      </w:r>
      <w:r>
        <w:t>the sponsor</w:t>
      </w:r>
      <w:r w:rsidR="001908FF">
        <w:t xml:space="preserve"> and participating sites to ensure implementation of the RMP and OGTR</w:t>
      </w:r>
      <w:r>
        <w:t xml:space="preserve"> </w:t>
      </w:r>
      <w:r w:rsidR="001908FF">
        <w:t>license conditions.</w:t>
      </w:r>
    </w:p>
    <w:p w14:paraId="40566D82" w14:textId="1DE30ABD" w:rsidR="001908FF" w:rsidRDefault="00B64168" w:rsidP="001908FF">
      <w:r>
        <w:t>The sponsor</w:t>
      </w:r>
      <w:r w:rsidR="001908FF">
        <w:t xml:space="preserve"> acknowledges the TGA Delegate is agreeable to the initia</w:t>
      </w:r>
      <w:r>
        <w:t xml:space="preserve">lly proposed three RMP criteria </w:t>
      </w:r>
      <w:r w:rsidR="001908FF">
        <w:t>relating to the qualifications required from the</w:t>
      </w:r>
      <w:r w:rsidR="006224D8">
        <w:t xml:space="preserve"> Healthcare Professionals</w:t>
      </w:r>
      <w:r w:rsidR="00F61639">
        <w:t xml:space="preserve"> (HCPs)</w:t>
      </w:r>
      <w:r w:rsidR="001908FF">
        <w:t xml:space="preserve"> involved in the</w:t>
      </w:r>
      <w:r>
        <w:t xml:space="preserve"> </w:t>
      </w:r>
      <w:r w:rsidR="001908FF">
        <w:t>administration of voretigene neparvovec i</w:t>
      </w:r>
      <w:r w:rsidR="006224D8">
        <w:t>n selected centres.</w:t>
      </w:r>
    </w:p>
    <w:p w14:paraId="68F46602" w14:textId="6AAC4811" w:rsidR="001908FF" w:rsidRDefault="001908FF" w:rsidP="001908FF">
      <w:r>
        <w:t xml:space="preserve">Furthermore, </w:t>
      </w:r>
      <w:r w:rsidR="00B64168">
        <w:t xml:space="preserve">the sponsor </w:t>
      </w:r>
      <w:r>
        <w:t xml:space="preserve">comments below on the three additional </w:t>
      </w:r>
      <w:r w:rsidR="00B64168">
        <w:t xml:space="preserve">criteria recommended by the TGA </w:t>
      </w:r>
      <w:r>
        <w:t>Delegate for inclusion in the Australian RMP/ASA.</w:t>
      </w:r>
    </w:p>
    <w:p w14:paraId="5696AFA1" w14:textId="41BFE744" w:rsidR="001908FF" w:rsidRDefault="001908FF" w:rsidP="001908FF">
      <w:pPr>
        <w:pStyle w:val="ListBullet"/>
      </w:pPr>
      <w:r>
        <w:t>Include the involvement of a clinical geneticist in the multidisciplinary team to assist in</w:t>
      </w:r>
      <w:r w:rsidR="00B64168">
        <w:t xml:space="preserve"> </w:t>
      </w:r>
      <w:r>
        <w:t>int</w:t>
      </w:r>
      <w:r w:rsidR="00B64168">
        <w:t>erpretation of genetic testing</w:t>
      </w:r>
    </w:p>
    <w:p w14:paraId="34A83702" w14:textId="7B8D9C52" w:rsidR="001908FF" w:rsidRDefault="001908FF" w:rsidP="001908FF">
      <w:r>
        <w:t xml:space="preserve">The </w:t>
      </w:r>
      <w:r w:rsidR="00740AB3" w:rsidRPr="00740AB3">
        <w:t>Royal Australian and New Zealand College of Ophthalmologists</w:t>
      </w:r>
      <w:r w:rsidR="00740AB3">
        <w:t xml:space="preserve"> (</w:t>
      </w:r>
      <w:r>
        <w:t>RANZCO</w:t>
      </w:r>
      <w:r w:rsidR="00740AB3">
        <w:t>)</w:t>
      </w:r>
      <w:r>
        <w:t xml:space="preserve"> Clinical Practice Guidelines for t</w:t>
      </w:r>
      <w:r w:rsidR="00B64168">
        <w:t xml:space="preserve">he assessment and management of </w:t>
      </w:r>
      <w:r w:rsidR="00C15BF8">
        <w:t>patients with IRDs,</w:t>
      </w:r>
      <w:r w:rsidR="00C15BF8">
        <w:rPr>
          <w:rStyle w:val="FootnoteReference"/>
        </w:rPr>
        <w:footnoteReference w:id="20"/>
      </w:r>
      <w:r w:rsidR="00B34823">
        <w:t xml:space="preserve"> specifically call </w:t>
      </w:r>
      <w:r>
        <w:t xml:space="preserve">out the requirement to have </w:t>
      </w:r>
      <w:r w:rsidR="00740AB3">
        <w:t>c</w:t>
      </w:r>
      <w:r>
        <w:t xml:space="preserve">linical </w:t>
      </w:r>
      <w:r w:rsidR="00740AB3">
        <w:t>g</w:t>
      </w:r>
      <w:r>
        <w:t>eneticist</w:t>
      </w:r>
      <w:r w:rsidR="00B64168">
        <w:t xml:space="preserve">s involved in </w:t>
      </w:r>
      <w:r>
        <w:t xml:space="preserve">multi-disciplinary teams and all subsequent clinical reviews and </w:t>
      </w:r>
      <w:r w:rsidR="00B64168">
        <w:t xml:space="preserve">testing. Therefore, it would be </w:t>
      </w:r>
      <w:r>
        <w:t>redundant to include this requirement in the RMP.</w:t>
      </w:r>
    </w:p>
    <w:p w14:paraId="259A82BF" w14:textId="1FB5D370" w:rsidR="001908FF" w:rsidRDefault="001908FF" w:rsidP="001908FF">
      <w:pPr>
        <w:pStyle w:val="ListBullet"/>
      </w:pPr>
      <w:r>
        <w:lastRenderedPageBreak/>
        <w:t xml:space="preserve">Keep a registry of patients treated with </w:t>
      </w:r>
      <w:r w:rsidR="00B64168">
        <w:t>Luxturna</w:t>
      </w:r>
      <w:r>
        <w:t xml:space="preserve"> (or be involved in the sponsor’s registry)</w:t>
      </w:r>
      <w:r w:rsidR="00B64168">
        <w:t xml:space="preserve"> </w:t>
      </w:r>
      <w:r>
        <w:t>which tracks long term efficacy and safety and can identify patients who may need alerting for</w:t>
      </w:r>
      <w:r w:rsidR="00B64168">
        <w:t xml:space="preserve"> future safety issues</w:t>
      </w:r>
    </w:p>
    <w:p w14:paraId="60DFA7C9" w14:textId="02B2E643" w:rsidR="001908FF" w:rsidRDefault="00B64168" w:rsidP="001908FF">
      <w:r>
        <w:t>The sponsor</w:t>
      </w:r>
      <w:r w:rsidR="001908FF">
        <w:t xml:space="preserve"> confirms that patients from Australia will be eligible to partici</w:t>
      </w:r>
      <w:r>
        <w:t>pate in the post-authorisation, multicentre</w:t>
      </w:r>
      <w:r w:rsidR="001908FF">
        <w:t>, multinational, longitudinal, observational safety reg</w:t>
      </w:r>
      <w:r>
        <w:t xml:space="preserve">istry for patients treated with </w:t>
      </w:r>
      <w:r w:rsidR="001908FF">
        <w:t>voretigene neparvovec (CLTW888A12401). The purpose of the stu</w:t>
      </w:r>
      <w:r>
        <w:t xml:space="preserve">dy is to evaluate the long-term </w:t>
      </w:r>
      <w:r w:rsidR="001908FF">
        <w:t>safety profile of voretigene neparvovec for 5 years post-administrati</w:t>
      </w:r>
      <w:r>
        <w:t xml:space="preserve">on in a real-world setting. The </w:t>
      </w:r>
      <w:r w:rsidR="001908FF">
        <w:t>primary objective for this safety registry study is to collect adverse eve</w:t>
      </w:r>
      <w:r>
        <w:t xml:space="preserve">nts, including those of special </w:t>
      </w:r>
      <w:r w:rsidR="001908FF">
        <w:t>interest via the RMP, for patients treated with voretigene neparvov</w:t>
      </w:r>
      <w:r>
        <w:t xml:space="preserve">ec. Secondary objectives of the </w:t>
      </w:r>
      <w:r w:rsidR="001908FF">
        <w:t xml:space="preserve">registry include assessment of </w:t>
      </w:r>
      <w:r w:rsidR="00031EA9">
        <w:t>visual function over time (for example,</w:t>
      </w:r>
      <w:r w:rsidR="001908FF">
        <w:t xml:space="preserve"> as </w:t>
      </w:r>
      <w:r>
        <w:t xml:space="preserve">measured by </w:t>
      </w:r>
      <w:r w:rsidR="00B34823">
        <w:t>VA</w:t>
      </w:r>
      <w:r>
        <w:t>,</w:t>
      </w:r>
      <w:r w:rsidR="00031EA9">
        <w:t xml:space="preserve"> VF,</w:t>
      </w:r>
      <w:r w:rsidR="00844F14">
        <w:t xml:space="preserve"> </w:t>
      </w:r>
      <w:r w:rsidR="00031EA9">
        <w:t xml:space="preserve">and </w:t>
      </w:r>
      <w:r w:rsidR="001908FF">
        <w:t xml:space="preserve">FST), and </w:t>
      </w:r>
      <w:r w:rsidR="00031EA9">
        <w:t>OCT</w:t>
      </w:r>
      <w:r w:rsidR="001908FF">
        <w:t>. I</w:t>
      </w:r>
      <w:r>
        <w:t xml:space="preserve">n addition, to follow pregnancy </w:t>
      </w:r>
      <w:r w:rsidR="001908FF">
        <w:t>outcomes in patients (and female partners of patients) who rec</w:t>
      </w:r>
      <w:r w:rsidR="00031EA9">
        <w:t xml:space="preserve">eive voretigene neparvovec. The </w:t>
      </w:r>
      <w:r w:rsidR="001908FF">
        <w:t>frequency</w:t>
      </w:r>
      <w:r w:rsidR="00031EA9">
        <w:t xml:space="preserve"> at which patients are followed </w:t>
      </w:r>
      <w:r w:rsidR="001908FF">
        <w:t xml:space="preserve">up is determined by routine </w:t>
      </w:r>
      <w:r w:rsidR="00031EA9">
        <w:t xml:space="preserve">clinical practice. Data sources </w:t>
      </w:r>
      <w:r w:rsidR="001908FF">
        <w:t xml:space="preserve">will include medical notes, electronic medical records, and hospital </w:t>
      </w:r>
      <w:r w:rsidR="00031EA9">
        <w:t xml:space="preserve">discharge files documented. The </w:t>
      </w:r>
      <w:r w:rsidR="001908FF">
        <w:t xml:space="preserve">TGA RMP </w:t>
      </w:r>
      <w:r w:rsidR="00740AB3">
        <w:t>u</w:t>
      </w:r>
      <w:r w:rsidR="001908FF">
        <w:t xml:space="preserve">nit has confirmed that </w:t>
      </w:r>
      <w:r w:rsidR="00031EA9">
        <w:t>the sponsor’s</w:t>
      </w:r>
      <w:r w:rsidR="001908FF">
        <w:t xml:space="preserve"> proposed RMP pharma</w:t>
      </w:r>
      <w:r w:rsidR="00031EA9">
        <w:t xml:space="preserve">covigilance plan, including the </w:t>
      </w:r>
      <w:r w:rsidR="001908FF">
        <w:t>utilisation of the Global patient registry, is acceptable.</w:t>
      </w:r>
    </w:p>
    <w:p w14:paraId="24E5F969" w14:textId="2A6FE0A8" w:rsidR="001908FF" w:rsidRDefault="001908FF" w:rsidP="001908FF">
      <w:pPr>
        <w:pStyle w:val="ListBullet"/>
      </w:pPr>
      <w:r>
        <w:t>Be involved in ongoing quality audits which include benchmarking of the treatment centre</w:t>
      </w:r>
      <w:r w:rsidR="00844F14">
        <w:t xml:space="preserve"> </w:t>
      </w:r>
      <w:r>
        <w:t>against other centres</w:t>
      </w:r>
      <w:r w:rsidR="00844F14">
        <w:t xml:space="preserve"> to ensure optimal performance </w:t>
      </w:r>
    </w:p>
    <w:p w14:paraId="74526400" w14:textId="548D70DE" w:rsidR="001908FF" w:rsidRDefault="00844F14" w:rsidP="001908FF">
      <w:r>
        <w:t>The sponsor</w:t>
      </w:r>
      <w:r w:rsidR="001908FF">
        <w:t xml:space="preserve"> is proposing as a quality oversight step to develop and implement a </w:t>
      </w:r>
      <w:proofErr w:type="spellStart"/>
      <w:r w:rsidR="001908FF">
        <w:t>self</w:t>
      </w:r>
      <w:r>
        <w:t xml:space="preserve"> </w:t>
      </w:r>
      <w:r w:rsidR="001908FF">
        <w:t>assessment</w:t>
      </w:r>
      <w:proofErr w:type="spellEnd"/>
      <w:r>
        <w:t xml:space="preserve"> </w:t>
      </w:r>
      <w:r w:rsidR="001908FF">
        <w:t>checklist for each participating treatment centre. This annual self-assessment would</w:t>
      </w:r>
      <w:r>
        <w:t xml:space="preserve"> </w:t>
      </w:r>
      <w:r w:rsidR="001908FF">
        <w:t xml:space="preserve">cover requirements of the RMP, included but not limited to training of </w:t>
      </w:r>
      <w:r w:rsidR="005511D6">
        <w:t xml:space="preserve">Healthcare </w:t>
      </w:r>
      <w:r w:rsidR="31E3C859">
        <w:t>Professionals</w:t>
      </w:r>
      <w:r w:rsidR="001908FF">
        <w:t>, and adherence to the</w:t>
      </w:r>
      <w:r>
        <w:t xml:space="preserve"> </w:t>
      </w:r>
      <w:r w:rsidR="001908FF">
        <w:t>conditions of the OGTR license, which aims to cover environmental safety risk and waste disposal of</w:t>
      </w:r>
      <w:r>
        <w:t xml:space="preserve"> </w:t>
      </w:r>
      <w:r w:rsidR="001908FF">
        <w:t>voretigene neparvovec. Details of the implementation will be included in the commercial agreement</w:t>
      </w:r>
      <w:r>
        <w:t xml:space="preserve"> </w:t>
      </w:r>
      <w:r w:rsidR="001908FF">
        <w:t xml:space="preserve">between </w:t>
      </w:r>
      <w:r>
        <w:t>the sponsor</w:t>
      </w:r>
      <w:r w:rsidR="001908FF">
        <w:t xml:space="preserve"> and participating centres. Ongoing training and accreditation is the responsibility</w:t>
      </w:r>
      <w:r>
        <w:t xml:space="preserve"> </w:t>
      </w:r>
      <w:r w:rsidR="001908FF">
        <w:t>of the treatment centre. As per the ASA included in our MAA</w:t>
      </w:r>
      <w:r w:rsidR="00413BE2">
        <w:t xml:space="preserve"> (Market Authorisation Application</w:t>
      </w:r>
      <w:r w:rsidR="00D80818">
        <w:t xml:space="preserve"> to the EU</w:t>
      </w:r>
      <w:r w:rsidR="00413BE2">
        <w:t>)</w:t>
      </w:r>
      <w:r w:rsidR="001908FF">
        <w:t xml:space="preserve">, </w:t>
      </w:r>
      <w:r>
        <w:t xml:space="preserve">the sponsor </w:t>
      </w:r>
      <w:r w:rsidR="001908FF">
        <w:t>commits to provide support</w:t>
      </w:r>
      <w:r>
        <w:t xml:space="preserve"> </w:t>
      </w:r>
      <w:r w:rsidR="001908FF">
        <w:t xml:space="preserve">to address any identified gaps upon request from the treatment centre. Additionally, </w:t>
      </w:r>
      <w:r>
        <w:t xml:space="preserve">the sponsor </w:t>
      </w:r>
      <w:r w:rsidR="001908FF">
        <w:t>reserves the right to suspend participation of a treatment centre where any significant gaps have been</w:t>
      </w:r>
      <w:r>
        <w:t xml:space="preserve"> </w:t>
      </w:r>
      <w:r w:rsidR="001908FF">
        <w:t>identified or persist.</w:t>
      </w:r>
    </w:p>
    <w:p w14:paraId="54050DDD" w14:textId="6664C7E2" w:rsidR="001908FF" w:rsidRPr="00760139" w:rsidRDefault="001908FF" w:rsidP="001908FF">
      <w:r>
        <w:t xml:space="preserve">In conclusion, </w:t>
      </w:r>
      <w:r w:rsidR="00844F14">
        <w:t>the sponsor</w:t>
      </w:r>
      <w:r>
        <w:t xml:space="preserve"> believes that the only additional criterion that treatment centres need to fulfil</w:t>
      </w:r>
      <w:r w:rsidR="00844F14">
        <w:t xml:space="preserve"> </w:t>
      </w:r>
      <w:r>
        <w:t>to adequately manage the risk associated with the treatment of voretigene neparvovec is for Australia</w:t>
      </w:r>
      <w:r w:rsidR="00844F14">
        <w:t xml:space="preserve"> </w:t>
      </w:r>
      <w:r>
        <w:t xml:space="preserve">to commit to </w:t>
      </w:r>
      <w:r w:rsidR="00844F14">
        <w:t>enrol</w:t>
      </w:r>
      <w:r>
        <w:t xml:space="preserve"> patients in the global r</w:t>
      </w:r>
      <w:r w:rsidR="00844F14">
        <w:t xml:space="preserve">egistry that will document long </w:t>
      </w:r>
      <w:r>
        <w:t>term efficacy and safety</w:t>
      </w:r>
      <w:r w:rsidR="00844F14">
        <w:t xml:space="preserve">, </w:t>
      </w:r>
      <w:r>
        <w:t xml:space="preserve">and can identify patients who may need alerting in the event of future safety issues. </w:t>
      </w:r>
      <w:r w:rsidR="00844F14">
        <w:t>The sponsor proposes to finalis</w:t>
      </w:r>
      <w:r>
        <w:t>e the RMP to the satisfaction of the TGA RMP Unit post-ACM, including the</w:t>
      </w:r>
      <w:r w:rsidR="00844F14">
        <w:t xml:space="preserve"> </w:t>
      </w:r>
      <w:r>
        <w:t>review of the proposed self-assessment checklist for the treatment centres.</w:t>
      </w:r>
    </w:p>
    <w:p w14:paraId="31B2499A" w14:textId="078BA59B" w:rsidR="007D53B6" w:rsidRDefault="007D53B6" w:rsidP="007D53B6">
      <w:pPr>
        <w:pStyle w:val="Heading4"/>
      </w:pPr>
      <w:r>
        <w:t>Request for Advisory Committee on Medicines</w:t>
      </w:r>
      <w:r w:rsidR="00D21196">
        <w:t xml:space="preserve"> advice</w:t>
      </w:r>
    </w:p>
    <w:p w14:paraId="588BA5E3" w14:textId="77777777" w:rsidR="009D446E" w:rsidRDefault="006C67C2" w:rsidP="009D446E">
      <w:pPr>
        <w:pStyle w:val="Numberbullet0"/>
        <w:numPr>
          <w:ilvl w:val="0"/>
          <w:numId w:val="41"/>
        </w:numPr>
      </w:pPr>
      <w:r>
        <w:t>Please comment on the way in which viable retinal cells were determined in the clinical trials. Is this the optimal criteria? Is this something routinely assessed by an ophthalmologist</w:t>
      </w:r>
      <w:r w:rsidR="008349C2">
        <w:t>?</w:t>
      </w:r>
    </w:p>
    <w:p w14:paraId="25AFA69C" w14:textId="77777777" w:rsidR="009D446E" w:rsidRDefault="006C67C2" w:rsidP="009D446E">
      <w:pPr>
        <w:pStyle w:val="Numberbullet0"/>
        <w:numPr>
          <w:ilvl w:val="0"/>
          <w:numId w:val="41"/>
        </w:numPr>
      </w:pPr>
      <w:r>
        <w:t>Please comment on the clinical significance of the improvement in MLMT and FST, in particular in the context of minimal change in VA or visual fields. How would you suggest response to treatment be monitored in the real world setting?</w:t>
      </w:r>
    </w:p>
    <w:p w14:paraId="46A89F64" w14:textId="24383E2E" w:rsidR="009D446E" w:rsidRDefault="006C67C2" w:rsidP="009D446E">
      <w:pPr>
        <w:pStyle w:val="Numberbullet0"/>
        <w:numPr>
          <w:ilvl w:val="0"/>
          <w:numId w:val="41"/>
        </w:numPr>
      </w:pPr>
      <w:r>
        <w:t>Should impaired vision be part of the indication? What parameters would you recommend?</w:t>
      </w:r>
    </w:p>
    <w:p w14:paraId="53B355A3" w14:textId="1CB63A24" w:rsidR="009D446E" w:rsidRDefault="006C67C2" w:rsidP="009D446E">
      <w:pPr>
        <w:pStyle w:val="Numberbullet0"/>
        <w:numPr>
          <w:ilvl w:val="0"/>
          <w:numId w:val="41"/>
        </w:numPr>
      </w:pPr>
      <w:r>
        <w:t xml:space="preserve">Please comment on the use of </w:t>
      </w:r>
      <w:r w:rsidR="008349C2">
        <w:t>Luxturna</w:t>
      </w:r>
      <w:r>
        <w:t xml:space="preserve"> in children less than 4 years.</w:t>
      </w:r>
    </w:p>
    <w:p w14:paraId="2714B9EC" w14:textId="15E12FE0" w:rsidR="009D446E" w:rsidRDefault="00740AB3" w:rsidP="009D446E">
      <w:pPr>
        <w:pStyle w:val="Numberbullet0"/>
        <w:numPr>
          <w:ilvl w:val="0"/>
          <w:numId w:val="41"/>
        </w:numPr>
      </w:pPr>
      <w:r>
        <w:lastRenderedPageBreak/>
        <w:t>Are</w:t>
      </w:r>
      <w:r w:rsidR="006C67C2">
        <w:t xml:space="preserve"> there any potential factors that may be associated with lack of efficacy that should be monitored in the post market registry?</w:t>
      </w:r>
    </w:p>
    <w:p w14:paraId="2114EDFD" w14:textId="377F3B5A" w:rsidR="006C67C2" w:rsidRPr="006C67C2" w:rsidRDefault="006C67C2" w:rsidP="009D446E">
      <w:pPr>
        <w:pStyle w:val="Numberbullet0"/>
        <w:numPr>
          <w:ilvl w:val="0"/>
          <w:numId w:val="41"/>
        </w:numPr>
      </w:pPr>
      <w:r>
        <w:t xml:space="preserve">Please comment on the feasibility of the RMP recommendations </w:t>
      </w:r>
      <w:r w:rsidR="008349C2">
        <w:t>for treatment centres, and the D</w:t>
      </w:r>
      <w:r>
        <w:t>elegate’s additional suggestions</w:t>
      </w:r>
      <w:r w:rsidR="008349C2">
        <w:t>.</w:t>
      </w:r>
    </w:p>
    <w:p w14:paraId="3273A04F"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1"/>
      </w:r>
    </w:p>
    <w:p w14:paraId="11979504" w14:textId="77777777" w:rsidR="00F61639" w:rsidRDefault="00456765" w:rsidP="005511D6">
      <w:r w:rsidRPr="00456765">
        <w:t xml:space="preserve">The Advisory Committee on Medicines (ACM), having considered the evaluations and the Delegate’s overview, as well as the sponsor’s response to these documents, advised the </w:t>
      </w:r>
      <w:r w:rsidR="00AF25E0" w:rsidRPr="00AF25E0">
        <w:rPr>
          <w:bCs/>
        </w:rPr>
        <w:t>following:</w:t>
      </w:r>
    </w:p>
    <w:p w14:paraId="3071BC21" w14:textId="32D82D42" w:rsidR="00F61639" w:rsidRPr="005511D6" w:rsidRDefault="00F61639" w:rsidP="005511D6">
      <w:pPr>
        <w:pStyle w:val="Numberbullet0"/>
        <w:numPr>
          <w:ilvl w:val="0"/>
          <w:numId w:val="43"/>
        </w:numPr>
        <w:rPr>
          <w:b/>
          <w:i/>
        </w:rPr>
      </w:pPr>
      <w:r w:rsidRPr="005511D6">
        <w:rPr>
          <w:b/>
          <w:i/>
        </w:rPr>
        <w:t>Please comment on the way in which viable retinal cells were determined in the clinical trials. Is this the optimal criteria? Is this something routinely assessed by an ophthalmologist?</w:t>
      </w:r>
    </w:p>
    <w:p w14:paraId="0A6CB8E4" w14:textId="2A1A6C1E" w:rsidR="00961F9C" w:rsidRDefault="00961F9C" w:rsidP="00961F9C">
      <w:r w:rsidRPr="00961F9C">
        <w:t xml:space="preserve">The ACM advised that while there are several methods used to determine whether </w:t>
      </w:r>
      <w:r w:rsidR="004F63D3" w:rsidRPr="00961F9C">
        <w:t>viable retinal</w:t>
      </w:r>
      <w:r w:rsidRPr="00961F9C">
        <w:t xml:space="preserve"> cells are present, there is no gold standard. The viability of retinal cells is not</w:t>
      </w:r>
      <w:r w:rsidR="004F63D3">
        <w:t xml:space="preserve"> </w:t>
      </w:r>
      <w:r w:rsidRPr="00961F9C">
        <w:t>routinely assessed by a general ophthalmologist. Normally, patients requiring assessment</w:t>
      </w:r>
      <w:r w:rsidR="004F63D3">
        <w:t xml:space="preserve"> </w:t>
      </w:r>
      <w:r w:rsidRPr="00961F9C">
        <w:t>of an inherited retinal disorder are referred to a specialist team for review. These specialist</w:t>
      </w:r>
      <w:r w:rsidR="004F63D3">
        <w:t xml:space="preserve"> </w:t>
      </w:r>
      <w:r w:rsidRPr="00961F9C">
        <w:t>teams use a number of tools to assess for viable retinal cells including visual acuity, visual</w:t>
      </w:r>
      <w:r w:rsidR="004F63D3">
        <w:t xml:space="preserve"> </w:t>
      </w:r>
      <w:r w:rsidRPr="00961F9C">
        <w:t xml:space="preserve">fields, OCT, </w:t>
      </w:r>
      <w:proofErr w:type="spellStart"/>
      <w:r w:rsidRPr="00961F9C">
        <w:t>fundoscopy</w:t>
      </w:r>
      <w:proofErr w:type="spellEnd"/>
      <w:r w:rsidRPr="00961F9C">
        <w:t>, ful</w:t>
      </w:r>
      <w:r w:rsidR="004F63D3">
        <w:t>l field scotopic threshold</w:t>
      </w:r>
      <w:r w:rsidRPr="00961F9C">
        <w:t xml:space="preserve">, </w:t>
      </w:r>
      <w:r w:rsidR="004F63D3">
        <w:t>and electrophysiology</w:t>
      </w:r>
      <w:r w:rsidRPr="00961F9C">
        <w:t>.</w:t>
      </w:r>
    </w:p>
    <w:p w14:paraId="73E50BFC" w14:textId="0FDDE8CB" w:rsidR="00413BE2" w:rsidRPr="005511D6" w:rsidRDefault="00413BE2" w:rsidP="005511D6">
      <w:pPr>
        <w:pStyle w:val="Numberbullet0"/>
        <w:rPr>
          <w:b/>
          <w:i/>
        </w:rPr>
      </w:pPr>
      <w:r w:rsidRPr="005511D6">
        <w:rPr>
          <w:b/>
          <w:i/>
        </w:rPr>
        <w:t>Please comment on the clinical significance of the improvement in MLMT and FST, in</w:t>
      </w:r>
      <w:r w:rsidR="00D21196">
        <w:rPr>
          <w:b/>
          <w:i/>
        </w:rPr>
        <w:t xml:space="preserve"> </w:t>
      </w:r>
      <w:r w:rsidRPr="005511D6">
        <w:rPr>
          <w:b/>
          <w:i/>
        </w:rPr>
        <w:t>particular in the context of minimal change in VA or visual fields. How would you</w:t>
      </w:r>
      <w:r w:rsidR="00AF25E0" w:rsidRPr="005511D6">
        <w:rPr>
          <w:b/>
          <w:i/>
        </w:rPr>
        <w:t xml:space="preserve"> </w:t>
      </w:r>
      <w:r w:rsidRPr="005511D6">
        <w:rPr>
          <w:b/>
          <w:i/>
        </w:rPr>
        <w:t>suggest response to treatment be monitored in the real world setting?</w:t>
      </w:r>
    </w:p>
    <w:p w14:paraId="4BA96972" w14:textId="44D30BFC" w:rsidR="00961F9C" w:rsidRPr="00961F9C" w:rsidRDefault="00961F9C" w:rsidP="00961F9C">
      <w:r w:rsidRPr="00961F9C">
        <w:t>Multi-luminance Mobility Testing (MLMT) is a functional test to measure the patients visual</w:t>
      </w:r>
      <w:r w:rsidR="00C65580">
        <w:t xml:space="preserve"> </w:t>
      </w:r>
      <w:r w:rsidRPr="00961F9C">
        <w:t xml:space="preserve">acuity, visual field and extent of </w:t>
      </w:r>
      <w:proofErr w:type="spellStart"/>
      <w:r w:rsidRPr="00961F9C">
        <w:t>nyctalopia</w:t>
      </w:r>
      <w:proofErr w:type="spellEnd"/>
      <w:r w:rsidRPr="00961F9C">
        <w:t xml:space="preserve"> in environments of varying brightness. Full field</w:t>
      </w:r>
      <w:r w:rsidR="00C65580">
        <w:t xml:space="preserve"> </w:t>
      </w:r>
      <w:r w:rsidRPr="00961F9C">
        <w:t>scotopic threshold (FST) is an overall measure of retinal sensitivity and function. There was</w:t>
      </w:r>
      <w:r w:rsidR="00C65580">
        <w:t xml:space="preserve"> </w:t>
      </w:r>
      <w:r w:rsidRPr="00961F9C">
        <w:t>a clinically significant improvem</w:t>
      </w:r>
      <w:r w:rsidR="00C65580">
        <w:t>e</w:t>
      </w:r>
      <w:r w:rsidRPr="00961F9C">
        <w:t>nt in these parameters in the study. There was also an</w:t>
      </w:r>
      <w:r w:rsidR="00C65580">
        <w:t xml:space="preserve"> </w:t>
      </w:r>
      <w:r w:rsidRPr="00961F9C">
        <w:t>improvement in quality of life.</w:t>
      </w:r>
    </w:p>
    <w:p w14:paraId="5115D526" w14:textId="33FF33A6" w:rsidR="008349C2" w:rsidRDefault="00961F9C" w:rsidP="00961F9C">
      <w:r w:rsidRPr="00961F9C">
        <w:t>In a real world setting, VA and VF are threshold tests of vision. FST would provide an</w:t>
      </w:r>
      <w:r w:rsidR="00C65580">
        <w:t xml:space="preserve"> </w:t>
      </w:r>
      <w:r w:rsidRPr="00961F9C">
        <w:t>assessment of real world functional improvement.</w:t>
      </w:r>
    </w:p>
    <w:p w14:paraId="111E4719" w14:textId="577322A4" w:rsidR="00961F9C" w:rsidRDefault="00961F9C" w:rsidP="00961F9C">
      <w:r>
        <w:t>The ACM recommended that response to treatment be mon</w:t>
      </w:r>
      <w:r w:rsidR="00C65580">
        <w:t xml:space="preserve">itored via multimodal imaging: </w:t>
      </w:r>
      <w:r>
        <w:t xml:space="preserve">fundus </w:t>
      </w:r>
      <w:proofErr w:type="spellStart"/>
      <w:r>
        <w:t>autofluorescence</w:t>
      </w:r>
      <w:proofErr w:type="spellEnd"/>
      <w:r>
        <w:t xml:space="preserve"> (FAF), </w:t>
      </w:r>
      <w:r w:rsidR="00C65580">
        <w:t xml:space="preserve">OCT </w:t>
      </w:r>
      <w:r>
        <w:t>and functional assessments (Humphrey visual field testing and FST). These tests should be conducted on an annual basis and documented in a registry. They also noted that a quality of life questionnaire such as that used in the clinical study could also be used.</w:t>
      </w:r>
    </w:p>
    <w:p w14:paraId="31EF3069" w14:textId="2917C1B7" w:rsidR="00413BE2" w:rsidRPr="005511D6" w:rsidRDefault="00413BE2" w:rsidP="005511D6">
      <w:pPr>
        <w:pStyle w:val="Numberbullet0"/>
        <w:rPr>
          <w:b/>
          <w:i/>
        </w:rPr>
      </w:pPr>
      <w:r w:rsidRPr="005511D6">
        <w:rPr>
          <w:b/>
          <w:i/>
        </w:rPr>
        <w:t>Should impaired vision be part of the indication? What parameters would the ACM recommend?</w:t>
      </w:r>
    </w:p>
    <w:p w14:paraId="160331FC" w14:textId="5E658004" w:rsidR="00961F9C" w:rsidRPr="00961F9C" w:rsidRDefault="00961F9C" w:rsidP="00961F9C">
      <w:r w:rsidRPr="00961F9C">
        <w:t>The ACM was of the view that impaired vision should not be included in the indication as</w:t>
      </w:r>
      <w:r w:rsidR="00C65580">
        <w:t xml:space="preserve"> </w:t>
      </w:r>
      <w:r w:rsidRPr="00961F9C">
        <w:t>this may preclude treatment in younger individuals or those with later onset of disease.</w:t>
      </w:r>
      <w:r w:rsidR="00C65580">
        <w:t xml:space="preserve"> </w:t>
      </w:r>
      <w:r w:rsidRPr="00961F9C">
        <w:t>Removal of impaired vision from the indication is also consistent with what has been</w:t>
      </w:r>
      <w:r w:rsidR="00C65580">
        <w:t xml:space="preserve"> </w:t>
      </w:r>
      <w:r w:rsidRPr="00961F9C">
        <w:t>approved by other major foreign regulatory agencies.</w:t>
      </w:r>
    </w:p>
    <w:p w14:paraId="6DEC4D79" w14:textId="77777777" w:rsidR="00413BE2" w:rsidRPr="005511D6" w:rsidRDefault="00413BE2" w:rsidP="005511D6">
      <w:pPr>
        <w:pStyle w:val="Numberbullet0"/>
        <w:rPr>
          <w:b/>
          <w:i/>
        </w:rPr>
      </w:pPr>
      <w:r w:rsidRPr="005511D6">
        <w:rPr>
          <w:b/>
          <w:i/>
        </w:rPr>
        <w:lastRenderedPageBreak/>
        <w:t>Please comment on the use of Luxturna in children less than 4 years.</w:t>
      </w:r>
    </w:p>
    <w:p w14:paraId="2E39BAA7" w14:textId="3B9487CE" w:rsidR="00961F9C" w:rsidRPr="00961F9C" w:rsidRDefault="00961F9C" w:rsidP="00961F9C">
      <w:r w:rsidRPr="00961F9C">
        <w:t>As retinal dystrophy often presents in early childhood, the ACM advised that the use of</w:t>
      </w:r>
      <w:r w:rsidR="00C65580">
        <w:t xml:space="preserve"> Luxturna</w:t>
      </w:r>
      <w:r w:rsidRPr="00961F9C">
        <w:t xml:space="preserve"> in children less than 4 years of age would be advantageous as it would allow</w:t>
      </w:r>
      <w:r w:rsidR="00C65580">
        <w:t xml:space="preserve"> </w:t>
      </w:r>
      <w:r w:rsidRPr="00961F9C">
        <w:t>treatment before major deterioration is present. However, the ACM considered that the</w:t>
      </w:r>
      <w:r w:rsidR="00C65580">
        <w:t xml:space="preserve"> </w:t>
      </w:r>
      <w:r w:rsidRPr="00961F9C">
        <w:t>need for early treatment must be balanced with surgical safety and the fragility of the</w:t>
      </w:r>
      <w:r w:rsidR="00C65580">
        <w:t xml:space="preserve"> </w:t>
      </w:r>
      <w:r w:rsidRPr="00961F9C">
        <w:t xml:space="preserve">developing eye, and therefore did not recommend the use of </w:t>
      </w:r>
      <w:r w:rsidR="00C65580">
        <w:t>Luxturna</w:t>
      </w:r>
      <w:r w:rsidRPr="00961F9C">
        <w:t xml:space="preserve"> in children less</w:t>
      </w:r>
      <w:r w:rsidR="00C65580">
        <w:t xml:space="preserve"> </w:t>
      </w:r>
      <w:r w:rsidRPr="00961F9C">
        <w:t>than 1 year of age.</w:t>
      </w:r>
    </w:p>
    <w:p w14:paraId="356E39DA" w14:textId="218A2E2C" w:rsidR="00413BE2" w:rsidRPr="005511D6" w:rsidRDefault="00413BE2" w:rsidP="005511D6">
      <w:pPr>
        <w:pStyle w:val="Numberbullet0"/>
        <w:rPr>
          <w:b/>
          <w:i/>
        </w:rPr>
      </w:pPr>
      <w:r w:rsidRPr="005511D6">
        <w:rPr>
          <w:b/>
          <w:i/>
        </w:rPr>
        <w:t>Are there any potential factors that may be associated with lack of efficacy that</w:t>
      </w:r>
      <w:r w:rsidR="00F61639">
        <w:rPr>
          <w:b/>
          <w:i/>
        </w:rPr>
        <w:t xml:space="preserve"> </w:t>
      </w:r>
      <w:r w:rsidRPr="005511D6">
        <w:rPr>
          <w:b/>
          <w:i/>
        </w:rPr>
        <w:t>should be monitored in the post market registry?</w:t>
      </w:r>
    </w:p>
    <w:p w14:paraId="450FEAAF" w14:textId="222DC363" w:rsidR="00961F9C" w:rsidRPr="00961F9C" w:rsidRDefault="00961F9C" w:rsidP="00961F9C">
      <w:r w:rsidRPr="00961F9C">
        <w:t>The ACM emphasised the importance of regular visual function testing and imaging (via</w:t>
      </w:r>
      <w:r w:rsidR="00700217">
        <w:t xml:space="preserve"> </w:t>
      </w:r>
      <w:r w:rsidRPr="00961F9C">
        <w:t>FAF and OCT) to monitor patient progress and gather data towards long term outcomes.</w:t>
      </w:r>
      <w:r w:rsidR="008758AC">
        <w:t xml:space="preserve"> </w:t>
      </w:r>
      <w:r w:rsidRPr="00961F9C">
        <w:t>Pharmacovigilance should focus on monitoring for known complications identified from</w:t>
      </w:r>
      <w:r w:rsidR="008758AC">
        <w:t xml:space="preserve"> </w:t>
      </w:r>
      <w:r w:rsidRPr="00961F9C">
        <w:t>clinical trial data, but also for potential complications that may not have been previously</w:t>
      </w:r>
      <w:r w:rsidR="008758AC">
        <w:t xml:space="preserve"> </w:t>
      </w:r>
      <w:r w:rsidRPr="00961F9C">
        <w:t>encountered with this therapy. Visual function questionnaires such as the VFQ-25 could</w:t>
      </w:r>
      <w:r w:rsidR="008758AC">
        <w:t xml:space="preserve"> </w:t>
      </w:r>
      <w:r w:rsidRPr="00961F9C">
        <w:t>also assist in collecting patient reported data.</w:t>
      </w:r>
    </w:p>
    <w:p w14:paraId="56D3F8FC" w14:textId="5066B979" w:rsidR="00961F9C" w:rsidRPr="00961F9C" w:rsidRDefault="00961F9C" w:rsidP="00961F9C">
      <w:r w:rsidRPr="00961F9C">
        <w:t>The ACM requested that precise genetic variants should be captured and recorded in the</w:t>
      </w:r>
      <w:r w:rsidR="00DA7190">
        <w:t xml:space="preserve"> </w:t>
      </w:r>
      <w:r w:rsidRPr="00961F9C">
        <w:t>post market registry as this may be helpful wh</w:t>
      </w:r>
      <w:r w:rsidR="00DA7190">
        <w:t xml:space="preserve">en considering other phenotypic </w:t>
      </w:r>
      <w:r w:rsidRPr="00961F9C">
        <w:t>information. Each patient’s age at treatment should also be recorded as in the long term</w:t>
      </w:r>
      <w:r w:rsidR="00DA7190">
        <w:t xml:space="preserve"> </w:t>
      </w:r>
      <w:r w:rsidRPr="00961F9C">
        <w:t>this may assist in determining if there is an optimal age for treatment.</w:t>
      </w:r>
    </w:p>
    <w:p w14:paraId="73BC00AF" w14:textId="27BC4DC9" w:rsidR="00413BE2" w:rsidRPr="005511D6" w:rsidRDefault="00413BE2" w:rsidP="005511D6">
      <w:pPr>
        <w:pStyle w:val="Numberbullet0"/>
        <w:rPr>
          <w:b/>
          <w:i/>
        </w:rPr>
      </w:pPr>
      <w:r w:rsidRPr="005511D6">
        <w:rPr>
          <w:b/>
          <w:i/>
        </w:rPr>
        <w:t>Please comment on the feasibility of the RMP recommendations for treatment centres,</w:t>
      </w:r>
      <w:r w:rsidR="00483900" w:rsidRPr="005511D6">
        <w:rPr>
          <w:b/>
          <w:i/>
        </w:rPr>
        <w:t xml:space="preserve"> </w:t>
      </w:r>
      <w:r w:rsidRPr="005511D6">
        <w:rPr>
          <w:b/>
          <w:i/>
        </w:rPr>
        <w:t>and the Delegate’s additional suggestions.</w:t>
      </w:r>
    </w:p>
    <w:p w14:paraId="49BF94F6" w14:textId="2B17EAA9" w:rsidR="00961F9C" w:rsidRDefault="00961F9C" w:rsidP="00961F9C">
      <w:r w:rsidRPr="00961F9C">
        <w:t>The A</w:t>
      </w:r>
      <w:r w:rsidR="00DA7190">
        <w:t>CM noted that whilst</w:t>
      </w:r>
      <w:r w:rsidRPr="00961F9C">
        <w:t xml:space="preserve"> input from a clinical geneticist may be helpful in communicating</w:t>
      </w:r>
      <w:r>
        <w:t xml:space="preserve"> </w:t>
      </w:r>
      <w:r w:rsidRPr="00961F9C">
        <w:t>the diagnosis and any potential genetic implications to patients and carers, there should be</w:t>
      </w:r>
      <w:r w:rsidR="00DA7190">
        <w:t xml:space="preserve"> </w:t>
      </w:r>
      <w:r w:rsidRPr="00961F9C">
        <w:t>no need for involvement by a clinical geneticist or genetic pathologist beyond the medical</w:t>
      </w:r>
      <w:r>
        <w:t xml:space="preserve"> </w:t>
      </w:r>
      <w:r w:rsidRPr="00961F9C">
        <w:t>diagnosis.</w:t>
      </w:r>
    </w:p>
    <w:p w14:paraId="36167901" w14:textId="724F0AE3" w:rsidR="00961F9C" w:rsidRDefault="00961F9C" w:rsidP="00961F9C">
      <w:pPr>
        <w:pStyle w:val="Heading5"/>
      </w:pPr>
      <w:r>
        <w:t>Conclusion</w:t>
      </w:r>
    </w:p>
    <w:p w14:paraId="3EADFFD7" w14:textId="6E209F3C" w:rsidR="00A922BC" w:rsidRDefault="00961F9C" w:rsidP="00961F9C">
      <w:pPr>
        <w:rPr>
          <w:i/>
          <w:iCs/>
        </w:rPr>
      </w:pPr>
      <w:r>
        <w:t>The ACM considered that this product had an overall positive benefit-risk profile for the indication:</w:t>
      </w:r>
    </w:p>
    <w:p w14:paraId="61459BE0" w14:textId="062B3419" w:rsidR="00961F9C" w:rsidRDefault="00961F9C" w:rsidP="00A922BC">
      <w:pPr>
        <w:ind w:left="720"/>
      </w:pPr>
      <w:r>
        <w:rPr>
          <w:i/>
          <w:iCs/>
        </w:rPr>
        <w:t xml:space="preserve">Luxturna is indicated for the treatment of adult and paediatric patients over 1 year of age with vision loss due to inherited retinal dystrophy caused by confirmed </w:t>
      </w:r>
      <w:proofErr w:type="spellStart"/>
      <w:r>
        <w:rPr>
          <w:i/>
          <w:iCs/>
        </w:rPr>
        <w:t>biallelic</w:t>
      </w:r>
      <w:proofErr w:type="spellEnd"/>
      <w:r>
        <w:rPr>
          <w:i/>
          <w:iCs/>
        </w:rPr>
        <w:t xml:space="preserve"> pathogenic or likely pathogenic RPE65 variants who have s</w:t>
      </w:r>
      <w:r w:rsidR="00A922BC">
        <w:rPr>
          <w:i/>
          <w:iCs/>
        </w:rPr>
        <w:t>ufficient viable retinal cells.</w:t>
      </w:r>
    </w:p>
    <w:p w14:paraId="426109FE" w14:textId="2E5AD64B" w:rsidR="008E7846" w:rsidRPr="002E238E" w:rsidRDefault="008E7846" w:rsidP="008E7846">
      <w:pPr>
        <w:pStyle w:val="Heading3"/>
      </w:pPr>
      <w:bookmarkStart w:id="52" w:name="_Toc247691532"/>
      <w:bookmarkStart w:id="53" w:name="_Toc314842516"/>
      <w:bookmarkStart w:id="54" w:name="_Toc59006625"/>
      <w:bookmarkEnd w:id="29"/>
      <w:bookmarkEnd w:id="47"/>
      <w:bookmarkEnd w:id="48"/>
      <w:r>
        <w:t>Outcome</w:t>
      </w:r>
      <w:bookmarkEnd w:id="52"/>
      <w:bookmarkEnd w:id="53"/>
      <w:bookmarkEnd w:id="54"/>
    </w:p>
    <w:p w14:paraId="53668A13" w14:textId="2B214A64" w:rsidR="00611BFF" w:rsidRDefault="007D53B6" w:rsidP="005511D6">
      <w:bookmarkStart w:id="55" w:name="_Toc247691533"/>
      <w:bookmarkStart w:id="56" w:name="_Toc314842517"/>
      <w:r>
        <w:t xml:space="preserve">Based on a review of quality, safety and efficacy, TGA approved the registration of </w:t>
      </w:r>
      <w:r w:rsidR="00611BFF">
        <w:t>Luxturna (voretigene neparvovec) 5 x 10</w:t>
      </w:r>
      <w:r w:rsidR="00611BFF" w:rsidRPr="00611BFF">
        <w:rPr>
          <w:vertAlign w:val="superscript"/>
        </w:rPr>
        <w:t>12</w:t>
      </w:r>
      <w:r w:rsidR="00611BFF">
        <w:t xml:space="preserve"> vg per mL concentrate solution for injection vial with diluent ampoule</w:t>
      </w:r>
      <w:r w:rsidR="000469C9">
        <w:t xml:space="preserve"> for the following indication</w:t>
      </w:r>
      <w:r w:rsidR="00611BFF">
        <w:t>:</w:t>
      </w:r>
    </w:p>
    <w:p w14:paraId="710A89DE" w14:textId="1FE7F2BB" w:rsidR="00611BFF" w:rsidRPr="005511D6" w:rsidRDefault="00611BFF" w:rsidP="005511D6">
      <w:pPr>
        <w:ind w:left="720"/>
        <w:rPr>
          <w:i/>
        </w:rPr>
      </w:pPr>
      <w:r w:rsidRPr="005511D6">
        <w:rPr>
          <w:i/>
        </w:rPr>
        <w:t xml:space="preserve">The treatment of patients with inherited retinal dystrophy caused by pathological </w:t>
      </w:r>
      <w:proofErr w:type="spellStart"/>
      <w:r w:rsidRPr="005511D6">
        <w:rPr>
          <w:i/>
        </w:rPr>
        <w:t>biallelic</w:t>
      </w:r>
      <w:proofErr w:type="spellEnd"/>
      <w:r w:rsidRPr="005511D6">
        <w:rPr>
          <w:i/>
        </w:rPr>
        <w:t xml:space="preserve"> RPE65 mutations and who have sufficient viable retinal cells as determined by the treating physician.</w:t>
      </w:r>
    </w:p>
    <w:p w14:paraId="0BC9872F" w14:textId="2260DC11" w:rsidR="00611BFF" w:rsidRPr="005511D6" w:rsidRDefault="00611BFF" w:rsidP="005511D6">
      <w:pPr>
        <w:ind w:left="720"/>
        <w:rPr>
          <w:i/>
        </w:rPr>
      </w:pPr>
      <w:r w:rsidRPr="005511D6">
        <w:rPr>
          <w:i/>
        </w:rPr>
        <w:t>Pathological mutations of RPE65 should be confirmed by a National Association of Testing Authorities (NATA) or International Laboratory Accreditation Cooperation (ILAC) accredited laboratory.</w:t>
      </w:r>
    </w:p>
    <w:p w14:paraId="1D2383D8" w14:textId="00565A0E" w:rsidR="00D23139" w:rsidRPr="00D23139" w:rsidRDefault="00D23139" w:rsidP="0090187F">
      <w:pPr>
        <w:pStyle w:val="Heading4"/>
        <w:pageBreakBefore/>
      </w:pPr>
      <w:r w:rsidRPr="00D23139">
        <w:lastRenderedPageBreak/>
        <w:t>Specific conditions of registration applying to these goods</w:t>
      </w:r>
    </w:p>
    <w:p w14:paraId="1FD7629C" w14:textId="77777777" w:rsidR="00384114" w:rsidRDefault="00384114" w:rsidP="00384114">
      <w:pPr>
        <w:pStyle w:val="ListBullet"/>
        <w:rPr>
          <w:lang w:eastAsia="en-AU"/>
        </w:rPr>
      </w:pPr>
      <w:r>
        <w:rPr>
          <w:lang w:eastAsia="en-AU"/>
        </w:rPr>
        <w:t>Luxturna (voretigene neparvovec) is to be included in the Black Triangle Scheme. The Product Information (PI) and Consumer Medicines Information (CMI) for Luxturna must include the black triangle symbol and mandatory accompanying text for five years, which starts from the date that the sponsor notifies the TGA of supply of the product.</w:t>
      </w:r>
    </w:p>
    <w:p w14:paraId="24EEB0FF" w14:textId="77777777" w:rsidR="00384114" w:rsidRPr="008E46B6" w:rsidRDefault="00384114" w:rsidP="00384114">
      <w:pPr>
        <w:pStyle w:val="ListBullet"/>
        <w:rPr>
          <w:lang w:eastAsia="en-AU"/>
        </w:rPr>
      </w:pPr>
      <w:r w:rsidRPr="008E46B6">
        <w:rPr>
          <w:lang w:eastAsia="en-AU"/>
        </w:rPr>
        <w:t>The Luxturna European Union-Risk Management Plan (EU-RMP), version 1.5, dated 4 October 2018 (data lock point 5 May 2017), with Australian specific Annex, version 2.0, dated 26 February 2020), included with submission PM-2019-02585-1-5, to be revised to the satisfaction of the TGA, will be implemented in Australia.</w:t>
      </w:r>
    </w:p>
    <w:p w14:paraId="7408F48F" w14:textId="77777777" w:rsidR="00384114" w:rsidRPr="008E46B6" w:rsidRDefault="00384114" w:rsidP="00384114">
      <w:pPr>
        <w:pStyle w:val="ListBullet"/>
        <w:numPr>
          <w:ilvl w:val="0"/>
          <w:numId w:val="0"/>
        </w:numPr>
        <w:ind w:left="360"/>
        <w:rPr>
          <w:b/>
          <w:bCs/>
        </w:rPr>
      </w:pPr>
      <w:r w:rsidRPr="008E46B6">
        <w:rPr>
          <w:lang w:eastAsia="en-AU"/>
        </w:rPr>
        <w:t>An obligatory component of risk management plans is routine pharmacovigilance. Routine pharmacovigilance includes the submission of periodic safety update reports (PSURs).</w:t>
      </w:r>
    </w:p>
    <w:p w14:paraId="169B0E8F" w14:textId="77777777" w:rsidR="00384114" w:rsidRPr="008E46B6" w:rsidRDefault="00384114" w:rsidP="00384114">
      <w:pPr>
        <w:pStyle w:val="ListBullet"/>
        <w:numPr>
          <w:ilvl w:val="0"/>
          <w:numId w:val="0"/>
        </w:numPr>
        <w:ind w:left="360"/>
        <w:rPr>
          <w:lang w:eastAsia="en-AU"/>
        </w:rPr>
      </w:pPr>
      <w:r w:rsidRPr="008E46B6">
        <w:rPr>
          <w:lang w:eastAsia="en-AU"/>
        </w:rPr>
        <w:t>Reports are to be provided in line with the current published list of EU reference dates and frequency of submission of PSURs until the period covered by such reports is not less than t</w:t>
      </w:r>
      <w:r>
        <w:rPr>
          <w:lang w:eastAsia="en-AU"/>
        </w:rPr>
        <w:t>hree years from the date of the</w:t>
      </w:r>
      <w:r w:rsidRPr="008E46B6">
        <w:rPr>
          <w:lang w:eastAsia="en-AU"/>
        </w:rPr>
        <w:t xml:space="preserve"> approval letter.</w:t>
      </w:r>
    </w:p>
    <w:p w14:paraId="2ED98524" w14:textId="01A43672" w:rsidR="00384114" w:rsidRPr="00384114" w:rsidRDefault="00384114" w:rsidP="00384114">
      <w:pPr>
        <w:pStyle w:val="ListBullet"/>
        <w:numPr>
          <w:ilvl w:val="0"/>
          <w:numId w:val="0"/>
        </w:numPr>
        <w:ind w:left="360"/>
        <w:rPr>
          <w:b/>
          <w:bCs/>
        </w:rPr>
      </w:pPr>
      <w:r w:rsidRPr="008E46B6">
        <w:rPr>
          <w:lang w:eastAsia="en-AU"/>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61CB5271" w14:textId="2A26D581" w:rsidR="00665CC6" w:rsidRPr="00665CC6" w:rsidRDefault="00665CC6" w:rsidP="00D83443">
      <w:pPr>
        <w:pStyle w:val="ListBullet"/>
      </w:pPr>
      <w:r>
        <w:t>The PI must be included with the product as a package insert.</w:t>
      </w:r>
    </w:p>
    <w:p w14:paraId="149C7B16" w14:textId="34717F2C" w:rsidR="00665CC6" w:rsidRDefault="00665CC6" w:rsidP="00D83443">
      <w:pPr>
        <w:pStyle w:val="ListBullet"/>
      </w:pPr>
      <w:r>
        <w:t>The treatment centres administering Luxturna should fulfil the following criteria:</w:t>
      </w:r>
    </w:p>
    <w:p w14:paraId="0D8F19D3" w14:textId="77777777" w:rsidR="00D83443" w:rsidRDefault="00665CC6" w:rsidP="00D83443">
      <w:pPr>
        <w:pStyle w:val="ListBullet2"/>
      </w:pPr>
      <w:r>
        <w:t>The presence of a specialist ophthalmologist with expertise in care and treatment of patients with IRD</w:t>
      </w:r>
    </w:p>
    <w:p w14:paraId="2005BA56" w14:textId="77777777" w:rsidR="00D83443" w:rsidRPr="00D83443" w:rsidRDefault="00665CC6" w:rsidP="00D83443">
      <w:pPr>
        <w:pStyle w:val="ListBullet2"/>
      </w:pPr>
      <w:r w:rsidRPr="00D83443">
        <w:rPr>
          <w:rFonts w:eastAsiaTheme="minorHAnsi" w:cs="Cambria"/>
        </w:rPr>
        <w:t xml:space="preserve">The presence of a retinal surgeon experienced in </w:t>
      </w:r>
      <w:proofErr w:type="spellStart"/>
      <w:r w:rsidRPr="00D83443">
        <w:rPr>
          <w:rFonts w:eastAsiaTheme="minorHAnsi" w:cs="Cambria"/>
        </w:rPr>
        <w:t>subretinal</w:t>
      </w:r>
      <w:proofErr w:type="spellEnd"/>
      <w:r w:rsidRPr="00D83443">
        <w:rPr>
          <w:rFonts w:eastAsiaTheme="minorHAnsi" w:cs="Cambria"/>
        </w:rPr>
        <w:t xml:space="preserve"> surgery and capable of administering voretigene neparvovec</w:t>
      </w:r>
    </w:p>
    <w:p w14:paraId="633AB1F7" w14:textId="77777777" w:rsidR="00D83443" w:rsidRPr="00D83443" w:rsidRDefault="00665CC6" w:rsidP="00D83443">
      <w:pPr>
        <w:pStyle w:val="ListBullet2"/>
      </w:pPr>
      <w:r w:rsidRPr="00D83443">
        <w:rPr>
          <w:rFonts w:eastAsiaTheme="minorHAnsi" w:cs="Cambria"/>
        </w:rPr>
        <w:t>The presence of a clinical pharmacy capable of handling and preparing AAV vector based gene therapies</w:t>
      </w:r>
    </w:p>
    <w:p w14:paraId="7E5C9344" w14:textId="4A1A956A" w:rsidR="00D83443" w:rsidRPr="00D83443" w:rsidRDefault="00476A67" w:rsidP="00D83443">
      <w:pPr>
        <w:pStyle w:val="ListBullet2"/>
      </w:pPr>
      <w:r>
        <w:rPr>
          <w:rFonts w:eastAsiaTheme="minorHAnsi" w:cs="Cambria"/>
        </w:rPr>
        <w:t>I</w:t>
      </w:r>
      <w:r w:rsidR="00665CC6" w:rsidRPr="00D83443">
        <w:rPr>
          <w:rFonts w:eastAsiaTheme="minorHAnsi" w:cs="Cambria"/>
        </w:rPr>
        <w:t>nclude a clinical geneticist in the multidisciplinary team involved in the care of patients with inherited retinal dystrophy. This condition does not stipulate that the geneticist would need to see all patients at each visit. However, it would be expected that there would be a clinical geneticist involved in the service to assist in the interpretation of tests as required, and oversee appropriate counselling.</w:t>
      </w:r>
    </w:p>
    <w:p w14:paraId="4C0464EE" w14:textId="42C25D56" w:rsidR="00665CC6" w:rsidRPr="00384114" w:rsidRDefault="00665CC6" w:rsidP="00384114">
      <w:pPr>
        <w:pStyle w:val="ListBullet2"/>
      </w:pPr>
      <w:r w:rsidRPr="00D83443">
        <w:rPr>
          <w:rFonts w:eastAsiaTheme="minorHAnsi" w:cs="Cambria"/>
        </w:rPr>
        <w:t xml:space="preserve">Keep a registry of patients treated with </w:t>
      </w:r>
      <w:r w:rsidR="00483900">
        <w:rPr>
          <w:rFonts w:eastAsiaTheme="minorHAnsi" w:cs="Cambria"/>
        </w:rPr>
        <w:t xml:space="preserve">Luxturna </w:t>
      </w:r>
      <w:r w:rsidRPr="00D83443">
        <w:rPr>
          <w:rFonts w:eastAsiaTheme="minorHAnsi" w:cs="Cambria"/>
        </w:rPr>
        <w:t>(or be involved in the sponsor’s registry) which tracks long term efficacy and safety and can identify patients who may need alerting for future safety issues. This registry shoul</w:t>
      </w:r>
      <w:r w:rsidR="006665D6" w:rsidRPr="00D83443">
        <w:rPr>
          <w:rFonts w:eastAsiaTheme="minorHAnsi" w:cs="Cambria"/>
        </w:rPr>
        <w:t>d include data about vision at B</w:t>
      </w:r>
      <w:r w:rsidRPr="00D83443">
        <w:rPr>
          <w:rFonts w:eastAsiaTheme="minorHAnsi" w:cs="Cambria"/>
        </w:rPr>
        <w:t>aseline, how viable retinal cells were determined, and genotype.</w:t>
      </w:r>
    </w:p>
    <w:p w14:paraId="427454FC" w14:textId="30C1A58B" w:rsidR="00665CC6" w:rsidRDefault="00230D3D" w:rsidP="00D83443">
      <w:pPr>
        <w:pStyle w:val="ListBullet"/>
      </w:pPr>
      <w:r>
        <w:t>Batch release testing and</w:t>
      </w:r>
      <w:r w:rsidR="00665CC6">
        <w:t xml:space="preserve"> compliance with Certified Product Details (CPD):</w:t>
      </w:r>
    </w:p>
    <w:p w14:paraId="0122186B" w14:textId="6009487E" w:rsidR="00456765" w:rsidRDefault="00665CC6" w:rsidP="00C51499">
      <w:pPr>
        <w:pStyle w:val="ListBullet2"/>
      </w:pPr>
      <w:r>
        <w:t xml:space="preserve">All batches of </w:t>
      </w:r>
      <w:r w:rsidRPr="00665CC6">
        <w:rPr>
          <w:rFonts w:ascii="Cambria-Bold" w:hAnsi="Cambria-Bold" w:cs="Cambria-Bold"/>
          <w:bCs/>
        </w:rPr>
        <w:t>Luxturna</w:t>
      </w:r>
      <w:r>
        <w:rPr>
          <w:rFonts w:ascii="Cambria-Bold" w:hAnsi="Cambria-Bold" w:cs="Cambria-Bold"/>
          <w:b/>
          <w:bCs/>
        </w:rPr>
        <w:t xml:space="preserve"> </w:t>
      </w:r>
      <w:r>
        <w:t>imported into/manufactured in Australia must comply with the product details and specifications approved during evaluation and detailed in the Certified Product Details (CPD).</w:t>
      </w:r>
    </w:p>
    <w:p w14:paraId="10D1DA2E" w14:textId="7B0FD766" w:rsidR="00C51499" w:rsidRPr="008E46B6" w:rsidRDefault="00C51499" w:rsidP="00C51499">
      <w:pPr>
        <w:pStyle w:val="ListBullet2"/>
      </w:pPr>
      <w:r w:rsidRPr="008E46B6">
        <w:t>The sponsor has been granted an exemption by the TGA Laboratories to conduct testing of commercial batches of Luxturna.</w:t>
      </w:r>
    </w:p>
    <w:p w14:paraId="5F2EFD63" w14:textId="2B076339" w:rsidR="00C51499" w:rsidRPr="00C51499" w:rsidRDefault="00C51499" w:rsidP="00C51499">
      <w:pPr>
        <w:pStyle w:val="ListBullet2"/>
        <w:numPr>
          <w:ilvl w:val="0"/>
          <w:numId w:val="0"/>
        </w:numPr>
        <w:ind w:left="425"/>
      </w:pPr>
      <w:r w:rsidRPr="008E46B6">
        <w:rPr>
          <w:lang w:eastAsia="en-AU"/>
        </w:rPr>
        <w:t xml:space="preserve">This batch release condition will be reviewed and may be modified on the basis of actual batch quality and consistency. </w:t>
      </w:r>
      <w:r w:rsidRPr="00057B27">
        <w:t>This condition remains in place until written notific</w:t>
      </w:r>
      <w:r>
        <w:t>ation of any variation is given.</w:t>
      </w:r>
    </w:p>
    <w:p w14:paraId="2AC8A23B" w14:textId="37F739F7" w:rsidR="008E7846" w:rsidRDefault="00A80B5B" w:rsidP="00D23139">
      <w:pPr>
        <w:pStyle w:val="Heading2"/>
      </w:pPr>
      <w:bookmarkStart w:id="57" w:name="_Toc59006626"/>
      <w:r>
        <w:lastRenderedPageBreak/>
        <w:t xml:space="preserve">Attachment 1. </w:t>
      </w:r>
      <w:r w:rsidR="008E7846">
        <w:t xml:space="preserve">Product </w:t>
      </w:r>
      <w:r w:rsidR="00AA0ED0">
        <w:t>I</w:t>
      </w:r>
      <w:r w:rsidR="008E7846">
        <w:t>nformation</w:t>
      </w:r>
      <w:bookmarkEnd w:id="55"/>
      <w:bookmarkEnd w:id="56"/>
      <w:bookmarkEnd w:id="57"/>
    </w:p>
    <w:p w14:paraId="3F0C71DA" w14:textId="4246DE5F" w:rsidR="008E7846" w:rsidRPr="00C80137" w:rsidRDefault="006136D7" w:rsidP="005511D6">
      <w:pPr>
        <w:rPr>
          <w:b/>
        </w:rPr>
      </w:pPr>
      <w:r w:rsidRPr="002B3624">
        <w:t xml:space="preserve">The </w:t>
      </w:r>
      <w:r>
        <w:t>PI</w:t>
      </w:r>
      <w:r w:rsidRPr="002B3624">
        <w:t xml:space="preserve"> for </w:t>
      </w:r>
      <w:r w:rsidR="00EF4F7C">
        <w:t>Luxturna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EF4F7C">
        <w:t>&gt;.</w:t>
      </w:r>
    </w:p>
    <w:p w14:paraId="5716FA54" w14:textId="556A93F6" w:rsidR="00291957" w:rsidRDefault="00291957" w:rsidP="00291957">
      <w:pPr>
        <w:rPr>
          <w:lang w:eastAsia="ja-JP"/>
        </w:rPr>
      </w:pPr>
    </w:p>
    <w:p w14:paraId="278E4701"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9767A8B" w14:textId="77777777" w:rsidTr="00A05FA4">
        <w:trPr>
          <w:trHeight w:hRule="exact" w:val="704"/>
        </w:trPr>
        <w:tc>
          <w:tcPr>
            <w:tcW w:w="9175" w:type="dxa"/>
          </w:tcPr>
          <w:p w14:paraId="1846A6B7" w14:textId="77777777" w:rsidR="001C32CD" w:rsidRPr="00487162" w:rsidRDefault="001C32CD" w:rsidP="00A05FA4">
            <w:pPr>
              <w:pStyle w:val="TGASignoff"/>
            </w:pPr>
            <w:r w:rsidRPr="00487162">
              <w:lastRenderedPageBreak/>
              <w:t>Therapeutic Goods Administration</w:t>
            </w:r>
          </w:p>
        </w:tc>
      </w:tr>
      <w:tr w:rsidR="001C32CD" w:rsidRPr="004C239D" w14:paraId="6AEF082C" w14:textId="77777777" w:rsidTr="00A05FA4">
        <w:trPr>
          <w:trHeight w:val="1221"/>
        </w:trPr>
        <w:tc>
          <w:tcPr>
            <w:tcW w:w="9175" w:type="dxa"/>
            <w:tcMar>
              <w:top w:w="28" w:type="dxa"/>
            </w:tcMar>
          </w:tcPr>
          <w:p w14:paraId="01480BF4" w14:textId="77777777" w:rsidR="001C32CD" w:rsidRPr="00487162" w:rsidRDefault="001C32CD" w:rsidP="00A05FA4">
            <w:pPr>
              <w:pStyle w:val="Address"/>
            </w:pPr>
            <w:r w:rsidRPr="00487162">
              <w:t>PO Box 100 Woden ACT 2606 Australia</w:t>
            </w:r>
          </w:p>
          <w:p w14:paraId="43FF40DE" w14:textId="77777777" w:rsidR="001C32CD" w:rsidRPr="00487162" w:rsidRDefault="001C32CD" w:rsidP="00A05FA4">
            <w:pPr>
              <w:pStyle w:val="Address"/>
            </w:pPr>
            <w:r w:rsidRPr="00487162">
              <w:t xml:space="preserve">Email: </w:t>
            </w:r>
            <w:hyperlink r:id="rId32" w:history="1">
              <w:r w:rsidRPr="004C239D">
                <w:rPr>
                  <w:rStyle w:val="Hyperlink"/>
                </w:rPr>
                <w:t>info@tga.gov.au</w:t>
              </w:r>
            </w:hyperlink>
            <w:r w:rsidRPr="00487162">
              <w:t xml:space="preserve">  Phone: 1800 020 653  Fax: 02 6232 8605</w:t>
            </w:r>
          </w:p>
          <w:p w14:paraId="32686B74" w14:textId="77777777" w:rsidR="001C32CD" w:rsidRPr="004C239D" w:rsidRDefault="00D17695"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6F196150"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C20BA5" w16cex:dateUtc="2020-11-17T08:24:48.702Z"/>
  <w16cex:commentExtensible w16cex:durableId="141FC9D1" w16cex:dateUtc="2020-11-17T17:49:19.45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3D299" w16cid:durableId="1E75E536"/>
  <w16cid:commentId w16cid:paraId="132CE627" w16cid:durableId="399CB9D9"/>
  <w16cid:commentId w16cid:paraId="156EF623" w16cid:durableId="4C8078F4"/>
  <w16cid:commentId w16cid:paraId="2C14AA55" w16cid:durableId="46424011"/>
  <w16cid:commentId w16cid:paraId="3340DFCB" w16cid:durableId="0E9685B8"/>
  <w16cid:commentId w16cid:paraId="6D921E1A" w16cid:durableId="1A3DD7E3"/>
  <w16cid:commentId w16cid:paraId="6B28859E" w16cid:durableId="0BAF437D"/>
  <w16cid:commentId w16cid:paraId="693229DC" w16cid:durableId="6553A563"/>
  <w16cid:commentId w16cid:paraId="40283B5D" w16cid:durableId="1E1D9E1F"/>
  <w16cid:commentId w16cid:paraId="795BB7A4" w16cid:durableId="019A4A88"/>
  <w16cid:commentId w16cid:paraId="034D82C5" w16cid:durableId="59116EC9"/>
  <w16cid:commentId w16cid:paraId="54C4255B" w16cid:durableId="06CFC1F2"/>
  <w16cid:commentId w16cid:paraId="1F33D8EA" w16cid:durableId="14C20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3A81" w14:textId="77777777" w:rsidR="00D17695" w:rsidRDefault="00D17695" w:rsidP="00C40A36">
      <w:pPr>
        <w:spacing w:after="0"/>
      </w:pPr>
      <w:r>
        <w:separator/>
      </w:r>
    </w:p>
  </w:endnote>
  <w:endnote w:type="continuationSeparator" w:id="0">
    <w:p w14:paraId="29B21569" w14:textId="77777777" w:rsidR="00D17695" w:rsidRDefault="00D17695" w:rsidP="00C40A36">
      <w:pPr>
        <w:spacing w:after="0"/>
      </w:pPr>
      <w:r>
        <w:continuationSeparator/>
      </w:r>
    </w:p>
  </w:endnote>
  <w:endnote w:type="continuationNotice" w:id="1">
    <w:p w14:paraId="11A4CEA4" w14:textId="77777777" w:rsidR="00D17695" w:rsidRDefault="00D176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E789" w14:textId="77777777" w:rsidR="00D17695" w:rsidRDefault="00D17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1134"/>
    </w:tblGrid>
    <w:tr w:rsidR="00D17695" w:rsidRPr="00487162" w14:paraId="5A5BD36F" w14:textId="77777777" w:rsidTr="00D5705B">
      <w:trPr>
        <w:trHeight w:val="269"/>
      </w:trPr>
      <w:tc>
        <w:tcPr>
          <w:tcW w:w="7938" w:type="dxa"/>
          <w:tcMar>
            <w:top w:w="142" w:type="dxa"/>
            <w:bottom w:w="0" w:type="dxa"/>
          </w:tcMar>
        </w:tcPr>
        <w:p w14:paraId="52D6DA1F" w14:textId="003F3464" w:rsidR="00D17695" w:rsidRPr="0076747A" w:rsidRDefault="00D17695" w:rsidP="00EF6BE5">
          <w:pPr>
            <w:pStyle w:val="Footer"/>
            <w:rPr>
              <w:lang w:val="de-DE"/>
            </w:rPr>
          </w:pPr>
          <w:r w:rsidRPr="0076747A">
            <w:rPr>
              <w:lang w:val="de-DE"/>
            </w:rPr>
            <w:t>AusPAR –Luxturna–voretigene neparvovec- Novartis Pharmaceuticals Australia Pty Ltd PM-2019-02585-1-5</w:t>
          </w:r>
          <w:r w:rsidRPr="0076747A">
            <w:rPr>
              <w:lang w:val="de-DE"/>
            </w:rPr>
            <w:br/>
          </w:r>
          <w:r>
            <w:rPr>
              <w:lang w:val="de-DE"/>
            </w:rPr>
            <w:t>FINAL 15 December 2020</w:t>
          </w:r>
        </w:p>
      </w:tc>
      <w:tc>
        <w:tcPr>
          <w:tcW w:w="1134" w:type="dxa"/>
          <w:tcMar>
            <w:top w:w="142" w:type="dxa"/>
            <w:bottom w:w="0" w:type="dxa"/>
          </w:tcMar>
        </w:tcPr>
        <w:p w14:paraId="177ABAC5" w14:textId="3BB27F54" w:rsidR="00D17695" w:rsidRPr="00487162" w:rsidRDefault="00D17695" w:rsidP="00DB750B">
          <w:pPr>
            <w:pStyle w:val="Footer"/>
            <w:jc w:val="right"/>
          </w:pPr>
          <w:r w:rsidRPr="00487162">
            <w:t xml:space="preserve">Page </w:t>
          </w:r>
          <w:r>
            <w:fldChar w:fldCharType="begin"/>
          </w:r>
          <w:r>
            <w:instrText xml:space="preserve"> PAGE  \* Arabic </w:instrText>
          </w:r>
          <w:r>
            <w:fldChar w:fldCharType="separate"/>
          </w:r>
          <w:r w:rsidR="0090187F">
            <w:rPr>
              <w:noProof/>
            </w:rPr>
            <w:t>21</w:t>
          </w:r>
          <w:r>
            <w:fldChar w:fldCharType="end"/>
          </w:r>
          <w:r w:rsidRPr="00487162">
            <w:t xml:space="preserve"> of </w:t>
          </w:r>
          <w:r>
            <w:fldChar w:fldCharType="begin"/>
          </w:r>
          <w:r>
            <w:instrText>NUMPAGES  \* Arabic</w:instrText>
          </w:r>
          <w:r>
            <w:fldChar w:fldCharType="separate"/>
          </w:r>
          <w:r w:rsidR="0090187F">
            <w:rPr>
              <w:noProof/>
            </w:rPr>
            <w:t>34</w:t>
          </w:r>
          <w:r>
            <w:fldChar w:fldCharType="end"/>
          </w:r>
        </w:p>
      </w:tc>
    </w:tr>
  </w:tbl>
  <w:p w14:paraId="0FCB2830" w14:textId="77777777" w:rsidR="00D17695" w:rsidRDefault="00D17695"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BDD8" w14:textId="77777777" w:rsidR="00D17695" w:rsidRDefault="00D176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17695" w:rsidRPr="00487162" w14:paraId="24FF310D" w14:textId="77777777" w:rsidTr="00E45619">
      <w:trPr>
        <w:trHeight w:val="269"/>
      </w:trPr>
      <w:tc>
        <w:tcPr>
          <w:tcW w:w="4519" w:type="dxa"/>
          <w:tcBorders>
            <w:top w:val="single" w:sz="4" w:space="0" w:color="auto"/>
          </w:tcBorders>
          <w:tcMar>
            <w:top w:w="142" w:type="dxa"/>
            <w:bottom w:w="0" w:type="dxa"/>
          </w:tcMar>
        </w:tcPr>
        <w:p w14:paraId="26744E8D" w14:textId="77777777" w:rsidR="00D17695" w:rsidRPr="00487162" w:rsidRDefault="00D17695" w:rsidP="00FE1DEE">
          <w:pPr>
            <w:pStyle w:val="Footer"/>
          </w:pPr>
          <w:r w:rsidRPr="00487162">
            <w:t>Document title, Part #, Section # - Section title</w:t>
          </w:r>
        </w:p>
        <w:p w14:paraId="56F63C15" w14:textId="77777777" w:rsidR="00D17695" w:rsidRPr="00487162" w:rsidRDefault="00D17695" w:rsidP="00FE1DEE">
          <w:pPr>
            <w:pStyle w:val="Footer"/>
          </w:pPr>
          <w:r w:rsidRPr="00487162">
            <w:t>V1.0 October 2010</w:t>
          </w:r>
        </w:p>
      </w:tc>
      <w:tc>
        <w:tcPr>
          <w:tcW w:w="4342" w:type="dxa"/>
          <w:tcBorders>
            <w:top w:val="single" w:sz="4" w:space="0" w:color="auto"/>
          </w:tcBorders>
          <w:tcMar>
            <w:top w:w="142" w:type="dxa"/>
            <w:bottom w:w="0" w:type="dxa"/>
          </w:tcMar>
        </w:tcPr>
        <w:p w14:paraId="3F6BC8B2" w14:textId="77777777" w:rsidR="00D17695" w:rsidRPr="00487162" w:rsidRDefault="00D1769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w:t>
          </w:r>
          <w:r>
            <w:fldChar w:fldCharType="end"/>
          </w:r>
        </w:p>
      </w:tc>
    </w:tr>
  </w:tbl>
  <w:p w14:paraId="6D099823" w14:textId="77777777" w:rsidR="00D17695" w:rsidRDefault="00D176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BBF" w14:textId="77777777" w:rsidR="00D17695" w:rsidRPr="001C32CD" w:rsidRDefault="00D17695"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17695" w14:paraId="4ACF8404" w14:textId="77777777" w:rsidTr="0010601F">
      <w:trPr>
        <w:trHeight w:val="108"/>
      </w:trPr>
      <w:tc>
        <w:tcPr>
          <w:tcW w:w="8875" w:type="dxa"/>
          <w:gridSpan w:val="2"/>
          <w:tcBorders>
            <w:bottom w:val="single" w:sz="4" w:space="0" w:color="auto"/>
          </w:tcBorders>
          <w:tcMar>
            <w:right w:w="284" w:type="dxa"/>
          </w:tcMar>
        </w:tcPr>
        <w:p w14:paraId="4AD58FFB" w14:textId="77777777" w:rsidR="00D17695" w:rsidRDefault="00D17695" w:rsidP="006E08B3">
          <w:pPr>
            <w:pStyle w:val="Heading3"/>
          </w:pPr>
          <w:r>
            <w:t>Copyright</w:t>
          </w:r>
        </w:p>
        <w:p w14:paraId="7E01605B" w14:textId="77777777" w:rsidR="00D17695" w:rsidRDefault="00D17695" w:rsidP="006E08B3">
          <w:r>
            <w:rPr>
              <w:rFonts w:cs="Arial"/>
            </w:rPr>
            <w:t>©</w:t>
          </w:r>
          <w:r>
            <w:t xml:space="preserve"> Commonwealth of Australia [add year]</w:t>
          </w:r>
        </w:p>
        <w:p w14:paraId="15DA818A" w14:textId="77777777" w:rsidR="00D17695" w:rsidRDefault="00D17695" w:rsidP="006E08B3"/>
        <w:p w14:paraId="7AA855FC" w14:textId="77777777" w:rsidR="00D17695" w:rsidRDefault="00D1769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6F78FFF" w14:textId="77777777" w:rsidR="00D17695" w:rsidRDefault="00D17695" w:rsidP="006E08B3"/>
        <w:p w14:paraId="025BEF66" w14:textId="77777777" w:rsidR="00D17695" w:rsidRDefault="00D17695" w:rsidP="006E08B3">
          <w:pPr>
            <w:pStyle w:val="Heading3"/>
          </w:pPr>
          <w:r>
            <w:t>Confidentiality</w:t>
          </w:r>
        </w:p>
        <w:p w14:paraId="1BFBD3A7" w14:textId="77777777" w:rsidR="00D17695" w:rsidRDefault="00D1769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6F37EF8" w14:textId="77777777" w:rsidR="00D17695" w:rsidRDefault="00D17695" w:rsidP="006E08B3"/>
        <w:p w14:paraId="665ABDA4" w14:textId="77777777" w:rsidR="00D17695" w:rsidRDefault="00D17695" w:rsidP="006E08B3">
          <w:r>
            <w:t>For submission made by individuals, all personal details, other than your name, will be removed from your submission before it is published on the TGA’s Internet site.</w:t>
          </w:r>
        </w:p>
        <w:p w14:paraId="422A3CB5" w14:textId="77777777" w:rsidR="00D17695" w:rsidRDefault="00D17695" w:rsidP="006E08B3"/>
        <w:p w14:paraId="6967B675" w14:textId="77777777" w:rsidR="00D17695" w:rsidRDefault="00D1769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17695" w14:paraId="6C28B79F" w14:textId="77777777" w:rsidTr="0010601F">
      <w:trPr>
        <w:trHeight w:val="417"/>
      </w:trPr>
      <w:tc>
        <w:tcPr>
          <w:tcW w:w="4519" w:type="dxa"/>
          <w:tcBorders>
            <w:top w:val="single" w:sz="4" w:space="0" w:color="auto"/>
          </w:tcBorders>
          <w:tcMar>
            <w:top w:w="142" w:type="dxa"/>
            <w:bottom w:w="0" w:type="dxa"/>
          </w:tcMar>
        </w:tcPr>
        <w:p w14:paraId="16085B4E" w14:textId="77777777" w:rsidR="00D17695" w:rsidRDefault="00D17695" w:rsidP="006E08B3">
          <w:r>
            <w:t>Document title, Part #, Section # - Section title</w:t>
          </w:r>
        </w:p>
        <w:p w14:paraId="59A38E9C" w14:textId="77777777" w:rsidR="00D17695" w:rsidRDefault="00D17695" w:rsidP="006E08B3">
          <w:r>
            <w:t>V1.0 October 2010</w:t>
          </w:r>
        </w:p>
      </w:tc>
      <w:tc>
        <w:tcPr>
          <w:tcW w:w="4356" w:type="dxa"/>
          <w:tcBorders>
            <w:top w:val="single" w:sz="4" w:space="0" w:color="auto"/>
          </w:tcBorders>
          <w:tcMar>
            <w:top w:w="142" w:type="dxa"/>
            <w:bottom w:w="0" w:type="dxa"/>
          </w:tcMar>
        </w:tcPr>
        <w:p w14:paraId="72A2D740" w14:textId="77777777" w:rsidR="00D17695" w:rsidRDefault="00D1769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w:t>
          </w:r>
          <w:r>
            <w:fldChar w:fldCharType="end"/>
          </w:r>
          <w:r>
            <w:t xml:space="preserve">  </w:t>
          </w:r>
        </w:p>
      </w:tc>
    </w:tr>
  </w:tbl>
  <w:p w14:paraId="711934E3" w14:textId="77777777" w:rsidR="00D17695" w:rsidRDefault="00D176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E01B" w14:textId="77777777" w:rsidR="00D17695" w:rsidRDefault="00D17695" w:rsidP="00C40A36">
      <w:pPr>
        <w:spacing w:after="0"/>
      </w:pPr>
      <w:r>
        <w:separator/>
      </w:r>
    </w:p>
  </w:footnote>
  <w:footnote w:type="continuationSeparator" w:id="0">
    <w:p w14:paraId="596F7E94" w14:textId="77777777" w:rsidR="00D17695" w:rsidRDefault="00D17695" w:rsidP="00C40A36">
      <w:pPr>
        <w:spacing w:after="0"/>
      </w:pPr>
      <w:r>
        <w:continuationSeparator/>
      </w:r>
    </w:p>
  </w:footnote>
  <w:footnote w:type="continuationNotice" w:id="1">
    <w:p w14:paraId="3665EEBD" w14:textId="77777777" w:rsidR="00D17695" w:rsidRDefault="00D17695">
      <w:pPr>
        <w:spacing w:before="0" w:after="0" w:line="240" w:lineRule="auto"/>
      </w:pPr>
    </w:p>
  </w:footnote>
  <w:footnote w:id="2">
    <w:p w14:paraId="183B7DA4" w14:textId="77777777" w:rsidR="00D17695" w:rsidRDefault="00D17695">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7FF21EA3" w14:textId="3F0F0562" w:rsidR="00D17695" w:rsidRDefault="00D17695">
      <w:pPr>
        <w:pStyle w:val="FootnoteText"/>
      </w:pPr>
      <w:r>
        <w:rPr>
          <w:rStyle w:val="FootnoteReference"/>
        </w:rPr>
        <w:footnoteRef/>
      </w:r>
      <w:r>
        <w:t xml:space="preserve"> The initial market authorisation holder for Luxturna was Spark Therapeutics Ireland Ltd. Novartis </w:t>
      </w:r>
      <w:proofErr w:type="spellStart"/>
      <w:r>
        <w:t>Europharm</w:t>
      </w:r>
      <w:proofErr w:type="spellEnd"/>
      <w:r>
        <w:t xml:space="preserve"> Ltd is the current EU market authorisation holder.</w:t>
      </w:r>
    </w:p>
  </w:footnote>
  <w:footnote w:id="4">
    <w:p w14:paraId="068E5DB0" w14:textId="41416798" w:rsidR="00D17695" w:rsidRDefault="00D17695">
      <w:pPr>
        <w:pStyle w:val="FootnoteText"/>
      </w:pPr>
      <w:r>
        <w:rPr>
          <w:rStyle w:val="FootnoteReference"/>
        </w:rPr>
        <w:footnoteRef/>
      </w:r>
      <w:r>
        <w:t xml:space="preserve"> Spark Therapeutics Inc is the market authorisation holder (Biologics License Application (BLA) holder) in the USA.</w:t>
      </w:r>
    </w:p>
  </w:footnote>
  <w:footnote w:id="5">
    <w:p w14:paraId="71AC742D" w14:textId="7B16287E" w:rsidR="00D17695" w:rsidRDefault="00D17695">
      <w:pPr>
        <w:pStyle w:val="FootnoteText"/>
      </w:pPr>
      <w:r>
        <w:rPr>
          <w:rStyle w:val="FootnoteReference"/>
        </w:rPr>
        <w:footnoteRef/>
      </w:r>
      <w:r>
        <w:t xml:space="preserve"> The application was subsequently approved in Canada (Notice of Compliance issued by Health Canada on 13 October 2020).</w:t>
      </w:r>
    </w:p>
  </w:footnote>
  <w:footnote w:id="6">
    <w:p w14:paraId="266B3B34" w14:textId="53FDABF8" w:rsidR="00D17695" w:rsidRDefault="00D17695">
      <w:pPr>
        <w:pStyle w:val="FootnoteText"/>
      </w:pPr>
      <w:r>
        <w:rPr>
          <w:rStyle w:val="FootnoteReference"/>
        </w:rPr>
        <w:footnoteRef/>
      </w:r>
      <w:r>
        <w:t xml:space="preserve"> Orphan drugs</w:t>
      </w:r>
      <w:r w:rsidRPr="0008765F">
        <w:t xml:space="preserve">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7">
    <w:p w14:paraId="3C38D6EF" w14:textId="7A040E7A" w:rsidR="00D17695" w:rsidRPr="00BD3672" w:rsidRDefault="00D17695">
      <w:pPr>
        <w:pStyle w:val="FootnoteText"/>
        <w:rPr>
          <w:lang w:val="en-US"/>
        </w:rPr>
      </w:pPr>
      <w:r>
        <w:rPr>
          <w:rStyle w:val="FootnoteReference"/>
        </w:rPr>
        <w:footnoteRef/>
      </w:r>
      <w:r>
        <w:t xml:space="preserve"> </w:t>
      </w:r>
      <w:r w:rsidRPr="00BD3672">
        <w:rPr>
          <w:b/>
        </w:rPr>
        <w:t xml:space="preserve">AAV2-hRPE65v2 </w:t>
      </w:r>
      <w:r>
        <w:t xml:space="preserve">= </w:t>
      </w:r>
      <w:r w:rsidRPr="00BD3672">
        <w:t xml:space="preserve">Adenovirus-associated viral vector serotype 2 containing the human </w:t>
      </w:r>
      <w:r w:rsidRPr="00BD3672">
        <w:rPr>
          <w:i/>
        </w:rPr>
        <w:t>RPE65</w:t>
      </w:r>
      <w:r w:rsidRPr="00BD3672">
        <w:t xml:space="preserve"> gene</w:t>
      </w:r>
      <w:r>
        <w:t>.</w:t>
      </w:r>
    </w:p>
  </w:footnote>
  <w:footnote w:id="8">
    <w:p w14:paraId="4A439C2B" w14:textId="77777777" w:rsidR="00D17695" w:rsidRDefault="00D17695" w:rsidP="005B6238">
      <w:pPr>
        <w:pStyle w:val="FootnoteText"/>
      </w:pPr>
      <w:r>
        <w:rPr>
          <w:rStyle w:val="FootnoteReference"/>
        </w:rPr>
        <w:footnoteRef/>
      </w:r>
      <w:r>
        <w:t xml:space="preserve"> </w:t>
      </w:r>
      <w:proofErr w:type="spellStart"/>
      <w:r w:rsidRPr="009F4BFF">
        <w:t>Bozan</w:t>
      </w:r>
      <w:r>
        <w:t>ić</w:t>
      </w:r>
      <w:proofErr w:type="spellEnd"/>
      <w:r>
        <w:t xml:space="preserve"> D. and </w:t>
      </w:r>
      <w:proofErr w:type="spellStart"/>
      <w:r>
        <w:t>Saraga-Babić</w:t>
      </w:r>
      <w:proofErr w:type="spellEnd"/>
      <w:r>
        <w:t xml:space="preserve"> M.</w:t>
      </w:r>
      <w:r w:rsidRPr="009F4BFF">
        <w:t xml:space="preserve"> Cell proliferation during the early stages of human eye development. </w:t>
      </w:r>
      <w:r w:rsidRPr="00011EA1">
        <w:rPr>
          <w:i/>
        </w:rPr>
        <w:t xml:space="preserve">Anat. </w:t>
      </w:r>
      <w:proofErr w:type="spellStart"/>
      <w:r w:rsidRPr="00011EA1">
        <w:rPr>
          <w:i/>
        </w:rPr>
        <w:t>Embryol</w:t>
      </w:r>
      <w:proofErr w:type="spellEnd"/>
      <w:r w:rsidRPr="00011EA1">
        <w:rPr>
          <w:i/>
        </w:rPr>
        <w:t>.</w:t>
      </w:r>
      <w:r w:rsidRPr="009F4BFF">
        <w:t xml:space="preserve"> </w:t>
      </w:r>
      <w:r>
        <w:t xml:space="preserve">2004; </w:t>
      </w:r>
      <w:r w:rsidRPr="009F4BFF">
        <w:t>208: 381–388.</w:t>
      </w:r>
    </w:p>
  </w:footnote>
  <w:footnote w:id="9">
    <w:p w14:paraId="35C4897A" w14:textId="75556AA9" w:rsidR="00D17695" w:rsidRPr="000E3E17" w:rsidRDefault="00D17695" w:rsidP="000E3E17">
      <w:pPr>
        <w:pStyle w:val="FootnoteText"/>
      </w:pPr>
      <w:r>
        <w:rPr>
          <w:rStyle w:val="FootnoteReference"/>
        </w:rPr>
        <w:footnoteRef/>
      </w:r>
      <w:r>
        <w:t xml:space="preserve"> The Australian categorisation system for prescribing medicines in pregnancy states that for Category B2: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are inadequate or may be lacking, but available data show no evidence of an increased occurrence of </w:t>
      </w:r>
      <w:proofErr w:type="spellStart"/>
      <w:r>
        <w:t>fetal</w:t>
      </w:r>
      <w:proofErr w:type="spellEnd"/>
      <w:r>
        <w:t xml:space="preserve"> damage.’</w:t>
      </w:r>
    </w:p>
  </w:footnote>
  <w:footnote w:id="10">
    <w:p w14:paraId="562BC59E" w14:textId="544FA10C" w:rsidR="00D17695" w:rsidRDefault="00D17695">
      <w:pPr>
        <w:pStyle w:val="FootnoteText"/>
      </w:pPr>
      <w:r>
        <w:rPr>
          <w:rStyle w:val="FootnoteReference"/>
        </w:rPr>
        <w:footnoteRef/>
      </w:r>
      <w:r>
        <w:t xml:space="preserve"> The patients’ </w:t>
      </w:r>
      <w:r>
        <w:rPr>
          <w:rFonts w:eastAsiaTheme="minorHAnsi" w:cs="Cambria"/>
          <w:szCs w:val="22"/>
        </w:rPr>
        <w:t xml:space="preserve">molecular diagnosis were </w:t>
      </w:r>
      <w:r w:rsidRPr="00B1483D">
        <w:rPr>
          <w:rFonts w:eastAsiaTheme="minorHAnsi" w:cs="Cambria"/>
          <w:szCs w:val="22"/>
        </w:rPr>
        <w:t>performed or confirm</w:t>
      </w:r>
      <w:r>
        <w:rPr>
          <w:rFonts w:eastAsiaTheme="minorHAnsi" w:cs="Cambria"/>
          <w:szCs w:val="22"/>
        </w:rPr>
        <w:t>ed by CLIA-certified laboratory.</w:t>
      </w:r>
    </w:p>
  </w:footnote>
  <w:footnote w:id="11">
    <w:p w14:paraId="4BD5791E" w14:textId="68E9C350" w:rsidR="00D17695" w:rsidRDefault="00D17695">
      <w:pPr>
        <w:pStyle w:val="FootnoteText"/>
      </w:pPr>
      <w:r>
        <w:rPr>
          <w:rStyle w:val="FootnoteReference"/>
        </w:rPr>
        <w:footnoteRef/>
      </w:r>
      <w:r>
        <w:t xml:space="preserve"> The </w:t>
      </w:r>
      <w:r w:rsidRPr="00FC1CE0">
        <w:rPr>
          <w:b/>
        </w:rPr>
        <w:t xml:space="preserve">Goldman Visual Field Kinetic </w:t>
      </w:r>
      <w:proofErr w:type="spellStart"/>
      <w:r w:rsidRPr="00FC1CE0">
        <w:rPr>
          <w:b/>
        </w:rPr>
        <w:t>Perimetry</w:t>
      </w:r>
      <w:proofErr w:type="spellEnd"/>
      <w:r w:rsidRPr="00FC1CE0">
        <w:rPr>
          <w:b/>
        </w:rPr>
        <w:t xml:space="preserve"> Test </w:t>
      </w:r>
      <w:r>
        <w:t xml:space="preserve">measures visual sensitivity in a given location. Each </w:t>
      </w:r>
      <w:proofErr w:type="spellStart"/>
      <w:r>
        <w:t>isopter</w:t>
      </w:r>
      <w:proofErr w:type="spellEnd"/>
      <w:r>
        <w:t xml:space="preserve"> indicates the size of the visual stimulus and its light attenuation.</w:t>
      </w:r>
    </w:p>
  </w:footnote>
  <w:footnote w:id="12">
    <w:p w14:paraId="315F0D82" w14:textId="67453824" w:rsidR="00D17695" w:rsidRDefault="00D17695">
      <w:pPr>
        <w:pStyle w:val="FootnoteText"/>
      </w:pPr>
      <w:r>
        <w:rPr>
          <w:rStyle w:val="FootnoteReference"/>
        </w:rPr>
        <w:footnoteRef/>
      </w:r>
      <w:r>
        <w:t xml:space="preserve"> </w:t>
      </w:r>
      <w:r>
        <w:rPr>
          <w:rFonts w:eastAsiaTheme="minorHAnsi" w:cs="Cambria"/>
          <w:szCs w:val="22"/>
        </w:rPr>
        <w:t xml:space="preserve">Bausch and Lomb </w:t>
      </w:r>
      <w:proofErr w:type="spellStart"/>
      <w:r>
        <w:rPr>
          <w:rFonts w:eastAsiaTheme="minorHAnsi" w:cs="Cambria"/>
          <w:szCs w:val="22"/>
        </w:rPr>
        <w:t>Storz</w:t>
      </w:r>
      <w:proofErr w:type="spellEnd"/>
      <w:r>
        <w:rPr>
          <w:rFonts w:eastAsiaTheme="minorHAnsi" w:cs="Cambria"/>
          <w:szCs w:val="22"/>
        </w:rPr>
        <w:t xml:space="preserve"> Retinal Cannula (REF E7365)</w:t>
      </w:r>
    </w:p>
  </w:footnote>
  <w:footnote w:id="13">
    <w:p w14:paraId="5DE13B2E" w14:textId="09BE4620" w:rsidR="00D17695" w:rsidRDefault="00D17695">
      <w:pPr>
        <w:pStyle w:val="FootnoteText"/>
      </w:pPr>
      <w:r>
        <w:rPr>
          <w:rStyle w:val="FootnoteReference"/>
        </w:rPr>
        <w:footnoteRef/>
      </w:r>
      <w:r>
        <w:t xml:space="preserve"> Sponsor clarification: </w:t>
      </w:r>
      <w:r w:rsidRPr="454C25EC">
        <w:rPr>
          <w:rFonts w:eastAsiaTheme="minorEastAsia" w:cs="Cambria"/>
        </w:rPr>
        <w:t xml:space="preserve">The testing of each subject was recorded (both video and audio) and assessed by independent masked graders. Each lux level is represented by a lux score. The change score metric is the change in lux score as compared to </w:t>
      </w:r>
      <w:r>
        <w:rPr>
          <w:rFonts w:eastAsiaTheme="minorEastAsia" w:cs="Cambria"/>
        </w:rPr>
        <w:t>B</w:t>
      </w:r>
      <w:r w:rsidRPr="454C25EC">
        <w:rPr>
          <w:rFonts w:eastAsiaTheme="minorEastAsia" w:cs="Cambria"/>
        </w:rPr>
        <w:t xml:space="preserve">aseline. A positive change score reflects passing the MLMT at a lower light level (or higher lux score) than at </w:t>
      </w:r>
      <w:r>
        <w:rPr>
          <w:rFonts w:eastAsiaTheme="minorEastAsia" w:cs="Cambria"/>
        </w:rPr>
        <w:t>B</w:t>
      </w:r>
      <w:r w:rsidRPr="454C25EC">
        <w:rPr>
          <w:rFonts w:eastAsiaTheme="minorEastAsia" w:cs="Cambria"/>
        </w:rPr>
        <w:t>aseline. A lux score of 6 (passing the course at the 1 lux level) reflects the maximum possible MLMT execution for a given visit.</w:t>
      </w:r>
    </w:p>
  </w:footnote>
  <w:footnote w:id="14">
    <w:p w14:paraId="2EEB9D83" w14:textId="185AED9A" w:rsidR="00D17695" w:rsidRDefault="00D17695" w:rsidP="00CE0FE2">
      <w:pPr>
        <w:pStyle w:val="FootnoteText"/>
      </w:pPr>
      <w:r>
        <w:rPr>
          <w:rStyle w:val="FootnoteReference"/>
        </w:rPr>
        <w:footnoteRef/>
      </w:r>
      <w:r>
        <w:t xml:space="preserve"> A </w:t>
      </w:r>
      <w:proofErr w:type="spellStart"/>
      <w:r w:rsidRPr="000C3FA0">
        <w:rPr>
          <w:b/>
        </w:rPr>
        <w:t>LogMAR</w:t>
      </w:r>
      <w:proofErr w:type="spellEnd"/>
      <w:r>
        <w:t xml:space="preserve"> is a notation of vision loss and refers to the scoring of visual acuity with reference to </w:t>
      </w:r>
      <w:r w:rsidRPr="000C3FA0">
        <w:rPr>
          <w:b/>
        </w:rPr>
        <w:t>logarithms of the minimum angle of resolution</w:t>
      </w:r>
      <w:r>
        <w:t xml:space="preserve"> using a </w:t>
      </w:r>
      <w:proofErr w:type="spellStart"/>
      <w:r>
        <w:t>LogMAR</w:t>
      </w:r>
      <w:proofErr w:type="spellEnd"/>
      <w:r>
        <w:t xml:space="preserve"> chart, also known as an ETDRS (Early Treatment Diabetic Retinopathy Study) chart. A </w:t>
      </w:r>
      <w:proofErr w:type="spellStart"/>
      <w:r>
        <w:t>LogMAR</w:t>
      </w:r>
      <w:proofErr w:type="spellEnd"/>
      <w:r>
        <w:t xml:space="preserve"> chart consists of rows of letters and is used by ophthalmologists, orthoptists, optometrists, and vision scientists to estimate visual acuity, particularly in the field of research.</w:t>
      </w:r>
    </w:p>
    <w:p w14:paraId="599D95BB" w14:textId="6BCFBBE2" w:rsidR="00D17695" w:rsidRPr="00A96B50" w:rsidRDefault="00D17695" w:rsidP="00CE0FE2">
      <w:pPr>
        <w:pStyle w:val="FootnoteText"/>
        <w:rPr>
          <w:lang w:val="en-US"/>
        </w:rPr>
      </w:pPr>
      <w:r>
        <w:t xml:space="preserve">An observer who can resolve details as small as 1 minute of visual angle scores </w:t>
      </w:r>
      <w:proofErr w:type="spellStart"/>
      <w:r>
        <w:t>LogMAR</w:t>
      </w:r>
      <w:proofErr w:type="spellEnd"/>
      <w:r>
        <w:t xml:space="preserve"> 0, since the base-10 logarithm of 1 is 0; 0 </w:t>
      </w:r>
      <w:proofErr w:type="spellStart"/>
      <w:r w:rsidRPr="00D025E6">
        <w:t>LogMAR</w:t>
      </w:r>
      <w:proofErr w:type="spellEnd"/>
      <w:r w:rsidRPr="00D025E6">
        <w:t xml:space="preserve"> indicates standard vision</w:t>
      </w:r>
      <w:r>
        <w:t xml:space="preserve"> (equivalent to 20/20 on the Snellen chart).</w:t>
      </w:r>
      <w:r w:rsidRPr="00D025E6">
        <w:t xml:space="preserve"> </w:t>
      </w:r>
      <w:r>
        <w:t xml:space="preserve">An observer who can resolve details as small as 2 minutes of visual angle (that is, reduced acuity) scores </w:t>
      </w:r>
      <w:proofErr w:type="spellStart"/>
      <w:r>
        <w:t>LogMAR</w:t>
      </w:r>
      <w:proofErr w:type="spellEnd"/>
      <w:r>
        <w:t> 0.3, since the base-10 logarithm of 2 is near-approximately 0.3; and so on. P</w:t>
      </w:r>
      <w:r w:rsidRPr="00D025E6">
        <w:t>ositive values indicates poor vision, and negative</w:t>
      </w:r>
      <w:r>
        <w:t xml:space="preserve"> values indicates good vision.</w:t>
      </w:r>
    </w:p>
  </w:footnote>
  <w:footnote w:id="15">
    <w:p w14:paraId="1B3B55CD" w14:textId="7FDAF9C1" w:rsidR="00D17695" w:rsidRDefault="00D17695">
      <w:pPr>
        <w:pStyle w:val="FootnoteText"/>
      </w:pPr>
      <w:r>
        <w:rPr>
          <w:rStyle w:val="FootnoteReference"/>
        </w:rPr>
        <w:footnoteRef/>
      </w:r>
      <w:r>
        <w:t xml:space="preserve"> </w:t>
      </w:r>
      <w:r>
        <w:rPr>
          <w:rFonts w:asciiTheme="minorHAnsi" w:hAnsiTheme="minorHAnsi"/>
        </w:rPr>
        <w:t xml:space="preserve">Note that 0.5 </w:t>
      </w:r>
      <w:proofErr w:type="spellStart"/>
      <w:r>
        <w:rPr>
          <w:rFonts w:asciiTheme="minorHAnsi" w:hAnsiTheme="minorHAnsi"/>
        </w:rPr>
        <w:t>logMAR</w:t>
      </w:r>
      <w:proofErr w:type="spellEnd"/>
      <w:r>
        <w:rPr>
          <w:rFonts w:asciiTheme="minorHAnsi" w:hAnsiTheme="minorHAnsi"/>
        </w:rPr>
        <w:t xml:space="preserve"> is equivalent to 20/63, 1.1 to 20/250. Blindness is defined as a best correct vision at worse than 1.3 </w:t>
      </w:r>
      <w:proofErr w:type="spellStart"/>
      <w:r>
        <w:rPr>
          <w:rFonts w:asciiTheme="minorHAnsi" w:hAnsiTheme="minorHAnsi"/>
        </w:rPr>
        <w:t>logMAR</w:t>
      </w:r>
      <w:proofErr w:type="spellEnd"/>
      <w:r>
        <w:rPr>
          <w:rFonts w:asciiTheme="minorHAnsi" w:hAnsiTheme="minorHAnsi"/>
        </w:rPr>
        <w:t>.</w:t>
      </w:r>
    </w:p>
  </w:footnote>
  <w:footnote w:id="16">
    <w:p w14:paraId="63928411" w14:textId="65B39FC9" w:rsidR="00D17695" w:rsidRPr="00FC1CE0" w:rsidRDefault="00D17695">
      <w:pPr>
        <w:pStyle w:val="FootnoteText"/>
        <w:rPr>
          <w:lang w:val="en-US"/>
        </w:rPr>
      </w:pPr>
      <w:r>
        <w:rPr>
          <w:rStyle w:val="FootnoteReference"/>
        </w:rPr>
        <w:footnoteRef/>
      </w:r>
      <w:r>
        <w:t xml:space="preserve"> </w:t>
      </w:r>
      <w:r w:rsidRPr="00F5665D">
        <w:t xml:space="preserve">The </w:t>
      </w:r>
      <w:r w:rsidRPr="00FC1CE0">
        <w:rPr>
          <w:b/>
        </w:rPr>
        <w:t xml:space="preserve">Medical Dictionary for Regulatory Activities </w:t>
      </w:r>
      <w:r w:rsidRPr="00F5665D">
        <w:t>(</w:t>
      </w:r>
      <w:r w:rsidRPr="00FC1CE0">
        <w:rPr>
          <w:b/>
        </w:rPr>
        <w:t>MedDRA</w:t>
      </w:r>
      <w:r w:rsidRPr="00F5665D">
        <w:t>) is a single standardised internation</w:t>
      </w:r>
      <w:r>
        <w:t>al medical terminology, develop</w:t>
      </w:r>
      <w:r w:rsidRPr="00F5665D">
        <w:t>ed as a project of the International Council for Harmonisation of Technical Requirements for Pharmaceuticals for Human Use (ICH) which can be used for regulatory communication and evaluation of data pertaining to medicinal products for human use. As a result, MedDRA is designed for use in the registration, documentation and safety monitoring of medicinal products through all phases of</w:t>
      </w:r>
      <w:r>
        <w:t xml:space="preserve"> the development cycle (that is</w:t>
      </w:r>
      <w:r w:rsidRPr="00F5665D">
        <w:t>, from clinical trials to post-marketing surveillance). Furthermore, MedDRA supports ICH electronic communication within the ICH’s Electronic Common Technical Document (eCTD) and the E2B Individual Case Safety Report.</w:t>
      </w:r>
    </w:p>
  </w:footnote>
  <w:footnote w:id="17">
    <w:p w14:paraId="3D4FC483" w14:textId="53407609" w:rsidR="00D17695" w:rsidRDefault="00D17695"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8329774" w14:textId="77777777" w:rsidR="00D17695" w:rsidRDefault="00D17695" w:rsidP="007D53B6">
      <w:pPr>
        <w:pStyle w:val="FootnoteText"/>
      </w:pPr>
      <w:r w:rsidRPr="007D53B6">
        <w:rPr>
          <w:i/>
        </w:rPr>
        <w:t>Routine pharmacovigilance</w:t>
      </w:r>
      <w:r>
        <w:t xml:space="preserve"> practices involve the following activities:</w:t>
      </w:r>
    </w:p>
    <w:p w14:paraId="07E90A05" w14:textId="77777777" w:rsidR="00D17695" w:rsidRDefault="00D17695" w:rsidP="007D53B6">
      <w:pPr>
        <w:pStyle w:val="FootnoteText"/>
        <w:numPr>
          <w:ilvl w:val="0"/>
          <w:numId w:val="32"/>
        </w:numPr>
        <w:ind w:left="284" w:hanging="284"/>
      </w:pPr>
      <w:r>
        <w:t>All suspected adverse reactions that are reported to the personnel of the company are collected and collated in an accessible manner;</w:t>
      </w:r>
    </w:p>
    <w:p w14:paraId="1232233B" w14:textId="77777777" w:rsidR="00D17695" w:rsidRDefault="00D17695" w:rsidP="007D53B6">
      <w:pPr>
        <w:pStyle w:val="FootnoteText"/>
        <w:numPr>
          <w:ilvl w:val="0"/>
          <w:numId w:val="32"/>
        </w:numPr>
        <w:ind w:left="284" w:hanging="284"/>
      </w:pPr>
      <w:r>
        <w:t>Reporting to regulatory authorities;</w:t>
      </w:r>
    </w:p>
    <w:p w14:paraId="287E57DD" w14:textId="77777777" w:rsidR="00D17695" w:rsidRDefault="00D17695" w:rsidP="007D53B6">
      <w:pPr>
        <w:pStyle w:val="FootnoteText"/>
        <w:numPr>
          <w:ilvl w:val="0"/>
          <w:numId w:val="32"/>
        </w:numPr>
        <w:ind w:left="284" w:hanging="284"/>
      </w:pPr>
      <w:r>
        <w:t>Continuous monitoring of the safety profiles of approved products including signal detection and updating of labelling;</w:t>
      </w:r>
    </w:p>
    <w:p w14:paraId="11FD936D" w14:textId="77777777" w:rsidR="00D17695" w:rsidRDefault="00D17695" w:rsidP="007D53B6">
      <w:pPr>
        <w:pStyle w:val="FootnoteText"/>
        <w:numPr>
          <w:ilvl w:val="0"/>
          <w:numId w:val="32"/>
        </w:numPr>
        <w:ind w:left="284" w:hanging="284"/>
      </w:pPr>
      <w:r>
        <w:t>Submission of PSURs;</w:t>
      </w:r>
    </w:p>
    <w:p w14:paraId="480D83C8" w14:textId="77777777" w:rsidR="00D17695" w:rsidRDefault="00D17695" w:rsidP="007D53B6">
      <w:pPr>
        <w:pStyle w:val="FootnoteText"/>
        <w:numPr>
          <w:ilvl w:val="0"/>
          <w:numId w:val="32"/>
        </w:numPr>
        <w:ind w:left="284" w:hanging="284"/>
      </w:pPr>
      <w:r>
        <w:t>Meeting other local regulatory agency requirements.</w:t>
      </w:r>
    </w:p>
  </w:footnote>
  <w:footnote w:id="18">
    <w:p w14:paraId="65F5127D" w14:textId="184278FD" w:rsidR="00D17695" w:rsidRDefault="00D17695">
      <w:pPr>
        <w:pStyle w:val="FootnoteText"/>
      </w:pPr>
      <w:r>
        <w:rPr>
          <w:rStyle w:val="FootnoteReference"/>
        </w:rPr>
        <w:footnoteRef/>
      </w:r>
      <w:r>
        <w:t xml:space="preserve"> EMA, European Public Assessment Report (EPAR), Luxturna (</w:t>
      </w:r>
      <w:r w:rsidRPr="00760139">
        <w:rPr>
          <w:rFonts w:asciiTheme="minorHAnsi" w:hAnsiTheme="minorHAnsi"/>
        </w:rPr>
        <w:t>voretigene neparvovec</w:t>
      </w:r>
      <w:r>
        <w:rPr>
          <w:rFonts w:asciiTheme="minorHAnsi" w:hAnsiTheme="minorHAnsi"/>
        </w:rPr>
        <w:t>),</w:t>
      </w:r>
      <w:r w:rsidRPr="00C63DCF">
        <w:t xml:space="preserve"> </w:t>
      </w:r>
      <w:r>
        <w:t>EMEA/CHMP/700911/2018, 20 September 2018. Available from the EMA website.</w:t>
      </w:r>
    </w:p>
  </w:footnote>
  <w:footnote w:id="19">
    <w:p w14:paraId="3E7F16CE" w14:textId="6292790A" w:rsidR="00D17695" w:rsidRDefault="00D17695">
      <w:pPr>
        <w:pStyle w:val="FootnoteText"/>
      </w:pPr>
      <w:r>
        <w:rPr>
          <w:rStyle w:val="FootnoteReference"/>
        </w:rPr>
        <w:footnoteRef/>
      </w:r>
      <w:r>
        <w:t xml:space="preserve"> FDA Prescribing Information for Luxturna (v</w:t>
      </w:r>
      <w:r w:rsidRPr="00760139">
        <w:rPr>
          <w:rFonts w:asciiTheme="minorHAnsi" w:hAnsiTheme="minorHAnsi"/>
        </w:rPr>
        <w:t>oretigene neparvovec</w:t>
      </w:r>
      <w:r>
        <w:rPr>
          <w:rFonts w:asciiTheme="minorHAnsi" w:hAnsiTheme="minorHAnsi"/>
        </w:rPr>
        <w:t>-</w:t>
      </w:r>
      <w:proofErr w:type="spellStart"/>
      <w:r>
        <w:rPr>
          <w:rFonts w:asciiTheme="minorHAnsi" w:hAnsiTheme="minorHAnsi"/>
        </w:rPr>
        <w:t>rzyl</w:t>
      </w:r>
      <w:proofErr w:type="spellEnd"/>
      <w:r>
        <w:rPr>
          <w:rFonts w:asciiTheme="minorHAnsi" w:hAnsiTheme="minorHAnsi"/>
        </w:rPr>
        <w:t xml:space="preserve"> intraocular suspension for </w:t>
      </w:r>
      <w:proofErr w:type="spellStart"/>
      <w:r>
        <w:rPr>
          <w:rFonts w:asciiTheme="minorHAnsi" w:hAnsiTheme="minorHAnsi"/>
        </w:rPr>
        <w:t>subretinal</w:t>
      </w:r>
      <w:proofErr w:type="spellEnd"/>
      <w:r>
        <w:rPr>
          <w:rFonts w:asciiTheme="minorHAnsi" w:hAnsiTheme="minorHAnsi"/>
        </w:rPr>
        <w:t xml:space="preserve"> injection), initial US approval 2018. Available from the FDA website.</w:t>
      </w:r>
    </w:p>
  </w:footnote>
  <w:footnote w:id="20">
    <w:p w14:paraId="2BAF38FB" w14:textId="51582C15" w:rsidR="00D17695" w:rsidRDefault="00D17695">
      <w:pPr>
        <w:pStyle w:val="FootnoteText"/>
      </w:pPr>
      <w:r>
        <w:rPr>
          <w:rStyle w:val="FootnoteReference"/>
        </w:rPr>
        <w:footnoteRef/>
      </w:r>
      <w:r>
        <w:t xml:space="preserve"> Guidelines for the Assessment and Management of Patients with Inherited Retinal Degenerations (IRD), accessed from the ‘The Royal Australian and New Zealand College of Ophthalmologists’ website</w:t>
      </w:r>
    </w:p>
  </w:footnote>
  <w:footnote w:id="21">
    <w:p w14:paraId="1BA35C0A" w14:textId="77777777" w:rsidR="00D17695" w:rsidRDefault="00D17695"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50EA94C" w14:textId="77777777" w:rsidR="00D17695" w:rsidRPr="00456765" w:rsidRDefault="00D17695"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84AA" w14:textId="77777777" w:rsidR="00D17695" w:rsidRDefault="00D17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85F3" w14:textId="77777777" w:rsidR="00D17695" w:rsidRDefault="00D17695"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E187" w14:textId="77777777" w:rsidR="00D17695" w:rsidRDefault="00D17695">
    <w:pPr>
      <w:rPr>
        <w:noProof/>
        <w:lang w:eastAsia="en-AU"/>
      </w:rPr>
    </w:pPr>
    <w:r w:rsidRPr="00347824">
      <w:rPr>
        <w:noProof/>
        <w:lang w:eastAsia="en-AU"/>
      </w:rPr>
      <w:drawing>
        <wp:anchor distT="0" distB="0" distL="114300" distR="114300" simplePos="0" relativeHeight="251658240" behindDoc="1" locked="0" layoutInCell="1" allowOverlap="1" wp14:anchorId="6D7E01B2" wp14:editId="1613FCE8">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934B902" w14:textId="328F0EA7" w:rsidR="00D17695" w:rsidRDefault="00D17695"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DD9F" w14:textId="77777777" w:rsidR="00D17695" w:rsidRDefault="00D17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47B3" w14:textId="77777777" w:rsidR="00D17695" w:rsidRDefault="00D1769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F40A" w14:textId="77777777" w:rsidR="00D17695" w:rsidRDefault="00D17695">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9317" w14:textId="77777777" w:rsidR="00D17695" w:rsidRDefault="00D176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0B23" w14:textId="77777777" w:rsidR="00D17695" w:rsidRDefault="00D17695"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869DB" w14:textId="77777777" w:rsidR="00D17695" w:rsidRDefault="00D17695" w:rsidP="006E08B3">
    <w:r>
      <w:t>Therapeutic Goods Administration</w:t>
    </w:r>
  </w:p>
  <w:p w14:paraId="0431B9C6" w14:textId="77777777" w:rsidR="00D17695" w:rsidRDefault="00D17695"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multilevel"/>
    <w:tmpl w:val="B8320B0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0A5A31"/>
    <w:multiLevelType w:val="hybridMultilevel"/>
    <w:tmpl w:val="32FEA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297849D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0990A5E"/>
    <w:multiLevelType w:val="hybridMultilevel"/>
    <w:tmpl w:val="BA5293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7333B6"/>
    <w:multiLevelType w:val="hybridMultilevel"/>
    <w:tmpl w:val="A1B05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E530FE"/>
    <w:multiLevelType w:val="hybridMultilevel"/>
    <w:tmpl w:val="10B2FD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282B99"/>
    <w:multiLevelType w:val="hybridMultilevel"/>
    <w:tmpl w:val="1A101C74"/>
    <w:lvl w:ilvl="0" w:tplc="3E3843E6">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04325B"/>
    <w:multiLevelType w:val="hybridMultilevel"/>
    <w:tmpl w:val="3E50DB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EE034E7"/>
    <w:multiLevelType w:val="hybridMultilevel"/>
    <w:tmpl w:val="79CE5C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EC60BB"/>
    <w:multiLevelType w:val="hybridMultilevel"/>
    <w:tmpl w:val="642EC19E"/>
    <w:lvl w:ilvl="0" w:tplc="0962642C">
      <w:start w:val="1"/>
      <w:numFmt w:val="bullet"/>
      <w:lvlText w:val="·"/>
      <w:lvlJc w:val="left"/>
      <w:pPr>
        <w:ind w:left="720" w:hanging="360"/>
      </w:pPr>
      <w:rPr>
        <w:rFonts w:ascii="Cambria" w:eastAsiaTheme="minorHAnsi"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7"/>
  </w:num>
  <w:num w:numId="29">
    <w:abstractNumId w:val="7"/>
  </w:num>
  <w:num w:numId="30">
    <w:abstractNumId w:val="12"/>
  </w:num>
  <w:num w:numId="31">
    <w:abstractNumId w:val="5"/>
  </w:num>
  <w:num w:numId="32">
    <w:abstractNumId w:val="14"/>
  </w:num>
  <w:num w:numId="33">
    <w:abstractNumId w:val="10"/>
  </w:num>
  <w:num w:numId="34">
    <w:abstractNumId w:val="19"/>
  </w:num>
  <w:num w:numId="35">
    <w:abstractNumId w:val="4"/>
  </w:num>
  <w:num w:numId="36">
    <w:abstractNumId w:val="18"/>
  </w:num>
  <w:num w:numId="37">
    <w:abstractNumId w:val="16"/>
  </w:num>
  <w:num w:numId="38">
    <w:abstractNumId w:val="11"/>
  </w:num>
  <w:num w:numId="39">
    <w:abstractNumId w:val="9"/>
  </w:num>
  <w:num w:numId="40">
    <w:abstractNumId w:val="15"/>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7D"/>
    <w:rsid w:val="000000AE"/>
    <w:rsid w:val="00002031"/>
    <w:rsid w:val="00003131"/>
    <w:rsid w:val="00003F87"/>
    <w:rsid w:val="00004734"/>
    <w:rsid w:val="00006B22"/>
    <w:rsid w:val="00006FAB"/>
    <w:rsid w:val="00011EA1"/>
    <w:rsid w:val="0001276A"/>
    <w:rsid w:val="00013AF4"/>
    <w:rsid w:val="000246AE"/>
    <w:rsid w:val="00025C67"/>
    <w:rsid w:val="00031EA9"/>
    <w:rsid w:val="0004139B"/>
    <w:rsid w:val="00044772"/>
    <w:rsid w:val="0004541C"/>
    <w:rsid w:val="000469C9"/>
    <w:rsid w:val="0005559E"/>
    <w:rsid w:val="00056BC1"/>
    <w:rsid w:val="000604D6"/>
    <w:rsid w:val="000734D8"/>
    <w:rsid w:val="000743A8"/>
    <w:rsid w:val="00077775"/>
    <w:rsid w:val="00087262"/>
    <w:rsid w:val="0008765F"/>
    <w:rsid w:val="00090471"/>
    <w:rsid w:val="00091BF6"/>
    <w:rsid w:val="00094283"/>
    <w:rsid w:val="00096AA7"/>
    <w:rsid w:val="000A3AED"/>
    <w:rsid w:val="000A6819"/>
    <w:rsid w:val="000B1FDE"/>
    <w:rsid w:val="000B2A20"/>
    <w:rsid w:val="000B3532"/>
    <w:rsid w:val="000B3A75"/>
    <w:rsid w:val="000C00C2"/>
    <w:rsid w:val="000C3FA0"/>
    <w:rsid w:val="000C5A15"/>
    <w:rsid w:val="000C690F"/>
    <w:rsid w:val="000C6C1C"/>
    <w:rsid w:val="000D1295"/>
    <w:rsid w:val="000D391B"/>
    <w:rsid w:val="000D3D6D"/>
    <w:rsid w:val="000D4FC7"/>
    <w:rsid w:val="000E3E17"/>
    <w:rsid w:val="000E6196"/>
    <w:rsid w:val="000F2280"/>
    <w:rsid w:val="000F4869"/>
    <w:rsid w:val="000F5B42"/>
    <w:rsid w:val="000F6E6F"/>
    <w:rsid w:val="00102F50"/>
    <w:rsid w:val="0010601F"/>
    <w:rsid w:val="0010788A"/>
    <w:rsid w:val="00107A31"/>
    <w:rsid w:val="00110EA5"/>
    <w:rsid w:val="00112F56"/>
    <w:rsid w:val="00124ACD"/>
    <w:rsid w:val="00125318"/>
    <w:rsid w:val="001305A2"/>
    <w:rsid w:val="00133238"/>
    <w:rsid w:val="00133A1B"/>
    <w:rsid w:val="00141542"/>
    <w:rsid w:val="0014197B"/>
    <w:rsid w:val="001447CD"/>
    <w:rsid w:val="001516B1"/>
    <w:rsid w:val="00154494"/>
    <w:rsid w:val="00154EBB"/>
    <w:rsid w:val="00156316"/>
    <w:rsid w:val="00161181"/>
    <w:rsid w:val="001616C0"/>
    <w:rsid w:val="00162D14"/>
    <w:rsid w:val="00163780"/>
    <w:rsid w:val="00165389"/>
    <w:rsid w:val="0016695E"/>
    <w:rsid w:val="0017693F"/>
    <w:rsid w:val="0018110E"/>
    <w:rsid w:val="00181684"/>
    <w:rsid w:val="001843C6"/>
    <w:rsid w:val="001850E0"/>
    <w:rsid w:val="00185D36"/>
    <w:rsid w:val="001908FF"/>
    <w:rsid w:val="00193021"/>
    <w:rsid w:val="001A03AF"/>
    <w:rsid w:val="001A1664"/>
    <w:rsid w:val="001A2158"/>
    <w:rsid w:val="001A451C"/>
    <w:rsid w:val="001A46FA"/>
    <w:rsid w:val="001A525F"/>
    <w:rsid w:val="001B09F9"/>
    <w:rsid w:val="001B1B30"/>
    <w:rsid w:val="001B5C90"/>
    <w:rsid w:val="001B6448"/>
    <w:rsid w:val="001C32CD"/>
    <w:rsid w:val="001D2984"/>
    <w:rsid w:val="001D2DA1"/>
    <w:rsid w:val="001D3833"/>
    <w:rsid w:val="001E07CF"/>
    <w:rsid w:val="001E59F1"/>
    <w:rsid w:val="001E5AFC"/>
    <w:rsid w:val="001F2CEE"/>
    <w:rsid w:val="001F49EB"/>
    <w:rsid w:val="001F6CBA"/>
    <w:rsid w:val="00201D4E"/>
    <w:rsid w:val="00204222"/>
    <w:rsid w:val="002056BB"/>
    <w:rsid w:val="0020652B"/>
    <w:rsid w:val="002076C9"/>
    <w:rsid w:val="0021728D"/>
    <w:rsid w:val="00220B8A"/>
    <w:rsid w:val="00223D5F"/>
    <w:rsid w:val="002257F3"/>
    <w:rsid w:val="00230D3D"/>
    <w:rsid w:val="00233456"/>
    <w:rsid w:val="002339A5"/>
    <w:rsid w:val="002403D2"/>
    <w:rsid w:val="00250271"/>
    <w:rsid w:val="00257848"/>
    <w:rsid w:val="002578E8"/>
    <w:rsid w:val="0026739F"/>
    <w:rsid w:val="0027084A"/>
    <w:rsid w:val="002762D1"/>
    <w:rsid w:val="00280265"/>
    <w:rsid w:val="0028051E"/>
    <w:rsid w:val="002816E9"/>
    <w:rsid w:val="00286434"/>
    <w:rsid w:val="00286C59"/>
    <w:rsid w:val="00291957"/>
    <w:rsid w:val="00291F7A"/>
    <w:rsid w:val="002942D1"/>
    <w:rsid w:val="0029501A"/>
    <w:rsid w:val="00295D12"/>
    <w:rsid w:val="002A3721"/>
    <w:rsid w:val="002A54F3"/>
    <w:rsid w:val="002A6EDB"/>
    <w:rsid w:val="002B1638"/>
    <w:rsid w:val="002B3624"/>
    <w:rsid w:val="002C00EF"/>
    <w:rsid w:val="002C22C9"/>
    <w:rsid w:val="002C3339"/>
    <w:rsid w:val="002C3630"/>
    <w:rsid w:val="002D0952"/>
    <w:rsid w:val="002E40B3"/>
    <w:rsid w:val="002E4C9A"/>
    <w:rsid w:val="002E7D44"/>
    <w:rsid w:val="002F11F8"/>
    <w:rsid w:val="002F3F56"/>
    <w:rsid w:val="002F44B5"/>
    <w:rsid w:val="002F5122"/>
    <w:rsid w:val="002F5B84"/>
    <w:rsid w:val="003043E4"/>
    <w:rsid w:val="00307772"/>
    <w:rsid w:val="003079FD"/>
    <w:rsid w:val="00311AC0"/>
    <w:rsid w:val="003147AE"/>
    <w:rsid w:val="003176FC"/>
    <w:rsid w:val="00323AEA"/>
    <w:rsid w:val="0032400C"/>
    <w:rsid w:val="0032583B"/>
    <w:rsid w:val="0032639E"/>
    <w:rsid w:val="00326A7D"/>
    <w:rsid w:val="00327883"/>
    <w:rsid w:val="00332B66"/>
    <w:rsid w:val="00335504"/>
    <w:rsid w:val="0033623B"/>
    <w:rsid w:val="00337DBD"/>
    <w:rsid w:val="00340C18"/>
    <w:rsid w:val="00341396"/>
    <w:rsid w:val="003442FD"/>
    <w:rsid w:val="00344ACF"/>
    <w:rsid w:val="00345AAA"/>
    <w:rsid w:val="00346735"/>
    <w:rsid w:val="003469D1"/>
    <w:rsid w:val="00347824"/>
    <w:rsid w:val="00347DF0"/>
    <w:rsid w:val="00350567"/>
    <w:rsid w:val="003521E8"/>
    <w:rsid w:val="00354396"/>
    <w:rsid w:val="00357F8C"/>
    <w:rsid w:val="00361EAC"/>
    <w:rsid w:val="00370CE3"/>
    <w:rsid w:val="003728F3"/>
    <w:rsid w:val="003735BC"/>
    <w:rsid w:val="0037496E"/>
    <w:rsid w:val="00383221"/>
    <w:rsid w:val="00384114"/>
    <w:rsid w:val="00384C9E"/>
    <w:rsid w:val="00386150"/>
    <w:rsid w:val="003874CE"/>
    <w:rsid w:val="00390900"/>
    <w:rsid w:val="003A7F6C"/>
    <w:rsid w:val="003B0241"/>
    <w:rsid w:val="003B2857"/>
    <w:rsid w:val="003B2D31"/>
    <w:rsid w:val="003B4D60"/>
    <w:rsid w:val="003B7E39"/>
    <w:rsid w:val="003C5778"/>
    <w:rsid w:val="003C58DC"/>
    <w:rsid w:val="003D1E62"/>
    <w:rsid w:val="003E0952"/>
    <w:rsid w:val="003E0B99"/>
    <w:rsid w:val="003E0EB7"/>
    <w:rsid w:val="003E2486"/>
    <w:rsid w:val="003E3208"/>
    <w:rsid w:val="003E74DC"/>
    <w:rsid w:val="003F0B04"/>
    <w:rsid w:val="003F1F72"/>
    <w:rsid w:val="0040134E"/>
    <w:rsid w:val="00405C75"/>
    <w:rsid w:val="00412013"/>
    <w:rsid w:val="00413BE2"/>
    <w:rsid w:val="00414723"/>
    <w:rsid w:val="0042053C"/>
    <w:rsid w:val="00423CCD"/>
    <w:rsid w:val="00430118"/>
    <w:rsid w:val="00431F8E"/>
    <w:rsid w:val="004334C7"/>
    <w:rsid w:val="00440A2D"/>
    <w:rsid w:val="00441931"/>
    <w:rsid w:val="00441C3F"/>
    <w:rsid w:val="00444D1A"/>
    <w:rsid w:val="0045186A"/>
    <w:rsid w:val="004564A7"/>
    <w:rsid w:val="00456765"/>
    <w:rsid w:val="00460036"/>
    <w:rsid w:val="004617BF"/>
    <w:rsid w:val="004628B8"/>
    <w:rsid w:val="00463658"/>
    <w:rsid w:val="004637A0"/>
    <w:rsid w:val="00470B32"/>
    <w:rsid w:val="004722CC"/>
    <w:rsid w:val="00476A67"/>
    <w:rsid w:val="00480046"/>
    <w:rsid w:val="00483900"/>
    <w:rsid w:val="00490483"/>
    <w:rsid w:val="004936E4"/>
    <w:rsid w:val="00494E60"/>
    <w:rsid w:val="00497487"/>
    <w:rsid w:val="004A2771"/>
    <w:rsid w:val="004A6189"/>
    <w:rsid w:val="004A7390"/>
    <w:rsid w:val="004B7B76"/>
    <w:rsid w:val="004C239D"/>
    <w:rsid w:val="004C2DCA"/>
    <w:rsid w:val="004C4FBE"/>
    <w:rsid w:val="004C5B76"/>
    <w:rsid w:val="004C61D2"/>
    <w:rsid w:val="004F0C4A"/>
    <w:rsid w:val="004F0F38"/>
    <w:rsid w:val="004F47D6"/>
    <w:rsid w:val="004F63D3"/>
    <w:rsid w:val="00500337"/>
    <w:rsid w:val="00501921"/>
    <w:rsid w:val="00503101"/>
    <w:rsid w:val="00503C1E"/>
    <w:rsid w:val="00506A64"/>
    <w:rsid w:val="00512DA7"/>
    <w:rsid w:val="00513D29"/>
    <w:rsid w:val="00530354"/>
    <w:rsid w:val="005316A0"/>
    <w:rsid w:val="0053625B"/>
    <w:rsid w:val="00540EF3"/>
    <w:rsid w:val="0054158F"/>
    <w:rsid w:val="005434C6"/>
    <w:rsid w:val="00543B39"/>
    <w:rsid w:val="00546154"/>
    <w:rsid w:val="00550096"/>
    <w:rsid w:val="005511D6"/>
    <w:rsid w:val="00555280"/>
    <w:rsid w:val="00556D7C"/>
    <w:rsid w:val="00557FF9"/>
    <w:rsid w:val="00562327"/>
    <w:rsid w:val="005711D5"/>
    <w:rsid w:val="00573F93"/>
    <w:rsid w:val="00576378"/>
    <w:rsid w:val="00577130"/>
    <w:rsid w:val="00577945"/>
    <w:rsid w:val="00577E38"/>
    <w:rsid w:val="0058407F"/>
    <w:rsid w:val="00585322"/>
    <w:rsid w:val="005857C6"/>
    <w:rsid w:val="00592F6E"/>
    <w:rsid w:val="00593AD1"/>
    <w:rsid w:val="005A10E4"/>
    <w:rsid w:val="005A1C70"/>
    <w:rsid w:val="005A68B6"/>
    <w:rsid w:val="005B6238"/>
    <w:rsid w:val="005C14FA"/>
    <w:rsid w:val="005C5570"/>
    <w:rsid w:val="005C5B66"/>
    <w:rsid w:val="005C79A4"/>
    <w:rsid w:val="005D0EEE"/>
    <w:rsid w:val="005D5442"/>
    <w:rsid w:val="005E17A1"/>
    <w:rsid w:val="005E7331"/>
    <w:rsid w:val="005F083C"/>
    <w:rsid w:val="005F6196"/>
    <w:rsid w:val="00603F32"/>
    <w:rsid w:val="00605AD4"/>
    <w:rsid w:val="00611BFF"/>
    <w:rsid w:val="006136D7"/>
    <w:rsid w:val="00616A26"/>
    <w:rsid w:val="006224D8"/>
    <w:rsid w:val="00625A6E"/>
    <w:rsid w:val="006271D8"/>
    <w:rsid w:val="00632398"/>
    <w:rsid w:val="00635FB9"/>
    <w:rsid w:val="00640FC3"/>
    <w:rsid w:val="00642020"/>
    <w:rsid w:val="006430EE"/>
    <w:rsid w:val="00647872"/>
    <w:rsid w:val="00651476"/>
    <w:rsid w:val="0065337B"/>
    <w:rsid w:val="0065419D"/>
    <w:rsid w:val="00657B7F"/>
    <w:rsid w:val="006603BC"/>
    <w:rsid w:val="006604D8"/>
    <w:rsid w:val="006638C3"/>
    <w:rsid w:val="00664A5B"/>
    <w:rsid w:val="00665CC6"/>
    <w:rsid w:val="006665D6"/>
    <w:rsid w:val="0066735C"/>
    <w:rsid w:val="00667FE4"/>
    <w:rsid w:val="00671DB4"/>
    <w:rsid w:val="006763D2"/>
    <w:rsid w:val="00680C08"/>
    <w:rsid w:val="00687405"/>
    <w:rsid w:val="0069107D"/>
    <w:rsid w:val="006916A0"/>
    <w:rsid w:val="0069206E"/>
    <w:rsid w:val="006931B1"/>
    <w:rsid w:val="0069437D"/>
    <w:rsid w:val="006955CB"/>
    <w:rsid w:val="006A1479"/>
    <w:rsid w:val="006A15C0"/>
    <w:rsid w:val="006A196A"/>
    <w:rsid w:val="006A37FF"/>
    <w:rsid w:val="006A58A8"/>
    <w:rsid w:val="006A7D2C"/>
    <w:rsid w:val="006B300A"/>
    <w:rsid w:val="006C0E93"/>
    <w:rsid w:val="006C3BF7"/>
    <w:rsid w:val="006C3E2A"/>
    <w:rsid w:val="006C642F"/>
    <w:rsid w:val="006C67C2"/>
    <w:rsid w:val="006D03E5"/>
    <w:rsid w:val="006D5D3E"/>
    <w:rsid w:val="006E08B3"/>
    <w:rsid w:val="006E0CE0"/>
    <w:rsid w:val="006E4A5B"/>
    <w:rsid w:val="006F17AC"/>
    <w:rsid w:val="006F25B8"/>
    <w:rsid w:val="006F572E"/>
    <w:rsid w:val="00700217"/>
    <w:rsid w:val="007046D6"/>
    <w:rsid w:val="00705DB0"/>
    <w:rsid w:val="00712515"/>
    <w:rsid w:val="00713B45"/>
    <w:rsid w:val="00714275"/>
    <w:rsid w:val="007215D2"/>
    <w:rsid w:val="00722B57"/>
    <w:rsid w:val="00730F8A"/>
    <w:rsid w:val="00735A8C"/>
    <w:rsid w:val="007404BF"/>
    <w:rsid w:val="00740AB3"/>
    <w:rsid w:val="0074253D"/>
    <w:rsid w:val="0074429B"/>
    <w:rsid w:val="007539D9"/>
    <w:rsid w:val="0075455D"/>
    <w:rsid w:val="00755D51"/>
    <w:rsid w:val="00756BE2"/>
    <w:rsid w:val="00760139"/>
    <w:rsid w:val="007615BC"/>
    <w:rsid w:val="00762F05"/>
    <w:rsid w:val="007652FF"/>
    <w:rsid w:val="0076747A"/>
    <w:rsid w:val="00770CAC"/>
    <w:rsid w:val="00770EF1"/>
    <w:rsid w:val="00773EF7"/>
    <w:rsid w:val="00774E1D"/>
    <w:rsid w:val="007765D8"/>
    <w:rsid w:val="0077675A"/>
    <w:rsid w:val="00776E69"/>
    <w:rsid w:val="00780355"/>
    <w:rsid w:val="007819FD"/>
    <w:rsid w:val="007837DE"/>
    <w:rsid w:val="00784802"/>
    <w:rsid w:val="00785717"/>
    <w:rsid w:val="00785721"/>
    <w:rsid w:val="00785A5F"/>
    <w:rsid w:val="00787DE4"/>
    <w:rsid w:val="00793A59"/>
    <w:rsid w:val="007A0A51"/>
    <w:rsid w:val="007A46F5"/>
    <w:rsid w:val="007A6505"/>
    <w:rsid w:val="007B07BE"/>
    <w:rsid w:val="007B461A"/>
    <w:rsid w:val="007B6132"/>
    <w:rsid w:val="007B6E9F"/>
    <w:rsid w:val="007C1216"/>
    <w:rsid w:val="007C1AF7"/>
    <w:rsid w:val="007C2D3A"/>
    <w:rsid w:val="007C6B9B"/>
    <w:rsid w:val="007C767B"/>
    <w:rsid w:val="007D53B6"/>
    <w:rsid w:val="007F0851"/>
    <w:rsid w:val="007F7E9B"/>
    <w:rsid w:val="008036BC"/>
    <w:rsid w:val="00805D27"/>
    <w:rsid w:val="00806DCB"/>
    <w:rsid w:val="0081023D"/>
    <w:rsid w:val="008157F2"/>
    <w:rsid w:val="00821776"/>
    <w:rsid w:val="008321F5"/>
    <w:rsid w:val="00832369"/>
    <w:rsid w:val="00834660"/>
    <w:rsid w:val="008349C2"/>
    <w:rsid w:val="00835F06"/>
    <w:rsid w:val="00836BC2"/>
    <w:rsid w:val="00844F14"/>
    <w:rsid w:val="00847D70"/>
    <w:rsid w:val="0085156D"/>
    <w:rsid w:val="00852B28"/>
    <w:rsid w:val="008551AF"/>
    <w:rsid w:val="0085641B"/>
    <w:rsid w:val="00857136"/>
    <w:rsid w:val="00871837"/>
    <w:rsid w:val="008758AC"/>
    <w:rsid w:val="00875A6B"/>
    <w:rsid w:val="00877A1B"/>
    <w:rsid w:val="00877F5D"/>
    <w:rsid w:val="00881B15"/>
    <w:rsid w:val="00885B11"/>
    <w:rsid w:val="00886D15"/>
    <w:rsid w:val="00887DD8"/>
    <w:rsid w:val="00891A59"/>
    <w:rsid w:val="00891BA9"/>
    <w:rsid w:val="00891E9B"/>
    <w:rsid w:val="00896018"/>
    <w:rsid w:val="008960DD"/>
    <w:rsid w:val="0089635C"/>
    <w:rsid w:val="008A007A"/>
    <w:rsid w:val="008A2B9D"/>
    <w:rsid w:val="008A3D9F"/>
    <w:rsid w:val="008A4E43"/>
    <w:rsid w:val="008A53C0"/>
    <w:rsid w:val="008A5415"/>
    <w:rsid w:val="008A5B60"/>
    <w:rsid w:val="008A5E0B"/>
    <w:rsid w:val="008A6D59"/>
    <w:rsid w:val="008B4B03"/>
    <w:rsid w:val="008B596F"/>
    <w:rsid w:val="008B5AF2"/>
    <w:rsid w:val="008C0B87"/>
    <w:rsid w:val="008C159F"/>
    <w:rsid w:val="008C1623"/>
    <w:rsid w:val="008C1850"/>
    <w:rsid w:val="008C51A9"/>
    <w:rsid w:val="008C6BCC"/>
    <w:rsid w:val="008C6FB5"/>
    <w:rsid w:val="008E7846"/>
    <w:rsid w:val="008F02E5"/>
    <w:rsid w:val="008F1CCC"/>
    <w:rsid w:val="008F2967"/>
    <w:rsid w:val="008F6506"/>
    <w:rsid w:val="008F6943"/>
    <w:rsid w:val="008F737C"/>
    <w:rsid w:val="0090187F"/>
    <w:rsid w:val="00902A21"/>
    <w:rsid w:val="00912F78"/>
    <w:rsid w:val="0091523F"/>
    <w:rsid w:val="00920330"/>
    <w:rsid w:val="00920A9F"/>
    <w:rsid w:val="009219D7"/>
    <w:rsid w:val="00922D53"/>
    <w:rsid w:val="00923B70"/>
    <w:rsid w:val="00924482"/>
    <w:rsid w:val="00926B3B"/>
    <w:rsid w:val="00930237"/>
    <w:rsid w:val="0093401C"/>
    <w:rsid w:val="009351AD"/>
    <w:rsid w:val="00937C17"/>
    <w:rsid w:val="00940A89"/>
    <w:rsid w:val="00941F77"/>
    <w:rsid w:val="00944F16"/>
    <w:rsid w:val="00946EA5"/>
    <w:rsid w:val="00956171"/>
    <w:rsid w:val="00960520"/>
    <w:rsid w:val="00961F9C"/>
    <w:rsid w:val="00963C08"/>
    <w:rsid w:val="00966932"/>
    <w:rsid w:val="009731E8"/>
    <w:rsid w:val="009752A5"/>
    <w:rsid w:val="00976C37"/>
    <w:rsid w:val="0098585A"/>
    <w:rsid w:val="009876A3"/>
    <w:rsid w:val="009913FD"/>
    <w:rsid w:val="009A0563"/>
    <w:rsid w:val="009A4CED"/>
    <w:rsid w:val="009A690D"/>
    <w:rsid w:val="009B1D12"/>
    <w:rsid w:val="009B416B"/>
    <w:rsid w:val="009C4BD5"/>
    <w:rsid w:val="009D018D"/>
    <w:rsid w:val="009D3D25"/>
    <w:rsid w:val="009D446E"/>
    <w:rsid w:val="009D7B77"/>
    <w:rsid w:val="009E0BB0"/>
    <w:rsid w:val="009E3FBB"/>
    <w:rsid w:val="009F4BFF"/>
    <w:rsid w:val="009F6B3A"/>
    <w:rsid w:val="009F7353"/>
    <w:rsid w:val="00A04F85"/>
    <w:rsid w:val="00A05FA4"/>
    <w:rsid w:val="00A102E4"/>
    <w:rsid w:val="00A1219C"/>
    <w:rsid w:val="00A12C42"/>
    <w:rsid w:val="00A14DF7"/>
    <w:rsid w:val="00A20A63"/>
    <w:rsid w:val="00A22D57"/>
    <w:rsid w:val="00A25C56"/>
    <w:rsid w:val="00A26430"/>
    <w:rsid w:val="00A2772C"/>
    <w:rsid w:val="00A31C77"/>
    <w:rsid w:val="00A3246D"/>
    <w:rsid w:val="00A36FA7"/>
    <w:rsid w:val="00A44CDF"/>
    <w:rsid w:val="00A44DDB"/>
    <w:rsid w:val="00A46908"/>
    <w:rsid w:val="00A475B7"/>
    <w:rsid w:val="00A4793D"/>
    <w:rsid w:val="00A47AF7"/>
    <w:rsid w:val="00A47C3E"/>
    <w:rsid w:val="00A50226"/>
    <w:rsid w:val="00A556B7"/>
    <w:rsid w:val="00A57127"/>
    <w:rsid w:val="00A578EC"/>
    <w:rsid w:val="00A60BAD"/>
    <w:rsid w:val="00A72490"/>
    <w:rsid w:val="00A77CF8"/>
    <w:rsid w:val="00A77F87"/>
    <w:rsid w:val="00A80B5B"/>
    <w:rsid w:val="00A826DF"/>
    <w:rsid w:val="00A84E36"/>
    <w:rsid w:val="00A922BC"/>
    <w:rsid w:val="00A9409E"/>
    <w:rsid w:val="00A964D1"/>
    <w:rsid w:val="00A96B50"/>
    <w:rsid w:val="00AA03B3"/>
    <w:rsid w:val="00AA0ED0"/>
    <w:rsid w:val="00AA62B1"/>
    <w:rsid w:val="00AB0272"/>
    <w:rsid w:val="00AB53C6"/>
    <w:rsid w:val="00AC2B40"/>
    <w:rsid w:val="00AC2BB2"/>
    <w:rsid w:val="00AC2C3C"/>
    <w:rsid w:val="00AC512D"/>
    <w:rsid w:val="00AD0083"/>
    <w:rsid w:val="00AD3935"/>
    <w:rsid w:val="00AE3567"/>
    <w:rsid w:val="00AE65EB"/>
    <w:rsid w:val="00AE67A7"/>
    <w:rsid w:val="00AF1D94"/>
    <w:rsid w:val="00AF25E0"/>
    <w:rsid w:val="00AF30A5"/>
    <w:rsid w:val="00AF60C5"/>
    <w:rsid w:val="00B009C6"/>
    <w:rsid w:val="00B01548"/>
    <w:rsid w:val="00B130C5"/>
    <w:rsid w:val="00B13EBD"/>
    <w:rsid w:val="00B15B4F"/>
    <w:rsid w:val="00B21D29"/>
    <w:rsid w:val="00B2258A"/>
    <w:rsid w:val="00B25034"/>
    <w:rsid w:val="00B33588"/>
    <w:rsid w:val="00B33863"/>
    <w:rsid w:val="00B34823"/>
    <w:rsid w:val="00B37D17"/>
    <w:rsid w:val="00B4175E"/>
    <w:rsid w:val="00B41C85"/>
    <w:rsid w:val="00B452CE"/>
    <w:rsid w:val="00B54C25"/>
    <w:rsid w:val="00B6187F"/>
    <w:rsid w:val="00B61982"/>
    <w:rsid w:val="00B64168"/>
    <w:rsid w:val="00B76B91"/>
    <w:rsid w:val="00B77EB1"/>
    <w:rsid w:val="00B811C6"/>
    <w:rsid w:val="00B81BD0"/>
    <w:rsid w:val="00B855B0"/>
    <w:rsid w:val="00B92E08"/>
    <w:rsid w:val="00B969D3"/>
    <w:rsid w:val="00BA3AFC"/>
    <w:rsid w:val="00BA7BCB"/>
    <w:rsid w:val="00BB43C7"/>
    <w:rsid w:val="00BC36F4"/>
    <w:rsid w:val="00BC622A"/>
    <w:rsid w:val="00BD3672"/>
    <w:rsid w:val="00BD6537"/>
    <w:rsid w:val="00BE0A78"/>
    <w:rsid w:val="00BE79F0"/>
    <w:rsid w:val="00BF046D"/>
    <w:rsid w:val="00BF1190"/>
    <w:rsid w:val="00BF3774"/>
    <w:rsid w:val="00BF5D04"/>
    <w:rsid w:val="00C009AA"/>
    <w:rsid w:val="00C1164D"/>
    <w:rsid w:val="00C137D2"/>
    <w:rsid w:val="00C15BF8"/>
    <w:rsid w:val="00C16861"/>
    <w:rsid w:val="00C346AB"/>
    <w:rsid w:val="00C404A6"/>
    <w:rsid w:val="00C40A36"/>
    <w:rsid w:val="00C44419"/>
    <w:rsid w:val="00C45E7B"/>
    <w:rsid w:val="00C471B1"/>
    <w:rsid w:val="00C51499"/>
    <w:rsid w:val="00C525A2"/>
    <w:rsid w:val="00C52E24"/>
    <w:rsid w:val="00C53482"/>
    <w:rsid w:val="00C609EE"/>
    <w:rsid w:val="00C6316B"/>
    <w:rsid w:val="00C634A9"/>
    <w:rsid w:val="00C63DCF"/>
    <w:rsid w:val="00C64586"/>
    <w:rsid w:val="00C65580"/>
    <w:rsid w:val="00C70A36"/>
    <w:rsid w:val="00C70D53"/>
    <w:rsid w:val="00C72725"/>
    <w:rsid w:val="00C73D0B"/>
    <w:rsid w:val="00C74F5C"/>
    <w:rsid w:val="00C772FF"/>
    <w:rsid w:val="00C80137"/>
    <w:rsid w:val="00C801AF"/>
    <w:rsid w:val="00C80256"/>
    <w:rsid w:val="00C80A97"/>
    <w:rsid w:val="00C81936"/>
    <w:rsid w:val="00C854BF"/>
    <w:rsid w:val="00C94CD4"/>
    <w:rsid w:val="00C9747E"/>
    <w:rsid w:val="00CB3DAB"/>
    <w:rsid w:val="00CB6BC0"/>
    <w:rsid w:val="00CB6E7B"/>
    <w:rsid w:val="00CC1B7C"/>
    <w:rsid w:val="00CC6160"/>
    <w:rsid w:val="00CC727F"/>
    <w:rsid w:val="00CC7B31"/>
    <w:rsid w:val="00CD4597"/>
    <w:rsid w:val="00CE0FE2"/>
    <w:rsid w:val="00CE1F33"/>
    <w:rsid w:val="00CF15C3"/>
    <w:rsid w:val="00CF2B6F"/>
    <w:rsid w:val="00CF2F3E"/>
    <w:rsid w:val="00CF58B6"/>
    <w:rsid w:val="00CF5DAD"/>
    <w:rsid w:val="00D0062D"/>
    <w:rsid w:val="00D017ED"/>
    <w:rsid w:val="00D025E6"/>
    <w:rsid w:val="00D040D3"/>
    <w:rsid w:val="00D04C65"/>
    <w:rsid w:val="00D10DA2"/>
    <w:rsid w:val="00D153D8"/>
    <w:rsid w:val="00D17695"/>
    <w:rsid w:val="00D201D2"/>
    <w:rsid w:val="00D21196"/>
    <w:rsid w:val="00D224FE"/>
    <w:rsid w:val="00D23139"/>
    <w:rsid w:val="00D356FF"/>
    <w:rsid w:val="00D425BB"/>
    <w:rsid w:val="00D453FA"/>
    <w:rsid w:val="00D5705B"/>
    <w:rsid w:val="00D6493E"/>
    <w:rsid w:val="00D7195D"/>
    <w:rsid w:val="00D7301E"/>
    <w:rsid w:val="00D776ED"/>
    <w:rsid w:val="00D80818"/>
    <w:rsid w:val="00D83443"/>
    <w:rsid w:val="00D83AE1"/>
    <w:rsid w:val="00D855D4"/>
    <w:rsid w:val="00D902C9"/>
    <w:rsid w:val="00D93466"/>
    <w:rsid w:val="00DA1124"/>
    <w:rsid w:val="00DA64CB"/>
    <w:rsid w:val="00DA7190"/>
    <w:rsid w:val="00DB06B8"/>
    <w:rsid w:val="00DB42FC"/>
    <w:rsid w:val="00DB43A1"/>
    <w:rsid w:val="00DB5AB6"/>
    <w:rsid w:val="00DB6124"/>
    <w:rsid w:val="00DB6A7B"/>
    <w:rsid w:val="00DB750B"/>
    <w:rsid w:val="00DB75B7"/>
    <w:rsid w:val="00DC0A2F"/>
    <w:rsid w:val="00DC1948"/>
    <w:rsid w:val="00DC6E02"/>
    <w:rsid w:val="00DD1BD7"/>
    <w:rsid w:val="00DD28CD"/>
    <w:rsid w:val="00DE02AE"/>
    <w:rsid w:val="00DE39D1"/>
    <w:rsid w:val="00DF1D7F"/>
    <w:rsid w:val="00DF4BE4"/>
    <w:rsid w:val="00E02382"/>
    <w:rsid w:val="00E02FB4"/>
    <w:rsid w:val="00E03DF3"/>
    <w:rsid w:val="00E07BA4"/>
    <w:rsid w:val="00E12887"/>
    <w:rsid w:val="00E13FC7"/>
    <w:rsid w:val="00E20571"/>
    <w:rsid w:val="00E235F7"/>
    <w:rsid w:val="00E23659"/>
    <w:rsid w:val="00E239D4"/>
    <w:rsid w:val="00E25485"/>
    <w:rsid w:val="00E26130"/>
    <w:rsid w:val="00E262C9"/>
    <w:rsid w:val="00E36F53"/>
    <w:rsid w:val="00E40B22"/>
    <w:rsid w:val="00E44ED1"/>
    <w:rsid w:val="00E45619"/>
    <w:rsid w:val="00E4588F"/>
    <w:rsid w:val="00E46DA3"/>
    <w:rsid w:val="00E51BB1"/>
    <w:rsid w:val="00E5525E"/>
    <w:rsid w:val="00E55CB0"/>
    <w:rsid w:val="00E624A5"/>
    <w:rsid w:val="00E64BA4"/>
    <w:rsid w:val="00E64BE2"/>
    <w:rsid w:val="00E71F9C"/>
    <w:rsid w:val="00E7344E"/>
    <w:rsid w:val="00E74AC5"/>
    <w:rsid w:val="00E82665"/>
    <w:rsid w:val="00E82956"/>
    <w:rsid w:val="00E86CD2"/>
    <w:rsid w:val="00E90C5D"/>
    <w:rsid w:val="00EA2342"/>
    <w:rsid w:val="00EA7531"/>
    <w:rsid w:val="00EB0798"/>
    <w:rsid w:val="00EB1807"/>
    <w:rsid w:val="00EB40AD"/>
    <w:rsid w:val="00EB586E"/>
    <w:rsid w:val="00EB5FC8"/>
    <w:rsid w:val="00EC17A3"/>
    <w:rsid w:val="00EC1F20"/>
    <w:rsid w:val="00EC388B"/>
    <w:rsid w:val="00EC463D"/>
    <w:rsid w:val="00EC7A85"/>
    <w:rsid w:val="00ED1C01"/>
    <w:rsid w:val="00ED2922"/>
    <w:rsid w:val="00ED3CAD"/>
    <w:rsid w:val="00ED5A41"/>
    <w:rsid w:val="00EE1DE8"/>
    <w:rsid w:val="00EE27C2"/>
    <w:rsid w:val="00EE42BA"/>
    <w:rsid w:val="00EE45D8"/>
    <w:rsid w:val="00EF188D"/>
    <w:rsid w:val="00EF284C"/>
    <w:rsid w:val="00EF4BAD"/>
    <w:rsid w:val="00EF4F7C"/>
    <w:rsid w:val="00EF59DC"/>
    <w:rsid w:val="00EF6BE5"/>
    <w:rsid w:val="00F033EC"/>
    <w:rsid w:val="00F04F68"/>
    <w:rsid w:val="00F12670"/>
    <w:rsid w:val="00F1460F"/>
    <w:rsid w:val="00F14B27"/>
    <w:rsid w:val="00F14B9B"/>
    <w:rsid w:val="00F14F77"/>
    <w:rsid w:val="00F16A56"/>
    <w:rsid w:val="00F2263D"/>
    <w:rsid w:val="00F3148D"/>
    <w:rsid w:val="00F325C5"/>
    <w:rsid w:val="00F32FE0"/>
    <w:rsid w:val="00F35298"/>
    <w:rsid w:val="00F47333"/>
    <w:rsid w:val="00F47E37"/>
    <w:rsid w:val="00F53C07"/>
    <w:rsid w:val="00F53EDB"/>
    <w:rsid w:val="00F54B65"/>
    <w:rsid w:val="00F5665D"/>
    <w:rsid w:val="00F61639"/>
    <w:rsid w:val="00F640B6"/>
    <w:rsid w:val="00F66DF2"/>
    <w:rsid w:val="00F7506E"/>
    <w:rsid w:val="00F806B8"/>
    <w:rsid w:val="00F80C8B"/>
    <w:rsid w:val="00F80E40"/>
    <w:rsid w:val="00F848D9"/>
    <w:rsid w:val="00FA5069"/>
    <w:rsid w:val="00FA5B82"/>
    <w:rsid w:val="00FA639E"/>
    <w:rsid w:val="00FB1463"/>
    <w:rsid w:val="00FC1363"/>
    <w:rsid w:val="00FC1CE0"/>
    <w:rsid w:val="00FC1FCA"/>
    <w:rsid w:val="00FC25E4"/>
    <w:rsid w:val="00FC4EF7"/>
    <w:rsid w:val="00FC68F2"/>
    <w:rsid w:val="00FD0824"/>
    <w:rsid w:val="00FD1054"/>
    <w:rsid w:val="00FD119B"/>
    <w:rsid w:val="00FD1EDC"/>
    <w:rsid w:val="00FE1DEE"/>
    <w:rsid w:val="00FE6EC4"/>
    <w:rsid w:val="00FE7E15"/>
    <w:rsid w:val="00FF2126"/>
    <w:rsid w:val="00FF2EB7"/>
    <w:rsid w:val="00FF49C5"/>
    <w:rsid w:val="00FF5755"/>
    <w:rsid w:val="00FF69BE"/>
    <w:rsid w:val="00FF7B93"/>
    <w:rsid w:val="120EB65C"/>
    <w:rsid w:val="146A1CE9"/>
    <w:rsid w:val="188C6646"/>
    <w:rsid w:val="20DB402A"/>
    <w:rsid w:val="2AF812F0"/>
    <w:rsid w:val="2B3BDAEF"/>
    <w:rsid w:val="2B513447"/>
    <w:rsid w:val="2C07BFCC"/>
    <w:rsid w:val="31E3C859"/>
    <w:rsid w:val="33AF3E8F"/>
    <w:rsid w:val="3991A2D1"/>
    <w:rsid w:val="3D45F09B"/>
    <w:rsid w:val="43D86C8D"/>
    <w:rsid w:val="454C25EC"/>
    <w:rsid w:val="4E42954D"/>
    <w:rsid w:val="5975673B"/>
    <w:rsid w:val="5B8DED8D"/>
    <w:rsid w:val="68F6F5EB"/>
    <w:rsid w:val="78DC5007"/>
    <w:rsid w:val="7CC5E8F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D6568B"/>
  <w15:docId w15:val="{959EEFCC-0A5E-4684-BCF6-6EF816B8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1769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semiHidden/>
    <w:unhideWhenUsed/>
    <w:rsid w:val="00F16A5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F16A5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rsid w:val="00A2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6253">
      <w:bodyDiv w:val="1"/>
      <w:marLeft w:val="0"/>
      <w:marRight w:val="0"/>
      <w:marTop w:val="0"/>
      <w:marBottom w:val="0"/>
      <w:divBdr>
        <w:top w:val="none" w:sz="0" w:space="0" w:color="auto"/>
        <w:left w:val="none" w:sz="0" w:space="0" w:color="auto"/>
        <w:bottom w:val="none" w:sz="0" w:space="0" w:color="auto"/>
        <w:right w:val="none" w:sz="0" w:space="0" w:color="auto"/>
      </w:divBdr>
    </w:div>
    <w:div w:id="6199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ga.gov.au" TargetMode="External"/><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ga.gov.au/product-information-pi"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hyperlink" Target="https://www.tga.gov.a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hyperlink" Target="mailto:info@tga.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4.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ga.copyright@tga.gov.au" TargetMode="External"/><Relationship Id="rId22" Type="http://schemas.openxmlformats.org/officeDocument/2006/relationships/image" Target="media/image2.png"/><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header" Target="header8.xml"/><Relationship Id="R4623edcfd1cb4206"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pr\AppData\Local\Hewlett-Packard\HP%20TRIM\TEMP\HPTRIM.626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40752654B01549BDF8ABFE2C935047" ma:contentTypeVersion="13" ma:contentTypeDescription="Create a new document." ma:contentTypeScope="" ma:versionID="443fdbf3188c14693e1a955c7f0ae17c">
  <xsd:schema xmlns:xsd="http://www.w3.org/2001/XMLSchema" xmlns:xs="http://www.w3.org/2001/XMLSchema" xmlns:p="http://schemas.microsoft.com/office/2006/metadata/properties" xmlns:ns3="9b30b5c6-7252-4761-a140-2ee15b546460" xmlns:ns4="c1ffbfd8-0203-4a4f-90b1-2946e88127f9" targetNamespace="http://schemas.microsoft.com/office/2006/metadata/properties" ma:root="true" ma:fieldsID="7c19605a3c4d85c7c0d5f6d7a13965ed" ns3:_="" ns4:_="">
    <xsd:import namespace="9b30b5c6-7252-4761-a140-2ee15b546460"/>
    <xsd:import namespace="c1ffbfd8-0203-4a4f-90b1-2946e88127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0b5c6-7252-4761-a140-2ee15b54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fbfd8-0203-4a4f-90b1-2946e88127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0EEA-30D5-4E6F-9384-7BF22EAD9563}">
  <ds:schemaRefs>
    <ds:schemaRef ds:uri="http://purl.org/dc/elements/1.1/"/>
    <ds:schemaRef ds:uri="http://schemas.microsoft.com/office/2006/metadata/properties"/>
    <ds:schemaRef ds:uri="c1ffbfd8-0203-4a4f-90b1-2946e88127f9"/>
    <ds:schemaRef ds:uri="http://purl.org/dc/terms/"/>
    <ds:schemaRef ds:uri="9b30b5c6-7252-4761-a140-2ee15b54646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B322DF-416C-4914-A32C-87CAE016DC02}">
  <ds:schemaRefs>
    <ds:schemaRef ds:uri="http://schemas.microsoft.com/office/2006/documentManagement/types"/>
    <ds:schemaRef ds:uri="http://purl.org/dc/elements/1.1/"/>
    <ds:schemaRef ds:uri="http://schemas.microsoft.com/office/2006/metadata/properties"/>
    <ds:schemaRef ds:uri="c1ffbfd8-0203-4a4f-90b1-2946e88127f9"/>
    <ds:schemaRef ds:uri="http://schemas.microsoft.com/office/infopath/2007/PartnerControls"/>
    <ds:schemaRef ds:uri="http://purl.org/dc/terms/"/>
    <ds:schemaRef ds:uri="9b30b5c6-7252-4761-a140-2ee15b54646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74FB17-AF89-41ED-AFA0-D0E429DA51FF}">
  <ds:schemaRefs>
    <ds:schemaRef ds:uri="http://schemas.microsoft.com/sharepoint/v3/contenttype/forms"/>
  </ds:schemaRefs>
</ds:datastoreItem>
</file>

<file path=customXml/itemProps4.xml><?xml version="1.0" encoding="utf-8"?>
<ds:datastoreItem xmlns:ds="http://schemas.openxmlformats.org/officeDocument/2006/customXml" ds:itemID="{22B5E26E-6322-49DF-A59A-326BB43D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0b5c6-7252-4761-a140-2ee15b546460"/>
    <ds:schemaRef ds:uri="c1ffbfd8-0203-4a4f-90b1-2946e8812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85185C-45BE-4F65-A52B-106BE60A24B8}">
  <ds:schemaRefs>
    <ds:schemaRef ds:uri="http://schemas.microsoft.com/sharepoint/v3/contenttype/forms"/>
  </ds:schemaRefs>
</ds:datastoreItem>
</file>

<file path=customXml/itemProps6.xml><?xml version="1.0" encoding="utf-8"?>
<ds:datastoreItem xmlns:ds="http://schemas.openxmlformats.org/officeDocument/2006/customXml" ds:itemID="{ABF3C483-BC4B-41AB-A062-1F3E60AC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80</TotalTime>
  <Pages>34</Pages>
  <Words>10550</Words>
  <Characters>60135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Australian public assessment report for Voretigene neparvovec</vt:lpstr>
    </vt:vector>
  </TitlesOfParts>
  <Company>Department of Health Therapeutic Goods Administration</Company>
  <LinksUpToDate>false</LinksUpToDate>
  <CharactersWithSpaces>70544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Voretigene neparvovec</dc:title>
  <dc:subject>prescription medicines</dc:subject>
  <dc:creator> Therapeutic Goods Administration</dc:creator>
  <cp:keywords/>
  <cp:lastPrinted>2019-08-14T04:30:00Z</cp:lastPrinted>
  <dcterms:created xsi:type="dcterms:W3CDTF">2020-12-15T21:58:00Z</dcterms:created>
  <dcterms:modified xsi:type="dcterms:W3CDTF">2020-12-15T23:23:00Z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2020-11-11T08:38:25Z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fd5fcd0a-fede-4894-997d-f4b93d59d194</vt:lpwstr>
  </property>
  <property fmtid="{D5CDD505-2E9C-101B-9397-08002B2CF9AE}" pid="8" name="MSIP_Label_4929bff8-5b33-42aa-95d2-28f72e792cb0_ContentBits">
    <vt:lpwstr>0</vt:lpwstr>
  </property>
  <property fmtid="{D5CDD505-2E9C-101B-9397-08002B2CF9AE}" pid="9" name="ContentTypeId">
    <vt:lpwstr>0x010100D040752654B01549BDF8ABFE2C935047</vt:lpwstr>
  </property>
</Properties>
</file>