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3A2C6069" w14:textId="77777777" w:rsidTr="00BF1190">
        <w:trPr>
          <w:trHeight w:val="1863"/>
        </w:trPr>
        <w:tc>
          <w:tcPr>
            <w:tcW w:w="3652" w:type="dxa"/>
            <w:tcBorders>
              <w:top w:val="nil"/>
              <w:left w:val="nil"/>
              <w:bottom w:val="nil"/>
              <w:right w:val="nil"/>
            </w:tcBorders>
          </w:tcPr>
          <w:p w14:paraId="1A0B2F90" w14:textId="0D6B7DBA" w:rsidR="008E7846" w:rsidRPr="00096AA7" w:rsidRDefault="00AF6B0D" w:rsidP="00096AA7">
            <w:pPr>
              <w:rPr>
                <w:rFonts w:ascii="Arial" w:hAnsi="Arial" w:cs="Arial"/>
                <w:b/>
                <w:color w:val="002C47"/>
                <w:sz w:val="36"/>
                <w:szCs w:val="36"/>
              </w:rPr>
            </w:pPr>
            <w:r>
              <w:rPr>
                <w:rFonts w:ascii="Arial" w:hAnsi="Arial" w:cs="Arial"/>
                <w:b/>
                <w:color w:val="002C47"/>
                <w:sz w:val="36"/>
                <w:szCs w:val="36"/>
              </w:rPr>
              <w:t>October</w:t>
            </w:r>
            <w:r w:rsidR="009C733C">
              <w:rPr>
                <w:rFonts w:ascii="Arial" w:hAnsi="Arial" w:cs="Arial"/>
                <w:b/>
                <w:color w:val="002C47"/>
                <w:sz w:val="36"/>
                <w:szCs w:val="36"/>
              </w:rPr>
              <w:t xml:space="preserve"> </w:t>
            </w:r>
            <w:r w:rsidR="00554C19">
              <w:rPr>
                <w:rFonts w:ascii="Arial" w:hAnsi="Arial" w:cs="Arial"/>
                <w:b/>
                <w:color w:val="002C47"/>
                <w:sz w:val="36"/>
                <w:szCs w:val="36"/>
              </w:rPr>
              <w:t>2020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F05FD47" w14:textId="77777777" w:rsidTr="0032583B">
        <w:trPr>
          <w:trHeight w:val="868"/>
        </w:trPr>
        <w:tc>
          <w:tcPr>
            <w:tcW w:w="9079" w:type="dxa"/>
          </w:tcPr>
          <w:p w14:paraId="537B5F5B" w14:textId="77777777" w:rsidR="0032583B" w:rsidRPr="00A964D1" w:rsidRDefault="0032583B" w:rsidP="00460036">
            <w:pPr>
              <w:pStyle w:val="Title"/>
              <w:rPr>
                <w:color w:val="FFFFFF" w:themeColor="background1"/>
              </w:rPr>
            </w:pPr>
            <w:r w:rsidRPr="00A964D1">
              <w:rPr>
                <w:color w:val="FFFFFF" w:themeColor="background1"/>
              </w:rPr>
              <w:t>Australia</w:t>
            </w:r>
            <w:r w:rsidR="00554C19">
              <w:rPr>
                <w:color w:val="FFFFFF" w:themeColor="background1"/>
              </w:rPr>
              <w:t xml:space="preserve">n Public Assessment Report for </w:t>
            </w:r>
            <w:proofErr w:type="spellStart"/>
            <w:r w:rsidR="00554C19">
              <w:rPr>
                <w:color w:val="FFFFFF" w:themeColor="background1"/>
              </w:rPr>
              <w:t>Vonicog</w:t>
            </w:r>
            <w:proofErr w:type="spellEnd"/>
            <w:r w:rsidR="00554C19">
              <w:rPr>
                <w:color w:val="FFFFFF" w:themeColor="background1"/>
              </w:rPr>
              <w:t xml:space="preserve"> </w:t>
            </w:r>
            <w:proofErr w:type="spellStart"/>
            <w:r w:rsidR="00554C19">
              <w:rPr>
                <w:color w:val="FFFFFF" w:themeColor="background1"/>
              </w:rPr>
              <w:t>alfa</w:t>
            </w:r>
            <w:proofErr w:type="spellEnd"/>
          </w:p>
        </w:tc>
      </w:tr>
      <w:tr w:rsidR="0032583B" w:rsidRPr="00B64760" w14:paraId="1670CC4A" w14:textId="77777777" w:rsidTr="0032583B">
        <w:tc>
          <w:tcPr>
            <w:tcW w:w="9079" w:type="dxa"/>
          </w:tcPr>
          <w:p w14:paraId="63D250C0" w14:textId="77777777" w:rsidR="0032583B" w:rsidRPr="008E7846" w:rsidRDefault="00554C19" w:rsidP="00460036">
            <w:pPr>
              <w:pStyle w:val="Subtitle"/>
              <w:rPr>
                <w:color w:val="FFFFFF" w:themeColor="background1"/>
              </w:rPr>
            </w:pPr>
            <w:r>
              <w:rPr>
                <w:color w:val="FFFFFF" w:themeColor="background1"/>
              </w:rPr>
              <w:t>Proprietary Product Name: Veyvondi</w:t>
            </w:r>
          </w:p>
        </w:tc>
      </w:tr>
      <w:tr w:rsidR="0032583B" w:rsidRPr="00B64760" w14:paraId="15F2518F" w14:textId="77777777" w:rsidTr="0032583B">
        <w:trPr>
          <w:trHeight w:val="486"/>
        </w:trPr>
        <w:tc>
          <w:tcPr>
            <w:tcW w:w="9079" w:type="dxa"/>
          </w:tcPr>
          <w:p w14:paraId="0059F400" w14:textId="245A5E1F" w:rsidR="0032583B" w:rsidRPr="008E7846" w:rsidRDefault="00554C19" w:rsidP="0032583B">
            <w:pPr>
              <w:pStyle w:val="Subtitle"/>
              <w:rPr>
                <w:color w:val="FFFFFF" w:themeColor="background1"/>
              </w:rPr>
            </w:pPr>
            <w:r>
              <w:rPr>
                <w:color w:val="FFFFFF" w:themeColor="background1"/>
              </w:rPr>
              <w:t xml:space="preserve">Sponsor: </w:t>
            </w:r>
            <w:r w:rsidRPr="00554C19">
              <w:rPr>
                <w:color w:val="FFFFFF" w:themeColor="background1"/>
              </w:rPr>
              <w:t>Shire Australia Pty Limited</w:t>
            </w:r>
            <w:r w:rsidR="005A7B14">
              <w:rPr>
                <w:color w:val="FFFFFF" w:themeColor="background1"/>
              </w:rPr>
              <w:t xml:space="preserve"> (now Takeda Pharmaceuticals Australia Pty Ltd)</w:t>
            </w:r>
          </w:p>
        </w:tc>
      </w:tr>
    </w:tbl>
    <w:p w14:paraId="0C2F9F37" w14:textId="77777777" w:rsidR="008E7846" w:rsidRPr="0085156D" w:rsidRDefault="008E7846" w:rsidP="0085156D">
      <w:r w:rsidRPr="0085156D">
        <w:br w:type="page"/>
      </w:r>
    </w:p>
    <w:p w14:paraId="19FBAEAC" w14:textId="77777777" w:rsidR="008E7846" w:rsidRPr="001F6CBA" w:rsidRDefault="008E7846" w:rsidP="008E7846">
      <w:pPr>
        <w:pStyle w:val="NonTOCHeading2"/>
      </w:pPr>
      <w:r w:rsidRPr="001F6CBA">
        <w:lastRenderedPageBreak/>
        <w:t>About the Therapeutic Goods Administration (TGA)</w:t>
      </w:r>
    </w:p>
    <w:p w14:paraId="6768B02A"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363B29AF"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16BAF63E"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1D856FEF"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2323DB46" w14:textId="1EB5FF4C"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319FCFCB" w14:textId="77777777" w:rsidR="008E7846" w:rsidRDefault="008E7846" w:rsidP="00875A6B">
      <w:pPr>
        <w:pStyle w:val="NonTOCHeading2"/>
      </w:pPr>
      <w:r>
        <w:t>About AusPARs</w:t>
      </w:r>
    </w:p>
    <w:p w14:paraId="5AF35D89"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455832DA" w14:textId="77777777" w:rsidR="008E7846" w:rsidRDefault="008E7846" w:rsidP="008E7846">
      <w:pPr>
        <w:pStyle w:val="ListBullet"/>
        <w:numPr>
          <w:ilvl w:val="0"/>
          <w:numId w:val="3"/>
        </w:numPr>
        <w:ind w:left="357" w:hanging="357"/>
      </w:pPr>
      <w:r>
        <w:t>AusPARs are prepared and published by the TGA.</w:t>
      </w:r>
    </w:p>
    <w:p w14:paraId="63A3A61E"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1828AD55"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6B8E66F3"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47AE2806" w14:textId="77777777" w:rsidR="00C26201" w:rsidRPr="00DF1D7F" w:rsidRDefault="00C26201" w:rsidP="00C26201">
      <w:pPr>
        <w:pStyle w:val="LegalSubheading"/>
        <w:spacing w:before="3120"/>
      </w:pPr>
      <w:bookmarkStart w:id="0" w:name="_Toc351716269"/>
      <w:bookmarkStart w:id="1" w:name="_Toc351718881"/>
      <w:bookmarkStart w:id="2" w:name="_Toc355338616"/>
      <w:bookmarkStart w:id="3" w:name="_Toc356306144"/>
      <w:bookmarkStart w:id="4" w:name="_Toc247691501"/>
      <w:bookmarkStart w:id="5" w:name="_Toc314842482"/>
      <w:bookmarkStart w:id="6" w:name="_Toc196046425"/>
      <w:r w:rsidRPr="00DF1D7F">
        <w:t>Copyright</w:t>
      </w:r>
    </w:p>
    <w:p w14:paraId="7F424A30" w14:textId="470FBF1B" w:rsidR="00C26201" w:rsidRDefault="00C26201" w:rsidP="00C26201">
      <w:pPr>
        <w:pStyle w:val="LegalCopy"/>
      </w:pPr>
      <w:r w:rsidRPr="00191B3B">
        <w:rPr>
          <w:rFonts w:cs="Arial"/>
          <w:lang w:val="en-GB"/>
        </w:rPr>
        <w:t>© Comm</w:t>
      </w:r>
      <w:r>
        <w:rPr>
          <w:rFonts w:cs="Arial"/>
          <w:lang w:val="en-GB"/>
        </w:rPr>
        <w:t>onwealth of Australia 2020</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095A53BF" w14:textId="77777777" w:rsidR="004B7DE2" w:rsidRDefault="004B7DE2" w:rsidP="004B7DE2">
      <w:pPr>
        <w:pStyle w:val="ListBullet"/>
        <w:sectPr w:rsidR="004B7DE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sdt>
      <w:sdtPr>
        <w:rPr>
          <w:rFonts w:ascii="Cambria" w:hAnsi="Cambria"/>
          <w:b w:val="0"/>
          <w:bCs/>
          <w:sz w:val="22"/>
        </w:rPr>
        <w:id w:val="5618007"/>
        <w:docPartObj>
          <w:docPartGallery w:val="Table of Contents"/>
          <w:docPartUnique/>
        </w:docPartObj>
      </w:sdtPr>
      <w:sdtEndPr>
        <w:rPr>
          <w:bCs w:val="0"/>
        </w:rPr>
      </w:sdtEndPr>
      <w:sdtContent>
        <w:p w14:paraId="2472947C" w14:textId="60888CAB" w:rsidR="00C26201" w:rsidRPr="00C26201" w:rsidRDefault="00C26201" w:rsidP="00C26201">
          <w:pPr>
            <w:pStyle w:val="Contents"/>
          </w:pPr>
          <w:r w:rsidRPr="0010788A">
            <w:t>Conte</w:t>
          </w:r>
          <w:bookmarkStart w:id="7" w:name="_GoBack"/>
          <w:bookmarkEnd w:id="7"/>
          <w:r w:rsidRPr="0010788A">
            <w:t>nts</w:t>
          </w:r>
        </w:p>
        <w:p w14:paraId="0C12D970" w14:textId="5F25751C" w:rsidR="00061954" w:rsidRDefault="004B7DE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54175016" w:history="1">
            <w:r w:rsidR="00061954" w:rsidRPr="00D452B9">
              <w:rPr>
                <w:rStyle w:val="Hyperlink"/>
                <w:noProof/>
              </w:rPr>
              <w:t>Common abbreviations</w:t>
            </w:r>
            <w:r w:rsidR="00061954">
              <w:rPr>
                <w:noProof/>
                <w:webHidden/>
              </w:rPr>
              <w:tab/>
            </w:r>
            <w:r w:rsidR="00061954">
              <w:rPr>
                <w:noProof/>
                <w:webHidden/>
              </w:rPr>
              <w:fldChar w:fldCharType="begin"/>
            </w:r>
            <w:r w:rsidR="00061954">
              <w:rPr>
                <w:noProof/>
                <w:webHidden/>
              </w:rPr>
              <w:instrText xml:space="preserve"> PAGEREF _Toc54175016 \h </w:instrText>
            </w:r>
            <w:r w:rsidR="00061954">
              <w:rPr>
                <w:noProof/>
                <w:webHidden/>
              </w:rPr>
            </w:r>
            <w:r w:rsidR="00061954">
              <w:rPr>
                <w:noProof/>
                <w:webHidden/>
              </w:rPr>
              <w:fldChar w:fldCharType="separate"/>
            </w:r>
            <w:r w:rsidR="00061954">
              <w:rPr>
                <w:noProof/>
                <w:webHidden/>
              </w:rPr>
              <w:t>4</w:t>
            </w:r>
            <w:r w:rsidR="00061954">
              <w:rPr>
                <w:noProof/>
                <w:webHidden/>
              </w:rPr>
              <w:fldChar w:fldCharType="end"/>
            </w:r>
          </w:hyperlink>
        </w:p>
        <w:p w14:paraId="4A2C665E" w14:textId="7E50D0C0" w:rsidR="00061954" w:rsidRDefault="00061954">
          <w:pPr>
            <w:pStyle w:val="TOC1"/>
            <w:rPr>
              <w:rFonts w:asciiTheme="minorHAnsi" w:eastAsiaTheme="minorEastAsia" w:hAnsiTheme="minorHAnsi" w:cstheme="minorBidi"/>
              <w:b w:val="0"/>
              <w:noProof/>
              <w:sz w:val="22"/>
              <w:lang w:eastAsia="en-AU"/>
            </w:rPr>
          </w:pPr>
          <w:hyperlink w:anchor="_Toc54175017" w:history="1">
            <w:r w:rsidRPr="00D452B9">
              <w:rPr>
                <w:rStyle w:val="Hyperlink"/>
                <w:noProof/>
              </w:rPr>
              <w:t>I. Introduction to product submission</w:t>
            </w:r>
            <w:r>
              <w:rPr>
                <w:noProof/>
                <w:webHidden/>
              </w:rPr>
              <w:tab/>
            </w:r>
            <w:r>
              <w:rPr>
                <w:noProof/>
                <w:webHidden/>
              </w:rPr>
              <w:fldChar w:fldCharType="begin"/>
            </w:r>
            <w:r>
              <w:rPr>
                <w:noProof/>
                <w:webHidden/>
              </w:rPr>
              <w:instrText xml:space="preserve"> PAGEREF _Toc54175017 \h </w:instrText>
            </w:r>
            <w:r>
              <w:rPr>
                <w:noProof/>
                <w:webHidden/>
              </w:rPr>
            </w:r>
            <w:r>
              <w:rPr>
                <w:noProof/>
                <w:webHidden/>
              </w:rPr>
              <w:fldChar w:fldCharType="separate"/>
            </w:r>
            <w:r>
              <w:rPr>
                <w:noProof/>
                <w:webHidden/>
              </w:rPr>
              <w:t>6</w:t>
            </w:r>
            <w:r>
              <w:rPr>
                <w:noProof/>
                <w:webHidden/>
              </w:rPr>
              <w:fldChar w:fldCharType="end"/>
            </w:r>
          </w:hyperlink>
        </w:p>
        <w:p w14:paraId="24600555" w14:textId="36704FE2" w:rsidR="00061954" w:rsidRDefault="00061954">
          <w:pPr>
            <w:pStyle w:val="TOC2"/>
            <w:rPr>
              <w:rFonts w:asciiTheme="minorHAnsi" w:eastAsiaTheme="minorEastAsia" w:hAnsiTheme="minorHAnsi" w:cstheme="minorBidi"/>
              <w:b w:val="0"/>
              <w:noProof/>
              <w:sz w:val="22"/>
              <w:lang w:eastAsia="en-AU"/>
            </w:rPr>
          </w:pPr>
          <w:hyperlink w:anchor="_Toc54175018" w:history="1">
            <w:r w:rsidRPr="00D452B9">
              <w:rPr>
                <w:rStyle w:val="Hyperlink"/>
                <w:noProof/>
                <w:lang w:eastAsia="en-AU"/>
              </w:rPr>
              <w:t>Submission details</w:t>
            </w:r>
            <w:r>
              <w:rPr>
                <w:noProof/>
                <w:webHidden/>
              </w:rPr>
              <w:tab/>
            </w:r>
            <w:r>
              <w:rPr>
                <w:noProof/>
                <w:webHidden/>
              </w:rPr>
              <w:fldChar w:fldCharType="begin"/>
            </w:r>
            <w:r>
              <w:rPr>
                <w:noProof/>
                <w:webHidden/>
              </w:rPr>
              <w:instrText xml:space="preserve"> PAGEREF _Toc54175018 \h </w:instrText>
            </w:r>
            <w:r>
              <w:rPr>
                <w:noProof/>
                <w:webHidden/>
              </w:rPr>
            </w:r>
            <w:r>
              <w:rPr>
                <w:noProof/>
                <w:webHidden/>
              </w:rPr>
              <w:fldChar w:fldCharType="separate"/>
            </w:r>
            <w:r>
              <w:rPr>
                <w:noProof/>
                <w:webHidden/>
              </w:rPr>
              <w:t>6</w:t>
            </w:r>
            <w:r>
              <w:rPr>
                <w:noProof/>
                <w:webHidden/>
              </w:rPr>
              <w:fldChar w:fldCharType="end"/>
            </w:r>
          </w:hyperlink>
        </w:p>
        <w:p w14:paraId="12B957E9" w14:textId="36953D48" w:rsidR="00061954" w:rsidRDefault="00061954">
          <w:pPr>
            <w:pStyle w:val="TOC2"/>
            <w:rPr>
              <w:rFonts w:asciiTheme="minorHAnsi" w:eastAsiaTheme="minorEastAsia" w:hAnsiTheme="minorHAnsi" w:cstheme="minorBidi"/>
              <w:b w:val="0"/>
              <w:noProof/>
              <w:sz w:val="22"/>
              <w:lang w:eastAsia="en-AU"/>
            </w:rPr>
          </w:pPr>
          <w:hyperlink w:anchor="_Toc54175019" w:history="1">
            <w:r w:rsidRPr="00D452B9">
              <w:rPr>
                <w:rStyle w:val="Hyperlink"/>
                <w:noProof/>
              </w:rPr>
              <w:t>Product background</w:t>
            </w:r>
            <w:r>
              <w:rPr>
                <w:noProof/>
                <w:webHidden/>
              </w:rPr>
              <w:tab/>
            </w:r>
            <w:r>
              <w:rPr>
                <w:noProof/>
                <w:webHidden/>
              </w:rPr>
              <w:fldChar w:fldCharType="begin"/>
            </w:r>
            <w:r>
              <w:rPr>
                <w:noProof/>
                <w:webHidden/>
              </w:rPr>
              <w:instrText xml:space="preserve"> PAGEREF _Toc54175019 \h </w:instrText>
            </w:r>
            <w:r>
              <w:rPr>
                <w:noProof/>
                <w:webHidden/>
              </w:rPr>
            </w:r>
            <w:r>
              <w:rPr>
                <w:noProof/>
                <w:webHidden/>
              </w:rPr>
              <w:fldChar w:fldCharType="separate"/>
            </w:r>
            <w:r>
              <w:rPr>
                <w:noProof/>
                <w:webHidden/>
              </w:rPr>
              <w:t>8</w:t>
            </w:r>
            <w:r>
              <w:rPr>
                <w:noProof/>
                <w:webHidden/>
              </w:rPr>
              <w:fldChar w:fldCharType="end"/>
            </w:r>
          </w:hyperlink>
        </w:p>
        <w:p w14:paraId="6B6E4ACD" w14:textId="7C7B8401" w:rsidR="00061954" w:rsidRDefault="00061954">
          <w:pPr>
            <w:pStyle w:val="TOC2"/>
            <w:rPr>
              <w:rFonts w:asciiTheme="minorHAnsi" w:eastAsiaTheme="minorEastAsia" w:hAnsiTheme="minorHAnsi" w:cstheme="minorBidi"/>
              <w:b w:val="0"/>
              <w:noProof/>
              <w:sz w:val="22"/>
              <w:lang w:eastAsia="en-AU"/>
            </w:rPr>
          </w:pPr>
          <w:hyperlink w:anchor="_Toc54175020" w:history="1">
            <w:r w:rsidRPr="00D452B9">
              <w:rPr>
                <w:rStyle w:val="Hyperlink"/>
                <w:noProof/>
              </w:rPr>
              <w:t>Regulatory status</w:t>
            </w:r>
            <w:r>
              <w:rPr>
                <w:noProof/>
                <w:webHidden/>
              </w:rPr>
              <w:tab/>
            </w:r>
            <w:r>
              <w:rPr>
                <w:noProof/>
                <w:webHidden/>
              </w:rPr>
              <w:fldChar w:fldCharType="begin"/>
            </w:r>
            <w:r>
              <w:rPr>
                <w:noProof/>
                <w:webHidden/>
              </w:rPr>
              <w:instrText xml:space="preserve"> PAGEREF _Toc54175020 \h </w:instrText>
            </w:r>
            <w:r>
              <w:rPr>
                <w:noProof/>
                <w:webHidden/>
              </w:rPr>
            </w:r>
            <w:r>
              <w:rPr>
                <w:noProof/>
                <w:webHidden/>
              </w:rPr>
              <w:fldChar w:fldCharType="separate"/>
            </w:r>
            <w:r>
              <w:rPr>
                <w:noProof/>
                <w:webHidden/>
              </w:rPr>
              <w:t>9</w:t>
            </w:r>
            <w:r>
              <w:rPr>
                <w:noProof/>
                <w:webHidden/>
              </w:rPr>
              <w:fldChar w:fldCharType="end"/>
            </w:r>
          </w:hyperlink>
        </w:p>
        <w:p w14:paraId="01388D6B" w14:textId="63E8894B" w:rsidR="00061954" w:rsidRDefault="00061954">
          <w:pPr>
            <w:pStyle w:val="TOC2"/>
            <w:rPr>
              <w:rFonts w:asciiTheme="minorHAnsi" w:eastAsiaTheme="minorEastAsia" w:hAnsiTheme="minorHAnsi" w:cstheme="minorBidi"/>
              <w:b w:val="0"/>
              <w:noProof/>
              <w:sz w:val="22"/>
              <w:lang w:eastAsia="en-AU"/>
            </w:rPr>
          </w:pPr>
          <w:hyperlink w:anchor="_Toc54175021" w:history="1">
            <w:r w:rsidRPr="00D452B9">
              <w:rPr>
                <w:rStyle w:val="Hyperlink"/>
                <w:noProof/>
              </w:rPr>
              <w:t>Product Information</w:t>
            </w:r>
            <w:r>
              <w:rPr>
                <w:noProof/>
                <w:webHidden/>
              </w:rPr>
              <w:tab/>
            </w:r>
            <w:r>
              <w:rPr>
                <w:noProof/>
                <w:webHidden/>
              </w:rPr>
              <w:fldChar w:fldCharType="begin"/>
            </w:r>
            <w:r>
              <w:rPr>
                <w:noProof/>
                <w:webHidden/>
              </w:rPr>
              <w:instrText xml:space="preserve"> PAGEREF _Toc54175021 \h </w:instrText>
            </w:r>
            <w:r>
              <w:rPr>
                <w:noProof/>
                <w:webHidden/>
              </w:rPr>
            </w:r>
            <w:r>
              <w:rPr>
                <w:noProof/>
                <w:webHidden/>
              </w:rPr>
              <w:fldChar w:fldCharType="separate"/>
            </w:r>
            <w:r>
              <w:rPr>
                <w:noProof/>
                <w:webHidden/>
              </w:rPr>
              <w:t>10</w:t>
            </w:r>
            <w:r>
              <w:rPr>
                <w:noProof/>
                <w:webHidden/>
              </w:rPr>
              <w:fldChar w:fldCharType="end"/>
            </w:r>
          </w:hyperlink>
        </w:p>
        <w:p w14:paraId="7195E78F" w14:textId="338FD909" w:rsidR="00061954" w:rsidRDefault="00061954">
          <w:pPr>
            <w:pStyle w:val="TOC1"/>
            <w:rPr>
              <w:rFonts w:asciiTheme="minorHAnsi" w:eastAsiaTheme="minorEastAsia" w:hAnsiTheme="minorHAnsi" w:cstheme="minorBidi"/>
              <w:b w:val="0"/>
              <w:noProof/>
              <w:sz w:val="22"/>
              <w:lang w:eastAsia="en-AU"/>
            </w:rPr>
          </w:pPr>
          <w:hyperlink w:anchor="_Toc54175022" w:history="1">
            <w:r w:rsidRPr="00D452B9">
              <w:rPr>
                <w:rStyle w:val="Hyperlink"/>
                <w:noProof/>
              </w:rPr>
              <w:t>II. Registration timeline</w:t>
            </w:r>
            <w:r>
              <w:rPr>
                <w:noProof/>
                <w:webHidden/>
              </w:rPr>
              <w:tab/>
            </w:r>
            <w:r>
              <w:rPr>
                <w:noProof/>
                <w:webHidden/>
              </w:rPr>
              <w:fldChar w:fldCharType="begin"/>
            </w:r>
            <w:r>
              <w:rPr>
                <w:noProof/>
                <w:webHidden/>
              </w:rPr>
              <w:instrText xml:space="preserve"> PAGEREF _Toc54175022 \h </w:instrText>
            </w:r>
            <w:r>
              <w:rPr>
                <w:noProof/>
                <w:webHidden/>
              </w:rPr>
            </w:r>
            <w:r>
              <w:rPr>
                <w:noProof/>
                <w:webHidden/>
              </w:rPr>
              <w:fldChar w:fldCharType="separate"/>
            </w:r>
            <w:r>
              <w:rPr>
                <w:noProof/>
                <w:webHidden/>
              </w:rPr>
              <w:t>10</w:t>
            </w:r>
            <w:r>
              <w:rPr>
                <w:noProof/>
                <w:webHidden/>
              </w:rPr>
              <w:fldChar w:fldCharType="end"/>
            </w:r>
          </w:hyperlink>
        </w:p>
        <w:p w14:paraId="1EE140CE" w14:textId="5921CB5D" w:rsidR="00061954" w:rsidRDefault="00061954">
          <w:pPr>
            <w:pStyle w:val="TOC1"/>
            <w:rPr>
              <w:rFonts w:asciiTheme="minorHAnsi" w:eastAsiaTheme="minorEastAsia" w:hAnsiTheme="minorHAnsi" w:cstheme="minorBidi"/>
              <w:b w:val="0"/>
              <w:noProof/>
              <w:sz w:val="22"/>
              <w:lang w:eastAsia="en-AU"/>
            </w:rPr>
          </w:pPr>
          <w:hyperlink w:anchor="_Toc54175023" w:history="1">
            <w:r w:rsidRPr="00D452B9">
              <w:rPr>
                <w:rStyle w:val="Hyperlink"/>
                <w:noProof/>
              </w:rPr>
              <w:t>III. Submission overview and risk/benefit assessment</w:t>
            </w:r>
            <w:r>
              <w:rPr>
                <w:noProof/>
                <w:webHidden/>
              </w:rPr>
              <w:tab/>
            </w:r>
            <w:r>
              <w:rPr>
                <w:noProof/>
                <w:webHidden/>
              </w:rPr>
              <w:fldChar w:fldCharType="begin"/>
            </w:r>
            <w:r>
              <w:rPr>
                <w:noProof/>
                <w:webHidden/>
              </w:rPr>
              <w:instrText xml:space="preserve"> PAGEREF _Toc54175023 \h </w:instrText>
            </w:r>
            <w:r>
              <w:rPr>
                <w:noProof/>
                <w:webHidden/>
              </w:rPr>
            </w:r>
            <w:r>
              <w:rPr>
                <w:noProof/>
                <w:webHidden/>
              </w:rPr>
              <w:fldChar w:fldCharType="separate"/>
            </w:r>
            <w:r>
              <w:rPr>
                <w:noProof/>
                <w:webHidden/>
              </w:rPr>
              <w:t>11</w:t>
            </w:r>
            <w:r>
              <w:rPr>
                <w:noProof/>
                <w:webHidden/>
              </w:rPr>
              <w:fldChar w:fldCharType="end"/>
            </w:r>
          </w:hyperlink>
        </w:p>
        <w:p w14:paraId="427FD469" w14:textId="6A37E8DF" w:rsidR="00061954" w:rsidRDefault="00061954">
          <w:pPr>
            <w:pStyle w:val="TOC2"/>
            <w:rPr>
              <w:rFonts w:asciiTheme="minorHAnsi" w:eastAsiaTheme="minorEastAsia" w:hAnsiTheme="minorHAnsi" w:cstheme="minorBidi"/>
              <w:b w:val="0"/>
              <w:noProof/>
              <w:sz w:val="22"/>
              <w:lang w:eastAsia="en-AU"/>
            </w:rPr>
          </w:pPr>
          <w:hyperlink w:anchor="_Toc54175024" w:history="1">
            <w:r w:rsidRPr="00D452B9">
              <w:rPr>
                <w:rStyle w:val="Hyperlink"/>
                <w:noProof/>
              </w:rPr>
              <w:t>Quality</w:t>
            </w:r>
            <w:r>
              <w:rPr>
                <w:noProof/>
                <w:webHidden/>
              </w:rPr>
              <w:tab/>
            </w:r>
            <w:r>
              <w:rPr>
                <w:noProof/>
                <w:webHidden/>
              </w:rPr>
              <w:fldChar w:fldCharType="begin"/>
            </w:r>
            <w:r>
              <w:rPr>
                <w:noProof/>
                <w:webHidden/>
              </w:rPr>
              <w:instrText xml:space="preserve"> PAGEREF _Toc54175024 \h </w:instrText>
            </w:r>
            <w:r>
              <w:rPr>
                <w:noProof/>
                <w:webHidden/>
              </w:rPr>
            </w:r>
            <w:r>
              <w:rPr>
                <w:noProof/>
                <w:webHidden/>
              </w:rPr>
              <w:fldChar w:fldCharType="separate"/>
            </w:r>
            <w:r>
              <w:rPr>
                <w:noProof/>
                <w:webHidden/>
              </w:rPr>
              <w:t>11</w:t>
            </w:r>
            <w:r>
              <w:rPr>
                <w:noProof/>
                <w:webHidden/>
              </w:rPr>
              <w:fldChar w:fldCharType="end"/>
            </w:r>
          </w:hyperlink>
        </w:p>
        <w:p w14:paraId="3D04951D" w14:textId="1235FBBE" w:rsidR="00061954" w:rsidRDefault="00061954">
          <w:pPr>
            <w:pStyle w:val="TOC2"/>
            <w:rPr>
              <w:rFonts w:asciiTheme="minorHAnsi" w:eastAsiaTheme="minorEastAsia" w:hAnsiTheme="minorHAnsi" w:cstheme="minorBidi"/>
              <w:b w:val="0"/>
              <w:noProof/>
              <w:sz w:val="22"/>
              <w:lang w:eastAsia="en-AU"/>
            </w:rPr>
          </w:pPr>
          <w:hyperlink w:anchor="_Toc54175025" w:history="1">
            <w:r w:rsidRPr="00D452B9">
              <w:rPr>
                <w:rStyle w:val="Hyperlink"/>
                <w:noProof/>
              </w:rPr>
              <w:t>Nonclinical</w:t>
            </w:r>
            <w:r>
              <w:rPr>
                <w:noProof/>
                <w:webHidden/>
              </w:rPr>
              <w:tab/>
            </w:r>
            <w:r>
              <w:rPr>
                <w:noProof/>
                <w:webHidden/>
              </w:rPr>
              <w:fldChar w:fldCharType="begin"/>
            </w:r>
            <w:r>
              <w:rPr>
                <w:noProof/>
                <w:webHidden/>
              </w:rPr>
              <w:instrText xml:space="preserve"> PAGEREF _Toc54175025 \h </w:instrText>
            </w:r>
            <w:r>
              <w:rPr>
                <w:noProof/>
                <w:webHidden/>
              </w:rPr>
            </w:r>
            <w:r>
              <w:rPr>
                <w:noProof/>
                <w:webHidden/>
              </w:rPr>
              <w:fldChar w:fldCharType="separate"/>
            </w:r>
            <w:r>
              <w:rPr>
                <w:noProof/>
                <w:webHidden/>
              </w:rPr>
              <w:t>12</w:t>
            </w:r>
            <w:r>
              <w:rPr>
                <w:noProof/>
                <w:webHidden/>
              </w:rPr>
              <w:fldChar w:fldCharType="end"/>
            </w:r>
          </w:hyperlink>
        </w:p>
        <w:p w14:paraId="73D9529F" w14:textId="442A6F3D" w:rsidR="00061954" w:rsidRDefault="00061954">
          <w:pPr>
            <w:pStyle w:val="TOC2"/>
            <w:rPr>
              <w:rFonts w:asciiTheme="minorHAnsi" w:eastAsiaTheme="minorEastAsia" w:hAnsiTheme="minorHAnsi" w:cstheme="minorBidi"/>
              <w:b w:val="0"/>
              <w:noProof/>
              <w:sz w:val="22"/>
              <w:lang w:eastAsia="en-AU"/>
            </w:rPr>
          </w:pPr>
          <w:hyperlink w:anchor="_Toc54175026" w:history="1">
            <w:r w:rsidRPr="00D452B9">
              <w:rPr>
                <w:rStyle w:val="Hyperlink"/>
                <w:noProof/>
              </w:rPr>
              <w:t>Clinical</w:t>
            </w:r>
            <w:r>
              <w:rPr>
                <w:noProof/>
                <w:webHidden/>
              </w:rPr>
              <w:tab/>
            </w:r>
            <w:r>
              <w:rPr>
                <w:noProof/>
                <w:webHidden/>
              </w:rPr>
              <w:fldChar w:fldCharType="begin"/>
            </w:r>
            <w:r>
              <w:rPr>
                <w:noProof/>
                <w:webHidden/>
              </w:rPr>
              <w:instrText xml:space="preserve"> PAGEREF _Toc54175026 \h </w:instrText>
            </w:r>
            <w:r>
              <w:rPr>
                <w:noProof/>
                <w:webHidden/>
              </w:rPr>
            </w:r>
            <w:r>
              <w:rPr>
                <w:noProof/>
                <w:webHidden/>
              </w:rPr>
              <w:fldChar w:fldCharType="separate"/>
            </w:r>
            <w:r>
              <w:rPr>
                <w:noProof/>
                <w:webHidden/>
              </w:rPr>
              <w:t>13</w:t>
            </w:r>
            <w:r>
              <w:rPr>
                <w:noProof/>
                <w:webHidden/>
              </w:rPr>
              <w:fldChar w:fldCharType="end"/>
            </w:r>
          </w:hyperlink>
        </w:p>
        <w:p w14:paraId="73439CD6" w14:textId="05782B26" w:rsidR="00061954" w:rsidRDefault="00061954">
          <w:pPr>
            <w:pStyle w:val="TOC2"/>
            <w:rPr>
              <w:rFonts w:asciiTheme="minorHAnsi" w:eastAsiaTheme="minorEastAsia" w:hAnsiTheme="minorHAnsi" w:cstheme="minorBidi"/>
              <w:b w:val="0"/>
              <w:noProof/>
              <w:sz w:val="22"/>
              <w:lang w:eastAsia="en-AU"/>
            </w:rPr>
          </w:pPr>
          <w:hyperlink w:anchor="_Toc54175027" w:history="1">
            <w:r w:rsidRPr="00D452B9">
              <w:rPr>
                <w:rStyle w:val="Hyperlink"/>
                <w:noProof/>
                <w:lang w:eastAsia="en-AU"/>
              </w:rPr>
              <w:t>Risk management plan</w:t>
            </w:r>
            <w:r>
              <w:rPr>
                <w:noProof/>
                <w:webHidden/>
              </w:rPr>
              <w:tab/>
            </w:r>
            <w:r>
              <w:rPr>
                <w:noProof/>
                <w:webHidden/>
              </w:rPr>
              <w:fldChar w:fldCharType="begin"/>
            </w:r>
            <w:r>
              <w:rPr>
                <w:noProof/>
                <w:webHidden/>
              </w:rPr>
              <w:instrText xml:space="preserve"> PAGEREF _Toc54175027 \h </w:instrText>
            </w:r>
            <w:r>
              <w:rPr>
                <w:noProof/>
                <w:webHidden/>
              </w:rPr>
            </w:r>
            <w:r>
              <w:rPr>
                <w:noProof/>
                <w:webHidden/>
              </w:rPr>
              <w:fldChar w:fldCharType="separate"/>
            </w:r>
            <w:r>
              <w:rPr>
                <w:noProof/>
                <w:webHidden/>
              </w:rPr>
              <w:t>20</w:t>
            </w:r>
            <w:r>
              <w:rPr>
                <w:noProof/>
                <w:webHidden/>
              </w:rPr>
              <w:fldChar w:fldCharType="end"/>
            </w:r>
          </w:hyperlink>
        </w:p>
        <w:p w14:paraId="03E4C059" w14:textId="38C35346" w:rsidR="00061954" w:rsidRDefault="00061954">
          <w:pPr>
            <w:pStyle w:val="TOC2"/>
            <w:rPr>
              <w:rFonts w:asciiTheme="minorHAnsi" w:eastAsiaTheme="minorEastAsia" w:hAnsiTheme="minorHAnsi" w:cstheme="minorBidi"/>
              <w:b w:val="0"/>
              <w:noProof/>
              <w:sz w:val="22"/>
              <w:lang w:eastAsia="en-AU"/>
            </w:rPr>
          </w:pPr>
          <w:hyperlink w:anchor="_Toc54175028" w:history="1">
            <w:r w:rsidRPr="00D452B9">
              <w:rPr>
                <w:rStyle w:val="Hyperlink"/>
                <w:noProof/>
              </w:rPr>
              <w:t>Risk-benefit analysis</w:t>
            </w:r>
            <w:r>
              <w:rPr>
                <w:noProof/>
                <w:webHidden/>
              </w:rPr>
              <w:tab/>
            </w:r>
            <w:r>
              <w:rPr>
                <w:noProof/>
                <w:webHidden/>
              </w:rPr>
              <w:fldChar w:fldCharType="begin"/>
            </w:r>
            <w:r>
              <w:rPr>
                <w:noProof/>
                <w:webHidden/>
              </w:rPr>
              <w:instrText xml:space="preserve"> PAGEREF _Toc54175028 \h </w:instrText>
            </w:r>
            <w:r>
              <w:rPr>
                <w:noProof/>
                <w:webHidden/>
              </w:rPr>
            </w:r>
            <w:r>
              <w:rPr>
                <w:noProof/>
                <w:webHidden/>
              </w:rPr>
              <w:fldChar w:fldCharType="separate"/>
            </w:r>
            <w:r>
              <w:rPr>
                <w:noProof/>
                <w:webHidden/>
              </w:rPr>
              <w:t>21</w:t>
            </w:r>
            <w:r>
              <w:rPr>
                <w:noProof/>
                <w:webHidden/>
              </w:rPr>
              <w:fldChar w:fldCharType="end"/>
            </w:r>
          </w:hyperlink>
        </w:p>
        <w:p w14:paraId="79B3BA85" w14:textId="58AD4375" w:rsidR="00061954" w:rsidRDefault="00061954">
          <w:pPr>
            <w:pStyle w:val="TOC2"/>
            <w:rPr>
              <w:rFonts w:asciiTheme="minorHAnsi" w:eastAsiaTheme="minorEastAsia" w:hAnsiTheme="minorHAnsi" w:cstheme="minorBidi"/>
              <w:b w:val="0"/>
              <w:noProof/>
              <w:sz w:val="22"/>
              <w:lang w:eastAsia="en-AU"/>
            </w:rPr>
          </w:pPr>
          <w:hyperlink w:anchor="_Toc54175029" w:history="1">
            <w:r w:rsidRPr="00D452B9">
              <w:rPr>
                <w:rStyle w:val="Hyperlink"/>
                <w:noProof/>
              </w:rPr>
              <w:t>Outcome</w:t>
            </w:r>
            <w:r>
              <w:rPr>
                <w:noProof/>
                <w:webHidden/>
              </w:rPr>
              <w:tab/>
            </w:r>
            <w:r>
              <w:rPr>
                <w:noProof/>
                <w:webHidden/>
              </w:rPr>
              <w:fldChar w:fldCharType="begin"/>
            </w:r>
            <w:r>
              <w:rPr>
                <w:noProof/>
                <w:webHidden/>
              </w:rPr>
              <w:instrText xml:space="preserve"> PAGEREF _Toc54175029 \h </w:instrText>
            </w:r>
            <w:r>
              <w:rPr>
                <w:noProof/>
                <w:webHidden/>
              </w:rPr>
            </w:r>
            <w:r>
              <w:rPr>
                <w:noProof/>
                <w:webHidden/>
              </w:rPr>
              <w:fldChar w:fldCharType="separate"/>
            </w:r>
            <w:r>
              <w:rPr>
                <w:noProof/>
                <w:webHidden/>
              </w:rPr>
              <w:t>22</w:t>
            </w:r>
            <w:r>
              <w:rPr>
                <w:noProof/>
                <w:webHidden/>
              </w:rPr>
              <w:fldChar w:fldCharType="end"/>
            </w:r>
          </w:hyperlink>
        </w:p>
        <w:p w14:paraId="7F077640" w14:textId="0592153D" w:rsidR="00061954" w:rsidRDefault="00061954">
          <w:pPr>
            <w:pStyle w:val="TOC1"/>
            <w:rPr>
              <w:rFonts w:asciiTheme="minorHAnsi" w:eastAsiaTheme="minorEastAsia" w:hAnsiTheme="minorHAnsi" w:cstheme="minorBidi"/>
              <w:b w:val="0"/>
              <w:noProof/>
              <w:sz w:val="22"/>
              <w:lang w:eastAsia="en-AU"/>
            </w:rPr>
          </w:pPr>
          <w:hyperlink w:anchor="_Toc54175030" w:history="1">
            <w:r w:rsidRPr="00D452B9">
              <w:rPr>
                <w:rStyle w:val="Hyperlink"/>
                <w:noProof/>
              </w:rPr>
              <w:t>Attachment 1. Product Information</w:t>
            </w:r>
            <w:r>
              <w:rPr>
                <w:noProof/>
                <w:webHidden/>
              </w:rPr>
              <w:tab/>
            </w:r>
            <w:r>
              <w:rPr>
                <w:noProof/>
                <w:webHidden/>
              </w:rPr>
              <w:fldChar w:fldCharType="begin"/>
            </w:r>
            <w:r>
              <w:rPr>
                <w:noProof/>
                <w:webHidden/>
              </w:rPr>
              <w:instrText xml:space="preserve"> PAGEREF _Toc54175030 \h </w:instrText>
            </w:r>
            <w:r>
              <w:rPr>
                <w:noProof/>
                <w:webHidden/>
              </w:rPr>
            </w:r>
            <w:r>
              <w:rPr>
                <w:noProof/>
                <w:webHidden/>
              </w:rPr>
              <w:fldChar w:fldCharType="separate"/>
            </w:r>
            <w:r>
              <w:rPr>
                <w:noProof/>
                <w:webHidden/>
              </w:rPr>
              <w:t>23</w:t>
            </w:r>
            <w:r>
              <w:rPr>
                <w:noProof/>
                <w:webHidden/>
              </w:rPr>
              <w:fldChar w:fldCharType="end"/>
            </w:r>
          </w:hyperlink>
        </w:p>
        <w:p w14:paraId="70CF8165" w14:textId="1D34C268" w:rsidR="00C26201" w:rsidRDefault="004B7DE2" w:rsidP="00C26201">
          <w:pPr>
            <w:pStyle w:val="ListBullet"/>
            <w:numPr>
              <w:ilvl w:val="0"/>
              <w:numId w:val="0"/>
            </w:numPr>
          </w:pPr>
          <w:r>
            <w:fldChar w:fldCharType="end"/>
          </w:r>
        </w:p>
      </w:sdtContent>
    </w:sdt>
    <w:p w14:paraId="738E922F" w14:textId="114074DA" w:rsidR="004B7DE2" w:rsidRDefault="004B7DE2" w:rsidP="004B7DE2">
      <w:pPr>
        <w:pStyle w:val="ListBullet"/>
      </w:pPr>
      <w:r>
        <w:br w:type="page"/>
      </w:r>
    </w:p>
    <w:p w14:paraId="59CBBE88" w14:textId="77777777" w:rsidR="00FD119B" w:rsidRDefault="00441C3F" w:rsidP="004F0C4A">
      <w:pPr>
        <w:pStyle w:val="Heading2"/>
      </w:pPr>
      <w:bookmarkStart w:id="8" w:name="_Toc54175016"/>
      <w:r>
        <w:lastRenderedPageBreak/>
        <w:t>Common</w:t>
      </w:r>
      <w:r w:rsidR="00FD119B" w:rsidRPr="00FD119B">
        <w:t xml:space="preserve"> abbreviations</w:t>
      </w:r>
      <w:bookmarkEnd w:id="0"/>
      <w:bookmarkEnd w:id="1"/>
      <w:bookmarkEnd w:id="2"/>
      <w:bookmarkEnd w:id="3"/>
      <w:bookmarkEnd w:id="8"/>
    </w:p>
    <w:tbl>
      <w:tblPr>
        <w:tblStyle w:val="TableTGAblue"/>
        <w:tblW w:w="0" w:type="auto"/>
        <w:tblLook w:val="04A0" w:firstRow="1" w:lastRow="0" w:firstColumn="1" w:lastColumn="0" w:noHBand="0" w:noVBand="1"/>
      </w:tblPr>
      <w:tblGrid>
        <w:gridCol w:w="1890"/>
        <w:gridCol w:w="6830"/>
      </w:tblGrid>
      <w:tr w:rsidR="009F70D2" w:rsidRPr="00FD119B" w14:paraId="43DF1FF2" w14:textId="77777777" w:rsidTr="009F70D2">
        <w:trPr>
          <w:cnfStyle w:val="100000000000" w:firstRow="1" w:lastRow="0" w:firstColumn="0" w:lastColumn="0" w:oddVBand="0" w:evenVBand="0" w:oddHBand="0" w:evenHBand="0" w:firstRowFirstColumn="0" w:firstRowLastColumn="0" w:lastRowFirstColumn="0" w:lastRowLastColumn="0"/>
        </w:trPr>
        <w:tc>
          <w:tcPr>
            <w:tcW w:w="1890" w:type="dxa"/>
            <w:tcBorders>
              <w:top w:val="single" w:sz="4" w:space="0" w:color="auto"/>
              <w:left w:val="single" w:sz="4" w:space="0" w:color="auto"/>
              <w:bottom w:val="single" w:sz="4" w:space="0" w:color="auto"/>
              <w:right w:val="single" w:sz="4" w:space="0" w:color="auto"/>
            </w:tcBorders>
          </w:tcPr>
          <w:p w14:paraId="5B762F23" w14:textId="77777777" w:rsidR="009F70D2" w:rsidRPr="00FD119B" w:rsidRDefault="009F70D2" w:rsidP="00C715E4">
            <w:pPr>
              <w:rPr>
                <w:lang w:eastAsia="en-US"/>
              </w:rPr>
            </w:pPr>
            <w:r w:rsidRPr="00FD119B">
              <w:rPr>
                <w:lang w:eastAsia="en-US"/>
              </w:rPr>
              <w:t>Abbreviation</w:t>
            </w:r>
          </w:p>
        </w:tc>
        <w:tc>
          <w:tcPr>
            <w:tcW w:w="6830" w:type="dxa"/>
            <w:tcBorders>
              <w:top w:val="single" w:sz="4" w:space="0" w:color="auto"/>
              <w:left w:val="single" w:sz="4" w:space="0" w:color="auto"/>
              <w:bottom w:val="single" w:sz="4" w:space="0" w:color="auto"/>
              <w:right w:val="single" w:sz="4" w:space="0" w:color="auto"/>
            </w:tcBorders>
          </w:tcPr>
          <w:p w14:paraId="5FFB39A4" w14:textId="77777777" w:rsidR="009F70D2" w:rsidRPr="00FD119B" w:rsidRDefault="009F70D2" w:rsidP="00C715E4">
            <w:pPr>
              <w:rPr>
                <w:lang w:eastAsia="en-US"/>
              </w:rPr>
            </w:pPr>
            <w:r w:rsidRPr="00FD119B">
              <w:rPr>
                <w:lang w:eastAsia="en-US"/>
              </w:rPr>
              <w:t>Meaning</w:t>
            </w:r>
          </w:p>
        </w:tc>
      </w:tr>
      <w:tr w:rsidR="009F70D2" w:rsidRPr="00FD119B" w14:paraId="43B93D26" w14:textId="77777777" w:rsidTr="009F70D2">
        <w:tc>
          <w:tcPr>
            <w:tcW w:w="1890" w:type="dxa"/>
            <w:tcBorders>
              <w:top w:val="single" w:sz="4" w:space="0" w:color="auto"/>
            </w:tcBorders>
          </w:tcPr>
          <w:p w14:paraId="6925F55B" w14:textId="77777777" w:rsidR="009F70D2" w:rsidRPr="00210E8A" w:rsidRDefault="009F70D2" w:rsidP="00210E8A">
            <w:r w:rsidRPr="00210E8A">
              <w:t>ACM</w:t>
            </w:r>
          </w:p>
        </w:tc>
        <w:tc>
          <w:tcPr>
            <w:tcW w:w="6830" w:type="dxa"/>
            <w:tcBorders>
              <w:top w:val="single" w:sz="4" w:space="0" w:color="auto"/>
            </w:tcBorders>
          </w:tcPr>
          <w:p w14:paraId="70428A1C" w14:textId="77777777" w:rsidR="009F70D2" w:rsidRPr="00210E8A" w:rsidRDefault="009F70D2" w:rsidP="00210E8A">
            <w:r w:rsidRPr="00210E8A">
              <w:t>Advisory Committee on Medicines</w:t>
            </w:r>
          </w:p>
        </w:tc>
      </w:tr>
      <w:tr w:rsidR="00E4233C" w:rsidRPr="00FD119B" w14:paraId="744E5E4A" w14:textId="77777777" w:rsidTr="009F70D2">
        <w:tc>
          <w:tcPr>
            <w:tcW w:w="1890" w:type="dxa"/>
            <w:tcBorders>
              <w:top w:val="single" w:sz="4" w:space="0" w:color="auto"/>
            </w:tcBorders>
          </w:tcPr>
          <w:p w14:paraId="50E44868" w14:textId="6CF55704" w:rsidR="00E4233C" w:rsidRPr="00210E8A" w:rsidRDefault="00E4233C" w:rsidP="00210E8A">
            <w:r>
              <w:t>ADAMTS13</w:t>
            </w:r>
          </w:p>
        </w:tc>
        <w:tc>
          <w:tcPr>
            <w:tcW w:w="6830" w:type="dxa"/>
            <w:tcBorders>
              <w:top w:val="single" w:sz="4" w:space="0" w:color="auto"/>
            </w:tcBorders>
          </w:tcPr>
          <w:p w14:paraId="60BAAB66" w14:textId="1831E549" w:rsidR="00E4233C" w:rsidRPr="00210E8A" w:rsidRDefault="00E4233C" w:rsidP="00210E8A">
            <w:r>
              <w:t xml:space="preserve">A </w:t>
            </w:r>
            <w:proofErr w:type="spellStart"/>
            <w:r w:rsidRPr="00E4233C">
              <w:t>disintegrin</w:t>
            </w:r>
            <w:proofErr w:type="spellEnd"/>
            <w:r w:rsidRPr="00E4233C">
              <w:t xml:space="preserve"> and metalloproteinase with a thrombospondin type 1 motif, member 13</w:t>
            </w:r>
          </w:p>
        </w:tc>
      </w:tr>
      <w:tr w:rsidR="009F70D2" w:rsidRPr="00FD119B" w14:paraId="6DB42C81" w14:textId="77777777" w:rsidTr="009F70D2">
        <w:tc>
          <w:tcPr>
            <w:tcW w:w="1890" w:type="dxa"/>
            <w:tcBorders>
              <w:top w:val="single" w:sz="4" w:space="0" w:color="auto"/>
            </w:tcBorders>
          </w:tcPr>
          <w:p w14:paraId="346BA0B7" w14:textId="77777777" w:rsidR="009F70D2" w:rsidRPr="00210E8A" w:rsidRDefault="009F70D2" w:rsidP="00210E8A">
            <w:r w:rsidRPr="00210E8A">
              <w:t>ARGPM</w:t>
            </w:r>
          </w:p>
        </w:tc>
        <w:tc>
          <w:tcPr>
            <w:tcW w:w="6830" w:type="dxa"/>
            <w:tcBorders>
              <w:top w:val="single" w:sz="4" w:space="0" w:color="auto"/>
            </w:tcBorders>
          </w:tcPr>
          <w:p w14:paraId="20015204" w14:textId="77777777" w:rsidR="009F70D2" w:rsidRPr="00210E8A" w:rsidRDefault="009F70D2" w:rsidP="00210E8A">
            <w:r w:rsidRPr="00210E8A">
              <w:t>Australian Regulatory Guidelines for Prescription Medicines</w:t>
            </w:r>
          </w:p>
        </w:tc>
      </w:tr>
      <w:tr w:rsidR="009F70D2" w:rsidRPr="00FD119B" w14:paraId="70A59862" w14:textId="77777777" w:rsidTr="009F70D2">
        <w:tc>
          <w:tcPr>
            <w:tcW w:w="1890" w:type="dxa"/>
          </w:tcPr>
          <w:p w14:paraId="341C54E3" w14:textId="77777777" w:rsidR="009F70D2" w:rsidRPr="00210E8A" w:rsidRDefault="009F70D2" w:rsidP="00210E8A">
            <w:r w:rsidRPr="00210E8A">
              <w:t>ARTG</w:t>
            </w:r>
          </w:p>
        </w:tc>
        <w:tc>
          <w:tcPr>
            <w:tcW w:w="6830" w:type="dxa"/>
          </w:tcPr>
          <w:p w14:paraId="3DF16467" w14:textId="77777777" w:rsidR="009F70D2" w:rsidRPr="00210E8A" w:rsidRDefault="009F70D2" w:rsidP="00210E8A">
            <w:r w:rsidRPr="00210E8A">
              <w:t>Australian Register of Therapeutic Goods</w:t>
            </w:r>
          </w:p>
        </w:tc>
      </w:tr>
      <w:tr w:rsidR="009F70D2" w:rsidRPr="00FD119B" w14:paraId="4B4D6094" w14:textId="77777777" w:rsidTr="009F70D2">
        <w:tc>
          <w:tcPr>
            <w:tcW w:w="1890" w:type="dxa"/>
            <w:tcBorders>
              <w:top w:val="single" w:sz="4" w:space="0" w:color="auto"/>
            </w:tcBorders>
          </w:tcPr>
          <w:p w14:paraId="1BD3E70F" w14:textId="77777777" w:rsidR="009F70D2" w:rsidRPr="00210E8A" w:rsidRDefault="009F70D2" w:rsidP="00210E8A">
            <w:r w:rsidRPr="00210E8A">
              <w:t>ASA</w:t>
            </w:r>
          </w:p>
        </w:tc>
        <w:tc>
          <w:tcPr>
            <w:tcW w:w="6830" w:type="dxa"/>
            <w:tcBorders>
              <w:top w:val="single" w:sz="4" w:space="0" w:color="auto"/>
            </w:tcBorders>
          </w:tcPr>
          <w:p w14:paraId="2B53DCE1" w14:textId="77777777" w:rsidR="009F70D2" w:rsidRPr="00210E8A" w:rsidRDefault="009F70D2" w:rsidP="00210E8A">
            <w:r w:rsidRPr="00210E8A">
              <w:t>Australian specific Annex</w:t>
            </w:r>
          </w:p>
        </w:tc>
      </w:tr>
      <w:tr w:rsidR="004B7DE2" w:rsidRPr="00FD119B" w14:paraId="68F6242F" w14:textId="77777777" w:rsidTr="009F70D2">
        <w:tc>
          <w:tcPr>
            <w:tcW w:w="1890" w:type="dxa"/>
            <w:tcBorders>
              <w:top w:val="single" w:sz="4" w:space="0" w:color="auto"/>
            </w:tcBorders>
          </w:tcPr>
          <w:p w14:paraId="4529C157" w14:textId="16BA5A03" w:rsidR="004B7DE2" w:rsidRPr="00210E8A" w:rsidRDefault="004B7DE2" w:rsidP="00210E8A">
            <w:r>
              <w:t>AUC</w:t>
            </w:r>
          </w:p>
        </w:tc>
        <w:tc>
          <w:tcPr>
            <w:tcW w:w="6830" w:type="dxa"/>
            <w:tcBorders>
              <w:top w:val="single" w:sz="4" w:space="0" w:color="auto"/>
            </w:tcBorders>
          </w:tcPr>
          <w:p w14:paraId="6DEAEF95" w14:textId="0AF3F183" w:rsidR="004B7DE2" w:rsidRPr="00210E8A" w:rsidRDefault="004B7DE2" w:rsidP="004B7DE2">
            <w:r>
              <w:t>A</w:t>
            </w:r>
            <w:r w:rsidRPr="004B7DE2">
              <w:t xml:space="preserve">rea under the </w:t>
            </w:r>
            <w:r>
              <w:t>plasma concentration-time curve</w:t>
            </w:r>
          </w:p>
        </w:tc>
      </w:tr>
      <w:tr w:rsidR="009F70D2" w:rsidRPr="00FD119B" w14:paraId="4D6B112B" w14:textId="77777777" w:rsidTr="009F70D2">
        <w:tc>
          <w:tcPr>
            <w:tcW w:w="1890" w:type="dxa"/>
            <w:tcBorders>
              <w:top w:val="single" w:sz="4" w:space="0" w:color="auto"/>
            </w:tcBorders>
          </w:tcPr>
          <w:p w14:paraId="727EFA7C" w14:textId="77777777" w:rsidR="009F70D2" w:rsidRPr="00210E8A" w:rsidRDefault="009F70D2" w:rsidP="00210E8A">
            <w:r w:rsidRPr="00210E8A">
              <w:t>AUC</w:t>
            </w:r>
            <w:r w:rsidRPr="004F3021">
              <w:rPr>
                <w:vertAlign w:val="subscript"/>
              </w:rPr>
              <w:t>0-inf</w:t>
            </w:r>
          </w:p>
        </w:tc>
        <w:tc>
          <w:tcPr>
            <w:tcW w:w="6830" w:type="dxa"/>
            <w:tcBorders>
              <w:top w:val="single" w:sz="4" w:space="0" w:color="auto"/>
            </w:tcBorders>
          </w:tcPr>
          <w:p w14:paraId="0C5C5665" w14:textId="25DD9FE8" w:rsidR="009F70D2" w:rsidRPr="00210E8A" w:rsidRDefault="009F70D2" w:rsidP="00210E8A">
            <w:r w:rsidRPr="00210E8A">
              <w:t xml:space="preserve">Area under the plasma concentration-time curve from time 0 </w:t>
            </w:r>
            <w:r w:rsidR="000912E4">
              <w:t xml:space="preserve">(dosing) extrapolated </w:t>
            </w:r>
            <w:r w:rsidRPr="00210E8A">
              <w:t>to infinity</w:t>
            </w:r>
          </w:p>
        </w:tc>
      </w:tr>
      <w:tr w:rsidR="009F70D2" w:rsidRPr="00FD119B" w14:paraId="208AB055" w14:textId="77777777" w:rsidTr="009F70D2">
        <w:tc>
          <w:tcPr>
            <w:tcW w:w="1890" w:type="dxa"/>
            <w:tcBorders>
              <w:top w:val="single" w:sz="4" w:space="0" w:color="auto"/>
            </w:tcBorders>
          </w:tcPr>
          <w:p w14:paraId="1F7E8C78" w14:textId="77777777" w:rsidR="009F70D2" w:rsidRPr="00210E8A" w:rsidRDefault="009F70D2" w:rsidP="00210E8A">
            <w:r w:rsidRPr="00210E8A">
              <w:t>BE</w:t>
            </w:r>
          </w:p>
        </w:tc>
        <w:tc>
          <w:tcPr>
            <w:tcW w:w="6830" w:type="dxa"/>
            <w:tcBorders>
              <w:top w:val="single" w:sz="4" w:space="0" w:color="auto"/>
            </w:tcBorders>
          </w:tcPr>
          <w:p w14:paraId="54DF9602" w14:textId="77777777" w:rsidR="009F70D2" w:rsidRPr="00210E8A" w:rsidRDefault="009F70D2" w:rsidP="00210E8A">
            <w:r w:rsidRPr="00210E8A">
              <w:t>Bleeding episode</w:t>
            </w:r>
          </w:p>
        </w:tc>
      </w:tr>
      <w:tr w:rsidR="009F70D2" w:rsidRPr="00FD119B" w14:paraId="3EC3EA44" w14:textId="77777777" w:rsidTr="009F70D2">
        <w:tc>
          <w:tcPr>
            <w:tcW w:w="1890" w:type="dxa"/>
          </w:tcPr>
          <w:p w14:paraId="039B6C0C" w14:textId="77777777" w:rsidR="009F70D2" w:rsidRPr="00210E8A" w:rsidRDefault="009F70D2" w:rsidP="00210E8A">
            <w:r w:rsidRPr="00210E8A">
              <w:t>CHO</w:t>
            </w:r>
          </w:p>
        </w:tc>
        <w:tc>
          <w:tcPr>
            <w:tcW w:w="6830" w:type="dxa"/>
          </w:tcPr>
          <w:p w14:paraId="7C8CC08D" w14:textId="27A0303E" w:rsidR="009F70D2" w:rsidRPr="00210E8A" w:rsidRDefault="009F70D2" w:rsidP="00210E8A">
            <w:r w:rsidRPr="00210E8A">
              <w:t xml:space="preserve">Chinese </w:t>
            </w:r>
            <w:r w:rsidR="000912E4">
              <w:t>h</w:t>
            </w:r>
            <w:r w:rsidRPr="00210E8A">
              <w:t xml:space="preserve">amster </w:t>
            </w:r>
            <w:r w:rsidR="000912E4">
              <w:t>o</w:t>
            </w:r>
            <w:r w:rsidRPr="00210E8A">
              <w:t>vary</w:t>
            </w:r>
          </w:p>
        </w:tc>
      </w:tr>
      <w:tr w:rsidR="009F70D2" w:rsidRPr="00FD119B" w14:paraId="74682C8B" w14:textId="77777777" w:rsidTr="009F70D2">
        <w:tc>
          <w:tcPr>
            <w:tcW w:w="1890" w:type="dxa"/>
            <w:tcBorders>
              <w:top w:val="single" w:sz="4" w:space="0" w:color="auto"/>
            </w:tcBorders>
          </w:tcPr>
          <w:p w14:paraId="7CFF1515" w14:textId="77777777" w:rsidR="009F70D2" w:rsidRPr="00210E8A" w:rsidRDefault="009F70D2" w:rsidP="00210E8A">
            <w:r w:rsidRPr="00210E8A">
              <w:t>CI</w:t>
            </w:r>
          </w:p>
        </w:tc>
        <w:tc>
          <w:tcPr>
            <w:tcW w:w="6830" w:type="dxa"/>
            <w:tcBorders>
              <w:top w:val="single" w:sz="4" w:space="0" w:color="auto"/>
            </w:tcBorders>
          </w:tcPr>
          <w:p w14:paraId="60D8B36C" w14:textId="77777777" w:rsidR="009F70D2" w:rsidRPr="00210E8A" w:rsidRDefault="009F70D2" w:rsidP="00210E8A">
            <w:r w:rsidRPr="00210E8A">
              <w:t>Confidence interval</w:t>
            </w:r>
          </w:p>
        </w:tc>
      </w:tr>
      <w:tr w:rsidR="009F70D2" w:rsidRPr="00FD119B" w14:paraId="71BA30C3" w14:textId="77777777" w:rsidTr="009F70D2">
        <w:tc>
          <w:tcPr>
            <w:tcW w:w="1890" w:type="dxa"/>
            <w:tcBorders>
              <w:top w:val="single" w:sz="4" w:space="0" w:color="auto"/>
            </w:tcBorders>
          </w:tcPr>
          <w:p w14:paraId="5B81C96E" w14:textId="77777777" w:rsidR="009F70D2" w:rsidRPr="00210E8A" w:rsidRDefault="009F70D2" w:rsidP="00210E8A">
            <w:r w:rsidRPr="00210E8A">
              <w:t>CK</w:t>
            </w:r>
          </w:p>
        </w:tc>
        <w:tc>
          <w:tcPr>
            <w:tcW w:w="6830" w:type="dxa"/>
            <w:tcBorders>
              <w:top w:val="single" w:sz="4" w:space="0" w:color="auto"/>
            </w:tcBorders>
          </w:tcPr>
          <w:p w14:paraId="1D196165" w14:textId="74C5C6AF" w:rsidR="009F70D2" w:rsidRPr="00210E8A" w:rsidRDefault="00210E8A" w:rsidP="00210E8A">
            <w:r w:rsidRPr="00210E8A">
              <w:t>C</w:t>
            </w:r>
            <w:r w:rsidR="009F70D2" w:rsidRPr="00210E8A">
              <w:t>ysteine knot</w:t>
            </w:r>
          </w:p>
        </w:tc>
      </w:tr>
      <w:tr w:rsidR="009F70D2" w:rsidRPr="00FD119B" w14:paraId="54FCD367" w14:textId="77777777" w:rsidTr="009F70D2">
        <w:tc>
          <w:tcPr>
            <w:tcW w:w="1890" w:type="dxa"/>
            <w:tcBorders>
              <w:top w:val="single" w:sz="4" w:space="0" w:color="auto"/>
            </w:tcBorders>
          </w:tcPr>
          <w:p w14:paraId="0EED9736" w14:textId="77777777" w:rsidR="009F70D2" w:rsidRPr="00210E8A" w:rsidRDefault="009F70D2" w:rsidP="00210E8A">
            <w:r w:rsidRPr="00210E8A">
              <w:t>CL</w:t>
            </w:r>
          </w:p>
        </w:tc>
        <w:tc>
          <w:tcPr>
            <w:tcW w:w="6830" w:type="dxa"/>
            <w:tcBorders>
              <w:top w:val="single" w:sz="4" w:space="0" w:color="auto"/>
            </w:tcBorders>
          </w:tcPr>
          <w:p w14:paraId="4BCEBB86" w14:textId="77777777" w:rsidR="009F70D2" w:rsidRPr="00210E8A" w:rsidRDefault="009F70D2" w:rsidP="00210E8A">
            <w:r w:rsidRPr="00210E8A">
              <w:t>Clearance</w:t>
            </w:r>
          </w:p>
        </w:tc>
      </w:tr>
      <w:tr w:rsidR="009F70D2" w:rsidRPr="00FD119B" w14:paraId="1F8E2BD4" w14:textId="77777777" w:rsidTr="009F70D2">
        <w:tc>
          <w:tcPr>
            <w:tcW w:w="1890" w:type="dxa"/>
            <w:tcBorders>
              <w:top w:val="single" w:sz="4" w:space="0" w:color="auto"/>
            </w:tcBorders>
          </w:tcPr>
          <w:p w14:paraId="0246FA74" w14:textId="77777777" w:rsidR="009F70D2" w:rsidRPr="00210E8A" w:rsidRDefault="009F70D2" w:rsidP="00210E8A">
            <w:proofErr w:type="spellStart"/>
            <w:r w:rsidRPr="00210E8A">
              <w:t>C</w:t>
            </w:r>
            <w:r w:rsidRPr="007E1DD3">
              <w:rPr>
                <w:vertAlign w:val="subscript"/>
              </w:rPr>
              <w:t>max</w:t>
            </w:r>
            <w:proofErr w:type="spellEnd"/>
          </w:p>
        </w:tc>
        <w:tc>
          <w:tcPr>
            <w:tcW w:w="6830" w:type="dxa"/>
            <w:tcBorders>
              <w:top w:val="single" w:sz="4" w:space="0" w:color="auto"/>
            </w:tcBorders>
          </w:tcPr>
          <w:p w14:paraId="7802D40F" w14:textId="77777777" w:rsidR="009F70D2" w:rsidRPr="00210E8A" w:rsidRDefault="009F70D2" w:rsidP="00210E8A">
            <w:r w:rsidRPr="00210E8A">
              <w:t>Maximum plasma concentration</w:t>
            </w:r>
          </w:p>
        </w:tc>
      </w:tr>
      <w:tr w:rsidR="009F70D2" w:rsidRPr="00FD119B" w14:paraId="551961D1" w14:textId="77777777" w:rsidTr="009F70D2">
        <w:tc>
          <w:tcPr>
            <w:tcW w:w="1890" w:type="dxa"/>
            <w:tcBorders>
              <w:top w:val="single" w:sz="4" w:space="0" w:color="auto"/>
            </w:tcBorders>
          </w:tcPr>
          <w:p w14:paraId="2C342F78" w14:textId="77777777" w:rsidR="009F70D2" w:rsidRPr="00210E8A" w:rsidRDefault="009F70D2" w:rsidP="00210E8A">
            <w:r w:rsidRPr="00210E8A">
              <w:t>CMI</w:t>
            </w:r>
          </w:p>
        </w:tc>
        <w:tc>
          <w:tcPr>
            <w:tcW w:w="6830" w:type="dxa"/>
            <w:tcBorders>
              <w:top w:val="single" w:sz="4" w:space="0" w:color="auto"/>
            </w:tcBorders>
          </w:tcPr>
          <w:p w14:paraId="690DE50F" w14:textId="77777777" w:rsidR="009F70D2" w:rsidRPr="00210E8A" w:rsidRDefault="009F70D2" w:rsidP="00210E8A">
            <w:r w:rsidRPr="00210E8A">
              <w:t>Consumer Medicines Information</w:t>
            </w:r>
          </w:p>
        </w:tc>
      </w:tr>
      <w:tr w:rsidR="009F70D2" w:rsidRPr="00FD119B" w14:paraId="004DDEB8" w14:textId="77777777" w:rsidTr="009F70D2">
        <w:tc>
          <w:tcPr>
            <w:tcW w:w="1890" w:type="dxa"/>
          </w:tcPr>
          <w:p w14:paraId="49CA61F2" w14:textId="77777777" w:rsidR="009F70D2" w:rsidRPr="00210E8A" w:rsidRDefault="009F70D2" w:rsidP="00210E8A">
            <w:r w:rsidRPr="00210E8A">
              <w:t>COR-B</w:t>
            </w:r>
          </w:p>
        </w:tc>
        <w:tc>
          <w:tcPr>
            <w:tcW w:w="6830" w:type="dxa"/>
          </w:tcPr>
          <w:p w14:paraId="741C64A4" w14:textId="77777777" w:rsidR="009F70D2" w:rsidRPr="00210E8A" w:rsidRDefault="009F70D2" w:rsidP="00210E8A">
            <w:r w:rsidRPr="00210E8A">
              <w:t>Comparable Overseas Regulator approach B</w:t>
            </w:r>
          </w:p>
        </w:tc>
      </w:tr>
      <w:tr w:rsidR="009F70D2" w:rsidRPr="00FD119B" w14:paraId="6C19FC23" w14:textId="77777777" w:rsidTr="009F70D2">
        <w:tc>
          <w:tcPr>
            <w:tcW w:w="1890" w:type="dxa"/>
            <w:tcBorders>
              <w:top w:val="single" w:sz="4" w:space="0" w:color="auto"/>
            </w:tcBorders>
          </w:tcPr>
          <w:p w14:paraId="4665E520" w14:textId="77777777" w:rsidR="009F70D2" w:rsidRPr="00210E8A" w:rsidRDefault="009F70D2" w:rsidP="00210E8A">
            <w:r w:rsidRPr="00210E8A">
              <w:t>CPD</w:t>
            </w:r>
          </w:p>
        </w:tc>
        <w:tc>
          <w:tcPr>
            <w:tcW w:w="6830" w:type="dxa"/>
            <w:tcBorders>
              <w:top w:val="single" w:sz="4" w:space="0" w:color="auto"/>
            </w:tcBorders>
          </w:tcPr>
          <w:p w14:paraId="4E13E3E1" w14:textId="77777777" w:rsidR="009F70D2" w:rsidRPr="00210E8A" w:rsidRDefault="009F70D2" w:rsidP="00210E8A">
            <w:r w:rsidRPr="00210E8A">
              <w:t>Certified Product Details</w:t>
            </w:r>
          </w:p>
        </w:tc>
      </w:tr>
      <w:tr w:rsidR="00E260A2" w:rsidRPr="00FD119B" w14:paraId="61613EC9" w14:textId="77777777" w:rsidTr="009F70D2">
        <w:tc>
          <w:tcPr>
            <w:tcW w:w="1890" w:type="dxa"/>
            <w:tcBorders>
              <w:top w:val="single" w:sz="4" w:space="0" w:color="auto"/>
            </w:tcBorders>
          </w:tcPr>
          <w:p w14:paraId="14011B54" w14:textId="667E4FE7" w:rsidR="00E260A2" w:rsidRPr="00210E8A" w:rsidRDefault="00E260A2" w:rsidP="00210E8A">
            <w:r>
              <w:t>DDAVP</w:t>
            </w:r>
          </w:p>
        </w:tc>
        <w:tc>
          <w:tcPr>
            <w:tcW w:w="6830" w:type="dxa"/>
            <w:tcBorders>
              <w:top w:val="single" w:sz="4" w:space="0" w:color="auto"/>
            </w:tcBorders>
          </w:tcPr>
          <w:p w14:paraId="098228BB" w14:textId="447F8213" w:rsidR="00E260A2" w:rsidRPr="00E260A2" w:rsidRDefault="00A5075B" w:rsidP="00210E8A">
            <w:r>
              <w:t>Tradename for d</w:t>
            </w:r>
            <w:r w:rsidR="00E260A2" w:rsidRPr="00E260A2">
              <w:t>esmopressin</w:t>
            </w:r>
            <w:r w:rsidR="000912E4">
              <w:t xml:space="preserve"> (</w:t>
            </w:r>
            <w:r w:rsidR="000912E4" w:rsidRPr="000912E4">
              <w:t>D-amino D-arginine vasopressin)</w:t>
            </w:r>
          </w:p>
        </w:tc>
      </w:tr>
      <w:tr w:rsidR="009F70D2" w:rsidRPr="00FD119B" w14:paraId="27E304D5" w14:textId="77777777" w:rsidTr="009F70D2">
        <w:tc>
          <w:tcPr>
            <w:tcW w:w="1890" w:type="dxa"/>
            <w:tcBorders>
              <w:top w:val="single" w:sz="4" w:space="0" w:color="auto"/>
            </w:tcBorders>
          </w:tcPr>
          <w:p w14:paraId="3BEABCE8" w14:textId="77777777" w:rsidR="009F70D2" w:rsidRPr="00210E8A" w:rsidRDefault="009F70D2" w:rsidP="00210E8A">
            <w:r w:rsidRPr="00210E8A">
              <w:t>DLP</w:t>
            </w:r>
          </w:p>
        </w:tc>
        <w:tc>
          <w:tcPr>
            <w:tcW w:w="6830" w:type="dxa"/>
            <w:tcBorders>
              <w:top w:val="single" w:sz="4" w:space="0" w:color="auto"/>
            </w:tcBorders>
          </w:tcPr>
          <w:p w14:paraId="375DE33A" w14:textId="77777777" w:rsidR="009F70D2" w:rsidRPr="00210E8A" w:rsidRDefault="009F70D2" w:rsidP="00210E8A">
            <w:r w:rsidRPr="00210E8A">
              <w:t>Data lock point</w:t>
            </w:r>
          </w:p>
        </w:tc>
      </w:tr>
      <w:tr w:rsidR="009F70D2" w:rsidRPr="00FD119B" w14:paraId="76C5850E" w14:textId="77777777" w:rsidTr="009F70D2">
        <w:tc>
          <w:tcPr>
            <w:tcW w:w="1890" w:type="dxa"/>
            <w:tcBorders>
              <w:top w:val="single" w:sz="4" w:space="0" w:color="auto"/>
            </w:tcBorders>
          </w:tcPr>
          <w:p w14:paraId="4B3D3446" w14:textId="77777777" w:rsidR="009F70D2" w:rsidRPr="00210E8A" w:rsidRDefault="009F70D2" w:rsidP="00210E8A">
            <w:r w:rsidRPr="00210E8A">
              <w:t>DVT</w:t>
            </w:r>
          </w:p>
        </w:tc>
        <w:tc>
          <w:tcPr>
            <w:tcW w:w="6830" w:type="dxa"/>
            <w:tcBorders>
              <w:top w:val="single" w:sz="4" w:space="0" w:color="auto"/>
            </w:tcBorders>
          </w:tcPr>
          <w:p w14:paraId="060B338E" w14:textId="535A2343" w:rsidR="009F70D2" w:rsidRPr="00210E8A" w:rsidRDefault="00210E8A" w:rsidP="00210E8A">
            <w:r w:rsidRPr="00210E8A">
              <w:t>D</w:t>
            </w:r>
            <w:r w:rsidR="009F70D2" w:rsidRPr="00210E8A">
              <w:t>eep vein thrombosis</w:t>
            </w:r>
          </w:p>
        </w:tc>
      </w:tr>
      <w:tr w:rsidR="009F70D2" w:rsidRPr="00FD119B" w14:paraId="6CC78DC3" w14:textId="77777777" w:rsidTr="009F70D2">
        <w:tc>
          <w:tcPr>
            <w:tcW w:w="1890" w:type="dxa"/>
          </w:tcPr>
          <w:p w14:paraId="128E6C50" w14:textId="77777777" w:rsidR="009F70D2" w:rsidRPr="00210E8A" w:rsidRDefault="009F70D2" w:rsidP="00210E8A">
            <w:r w:rsidRPr="00210E8A">
              <w:t>EMA</w:t>
            </w:r>
          </w:p>
        </w:tc>
        <w:tc>
          <w:tcPr>
            <w:tcW w:w="6830" w:type="dxa"/>
          </w:tcPr>
          <w:p w14:paraId="7CDE0736" w14:textId="26273E3E" w:rsidR="009F70D2" w:rsidRPr="00210E8A" w:rsidRDefault="009F70D2" w:rsidP="00210E8A">
            <w:r w:rsidRPr="00210E8A">
              <w:t>European Medicines Agency</w:t>
            </w:r>
            <w:r w:rsidR="004F3021">
              <w:t xml:space="preserve"> (European Union)</w:t>
            </w:r>
          </w:p>
        </w:tc>
      </w:tr>
      <w:tr w:rsidR="009F70D2" w:rsidRPr="00FD119B" w14:paraId="36292461" w14:textId="77777777" w:rsidTr="009F70D2">
        <w:tc>
          <w:tcPr>
            <w:tcW w:w="1890" w:type="dxa"/>
            <w:tcBorders>
              <w:top w:val="single" w:sz="4" w:space="0" w:color="auto"/>
            </w:tcBorders>
          </w:tcPr>
          <w:p w14:paraId="3E966874" w14:textId="77777777" w:rsidR="009F70D2" w:rsidRPr="00210E8A" w:rsidRDefault="009F70D2" w:rsidP="00210E8A">
            <w:r w:rsidRPr="00210E8A">
              <w:t>EU</w:t>
            </w:r>
          </w:p>
        </w:tc>
        <w:tc>
          <w:tcPr>
            <w:tcW w:w="6830" w:type="dxa"/>
            <w:tcBorders>
              <w:top w:val="single" w:sz="4" w:space="0" w:color="auto"/>
            </w:tcBorders>
          </w:tcPr>
          <w:p w14:paraId="2B31F24C" w14:textId="77777777" w:rsidR="009F70D2" w:rsidRPr="00210E8A" w:rsidRDefault="009F70D2" w:rsidP="00210E8A">
            <w:r w:rsidRPr="00210E8A">
              <w:t>European Union</w:t>
            </w:r>
          </w:p>
        </w:tc>
      </w:tr>
      <w:tr w:rsidR="00E4233C" w:rsidRPr="00FD119B" w14:paraId="777A2615" w14:textId="77777777" w:rsidTr="009F70D2">
        <w:tc>
          <w:tcPr>
            <w:tcW w:w="1890" w:type="dxa"/>
            <w:tcBorders>
              <w:top w:val="single" w:sz="4" w:space="0" w:color="auto"/>
            </w:tcBorders>
          </w:tcPr>
          <w:p w14:paraId="40D3AF27" w14:textId="20C81E8F" w:rsidR="00E4233C" w:rsidRPr="00210E8A" w:rsidRDefault="00E4233C" w:rsidP="00210E8A">
            <w:r>
              <w:t>FVIII</w:t>
            </w:r>
          </w:p>
        </w:tc>
        <w:tc>
          <w:tcPr>
            <w:tcW w:w="6830" w:type="dxa"/>
            <w:tcBorders>
              <w:top w:val="single" w:sz="4" w:space="0" w:color="auto"/>
            </w:tcBorders>
          </w:tcPr>
          <w:p w14:paraId="13F34A68" w14:textId="166EA93F" w:rsidR="00E4233C" w:rsidRPr="00210E8A" w:rsidRDefault="00E4233C" w:rsidP="00210E8A">
            <w:r>
              <w:t>Factor VIII (factor 8)</w:t>
            </w:r>
          </w:p>
        </w:tc>
      </w:tr>
      <w:tr w:rsidR="009F70D2" w:rsidRPr="00FD119B" w14:paraId="6C5D0088" w14:textId="77777777" w:rsidTr="009F70D2">
        <w:tc>
          <w:tcPr>
            <w:tcW w:w="1890" w:type="dxa"/>
          </w:tcPr>
          <w:p w14:paraId="63655DC0" w14:textId="77777777" w:rsidR="009F70D2" w:rsidRPr="00210E8A" w:rsidRDefault="009F70D2" w:rsidP="00210E8A">
            <w:r w:rsidRPr="00210E8A">
              <w:t>FVIII:C</w:t>
            </w:r>
          </w:p>
        </w:tc>
        <w:tc>
          <w:tcPr>
            <w:tcW w:w="6830" w:type="dxa"/>
          </w:tcPr>
          <w:p w14:paraId="42CA77A6" w14:textId="0ED7A6FD" w:rsidR="009F70D2" w:rsidRPr="00210E8A" w:rsidRDefault="00210E8A" w:rsidP="00210E8A">
            <w:r w:rsidRPr="00210E8A">
              <w:t>F</w:t>
            </w:r>
            <w:r w:rsidR="009F70D2" w:rsidRPr="00210E8A">
              <w:t xml:space="preserve">actor VIII </w:t>
            </w:r>
            <w:r w:rsidR="00D85768">
              <w:t xml:space="preserve">(factor 8) </w:t>
            </w:r>
            <w:r w:rsidR="009F70D2" w:rsidRPr="00210E8A">
              <w:t>coagulant activity</w:t>
            </w:r>
          </w:p>
        </w:tc>
      </w:tr>
      <w:tr w:rsidR="009F70D2" w:rsidRPr="00FD119B" w14:paraId="52574BE2" w14:textId="77777777" w:rsidTr="009F70D2">
        <w:tc>
          <w:tcPr>
            <w:tcW w:w="1890" w:type="dxa"/>
            <w:tcBorders>
              <w:top w:val="single" w:sz="4" w:space="0" w:color="auto"/>
            </w:tcBorders>
          </w:tcPr>
          <w:p w14:paraId="46EA4A75" w14:textId="77777777" w:rsidR="009F70D2" w:rsidRPr="00210E8A" w:rsidRDefault="009F70D2" w:rsidP="00210E8A">
            <w:r w:rsidRPr="00210E8A">
              <w:t>GI</w:t>
            </w:r>
          </w:p>
        </w:tc>
        <w:tc>
          <w:tcPr>
            <w:tcW w:w="6830" w:type="dxa"/>
            <w:tcBorders>
              <w:top w:val="single" w:sz="4" w:space="0" w:color="auto"/>
            </w:tcBorders>
          </w:tcPr>
          <w:p w14:paraId="25373775" w14:textId="77777777" w:rsidR="009F70D2" w:rsidRPr="00210E8A" w:rsidRDefault="009F70D2" w:rsidP="00210E8A">
            <w:r w:rsidRPr="00210E8A">
              <w:t>Gastrointestinal</w:t>
            </w:r>
          </w:p>
        </w:tc>
      </w:tr>
      <w:tr w:rsidR="009F70D2" w:rsidRPr="00FD119B" w14:paraId="41E1CF13" w14:textId="77777777" w:rsidTr="009F70D2">
        <w:tc>
          <w:tcPr>
            <w:tcW w:w="1890" w:type="dxa"/>
            <w:tcBorders>
              <w:top w:val="single" w:sz="4" w:space="0" w:color="auto"/>
            </w:tcBorders>
          </w:tcPr>
          <w:p w14:paraId="7A0708C5" w14:textId="77777777" w:rsidR="009F70D2" w:rsidRPr="00210E8A" w:rsidRDefault="009F70D2" w:rsidP="00210E8A">
            <w:r w:rsidRPr="00210E8A">
              <w:lastRenderedPageBreak/>
              <w:t>GLP</w:t>
            </w:r>
          </w:p>
        </w:tc>
        <w:tc>
          <w:tcPr>
            <w:tcW w:w="6830" w:type="dxa"/>
            <w:tcBorders>
              <w:top w:val="single" w:sz="4" w:space="0" w:color="auto"/>
            </w:tcBorders>
          </w:tcPr>
          <w:p w14:paraId="7AE86E71" w14:textId="77777777" w:rsidR="009F70D2" w:rsidRPr="00210E8A" w:rsidRDefault="009F70D2" w:rsidP="00210E8A">
            <w:r w:rsidRPr="00210E8A">
              <w:t>Good Laboratory Practice</w:t>
            </w:r>
          </w:p>
        </w:tc>
      </w:tr>
      <w:tr w:rsidR="009F70D2" w:rsidRPr="00FD119B" w14:paraId="394E2BBE" w14:textId="77777777" w:rsidTr="009F70D2">
        <w:tc>
          <w:tcPr>
            <w:tcW w:w="1890" w:type="dxa"/>
            <w:tcBorders>
              <w:top w:val="single" w:sz="4" w:space="0" w:color="auto"/>
            </w:tcBorders>
          </w:tcPr>
          <w:p w14:paraId="0ED1E6A5" w14:textId="77777777" w:rsidR="009F70D2" w:rsidRPr="00210E8A" w:rsidRDefault="009F70D2" w:rsidP="00210E8A">
            <w:r w:rsidRPr="00210E8A">
              <w:t>GVP</w:t>
            </w:r>
          </w:p>
        </w:tc>
        <w:tc>
          <w:tcPr>
            <w:tcW w:w="6830" w:type="dxa"/>
            <w:tcBorders>
              <w:top w:val="single" w:sz="4" w:space="0" w:color="auto"/>
            </w:tcBorders>
          </w:tcPr>
          <w:p w14:paraId="2589FA25" w14:textId="13A63ECA" w:rsidR="009F70D2" w:rsidRPr="00210E8A" w:rsidRDefault="009F70D2" w:rsidP="00210E8A">
            <w:r w:rsidRPr="00210E8A">
              <w:t>Good Pharmacovigilance Practice</w:t>
            </w:r>
            <w:r w:rsidR="00E90413">
              <w:t>(</w:t>
            </w:r>
            <w:r w:rsidRPr="00210E8A">
              <w:t>s</w:t>
            </w:r>
            <w:r w:rsidR="00E90413">
              <w:t>)</w:t>
            </w:r>
          </w:p>
        </w:tc>
      </w:tr>
      <w:tr w:rsidR="009F70D2" w:rsidRPr="00FD119B" w14:paraId="045450C9" w14:textId="77777777" w:rsidTr="009F70D2">
        <w:tc>
          <w:tcPr>
            <w:tcW w:w="1890" w:type="dxa"/>
            <w:tcBorders>
              <w:top w:val="single" w:sz="4" w:space="0" w:color="auto"/>
            </w:tcBorders>
          </w:tcPr>
          <w:p w14:paraId="06F0EAC0" w14:textId="77777777" w:rsidR="009F70D2" w:rsidRPr="00210E8A" w:rsidRDefault="009F70D2" w:rsidP="00210E8A">
            <w:r w:rsidRPr="00210E8A">
              <w:t>ICH</w:t>
            </w:r>
          </w:p>
        </w:tc>
        <w:tc>
          <w:tcPr>
            <w:tcW w:w="6830" w:type="dxa"/>
            <w:tcBorders>
              <w:top w:val="single" w:sz="4" w:space="0" w:color="auto"/>
            </w:tcBorders>
          </w:tcPr>
          <w:p w14:paraId="636A693E" w14:textId="77777777" w:rsidR="009F70D2" w:rsidRPr="00210E8A" w:rsidRDefault="009F70D2" w:rsidP="00210E8A">
            <w:r w:rsidRPr="00210E8A">
              <w:t>International Council for Harmonisation</w:t>
            </w:r>
          </w:p>
        </w:tc>
      </w:tr>
      <w:tr w:rsidR="009F70D2" w:rsidRPr="00FD119B" w14:paraId="5F4D567D" w14:textId="77777777" w:rsidTr="009F70D2">
        <w:tc>
          <w:tcPr>
            <w:tcW w:w="1890" w:type="dxa"/>
            <w:tcBorders>
              <w:top w:val="single" w:sz="4" w:space="0" w:color="auto"/>
            </w:tcBorders>
          </w:tcPr>
          <w:p w14:paraId="31ABD9A8" w14:textId="77777777" w:rsidR="009F70D2" w:rsidRPr="00210E8A" w:rsidRDefault="009F70D2" w:rsidP="00210E8A">
            <w:r w:rsidRPr="00210E8A">
              <w:t>IP</w:t>
            </w:r>
          </w:p>
        </w:tc>
        <w:tc>
          <w:tcPr>
            <w:tcW w:w="6830" w:type="dxa"/>
            <w:tcBorders>
              <w:top w:val="single" w:sz="4" w:space="0" w:color="auto"/>
            </w:tcBorders>
          </w:tcPr>
          <w:p w14:paraId="28C9C312" w14:textId="74C9A4C2" w:rsidR="009F70D2" w:rsidRPr="00210E8A" w:rsidRDefault="009F70D2" w:rsidP="00210E8A">
            <w:r w:rsidRPr="00210E8A">
              <w:t>Investigational product</w:t>
            </w:r>
          </w:p>
        </w:tc>
      </w:tr>
      <w:tr w:rsidR="009F70D2" w:rsidRPr="00FD119B" w14:paraId="6601119E" w14:textId="77777777" w:rsidTr="009F70D2">
        <w:tc>
          <w:tcPr>
            <w:tcW w:w="1890" w:type="dxa"/>
            <w:tcBorders>
              <w:top w:val="single" w:sz="4" w:space="0" w:color="auto"/>
            </w:tcBorders>
          </w:tcPr>
          <w:p w14:paraId="34FBE828" w14:textId="77777777" w:rsidR="009F70D2" w:rsidRPr="00210E8A" w:rsidRDefault="009F70D2" w:rsidP="00210E8A">
            <w:r w:rsidRPr="00210E8A">
              <w:t>IR</w:t>
            </w:r>
          </w:p>
        </w:tc>
        <w:tc>
          <w:tcPr>
            <w:tcW w:w="6830" w:type="dxa"/>
            <w:tcBorders>
              <w:top w:val="single" w:sz="4" w:space="0" w:color="auto"/>
            </w:tcBorders>
          </w:tcPr>
          <w:p w14:paraId="3F060BD7" w14:textId="77777777" w:rsidR="009F70D2" w:rsidRPr="00210E8A" w:rsidRDefault="009F70D2" w:rsidP="00210E8A">
            <w:r w:rsidRPr="00210E8A">
              <w:t>Incremental recovery</w:t>
            </w:r>
          </w:p>
        </w:tc>
      </w:tr>
      <w:tr w:rsidR="009F70D2" w:rsidRPr="00FD119B" w14:paraId="16947228" w14:textId="77777777" w:rsidTr="009F70D2">
        <w:tc>
          <w:tcPr>
            <w:tcW w:w="1890" w:type="dxa"/>
          </w:tcPr>
          <w:p w14:paraId="520DC46C" w14:textId="77777777" w:rsidR="009F70D2" w:rsidRPr="00210E8A" w:rsidRDefault="009F70D2" w:rsidP="00210E8A">
            <w:r w:rsidRPr="00210E8A">
              <w:t>IU</w:t>
            </w:r>
          </w:p>
        </w:tc>
        <w:tc>
          <w:tcPr>
            <w:tcW w:w="6830" w:type="dxa"/>
          </w:tcPr>
          <w:p w14:paraId="75353DE5" w14:textId="77777777" w:rsidR="009F70D2" w:rsidRPr="00210E8A" w:rsidRDefault="009F70D2" w:rsidP="00210E8A">
            <w:r w:rsidRPr="00210E8A">
              <w:t>International unit</w:t>
            </w:r>
          </w:p>
        </w:tc>
      </w:tr>
      <w:tr w:rsidR="00E260A2" w:rsidRPr="00FD119B" w14:paraId="1AC376E5" w14:textId="77777777" w:rsidTr="009F70D2">
        <w:tc>
          <w:tcPr>
            <w:tcW w:w="1890" w:type="dxa"/>
          </w:tcPr>
          <w:p w14:paraId="562BC13A" w14:textId="5E63DB68" w:rsidR="00E260A2" w:rsidRPr="00210E8A" w:rsidRDefault="00E260A2" w:rsidP="00210E8A">
            <w:r>
              <w:t>IV</w:t>
            </w:r>
          </w:p>
        </w:tc>
        <w:tc>
          <w:tcPr>
            <w:tcW w:w="6830" w:type="dxa"/>
          </w:tcPr>
          <w:p w14:paraId="67A0B16C" w14:textId="00141D7A" w:rsidR="00E260A2" w:rsidRPr="00210E8A" w:rsidRDefault="00E260A2" w:rsidP="00210E8A">
            <w:r>
              <w:t>Intravenous</w:t>
            </w:r>
          </w:p>
        </w:tc>
      </w:tr>
      <w:tr w:rsidR="009F70D2" w:rsidRPr="00FD119B" w14:paraId="676D7B28" w14:textId="77777777" w:rsidTr="009F70D2">
        <w:tc>
          <w:tcPr>
            <w:tcW w:w="1890" w:type="dxa"/>
          </w:tcPr>
          <w:p w14:paraId="57EC14AA" w14:textId="77777777" w:rsidR="009F70D2" w:rsidRPr="00210E8A" w:rsidRDefault="009F70D2" w:rsidP="00210E8A">
            <w:proofErr w:type="spellStart"/>
            <w:r w:rsidRPr="00210E8A">
              <w:t>pdVWF</w:t>
            </w:r>
            <w:proofErr w:type="spellEnd"/>
          </w:p>
        </w:tc>
        <w:tc>
          <w:tcPr>
            <w:tcW w:w="6830" w:type="dxa"/>
          </w:tcPr>
          <w:p w14:paraId="16E19713" w14:textId="6E78F8FA" w:rsidR="009F70D2" w:rsidRPr="00210E8A" w:rsidRDefault="009F70D2" w:rsidP="00210E8A">
            <w:r w:rsidRPr="00210E8A">
              <w:t xml:space="preserve">Plasma derived von </w:t>
            </w:r>
            <w:proofErr w:type="spellStart"/>
            <w:r w:rsidRPr="00210E8A">
              <w:t>Willebrand</w:t>
            </w:r>
            <w:proofErr w:type="spellEnd"/>
            <w:r w:rsidRPr="00210E8A">
              <w:t xml:space="preserve"> factor</w:t>
            </w:r>
          </w:p>
        </w:tc>
      </w:tr>
      <w:tr w:rsidR="009F70D2" w:rsidRPr="00FD119B" w14:paraId="7BB9BE19" w14:textId="77777777" w:rsidTr="009F70D2">
        <w:tc>
          <w:tcPr>
            <w:tcW w:w="1890" w:type="dxa"/>
            <w:tcBorders>
              <w:top w:val="single" w:sz="4" w:space="0" w:color="auto"/>
            </w:tcBorders>
          </w:tcPr>
          <w:p w14:paraId="6E1AA3C4" w14:textId="77777777" w:rsidR="009F70D2" w:rsidRPr="00210E8A" w:rsidRDefault="009F70D2" w:rsidP="00210E8A">
            <w:r w:rsidRPr="00210E8A">
              <w:t>PI</w:t>
            </w:r>
          </w:p>
        </w:tc>
        <w:tc>
          <w:tcPr>
            <w:tcW w:w="6830" w:type="dxa"/>
            <w:tcBorders>
              <w:top w:val="single" w:sz="4" w:space="0" w:color="auto"/>
            </w:tcBorders>
          </w:tcPr>
          <w:p w14:paraId="0F09882C" w14:textId="77777777" w:rsidR="009F70D2" w:rsidRPr="00210E8A" w:rsidRDefault="009F70D2" w:rsidP="00210E8A">
            <w:r w:rsidRPr="00210E8A">
              <w:t>Product Information</w:t>
            </w:r>
          </w:p>
        </w:tc>
      </w:tr>
      <w:tr w:rsidR="009F70D2" w:rsidRPr="00FD119B" w14:paraId="1B9869B3" w14:textId="77777777" w:rsidTr="009F70D2">
        <w:tc>
          <w:tcPr>
            <w:tcW w:w="1890" w:type="dxa"/>
            <w:tcBorders>
              <w:top w:val="single" w:sz="4" w:space="0" w:color="auto"/>
            </w:tcBorders>
          </w:tcPr>
          <w:p w14:paraId="1FBEB52D" w14:textId="77777777" w:rsidR="009F70D2" w:rsidRPr="00210E8A" w:rsidRDefault="009F70D2" w:rsidP="00210E8A">
            <w:r w:rsidRPr="00210E8A">
              <w:t>PK</w:t>
            </w:r>
          </w:p>
        </w:tc>
        <w:tc>
          <w:tcPr>
            <w:tcW w:w="6830" w:type="dxa"/>
            <w:tcBorders>
              <w:top w:val="single" w:sz="4" w:space="0" w:color="auto"/>
            </w:tcBorders>
          </w:tcPr>
          <w:p w14:paraId="72394EFE" w14:textId="671B06BE" w:rsidR="009F70D2" w:rsidRPr="00210E8A" w:rsidRDefault="009F70D2" w:rsidP="00210E8A">
            <w:r w:rsidRPr="00210E8A">
              <w:t>Pharmacokinetic</w:t>
            </w:r>
            <w:r w:rsidR="00E4233C">
              <w:t>(s)</w:t>
            </w:r>
          </w:p>
        </w:tc>
      </w:tr>
      <w:tr w:rsidR="009F70D2" w:rsidRPr="00FD119B" w14:paraId="0922D87D" w14:textId="77777777" w:rsidTr="009F70D2">
        <w:tc>
          <w:tcPr>
            <w:tcW w:w="1890" w:type="dxa"/>
            <w:tcBorders>
              <w:top w:val="single" w:sz="4" w:space="0" w:color="auto"/>
            </w:tcBorders>
          </w:tcPr>
          <w:p w14:paraId="411BC295" w14:textId="77777777" w:rsidR="009F70D2" w:rsidRPr="00210E8A" w:rsidRDefault="009F70D2" w:rsidP="00210E8A">
            <w:r w:rsidRPr="00210E8A">
              <w:t>PSUR</w:t>
            </w:r>
          </w:p>
        </w:tc>
        <w:tc>
          <w:tcPr>
            <w:tcW w:w="6830" w:type="dxa"/>
            <w:tcBorders>
              <w:top w:val="single" w:sz="4" w:space="0" w:color="auto"/>
            </w:tcBorders>
          </w:tcPr>
          <w:p w14:paraId="61049DB3" w14:textId="77777777" w:rsidR="009F70D2" w:rsidRPr="00210E8A" w:rsidRDefault="009F70D2" w:rsidP="00210E8A">
            <w:r w:rsidRPr="00210E8A">
              <w:t>Periodic safety update reports</w:t>
            </w:r>
          </w:p>
        </w:tc>
      </w:tr>
      <w:tr w:rsidR="009F70D2" w:rsidRPr="00FD119B" w14:paraId="63A2F69D" w14:textId="77777777" w:rsidTr="009F70D2">
        <w:tc>
          <w:tcPr>
            <w:tcW w:w="1890" w:type="dxa"/>
            <w:tcBorders>
              <w:top w:val="single" w:sz="4" w:space="0" w:color="auto"/>
            </w:tcBorders>
          </w:tcPr>
          <w:p w14:paraId="18D7DB93" w14:textId="77777777" w:rsidR="009F70D2" w:rsidRPr="00210E8A" w:rsidRDefault="009F70D2" w:rsidP="00210E8A">
            <w:r w:rsidRPr="00210E8A">
              <w:t>RMP</w:t>
            </w:r>
          </w:p>
        </w:tc>
        <w:tc>
          <w:tcPr>
            <w:tcW w:w="6830" w:type="dxa"/>
            <w:tcBorders>
              <w:top w:val="single" w:sz="4" w:space="0" w:color="auto"/>
            </w:tcBorders>
          </w:tcPr>
          <w:p w14:paraId="2C0F57AB" w14:textId="77777777" w:rsidR="009F70D2" w:rsidRPr="00210E8A" w:rsidRDefault="009F70D2" w:rsidP="00210E8A">
            <w:r w:rsidRPr="00210E8A">
              <w:t>Risk management plan</w:t>
            </w:r>
          </w:p>
        </w:tc>
      </w:tr>
      <w:tr w:rsidR="004B7DE2" w:rsidRPr="00FD119B" w14:paraId="556B2148" w14:textId="77777777" w:rsidTr="009F70D2">
        <w:tc>
          <w:tcPr>
            <w:tcW w:w="1890" w:type="dxa"/>
            <w:tcBorders>
              <w:top w:val="single" w:sz="4" w:space="0" w:color="auto"/>
            </w:tcBorders>
          </w:tcPr>
          <w:p w14:paraId="550B2354" w14:textId="14BF465F" w:rsidR="004B7DE2" w:rsidRPr="00210E8A" w:rsidRDefault="004B7DE2" w:rsidP="00210E8A">
            <w:proofErr w:type="spellStart"/>
            <w:r>
              <w:t>rFVIII</w:t>
            </w:r>
            <w:proofErr w:type="spellEnd"/>
          </w:p>
        </w:tc>
        <w:tc>
          <w:tcPr>
            <w:tcW w:w="6830" w:type="dxa"/>
            <w:tcBorders>
              <w:top w:val="single" w:sz="4" w:space="0" w:color="auto"/>
            </w:tcBorders>
          </w:tcPr>
          <w:p w14:paraId="27572675" w14:textId="4B617429" w:rsidR="004B7DE2" w:rsidRPr="00210E8A" w:rsidRDefault="004B7DE2" w:rsidP="00210E8A">
            <w:r>
              <w:t xml:space="preserve">Recombinant Factor </w:t>
            </w:r>
            <w:r w:rsidR="000912E4">
              <w:t>V</w:t>
            </w:r>
            <w:r>
              <w:t>III</w:t>
            </w:r>
            <w:r w:rsidR="000912E4">
              <w:t xml:space="preserve"> (recombinant factor 8)</w:t>
            </w:r>
          </w:p>
        </w:tc>
      </w:tr>
      <w:tr w:rsidR="009F70D2" w:rsidRPr="00FD119B" w14:paraId="0A085F9C" w14:textId="77777777" w:rsidTr="009F70D2">
        <w:tc>
          <w:tcPr>
            <w:tcW w:w="1890" w:type="dxa"/>
          </w:tcPr>
          <w:p w14:paraId="4332AD2A" w14:textId="77777777" w:rsidR="009F70D2" w:rsidRPr="00210E8A" w:rsidRDefault="009F70D2" w:rsidP="00210E8A">
            <w:proofErr w:type="spellStart"/>
            <w:r w:rsidRPr="00210E8A">
              <w:t>rVWF</w:t>
            </w:r>
            <w:proofErr w:type="spellEnd"/>
          </w:p>
        </w:tc>
        <w:tc>
          <w:tcPr>
            <w:tcW w:w="6830" w:type="dxa"/>
          </w:tcPr>
          <w:p w14:paraId="0A2A0B83" w14:textId="07928B46" w:rsidR="009F70D2" w:rsidRPr="00210E8A" w:rsidRDefault="009F70D2" w:rsidP="00210E8A">
            <w:r w:rsidRPr="00210E8A">
              <w:t xml:space="preserve">Recombinant von </w:t>
            </w:r>
            <w:proofErr w:type="spellStart"/>
            <w:r w:rsidRPr="00210E8A">
              <w:t>Willebrand</w:t>
            </w:r>
            <w:proofErr w:type="spellEnd"/>
            <w:r w:rsidRPr="00210E8A">
              <w:t xml:space="preserve"> factor</w:t>
            </w:r>
          </w:p>
        </w:tc>
      </w:tr>
      <w:tr w:rsidR="009F70D2" w:rsidRPr="00FD119B" w14:paraId="1BEF673C" w14:textId="77777777" w:rsidTr="009F70D2">
        <w:tc>
          <w:tcPr>
            <w:tcW w:w="1890" w:type="dxa"/>
            <w:tcBorders>
              <w:top w:val="single" w:sz="4" w:space="0" w:color="auto"/>
            </w:tcBorders>
          </w:tcPr>
          <w:p w14:paraId="7E488DEE" w14:textId="77777777" w:rsidR="009F70D2" w:rsidRPr="00210E8A" w:rsidRDefault="009F70D2" w:rsidP="00210E8A">
            <w:r w:rsidRPr="00210E8A">
              <w:t>SD</w:t>
            </w:r>
          </w:p>
        </w:tc>
        <w:tc>
          <w:tcPr>
            <w:tcW w:w="6830" w:type="dxa"/>
            <w:tcBorders>
              <w:top w:val="single" w:sz="4" w:space="0" w:color="auto"/>
            </w:tcBorders>
          </w:tcPr>
          <w:p w14:paraId="4079CE62" w14:textId="77777777" w:rsidR="009F70D2" w:rsidRPr="00210E8A" w:rsidRDefault="009F70D2" w:rsidP="00210E8A">
            <w:r w:rsidRPr="00210E8A">
              <w:t>Standard deviation</w:t>
            </w:r>
          </w:p>
        </w:tc>
      </w:tr>
      <w:tr w:rsidR="009F70D2" w:rsidRPr="00FD119B" w14:paraId="318DF5E5" w14:textId="77777777" w:rsidTr="009F70D2">
        <w:tc>
          <w:tcPr>
            <w:tcW w:w="1890" w:type="dxa"/>
            <w:tcBorders>
              <w:top w:val="single" w:sz="4" w:space="0" w:color="auto"/>
            </w:tcBorders>
          </w:tcPr>
          <w:p w14:paraId="4A583646" w14:textId="77777777" w:rsidR="009F70D2" w:rsidRPr="00210E8A" w:rsidRDefault="009F70D2" w:rsidP="00210E8A">
            <w:r w:rsidRPr="00210E8A">
              <w:t>T</w:t>
            </w:r>
            <w:r w:rsidRPr="007E1DD3">
              <w:rPr>
                <w:vertAlign w:val="subscript"/>
              </w:rPr>
              <w:t>1/2</w:t>
            </w:r>
          </w:p>
        </w:tc>
        <w:tc>
          <w:tcPr>
            <w:tcW w:w="6830" w:type="dxa"/>
            <w:tcBorders>
              <w:top w:val="single" w:sz="4" w:space="0" w:color="auto"/>
            </w:tcBorders>
          </w:tcPr>
          <w:p w14:paraId="3526EE3A" w14:textId="77777777" w:rsidR="009F70D2" w:rsidRPr="00210E8A" w:rsidRDefault="009F70D2" w:rsidP="00210E8A">
            <w:r w:rsidRPr="00210E8A">
              <w:t>Half life</w:t>
            </w:r>
          </w:p>
        </w:tc>
      </w:tr>
      <w:tr w:rsidR="009F70D2" w:rsidRPr="00FD119B" w14:paraId="05E23A59" w14:textId="77777777" w:rsidTr="009F70D2">
        <w:tc>
          <w:tcPr>
            <w:tcW w:w="1890" w:type="dxa"/>
            <w:tcBorders>
              <w:top w:val="single" w:sz="4" w:space="0" w:color="auto"/>
            </w:tcBorders>
          </w:tcPr>
          <w:p w14:paraId="2E1F2F54" w14:textId="77777777" w:rsidR="009F70D2" w:rsidRPr="00210E8A" w:rsidRDefault="009F70D2" w:rsidP="00210E8A">
            <w:r w:rsidRPr="00210E8A">
              <w:t>US</w:t>
            </w:r>
          </w:p>
        </w:tc>
        <w:tc>
          <w:tcPr>
            <w:tcW w:w="6830" w:type="dxa"/>
            <w:tcBorders>
              <w:top w:val="single" w:sz="4" w:space="0" w:color="auto"/>
            </w:tcBorders>
          </w:tcPr>
          <w:p w14:paraId="7D677AE2" w14:textId="77777777" w:rsidR="009F70D2" w:rsidRPr="00210E8A" w:rsidRDefault="009F70D2" w:rsidP="00210E8A">
            <w:r w:rsidRPr="00210E8A">
              <w:t>United States</w:t>
            </w:r>
          </w:p>
        </w:tc>
      </w:tr>
      <w:tr w:rsidR="009F70D2" w:rsidRPr="00FD119B" w14:paraId="49D7822F" w14:textId="77777777" w:rsidTr="009F70D2">
        <w:tc>
          <w:tcPr>
            <w:tcW w:w="1890" w:type="dxa"/>
          </w:tcPr>
          <w:p w14:paraId="52E520C1" w14:textId="77777777" w:rsidR="009F70D2" w:rsidRPr="00210E8A" w:rsidRDefault="009F70D2" w:rsidP="00210E8A">
            <w:r w:rsidRPr="00210E8A">
              <w:t>VWD</w:t>
            </w:r>
          </w:p>
        </w:tc>
        <w:tc>
          <w:tcPr>
            <w:tcW w:w="6830" w:type="dxa"/>
          </w:tcPr>
          <w:p w14:paraId="3B265D56" w14:textId="5A72B151" w:rsidR="009F70D2" w:rsidRPr="00210E8A" w:rsidRDefault="00210E8A" w:rsidP="00210E8A">
            <w:r w:rsidRPr="00210E8A">
              <w:t>v</w:t>
            </w:r>
            <w:r w:rsidR="009F70D2" w:rsidRPr="00210E8A">
              <w:t xml:space="preserve">on </w:t>
            </w:r>
            <w:proofErr w:type="spellStart"/>
            <w:r w:rsidR="009F70D2" w:rsidRPr="00210E8A">
              <w:t>Willebrand</w:t>
            </w:r>
            <w:proofErr w:type="spellEnd"/>
            <w:r w:rsidR="009F70D2" w:rsidRPr="00210E8A">
              <w:t xml:space="preserve"> disease</w:t>
            </w:r>
          </w:p>
        </w:tc>
      </w:tr>
      <w:tr w:rsidR="009F70D2" w:rsidRPr="00FD119B" w14:paraId="7BF1F78A" w14:textId="77777777" w:rsidTr="009F70D2">
        <w:tc>
          <w:tcPr>
            <w:tcW w:w="1890" w:type="dxa"/>
          </w:tcPr>
          <w:p w14:paraId="6BAA2C06" w14:textId="77777777" w:rsidR="009F70D2" w:rsidRPr="00210E8A" w:rsidRDefault="009F70D2" w:rsidP="00210E8A">
            <w:r w:rsidRPr="00210E8A">
              <w:t>VWF</w:t>
            </w:r>
          </w:p>
        </w:tc>
        <w:tc>
          <w:tcPr>
            <w:tcW w:w="6830" w:type="dxa"/>
          </w:tcPr>
          <w:p w14:paraId="7A67D20B" w14:textId="77777777" w:rsidR="009F70D2" w:rsidRPr="00210E8A" w:rsidRDefault="009F70D2" w:rsidP="00210E8A">
            <w:r w:rsidRPr="00210E8A">
              <w:t xml:space="preserve">von </w:t>
            </w:r>
            <w:proofErr w:type="spellStart"/>
            <w:r w:rsidRPr="00210E8A">
              <w:t>Willebrand</w:t>
            </w:r>
            <w:proofErr w:type="spellEnd"/>
            <w:r w:rsidRPr="00210E8A">
              <w:t xml:space="preserve"> factor</w:t>
            </w:r>
          </w:p>
        </w:tc>
      </w:tr>
      <w:tr w:rsidR="004B7DE2" w:rsidRPr="00FD119B" w14:paraId="16A91C5E" w14:textId="77777777" w:rsidTr="009F70D2">
        <w:tc>
          <w:tcPr>
            <w:tcW w:w="1890" w:type="dxa"/>
          </w:tcPr>
          <w:p w14:paraId="165382F9" w14:textId="134DE7C6" w:rsidR="004B7DE2" w:rsidRPr="00210E8A" w:rsidRDefault="004B7DE2" w:rsidP="00210E8A">
            <w:proofErr w:type="spellStart"/>
            <w:r>
              <w:t>VWF:Ag</w:t>
            </w:r>
            <w:proofErr w:type="spellEnd"/>
          </w:p>
        </w:tc>
        <w:tc>
          <w:tcPr>
            <w:tcW w:w="6830" w:type="dxa"/>
          </w:tcPr>
          <w:p w14:paraId="1CD446B4" w14:textId="5FC700D5" w:rsidR="004B7DE2" w:rsidRPr="00210E8A" w:rsidRDefault="004B7DE2" w:rsidP="00210E8A">
            <w:r>
              <w:t xml:space="preserve">von </w:t>
            </w:r>
            <w:proofErr w:type="spellStart"/>
            <w:r>
              <w:t>Willebrand</w:t>
            </w:r>
            <w:proofErr w:type="spellEnd"/>
            <w:r>
              <w:t xml:space="preserve"> factor a</w:t>
            </w:r>
            <w:r w:rsidRPr="004B7DE2">
              <w:t>ntigen</w:t>
            </w:r>
          </w:p>
        </w:tc>
      </w:tr>
      <w:tr w:rsidR="009F70D2" w:rsidRPr="00FD119B" w14:paraId="5517C23A" w14:textId="77777777" w:rsidTr="009F70D2">
        <w:tc>
          <w:tcPr>
            <w:tcW w:w="1890" w:type="dxa"/>
          </w:tcPr>
          <w:p w14:paraId="0CB2599B" w14:textId="77777777" w:rsidR="009F70D2" w:rsidRPr="00210E8A" w:rsidRDefault="009F70D2" w:rsidP="00210E8A">
            <w:proofErr w:type="spellStart"/>
            <w:r w:rsidRPr="00210E8A">
              <w:t>VWF:RCo</w:t>
            </w:r>
            <w:proofErr w:type="spellEnd"/>
          </w:p>
        </w:tc>
        <w:tc>
          <w:tcPr>
            <w:tcW w:w="6830" w:type="dxa"/>
          </w:tcPr>
          <w:p w14:paraId="31243526" w14:textId="77777777" w:rsidR="009F70D2" w:rsidRPr="00210E8A" w:rsidRDefault="009F70D2" w:rsidP="00210E8A">
            <w:r w:rsidRPr="00210E8A">
              <w:t xml:space="preserve">von </w:t>
            </w:r>
            <w:proofErr w:type="spellStart"/>
            <w:r w:rsidRPr="00210E8A">
              <w:t>Willebrand</w:t>
            </w:r>
            <w:proofErr w:type="spellEnd"/>
            <w:r w:rsidRPr="00210E8A">
              <w:t xml:space="preserve"> factor </w:t>
            </w:r>
            <w:proofErr w:type="spellStart"/>
            <w:r w:rsidRPr="00210E8A">
              <w:t>ristocetin</w:t>
            </w:r>
            <w:proofErr w:type="spellEnd"/>
            <w:r w:rsidRPr="00210E8A">
              <w:t xml:space="preserve"> cofactor</w:t>
            </w:r>
          </w:p>
        </w:tc>
      </w:tr>
    </w:tbl>
    <w:p w14:paraId="5ACBCE28" w14:textId="77777777" w:rsidR="00FD119B" w:rsidRDefault="00FD119B" w:rsidP="00FD119B"/>
    <w:p w14:paraId="57B0C7FF" w14:textId="77777777" w:rsidR="00FD119B" w:rsidRPr="00FD119B" w:rsidRDefault="00FD119B" w:rsidP="00FD119B">
      <w:pPr>
        <w:spacing w:before="0" w:after="200" w:line="0" w:lineRule="auto"/>
        <w:rPr>
          <w:b/>
          <w:i/>
          <w:sz w:val="24"/>
          <w:szCs w:val="24"/>
        </w:rPr>
      </w:pPr>
      <w:r w:rsidRPr="00FD119B">
        <w:rPr>
          <w:b/>
          <w:i/>
          <w:sz w:val="24"/>
          <w:szCs w:val="24"/>
        </w:rPr>
        <w:br w:type="page"/>
      </w:r>
    </w:p>
    <w:p w14:paraId="33F557F5" w14:textId="77777777" w:rsidR="008E7846" w:rsidRDefault="00F53C07" w:rsidP="008E7846">
      <w:pPr>
        <w:pStyle w:val="Heading2"/>
      </w:pPr>
      <w:bookmarkStart w:id="9" w:name="_Toc54175017"/>
      <w:r>
        <w:lastRenderedPageBreak/>
        <w:t>I.</w:t>
      </w:r>
      <w:r w:rsidR="008E7846">
        <w:t xml:space="preserve"> Introduction to product submission</w:t>
      </w:r>
      <w:bookmarkEnd w:id="4"/>
      <w:bookmarkEnd w:id="5"/>
      <w:bookmarkEnd w:id="9"/>
    </w:p>
    <w:p w14:paraId="663C0F12" w14:textId="77777777" w:rsidR="008E7846" w:rsidRDefault="008E7846" w:rsidP="008E7846">
      <w:pPr>
        <w:pStyle w:val="Heading3"/>
        <w:rPr>
          <w:lang w:eastAsia="en-AU"/>
        </w:rPr>
      </w:pPr>
      <w:bookmarkStart w:id="10" w:name="_Toc247691502"/>
      <w:bookmarkStart w:id="11" w:name="_Toc314842483"/>
      <w:bookmarkStart w:id="12" w:name="_Toc54175018"/>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282A88F5" w14:textId="77777777" w:rsidTr="003735BC">
        <w:tc>
          <w:tcPr>
            <w:tcW w:w="2907" w:type="dxa"/>
          </w:tcPr>
          <w:p w14:paraId="291B00CE"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0BFA9B75" w14:textId="77777777" w:rsidR="008E7846" w:rsidRPr="003D1E62" w:rsidRDefault="008E7846" w:rsidP="008F3D99">
            <w:r w:rsidRPr="003D1E62">
              <w:t xml:space="preserve">New </w:t>
            </w:r>
            <w:r w:rsidR="00554C19">
              <w:t>biologica</w:t>
            </w:r>
            <w:r w:rsidRPr="003D1E62">
              <w:t xml:space="preserve">l </w:t>
            </w:r>
            <w:r w:rsidR="001B5C90">
              <w:t>e</w:t>
            </w:r>
            <w:r w:rsidR="00554C19">
              <w:t>ntity</w:t>
            </w:r>
          </w:p>
        </w:tc>
      </w:tr>
      <w:tr w:rsidR="00460036" w:rsidRPr="003D1E62" w14:paraId="536A9507" w14:textId="77777777" w:rsidTr="003735BC">
        <w:tc>
          <w:tcPr>
            <w:tcW w:w="2907" w:type="dxa"/>
          </w:tcPr>
          <w:p w14:paraId="02D4F45A" w14:textId="77777777" w:rsidR="00460036" w:rsidRPr="003D1E62" w:rsidRDefault="00460036" w:rsidP="003D1E62">
            <w:pPr>
              <w:rPr>
                <w:i/>
              </w:rPr>
            </w:pPr>
            <w:r w:rsidRPr="00460036">
              <w:rPr>
                <w:i/>
              </w:rPr>
              <w:t>Prod</w:t>
            </w:r>
            <w:r w:rsidR="00554C19">
              <w:rPr>
                <w:i/>
              </w:rPr>
              <w:t>uct name</w:t>
            </w:r>
            <w:r w:rsidRPr="00460036">
              <w:rPr>
                <w:i/>
              </w:rPr>
              <w:t>:</w:t>
            </w:r>
          </w:p>
        </w:tc>
        <w:tc>
          <w:tcPr>
            <w:tcW w:w="6307" w:type="dxa"/>
          </w:tcPr>
          <w:p w14:paraId="3EAECFE7" w14:textId="77777777" w:rsidR="00460036" w:rsidRPr="003D1E62" w:rsidRDefault="00554C19" w:rsidP="008F3D99">
            <w:r w:rsidRPr="006D55BF">
              <w:t>Veyvondi</w:t>
            </w:r>
          </w:p>
        </w:tc>
      </w:tr>
      <w:tr w:rsidR="00460036" w:rsidRPr="003D1E62" w14:paraId="248E4306" w14:textId="77777777" w:rsidTr="003735BC">
        <w:tc>
          <w:tcPr>
            <w:tcW w:w="2907" w:type="dxa"/>
          </w:tcPr>
          <w:p w14:paraId="3AE422A8" w14:textId="77777777" w:rsidR="00460036" w:rsidRPr="003D1E62" w:rsidRDefault="00554C19" w:rsidP="003D1E62">
            <w:pPr>
              <w:rPr>
                <w:i/>
              </w:rPr>
            </w:pPr>
            <w:r>
              <w:rPr>
                <w:i/>
              </w:rPr>
              <w:t>Active ingredient</w:t>
            </w:r>
            <w:r w:rsidR="00460036" w:rsidRPr="00460036">
              <w:rPr>
                <w:i/>
              </w:rPr>
              <w:t>:</w:t>
            </w:r>
          </w:p>
        </w:tc>
        <w:tc>
          <w:tcPr>
            <w:tcW w:w="6307" w:type="dxa"/>
          </w:tcPr>
          <w:p w14:paraId="5D125D33" w14:textId="77777777" w:rsidR="00460036" w:rsidRPr="003D1E62" w:rsidRDefault="00554C19" w:rsidP="008F3D99">
            <w:proofErr w:type="spellStart"/>
            <w:r>
              <w:rPr>
                <w:rFonts w:eastAsia="Calibri"/>
              </w:rPr>
              <w:t>Vonicog</w:t>
            </w:r>
            <w:proofErr w:type="spellEnd"/>
            <w:r>
              <w:rPr>
                <w:rFonts w:eastAsia="Calibri"/>
              </w:rPr>
              <w:t xml:space="preserve"> </w:t>
            </w:r>
            <w:proofErr w:type="spellStart"/>
            <w:r w:rsidRPr="006D55BF">
              <w:rPr>
                <w:rFonts w:eastAsia="Calibri"/>
              </w:rPr>
              <w:t>alfa</w:t>
            </w:r>
            <w:proofErr w:type="spellEnd"/>
          </w:p>
        </w:tc>
      </w:tr>
      <w:tr w:rsidR="008E7846" w:rsidRPr="003D1E62" w14:paraId="2FE5E4AE" w14:textId="77777777" w:rsidTr="003735BC">
        <w:tc>
          <w:tcPr>
            <w:tcW w:w="2907" w:type="dxa"/>
          </w:tcPr>
          <w:p w14:paraId="00ADFA53" w14:textId="77777777" w:rsidR="008E7846" w:rsidRPr="003D1E62" w:rsidRDefault="008E7846" w:rsidP="003D1E62">
            <w:r w:rsidRPr="003D1E62">
              <w:rPr>
                <w:i/>
              </w:rPr>
              <w:t>Decision</w:t>
            </w:r>
            <w:r w:rsidRPr="003D1E62">
              <w:t>:</w:t>
            </w:r>
          </w:p>
        </w:tc>
        <w:tc>
          <w:tcPr>
            <w:tcW w:w="6307" w:type="dxa"/>
          </w:tcPr>
          <w:p w14:paraId="2D68FE06" w14:textId="77777777" w:rsidR="008E7846" w:rsidRPr="003D1E62" w:rsidRDefault="00460036" w:rsidP="008F3D99">
            <w:r w:rsidRPr="00460036">
              <w:t>Approv</w:t>
            </w:r>
            <w:r w:rsidR="00554C19">
              <w:t>ed</w:t>
            </w:r>
          </w:p>
        </w:tc>
      </w:tr>
      <w:tr w:rsidR="008E7846" w:rsidRPr="003D1E62" w14:paraId="100F55B0" w14:textId="77777777" w:rsidTr="003735BC">
        <w:tc>
          <w:tcPr>
            <w:tcW w:w="2907" w:type="dxa"/>
          </w:tcPr>
          <w:p w14:paraId="2182A48B"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2BEF229B" w14:textId="77777777" w:rsidR="008E7846" w:rsidRPr="003D1E62" w:rsidRDefault="00554C19" w:rsidP="008F3D99">
            <w:r w:rsidRPr="00366316">
              <w:rPr>
                <w:rFonts w:eastAsia="Calibri"/>
              </w:rPr>
              <w:t>15 April 2020</w:t>
            </w:r>
          </w:p>
        </w:tc>
      </w:tr>
      <w:tr w:rsidR="00ED2922" w:rsidRPr="003D1E62" w14:paraId="5105C82D" w14:textId="77777777" w:rsidTr="003735BC">
        <w:tc>
          <w:tcPr>
            <w:tcW w:w="2907" w:type="dxa"/>
          </w:tcPr>
          <w:p w14:paraId="3756F3B4" w14:textId="77777777" w:rsidR="00ED2922" w:rsidRPr="00441C3F" w:rsidRDefault="00ED2922" w:rsidP="001B5C90">
            <w:pPr>
              <w:rPr>
                <w:i/>
              </w:rPr>
            </w:pPr>
            <w:r w:rsidRPr="00441C3F">
              <w:rPr>
                <w:i/>
              </w:rPr>
              <w:t>Date of entry onto ARTG</w:t>
            </w:r>
            <w:r w:rsidR="00500337">
              <w:rPr>
                <w:i/>
              </w:rPr>
              <w:t>:</w:t>
            </w:r>
          </w:p>
        </w:tc>
        <w:tc>
          <w:tcPr>
            <w:tcW w:w="6307" w:type="dxa"/>
          </w:tcPr>
          <w:p w14:paraId="1DD00969" w14:textId="77777777" w:rsidR="00ED2922" w:rsidRPr="00441C3F" w:rsidRDefault="00554C19" w:rsidP="008F3D99">
            <w:pPr>
              <w:rPr>
                <w:i/>
              </w:rPr>
            </w:pPr>
            <w:r w:rsidRPr="0030720F">
              <w:rPr>
                <w:rFonts w:eastAsia="Calibri"/>
              </w:rPr>
              <w:t>20 April 2020</w:t>
            </w:r>
          </w:p>
        </w:tc>
      </w:tr>
      <w:tr w:rsidR="00500337" w:rsidRPr="003D1E62" w14:paraId="1040BFA2" w14:textId="77777777" w:rsidTr="003735BC">
        <w:tc>
          <w:tcPr>
            <w:tcW w:w="2907" w:type="dxa"/>
          </w:tcPr>
          <w:p w14:paraId="65DD47AD" w14:textId="77777777" w:rsidR="00500337" w:rsidRPr="00441C3F" w:rsidRDefault="008F3D99" w:rsidP="001B5C90">
            <w:pPr>
              <w:rPr>
                <w:i/>
              </w:rPr>
            </w:pPr>
            <w:r>
              <w:rPr>
                <w:i/>
              </w:rPr>
              <w:t>ARTG numbers</w:t>
            </w:r>
            <w:r w:rsidR="00500337">
              <w:rPr>
                <w:i/>
              </w:rPr>
              <w:t>:</w:t>
            </w:r>
          </w:p>
        </w:tc>
        <w:tc>
          <w:tcPr>
            <w:tcW w:w="6307" w:type="dxa"/>
          </w:tcPr>
          <w:p w14:paraId="7513B62D" w14:textId="77777777" w:rsidR="00500337" w:rsidRPr="00441C3F" w:rsidRDefault="00554C19" w:rsidP="008F3D99">
            <w:r w:rsidRPr="006D55BF">
              <w:rPr>
                <w:rFonts w:eastAsia="Calibri"/>
              </w:rPr>
              <w:t>316659</w:t>
            </w:r>
            <w:r>
              <w:rPr>
                <w:rFonts w:eastAsia="Calibri"/>
              </w:rPr>
              <w:t xml:space="preserve">, </w:t>
            </w:r>
            <w:r w:rsidRPr="006D55BF">
              <w:rPr>
                <w:rFonts w:eastAsia="Calibri"/>
              </w:rPr>
              <w:t>316660</w:t>
            </w:r>
          </w:p>
        </w:tc>
      </w:tr>
      <w:tr w:rsidR="003735BC" w:rsidRPr="003D1E62" w14:paraId="2D2C2DFA" w14:textId="77777777" w:rsidTr="003735BC">
        <w:tc>
          <w:tcPr>
            <w:tcW w:w="2907" w:type="dxa"/>
          </w:tcPr>
          <w:p w14:paraId="1F0450E4" w14:textId="355520EB" w:rsidR="003735BC" w:rsidRDefault="00FA5069" w:rsidP="001B5C90">
            <w:pPr>
              <w:rPr>
                <w:i/>
              </w:rPr>
            </w:pPr>
            <w:r>
              <w:rPr>
                <w:rFonts w:ascii="Wingdings 3" w:hAnsi="Wingdings 3"/>
                <w:sz w:val="34"/>
                <w:szCs w:val="34"/>
                <w:lang w:eastAsia="en-AU"/>
              </w:rPr>
              <w:t></w:t>
            </w:r>
            <w:r w:rsidR="003735BC" w:rsidRPr="003735BC">
              <w:rPr>
                <w:i/>
              </w:rPr>
              <w:t>Black Triangle Scheme</w:t>
            </w:r>
            <w:r w:rsidR="00630C63">
              <w:rPr>
                <w:i/>
              </w:rPr>
              <w:t>:</w:t>
            </w:r>
            <w:r w:rsidR="00460036">
              <w:rPr>
                <w:rStyle w:val="FootnoteReference"/>
                <w:i/>
              </w:rPr>
              <w:footnoteReference w:id="1"/>
            </w:r>
          </w:p>
        </w:tc>
        <w:tc>
          <w:tcPr>
            <w:tcW w:w="6307" w:type="dxa"/>
          </w:tcPr>
          <w:p w14:paraId="03A006A9" w14:textId="77777777" w:rsidR="003735BC" w:rsidRPr="00487162" w:rsidRDefault="00554C19" w:rsidP="008F3D99">
            <w:r>
              <w:t xml:space="preserve">Yes. </w:t>
            </w:r>
            <w:r w:rsidR="003735BC">
              <w:t xml:space="preserve">This product will remain in the scheme for 5 years, starting on the date the product is first supplied in </w:t>
            </w:r>
            <w:r>
              <w:t>Australia</w:t>
            </w:r>
          </w:p>
        </w:tc>
      </w:tr>
      <w:tr w:rsidR="00554C19" w:rsidRPr="00487162" w14:paraId="5C43CBCF" w14:textId="77777777" w:rsidTr="00BF1190">
        <w:tc>
          <w:tcPr>
            <w:tcW w:w="2907" w:type="dxa"/>
          </w:tcPr>
          <w:p w14:paraId="12ECAC96" w14:textId="77777777" w:rsidR="00554C19" w:rsidRPr="00487162" w:rsidRDefault="00554C19" w:rsidP="00554C19">
            <w:pPr>
              <w:rPr>
                <w:i/>
              </w:rPr>
            </w:pPr>
            <w:r w:rsidRPr="00487162">
              <w:rPr>
                <w:i/>
              </w:rPr>
              <w:t xml:space="preserve">Sponsor’s </w:t>
            </w:r>
            <w:r>
              <w:rPr>
                <w:i/>
              </w:rPr>
              <w:t>n</w:t>
            </w:r>
            <w:r w:rsidRPr="00487162">
              <w:rPr>
                <w:i/>
              </w:rPr>
              <w:t xml:space="preserve">ame and </w:t>
            </w:r>
            <w:r>
              <w:rPr>
                <w:i/>
              </w:rPr>
              <w:t>a</w:t>
            </w:r>
            <w:r w:rsidRPr="00487162">
              <w:rPr>
                <w:i/>
              </w:rPr>
              <w:t>ddress:</w:t>
            </w:r>
          </w:p>
        </w:tc>
        <w:tc>
          <w:tcPr>
            <w:tcW w:w="6307" w:type="dxa"/>
          </w:tcPr>
          <w:p w14:paraId="1CA5A506" w14:textId="71B50F5C" w:rsidR="00554C19" w:rsidRPr="00F86BB5" w:rsidRDefault="00554C19" w:rsidP="008F3D99">
            <w:pPr>
              <w:rPr>
                <w:lang w:val="es-ES"/>
              </w:rPr>
            </w:pPr>
            <w:proofErr w:type="spellStart"/>
            <w:r w:rsidRPr="00F86BB5">
              <w:rPr>
                <w:lang w:val="es-ES"/>
              </w:rPr>
              <w:t>Shire</w:t>
            </w:r>
            <w:proofErr w:type="spellEnd"/>
            <w:r w:rsidRPr="00F86BB5">
              <w:rPr>
                <w:lang w:val="es-ES"/>
              </w:rPr>
              <w:t xml:space="preserve"> Australia </w:t>
            </w:r>
            <w:proofErr w:type="spellStart"/>
            <w:r w:rsidRPr="00F86BB5">
              <w:rPr>
                <w:lang w:val="es-ES"/>
              </w:rPr>
              <w:t>Pty</w:t>
            </w:r>
            <w:proofErr w:type="spellEnd"/>
            <w:r w:rsidRPr="00F86BB5">
              <w:rPr>
                <w:lang w:val="es-ES"/>
              </w:rPr>
              <w:t xml:space="preserve"> </w:t>
            </w:r>
            <w:proofErr w:type="spellStart"/>
            <w:r w:rsidRPr="00F86BB5">
              <w:rPr>
                <w:lang w:val="es-ES"/>
              </w:rPr>
              <w:t>Limited</w:t>
            </w:r>
            <w:proofErr w:type="spellEnd"/>
            <w:r w:rsidR="005A7B14">
              <w:rPr>
                <w:lang w:val="es-ES"/>
              </w:rPr>
              <w:t xml:space="preserve"> (</w:t>
            </w:r>
            <w:proofErr w:type="spellStart"/>
            <w:r w:rsidR="005A7B14">
              <w:rPr>
                <w:lang w:val="es-ES"/>
              </w:rPr>
              <w:t>now</w:t>
            </w:r>
            <w:proofErr w:type="spellEnd"/>
            <w:r w:rsidR="005A7B14">
              <w:rPr>
                <w:lang w:val="es-ES"/>
              </w:rPr>
              <w:t xml:space="preserve"> </w:t>
            </w:r>
            <w:proofErr w:type="spellStart"/>
            <w:r w:rsidR="005A7B14">
              <w:rPr>
                <w:lang w:val="es-ES"/>
              </w:rPr>
              <w:t>Takeda</w:t>
            </w:r>
            <w:proofErr w:type="spellEnd"/>
            <w:r w:rsidR="005A7B14">
              <w:rPr>
                <w:lang w:val="es-ES"/>
              </w:rPr>
              <w:t xml:space="preserve"> </w:t>
            </w:r>
            <w:proofErr w:type="spellStart"/>
            <w:r w:rsidR="005A7B14">
              <w:rPr>
                <w:lang w:val="es-ES"/>
              </w:rPr>
              <w:t>Pharmaceuticals</w:t>
            </w:r>
            <w:proofErr w:type="spellEnd"/>
            <w:r w:rsidR="005A7B14">
              <w:rPr>
                <w:lang w:val="es-ES"/>
              </w:rPr>
              <w:t xml:space="preserve"> Australia </w:t>
            </w:r>
            <w:proofErr w:type="spellStart"/>
            <w:r w:rsidR="005A7B14">
              <w:rPr>
                <w:lang w:val="es-ES"/>
              </w:rPr>
              <w:t>Pty</w:t>
            </w:r>
            <w:proofErr w:type="spellEnd"/>
            <w:r w:rsidR="005A7B14">
              <w:rPr>
                <w:lang w:val="es-ES"/>
              </w:rPr>
              <w:t xml:space="preserve"> </w:t>
            </w:r>
            <w:proofErr w:type="spellStart"/>
            <w:r w:rsidR="005A7B14">
              <w:rPr>
                <w:lang w:val="es-ES"/>
              </w:rPr>
              <w:t>Ltd</w:t>
            </w:r>
            <w:proofErr w:type="spellEnd"/>
            <w:r w:rsidR="005A7B14">
              <w:rPr>
                <w:lang w:val="es-ES"/>
              </w:rPr>
              <w:t>)</w:t>
            </w:r>
          </w:p>
          <w:p w14:paraId="19B8A94E" w14:textId="77777777" w:rsidR="00554C19" w:rsidRPr="00F86BB5" w:rsidRDefault="00554C19" w:rsidP="008F3D99">
            <w:pPr>
              <w:rPr>
                <w:lang w:val="es-ES"/>
              </w:rPr>
            </w:pPr>
            <w:proofErr w:type="spellStart"/>
            <w:r w:rsidRPr="00F86BB5">
              <w:rPr>
                <w:lang w:val="es-ES"/>
              </w:rPr>
              <w:t>Level</w:t>
            </w:r>
            <w:proofErr w:type="spellEnd"/>
            <w:r w:rsidRPr="00F86BB5">
              <w:rPr>
                <w:lang w:val="es-ES"/>
              </w:rPr>
              <w:t xml:space="preserve"> 39, 225 George Street, </w:t>
            </w:r>
            <w:proofErr w:type="spellStart"/>
            <w:r w:rsidRPr="00F86BB5">
              <w:rPr>
                <w:lang w:val="es-ES"/>
              </w:rPr>
              <w:t>Sydney</w:t>
            </w:r>
            <w:proofErr w:type="spellEnd"/>
            <w:r w:rsidRPr="00F86BB5">
              <w:rPr>
                <w:lang w:val="es-ES"/>
              </w:rPr>
              <w:t xml:space="preserve"> NSW 2000</w:t>
            </w:r>
          </w:p>
        </w:tc>
      </w:tr>
      <w:tr w:rsidR="00554C19" w:rsidRPr="00487162" w14:paraId="5FBF2FC6" w14:textId="77777777" w:rsidTr="00BF1190">
        <w:tc>
          <w:tcPr>
            <w:tcW w:w="2907" w:type="dxa"/>
          </w:tcPr>
          <w:p w14:paraId="2FEEA010" w14:textId="77777777" w:rsidR="00554C19" w:rsidRPr="00487162" w:rsidRDefault="008F3D99" w:rsidP="00554C19">
            <w:pPr>
              <w:rPr>
                <w:i/>
              </w:rPr>
            </w:pPr>
            <w:r>
              <w:rPr>
                <w:i/>
              </w:rPr>
              <w:t>Dose forms</w:t>
            </w:r>
            <w:r w:rsidR="00554C19">
              <w:rPr>
                <w:i/>
              </w:rPr>
              <w:t>:</w:t>
            </w:r>
          </w:p>
        </w:tc>
        <w:tc>
          <w:tcPr>
            <w:tcW w:w="6307" w:type="dxa"/>
          </w:tcPr>
          <w:p w14:paraId="707F53CF" w14:textId="77777777" w:rsidR="00554C19" w:rsidRPr="00487162" w:rsidRDefault="00554C19" w:rsidP="008F3D99">
            <w:r w:rsidRPr="006D55BF">
              <w:rPr>
                <w:rFonts w:eastAsia="Calibri"/>
              </w:rPr>
              <w:t>P</w:t>
            </w:r>
            <w:r>
              <w:rPr>
                <w:rFonts w:eastAsia="Calibri"/>
              </w:rPr>
              <w:t>owder and solvent for injection</w:t>
            </w:r>
          </w:p>
        </w:tc>
      </w:tr>
      <w:tr w:rsidR="00554C19" w:rsidRPr="00487162" w14:paraId="10E8AABD" w14:textId="77777777" w:rsidTr="00BF1190">
        <w:tc>
          <w:tcPr>
            <w:tcW w:w="2907" w:type="dxa"/>
          </w:tcPr>
          <w:p w14:paraId="44989745" w14:textId="77777777" w:rsidR="00554C19" w:rsidRPr="00487162" w:rsidRDefault="008F3D99" w:rsidP="00554C19">
            <w:pPr>
              <w:rPr>
                <w:i/>
              </w:rPr>
            </w:pPr>
            <w:r>
              <w:rPr>
                <w:i/>
              </w:rPr>
              <w:t>Strengths</w:t>
            </w:r>
            <w:r w:rsidR="00554C19" w:rsidRPr="00487162">
              <w:rPr>
                <w:i/>
              </w:rPr>
              <w:t xml:space="preserve">: </w:t>
            </w:r>
          </w:p>
        </w:tc>
        <w:tc>
          <w:tcPr>
            <w:tcW w:w="6307" w:type="dxa"/>
          </w:tcPr>
          <w:p w14:paraId="2CF011D4" w14:textId="6878457F" w:rsidR="00554C19" w:rsidRPr="00487162" w:rsidRDefault="004D5EBF" w:rsidP="008F3D99">
            <w:r>
              <w:rPr>
                <w:rFonts w:eastAsia="Calibri"/>
              </w:rPr>
              <w:t>650 International u</w:t>
            </w:r>
            <w:r w:rsidR="00F539DB">
              <w:rPr>
                <w:rFonts w:eastAsia="Calibri"/>
              </w:rPr>
              <w:t>nits (IU)</w:t>
            </w:r>
            <w:r w:rsidR="00554C19">
              <w:rPr>
                <w:rFonts w:eastAsia="Calibri"/>
              </w:rPr>
              <w:t xml:space="preserve">, </w:t>
            </w:r>
            <w:r w:rsidR="00554C19" w:rsidRPr="006D55BF">
              <w:rPr>
                <w:rFonts w:eastAsia="Calibri"/>
              </w:rPr>
              <w:t>1300 IU</w:t>
            </w:r>
          </w:p>
        </w:tc>
      </w:tr>
      <w:tr w:rsidR="00554C19" w:rsidRPr="00487162" w14:paraId="21BAD542" w14:textId="77777777" w:rsidTr="00BF1190">
        <w:tc>
          <w:tcPr>
            <w:tcW w:w="2907" w:type="dxa"/>
          </w:tcPr>
          <w:p w14:paraId="48EADB64" w14:textId="77777777" w:rsidR="00554C19" w:rsidRPr="00487162" w:rsidRDefault="008F3D99" w:rsidP="00554C19">
            <w:pPr>
              <w:rPr>
                <w:i/>
              </w:rPr>
            </w:pPr>
            <w:r>
              <w:rPr>
                <w:i/>
              </w:rPr>
              <w:t>Container</w:t>
            </w:r>
            <w:r w:rsidR="00554C19" w:rsidRPr="00487162">
              <w:rPr>
                <w:i/>
              </w:rPr>
              <w:t>:</w:t>
            </w:r>
          </w:p>
        </w:tc>
        <w:tc>
          <w:tcPr>
            <w:tcW w:w="6307" w:type="dxa"/>
          </w:tcPr>
          <w:p w14:paraId="74EF7726" w14:textId="77777777" w:rsidR="00554C19" w:rsidRPr="00487162" w:rsidRDefault="00554C19" w:rsidP="008F3D99">
            <w:r>
              <w:t>Vial</w:t>
            </w:r>
          </w:p>
        </w:tc>
      </w:tr>
      <w:tr w:rsidR="00554C19" w:rsidRPr="00487162" w14:paraId="3FB0F025" w14:textId="77777777" w:rsidTr="00BF1190">
        <w:tc>
          <w:tcPr>
            <w:tcW w:w="2907" w:type="dxa"/>
          </w:tcPr>
          <w:p w14:paraId="1794008C" w14:textId="77777777" w:rsidR="00554C19" w:rsidRPr="00487162" w:rsidRDefault="008F3D99" w:rsidP="00554C19">
            <w:pPr>
              <w:rPr>
                <w:i/>
              </w:rPr>
            </w:pPr>
            <w:r>
              <w:rPr>
                <w:i/>
              </w:rPr>
              <w:t>Pack size</w:t>
            </w:r>
            <w:r w:rsidR="00554C19" w:rsidRPr="00487162">
              <w:rPr>
                <w:i/>
              </w:rPr>
              <w:t>:</w:t>
            </w:r>
          </w:p>
        </w:tc>
        <w:tc>
          <w:tcPr>
            <w:tcW w:w="6307" w:type="dxa"/>
          </w:tcPr>
          <w:p w14:paraId="23E5BDD9" w14:textId="77777777" w:rsidR="00554C19" w:rsidRPr="00487162" w:rsidRDefault="008F3D99" w:rsidP="008F3D99">
            <w:r>
              <w:t>One</w:t>
            </w:r>
          </w:p>
        </w:tc>
      </w:tr>
      <w:tr w:rsidR="00554C19" w:rsidRPr="00487162" w14:paraId="0DB1D3FB" w14:textId="77777777" w:rsidTr="00BF1190">
        <w:tc>
          <w:tcPr>
            <w:tcW w:w="2907" w:type="dxa"/>
          </w:tcPr>
          <w:p w14:paraId="01F98BC5" w14:textId="77777777" w:rsidR="00554C19" w:rsidRPr="00487162" w:rsidRDefault="00554C19" w:rsidP="00554C19">
            <w:pPr>
              <w:rPr>
                <w:i/>
              </w:rPr>
            </w:pPr>
            <w:r w:rsidRPr="00487162">
              <w:rPr>
                <w:i/>
              </w:rPr>
              <w:t xml:space="preserve">Approved </w:t>
            </w:r>
            <w:r>
              <w:rPr>
                <w:i/>
              </w:rPr>
              <w:t>t</w:t>
            </w:r>
            <w:r w:rsidRPr="00487162">
              <w:rPr>
                <w:i/>
              </w:rPr>
              <w:t>herapeutic use:</w:t>
            </w:r>
          </w:p>
        </w:tc>
        <w:tc>
          <w:tcPr>
            <w:tcW w:w="6307" w:type="dxa"/>
          </w:tcPr>
          <w:p w14:paraId="5D73AD40" w14:textId="77777777" w:rsidR="008F3D99" w:rsidRPr="006D55BF" w:rsidRDefault="008F3D99" w:rsidP="008F3D99">
            <w:pPr>
              <w:rPr>
                <w:i/>
              </w:rPr>
            </w:pPr>
            <w:r w:rsidRPr="006D55BF">
              <w:rPr>
                <w:i/>
              </w:rPr>
              <w:t xml:space="preserve">Veyvondi is indicated in adults (age 18 and older) with von </w:t>
            </w:r>
            <w:proofErr w:type="spellStart"/>
            <w:r w:rsidRPr="006D55BF">
              <w:rPr>
                <w:i/>
              </w:rPr>
              <w:t>Willebrand</w:t>
            </w:r>
            <w:proofErr w:type="spellEnd"/>
            <w:r w:rsidRPr="006D55BF">
              <w:rPr>
                <w:i/>
              </w:rPr>
              <w:t xml:space="preserve"> Disease (VWD), when desmopressin (DDAVP) treatment alone is ineffective or not indicated, for the</w:t>
            </w:r>
          </w:p>
          <w:p w14:paraId="39CA624B" w14:textId="77777777" w:rsidR="008F3D99" w:rsidRPr="006D55BF" w:rsidRDefault="008F3D99" w:rsidP="008F3D99">
            <w:pPr>
              <w:pStyle w:val="ListBullet"/>
              <w:rPr>
                <w:i/>
              </w:rPr>
            </w:pPr>
            <w:r w:rsidRPr="006D55BF">
              <w:rPr>
                <w:i/>
              </w:rPr>
              <w:t>treatment of haemorrhage and surgical bleeding</w:t>
            </w:r>
          </w:p>
          <w:p w14:paraId="2429B343" w14:textId="77777777" w:rsidR="008F3D99" w:rsidRPr="006D55BF" w:rsidRDefault="008F3D99" w:rsidP="008F3D99">
            <w:pPr>
              <w:pStyle w:val="ListBullet"/>
              <w:rPr>
                <w:i/>
              </w:rPr>
            </w:pPr>
            <w:r w:rsidRPr="006D55BF">
              <w:rPr>
                <w:i/>
              </w:rPr>
              <w:t>prevention of surgical bleeding.</w:t>
            </w:r>
          </w:p>
          <w:p w14:paraId="6ECEC6E9" w14:textId="77777777" w:rsidR="00554C19" w:rsidRPr="008F3D99" w:rsidRDefault="008F3D99" w:rsidP="008F3D99">
            <w:pPr>
              <w:rPr>
                <w:i/>
              </w:rPr>
            </w:pPr>
            <w:r w:rsidRPr="006D55BF">
              <w:rPr>
                <w:i/>
              </w:rPr>
              <w:t>Veyvondi should not be used in the treatment of Haemophilia A.</w:t>
            </w:r>
          </w:p>
        </w:tc>
      </w:tr>
      <w:tr w:rsidR="00554C19" w:rsidRPr="00487162" w14:paraId="79177696" w14:textId="77777777" w:rsidTr="00B01691">
        <w:trPr>
          <w:trHeight w:val="1542"/>
        </w:trPr>
        <w:tc>
          <w:tcPr>
            <w:tcW w:w="2907" w:type="dxa"/>
          </w:tcPr>
          <w:p w14:paraId="7A1DF70F" w14:textId="77777777" w:rsidR="00554C19" w:rsidRPr="00487162" w:rsidRDefault="008F3D99" w:rsidP="00554C19">
            <w:pPr>
              <w:rPr>
                <w:i/>
              </w:rPr>
            </w:pPr>
            <w:r>
              <w:rPr>
                <w:i/>
              </w:rPr>
              <w:t>Route</w:t>
            </w:r>
            <w:r w:rsidR="00554C19" w:rsidRPr="00487162">
              <w:rPr>
                <w:i/>
              </w:rPr>
              <w:t xml:space="preserve"> of administration:</w:t>
            </w:r>
          </w:p>
        </w:tc>
        <w:tc>
          <w:tcPr>
            <w:tcW w:w="6307" w:type="dxa"/>
          </w:tcPr>
          <w:p w14:paraId="6A9BE119" w14:textId="77777777" w:rsidR="00554C19" w:rsidRPr="00487162" w:rsidRDefault="008F3D99" w:rsidP="008F3D99">
            <w:r w:rsidRPr="00F86BB5">
              <w:t>Intravenous</w:t>
            </w:r>
            <w:r>
              <w:t xml:space="preserve"> infusion</w:t>
            </w:r>
          </w:p>
        </w:tc>
      </w:tr>
      <w:tr w:rsidR="00554C19" w:rsidRPr="00487162" w14:paraId="5F82FE28" w14:textId="77777777" w:rsidTr="00BF1190">
        <w:tc>
          <w:tcPr>
            <w:tcW w:w="2907" w:type="dxa"/>
          </w:tcPr>
          <w:p w14:paraId="142D5806" w14:textId="77777777" w:rsidR="00554C19" w:rsidRPr="00487162" w:rsidRDefault="00554C19" w:rsidP="00554C19">
            <w:pPr>
              <w:rPr>
                <w:i/>
              </w:rPr>
            </w:pPr>
            <w:r w:rsidRPr="00487162">
              <w:rPr>
                <w:i/>
              </w:rPr>
              <w:lastRenderedPageBreak/>
              <w:t>Dosage:</w:t>
            </w:r>
          </w:p>
        </w:tc>
        <w:tc>
          <w:tcPr>
            <w:tcW w:w="6307" w:type="dxa"/>
          </w:tcPr>
          <w:p w14:paraId="6E44A15B" w14:textId="454C07D1" w:rsidR="008F3D99" w:rsidRPr="00B01691" w:rsidRDefault="008F3D99" w:rsidP="00B01691">
            <w:r w:rsidRPr="00B01691">
              <w:t xml:space="preserve">Veyvondi is not bioequivalent to plasma-derived von </w:t>
            </w:r>
            <w:proofErr w:type="spellStart"/>
            <w:r w:rsidRPr="00B01691">
              <w:t>Willebrand</w:t>
            </w:r>
            <w:proofErr w:type="spellEnd"/>
            <w:r w:rsidRPr="00B01691">
              <w:t xml:space="preserve"> factor</w:t>
            </w:r>
            <w:r w:rsidR="00535621" w:rsidRPr="00B01691">
              <w:t xml:space="preserve"> (VWF)</w:t>
            </w:r>
            <w:r w:rsidRPr="00B01691">
              <w:t>, and individual patient dosage must be calculated specifically for Veyvondi.</w:t>
            </w:r>
            <w:r w:rsidR="00B01691">
              <w:br/>
            </w:r>
            <w:r w:rsidRPr="00B01691">
              <w:t xml:space="preserve">Treatment of von </w:t>
            </w:r>
            <w:proofErr w:type="spellStart"/>
            <w:r w:rsidRPr="00B01691">
              <w:t>Willebrand</w:t>
            </w:r>
            <w:proofErr w:type="spellEnd"/>
            <w:r w:rsidRPr="00B01691">
              <w:t xml:space="preserve"> disease (VWD) should be supervised by a physician experienced in the treatment of haemostatic disorders.</w:t>
            </w:r>
          </w:p>
          <w:p w14:paraId="5521FE3E" w14:textId="61075F77" w:rsidR="008F3D99" w:rsidRPr="00B01691" w:rsidRDefault="008F3D99" w:rsidP="008F3D99">
            <w:r w:rsidRPr="00B01691">
              <w:rPr>
                <w:b/>
              </w:rPr>
              <w:t>Dosage</w:t>
            </w:r>
            <w:r w:rsidR="00B01691">
              <w:rPr>
                <w:b/>
              </w:rPr>
              <w:br/>
            </w:r>
            <w:proofErr w:type="spellStart"/>
            <w:r w:rsidRPr="00B01691">
              <w:t>Dosage</w:t>
            </w:r>
            <w:proofErr w:type="spellEnd"/>
            <w:r w:rsidRPr="00B01691">
              <w:t xml:space="preserve"> and frequency of administration must be individualised according to clinical jud</w:t>
            </w:r>
            <w:r w:rsidR="00535621" w:rsidRPr="00B01691">
              <w:t>gement and based on the patient’</w:t>
            </w:r>
            <w:r w:rsidRPr="00B01691">
              <w:t xml:space="preserve">s weight, severity and type of bleeding episodes/surgical intervention, as well as both von </w:t>
            </w:r>
            <w:proofErr w:type="spellStart"/>
            <w:r w:rsidRPr="00B01691">
              <w:t>Willebrand</w:t>
            </w:r>
            <w:proofErr w:type="spellEnd"/>
            <w:r w:rsidRPr="00B01691">
              <w:t xml:space="preserve"> factor </w:t>
            </w:r>
            <w:proofErr w:type="spellStart"/>
            <w:r w:rsidRPr="00B01691">
              <w:t>ristocetin</w:t>
            </w:r>
            <w:proofErr w:type="spellEnd"/>
            <w:r w:rsidRPr="00B01691">
              <w:t xml:space="preserve"> cofactor (</w:t>
            </w:r>
            <w:proofErr w:type="spellStart"/>
            <w:r w:rsidRPr="00B01691">
              <w:t>VWF:RCo</w:t>
            </w:r>
            <w:proofErr w:type="spellEnd"/>
            <w:r w:rsidRPr="00B01691">
              <w:t>) and factor VIII coagulant activity (FVIII:C) levels, and also based on monitoring of appropriate clinical and laboratory measures. Dose based on bodyweight may require adjustment in underweight or overweight patients.</w:t>
            </w:r>
            <w:r w:rsidR="00B01691">
              <w:br/>
            </w:r>
            <w:r w:rsidRPr="00B01691">
              <w:t xml:space="preserve">Generally, 1 IU/kg Veyvondi raises the plasma </w:t>
            </w:r>
            <w:proofErr w:type="spellStart"/>
            <w:r w:rsidRPr="00B01691">
              <w:t>VWF:RCo</w:t>
            </w:r>
            <w:proofErr w:type="spellEnd"/>
            <w:r w:rsidRPr="00B01691">
              <w:t xml:space="preserve"> by 0.02</w:t>
            </w:r>
            <w:r w:rsidR="00617514" w:rsidRPr="00B01691">
              <w:t> </w:t>
            </w:r>
            <w:r w:rsidRPr="00B01691">
              <w:t>IU/mL (2%).</w:t>
            </w:r>
          </w:p>
          <w:p w14:paraId="14237FF2" w14:textId="77777777" w:rsidR="008F3D99" w:rsidRPr="00B01691" w:rsidRDefault="008F3D99" w:rsidP="008F3D99">
            <w:r w:rsidRPr="00B01691">
              <w:t xml:space="preserve">Haemostasis cannot be ensured until FVIII:C is at least 0.4 IU/mL (≥ 40% of normal activity). Depending on the patient’s baseline FVIII:C levels, a single infusion of recombinant von </w:t>
            </w:r>
            <w:proofErr w:type="spellStart"/>
            <w:r w:rsidRPr="00B01691">
              <w:t>Willebrand</w:t>
            </w:r>
            <w:proofErr w:type="spellEnd"/>
            <w:r w:rsidRPr="00B01691">
              <w:t xml:space="preserve"> factor (</w:t>
            </w:r>
            <w:proofErr w:type="spellStart"/>
            <w:r w:rsidRPr="00B01691">
              <w:t>rVWF</w:t>
            </w:r>
            <w:proofErr w:type="spellEnd"/>
            <w:r w:rsidRPr="00B01691">
              <w:t xml:space="preserve">) will, in a majority of patients, lead to an increase above 40% in endogenous FVIII:C activity within 6 hours and will result in sustaining this level up to 72 hours post infusion. The dose and duration of the treatment depend on the clinical status of the patient, the severity and type of bleeding, and both </w:t>
            </w:r>
            <w:proofErr w:type="spellStart"/>
            <w:r w:rsidRPr="00B01691">
              <w:t>VWF:RCo</w:t>
            </w:r>
            <w:proofErr w:type="spellEnd"/>
            <w:r w:rsidRPr="00B01691">
              <w:t xml:space="preserve"> and FVIII:C levels. If the patient’s baseline plasma FVIII:C level is &lt; 40% or is unknown and in all situations where a rapid correction of haemostasis should be achieved, such as treatment of an acute haemorrhage, severe trauma or emergency surgery, it is necessary to administer a recombinant coagulation factor VIII (</w:t>
            </w:r>
            <w:proofErr w:type="spellStart"/>
            <w:r w:rsidRPr="00B01691">
              <w:t>rFVIII</w:t>
            </w:r>
            <w:proofErr w:type="spellEnd"/>
            <w:r w:rsidRPr="00B01691">
              <w:t>) product with the first infusion of Veyvondi, in order to achieve a haemostatic plasma level of FVIII:C.</w:t>
            </w:r>
          </w:p>
          <w:p w14:paraId="30F01E36" w14:textId="77777777" w:rsidR="008F3D99" w:rsidRPr="00B01691" w:rsidRDefault="008F3D99" w:rsidP="008F3D99">
            <w:r w:rsidRPr="00B01691">
              <w:t xml:space="preserve">However, if an immediate rise in FVIII:C is not necessary, or if the baseline FVIII:C level is sufficient to ensure haemostasis, the physician may decide to omit the co-administration of </w:t>
            </w:r>
            <w:proofErr w:type="spellStart"/>
            <w:r w:rsidRPr="00B01691">
              <w:t>rFVIII</w:t>
            </w:r>
            <w:proofErr w:type="spellEnd"/>
            <w:r w:rsidRPr="00B01691">
              <w:t xml:space="preserve"> at the first infusion with Veyvondi.</w:t>
            </w:r>
          </w:p>
          <w:p w14:paraId="06C3D968" w14:textId="77777777" w:rsidR="008F3D99" w:rsidRPr="00B01691" w:rsidRDefault="008F3D99" w:rsidP="008F3D99">
            <w:r w:rsidRPr="00B01691">
              <w:t xml:space="preserve">In case of major bleeding events or major surgeries requiring repeated, frequent infusions, monitoring of FVIII:C levels is recommended, to decide if </w:t>
            </w:r>
            <w:proofErr w:type="spellStart"/>
            <w:r w:rsidRPr="00B01691">
              <w:t>rFVIII</w:t>
            </w:r>
            <w:proofErr w:type="spellEnd"/>
            <w:r w:rsidRPr="00B01691">
              <w:t xml:space="preserve"> is required for subsequent infusions to avoid excessive rise of FVIII:C.</w:t>
            </w:r>
          </w:p>
          <w:p w14:paraId="227831D1" w14:textId="7BCB4C76" w:rsidR="00554C19" w:rsidRPr="00B01691" w:rsidRDefault="008F3D99" w:rsidP="008F3D99">
            <w:r w:rsidRPr="00B01691">
              <w:t>Patients should be monitored for the development of VWF or FVIII neutralising antibodies (inhibitors). If suspected VWF activity (</w:t>
            </w:r>
            <w:proofErr w:type="spellStart"/>
            <w:r w:rsidRPr="00B01691">
              <w:t>VWF:RCo</w:t>
            </w:r>
            <w:proofErr w:type="spellEnd"/>
            <w:r w:rsidRPr="00B01691">
              <w:t>) plasma levels are not attained, or if bleeding is not controlled with an appropriate dose, an assay should be performed to determine if a VWF or FVIII inhibitor is present. See Product Information</w:t>
            </w:r>
            <w:r w:rsidR="009138A7" w:rsidRPr="00B01691">
              <w:t>:</w:t>
            </w:r>
            <w:r w:rsidRPr="00B01691">
              <w:t xml:space="preserve"> Section 4.4 Special Warnings and Precautions for Use, Neutralising antibodies (inhibitors).</w:t>
            </w:r>
          </w:p>
          <w:p w14:paraId="781BD9E4" w14:textId="77777777" w:rsidR="00554C19" w:rsidRPr="00B01691" w:rsidRDefault="00554C19" w:rsidP="008F3D99">
            <w:r w:rsidRPr="00B01691">
              <w:t>For further information regarding dosage, refer to the Product Information.</w:t>
            </w:r>
          </w:p>
        </w:tc>
      </w:tr>
      <w:tr w:rsidR="00554C19" w:rsidRPr="00487162" w14:paraId="4DDB94D0" w14:textId="77777777" w:rsidTr="00BF1190">
        <w:tc>
          <w:tcPr>
            <w:tcW w:w="2907" w:type="dxa"/>
          </w:tcPr>
          <w:p w14:paraId="3F5D27F6" w14:textId="77777777" w:rsidR="00554C19" w:rsidRPr="00487162" w:rsidRDefault="00554C19" w:rsidP="00554C19">
            <w:pPr>
              <w:rPr>
                <w:i/>
              </w:rPr>
            </w:pPr>
            <w:r w:rsidRPr="00460036">
              <w:rPr>
                <w:i/>
              </w:rPr>
              <w:lastRenderedPageBreak/>
              <w:t>Pregnancy category</w:t>
            </w:r>
            <w:r>
              <w:rPr>
                <w:i/>
              </w:rPr>
              <w:t>:</w:t>
            </w:r>
          </w:p>
        </w:tc>
        <w:tc>
          <w:tcPr>
            <w:tcW w:w="6307" w:type="dxa"/>
          </w:tcPr>
          <w:p w14:paraId="73D2E3A1" w14:textId="77777777" w:rsidR="008F3D99" w:rsidRPr="00C348A1" w:rsidRDefault="008F3D99" w:rsidP="008F3D99">
            <w:r w:rsidRPr="00C348A1">
              <w:t>B2</w:t>
            </w:r>
          </w:p>
          <w:p w14:paraId="7C737A77" w14:textId="77777777" w:rsidR="008F3D99" w:rsidRPr="00C348A1" w:rsidRDefault="008F3D99" w:rsidP="008F3D99">
            <w:r w:rsidRPr="00C348A1">
              <w:t xml:space="preserve">Drugs which have been taken by only a limited number of pregnant women and women of childbearing age, without an increase in the frequency of malformation or other direct or indirect harmful effects on the human </w:t>
            </w:r>
            <w:proofErr w:type="spellStart"/>
            <w:r w:rsidRPr="00C348A1">
              <w:t>fetus</w:t>
            </w:r>
            <w:proofErr w:type="spellEnd"/>
            <w:r w:rsidRPr="00C348A1">
              <w:t xml:space="preserve"> having been observed.</w:t>
            </w:r>
          </w:p>
          <w:p w14:paraId="752E257B" w14:textId="77777777" w:rsidR="008F3D99" w:rsidRPr="00C348A1" w:rsidRDefault="008F3D99" w:rsidP="008F3D99">
            <w:r w:rsidRPr="00C348A1">
              <w:t xml:space="preserve">Studies in animals are inadequate or may be lacking, but available data show no evidence of an increased occurrence of </w:t>
            </w:r>
            <w:proofErr w:type="spellStart"/>
            <w:r w:rsidRPr="00C348A1">
              <w:t>fetal</w:t>
            </w:r>
            <w:proofErr w:type="spellEnd"/>
            <w:r w:rsidRPr="00C348A1">
              <w:t xml:space="preserve"> damage.</w:t>
            </w:r>
          </w:p>
          <w:p w14:paraId="0660E270" w14:textId="77777777" w:rsidR="00554C19" w:rsidRPr="00487162" w:rsidRDefault="00554C19" w:rsidP="008F3D99">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w:t>
            </w:r>
            <w:r w:rsidR="008F3D99">
              <w:t>ces in your State or Territory.</w:t>
            </w:r>
          </w:p>
        </w:tc>
      </w:tr>
    </w:tbl>
    <w:p w14:paraId="7BE8DD41" w14:textId="77777777" w:rsidR="008E7846" w:rsidRDefault="008E7846" w:rsidP="008E7846">
      <w:pPr>
        <w:pStyle w:val="Heading3"/>
      </w:pPr>
      <w:bookmarkStart w:id="13" w:name="_Toc247691503"/>
      <w:bookmarkStart w:id="14" w:name="_Toc314842484"/>
      <w:bookmarkStart w:id="15" w:name="_Toc54175019"/>
      <w:r>
        <w:t>Product background</w:t>
      </w:r>
      <w:bookmarkEnd w:id="13"/>
      <w:bookmarkEnd w:id="14"/>
      <w:bookmarkEnd w:id="15"/>
    </w:p>
    <w:p w14:paraId="2F7D03D2" w14:textId="45930D78" w:rsidR="008E7846" w:rsidRDefault="00250271" w:rsidP="00F4646E">
      <w:r w:rsidRPr="00250271">
        <w:t>This AusPAR describes th</w:t>
      </w:r>
      <w:r w:rsidR="008F3D99">
        <w:t xml:space="preserve">e application by </w:t>
      </w:r>
      <w:r w:rsidR="008F3D99" w:rsidRPr="00F539DB">
        <w:t xml:space="preserve">Shire Australia Pty Ltd </w:t>
      </w:r>
      <w:r w:rsidRPr="00F539DB">
        <w:t>(the sponsor</w:t>
      </w:r>
      <w:r w:rsidR="005A7B14">
        <w:t>, now Takeda Pharmaceuticals Australia Pty Ltd</w:t>
      </w:r>
      <w:r w:rsidRPr="00F539DB">
        <w:t xml:space="preserve">) to register </w:t>
      </w:r>
      <w:r w:rsidR="00F539DB" w:rsidRPr="00F539DB">
        <w:t>Veyvondi (</w:t>
      </w:r>
      <w:proofErr w:type="spellStart"/>
      <w:r w:rsidR="00F539DB" w:rsidRPr="00F539DB">
        <w:t>vonicog</w:t>
      </w:r>
      <w:proofErr w:type="spellEnd"/>
      <w:r w:rsidR="00F539DB" w:rsidRPr="00F539DB">
        <w:t xml:space="preserve"> </w:t>
      </w:r>
      <w:proofErr w:type="spellStart"/>
      <w:r w:rsidR="00F539DB" w:rsidRPr="00F539DB">
        <w:t>alfa</w:t>
      </w:r>
      <w:proofErr w:type="spellEnd"/>
      <w:r w:rsidR="00F539DB" w:rsidRPr="00F539DB">
        <w:t>) 650 IU and 1300 IU powder for injection with solvent</w:t>
      </w:r>
      <w:r w:rsidRPr="00F539DB">
        <w:t xml:space="preserve"> for the following proposed ind</w:t>
      </w:r>
      <w:r w:rsidR="00F539DB">
        <w:t>ication</w:t>
      </w:r>
      <w:r w:rsidR="00CF5DAD" w:rsidRPr="00F539DB">
        <w:t>:</w:t>
      </w:r>
    </w:p>
    <w:p w14:paraId="4278D8CD" w14:textId="42AA02B3" w:rsidR="00CD3E19" w:rsidRPr="00A168BD" w:rsidRDefault="00CD3E19" w:rsidP="00A168BD">
      <w:pPr>
        <w:ind w:left="360"/>
        <w:rPr>
          <w:i/>
        </w:rPr>
      </w:pPr>
      <w:r w:rsidRPr="00A168BD">
        <w:rPr>
          <w:i/>
        </w:rPr>
        <w:t>Veyvondi is indicated in adults (age 18 and older) wit</w:t>
      </w:r>
      <w:r w:rsidR="00A168BD" w:rsidRPr="00A168BD">
        <w:rPr>
          <w:i/>
        </w:rPr>
        <w:t xml:space="preserve">h von </w:t>
      </w:r>
      <w:proofErr w:type="spellStart"/>
      <w:r w:rsidR="00A168BD" w:rsidRPr="00A168BD">
        <w:rPr>
          <w:i/>
        </w:rPr>
        <w:t>Willebrand</w:t>
      </w:r>
      <w:proofErr w:type="spellEnd"/>
      <w:r w:rsidR="00A168BD" w:rsidRPr="00A168BD">
        <w:rPr>
          <w:i/>
        </w:rPr>
        <w:t xml:space="preserve"> Disease (VWD), </w:t>
      </w:r>
      <w:r w:rsidRPr="00A168BD">
        <w:rPr>
          <w:i/>
        </w:rPr>
        <w:t>when desmopressin (DDAVP) treatment alone is ineffective or not indicated, for the</w:t>
      </w:r>
    </w:p>
    <w:p w14:paraId="3121FB7A" w14:textId="3BB9571D" w:rsidR="00CD3E19" w:rsidRPr="00A168BD" w:rsidRDefault="00CD3E19" w:rsidP="00A168BD">
      <w:pPr>
        <w:pStyle w:val="ListBullet"/>
        <w:ind w:left="720"/>
        <w:rPr>
          <w:i/>
        </w:rPr>
      </w:pPr>
      <w:r w:rsidRPr="00A168BD">
        <w:rPr>
          <w:i/>
        </w:rPr>
        <w:t>treatment of haemorrhage and surgical bleeding</w:t>
      </w:r>
    </w:p>
    <w:p w14:paraId="7FB94A56" w14:textId="5BEE3CA5" w:rsidR="00CD3E19" w:rsidRPr="00A168BD" w:rsidRDefault="00A168BD" w:rsidP="00A168BD">
      <w:pPr>
        <w:pStyle w:val="ListBullet"/>
        <w:ind w:left="720"/>
        <w:rPr>
          <w:i/>
        </w:rPr>
      </w:pPr>
      <w:r>
        <w:rPr>
          <w:i/>
        </w:rPr>
        <w:t>prevention of surgical bleeding</w:t>
      </w:r>
    </w:p>
    <w:p w14:paraId="07EF9FC6" w14:textId="66CCAC8B" w:rsidR="00F10292" w:rsidRPr="00A168BD" w:rsidRDefault="00A168BD" w:rsidP="00A168BD">
      <w:pPr>
        <w:ind w:left="360"/>
        <w:rPr>
          <w:i/>
        </w:rPr>
      </w:pPr>
      <w:r w:rsidRPr="00A168BD">
        <w:rPr>
          <w:i/>
        </w:rPr>
        <w:t>Veyvondi</w:t>
      </w:r>
      <w:r w:rsidR="00CD3E19" w:rsidRPr="00A168BD">
        <w:rPr>
          <w:i/>
        </w:rPr>
        <w:t xml:space="preserve"> should not be used in the treatment of Haemophilia A.</w:t>
      </w:r>
    </w:p>
    <w:p w14:paraId="084FBF63" w14:textId="3C8D6694" w:rsidR="000B4C29" w:rsidRDefault="00D145F5" w:rsidP="00535621">
      <w:r>
        <w:t xml:space="preserve">Von </w:t>
      </w:r>
      <w:proofErr w:type="spellStart"/>
      <w:r>
        <w:t>Willebrand</w:t>
      </w:r>
      <w:proofErr w:type="spellEnd"/>
      <w:r w:rsidR="008427FE">
        <w:t xml:space="preserve"> d</w:t>
      </w:r>
      <w:r w:rsidR="000B4C29">
        <w:t>isease (</w:t>
      </w:r>
      <w:r w:rsidR="009138A7">
        <w:t>V</w:t>
      </w:r>
      <w:r w:rsidR="000B4C29">
        <w:t>WD) is one of the most common inherited bleeding disorder</w:t>
      </w:r>
      <w:r w:rsidR="004D5EBF">
        <w:t>s</w:t>
      </w:r>
      <w:r w:rsidR="000B4C29">
        <w:t>, potentially affecting 1% of the population</w:t>
      </w:r>
      <w:r w:rsidR="00630C63">
        <w:t>,</w:t>
      </w:r>
      <w:r w:rsidR="000B4C29">
        <w:t xml:space="preserve"> although in many cases remaining subclinical throughout life. It is characterised by the reduced levels, dysfunction or </w:t>
      </w:r>
      <w:r w:rsidR="008427FE">
        <w:t>absence of v</w:t>
      </w:r>
      <w:r w:rsidR="000B4C29">
        <w:t>on</w:t>
      </w:r>
      <w:r w:rsidR="009138A7">
        <w:t> </w:t>
      </w:r>
      <w:proofErr w:type="spellStart"/>
      <w:r w:rsidR="000B4C29">
        <w:t>Willibrand</w:t>
      </w:r>
      <w:proofErr w:type="spellEnd"/>
      <w:r w:rsidR="000B4C29">
        <w:t xml:space="preserve"> </w:t>
      </w:r>
      <w:r w:rsidR="009138A7">
        <w:t>f</w:t>
      </w:r>
      <w:r w:rsidR="000B4C29">
        <w:t xml:space="preserve">actor (VWF). VWF is a large </w:t>
      </w:r>
      <w:proofErr w:type="spellStart"/>
      <w:r w:rsidR="000B4C29">
        <w:t>multimeric</w:t>
      </w:r>
      <w:proofErr w:type="spellEnd"/>
      <w:r w:rsidR="000B4C29">
        <w:t xml:space="preserve"> glycoprotein which is essential for the binding of platelets to sites of endothelial injury, forming the primary platelet plug at a site of bleeding. It also acts as a carrier for </w:t>
      </w:r>
      <w:r w:rsidR="009138A7">
        <w:t>F</w:t>
      </w:r>
      <w:r w:rsidR="000B4C29">
        <w:t>actor VIII</w:t>
      </w:r>
      <w:r w:rsidR="00F4646E">
        <w:t xml:space="preserve"> </w:t>
      </w:r>
      <w:r w:rsidR="00E4233C">
        <w:t>(FVIII</w:t>
      </w:r>
      <w:r w:rsidR="009138A7">
        <w:t>; factor 8</w:t>
      </w:r>
      <w:r w:rsidR="00E4233C">
        <w:t xml:space="preserve">) </w:t>
      </w:r>
      <w:r w:rsidR="00F4646E">
        <w:t xml:space="preserve">and reduces its clearance </w:t>
      </w:r>
      <w:proofErr w:type="spellStart"/>
      <w:r w:rsidR="00F4646E">
        <w:t>five fold</w:t>
      </w:r>
      <w:proofErr w:type="spellEnd"/>
      <w:r w:rsidR="00F4646E">
        <w:t>.</w:t>
      </w:r>
      <w:r w:rsidR="00C4054A">
        <w:t xml:space="preserve"> </w:t>
      </w:r>
      <w:r w:rsidR="00C4054A">
        <w:rPr>
          <w:lang w:eastAsia="ja-JP"/>
        </w:rPr>
        <w:t xml:space="preserve">There are six variants of von </w:t>
      </w:r>
      <w:proofErr w:type="spellStart"/>
      <w:r w:rsidR="00C4054A">
        <w:rPr>
          <w:lang w:eastAsia="ja-JP"/>
        </w:rPr>
        <w:t>Willebrand</w:t>
      </w:r>
      <w:proofErr w:type="spellEnd"/>
      <w:r w:rsidR="00C4054A">
        <w:rPr>
          <w:lang w:eastAsia="ja-JP"/>
        </w:rPr>
        <w:t xml:space="preserve"> Disease (VWD).</w:t>
      </w:r>
      <w:r w:rsidR="00C4054A">
        <w:rPr>
          <w:rStyle w:val="FootnoteReference"/>
          <w:lang w:eastAsia="ja-JP"/>
        </w:rPr>
        <w:footnoteReference w:id="2"/>
      </w:r>
      <w:r w:rsidR="00C4054A">
        <w:rPr>
          <w:lang w:eastAsia="ja-JP"/>
        </w:rPr>
        <w:t xml:space="preserve"> All variants involve a deficiency of one or more aspects of VWF functional activity. This may be a quantitative and/or qualitative defect. Type 1 VWD involves a partial quantitative deficiency of VWF. Type 2 is divided into four subtypes (2A, 2B, 2M and 2N), which are all qualitative VWF defects. Type 3 is a complete deficiency of VWF.</w:t>
      </w:r>
    </w:p>
    <w:p w14:paraId="766DF6C7" w14:textId="0674292A" w:rsidR="000B4C29" w:rsidRDefault="000B4C29" w:rsidP="00535621">
      <w:r>
        <w:t>VWD mostly becomes evident when a person with the diathesis suffers a bleeding challenge</w:t>
      </w:r>
      <w:r w:rsidR="00630C63">
        <w:t>,</w:t>
      </w:r>
      <w:r>
        <w:t xml:space="preserve"> such as surgery. In patients </w:t>
      </w:r>
      <w:r w:rsidR="00535621">
        <w:t>with</w:t>
      </w:r>
      <w:r>
        <w:t xml:space="preserve"> a risk of bleeding, preventative therapy will be administered ahead of surgery. First line pharmacological treatment for treatment usually includes desmopressin (</w:t>
      </w:r>
      <w:r w:rsidR="00D85768">
        <w:t>also known via the</w:t>
      </w:r>
      <w:r w:rsidR="00E8249B">
        <w:t xml:space="preserve"> </w:t>
      </w:r>
      <w:r w:rsidR="00535621">
        <w:t xml:space="preserve">trade name, </w:t>
      </w:r>
      <w:r>
        <w:t>DDAVP)</w:t>
      </w:r>
      <w:r w:rsidR="00D85768">
        <w:t>;</w:t>
      </w:r>
      <w:r w:rsidR="00D85768">
        <w:rPr>
          <w:rStyle w:val="FootnoteReference"/>
        </w:rPr>
        <w:footnoteReference w:id="3"/>
      </w:r>
      <w:r>
        <w:t xml:space="preserve"> which results in a physiological release of stored VWF and temporarily boosts its availability for clotting. DDAVP may, however, not be sufficient to c</w:t>
      </w:r>
      <w:r w:rsidR="00F4646E">
        <w:t>ontrol major bleeding episodes.</w:t>
      </w:r>
    </w:p>
    <w:p w14:paraId="16CB0CD2" w14:textId="77777777" w:rsidR="00B0113F" w:rsidRDefault="000B4C29" w:rsidP="00535621">
      <w:r>
        <w:lastRenderedPageBreak/>
        <w:t>VWF has historically been available from human plasma (</w:t>
      </w:r>
      <w:r w:rsidR="00535621">
        <w:t xml:space="preserve">plasma derived VWF, </w:t>
      </w:r>
      <w:proofErr w:type="spellStart"/>
      <w:r>
        <w:t>pdVWF</w:t>
      </w:r>
      <w:proofErr w:type="spellEnd"/>
      <w:r>
        <w:t xml:space="preserve">). These are potentially costly and vary in their </w:t>
      </w:r>
      <w:r w:rsidR="00E4233C">
        <w:t>F</w:t>
      </w:r>
      <w:r>
        <w:t xml:space="preserve">VIII content depending on the donor source and post-donation processing. Proteolytic degradation of </w:t>
      </w:r>
      <w:proofErr w:type="spellStart"/>
      <w:r>
        <w:t>pdVWF</w:t>
      </w:r>
      <w:proofErr w:type="spellEnd"/>
      <w:r>
        <w:t xml:space="preserve"> also reduces the concentration of large </w:t>
      </w:r>
      <w:proofErr w:type="spellStart"/>
      <w:r>
        <w:t>multimers</w:t>
      </w:r>
      <w:proofErr w:type="spellEnd"/>
      <w:r>
        <w:t xml:space="preserve"> necessary to promote clotting. There remains a small but present risk of virological contamination in</w:t>
      </w:r>
      <w:r w:rsidR="00F4646E">
        <w:t xml:space="preserve"> pooled donor sources of </w:t>
      </w:r>
      <w:proofErr w:type="spellStart"/>
      <w:r w:rsidR="00F4646E">
        <w:t>pdVWF</w:t>
      </w:r>
      <w:proofErr w:type="spellEnd"/>
      <w:r w:rsidR="00F4646E">
        <w:t>.</w:t>
      </w:r>
      <w:r w:rsidR="00B0113F">
        <w:t xml:space="preserve"> </w:t>
      </w:r>
      <w:r>
        <w:t>For these reasons there has been interest in recombinan</w:t>
      </w:r>
      <w:r w:rsidR="00B0113F">
        <w:t>t VWF (</w:t>
      </w:r>
      <w:proofErr w:type="spellStart"/>
      <w:r w:rsidR="00B0113F">
        <w:t>rVWF</w:t>
      </w:r>
      <w:proofErr w:type="spellEnd"/>
      <w:r w:rsidR="00B0113F">
        <w:t>).</w:t>
      </w:r>
    </w:p>
    <w:p w14:paraId="7B515DDC" w14:textId="002E99B3" w:rsidR="000B4C29" w:rsidRPr="000B4C29" w:rsidRDefault="0097677D" w:rsidP="00535621">
      <w:proofErr w:type="spellStart"/>
      <w:r>
        <w:t>Vonicog</w:t>
      </w:r>
      <w:proofErr w:type="spellEnd"/>
      <w:r>
        <w:t>-alpha</w:t>
      </w:r>
      <w:r w:rsidR="000B4C29">
        <w:t xml:space="preserve"> is a recombinant VWF combination expressed in </w:t>
      </w:r>
      <w:r w:rsidR="00F4646E">
        <w:t xml:space="preserve">Chinese </w:t>
      </w:r>
      <w:r w:rsidR="00E8249B">
        <w:t>h</w:t>
      </w:r>
      <w:r w:rsidR="00F4646E">
        <w:t xml:space="preserve">amster </w:t>
      </w:r>
      <w:r w:rsidR="00E8249B">
        <w:t>o</w:t>
      </w:r>
      <w:r w:rsidR="00F4646E">
        <w:t>vary (</w:t>
      </w:r>
      <w:r w:rsidR="000B4C29">
        <w:t>CHO</w:t>
      </w:r>
      <w:r w:rsidR="00F4646E">
        <w:t>) cell culture.</w:t>
      </w:r>
      <w:r w:rsidR="00535621">
        <w:t xml:space="preserve"> </w:t>
      </w:r>
      <w:r w:rsidR="00D145F5">
        <w:t xml:space="preserve">At the time the submission was under consideration, there were </w:t>
      </w:r>
      <w:r w:rsidR="000B4C29">
        <w:t xml:space="preserve">no </w:t>
      </w:r>
      <w:proofErr w:type="spellStart"/>
      <w:r w:rsidR="000B4C29">
        <w:t>rVWF</w:t>
      </w:r>
      <w:proofErr w:type="spellEnd"/>
      <w:r w:rsidR="000B4C29">
        <w:t xml:space="preserve"> products in the Aust</w:t>
      </w:r>
      <w:r w:rsidR="00D145F5">
        <w:t xml:space="preserve">ralian market. </w:t>
      </w:r>
      <w:proofErr w:type="spellStart"/>
      <w:r w:rsidR="00D145F5">
        <w:t>Vonicog</w:t>
      </w:r>
      <w:proofErr w:type="spellEnd"/>
      <w:r w:rsidR="00D145F5">
        <w:t>-alpha had</w:t>
      </w:r>
      <w:r w:rsidR="000B4C29">
        <w:t>, however, been registered in comparable overseas jurisdictions for several years.</w:t>
      </w:r>
    </w:p>
    <w:p w14:paraId="7B8AC6BE" w14:textId="07FDF31F" w:rsidR="00940A89" w:rsidRDefault="00250271" w:rsidP="00535621">
      <w:r>
        <w:t>This application was submitted through the TGA’s Comparable Overseas Regulator approach B (COR-B) process</w:t>
      </w:r>
      <w:r w:rsidR="00E8249B">
        <w:t>;</w:t>
      </w:r>
      <w:r w:rsidR="00D145F5">
        <w:rPr>
          <w:rStyle w:val="FootnoteReference"/>
        </w:rPr>
        <w:footnoteReference w:id="4"/>
      </w:r>
      <w:r>
        <w:t xml:space="preserve"> u</w:t>
      </w:r>
      <w:r w:rsidR="00B81B7C">
        <w:t>sing evaluation reports from the European Medicines Agency (EMA)</w:t>
      </w:r>
      <w:r>
        <w:t>. The full dossier was also submitted to the TGA.</w:t>
      </w:r>
    </w:p>
    <w:p w14:paraId="15F750C0" w14:textId="77777777" w:rsidR="008E7846" w:rsidRPr="003F31A2" w:rsidRDefault="00386150" w:rsidP="008E7846">
      <w:pPr>
        <w:pStyle w:val="Heading3"/>
      </w:pPr>
      <w:bookmarkStart w:id="16" w:name="_Toc314842485"/>
      <w:bookmarkStart w:id="17" w:name="_Toc247691504"/>
      <w:bookmarkStart w:id="18" w:name="_Toc54175020"/>
      <w:r>
        <w:t>Regulatory s</w:t>
      </w:r>
      <w:r w:rsidR="008E7846">
        <w:t>tatus</w:t>
      </w:r>
      <w:bookmarkEnd w:id="16"/>
      <w:bookmarkEnd w:id="17"/>
      <w:bookmarkEnd w:id="18"/>
    </w:p>
    <w:p w14:paraId="4BE1949D" w14:textId="77777777" w:rsidR="00940A89" w:rsidRDefault="00006FAB" w:rsidP="00940A89">
      <w:bookmarkStart w:id="19" w:name="_Toc247691505"/>
      <w:bookmarkStart w:id="20" w:name="_Toc314842486"/>
      <w:r w:rsidRPr="00006FAB">
        <w:t xml:space="preserve">This product is considered </w:t>
      </w:r>
      <w:r w:rsidR="00F10292">
        <w:t xml:space="preserve">a new </w:t>
      </w:r>
      <w:r w:rsidRPr="00006FAB">
        <w:t>biological entity for Australian regulatory purposes.</w:t>
      </w:r>
    </w:p>
    <w:p w14:paraId="280F3416" w14:textId="600B3BCE" w:rsidR="00EB452E" w:rsidRDefault="00006FAB" w:rsidP="00006FAB">
      <w:r>
        <w:t xml:space="preserve">At the time the TGA considered this application, a similar application had been approved in </w:t>
      </w:r>
      <w:r w:rsidR="00EB452E">
        <w:t>the European Union (EU), United States (US), Canada and Switzerland for indications as described in the table below.</w:t>
      </w:r>
    </w:p>
    <w:p w14:paraId="2A0243A0" w14:textId="341CA643" w:rsidR="001D0022" w:rsidRDefault="001D0022" w:rsidP="001D0022">
      <w:pPr>
        <w:pStyle w:val="TableTitle"/>
      </w:pPr>
      <w:r>
        <w:t xml:space="preserve">Table </w:t>
      </w:r>
      <w:fldSimple w:instr=" SEQ Table \* ARABIC ">
        <w:r w:rsidR="0006071C">
          <w:rPr>
            <w:noProof/>
          </w:rPr>
          <w:t>1</w:t>
        </w:r>
      </w:fldSimple>
      <w:r>
        <w:t xml:space="preserve">: International regulatory status of </w:t>
      </w:r>
      <w:proofErr w:type="spellStart"/>
      <w:r w:rsidRPr="000B4C29">
        <w:t>vonicog</w:t>
      </w:r>
      <w:proofErr w:type="spellEnd"/>
      <w:r w:rsidRPr="000B4C29">
        <w:t xml:space="preserve"> </w:t>
      </w:r>
      <w:proofErr w:type="spellStart"/>
      <w:r w:rsidRPr="000B4C29">
        <w:t>alfa</w:t>
      </w:r>
      <w:proofErr w:type="spellEnd"/>
      <w:r>
        <w:t xml:space="preserve"> (as of April 2020)</w:t>
      </w:r>
    </w:p>
    <w:tbl>
      <w:tblPr>
        <w:tblStyle w:val="TableTGAblue"/>
        <w:tblW w:w="5000" w:type="pct"/>
        <w:tblLook w:val="04A0" w:firstRow="1" w:lastRow="0" w:firstColumn="1" w:lastColumn="0" w:noHBand="0" w:noVBand="1"/>
      </w:tblPr>
      <w:tblGrid>
        <w:gridCol w:w="1835"/>
        <w:gridCol w:w="2745"/>
        <w:gridCol w:w="4140"/>
      </w:tblGrid>
      <w:tr w:rsidR="00B81B7C" w:rsidRPr="001D0022" w14:paraId="3A12517B" w14:textId="77777777" w:rsidTr="004C417B">
        <w:trPr>
          <w:cnfStyle w:val="100000000000" w:firstRow="1" w:lastRow="0" w:firstColumn="0" w:lastColumn="0" w:oddVBand="0" w:evenVBand="0" w:oddHBand="0" w:evenHBand="0" w:firstRowFirstColumn="0" w:firstRowLastColumn="0" w:lastRowFirstColumn="0" w:lastRowLastColumn="0"/>
        </w:trPr>
        <w:tc>
          <w:tcPr>
            <w:tcW w:w="1052" w:type="pct"/>
            <w:tcBorders>
              <w:top w:val="single" w:sz="4" w:space="0" w:color="auto"/>
              <w:left w:val="single" w:sz="4" w:space="0" w:color="auto"/>
              <w:bottom w:val="single" w:sz="4" w:space="0" w:color="auto"/>
              <w:right w:val="single" w:sz="4" w:space="0" w:color="auto"/>
            </w:tcBorders>
          </w:tcPr>
          <w:p w14:paraId="6A4DFCCB" w14:textId="77777777" w:rsidR="00B81B7C" w:rsidRPr="001D0022" w:rsidRDefault="00B81B7C" w:rsidP="004C417B">
            <w:pPr>
              <w:ind w:left="0" w:right="0"/>
              <w:rPr>
                <w:sz w:val="20"/>
                <w:szCs w:val="20"/>
              </w:rPr>
            </w:pPr>
            <w:r w:rsidRPr="001D0022">
              <w:rPr>
                <w:sz w:val="20"/>
                <w:szCs w:val="20"/>
              </w:rPr>
              <w:t>Region</w:t>
            </w:r>
          </w:p>
        </w:tc>
        <w:tc>
          <w:tcPr>
            <w:tcW w:w="1574" w:type="pct"/>
            <w:tcBorders>
              <w:top w:val="single" w:sz="4" w:space="0" w:color="auto"/>
              <w:left w:val="single" w:sz="4" w:space="0" w:color="auto"/>
              <w:bottom w:val="single" w:sz="4" w:space="0" w:color="auto"/>
              <w:right w:val="single" w:sz="4" w:space="0" w:color="auto"/>
            </w:tcBorders>
          </w:tcPr>
          <w:p w14:paraId="4CE7D88E" w14:textId="77777777" w:rsidR="00B81B7C" w:rsidRPr="001D0022" w:rsidRDefault="00EB452E" w:rsidP="004C417B">
            <w:pPr>
              <w:ind w:left="0" w:right="0"/>
              <w:rPr>
                <w:sz w:val="20"/>
                <w:szCs w:val="20"/>
              </w:rPr>
            </w:pPr>
            <w:r w:rsidRPr="001D0022">
              <w:rPr>
                <w:sz w:val="20"/>
                <w:szCs w:val="20"/>
              </w:rPr>
              <w:t>Approval date</w:t>
            </w:r>
          </w:p>
        </w:tc>
        <w:tc>
          <w:tcPr>
            <w:tcW w:w="2374" w:type="pct"/>
            <w:tcBorders>
              <w:top w:val="single" w:sz="4" w:space="0" w:color="auto"/>
              <w:left w:val="single" w:sz="4" w:space="0" w:color="auto"/>
              <w:bottom w:val="single" w:sz="4" w:space="0" w:color="auto"/>
              <w:right w:val="single" w:sz="4" w:space="0" w:color="auto"/>
            </w:tcBorders>
          </w:tcPr>
          <w:p w14:paraId="756B8D22" w14:textId="77777777" w:rsidR="00B81B7C" w:rsidRPr="001D0022" w:rsidRDefault="00B81B7C" w:rsidP="004C417B">
            <w:pPr>
              <w:ind w:left="0" w:right="0"/>
              <w:rPr>
                <w:sz w:val="20"/>
                <w:szCs w:val="20"/>
              </w:rPr>
            </w:pPr>
            <w:r w:rsidRPr="001D0022">
              <w:rPr>
                <w:sz w:val="20"/>
                <w:szCs w:val="20"/>
              </w:rPr>
              <w:t>Approved indications</w:t>
            </w:r>
          </w:p>
        </w:tc>
      </w:tr>
      <w:tr w:rsidR="00B81B7C" w:rsidRPr="001D0022" w14:paraId="228556D9" w14:textId="77777777" w:rsidTr="004C417B">
        <w:tc>
          <w:tcPr>
            <w:tcW w:w="1052" w:type="pct"/>
            <w:tcBorders>
              <w:top w:val="single" w:sz="4" w:space="0" w:color="auto"/>
            </w:tcBorders>
          </w:tcPr>
          <w:p w14:paraId="6BCCA689" w14:textId="77777777" w:rsidR="00B81B7C" w:rsidRPr="001D0022" w:rsidRDefault="00EB452E" w:rsidP="004C417B">
            <w:pPr>
              <w:ind w:left="0" w:right="0"/>
              <w:rPr>
                <w:sz w:val="20"/>
                <w:szCs w:val="20"/>
              </w:rPr>
            </w:pPr>
            <w:r w:rsidRPr="001D0022">
              <w:rPr>
                <w:sz w:val="20"/>
                <w:szCs w:val="20"/>
              </w:rPr>
              <w:t>EU</w:t>
            </w:r>
          </w:p>
        </w:tc>
        <w:tc>
          <w:tcPr>
            <w:tcW w:w="1574" w:type="pct"/>
            <w:tcBorders>
              <w:top w:val="single" w:sz="4" w:space="0" w:color="auto"/>
            </w:tcBorders>
          </w:tcPr>
          <w:p w14:paraId="251DC138" w14:textId="77777777" w:rsidR="00B81B7C" w:rsidRPr="001D0022" w:rsidRDefault="00B81B7C" w:rsidP="004C417B">
            <w:pPr>
              <w:ind w:left="0" w:right="0"/>
              <w:rPr>
                <w:sz w:val="20"/>
                <w:szCs w:val="20"/>
              </w:rPr>
            </w:pPr>
            <w:r w:rsidRPr="001D0022">
              <w:rPr>
                <w:sz w:val="20"/>
                <w:szCs w:val="20"/>
              </w:rPr>
              <w:t>31 August 2018</w:t>
            </w:r>
          </w:p>
        </w:tc>
        <w:tc>
          <w:tcPr>
            <w:tcW w:w="2374" w:type="pct"/>
            <w:tcBorders>
              <w:top w:val="single" w:sz="4" w:space="0" w:color="auto"/>
            </w:tcBorders>
          </w:tcPr>
          <w:p w14:paraId="018A471B" w14:textId="77777777" w:rsidR="00B81B7C" w:rsidRPr="001D0022" w:rsidRDefault="00B81B7C" w:rsidP="004C417B">
            <w:pPr>
              <w:ind w:left="0" w:right="0"/>
              <w:rPr>
                <w:i/>
                <w:sz w:val="20"/>
                <w:szCs w:val="20"/>
              </w:rPr>
            </w:pPr>
            <w:r w:rsidRPr="001D0022">
              <w:rPr>
                <w:i/>
                <w:sz w:val="20"/>
                <w:szCs w:val="20"/>
              </w:rPr>
              <w:t xml:space="preserve">Veyvondi is indicated in adults (age 18 and older) with von </w:t>
            </w:r>
            <w:proofErr w:type="spellStart"/>
            <w:r w:rsidRPr="001D0022">
              <w:rPr>
                <w:i/>
                <w:sz w:val="20"/>
                <w:szCs w:val="20"/>
              </w:rPr>
              <w:t>Willebrand</w:t>
            </w:r>
            <w:proofErr w:type="spellEnd"/>
            <w:r w:rsidRPr="001D0022">
              <w:rPr>
                <w:i/>
                <w:sz w:val="20"/>
                <w:szCs w:val="20"/>
              </w:rPr>
              <w:t xml:space="preserve"> Disease (VWD), when desmopressin (DDAVP) treatment alone is ineffective or not indicated, for the</w:t>
            </w:r>
          </w:p>
          <w:p w14:paraId="3221FD15" w14:textId="4984AF75" w:rsidR="00B81B7C" w:rsidRPr="001D0022" w:rsidRDefault="00B81B7C" w:rsidP="004C417B">
            <w:pPr>
              <w:pStyle w:val="ListBullet"/>
              <w:rPr>
                <w:i/>
                <w:sz w:val="20"/>
                <w:szCs w:val="20"/>
              </w:rPr>
            </w:pPr>
            <w:r w:rsidRPr="001D0022">
              <w:rPr>
                <w:i/>
                <w:sz w:val="20"/>
                <w:szCs w:val="20"/>
              </w:rPr>
              <w:t>treatment of haemorrhage and</w:t>
            </w:r>
            <w:r w:rsidR="004C417B" w:rsidRPr="001D0022">
              <w:rPr>
                <w:i/>
                <w:sz w:val="20"/>
                <w:szCs w:val="20"/>
              </w:rPr>
              <w:t xml:space="preserve"> </w:t>
            </w:r>
            <w:r w:rsidRPr="001D0022">
              <w:rPr>
                <w:i/>
                <w:sz w:val="20"/>
                <w:szCs w:val="20"/>
              </w:rPr>
              <w:t>surgical bleeding</w:t>
            </w:r>
          </w:p>
          <w:p w14:paraId="5CF6D0AD" w14:textId="27248A86" w:rsidR="00B81B7C" w:rsidRPr="001D0022" w:rsidRDefault="00B81B7C" w:rsidP="004C417B">
            <w:pPr>
              <w:pStyle w:val="ListBullet"/>
              <w:rPr>
                <w:i/>
                <w:sz w:val="20"/>
                <w:szCs w:val="20"/>
              </w:rPr>
            </w:pPr>
            <w:r w:rsidRPr="001D0022">
              <w:rPr>
                <w:i/>
                <w:sz w:val="20"/>
                <w:szCs w:val="20"/>
              </w:rPr>
              <w:t>prevention of surgical bleeding.</w:t>
            </w:r>
          </w:p>
          <w:p w14:paraId="03B06E55" w14:textId="77777777" w:rsidR="00B81B7C" w:rsidRPr="001D0022" w:rsidRDefault="00B81B7C" w:rsidP="004C417B">
            <w:pPr>
              <w:ind w:left="0" w:right="0"/>
              <w:rPr>
                <w:sz w:val="20"/>
                <w:szCs w:val="20"/>
              </w:rPr>
            </w:pPr>
            <w:r w:rsidRPr="001D0022">
              <w:rPr>
                <w:i/>
                <w:sz w:val="20"/>
                <w:szCs w:val="20"/>
              </w:rPr>
              <w:t>V</w:t>
            </w:r>
            <w:r w:rsidR="00EB452E" w:rsidRPr="001D0022">
              <w:rPr>
                <w:i/>
                <w:sz w:val="20"/>
                <w:szCs w:val="20"/>
              </w:rPr>
              <w:t>eyvondi</w:t>
            </w:r>
            <w:r w:rsidRPr="001D0022">
              <w:rPr>
                <w:i/>
                <w:sz w:val="20"/>
                <w:szCs w:val="20"/>
              </w:rPr>
              <w:t xml:space="preserve"> should not be used in the treatment of Haemophilia A.</w:t>
            </w:r>
          </w:p>
        </w:tc>
      </w:tr>
      <w:tr w:rsidR="00B81B7C" w:rsidRPr="001D0022" w14:paraId="758C8386" w14:textId="77777777" w:rsidTr="004C417B">
        <w:tc>
          <w:tcPr>
            <w:tcW w:w="1052" w:type="pct"/>
            <w:tcBorders>
              <w:top w:val="single" w:sz="4" w:space="0" w:color="auto"/>
            </w:tcBorders>
          </w:tcPr>
          <w:p w14:paraId="70617D80" w14:textId="00944F36" w:rsidR="00B81B7C" w:rsidRPr="001D0022" w:rsidRDefault="001D0022" w:rsidP="004C417B">
            <w:pPr>
              <w:ind w:left="0" w:right="0"/>
              <w:rPr>
                <w:sz w:val="20"/>
                <w:szCs w:val="20"/>
              </w:rPr>
            </w:pPr>
            <w:r>
              <w:rPr>
                <w:sz w:val="20"/>
                <w:szCs w:val="20"/>
              </w:rPr>
              <w:t>US</w:t>
            </w:r>
          </w:p>
        </w:tc>
        <w:tc>
          <w:tcPr>
            <w:tcW w:w="1574" w:type="pct"/>
            <w:tcBorders>
              <w:top w:val="single" w:sz="4" w:space="0" w:color="auto"/>
            </w:tcBorders>
          </w:tcPr>
          <w:p w14:paraId="671879F4" w14:textId="0DAFF121" w:rsidR="00B81B7C" w:rsidRPr="001D0022" w:rsidRDefault="00B81B7C" w:rsidP="004C417B">
            <w:pPr>
              <w:ind w:left="0" w:right="0"/>
              <w:rPr>
                <w:sz w:val="20"/>
                <w:szCs w:val="20"/>
              </w:rPr>
            </w:pPr>
            <w:r w:rsidRPr="001D0022">
              <w:rPr>
                <w:sz w:val="20"/>
                <w:szCs w:val="20"/>
              </w:rPr>
              <w:t xml:space="preserve">Date </w:t>
            </w:r>
            <w:r w:rsidR="00617514" w:rsidRPr="001D0022">
              <w:rPr>
                <w:sz w:val="20"/>
                <w:szCs w:val="20"/>
              </w:rPr>
              <w:t>of initial registration</w:t>
            </w:r>
            <w:r w:rsidRPr="001D0022">
              <w:rPr>
                <w:sz w:val="20"/>
                <w:szCs w:val="20"/>
              </w:rPr>
              <w:t>: 8</w:t>
            </w:r>
            <w:r w:rsidR="00E8249B">
              <w:rPr>
                <w:sz w:val="20"/>
                <w:szCs w:val="20"/>
              </w:rPr>
              <w:t> </w:t>
            </w:r>
            <w:r w:rsidRPr="001D0022">
              <w:rPr>
                <w:sz w:val="20"/>
                <w:szCs w:val="20"/>
              </w:rPr>
              <w:t>Dec</w:t>
            </w:r>
            <w:r w:rsidR="00617514" w:rsidRPr="001D0022">
              <w:rPr>
                <w:sz w:val="20"/>
                <w:szCs w:val="20"/>
              </w:rPr>
              <w:t>ember</w:t>
            </w:r>
            <w:r w:rsidRPr="001D0022">
              <w:rPr>
                <w:sz w:val="20"/>
                <w:szCs w:val="20"/>
              </w:rPr>
              <w:t xml:space="preserve"> 2015</w:t>
            </w:r>
          </w:p>
          <w:p w14:paraId="310B798E" w14:textId="73E2DA3B" w:rsidR="00B81B7C" w:rsidRPr="001D0022" w:rsidRDefault="00B81B7C" w:rsidP="00617514">
            <w:pPr>
              <w:ind w:left="0" w:right="0"/>
              <w:rPr>
                <w:sz w:val="20"/>
                <w:szCs w:val="20"/>
              </w:rPr>
            </w:pPr>
            <w:r w:rsidRPr="001D0022">
              <w:rPr>
                <w:sz w:val="20"/>
                <w:szCs w:val="20"/>
              </w:rPr>
              <w:t>The extension of indication in periopera</w:t>
            </w:r>
            <w:r w:rsidR="00617514" w:rsidRPr="001D0022">
              <w:rPr>
                <w:sz w:val="20"/>
                <w:szCs w:val="20"/>
              </w:rPr>
              <w:t>tive management was approved on</w:t>
            </w:r>
            <w:r w:rsidRPr="001D0022">
              <w:rPr>
                <w:sz w:val="20"/>
                <w:szCs w:val="20"/>
              </w:rPr>
              <w:t xml:space="preserve"> 16</w:t>
            </w:r>
            <w:r w:rsidR="00617514" w:rsidRPr="001D0022">
              <w:rPr>
                <w:sz w:val="20"/>
                <w:szCs w:val="20"/>
              </w:rPr>
              <w:t> </w:t>
            </w:r>
            <w:r w:rsidRPr="001D0022">
              <w:rPr>
                <w:sz w:val="20"/>
                <w:szCs w:val="20"/>
              </w:rPr>
              <w:t>Apr</w:t>
            </w:r>
            <w:r w:rsidR="00617514" w:rsidRPr="001D0022">
              <w:rPr>
                <w:sz w:val="20"/>
                <w:szCs w:val="20"/>
              </w:rPr>
              <w:t>il </w:t>
            </w:r>
            <w:r w:rsidRPr="001D0022">
              <w:rPr>
                <w:sz w:val="20"/>
                <w:szCs w:val="20"/>
              </w:rPr>
              <w:t>2018</w:t>
            </w:r>
          </w:p>
        </w:tc>
        <w:tc>
          <w:tcPr>
            <w:tcW w:w="2374" w:type="pct"/>
            <w:tcBorders>
              <w:top w:val="single" w:sz="4" w:space="0" w:color="auto"/>
            </w:tcBorders>
          </w:tcPr>
          <w:p w14:paraId="2043165A" w14:textId="77777777" w:rsidR="00B81B7C" w:rsidRPr="001D0022" w:rsidRDefault="00B81B7C" w:rsidP="004C417B">
            <w:pPr>
              <w:ind w:left="0" w:right="0"/>
              <w:rPr>
                <w:i/>
                <w:sz w:val="20"/>
                <w:szCs w:val="20"/>
              </w:rPr>
            </w:pPr>
            <w:proofErr w:type="spellStart"/>
            <w:r w:rsidRPr="001D0022">
              <w:rPr>
                <w:i/>
                <w:sz w:val="20"/>
                <w:szCs w:val="20"/>
              </w:rPr>
              <w:t>V</w:t>
            </w:r>
            <w:r w:rsidR="00EB452E" w:rsidRPr="001D0022">
              <w:rPr>
                <w:i/>
                <w:sz w:val="20"/>
                <w:szCs w:val="20"/>
              </w:rPr>
              <w:t>onvendi</w:t>
            </w:r>
            <w:proofErr w:type="spellEnd"/>
            <w:r w:rsidRPr="001D0022">
              <w:rPr>
                <w:i/>
                <w:sz w:val="20"/>
                <w:szCs w:val="20"/>
              </w:rPr>
              <w:t xml:space="preserve"> [von </w:t>
            </w:r>
            <w:proofErr w:type="spellStart"/>
            <w:r w:rsidRPr="001D0022">
              <w:rPr>
                <w:i/>
                <w:sz w:val="20"/>
                <w:szCs w:val="20"/>
              </w:rPr>
              <w:t>Willebrand</w:t>
            </w:r>
            <w:proofErr w:type="spellEnd"/>
            <w:r w:rsidRPr="001D0022">
              <w:rPr>
                <w:i/>
                <w:sz w:val="20"/>
                <w:szCs w:val="20"/>
              </w:rPr>
              <w:t xml:space="preserve"> factor (recombinant)] is a recombinant von </w:t>
            </w:r>
            <w:proofErr w:type="spellStart"/>
            <w:r w:rsidRPr="001D0022">
              <w:rPr>
                <w:i/>
                <w:sz w:val="20"/>
                <w:szCs w:val="20"/>
              </w:rPr>
              <w:t>Willebrand</w:t>
            </w:r>
            <w:proofErr w:type="spellEnd"/>
            <w:r w:rsidRPr="001D0022">
              <w:rPr>
                <w:i/>
                <w:sz w:val="20"/>
                <w:szCs w:val="20"/>
              </w:rPr>
              <w:t xml:space="preserve"> factor (</w:t>
            </w:r>
            <w:proofErr w:type="spellStart"/>
            <w:r w:rsidRPr="001D0022">
              <w:rPr>
                <w:i/>
                <w:sz w:val="20"/>
                <w:szCs w:val="20"/>
              </w:rPr>
              <w:t>rVWF</w:t>
            </w:r>
            <w:proofErr w:type="spellEnd"/>
            <w:r w:rsidRPr="001D0022">
              <w:rPr>
                <w:i/>
                <w:sz w:val="20"/>
                <w:szCs w:val="20"/>
              </w:rPr>
              <w:t xml:space="preserve">) indicated for use in adults (age 18 and older) diagnosed with von </w:t>
            </w:r>
            <w:proofErr w:type="spellStart"/>
            <w:r w:rsidRPr="001D0022">
              <w:rPr>
                <w:i/>
                <w:sz w:val="20"/>
                <w:szCs w:val="20"/>
              </w:rPr>
              <w:t>Willebrand</w:t>
            </w:r>
            <w:proofErr w:type="spellEnd"/>
            <w:r w:rsidRPr="001D0022">
              <w:rPr>
                <w:i/>
                <w:sz w:val="20"/>
                <w:szCs w:val="20"/>
              </w:rPr>
              <w:t xml:space="preserve"> disease (VWD) for:</w:t>
            </w:r>
          </w:p>
          <w:p w14:paraId="48BD4566" w14:textId="056B3FF5" w:rsidR="00B81B7C" w:rsidRPr="001D0022" w:rsidRDefault="00EB452E" w:rsidP="004C417B">
            <w:pPr>
              <w:pStyle w:val="ListBullet"/>
              <w:rPr>
                <w:i/>
                <w:sz w:val="20"/>
                <w:szCs w:val="20"/>
              </w:rPr>
            </w:pPr>
            <w:r w:rsidRPr="001D0022">
              <w:rPr>
                <w:i/>
                <w:sz w:val="20"/>
                <w:szCs w:val="20"/>
              </w:rPr>
              <w:t>O</w:t>
            </w:r>
            <w:r w:rsidR="00B81B7C" w:rsidRPr="001D0022">
              <w:rPr>
                <w:i/>
                <w:sz w:val="20"/>
                <w:szCs w:val="20"/>
              </w:rPr>
              <w:t>n-demand treatment and control of bleeding episodes.</w:t>
            </w:r>
          </w:p>
          <w:p w14:paraId="201C3791" w14:textId="65B32143" w:rsidR="00B81B7C" w:rsidRPr="001D0022" w:rsidRDefault="00EB452E" w:rsidP="004C417B">
            <w:pPr>
              <w:pStyle w:val="ListBullet"/>
              <w:rPr>
                <w:sz w:val="20"/>
                <w:szCs w:val="20"/>
              </w:rPr>
            </w:pPr>
            <w:r w:rsidRPr="001D0022">
              <w:rPr>
                <w:i/>
                <w:sz w:val="20"/>
                <w:szCs w:val="20"/>
              </w:rPr>
              <w:lastRenderedPageBreak/>
              <w:t>P</w:t>
            </w:r>
            <w:r w:rsidR="00B81B7C" w:rsidRPr="001D0022">
              <w:rPr>
                <w:i/>
                <w:sz w:val="20"/>
                <w:szCs w:val="20"/>
              </w:rPr>
              <w:t>erioperative management of bleeding.</w:t>
            </w:r>
          </w:p>
        </w:tc>
      </w:tr>
      <w:tr w:rsidR="00B81B7C" w:rsidRPr="001D0022" w14:paraId="3B05E229" w14:textId="77777777" w:rsidTr="00AF6B0D">
        <w:trPr>
          <w:cantSplit/>
        </w:trPr>
        <w:tc>
          <w:tcPr>
            <w:tcW w:w="1052" w:type="pct"/>
            <w:tcBorders>
              <w:top w:val="single" w:sz="4" w:space="0" w:color="auto"/>
            </w:tcBorders>
          </w:tcPr>
          <w:p w14:paraId="2A9EA152" w14:textId="77777777" w:rsidR="00B81B7C" w:rsidRPr="001D0022" w:rsidRDefault="00B81B7C" w:rsidP="004C417B">
            <w:pPr>
              <w:ind w:left="0" w:right="0"/>
              <w:rPr>
                <w:sz w:val="20"/>
                <w:szCs w:val="20"/>
              </w:rPr>
            </w:pPr>
            <w:r w:rsidRPr="001D0022">
              <w:rPr>
                <w:sz w:val="20"/>
                <w:szCs w:val="20"/>
              </w:rPr>
              <w:lastRenderedPageBreak/>
              <w:t>Canada</w:t>
            </w:r>
          </w:p>
        </w:tc>
        <w:tc>
          <w:tcPr>
            <w:tcW w:w="1574" w:type="pct"/>
            <w:tcBorders>
              <w:top w:val="single" w:sz="4" w:space="0" w:color="auto"/>
            </w:tcBorders>
          </w:tcPr>
          <w:p w14:paraId="229F8129" w14:textId="77777777" w:rsidR="00B81B7C" w:rsidRPr="001D0022" w:rsidRDefault="00B81B7C" w:rsidP="004C417B">
            <w:pPr>
              <w:ind w:left="0" w:right="0"/>
              <w:rPr>
                <w:sz w:val="20"/>
                <w:szCs w:val="20"/>
              </w:rPr>
            </w:pPr>
            <w:r w:rsidRPr="001D0022">
              <w:rPr>
                <w:sz w:val="20"/>
                <w:szCs w:val="20"/>
              </w:rPr>
              <w:t>10 Jan</w:t>
            </w:r>
            <w:r w:rsidR="00EB452E" w:rsidRPr="001D0022">
              <w:rPr>
                <w:sz w:val="20"/>
                <w:szCs w:val="20"/>
              </w:rPr>
              <w:t>uary</w:t>
            </w:r>
            <w:r w:rsidRPr="001D0022">
              <w:rPr>
                <w:sz w:val="20"/>
                <w:szCs w:val="20"/>
              </w:rPr>
              <w:t xml:space="preserve"> 2019</w:t>
            </w:r>
          </w:p>
        </w:tc>
        <w:tc>
          <w:tcPr>
            <w:tcW w:w="2374" w:type="pct"/>
            <w:tcBorders>
              <w:top w:val="single" w:sz="4" w:space="0" w:color="auto"/>
            </w:tcBorders>
          </w:tcPr>
          <w:p w14:paraId="5C2AC87A" w14:textId="77777777" w:rsidR="00B81B7C" w:rsidRPr="001D0022" w:rsidRDefault="00B81B7C" w:rsidP="004C417B">
            <w:pPr>
              <w:ind w:left="0" w:right="0"/>
              <w:rPr>
                <w:i/>
                <w:sz w:val="20"/>
                <w:szCs w:val="20"/>
              </w:rPr>
            </w:pPr>
            <w:proofErr w:type="spellStart"/>
            <w:r w:rsidRPr="001D0022">
              <w:rPr>
                <w:i/>
                <w:sz w:val="20"/>
                <w:szCs w:val="20"/>
              </w:rPr>
              <w:t>V</w:t>
            </w:r>
            <w:r w:rsidR="00EB452E" w:rsidRPr="001D0022">
              <w:rPr>
                <w:i/>
                <w:sz w:val="20"/>
                <w:szCs w:val="20"/>
              </w:rPr>
              <w:t>onvendi</w:t>
            </w:r>
            <w:proofErr w:type="spellEnd"/>
            <w:r w:rsidRPr="001D0022">
              <w:rPr>
                <w:i/>
                <w:sz w:val="20"/>
                <w:szCs w:val="20"/>
              </w:rPr>
              <w:t xml:space="preserve"> (von </w:t>
            </w:r>
            <w:proofErr w:type="spellStart"/>
            <w:r w:rsidRPr="001D0022">
              <w:rPr>
                <w:i/>
                <w:sz w:val="20"/>
                <w:szCs w:val="20"/>
              </w:rPr>
              <w:t>Willebrand</w:t>
            </w:r>
            <w:proofErr w:type="spellEnd"/>
            <w:r w:rsidRPr="001D0022">
              <w:rPr>
                <w:i/>
                <w:sz w:val="20"/>
                <w:szCs w:val="20"/>
              </w:rPr>
              <w:t xml:space="preserve"> factor (Recombinant)) is indicated for:</w:t>
            </w:r>
          </w:p>
          <w:p w14:paraId="7059CE34" w14:textId="0B0CA477" w:rsidR="00B81B7C" w:rsidRPr="001D0022" w:rsidRDefault="00B81B7C" w:rsidP="004C417B">
            <w:pPr>
              <w:pStyle w:val="ListBullet"/>
              <w:rPr>
                <w:i/>
                <w:sz w:val="20"/>
                <w:szCs w:val="20"/>
              </w:rPr>
            </w:pPr>
            <w:r w:rsidRPr="001D0022">
              <w:rPr>
                <w:i/>
                <w:sz w:val="20"/>
                <w:szCs w:val="20"/>
              </w:rPr>
              <w:t xml:space="preserve">Treatment and Control of bleeding </w:t>
            </w:r>
            <w:r w:rsidRPr="001D0022">
              <w:rPr>
                <w:rFonts w:eastAsia="ArialMT" w:cs="ArialMT"/>
                <w:i/>
                <w:sz w:val="20"/>
                <w:szCs w:val="20"/>
              </w:rPr>
              <w:t>episodes in adults (age ≥</w:t>
            </w:r>
            <w:r w:rsidR="00EB452E" w:rsidRPr="001D0022">
              <w:rPr>
                <w:rFonts w:eastAsia="ArialMT" w:cs="ArialMT"/>
                <w:i/>
                <w:sz w:val="20"/>
                <w:szCs w:val="20"/>
              </w:rPr>
              <w:t xml:space="preserve"> </w:t>
            </w:r>
            <w:r w:rsidRPr="001D0022">
              <w:rPr>
                <w:rFonts w:eastAsia="ArialMT" w:cs="ArialMT"/>
                <w:i/>
                <w:sz w:val="20"/>
                <w:szCs w:val="20"/>
              </w:rPr>
              <w:t>18)</w:t>
            </w:r>
            <w:r w:rsidRPr="001D0022">
              <w:rPr>
                <w:i/>
                <w:sz w:val="20"/>
                <w:szCs w:val="20"/>
              </w:rPr>
              <w:t xml:space="preserve"> diagnosed with von </w:t>
            </w:r>
            <w:proofErr w:type="spellStart"/>
            <w:r w:rsidRPr="001D0022">
              <w:rPr>
                <w:i/>
                <w:sz w:val="20"/>
                <w:szCs w:val="20"/>
              </w:rPr>
              <w:t>Willebrand</w:t>
            </w:r>
            <w:proofErr w:type="spellEnd"/>
            <w:r w:rsidRPr="001D0022">
              <w:rPr>
                <w:i/>
                <w:sz w:val="20"/>
                <w:szCs w:val="20"/>
              </w:rPr>
              <w:t xml:space="preserve"> Disease (VWD).</w:t>
            </w:r>
          </w:p>
          <w:p w14:paraId="40489195" w14:textId="38E0C85C" w:rsidR="00B81B7C" w:rsidRPr="001D0022" w:rsidRDefault="00B81B7C" w:rsidP="004C417B">
            <w:pPr>
              <w:pStyle w:val="ListBullet"/>
              <w:rPr>
                <w:sz w:val="20"/>
                <w:szCs w:val="20"/>
              </w:rPr>
            </w:pPr>
            <w:r w:rsidRPr="001D0022">
              <w:rPr>
                <w:i/>
                <w:sz w:val="20"/>
                <w:szCs w:val="20"/>
              </w:rPr>
              <w:t xml:space="preserve">Perioperative management of bleeding in adults (age </w:t>
            </w:r>
            <w:r w:rsidRPr="001D0022">
              <w:rPr>
                <w:rFonts w:eastAsia="ArialMT" w:cs="ArialMT"/>
                <w:i/>
                <w:sz w:val="20"/>
                <w:szCs w:val="20"/>
              </w:rPr>
              <w:t>≥</w:t>
            </w:r>
            <w:r w:rsidR="004C417B" w:rsidRPr="001D0022">
              <w:rPr>
                <w:rFonts w:eastAsia="ArialMT" w:cs="ArialMT"/>
                <w:i/>
                <w:sz w:val="20"/>
                <w:szCs w:val="20"/>
              </w:rPr>
              <w:t xml:space="preserve"> </w:t>
            </w:r>
            <w:r w:rsidRPr="001D0022">
              <w:rPr>
                <w:rFonts w:eastAsia="ArialMT" w:cs="ArialMT"/>
                <w:i/>
                <w:sz w:val="20"/>
                <w:szCs w:val="20"/>
              </w:rPr>
              <w:t xml:space="preserve">18) </w:t>
            </w:r>
            <w:r w:rsidRPr="001D0022">
              <w:rPr>
                <w:i/>
                <w:sz w:val="20"/>
                <w:szCs w:val="20"/>
              </w:rPr>
              <w:t>diagnosed with VWD.</w:t>
            </w:r>
          </w:p>
        </w:tc>
      </w:tr>
      <w:tr w:rsidR="00B81B7C" w:rsidRPr="001D0022" w14:paraId="2FC54D82" w14:textId="77777777" w:rsidTr="004C417B">
        <w:tc>
          <w:tcPr>
            <w:tcW w:w="1052" w:type="pct"/>
            <w:tcBorders>
              <w:top w:val="single" w:sz="4" w:space="0" w:color="auto"/>
            </w:tcBorders>
          </w:tcPr>
          <w:p w14:paraId="6BC22159" w14:textId="77777777" w:rsidR="00B81B7C" w:rsidRPr="001D0022" w:rsidRDefault="00B81B7C" w:rsidP="004C417B">
            <w:pPr>
              <w:ind w:left="0" w:right="0"/>
              <w:rPr>
                <w:sz w:val="20"/>
                <w:szCs w:val="20"/>
              </w:rPr>
            </w:pPr>
            <w:r w:rsidRPr="001D0022">
              <w:rPr>
                <w:rFonts w:eastAsiaTheme="minorHAnsi" w:cs="Arial"/>
                <w:sz w:val="20"/>
                <w:szCs w:val="20"/>
              </w:rPr>
              <w:t>Switzerland</w:t>
            </w:r>
          </w:p>
        </w:tc>
        <w:tc>
          <w:tcPr>
            <w:tcW w:w="1574" w:type="pct"/>
            <w:tcBorders>
              <w:top w:val="single" w:sz="4" w:space="0" w:color="auto"/>
            </w:tcBorders>
          </w:tcPr>
          <w:p w14:paraId="11864719" w14:textId="77777777" w:rsidR="00B81B7C" w:rsidRPr="001D0022" w:rsidRDefault="00B81B7C" w:rsidP="004C417B">
            <w:pPr>
              <w:ind w:left="0" w:right="0"/>
              <w:rPr>
                <w:rFonts w:eastAsiaTheme="minorHAnsi" w:cs="Arial"/>
                <w:sz w:val="20"/>
                <w:szCs w:val="20"/>
              </w:rPr>
            </w:pPr>
            <w:r w:rsidRPr="001D0022">
              <w:rPr>
                <w:rFonts w:eastAsiaTheme="minorHAnsi" w:cs="Arial"/>
                <w:sz w:val="20"/>
                <w:szCs w:val="20"/>
              </w:rPr>
              <w:t>4 Oct</w:t>
            </w:r>
            <w:r w:rsidR="00EB452E" w:rsidRPr="001D0022">
              <w:rPr>
                <w:rFonts w:eastAsiaTheme="minorHAnsi" w:cs="Arial"/>
                <w:sz w:val="20"/>
                <w:szCs w:val="20"/>
              </w:rPr>
              <w:t>ober</w:t>
            </w:r>
            <w:r w:rsidRPr="001D0022">
              <w:rPr>
                <w:rFonts w:eastAsiaTheme="minorHAnsi" w:cs="Arial"/>
                <w:sz w:val="20"/>
                <w:szCs w:val="20"/>
              </w:rPr>
              <w:t xml:space="preserve"> 2018</w:t>
            </w:r>
          </w:p>
        </w:tc>
        <w:tc>
          <w:tcPr>
            <w:tcW w:w="2374" w:type="pct"/>
            <w:tcBorders>
              <w:top w:val="single" w:sz="4" w:space="0" w:color="auto"/>
            </w:tcBorders>
          </w:tcPr>
          <w:p w14:paraId="676255FB" w14:textId="77777777" w:rsidR="00B81B7C" w:rsidRPr="001D0022" w:rsidRDefault="00EB452E" w:rsidP="004C417B">
            <w:pPr>
              <w:ind w:left="0" w:right="0"/>
              <w:rPr>
                <w:rFonts w:eastAsiaTheme="minorHAnsi" w:cs="Arial"/>
                <w:i/>
                <w:sz w:val="20"/>
                <w:szCs w:val="20"/>
              </w:rPr>
            </w:pPr>
            <w:r w:rsidRPr="001D0022">
              <w:rPr>
                <w:rFonts w:eastAsiaTheme="minorHAnsi" w:cs="Arial"/>
                <w:i/>
                <w:sz w:val="20"/>
                <w:szCs w:val="20"/>
              </w:rPr>
              <w:t xml:space="preserve">Treatment of haemorrhage or </w:t>
            </w:r>
            <w:r w:rsidR="00B81B7C" w:rsidRPr="001D0022">
              <w:rPr>
                <w:rFonts w:eastAsiaTheme="minorHAnsi" w:cs="Arial"/>
                <w:i/>
                <w:sz w:val="20"/>
                <w:szCs w:val="20"/>
              </w:rPr>
              <w:t>surg</w:t>
            </w:r>
            <w:r w:rsidRPr="001D0022">
              <w:rPr>
                <w:rFonts w:eastAsiaTheme="minorHAnsi" w:cs="Arial"/>
                <w:i/>
                <w:sz w:val="20"/>
                <w:szCs w:val="20"/>
              </w:rPr>
              <w:t xml:space="preserve">ical bleeding in von </w:t>
            </w:r>
            <w:proofErr w:type="spellStart"/>
            <w:r w:rsidRPr="001D0022">
              <w:rPr>
                <w:rFonts w:eastAsiaTheme="minorHAnsi" w:cs="Arial"/>
                <w:i/>
                <w:sz w:val="20"/>
                <w:szCs w:val="20"/>
              </w:rPr>
              <w:t>Willebrand</w:t>
            </w:r>
            <w:proofErr w:type="spellEnd"/>
            <w:r w:rsidRPr="001D0022">
              <w:rPr>
                <w:rFonts w:eastAsiaTheme="minorHAnsi" w:cs="Arial"/>
                <w:i/>
                <w:sz w:val="20"/>
                <w:szCs w:val="20"/>
              </w:rPr>
              <w:t xml:space="preserve"> </w:t>
            </w:r>
            <w:r w:rsidR="00B81B7C" w:rsidRPr="001D0022">
              <w:rPr>
                <w:rFonts w:eastAsiaTheme="minorHAnsi" w:cs="Arial"/>
                <w:i/>
                <w:sz w:val="20"/>
                <w:szCs w:val="20"/>
              </w:rPr>
              <w:t>d</w:t>
            </w:r>
            <w:r w:rsidRPr="001D0022">
              <w:rPr>
                <w:rFonts w:eastAsiaTheme="minorHAnsi" w:cs="Arial"/>
                <w:i/>
                <w:sz w:val="20"/>
                <w:szCs w:val="20"/>
              </w:rPr>
              <w:t xml:space="preserve">isease (VWD), when desmopressin (DDAVP) treatment alone is </w:t>
            </w:r>
            <w:r w:rsidR="00B81B7C" w:rsidRPr="001D0022">
              <w:rPr>
                <w:rFonts w:eastAsiaTheme="minorHAnsi" w:cs="Arial"/>
                <w:i/>
                <w:sz w:val="20"/>
                <w:szCs w:val="20"/>
              </w:rPr>
              <w:t>ineffective or contraindicated.</w:t>
            </w:r>
          </w:p>
          <w:p w14:paraId="42897E76" w14:textId="71F386E0" w:rsidR="00B81B7C" w:rsidRPr="001D0022" w:rsidRDefault="004C417B" w:rsidP="004C417B">
            <w:pPr>
              <w:ind w:left="0" w:right="0"/>
              <w:rPr>
                <w:rFonts w:eastAsiaTheme="minorHAnsi" w:cs="Arial"/>
                <w:sz w:val="20"/>
                <w:szCs w:val="20"/>
              </w:rPr>
            </w:pPr>
            <w:r w:rsidRPr="001D0022">
              <w:rPr>
                <w:rFonts w:eastAsiaTheme="minorHAnsi" w:cs="Arial"/>
                <w:i/>
                <w:sz w:val="20"/>
                <w:szCs w:val="20"/>
              </w:rPr>
              <w:t>Veyvondi</w:t>
            </w:r>
            <w:r w:rsidR="00EB452E" w:rsidRPr="001D0022">
              <w:rPr>
                <w:rFonts w:eastAsiaTheme="minorHAnsi" w:cs="Arial"/>
                <w:i/>
                <w:sz w:val="20"/>
                <w:szCs w:val="20"/>
              </w:rPr>
              <w:t xml:space="preserve"> should not be used in </w:t>
            </w:r>
            <w:r w:rsidR="00B81B7C" w:rsidRPr="001D0022">
              <w:rPr>
                <w:rFonts w:eastAsiaTheme="minorHAnsi" w:cs="Arial"/>
                <w:i/>
                <w:sz w:val="20"/>
                <w:szCs w:val="20"/>
              </w:rPr>
              <w:t>the treatment of Haemophilia A.</w:t>
            </w:r>
          </w:p>
        </w:tc>
      </w:tr>
    </w:tbl>
    <w:p w14:paraId="3F3B497F" w14:textId="77777777" w:rsidR="008E7846" w:rsidRDefault="008E7846" w:rsidP="00940A89">
      <w:pPr>
        <w:pStyle w:val="Heading3"/>
      </w:pPr>
      <w:bookmarkStart w:id="21" w:name="_Toc54175021"/>
      <w:r>
        <w:t>Product Information</w:t>
      </w:r>
      <w:bookmarkEnd w:id="19"/>
      <w:bookmarkEnd w:id="20"/>
      <w:bookmarkEnd w:id="21"/>
    </w:p>
    <w:p w14:paraId="607F5BBC" w14:textId="4061F10F"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10EF29E5" w14:textId="2A43297C" w:rsidR="00500337" w:rsidRDefault="00535621" w:rsidP="00500337">
      <w:pPr>
        <w:pStyle w:val="Heading2"/>
      </w:pPr>
      <w:bookmarkStart w:id="24" w:name="_Toc504480011"/>
      <w:bookmarkStart w:id="25" w:name="_Toc54175022"/>
      <w:r>
        <w:t>II. Registration time</w:t>
      </w:r>
      <w:r w:rsidR="00500337">
        <w:t>line</w:t>
      </w:r>
      <w:bookmarkEnd w:id="24"/>
      <w:bookmarkEnd w:id="25"/>
    </w:p>
    <w:p w14:paraId="4226ED90" w14:textId="77777777" w:rsidR="006A58A8" w:rsidRDefault="00500337" w:rsidP="00F4646E">
      <w:r>
        <w:t>The following table captures the key steps and dates for this application and which are detaile</w:t>
      </w:r>
      <w:r w:rsidR="00F4646E">
        <w:t>d and discussed in this AusPAR.</w:t>
      </w:r>
    </w:p>
    <w:p w14:paraId="6A749011" w14:textId="6C56109E" w:rsidR="006A58A8" w:rsidRPr="006A58A8" w:rsidRDefault="00173A58" w:rsidP="00173A58">
      <w:pPr>
        <w:pStyle w:val="TableTitle"/>
      </w:pPr>
      <w:r>
        <w:t xml:space="preserve">Table </w:t>
      </w:r>
      <w:fldSimple w:instr=" SEQ Table \* ARABIC ">
        <w:r w:rsidR="0006071C">
          <w:rPr>
            <w:noProof/>
          </w:rPr>
          <w:t>2</w:t>
        </w:r>
      </w:fldSimple>
      <w:r w:rsidR="00006FAB">
        <w:t>:</w:t>
      </w:r>
      <w:r w:rsidR="000B4C29">
        <w:t xml:space="preserve"> Timeline for Submission PM-2019-01555-1-6</w:t>
      </w:r>
    </w:p>
    <w:tbl>
      <w:tblPr>
        <w:tblStyle w:val="TableTGAblue"/>
        <w:tblW w:w="0" w:type="auto"/>
        <w:tblLook w:val="04A0" w:firstRow="1" w:lastRow="0" w:firstColumn="1" w:lastColumn="0" w:noHBand="0" w:noVBand="1"/>
      </w:tblPr>
      <w:tblGrid>
        <w:gridCol w:w="4360"/>
        <w:gridCol w:w="4360"/>
      </w:tblGrid>
      <w:tr w:rsidR="00500337" w14:paraId="35A89F7E" w14:textId="77777777" w:rsidTr="00CF5DAD">
        <w:trPr>
          <w:cnfStyle w:val="100000000000" w:firstRow="1" w:lastRow="0" w:firstColumn="0" w:lastColumn="0" w:oddVBand="0" w:evenVBand="0" w:oddHBand="0" w:evenHBand="0" w:firstRowFirstColumn="0" w:firstRowLastColumn="0" w:lastRowFirstColumn="0" w:lastRowLastColumn="0"/>
          <w:cantSplit/>
        </w:trPr>
        <w:tc>
          <w:tcPr>
            <w:tcW w:w="4360" w:type="dxa"/>
            <w:tcBorders>
              <w:top w:val="single" w:sz="4" w:space="0" w:color="auto"/>
              <w:left w:val="single" w:sz="4" w:space="0" w:color="auto"/>
              <w:bottom w:val="single" w:sz="4" w:space="0" w:color="auto"/>
              <w:right w:val="single" w:sz="4" w:space="0" w:color="auto"/>
            </w:tcBorders>
          </w:tcPr>
          <w:p w14:paraId="14C7C574" w14:textId="77777777" w:rsidR="00500337" w:rsidRDefault="00500337" w:rsidP="00173A58">
            <w:pPr>
              <w:ind w:left="0" w:right="0"/>
            </w:pPr>
            <w:r>
              <w:t>Description</w:t>
            </w:r>
          </w:p>
        </w:tc>
        <w:tc>
          <w:tcPr>
            <w:tcW w:w="4360" w:type="dxa"/>
            <w:tcBorders>
              <w:top w:val="single" w:sz="4" w:space="0" w:color="auto"/>
              <w:left w:val="single" w:sz="4" w:space="0" w:color="auto"/>
              <w:bottom w:val="single" w:sz="4" w:space="0" w:color="auto"/>
              <w:right w:val="single" w:sz="4" w:space="0" w:color="auto"/>
            </w:tcBorders>
          </w:tcPr>
          <w:p w14:paraId="4EEEAE7C" w14:textId="77777777" w:rsidR="00500337" w:rsidRDefault="00500337" w:rsidP="00173A58">
            <w:pPr>
              <w:ind w:left="0" w:right="0"/>
            </w:pPr>
            <w:r>
              <w:t>Date</w:t>
            </w:r>
          </w:p>
        </w:tc>
      </w:tr>
      <w:tr w:rsidR="00500337" w14:paraId="40EC3D6F" w14:textId="77777777" w:rsidTr="00CF5DAD">
        <w:tc>
          <w:tcPr>
            <w:tcW w:w="4360" w:type="dxa"/>
            <w:tcBorders>
              <w:top w:val="single" w:sz="4" w:space="0" w:color="auto"/>
            </w:tcBorders>
          </w:tcPr>
          <w:p w14:paraId="20FB7373" w14:textId="77777777" w:rsidR="00500337" w:rsidRDefault="00500337" w:rsidP="00173A58">
            <w:pPr>
              <w:ind w:left="0" w:right="0"/>
            </w:pPr>
            <w:r>
              <w:t>Submission dossier accepted and first round evaluation commenced</w:t>
            </w:r>
          </w:p>
        </w:tc>
        <w:tc>
          <w:tcPr>
            <w:tcW w:w="4360" w:type="dxa"/>
            <w:tcBorders>
              <w:top w:val="single" w:sz="4" w:space="0" w:color="auto"/>
            </w:tcBorders>
          </w:tcPr>
          <w:p w14:paraId="6988D1F9" w14:textId="77777777" w:rsidR="00500337" w:rsidRDefault="00173A58" w:rsidP="00173A58">
            <w:pPr>
              <w:ind w:left="0" w:right="0"/>
            </w:pPr>
            <w:r w:rsidRPr="00F86BB5">
              <w:rPr>
                <w:color w:val="auto"/>
              </w:rPr>
              <w:t>3 June 2019</w:t>
            </w:r>
          </w:p>
        </w:tc>
      </w:tr>
      <w:tr w:rsidR="00500337" w14:paraId="5F5C874B" w14:textId="77777777" w:rsidTr="00500337">
        <w:tc>
          <w:tcPr>
            <w:tcW w:w="4360" w:type="dxa"/>
          </w:tcPr>
          <w:p w14:paraId="41FDAE74" w14:textId="77777777" w:rsidR="00500337" w:rsidRDefault="00500337" w:rsidP="00173A58">
            <w:pPr>
              <w:ind w:left="0" w:right="0"/>
            </w:pPr>
            <w:r>
              <w:t>First round evaluation completed</w:t>
            </w:r>
          </w:p>
        </w:tc>
        <w:tc>
          <w:tcPr>
            <w:tcW w:w="4360" w:type="dxa"/>
          </w:tcPr>
          <w:p w14:paraId="3C1A7DE5" w14:textId="77777777" w:rsidR="00500337" w:rsidRDefault="00173A58" w:rsidP="00173A58">
            <w:pPr>
              <w:ind w:left="0" w:right="0"/>
            </w:pPr>
            <w:r w:rsidRPr="00F86BB5">
              <w:rPr>
                <w:color w:val="auto"/>
              </w:rPr>
              <w:t>30 September 2019</w:t>
            </w:r>
          </w:p>
        </w:tc>
      </w:tr>
      <w:tr w:rsidR="00500337" w14:paraId="388D1D5D" w14:textId="77777777" w:rsidTr="00500337">
        <w:tc>
          <w:tcPr>
            <w:tcW w:w="4360" w:type="dxa"/>
          </w:tcPr>
          <w:p w14:paraId="7BBF1E8F" w14:textId="77777777" w:rsidR="00500337" w:rsidRDefault="00500337" w:rsidP="00173A58">
            <w:pPr>
              <w:ind w:left="0" w:right="0"/>
            </w:pPr>
            <w:r>
              <w:t>Sponsor provides responses on questions raised in first round evaluation</w:t>
            </w:r>
          </w:p>
        </w:tc>
        <w:tc>
          <w:tcPr>
            <w:tcW w:w="4360" w:type="dxa"/>
          </w:tcPr>
          <w:p w14:paraId="6E045DBD" w14:textId="77777777" w:rsidR="00500337" w:rsidRDefault="00173A58" w:rsidP="00173A58">
            <w:pPr>
              <w:ind w:left="0" w:right="0"/>
            </w:pPr>
            <w:r w:rsidRPr="00F86BB5">
              <w:rPr>
                <w:color w:val="auto"/>
              </w:rPr>
              <w:t>28 November 2019</w:t>
            </w:r>
          </w:p>
        </w:tc>
      </w:tr>
      <w:tr w:rsidR="00500337" w14:paraId="32171CDD" w14:textId="77777777" w:rsidTr="00500337">
        <w:tc>
          <w:tcPr>
            <w:tcW w:w="4360" w:type="dxa"/>
          </w:tcPr>
          <w:p w14:paraId="18AC3C73" w14:textId="77777777" w:rsidR="00500337" w:rsidRDefault="00500337" w:rsidP="00173A58">
            <w:pPr>
              <w:ind w:left="0" w:right="0"/>
            </w:pPr>
            <w:r>
              <w:t>Second round evaluation completed</w:t>
            </w:r>
          </w:p>
        </w:tc>
        <w:tc>
          <w:tcPr>
            <w:tcW w:w="4360" w:type="dxa"/>
          </w:tcPr>
          <w:p w14:paraId="2297BC14" w14:textId="77777777" w:rsidR="00500337" w:rsidRDefault="00173A58" w:rsidP="00173A58">
            <w:pPr>
              <w:ind w:left="0" w:right="0"/>
            </w:pPr>
            <w:r w:rsidRPr="00F86BB5">
              <w:rPr>
                <w:color w:val="auto"/>
              </w:rPr>
              <w:t>2 January 2020</w:t>
            </w:r>
          </w:p>
        </w:tc>
      </w:tr>
      <w:tr w:rsidR="00500337" w14:paraId="541496D3" w14:textId="77777777" w:rsidTr="00500337">
        <w:tc>
          <w:tcPr>
            <w:tcW w:w="4360" w:type="dxa"/>
          </w:tcPr>
          <w:p w14:paraId="3BBB1CB5" w14:textId="77777777" w:rsidR="00500337" w:rsidRDefault="00500337" w:rsidP="00173A58">
            <w:pPr>
              <w:ind w:left="0" w:right="0"/>
            </w:pPr>
            <w:r>
              <w:t xml:space="preserve">Delegate’s </w:t>
            </w:r>
            <w:r w:rsidR="00173A58">
              <w:t>Overall benefit-risk assessment</w:t>
            </w:r>
          </w:p>
        </w:tc>
        <w:tc>
          <w:tcPr>
            <w:tcW w:w="4360" w:type="dxa"/>
          </w:tcPr>
          <w:p w14:paraId="14491E1A" w14:textId="77777777" w:rsidR="00500337" w:rsidRDefault="00173A58" w:rsidP="00173A58">
            <w:pPr>
              <w:ind w:left="0" w:right="0"/>
            </w:pPr>
            <w:r w:rsidRPr="00F86BB5">
              <w:rPr>
                <w:color w:val="auto"/>
              </w:rPr>
              <w:t>8 April 2020</w:t>
            </w:r>
          </w:p>
        </w:tc>
      </w:tr>
      <w:tr w:rsidR="00500337" w14:paraId="465806E4" w14:textId="77777777" w:rsidTr="00500337">
        <w:tc>
          <w:tcPr>
            <w:tcW w:w="4360" w:type="dxa"/>
          </w:tcPr>
          <w:p w14:paraId="34EAEC27" w14:textId="77777777" w:rsidR="00500337" w:rsidRDefault="00500337" w:rsidP="00173A58">
            <w:pPr>
              <w:ind w:left="0" w:right="0"/>
            </w:pPr>
            <w:r>
              <w:t>Sponsor’s pre-Advisory Committee response</w:t>
            </w:r>
          </w:p>
        </w:tc>
        <w:tc>
          <w:tcPr>
            <w:tcW w:w="4360" w:type="dxa"/>
          </w:tcPr>
          <w:p w14:paraId="3372634B" w14:textId="77777777" w:rsidR="00500337" w:rsidRDefault="00173A58" w:rsidP="00173A58">
            <w:pPr>
              <w:ind w:left="0" w:right="0"/>
            </w:pPr>
            <w:r w:rsidRPr="00F86BB5">
              <w:rPr>
                <w:color w:val="auto"/>
              </w:rPr>
              <w:t>Not applicable</w:t>
            </w:r>
          </w:p>
        </w:tc>
      </w:tr>
      <w:tr w:rsidR="00500337" w14:paraId="686A9E90" w14:textId="77777777" w:rsidTr="00500337">
        <w:tc>
          <w:tcPr>
            <w:tcW w:w="4360" w:type="dxa"/>
          </w:tcPr>
          <w:p w14:paraId="3A0D4014" w14:textId="77777777" w:rsidR="00500337" w:rsidRDefault="00500337" w:rsidP="00173A58">
            <w:pPr>
              <w:ind w:left="0" w:right="0"/>
            </w:pPr>
            <w:r>
              <w:t>Advisory Committee meeting</w:t>
            </w:r>
          </w:p>
        </w:tc>
        <w:tc>
          <w:tcPr>
            <w:tcW w:w="4360" w:type="dxa"/>
          </w:tcPr>
          <w:p w14:paraId="296024A5" w14:textId="77777777" w:rsidR="00500337" w:rsidRDefault="00173A58" w:rsidP="00173A58">
            <w:pPr>
              <w:ind w:left="0" w:right="0"/>
            </w:pPr>
            <w:r w:rsidRPr="00F86BB5">
              <w:rPr>
                <w:color w:val="auto"/>
              </w:rPr>
              <w:t>Not applicable</w:t>
            </w:r>
          </w:p>
        </w:tc>
      </w:tr>
      <w:tr w:rsidR="00173A58" w14:paraId="47843991" w14:textId="77777777" w:rsidTr="00500337">
        <w:tc>
          <w:tcPr>
            <w:tcW w:w="4360" w:type="dxa"/>
          </w:tcPr>
          <w:p w14:paraId="5D51E53C" w14:textId="77777777" w:rsidR="00173A58" w:rsidRDefault="00173A58" w:rsidP="00173A58">
            <w:pPr>
              <w:ind w:left="0" w:right="0"/>
            </w:pPr>
            <w:r>
              <w:lastRenderedPageBreak/>
              <w:t>Registration decision (Outcome)</w:t>
            </w:r>
          </w:p>
        </w:tc>
        <w:tc>
          <w:tcPr>
            <w:tcW w:w="4360" w:type="dxa"/>
          </w:tcPr>
          <w:p w14:paraId="29D4105B" w14:textId="77777777" w:rsidR="00173A58" w:rsidRPr="00F86BB5" w:rsidRDefault="00173A58" w:rsidP="00173A58">
            <w:pPr>
              <w:ind w:left="0" w:right="0"/>
              <w:rPr>
                <w:color w:val="auto"/>
              </w:rPr>
            </w:pPr>
            <w:r w:rsidRPr="00F86BB5">
              <w:rPr>
                <w:color w:val="auto"/>
              </w:rPr>
              <w:t>15 April 2020</w:t>
            </w:r>
          </w:p>
        </w:tc>
      </w:tr>
      <w:tr w:rsidR="00173A58" w14:paraId="6E7F97C7" w14:textId="77777777" w:rsidTr="00500337">
        <w:tc>
          <w:tcPr>
            <w:tcW w:w="4360" w:type="dxa"/>
          </w:tcPr>
          <w:p w14:paraId="36A14698" w14:textId="77777777" w:rsidR="00173A58" w:rsidRDefault="00173A58" w:rsidP="00173A58">
            <w:pPr>
              <w:ind w:left="0" w:right="0"/>
            </w:pPr>
            <w:r>
              <w:t>Completion of administrative activities and registration on the ARTG</w:t>
            </w:r>
          </w:p>
        </w:tc>
        <w:tc>
          <w:tcPr>
            <w:tcW w:w="4360" w:type="dxa"/>
          </w:tcPr>
          <w:p w14:paraId="641E03AB" w14:textId="77777777" w:rsidR="00173A58" w:rsidRPr="00AE6CD4" w:rsidRDefault="00173A58" w:rsidP="00173A58">
            <w:pPr>
              <w:ind w:left="0" w:right="0"/>
              <w:rPr>
                <w:color w:val="auto"/>
              </w:rPr>
            </w:pPr>
            <w:r w:rsidRPr="00AE6CD4">
              <w:rPr>
                <w:color w:val="auto"/>
              </w:rPr>
              <w:t>20 April 2020</w:t>
            </w:r>
          </w:p>
        </w:tc>
      </w:tr>
      <w:tr w:rsidR="00173A58" w14:paraId="56D0A2BA" w14:textId="77777777" w:rsidTr="00500337">
        <w:tc>
          <w:tcPr>
            <w:tcW w:w="4360" w:type="dxa"/>
          </w:tcPr>
          <w:p w14:paraId="2FEE9346" w14:textId="77777777" w:rsidR="00173A58" w:rsidRDefault="00173A58" w:rsidP="00173A58">
            <w:pPr>
              <w:ind w:left="0" w:right="0"/>
            </w:pPr>
            <w:r>
              <w:t>Number of working days from submission dossier acceptance to registration decision*</w:t>
            </w:r>
          </w:p>
        </w:tc>
        <w:tc>
          <w:tcPr>
            <w:tcW w:w="4360" w:type="dxa"/>
          </w:tcPr>
          <w:p w14:paraId="6E94A025" w14:textId="77777777" w:rsidR="00173A58" w:rsidRDefault="00173A58" w:rsidP="00173A58">
            <w:pPr>
              <w:ind w:left="0" w:right="0"/>
            </w:pPr>
            <w:r w:rsidRPr="00F86BB5">
              <w:rPr>
                <w:color w:val="auto"/>
              </w:rPr>
              <w:t>173</w:t>
            </w:r>
          </w:p>
        </w:tc>
      </w:tr>
    </w:tbl>
    <w:p w14:paraId="1CFF9A01" w14:textId="77777777" w:rsidR="00006FAB" w:rsidRDefault="00006FAB" w:rsidP="00500337">
      <w:pPr>
        <w:pStyle w:val="TableDescription"/>
      </w:pPr>
      <w:r w:rsidRPr="00006FAB">
        <w:t>* The COR-B process has a 175 working day evaluation and decision timeframe.</w:t>
      </w:r>
    </w:p>
    <w:p w14:paraId="14C3E970" w14:textId="77777777" w:rsidR="008E7846" w:rsidRPr="00792A32" w:rsidRDefault="00456765" w:rsidP="008E7846">
      <w:pPr>
        <w:pStyle w:val="Heading2"/>
      </w:pPr>
      <w:bookmarkStart w:id="26" w:name="_Toc196046504"/>
      <w:bookmarkStart w:id="27" w:name="_Toc247691527"/>
      <w:bookmarkStart w:id="28" w:name="_Toc314842510"/>
      <w:bookmarkStart w:id="29" w:name="_Toc163441390"/>
      <w:bookmarkStart w:id="30" w:name="_Toc54175023"/>
      <w:bookmarkEnd w:id="6"/>
      <w:bookmarkEnd w:id="22"/>
      <w:bookmarkEnd w:id="23"/>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6"/>
      <w:bookmarkEnd w:id="27"/>
      <w:bookmarkEnd w:id="28"/>
      <w:bookmarkEnd w:id="30"/>
    </w:p>
    <w:p w14:paraId="3ADF35B2" w14:textId="77777777" w:rsidR="00006FAB" w:rsidRDefault="00006FAB" w:rsidP="00006FAB">
      <w:bookmarkStart w:id="31" w:name="_Toc247691528"/>
      <w:r>
        <w:t>The submission was summarised in the following Delegate’s overview and recommendations.</w:t>
      </w:r>
    </w:p>
    <w:p w14:paraId="201BB67F" w14:textId="77777777" w:rsidR="00006FAB" w:rsidRDefault="00006FAB" w:rsidP="00006FAB">
      <w:r>
        <w:t>This section is a TGA summary of wording used in TGA’s evaluation report, which discussed numerous aspects of overseas evaluation reports and included some information that was commercial-in-confidence.</w:t>
      </w:r>
    </w:p>
    <w:p w14:paraId="25970FAC" w14:textId="77777777" w:rsidR="008E7846" w:rsidRDefault="008E7846" w:rsidP="008E7846">
      <w:pPr>
        <w:pStyle w:val="Heading3"/>
      </w:pPr>
      <w:bookmarkStart w:id="32" w:name="_Toc314842511"/>
      <w:bookmarkStart w:id="33" w:name="_Toc54175024"/>
      <w:r>
        <w:t>Quality</w:t>
      </w:r>
      <w:bookmarkEnd w:id="31"/>
      <w:bookmarkEnd w:id="32"/>
      <w:bookmarkEnd w:id="33"/>
    </w:p>
    <w:p w14:paraId="6964E450" w14:textId="3C721FAD" w:rsidR="007357E5" w:rsidRPr="007357E5" w:rsidRDefault="007357E5" w:rsidP="007357E5">
      <w:r w:rsidRPr="007357E5">
        <w:t xml:space="preserve">Recombinant von </w:t>
      </w:r>
      <w:proofErr w:type="spellStart"/>
      <w:r w:rsidRPr="007357E5">
        <w:t>Willebrand</w:t>
      </w:r>
      <w:proofErr w:type="spellEnd"/>
      <w:r w:rsidRPr="007357E5">
        <w:t xml:space="preserve"> Factor (</w:t>
      </w:r>
      <w:proofErr w:type="spellStart"/>
      <w:r w:rsidRPr="007357E5">
        <w:t>rVWF</w:t>
      </w:r>
      <w:proofErr w:type="spellEnd"/>
      <w:r w:rsidRPr="007357E5">
        <w:t>) is co-exp</w:t>
      </w:r>
      <w:r w:rsidR="00C270C7">
        <w:t xml:space="preserve">ressed with recombinant </w:t>
      </w:r>
      <w:r w:rsidR="00E8249B">
        <w:t>F</w:t>
      </w:r>
      <w:r>
        <w:t xml:space="preserve">actor </w:t>
      </w:r>
      <w:r w:rsidRPr="007357E5">
        <w:t>VIII (</w:t>
      </w:r>
      <w:proofErr w:type="spellStart"/>
      <w:r w:rsidRPr="007357E5">
        <w:t>rFVIII</w:t>
      </w:r>
      <w:proofErr w:type="spellEnd"/>
      <w:r w:rsidRPr="007357E5">
        <w:t xml:space="preserve">) in </w:t>
      </w:r>
      <w:r>
        <w:t xml:space="preserve">CHO cells as part of the </w:t>
      </w:r>
      <w:r w:rsidRPr="007357E5">
        <w:t>m</w:t>
      </w:r>
      <w:r>
        <w:t xml:space="preserve">anufacturing process. The </w:t>
      </w:r>
      <w:proofErr w:type="spellStart"/>
      <w:r>
        <w:t>rVWF</w:t>
      </w:r>
      <w:proofErr w:type="spellEnd"/>
      <w:r>
        <w:t xml:space="preserve"> </w:t>
      </w:r>
      <w:r w:rsidR="00EF134A">
        <w:t xml:space="preserve">protein is separated from the factor </w:t>
      </w:r>
      <w:r w:rsidRPr="007357E5">
        <w:t>VIII and further purified.</w:t>
      </w:r>
    </w:p>
    <w:p w14:paraId="5E97BA56" w14:textId="6E9184EB" w:rsidR="007357E5" w:rsidRPr="007357E5" w:rsidRDefault="007357E5" w:rsidP="007357E5">
      <w:r>
        <w:t xml:space="preserve">Human VWF is synthesized as a 2813 amino acid pro-VWF molecule. The pro-VWF is composed of A, B, C and D repeats, which contain various functional domains that have been identified. The mature VWF monomer is a 2050 amino acid protein. Monomers of pro-VWF are subsequently </w:t>
      </w:r>
      <w:r w:rsidRPr="00AF6B0D">
        <w:rPr>
          <w:i/>
        </w:rPr>
        <w:t>N</w:t>
      </w:r>
      <w:r>
        <w:t xml:space="preserve">-glycosylated, arranged into dimers in the endoplasmic reticulum and into </w:t>
      </w:r>
      <w:proofErr w:type="spellStart"/>
      <w:r>
        <w:t>multimers</w:t>
      </w:r>
      <w:proofErr w:type="spellEnd"/>
      <w:r>
        <w:t xml:space="preserve"> by crosslinking of cysteine residues via </w:t>
      </w:r>
      <w:proofErr w:type="spellStart"/>
      <w:r>
        <w:t>disulfide</w:t>
      </w:r>
      <w:proofErr w:type="spellEnd"/>
      <w:r>
        <w:t xml:space="preserve"> bonds.</w:t>
      </w:r>
      <w:r w:rsidR="00B63CE8">
        <w:t xml:space="preserve"> The basic structure o</w:t>
      </w:r>
      <w:r w:rsidR="00A541A5">
        <w:t xml:space="preserve">f a VWF is depicted in </w:t>
      </w:r>
      <w:r w:rsidR="00A541A5">
        <w:fldChar w:fldCharType="begin"/>
      </w:r>
      <w:r w:rsidR="00A541A5">
        <w:instrText xml:space="preserve"> REF _Ref46134858 \h </w:instrText>
      </w:r>
      <w:r w:rsidR="00A541A5">
        <w:fldChar w:fldCharType="separate"/>
      </w:r>
      <w:r w:rsidR="0006071C">
        <w:t xml:space="preserve">Figure </w:t>
      </w:r>
      <w:r w:rsidR="0006071C">
        <w:rPr>
          <w:noProof/>
        </w:rPr>
        <w:t>1</w:t>
      </w:r>
      <w:r w:rsidR="00A541A5">
        <w:fldChar w:fldCharType="end"/>
      </w:r>
      <w:r w:rsidR="00B63CE8">
        <w:t>.</w:t>
      </w:r>
    </w:p>
    <w:p w14:paraId="7DD456F2" w14:textId="1C15BA58" w:rsidR="002E3437" w:rsidRPr="002E3437" w:rsidRDefault="007357E5" w:rsidP="007357E5">
      <w:pPr>
        <w:pStyle w:val="FigureTitle"/>
      </w:pPr>
      <w:bookmarkStart w:id="34" w:name="_Ref46134858"/>
      <w:r>
        <w:t xml:space="preserve">Figure </w:t>
      </w:r>
      <w:fldSimple w:instr=" SEQ Figure \* ARABIC ">
        <w:r w:rsidR="0006071C">
          <w:rPr>
            <w:noProof/>
          </w:rPr>
          <w:t>1</w:t>
        </w:r>
      </w:fldSimple>
      <w:bookmarkEnd w:id="34"/>
      <w:r w:rsidR="000628C8">
        <w:t>: Pictorial representation of v</w:t>
      </w:r>
      <w:r>
        <w:t xml:space="preserve">on </w:t>
      </w:r>
      <w:proofErr w:type="spellStart"/>
      <w:r>
        <w:t>Willebrand</w:t>
      </w:r>
      <w:proofErr w:type="spellEnd"/>
      <w:r>
        <w:t xml:space="preserve"> Factor monomer/dimer</w:t>
      </w:r>
    </w:p>
    <w:p w14:paraId="56187CB8" w14:textId="77777777" w:rsidR="002E3437" w:rsidRDefault="002E3437" w:rsidP="002E3437">
      <w:r>
        <w:rPr>
          <w:noProof/>
          <w:lang w:eastAsia="en-AU"/>
        </w:rPr>
        <w:drawing>
          <wp:inline distT="0" distB="0" distL="0" distR="0" wp14:anchorId="0EDB5DC4" wp14:editId="10A8D9A9">
            <wp:extent cx="4451064" cy="1800000"/>
            <wp:effectExtent l="0" t="0" r="6985" b="0"/>
            <wp:docPr id="1" name="Picture 1" descr="Pictorial representation of Von Willebrand Factor monomer/d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51064" cy="1800000"/>
                    </a:xfrm>
                    <a:prstGeom prst="rect">
                      <a:avLst/>
                    </a:prstGeom>
                  </pic:spPr>
                </pic:pic>
              </a:graphicData>
            </a:graphic>
          </wp:inline>
        </w:drawing>
      </w:r>
    </w:p>
    <w:p w14:paraId="047593F6" w14:textId="02E785E8" w:rsidR="00B63CE8" w:rsidRDefault="00C270C7" w:rsidP="00B63CE8">
      <w:pPr>
        <w:pStyle w:val="TableDescription"/>
      </w:pPr>
      <w:r>
        <w:t>The D’/D3 domain binds to f</w:t>
      </w:r>
      <w:r w:rsidR="00B63CE8">
        <w:t xml:space="preserve">actor VIII; the A1 domain binds to platelet gp1b-receptor, heparin and collagen; the A3 domain binds to collagen; the C1 domain binds to activated platelet integrin </w:t>
      </w:r>
      <w:r w:rsidR="00B63CE8" w:rsidRPr="00B63CE8">
        <w:t>α</w:t>
      </w:r>
      <w:proofErr w:type="spellStart"/>
      <w:r w:rsidR="00B63CE8" w:rsidRPr="00B63CE8">
        <w:t>IIb</w:t>
      </w:r>
      <w:proofErr w:type="spellEnd"/>
      <w:r w:rsidR="00B63CE8" w:rsidRPr="00B63CE8">
        <w:t>β3</w:t>
      </w:r>
      <w:r w:rsidR="00B63CE8">
        <w:t xml:space="preserve">, the cysteine knot domain (CK) </w:t>
      </w:r>
      <w:r w:rsidR="00A541A5">
        <w:t>is at the C-terminal end of the protein.</w:t>
      </w:r>
    </w:p>
    <w:p w14:paraId="2DB9F42C" w14:textId="77777777" w:rsidR="000B4C29" w:rsidRDefault="002E3437" w:rsidP="00006FAB">
      <w:r>
        <w:t>The quality evaluator concluded that there are no objections on quality grounds to the approval of Veyvondi (</w:t>
      </w:r>
      <w:proofErr w:type="spellStart"/>
      <w:r>
        <w:t>vonicog</w:t>
      </w:r>
      <w:proofErr w:type="spellEnd"/>
      <w:r>
        <w:t xml:space="preserve"> </w:t>
      </w:r>
      <w:proofErr w:type="spellStart"/>
      <w:r>
        <w:t>alfa</w:t>
      </w:r>
      <w:proofErr w:type="spellEnd"/>
      <w:r>
        <w:t>).</w:t>
      </w:r>
    </w:p>
    <w:p w14:paraId="51D9117A" w14:textId="77777777" w:rsidR="008E7846" w:rsidRPr="00D145F5" w:rsidRDefault="008E7846" w:rsidP="008E7846">
      <w:pPr>
        <w:pStyle w:val="Heading3"/>
      </w:pPr>
      <w:bookmarkStart w:id="35" w:name="_Toc314842512"/>
      <w:bookmarkStart w:id="36" w:name="_Toc54175025"/>
      <w:r w:rsidRPr="00D145F5">
        <w:lastRenderedPageBreak/>
        <w:t>Nonclinical</w:t>
      </w:r>
      <w:bookmarkEnd w:id="35"/>
      <w:bookmarkEnd w:id="36"/>
    </w:p>
    <w:p w14:paraId="2A1654F6" w14:textId="2CC50F0D" w:rsidR="00936742" w:rsidRPr="00D145F5" w:rsidRDefault="003D28A9" w:rsidP="00936742">
      <w:r w:rsidRPr="00D145F5">
        <w:rPr>
          <w:rFonts w:cstheme="minorBidi"/>
        </w:rPr>
        <w:t>The non</w:t>
      </w:r>
      <w:r w:rsidR="00936742" w:rsidRPr="00D145F5">
        <w:rPr>
          <w:rFonts w:cstheme="minorBidi"/>
        </w:rPr>
        <w:t>clinical evaluator has summarised the findings of the toxicology studies as follows:</w:t>
      </w:r>
    </w:p>
    <w:p w14:paraId="23AD10E5" w14:textId="00C27C24" w:rsidR="00A541A5" w:rsidRPr="00D145F5" w:rsidRDefault="00936742" w:rsidP="00A541A5">
      <w:pPr>
        <w:pStyle w:val="ListBullet"/>
      </w:pPr>
      <w:r w:rsidRPr="00D145F5">
        <w:t>Nonclinical data</w:t>
      </w:r>
      <w:r w:rsidR="00A541A5" w:rsidRPr="00D145F5">
        <w:t xml:space="preserve"> contained an adequate set of studies investigating pharmacology, pharmacokinetics </w:t>
      </w:r>
      <w:r w:rsidR="00E4233C">
        <w:t xml:space="preserve">(PK) </w:t>
      </w:r>
      <w:r w:rsidR="00A541A5" w:rsidRPr="00D145F5">
        <w:t>and toxicity, conducted in general accordance with relevan</w:t>
      </w:r>
      <w:r w:rsidR="003D28A9" w:rsidRPr="00D145F5">
        <w:t xml:space="preserve">t TGA </w:t>
      </w:r>
      <w:r w:rsidR="00A541A5" w:rsidRPr="00D145F5">
        <w:t>a</w:t>
      </w:r>
      <w:r w:rsidR="003D28A9" w:rsidRPr="00D145F5">
        <w:t>dopted guidelines, including International Council for Harmonisation</w:t>
      </w:r>
      <w:r w:rsidR="00A541A5" w:rsidRPr="00D145F5">
        <w:t xml:space="preserve"> </w:t>
      </w:r>
      <w:r w:rsidR="003D28A9" w:rsidRPr="00D145F5">
        <w:t>(ICH)</w:t>
      </w:r>
      <w:r w:rsidR="006A4252">
        <w:t>;</w:t>
      </w:r>
      <w:r w:rsidR="006A4252">
        <w:rPr>
          <w:rStyle w:val="FootnoteReference"/>
        </w:rPr>
        <w:footnoteReference w:id="5"/>
      </w:r>
      <w:r w:rsidR="003D28A9" w:rsidRPr="00D145F5">
        <w:t xml:space="preserve"> S6 (R1)</w:t>
      </w:r>
      <w:r w:rsidR="00A541A5" w:rsidRPr="00D145F5">
        <w:t>.</w:t>
      </w:r>
      <w:bookmarkStart w:id="37" w:name="_Ref46948161"/>
      <w:r w:rsidR="00D145F5">
        <w:rPr>
          <w:rStyle w:val="FootnoteReference"/>
        </w:rPr>
        <w:footnoteReference w:id="6"/>
      </w:r>
      <w:bookmarkEnd w:id="37"/>
      <w:r w:rsidR="00A541A5" w:rsidRPr="00D145F5">
        <w:t xml:space="preserve"> All pivotal safety-rela</w:t>
      </w:r>
      <w:r w:rsidRPr="00D145F5">
        <w:t xml:space="preserve">ted studies were </w:t>
      </w:r>
      <w:r w:rsidR="003D28A9" w:rsidRPr="00D145F5">
        <w:t>Good Laboratory Practice (</w:t>
      </w:r>
      <w:r w:rsidRPr="00D145F5">
        <w:t>GLP</w:t>
      </w:r>
      <w:r w:rsidR="003D28A9" w:rsidRPr="00D145F5">
        <w:t>)</w:t>
      </w:r>
      <w:r w:rsidR="00B9205A">
        <w:t>;</w:t>
      </w:r>
      <w:r w:rsidR="00B9205A">
        <w:rPr>
          <w:rStyle w:val="FootnoteReference"/>
        </w:rPr>
        <w:footnoteReference w:id="7"/>
      </w:r>
      <w:r w:rsidR="003D28A9" w:rsidRPr="00D145F5">
        <w:t xml:space="preserve"> </w:t>
      </w:r>
      <w:r w:rsidRPr="00D145F5">
        <w:t>compliant.</w:t>
      </w:r>
    </w:p>
    <w:p w14:paraId="416DE72D" w14:textId="3175D993" w:rsidR="00A541A5" w:rsidRPr="00D145F5" w:rsidRDefault="00A541A5" w:rsidP="00A541A5">
      <w:pPr>
        <w:pStyle w:val="ListBullet"/>
      </w:pPr>
      <w:r w:rsidRPr="00D145F5">
        <w:rPr>
          <w:i/>
          <w:iCs/>
        </w:rPr>
        <w:t>In vitro</w:t>
      </w:r>
      <w:r w:rsidRPr="00D145F5">
        <w:t xml:space="preserve">, the presence of ultra-large </w:t>
      </w:r>
      <w:proofErr w:type="spellStart"/>
      <w:r w:rsidRPr="00D145F5">
        <w:t>multimers</w:t>
      </w:r>
      <w:proofErr w:type="spellEnd"/>
      <w:r w:rsidRPr="00D145F5">
        <w:t xml:space="preserve"> in </w:t>
      </w:r>
      <w:proofErr w:type="spellStart"/>
      <w:r w:rsidRPr="00D145F5">
        <w:t>vonicog</w:t>
      </w:r>
      <w:proofErr w:type="spellEnd"/>
      <w:r w:rsidRPr="00D145F5">
        <w:t xml:space="preserve"> </w:t>
      </w:r>
      <w:proofErr w:type="spellStart"/>
      <w:r w:rsidRPr="00D145F5">
        <w:t>alfa</w:t>
      </w:r>
      <w:proofErr w:type="spellEnd"/>
      <w:r w:rsidRPr="00D145F5">
        <w:t xml:space="preserve"> was shown to enhance platelet aggreg</w:t>
      </w:r>
      <w:r w:rsidR="003D28A9" w:rsidRPr="00D145F5">
        <w:t>ation in comparison with other V</w:t>
      </w:r>
      <w:r w:rsidRPr="00D145F5">
        <w:t xml:space="preserve">WF preparations lacking these. </w:t>
      </w:r>
      <w:r w:rsidRPr="00D145F5">
        <w:rPr>
          <w:i/>
          <w:iCs/>
        </w:rPr>
        <w:t>In vivo</w:t>
      </w:r>
      <w:r w:rsidRPr="00D145F5">
        <w:t xml:space="preserve">, </w:t>
      </w:r>
      <w:proofErr w:type="spellStart"/>
      <w:r w:rsidRPr="00D145F5">
        <w:t>vonicog</w:t>
      </w:r>
      <w:proofErr w:type="spellEnd"/>
      <w:r w:rsidRPr="00D145F5">
        <w:t xml:space="preserve"> </w:t>
      </w:r>
      <w:proofErr w:type="spellStart"/>
      <w:r w:rsidRPr="00D145F5">
        <w:t>alfa</w:t>
      </w:r>
      <w:proofErr w:type="spellEnd"/>
      <w:r w:rsidRPr="00D145F5">
        <w:t xml:space="preserve"> was shown to promote thrombus formation and reduce blood loss and bleeding time in studies </w:t>
      </w:r>
      <w:r w:rsidR="003D28A9" w:rsidRPr="00D145F5">
        <w:t>in V</w:t>
      </w:r>
      <w:r w:rsidR="00936742" w:rsidRPr="00D145F5">
        <w:t>WF-deficient mice and dogs.</w:t>
      </w:r>
    </w:p>
    <w:p w14:paraId="304A75DA" w14:textId="77777777" w:rsidR="00A541A5" w:rsidRPr="00D145F5" w:rsidRDefault="00A541A5" w:rsidP="00A541A5">
      <w:pPr>
        <w:pStyle w:val="ListBullet"/>
      </w:pPr>
      <w:r w:rsidRPr="00D145F5">
        <w:t>No off-target pharmacological effects were apparent. Safety pharmacology studies identified n</w:t>
      </w:r>
      <w:r w:rsidR="00936742" w:rsidRPr="00D145F5">
        <w:t>o clinically relevant concerns.</w:t>
      </w:r>
    </w:p>
    <w:p w14:paraId="3397F121" w14:textId="1206A98C" w:rsidR="00A541A5" w:rsidRPr="00D145F5" w:rsidRDefault="00E4233C" w:rsidP="00A541A5">
      <w:pPr>
        <w:pStyle w:val="ListBullet"/>
      </w:pPr>
      <w:r>
        <w:t>PK</w:t>
      </w:r>
      <w:r w:rsidR="00A541A5" w:rsidRPr="00D145F5">
        <w:t xml:space="preserve"> studies in laboratory ani</w:t>
      </w:r>
      <w:r w:rsidR="003D28A9" w:rsidRPr="00D145F5">
        <w:t>mal species showed exposure to V</w:t>
      </w:r>
      <w:r w:rsidR="00A541A5" w:rsidRPr="00D145F5">
        <w:t xml:space="preserve">WF after </w:t>
      </w:r>
      <w:r w:rsidR="003D28A9" w:rsidRPr="00D145F5">
        <w:t>intravenous (</w:t>
      </w:r>
      <w:r w:rsidR="00A541A5" w:rsidRPr="00D145F5">
        <w:t>IV</w:t>
      </w:r>
      <w:r w:rsidR="003D28A9" w:rsidRPr="00D145F5">
        <w:t>)</w:t>
      </w:r>
      <w:r w:rsidR="00A541A5" w:rsidRPr="00D145F5">
        <w:t xml:space="preserve"> administration of </w:t>
      </w:r>
      <w:proofErr w:type="spellStart"/>
      <w:r w:rsidR="00A541A5" w:rsidRPr="00D145F5">
        <w:t>vonicog</w:t>
      </w:r>
      <w:proofErr w:type="spellEnd"/>
      <w:r w:rsidR="00A541A5" w:rsidRPr="00D145F5">
        <w:t xml:space="preserve"> </w:t>
      </w:r>
      <w:proofErr w:type="spellStart"/>
      <w:r w:rsidR="00A541A5" w:rsidRPr="00D145F5">
        <w:t>alfa</w:t>
      </w:r>
      <w:proofErr w:type="spellEnd"/>
      <w:r w:rsidR="00A541A5" w:rsidRPr="00D145F5">
        <w:t xml:space="preserve"> at least as high </w:t>
      </w:r>
      <w:r w:rsidR="001D0022" w:rsidRPr="00D145F5">
        <w:rPr>
          <w:iCs/>
        </w:rPr>
        <w:t>compared with</w:t>
      </w:r>
      <w:r w:rsidR="00A541A5" w:rsidRPr="00D145F5">
        <w:rPr>
          <w:i/>
          <w:iCs/>
        </w:rPr>
        <w:t xml:space="preserve"> </w:t>
      </w:r>
      <w:r w:rsidR="003D28A9" w:rsidRPr="00D145F5">
        <w:t>plasma-derived V</w:t>
      </w:r>
      <w:r w:rsidR="00A541A5" w:rsidRPr="00D145F5">
        <w:t>WF in most species, dose-proportional exposure, no effect of co-administered recombinant human FVIII on kinetics, stabilisation of endogenous FVIII, and limited extravascular distribution (as expected</w:t>
      </w:r>
      <w:r w:rsidR="00936742" w:rsidRPr="00D145F5">
        <w:t xml:space="preserve"> for a large protein molecule).</w:t>
      </w:r>
    </w:p>
    <w:p w14:paraId="670A5D05" w14:textId="77777777" w:rsidR="00A541A5" w:rsidRPr="00D145F5" w:rsidRDefault="00A541A5" w:rsidP="00A541A5">
      <w:pPr>
        <w:pStyle w:val="ListBullet"/>
      </w:pPr>
      <w:proofErr w:type="spellStart"/>
      <w:r w:rsidRPr="00D145F5">
        <w:t>Vonicog</w:t>
      </w:r>
      <w:proofErr w:type="spellEnd"/>
      <w:r w:rsidRPr="00D145F5">
        <w:t xml:space="preserve"> </w:t>
      </w:r>
      <w:proofErr w:type="spellStart"/>
      <w:r w:rsidRPr="00D145F5">
        <w:t>alfa</w:t>
      </w:r>
      <w:proofErr w:type="spellEnd"/>
      <w:r w:rsidRPr="00D145F5">
        <w:t xml:space="preserve"> showed a low order of acute toxicity by the IV route in</w:t>
      </w:r>
      <w:r w:rsidR="00936742" w:rsidRPr="00D145F5">
        <w:t xml:space="preserve"> laboratory animal species.</w:t>
      </w:r>
    </w:p>
    <w:p w14:paraId="139F8773" w14:textId="77777777" w:rsidR="00A541A5" w:rsidRPr="00A541A5" w:rsidRDefault="00A541A5" w:rsidP="00A541A5">
      <w:pPr>
        <w:pStyle w:val="ListBullet"/>
      </w:pPr>
      <w:r w:rsidRPr="00A541A5">
        <w:t xml:space="preserve">Pivotal repeat-dose toxicity studies were performed in rats and </w:t>
      </w:r>
      <w:proofErr w:type="spellStart"/>
      <w:r w:rsidRPr="00A541A5">
        <w:t>cynomolgus</w:t>
      </w:r>
      <w:proofErr w:type="spellEnd"/>
      <w:r w:rsidRPr="00A541A5">
        <w:t xml:space="preserve"> monkeys. These involved once daily dosing by the clinical route (IV) for 2 weeks; study length was limited by the immunogenicity of the human protein. Treatment with </w:t>
      </w:r>
      <w:proofErr w:type="spellStart"/>
      <w:r w:rsidRPr="00A541A5">
        <w:t>vonicog</w:t>
      </w:r>
      <w:proofErr w:type="spellEnd"/>
      <w:r w:rsidRPr="00A541A5">
        <w:t xml:space="preserve"> </w:t>
      </w:r>
      <w:proofErr w:type="spellStart"/>
      <w:r w:rsidRPr="00A541A5">
        <w:t>alfa</w:t>
      </w:r>
      <w:proofErr w:type="spellEnd"/>
      <w:r w:rsidRPr="00A541A5">
        <w:t xml:space="preserve"> (100 IU/kg/day) was without adverse effect in monkeys. Regenerative anaemia, thrombocytopenia, and inflammatory lesions in the heart, liver and salivary gland, were observed in rats treated with </w:t>
      </w:r>
      <w:proofErr w:type="spellStart"/>
      <w:r w:rsidRPr="00A541A5">
        <w:t>vonicog</w:t>
      </w:r>
      <w:proofErr w:type="spellEnd"/>
      <w:r w:rsidRPr="00A541A5">
        <w:t xml:space="preserve"> </w:t>
      </w:r>
      <w:proofErr w:type="spellStart"/>
      <w:r w:rsidRPr="00A541A5">
        <w:t>alfa</w:t>
      </w:r>
      <w:proofErr w:type="spellEnd"/>
      <w:r w:rsidRPr="00A541A5">
        <w:t xml:space="preserve"> at 1400 IU/kg/day (17.5 times the maximum recommended clini</w:t>
      </w:r>
      <w:r w:rsidR="00936742">
        <w:t>cal dose on a single occasion).</w:t>
      </w:r>
    </w:p>
    <w:p w14:paraId="6A1BF934" w14:textId="3C57C520" w:rsidR="00A541A5" w:rsidRPr="00A541A5" w:rsidRDefault="00A541A5" w:rsidP="00A541A5">
      <w:pPr>
        <w:pStyle w:val="ListBullet"/>
      </w:pPr>
      <w:r w:rsidRPr="00A541A5">
        <w:t>Findings in the si</w:t>
      </w:r>
      <w:r w:rsidR="00CD25CE">
        <w:t xml:space="preserve">ngle and repeat </w:t>
      </w:r>
      <w:r w:rsidRPr="00A541A5">
        <w:t xml:space="preserve">dose toxicity program represent exaggerated pharmacological effects. The </w:t>
      </w:r>
      <w:proofErr w:type="spellStart"/>
      <w:r w:rsidRPr="00A541A5">
        <w:t>thrombogenicity</w:t>
      </w:r>
      <w:proofErr w:type="spellEnd"/>
      <w:r w:rsidRPr="00A541A5">
        <w:t xml:space="preserve"> of </w:t>
      </w:r>
      <w:proofErr w:type="spellStart"/>
      <w:r w:rsidRPr="00A541A5">
        <w:t>vonicog</w:t>
      </w:r>
      <w:proofErr w:type="spellEnd"/>
      <w:r w:rsidRPr="00A541A5">
        <w:t xml:space="preserve"> </w:t>
      </w:r>
      <w:proofErr w:type="spellStart"/>
      <w:r w:rsidRPr="00A541A5">
        <w:t>alfa</w:t>
      </w:r>
      <w:proofErr w:type="spellEnd"/>
      <w:r w:rsidRPr="00A541A5">
        <w:t xml:space="preserve"> is greater in rodents </w:t>
      </w:r>
      <w:r w:rsidR="00E4233C" w:rsidRPr="00E4233C">
        <w:rPr>
          <w:iCs/>
        </w:rPr>
        <w:t>compared with</w:t>
      </w:r>
      <w:r w:rsidR="00CD25CE">
        <w:t xml:space="preserve"> </w:t>
      </w:r>
      <w:r w:rsidRPr="00A541A5">
        <w:t>other laboratory animal species and humans as their endogenous ADAMTS13</w:t>
      </w:r>
      <w:r w:rsidR="00E4233C">
        <w:t>;</w:t>
      </w:r>
      <w:r w:rsidR="00E4233C">
        <w:rPr>
          <w:rStyle w:val="FootnoteReference"/>
        </w:rPr>
        <w:footnoteReference w:id="8"/>
      </w:r>
      <w:r w:rsidR="004F7950">
        <w:t xml:space="preserve"> enzyme</w:t>
      </w:r>
      <w:r w:rsidRPr="00A541A5">
        <w:t xml:space="preserve"> is not capable of cleaving ultra-large </w:t>
      </w:r>
      <w:proofErr w:type="spellStart"/>
      <w:r w:rsidRPr="00A541A5">
        <w:t>mult</w:t>
      </w:r>
      <w:r w:rsidR="00912957">
        <w:t>imers</w:t>
      </w:r>
      <w:proofErr w:type="spellEnd"/>
      <w:r w:rsidR="00912957">
        <w:t xml:space="preserve"> of recombinant human V</w:t>
      </w:r>
      <w:r w:rsidR="00936742">
        <w:t>WF.</w:t>
      </w:r>
    </w:p>
    <w:p w14:paraId="4E342318" w14:textId="5BAE38F1" w:rsidR="00A541A5" w:rsidRPr="00A541A5" w:rsidRDefault="00A541A5" w:rsidP="00A541A5">
      <w:pPr>
        <w:pStyle w:val="ListBullet"/>
      </w:pPr>
      <w:proofErr w:type="spellStart"/>
      <w:r w:rsidRPr="00A541A5">
        <w:lastRenderedPageBreak/>
        <w:t>Vonicog</w:t>
      </w:r>
      <w:proofErr w:type="spellEnd"/>
      <w:r w:rsidRPr="00A541A5">
        <w:t xml:space="preserve"> </w:t>
      </w:r>
      <w:proofErr w:type="spellStart"/>
      <w:r w:rsidRPr="00A541A5">
        <w:t>alfa</w:t>
      </w:r>
      <w:proofErr w:type="spellEnd"/>
      <w:r w:rsidRPr="00A541A5">
        <w:t xml:space="preserve"> was shown to be non-genotoxic. Carcinogenicity studies have not been performed, which is acceptable given the nature of the drug</w:t>
      </w:r>
      <w:r w:rsidR="00912957">
        <w:t xml:space="preserve"> (consistent with ICH S6 (R1)</w:t>
      </w:r>
      <w:r w:rsidR="00936742">
        <w:t>).</w:t>
      </w:r>
      <w:r w:rsidR="00E4233C">
        <w:fldChar w:fldCharType="begin"/>
      </w:r>
      <w:r w:rsidR="00E4233C">
        <w:instrText xml:space="preserve"> NOTEREF _Ref46948161 \f \h </w:instrText>
      </w:r>
      <w:r w:rsidR="00E4233C">
        <w:fldChar w:fldCharType="separate"/>
      </w:r>
      <w:r w:rsidR="0006071C" w:rsidRPr="0006071C">
        <w:rPr>
          <w:rStyle w:val="FootnoteReference"/>
        </w:rPr>
        <w:t>6</w:t>
      </w:r>
      <w:r w:rsidR="00E4233C">
        <w:fldChar w:fldCharType="end"/>
      </w:r>
    </w:p>
    <w:p w14:paraId="41333C71" w14:textId="7977A835" w:rsidR="00A541A5" w:rsidRPr="00A541A5" w:rsidRDefault="00A541A5" w:rsidP="00A541A5">
      <w:pPr>
        <w:pStyle w:val="ListBullet"/>
      </w:pPr>
      <w:r w:rsidRPr="00A541A5">
        <w:t xml:space="preserve">Reproductive and developmental toxicity studies have not been conducted and are not required. Consistent with its large size, no placental transfer of </w:t>
      </w:r>
      <w:proofErr w:type="spellStart"/>
      <w:r w:rsidRPr="00A541A5">
        <w:t>vonicog</w:t>
      </w:r>
      <w:proofErr w:type="spellEnd"/>
      <w:r w:rsidRPr="00A541A5">
        <w:t xml:space="preserve"> </w:t>
      </w:r>
      <w:proofErr w:type="spellStart"/>
      <w:r w:rsidRPr="00A541A5">
        <w:t>alfa</w:t>
      </w:r>
      <w:proofErr w:type="spellEnd"/>
      <w:r w:rsidRPr="00A541A5">
        <w:t xml:space="preserve"> was observed in an </w:t>
      </w:r>
      <w:r w:rsidRPr="00A541A5">
        <w:rPr>
          <w:i/>
          <w:iCs/>
        </w:rPr>
        <w:t xml:space="preserve">ex vivo </w:t>
      </w:r>
      <w:r w:rsidRPr="00A541A5">
        <w:t>human perfusion model. Pregnancy Category B2,</w:t>
      </w:r>
      <w:r w:rsidR="00E4233C">
        <w:rPr>
          <w:rStyle w:val="FootnoteReference"/>
        </w:rPr>
        <w:footnoteReference w:id="9"/>
      </w:r>
      <w:r w:rsidRPr="00A541A5">
        <w:t xml:space="preserve"> as the </w:t>
      </w:r>
      <w:r w:rsidR="00FD6CE8">
        <w:t>sponsor proposes, is supported.</w:t>
      </w:r>
    </w:p>
    <w:p w14:paraId="65A28407" w14:textId="77777777" w:rsidR="00A541A5" w:rsidRPr="00A541A5" w:rsidRDefault="00A541A5" w:rsidP="00A541A5">
      <w:pPr>
        <w:pStyle w:val="ListBullet"/>
      </w:pPr>
      <w:r w:rsidRPr="00A541A5">
        <w:t>The approximate commercial formulation was shown to be wel</w:t>
      </w:r>
      <w:r w:rsidR="00FD6CE8">
        <w:t>l tolerated locally in rabbits.</w:t>
      </w:r>
    </w:p>
    <w:p w14:paraId="26AFFD9A" w14:textId="5A7B5CC3" w:rsidR="00A541A5" w:rsidRDefault="00A541A5" w:rsidP="001D0022">
      <w:r w:rsidRPr="00A541A5">
        <w:t xml:space="preserve">There are no nonclinical objections to the registration of </w:t>
      </w:r>
      <w:r w:rsidR="00936742">
        <w:t xml:space="preserve">Veyvondi </w:t>
      </w:r>
      <w:r w:rsidRPr="00A541A5">
        <w:t>for the proposed indication</w:t>
      </w:r>
      <w:r w:rsidR="004F7950">
        <w:t>s. The draft PI</w:t>
      </w:r>
      <w:r w:rsidRPr="00A541A5">
        <w:t xml:space="preserve"> should be amen</w:t>
      </w:r>
      <w:r w:rsidR="00FD6CE8">
        <w:t>ded as directed by the evaluator.</w:t>
      </w:r>
    </w:p>
    <w:p w14:paraId="5885C66E" w14:textId="4F3A767B" w:rsidR="008E7846" w:rsidRDefault="008E7846" w:rsidP="008E7846">
      <w:pPr>
        <w:pStyle w:val="Heading3"/>
      </w:pPr>
      <w:bookmarkStart w:id="38" w:name="_Toc247691530"/>
      <w:bookmarkStart w:id="39" w:name="_Toc314842513"/>
      <w:bookmarkStart w:id="40" w:name="_Toc54175026"/>
      <w:r>
        <w:t>Clinical</w:t>
      </w:r>
      <w:bookmarkEnd w:id="38"/>
      <w:bookmarkEnd w:id="39"/>
      <w:bookmarkEnd w:id="40"/>
    </w:p>
    <w:p w14:paraId="10E03A9B" w14:textId="2ACD3D9F" w:rsidR="00C270C7" w:rsidRDefault="00E4233C" w:rsidP="00C270C7">
      <w:r>
        <w:t>The following studies were i</w:t>
      </w:r>
      <w:r w:rsidR="00C4054A">
        <w:t xml:space="preserve">ncluded in the clinical dossier </w:t>
      </w:r>
      <w:r w:rsidR="004B7DE2">
        <w:t>(</w:t>
      </w:r>
      <w:r w:rsidR="004B7DE2">
        <w:fldChar w:fldCharType="begin"/>
      </w:r>
      <w:r w:rsidR="004B7DE2">
        <w:instrText xml:space="preserve"> REF _Ref46949080 \h </w:instrText>
      </w:r>
      <w:r w:rsidR="004B7DE2">
        <w:fldChar w:fldCharType="separate"/>
      </w:r>
      <w:r w:rsidR="0006071C">
        <w:t xml:space="preserve">Table </w:t>
      </w:r>
      <w:r w:rsidR="0006071C">
        <w:rPr>
          <w:noProof/>
        </w:rPr>
        <w:t>3</w:t>
      </w:r>
      <w:r w:rsidR="004B7DE2">
        <w:fldChar w:fldCharType="end"/>
      </w:r>
      <w:r w:rsidR="004B7DE2">
        <w:t>).</w:t>
      </w:r>
    </w:p>
    <w:p w14:paraId="44080056" w14:textId="2660CF81" w:rsidR="00C4054A" w:rsidRDefault="00C4054A" w:rsidP="00C4054A">
      <w:pPr>
        <w:pStyle w:val="TableTitle"/>
      </w:pPr>
      <w:bookmarkStart w:id="41" w:name="_Ref46949080"/>
      <w:r>
        <w:t xml:space="preserve">Table </w:t>
      </w:r>
      <w:fldSimple w:instr=" SEQ Table \* ARABIC ">
        <w:r w:rsidR="0006071C">
          <w:rPr>
            <w:noProof/>
          </w:rPr>
          <w:t>3</w:t>
        </w:r>
      </w:fldSimple>
      <w:bookmarkEnd w:id="41"/>
      <w:r>
        <w:t xml:space="preserve">: </w:t>
      </w:r>
      <w:r w:rsidR="00B9205A">
        <w:t>Summary of c</w:t>
      </w:r>
      <w:r>
        <w:t>linical study reports submitted in the dossier</w:t>
      </w:r>
    </w:p>
    <w:p w14:paraId="110D3B46" w14:textId="75714563" w:rsidR="00E4233C" w:rsidRDefault="00C4054A" w:rsidP="00C270C7">
      <w:r>
        <w:rPr>
          <w:noProof/>
          <w:lang w:eastAsia="en-AU"/>
        </w:rPr>
        <w:drawing>
          <wp:inline distT="0" distB="0" distL="0" distR="0" wp14:anchorId="3F1D2935" wp14:editId="3F46E82B">
            <wp:extent cx="5098694" cy="3575801"/>
            <wp:effectExtent l="0" t="0" r="6985" b="5715"/>
            <wp:docPr id="21" name="Picture 21" descr="Summary of clinical study reports submitted in the do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00695" cy="3577204"/>
                    </a:xfrm>
                    <a:prstGeom prst="rect">
                      <a:avLst/>
                    </a:prstGeom>
                  </pic:spPr>
                </pic:pic>
              </a:graphicData>
            </a:graphic>
          </wp:inline>
        </w:drawing>
      </w:r>
    </w:p>
    <w:p w14:paraId="157FCFA5" w14:textId="18E49014" w:rsidR="004B7DE2" w:rsidRPr="00C270C7" w:rsidRDefault="004B7DE2" w:rsidP="004B7DE2">
      <w:pPr>
        <w:pStyle w:val="TableDescription"/>
      </w:pPr>
      <w:proofErr w:type="spellStart"/>
      <w:r>
        <w:t>VWF:Ag</w:t>
      </w:r>
      <w:proofErr w:type="spellEnd"/>
      <w:r>
        <w:t xml:space="preserve"> = von </w:t>
      </w:r>
      <w:proofErr w:type="spellStart"/>
      <w:r>
        <w:t>Willebrand</w:t>
      </w:r>
      <w:proofErr w:type="spellEnd"/>
      <w:r>
        <w:t xml:space="preserve"> factor a</w:t>
      </w:r>
      <w:r w:rsidRPr="004B7DE2">
        <w:t>ntigen</w:t>
      </w:r>
      <w:r>
        <w:t>.</w:t>
      </w:r>
    </w:p>
    <w:p w14:paraId="1F1A4ED1" w14:textId="77777777" w:rsidR="000B4C29" w:rsidRDefault="00FD6CE8" w:rsidP="00FD6CE8">
      <w:pPr>
        <w:pStyle w:val="Heading4"/>
      </w:pPr>
      <w:r>
        <w:t>Pharmacology</w:t>
      </w:r>
    </w:p>
    <w:p w14:paraId="4F4E6E22" w14:textId="22359A58" w:rsidR="000B4C29" w:rsidRDefault="004F7950" w:rsidP="000B4C29">
      <w:proofErr w:type="spellStart"/>
      <w:r>
        <w:t>Vonicog</w:t>
      </w:r>
      <w:proofErr w:type="spellEnd"/>
      <w:r>
        <w:t xml:space="preserve"> </w:t>
      </w:r>
      <w:proofErr w:type="spellStart"/>
      <w:r>
        <w:t>alfa</w:t>
      </w:r>
      <w:proofErr w:type="spellEnd"/>
      <w:r w:rsidR="000B4C29">
        <w:t xml:space="preserve"> is a</w:t>
      </w:r>
      <w:r w:rsidR="00FD6CE8">
        <w:t xml:space="preserve">dministered </w:t>
      </w:r>
      <w:r w:rsidR="004B7DE2">
        <w:t>IV</w:t>
      </w:r>
      <w:r w:rsidR="00FD6CE8">
        <w:t>. The clinical e</w:t>
      </w:r>
      <w:r w:rsidR="000B4C29">
        <w:t xml:space="preserve">valuator has summarised the pharmacological parameters </w:t>
      </w:r>
      <w:r w:rsidR="00FC050D">
        <w:t xml:space="preserve">as shown in </w:t>
      </w:r>
      <w:r w:rsidR="00FC050D">
        <w:fldChar w:fldCharType="begin"/>
      </w:r>
      <w:r w:rsidR="00FC050D">
        <w:instrText xml:space="preserve"> REF _Ref46138029 \h </w:instrText>
      </w:r>
      <w:r w:rsidR="00FC050D">
        <w:fldChar w:fldCharType="separate"/>
      </w:r>
      <w:r w:rsidR="0006071C">
        <w:t xml:space="preserve">Table </w:t>
      </w:r>
      <w:r w:rsidR="0006071C">
        <w:rPr>
          <w:noProof/>
        </w:rPr>
        <w:t>4</w:t>
      </w:r>
      <w:r w:rsidR="00FC050D">
        <w:fldChar w:fldCharType="end"/>
      </w:r>
      <w:r>
        <w:t>.</w:t>
      </w:r>
    </w:p>
    <w:p w14:paraId="0EE3EFC3" w14:textId="7EDB966E" w:rsidR="000B4C29" w:rsidRDefault="00376051" w:rsidP="00376051">
      <w:pPr>
        <w:pStyle w:val="TableTitle"/>
      </w:pPr>
      <w:bookmarkStart w:id="42" w:name="_Ref46138029"/>
      <w:r>
        <w:lastRenderedPageBreak/>
        <w:t xml:space="preserve">Table </w:t>
      </w:r>
      <w:fldSimple w:instr=" SEQ Table \* ARABIC ">
        <w:r w:rsidR="0006071C">
          <w:rPr>
            <w:noProof/>
          </w:rPr>
          <w:t>4</w:t>
        </w:r>
      </w:fldSimple>
      <w:bookmarkEnd w:id="42"/>
      <w:r>
        <w:t>:</w:t>
      </w:r>
      <w:r w:rsidR="000B4C29">
        <w:t xml:space="preserve"> Summary of </w:t>
      </w:r>
      <w:r w:rsidR="00B9205A">
        <w:t xml:space="preserve">studies providing </w:t>
      </w:r>
      <w:r w:rsidR="000B4C29">
        <w:t>ph</w:t>
      </w:r>
      <w:r>
        <w:t xml:space="preserve">armacokinetic parameters for </w:t>
      </w:r>
      <w:proofErr w:type="spellStart"/>
      <w:r>
        <w:t>vonicog</w:t>
      </w:r>
      <w:proofErr w:type="spellEnd"/>
      <w:r w:rsidR="00B9205A">
        <w:t> </w:t>
      </w:r>
      <w:proofErr w:type="spellStart"/>
      <w:r>
        <w:t>alfa</w:t>
      </w:r>
      <w:proofErr w:type="spellEnd"/>
    </w:p>
    <w:p w14:paraId="5971C469" w14:textId="77777777" w:rsidR="00376051" w:rsidRDefault="00376051" w:rsidP="00061954">
      <w:r>
        <w:rPr>
          <w:noProof/>
          <w:lang w:eastAsia="en-AU"/>
        </w:rPr>
        <w:drawing>
          <wp:inline distT="0" distB="0" distL="0" distR="0" wp14:anchorId="38B2D760" wp14:editId="5D57485B">
            <wp:extent cx="5400040" cy="2625725"/>
            <wp:effectExtent l="0" t="0" r="0" b="3175"/>
            <wp:docPr id="2" name="Picture 2" descr="Summary of studies providing pharmacokinetic parameters for vonicog al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2625725"/>
                    </a:xfrm>
                    <a:prstGeom prst="rect">
                      <a:avLst/>
                    </a:prstGeom>
                  </pic:spPr>
                </pic:pic>
              </a:graphicData>
            </a:graphic>
          </wp:inline>
        </w:drawing>
      </w:r>
    </w:p>
    <w:p w14:paraId="7C88CF4D" w14:textId="363AFFBF" w:rsidR="00FC050D" w:rsidRDefault="00FC050D" w:rsidP="00FC050D">
      <w:pPr>
        <w:pStyle w:val="TableDescription"/>
      </w:pPr>
      <w:r>
        <w:t xml:space="preserve">SD = standard deviation; CI = confidence interval; PK = pharmacokinetic; </w:t>
      </w:r>
      <w:r w:rsidRPr="00FD6CE8">
        <w:t>T</w:t>
      </w:r>
      <w:r w:rsidRPr="00FD6CE8">
        <w:rPr>
          <w:vertAlign w:val="subscript"/>
        </w:rPr>
        <w:t>1/2</w:t>
      </w:r>
      <w:r w:rsidRPr="004F7950">
        <w:t xml:space="preserve"> </w:t>
      </w:r>
      <w:r>
        <w:t xml:space="preserve">= </w:t>
      </w:r>
      <w:proofErr w:type="spellStart"/>
      <w:r>
        <w:t>half life</w:t>
      </w:r>
      <w:proofErr w:type="spellEnd"/>
      <w:r>
        <w:t xml:space="preserve">; </w:t>
      </w:r>
      <w:r w:rsidRPr="00FD6CE8">
        <w:t>CL</w:t>
      </w:r>
      <w:r>
        <w:t xml:space="preserve"> = clearance; </w:t>
      </w:r>
      <w:r w:rsidRPr="00FD6CE8">
        <w:t>IR</w:t>
      </w:r>
      <w:r>
        <w:t xml:space="preserve"> = incremental recovery; AUC</w:t>
      </w:r>
      <w:r w:rsidRPr="00883CED">
        <w:rPr>
          <w:vertAlign w:val="subscript"/>
        </w:rPr>
        <w:t>0-inf</w:t>
      </w:r>
      <w:r>
        <w:t xml:space="preserve"> =</w:t>
      </w:r>
      <w:r w:rsidRPr="00FD6CE8">
        <w:t xml:space="preserve"> </w:t>
      </w:r>
      <w:r>
        <w:t xml:space="preserve">Area under the plasma concentration-time curve from time 0 to infinity; </w:t>
      </w:r>
      <w:proofErr w:type="spellStart"/>
      <w:r>
        <w:t>C</w:t>
      </w:r>
      <w:r w:rsidRPr="00883CED">
        <w:rPr>
          <w:vertAlign w:val="subscript"/>
        </w:rPr>
        <w:t>max</w:t>
      </w:r>
      <w:proofErr w:type="spellEnd"/>
      <w:r w:rsidRPr="00883CED">
        <w:t xml:space="preserve"> =</w:t>
      </w:r>
      <w:r>
        <w:t xml:space="preserve"> maximum plasma concentration</w:t>
      </w:r>
      <w:r w:rsidR="004B7DE2">
        <w:t>.</w:t>
      </w:r>
    </w:p>
    <w:p w14:paraId="2785B10A" w14:textId="7C6237BD" w:rsidR="00FC050D" w:rsidRDefault="00FC050D" w:rsidP="00FC050D">
      <w:r>
        <w:t>Th</w:t>
      </w:r>
      <w:r w:rsidR="00E97690">
        <w:t>e e</w:t>
      </w:r>
      <w:r>
        <w:t>valuator has n</w:t>
      </w:r>
      <w:r w:rsidR="004F7950">
        <w:t xml:space="preserve">oted that </w:t>
      </w:r>
      <w:proofErr w:type="spellStart"/>
      <w:r w:rsidR="004F7950">
        <w:t>vonicog</w:t>
      </w:r>
      <w:proofErr w:type="spellEnd"/>
      <w:r w:rsidR="004F7950">
        <w:t xml:space="preserve"> </w:t>
      </w:r>
      <w:proofErr w:type="spellStart"/>
      <w:r w:rsidR="004F7950">
        <w:t>alfa</w:t>
      </w:r>
      <w:proofErr w:type="spellEnd"/>
      <w:r>
        <w:t xml:space="preserve"> was </w:t>
      </w:r>
      <w:r w:rsidRPr="00CD25CE">
        <w:rPr>
          <w:bCs/>
        </w:rPr>
        <w:t>not bioequivalent</w:t>
      </w:r>
      <w:r>
        <w:rPr>
          <w:b/>
          <w:bCs/>
        </w:rPr>
        <w:t xml:space="preserve"> </w:t>
      </w:r>
      <w:r>
        <w:t xml:space="preserve">to </w:t>
      </w:r>
      <w:proofErr w:type="spellStart"/>
      <w:r>
        <w:t>pdVWF</w:t>
      </w:r>
      <w:proofErr w:type="spellEnd"/>
      <w:r>
        <w:t>, having a 1.46 and 1.49 lar</w:t>
      </w:r>
      <w:r w:rsidR="004F7950">
        <w:t xml:space="preserve">ger </w:t>
      </w:r>
      <w:r w:rsidR="004B7DE2">
        <w:t>a</w:t>
      </w:r>
      <w:r w:rsidR="004B7DE2" w:rsidRPr="004B7DE2">
        <w:t xml:space="preserve">rea under the plasma concentration-time curve </w:t>
      </w:r>
      <w:r w:rsidR="004B7DE2">
        <w:t>(</w:t>
      </w:r>
      <w:r w:rsidR="004F7950">
        <w:t>AUC</w:t>
      </w:r>
      <w:r w:rsidR="004B7DE2">
        <w:t>)</w:t>
      </w:r>
      <w:r w:rsidR="004F7950">
        <w:t xml:space="preserve"> in </w:t>
      </w:r>
      <w:r>
        <w:t>Study 070701</w:t>
      </w:r>
      <w:r w:rsidR="004B7DE2">
        <w:t xml:space="preserve"> (dose escalation study)</w:t>
      </w:r>
      <w:r w:rsidR="004F7950">
        <w:t xml:space="preserve"> and Study 071001</w:t>
      </w:r>
      <w:r w:rsidR="004B7DE2">
        <w:t xml:space="preserve"> (bleeding events study)</w:t>
      </w:r>
      <w:r w:rsidR="004F7950">
        <w:t>,</w:t>
      </w:r>
      <w:r w:rsidR="004B7DE2">
        <w:t xml:space="preserve"> respectively. Non</w:t>
      </w:r>
      <w:r w:rsidR="004B7DE2">
        <w:noBreakHyphen/>
      </w:r>
      <w:r>
        <w:t>equivalence was not considere</w:t>
      </w:r>
      <w:r w:rsidR="004F7950">
        <w:t xml:space="preserve">d relevant to the efficacy of </w:t>
      </w:r>
      <w:proofErr w:type="spellStart"/>
      <w:r w:rsidR="004F7950">
        <w:t>vonicog</w:t>
      </w:r>
      <w:proofErr w:type="spellEnd"/>
      <w:r w:rsidR="004F7950">
        <w:t xml:space="preserve"> </w:t>
      </w:r>
      <w:proofErr w:type="spellStart"/>
      <w:r w:rsidR="004F7950">
        <w:t>alfa</w:t>
      </w:r>
      <w:proofErr w:type="spellEnd"/>
      <w:r>
        <w:t xml:space="preserve">, but should be noted given the long historical experience with </w:t>
      </w:r>
      <w:proofErr w:type="spellStart"/>
      <w:r>
        <w:t>pdVWF</w:t>
      </w:r>
      <w:proofErr w:type="spellEnd"/>
      <w:r>
        <w:t>.</w:t>
      </w:r>
    </w:p>
    <w:p w14:paraId="4EE58E0B" w14:textId="77777777" w:rsidR="00FC050D" w:rsidRDefault="00FC050D" w:rsidP="00FC050D">
      <w:r>
        <w:t>There were no specific pharmacodynamics studies.</w:t>
      </w:r>
    </w:p>
    <w:p w14:paraId="57872BCA" w14:textId="77777777" w:rsidR="00FC050D" w:rsidRDefault="00FC050D" w:rsidP="00FC050D">
      <w:pPr>
        <w:pStyle w:val="Heading4"/>
      </w:pPr>
      <w:r>
        <w:t>Efficacy</w:t>
      </w:r>
    </w:p>
    <w:p w14:paraId="77A7BE85" w14:textId="093E0FE1" w:rsidR="00FC050D" w:rsidRDefault="005E600A" w:rsidP="00E97690">
      <w:r>
        <w:t xml:space="preserve">The efficacy of </w:t>
      </w:r>
      <w:proofErr w:type="spellStart"/>
      <w:r w:rsidR="00CD25CE">
        <w:t>vonicog</w:t>
      </w:r>
      <w:proofErr w:type="spellEnd"/>
      <w:r w:rsidR="00CD25CE">
        <w:t xml:space="preserve"> </w:t>
      </w:r>
      <w:proofErr w:type="spellStart"/>
      <w:r w:rsidR="00CD25CE">
        <w:t>alfa</w:t>
      </w:r>
      <w:proofErr w:type="spellEnd"/>
      <w:r w:rsidR="00CD25CE">
        <w:t xml:space="preserve"> was demonstrated in two P</w:t>
      </w:r>
      <w:r w:rsidR="00FC050D">
        <w:t>hase III studies in which control of bleeding events and bleeding during surgery were examined</w:t>
      </w:r>
      <w:r w:rsidR="004B7DE2">
        <w:t xml:space="preserve"> (Studies 071001 and </w:t>
      </w:r>
      <w:r w:rsidR="00902237">
        <w:t>0</w:t>
      </w:r>
      <w:r w:rsidR="004B7DE2">
        <w:t>71101)</w:t>
      </w:r>
      <w:r w:rsidR="00FC050D">
        <w:t>.</w:t>
      </w:r>
    </w:p>
    <w:p w14:paraId="7944E1DC" w14:textId="7FE5F0CD" w:rsidR="00FC050D" w:rsidRDefault="00107383" w:rsidP="00FC050D">
      <w:pPr>
        <w:pStyle w:val="Heading5"/>
      </w:pPr>
      <w:r>
        <w:t>Study 071001</w:t>
      </w:r>
    </w:p>
    <w:p w14:paraId="6299A457" w14:textId="2892FB62" w:rsidR="00FC050D" w:rsidRDefault="00107383" w:rsidP="00E97690">
      <w:pPr>
        <w:rPr>
          <w:b/>
          <w:bCs/>
          <w:sz w:val="18"/>
          <w:szCs w:val="18"/>
        </w:rPr>
      </w:pPr>
      <w:r>
        <w:t>Study 071001</w:t>
      </w:r>
      <w:r w:rsidR="00B9205A">
        <w:t>;</w:t>
      </w:r>
      <w:r w:rsidR="005537CB">
        <w:rPr>
          <w:rStyle w:val="FootnoteReference"/>
        </w:rPr>
        <w:footnoteReference w:id="10"/>
      </w:r>
      <w:r>
        <w:t xml:space="preserve"> </w:t>
      </w:r>
      <w:r w:rsidR="004B7DE2">
        <w:t xml:space="preserve">a </w:t>
      </w:r>
      <w:r>
        <w:t>bleeding events study,</w:t>
      </w:r>
      <w:r w:rsidR="000B4C29">
        <w:t xml:space="preserve"> was a </w:t>
      </w:r>
      <w:r w:rsidR="004B7DE2">
        <w:t>prospective, open label and non</w:t>
      </w:r>
      <w:r w:rsidR="004B7DE2">
        <w:noBreakHyphen/>
      </w:r>
      <w:r w:rsidR="000B4C29">
        <w:t xml:space="preserve">comparative study which was run in two parts. Part A consisted of PK assessment that involved comparison with and without </w:t>
      </w:r>
      <w:r w:rsidR="004B7DE2">
        <w:t>recombinant factor XIII (</w:t>
      </w:r>
      <w:proofErr w:type="spellStart"/>
      <w:r w:rsidR="004B7DE2">
        <w:t>rFVIII</w:t>
      </w:r>
      <w:proofErr w:type="spellEnd"/>
      <w:r w:rsidR="004B7DE2">
        <w:t>) co</w:t>
      </w:r>
      <w:r w:rsidR="004B7DE2">
        <w:noBreakHyphen/>
      </w:r>
      <w:r w:rsidR="000B4C29">
        <w:t>administration for up to six months. Part B consisted of prospective treatment fo</w:t>
      </w:r>
      <w:r w:rsidR="005E600A">
        <w:t xml:space="preserve">r bleeding events on </w:t>
      </w:r>
      <w:proofErr w:type="spellStart"/>
      <w:r w:rsidR="005E600A">
        <w:t>vonicog</w:t>
      </w:r>
      <w:proofErr w:type="spellEnd"/>
      <w:r w:rsidR="005E600A">
        <w:t xml:space="preserve"> </w:t>
      </w:r>
      <w:proofErr w:type="spellStart"/>
      <w:r w:rsidR="005E600A">
        <w:t>alfa</w:t>
      </w:r>
      <w:proofErr w:type="spellEnd"/>
      <w:r w:rsidR="000B4C29">
        <w:t>. A total of 49 patients were randomised, of whom 32 completed both arms of treatment.</w:t>
      </w:r>
      <w:r w:rsidR="000774CD">
        <w:t xml:space="preserve"> The study design is depicted in </w:t>
      </w:r>
      <w:r w:rsidR="000774CD">
        <w:fldChar w:fldCharType="begin"/>
      </w:r>
      <w:r w:rsidR="000774CD">
        <w:instrText xml:space="preserve"> REF _Ref46222658 \h </w:instrText>
      </w:r>
      <w:r w:rsidR="000774CD">
        <w:fldChar w:fldCharType="separate"/>
      </w:r>
      <w:r w:rsidR="0006071C">
        <w:t xml:space="preserve">Figure </w:t>
      </w:r>
      <w:r w:rsidR="0006071C">
        <w:rPr>
          <w:noProof/>
        </w:rPr>
        <w:t>2</w:t>
      </w:r>
      <w:r w:rsidR="000774CD">
        <w:fldChar w:fldCharType="end"/>
      </w:r>
      <w:r w:rsidR="000774CD">
        <w:t>.</w:t>
      </w:r>
    </w:p>
    <w:p w14:paraId="3B427B57" w14:textId="107C04EA" w:rsidR="000B4C29" w:rsidRDefault="00FC050D" w:rsidP="00E97690">
      <w:pPr>
        <w:pStyle w:val="FigureTitle"/>
      </w:pPr>
      <w:bookmarkStart w:id="43" w:name="_Ref46222658"/>
      <w:bookmarkStart w:id="44" w:name="_Ref46222651"/>
      <w:r>
        <w:lastRenderedPageBreak/>
        <w:t xml:space="preserve">Figure </w:t>
      </w:r>
      <w:fldSimple w:instr=" SEQ Figure \* ARABIC ">
        <w:r w:rsidR="0006071C">
          <w:rPr>
            <w:noProof/>
          </w:rPr>
          <w:t>2</w:t>
        </w:r>
      </w:fldSimple>
      <w:bookmarkEnd w:id="43"/>
      <w:r>
        <w:t>:</w:t>
      </w:r>
      <w:r w:rsidR="000B4C29">
        <w:t xml:space="preserve"> </w:t>
      </w:r>
      <w:r w:rsidR="005E600A">
        <w:t>S</w:t>
      </w:r>
      <w:r>
        <w:t>tudy 071001</w:t>
      </w:r>
      <w:bookmarkEnd w:id="44"/>
      <w:r w:rsidR="005537CB">
        <w:t xml:space="preserve"> schema and study design</w:t>
      </w:r>
    </w:p>
    <w:p w14:paraId="00829B5D" w14:textId="77777777" w:rsidR="00FC050D" w:rsidRDefault="00FC050D" w:rsidP="00061954">
      <w:pPr>
        <w:rPr>
          <w:sz w:val="18"/>
          <w:szCs w:val="18"/>
        </w:rPr>
      </w:pPr>
      <w:r>
        <w:rPr>
          <w:noProof/>
          <w:lang w:eastAsia="en-AU"/>
        </w:rPr>
        <w:drawing>
          <wp:inline distT="0" distB="0" distL="0" distR="0" wp14:anchorId="74770085" wp14:editId="36DA0638">
            <wp:extent cx="5400040" cy="4284980"/>
            <wp:effectExtent l="0" t="0" r="0" b="1270"/>
            <wp:docPr id="3" name="Picture 3" descr="Study 071001 schema and study design. The study consisted of 2 parts; Part A and Part B. Subjects receiving treatment for PK assessments and/or bleeding event/s (BE) in Part A were to be entered into Part B to continue on-demand treatment for BEs for 6 additional months for a total of 12 months in the study. In part A, subjects in arms 1 and 3 received vonicog alfa with either rFVIII or placebo for PK assessment, then treatment of bleeding events in both part A and part B (12 months total). Subjects in arm 4 received treatment of bleeding events with vonicog alfa in both part A and part B (12 months total). Arm 2 was for PK assessment only, and has not been considered further in this efficacy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4284980"/>
                    </a:xfrm>
                    <a:prstGeom prst="rect">
                      <a:avLst/>
                    </a:prstGeom>
                  </pic:spPr>
                </pic:pic>
              </a:graphicData>
            </a:graphic>
          </wp:inline>
        </w:drawing>
      </w:r>
    </w:p>
    <w:p w14:paraId="2D8F01B3" w14:textId="107A4600" w:rsidR="000B4C29" w:rsidRDefault="000B4C29" w:rsidP="00E97690">
      <w:r>
        <w:t>Included in the study were adult patients with all three types of VWD who had had a minimum of 1 bleeding episode</w:t>
      </w:r>
      <w:r w:rsidR="00107383">
        <w:t xml:space="preserve"> (BE)</w:t>
      </w:r>
      <w:r>
        <w:t xml:space="preserve"> requiring VWF replacement therapy </w:t>
      </w:r>
      <w:r w:rsidR="00E97690">
        <w:t>during the preceding 12 months.</w:t>
      </w:r>
    </w:p>
    <w:p w14:paraId="6240EB5F" w14:textId="1E554771" w:rsidR="00E97690" w:rsidRDefault="000B4C29" w:rsidP="00E97690">
      <w:pPr>
        <w:rPr>
          <w:b/>
          <w:bCs/>
          <w:sz w:val="18"/>
          <w:szCs w:val="18"/>
        </w:rPr>
      </w:pPr>
      <w:r>
        <w:t xml:space="preserve">The primary endpoint was the number of patients with treatment success for </w:t>
      </w:r>
      <w:r w:rsidR="00107383">
        <w:t>BE</w:t>
      </w:r>
      <w:r>
        <w:t>s, meaning the mean extent of control was measured as &lt;</w:t>
      </w:r>
      <w:r w:rsidR="00E97690">
        <w:t xml:space="preserve"> </w:t>
      </w:r>
      <w:r>
        <w:t>2.</w:t>
      </w:r>
      <w:r w:rsidR="00E97690">
        <w:t xml:space="preserve">5 on a 4 point scale as shown in </w:t>
      </w:r>
      <w:r w:rsidR="00E97690">
        <w:fldChar w:fldCharType="begin"/>
      </w:r>
      <w:r w:rsidR="00E97690">
        <w:instrText xml:space="preserve"> REF _Ref46139304 \h </w:instrText>
      </w:r>
      <w:r w:rsidR="00E97690">
        <w:fldChar w:fldCharType="separate"/>
      </w:r>
      <w:r w:rsidR="0006071C">
        <w:t xml:space="preserve">Table </w:t>
      </w:r>
      <w:r w:rsidR="0006071C">
        <w:rPr>
          <w:noProof/>
        </w:rPr>
        <w:t>5</w:t>
      </w:r>
      <w:r w:rsidR="00E97690">
        <w:fldChar w:fldCharType="end"/>
      </w:r>
      <w:r w:rsidR="00E97690">
        <w:t>.</w:t>
      </w:r>
    </w:p>
    <w:p w14:paraId="6F927B74" w14:textId="104F4ED5" w:rsidR="000B4C29" w:rsidRDefault="00E97690" w:rsidP="00902D77">
      <w:pPr>
        <w:pStyle w:val="TableTitle"/>
      </w:pPr>
      <w:bookmarkStart w:id="45" w:name="_Ref46139304"/>
      <w:r>
        <w:lastRenderedPageBreak/>
        <w:t xml:space="preserve">Table </w:t>
      </w:r>
      <w:fldSimple w:instr=" SEQ Table \* ARABIC ">
        <w:r w:rsidR="0006071C">
          <w:rPr>
            <w:noProof/>
          </w:rPr>
          <w:t>5</w:t>
        </w:r>
      </w:fldSimple>
      <w:bookmarkEnd w:id="45"/>
      <w:r>
        <w:t xml:space="preserve">: </w:t>
      </w:r>
      <w:r w:rsidR="000774CD">
        <w:t xml:space="preserve">Study 071001 </w:t>
      </w:r>
      <w:r w:rsidR="000774CD">
        <w:rPr>
          <w:szCs w:val="18"/>
        </w:rPr>
        <w:t>Efficacy rating criteria</w:t>
      </w:r>
    </w:p>
    <w:p w14:paraId="619714DD" w14:textId="77777777" w:rsidR="00E97690" w:rsidRPr="00E97690" w:rsidRDefault="00E97690" w:rsidP="00E97690">
      <w:r>
        <w:rPr>
          <w:noProof/>
          <w:lang w:eastAsia="en-AU"/>
        </w:rPr>
        <w:drawing>
          <wp:inline distT="0" distB="0" distL="0" distR="0" wp14:anchorId="267E0E9E" wp14:editId="34E6F645">
            <wp:extent cx="5400040" cy="3295015"/>
            <wp:effectExtent l="0" t="0" r="0" b="635"/>
            <wp:docPr id="4" name="Picture 4" descr="Study 071001 Efficacy rating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3295015"/>
                    </a:xfrm>
                    <a:prstGeom prst="rect">
                      <a:avLst/>
                    </a:prstGeom>
                  </pic:spPr>
                </pic:pic>
              </a:graphicData>
            </a:graphic>
          </wp:inline>
        </w:drawing>
      </w:r>
    </w:p>
    <w:p w14:paraId="7C0848B5" w14:textId="33878E33" w:rsidR="00902D77" w:rsidRDefault="000B4C29" w:rsidP="000774CD">
      <w:pPr>
        <w:rPr>
          <w:b/>
          <w:bCs/>
          <w:sz w:val="18"/>
          <w:szCs w:val="18"/>
        </w:rPr>
      </w:pPr>
      <w:r>
        <w:t>A total of 193 bleeding events occurred in 22 subjects. The majority (n</w:t>
      </w:r>
      <w:r w:rsidR="000774CD">
        <w:t xml:space="preserve"> </w:t>
      </w:r>
      <w:r>
        <w:t>=</w:t>
      </w:r>
      <w:r w:rsidR="000774CD">
        <w:t xml:space="preserve"> </w:t>
      </w:r>
      <w:r>
        <w:t xml:space="preserve">107) were mucosal </w:t>
      </w:r>
      <w:r w:rsidRPr="00902D77">
        <w:t>bleeds</w:t>
      </w:r>
      <w:r>
        <w:t>, followed by joint bleeds (n</w:t>
      </w:r>
      <w:r w:rsidR="000774CD">
        <w:t xml:space="preserve"> </w:t>
      </w:r>
      <w:r>
        <w:t>=</w:t>
      </w:r>
      <w:r w:rsidR="000774CD">
        <w:t xml:space="preserve"> </w:t>
      </w:r>
      <w:r>
        <w:t>59). Of the 193 bleeding events, 85% (n</w:t>
      </w:r>
      <w:r w:rsidR="000774CD">
        <w:t> </w:t>
      </w:r>
      <w:r>
        <w:t>=</w:t>
      </w:r>
      <w:r w:rsidR="000774CD">
        <w:t> </w:t>
      </w:r>
      <w:r>
        <w:t>166) were spontaneous, 13.5% (n</w:t>
      </w:r>
      <w:r w:rsidR="000774CD">
        <w:t xml:space="preserve"> </w:t>
      </w:r>
      <w:r>
        <w:t>=</w:t>
      </w:r>
      <w:r w:rsidR="000774CD">
        <w:t xml:space="preserve"> </w:t>
      </w:r>
      <w:r>
        <w:t>26) were traumatic and 0.5% (n</w:t>
      </w:r>
      <w:r w:rsidR="000774CD">
        <w:t xml:space="preserve"> </w:t>
      </w:r>
      <w:r>
        <w:t>=</w:t>
      </w:r>
      <w:r w:rsidR="000774CD">
        <w:t xml:space="preserve"> </w:t>
      </w:r>
      <w:r>
        <w:t>1) were of</w:t>
      </w:r>
      <w:r w:rsidRPr="000B4C29">
        <w:t xml:space="preserve"> </w:t>
      </w:r>
      <w:r>
        <w:t>unknown cause. In 63.2% of cases (n</w:t>
      </w:r>
      <w:r w:rsidR="000774CD">
        <w:t xml:space="preserve"> </w:t>
      </w:r>
      <w:r>
        <w:t>=</w:t>
      </w:r>
      <w:r w:rsidR="000774CD">
        <w:t xml:space="preserve"> </w:t>
      </w:r>
      <w:r>
        <w:t>122) the severity of bleeding was minor, in 32.1% (n</w:t>
      </w:r>
      <w:r w:rsidR="000774CD">
        <w:t xml:space="preserve"> </w:t>
      </w:r>
      <w:r>
        <w:t>=</w:t>
      </w:r>
      <w:r w:rsidR="000774CD">
        <w:t xml:space="preserve"> </w:t>
      </w:r>
      <w:r>
        <w:t>62) it was moderate, and in 3.6% (n</w:t>
      </w:r>
      <w:r w:rsidR="000774CD">
        <w:t xml:space="preserve"> </w:t>
      </w:r>
      <w:r>
        <w:t>=</w:t>
      </w:r>
      <w:r w:rsidR="000774CD">
        <w:t xml:space="preserve"> </w:t>
      </w:r>
      <w:r>
        <w:t>7) it was major.</w:t>
      </w:r>
    </w:p>
    <w:p w14:paraId="64DA5391" w14:textId="6AA44164" w:rsidR="000B4C29" w:rsidRDefault="00902D77" w:rsidP="00902D77">
      <w:pPr>
        <w:pStyle w:val="TableTitle"/>
      </w:pPr>
      <w:r>
        <w:t xml:space="preserve">Table </w:t>
      </w:r>
      <w:fldSimple w:instr=" SEQ Table \* ARABIC ">
        <w:r w:rsidR="0006071C">
          <w:rPr>
            <w:noProof/>
          </w:rPr>
          <w:t>6</w:t>
        </w:r>
      </w:fldSimple>
      <w:r>
        <w:t>:</w:t>
      </w:r>
      <w:r w:rsidR="000B4C29">
        <w:rPr>
          <w:szCs w:val="18"/>
        </w:rPr>
        <w:t xml:space="preserve"> </w:t>
      </w:r>
      <w:r w:rsidR="005074DB">
        <w:t xml:space="preserve">Study 071001 </w:t>
      </w:r>
      <w:r w:rsidR="000B4C29">
        <w:rPr>
          <w:szCs w:val="18"/>
        </w:rPr>
        <w:t>Characteristics of bleeding episodes treated</w:t>
      </w:r>
      <w:r>
        <w:t xml:space="preserve"> with </w:t>
      </w:r>
      <w:proofErr w:type="spellStart"/>
      <w:r w:rsidR="003D7FB6">
        <w:t>vonicog</w:t>
      </w:r>
      <w:proofErr w:type="spellEnd"/>
      <w:r w:rsidR="003D7FB6">
        <w:t xml:space="preserve"> </w:t>
      </w:r>
      <w:proofErr w:type="spellStart"/>
      <w:r w:rsidR="003D7FB6">
        <w:t>alfa</w:t>
      </w:r>
      <w:proofErr w:type="spellEnd"/>
      <w:r>
        <w:t xml:space="preserve"> with or without r</w:t>
      </w:r>
      <w:r w:rsidR="006F3327">
        <w:t xml:space="preserve">ecombinant </w:t>
      </w:r>
      <w:r>
        <w:t>FVIII</w:t>
      </w:r>
    </w:p>
    <w:p w14:paraId="26C4DFC8" w14:textId="77777777" w:rsidR="008E757C" w:rsidRDefault="00FA19EB" w:rsidP="00061954">
      <w:pPr>
        <w:rPr>
          <w:szCs w:val="18"/>
        </w:rPr>
      </w:pPr>
      <w:r>
        <w:rPr>
          <w:noProof/>
          <w:lang w:eastAsia="en-AU"/>
        </w:rPr>
        <w:drawing>
          <wp:inline distT="0" distB="0" distL="0" distR="0" wp14:anchorId="1DEDA7C2" wp14:editId="1FF8C8AF">
            <wp:extent cx="5400040" cy="1419225"/>
            <wp:effectExtent l="19050" t="19050" r="10160" b="28575"/>
            <wp:docPr id="10" name="Picture 10" descr="Study 071001 Characteristics of bleeding episodes treated with vonicog alfa with or without recombinant F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1419225"/>
                    </a:xfrm>
                    <a:prstGeom prst="rect">
                      <a:avLst/>
                    </a:prstGeom>
                    <a:ln>
                      <a:solidFill>
                        <a:schemeClr val="accent1"/>
                      </a:solidFill>
                    </a:ln>
                  </pic:spPr>
                </pic:pic>
              </a:graphicData>
            </a:graphic>
          </wp:inline>
        </w:drawing>
      </w:r>
    </w:p>
    <w:p w14:paraId="7D586E98" w14:textId="3BC70115" w:rsidR="00FA19EB" w:rsidRDefault="000B4C29" w:rsidP="000774CD">
      <w:pPr>
        <w:rPr>
          <w:b/>
          <w:bCs/>
          <w:sz w:val="18"/>
          <w:szCs w:val="18"/>
        </w:rPr>
      </w:pPr>
      <w:r>
        <w:t>The rate of treatment success (defined as an efficacy rating &lt;</w:t>
      </w:r>
      <w:r w:rsidR="000774CD">
        <w:t xml:space="preserve"> </w:t>
      </w:r>
      <w:r>
        <w:t>2.5) was 100% (95%</w:t>
      </w:r>
      <w:r w:rsidR="000774CD">
        <w:t xml:space="preserve"> confidence interval (</w:t>
      </w:r>
      <w:r>
        <w:t>CI</w:t>
      </w:r>
      <w:r w:rsidR="000774CD">
        <w:t xml:space="preserve">) 81.5 to </w:t>
      </w:r>
      <w:r>
        <w:t>100) for bleeding events. This</w:t>
      </w:r>
      <w:r w:rsidR="006F3327">
        <w:t xml:space="preserve"> result</w:t>
      </w:r>
      <w:r>
        <w:t xml:space="preserve"> remained stable when </w:t>
      </w:r>
      <w:r w:rsidR="000774CD">
        <w:t>gastrointestinal (</w:t>
      </w:r>
      <w:r>
        <w:t>GI</w:t>
      </w:r>
      <w:r w:rsidR="000774CD">
        <w:t>)</w:t>
      </w:r>
      <w:r>
        <w:t xml:space="preserve"> bleeds were included or excluded, and did not change whether prospective or retrospective determinati</w:t>
      </w:r>
      <w:r w:rsidR="00001B00">
        <w:t>on of bleeding severity by the i</w:t>
      </w:r>
      <w:r>
        <w:t>nvestigator was included.</w:t>
      </w:r>
    </w:p>
    <w:p w14:paraId="4497A751" w14:textId="2475F590" w:rsidR="000B4C29" w:rsidRDefault="00FA19EB" w:rsidP="007645F1">
      <w:pPr>
        <w:pStyle w:val="TableTitle"/>
      </w:pPr>
      <w:r>
        <w:lastRenderedPageBreak/>
        <w:t xml:space="preserve">Table </w:t>
      </w:r>
      <w:fldSimple w:instr=" SEQ Table \* ARABIC ">
        <w:r w:rsidR="0006071C">
          <w:rPr>
            <w:noProof/>
          </w:rPr>
          <w:t>7</w:t>
        </w:r>
      </w:fldSimple>
      <w:r>
        <w:t>:</w:t>
      </w:r>
      <w:r w:rsidR="000B4C29">
        <w:t xml:space="preserve"> </w:t>
      </w:r>
      <w:r w:rsidR="005074DB">
        <w:t xml:space="preserve">Study 071001 </w:t>
      </w:r>
      <w:r w:rsidR="000B4C29">
        <w:t>Treatment success for bleeding events treated</w:t>
      </w:r>
      <w:r w:rsidR="00001B00">
        <w:t xml:space="preserve"> with </w:t>
      </w:r>
      <w:proofErr w:type="spellStart"/>
      <w:r w:rsidR="00001B00">
        <w:t>vonicog</w:t>
      </w:r>
      <w:proofErr w:type="spellEnd"/>
      <w:r w:rsidR="00001B00">
        <w:t xml:space="preserve"> </w:t>
      </w:r>
      <w:proofErr w:type="spellStart"/>
      <w:r w:rsidR="00001B00">
        <w:t>alfa</w:t>
      </w:r>
      <w:proofErr w:type="spellEnd"/>
      <w:r>
        <w:t xml:space="preserve"> with or without r</w:t>
      </w:r>
      <w:r w:rsidR="006F3327">
        <w:t xml:space="preserve">ecombinant </w:t>
      </w:r>
      <w:r>
        <w:t>FVIII</w:t>
      </w:r>
    </w:p>
    <w:p w14:paraId="13D9F6A7" w14:textId="55575E25" w:rsidR="00FA19EB" w:rsidRDefault="000C0F72" w:rsidP="00061954">
      <w:pPr>
        <w:rPr>
          <w:sz w:val="18"/>
          <w:szCs w:val="18"/>
        </w:rPr>
      </w:pPr>
      <w:r>
        <w:rPr>
          <w:noProof/>
          <w:lang w:eastAsia="en-AU"/>
        </w:rPr>
        <w:drawing>
          <wp:inline distT="0" distB="0" distL="0" distR="0" wp14:anchorId="059B79E3" wp14:editId="4A3711DF">
            <wp:extent cx="5400040" cy="1852930"/>
            <wp:effectExtent l="0" t="0" r="0" b="0"/>
            <wp:docPr id="5" name="Picture 5" descr="Study 071001 Treatment success for bleeding events treated with vonicog alfa with or without recombinant F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1852930"/>
                    </a:xfrm>
                    <a:prstGeom prst="rect">
                      <a:avLst/>
                    </a:prstGeom>
                  </pic:spPr>
                </pic:pic>
              </a:graphicData>
            </a:graphic>
          </wp:inline>
        </w:drawing>
      </w:r>
    </w:p>
    <w:p w14:paraId="55EB720E" w14:textId="5967030B" w:rsidR="00EB205E" w:rsidRDefault="000C0F72" w:rsidP="000C0F72">
      <w:pPr>
        <w:pStyle w:val="TableDescription"/>
      </w:pPr>
      <w:proofErr w:type="spellStart"/>
      <w:r w:rsidRPr="000C0F72">
        <w:rPr>
          <w:vertAlign w:val="superscript"/>
        </w:rPr>
        <w:t>a</w:t>
      </w:r>
      <w:proofErr w:type="spellEnd"/>
      <w:r>
        <w:rPr>
          <w:vertAlign w:val="superscript"/>
        </w:rPr>
        <w:t xml:space="preserve"> </w:t>
      </w:r>
      <w:r w:rsidR="005074DB">
        <w:t>For the major BE13</w:t>
      </w:r>
      <w:r w:rsidR="002F0FF4">
        <w:t xml:space="preserve"> of ‘first’ </w:t>
      </w:r>
      <w:r w:rsidR="005074DB">
        <w:t>subject</w:t>
      </w:r>
      <w:r w:rsidR="002F0FF4">
        <w:t xml:space="preserve"> and the major BE2 of ‘second’</w:t>
      </w:r>
      <w:r w:rsidR="005074DB">
        <w:t xml:space="preserve"> subject</w:t>
      </w:r>
      <w:r w:rsidRPr="000C0F72">
        <w:t xml:space="preserve"> the estimated number of infusions was 1; using the number of infusions of 2 for both bleedings, the clinical efficacy rating is set to </w:t>
      </w:r>
      <w:r>
        <w:t>‘</w:t>
      </w:r>
      <w:r w:rsidRPr="000C0F72">
        <w:t>Moderate</w:t>
      </w:r>
      <w:r>
        <w:t>’</w:t>
      </w:r>
      <w:r w:rsidRPr="000C0F72">
        <w:t xml:space="preserve"> in the table abov</w:t>
      </w:r>
      <w:r w:rsidR="002F0FF4">
        <w:t>e. For the major BE11 of ‘third’</w:t>
      </w:r>
      <w:r w:rsidR="005074DB">
        <w:t xml:space="preserve"> subject </w:t>
      </w:r>
      <w:r w:rsidRPr="000C0F72">
        <w:t xml:space="preserve">the estimated number of infusions was 2; using the number of infusions of 3, the clinical efficacy rating is set to </w:t>
      </w:r>
      <w:r>
        <w:t>‘</w:t>
      </w:r>
      <w:r w:rsidRPr="000C0F72">
        <w:t>Moderate</w:t>
      </w:r>
      <w:r>
        <w:t>’</w:t>
      </w:r>
      <w:r w:rsidRPr="000C0F72">
        <w:rPr>
          <w:rFonts w:hint="eastAsia"/>
        </w:rPr>
        <w:t xml:space="preserve"> </w:t>
      </w:r>
      <w:r w:rsidRPr="000C0F72">
        <w:t>–</w:t>
      </w:r>
      <w:r w:rsidRPr="000C0F72">
        <w:rPr>
          <w:rFonts w:hint="eastAsia"/>
        </w:rPr>
        <w:t xml:space="preserve"> however, since this bleeding was not treated </w:t>
      </w:r>
      <w:r w:rsidRPr="000C0F72">
        <w:t>with</w:t>
      </w:r>
      <w:r w:rsidR="005074DB">
        <w:t xml:space="preserve"> investigational product</w:t>
      </w:r>
      <w:r w:rsidRPr="000C0F72">
        <w:rPr>
          <w:rFonts w:hint="eastAsia"/>
        </w:rPr>
        <w:t xml:space="preserve"> </w:t>
      </w:r>
      <w:r w:rsidR="005074DB">
        <w:t>(</w:t>
      </w:r>
      <w:r w:rsidRPr="000C0F72">
        <w:t>IP</w:t>
      </w:r>
      <w:r w:rsidR="005074DB">
        <w:t>)</w:t>
      </w:r>
      <w:r w:rsidRPr="000C0F72">
        <w:t xml:space="preserve"> exclusively, it is not shown up i</w:t>
      </w:r>
      <w:r w:rsidR="002F0FF4">
        <w:t>n the table above. BE5 of a subject</w:t>
      </w:r>
      <w:r w:rsidRPr="000C0F72">
        <w:t xml:space="preserve"> is set to </w:t>
      </w:r>
      <w:r>
        <w:t>‘</w:t>
      </w:r>
      <w:r w:rsidRPr="000C0F72">
        <w:t>None</w:t>
      </w:r>
      <w:r>
        <w:t>’</w:t>
      </w:r>
      <w:r w:rsidRPr="000C0F72">
        <w:t xml:space="preserve"> in the table above since IP infusion had to be stopped due to AEs.</w:t>
      </w:r>
    </w:p>
    <w:p w14:paraId="1A40B304" w14:textId="693E206B" w:rsidR="000C0F72" w:rsidRDefault="000C0F72" w:rsidP="000C0F72">
      <w:pPr>
        <w:pStyle w:val="TableDescription"/>
      </w:pPr>
      <w:r>
        <w:t>For 3 major mu</w:t>
      </w:r>
      <w:r w:rsidR="005074DB">
        <w:t>cosal BEs in the three subjects</w:t>
      </w:r>
      <w:r>
        <w:t xml:space="preserve"> one additional IP infusion was administered as given for prophylactic</w:t>
      </w:r>
      <w:r w:rsidR="002F0FF4">
        <w:t xml:space="preserve"> purposes (including for the third subject</w:t>
      </w:r>
      <w:r>
        <w:t xml:space="preserve">, pre-surgery) and after the BE was reported to have stopped. The investigators assessed the overall efficacy ratings </w:t>
      </w:r>
      <w:r w:rsidR="002F0FF4">
        <w:t>as follows: Subject 1/</w:t>
      </w:r>
      <w:r>
        <w:t>BE 13</w:t>
      </w:r>
      <w:r w:rsidR="002F0FF4">
        <w:t xml:space="preserve">: ‘Good’, Subject </w:t>
      </w:r>
      <w:r>
        <w:t>2/BE 11: ‘Ex</w:t>
      </w:r>
      <w:r w:rsidR="002F0FF4">
        <w:t>cellent’ and Subject 3</w:t>
      </w:r>
      <w:r>
        <w:t>/BE 2: ‘Excellent’.</w:t>
      </w:r>
    </w:p>
    <w:p w14:paraId="23C5E69F" w14:textId="007B5BA4" w:rsidR="003739B5" w:rsidRDefault="002F0FF4" w:rsidP="000C0F72">
      <w:pPr>
        <w:pStyle w:val="TableDescription"/>
      </w:pPr>
      <w:r>
        <w:t>BE5 in Subject 4</w:t>
      </w:r>
      <w:r w:rsidR="003739B5">
        <w:t xml:space="preserve"> was rated as ‘good’ for the overall clinical efficacy but the second IP infusion (of the 2 estimated) was discontinued after a few minutes due to </w:t>
      </w:r>
      <w:r>
        <w:t>adverse events</w:t>
      </w:r>
      <w:r w:rsidR="006F3327">
        <w:t>. The bleeding stopped without</w:t>
      </w:r>
      <w:r w:rsidR="003739B5">
        <w:t xml:space="preserve"> administration of any additional h</w:t>
      </w:r>
      <w:r w:rsidR="006F3327">
        <w:t>a</w:t>
      </w:r>
      <w:r w:rsidR="003739B5">
        <w:t>emostatic a</w:t>
      </w:r>
      <w:r>
        <w:t>gent. The a</w:t>
      </w:r>
      <w:r w:rsidR="003739B5">
        <w:t>pplicant is of the opinion that all documentation available on these four BEs support the ratings of overall clinical efficacy assessment provided by the investigators.</w:t>
      </w:r>
    </w:p>
    <w:p w14:paraId="362724E9" w14:textId="4385351B" w:rsidR="003739B5" w:rsidRPr="00000632" w:rsidRDefault="00000632" w:rsidP="000C0F72">
      <w:pPr>
        <w:pStyle w:val="TableDescription"/>
      </w:pPr>
      <w:r w:rsidRPr="00000632">
        <w:rPr>
          <w:vertAlign w:val="superscript"/>
        </w:rPr>
        <w:t>b</w:t>
      </w:r>
      <w:r>
        <w:rPr>
          <w:vertAlign w:val="superscript"/>
        </w:rPr>
        <w:t xml:space="preserve"> </w:t>
      </w:r>
      <w:r w:rsidRPr="00000632">
        <w:t xml:space="preserve">BE1, BE8, BE10, BE11, BE13, BE 14, BE16, BE18, BE23, BE25 and BE27 of </w:t>
      </w:r>
      <w:r w:rsidR="002F0FF4">
        <w:t xml:space="preserve">a </w:t>
      </w:r>
      <w:r w:rsidRPr="00000632">
        <w:t>subj</w:t>
      </w:r>
      <w:r w:rsidR="002F0FF4">
        <w:t>ect</w:t>
      </w:r>
      <w:r w:rsidRPr="00000632">
        <w:t xml:space="preserve"> were originally assessed as ‘Bleeding </w:t>
      </w:r>
      <w:r w:rsidR="006F3327" w:rsidRPr="00000632">
        <w:t>within body cavity</w:t>
      </w:r>
      <w:r w:rsidRPr="00000632">
        <w:t>’ by the investigator since these moderate bleedings were ‘menorrhagia’, they are categorized under ‘Mucosal’.</w:t>
      </w:r>
    </w:p>
    <w:p w14:paraId="7997C111" w14:textId="2CF4A0EA" w:rsidR="00000632" w:rsidRPr="000C0F72" w:rsidRDefault="00000632" w:rsidP="000C0F72">
      <w:pPr>
        <w:pStyle w:val="TableDescription"/>
      </w:pPr>
      <w:r w:rsidRPr="00000632">
        <w:rPr>
          <w:vertAlign w:val="superscript"/>
        </w:rPr>
        <w:t>C</w:t>
      </w:r>
      <w:r>
        <w:rPr>
          <w:vertAlign w:val="superscript"/>
        </w:rPr>
        <w:t xml:space="preserve"> </w:t>
      </w:r>
      <w:r w:rsidRPr="00000632">
        <w:t>BE</w:t>
      </w:r>
      <w:r w:rsidR="002F0FF4">
        <w:t>11 of the third subject</w:t>
      </w:r>
      <w:r>
        <w:t xml:space="preserve"> was or</w:t>
      </w:r>
      <w:r w:rsidR="005137B1">
        <w:t>iginally assessed as ‘Bleeding within body c</w:t>
      </w:r>
      <w:r>
        <w:t xml:space="preserve">avity’ by the investigator since this major bleeding was </w:t>
      </w:r>
      <w:r w:rsidR="006F3327">
        <w:t>a ‘menorrhagia’, it is categoris</w:t>
      </w:r>
      <w:r>
        <w:t xml:space="preserve">ed under ‘Mucosal’. </w:t>
      </w:r>
      <w:r w:rsidR="002F0FF4">
        <w:t>However, BE11 of the subject</w:t>
      </w:r>
      <w:r>
        <w:t xml:space="preserve"> was not treated with IP exclusively and is therefore not shown up in the table above. N</w:t>
      </w:r>
      <w:r w:rsidR="00001B00">
        <w:t> </w:t>
      </w:r>
      <w:r>
        <w:t>= Number of bleeding episodes.</w:t>
      </w:r>
    </w:p>
    <w:p w14:paraId="2BD8269B" w14:textId="16C0EC4E" w:rsidR="000B4C29" w:rsidRDefault="00375ECE" w:rsidP="00375ECE">
      <w:r>
        <w:t>The clinical e</w:t>
      </w:r>
      <w:r w:rsidR="000B4C29">
        <w:t>valuator has noted that the study had numerous methodological issues</w:t>
      </w:r>
      <w:r>
        <w:t>. These included:</w:t>
      </w:r>
    </w:p>
    <w:p w14:paraId="1E4DDC28" w14:textId="5C2760BE" w:rsidR="000B4C29" w:rsidRDefault="000B4C29" w:rsidP="00375ECE">
      <w:pPr>
        <w:pStyle w:val="ListBullet"/>
      </w:pPr>
      <w:r>
        <w:t>a high risk of selection bias as the subjects were allowed to choose the study</w:t>
      </w:r>
      <w:r w:rsidR="00375ECE">
        <w:t xml:space="preserve"> arm in which they participated</w:t>
      </w:r>
      <w:r w:rsidR="006F3327">
        <w:t>;</w:t>
      </w:r>
    </w:p>
    <w:p w14:paraId="2C03A7D3" w14:textId="7D4DD920" w:rsidR="000B4C29" w:rsidRDefault="000B4C29" w:rsidP="00375ECE">
      <w:pPr>
        <w:pStyle w:val="ListBullet"/>
      </w:pPr>
      <w:r>
        <w:t>potential confounding by non-protocol-specified use of haemostatic</w:t>
      </w:r>
      <w:r w:rsidR="00375ECE">
        <w:t xml:space="preserve"> agents such as </w:t>
      </w:r>
      <w:proofErr w:type="spellStart"/>
      <w:r w:rsidR="00375ECE">
        <w:t>tranexamic</w:t>
      </w:r>
      <w:proofErr w:type="spellEnd"/>
      <w:r w:rsidR="00375ECE">
        <w:t xml:space="preserve"> acid</w:t>
      </w:r>
      <w:r w:rsidR="006F3327">
        <w:t>;</w:t>
      </w:r>
    </w:p>
    <w:p w14:paraId="234A1375" w14:textId="55CC9E9A" w:rsidR="000B4C29" w:rsidRDefault="000B4C29" w:rsidP="00375ECE">
      <w:pPr>
        <w:pStyle w:val="ListBullet"/>
      </w:pPr>
      <w:r>
        <w:t>a small number of patients (n</w:t>
      </w:r>
      <w:r w:rsidR="001F20E2">
        <w:t xml:space="preserve"> </w:t>
      </w:r>
      <w:r>
        <w:t>=</w:t>
      </w:r>
      <w:r w:rsidR="001F20E2">
        <w:t xml:space="preserve"> </w:t>
      </w:r>
      <w:r>
        <w:t>37) from which a significant proportion (n</w:t>
      </w:r>
      <w:r w:rsidR="001F20E2">
        <w:t xml:space="preserve"> </w:t>
      </w:r>
      <w:r>
        <w:t>=</w:t>
      </w:r>
      <w:r w:rsidR="001F20E2">
        <w:t xml:space="preserve"> </w:t>
      </w:r>
      <w:r>
        <w:t>15) were exc</w:t>
      </w:r>
      <w:r w:rsidR="00375ECE">
        <w:t>luded from the analysis (n</w:t>
      </w:r>
      <w:r w:rsidR="001F20E2">
        <w:t xml:space="preserve"> </w:t>
      </w:r>
      <w:r w:rsidR="00375ECE">
        <w:t>=</w:t>
      </w:r>
      <w:r w:rsidR="001F20E2">
        <w:t xml:space="preserve"> </w:t>
      </w:r>
      <w:r w:rsidR="00375ECE">
        <w:t>22).</w:t>
      </w:r>
    </w:p>
    <w:p w14:paraId="0963EC35" w14:textId="1A28269E" w:rsidR="000B4C29" w:rsidRDefault="00107383" w:rsidP="00375ECE">
      <w:pPr>
        <w:pStyle w:val="Heading5"/>
      </w:pPr>
      <w:r>
        <w:t xml:space="preserve">Study </w:t>
      </w:r>
      <w:r w:rsidR="00902237">
        <w:t>0</w:t>
      </w:r>
      <w:r>
        <w:t>71101</w:t>
      </w:r>
    </w:p>
    <w:p w14:paraId="596951BE" w14:textId="4152C2D0" w:rsidR="000B4C29" w:rsidRDefault="00107383" w:rsidP="00375ECE">
      <w:r>
        <w:t xml:space="preserve">Study </w:t>
      </w:r>
      <w:r w:rsidR="00902237">
        <w:t>0</w:t>
      </w:r>
      <w:r>
        <w:t>71101</w:t>
      </w:r>
      <w:r w:rsidR="005537CB">
        <w:t>;</w:t>
      </w:r>
      <w:r w:rsidR="005537CB">
        <w:rPr>
          <w:rStyle w:val="FootnoteReference"/>
        </w:rPr>
        <w:footnoteReference w:id="11"/>
      </w:r>
      <w:r>
        <w:t xml:space="preserve"> </w:t>
      </w:r>
      <w:r w:rsidR="006F3327">
        <w:t xml:space="preserve">a </w:t>
      </w:r>
      <w:r>
        <w:t>surgery study,</w:t>
      </w:r>
      <w:r w:rsidR="000B4C29">
        <w:t xml:space="preserve"> was a prospec</w:t>
      </w:r>
      <w:r w:rsidR="00B0113F">
        <w:t xml:space="preserve">tive, open </w:t>
      </w:r>
      <w:r w:rsidR="001F20E2">
        <w:t>label, uncontrolled P</w:t>
      </w:r>
      <w:r w:rsidR="000B4C29">
        <w:t>hase III study designed to evaluate the efficacy</w:t>
      </w:r>
      <w:r w:rsidR="00902237">
        <w:t xml:space="preserve"> and safety</w:t>
      </w:r>
      <w:r w:rsidR="000B4C29">
        <w:t xml:space="preserve"> of </w:t>
      </w:r>
      <w:proofErr w:type="spellStart"/>
      <w:r w:rsidR="000B4C29">
        <w:t>rVWF</w:t>
      </w:r>
      <w:proofErr w:type="spellEnd"/>
      <w:r w:rsidR="000B4C29">
        <w:t xml:space="preserve"> with or without </w:t>
      </w:r>
      <w:proofErr w:type="spellStart"/>
      <w:r w:rsidR="000B4C29">
        <w:t>rFVIII</w:t>
      </w:r>
      <w:proofErr w:type="spellEnd"/>
      <w:r w:rsidR="000B4C29">
        <w:t xml:space="preserve"> as prophylaxis for bleeding in major</w:t>
      </w:r>
      <w:r w:rsidR="00902237">
        <w:t xml:space="preserve"> and minor elective</w:t>
      </w:r>
      <w:r w:rsidR="000B4C29">
        <w:t xml:space="preserve"> surger</w:t>
      </w:r>
      <w:r w:rsidR="00902237">
        <w:t>ies</w:t>
      </w:r>
      <w:r w:rsidR="000B4C29">
        <w:t>.</w:t>
      </w:r>
      <w:r w:rsidR="000B4C29" w:rsidRPr="000B4C29">
        <w:t xml:space="preserve"> </w:t>
      </w:r>
      <w:r w:rsidR="000B4C29">
        <w:t xml:space="preserve">Major surgeries were </w:t>
      </w:r>
      <w:r w:rsidR="000B4C29">
        <w:lastRenderedPageBreak/>
        <w:t xml:space="preserve">defined as those with a significant risk of large volume blood loss or bleeding into a confined anatomical </w:t>
      </w:r>
      <w:r w:rsidR="001F20E2">
        <w:t>space, including extraction of third</w:t>
      </w:r>
      <w:r w:rsidR="000B4C29">
        <w:rPr>
          <w:sz w:val="14"/>
          <w:szCs w:val="14"/>
        </w:rPr>
        <w:t xml:space="preserve"> </w:t>
      </w:r>
      <w:r w:rsidR="000B4C29">
        <w:t xml:space="preserve">molars. Minor surgeries included placement of intravenous access devices, removal of small skin lesions, </w:t>
      </w:r>
      <w:r w:rsidR="006F3327">
        <w:t>arthroscopy</w:t>
      </w:r>
      <w:r w:rsidR="000B4C29">
        <w:t>, gastroscopy, conisation, and extraction of fewer</w:t>
      </w:r>
      <w:r w:rsidR="001F20E2">
        <w:t xml:space="preserve"> than three (non-third</w:t>
      </w:r>
      <w:r w:rsidR="000B4C29">
        <w:rPr>
          <w:sz w:val="14"/>
          <w:szCs w:val="14"/>
        </w:rPr>
        <w:t xml:space="preserve"> </w:t>
      </w:r>
      <w:r w:rsidR="001F20E2">
        <w:t>molar) teeth.</w:t>
      </w:r>
    </w:p>
    <w:p w14:paraId="1ED24EAE" w14:textId="36A6EA15" w:rsidR="00375ECE" w:rsidRDefault="000B4C29" w:rsidP="00375ECE">
      <w:pPr>
        <w:rPr>
          <w:b/>
          <w:bCs/>
          <w:sz w:val="18"/>
          <w:szCs w:val="18"/>
        </w:rPr>
      </w:pPr>
      <w:r>
        <w:t xml:space="preserve">A total of 24 subjects were </w:t>
      </w:r>
      <w:r w:rsidR="001F20E2">
        <w:t xml:space="preserve">enrolled, of whom 15 received </w:t>
      </w:r>
      <w:proofErr w:type="spellStart"/>
      <w:r w:rsidR="001F20E2">
        <w:t>vonicog</w:t>
      </w:r>
      <w:proofErr w:type="spellEnd"/>
      <w:r w:rsidR="001F20E2">
        <w:t xml:space="preserve"> </w:t>
      </w:r>
      <w:proofErr w:type="spellStart"/>
      <w:r w:rsidR="001F20E2">
        <w:t>alfa</w:t>
      </w:r>
      <w:proofErr w:type="spellEnd"/>
      <w:r w:rsidR="000E778F">
        <w:t>. Ten</w:t>
      </w:r>
      <w:r>
        <w:t xml:space="preserve"> underwent major surgeries, 4 minor surgeries and 1 tooth extraction.</w:t>
      </w:r>
      <w:r w:rsidR="00B53E87">
        <w:t xml:space="preserve"> An overview of the study design is shown in </w:t>
      </w:r>
      <w:r w:rsidR="00B53E87">
        <w:fldChar w:fldCharType="begin"/>
      </w:r>
      <w:r w:rsidR="00B53E87">
        <w:instrText xml:space="preserve"> REF _Ref46402825 \h </w:instrText>
      </w:r>
      <w:r w:rsidR="00B53E87">
        <w:fldChar w:fldCharType="separate"/>
      </w:r>
      <w:r w:rsidR="0006071C">
        <w:t xml:space="preserve">Figure </w:t>
      </w:r>
      <w:r w:rsidR="0006071C">
        <w:rPr>
          <w:noProof/>
        </w:rPr>
        <w:t>3</w:t>
      </w:r>
      <w:r w:rsidR="00B53E87">
        <w:fldChar w:fldCharType="end"/>
      </w:r>
      <w:r w:rsidR="00B53E87">
        <w:t>.</w:t>
      </w:r>
    </w:p>
    <w:p w14:paraId="3871D179" w14:textId="23C176CB" w:rsidR="000B4C29" w:rsidRDefault="00375ECE" w:rsidP="00375ECE">
      <w:pPr>
        <w:pStyle w:val="FigureTitle"/>
      </w:pPr>
      <w:bookmarkStart w:id="46" w:name="_Ref46402825"/>
      <w:r>
        <w:t xml:space="preserve">Figure </w:t>
      </w:r>
      <w:fldSimple w:instr=" SEQ Figure \* ARABIC ">
        <w:r w:rsidR="0006071C">
          <w:rPr>
            <w:noProof/>
          </w:rPr>
          <w:t>3</w:t>
        </w:r>
      </w:fldSimple>
      <w:bookmarkEnd w:id="46"/>
      <w:r>
        <w:t xml:space="preserve">: </w:t>
      </w:r>
      <w:r w:rsidR="005537CB">
        <w:t>Study 071101 Schema and study design</w:t>
      </w:r>
    </w:p>
    <w:p w14:paraId="1C6CF7D5" w14:textId="29077E1D" w:rsidR="000E778F" w:rsidRDefault="000E778F" w:rsidP="00375ECE">
      <w:pPr>
        <w:pStyle w:val="FigureTitle"/>
      </w:pPr>
      <w:r>
        <w:rPr>
          <w:noProof/>
          <w:lang w:eastAsia="en-AU"/>
        </w:rPr>
        <w:drawing>
          <wp:inline distT="0" distB="0" distL="0" distR="0" wp14:anchorId="1F7DDF21" wp14:editId="0B31DF76">
            <wp:extent cx="5400040" cy="3413443"/>
            <wp:effectExtent l="2857" t="0" r="0" b="0"/>
            <wp:docPr id="6" name="Picture 6" descr="Study 071101 Schema and study design. This phase 3 clinical study addresses in particular the safety and efficacy of rVWF, with&#10;or without rFVIII, in at least 15 subjects with severe VWD undergoing major, minor, and&#10;oral elective surgical procedures. Subjects scheduled for major surgery initially had a PK assessment. The surgery was to be scheduled within 84 days after screening and within 42 days after the rVWF infusion for the PK assessment. A priming dose with rVWF, 12-24 hours prior to surgery was given to allow the endogenous FVIII levels to increase,  before the loading dose of rVWF was administered. An rVWF loading dose was administered within 1 hour prior to surgery. The peri- and post-operative substitution regimen was&#10;individualised according to the PK results, intensity and duration of the haemostatic challenge, and the institution’s standard of care. Postoperatively, subjects with were infused with rVWF, according to the type of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398"/>
                    <a:stretch/>
                  </pic:blipFill>
                  <pic:spPr bwMode="auto">
                    <a:xfrm rot="5400000">
                      <a:off x="0" y="0"/>
                      <a:ext cx="5400040" cy="3413443"/>
                    </a:xfrm>
                    <a:prstGeom prst="rect">
                      <a:avLst/>
                    </a:prstGeom>
                    <a:ln>
                      <a:noFill/>
                    </a:ln>
                    <a:extLst>
                      <a:ext uri="{53640926-AAD7-44D8-BBD7-CCE9431645EC}">
                        <a14:shadowObscured xmlns:a14="http://schemas.microsoft.com/office/drawing/2010/main"/>
                      </a:ext>
                    </a:extLst>
                  </pic:spPr>
                </pic:pic>
              </a:graphicData>
            </a:graphic>
          </wp:inline>
        </w:drawing>
      </w:r>
    </w:p>
    <w:p w14:paraId="017DD492" w14:textId="4D4EDC10" w:rsidR="000B4C29" w:rsidRDefault="000B4C29" w:rsidP="000E778F">
      <w:r>
        <w:t>Included were adult patients had severe VWD with a history of substitution therap</w:t>
      </w:r>
      <w:r w:rsidR="00375ECE">
        <w:t>y with VWF to control bleeding.</w:t>
      </w:r>
    </w:p>
    <w:p w14:paraId="787A2CAC" w14:textId="235D05A8" w:rsidR="00375ECE" w:rsidRDefault="000B4C29" w:rsidP="00C40326">
      <w:pPr>
        <w:rPr>
          <w:b/>
          <w:bCs/>
          <w:sz w:val="18"/>
        </w:rPr>
      </w:pPr>
      <w:r>
        <w:t>The primary endpoint was the assessment of haemodynamic efficacy 24 hours aft</w:t>
      </w:r>
      <w:r w:rsidR="000E778F">
        <w:t>er the last infusion or at the D</w:t>
      </w:r>
      <w:r>
        <w:t>ay 14 visit, whichever was the earlier. The rat</w:t>
      </w:r>
      <w:r w:rsidR="000E778F">
        <w:t xml:space="preserve">ing scale applied is shown in </w:t>
      </w:r>
      <w:r w:rsidR="000E778F">
        <w:fldChar w:fldCharType="begin"/>
      </w:r>
      <w:r w:rsidR="000E778F">
        <w:instrText xml:space="preserve"> REF _Ref46238660 \h </w:instrText>
      </w:r>
      <w:r w:rsidR="000E778F">
        <w:fldChar w:fldCharType="separate"/>
      </w:r>
      <w:r w:rsidR="0006071C">
        <w:t xml:space="preserve">Table </w:t>
      </w:r>
      <w:r w:rsidR="0006071C">
        <w:rPr>
          <w:noProof/>
        </w:rPr>
        <w:t>8</w:t>
      </w:r>
      <w:r w:rsidR="000E778F">
        <w:fldChar w:fldCharType="end"/>
      </w:r>
      <w:r w:rsidR="000E778F">
        <w:t>.</w:t>
      </w:r>
    </w:p>
    <w:p w14:paraId="53508EB3" w14:textId="5F97A8EF" w:rsidR="000B4C29" w:rsidRDefault="00375ECE" w:rsidP="00375ECE">
      <w:pPr>
        <w:pStyle w:val="TableTitle"/>
      </w:pPr>
      <w:bookmarkStart w:id="47" w:name="_Ref46238660"/>
      <w:bookmarkStart w:id="48" w:name="_Ref46238654"/>
      <w:r>
        <w:lastRenderedPageBreak/>
        <w:t xml:space="preserve">Table </w:t>
      </w:r>
      <w:fldSimple w:instr=" SEQ Table \* ARABIC ">
        <w:r w:rsidR="0006071C">
          <w:rPr>
            <w:noProof/>
          </w:rPr>
          <w:t>8</w:t>
        </w:r>
      </w:fldSimple>
      <w:bookmarkEnd w:id="47"/>
      <w:r>
        <w:t>:</w:t>
      </w:r>
      <w:r w:rsidR="000B4C29">
        <w:t xml:space="preserve"> </w:t>
      </w:r>
      <w:r w:rsidR="007353E1">
        <w:t xml:space="preserve">Study </w:t>
      </w:r>
      <w:r w:rsidR="00902237">
        <w:t>0</w:t>
      </w:r>
      <w:r w:rsidR="007353E1">
        <w:t xml:space="preserve">71101 </w:t>
      </w:r>
      <w:r w:rsidR="000B4C29">
        <w:t>Four point scale of haemodynamic effectivenes</w:t>
      </w:r>
      <w:bookmarkEnd w:id="48"/>
      <w:r w:rsidR="007353E1">
        <w:t>s</w:t>
      </w:r>
    </w:p>
    <w:p w14:paraId="287F0A58" w14:textId="70D0A9F0" w:rsidR="000E778F" w:rsidRDefault="007353E1" w:rsidP="00061954">
      <w:r>
        <w:rPr>
          <w:noProof/>
          <w:lang w:eastAsia="en-AU"/>
        </w:rPr>
        <w:drawing>
          <wp:inline distT="0" distB="0" distL="0" distR="0" wp14:anchorId="790AEBBA" wp14:editId="4BEEB8D4">
            <wp:extent cx="5400040" cy="2451417"/>
            <wp:effectExtent l="19050" t="19050" r="10160" b="25400"/>
            <wp:docPr id="11" name="Picture 11" descr="Study 071101 Four point scale of haemodynamic effectiv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7378"/>
                    <a:stretch/>
                  </pic:blipFill>
                  <pic:spPr bwMode="auto">
                    <a:xfrm>
                      <a:off x="0" y="0"/>
                      <a:ext cx="5400040" cy="245141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01458CC" w14:textId="6C8932F0" w:rsidR="00BF59D5" w:rsidRDefault="00BF59D5" w:rsidP="00BF59D5">
      <w:pPr>
        <w:pStyle w:val="TableDescription"/>
      </w:pPr>
      <w:proofErr w:type="spellStart"/>
      <w:r>
        <w:t>Advate</w:t>
      </w:r>
      <w:proofErr w:type="spellEnd"/>
      <w:r>
        <w:t xml:space="preserve"> (</w:t>
      </w:r>
      <w:proofErr w:type="spellStart"/>
      <w:r>
        <w:t>o</w:t>
      </w:r>
      <w:r w:rsidRPr="00BF59D5">
        <w:t>ctocog</w:t>
      </w:r>
      <w:proofErr w:type="spellEnd"/>
      <w:r w:rsidRPr="00BF59D5">
        <w:t xml:space="preserve"> </w:t>
      </w:r>
      <w:proofErr w:type="spellStart"/>
      <w:r w:rsidRPr="00BF59D5">
        <w:t>alfa</w:t>
      </w:r>
      <w:proofErr w:type="spellEnd"/>
      <w:r>
        <w:t>) = recombinant FVIII.</w:t>
      </w:r>
    </w:p>
    <w:p w14:paraId="547F4291" w14:textId="36C77EBA" w:rsidR="000B4C29" w:rsidRDefault="000B4C29" w:rsidP="00375ECE">
      <w:r>
        <w:t>Haemodynamic contr</w:t>
      </w:r>
      <w:r w:rsidR="007353E1">
        <w:t xml:space="preserve">ol was rated as </w:t>
      </w:r>
      <w:r w:rsidR="00980257">
        <w:t>‘E</w:t>
      </w:r>
      <w:r w:rsidR="007353E1">
        <w:t>xcellent</w:t>
      </w:r>
      <w:r w:rsidR="00980257">
        <w:t>’</w:t>
      </w:r>
      <w:r w:rsidR="007353E1">
        <w:t xml:space="preserve"> in 11 out of 15 subjects, and </w:t>
      </w:r>
      <w:r w:rsidR="00980257">
        <w:t>‘G</w:t>
      </w:r>
      <w:r w:rsidR="007353E1">
        <w:t>ood</w:t>
      </w:r>
      <w:r w:rsidR="00980257">
        <w:t>’</w:t>
      </w:r>
      <w:r w:rsidR="007353E1">
        <w:t xml:space="preserve"> in 4 out of </w:t>
      </w:r>
      <w:r>
        <w:t>15 subjects. In considering only major surgery, haemodynamic cont</w:t>
      </w:r>
      <w:r w:rsidR="007353E1">
        <w:t xml:space="preserve">rol was rated as excellent in 7 out of </w:t>
      </w:r>
      <w:r>
        <w:t>10 subj</w:t>
      </w:r>
      <w:r w:rsidR="007353E1">
        <w:t xml:space="preserve">ects and good in 3 out of </w:t>
      </w:r>
      <w:r w:rsidR="000E778F">
        <w:t>10 subjects.</w:t>
      </w:r>
    </w:p>
    <w:p w14:paraId="31299C4E" w14:textId="10728F4D" w:rsidR="000B4C29" w:rsidRDefault="00375ECE" w:rsidP="00375ECE">
      <w:r>
        <w:t>The clinical e</w:t>
      </w:r>
      <w:r w:rsidR="000B4C29">
        <w:t>valuator has noted that there are similar methodological concerns with this study as with</w:t>
      </w:r>
      <w:r w:rsidR="00CC4B24">
        <w:t xml:space="preserve"> the Study</w:t>
      </w:r>
      <w:r w:rsidR="000B4C29">
        <w:t xml:space="preserve"> </w:t>
      </w:r>
      <w:r w:rsidR="00902237">
        <w:t>0</w:t>
      </w:r>
      <w:r w:rsidR="000B4C29">
        <w:t xml:space="preserve">71001 with respect to confounding. Three subjects were treated with </w:t>
      </w:r>
      <w:proofErr w:type="spellStart"/>
      <w:r w:rsidR="000B4C29">
        <w:t>tranexamic</w:t>
      </w:r>
      <w:proofErr w:type="spellEnd"/>
      <w:r w:rsidR="000B4C29">
        <w:t xml:space="preserve"> acid during the study and this </w:t>
      </w:r>
      <w:r w:rsidR="00980257">
        <w:t xml:space="preserve">concern </w:t>
      </w:r>
      <w:r w:rsidR="000B4C29">
        <w:t xml:space="preserve">was </w:t>
      </w:r>
      <w:r w:rsidR="00980257">
        <w:t>raised with the sponsor</w:t>
      </w:r>
      <w:r w:rsidR="003217E4">
        <w:t>. The s</w:t>
      </w:r>
      <w:r w:rsidR="000B4C29">
        <w:t xml:space="preserve">ponsor indicated that </w:t>
      </w:r>
      <w:proofErr w:type="spellStart"/>
      <w:r w:rsidR="000B4C29">
        <w:t>tranexamic</w:t>
      </w:r>
      <w:proofErr w:type="spellEnd"/>
      <w:r w:rsidR="000B4C29">
        <w:t xml:space="preserve"> acid is standard of care</w:t>
      </w:r>
      <w:r w:rsidR="00980257">
        <w:t>, which</w:t>
      </w:r>
      <w:r w:rsidR="000B4C29">
        <w:t xml:space="preserve"> while true</w:t>
      </w:r>
      <w:r w:rsidR="00980257">
        <w:t>,</w:t>
      </w:r>
      <w:r w:rsidR="000B4C29">
        <w:t xml:space="preserve"> does not address the potential confo</w:t>
      </w:r>
      <w:r w:rsidR="00CC4B24">
        <w:t>unding of the efficacy results.</w:t>
      </w:r>
    </w:p>
    <w:p w14:paraId="245E17D5" w14:textId="1D5CDDDB" w:rsidR="000B4C29" w:rsidRDefault="000B4C29" w:rsidP="00CC4B24">
      <w:pPr>
        <w:pStyle w:val="Heading4"/>
      </w:pPr>
      <w:r w:rsidRPr="00CC4B24">
        <w:t>Safety</w:t>
      </w:r>
    </w:p>
    <w:p w14:paraId="36E65F00" w14:textId="4727DF2F" w:rsidR="00375ECE" w:rsidRDefault="000B4C29" w:rsidP="00375ECE">
      <w:pPr>
        <w:rPr>
          <w:b/>
          <w:bCs/>
          <w:sz w:val="18"/>
          <w:szCs w:val="18"/>
        </w:rPr>
      </w:pPr>
      <w:r>
        <w:t>A total of 92 patients were included in the safety analysis, of whom 80 suffered from VWF.</w:t>
      </w:r>
      <w:r w:rsidR="003217E4">
        <w:t xml:space="preserve"> Patient</w:t>
      </w:r>
      <w:r w:rsidR="00980257">
        <w:t>s included in safety analysis are</w:t>
      </w:r>
      <w:r w:rsidR="003217E4">
        <w:t xml:space="preserve"> shown in the </w:t>
      </w:r>
      <w:r w:rsidR="003217E4">
        <w:fldChar w:fldCharType="begin"/>
      </w:r>
      <w:r w:rsidR="003217E4">
        <w:instrText xml:space="preserve"> REF _Ref46403385 \h </w:instrText>
      </w:r>
      <w:r w:rsidR="003217E4">
        <w:fldChar w:fldCharType="separate"/>
      </w:r>
      <w:r w:rsidR="0006071C">
        <w:t xml:space="preserve">Figure </w:t>
      </w:r>
      <w:r w:rsidR="0006071C">
        <w:rPr>
          <w:noProof/>
        </w:rPr>
        <w:t>4</w:t>
      </w:r>
      <w:r w:rsidR="003217E4">
        <w:fldChar w:fldCharType="end"/>
      </w:r>
      <w:r w:rsidR="003217E4">
        <w:t>.</w:t>
      </w:r>
    </w:p>
    <w:p w14:paraId="48C50265" w14:textId="0052825F" w:rsidR="000B4C29" w:rsidRDefault="00C40326" w:rsidP="00C40326">
      <w:pPr>
        <w:pStyle w:val="FigureTitle"/>
      </w:pPr>
      <w:bookmarkStart w:id="49" w:name="_Ref46403385"/>
      <w:r>
        <w:t xml:space="preserve">Figure </w:t>
      </w:r>
      <w:fldSimple w:instr=" SEQ Figure \* ARABIC ">
        <w:r w:rsidR="0006071C">
          <w:rPr>
            <w:noProof/>
          </w:rPr>
          <w:t>4</w:t>
        </w:r>
      </w:fldSimple>
      <w:bookmarkEnd w:id="49"/>
      <w:r>
        <w:t xml:space="preserve">: </w:t>
      </w:r>
      <w:r w:rsidR="000B4C29">
        <w:t>Patie</w:t>
      </w:r>
      <w:r>
        <w:t xml:space="preserve">nts included in </w:t>
      </w:r>
      <w:r w:rsidR="00E90413">
        <w:t xml:space="preserve">the </w:t>
      </w:r>
      <w:r>
        <w:t>safety analysis</w:t>
      </w:r>
    </w:p>
    <w:p w14:paraId="14CB2606" w14:textId="40EF4AE9" w:rsidR="00CC4B24" w:rsidRDefault="00D25B5E" w:rsidP="00061954">
      <w:r>
        <w:rPr>
          <w:noProof/>
          <w:lang w:eastAsia="en-AU"/>
        </w:rPr>
        <w:drawing>
          <wp:inline distT="0" distB="0" distL="0" distR="0" wp14:anchorId="727149E5" wp14:editId="2F452ADF">
            <wp:extent cx="5400040" cy="3027680"/>
            <wp:effectExtent l="0" t="0" r="0" b="1270"/>
            <wp:docPr id="16" name="Picture 16" descr="Patients included in the safety analysis. In Study 070701, 51 subjects signed the informed consent (20 were not treated with the invesitgation product and 31 subjects were included in the safety analysis set). In Study 071001, 49 patients signed the informed consent (12 were not treated with the investigational product and 37 were included in the safety analysis set). In Study 071101, 24 patients signed the informed consent (9 were not treated with the investigational product and 15 were included in the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3027680"/>
                    </a:xfrm>
                    <a:prstGeom prst="rect">
                      <a:avLst/>
                    </a:prstGeom>
                  </pic:spPr>
                </pic:pic>
              </a:graphicData>
            </a:graphic>
          </wp:inline>
        </w:drawing>
      </w:r>
    </w:p>
    <w:p w14:paraId="48F9C97D" w14:textId="1174C37F" w:rsidR="000B4C29" w:rsidRDefault="000B4C29" w:rsidP="00C40326">
      <w:r>
        <w:lastRenderedPageBreak/>
        <w:t>No deaths were reported during the trials or in post-marketing data. Most adverse events were mild to moderate. There was no evidence of hypersensitivity reactions suffered by p</w:t>
      </w:r>
      <w:r w:rsidR="003217E4">
        <w:t>atients in the safety data set.</w:t>
      </w:r>
    </w:p>
    <w:p w14:paraId="3ECF7D68" w14:textId="19CFCE62" w:rsidR="00C40326" w:rsidRDefault="000B4C29" w:rsidP="00C40326">
      <w:pPr>
        <w:rPr>
          <w:b/>
          <w:bCs/>
        </w:rPr>
      </w:pPr>
      <w:r>
        <w:t xml:space="preserve">One patient suffered two </w:t>
      </w:r>
      <w:r w:rsidR="005F4D69">
        <w:t>deep vein thrombosis (DVT)</w:t>
      </w:r>
      <w:r>
        <w:t xml:space="preserve"> in the trials, and there was one reported in the post-market setting. This is consistent with VWF administration generally.</w:t>
      </w:r>
    </w:p>
    <w:p w14:paraId="06513D03" w14:textId="7C79F54D" w:rsidR="008E7846" w:rsidRDefault="00386150" w:rsidP="007B6132">
      <w:pPr>
        <w:pStyle w:val="Heading3"/>
        <w:rPr>
          <w:lang w:eastAsia="en-AU"/>
        </w:rPr>
      </w:pPr>
      <w:bookmarkStart w:id="50" w:name="_Toc314842514"/>
      <w:bookmarkStart w:id="51" w:name="_Toc54175027"/>
      <w:r>
        <w:rPr>
          <w:lang w:eastAsia="en-AU"/>
        </w:rPr>
        <w:t>Risk m</w:t>
      </w:r>
      <w:r w:rsidR="008E7846">
        <w:rPr>
          <w:lang w:eastAsia="en-AU"/>
        </w:rPr>
        <w:t xml:space="preserve">anagement </w:t>
      </w:r>
      <w:r>
        <w:rPr>
          <w:lang w:eastAsia="en-AU"/>
        </w:rPr>
        <w:t>p</w:t>
      </w:r>
      <w:r w:rsidR="008E7846">
        <w:rPr>
          <w:lang w:eastAsia="en-AU"/>
        </w:rPr>
        <w:t>lan</w:t>
      </w:r>
      <w:bookmarkEnd w:id="50"/>
      <w:bookmarkEnd w:id="51"/>
    </w:p>
    <w:p w14:paraId="224FD2B1" w14:textId="0C37D11F" w:rsidR="001A7C45" w:rsidRPr="005679FF" w:rsidRDefault="00121052" w:rsidP="00D25B5E">
      <w:pPr>
        <w:rPr>
          <w:kern w:val="16"/>
          <w:szCs w:val="24"/>
        </w:rPr>
      </w:pPr>
      <w:r>
        <w:rPr>
          <w:szCs w:val="24"/>
        </w:rPr>
        <w:t>The sponsor</w:t>
      </w:r>
      <w:r w:rsidR="007A5AA1" w:rsidRPr="005679FF">
        <w:rPr>
          <w:szCs w:val="24"/>
        </w:rPr>
        <w:t xml:space="preserve"> </w:t>
      </w:r>
      <w:r w:rsidR="007A5AA1" w:rsidRPr="005679FF">
        <w:t xml:space="preserve">has submitted </w:t>
      </w:r>
      <w:r w:rsidR="007A5AA1">
        <w:t xml:space="preserve">EMA approved </w:t>
      </w:r>
      <w:r w:rsidR="007A5AA1" w:rsidRPr="005679FF">
        <w:t>EU-</w:t>
      </w:r>
      <w:r w:rsidR="00D25B5E">
        <w:t>risk management plan (</w:t>
      </w:r>
      <w:r w:rsidR="007A5AA1" w:rsidRPr="005679FF">
        <w:t>RMP</w:t>
      </w:r>
      <w:r w:rsidR="00D25B5E">
        <w:t>)</w:t>
      </w:r>
      <w:r w:rsidR="007A5AA1" w:rsidRPr="005679FF">
        <w:t xml:space="preserve"> </w:t>
      </w:r>
      <w:r w:rsidR="007A5AA1" w:rsidRPr="00D25B5E">
        <w:t>version 1.3</w:t>
      </w:r>
      <w:r w:rsidR="007A5AA1" w:rsidRPr="005679FF">
        <w:t xml:space="preserve"> (date 31 May 2018; </w:t>
      </w:r>
      <w:r w:rsidR="00D25B5E">
        <w:t>data lock point (</w:t>
      </w:r>
      <w:r w:rsidR="007A5AA1" w:rsidRPr="005679FF">
        <w:t>DLP</w:t>
      </w:r>
      <w:r w:rsidR="00D25B5E">
        <w:t>)</w:t>
      </w:r>
      <w:r w:rsidR="007A5AA1" w:rsidRPr="005679FF">
        <w:t xml:space="preserve"> 6 March 2018) and </w:t>
      </w:r>
      <w:r w:rsidR="00D25B5E">
        <w:t>Australian specific Annex (</w:t>
      </w:r>
      <w:r w:rsidR="007A5AA1" w:rsidRPr="005679FF">
        <w:t>ASA</w:t>
      </w:r>
      <w:r w:rsidR="00D25B5E">
        <w:t>)</w:t>
      </w:r>
      <w:r w:rsidR="007A5AA1" w:rsidRPr="005679FF">
        <w:t xml:space="preserve"> </w:t>
      </w:r>
      <w:r w:rsidR="007A5AA1" w:rsidRPr="00D25B5E">
        <w:t>version 1.0</w:t>
      </w:r>
      <w:r w:rsidR="007A5AA1" w:rsidRPr="005679FF">
        <w:t xml:space="preserve"> (date 23 April 2019) i</w:t>
      </w:r>
      <w:r w:rsidR="008178B8">
        <w:t>n support of this application. In response to request for information</w:t>
      </w:r>
      <w:r w:rsidR="007A5AA1">
        <w:t xml:space="preserve">, the sponsor has submitted EU RMP </w:t>
      </w:r>
      <w:r w:rsidR="007A5AA1" w:rsidRPr="00D25B5E">
        <w:t>version 1.4</w:t>
      </w:r>
      <w:r w:rsidR="00980257">
        <w:t xml:space="preserve"> (date 18 </w:t>
      </w:r>
      <w:r w:rsidR="007A5AA1">
        <w:t>Sep</w:t>
      </w:r>
      <w:r>
        <w:t>tember</w:t>
      </w:r>
      <w:r w:rsidR="007A5AA1">
        <w:t xml:space="preserve"> 2019; DLP 6 March 2018). ASA version 1.0 (date 23 April 2019) remains </w:t>
      </w:r>
      <w:r w:rsidR="008178B8">
        <w:t>in support of this application.</w:t>
      </w:r>
      <w:r w:rsidR="001A7C45">
        <w:t xml:space="preserve"> </w:t>
      </w:r>
      <w:r w:rsidR="00D25B5E">
        <w:t xml:space="preserve">After </w:t>
      </w:r>
      <w:r w:rsidR="00980257">
        <w:t xml:space="preserve">the </w:t>
      </w:r>
      <w:r w:rsidR="00D25B5E">
        <w:t>second round of</w:t>
      </w:r>
      <w:r w:rsidR="001A7C45">
        <w:t xml:space="preserve"> evaluation, the sponsor supplied ASA version 1.1 (date 10 Jan</w:t>
      </w:r>
      <w:r w:rsidR="00D25B5E">
        <w:t>uary</w:t>
      </w:r>
      <w:r w:rsidR="001A7C45">
        <w:t xml:space="preserve"> 2020) as the agreed version associated with EU RMP version 1.4.</w:t>
      </w:r>
    </w:p>
    <w:p w14:paraId="43FF26F4" w14:textId="49570351" w:rsidR="001A7C45" w:rsidRDefault="001A7C45" w:rsidP="001A7C45">
      <w:r>
        <w:t>The summary of safety concerns and their associated risk monitoring and mitigation strat</w:t>
      </w:r>
      <w:r w:rsidR="002D37DC">
        <w:t xml:space="preserve">egies are summarised in </w:t>
      </w:r>
      <w:r w:rsidR="002D37DC">
        <w:fldChar w:fldCharType="begin"/>
      </w:r>
      <w:r w:rsidR="002D37DC">
        <w:instrText xml:space="preserve"> REF _Ref46245071 \h </w:instrText>
      </w:r>
      <w:r w:rsidR="002D37DC">
        <w:fldChar w:fldCharType="separate"/>
      </w:r>
      <w:r w:rsidR="0006071C">
        <w:t xml:space="preserve">Table </w:t>
      </w:r>
      <w:r w:rsidR="0006071C">
        <w:rPr>
          <w:noProof/>
        </w:rPr>
        <w:t>9</w:t>
      </w:r>
      <w:r w:rsidR="002D37DC">
        <w:fldChar w:fldCharType="end"/>
      </w:r>
      <w:r>
        <w:t>.</w:t>
      </w:r>
      <w:r>
        <w:rPr>
          <w:rStyle w:val="FootnoteReference"/>
        </w:rPr>
        <w:footnoteReference w:id="12"/>
      </w:r>
    </w:p>
    <w:p w14:paraId="61F9FE5D" w14:textId="25361C1D" w:rsidR="00D25B5E" w:rsidRDefault="00D25B5E" w:rsidP="002D37DC">
      <w:pPr>
        <w:pStyle w:val="TableTitle"/>
      </w:pPr>
      <w:bookmarkStart w:id="52" w:name="_Ref46245071"/>
      <w:r>
        <w:t xml:space="preserve">Table </w:t>
      </w:r>
      <w:fldSimple w:instr=" SEQ Table \* ARABIC ">
        <w:r w:rsidR="0006071C">
          <w:rPr>
            <w:noProof/>
          </w:rPr>
          <w:t>9</w:t>
        </w:r>
      </w:fldSimple>
      <w:bookmarkEnd w:id="52"/>
      <w:r>
        <w:t>: Summary of safety concerns</w:t>
      </w:r>
    </w:p>
    <w:tbl>
      <w:tblPr>
        <w:tblStyle w:val="TableTGAblue"/>
        <w:tblW w:w="5000" w:type="pct"/>
        <w:tblLayout w:type="fixed"/>
        <w:tblLook w:val="04A0" w:firstRow="1" w:lastRow="0" w:firstColumn="1" w:lastColumn="0" w:noHBand="0" w:noVBand="1"/>
      </w:tblPr>
      <w:tblGrid>
        <w:gridCol w:w="1605"/>
        <w:gridCol w:w="2614"/>
        <w:gridCol w:w="1277"/>
        <w:gridCol w:w="1135"/>
        <w:gridCol w:w="992"/>
        <w:gridCol w:w="1097"/>
      </w:tblGrid>
      <w:tr w:rsidR="008178B8" w:rsidRPr="002D37DC" w14:paraId="55758DAC" w14:textId="77777777" w:rsidTr="00061954">
        <w:trPr>
          <w:cnfStyle w:val="100000000000" w:firstRow="1" w:lastRow="0" w:firstColumn="0" w:lastColumn="0" w:oddVBand="0" w:evenVBand="0" w:oddHBand="0" w:evenHBand="0" w:firstRowFirstColumn="0" w:firstRowLastColumn="0" w:lastRowFirstColumn="0" w:lastRowLastColumn="0"/>
          <w:trHeight w:val="131"/>
        </w:trPr>
        <w:tc>
          <w:tcPr>
            <w:tcW w:w="2419" w:type="pct"/>
            <w:gridSpan w:val="2"/>
            <w:vMerge w:val="restart"/>
          </w:tcPr>
          <w:p w14:paraId="1223AC0F" w14:textId="77777777" w:rsidR="008178B8" w:rsidRPr="002D37DC" w:rsidRDefault="008178B8" w:rsidP="002D37DC">
            <w:pPr>
              <w:pStyle w:val="Tabletext"/>
              <w:ind w:left="0" w:right="0"/>
              <w:rPr>
                <w:b w:val="0"/>
                <w:szCs w:val="19"/>
              </w:rPr>
            </w:pPr>
            <w:r w:rsidRPr="002D37DC">
              <w:rPr>
                <w:szCs w:val="19"/>
              </w:rPr>
              <w:t>Summary of safety concerns</w:t>
            </w:r>
          </w:p>
        </w:tc>
        <w:tc>
          <w:tcPr>
            <w:tcW w:w="1383" w:type="pct"/>
            <w:gridSpan w:val="2"/>
          </w:tcPr>
          <w:p w14:paraId="7D8C6C60" w14:textId="77777777" w:rsidR="008178B8" w:rsidRPr="002D37DC" w:rsidRDefault="008178B8" w:rsidP="002D37DC">
            <w:pPr>
              <w:pStyle w:val="Tabletext"/>
              <w:ind w:left="0" w:right="0"/>
              <w:rPr>
                <w:b w:val="0"/>
                <w:szCs w:val="19"/>
              </w:rPr>
            </w:pPr>
            <w:r w:rsidRPr="002D37DC">
              <w:rPr>
                <w:szCs w:val="19"/>
              </w:rPr>
              <w:t>Pharmacovigilance</w:t>
            </w:r>
          </w:p>
        </w:tc>
        <w:tc>
          <w:tcPr>
            <w:tcW w:w="1198" w:type="pct"/>
            <w:gridSpan w:val="2"/>
          </w:tcPr>
          <w:p w14:paraId="0F26902B" w14:textId="7B8FDC60" w:rsidR="008178B8" w:rsidRPr="002D37DC" w:rsidRDefault="001A7C45" w:rsidP="002D37DC">
            <w:pPr>
              <w:pStyle w:val="Tabletext"/>
              <w:ind w:left="0" w:right="0"/>
              <w:rPr>
                <w:szCs w:val="19"/>
              </w:rPr>
            </w:pPr>
            <w:r w:rsidRPr="002D37DC">
              <w:rPr>
                <w:szCs w:val="19"/>
              </w:rPr>
              <w:t>Risk m</w:t>
            </w:r>
            <w:r w:rsidR="008178B8" w:rsidRPr="002D37DC">
              <w:rPr>
                <w:szCs w:val="19"/>
              </w:rPr>
              <w:t>inimisation</w:t>
            </w:r>
          </w:p>
        </w:tc>
      </w:tr>
      <w:tr w:rsidR="008178B8" w:rsidRPr="002D37DC" w14:paraId="6802FA59" w14:textId="77777777" w:rsidTr="00061954">
        <w:trPr>
          <w:trHeight w:val="150"/>
        </w:trPr>
        <w:tc>
          <w:tcPr>
            <w:tcW w:w="2419" w:type="pct"/>
            <w:gridSpan w:val="2"/>
            <w:vMerge/>
          </w:tcPr>
          <w:p w14:paraId="19C8E756" w14:textId="77777777" w:rsidR="008178B8" w:rsidRPr="002D37DC" w:rsidRDefault="008178B8" w:rsidP="002D37DC">
            <w:pPr>
              <w:pStyle w:val="Tabletext"/>
              <w:ind w:left="0" w:right="0"/>
              <w:rPr>
                <w:b/>
                <w:szCs w:val="19"/>
              </w:rPr>
            </w:pPr>
          </w:p>
        </w:tc>
        <w:tc>
          <w:tcPr>
            <w:tcW w:w="732" w:type="pct"/>
          </w:tcPr>
          <w:p w14:paraId="4B5F9EA4" w14:textId="77777777" w:rsidR="008178B8" w:rsidRPr="002D37DC" w:rsidRDefault="008178B8" w:rsidP="002D37DC">
            <w:pPr>
              <w:pStyle w:val="Tabletext"/>
              <w:ind w:left="0" w:right="0"/>
              <w:rPr>
                <w:szCs w:val="19"/>
              </w:rPr>
            </w:pPr>
            <w:r w:rsidRPr="002D37DC">
              <w:rPr>
                <w:szCs w:val="19"/>
              </w:rPr>
              <w:t>Routine</w:t>
            </w:r>
          </w:p>
        </w:tc>
        <w:tc>
          <w:tcPr>
            <w:tcW w:w="651" w:type="pct"/>
          </w:tcPr>
          <w:p w14:paraId="2E55CF99" w14:textId="77777777" w:rsidR="008178B8" w:rsidRPr="002D37DC" w:rsidRDefault="008178B8" w:rsidP="002D37DC">
            <w:pPr>
              <w:pStyle w:val="Tabletext"/>
              <w:ind w:left="0" w:right="0"/>
              <w:rPr>
                <w:szCs w:val="19"/>
              </w:rPr>
            </w:pPr>
            <w:r w:rsidRPr="002D37DC">
              <w:rPr>
                <w:szCs w:val="19"/>
              </w:rPr>
              <w:t>Additional</w:t>
            </w:r>
          </w:p>
        </w:tc>
        <w:tc>
          <w:tcPr>
            <w:tcW w:w="569" w:type="pct"/>
          </w:tcPr>
          <w:p w14:paraId="2D09E824" w14:textId="77777777" w:rsidR="008178B8" w:rsidRPr="002D37DC" w:rsidRDefault="008178B8" w:rsidP="002D37DC">
            <w:pPr>
              <w:pStyle w:val="Tabletext"/>
              <w:ind w:left="0" w:right="0"/>
              <w:rPr>
                <w:szCs w:val="19"/>
              </w:rPr>
            </w:pPr>
            <w:r w:rsidRPr="002D37DC">
              <w:rPr>
                <w:szCs w:val="19"/>
              </w:rPr>
              <w:t>Routine</w:t>
            </w:r>
          </w:p>
        </w:tc>
        <w:tc>
          <w:tcPr>
            <w:tcW w:w="629" w:type="pct"/>
          </w:tcPr>
          <w:p w14:paraId="701B7276" w14:textId="77777777" w:rsidR="008178B8" w:rsidRPr="002D37DC" w:rsidRDefault="008178B8" w:rsidP="002D37DC">
            <w:pPr>
              <w:pStyle w:val="Tabletext"/>
              <w:ind w:left="0" w:right="0"/>
              <w:rPr>
                <w:szCs w:val="19"/>
              </w:rPr>
            </w:pPr>
            <w:r w:rsidRPr="002D37DC">
              <w:rPr>
                <w:szCs w:val="19"/>
              </w:rPr>
              <w:t>Additional</w:t>
            </w:r>
          </w:p>
        </w:tc>
      </w:tr>
      <w:tr w:rsidR="008178B8" w:rsidRPr="002D37DC" w14:paraId="62746B58" w14:textId="77777777" w:rsidTr="00061954">
        <w:trPr>
          <w:trHeight w:val="137"/>
        </w:trPr>
        <w:tc>
          <w:tcPr>
            <w:tcW w:w="920" w:type="pct"/>
            <w:vMerge w:val="restart"/>
          </w:tcPr>
          <w:p w14:paraId="554B0E4F" w14:textId="77777777" w:rsidR="008178B8" w:rsidRPr="002D37DC" w:rsidRDefault="008178B8" w:rsidP="002D37DC">
            <w:pPr>
              <w:pStyle w:val="Tabletext"/>
              <w:ind w:left="0" w:right="0"/>
              <w:rPr>
                <w:b/>
                <w:szCs w:val="19"/>
              </w:rPr>
            </w:pPr>
            <w:r w:rsidRPr="002D37DC">
              <w:rPr>
                <w:b/>
                <w:szCs w:val="19"/>
              </w:rPr>
              <w:t>Important identified risks</w:t>
            </w:r>
          </w:p>
        </w:tc>
        <w:tc>
          <w:tcPr>
            <w:tcW w:w="1499" w:type="pct"/>
          </w:tcPr>
          <w:p w14:paraId="3B70CEB5" w14:textId="77777777" w:rsidR="008178B8" w:rsidRPr="002D37DC" w:rsidRDefault="008178B8" w:rsidP="002D37DC">
            <w:pPr>
              <w:pStyle w:val="Tabletext"/>
              <w:ind w:left="0" w:right="0"/>
              <w:rPr>
                <w:szCs w:val="19"/>
              </w:rPr>
            </w:pPr>
            <w:r w:rsidRPr="002D37DC">
              <w:rPr>
                <w:szCs w:val="19"/>
              </w:rPr>
              <w:t>Hypersensitivity reactions</w:t>
            </w:r>
          </w:p>
        </w:tc>
        <w:tc>
          <w:tcPr>
            <w:tcW w:w="732" w:type="pct"/>
          </w:tcPr>
          <w:p w14:paraId="71B6BFB5" w14:textId="77777777" w:rsidR="008178B8" w:rsidRPr="002D37DC" w:rsidRDefault="008178B8" w:rsidP="002D37DC">
            <w:pPr>
              <w:pStyle w:val="Tabletext"/>
              <w:ind w:left="0" w:right="0"/>
              <w:jc w:val="center"/>
              <w:rPr>
                <w:szCs w:val="19"/>
              </w:rPr>
            </w:pPr>
            <w:r w:rsidRPr="002D37DC">
              <w:rPr>
                <w:szCs w:val="19"/>
              </w:rPr>
              <w:sym w:font="Wingdings" w:char="F0FC"/>
            </w:r>
          </w:p>
        </w:tc>
        <w:tc>
          <w:tcPr>
            <w:tcW w:w="651" w:type="pct"/>
          </w:tcPr>
          <w:p w14:paraId="0AE56750" w14:textId="77777777" w:rsidR="008178B8" w:rsidRPr="002D37DC" w:rsidRDefault="008178B8" w:rsidP="002D37DC">
            <w:pPr>
              <w:pStyle w:val="Tabletext"/>
              <w:ind w:left="0" w:right="0"/>
              <w:jc w:val="center"/>
              <w:rPr>
                <w:szCs w:val="19"/>
                <w:vertAlign w:val="superscript"/>
              </w:rPr>
            </w:pPr>
            <w:r w:rsidRPr="002D37DC">
              <w:rPr>
                <w:szCs w:val="19"/>
              </w:rPr>
              <w:sym w:font="Wingdings" w:char="F0FC"/>
            </w:r>
            <w:r w:rsidRPr="002D37DC">
              <w:rPr>
                <w:szCs w:val="19"/>
                <w:vertAlign w:val="superscript"/>
              </w:rPr>
              <w:t>1</w:t>
            </w:r>
          </w:p>
        </w:tc>
        <w:tc>
          <w:tcPr>
            <w:tcW w:w="569" w:type="pct"/>
          </w:tcPr>
          <w:p w14:paraId="1DB9128D" w14:textId="77777777" w:rsidR="008178B8" w:rsidRPr="002D37DC" w:rsidRDefault="008178B8" w:rsidP="002D37DC">
            <w:pPr>
              <w:pStyle w:val="Tabletext"/>
              <w:ind w:left="0" w:right="0"/>
              <w:jc w:val="center"/>
              <w:rPr>
                <w:szCs w:val="19"/>
              </w:rPr>
            </w:pPr>
            <w:r w:rsidRPr="002D37DC">
              <w:rPr>
                <w:szCs w:val="19"/>
              </w:rPr>
              <w:sym w:font="Wingdings" w:char="F0FC"/>
            </w:r>
          </w:p>
        </w:tc>
        <w:tc>
          <w:tcPr>
            <w:tcW w:w="629" w:type="pct"/>
          </w:tcPr>
          <w:p w14:paraId="60095E52" w14:textId="77777777" w:rsidR="008178B8" w:rsidRPr="002D37DC" w:rsidRDefault="008178B8" w:rsidP="002D37DC">
            <w:pPr>
              <w:pStyle w:val="Tabletext"/>
              <w:ind w:left="0" w:right="0"/>
              <w:jc w:val="center"/>
              <w:rPr>
                <w:szCs w:val="19"/>
              </w:rPr>
            </w:pPr>
            <w:r w:rsidRPr="002D37DC">
              <w:rPr>
                <w:szCs w:val="19"/>
              </w:rPr>
              <w:t>–</w:t>
            </w:r>
          </w:p>
        </w:tc>
      </w:tr>
      <w:tr w:rsidR="008178B8" w:rsidRPr="002D37DC" w14:paraId="10A64E3A" w14:textId="77777777" w:rsidTr="00061954">
        <w:trPr>
          <w:trHeight w:val="94"/>
        </w:trPr>
        <w:tc>
          <w:tcPr>
            <w:tcW w:w="920" w:type="pct"/>
            <w:vMerge/>
          </w:tcPr>
          <w:p w14:paraId="2746FCF7" w14:textId="77777777" w:rsidR="008178B8" w:rsidRPr="002D37DC" w:rsidRDefault="008178B8" w:rsidP="002D37DC">
            <w:pPr>
              <w:pStyle w:val="Tabletext"/>
              <w:ind w:left="0" w:right="0"/>
              <w:rPr>
                <w:b/>
                <w:szCs w:val="19"/>
              </w:rPr>
            </w:pPr>
          </w:p>
        </w:tc>
        <w:tc>
          <w:tcPr>
            <w:tcW w:w="1499" w:type="pct"/>
          </w:tcPr>
          <w:p w14:paraId="0E3EC631" w14:textId="5B6B2981" w:rsidR="008178B8" w:rsidRPr="002D37DC" w:rsidRDefault="008178B8" w:rsidP="002D37DC">
            <w:pPr>
              <w:pStyle w:val="Tabletext"/>
              <w:ind w:left="0" w:right="0"/>
              <w:rPr>
                <w:szCs w:val="19"/>
              </w:rPr>
            </w:pPr>
            <w:r w:rsidRPr="002D37DC">
              <w:rPr>
                <w:szCs w:val="19"/>
              </w:rPr>
              <w:t>Thromboembolic events (particularly in patients</w:t>
            </w:r>
            <w:r w:rsidR="002D37DC">
              <w:rPr>
                <w:szCs w:val="19"/>
              </w:rPr>
              <w:t xml:space="preserve"> </w:t>
            </w:r>
            <w:r w:rsidRPr="002D37DC">
              <w:rPr>
                <w:szCs w:val="19"/>
              </w:rPr>
              <w:t>with low ADAMTS13 levels as well as other risk</w:t>
            </w:r>
            <w:r w:rsidR="002D37DC">
              <w:rPr>
                <w:szCs w:val="19"/>
              </w:rPr>
              <w:t xml:space="preserve"> </w:t>
            </w:r>
            <w:r w:rsidRPr="002D37DC">
              <w:rPr>
                <w:szCs w:val="19"/>
              </w:rPr>
              <w:t>factors, and concomitant overuse of FVIII)</w:t>
            </w:r>
          </w:p>
        </w:tc>
        <w:tc>
          <w:tcPr>
            <w:tcW w:w="732" w:type="pct"/>
          </w:tcPr>
          <w:p w14:paraId="1945F6F5" w14:textId="77777777" w:rsidR="008178B8" w:rsidRPr="002D37DC" w:rsidRDefault="008178B8" w:rsidP="002D37DC">
            <w:pPr>
              <w:pStyle w:val="Tabletext"/>
              <w:ind w:left="0" w:right="0"/>
              <w:jc w:val="center"/>
              <w:rPr>
                <w:szCs w:val="19"/>
              </w:rPr>
            </w:pPr>
            <w:r w:rsidRPr="002D37DC">
              <w:rPr>
                <w:szCs w:val="19"/>
              </w:rPr>
              <w:sym w:font="Wingdings" w:char="F0FC"/>
            </w:r>
          </w:p>
        </w:tc>
        <w:tc>
          <w:tcPr>
            <w:tcW w:w="651" w:type="pct"/>
          </w:tcPr>
          <w:p w14:paraId="2C1FCE7A" w14:textId="77777777" w:rsidR="008178B8" w:rsidRPr="002D37DC" w:rsidRDefault="008178B8" w:rsidP="002D37DC">
            <w:pPr>
              <w:pStyle w:val="Tabletext"/>
              <w:ind w:left="0" w:right="0"/>
              <w:jc w:val="center"/>
              <w:rPr>
                <w:szCs w:val="19"/>
                <w:vertAlign w:val="superscript"/>
              </w:rPr>
            </w:pPr>
            <w:r w:rsidRPr="002D37DC">
              <w:rPr>
                <w:szCs w:val="19"/>
              </w:rPr>
              <w:sym w:font="Wingdings" w:char="F0FC"/>
            </w:r>
            <w:r w:rsidRPr="002D37DC">
              <w:rPr>
                <w:szCs w:val="19"/>
                <w:vertAlign w:val="superscript"/>
              </w:rPr>
              <w:t>1</w:t>
            </w:r>
          </w:p>
        </w:tc>
        <w:tc>
          <w:tcPr>
            <w:tcW w:w="569" w:type="pct"/>
          </w:tcPr>
          <w:p w14:paraId="5B40DE02" w14:textId="77777777" w:rsidR="008178B8" w:rsidRPr="002D37DC" w:rsidRDefault="008178B8" w:rsidP="002D37DC">
            <w:pPr>
              <w:pStyle w:val="Tabletext"/>
              <w:ind w:left="0" w:right="0"/>
              <w:jc w:val="center"/>
              <w:rPr>
                <w:szCs w:val="19"/>
              </w:rPr>
            </w:pPr>
            <w:r w:rsidRPr="002D37DC">
              <w:rPr>
                <w:szCs w:val="19"/>
              </w:rPr>
              <w:sym w:font="Wingdings" w:char="F0FC"/>
            </w:r>
          </w:p>
        </w:tc>
        <w:tc>
          <w:tcPr>
            <w:tcW w:w="629" w:type="pct"/>
          </w:tcPr>
          <w:p w14:paraId="6291DBB3" w14:textId="77777777" w:rsidR="008178B8" w:rsidRPr="002D37DC" w:rsidRDefault="008178B8" w:rsidP="002D37DC">
            <w:pPr>
              <w:pStyle w:val="Tabletext"/>
              <w:ind w:left="0" w:right="0"/>
              <w:jc w:val="center"/>
              <w:rPr>
                <w:szCs w:val="19"/>
              </w:rPr>
            </w:pPr>
            <w:r w:rsidRPr="002D37DC">
              <w:rPr>
                <w:szCs w:val="19"/>
              </w:rPr>
              <w:t>–</w:t>
            </w:r>
          </w:p>
        </w:tc>
      </w:tr>
      <w:tr w:rsidR="008178B8" w:rsidRPr="002D37DC" w14:paraId="570D16C7" w14:textId="77777777" w:rsidTr="00061954">
        <w:trPr>
          <w:trHeight w:val="159"/>
        </w:trPr>
        <w:tc>
          <w:tcPr>
            <w:tcW w:w="920" w:type="pct"/>
          </w:tcPr>
          <w:p w14:paraId="5713C5A2" w14:textId="77777777" w:rsidR="008178B8" w:rsidRPr="002D37DC" w:rsidRDefault="008178B8" w:rsidP="002D37DC">
            <w:pPr>
              <w:pStyle w:val="Tabletext"/>
              <w:ind w:left="0" w:right="0"/>
              <w:rPr>
                <w:b/>
                <w:szCs w:val="19"/>
              </w:rPr>
            </w:pPr>
            <w:r w:rsidRPr="002D37DC">
              <w:rPr>
                <w:b/>
                <w:szCs w:val="19"/>
              </w:rPr>
              <w:t>Important potential risks</w:t>
            </w:r>
          </w:p>
        </w:tc>
        <w:tc>
          <w:tcPr>
            <w:tcW w:w="1499" w:type="pct"/>
          </w:tcPr>
          <w:p w14:paraId="2C91CB64" w14:textId="77777777" w:rsidR="008178B8" w:rsidRPr="002D37DC" w:rsidRDefault="008178B8" w:rsidP="002D37DC">
            <w:pPr>
              <w:pStyle w:val="Tabletext"/>
              <w:ind w:left="0" w:right="0"/>
              <w:rPr>
                <w:szCs w:val="19"/>
              </w:rPr>
            </w:pPr>
            <w:r w:rsidRPr="002D37DC">
              <w:rPr>
                <w:szCs w:val="19"/>
              </w:rPr>
              <w:t>Inhibitor formation</w:t>
            </w:r>
          </w:p>
        </w:tc>
        <w:tc>
          <w:tcPr>
            <w:tcW w:w="732" w:type="pct"/>
          </w:tcPr>
          <w:p w14:paraId="7034989C" w14:textId="77777777" w:rsidR="008178B8" w:rsidRPr="002D37DC" w:rsidRDefault="008178B8" w:rsidP="002D37DC">
            <w:pPr>
              <w:pStyle w:val="Tabletext"/>
              <w:ind w:left="0" w:right="0"/>
              <w:jc w:val="center"/>
              <w:rPr>
                <w:szCs w:val="19"/>
              </w:rPr>
            </w:pPr>
            <w:r w:rsidRPr="002D37DC">
              <w:rPr>
                <w:szCs w:val="19"/>
              </w:rPr>
              <w:sym w:font="Wingdings" w:char="F0FC"/>
            </w:r>
          </w:p>
        </w:tc>
        <w:tc>
          <w:tcPr>
            <w:tcW w:w="651" w:type="pct"/>
          </w:tcPr>
          <w:p w14:paraId="2CCF9E58" w14:textId="77777777" w:rsidR="008178B8" w:rsidRPr="002D37DC" w:rsidRDefault="008178B8" w:rsidP="002D37DC">
            <w:pPr>
              <w:pStyle w:val="Tabletext"/>
              <w:ind w:left="0" w:right="0"/>
              <w:jc w:val="center"/>
              <w:rPr>
                <w:szCs w:val="19"/>
                <w:vertAlign w:val="superscript"/>
              </w:rPr>
            </w:pPr>
            <w:r w:rsidRPr="002D37DC">
              <w:rPr>
                <w:szCs w:val="19"/>
              </w:rPr>
              <w:sym w:font="Wingdings" w:char="F0FC"/>
            </w:r>
            <w:r w:rsidRPr="002D37DC">
              <w:rPr>
                <w:szCs w:val="19"/>
                <w:vertAlign w:val="superscript"/>
              </w:rPr>
              <w:t>1</w:t>
            </w:r>
          </w:p>
        </w:tc>
        <w:tc>
          <w:tcPr>
            <w:tcW w:w="569" w:type="pct"/>
          </w:tcPr>
          <w:p w14:paraId="33FA719B" w14:textId="77777777" w:rsidR="008178B8" w:rsidRPr="002D37DC" w:rsidRDefault="008178B8" w:rsidP="002D37DC">
            <w:pPr>
              <w:pStyle w:val="Tabletext"/>
              <w:ind w:left="0" w:right="0"/>
              <w:jc w:val="center"/>
              <w:rPr>
                <w:szCs w:val="19"/>
              </w:rPr>
            </w:pPr>
            <w:r w:rsidRPr="002D37DC">
              <w:rPr>
                <w:szCs w:val="19"/>
              </w:rPr>
              <w:sym w:font="Wingdings" w:char="F0FC"/>
            </w:r>
          </w:p>
        </w:tc>
        <w:tc>
          <w:tcPr>
            <w:tcW w:w="629" w:type="pct"/>
          </w:tcPr>
          <w:p w14:paraId="29E526C5" w14:textId="77777777" w:rsidR="008178B8" w:rsidRPr="002D37DC" w:rsidRDefault="008178B8" w:rsidP="002D37DC">
            <w:pPr>
              <w:pStyle w:val="Tabletext"/>
              <w:ind w:left="0" w:right="0"/>
              <w:jc w:val="center"/>
              <w:rPr>
                <w:szCs w:val="19"/>
              </w:rPr>
            </w:pPr>
            <w:r w:rsidRPr="002D37DC">
              <w:rPr>
                <w:szCs w:val="19"/>
              </w:rPr>
              <w:t>–</w:t>
            </w:r>
          </w:p>
        </w:tc>
      </w:tr>
      <w:tr w:rsidR="008178B8" w:rsidRPr="002D37DC" w14:paraId="5E8A003C" w14:textId="77777777" w:rsidTr="00061954">
        <w:trPr>
          <w:trHeight w:val="178"/>
        </w:trPr>
        <w:tc>
          <w:tcPr>
            <w:tcW w:w="920" w:type="pct"/>
            <w:vMerge w:val="restart"/>
          </w:tcPr>
          <w:p w14:paraId="2C2FA783" w14:textId="77777777" w:rsidR="008178B8" w:rsidRPr="002D37DC" w:rsidRDefault="008178B8" w:rsidP="002D37DC">
            <w:pPr>
              <w:pStyle w:val="Tabletext"/>
              <w:ind w:left="0" w:right="0"/>
              <w:rPr>
                <w:b/>
                <w:szCs w:val="19"/>
              </w:rPr>
            </w:pPr>
            <w:r w:rsidRPr="002D37DC">
              <w:rPr>
                <w:b/>
                <w:szCs w:val="19"/>
              </w:rPr>
              <w:t>Missing information</w:t>
            </w:r>
          </w:p>
        </w:tc>
        <w:tc>
          <w:tcPr>
            <w:tcW w:w="1499" w:type="pct"/>
          </w:tcPr>
          <w:p w14:paraId="3B3A108D" w14:textId="77777777" w:rsidR="008178B8" w:rsidRPr="002D37DC" w:rsidRDefault="008178B8" w:rsidP="002D37DC">
            <w:pPr>
              <w:pStyle w:val="Tabletext"/>
              <w:ind w:left="0" w:right="0"/>
              <w:rPr>
                <w:szCs w:val="19"/>
              </w:rPr>
            </w:pPr>
            <w:r w:rsidRPr="002D37DC">
              <w:rPr>
                <w:szCs w:val="19"/>
              </w:rPr>
              <w:t>Insufficient clinical data on use in pregnancy and lactation</w:t>
            </w:r>
          </w:p>
        </w:tc>
        <w:tc>
          <w:tcPr>
            <w:tcW w:w="732" w:type="pct"/>
          </w:tcPr>
          <w:p w14:paraId="3D99C165" w14:textId="77777777" w:rsidR="008178B8" w:rsidRPr="002D37DC" w:rsidRDefault="008178B8" w:rsidP="002D37DC">
            <w:pPr>
              <w:pStyle w:val="Tabletext"/>
              <w:ind w:left="0" w:right="0"/>
              <w:jc w:val="center"/>
              <w:rPr>
                <w:szCs w:val="19"/>
              </w:rPr>
            </w:pPr>
            <w:r w:rsidRPr="002D37DC">
              <w:rPr>
                <w:szCs w:val="19"/>
              </w:rPr>
              <w:sym w:font="Wingdings" w:char="F0FC"/>
            </w:r>
          </w:p>
        </w:tc>
        <w:tc>
          <w:tcPr>
            <w:tcW w:w="651" w:type="pct"/>
          </w:tcPr>
          <w:p w14:paraId="4E9D272B" w14:textId="77777777" w:rsidR="008178B8" w:rsidRPr="002D37DC" w:rsidRDefault="008178B8" w:rsidP="002D37DC">
            <w:pPr>
              <w:pStyle w:val="Tabletext"/>
              <w:ind w:left="0" w:right="0"/>
              <w:jc w:val="center"/>
              <w:rPr>
                <w:szCs w:val="19"/>
              </w:rPr>
            </w:pPr>
            <w:r w:rsidRPr="002D37DC">
              <w:rPr>
                <w:szCs w:val="19"/>
              </w:rPr>
              <w:t>–</w:t>
            </w:r>
          </w:p>
        </w:tc>
        <w:tc>
          <w:tcPr>
            <w:tcW w:w="569" w:type="pct"/>
          </w:tcPr>
          <w:p w14:paraId="7DF4708A" w14:textId="77777777" w:rsidR="008178B8" w:rsidRPr="002D37DC" w:rsidRDefault="008178B8" w:rsidP="002D37DC">
            <w:pPr>
              <w:pStyle w:val="Tabletext"/>
              <w:ind w:left="0" w:right="0"/>
              <w:jc w:val="center"/>
              <w:rPr>
                <w:szCs w:val="19"/>
              </w:rPr>
            </w:pPr>
            <w:r w:rsidRPr="002D37DC">
              <w:rPr>
                <w:szCs w:val="19"/>
              </w:rPr>
              <w:sym w:font="Wingdings" w:char="F0FC"/>
            </w:r>
          </w:p>
        </w:tc>
        <w:tc>
          <w:tcPr>
            <w:tcW w:w="629" w:type="pct"/>
          </w:tcPr>
          <w:p w14:paraId="258E48C2" w14:textId="77777777" w:rsidR="008178B8" w:rsidRPr="002D37DC" w:rsidRDefault="008178B8" w:rsidP="002D37DC">
            <w:pPr>
              <w:pStyle w:val="Tabletext"/>
              <w:ind w:left="0" w:right="0"/>
              <w:jc w:val="center"/>
              <w:rPr>
                <w:szCs w:val="19"/>
              </w:rPr>
            </w:pPr>
            <w:r w:rsidRPr="002D37DC">
              <w:rPr>
                <w:szCs w:val="19"/>
              </w:rPr>
              <w:t>–</w:t>
            </w:r>
          </w:p>
        </w:tc>
      </w:tr>
      <w:tr w:rsidR="008178B8" w:rsidRPr="002D37DC" w14:paraId="4B40A707" w14:textId="77777777" w:rsidTr="00061954">
        <w:trPr>
          <w:trHeight w:val="140"/>
        </w:trPr>
        <w:tc>
          <w:tcPr>
            <w:tcW w:w="920" w:type="pct"/>
            <w:vMerge/>
          </w:tcPr>
          <w:p w14:paraId="6F37DBC1" w14:textId="77777777" w:rsidR="008178B8" w:rsidRPr="002D37DC" w:rsidRDefault="008178B8" w:rsidP="002D37DC">
            <w:pPr>
              <w:pStyle w:val="Tabletext"/>
              <w:ind w:left="0" w:right="0"/>
              <w:rPr>
                <w:szCs w:val="19"/>
              </w:rPr>
            </w:pPr>
          </w:p>
        </w:tc>
        <w:tc>
          <w:tcPr>
            <w:tcW w:w="1499" w:type="pct"/>
          </w:tcPr>
          <w:p w14:paraId="4CF672C6" w14:textId="77777777" w:rsidR="008178B8" w:rsidRPr="002D37DC" w:rsidRDefault="008178B8" w:rsidP="002D37DC">
            <w:pPr>
              <w:pStyle w:val="Tabletext"/>
              <w:ind w:left="0" w:right="0"/>
              <w:rPr>
                <w:szCs w:val="19"/>
              </w:rPr>
            </w:pPr>
            <w:r w:rsidRPr="002D37DC">
              <w:rPr>
                <w:szCs w:val="19"/>
              </w:rPr>
              <w:t>Insufficient clinical data on use in geriatric patients</w:t>
            </w:r>
          </w:p>
        </w:tc>
        <w:tc>
          <w:tcPr>
            <w:tcW w:w="732" w:type="pct"/>
          </w:tcPr>
          <w:p w14:paraId="259DF2EB" w14:textId="77777777" w:rsidR="008178B8" w:rsidRPr="002D37DC" w:rsidRDefault="008178B8" w:rsidP="002D37DC">
            <w:pPr>
              <w:pStyle w:val="Tabletext"/>
              <w:ind w:left="0" w:right="0"/>
              <w:jc w:val="center"/>
              <w:rPr>
                <w:szCs w:val="19"/>
              </w:rPr>
            </w:pPr>
            <w:r w:rsidRPr="002D37DC">
              <w:rPr>
                <w:szCs w:val="19"/>
              </w:rPr>
              <w:sym w:font="Wingdings" w:char="F0FC"/>
            </w:r>
          </w:p>
        </w:tc>
        <w:tc>
          <w:tcPr>
            <w:tcW w:w="651" w:type="pct"/>
          </w:tcPr>
          <w:p w14:paraId="377CE4CF" w14:textId="77777777" w:rsidR="008178B8" w:rsidRPr="002D37DC" w:rsidRDefault="008178B8" w:rsidP="002D37DC">
            <w:pPr>
              <w:pStyle w:val="Tabletext"/>
              <w:ind w:left="0" w:right="0"/>
              <w:jc w:val="center"/>
              <w:rPr>
                <w:szCs w:val="19"/>
              </w:rPr>
            </w:pPr>
            <w:r w:rsidRPr="002D37DC">
              <w:rPr>
                <w:szCs w:val="19"/>
              </w:rPr>
              <w:t>–</w:t>
            </w:r>
          </w:p>
        </w:tc>
        <w:tc>
          <w:tcPr>
            <w:tcW w:w="569" w:type="pct"/>
          </w:tcPr>
          <w:p w14:paraId="4D629EF5" w14:textId="77777777" w:rsidR="008178B8" w:rsidRPr="002D37DC" w:rsidRDefault="008178B8" w:rsidP="002D37DC">
            <w:pPr>
              <w:pStyle w:val="Tabletext"/>
              <w:ind w:left="0" w:right="0"/>
              <w:jc w:val="center"/>
              <w:rPr>
                <w:szCs w:val="19"/>
              </w:rPr>
            </w:pPr>
            <w:r w:rsidRPr="002D37DC">
              <w:rPr>
                <w:szCs w:val="19"/>
              </w:rPr>
              <w:sym w:font="Wingdings" w:char="F0FC"/>
            </w:r>
          </w:p>
        </w:tc>
        <w:tc>
          <w:tcPr>
            <w:tcW w:w="629" w:type="pct"/>
          </w:tcPr>
          <w:p w14:paraId="5B78FAF6" w14:textId="77777777" w:rsidR="008178B8" w:rsidRPr="002D37DC" w:rsidRDefault="008178B8" w:rsidP="002D37DC">
            <w:pPr>
              <w:pStyle w:val="Tabletext"/>
              <w:ind w:left="0" w:right="0"/>
              <w:jc w:val="center"/>
              <w:rPr>
                <w:szCs w:val="19"/>
              </w:rPr>
            </w:pPr>
            <w:r w:rsidRPr="002D37DC">
              <w:rPr>
                <w:szCs w:val="19"/>
              </w:rPr>
              <w:t>–</w:t>
            </w:r>
          </w:p>
        </w:tc>
      </w:tr>
    </w:tbl>
    <w:p w14:paraId="0A549475" w14:textId="33DACC39" w:rsidR="008178B8" w:rsidRPr="00B57759" w:rsidRDefault="008178B8" w:rsidP="00980257">
      <w:pPr>
        <w:pStyle w:val="TableDescription"/>
        <w:rPr>
          <w:rFonts w:ascii="Times New Roman" w:hAnsi="Times New Roman"/>
          <w:sz w:val="20"/>
        </w:rPr>
      </w:pPr>
      <w:r w:rsidRPr="00AF6B0D">
        <w:rPr>
          <w:sz w:val="18"/>
          <w:szCs w:val="18"/>
        </w:rPr>
        <w:t>1</w:t>
      </w:r>
      <w:r w:rsidR="00AF6B0D">
        <w:rPr>
          <w:sz w:val="18"/>
          <w:szCs w:val="18"/>
        </w:rPr>
        <w:t>:</w:t>
      </w:r>
      <w:r w:rsidRPr="00AF6B0D">
        <w:rPr>
          <w:sz w:val="18"/>
          <w:szCs w:val="18"/>
        </w:rPr>
        <w:t xml:space="preserve"> </w:t>
      </w:r>
      <w:r w:rsidRPr="00AF6B0D">
        <w:rPr>
          <w:rStyle w:val="FootnoteTextChar"/>
          <w:szCs w:val="18"/>
        </w:rPr>
        <w:t>Post-authorisation</w:t>
      </w:r>
      <w:r w:rsidRPr="00B57759">
        <w:rPr>
          <w:rStyle w:val="FootnoteTextChar"/>
        </w:rPr>
        <w:t xml:space="preserve"> safety study</w:t>
      </w:r>
      <w:r w:rsidR="001932A3" w:rsidRPr="00B57759">
        <w:rPr>
          <w:rStyle w:val="FootnoteTextChar"/>
        </w:rPr>
        <w:t xml:space="preserve"> (</w:t>
      </w:r>
      <w:r w:rsidR="00980257">
        <w:rPr>
          <w:rStyle w:val="FootnoteTextChar"/>
        </w:rPr>
        <w:t>PASS)</w:t>
      </w:r>
      <w:r w:rsidR="009C7B11">
        <w:rPr>
          <w:rStyle w:val="FootnoteTextChar"/>
        </w:rPr>
        <w:t>;</w:t>
      </w:r>
      <w:r w:rsidR="00980257">
        <w:rPr>
          <w:rStyle w:val="FootnoteReference"/>
          <w:sz w:val="18"/>
          <w:szCs w:val="20"/>
        </w:rPr>
        <w:footnoteReference w:id="13"/>
      </w:r>
      <w:r w:rsidRPr="00B57759">
        <w:rPr>
          <w:rStyle w:val="FootnoteTextChar"/>
        </w:rPr>
        <w:t xml:space="preserve"> </w:t>
      </w:r>
      <w:r w:rsidR="001932A3" w:rsidRPr="00B57759">
        <w:rPr>
          <w:rStyle w:val="FootnoteTextChar"/>
        </w:rPr>
        <w:t>(</w:t>
      </w:r>
      <w:r w:rsidR="009C7B11">
        <w:rPr>
          <w:rStyle w:val="FootnoteTextChar"/>
        </w:rPr>
        <w:t xml:space="preserve">Study </w:t>
      </w:r>
      <w:r w:rsidR="001932A3" w:rsidRPr="00B57759">
        <w:rPr>
          <w:rStyle w:val="FootnoteTextChar"/>
        </w:rPr>
        <w:t>VON (BAX0111) VWF-500 COL</w:t>
      </w:r>
      <w:r w:rsidR="00980257">
        <w:rPr>
          <w:rStyle w:val="FootnoteTextChar"/>
        </w:rPr>
        <w:t>)</w:t>
      </w:r>
      <w:r w:rsidR="00B57759">
        <w:rPr>
          <w:rStyle w:val="FootnoteTextChar"/>
        </w:rPr>
        <w:t>.</w:t>
      </w:r>
    </w:p>
    <w:p w14:paraId="695C02B6" w14:textId="5A86EDD5" w:rsidR="008178B8" w:rsidRDefault="008178B8" w:rsidP="007D53B6">
      <w:r>
        <w:lastRenderedPageBreak/>
        <w:t>The RMP evaluator has raised no objections to registration.</w:t>
      </w:r>
    </w:p>
    <w:p w14:paraId="40846F66" w14:textId="77777777" w:rsidR="008E7846" w:rsidRDefault="00AA0ED0" w:rsidP="008E7846">
      <w:pPr>
        <w:pStyle w:val="Heading3"/>
      </w:pPr>
      <w:bookmarkStart w:id="53" w:name="_Toc247691531"/>
      <w:bookmarkStart w:id="54" w:name="_Toc314842515"/>
      <w:bookmarkStart w:id="55" w:name="_Toc196046505"/>
      <w:bookmarkStart w:id="56" w:name="_Toc196046949"/>
      <w:bookmarkStart w:id="57" w:name="_Toc54175028"/>
      <w:r>
        <w:t>Risk-benefit a</w:t>
      </w:r>
      <w:r w:rsidR="008E7846">
        <w:t>nalysis</w:t>
      </w:r>
      <w:bookmarkEnd w:id="53"/>
      <w:bookmarkEnd w:id="54"/>
      <w:bookmarkEnd w:id="57"/>
    </w:p>
    <w:p w14:paraId="736AC5AF" w14:textId="10066E6A" w:rsidR="00C40326" w:rsidRPr="00C40326" w:rsidRDefault="007D53B6" w:rsidP="00C40326">
      <w:pPr>
        <w:pStyle w:val="Heading4"/>
      </w:pPr>
      <w:r>
        <w:t>Delegate’s considerations</w:t>
      </w:r>
    </w:p>
    <w:p w14:paraId="622EC4C8" w14:textId="19BB283F" w:rsidR="00C40326" w:rsidRDefault="00C40326" w:rsidP="00C40326">
      <w:r>
        <w:t xml:space="preserve">VWD is </w:t>
      </w:r>
      <w:r w:rsidR="00980257">
        <w:t>by definition</w:t>
      </w:r>
      <w:r>
        <w:t xml:space="preserve"> characterised by a reduction in VWF activity and there is long historical experience with treating bleeding episodes in VWD with VWF replacement. This, combined with the existing marketing experience with </w:t>
      </w:r>
      <w:proofErr w:type="spellStart"/>
      <w:r w:rsidR="003D7FB6">
        <w:t>vonicog</w:t>
      </w:r>
      <w:proofErr w:type="spellEnd"/>
      <w:r w:rsidR="003D7FB6">
        <w:t xml:space="preserve"> </w:t>
      </w:r>
      <w:proofErr w:type="spellStart"/>
      <w:r w:rsidR="003D7FB6">
        <w:t>alfa</w:t>
      </w:r>
      <w:proofErr w:type="spellEnd"/>
      <w:r>
        <w:t xml:space="preserve">, factors into the Delegate’s risk-benefit assessment of the data submitted to support the efficacy and safety of </w:t>
      </w:r>
      <w:proofErr w:type="spellStart"/>
      <w:r w:rsidR="003D7FB6">
        <w:t>vonicog</w:t>
      </w:r>
      <w:proofErr w:type="spellEnd"/>
      <w:r w:rsidR="003D7FB6">
        <w:t xml:space="preserve"> </w:t>
      </w:r>
      <w:proofErr w:type="spellStart"/>
      <w:r w:rsidR="003D7FB6">
        <w:t>alfa</w:t>
      </w:r>
      <w:proofErr w:type="spellEnd"/>
      <w:r>
        <w:t>.</w:t>
      </w:r>
    </w:p>
    <w:p w14:paraId="3512796D" w14:textId="354C4B80" w:rsidR="004C38E6" w:rsidRDefault="00C40326" w:rsidP="00C40326">
      <w:r>
        <w:t xml:space="preserve">The trials submitted are small and methodologically flawed. The main </w:t>
      </w:r>
      <w:r w:rsidR="005021DC">
        <w:t>issue</w:t>
      </w:r>
      <w:r>
        <w:t xml:space="preserve"> is a lack of statistically powered comparison in the efficacy or safety of </w:t>
      </w:r>
      <w:proofErr w:type="spellStart"/>
      <w:r w:rsidR="003D7FB6">
        <w:t>vonicog</w:t>
      </w:r>
      <w:proofErr w:type="spellEnd"/>
      <w:r w:rsidR="003D7FB6">
        <w:t xml:space="preserve"> </w:t>
      </w:r>
      <w:proofErr w:type="spellStart"/>
      <w:r w:rsidR="003D7FB6">
        <w:t>alfa</w:t>
      </w:r>
      <w:proofErr w:type="spellEnd"/>
      <w:r>
        <w:t xml:space="preserve"> with a defined standard of</w:t>
      </w:r>
      <w:r w:rsidR="004C38E6">
        <w:t xml:space="preserve"> care, including </w:t>
      </w:r>
      <w:proofErr w:type="spellStart"/>
      <w:r w:rsidR="004C38E6">
        <w:t>pd</w:t>
      </w:r>
      <w:r>
        <w:t>VW</w:t>
      </w:r>
      <w:r w:rsidR="00F20AFC">
        <w:t>F</w:t>
      </w:r>
      <w:proofErr w:type="spellEnd"/>
      <w:r w:rsidR="00F20AFC">
        <w:t>. The Delegate notes that the clinical e</w:t>
      </w:r>
      <w:r>
        <w:t xml:space="preserve">valuator requested a comparison of the primary endpoint between </w:t>
      </w:r>
      <w:proofErr w:type="spellStart"/>
      <w:r w:rsidR="003D7FB6">
        <w:t>vonicog</w:t>
      </w:r>
      <w:proofErr w:type="spellEnd"/>
      <w:r w:rsidR="003D7FB6">
        <w:t xml:space="preserve"> </w:t>
      </w:r>
      <w:proofErr w:type="spellStart"/>
      <w:r w:rsidR="003D7FB6">
        <w:t>alfa</w:t>
      </w:r>
      <w:proofErr w:type="spellEnd"/>
      <w:r>
        <w:t xml:space="preserve"> and </w:t>
      </w:r>
      <w:proofErr w:type="spellStart"/>
      <w:r w:rsidRPr="0087019F">
        <w:t>Biostate</w:t>
      </w:r>
      <w:proofErr w:type="spellEnd"/>
      <w:r w:rsidR="009C7B11">
        <w:t>;</w:t>
      </w:r>
      <w:r w:rsidR="0087019F">
        <w:rPr>
          <w:rStyle w:val="FootnoteReference"/>
        </w:rPr>
        <w:footnoteReference w:id="14"/>
      </w:r>
      <w:r>
        <w:t xml:space="preserve"> the currently regi</w:t>
      </w:r>
      <w:r w:rsidR="004C38E6">
        <w:t>stered plasma derived VWF. The s</w:t>
      </w:r>
      <w:r>
        <w:t>ponsor has provided th</w:t>
      </w:r>
      <w:r w:rsidR="004C38E6">
        <w:t>e following indirect comparison (</w:t>
      </w:r>
      <w:r w:rsidR="004C38E6">
        <w:fldChar w:fldCharType="begin"/>
      </w:r>
      <w:r w:rsidR="004C38E6">
        <w:instrText xml:space="preserve"> REF _Ref46951767 \h </w:instrText>
      </w:r>
      <w:r w:rsidR="004C38E6">
        <w:fldChar w:fldCharType="separate"/>
      </w:r>
      <w:r w:rsidR="0006071C">
        <w:t xml:space="preserve">Table </w:t>
      </w:r>
      <w:r w:rsidR="0006071C">
        <w:rPr>
          <w:noProof/>
        </w:rPr>
        <w:t>10</w:t>
      </w:r>
      <w:r w:rsidR="004C38E6">
        <w:fldChar w:fldCharType="end"/>
      </w:r>
      <w:r w:rsidR="004C38E6">
        <w:t>).</w:t>
      </w:r>
    </w:p>
    <w:p w14:paraId="697639D9" w14:textId="1CD609D1" w:rsidR="004C38E6" w:rsidRDefault="004C38E6" w:rsidP="004C38E6">
      <w:pPr>
        <w:pStyle w:val="TableTitle"/>
      </w:pPr>
      <w:bookmarkStart w:id="58" w:name="_Ref46951767"/>
      <w:r>
        <w:t xml:space="preserve">Table </w:t>
      </w:r>
      <w:fldSimple w:instr=" SEQ Table \* ARABIC ">
        <w:r w:rsidR="0006071C">
          <w:rPr>
            <w:noProof/>
          </w:rPr>
          <w:t>10</w:t>
        </w:r>
      </w:fldSimple>
      <w:bookmarkEnd w:id="58"/>
      <w:r>
        <w:t xml:space="preserve">: Indirect comparison of Veyvondi and </w:t>
      </w:r>
      <w:proofErr w:type="spellStart"/>
      <w:r>
        <w:t>Biostate</w:t>
      </w:r>
      <w:proofErr w:type="spellEnd"/>
      <w:r w:rsidR="00000F83">
        <w:t xml:space="preserve">, </w:t>
      </w:r>
      <w:r w:rsidR="00000F83" w:rsidRPr="00000F83">
        <w:t>Investigator’s ass</w:t>
      </w:r>
      <w:r w:rsidR="00000F83">
        <w:t>essment of haemostatic efficacy</w:t>
      </w:r>
    </w:p>
    <w:p w14:paraId="768E0E66" w14:textId="632492BA" w:rsidR="004C38E6" w:rsidRDefault="00000F83" w:rsidP="00C40326">
      <w:r>
        <w:rPr>
          <w:noProof/>
          <w:lang w:eastAsia="en-AU"/>
        </w:rPr>
        <w:drawing>
          <wp:inline distT="0" distB="0" distL="0" distR="0" wp14:anchorId="0D1DCF67" wp14:editId="571F8B5C">
            <wp:extent cx="5400040" cy="1564005"/>
            <wp:effectExtent l="0" t="0" r="0" b="0"/>
            <wp:docPr id="7" name="Picture 7" descr="Indirect comparison of Veyvondi and Biostate, Investigator’s assessment of haemostatic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1564005"/>
                    </a:xfrm>
                    <a:prstGeom prst="rect">
                      <a:avLst/>
                    </a:prstGeom>
                  </pic:spPr>
                </pic:pic>
              </a:graphicData>
            </a:graphic>
          </wp:inline>
        </w:drawing>
      </w:r>
    </w:p>
    <w:p w14:paraId="37401063" w14:textId="18B36410" w:rsidR="00C40326" w:rsidRDefault="00CB1089" w:rsidP="00C40326">
      <w:r>
        <w:t>The clinical e</w:t>
      </w:r>
      <w:r w:rsidR="00C40326">
        <w:t xml:space="preserve">valuator has noted the similarity in outcomes between the two treatments, acknowledging the limitations of an indirect comparison, and the Delegate concurs that this is reassuring with respect to </w:t>
      </w:r>
      <w:proofErr w:type="spellStart"/>
      <w:r w:rsidR="003D7FB6">
        <w:t>vonicog</w:t>
      </w:r>
      <w:proofErr w:type="spellEnd"/>
      <w:r w:rsidR="003D7FB6">
        <w:t xml:space="preserve"> </w:t>
      </w:r>
      <w:proofErr w:type="spellStart"/>
      <w:r w:rsidR="003D7FB6">
        <w:t>alfa</w:t>
      </w:r>
      <w:proofErr w:type="spellEnd"/>
      <w:r w:rsidR="003D7FB6">
        <w:t>.</w:t>
      </w:r>
    </w:p>
    <w:p w14:paraId="2FC176BD" w14:textId="06298DDD" w:rsidR="00C40326" w:rsidRDefault="00C40326" w:rsidP="00C40326">
      <w:r>
        <w:t xml:space="preserve">No unexpected safety issues have been detected for </w:t>
      </w:r>
      <w:proofErr w:type="spellStart"/>
      <w:r w:rsidR="003D7FB6">
        <w:t>vonicog</w:t>
      </w:r>
      <w:proofErr w:type="spellEnd"/>
      <w:r w:rsidR="003D7FB6">
        <w:t xml:space="preserve"> </w:t>
      </w:r>
      <w:proofErr w:type="spellStart"/>
      <w:r w:rsidR="003D7FB6">
        <w:t>alfa</w:t>
      </w:r>
      <w:proofErr w:type="spellEnd"/>
      <w:r>
        <w:t xml:space="preserve"> since it was marketed and, while the trial data contains small numbers of patients and relatively short durations of therapy, the Delegate feels this mitigates the risk of unknown adverse events from </w:t>
      </w:r>
      <w:proofErr w:type="spellStart"/>
      <w:r w:rsidR="003D7FB6">
        <w:t>vonicog</w:t>
      </w:r>
      <w:proofErr w:type="spellEnd"/>
      <w:r w:rsidR="003D7FB6">
        <w:t xml:space="preserve"> </w:t>
      </w:r>
      <w:proofErr w:type="spellStart"/>
      <w:r w:rsidR="003D7FB6">
        <w:t>alfa</w:t>
      </w:r>
      <w:proofErr w:type="spellEnd"/>
      <w:r>
        <w:t>. The risks of hypersensitivity, neutralising antibodies and thrombosis are recognised</w:t>
      </w:r>
      <w:r w:rsidR="005137B1">
        <w:t xml:space="preserve"> for VWF replacement generally.</w:t>
      </w:r>
    </w:p>
    <w:p w14:paraId="3A083FB0" w14:textId="42646B3E" w:rsidR="00C40326" w:rsidRDefault="00C40326" w:rsidP="00C40326">
      <w:pPr>
        <w:rPr>
          <w:b/>
          <w:bCs/>
        </w:rPr>
      </w:pPr>
      <w:r>
        <w:t>The Delega</w:t>
      </w:r>
      <w:r w:rsidR="00CB1089">
        <w:t xml:space="preserve">te notes, however, that the </w:t>
      </w:r>
      <w:proofErr w:type="spellStart"/>
      <w:r w:rsidR="00CB1089">
        <w:t>bio</w:t>
      </w:r>
      <w:r>
        <w:t>inequivalence</w:t>
      </w:r>
      <w:proofErr w:type="spellEnd"/>
      <w:r>
        <w:t xml:space="preserve"> between </w:t>
      </w:r>
      <w:proofErr w:type="spellStart"/>
      <w:r>
        <w:t>pdVWF</w:t>
      </w:r>
      <w:proofErr w:type="spellEnd"/>
      <w:r>
        <w:t xml:space="preserve"> and </w:t>
      </w:r>
      <w:proofErr w:type="spellStart"/>
      <w:r w:rsidR="003D7FB6">
        <w:t>vonicog</w:t>
      </w:r>
      <w:proofErr w:type="spellEnd"/>
      <w:r w:rsidR="003D7FB6">
        <w:t xml:space="preserve"> </w:t>
      </w:r>
      <w:proofErr w:type="spellStart"/>
      <w:r w:rsidR="003D7FB6">
        <w:t>alfa</w:t>
      </w:r>
      <w:proofErr w:type="spellEnd"/>
      <w:r>
        <w:t xml:space="preserve"> is not well known and feels this must be prominently ident</w:t>
      </w:r>
      <w:r w:rsidR="004F7950">
        <w:t>ified in the PI</w:t>
      </w:r>
      <w:r w:rsidR="00CB1089">
        <w:t xml:space="preserve"> to avoid possible </w:t>
      </w:r>
      <w:proofErr w:type="spellStart"/>
      <w:r w:rsidR="00CB1089">
        <w:t>mis</w:t>
      </w:r>
      <w:r>
        <w:t>dosing</w:t>
      </w:r>
      <w:proofErr w:type="spellEnd"/>
      <w:r>
        <w:t xml:space="preserve"> using existing clinical protocols for </w:t>
      </w:r>
      <w:proofErr w:type="spellStart"/>
      <w:r>
        <w:t>pdVWF</w:t>
      </w:r>
      <w:proofErr w:type="spellEnd"/>
      <w:r>
        <w:t>.</w:t>
      </w:r>
    </w:p>
    <w:p w14:paraId="7D9021E7" w14:textId="78955D09" w:rsidR="00D23139" w:rsidRDefault="00D23139" w:rsidP="00D23139">
      <w:pPr>
        <w:pStyle w:val="Heading4"/>
      </w:pPr>
      <w:r w:rsidRPr="00D23139">
        <w:t>Proposed action</w:t>
      </w:r>
    </w:p>
    <w:p w14:paraId="3279AF0B" w14:textId="18B33097" w:rsidR="00C40326" w:rsidRDefault="00C40326" w:rsidP="00C40326">
      <w:r>
        <w:t>The Delega</w:t>
      </w:r>
      <w:r w:rsidR="00F20AFC">
        <w:t xml:space="preserve">te intends to register </w:t>
      </w:r>
      <w:proofErr w:type="spellStart"/>
      <w:r w:rsidR="00F20AFC">
        <w:t>vonicog</w:t>
      </w:r>
      <w:proofErr w:type="spellEnd"/>
      <w:r w:rsidR="00F20AFC">
        <w:t xml:space="preserve"> a</w:t>
      </w:r>
      <w:r w:rsidR="004C38E6">
        <w:t>lpha for the indication:</w:t>
      </w:r>
    </w:p>
    <w:p w14:paraId="7684B72D" w14:textId="41F70813" w:rsidR="00CB1089" w:rsidRPr="00C71966" w:rsidRDefault="00AD6CB4" w:rsidP="00C71966">
      <w:pPr>
        <w:ind w:left="360"/>
        <w:rPr>
          <w:i/>
        </w:rPr>
      </w:pPr>
      <w:r w:rsidRPr="00C71966">
        <w:rPr>
          <w:i/>
        </w:rPr>
        <w:lastRenderedPageBreak/>
        <w:t>Veyvondi is indicated in adults</w:t>
      </w:r>
      <w:r w:rsidR="00C71966" w:rsidRPr="00C71966">
        <w:rPr>
          <w:i/>
        </w:rPr>
        <w:t xml:space="preserve"> (age 18 and older) with von </w:t>
      </w:r>
      <w:proofErr w:type="spellStart"/>
      <w:r w:rsidR="00C71966" w:rsidRPr="00C71966">
        <w:rPr>
          <w:i/>
        </w:rPr>
        <w:t>Willebrand</w:t>
      </w:r>
      <w:proofErr w:type="spellEnd"/>
      <w:r w:rsidR="00C71966" w:rsidRPr="00C71966">
        <w:rPr>
          <w:i/>
        </w:rPr>
        <w:t xml:space="preserve"> Disease (VWD), when desmopressin (DDAVP) treatment alone is ineffective or not indicated, for the</w:t>
      </w:r>
    </w:p>
    <w:p w14:paraId="526F707D" w14:textId="5141E508" w:rsidR="00C71966" w:rsidRPr="00C71966" w:rsidRDefault="00C71966" w:rsidP="00C71966">
      <w:pPr>
        <w:pStyle w:val="ListBullet"/>
        <w:ind w:left="720"/>
        <w:rPr>
          <w:i/>
        </w:rPr>
      </w:pPr>
      <w:r w:rsidRPr="00C71966">
        <w:rPr>
          <w:i/>
        </w:rPr>
        <w:t>treatment of haemorrhage and surgical bleeding</w:t>
      </w:r>
    </w:p>
    <w:p w14:paraId="67FC49CE" w14:textId="0DA0D4CD" w:rsidR="00C71966" w:rsidRPr="00C71966" w:rsidRDefault="00C71966" w:rsidP="00C71966">
      <w:pPr>
        <w:pStyle w:val="ListBullet"/>
        <w:ind w:left="720"/>
        <w:rPr>
          <w:i/>
        </w:rPr>
      </w:pPr>
      <w:r w:rsidRPr="00C71966">
        <w:rPr>
          <w:i/>
        </w:rPr>
        <w:t>prevention of surgical bleeding.</w:t>
      </w:r>
    </w:p>
    <w:p w14:paraId="6E107F28" w14:textId="2050EB2B" w:rsidR="00C71966" w:rsidRPr="00C71966" w:rsidRDefault="00C71966" w:rsidP="00C71966">
      <w:pPr>
        <w:pStyle w:val="ListBullet"/>
        <w:numPr>
          <w:ilvl w:val="0"/>
          <w:numId w:val="0"/>
        </w:numPr>
        <w:ind w:left="360"/>
        <w:rPr>
          <w:i/>
        </w:rPr>
      </w:pPr>
      <w:r w:rsidRPr="00C71966">
        <w:rPr>
          <w:i/>
        </w:rPr>
        <w:t>Veyvondi should not be used in the treatment of Haemophilia A.</w:t>
      </w:r>
    </w:p>
    <w:p w14:paraId="293A52E8" w14:textId="5221A930" w:rsidR="001D0022" w:rsidRPr="000B4C29" w:rsidRDefault="001D0022" w:rsidP="00C40326">
      <w:r>
        <w:t>The Delegate has recommended further amendments to the PI</w:t>
      </w:r>
      <w:r w:rsidR="009C7B11">
        <w:t xml:space="preserve"> [inclusion of these recommendations is beyond the scope of this AusPAR]</w:t>
      </w:r>
      <w:r>
        <w:t>.</w:t>
      </w:r>
    </w:p>
    <w:p w14:paraId="1D85B32D" w14:textId="77777777" w:rsidR="008E7846" w:rsidRDefault="008E7846" w:rsidP="007D53B6">
      <w:pPr>
        <w:pStyle w:val="Heading4"/>
      </w:pPr>
      <w:r>
        <w:t xml:space="preserve">Advisory Committee </w:t>
      </w:r>
      <w:r w:rsidR="007D53B6">
        <w:t>c</w:t>
      </w:r>
      <w:r>
        <w:t>onsiderations</w:t>
      </w:r>
      <w:r w:rsidR="00456765">
        <w:rPr>
          <w:rStyle w:val="FootnoteReference"/>
        </w:rPr>
        <w:footnoteReference w:id="15"/>
      </w:r>
    </w:p>
    <w:p w14:paraId="33FFEA81" w14:textId="77777777" w:rsidR="007D53B6" w:rsidRPr="007D53B6" w:rsidRDefault="007D53B6" w:rsidP="007D53B6">
      <w:r w:rsidRPr="007D53B6">
        <w:t>The Delegate did not refer this application to the Advisory Committee on Medicines (ACM) for advice.</w:t>
      </w:r>
    </w:p>
    <w:p w14:paraId="15FB7F76" w14:textId="77777777" w:rsidR="008E7846" w:rsidRPr="002E238E" w:rsidRDefault="008E7846" w:rsidP="008E7846">
      <w:pPr>
        <w:pStyle w:val="Heading3"/>
      </w:pPr>
      <w:bookmarkStart w:id="59" w:name="_Toc247691532"/>
      <w:bookmarkStart w:id="60" w:name="_Toc314842516"/>
      <w:bookmarkStart w:id="61" w:name="_Toc54175029"/>
      <w:bookmarkEnd w:id="29"/>
      <w:bookmarkEnd w:id="55"/>
      <w:bookmarkEnd w:id="56"/>
      <w:r>
        <w:t>Outcome</w:t>
      </w:r>
      <w:bookmarkEnd w:id="59"/>
      <w:bookmarkEnd w:id="60"/>
      <w:bookmarkEnd w:id="61"/>
    </w:p>
    <w:p w14:paraId="6C559DEB" w14:textId="3105B533" w:rsidR="007D53B6" w:rsidRDefault="007D53B6" w:rsidP="007D53B6">
      <w:bookmarkStart w:id="62" w:name="_Toc247691533"/>
      <w:bookmarkStart w:id="63" w:name="_Toc314842517"/>
      <w:r>
        <w:t>Based on a review of quality, safety and efficacy,</w:t>
      </w:r>
      <w:r w:rsidR="00A5075B">
        <w:t xml:space="preserve"> the</w:t>
      </w:r>
      <w:r>
        <w:t xml:space="preserve"> TGA approved the registration of </w:t>
      </w:r>
      <w:r w:rsidR="00CD3E19">
        <w:t>Veyvondi</w:t>
      </w:r>
      <w:r w:rsidR="00CD3E19">
        <w:rPr>
          <w:rFonts w:ascii="Helv" w:eastAsiaTheme="minorHAnsi" w:hAnsi="Helv" w:cs="Helv"/>
          <w:color w:val="000080"/>
          <w:sz w:val="20"/>
          <w:szCs w:val="20"/>
        </w:rPr>
        <w:t xml:space="preserve"> </w:t>
      </w:r>
      <w:r w:rsidR="00CD3E19" w:rsidRPr="00CD3E19">
        <w:t>(</w:t>
      </w:r>
      <w:proofErr w:type="spellStart"/>
      <w:r w:rsidR="00CD3E19" w:rsidRPr="00CD3E19">
        <w:t>vonicog</w:t>
      </w:r>
      <w:proofErr w:type="spellEnd"/>
      <w:r w:rsidR="00CD3E19" w:rsidRPr="00CD3E19">
        <w:t xml:space="preserve"> </w:t>
      </w:r>
      <w:proofErr w:type="spellStart"/>
      <w:r w:rsidR="00CD3E19" w:rsidRPr="00CD3E19">
        <w:t>alfa</w:t>
      </w:r>
      <w:proofErr w:type="spellEnd"/>
      <w:r w:rsidR="00CD3E19" w:rsidRPr="00CD3E19">
        <w:t>) 650 IU and 1300 IU powder for injection with solvent</w:t>
      </w:r>
      <w:r w:rsidR="00CD3E19">
        <w:t>, indicated for</w:t>
      </w:r>
      <w:r>
        <w:t>:</w:t>
      </w:r>
    </w:p>
    <w:p w14:paraId="28455CF4" w14:textId="241D4B9D" w:rsidR="00CD3E19" w:rsidRPr="00CD3E19" w:rsidRDefault="00CD3E19" w:rsidP="00CD3E19">
      <w:pPr>
        <w:ind w:left="360"/>
        <w:rPr>
          <w:i/>
        </w:rPr>
      </w:pPr>
      <w:r w:rsidRPr="00CD3E19">
        <w:rPr>
          <w:i/>
        </w:rPr>
        <w:t xml:space="preserve">Veyvondi is indicated in adults (age 18 and older) with von </w:t>
      </w:r>
      <w:proofErr w:type="spellStart"/>
      <w:r w:rsidRPr="00CD3E19">
        <w:rPr>
          <w:i/>
        </w:rPr>
        <w:t>Willebrand</w:t>
      </w:r>
      <w:proofErr w:type="spellEnd"/>
      <w:r w:rsidRPr="00CD3E19">
        <w:rPr>
          <w:i/>
        </w:rPr>
        <w:t xml:space="preserve"> Disease (VWD), when desmopressin (DDAVP) treatment alone is ineffective or not indicated, for the</w:t>
      </w:r>
    </w:p>
    <w:p w14:paraId="080BC7CC" w14:textId="603B9CCC" w:rsidR="00CD3E19" w:rsidRPr="00CD3E19" w:rsidRDefault="00CD3E19" w:rsidP="00CD3E19">
      <w:pPr>
        <w:pStyle w:val="ListBullet"/>
        <w:ind w:left="720"/>
        <w:rPr>
          <w:i/>
        </w:rPr>
      </w:pPr>
      <w:r w:rsidRPr="00CD3E19">
        <w:rPr>
          <w:i/>
        </w:rPr>
        <w:t>treatment of haemorrhage and surgical bleeding</w:t>
      </w:r>
    </w:p>
    <w:p w14:paraId="46FC97B4" w14:textId="74394CC2" w:rsidR="00CD3E19" w:rsidRPr="00CD3E19" w:rsidRDefault="00CD3E19" w:rsidP="00CD3E19">
      <w:pPr>
        <w:pStyle w:val="ListBullet"/>
        <w:ind w:left="720"/>
        <w:rPr>
          <w:i/>
        </w:rPr>
      </w:pPr>
      <w:r w:rsidRPr="00CD3E19">
        <w:rPr>
          <w:i/>
        </w:rPr>
        <w:t>prevention of surgical bleeding.</w:t>
      </w:r>
    </w:p>
    <w:p w14:paraId="2B982839" w14:textId="59A70AE2" w:rsidR="007D53B6" w:rsidRDefault="00CD3E19" w:rsidP="00CD3E19">
      <w:pPr>
        <w:ind w:left="360"/>
      </w:pPr>
      <w:r w:rsidRPr="00CD3E19">
        <w:rPr>
          <w:i/>
        </w:rPr>
        <w:t>Veyvondi should not be used in the treatment of Haemophilia A.</w:t>
      </w:r>
    </w:p>
    <w:p w14:paraId="63146F3D" w14:textId="1844E1F6" w:rsidR="00D23139" w:rsidRDefault="00D23139" w:rsidP="00D23139">
      <w:pPr>
        <w:pStyle w:val="Heading4"/>
      </w:pPr>
      <w:r w:rsidRPr="00D23139">
        <w:t>Specific conditions of registration applying to these goods</w:t>
      </w:r>
    </w:p>
    <w:p w14:paraId="259D532A" w14:textId="721ACE6C" w:rsidR="00E17603" w:rsidRPr="00E17603" w:rsidRDefault="00E17603" w:rsidP="00E17603">
      <w:pPr>
        <w:pStyle w:val="ListBullet"/>
      </w:pPr>
      <w:r>
        <w:rPr>
          <w:shd w:val="clear" w:color="auto" w:fill="FFFFFF"/>
        </w:rPr>
        <w:t>Veyvondi (</w:t>
      </w:r>
      <w:proofErr w:type="spellStart"/>
      <w:r>
        <w:rPr>
          <w:shd w:val="clear" w:color="auto" w:fill="FFFFFF"/>
        </w:rPr>
        <w:t>vonicog</w:t>
      </w:r>
      <w:proofErr w:type="spellEnd"/>
      <w:r>
        <w:rPr>
          <w:shd w:val="clear" w:color="auto" w:fill="FFFFFF"/>
        </w:rPr>
        <w:t xml:space="preserve"> </w:t>
      </w:r>
      <w:proofErr w:type="spellStart"/>
      <w:r>
        <w:rPr>
          <w:shd w:val="clear" w:color="auto" w:fill="FFFFFF"/>
        </w:rPr>
        <w:t>alfa</w:t>
      </w:r>
      <w:proofErr w:type="spellEnd"/>
      <w:r>
        <w:rPr>
          <w:shd w:val="clear" w:color="auto" w:fill="FFFFFF"/>
        </w:rPr>
        <w:t>) is to be included in the Black Triangle Scheme. The PI and Consumer Medicines Information (CMI) for Veyvondi must include the black triangle symbol and mandatory accompanying text for five years, which starts from the date that the sponsor notifies the TGA of supply of the product.</w:t>
      </w:r>
    </w:p>
    <w:p w14:paraId="6F2581CA" w14:textId="6BDF6E5A" w:rsidR="000921D9" w:rsidRPr="000921D9" w:rsidRDefault="000921D9" w:rsidP="000921D9">
      <w:pPr>
        <w:pStyle w:val="ListBullet"/>
        <w:rPr>
          <w:rFonts w:eastAsiaTheme="minorHAnsi" w:cs="Cambria"/>
          <w:color w:val="000000"/>
        </w:rPr>
      </w:pPr>
      <w:r>
        <w:rPr>
          <w:rFonts w:eastAsiaTheme="minorHAnsi" w:cs="Cambria"/>
          <w:color w:val="000000"/>
        </w:rPr>
        <w:t>The Veyvondi</w:t>
      </w:r>
      <w:r w:rsidR="003D7FB6">
        <w:rPr>
          <w:rFonts w:eastAsiaTheme="minorHAnsi" w:cs="Cambria"/>
          <w:color w:val="000000"/>
        </w:rPr>
        <w:t xml:space="preserve"> EU-RMP</w:t>
      </w:r>
      <w:r>
        <w:rPr>
          <w:rFonts w:eastAsiaTheme="minorHAnsi" w:cs="Cambria"/>
          <w:color w:val="000000"/>
        </w:rPr>
        <w:t xml:space="preserve"> (version 1.4, date 18 Sep</w:t>
      </w:r>
      <w:r w:rsidR="00543442">
        <w:rPr>
          <w:rFonts w:eastAsiaTheme="minorHAnsi" w:cs="Cambria"/>
          <w:color w:val="000000"/>
        </w:rPr>
        <w:t>tember</w:t>
      </w:r>
      <w:r>
        <w:rPr>
          <w:rFonts w:eastAsiaTheme="minorHAnsi" w:cs="Cambria"/>
          <w:color w:val="000000"/>
        </w:rPr>
        <w:t xml:space="preserve"> 2019; DLP 6 </w:t>
      </w:r>
      <w:r w:rsidR="003D7FB6">
        <w:t>March 2018), with ASA</w:t>
      </w:r>
      <w:r>
        <w:t xml:space="preserve"> (version 1.1, dated 10 January 2020), included with submission PM-2019-01555-1-6, and any subsequent revisions, as agreed with the TGA will be implemented in Australia.</w:t>
      </w:r>
    </w:p>
    <w:p w14:paraId="6346D7E8" w14:textId="0EED2F2F" w:rsidR="000921D9" w:rsidRDefault="000921D9" w:rsidP="003D7FB6">
      <w:pPr>
        <w:pStyle w:val="ListBullet"/>
        <w:numPr>
          <w:ilvl w:val="0"/>
          <w:numId w:val="0"/>
        </w:numPr>
        <w:ind w:left="360"/>
      </w:pPr>
      <w:r>
        <w:t>An obligatory component of risk management plans is routine pharmacovigilance. Routine pharmacovigilance includes the submission of periodic safety update reports (PSURs).</w:t>
      </w:r>
    </w:p>
    <w:p w14:paraId="64CE3682" w14:textId="00CD34A2" w:rsidR="000921D9" w:rsidRPr="000921D9" w:rsidRDefault="000921D9" w:rsidP="003D7FB6">
      <w:pPr>
        <w:pStyle w:val="ListBullet"/>
        <w:numPr>
          <w:ilvl w:val="0"/>
          <w:numId w:val="0"/>
        </w:numPr>
        <w:ind w:left="360"/>
      </w:pPr>
      <w:r>
        <w:lastRenderedPageBreak/>
        <w:t xml:space="preserve">Reports are to be provided in line with the current published list of EU reference dates </w:t>
      </w:r>
      <w:r>
        <w:rPr>
          <w:rFonts w:eastAsiaTheme="minorHAnsi" w:cs="Cambria"/>
          <w:color w:val="000000"/>
        </w:rPr>
        <w:t>and frequency of submission of PSURs until the period covered by such reports is not</w:t>
      </w:r>
      <w:r>
        <w:t xml:space="preserve"> </w:t>
      </w:r>
      <w:r>
        <w:rPr>
          <w:rFonts w:eastAsiaTheme="minorHAnsi" w:cs="Cambria"/>
          <w:color w:val="000000"/>
        </w:rPr>
        <w:t>less than three years from the date of t</w:t>
      </w:r>
      <w:r w:rsidR="0006071C">
        <w:rPr>
          <w:rFonts w:eastAsiaTheme="minorHAnsi" w:cs="Cambria"/>
          <w:color w:val="000000"/>
        </w:rPr>
        <w:t>he</w:t>
      </w:r>
      <w:r>
        <w:rPr>
          <w:rFonts w:eastAsiaTheme="minorHAnsi" w:cs="Cambria"/>
          <w:color w:val="000000"/>
        </w:rPr>
        <w:t xml:space="preserve"> approval letter.</w:t>
      </w:r>
    </w:p>
    <w:p w14:paraId="0CC60CBB" w14:textId="13126156" w:rsidR="000921D9" w:rsidRDefault="000921D9" w:rsidP="00E17603">
      <w:pPr>
        <w:pStyle w:val="ListBullet"/>
        <w:numPr>
          <w:ilvl w:val="0"/>
          <w:numId w:val="0"/>
        </w:numPr>
        <w:ind w:left="360"/>
      </w:pPr>
      <w:r>
        <w:t>The reports are to at least meet the requirements for PSURs as described in the European Medicines Agency’s Guideli</w:t>
      </w:r>
      <w:r w:rsidR="003D7FB6">
        <w:t>ne on Good P</w:t>
      </w:r>
      <w:r>
        <w:t>h</w:t>
      </w:r>
      <w:r w:rsidR="003D7FB6">
        <w:t>armacovigilance P</w:t>
      </w:r>
      <w:r>
        <w:t>ractices (GVP) Module VII-periodic safety update report (Rev 1), Part VII.B Structures and processes.</w:t>
      </w:r>
      <w:r w:rsidR="00E17603">
        <w:t xml:space="preserve"> </w:t>
      </w:r>
      <w:r>
        <w:t>Note that submission of a PSUR does not constitute an application to vary the registration.</w:t>
      </w:r>
    </w:p>
    <w:p w14:paraId="369B2D6B" w14:textId="47B2B00B" w:rsidR="000921D9" w:rsidRDefault="004C38E6" w:rsidP="000921D9">
      <w:pPr>
        <w:pStyle w:val="ListBullet"/>
      </w:pPr>
      <w:r>
        <w:t>Batch release testing and</w:t>
      </w:r>
      <w:r w:rsidR="000921D9">
        <w:t xml:space="preserve"> compliance with</w:t>
      </w:r>
      <w:r w:rsidR="00E17603">
        <w:t xml:space="preserve"> Certified Product Details</w:t>
      </w:r>
    </w:p>
    <w:p w14:paraId="60AB1812" w14:textId="05A80030" w:rsidR="000921D9" w:rsidRDefault="000921D9" w:rsidP="003D7FB6">
      <w:pPr>
        <w:pStyle w:val="ListBullet2"/>
      </w:pPr>
      <w:r>
        <w:t>It is a condition of registrat</w:t>
      </w:r>
      <w:r w:rsidR="00E17603">
        <w:t>ion that all batches of Veyvondi (</w:t>
      </w:r>
      <w:proofErr w:type="spellStart"/>
      <w:r>
        <w:t>vonicog</w:t>
      </w:r>
      <w:proofErr w:type="spellEnd"/>
      <w:r>
        <w:t xml:space="preserve"> </w:t>
      </w:r>
      <w:proofErr w:type="spellStart"/>
      <w:r>
        <w:t>alfa</w:t>
      </w:r>
      <w:proofErr w:type="spellEnd"/>
      <w:r w:rsidR="00E17603">
        <w:t>)</w:t>
      </w:r>
      <w:r>
        <w:t xml:space="preserve"> 650 IU powder for injection with solvent vials an</w:t>
      </w:r>
      <w:r w:rsidR="00E17603">
        <w:t>d Veyvondi (</w:t>
      </w:r>
      <w:proofErr w:type="spellStart"/>
      <w:r>
        <w:t>vonicog</w:t>
      </w:r>
      <w:proofErr w:type="spellEnd"/>
      <w:r>
        <w:t xml:space="preserve"> </w:t>
      </w:r>
      <w:proofErr w:type="spellStart"/>
      <w:r>
        <w:t>alfa</w:t>
      </w:r>
      <w:proofErr w:type="spellEnd"/>
      <w:r w:rsidR="00E17603">
        <w:t>)</w:t>
      </w:r>
      <w:r>
        <w:t xml:space="preserve"> 1300 IU powder for injection with solvent vials imported into/manufactured in Australia must comply with the product details and specifications approved during evaluation and detailed in the Certified Product Details (CPD).</w:t>
      </w:r>
    </w:p>
    <w:p w14:paraId="4541969B" w14:textId="323C91F9" w:rsidR="000921D9" w:rsidRDefault="000921D9" w:rsidP="003D7FB6">
      <w:pPr>
        <w:pStyle w:val="ListBullet2"/>
      </w:pPr>
      <w:r>
        <w:t xml:space="preserve">It is a condition of registration that up to 5 initial batches of </w:t>
      </w:r>
      <w:r w:rsidR="00E17603">
        <w:t>Veyvondi (</w:t>
      </w:r>
      <w:proofErr w:type="spellStart"/>
      <w:r w:rsidR="00E17603">
        <w:t>vonicog</w:t>
      </w:r>
      <w:proofErr w:type="spellEnd"/>
      <w:r w:rsidR="00E17603">
        <w:t xml:space="preserve"> </w:t>
      </w:r>
      <w:proofErr w:type="spellStart"/>
      <w:r w:rsidR="00E17603">
        <w:t>alfa</w:t>
      </w:r>
      <w:proofErr w:type="spellEnd"/>
      <w:r w:rsidR="00E17603">
        <w:t>)</w:t>
      </w:r>
      <w:r>
        <w:t xml:space="preserve"> 650 IU powder for injection with solvent vials and </w:t>
      </w:r>
      <w:r w:rsidR="00E17603">
        <w:t>Veyvondi (</w:t>
      </w:r>
      <w:proofErr w:type="spellStart"/>
      <w:r w:rsidR="00E17603">
        <w:t>vonicog</w:t>
      </w:r>
      <w:proofErr w:type="spellEnd"/>
      <w:r w:rsidR="00E17603">
        <w:t xml:space="preserve"> </w:t>
      </w:r>
      <w:proofErr w:type="spellStart"/>
      <w:r w:rsidR="00E17603">
        <w:t>alfa</w:t>
      </w:r>
      <w:proofErr w:type="spellEnd"/>
      <w:r w:rsidR="00E17603">
        <w:t>)</w:t>
      </w:r>
      <w:r>
        <w:t xml:space="preserve"> 1300 IU powder for injection with solvent vials imported into/manufactured in Australia is not released for sale until samples and/or the manufacturer’s release data have been assessed and endorsed for release by the TGA Laboratories Branch. Outcomes of laboratory testing are published biannually in the TGA Database of Laboratory Testing Results http://www.tga.gov.au/ws-labs-index.</w:t>
      </w:r>
    </w:p>
    <w:p w14:paraId="624C438F" w14:textId="26322FB1" w:rsidR="000921D9" w:rsidRPr="003D7FB6" w:rsidRDefault="000921D9" w:rsidP="003D7FB6">
      <w:pPr>
        <w:pStyle w:val="ListBullet2"/>
      </w:pPr>
      <w:r>
        <w:t xml:space="preserve">The sponsor should be prepared to provide product samples, reference materials and documentary evidence as defined by the TGA Laboratories branch. The sponsor must contact </w:t>
      </w:r>
      <w:r>
        <w:rPr>
          <w:color w:val="0000FF"/>
        </w:rPr>
        <w:t xml:space="preserve">Biochemistry.Testing@health.gov.au </w:t>
      </w:r>
      <w:r>
        <w:t>for specific material requirements related to the batch release testing/assessment of the product. More information on TGA testing of biological medicines is available at</w:t>
      </w:r>
      <w:r w:rsidR="003D7FB6">
        <w:t xml:space="preserve"> </w:t>
      </w:r>
      <w:r w:rsidRPr="003D7FB6">
        <w:rPr>
          <w:rFonts w:eastAsiaTheme="minorHAnsi" w:cs="Cambria"/>
          <w:color w:val="0000FF"/>
        </w:rPr>
        <w:t xml:space="preserve">https://www.tga.gov.au/publica </w:t>
      </w:r>
      <w:proofErr w:type="spellStart"/>
      <w:r w:rsidRPr="003D7FB6">
        <w:rPr>
          <w:rFonts w:eastAsiaTheme="minorHAnsi" w:cs="Cambria"/>
          <w:color w:val="0000FF"/>
        </w:rPr>
        <w:t>tion</w:t>
      </w:r>
      <w:proofErr w:type="spellEnd"/>
      <w:r w:rsidRPr="003D7FB6">
        <w:rPr>
          <w:rFonts w:eastAsiaTheme="minorHAnsi" w:cs="Cambria"/>
          <w:color w:val="0000FF"/>
        </w:rPr>
        <w:t>/testing-biological-medicines</w:t>
      </w:r>
    </w:p>
    <w:p w14:paraId="40CBB88B" w14:textId="769D689A" w:rsidR="000921D9" w:rsidRPr="00E17603" w:rsidRDefault="000921D9" w:rsidP="003D7FB6">
      <w:pPr>
        <w:pStyle w:val="ListBullet"/>
        <w:numPr>
          <w:ilvl w:val="0"/>
          <w:numId w:val="0"/>
        </w:numPr>
        <w:ind w:left="360"/>
      </w:pPr>
      <w:r>
        <w:t xml:space="preserve">This batch release condition will be reviewed and may be modified on the basis of actual batch quality and consistency. </w:t>
      </w:r>
      <w:r w:rsidRPr="00E17603">
        <w:rPr>
          <w:rFonts w:ascii="Cambria-Bold" w:hAnsi="Cambria-Bold" w:cs="Cambria-Bold"/>
          <w:bCs/>
        </w:rPr>
        <w:t>This condition remains in place until you are</w:t>
      </w:r>
      <w:r w:rsidRPr="00E17603">
        <w:t xml:space="preserve"> </w:t>
      </w:r>
      <w:r w:rsidRPr="00E17603">
        <w:rPr>
          <w:rFonts w:ascii="Cambria-Bold" w:hAnsi="Cambria-Bold" w:cs="Cambria-Bold"/>
          <w:bCs/>
        </w:rPr>
        <w:t>notified in writing of any variation.</w:t>
      </w:r>
    </w:p>
    <w:p w14:paraId="627379D2" w14:textId="77777777" w:rsidR="000921D9" w:rsidRDefault="000921D9" w:rsidP="003D7FB6">
      <w:pPr>
        <w:pStyle w:val="ListBullet"/>
      </w:pPr>
      <w:r>
        <w:t>Certified Product Details</w:t>
      </w:r>
    </w:p>
    <w:p w14:paraId="691DCEC3" w14:textId="6EC7A063" w:rsidR="00456765" w:rsidRPr="003D7FB6" w:rsidRDefault="00E17603" w:rsidP="003D7FB6">
      <w:pPr>
        <w:pStyle w:val="ListBullet"/>
        <w:numPr>
          <w:ilvl w:val="0"/>
          <w:numId w:val="0"/>
        </w:numPr>
        <w:ind w:left="360"/>
      </w:pPr>
      <w:r>
        <w:t>The CPD</w:t>
      </w:r>
      <w:r w:rsidR="000921D9">
        <w:t>, as described in Guidance 7: Certified Product Details of the Australian Regulatory Guidelines for Prescription Medicines (ARGPM)</w:t>
      </w:r>
      <w:r w:rsidR="003D7FB6">
        <w:t xml:space="preserve"> </w:t>
      </w:r>
      <w:r w:rsidR="000921D9">
        <w:rPr>
          <w:rFonts w:eastAsiaTheme="minorHAnsi" w:cs="Cambria"/>
          <w:color w:val="000000"/>
        </w:rPr>
        <w:t>[</w:t>
      </w:r>
      <w:r w:rsidR="000921D9">
        <w:rPr>
          <w:rFonts w:eastAsiaTheme="minorHAnsi" w:cs="Cambria"/>
          <w:color w:val="0000FF"/>
        </w:rPr>
        <w:t>http://www.tga.gov.au/industry/pm-argpm-guidance-7.htm</w:t>
      </w:r>
      <w:r w:rsidR="000921D9">
        <w:rPr>
          <w:rFonts w:eastAsiaTheme="minorHAnsi" w:cs="Cambria"/>
          <w:color w:val="000000"/>
        </w:rPr>
        <w:t>],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3AA4BCE8" w14:textId="360DEE95" w:rsidR="00961D6C" w:rsidRPr="000921D9" w:rsidRDefault="00961D6C" w:rsidP="00961D6C">
      <w:pPr>
        <w:pStyle w:val="ListBullet"/>
      </w:pPr>
      <w:r w:rsidRPr="00961D6C">
        <w:t>For all injectable products the PI must be included with the product as a package insert.</w:t>
      </w:r>
    </w:p>
    <w:p w14:paraId="319C390F" w14:textId="77777777" w:rsidR="008E7846" w:rsidRDefault="00A80B5B" w:rsidP="00D23139">
      <w:pPr>
        <w:pStyle w:val="Heading2"/>
      </w:pPr>
      <w:bookmarkStart w:id="64" w:name="_Toc54175030"/>
      <w:r>
        <w:t xml:space="preserve">Attachment 1. </w:t>
      </w:r>
      <w:r w:rsidR="008E7846">
        <w:t xml:space="preserve">Product </w:t>
      </w:r>
      <w:r w:rsidR="00AA0ED0">
        <w:t>I</w:t>
      </w:r>
      <w:r w:rsidR="008E7846">
        <w:t>nformation</w:t>
      </w:r>
      <w:bookmarkEnd w:id="62"/>
      <w:bookmarkEnd w:id="63"/>
      <w:bookmarkEnd w:id="64"/>
    </w:p>
    <w:p w14:paraId="598B126C" w14:textId="74177A68" w:rsidR="00770CAC" w:rsidRPr="001D0022" w:rsidRDefault="006136D7" w:rsidP="001D0022">
      <w:pPr>
        <w:rPr>
          <w:color w:val="000000"/>
          <w:lang w:eastAsia="en-AU"/>
        </w:rPr>
      </w:pPr>
      <w:r w:rsidRPr="002B3624">
        <w:t xml:space="preserve">The </w:t>
      </w:r>
      <w:r>
        <w:t>PI</w:t>
      </w:r>
      <w:r w:rsidRPr="002B3624">
        <w:t xml:space="preserve"> for </w:t>
      </w:r>
      <w:r w:rsidR="000C5CB8" w:rsidRPr="000C5CB8">
        <w:t>Veyvondi</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8" w:history="1">
        <w:r w:rsidR="007C6B9B" w:rsidRPr="007C6B9B">
          <w:rPr>
            <w:rStyle w:val="Hyperlink"/>
          </w:rPr>
          <w:t>https://www.tga.gov.au/product-information-pi</w:t>
        </w:r>
      </w:hyperlink>
      <w:r w:rsidR="000C5CB8">
        <w:t>&gt;.</w:t>
      </w:r>
    </w:p>
    <w:p w14:paraId="474E982B" w14:textId="77777777" w:rsidR="00291957" w:rsidRDefault="00291957" w:rsidP="00291957">
      <w:pPr>
        <w:rPr>
          <w:lang w:eastAsia="ja-JP"/>
        </w:rPr>
      </w:pPr>
    </w:p>
    <w:p w14:paraId="2D3088C8" w14:textId="77777777" w:rsidR="00C80137" w:rsidRPr="001D043B" w:rsidRDefault="00C80137" w:rsidP="003A7F6C">
      <w:pPr>
        <w:pStyle w:val="TableTitle"/>
        <w:sectPr w:rsidR="00C80137" w:rsidRPr="001D043B" w:rsidSect="00B452CE">
          <w:headerReference w:type="even" r:id="rId29"/>
          <w:headerReference w:type="default" r:id="rId30"/>
          <w:headerReference w:type="first" r:id="rId31"/>
          <w:footerReference w:type="first" r:id="rId32"/>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1A8B40C3" w14:textId="77777777" w:rsidTr="00A05FA4">
        <w:trPr>
          <w:trHeight w:hRule="exact" w:val="704"/>
        </w:trPr>
        <w:tc>
          <w:tcPr>
            <w:tcW w:w="9175" w:type="dxa"/>
          </w:tcPr>
          <w:p w14:paraId="39FC2E5C" w14:textId="77777777" w:rsidR="001C32CD" w:rsidRPr="00487162" w:rsidRDefault="001C32CD" w:rsidP="00A05FA4">
            <w:pPr>
              <w:pStyle w:val="TGASignoff"/>
            </w:pPr>
            <w:r w:rsidRPr="00487162">
              <w:lastRenderedPageBreak/>
              <w:t>Therapeutic Goods Administration</w:t>
            </w:r>
          </w:p>
        </w:tc>
      </w:tr>
      <w:tr w:rsidR="001C32CD" w:rsidRPr="004C239D" w14:paraId="7774C979" w14:textId="77777777" w:rsidTr="00A05FA4">
        <w:trPr>
          <w:trHeight w:val="1221"/>
        </w:trPr>
        <w:tc>
          <w:tcPr>
            <w:tcW w:w="9175" w:type="dxa"/>
            <w:tcMar>
              <w:top w:w="28" w:type="dxa"/>
            </w:tcMar>
          </w:tcPr>
          <w:p w14:paraId="6B403B4D" w14:textId="77777777" w:rsidR="001C32CD" w:rsidRPr="00487162" w:rsidRDefault="001C32CD" w:rsidP="00A05FA4">
            <w:pPr>
              <w:pStyle w:val="Address"/>
            </w:pPr>
            <w:r w:rsidRPr="00487162">
              <w:t>PO Box 100 Woden ACT 2606 Australia</w:t>
            </w:r>
          </w:p>
          <w:p w14:paraId="1A2FD73C" w14:textId="43BFD10E" w:rsidR="001C32CD" w:rsidRPr="00487162" w:rsidRDefault="001C32CD" w:rsidP="00A05FA4">
            <w:pPr>
              <w:pStyle w:val="Address"/>
            </w:pPr>
            <w:r w:rsidRPr="00487162">
              <w:t xml:space="preserve">Email: </w:t>
            </w:r>
            <w:hyperlink r:id="rId33" w:history="1">
              <w:r w:rsidRPr="004C239D">
                <w:rPr>
                  <w:rStyle w:val="Hyperlink"/>
                </w:rPr>
                <w:t>info@tga.gov.au</w:t>
              </w:r>
            </w:hyperlink>
            <w:r w:rsidRPr="00487162">
              <w:t xml:space="preserve">  Phone: 1800 020 653  Fax: 02 6232 8605</w:t>
            </w:r>
          </w:p>
          <w:p w14:paraId="3860DFC1" w14:textId="30C3E7DE" w:rsidR="001C32CD" w:rsidRPr="004C239D" w:rsidRDefault="00B01691" w:rsidP="00A05FA4">
            <w:pPr>
              <w:pStyle w:val="Address"/>
              <w:spacing w:line="260" w:lineRule="atLeast"/>
              <w:rPr>
                <w:b/>
                <w:color w:val="0000FF"/>
                <w:u w:val="single"/>
              </w:rPr>
            </w:pPr>
            <w:hyperlink r:id="rId34" w:history="1">
              <w:r w:rsidR="007C6B9B" w:rsidRPr="007C6B9B">
                <w:rPr>
                  <w:rStyle w:val="Hyperlink"/>
                  <w:b/>
                </w:rPr>
                <w:t>https://www.tga.gov.au</w:t>
              </w:r>
            </w:hyperlink>
          </w:p>
        </w:tc>
      </w:tr>
    </w:tbl>
    <w:p w14:paraId="56622968" w14:textId="77777777" w:rsidR="00774E1D" w:rsidRPr="008A5E0B" w:rsidRDefault="00774E1D" w:rsidP="004C239D"/>
    <w:sectPr w:rsidR="00774E1D" w:rsidRPr="008A5E0B" w:rsidSect="001C32CD">
      <w:headerReference w:type="even" r:id="rId35"/>
      <w:headerReference w:type="default" r:id="rId36"/>
      <w:footerReference w:type="default" r:id="rId37"/>
      <w:headerReference w:type="first" r:id="rId38"/>
      <w:footerReference w:type="first" r:id="rId39"/>
      <w:pgSz w:w="11906" w:h="16838" w:code="9"/>
      <w:pgMar w:top="13467" w:right="1701" w:bottom="426" w:left="1701" w:header="907"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1B2F49" w16cid:durableId="22D573D0"/>
  <w16cid:commentId w16cid:paraId="35789866" w16cid:durableId="22D575BE"/>
  <w16cid:commentId w16cid:paraId="34511028" w16cid:durableId="22D5717A"/>
  <w16cid:commentId w16cid:paraId="0D3B1162" w16cid:durableId="22D571DB"/>
  <w16cid:commentId w16cid:paraId="1FF82503" w16cid:durableId="22D5723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6A0045" w14:textId="77777777" w:rsidR="00B01691" w:rsidRDefault="00B01691" w:rsidP="00C40A36">
      <w:pPr>
        <w:spacing w:after="0"/>
      </w:pPr>
      <w:r>
        <w:separator/>
      </w:r>
    </w:p>
  </w:endnote>
  <w:endnote w:type="continuationSeparator" w:id="0">
    <w:p w14:paraId="6D43E4F9" w14:textId="77777777" w:rsidR="00B01691" w:rsidRDefault="00B0169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ArialMT">
    <w:altName w:val="MS Gothic"/>
    <w:panose1 w:val="00000000000000000000"/>
    <w:charset w:val="80"/>
    <w:family w:val="auto"/>
    <w:notTrueType/>
    <w:pitch w:val="default"/>
    <w:sig w:usb0="00000000" w:usb1="08070000" w:usb2="00000010" w:usb3="00000000" w:csb0="00020000" w:csb1="00000000"/>
  </w:font>
  <w:font w:name="Cambria-Bold">
    <w:altName w:val="Cambria"/>
    <w:panose1 w:val="00000000000000000000"/>
    <w:charset w:val="00"/>
    <w:family w:val="roman"/>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5BA4C" w14:textId="77777777" w:rsidR="00B01691" w:rsidRDefault="00B016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B01691" w:rsidRPr="00487162" w14:paraId="401997A8" w14:textId="77777777" w:rsidTr="00DB750B">
      <w:trPr>
        <w:trHeight w:val="269"/>
      </w:trPr>
      <w:tc>
        <w:tcPr>
          <w:tcW w:w="7371" w:type="dxa"/>
          <w:tcMar>
            <w:top w:w="142" w:type="dxa"/>
            <w:bottom w:w="0" w:type="dxa"/>
          </w:tcMar>
        </w:tcPr>
        <w:p w14:paraId="4D6211E2" w14:textId="3CD07B6D" w:rsidR="00B01691" w:rsidRPr="00487162" w:rsidRDefault="00B01691" w:rsidP="00AF6B0D">
          <w:pPr>
            <w:pStyle w:val="Footer"/>
          </w:pPr>
          <w:r w:rsidRPr="00487162">
            <w:t>AusPA</w:t>
          </w:r>
          <w:r>
            <w:t xml:space="preserve">R - </w:t>
          </w:r>
          <w:r w:rsidRPr="000B4C29">
            <w:t xml:space="preserve">VEYVONDI - </w:t>
          </w:r>
          <w:proofErr w:type="spellStart"/>
          <w:r w:rsidRPr="000B4C29">
            <w:t>vonicog</w:t>
          </w:r>
          <w:proofErr w:type="spellEnd"/>
          <w:r w:rsidRPr="000B4C29">
            <w:t xml:space="preserve"> </w:t>
          </w:r>
          <w:proofErr w:type="spellStart"/>
          <w:r w:rsidRPr="000B4C29">
            <w:t>alfa</w:t>
          </w:r>
          <w:proofErr w:type="spellEnd"/>
          <w:r w:rsidRPr="000B4C29">
            <w:t xml:space="preserve"> - Shire Australia Pty Ltd - PM-2019-01555-1-6</w:t>
          </w:r>
          <w:r>
            <w:br/>
            <w:t>FINAL 14 October 2020</w:t>
          </w:r>
        </w:p>
      </w:tc>
      <w:tc>
        <w:tcPr>
          <w:tcW w:w="1490" w:type="dxa"/>
          <w:tcMar>
            <w:top w:w="142" w:type="dxa"/>
            <w:bottom w:w="0" w:type="dxa"/>
          </w:tcMar>
        </w:tcPr>
        <w:p w14:paraId="4654D91A" w14:textId="7500F812" w:rsidR="00B01691" w:rsidRPr="00487162" w:rsidRDefault="00B01691" w:rsidP="00DB750B">
          <w:pPr>
            <w:pStyle w:val="Footer"/>
            <w:jc w:val="right"/>
          </w:pPr>
          <w:r w:rsidRPr="00487162">
            <w:t xml:space="preserve">Page </w:t>
          </w:r>
          <w:r>
            <w:fldChar w:fldCharType="begin"/>
          </w:r>
          <w:r>
            <w:instrText xml:space="preserve"> PAGE  \* Arabic </w:instrText>
          </w:r>
          <w:r>
            <w:fldChar w:fldCharType="separate"/>
          </w:r>
          <w:r w:rsidR="00061954">
            <w:rPr>
              <w:noProof/>
            </w:rPr>
            <w:t>3</w:t>
          </w:r>
          <w:r>
            <w:fldChar w:fldCharType="end"/>
          </w:r>
          <w:r w:rsidRPr="00487162">
            <w:t xml:space="preserve"> of </w:t>
          </w:r>
          <w:fldSimple w:instr=" NUMPAGES  \* Arabic ">
            <w:r w:rsidR="00061954">
              <w:rPr>
                <w:noProof/>
              </w:rPr>
              <w:t>24</w:t>
            </w:r>
          </w:fldSimple>
        </w:p>
      </w:tc>
    </w:tr>
  </w:tbl>
  <w:p w14:paraId="30DBE05F" w14:textId="77777777" w:rsidR="00B01691" w:rsidRDefault="00B01691"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3E010" w14:textId="77777777" w:rsidR="00B01691" w:rsidRDefault="00B016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01691" w:rsidRPr="00487162" w14:paraId="58B14247" w14:textId="77777777" w:rsidTr="00E45619">
      <w:trPr>
        <w:trHeight w:val="269"/>
      </w:trPr>
      <w:tc>
        <w:tcPr>
          <w:tcW w:w="4519" w:type="dxa"/>
          <w:tcBorders>
            <w:top w:val="single" w:sz="4" w:space="0" w:color="auto"/>
          </w:tcBorders>
          <w:tcMar>
            <w:top w:w="142" w:type="dxa"/>
            <w:bottom w:w="0" w:type="dxa"/>
          </w:tcMar>
        </w:tcPr>
        <w:p w14:paraId="00AB25C4" w14:textId="77777777" w:rsidR="00B01691" w:rsidRPr="00487162" w:rsidRDefault="00B01691" w:rsidP="00FE1DEE">
          <w:pPr>
            <w:pStyle w:val="Footer"/>
          </w:pPr>
          <w:r w:rsidRPr="00487162">
            <w:t>Document title, Part #, Section # - Section title</w:t>
          </w:r>
        </w:p>
        <w:p w14:paraId="40D479DD" w14:textId="77777777" w:rsidR="00B01691" w:rsidRPr="00487162" w:rsidRDefault="00B01691" w:rsidP="00FE1DEE">
          <w:pPr>
            <w:pStyle w:val="Footer"/>
          </w:pPr>
          <w:r w:rsidRPr="00487162">
            <w:t>V1.0 October 2010</w:t>
          </w:r>
        </w:p>
      </w:tc>
      <w:tc>
        <w:tcPr>
          <w:tcW w:w="4342" w:type="dxa"/>
          <w:tcBorders>
            <w:top w:val="single" w:sz="4" w:space="0" w:color="auto"/>
          </w:tcBorders>
          <w:tcMar>
            <w:top w:w="142" w:type="dxa"/>
            <w:bottom w:w="0" w:type="dxa"/>
          </w:tcMar>
        </w:tcPr>
        <w:p w14:paraId="3253ECD4" w14:textId="77777777" w:rsidR="00B01691" w:rsidRPr="00487162" w:rsidRDefault="00B0169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w:t>
            </w:r>
          </w:fldSimple>
        </w:p>
      </w:tc>
    </w:tr>
  </w:tbl>
  <w:p w14:paraId="23487FA7" w14:textId="77777777" w:rsidR="00B01691" w:rsidRDefault="00B0169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0A798" w14:textId="77777777" w:rsidR="00B01691" w:rsidRPr="001C32CD" w:rsidRDefault="00B01691"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01691" w14:paraId="7512A611" w14:textId="77777777" w:rsidTr="0010601F">
      <w:trPr>
        <w:trHeight w:val="108"/>
      </w:trPr>
      <w:tc>
        <w:tcPr>
          <w:tcW w:w="8875" w:type="dxa"/>
          <w:gridSpan w:val="2"/>
          <w:tcBorders>
            <w:bottom w:val="single" w:sz="4" w:space="0" w:color="auto"/>
          </w:tcBorders>
          <w:tcMar>
            <w:right w:w="284" w:type="dxa"/>
          </w:tcMar>
        </w:tcPr>
        <w:p w14:paraId="7D9AC0B6" w14:textId="77777777" w:rsidR="00B01691" w:rsidRDefault="00B01691" w:rsidP="006E08B3">
          <w:pPr>
            <w:pStyle w:val="Heading3"/>
          </w:pPr>
          <w:r>
            <w:t>Copyright</w:t>
          </w:r>
        </w:p>
        <w:p w14:paraId="34DFEEDE" w14:textId="77777777" w:rsidR="00B01691" w:rsidRDefault="00B01691" w:rsidP="006E08B3">
          <w:r>
            <w:rPr>
              <w:rFonts w:cs="Arial"/>
            </w:rPr>
            <w:t>©</w:t>
          </w:r>
          <w:r>
            <w:t xml:space="preserve"> Commonwealth of Australia [add year]</w:t>
          </w:r>
        </w:p>
        <w:p w14:paraId="0DDB9218" w14:textId="77777777" w:rsidR="00B01691" w:rsidRDefault="00B01691" w:rsidP="006E08B3"/>
        <w:p w14:paraId="3B805539" w14:textId="77777777" w:rsidR="00B01691" w:rsidRDefault="00B0169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45522F84" w14:textId="77777777" w:rsidR="00B01691" w:rsidRDefault="00B01691" w:rsidP="006E08B3"/>
        <w:p w14:paraId="7CF5C38D" w14:textId="77777777" w:rsidR="00B01691" w:rsidRDefault="00B01691" w:rsidP="006E08B3">
          <w:pPr>
            <w:pStyle w:val="Heading3"/>
          </w:pPr>
          <w:r>
            <w:t>Confidentiality</w:t>
          </w:r>
        </w:p>
        <w:p w14:paraId="7B5BE7F0" w14:textId="77777777" w:rsidR="00B01691" w:rsidRDefault="00B0169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FDDDBCD" w14:textId="77777777" w:rsidR="00B01691" w:rsidRDefault="00B01691" w:rsidP="006E08B3"/>
        <w:p w14:paraId="4D45F375" w14:textId="77777777" w:rsidR="00B01691" w:rsidRDefault="00B01691" w:rsidP="006E08B3">
          <w:r>
            <w:t>For submission made by individuals, all personal details, other than your name, will be removed from your submission before it is published on the TGA’s Internet site.</w:t>
          </w:r>
        </w:p>
        <w:p w14:paraId="0F999AE3" w14:textId="77777777" w:rsidR="00B01691" w:rsidRDefault="00B01691" w:rsidP="006E08B3"/>
        <w:p w14:paraId="12D79F9B" w14:textId="77777777" w:rsidR="00B01691" w:rsidRDefault="00B01691"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B01691" w14:paraId="49C59DEB" w14:textId="77777777" w:rsidTr="0010601F">
      <w:trPr>
        <w:trHeight w:val="417"/>
      </w:trPr>
      <w:tc>
        <w:tcPr>
          <w:tcW w:w="4519" w:type="dxa"/>
          <w:tcBorders>
            <w:top w:val="single" w:sz="4" w:space="0" w:color="auto"/>
          </w:tcBorders>
          <w:tcMar>
            <w:top w:w="142" w:type="dxa"/>
            <w:bottom w:w="0" w:type="dxa"/>
          </w:tcMar>
        </w:tcPr>
        <w:p w14:paraId="6779D32F" w14:textId="77777777" w:rsidR="00B01691" w:rsidRDefault="00B01691" w:rsidP="006E08B3">
          <w:r>
            <w:t>Document title, Part #, Section # - Section title</w:t>
          </w:r>
        </w:p>
        <w:p w14:paraId="47A79966" w14:textId="77777777" w:rsidR="00B01691" w:rsidRDefault="00B01691" w:rsidP="006E08B3">
          <w:r>
            <w:t>V1.0 October 2010</w:t>
          </w:r>
        </w:p>
      </w:tc>
      <w:tc>
        <w:tcPr>
          <w:tcW w:w="4356" w:type="dxa"/>
          <w:tcBorders>
            <w:top w:val="single" w:sz="4" w:space="0" w:color="auto"/>
          </w:tcBorders>
          <w:tcMar>
            <w:top w:w="142" w:type="dxa"/>
            <w:bottom w:w="0" w:type="dxa"/>
          </w:tcMar>
        </w:tcPr>
        <w:p w14:paraId="03B4CA68" w14:textId="77777777" w:rsidR="00B01691" w:rsidRDefault="00B0169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w:t>
            </w:r>
          </w:fldSimple>
          <w:r>
            <w:t xml:space="preserve">  </w:t>
          </w:r>
        </w:p>
      </w:tc>
    </w:tr>
  </w:tbl>
  <w:p w14:paraId="3D482BAB" w14:textId="77777777" w:rsidR="00B01691" w:rsidRDefault="00B0169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CA7AF3" w14:textId="77777777" w:rsidR="00B01691" w:rsidRDefault="00B01691" w:rsidP="00C40A36">
      <w:pPr>
        <w:spacing w:after="0"/>
      </w:pPr>
      <w:r>
        <w:separator/>
      </w:r>
    </w:p>
  </w:footnote>
  <w:footnote w:type="continuationSeparator" w:id="0">
    <w:p w14:paraId="63710AB0" w14:textId="77777777" w:rsidR="00B01691" w:rsidRDefault="00B01691" w:rsidP="00C40A36">
      <w:pPr>
        <w:spacing w:after="0"/>
      </w:pPr>
      <w:r>
        <w:continuationSeparator/>
      </w:r>
    </w:p>
  </w:footnote>
  <w:footnote w:id="1">
    <w:p w14:paraId="35408962" w14:textId="77777777" w:rsidR="00B01691" w:rsidRDefault="00B01691">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3D487A49" w14:textId="39BFF764" w:rsidR="00B01691" w:rsidRDefault="00B01691">
      <w:pPr>
        <w:pStyle w:val="FootnoteText"/>
      </w:pPr>
      <w:r>
        <w:rPr>
          <w:rStyle w:val="FootnoteReference"/>
        </w:rPr>
        <w:footnoteRef/>
      </w:r>
      <w:r>
        <w:t xml:space="preserve"> </w:t>
      </w:r>
      <w:proofErr w:type="spellStart"/>
      <w:r>
        <w:rPr>
          <w:rFonts w:asciiTheme="minorHAnsi" w:hAnsiTheme="minorHAnsi"/>
          <w:lang w:eastAsia="ja-JP"/>
        </w:rPr>
        <w:t>Hoffbrand</w:t>
      </w:r>
      <w:proofErr w:type="spellEnd"/>
      <w:r>
        <w:rPr>
          <w:rFonts w:asciiTheme="minorHAnsi" w:hAnsiTheme="minorHAnsi"/>
          <w:lang w:eastAsia="ja-JP"/>
        </w:rPr>
        <w:t>, A.V. et al</w:t>
      </w:r>
      <w:r w:rsidRPr="00DA5D10">
        <w:rPr>
          <w:rFonts w:asciiTheme="minorHAnsi" w:hAnsiTheme="minorHAnsi"/>
          <w:lang w:eastAsia="ja-JP"/>
        </w:rPr>
        <w:t>. Postgraduate Haematology. Seventh edition.</w:t>
      </w:r>
      <w:r>
        <w:rPr>
          <w:rFonts w:asciiTheme="minorHAnsi" w:hAnsiTheme="minorHAnsi"/>
          <w:lang w:eastAsia="ja-JP"/>
        </w:rPr>
        <w:t xml:space="preserve"> 2016: John Riley &amp; Sons, West Sussex.</w:t>
      </w:r>
    </w:p>
  </w:footnote>
  <w:footnote w:id="3">
    <w:p w14:paraId="01E571EC" w14:textId="3BA900A9" w:rsidR="00B01691" w:rsidRPr="00AF6B0D" w:rsidRDefault="00B01691">
      <w:pPr>
        <w:pStyle w:val="FootnoteText"/>
        <w:rPr>
          <w:lang w:val="en-US"/>
        </w:rPr>
      </w:pPr>
      <w:r>
        <w:rPr>
          <w:rStyle w:val="FootnoteReference"/>
        </w:rPr>
        <w:footnoteRef/>
      </w:r>
      <w:r>
        <w:t xml:space="preserve"> </w:t>
      </w:r>
      <w:r w:rsidRPr="00AF6B0D">
        <w:rPr>
          <w:b/>
          <w:lang w:val="en-US"/>
        </w:rPr>
        <w:t>Desmopressin (DDAVP)</w:t>
      </w:r>
      <w:r>
        <w:rPr>
          <w:lang w:val="en-US"/>
        </w:rPr>
        <w:t xml:space="preserve"> or </w:t>
      </w:r>
      <w:r w:rsidRPr="00D85768">
        <w:rPr>
          <w:lang w:val="en-US"/>
        </w:rPr>
        <w:t>D-amino D-arginine vasopressin</w:t>
      </w:r>
      <w:r>
        <w:rPr>
          <w:lang w:val="en-US"/>
        </w:rPr>
        <w:t xml:space="preserve"> </w:t>
      </w:r>
      <w:r w:rsidRPr="00D85768">
        <w:rPr>
          <w:lang w:val="en-US"/>
        </w:rPr>
        <w:t>a synthetic analogue of</w:t>
      </w:r>
      <w:r>
        <w:rPr>
          <w:lang w:val="en-US"/>
        </w:rPr>
        <w:t xml:space="preserve"> the endogenous pituitary hormone</w:t>
      </w:r>
      <w:r w:rsidRPr="00D85768">
        <w:rPr>
          <w:lang w:val="en-US"/>
        </w:rPr>
        <w:t xml:space="preserve"> 8</w:t>
      </w:r>
      <w:r>
        <w:rPr>
          <w:lang w:val="en-US"/>
        </w:rPr>
        <w:t xml:space="preserve">-arginine vasopressin (ADH), </w:t>
      </w:r>
      <w:r w:rsidRPr="00D85768">
        <w:rPr>
          <w:lang w:val="en-US"/>
        </w:rPr>
        <w:t>an antidiuretic peptide drug modified by deamination of 1-cysteine and substitution of 8-L-arginine by 8-D-arginine.</w:t>
      </w:r>
    </w:p>
  </w:footnote>
  <w:footnote w:id="4">
    <w:p w14:paraId="4BC1480F" w14:textId="3DF1A50C" w:rsidR="00B01691" w:rsidRPr="004B68B4" w:rsidRDefault="00B01691" w:rsidP="00D145F5">
      <w:pPr>
        <w:pStyle w:val="FootnoteText"/>
      </w:pPr>
      <w:r>
        <w:rPr>
          <w:rStyle w:val="FootnoteReference"/>
        </w:rPr>
        <w:footnoteRef/>
      </w:r>
      <w:r>
        <w:t xml:space="preserve"> </w:t>
      </w:r>
      <w:r w:rsidRPr="004B68B4">
        <w:t xml:space="preserve">The TGA makes use of assessments from </w:t>
      </w:r>
      <w:r>
        <w:rPr>
          <w:b/>
        </w:rPr>
        <w:t>C</w:t>
      </w:r>
      <w:r w:rsidRPr="00AF6B0D">
        <w:rPr>
          <w:b/>
        </w:rPr>
        <w:t xml:space="preserve">omparable </w:t>
      </w:r>
      <w:r>
        <w:rPr>
          <w:b/>
        </w:rPr>
        <w:t>O</w:t>
      </w:r>
      <w:r w:rsidRPr="00AF6B0D">
        <w:rPr>
          <w:b/>
        </w:rPr>
        <w:t xml:space="preserve">verseas </w:t>
      </w:r>
      <w:r>
        <w:rPr>
          <w:b/>
        </w:rPr>
        <w:t>R</w:t>
      </w:r>
      <w:r w:rsidRPr="00AF6B0D">
        <w:rPr>
          <w:b/>
        </w:rPr>
        <w:t>egulators (CORs),</w:t>
      </w:r>
      <w:r w:rsidRPr="004B68B4">
        <w:t xml:space="preserve"> w</w:t>
      </w:r>
      <w:r>
        <w:t>here possible, in the evaluation</w:t>
      </w:r>
      <w:r w:rsidRPr="004B68B4">
        <w:t xml:space="preserve"> of prescription medicines.</w:t>
      </w:r>
      <w:r>
        <w:t xml:space="preserve"> </w:t>
      </w:r>
      <w:r w:rsidRPr="004B68B4">
        <w:t xml:space="preserve">Under the </w:t>
      </w:r>
      <w:r w:rsidRPr="002C6521">
        <w:rPr>
          <w:b/>
        </w:rPr>
        <w:t>COR-B</w:t>
      </w:r>
      <w:r w:rsidRPr="004B68B4">
        <w:t xml:space="preserve"> </w:t>
      </w:r>
      <w:r w:rsidRPr="00AF6B0D">
        <w:rPr>
          <w:b/>
        </w:rPr>
        <w:t>approach</w:t>
      </w:r>
      <w:r w:rsidRPr="004B68B4">
        <w:t>, the TGA</w:t>
      </w:r>
      <w:r>
        <w:t xml:space="preserve"> regulatory decision will </w:t>
      </w:r>
      <w:r w:rsidRPr="004B68B4">
        <w:t>be mostly based on a critical review of the COR assessment reports. The COR-B process has a 175 working day evaluation and decision timeframe, allowing for TGA evaluation of certain data, in add</w:t>
      </w:r>
      <w:r>
        <w:t xml:space="preserve">ition to the label, </w:t>
      </w:r>
      <w:r w:rsidRPr="004B68B4">
        <w:t xml:space="preserve">Product Information </w:t>
      </w:r>
      <w:r>
        <w:t xml:space="preserve">(PI) and </w:t>
      </w:r>
      <w:r w:rsidRPr="004B68B4">
        <w:t xml:space="preserve">Risk Management Plan </w:t>
      </w:r>
      <w:r>
        <w:t>(RMP).</w:t>
      </w:r>
    </w:p>
    <w:p w14:paraId="50F64B7A" w14:textId="77777777" w:rsidR="00B01691" w:rsidRPr="004B68B4" w:rsidRDefault="00B01691" w:rsidP="00D145F5">
      <w:pPr>
        <w:pStyle w:val="FootnoteText"/>
      </w:pPr>
      <w:r w:rsidRPr="004B68B4">
        <w:t xml:space="preserve">The amount and type of additional data requiring evaluation will determine whether the application is best processed under the COR-B approach </w:t>
      </w:r>
      <w:r>
        <w:t>or as a Category 1 application.</w:t>
      </w:r>
    </w:p>
    <w:p w14:paraId="76265053" w14:textId="13BA73F8" w:rsidR="00B01691" w:rsidRDefault="00B01691" w:rsidP="00D145F5">
      <w:pPr>
        <w:pStyle w:val="FootnoteText"/>
      </w:pPr>
      <w:r w:rsidRPr="004B68B4">
        <w:t>Examples of additional data that may be considered under the COR-B process include updated stability data, validation data for an additional manufacturing site and updates to pivotal studies that support the proposed indication.</w:t>
      </w:r>
    </w:p>
  </w:footnote>
  <w:footnote w:id="5">
    <w:p w14:paraId="40211DF6" w14:textId="7069E955" w:rsidR="00B01691" w:rsidRPr="00AF6B0D" w:rsidRDefault="00B01691">
      <w:pPr>
        <w:pStyle w:val="FootnoteText"/>
        <w:rPr>
          <w:lang w:val="en-US"/>
        </w:rPr>
      </w:pPr>
      <w:r>
        <w:rPr>
          <w:rStyle w:val="FootnoteReference"/>
        </w:rPr>
        <w:footnoteRef/>
      </w:r>
      <w:r>
        <w:t xml:space="preserve"> The</w:t>
      </w:r>
      <w:r w:rsidRPr="006A4252">
        <w:t xml:space="preserve"> </w:t>
      </w:r>
      <w:r w:rsidRPr="00AF6B0D">
        <w:rPr>
          <w:b/>
        </w:rPr>
        <w:t>International Council for Harmonisation</w:t>
      </w:r>
      <w:r w:rsidRPr="006A4252">
        <w:t xml:space="preserve"> of Technical Requirements for Pharmaceuticals for Human Use </w:t>
      </w:r>
      <w:r w:rsidRPr="00AF6B0D">
        <w:rPr>
          <w:b/>
        </w:rPr>
        <w:t>(ICH)</w:t>
      </w:r>
      <w:r w:rsidRPr="006A4252">
        <w:t xml:space="preserve"> is unique in bringing together the regulatory authorities and pharmaceutical industry to discuss scientific and technical aspects of pharmaceuticals and develop ICH guidelines. Since its inception in 1990, </w:t>
      </w:r>
      <w:r>
        <w:t xml:space="preserve">the </w:t>
      </w:r>
      <w:r w:rsidRPr="006A4252">
        <w:t xml:space="preserve">ICH has gradually evolved, to respond to increasingly global developments in the pharmaceutical sector and these ICH guidelines are applied by a growing number of regulatory authorities. </w:t>
      </w:r>
      <w:r>
        <w:t xml:space="preserve">The </w:t>
      </w:r>
      <w:r w:rsidRPr="006A4252">
        <w:t>ICH's mission is to achieve greater harmonisation worldwide to ensure that safe, effective and high quality medicines are developed, and registered and maintained in the most resource efficient manner whilst meeting high standards. Since its announcement of organisational changes in October 2015, ICH has grown as an organisation and now includes 17 Members and 32 Observers.</w:t>
      </w:r>
      <w:r>
        <w:t xml:space="preserve"> Australia, via the TGA, has been an observer member since 2015.</w:t>
      </w:r>
    </w:p>
  </w:footnote>
  <w:footnote w:id="6">
    <w:p w14:paraId="3E552A18" w14:textId="2396C409" w:rsidR="00B01691" w:rsidRDefault="00B01691">
      <w:pPr>
        <w:pStyle w:val="FootnoteText"/>
      </w:pPr>
      <w:r>
        <w:rPr>
          <w:rStyle w:val="FootnoteReference"/>
        </w:rPr>
        <w:footnoteRef/>
      </w:r>
      <w:r>
        <w:t xml:space="preserve"> European Medicines Agency (EMA) Committee for medicinal products for human use (CHMP), ICH guideline S6 (R1) – preclinical safety evaluation of biotechnology-derived pharmaceuticals, EMA/CHMP/ICH/731268/1998, June 2011.</w:t>
      </w:r>
    </w:p>
  </w:footnote>
  <w:footnote w:id="7">
    <w:p w14:paraId="35E3CB84" w14:textId="61730093" w:rsidR="00B01691" w:rsidRPr="00AF6B0D" w:rsidRDefault="00B01691">
      <w:pPr>
        <w:pStyle w:val="FootnoteText"/>
        <w:rPr>
          <w:lang w:val="en-US"/>
        </w:rPr>
      </w:pPr>
      <w:r>
        <w:rPr>
          <w:rStyle w:val="FootnoteReference"/>
        </w:rPr>
        <w:footnoteRef/>
      </w:r>
      <w:r>
        <w:t xml:space="preserve"> </w:t>
      </w:r>
      <w:r w:rsidRPr="00AF6B0D">
        <w:rPr>
          <w:b/>
        </w:rPr>
        <w:t>Good Laboratory Practice (GLP)</w:t>
      </w:r>
      <w:r w:rsidRPr="00B9205A">
        <w:t xml:space="preserve"> is a</w:t>
      </w:r>
      <w:r>
        <w:t>n international</w:t>
      </w:r>
      <w:r w:rsidRPr="00B9205A">
        <w:t xml:space="preserve"> quality system of management controls for the experimental (non-clinical) research arena, research laboratories and org</w:t>
      </w:r>
      <w:r>
        <w:t>anis</w:t>
      </w:r>
      <w:r w:rsidRPr="00B9205A">
        <w:t xml:space="preserve">ations to ensure the uniformity, consistency, reliability, reproducibility, quality, and integrity of products in development for human or animal health (including pharmaceuticals) through non-clinical safety tests; from physio-chemical properties through acute </w:t>
      </w:r>
      <w:r>
        <w:t>to chronic toxicity tests.</w:t>
      </w:r>
    </w:p>
  </w:footnote>
  <w:footnote w:id="8">
    <w:p w14:paraId="60016271" w14:textId="073983BA" w:rsidR="00B01691" w:rsidRDefault="00B01691">
      <w:pPr>
        <w:pStyle w:val="FootnoteText"/>
      </w:pPr>
      <w:r>
        <w:rPr>
          <w:rStyle w:val="FootnoteReference"/>
        </w:rPr>
        <w:footnoteRef/>
      </w:r>
      <w:r>
        <w:t xml:space="preserve"> </w:t>
      </w:r>
      <w:r w:rsidRPr="00E4233C">
        <w:rPr>
          <w:b/>
        </w:rPr>
        <w:t>ADAMTS13</w:t>
      </w:r>
      <w:r>
        <w:t xml:space="preserve">, or </w:t>
      </w:r>
      <w:r w:rsidRPr="00E4233C">
        <w:t xml:space="preserve">a </w:t>
      </w:r>
      <w:proofErr w:type="spellStart"/>
      <w:r w:rsidRPr="00E4233C">
        <w:t>disintegrin</w:t>
      </w:r>
      <w:proofErr w:type="spellEnd"/>
      <w:r w:rsidRPr="00E4233C">
        <w:t xml:space="preserve"> and metalloproteinase with a thrombospondin type 1 motif, member 13</w:t>
      </w:r>
      <w:r>
        <w:t xml:space="preserve">; </w:t>
      </w:r>
      <w:r w:rsidRPr="005E0FF0">
        <w:t xml:space="preserve">also known as von </w:t>
      </w:r>
      <w:proofErr w:type="spellStart"/>
      <w:r w:rsidRPr="005E0FF0">
        <w:t>Willebrand</w:t>
      </w:r>
      <w:proofErr w:type="spellEnd"/>
      <w:r w:rsidRPr="005E0FF0">
        <w:t xml:space="preserve"> f</w:t>
      </w:r>
      <w:r>
        <w:t xml:space="preserve">actor-cleaving protease (VWFCP). This </w:t>
      </w:r>
      <w:r w:rsidRPr="005E0FF0">
        <w:t>zinc-contain</w:t>
      </w:r>
      <w:r>
        <w:t xml:space="preserve">ing metalloprotease enzyme cleaves von </w:t>
      </w:r>
      <w:proofErr w:type="spellStart"/>
      <w:r>
        <w:t>Willebrand</w:t>
      </w:r>
      <w:proofErr w:type="spellEnd"/>
      <w:r>
        <w:t xml:space="preserve"> factor (VWF</w:t>
      </w:r>
      <w:r w:rsidRPr="005E0FF0">
        <w:t>), a large protein involved in blood clotting. It is secreted int</w:t>
      </w:r>
      <w:r>
        <w:t>o the blood and degrades large VWF</w:t>
      </w:r>
      <w:r w:rsidRPr="005E0FF0">
        <w:t xml:space="preserve"> </w:t>
      </w:r>
      <w:proofErr w:type="spellStart"/>
      <w:r w:rsidRPr="005E0FF0">
        <w:t>multimers</w:t>
      </w:r>
      <w:proofErr w:type="spellEnd"/>
      <w:r w:rsidRPr="005E0FF0">
        <w:t>, decreasing their activity.</w:t>
      </w:r>
    </w:p>
  </w:footnote>
  <w:footnote w:id="9">
    <w:p w14:paraId="1D968789" w14:textId="53ECDCF8" w:rsidR="00B01691" w:rsidRDefault="00B01691" w:rsidP="00E4233C">
      <w:pPr>
        <w:pStyle w:val="FootnoteText"/>
      </w:pPr>
      <w:r>
        <w:rPr>
          <w:rStyle w:val="FootnoteReference"/>
        </w:rPr>
        <w:footnoteRef/>
      </w:r>
      <w:r>
        <w:t xml:space="preserve"> </w:t>
      </w:r>
      <w:r w:rsidRPr="00E4233C">
        <w:rPr>
          <w:b/>
        </w:rPr>
        <w:t>Australian Pregnancy Category B2</w:t>
      </w:r>
      <w:r>
        <w:t xml:space="preserve">: 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w:t>
      </w:r>
    </w:p>
    <w:p w14:paraId="7E7CE200" w14:textId="32DA63FE" w:rsidR="00B01691" w:rsidRDefault="00B01691" w:rsidP="00E4233C">
      <w:pPr>
        <w:pStyle w:val="FootnoteText"/>
      </w:pPr>
      <w:r>
        <w:t xml:space="preserve">Studies in animals are inadequate or may be lacking, but available data show no evidence of an increased occurrence of </w:t>
      </w:r>
      <w:proofErr w:type="spellStart"/>
      <w:r>
        <w:t>fetal</w:t>
      </w:r>
      <w:proofErr w:type="spellEnd"/>
      <w:r>
        <w:t xml:space="preserve"> damage.</w:t>
      </w:r>
    </w:p>
  </w:footnote>
  <w:footnote w:id="10">
    <w:p w14:paraId="28F84149" w14:textId="300439B1" w:rsidR="00B01691" w:rsidRPr="00AF6B0D" w:rsidRDefault="00B01691">
      <w:pPr>
        <w:pStyle w:val="FootnoteText"/>
        <w:rPr>
          <w:lang w:val="en-US"/>
        </w:rPr>
      </w:pPr>
      <w:r>
        <w:rPr>
          <w:rStyle w:val="FootnoteReference"/>
        </w:rPr>
        <w:footnoteRef/>
      </w:r>
      <w:r>
        <w:t xml:space="preserve"> </w:t>
      </w:r>
      <w:r>
        <w:rPr>
          <w:lang w:val="en-US"/>
        </w:rPr>
        <w:t>Study 071001; title: .</w:t>
      </w:r>
      <w:r w:rsidRPr="005537CB">
        <w:t xml:space="preserve"> </w:t>
      </w:r>
      <w:r w:rsidRPr="005537CB">
        <w:rPr>
          <w:lang w:val="en-US"/>
        </w:rPr>
        <w:t xml:space="preserve">A Phase 3 Clinical Study to Determine the Pharmacokinetics, Safety and Efficacy of Recombinant Von </w:t>
      </w:r>
      <w:proofErr w:type="spellStart"/>
      <w:r w:rsidRPr="005537CB">
        <w:rPr>
          <w:lang w:val="en-US"/>
        </w:rPr>
        <w:t>Willebrand</w:t>
      </w:r>
      <w:proofErr w:type="spellEnd"/>
      <w:r w:rsidRPr="005537CB">
        <w:rPr>
          <w:lang w:val="en-US"/>
        </w:rPr>
        <w:t xml:space="preserve"> Factor : Recombinant Factor VIII (</w:t>
      </w:r>
      <w:proofErr w:type="spellStart"/>
      <w:r w:rsidRPr="005537CB">
        <w:rPr>
          <w:lang w:val="en-US"/>
        </w:rPr>
        <w:t>rVWF:rFVIII</w:t>
      </w:r>
      <w:proofErr w:type="spellEnd"/>
      <w:r w:rsidRPr="005537CB">
        <w:rPr>
          <w:lang w:val="en-US"/>
        </w:rPr>
        <w:t xml:space="preserve">) and </w:t>
      </w:r>
      <w:proofErr w:type="spellStart"/>
      <w:r w:rsidRPr="005537CB">
        <w:rPr>
          <w:lang w:val="en-US"/>
        </w:rPr>
        <w:t>rVWF</w:t>
      </w:r>
      <w:proofErr w:type="spellEnd"/>
      <w:r w:rsidRPr="005537CB">
        <w:rPr>
          <w:lang w:val="en-US"/>
        </w:rPr>
        <w:t xml:space="preserve"> in the Treatment of Bleeding Episodes in Subjects Diagnosed With Von </w:t>
      </w:r>
      <w:proofErr w:type="spellStart"/>
      <w:r w:rsidRPr="005537CB">
        <w:rPr>
          <w:lang w:val="en-US"/>
        </w:rPr>
        <w:t>Willebrand</w:t>
      </w:r>
      <w:proofErr w:type="spellEnd"/>
      <w:r w:rsidRPr="005537CB">
        <w:rPr>
          <w:lang w:val="en-US"/>
        </w:rPr>
        <w:t xml:space="preserve"> Disease</w:t>
      </w:r>
      <w:r>
        <w:rPr>
          <w:lang w:val="en-US"/>
        </w:rPr>
        <w:t>’.</w:t>
      </w:r>
      <w:r>
        <w:rPr>
          <w:lang w:val="en-US"/>
        </w:rPr>
        <w:br/>
      </w:r>
      <w:r w:rsidRPr="005537CB">
        <w:rPr>
          <w:lang w:val="en-US"/>
        </w:rPr>
        <w:t>ClinicalTrials.gov Identifier: NCT01410227</w:t>
      </w:r>
      <w:r>
        <w:rPr>
          <w:lang w:val="en-US"/>
        </w:rPr>
        <w:t xml:space="preserve">; </w:t>
      </w:r>
      <w:proofErr w:type="spellStart"/>
      <w:r>
        <w:rPr>
          <w:lang w:val="en-US"/>
        </w:rPr>
        <w:t>EudraCT</w:t>
      </w:r>
      <w:proofErr w:type="spellEnd"/>
      <w:r>
        <w:rPr>
          <w:lang w:val="en-US"/>
        </w:rPr>
        <w:t xml:space="preserve"> number: 2010-024108-84.</w:t>
      </w:r>
    </w:p>
  </w:footnote>
  <w:footnote w:id="11">
    <w:p w14:paraId="2A0765AF" w14:textId="46766A52" w:rsidR="00B01691" w:rsidRPr="00AF6B0D" w:rsidRDefault="00B01691">
      <w:pPr>
        <w:pStyle w:val="FootnoteText"/>
        <w:rPr>
          <w:lang w:val="en-US"/>
        </w:rPr>
      </w:pPr>
      <w:r>
        <w:rPr>
          <w:rStyle w:val="FootnoteReference"/>
        </w:rPr>
        <w:footnoteRef/>
      </w:r>
      <w:r>
        <w:t xml:space="preserve"> </w:t>
      </w:r>
      <w:r>
        <w:rPr>
          <w:lang w:val="en-US"/>
        </w:rPr>
        <w:t>Study 071101; title: ‘</w:t>
      </w:r>
      <w:r w:rsidRPr="005537CB">
        <w:rPr>
          <w:lang w:val="en-US"/>
        </w:rPr>
        <w:t xml:space="preserve">A Phase 3, Prospective, Multicenter Study to Evaluate Efficacy and Safety of Recombinant Von </w:t>
      </w:r>
      <w:proofErr w:type="spellStart"/>
      <w:r w:rsidRPr="005537CB">
        <w:rPr>
          <w:lang w:val="en-US"/>
        </w:rPr>
        <w:t>Willebrand</w:t>
      </w:r>
      <w:proofErr w:type="spellEnd"/>
      <w:r w:rsidRPr="005537CB">
        <w:rPr>
          <w:lang w:val="en-US"/>
        </w:rPr>
        <w:t xml:space="preserve"> Factor (</w:t>
      </w:r>
      <w:proofErr w:type="spellStart"/>
      <w:r w:rsidRPr="005537CB">
        <w:rPr>
          <w:lang w:val="en-US"/>
        </w:rPr>
        <w:t>rVWF</w:t>
      </w:r>
      <w:proofErr w:type="spellEnd"/>
      <w:r w:rsidRPr="005537CB">
        <w:rPr>
          <w:lang w:val="en-US"/>
        </w:rPr>
        <w:t xml:space="preserve">) With or Without ADVATE in Elective Surgical Procedures in Subjects With Severe Von </w:t>
      </w:r>
      <w:proofErr w:type="spellStart"/>
      <w:r w:rsidRPr="005537CB">
        <w:rPr>
          <w:lang w:val="en-US"/>
        </w:rPr>
        <w:t>Willebrand</w:t>
      </w:r>
      <w:proofErr w:type="spellEnd"/>
      <w:r w:rsidRPr="005537CB">
        <w:rPr>
          <w:lang w:val="en-US"/>
        </w:rPr>
        <w:t xml:space="preserve"> Disease</w:t>
      </w:r>
      <w:r>
        <w:rPr>
          <w:lang w:val="en-US"/>
        </w:rPr>
        <w:t xml:space="preserve">‘. </w:t>
      </w:r>
      <w:r w:rsidRPr="005537CB">
        <w:rPr>
          <w:lang w:val="en-US"/>
        </w:rPr>
        <w:t>ClinicalTrials.gov Identifier: NCT02283268</w:t>
      </w:r>
      <w:r>
        <w:rPr>
          <w:lang w:val="en-US"/>
        </w:rPr>
        <w:t xml:space="preserve">; </w:t>
      </w:r>
      <w:proofErr w:type="spellStart"/>
      <w:r>
        <w:rPr>
          <w:lang w:val="en-US"/>
        </w:rPr>
        <w:t>EudraCT</w:t>
      </w:r>
      <w:proofErr w:type="spellEnd"/>
      <w:r>
        <w:rPr>
          <w:lang w:val="en-US"/>
        </w:rPr>
        <w:t xml:space="preserve"> number: </w:t>
      </w:r>
      <w:r w:rsidRPr="005537CB">
        <w:rPr>
          <w:lang w:val="en-US"/>
        </w:rPr>
        <w:t>2014-003575-38</w:t>
      </w:r>
      <w:r>
        <w:rPr>
          <w:lang w:val="en-US"/>
        </w:rPr>
        <w:t>.</w:t>
      </w:r>
    </w:p>
  </w:footnote>
  <w:footnote w:id="12">
    <w:p w14:paraId="2E864AB0" w14:textId="77777777" w:rsidR="00B01691" w:rsidRDefault="00B01691" w:rsidP="001A7C45">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70EC18ED" w14:textId="77777777" w:rsidR="00B01691" w:rsidRDefault="00B01691" w:rsidP="001A7C45">
      <w:pPr>
        <w:pStyle w:val="FootnoteText"/>
      </w:pPr>
      <w:r w:rsidRPr="007D53B6">
        <w:rPr>
          <w:i/>
        </w:rPr>
        <w:t>Routine pharmacovigilance</w:t>
      </w:r>
      <w:r>
        <w:t xml:space="preserve"> practices involve the following activities:</w:t>
      </w:r>
    </w:p>
    <w:p w14:paraId="2C8537E1" w14:textId="77777777" w:rsidR="00B01691" w:rsidRDefault="00B01691" w:rsidP="001A7C45">
      <w:pPr>
        <w:pStyle w:val="FootnoteText"/>
        <w:numPr>
          <w:ilvl w:val="0"/>
          <w:numId w:val="32"/>
        </w:numPr>
        <w:ind w:left="284" w:hanging="284"/>
      </w:pPr>
      <w:r>
        <w:t>All suspected adverse reactions that are reported to the personnel of the company are collected and collated in an accessible manner;</w:t>
      </w:r>
    </w:p>
    <w:p w14:paraId="0DBD8F47" w14:textId="77777777" w:rsidR="00B01691" w:rsidRDefault="00B01691" w:rsidP="001A7C45">
      <w:pPr>
        <w:pStyle w:val="FootnoteText"/>
        <w:numPr>
          <w:ilvl w:val="0"/>
          <w:numId w:val="32"/>
        </w:numPr>
        <w:ind w:left="284" w:hanging="284"/>
      </w:pPr>
      <w:r>
        <w:t>Reporting to regulatory authorities;</w:t>
      </w:r>
    </w:p>
    <w:p w14:paraId="3C2E56C8" w14:textId="77777777" w:rsidR="00B01691" w:rsidRDefault="00B01691" w:rsidP="001A7C45">
      <w:pPr>
        <w:pStyle w:val="FootnoteText"/>
        <w:numPr>
          <w:ilvl w:val="0"/>
          <w:numId w:val="32"/>
        </w:numPr>
        <w:ind w:left="284" w:hanging="284"/>
      </w:pPr>
      <w:r>
        <w:t>Continuous monitoring of the safety profiles of approved products including signal detection and updating of labelling;</w:t>
      </w:r>
    </w:p>
    <w:p w14:paraId="58C41524" w14:textId="77777777" w:rsidR="00B01691" w:rsidRDefault="00B01691" w:rsidP="001A7C45">
      <w:pPr>
        <w:pStyle w:val="FootnoteText"/>
        <w:numPr>
          <w:ilvl w:val="0"/>
          <w:numId w:val="32"/>
        </w:numPr>
        <w:ind w:left="284" w:hanging="284"/>
      </w:pPr>
      <w:r>
        <w:t>Submission of PSURs;</w:t>
      </w:r>
    </w:p>
    <w:p w14:paraId="756BE1CA" w14:textId="77777777" w:rsidR="00B01691" w:rsidRDefault="00B01691" w:rsidP="001A7C45">
      <w:pPr>
        <w:pStyle w:val="FootnoteText"/>
        <w:numPr>
          <w:ilvl w:val="0"/>
          <w:numId w:val="32"/>
        </w:numPr>
        <w:ind w:left="284" w:hanging="284"/>
      </w:pPr>
      <w:r>
        <w:t>Meeting other local regulatory agency requirements.</w:t>
      </w:r>
    </w:p>
  </w:footnote>
  <w:footnote w:id="13">
    <w:p w14:paraId="58DCFCE1" w14:textId="13C00A98" w:rsidR="00B01691" w:rsidRDefault="00B01691">
      <w:pPr>
        <w:pStyle w:val="FootnoteText"/>
      </w:pPr>
      <w:r>
        <w:rPr>
          <w:rStyle w:val="FootnoteReference"/>
        </w:rPr>
        <w:footnoteRef/>
      </w:r>
      <w:r>
        <w:t xml:space="preserve"> </w:t>
      </w:r>
      <w:r w:rsidRPr="00980257">
        <w:t xml:space="preserve">A </w:t>
      </w:r>
      <w:r w:rsidRPr="00980257">
        <w:rPr>
          <w:b/>
        </w:rPr>
        <w:t>post-authorisation safety study (PASS)</w:t>
      </w:r>
      <w:r w:rsidRPr="00980257">
        <w:t xml:space="preserve"> is a study that is carried out after a medicine has been authorised to obtain further information on a medicine's safety, or to measure the effectiveness of risk-management measures.</w:t>
      </w:r>
    </w:p>
  </w:footnote>
  <w:footnote w:id="14">
    <w:p w14:paraId="522E55E1" w14:textId="242FF20F" w:rsidR="00B01691" w:rsidRDefault="00B01691">
      <w:pPr>
        <w:pStyle w:val="FootnoteText"/>
      </w:pPr>
      <w:r>
        <w:rPr>
          <w:rStyle w:val="FootnoteReference"/>
        </w:rPr>
        <w:footnoteRef/>
      </w:r>
      <w:r>
        <w:t xml:space="preserve"> </w:t>
      </w:r>
      <w:proofErr w:type="spellStart"/>
      <w:r>
        <w:t>Biostate</w:t>
      </w:r>
      <w:proofErr w:type="spellEnd"/>
      <w:r>
        <w:t xml:space="preserve"> is a plasma derived VWF/FVIII complex product, registered on the ARTG as AUSTR </w:t>
      </w:r>
      <w:r w:rsidRPr="00000F83">
        <w:t>79993</w:t>
      </w:r>
      <w:r>
        <w:t xml:space="preserve"> and </w:t>
      </w:r>
      <w:r w:rsidRPr="00000F83">
        <w:t>73032</w:t>
      </w:r>
      <w:r>
        <w:t xml:space="preserve">, sponsored by </w:t>
      </w:r>
      <w:r w:rsidRPr="00000F83">
        <w:t>CSL Behring Australia Pty Ltd</w:t>
      </w:r>
      <w:r>
        <w:t>.</w:t>
      </w:r>
    </w:p>
  </w:footnote>
  <w:footnote w:id="15">
    <w:p w14:paraId="79BA9596" w14:textId="77777777" w:rsidR="00B01691" w:rsidRDefault="00B01691" w:rsidP="00456765">
      <w:pPr>
        <w:pStyle w:val="FootnoteText"/>
      </w:pPr>
      <w:r>
        <w:rPr>
          <w:rStyle w:val="FootnoteReference"/>
        </w:rPr>
        <w:footnoteRef/>
      </w:r>
      <w:r>
        <w:t xml:space="preserve"> The </w:t>
      </w:r>
      <w:r w:rsidRPr="00AF6B0D">
        <w:rPr>
          <w:b/>
        </w:rPr>
        <w:t>ACM</w:t>
      </w:r>
      <w:r>
        <w:t xml:space="preserve">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060998DA" w14:textId="77777777" w:rsidR="00B01691" w:rsidRPr="00456765" w:rsidRDefault="00B01691"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D6615" w14:textId="77777777" w:rsidR="00B01691" w:rsidRDefault="00B016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B0D8F" w14:textId="77777777" w:rsidR="00B01691" w:rsidRDefault="00B01691"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B4226" w14:textId="77777777" w:rsidR="00B01691" w:rsidRDefault="00B01691">
    <w:pPr>
      <w:rPr>
        <w:noProof/>
        <w:lang w:eastAsia="en-AU"/>
      </w:rPr>
    </w:pPr>
    <w:r w:rsidRPr="00347824">
      <w:rPr>
        <w:noProof/>
        <w:lang w:eastAsia="en-AU"/>
      </w:rPr>
      <w:drawing>
        <wp:anchor distT="0" distB="0" distL="114300" distR="114300" simplePos="0" relativeHeight="251657728" behindDoc="1" locked="0" layoutInCell="1" allowOverlap="1" wp14:anchorId="7DA70436" wp14:editId="0B599424">
          <wp:simplePos x="0" y="0"/>
          <wp:positionH relativeFrom="column">
            <wp:posOffset>-1089660</wp:posOffset>
          </wp:positionH>
          <wp:positionV relativeFrom="paragraph">
            <wp:posOffset>-585470</wp:posOffset>
          </wp:positionV>
          <wp:extent cx="7572375" cy="10706100"/>
          <wp:effectExtent l="19050" t="0" r="0" b="0"/>
          <wp:wrapNone/>
          <wp:docPr id="1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FC598F9" w14:textId="77777777" w:rsidR="00B01691" w:rsidRDefault="00B01691" w:rsidP="00593AD1">
    <w:pPr>
      <w:pStyle w:val="HeaderNoLine"/>
    </w:pPr>
    <w:r>
      <w:rPr>
        <w:noProof/>
        <w:lang w:eastAsia="en-AU"/>
      </w:rPr>
      <w:drawing>
        <wp:inline distT="0" distB="0" distL="0" distR="0" wp14:anchorId="0694DAC2" wp14:editId="1799085D">
          <wp:extent cx="5400675" cy="7639050"/>
          <wp:effectExtent l="0" t="0" r="9525" b="0"/>
          <wp:docPr id="15" name="Picture 15"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321B8" w14:textId="77777777" w:rsidR="00B01691" w:rsidRDefault="00B0169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6939F" w14:textId="77777777" w:rsidR="00B01691" w:rsidRDefault="00B01691">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2CA60" w14:textId="77777777" w:rsidR="00B01691" w:rsidRDefault="00B01691">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95760" w14:textId="77777777" w:rsidR="00B01691" w:rsidRDefault="00B0169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A2C70" w14:textId="77777777" w:rsidR="00B01691" w:rsidRDefault="00B01691"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4BDAD" w14:textId="77777777" w:rsidR="00B01691" w:rsidRDefault="00B01691" w:rsidP="006E08B3">
    <w:r>
      <w:t>Therapeutic Goods Administration</w:t>
    </w:r>
  </w:p>
  <w:p w14:paraId="5BDD65A5" w14:textId="77777777" w:rsidR="00B01691" w:rsidRDefault="00B01691"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B59226F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F13E9"/>
    <w:multiLevelType w:val="multilevel"/>
    <w:tmpl w:val="876E0148"/>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6"/>
  </w:num>
  <w:num w:numId="17">
    <w:abstractNumId w:val="6"/>
  </w:num>
  <w:num w:numId="18">
    <w:abstractNumId w:val="6"/>
  </w:num>
  <w:num w:numId="19">
    <w:abstractNumId w:val="8"/>
  </w:num>
  <w:num w:numId="20">
    <w:abstractNumId w:val="8"/>
  </w:num>
  <w:num w:numId="21">
    <w:abstractNumId w:val="8"/>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0"/>
  </w:num>
  <w:num w:numId="28">
    <w:abstractNumId w:val="12"/>
  </w:num>
  <w:num w:numId="29">
    <w:abstractNumId w:val="7"/>
  </w:num>
  <w:num w:numId="30">
    <w:abstractNumId w:val="9"/>
  </w:num>
  <w:num w:numId="31">
    <w:abstractNumId w:val="4"/>
  </w:num>
  <w:num w:numId="32">
    <w:abstractNumId w:val="11"/>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s-ES"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activeWritingStyle w:appName="MSWord" w:lang="es-ES" w:vendorID="64" w:dllVersion="0" w:nlCheck="1" w:checkStyle="0"/>
  <w:activeWritingStyle w:appName="MSWord" w:lang="en-AU" w:vendorID="64" w:dllVersion="131078" w:nlCheck="1" w:checkStyle="0"/>
  <w:activeWritingStyle w:appName="MSWord" w:lang="es-ES" w:vendorID="64" w:dllVersion="131078" w:nlCheck="1" w:checkStyle="0"/>
  <w:activeWritingStyle w:appName="MSWord" w:lang="en-GB" w:vendorID="64" w:dllVersion="131078" w:nlCheck="1" w:checkStyle="0"/>
  <w:activeWritingStyle w:appName="MSWord" w:lang="en-US" w:vendorID="64" w:dllVersion="131078" w:nlCheck="1" w:checkStyle="0"/>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037"/>
    <w:rsid w:val="00000632"/>
    <w:rsid w:val="00000F83"/>
    <w:rsid w:val="00001B00"/>
    <w:rsid w:val="00002031"/>
    <w:rsid w:val="00004734"/>
    <w:rsid w:val="00006B22"/>
    <w:rsid w:val="00006FAB"/>
    <w:rsid w:val="0001276A"/>
    <w:rsid w:val="000246AE"/>
    <w:rsid w:val="00025C67"/>
    <w:rsid w:val="00044772"/>
    <w:rsid w:val="0004541C"/>
    <w:rsid w:val="0005559E"/>
    <w:rsid w:val="000604D6"/>
    <w:rsid w:val="0006071C"/>
    <w:rsid w:val="00061954"/>
    <w:rsid w:val="000628C8"/>
    <w:rsid w:val="000734D8"/>
    <w:rsid w:val="000774CD"/>
    <w:rsid w:val="00077775"/>
    <w:rsid w:val="00090471"/>
    <w:rsid w:val="000912E4"/>
    <w:rsid w:val="000921D9"/>
    <w:rsid w:val="00096AA7"/>
    <w:rsid w:val="000A3AED"/>
    <w:rsid w:val="000B3532"/>
    <w:rsid w:val="000B3A75"/>
    <w:rsid w:val="000B4C29"/>
    <w:rsid w:val="000C00C2"/>
    <w:rsid w:val="000C0F72"/>
    <w:rsid w:val="000C5CB8"/>
    <w:rsid w:val="000C690F"/>
    <w:rsid w:val="000D1295"/>
    <w:rsid w:val="000D391B"/>
    <w:rsid w:val="000D3D6D"/>
    <w:rsid w:val="000D4FC7"/>
    <w:rsid w:val="000E6196"/>
    <w:rsid w:val="000E778F"/>
    <w:rsid w:val="000F4869"/>
    <w:rsid w:val="000F5B42"/>
    <w:rsid w:val="000F6E6F"/>
    <w:rsid w:val="0010601F"/>
    <w:rsid w:val="00107383"/>
    <w:rsid w:val="0010788A"/>
    <w:rsid w:val="00107A31"/>
    <w:rsid w:val="00110EA5"/>
    <w:rsid w:val="00112F56"/>
    <w:rsid w:val="00121052"/>
    <w:rsid w:val="00124ACD"/>
    <w:rsid w:val="00125318"/>
    <w:rsid w:val="001305A2"/>
    <w:rsid w:val="00133238"/>
    <w:rsid w:val="00133A1B"/>
    <w:rsid w:val="0014197B"/>
    <w:rsid w:val="001447CD"/>
    <w:rsid w:val="001516B1"/>
    <w:rsid w:val="00154EBB"/>
    <w:rsid w:val="00156316"/>
    <w:rsid w:val="00161181"/>
    <w:rsid w:val="00162D14"/>
    <w:rsid w:val="00163780"/>
    <w:rsid w:val="00165389"/>
    <w:rsid w:val="00173A58"/>
    <w:rsid w:val="0017693F"/>
    <w:rsid w:val="0018110E"/>
    <w:rsid w:val="00181684"/>
    <w:rsid w:val="001843C6"/>
    <w:rsid w:val="001850E0"/>
    <w:rsid w:val="001932A3"/>
    <w:rsid w:val="001A03AF"/>
    <w:rsid w:val="001A2158"/>
    <w:rsid w:val="001A525F"/>
    <w:rsid w:val="001A7C45"/>
    <w:rsid w:val="001B09F9"/>
    <w:rsid w:val="001B5C90"/>
    <w:rsid w:val="001B6448"/>
    <w:rsid w:val="001C32CD"/>
    <w:rsid w:val="001D0022"/>
    <w:rsid w:val="001D2984"/>
    <w:rsid w:val="001E07CF"/>
    <w:rsid w:val="001E59F1"/>
    <w:rsid w:val="001F20E2"/>
    <w:rsid w:val="001F2CEE"/>
    <w:rsid w:val="001F49EB"/>
    <w:rsid w:val="001F6CBA"/>
    <w:rsid w:val="00201D4E"/>
    <w:rsid w:val="002076C9"/>
    <w:rsid w:val="00210E8A"/>
    <w:rsid w:val="00220B8A"/>
    <w:rsid w:val="002257F3"/>
    <w:rsid w:val="00233456"/>
    <w:rsid w:val="002339A5"/>
    <w:rsid w:val="00250271"/>
    <w:rsid w:val="00253459"/>
    <w:rsid w:val="00257848"/>
    <w:rsid w:val="002578E8"/>
    <w:rsid w:val="0027084A"/>
    <w:rsid w:val="00280265"/>
    <w:rsid w:val="00286434"/>
    <w:rsid w:val="00286C59"/>
    <w:rsid w:val="00291957"/>
    <w:rsid w:val="002942D1"/>
    <w:rsid w:val="0029501A"/>
    <w:rsid w:val="002A3721"/>
    <w:rsid w:val="002B1638"/>
    <w:rsid w:val="002B3624"/>
    <w:rsid w:val="002B61C4"/>
    <w:rsid w:val="002D0952"/>
    <w:rsid w:val="002D37DC"/>
    <w:rsid w:val="002E0040"/>
    <w:rsid w:val="002E3437"/>
    <w:rsid w:val="002E40B3"/>
    <w:rsid w:val="002E4C9A"/>
    <w:rsid w:val="002F0FF4"/>
    <w:rsid w:val="002F11F8"/>
    <w:rsid w:val="002F3F56"/>
    <w:rsid w:val="002F44B5"/>
    <w:rsid w:val="002F5122"/>
    <w:rsid w:val="00311AC0"/>
    <w:rsid w:val="003176FC"/>
    <w:rsid w:val="003217E4"/>
    <w:rsid w:val="0032583B"/>
    <w:rsid w:val="00327883"/>
    <w:rsid w:val="00335504"/>
    <w:rsid w:val="00340C18"/>
    <w:rsid w:val="003442FD"/>
    <w:rsid w:val="00347824"/>
    <w:rsid w:val="00350567"/>
    <w:rsid w:val="003521E8"/>
    <w:rsid w:val="00370CE3"/>
    <w:rsid w:val="003728F3"/>
    <w:rsid w:val="003735BC"/>
    <w:rsid w:val="003739B5"/>
    <w:rsid w:val="0037496E"/>
    <w:rsid w:val="00375ECE"/>
    <w:rsid w:val="00376051"/>
    <w:rsid w:val="00383221"/>
    <w:rsid w:val="00386150"/>
    <w:rsid w:val="003874CE"/>
    <w:rsid w:val="00390900"/>
    <w:rsid w:val="003A7F6C"/>
    <w:rsid w:val="003B4D60"/>
    <w:rsid w:val="003B7E39"/>
    <w:rsid w:val="003C58DC"/>
    <w:rsid w:val="003D1E62"/>
    <w:rsid w:val="003D28A9"/>
    <w:rsid w:val="003D7FB6"/>
    <w:rsid w:val="003E0B99"/>
    <w:rsid w:val="003E2486"/>
    <w:rsid w:val="003E3208"/>
    <w:rsid w:val="003F0B04"/>
    <w:rsid w:val="0040134E"/>
    <w:rsid w:val="004334C7"/>
    <w:rsid w:val="00440A2D"/>
    <w:rsid w:val="00441C3F"/>
    <w:rsid w:val="00444D1A"/>
    <w:rsid w:val="0045186A"/>
    <w:rsid w:val="004564A7"/>
    <w:rsid w:val="00456765"/>
    <w:rsid w:val="00460036"/>
    <w:rsid w:val="004617BF"/>
    <w:rsid w:val="00463658"/>
    <w:rsid w:val="004637A0"/>
    <w:rsid w:val="004722CC"/>
    <w:rsid w:val="00490483"/>
    <w:rsid w:val="004936E4"/>
    <w:rsid w:val="00494E60"/>
    <w:rsid w:val="00497487"/>
    <w:rsid w:val="004A2771"/>
    <w:rsid w:val="004A6189"/>
    <w:rsid w:val="004A7390"/>
    <w:rsid w:val="004A7E18"/>
    <w:rsid w:val="004B7B76"/>
    <w:rsid w:val="004B7DE2"/>
    <w:rsid w:val="004C239D"/>
    <w:rsid w:val="004C2DCA"/>
    <w:rsid w:val="004C38E6"/>
    <w:rsid w:val="004C417B"/>
    <w:rsid w:val="004C61D2"/>
    <w:rsid w:val="004D5EBF"/>
    <w:rsid w:val="004E6106"/>
    <w:rsid w:val="004F0C4A"/>
    <w:rsid w:val="004F0F38"/>
    <w:rsid w:val="004F3021"/>
    <w:rsid w:val="004F47D6"/>
    <w:rsid w:val="004F7950"/>
    <w:rsid w:val="00500337"/>
    <w:rsid w:val="00501921"/>
    <w:rsid w:val="005021DC"/>
    <w:rsid w:val="005074DB"/>
    <w:rsid w:val="005137B1"/>
    <w:rsid w:val="00530354"/>
    <w:rsid w:val="00535621"/>
    <w:rsid w:val="0053625B"/>
    <w:rsid w:val="00543442"/>
    <w:rsid w:val="005434C6"/>
    <w:rsid w:val="00543B39"/>
    <w:rsid w:val="00546154"/>
    <w:rsid w:val="00550096"/>
    <w:rsid w:val="005537CB"/>
    <w:rsid w:val="00554C19"/>
    <w:rsid w:val="00555280"/>
    <w:rsid w:val="00557FF9"/>
    <w:rsid w:val="00562327"/>
    <w:rsid w:val="005711D5"/>
    <w:rsid w:val="00576378"/>
    <w:rsid w:val="00577130"/>
    <w:rsid w:val="00577945"/>
    <w:rsid w:val="00577E38"/>
    <w:rsid w:val="00585322"/>
    <w:rsid w:val="005857C6"/>
    <w:rsid w:val="00592F6E"/>
    <w:rsid w:val="00593AD1"/>
    <w:rsid w:val="005A68B6"/>
    <w:rsid w:val="005A7B14"/>
    <w:rsid w:val="005C5570"/>
    <w:rsid w:val="005C5B66"/>
    <w:rsid w:val="005C79A4"/>
    <w:rsid w:val="005D5442"/>
    <w:rsid w:val="005E0FF0"/>
    <w:rsid w:val="005E600A"/>
    <w:rsid w:val="005F3DB0"/>
    <w:rsid w:val="005F4D69"/>
    <w:rsid w:val="00603F32"/>
    <w:rsid w:val="00605AD4"/>
    <w:rsid w:val="006136D7"/>
    <w:rsid w:val="00617514"/>
    <w:rsid w:val="00625A6E"/>
    <w:rsid w:val="00630C63"/>
    <w:rsid w:val="00632398"/>
    <w:rsid w:val="00640FC3"/>
    <w:rsid w:val="00642020"/>
    <w:rsid w:val="006430EE"/>
    <w:rsid w:val="0065337B"/>
    <w:rsid w:val="0065419D"/>
    <w:rsid w:val="006603BC"/>
    <w:rsid w:val="006604D8"/>
    <w:rsid w:val="00664A5B"/>
    <w:rsid w:val="0066735C"/>
    <w:rsid w:val="006763D2"/>
    <w:rsid w:val="00680C08"/>
    <w:rsid w:val="006916A0"/>
    <w:rsid w:val="006931B1"/>
    <w:rsid w:val="006A15C0"/>
    <w:rsid w:val="006A4252"/>
    <w:rsid w:val="006A58A8"/>
    <w:rsid w:val="006C3E2A"/>
    <w:rsid w:val="006C642F"/>
    <w:rsid w:val="006D03E5"/>
    <w:rsid w:val="006D5D3E"/>
    <w:rsid w:val="006E08B3"/>
    <w:rsid w:val="006F17AC"/>
    <w:rsid w:val="006F25B8"/>
    <w:rsid w:val="006F3327"/>
    <w:rsid w:val="006F572E"/>
    <w:rsid w:val="007046D6"/>
    <w:rsid w:val="00705DB0"/>
    <w:rsid w:val="00722B57"/>
    <w:rsid w:val="00730F8A"/>
    <w:rsid w:val="007353E1"/>
    <w:rsid w:val="007357E5"/>
    <w:rsid w:val="00735A8C"/>
    <w:rsid w:val="0074253D"/>
    <w:rsid w:val="0074429B"/>
    <w:rsid w:val="007615BC"/>
    <w:rsid w:val="00762F05"/>
    <w:rsid w:val="007645F1"/>
    <w:rsid w:val="007652FF"/>
    <w:rsid w:val="00770CAC"/>
    <w:rsid w:val="00770EF1"/>
    <w:rsid w:val="00773EF7"/>
    <w:rsid w:val="00774E1D"/>
    <w:rsid w:val="007765D8"/>
    <w:rsid w:val="0077675A"/>
    <w:rsid w:val="00780355"/>
    <w:rsid w:val="007819FD"/>
    <w:rsid w:val="00785717"/>
    <w:rsid w:val="00785721"/>
    <w:rsid w:val="00793A59"/>
    <w:rsid w:val="007A46F5"/>
    <w:rsid w:val="007A5AA1"/>
    <w:rsid w:val="007A6505"/>
    <w:rsid w:val="007B6132"/>
    <w:rsid w:val="007B6E9F"/>
    <w:rsid w:val="007C1216"/>
    <w:rsid w:val="007C1AF7"/>
    <w:rsid w:val="007C6B9B"/>
    <w:rsid w:val="007D53B6"/>
    <w:rsid w:val="007E1DD3"/>
    <w:rsid w:val="00805D27"/>
    <w:rsid w:val="00806DCB"/>
    <w:rsid w:val="008178B8"/>
    <w:rsid w:val="00821776"/>
    <w:rsid w:val="008321F5"/>
    <w:rsid w:val="00832369"/>
    <w:rsid w:val="00834660"/>
    <w:rsid w:val="00836BC2"/>
    <w:rsid w:val="008427FE"/>
    <w:rsid w:val="0085156D"/>
    <w:rsid w:val="00852B28"/>
    <w:rsid w:val="0085641B"/>
    <w:rsid w:val="00857136"/>
    <w:rsid w:val="0087019F"/>
    <w:rsid w:val="00875A6B"/>
    <w:rsid w:val="0087729F"/>
    <w:rsid w:val="00883CED"/>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51A9"/>
    <w:rsid w:val="008E757C"/>
    <w:rsid w:val="008E7846"/>
    <w:rsid w:val="008F02E5"/>
    <w:rsid w:val="008F1CCC"/>
    <w:rsid w:val="008F2967"/>
    <w:rsid w:val="008F3D99"/>
    <w:rsid w:val="008F6943"/>
    <w:rsid w:val="00902237"/>
    <w:rsid w:val="00902A21"/>
    <w:rsid w:val="00902D77"/>
    <w:rsid w:val="00912957"/>
    <w:rsid w:val="009138A7"/>
    <w:rsid w:val="0091523F"/>
    <w:rsid w:val="00920330"/>
    <w:rsid w:val="009219D7"/>
    <w:rsid w:val="00922D53"/>
    <w:rsid w:val="00923B70"/>
    <w:rsid w:val="00924482"/>
    <w:rsid w:val="00930237"/>
    <w:rsid w:val="00936742"/>
    <w:rsid w:val="00937C17"/>
    <w:rsid w:val="00940A89"/>
    <w:rsid w:val="00941F77"/>
    <w:rsid w:val="00942500"/>
    <w:rsid w:val="00946EA5"/>
    <w:rsid w:val="009555F1"/>
    <w:rsid w:val="00960520"/>
    <w:rsid w:val="00961D6C"/>
    <w:rsid w:val="00963C08"/>
    <w:rsid w:val="009752A5"/>
    <w:rsid w:val="0097677D"/>
    <w:rsid w:val="00980257"/>
    <w:rsid w:val="0098585A"/>
    <w:rsid w:val="009A4CED"/>
    <w:rsid w:val="009A690D"/>
    <w:rsid w:val="009B1D12"/>
    <w:rsid w:val="009B416B"/>
    <w:rsid w:val="009C4BD5"/>
    <w:rsid w:val="009C733C"/>
    <w:rsid w:val="009C7B11"/>
    <w:rsid w:val="009D7B77"/>
    <w:rsid w:val="009E0BB0"/>
    <w:rsid w:val="009E3FBB"/>
    <w:rsid w:val="009F70D2"/>
    <w:rsid w:val="009F7353"/>
    <w:rsid w:val="00A04F85"/>
    <w:rsid w:val="00A05FA4"/>
    <w:rsid w:val="00A102E4"/>
    <w:rsid w:val="00A1219C"/>
    <w:rsid w:val="00A12C42"/>
    <w:rsid w:val="00A14DF7"/>
    <w:rsid w:val="00A168BD"/>
    <w:rsid w:val="00A22D57"/>
    <w:rsid w:val="00A3246D"/>
    <w:rsid w:val="00A36FA7"/>
    <w:rsid w:val="00A44DDB"/>
    <w:rsid w:val="00A475B7"/>
    <w:rsid w:val="00A47AF7"/>
    <w:rsid w:val="00A47C3E"/>
    <w:rsid w:val="00A50226"/>
    <w:rsid w:val="00A5075B"/>
    <w:rsid w:val="00A541A5"/>
    <w:rsid w:val="00A60BAD"/>
    <w:rsid w:val="00A77F87"/>
    <w:rsid w:val="00A80B5B"/>
    <w:rsid w:val="00A84E36"/>
    <w:rsid w:val="00A964D1"/>
    <w:rsid w:val="00AA0ED0"/>
    <w:rsid w:val="00AC2B40"/>
    <w:rsid w:val="00AC2BB2"/>
    <w:rsid w:val="00AC2C3C"/>
    <w:rsid w:val="00AC512D"/>
    <w:rsid w:val="00AD0083"/>
    <w:rsid w:val="00AD3935"/>
    <w:rsid w:val="00AD6CB4"/>
    <w:rsid w:val="00AE65EB"/>
    <w:rsid w:val="00AE67A7"/>
    <w:rsid w:val="00AF1D94"/>
    <w:rsid w:val="00AF60C5"/>
    <w:rsid w:val="00AF6B0D"/>
    <w:rsid w:val="00B009C6"/>
    <w:rsid w:val="00B0113F"/>
    <w:rsid w:val="00B01548"/>
    <w:rsid w:val="00B01691"/>
    <w:rsid w:val="00B130C5"/>
    <w:rsid w:val="00B13EBD"/>
    <w:rsid w:val="00B21D29"/>
    <w:rsid w:val="00B25034"/>
    <w:rsid w:val="00B33588"/>
    <w:rsid w:val="00B33863"/>
    <w:rsid w:val="00B37D17"/>
    <w:rsid w:val="00B4175E"/>
    <w:rsid w:val="00B41C85"/>
    <w:rsid w:val="00B452CE"/>
    <w:rsid w:val="00B53E87"/>
    <w:rsid w:val="00B54C25"/>
    <w:rsid w:val="00B57759"/>
    <w:rsid w:val="00B63CE8"/>
    <w:rsid w:val="00B76B91"/>
    <w:rsid w:val="00B77EB1"/>
    <w:rsid w:val="00B811C6"/>
    <w:rsid w:val="00B81B7C"/>
    <w:rsid w:val="00B855B0"/>
    <w:rsid w:val="00B9205A"/>
    <w:rsid w:val="00B92E08"/>
    <w:rsid w:val="00BC622A"/>
    <w:rsid w:val="00BE0A78"/>
    <w:rsid w:val="00BE79F0"/>
    <w:rsid w:val="00BF046D"/>
    <w:rsid w:val="00BF1190"/>
    <w:rsid w:val="00BF3774"/>
    <w:rsid w:val="00BF59D5"/>
    <w:rsid w:val="00BF5D04"/>
    <w:rsid w:val="00C009AA"/>
    <w:rsid w:val="00C1164D"/>
    <w:rsid w:val="00C16861"/>
    <w:rsid w:val="00C2236D"/>
    <w:rsid w:val="00C26201"/>
    <w:rsid w:val="00C270C7"/>
    <w:rsid w:val="00C3217E"/>
    <w:rsid w:val="00C346AB"/>
    <w:rsid w:val="00C40326"/>
    <w:rsid w:val="00C404A6"/>
    <w:rsid w:val="00C4054A"/>
    <w:rsid w:val="00C40A36"/>
    <w:rsid w:val="00C44419"/>
    <w:rsid w:val="00C45E7B"/>
    <w:rsid w:val="00C471B1"/>
    <w:rsid w:val="00C525A2"/>
    <w:rsid w:val="00C52E24"/>
    <w:rsid w:val="00C6316B"/>
    <w:rsid w:val="00C634A9"/>
    <w:rsid w:val="00C64586"/>
    <w:rsid w:val="00C70A36"/>
    <w:rsid w:val="00C70D53"/>
    <w:rsid w:val="00C715E4"/>
    <w:rsid w:val="00C71966"/>
    <w:rsid w:val="00C73D0B"/>
    <w:rsid w:val="00C74F5C"/>
    <w:rsid w:val="00C772FF"/>
    <w:rsid w:val="00C80137"/>
    <w:rsid w:val="00C801AF"/>
    <w:rsid w:val="00C80256"/>
    <w:rsid w:val="00C94CD4"/>
    <w:rsid w:val="00C9747E"/>
    <w:rsid w:val="00CB1089"/>
    <w:rsid w:val="00CB6BC0"/>
    <w:rsid w:val="00CC1B7C"/>
    <w:rsid w:val="00CC4B24"/>
    <w:rsid w:val="00CC727F"/>
    <w:rsid w:val="00CD25CE"/>
    <w:rsid w:val="00CD3E19"/>
    <w:rsid w:val="00CF15C3"/>
    <w:rsid w:val="00CF2B6F"/>
    <w:rsid w:val="00CF2F3E"/>
    <w:rsid w:val="00CF58B6"/>
    <w:rsid w:val="00CF5DAD"/>
    <w:rsid w:val="00CF7799"/>
    <w:rsid w:val="00D0062D"/>
    <w:rsid w:val="00D017ED"/>
    <w:rsid w:val="00D040D3"/>
    <w:rsid w:val="00D04C65"/>
    <w:rsid w:val="00D145F5"/>
    <w:rsid w:val="00D153D8"/>
    <w:rsid w:val="00D201D2"/>
    <w:rsid w:val="00D224FE"/>
    <w:rsid w:val="00D23139"/>
    <w:rsid w:val="00D25B5E"/>
    <w:rsid w:val="00D425BB"/>
    <w:rsid w:val="00D453FA"/>
    <w:rsid w:val="00D6493E"/>
    <w:rsid w:val="00D7195D"/>
    <w:rsid w:val="00D7301E"/>
    <w:rsid w:val="00D83AE1"/>
    <w:rsid w:val="00D855D4"/>
    <w:rsid w:val="00D85768"/>
    <w:rsid w:val="00D902C9"/>
    <w:rsid w:val="00D93466"/>
    <w:rsid w:val="00DA1124"/>
    <w:rsid w:val="00DA64CB"/>
    <w:rsid w:val="00DB06B8"/>
    <w:rsid w:val="00DB6124"/>
    <w:rsid w:val="00DB750B"/>
    <w:rsid w:val="00DB75B7"/>
    <w:rsid w:val="00DC0A2F"/>
    <w:rsid w:val="00DC1948"/>
    <w:rsid w:val="00DC6E02"/>
    <w:rsid w:val="00DD28CD"/>
    <w:rsid w:val="00DE02AE"/>
    <w:rsid w:val="00DE39D1"/>
    <w:rsid w:val="00DF1D7F"/>
    <w:rsid w:val="00DF4BE4"/>
    <w:rsid w:val="00E02382"/>
    <w:rsid w:val="00E02FB4"/>
    <w:rsid w:val="00E13FC7"/>
    <w:rsid w:val="00E17603"/>
    <w:rsid w:val="00E20571"/>
    <w:rsid w:val="00E235F7"/>
    <w:rsid w:val="00E23659"/>
    <w:rsid w:val="00E239D4"/>
    <w:rsid w:val="00E260A2"/>
    <w:rsid w:val="00E26130"/>
    <w:rsid w:val="00E40B22"/>
    <w:rsid w:val="00E4233C"/>
    <w:rsid w:val="00E44ED1"/>
    <w:rsid w:val="00E45619"/>
    <w:rsid w:val="00E4588F"/>
    <w:rsid w:val="00E46DA3"/>
    <w:rsid w:val="00E51BB1"/>
    <w:rsid w:val="00E55CB0"/>
    <w:rsid w:val="00E624A5"/>
    <w:rsid w:val="00E64BA4"/>
    <w:rsid w:val="00E7344E"/>
    <w:rsid w:val="00E8249B"/>
    <w:rsid w:val="00E82665"/>
    <w:rsid w:val="00E90413"/>
    <w:rsid w:val="00E97690"/>
    <w:rsid w:val="00EB0798"/>
    <w:rsid w:val="00EB205E"/>
    <w:rsid w:val="00EB40AD"/>
    <w:rsid w:val="00EB452E"/>
    <w:rsid w:val="00EB586E"/>
    <w:rsid w:val="00EB5FC8"/>
    <w:rsid w:val="00EC2B1D"/>
    <w:rsid w:val="00EC463D"/>
    <w:rsid w:val="00EC7A85"/>
    <w:rsid w:val="00ED2922"/>
    <w:rsid w:val="00ED3CAD"/>
    <w:rsid w:val="00ED5A41"/>
    <w:rsid w:val="00EE1DE8"/>
    <w:rsid w:val="00EE27C2"/>
    <w:rsid w:val="00EF134A"/>
    <w:rsid w:val="00EF4BAD"/>
    <w:rsid w:val="00EF59DC"/>
    <w:rsid w:val="00F033EC"/>
    <w:rsid w:val="00F04F68"/>
    <w:rsid w:val="00F10292"/>
    <w:rsid w:val="00F12670"/>
    <w:rsid w:val="00F14B27"/>
    <w:rsid w:val="00F20AFC"/>
    <w:rsid w:val="00F31037"/>
    <w:rsid w:val="00F3148D"/>
    <w:rsid w:val="00F325C5"/>
    <w:rsid w:val="00F32FE0"/>
    <w:rsid w:val="00F35298"/>
    <w:rsid w:val="00F4646E"/>
    <w:rsid w:val="00F47333"/>
    <w:rsid w:val="00F47E37"/>
    <w:rsid w:val="00F539DB"/>
    <w:rsid w:val="00F53C07"/>
    <w:rsid w:val="00F54B65"/>
    <w:rsid w:val="00F55C4E"/>
    <w:rsid w:val="00F640B6"/>
    <w:rsid w:val="00F66DF2"/>
    <w:rsid w:val="00F80E40"/>
    <w:rsid w:val="00F848D9"/>
    <w:rsid w:val="00FA19EB"/>
    <w:rsid w:val="00FA5069"/>
    <w:rsid w:val="00FA5B82"/>
    <w:rsid w:val="00FA639E"/>
    <w:rsid w:val="00FC050D"/>
    <w:rsid w:val="00FC1FCA"/>
    <w:rsid w:val="00FC25E4"/>
    <w:rsid w:val="00FC3235"/>
    <w:rsid w:val="00FC4EF7"/>
    <w:rsid w:val="00FD0824"/>
    <w:rsid w:val="00FD119B"/>
    <w:rsid w:val="00FD1EDC"/>
    <w:rsid w:val="00FD2714"/>
    <w:rsid w:val="00FD6CE8"/>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820D858"/>
  <w15:docId w15:val="{FCD1BD90-B39F-4FAD-A7E1-474FA53A4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B01691"/>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0B4C29"/>
    <w:pPr>
      <w:autoSpaceDE w:val="0"/>
      <w:autoSpaceDN w:val="0"/>
      <w:adjustRightInd w:val="0"/>
      <w:spacing w:after="0" w:line="240" w:lineRule="auto"/>
    </w:pPr>
    <w:rPr>
      <w:rFonts w:ascii="Cambria" w:hAnsi="Cambria" w:cs="Cambria"/>
      <w:color w:val="000000"/>
      <w:sz w:val="24"/>
      <w:szCs w:val="24"/>
    </w:rPr>
  </w:style>
  <w:style w:type="paragraph" w:customStyle="1" w:styleId="Bulletlist">
    <w:name w:val="Bullet list"/>
    <w:basedOn w:val="Normal"/>
    <w:link w:val="BulletlistChar"/>
    <w:qFormat/>
    <w:rsid w:val="007A5AA1"/>
    <w:pPr>
      <w:numPr>
        <w:numId w:val="33"/>
      </w:numPr>
      <w:spacing w:before="0" w:after="180" w:line="252" w:lineRule="auto"/>
    </w:pPr>
    <w:rPr>
      <w:rFonts w:eastAsia="Times New Roman"/>
      <w:snapToGrid w:val="0"/>
      <w:kern w:val="2"/>
      <w:sz w:val="23"/>
    </w:rPr>
  </w:style>
  <w:style w:type="character" w:customStyle="1" w:styleId="BulletlistChar">
    <w:name w:val="Bullet list Char"/>
    <w:basedOn w:val="DefaultParagraphFont"/>
    <w:link w:val="Bulletlist"/>
    <w:rsid w:val="007A5AA1"/>
    <w:rPr>
      <w:rFonts w:ascii="Cambria" w:eastAsia="Times New Roman" w:hAnsi="Cambria" w:cs="Times New Roman"/>
      <w:snapToGrid w:val="0"/>
      <w:kern w:val="2"/>
      <w:sz w:val="23"/>
    </w:rPr>
  </w:style>
  <w:style w:type="paragraph" w:customStyle="1" w:styleId="Standard">
    <w:name w:val="Standard"/>
    <w:basedOn w:val="Normal"/>
    <w:link w:val="StandardChar"/>
    <w:qFormat/>
    <w:rsid w:val="008178B8"/>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8178B8"/>
    <w:rPr>
      <w:rFonts w:ascii="Cambria" w:eastAsia="Times New Roman" w:hAnsi="Cambria" w:cs="Times New Roman"/>
      <w:snapToGrid w:val="0"/>
      <w:kern w:val="16"/>
      <w:sz w:val="23"/>
      <w:szCs w:val="24"/>
    </w:rPr>
  </w:style>
  <w:style w:type="character" w:customStyle="1" w:styleId="TabletextChar">
    <w:name w:val="Table text Char"/>
    <w:basedOn w:val="StandardChar"/>
    <w:link w:val="Tabletext"/>
    <w:rsid w:val="008178B8"/>
    <w:rPr>
      <w:rFonts w:ascii="Cambria" w:eastAsia="Cambria" w:hAnsi="Cambria" w:cs="Times New Roman"/>
      <w:snapToGrid/>
      <w:kern w:val="16"/>
      <w:sz w:val="19"/>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843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tga.gov.au" TargetMode="Externa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mailto:info@tga.gov.au" TargetMode="External"/><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6.png"/><Relationship Id="rId29" Type="http://schemas.openxmlformats.org/officeDocument/2006/relationships/header" Target="head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footer" Target="footer4.xm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hyperlink" Target="https://www.tga.gov.au/product-information-pi" TargetMode="External"/><Relationship Id="rId36"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5.xml"/><Relationship Id="rId35" Type="http://schemas.openxmlformats.org/officeDocument/2006/relationships/header" Target="header7.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LUST\AppData\Local\Hewlett-Packard\HP%20TRIM\TEMP\HPTRIM.12736\D19-5975236%20%20AusPAR%20-%20template%20-%20streamline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C8E9E-2B03-43A4-AACC-5D8A4DF30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streamlined.DOTX</Template>
  <TotalTime>24</TotalTime>
  <Pages>24</Pages>
  <Words>5880</Words>
  <Characters>32753</Characters>
  <Application>Microsoft Office Word</Application>
  <DocSecurity>0</DocSecurity>
  <Lines>1056</Lines>
  <Paragraphs>772</Paragraphs>
  <ScaleCrop>false</ScaleCrop>
  <HeadingPairs>
    <vt:vector size="2" baseType="variant">
      <vt:variant>
        <vt:lpstr>Title</vt:lpstr>
      </vt:variant>
      <vt:variant>
        <vt:i4>1</vt:i4>
      </vt:variant>
    </vt:vector>
  </HeadingPairs>
  <TitlesOfParts>
    <vt:vector size="1" baseType="lpstr">
      <vt:lpstr>Australian public assessment report for Vonicog alfa</vt:lpstr>
    </vt:vector>
  </TitlesOfParts>
  <Company>Department of Health Therapeutic Goods Administration</Company>
  <LinksUpToDate>false</LinksUpToDate>
  <CharactersWithSpaces>37861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Vonicog alfa</dc:title>
  <dc:subject>prescription medicines</dc:subject>
  <dc:creator>Therapeutic Goods Administration</dc:creator>
  <cp:keywords/>
  <cp:lastPrinted>2019-08-14T04:30:00Z</cp:lastPrinted>
  <dcterms:created xsi:type="dcterms:W3CDTF">2020-10-21T00:53:00Z</dcterms:created>
  <dcterms:modified xsi:type="dcterms:W3CDTF">2020-10-21T01:17:00Z</dcterms:modified>
  <cp:category/>
</cp:coreProperties>
</file>