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21367" w:rsidRDefault="00A21367" w:rsidP="00CB6C27">
      <w:pPr>
        <w:pStyle w:val="BodytextAgency"/>
        <w:spacing w:before="120" w:after="360" w:line="240" w:lineRule="auto"/>
        <w:rPr>
          <w:rFonts w:ascii="Times New Roman" w:hAnsi="Times New Roman" w:cs="Times New Roman"/>
          <w:noProof/>
          <w:sz w:val="24"/>
          <w:szCs w:val="24"/>
        </w:rPr>
      </w:pPr>
      <w:r>
        <w:rPr>
          <w:noProof/>
        </w:rPr>
      </w:r>
      <w:r>
        <w:pict>
          <v:shapetype id="_x0000_t202" coordsize="21600,21600" o:spt="202" path="m,l,21600r21600,l21600,xe">
            <v:stroke joinstyle="miter"/>
            <v:path gradientshapeok="t" o:connecttype="rect"/>
          </v:shapetype>
          <v:shape id="Text Box 1" o:spid="_x0000_s1027" type="#_x0000_t202" style="width:19.85pt;height:19.8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RmeAIAAP4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" stroked="f">
            <v:textbox inset="0,0,0,0">
              <w:txbxContent>
                <w:p w:rsidR="00417341" w:rsidRPr="00BE2A26" w:rsidRDefault="00417341" w:rsidP="00A21367">
                  <w:pPr>
                    <w:spacing w:line="240" w:lineRule="auto"/>
                    <w:rPr>
                      <w:rFonts w:ascii="Wingdings 3" w:hAnsi="Wingdings 3"/>
                      <w:sz w:val="24"/>
                    </w:rPr>
                  </w:pPr>
                  <w:r w:rsidRPr="00BE2A26">
                    <w:rPr>
                      <w:rFonts w:ascii="SimSun" w:eastAsia="SimSun" w:hAnsi="SimSun" w:cs="Arial" w:hint="eastAsia"/>
                      <w:sz w:val="40"/>
                    </w:rPr>
                    <w:t>▼</w:t>
                  </w:r>
                </w:p>
              </w:txbxContent>
            </v:textbox>
            <w10:wrap type="none"/>
            <w10:anchorlock/>
          </v:shape>
        </w:pict>
      </w:r>
      <w:r w:rsidRPr="00A21367">
        <w:rPr>
          <w:rFonts w:ascii="Times New Roman" w:hAnsi="Times New Roman" w:cs="Times New Roman"/>
          <w:noProof/>
          <w:sz w:val="24"/>
          <w:szCs w:val="24"/>
        </w:rPr>
        <w:t xml:space="preserve">This medicinal product is subject to additional monitoring in Australia. This will allow quick identification of new safety information. Healthcare professionals are asked to report any suspected adverse events at </w:t>
      </w:r>
      <w:hyperlink r:id="rId12" w:history="1">
        <w:r w:rsidRPr="00A21367">
          <w:rPr>
            <w:rFonts w:ascii="Times New Roman" w:hAnsi="Times New Roman" w:cs="Times New Roman"/>
            <w:noProof/>
            <w:color w:val="0000FF"/>
            <w:sz w:val="24"/>
            <w:szCs w:val="24"/>
            <w:u w:val="single"/>
          </w:rPr>
          <w:t>www.tga.gov.au/reporting-problems</w:t>
        </w:r>
      </w:hyperlink>
      <w:r w:rsidRPr="00A21367">
        <w:rPr>
          <w:rFonts w:ascii="Times New Roman" w:hAnsi="Times New Roman" w:cs="Times New Roman"/>
          <w:noProof/>
          <w:sz w:val="24"/>
          <w:szCs w:val="24"/>
        </w:rPr>
        <w:t>.</w:t>
      </w:r>
    </w:p>
    <w:p w:rsidR="00870F2C" w:rsidRPr="00870F2C" w:rsidRDefault="00870F2C" w:rsidP="00A21367">
      <w:pPr>
        <w:pStyle w:val="Heading1"/>
        <w:numPr>
          <w:ilvl w:val="0"/>
          <w:numId w:val="0"/>
        </w:numPr>
        <w:spacing w:before="0" w:after="0"/>
      </w:pPr>
      <w:r w:rsidRPr="00D973A3">
        <w:t>AUSTRALIAN PRODUCT INFORMATION</w:t>
      </w:r>
      <w:r w:rsidR="00542705">
        <w:t xml:space="preserve"> </w:t>
      </w:r>
      <w:r w:rsidR="00C80269">
        <w:t>–</w:t>
      </w:r>
      <w:r w:rsidR="00542705">
        <w:t xml:space="preserve"> </w:t>
      </w:r>
      <w:r w:rsidRPr="00870F2C">
        <w:t>VEYVONDI</w:t>
      </w:r>
      <w:r w:rsidR="004D448B" w:rsidRPr="004D448B">
        <w:rPr>
          <w:vertAlign w:val="superscript"/>
        </w:rPr>
        <w:t>®</w:t>
      </w:r>
      <w:r w:rsidRPr="00870F2C">
        <w:t xml:space="preserve"> (</w:t>
      </w:r>
      <w:r w:rsidR="004B1823" w:rsidRPr="00870F2C">
        <w:rPr>
          <w:caps w:val="0"/>
        </w:rPr>
        <w:t xml:space="preserve">vonicog alfa) powder </w:t>
      </w:r>
      <w:r w:rsidR="001A6285">
        <w:rPr>
          <w:caps w:val="0"/>
        </w:rPr>
        <w:t xml:space="preserve">and solvent </w:t>
      </w:r>
      <w:r w:rsidR="004B1823" w:rsidRPr="00870F2C">
        <w:rPr>
          <w:caps w:val="0"/>
        </w:rPr>
        <w:t>for injectio</w:t>
      </w:r>
      <w:r w:rsidR="001A6285">
        <w:rPr>
          <w:caps w:val="0"/>
        </w:rPr>
        <w:t>n</w:t>
      </w:r>
    </w:p>
    <w:p w:rsidR="00812D16" w:rsidRPr="0044745F" w:rsidRDefault="00812D16" w:rsidP="007B162C">
      <w:pPr>
        <w:pStyle w:val="Heading1"/>
      </w:pPr>
      <w:r w:rsidRPr="0044745F">
        <w:t>NAME OF THE MEDICINAL PRODUCT</w:t>
      </w:r>
    </w:p>
    <w:p w:rsidR="00812D16" w:rsidRPr="006D5E7C" w:rsidRDefault="00546CFA" w:rsidP="007B162C">
      <w:pPr>
        <w:pStyle w:val="BodytextAgency"/>
        <w:spacing w:before="120" w:after="120" w:line="240" w:lineRule="auto"/>
        <w:rPr>
          <w:rFonts w:ascii="Times New Roman" w:hAnsi="Times New Roman" w:cs="Times New Roman"/>
          <w:noProof/>
          <w:sz w:val="24"/>
          <w:szCs w:val="24"/>
        </w:rPr>
      </w:pPr>
      <w:r w:rsidRPr="006D5E7C">
        <w:rPr>
          <w:rFonts w:ascii="Times New Roman" w:hAnsi="Times New Roman" w:cs="Times New Roman"/>
          <w:noProof/>
          <w:sz w:val="24"/>
          <w:szCs w:val="24"/>
        </w:rPr>
        <w:t>V</w:t>
      </w:r>
      <w:r w:rsidR="006D5E7C">
        <w:rPr>
          <w:rFonts w:ascii="Times New Roman" w:hAnsi="Times New Roman" w:cs="Times New Roman"/>
          <w:noProof/>
          <w:sz w:val="24"/>
          <w:szCs w:val="24"/>
        </w:rPr>
        <w:t>onicog alfa</w:t>
      </w:r>
    </w:p>
    <w:p w:rsidR="00812D16" w:rsidRPr="00870F2C" w:rsidRDefault="00812D16" w:rsidP="007B162C">
      <w:pPr>
        <w:pStyle w:val="Heading1"/>
      </w:pPr>
      <w:r w:rsidRPr="00870F2C">
        <w:t>QUALITATIVE AND QUANTITATIVE COMPOSITION</w:t>
      </w:r>
    </w:p>
    <w:p w:rsidR="00EB133B" w:rsidRPr="006D5E7C" w:rsidRDefault="00EB133B" w:rsidP="007B162C">
      <w:pPr>
        <w:pStyle w:val="Heading3"/>
        <w:numPr>
          <w:ilvl w:val="0"/>
          <w:numId w:val="0"/>
        </w:numPr>
        <w:spacing w:before="120" w:after="0"/>
        <w:rPr>
          <w:b w:val="0"/>
          <w:bCs w:val="0"/>
          <w:noProof/>
          <w:szCs w:val="24"/>
          <w:u w:val="single"/>
        </w:rPr>
      </w:pPr>
      <w:r w:rsidRPr="006D5E7C">
        <w:rPr>
          <w:b w:val="0"/>
          <w:bCs w:val="0"/>
          <w:noProof/>
          <w:szCs w:val="24"/>
          <w:u w:val="single"/>
        </w:rPr>
        <w:t>VEYVONDI 650</w:t>
      </w:r>
      <w:r w:rsidR="00E04BE7" w:rsidRPr="006D5E7C">
        <w:rPr>
          <w:b w:val="0"/>
          <w:bCs w:val="0"/>
          <w:noProof/>
          <w:szCs w:val="24"/>
          <w:u w:val="single"/>
        </w:rPr>
        <w:t> IU</w:t>
      </w:r>
      <w:r w:rsidRPr="006D5E7C">
        <w:rPr>
          <w:b w:val="0"/>
          <w:bCs w:val="0"/>
          <w:noProof/>
          <w:szCs w:val="24"/>
          <w:u w:val="single"/>
        </w:rPr>
        <w:t xml:space="preserve"> powder for injection</w:t>
      </w:r>
      <w:r w:rsidR="006D5E7C">
        <w:rPr>
          <w:b w:val="0"/>
          <w:bCs w:val="0"/>
          <w:noProof/>
          <w:szCs w:val="24"/>
          <w:u w:val="single"/>
        </w:rPr>
        <w:t xml:space="preserve"> with </w:t>
      </w:r>
      <w:r w:rsidR="002536DD">
        <w:rPr>
          <w:b w:val="0"/>
          <w:bCs w:val="0"/>
          <w:noProof/>
          <w:szCs w:val="24"/>
          <w:u w:val="single"/>
        </w:rPr>
        <w:t>solvent</w:t>
      </w:r>
      <w:r w:rsidR="006D5E7C">
        <w:rPr>
          <w:b w:val="0"/>
          <w:bCs w:val="0"/>
          <w:noProof/>
          <w:szCs w:val="24"/>
          <w:u w:val="single"/>
        </w:rPr>
        <w:t xml:space="preserve"> vial</w:t>
      </w:r>
    </w:p>
    <w:p w:rsidR="009862F8" w:rsidRPr="006D5E7C" w:rsidRDefault="00EB133B" w:rsidP="007B162C">
      <w:pPr>
        <w:pStyle w:val="BodytextAgency"/>
        <w:spacing w:after="120" w:line="240" w:lineRule="auto"/>
        <w:rPr>
          <w:rFonts w:ascii="Times New Roman" w:hAnsi="Times New Roman" w:cs="Times New Roman"/>
          <w:noProof/>
          <w:sz w:val="24"/>
          <w:szCs w:val="24"/>
        </w:rPr>
      </w:pPr>
      <w:r w:rsidRPr="006D5E7C">
        <w:rPr>
          <w:rFonts w:ascii="Times New Roman" w:hAnsi="Times New Roman" w:cs="Times New Roman"/>
          <w:noProof/>
          <w:sz w:val="24"/>
          <w:szCs w:val="24"/>
        </w:rPr>
        <w:t xml:space="preserve">Each vial </w:t>
      </w:r>
      <w:r w:rsidR="00EE4DA5">
        <w:rPr>
          <w:rFonts w:ascii="Times New Roman" w:hAnsi="Times New Roman" w:cs="Times New Roman"/>
          <w:noProof/>
          <w:sz w:val="24"/>
          <w:szCs w:val="24"/>
        </w:rPr>
        <w:t xml:space="preserve">of powder </w:t>
      </w:r>
      <w:r w:rsidRPr="006D5E7C">
        <w:rPr>
          <w:rFonts w:ascii="Times New Roman" w:hAnsi="Times New Roman" w:cs="Times New Roman"/>
          <w:noProof/>
          <w:sz w:val="24"/>
          <w:szCs w:val="24"/>
        </w:rPr>
        <w:t xml:space="preserve">contains </w:t>
      </w:r>
      <w:r w:rsidR="00827973" w:rsidRPr="006D5E7C">
        <w:rPr>
          <w:rFonts w:ascii="Times New Roman" w:hAnsi="Times New Roman" w:cs="Times New Roman"/>
          <w:noProof/>
          <w:sz w:val="24"/>
          <w:szCs w:val="24"/>
        </w:rPr>
        <w:t>nominally</w:t>
      </w:r>
      <w:r w:rsidR="00B75EF1" w:rsidRPr="006D5E7C">
        <w:rPr>
          <w:rFonts w:ascii="Times New Roman" w:hAnsi="Times New Roman" w:cs="Times New Roman"/>
          <w:noProof/>
          <w:sz w:val="24"/>
          <w:szCs w:val="24"/>
        </w:rPr>
        <w:t xml:space="preserve"> </w:t>
      </w:r>
      <w:r w:rsidR="00156A34" w:rsidRPr="006D5E7C">
        <w:rPr>
          <w:rFonts w:ascii="Times New Roman" w:hAnsi="Times New Roman" w:cs="Times New Roman"/>
          <w:noProof/>
          <w:sz w:val="24"/>
          <w:szCs w:val="24"/>
        </w:rPr>
        <w:t>650</w:t>
      </w:r>
      <w:r w:rsidR="00391F9A" w:rsidRPr="006D5E7C">
        <w:rPr>
          <w:rFonts w:ascii="Times New Roman" w:hAnsi="Times New Roman" w:cs="Times New Roman"/>
          <w:noProof/>
          <w:sz w:val="24"/>
          <w:szCs w:val="24"/>
        </w:rPr>
        <w:t> </w:t>
      </w:r>
      <w:r w:rsidR="00156A34" w:rsidRPr="006D5E7C">
        <w:rPr>
          <w:rFonts w:ascii="Times New Roman" w:hAnsi="Times New Roman" w:cs="Times New Roman"/>
          <w:noProof/>
          <w:sz w:val="24"/>
          <w:szCs w:val="24"/>
        </w:rPr>
        <w:t>I</w:t>
      </w:r>
      <w:r w:rsidR="00097FEA" w:rsidRPr="006D5E7C">
        <w:rPr>
          <w:rFonts w:ascii="Times New Roman" w:hAnsi="Times New Roman" w:cs="Times New Roman"/>
          <w:noProof/>
          <w:sz w:val="24"/>
          <w:szCs w:val="24"/>
        </w:rPr>
        <w:t>nternational Units (I</w:t>
      </w:r>
      <w:r w:rsidR="00156A34" w:rsidRPr="006D5E7C">
        <w:rPr>
          <w:rFonts w:ascii="Times New Roman" w:hAnsi="Times New Roman" w:cs="Times New Roman"/>
          <w:noProof/>
          <w:sz w:val="24"/>
          <w:szCs w:val="24"/>
        </w:rPr>
        <w:t>U</w:t>
      </w:r>
      <w:r w:rsidR="00097FEA" w:rsidRPr="006D5E7C">
        <w:rPr>
          <w:rFonts w:ascii="Times New Roman" w:hAnsi="Times New Roman" w:cs="Times New Roman"/>
          <w:noProof/>
          <w:sz w:val="24"/>
          <w:szCs w:val="24"/>
        </w:rPr>
        <w:t>)</w:t>
      </w:r>
      <w:r w:rsidR="00156A34" w:rsidRPr="006D5E7C">
        <w:rPr>
          <w:rFonts w:ascii="Times New Roman" w:hAnsi="Times New Roman" w:cs="Times New Roman"/>
          <w:noProof/>
          <w:sz w:val="24"/>
          <w:szCs w:val="24"/>
        </w:rPr>
        <w:t xml:space="preserve"> </w:t>
      </w:r>
      <w:r w:rsidR="00164F80" w:rsidRPr="006D5E7C">
        <w:rPr>
          <w:rFonts w:ascii="Times New Roman" w:hAnsi="Times New Roman" w:cs="Times New Roman"/>
          <w:noProof/>
          <w:sz w:val="24"/>
          <w:szCs w:val="24"/>
        </w:rPr>
        <w:t>vonicog alfa</w:t>
      </w:r>
      <w:r w:rsidR="00B75EF1" w:rsidRPr="006D5E7C">
        <w:rPr>
          <w:rFonts w:ascii="Times New Roman" w:hAnsi="Times New Roman" w:cs="Times New Roman"/>
          <w:noProof/>
          <w:sz w:val="24"/>
          <w:szCs w:val="24"/>
        </w:rPr>
        <w:t>.</w:t>
      </w:r>
      <w:r w:rsidR="0038333B" w:rsidRPr="006D5E7C">
        <w:rPr>
          <w:rFonts w:ascii="Times New Roman" w:hAnsi="Times New Roman" w:cs="Times New Roman"/>
          <w:noProof/>
          <w:sz w:val="24"/>
          <w:szCs w:val="24"/>
        </w:rPr>
        <w:t xml:space="preserve"> </w:t>
      </w:r>
      <w:r w:rsidR="00EE4DA5">
        <w:rPr>
          <w:rFonts w:ascii="Times New Roman" w:hAnsi="Times New Roman" w:cs="Times New Roman"/>
          <w:noProof/>
          <w:sz w:val="24"/>
          <w:szCs w:val="24"/>
        </w:rPr>
        <w:t xml:space="preserve">After reconstitution with the 5 mL solvent provided, VEYVONDI </w:t>
      </w:r>
      <w:r w:rsidR="0030602E" w:rsidRPr="006D5E7C">
        <w:rPr>
          <w:rFonts w:ascii="Times New Roman" w:hAnsi="Times New Roman" w:cs="Times New Roman"/>
          <w:noProof/>
          <w:sz w:val="24"/>
          <w:szCs w:val="24"/>
        </w:rPr>
        <w:t>contains</w:t>
      </w:r>
      <w:r w:rsidR="00F806A6" w:rsidRPr="006D5E7C">
        <w:rPr>
          <w:rFonts w:ascii="Times New Roman" w:hAnsi="Times New Roman" w:cs="Times New Roman"/>
          <w:noProof/>
          <w:sz w:val="24"/>
          <w:szCs w:val="24"/>
        </w:rPr>
        <w:t xml:space="preserve"> </w:t>
      </w:r>
      <w:r w:rsidR="0030602E" w:rsidRPr="006D5E7C">
        <w:rPr>
          <w:rFonts w:ascii="Times New Roman" w:hAnsi="Times New Roman" w:cs="Times New Roman"/>
          <w:noProof/>
          <w:sz w:val="24"/>
          <w:szCs w:val="24"/>
        </w:rPr>
        <w:t>approximately</w:t>
      </w:r>
      <w:r w:rsidR="00F806A6" w:rsidRPr="006D5E7C">
        <w:rPr>
          <w:rFonts w:ascii="Times New Roman" w:hAnsi="Times New Roman" w:cs="Times New Roman"/>
          <w:noProof/>
          <w:sz w:val="24"/>
          <w:szCs w:val="24"/>
        </w:rPr>
        <w:t xml:space="preserve"> </w:t>
      </w:r>
      <w:r w:rsidR="00E0294C" w:rsidRPr="006D5E7C">
        <w:rPr>
          <w:rFonts w:ascii="Times New Roman" w:hAnsi="Times New Roman" w:cs="Times New Roman"/>
          <w:noProof/>
          <w:sz w:val="24"/>
          <w:szCs w:val="24"/>
        </w:rPr>
        <w:t>130</w:t>
      </w:r>
      <w:r w:rsidR="00E04BE7" w:rsidRPr="006D5E7C">
        <w:rPr>
          <w:rFonts w:ascii="Times New Roman" w:hAnsi="Times New Roman" w:cs="Times New Roman"/>
          <w:noProof/>
          <w:sz w:val="24"/>
          <w:szCs w:val="24"/>
        </w:rPr>
        <w:t> IU</w:t>
      </w:r>
      <w:r w:rsidR="00EE4DA5">
        <w:rPr>
          <w:rFonts w:ascii="Times New Roman" w:hAnsi="Times New Roman" w:cs="Times New Roman"/>
          <w:noProof/>
          <w:sz w:val="24"/>
          <w:szCs w:val="24"/>
        </w:rPr>
        <w:t xml:space="preserve">/mL. </w:t>
      </w:r>
      <w:r w:rsidR="0030602E" w:rsidRPr="006D5E7C">
        <w:rPr>
          <w:rFonts w:ascii="Times New Roman" w:hAnsi="Times New Roman" w:cs="Times New Roman"/>
          <w:noProof/>
          <w:sz w:val="24"/>
          <w:szCs w:val="24"/>
        </w:rPr>
        <w:t xml:space="preserve"> </w:t>
      </w:r>
    </w:p>
    <w:p w:rsidR="009862F8" w:rsidRPr="006D5E7C" w:rsidRDefault="00EB133B" w:rsidP="007B162C">
      <w:pPr>
        <w:pStyle w:val="Heading3"/>
        <w:numPr>
          <w:ilvl w:val="0"/>
          <w:numId w:val="0"/>
        </w:numPr>
        <w:spacing w:before="120" w:after="0"/>
        <w:rPr>
          <w:b w:val="0"/>
          <w:bCs w:val="0"/>
          <w:noProof/>
          <w:szCs w:val="24"/>
          <w:u w:val="single"/>
        </w:rPr>
      </w:pPr>
      <w:r w:rsidRPr="006D5E7C">
        <w:rPr>
          <w:b w:val="0"/>
          <w:bCs w:val="0"/>
          <w:noProof/>
          <w:szCs w:val="24"/>
          <w:u w:val="single"/>
        </w:rPr>
        <w:t>VEYVONDI 1300</w:t>
      </w:r>
      <w:r w:rsidR="00E04BE7" w:rsidRPr="006D5E7C">
        <w:rPr>
          <w:b w:val="0"/>
          <w:bCs w:val="0"/>
          <w:noProof/>
          <w:szCs w:val="24"/>
          <w:u w:val="single"/>
        </w:rPr>
        <w:t> IU</w:t>
      </w:r>
      <w:r w:rsidRPr="006D5E7C">
        <w:rPr>
          <w:b w:val="0"/>
          <w:bCs w:val="0"/>
          <w:noProof/>
          <w:szCs w:val="24"/>
          <w:u w:val="single"/>
        </w:rPr>
        <w:t xml:space="preserve"> powder for injection</w:t>
      </w:r>
      <w:r w:rsidR="006D5E7C">
        <w:rPr>
          <w:b w:val="0"/>
          <w:bCs w:val="0"/>
          <w:noProof/>
          <w:szCs w:val="24"/>
          <w:u w:val="single"/>
        </w:rPr>
        <w:t xml:space="preserve"> with </w:t>
      </w:r>
      <w:r w:rsidR="002536DD">
        <w:rPr>
          <w:b w:val="0"/>
          <w:bCs w:val="0"/>
          <w:noProof/>
          <w:szCs w:val="24"/>
          <w:u w:val="single"/>
        </w:rPr>
        <w:t>solvent</w:t>
      </w:r>
      <w:r w:rsidR="006D5E7C">
        <w:rPr>
          <w:b w:val="0"/>
          <w:bCs w:val="0"/>
          <w:noProof/>
          <w:szCs w:val="24"/>
          <w:u w:val="single"/>
        </w:rPr>
        <w:t xml:space="preserve"> vial</w:t>
      </w:r>
    </w:p>
    <w:p w:rsidR="00EE4DA5" w:rsidRPr="006D5E7C" w:rsidRDefault="00EE4DA5" w:rsidP="007B162C">
      <w:pPr>
        <w:pStyle w:val="BodytextAgency"/>
        <w:spacing w:after="120" w:line="240" w:lineRule="auto"/>
        <w:rPr>
          <w:rFonts w:ascii="Times New Roman" w:hAnsi="Times New Roman" w:cs="Times New Roman"/>
          <w:noProof/>
          <w:sz w:val="24"/>
          <w:szCs w:val="24"/>
        </w:rPr>
      </w:pPr>
      <w:r w:rsidRPr="006D5E7C">
        <w:rPr>
          <w:rFonts w:ascii="Times New Roman" w:hAnsi="Times New Roman" w:cs="Times New Roman"/>
          <w:noProof/>
          <w:sz w:val="24"/>
          <w:szCs w:val="24"/>
        </w:rPr>
        <w:t xml:space="preserve">Each vial </w:t>
      </w:r>
      <w:r>
        <w:rPr>
          <w:rFonts w:ascii="Times New Roman" w:hAnsi="Times New Roman" w:cs="Times New Roman"/>
          <w:noProof/>
          <w:sz w:val="24"/>
          <w:szCs w:val="24"/>
        </w:rPr>
        <w:t xml:space="preserve">of powder </w:t>
      </w:r>
      <w:r w:rsidRPr="006D5E7C">
        <w:rPr>
          <w:rFonts w:ascii="Times New Roman" w:hAnsi="Times New Roman" w:cs="Times New Roman"/>
          <w:noProof/>
          <w:sz w:val="24"/>
          <w:szCs w:val="24"/>
        </w:rPr>
        <w:t xml:space="preserve">contains nominally </w:t>
      </w:r>
      <w:r>
        <w:rPr>
          <w:rFonts w:ascii="Times New Roman" w:hAnsi="Times New Roman" w:cs="Times New Roman"/>
          <w:noProof/>
          <w:sz w:val="24"/>
          <w:szCs w:val="24"/>
        </w:rPr>
        <w:t>130</w:t>
      </w:r>
      <w:r w:rsidRPr="006D5E7C">
        <w:rPr>
          <w:rFonts w:ascii="Times New Roman" w:hAnsi="Times New Roman" w:cs="Times New Roman"/>
          <w:noProof/>
          <w:sz w:val="24"/>
          <w:szCs w:val="24"/>
        </w:rPr>
        <w:t xml:space="preserve">0 International Units (IU) vonicog alfa. </w:t>
      </w:r>
      <w:r>
        <w:rPr>
          <w:rFonts w:ascii="Times New Roman" w:hAnsi="Times New Roman" w:cs="Times New Roman"/>
          <w:noProof/>
          <w:sz w:val="24"/>
          <w:szCs w:val="24"/>
        </w:rPr>
        <w:t xml:space="preserve">After reconstitution with the 10 mL solvent provided, VEYVONDI </w:t>
      </w:r>
      <w:r w:rsidRPr="006D5E7C">
        <w:rPr>
          <w:rFonts w:ascii="Times New Roman" w:hAnsi="Times New Roman" w:cs="Times New Roman"/>
          <w:noProof/>
          <w:sz w:val="24"/>
          <w:szCs w:val="24"/>
        </w:rPr>
        <w:t>contains approximately 130 IU</w:t>
      </w:r>
      <w:r>
        <w:rPr>
          <w:rFonts w:ascii="Times New Roman" w:hAnsi="Times New Roman" w:cs="Times New Roman"/>
          <w:noProof/>
          <w:sz w:val="24"/>
          <w:szCs w:val="24"/>
        </w:rPr>
        <w:t xml:space="preserve">/mL. </w:t>
      </w:r>
      <w:r w:rsidRPr="006D5E7C">
        <w:rPr>
          <w:rFonts w:ascii="Times New Roman" w:hAnsi="Times New Roman" w:cs="Times New Roman"/>
          <w:noProof/>
          <w:sz w:val="24"/>
          <w:szCs w:val="24"/>
        </w:rPr>
        <w:t xml:space="preserve"> </w:t>
      </w:r>
    </w:p>
    <w:p w:rsidR="007A489A" w:rsidRPr="006D5E7C" w:rsidRDefault="00EB3D2E" w:rsidP="007A489A">
      <w:pPr>
        <w:pStyle w:val="BodytextAgency"/>
        <w:spacing w:before="120" w:after="120" w:line="240" w:lineRule="auto"/>
        <w:rPr>
          <w:rFonts w:ascii="Times New Roman" w:hAnsi="Times New Roman" w:cs="Times New Roman"/>
          <w:noProof/>
          <w:sz w:val="24"/>
          <w:szCs w:val="24"/>
        </w:rPr>
      </w:pPr>
      <w:r w:rsidRPr="006D5E7C">
        <w:rPr>
          <w:rFonts w:ascii="Times New Roman" w:hAnsi="Times New Roman" w:cs="Times New Roman"/>
          <w:noProof/>
          <w:sz w:val="24"/>
          <w:szCs w:val="24"/>
        </w:rPr>
        <w:t xml:space="preserve">The </w:t>
      </w:r>
      <w:r w:rsidR="00EE4DA5">
        <w:rPr>
          <w:rFonts w:ascii="Times New Roman" w:hAnsi="Times New Roman" w:cs="Times New Roman"/>
          <w:noProof/>
          <w:sz w:val="24"/>
          <w:szCs w:val="24"/>
        </w:rPr>
        <w:t xml:space="preserve">potency of </w:t>
      </w:r>
      <w:r w:rsidR="001D5017">
        <w:rPr>
          <w:rFonts w:ascii="Times New Roman" w:hAnsi="Times New Roman" w:cs="Times New Roman"/>
          <w:noProof/>
          <w:sz w:val="24"/>
          <w:szCs w:val="24"/>
        </w:rPr>
        <w:t xml:space="preserve">von Willebrand </w:t>
      </w:r>
      <w:r w:rsidR="007A489A">
        <w:rPr>
          <w:rFonts w:ascii="Times New Roman" w:hAnsi="Times New Roman" w:cs="Times New Roman"/>
          <w:noProof/>
          <w:sz w:val="24"/>
          <w:szCs w:val="24"/>
        </w:rPr>
        <w:t>f</w:t>
      </w:r>
      <w:r w:rsidR="001D5017">
        <w:rPr>
          <w:rFonts w:ascii="Times New Roman" w:hAnsi="Times New Roman" w:cs="Times New Roman"/>
          <w:noProof/>
          <w:sz w:val="24"/>
          <w:szCs w:val="24"/>
        </w:rPr>
        <w:t>actor (</w:t>
      </w:r>
      <w:r w:rsidRPr="006D5E7C">
        <w:rPr>
          <w:rFonts w:ascii="Times New Roman" w:hAnsi="Times New Roman" w:cs="Times New Roman"/>
          <w:noProof/>
          <w:sz w:val="24"/>
          <w:szCs w:val="24"/>
        </w:rPr>
        <w:t>VWF</w:t>
      </w:r>
      <w:r w:rsidR="001D5017">
        <w:rPr>
          <w:rFonts w:ascii="Times New Roman" w:hAnsi="Times New Roman" w:cs="Times New Roman"/>
          <w:noProof/>
          <w:sz w:val="24"/>
          <w:szCs w:val="24"/>
        </w:rPr>
        <w:t xml:space="preserve">) </w:t>
      </w:r>
      <w:r w:rsidRPr="006D5E7C">
        <w:rPr>
          <w:rFonts w:ascii="Times New Roman" w:hAnsi="Times New Roman" w:cs="Times New Roman"/>
          <w:noProof/>
          <w:sz w:val="24"/>
          <w:szCs w:val="24"/>
        </w:rPr>
        <w:t xml:space="preserve">is measured </w:t>
      </w:r>
      <w:r w:rsidR="00EE4DA5">
        <w:rPr>
          <w:rFonts w:ascii="Times New Roman" w:hAnsi="Times New Roman" w:cs="Times New Roman"/>
          <w:noProof/>
          <w:sz w:val="24"/>
          <w:szCs w:val="24"/>
        </w:rPr>
        <w:t xml:space="preserve">in IU </w:t>
      </w:r>
      <w:r w:rsidR="003615BB" w:rsidRPr="006D5E7C">
        <w:rPr>
          <w:rFonts w:ascii="Times New Roman" w:hAnsi="Times New Roman" w:cs="Times New Roman"/>
          <w:noProof/>
          <w:sz w:val="24"/>
          <w:szCs w:val="24"/>
        </w:rPr>
        <w:t xml:space="preserve">using the European Pharmacopeia </w:t>
      </w:r>
      <w:r w:rsidRPr="006D5E7C">
        <w:rPr>
          <w:rFonts w:ascii="Times New Roman" w:hAnsi="Times New Roman" w:cs="Times New Roman"/>
          <w:noProof/>
          <w:sz w:val="24"/>
          <w:szCs w:val="24"/>
        </w:rPr>
        <w:t xml:space="preserve">ristocetin cofactor activity </w:t>
      </w:r>
      <w:r w:rsidR="003615BB" w:rsidRPr="006D5E7C">
        <w:rPr>
          <w:rFonts w:ascii="Times New Roman" w:hAnsi="Times New Roman" w:cs="Times New Roman"/>
          <w:noProof/>
          <w:sz w:val="24"/>
          <w:szCs w:val="24"/>
        </w:rPr>
        <w:t xml:space="preserve">assay </w:t>
      </w:r>
      <w:r w:rsidRPr="006D5E7C">
        <w:rPr>
          <w:rFonts w:ascii="Times New Roman" w:hAnsi="Times New Roman" w:cs="Times New Roman"/>
          <w:noProof/>
          <w:sz w:val="24"/>
          <w:szCs w:val="24"/>
        </w:rPr>
        <w:t>(VWF</w:t>
      </w:r>
      <w:r w:rsidR="00AB76C6">
        <w:rPr>
          <w:rFonts w:ascii="Times New Roman" w:hAnsi="Times New Roman" w:cs="Times New Roman"/>
          <w:noProof/>
          <w:sz w:val="24"/>
          <w:szCs w:val="24"/>
        </w:rPr>
        <w:t>:</w:t>
      </w:r>
      <w:r w:rsidR="00EE65C4" w:rsidRPr="006D5E7C">
        <w:rPr>
          <w:rFonts w:ascii="Times New Roman" w:hAnsi="Times New Roman" w:cs="Times New Roman"/>
          <w:noProof/>
          <w:sz w:val="24"/>
          <w:szCs w:val="24"/>
        </w:rPr>
        <w:t>RCo</w:t>
      </w:r>
      <w:r w:rsidRPr="006D5E7C">
        <w:rPr>
          <w:rFonts w:ascii="Times New Roman" w:hAnsi="Times New Roman" w:cs="Times New Roman"/>
          <w:noProof/>
          <w:sz w:val="24"/>
          <w:szCs w:val="24"/>
        </w:rPr>
        <w:t>)</w:t>
      </w:r>
      <w:r w:rsidR="003615BB" w:rsidRPr="006D5E7C">
        <w:rPr>
          <w:rFonts w:ascii="Times New Roman" w:hAnsi="Times New Roman" w:cs="Times New Roman"/>
          <w:noProof/>
          <w:sz w:val="24"/>
          <w:szCs w:val="24"/>
        </w:rPr>
        <w:t xml:space="preserve">. The ristocetin cofactor activity of recombinant human </w:t>
      </w:r>
      <w:r w:rsidR="00B6545D">
        <w:rPr>
          <w:rFonts w:ascii="Times New Roman" w:hAnsi="Times New Roman" w:cs="Times New Roman"/>
          <w:noProof/>
          <w:sz w:val="24"/>
          <w:szCs w:val="24"/>
        </w:rPr>
        <w:t>VWF</w:t>
      </w:r>
      <w:r w:rsidR="003615BB" w:rsidRPr="006D5E7C">
        <w:rPr>
          <w:rFonts w:ascii="Times New Roman" w:hAnsi="Times New Roman" w:cs="Times New Roman"/>
          <w:noProof/>
          <w:sz w:val="24"/>
          <w:szCs w:val="24"/>
        </w:rPr>
        <w:t xml:space="preserve"> was determined against </w:t>
      </w:r>
      <w:r w:rsidRPr="006D5E7C">
        <w:rPr>
          <w:rFonts w:ascii="Times New Roman" w:hAnsi="Times New Roman" w:cs="Times New Roman"/>
          <w:noProof/>
          <w:sz w:val="24"/>
          <w:szCs w:val="24"/>
        </w:rPr>
        <w:t xml:space="preserve">the International Standard </w:t>
      </w:r>
      <w:r w:rsidR="00892E0D" w:rsidRPr="006D5E7C">
        <w:rPr>
          <w:rFonts w:ascii="Times New Roman" w:hAnsi="Times New Roman" w:cs="Times New Roman"/>
          <w:noProof/>
          <w:sz w:val="24"/>
          <w:szCs w:val="24"/>
        </w:rPr>
        <w:t>(WHO)</w:t>
      </w:r>
      <w:r w:rsidR="00892E0D">
        <w:rPr>
          <w:rFonts w:ascii="Times New Roman" w:hAnsi="Times New Roman" w:cs="Times New Roman"/>
          <w:noProof/>
          <w:sz w:val="24"/>
          <w:szCs w:val="24"/>
        </w:rPr>
        <w:t xml:space="preserve"> </w:t>
      </w:r>
      <w:r w:rsidRPr="006D5E7C">
        <w:rPr>
          <w:rFonts w:ascii="Times New Roman" w:hAnsi="Times New Roman" w:cs="Times New Roman"/>
          <w:noProof/>
          <w:sz w:val="24"/>
          <w:szCs w:val="24"/>
        </w:rPr>
        <w:t xml:space="preserve">for </w:t>
      </w:r>
      <w:r w:rsidR="00892E0D">
        <w:rPr>
          <w:rFonts w:ascii="Times New Roman" w:hAnsi="Times New Roman" w:cs="Times New Roman"/>
          <w:noProof/>
          <w:sz w:val="24"/>
          <w:szCs w:val="24"/>
        </w:rPr>
        <w:t>VWF</w:t>
      </w:r>
      <w:r w:rsidRPr="006D5E7C">
        <w:rPr>
          <w:rFonts w:ascii="Times New Roman" w:hAnsi="Times New Roman" w:cs="Times New Roman"/>
          <w:noProof/>
          <w:sz w:val="24"/>
          <w:szCs w:val="24"/>
        </w:rPr>
        <w:t xml:space="preserve"> concentrate.</w:t>
      </w:r>
      <w:r w:rsidR="001D5017" w:rsidRPr="001D5017">
        <w:rPr>
          <w:rFonts w:ascii="Times New Roman" w:hAnsi="Times New Roman" w:cs="Times New Roman"/>
          <w:noProof/>
          <w:sz w:val="24"/>
          <w:szCs w:val="24"/>
        </w:rPr>
        <w:t xml:space="preserve"> </w:t>
      </w:r>
      <w:r w:rsidR="007A489A" w:rsidRPr="006D5E7C">
        <w:rPr>
          <w:rFonts w:ascii="Times New Roman" w:hAnsi="Times New Roman" w:cs="Times New Roman"/>
          <w:noProof/>
          <w:sz w:val="24"/>
          <w:szCs w:val="24"/>
        </w:rPr>
        <w:t>The specific activity of VEYVONDI is approximately 110 IU VWF:RCo/mg protein.</w:t>
      </w:r>
    </w:p>
    <w:p w:rsidR="00FB3CF9" w:rsidRPr="006D5E7C" w:rsidRDefault="00FB3CF9" w:rsidP="007B162C">
      <w:pPr>
        <w:pStyle w:val="BodytextAgency"/>
        <w:spacing w:before="120" w:after="120" w:line="240" w:lineRule="auto"/>
        <w:rPr>
          <w:rFonts w:ascii="Times New Roman" w:hAnsi="Times New Roman" w:cs="Times New Roman"/>
          <w:noProof/>
          <w:sz w:val="24"/>
          <w:szCs w:val="24"/>
        </w:rPr>
      </w:pPr>
      <w:r w:rsidRPr="006D5E7C">
        <w:rPr>
          <w:rFonts w:ascii="Times New Roman" w:hAnsi="Times New Roman" w:cs="Times New Roman"/>
          <w:noProof/>
          <w:sz w:val="24"/>
          <w:szCs w:val="24"/>
        </w:rPr>
        <w:t>Vonicog alfa is a purified recombinant human von Willebrand factor</w:t>
      </w:r>
      <w:r w:rsidR="00D47FC9" w:rsidRPr="006D5E7C">
        <w:rPr>
          <w:rFonts w:ascii="Times New Roman" w:hAnsi="Times New Roman" w:cs="Times New Roman"/>
          <w:noProof/>
          <w:sz w:val="24"/>
          <w:szCs w:val="24"/>
        </w:rPr>
        <w:t xml:space="preserve"> (rVWF)</w:t>
      </w:r>
      <w:r w:rsidRPr="006D5E7C">
        <w:rPr>
          <w:rFonts w:ascii="Times New Roman" w:hAnsi="Times New Roman" w:cs="Times New Roman"/>
          <w:noProof/>
          <w:sz w:val="24"/>
          <w:szCs w:val="24"/>
        </w:rPr>
        <w:t xml:space="preserve">. It is manufactured by recombinant DNA </w:t>
      </w:r>
      <w:r w:rsidR="00F8274F" w:rsidRPr="006D5E7C">
        <w:rPr>
          <w:rFonts w:ascii="Times New Roman" w:hAnsi="Times New Roman" w:cs="Times New Roman"/>
          <w:noProof/>
          <w:sz w:val="24"/>
          <w:szCs w:val="24"/>
        </w:rPr>
        <w:t xml:space="preserve">(rDNA) </w:t>
      </w:r>
      <w:r w:rsidRPr="006D5E7C">
        <w:rPr>
          <w:rFonts w:ascii="Times New Roman" w:hAnsi="Times New Roman" w:cs="Times New Roman"/>
          <w:noProof/>
          <w:sz w:val="24"/>
          <w:szCs w:val="24"/>
        </w:rPr>
        <w:t>technology</w:t>
      </w:r>
      <w:r w:rsidR="006A533E" w:rsidRPr="006D5E7C">
        <w:rPr>
          <w:rFonts w:ascii="Times New Roman" w:hAnsi="Times New Roman" w:cs="Times New Roman"/>
          <w:noProof/>
          <w:sz w:val="24"/>
          <w:szCs w:val="24"/>
        </w:rPr>
        <w:t xml:space="preserve"> </w:t>
      </w:r>
      <w:r w:rsidRPr="006D5E7C">
        <w:rPr>
          <w:rFonts w:ascii="Times New Roman" w:hAnsi="Times New Roman" w:cs="Times New Roman"/>
          <w:noProof/>
          <w:sz w:val="24"/>
          <w:szCs w:val="24"/>
        </w:rPr>
        <w:t xml:space="preserve">in the Chinese Hamster Ovary (CHO) cell line without the addition of any exogenous human-or animal-derived protein in the cell culture process, purification or final formulation. </w:t>
      </w:r>
    </w:p>
    <w:p w:rsidR="00FB3CF9" w:rsidRPr="006D5E7C" w:rsidRDefault="00FB3CF9" w:rsidP="007B162C">
      <w:pPr>
        <w:pStyle w:val="BodytextAgency"/>
        <w:spacing w:before="120" w:after="120" w:line="240" w:lineRule="auto"/>
        <w:rPr>
          <w:rFonts w:ascii="Times New Roman" w:hAnsi="Times New Roman" w:cs="Times New Roman"/>
          <w:noProof/>
          <w:sz w:val="24"/>
          <w:szCs w:val="24"/>
        </w:rPr>
      </w:pPr>
      <w:r w:rsidRPr="006D5E7C">
        <w:rPr>
          <w:rFonts w:ascii="Times New Roman" w:hAnsi="Times New Roman" w:cs="Times New Roman"/>
          <w:noProof/>
          <w:sz w:val="24"/>
          <w:szCs w:val="24"/>
        </w:rPr>
        <w:t>The product contains only trace amounts of human recombinant coagulation factor VIII (≤</w:t>
      </w:r>
      <w:r w:rsidR="00391F9A" w:rsidRPr="006D5E7C">
        <w:rPr>
          <w:rFonts w:ascii="Times New Roman" w:hAnsi="Times New Roman" w:cs="Times New Roman"/>
          <w:noProof/>
          <w:sz w:val="24"/>
          <w:szCs w:val="24"/>
        </w:rPr>
        <w:t> </w:t>
      </w:r>
      <w:r w:rsidRPr="006D5E7C">
        <w:rPr>
          <w:rFonts w:ascii="Times New Roman" w:hAnsi="Times New Roman" w:cs="Times New Roman"/>
          <w:noProof/>
          <w:sz w:val="24"/>
          <w:szCs w:val="24"/>
        </w:rPr>
        <w:t>0.01</w:t>
      </w:r>
      <w:r w:rsidR="00E04BE7" w:rsidRPr="006D5E7C">
        <w:rPr>
          <w:rFonts w:ascii="Times New Roman" w:hAnsi="Times New Roman" w:cs="Times New Roman"/>
          <w:noProof/>
          <w:sz w:val="24"/>
          <w:szCs w:val="24"/>
        </w:rPr>
        <w:t> IU</w:t>
      </w:r>
      <w:r w:rsidRPr="006D5E7C">
        <w:rPr>
          <w:rFonts w:ascii="Times New Roman" w:hAnsi="Times New Roman" w:cs="Times New Roman"/>
          <w:noProof/>
          <w:sz w:val="24"/>
          <w:szCs w:val="24"/>
        </w:rPr>
        <w:t xml:space="preserve"> FVIII/</w:t>
      </w:r>
      <w:r w:rsidR="00E04BE7" w:rsidRPr="006D5E7C">
        <w:rPr>
          <w:rFonts w:ascii="Times New Roman" w:hAnsi="Times New Roman" w:cs="Times New Roman"/>
          <w:noProof/>
          <w:sz w:val="24"/>
          <w:szCs w:val="24"/>
        </w:rPr>
        <w:t>IU</w:t>
      </w:r>
      <w:r w:rsidRPr="006D5E7C">
        <w:rPr>
          <w:rFonts w:ascii="Times New Roman" w:hAnsi="Times New Roman" w:cs="Times New Roman"/>
          <w:noProof/>
          <w:sz w:val="24"/>
          <w:szCs w:val="24"/>
        </w:rPr>
        <w:t xml:space="preserve"> VWF:RCo) as determined using the European Pharmacopoeia chromogenic assay for factor VIII (FVIII).</w:t>
      </w:r>
      <w:r w:rsidR="009328F2">
        <w:rPr>
          <w:rFonts w:ascii="Times New Roman" w:hAnsi="Times New Roman" w:cs="Times New Roman"/>
          <w:noProof/>
          <w:sz w:val="24"/>
          <w:szCs w:val="24"/>
        </w:rPr>
        <w:t xml:space="preserve"> Trace</w:t>
      </w:r>
      <w:r w:rsidR="009328F2" w:rsidRPr="009328F2">
        <w:rPr>
          <w:rFonts w:ascii="Times New Roman" w:hAnsi="Times New Roman" w:cs="Times New Roman"/>
          <w:noProof/>
          <w:sz w:val="24"/>
          <w:szCs w:val="24"/>
        </w:rPr>
        <w:t xml:space="preserve"> quantities of mouse immunoglobulin (</w:t>
      </w:r>
      <w:r w:rsidR="00F57776">
        <w:rPr>
          <w:rFonts w:ascii="Times New Roman" w:hAnsi="Times New Roman" w:cs="Times New Roman"/>
          <w:noProof/>
          <w:sz w:val="24"/>
          <w:szCs w:val="24"/>
        </w:rPr>
        <w:t xml:space="preserve">murine </w:t>
      </w:r>
      <w:r w:rsidR="009328F2" w:rsidRPr="009328F2">
        <w:rPr>
          <w:rFonts w:ascii="Times New Roman" w:hAnsi="Times New Roman" w:cs="Times New Roman"/>
          <w:noProof/>
          <w:sz w:val="24"/>
          <w:szCs w:val="24"/>
        </w:rPr>
        <w:t>IgG, from the immunoaffinity purification), host cell (i.e., CHO) protein, rFurin</w:t>
      </w:r>
      <w:r w:rsidR="009328F2">
        <w:rPr>
          <w:rFonts w:ascii="Times New Roman" w:hAnsi="Times New Roman" w:cs="Times New Roman"/>
          <w:noProof/>
          <w:sz w:val="24"/>
          <w:szCs w:val="24"/>
        </w:rPr>
        <w:t xml:space="preserve"> (used to further process rVWF)</w:t>
      </w:r>
      <w:r w:rsidR="003E7400">
        <w:rPr>
          <w:rFonts w:ascii="Times New Roman" w:hAnsi="Times New Roman" w:cs="Times New Roman"/>
          <w:noProof/>
          <w:sz w:val="24"/>
          <w:szCs w:val="24"/>
        </w:rPr>
        <w:t xml:space="preserve"> are also present in the final product</w:t>
      </w:r>
      <w:r w:rsidR="009328F2" w:rsidRPr="009328F2">
        <w:rPr>
          <w:rFonts w:ascii="Times New Roman" w:hAnsi="Times New Roman" w:cs="Times New Roman"/>
          <w:noProof/>
          <w:sz w:val="24"/>
          <w:szCs w:val="24"/>
        </w:rPr>
        <w:t>.</w:t>
      </w:r>
    </w:p>
    <w:p w:rsidR="00D74BC1" w:rsidRPr="006D5E7C" w:rsidRDefault="00D74BC1" w:rsidP="007B162C">
      <w:pPr>
        <w:pStyle w:val="BodytextAgency"/>
        <w:spacing w:before="120" w:after="120" w:line="240" w:lineRule="auto"/>
        <w:rPr>
          <w:rFonts w:ascii="Times New Roman" w:hAnsi="Times New Roman" w:cs="Times New Roman"/>
          <w:noProof/>
          <w:sz w:val="24"/>
          <w:szCs w:val="24"/>
        </w:rPr>
      </w:pPr>
      <w:r w:rsidRPr="006D5E7C">
        <w:rPr>
          <w:rFonts w:ascii="Times New Roman" w:hAnsi="Times New Roman" w:cs="Times New Roman"/>
          <w:noProof/>
          <w:sz w:val="24"/>
          <w:szCs w:val="24"/>
        </w:rPr>
        <w:t xml:space="preserve">For </w:t>
      </w:r>
      <w:r w:rsidR="005907B0" w:rsidRPr="006D5E7C">
        <w:rPr>
          <w:rFonts w:ascii="Times New Roman" w:hAnsi="Times New Roman" w:cs="Times New Roman"/>
          <w:noProof/>
          <w:sz w:val="24"/>
          <w:szCs w:val="24"/>
        </w:rPr>
        <w:t>the</w:t>
      </w:r>
      <w:r w:rsidRPr="006D5E7C">
        <w:rPr>
          <w:rFonts w:ascii="Times New Roman" w:hAnsi="Times New Roman" w:cs="Times New Roman"/>
          <w:noProof/>
          <w:sz w:val="24"/>
          <w:szCs w:val="24"/>
        </w:rPr>
        <w:t xml:space="preserve"> full list of excipients, see </w:t>
      </w:r>
      <w:r w:rsidR="00843183">
        <w:rPr>
          <w:rFonts w:ascii="Times New Roman" w:hAnsi="Times New Roman" w:cs="Times New Roman"/>
          <w:noProof/>
          <w:sz w:val="24"/>
          <w:szCs w:val="24"/>
        </w:rPr>
        <w:t>S</w:t>
      </w:r>
      <w:r w:rsidR="00391F9A" w:rsidRPr="006D5E7C">
        <w:rPr>
          <w:rFonts w:ascii="Times New Roman" w:hAnsi="Times New Roman" w:cs="Times New Roman"/>
          <w:noProof/>
          <w:sz w:val="24"/>
          <w:szCs w:val="24"/>
        </w:rPr>
        <w:t>ection </w:t>
      </w:r>
      <w:r w:rsidR="00BD6FBE">
        <w:rPr>
          <w:rFonts w:ascii="Times New Roman" w:hAnsi="Times New Roman" w:cs="Times New Roman"/>
          <w:noProof/>
          <w:sz w:val="24"/>
          <w:szCs w:val="24"/>
        </w:rPr>
        <w:fldChar w:fldCharType="begin"/>
      </w:r>
      <w:r w:rsidR="00BD6FBE">
        <w:rPr>
          <w:rFonts w:ascii="Times New Roman" w:hAnsi="Times New Roman" w:cs="Times New Roman"/>
          <w:noProof/>
          <w:sz w:val="24"/>
          <w:szCs w:val="24"/>
        </w:rPr>
        <w:instrText xml:space="preserve"> REF _Ref527042452 \r \h </w:instrText>
      </w:r>
      <w:r w:rsidR="00BD6FBE">
        <w:rPr>
          <w:rFonts w:ascii="Times New Roman" w:hAnsi="Times New Roman" w:cs="Times New Roman"/>
          <w:noProof/>
          <w:sz w:val="24"/>
          <w:szCs w:val="24"/>
        </w:rPr>
      </w:r>
      <w:r w:rsidR="00BD6FBE">
        <w:rPr>
          <w:rFonts w:ascii="Times New Roman" w:hAnsi="Times New Roman" w:cs="Times New Roman"/>
          <w:noProof/>
          <w:sz w:val="24"/>
          <w:szCs w:val="24"/>
        </w:rPr>
        <w:instrText xml:space="preserve"> \* MERGEFORMAT </w:instrText>
      </w:r>
      <w:r w:rsidR="00BD6FBE">
        <w:rPr>
          <w:rFonts w:ascii="Times New Roman" w:hAnsi="Times New Roman" w:cs="Times New Roman"/>
          <w:noProof/>
          <w:sz w:val="24"/>
          <w:szCs w:val="24"/>
        </w:rPr>
        <w:fldChar w:fldCharType="separate"/>
      </w:r>
      <w:r w:rsidR="00BD6FBE">
        <w:rPr>
          <w:rFonts w:ascii="Times New Roman" w:hAnsi="Times New Roman" w:cs="Times New Roman"/>
          <w:noProof/>
          <w:sz w:val="24"/>
          <w:szCs w:val="24"/>
        </w:rPr>
        <w:t>6.1</w:t>
      </w:r>
      <w:r w:rsidR="00BD6FBE">
        <w:rPr>
          <w:rFonts w:ascii="Times New Roman" w:hAnsi="Times New Roman" w:cs="Times New Roman"/>
          <w:noProof/>
          <w:sz w:val="24"/>
          <w:szCs w:val="24"/>
        </w:rPr>
        <w:fldChar w:fldCharType="end"/>
      </w:r>
      <w:r w:rsidR="00BD6FBE">
        <w:rPr>
          <w:rFonts w:ascii="Times New Roman" w:hAnsi="Times New Roman" w:cs="Times New Roman"/>
          <w:noProof/>
          <w:sz w:val="24"/>
          <w:szCs w:val="24"/>
        </w:rPr>
        <w:t xml:space="preserve"> </w:t>
      </w:r>
      <w:r w:rsidR="00BD6FBE">
        <w:rPr>
          <w:rFonts w:ascii="Times New Roman" w:hAnsi="Times New Roman" w:cs="Times New Roman"/>
          <w:noProof/>
          <w:sz w:val="24"/>
          <w:szCs w:val="24"/>
        </w:rPr>
        <w:fldChar w:fldCharType="begin"/>
      </w:r>
      <w:r w:rsidR="00BD6FBE">
        <w:rPr>
          <w:rFonts w:ascii="Times New Roman" w:hAnsi="Times New Roman" w:cs="Times New Roman"/>
          <w:noProof/>
          <w:sz w:val="24"/>
          <w:szCs w:val="24"/>
        </w:rPr>
        <w:instrText xml:space="preserve"> REF _Ref527042452 \h </w:instrText>
      </w:r>
      <w:r w:rsidR="00BD6FBE">
        <w:rPr>
          <w:rFonts w:ascii="Times New Roman" w:hAnsi="Times New Roman" w:cs="Times New Roman"/>
          <w:noProof/>
          <w:sz w:val="24"/>
          <w:szCs w:val="24"/>
        </w:rPr>
      </w:r>
      <w:r w:rsidR="00BD6FBE">
        <w:rPr>
          <w:rFonts w:ascii="Times New Roman" w:hAnsi="Times New Roman" w:cs="Times New Roman"/>
          <w:noProof/>
          <w:sz w:val="24"/>
          <w:szCs w:val="24"/>
        </w:rPr>
        <w:instrText xml:space="preserve"> \* MERGEFORMAT </w:instrText>
      </w:r>
      <w:r w:rsidR="00BD6FBE">
        <w:rPr>
          <w:rFonts w:ascii="Times New Roman" w:hAnsi="Times New Roman" w:cs="Times New Roman"/>
          <w:noProof/>
          <w:sz w:val="24"/>
          <w:szCs w:val="24"/>
        </w:rPr>
        <w:fldChar w:fldCharType="separate"/>
      </w:r>
      <w:r w:rsidR="00BD6FBE" w:rsidRPr="00BD6FBE">
        <w:rPr>
          <w:rFonts w:ascii="Times New Roman" w:hAnsi="Times New Roman" w:cs="Times New Roman"/>
          <w:noProof/>
          <w:sz w:val="24"/>
          <w:szCs w:val="24"/>
        </w:rPr>
        <w:t>LIST OF EXCIPIENTS</w:t>
      </w:r>
      <w:r w:rsidR="00BD6FBE">
        <w:rPr>
          <w:rFonts w:ascii="Times New Roman" w:hAnsi="Times New Roman" w:cs="Times New Roman"/>
          <w:noProof/>
          <w:sz w:val="24"/>
          <w:szCs w:val="24"/>
        </w:rPr>
        <w:fldChar w:fldCharType="end"/>
      </w:r>
      <w:r w:rsidRPr="006D5E7C">
        <w:rPr>
          <w:rFonts w:ascii="Times New Roman" w:hAnsi="Times New Roman" w:cs="Times New Roman"/>
          <w:noProof/>
          <w:sz w:val="24"/>
          <w:szCs w:val="24"/>
        </w:rPr>
        <w:t>.</w:t>
      </w:r>
    </w:p>
    <w:p w:rsidR="00812D16" w:rsidRPr="006D5E7C" w:rsidRDefault="00812D16" w:rsidP="007B162C">
      <w:pPr>
        <w:pStyle w:val="Heading1"/>
      </w:pPr>
      <w:r w:rsidRPr="006D5E7C">
        <w:t xml:space="preserve">PHARMACEUTICAL </w:t>
      </w:r>
      <w:r w:rsidR="00855481" w:rsidRPr="006D5E7C">
        <w:t>FORM</w:t>
      </w:r>
    </w:p>
    <w:p w:rsidR="005907B0" w:rsidRPr="006D5E7C" w:rsidRDefault="0055540E" w:rsidP="007B162C">
      <w:pPr>
        <w:pStyle w:val="BodytextAgency"/>
        <w:spacing w:before="120" w:after="120" w:line="240" w:lineRule="auto"/>
        <w:rPr>
          <w:rFonts w:ascii="Times New Roman" w:hAnsi="Times New Roman" w:cs="Times New Roman"/>
          <w:noProof/>
          <w:sz w:val="24"/>
          <w:szCs w:val="24"/>
        </w:rPr>
      </w:pPr>
      <w:r w:rsidRPr="006D5E7C">
        <w:rPr>
          <w:rFonts w:ascii="Times New Roman" w:hAnsi="Times New Roman" w:cs="Times New Roman"/>
          <w:noProof/>
          <w:sz w:val="24"/>
          <w:szCs w:val="24"/>
        </w:rPr>
        <w:t>P</w:t>
      </w:r>
      <w:r w:rsidR="005907B0" w:rsidRPr="006D5E7C">
        <w:rPr>
          <w:rFonts w:ascii="Times New Roman" w:hAnsi="Times New Roman" w:cs="Times New Roman"/>
          <w:noProof/>
          <w:sz w:val="24"/>
          <w:szCs w:val="24"/>
        </w:rPr>
        <w:t xml:space="preserve">owder </w:t>
      </w:r>
      <w:r w:rsidR="006D5E7C">
        <w:rPr>
          <w:rFonts w:ascii="Times New Roman" w:hAnsi="Times New Roman" w:cs="Times New Roman"/>
          <w:noProof/>
          <w:sz w:val="24"/>
          <w:szCs w:val="24"/>
        </w:rPr>
        <w:t xml:space="preserve">and </w:t>
      </w:r>
      <w:r w:rsidR="002536DD">
        <w:rPr>
          <w:rFonts w:ascii="Times New Roman" w:hAnsi="Times New Roman" w:cs="Times New Roman"/>
          <w:noProof/>
          <w:sz w:val="24"/>
          <w:szCs w:val="24"/>
        </w:rPr>
        <w:t>solvent</w:t>
      </w:r>
      <w:r w:rsidR="006D5E7C">
        <w:rPr>
          <w:rFonts w:ascii="Times New Roman" w:hAnsi="Times New Roman" w:cs="Times New Roman"/>
          <w:noProof/>
          <w:sz w:val="24"/>
          <w:szCs w:val="24"/>
        </w:rPr>
        <w:t xml:space="preserve"> </w:t>
      </w:r>
      <w:r w:rsidR="00FA28E3" w:rsidRPr="006D5E7C">
        <w:rPr>
          <w:rFonts w:ascii="Times New Roman" w:hAnsi="Times New Roman" w:cs="Times New Roman"/>
          <w:noProof/>
          <w:sz w:val="24"/>
          <w:szCs w:val="24"/>
        </w:rPr>
        <w:t xml:space="preserve">for </w:t>
      </w:r>
      <w:r w:rsidR="005907B0" w:rsidRPr="006D5E7C">
        <w:rPr>
          <w:rFonts w:ascii="Times New Roman" w:hAnsi="Times New Roman" w:cs="Times New Roman"/>
          <w:noProof/>
          <w:sz w:val="24"/>
          <w:szCs w:val="24"/>
        </w:rPr>
        <w:t>injection.</w:t>
      </w:r>
    </w:p>
    <w:p w:rsidR="00892E0D" w:rsidRDefault="002536DD" w:rsidP="007B162C">
      <w:pPr>
        <w:pStyle w:val="BodytextAgency"/>
        <w:spacing w:before="120" w:after="120" w:line="240" w:lineRule="auto"/>
        <w:rPr>
          <w:rFonts w:ascii="Times New Roman" w:hAnsi="Times New Roman" w:cs="Times New Roman"/>
          <w:noProof/>
          <w:sz w:val="24"/>
          <w:szCs w:val="24"/>
        </w:rPr>
      </w:pPr>
      <w:r w:rsidRPr="00166CFE">
        <w:rPr>
          <w:rFonts w:ascii="Times New Roman" w:hAnsi="Times New Roman" w:cs="Times New Roman"/>
          <w:noProof/>
          <w:sz w:val="24"/>
          <w:szCs w:val="24"/>
        </w:rPr>
        <w:lastRenderedPageBreak/>
        <w:t xml:space="preserve">VEYVONDI is formulated as </w:t>
      </w:r>
      <w:r w:rsidR="006C2C72" w:rsidRPr="00166CFE">
        <w:rPr>
          <w:rFonts w:ascii="Times New Roman" w:hAnsi="Times New Roman" w:cs="Times New Roman"/>
          <w:noProof/>
          <w:sz w:val="24"/>
          <w:szCs w:val="24"/>
        </w:rPr>
        <w:t xml:space="preserve">a </w:t>
      </w:r>
      <w:r w:rsidRPr="00166CFE">
        <w:rPr>
          <w:rFonts w:ascii="Times New Roman" w:hAnsi="Times New Roman" w:cs="Times New Roman"/>
          <w:noProof/>
          <w:sz w:val="24"/>
          <w:szCs w:val="24"/>
        </w:rPr>
        <w:t xml:space="preserve">sterile, non-pyrogenic </w:t>
      </w:r>
      <w:r w:rsidR="006C2C72" w:rsidRPr="00166CFE">
        <w:rPr>
          <w:rFonts w:ascii="Times New Roman" w:hAnsi="Times New Roman" w:cs="Times New Roman"/>
          <w:noProof/>
          <w:sz w:val="24"/>
          <w:szCs w:val="24"/>
        </w:rPr>
        <w:t xml:space="preserve">white </w:t>
      </w:r>
      <w:r w:rsidR="000E6756" w:rsidRPr="00166CFE">
        <w:rPr>
          <w:rFonts w:ascii="Times New Roman" w:hAnsi="Times New Roman" w:cs="Times New Roman"/>
          <w:noProof/>
          <w:sz w:val="24"/>
          <w:szCs w:val="24"/>
        </w:rPr>
        <w:t xml:space="preserve">to </w:t>
      </w:r>
      <w:r w:rsidR="001C4057" w:rsidRPr="00166CFE">
        <w:rPr>
          <w:rFonts w:ascii="Times New Roman" w:hAnsi="Times New Roman" w:cs="Times New Roman"/>
          <w:noProof/>
          <w:sz w:val="24"/>
          <w:szCs w:val="24"/>
        </w:rPr>
        <w:t>off-white</w:t>
      </w:r>
      <w:r w:rsidR="005907B0" w:rsidRPr="00166CFE">
        <w:rPr>
          <w:rFonts w:ascii="Times New Roman" w:hAnsi="Times New Roman" w:cs="Times New Roman"/>
          <w:noProof/>
          <w:sz w:val="24"/>
          <w:szCs w:val="24"/>
        </w:rPr>
        <w:t xml:space="preserve"> ly</w:t>
      </w:r>
      <w:r w:rsidR="006D5E7C" w:rsidRPr="00166CFE">
        <w:rPr>
          <w:rFonts w:ascii="Times New Roman" w:hAnsi="Times New Roman" w:cs="Times New Roman"/>
          <w:noProof/>
          <w:sz w:val="24"/>
          <w:szCs w:val="24"/>
        </w:rPr>
        <w:t>ophilis</w:t>
      </w:r>
      <w:r w:rsidR="001C4057" w:rsidRPr="00166CFE">
        <w:rPr>
          <w:rFonts w:ascii="Times New Roman" w:hAnsi="Times New Roman" w:cs="Times New Roman"/>
          <w:noProof/>
          <w:sz w:val="24"/>
          <w:szCs w:val="24"/>
        </w:rPr>
        <w:t>ed powder</w:t>
      </w:r>
      <w:r w:rsidR="00892E0D" w:rsidRPr="00166CFE">
        <w:rPr>
          <w:rFonts w:ascii="Times New Roman" w:hAnsi="Times New Roman" w:cs="Times New Roman"/>
          <w:noProof/>
          <w:sz w:val="24"/>
          <w:szCs w:val="24"/>
        </w:rPr>
        <w:t xml:space="preserve"> for intravenous injection after reconstitution.</w:t>
      </w:r>
      <w:r w:rsidR="00892E0D">
        <w:rPr>
          <w:rFonts w:ascii="Times New Roman" w:hAnsi="Times New Roman" w:cs="Times New Roman"/>
          <w:noProof/>
          <w:sz w:val="24"/>
          <w:szCs w:val="24"/>
        </w:rPr>
        <w:t xml:space="preserve">  </w:t>
      </w:r>
    </w:p>
    <w:p w:rsidR="00FA28E3" w:rsidRPr="006D5E7C" w:rsidRDefault="00114926" w:rsidP="007B162C">
      <w:pPr>
        <w:pStyle w:val="BodytextAgency"/>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The solvent </w:t>
      </w:r>
      <w:r w:rsidR="006C2C72" w:rsidRPr="006D5E7C">
        <w:rPr>
          <w:rFonts w:ascii="Times New Roman" w:hAnsi="Times New Roman" w:cs="Times New Roman"/>
          <w:noProof/>
          <w:sz w:val="24"/>
          <w:szCs w:val="24"/>
        </w:rPr>
        <w:t>is a c</w:t>
      </w:r>
      <w:r w:rsidR="00FA28E3" w:rsidRPr="006D5E7C">
        <w:rPr>
          <w:rFonts w:ascii="Times New Roman" w:hAnsi="Times New Roman" w:cs="Times New Roman"/>
          <w:noProof/>
          <w:sz w:val="24"/>
          <w:szCs w:val="24"/>
        </w:rPr>
        <w:t>lear and colourless solution.</w:t>
      </w:r>
    </w:p>
    <w:p w:rsidR="00E51435" w:rsidRDefault="00812D16" w:rsidP="00542705">
      <w:pPr>
        <w:pStyle w:val="Heading1"/>
      </w:pPr>
      <w:r w:rsidRPr="006D5E7C">
        <w:t>C</w:t>
      </w:r>
      <w:r w:rsidR="00E51435">
        <w:t>LINICAL PARTICULARS</w:t>
      </w:r>
    </w:p>
    <w:p w:rsidR="00812D16" w:rsidRPr="00E51435" w:rsidRDefault="00D973A3" w:rsidP="00542705">
      <w:pPr>
        <w:pStyle w:val="Heading2"/>
        <w:tabs>
          <w:tab w:val="clear" w:pos="907"/>
          <w:tab w:val="num" w:pos="851"/>
        </w:tabs>
        <w:spacing w:after="120"/>
        <w:ind w:left="851" w:hanging="851"/>
        <w:rPr>
          <w:bCs/>
          <w:caps/>
        </w:rPr>
      </w:pPr>
      <w:r w:rsidRPr="0053665F">
        <w:t>THERAPEUTIC INDICATIONS</w:t>
      </w:r>
    </w:p>
    <w:p w:rsidR="00EE4DA5" w:rsidRDefault="00C468EA" w:rsidP="00542705">
      <w:pPr>
        <w:pStyle w:val="BodytextAgency"/>
        <w:keepNext/>
        <w:spacing w:before="120" w:after="120" w:line="240" w:lineRule="auto"/>
        <w:rPr>
          <w:rFonts w:ascii="Times New Roman" w:hAnsi="Times New Roman" w:cs="Times New Roman"/>
          <w:noProof/>
          <w:sz w:val="24"/>
          <w:szCs w:val="24"/>
        </w:rPr>
      </w:pPr>
      <w:r w:rsidRPr="00892E0D">
        <w:rPr>
          <w:rFonts w:ascii="Times New Roman" w:hAnsi="Times New Roman" w:cs="Times New Roman"/>
          <w:noProof/>
          <w:sz w:val="24"/>
          <w:szCs w:val="24"/>
        </w:rPr>
        <w:t>VEYVONDI is indicated in adults (age</w:t>
      </w:r>
      <w:r w:rsidR="00391F9A" w:rsidRPr="00892E0D">
        <w:rPr>
          <w:rFonts w:ascii="Times New Roman" w:hAnsi="Times New Roman" w:cs="Times New Roman"/>
          <w:noProof/>
          <w:sz w:val="24"/>
          <w:szCs w:val="24"/>
        </w:rPr>
        <w:t> </w:t>
      </w:r>
      <w:r w:rsidRPr="00892E0D">
        <w:rPr>
          <w:rFonts w:ascii="Times New Roman" w:hAnsi="Times New Roman" w:cs="Times New Roman"/>
          <w:noProof/>
          <w:sz w:val="24"/>
          <w:szCs w:val="24"/>
        </w:rPr>
        <w:t xml:space="preserve">18 and older) with von Willebrand Disease (VWD), when desmopressin (DDAVP) treatment alone is ineffective or </w:t>
      </w:r>
      <w:r w:rsidR="00CF1409" w:rsidRPr="00892E0D">
        <w:rPr>
          <w:rFonts w:ascii="Times New Roman" w:hAnsi="Times New Roman" w:cs="Times New Roman"/>
          <w:noProof/>
          <w:sz w:val="24"/>
          <w:szCs w:val="24"/>
        </w:rPr>
        <w:t>not</w:t>
      </w:r>
      <w:r w:rsidR="00C65537" w:rsidRPr="00892E0D">
        <w:rPr>
          <w:rFonts w:ascii="Times New Roman" w:hAnsi="Times New Roman" w:cs="Times New Roman"/>
          <w:noProof/>
          <w:sz w:val="24"/>
          <w:szCs w:val="24"/>
        </w:rPr>
        <w:t xml:space="preserve"> </w:t>
      </w:r>
      <w:r w:rsidR="00CF1409" w:rsidRPr="00892E0D">
        <w:rPr>
          <w:rFonts w:ascii="Times New Roman" w:hAnsi="Times New Roman" w:cs="Times New Roman"/>
          <w:noProof/>
          <w:sz w:val="24"/>
          <w:szCs w:val="24"/>
        </w:rPr>
        <w:t>indicated</w:t>
      </w:r>
      <w:r w:rsidR="00F642DD">
        <w:rPr>
          <w:rFonts w:ascii="Times New Roman" w:hAnsi="Times New Roman" w:cs="Times New Roman"/>
          <w:noProof/>
          <w:sz w:val="24"/>
          <w:szCs w:val="24"/>
        </w:rPr>
        <w:t>,</w:t>
      </w:r>
      <w:r w:rsidRPr="00892E0D">
        <w:rPr>
          <w:rFonts w:ascii="Times New Roman" w:hAnsi="Times New Roman" w:cs="Times New Roman"/>
          <w:noProof/>
          <w:sz w:val="24"/>
          <w:szCs w:val="24"/>
        </w:rPr>
        <w:t xml:space="preserve"> for the</w:t>
      </w:r>
    </w:p>
    <w:p w:rsidR="00F642DD" w:rsidRDefault="00561FCE" w:rsidP="007B162C">
      <w:pPr>
        <w:pStyle w:val="BodytextAgency"/>
        <w:numPr>
          <w:ilvl w:val="0"/>
          <w:numId w:val="11"/>
        </w:numPr>
        <w:spacing w:before="120" w:after="120" w:line="240" w:lineRule="auto"/>
        <w:ind w:left="714" w:hanging="357"/>
        <w:contextualSpacing/>
        <w:rPr>
          <w:rFonts w:ascii="Times New Roman" w:hAnsi="Times New Roman" w:cs="Times New Roman"/>
          <w:noProof/>
          <w:sz w:val="24"/>
          <w:szCs w:val="24"/>
        </w:rPr>
      </w:pPr>
      <w:r>
        <w:rPr>
          <w:rFonts w:ascii="Times New Roman" w:hAnsi="Times New Roman" w:cs="Times New Roman"/>
          <w:noProof/>
          <w:sz w:val="24"/>
          <w:szCs w:val="24"/>
        </w:rPr>
        <w:t>t</w:t>
      </w:r>
      <w:r w:rsidR="00C468EA" w:rsidRPr="00892E0D">
        <w:rPr>
          <w:rFonts w:ascii="Times New Roman" w:hAnsi="Times New Roman" w:cs="Times New Roman"/>
          <w:noProof/>
          <w:sz w:val="24"/>
          <w:szCs w:val="24"/>
        </w:rPr>
        <w:t xml:space="preserve">reatment of haemorrhage </w:t>
      </w:r>
      <w:r w:rsidR="004335DA" w:rsidRPr="00892E0D">
        <w:rPr>
          <w:rFonts w:ascii="Times New Roman" w:hAnsi="Times New Roman" w:cs="Times New Roman"/>
          <w:noProof/>
          <w:sz w:val="24"/>
          <w:szCs w:val="24"/>
        </w:rPr>
        <w:t>and surgical bleeding</w:t>
      </w:r>
    </w:p>
    <w:p w:rsidR="003929F9" w:rsidRPr="00892E0D" w:rsidRDefault="00561FCE" w:rsidP="007B162C">
      <w:pPr>
        <w:pStyle w:val="BodytextAgency"/>
        <w:numPr>
          <w:ilvl w:val="0"/>
          <w:numId w:val="11"/>
        </w:numPr>
        <w:spacing w:before="120" w:after="120" w:line="240" w:lineRule="auto"/>
        <w:ind w:left="714" w:hanging="357"/>
        <w:contextualSpacing/>
        <w:rPr>
          <w:rFonts w:ascii="Times New Roman" w:hAnsi="Times New Roman" w:cs="Times New Roman"/>
          <w:noProof/>
          <w:sz w:val="24"/>
          <w:szCs w:val="24"/>
        </w:rPr>
      </w:pPr>
      <w:r>
        <w:rPr>
          <w:rFonts w:ascii="Times New Roman" w:hAnsi="Times New Roman" w:cs="Times New Roman"/>
          <w:noProof/>
          <w:sz w:val="24"/>
          <w:szCs w:val="24"/>
        </w:rPr>
        <w:t>p</w:t>
      </w:r>
      <w:r w:rsidR="00C468EA" w:rsidRPr="00892E0D">
        <w:rPr>
          <w:rFonts w:ascii="Times New Roman" w:hAnsi="Times New Roman" w:cs="Times New Roman"/>
          <w:noProof/>
          <w:sz w:val="24"/>
          <w:szCs w:val="24"/>
        </w:rPr>
        <w:t xml:space="preserve">revention of </w:t>
      </w:r>
      <w:r w:rsidR="003B2B13" w:rsidRPr="00892E0D">
        <w:rPr>
          <w:rFonts w:ascii="Times New Roman" w:hAnsi="Times New Roman" w:cs="Times New Roman"/>
          <w:noProof/>
          <w:sz w:val="24"/>
          <w:szCs w:val="24"/>
        </w:rPr>
        <w:t>surgical bleeding</w:t>
      </w:r>
      <w:r w:rsidR="00025B79" w:rsidRPr="00892E0D">
        <w:rPr>
          <w:rFonts w:ascii="Times New Roman" w:hAnsi="Times New Roman" w:cs="Times New Roman"/>
          <w:noProof/>
          <w:sz w:val="24"/>
          <w:szCs w:val="24"/>
        </w:rPr>
        <w:t>.</w:t>
      </w:r>
    </w:p>
    <w:p w:rsidR="00812D16" w:rsidRPr="00892E0D" w:rsidRDefault="00546CFA" w:rsidP="007B162C">
      <w:pPr>
        <w:pStyle w:val="BodytextAgency"/>
        <w:spacing w:before="120" w:after="120" w:line="240" w:lineRule="auto"/>
        <w:rPr>
          <w:rFonts w:ascii="Times New Roman" w:hAnsi="Times New Roman" w:cs="Times New Roman"/>
          <w:noProof/>
          <w:sz w:val="24"/>
          <w:szCs w:val="24"/>
        </w:rPr>
      </w:pPr>
      <w:r w:rsidRPr="00892E0D">
        <w:rPr>
          <w:rFonts w:ascii="Times New Roman" w:hAnsi="Times New Roman" w:cs="Times New Roman"/>
          <w:noProof/>
          <w:sz w:val="24"/>
          <w:szCs w:val="24"/>
        </w:rPr>
        <w:t>VEYVONDI</w:t>
      </w:r>
      <w:r w:rsidR="001F4120" w:rsidRPr="00892E0D">
        <w:rPr>
          <w:rFonts w:ascii="Times New Roman" w:hAnsi="Times New Roman" w:cs="Times New Roman"/>
          <w:noProof/>
          <w:sz w:val="24"/>
          <w:szCs w:val="24"/>
        </w:rPr>
        <w:t xml:space="preserve"> should not be used in the treatment of Haemophilia</w:t>
      </w:r>
      <w:r w:rsidR="00391F9A" w:rsidRPr="00892E0D">
        <w:rPr>
          <w:rFonts w:ascii="Times New Roman" w:hAnsi="Times New Roman" w:cs="Times New Roman"/>
          <w:noProof/>
          <w:sz w:val="24"/>
          <w:szCs w:val="24"/>
        </w:rPr>
        <w:t> </w:t>
      </w:r>
      <w:r w:rsidR="001F4120" w:rsidRPr="00892E0D">
        <w:rPr>
          <w:rFonts w:ascii="Times New Roman" w:hAnsi="Times New Roman" w:cs="Times New Roman"/>
          <w:noProof/>
          <w:sz w:val="24"/>
          <w:szCs w:val="24"/>
        </w:rPr>
        <w:t>A.</w:t>
      </w:r>
    </w:p>
    <w:p w:rsidR="00812D16" w:rsidRPr="00892E0D" w:rsidRDefault="00D973A3" w:rsidP="007B162C">
      <w:pPr>
        <w:pStyle w:val="Heading2"/>
        <w:tabs>
          <w:tab w:val="clear" w:pos="907"/>
          <w:tab w:val="num" w:pos="851"/>
        </w:tabs>
        <w:spacing w:after="120"/>
        <w:ind w:left="851" w:hanging="851"/>
      </w:pPr>
      <w:bookmarkStart w:id="1" w:name="_Ref527032474"/>
      <w:r>
        <w:t>DOSE</w:t>
      </w:r>
      <w:r w:rsidRPr="00892E0D">
        <w:t xml:space="preserve"> AND METHOD OF ADMINISTRATION</w:t>
      </w:r>
      <w:bookmarkEnd w:id="1"/>
    </w:p>
    <w:p w:rsidR="00514792" w:rsidRDefault="00E525B3" w:rsidP="007B162C">
      <w:pPr>
        <w:pStyle w:val="BodytextAgency"/>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VEYVONDI </w:t>
      </w:r>
      <w:r w:rsidR="00C14CE1">
        <w:rPr>
          <w:rFonts w:ascii="Times New Roman" w:hAnsi="Times New Roman" w:cs="Times New Roman"/>
          <w:noProof/>
          <w:sz w:val="24"/>
          <w:szCs w:val="24"/>
        </w:rPr>
        <w:t xml:space="preserve">is not bioequivalent </w:t>
      </w:r>
      <w:r w:rsidR="00514792" w:rsidRPr="00514792">
        <w:rPr>
          <w:rFonts w:ascii="Times New Roman" w:hAnsi="Times New Roman" w:cs="Times New Roman"/>
          <w:noProof/>
          <w:sz w:val="24"/>
          <w:szCs w:val="24"/>
        </w:rPr>
        <w:t>to plasma</w:t>
      </w:r>
      <w:r>
        <w:rPr>
          <w:rFonts w:ascii="Times New Roman" w:hAnsi="Times New Roman" w:cs="Times New Roman"/>
          <w:noProof/>
          <w:sz w:val="24"/>
          <w:szCs w:val="24"/>
        </w:rPr>
        <w:noBreakHyphen/>
      </w:r>
      <w:r w:rsidR="00514792" w:rsidRPr="00514792">
        <w:rPr>
          <w:rFonts w:ascii="Times New Roman" w:hAnsi="Times New Roman" w:cs="Times New Roman"/>
          <w:noProof/>
          <w:sz w:val="24"/>
          <w:szCs w:val="24"/>
        </w:rPr>
        <w:t xml:space="preserve">derived </w:t>
      </w:r>
      <w:r w:rsidR="00514792">
        <w:rPr>
          <w:rFonts w:ascii="Times New Roman" w:hAnsi="Times New Roman" w:cs="Times New Roman"/>
          <w:noProof/>
          <w:sz w:val="24"/>
          <w:szCs w:val="24"/>
        </w:rPr>
        <w:t>v</w:t>
      </w:r>
      <w:r w:rsidR="00514792" w:rsidRPr="00514792">
        <w:rPr>
          <w:rFonts w:ascii="Times New Roman" w:hAnsi="Times New Roman" w:cs="Times New Roman"/>
          <w:noProof/>
          <w:sz w:val="24"/>
          <w:szCs w:val="24"/>
        </w:rPr>
        <w:t>on Wil</w:t>
      </w:r>
      <w:r w:rsidR="00B6151D">
        <w:rPr>
          <w:rFonts w:ascii="Times New Roman" w:hAnsi="Times New Roman" w:cs="Times New Roman"/>
          <w:noProof/>
          <w:sz w:val="24"/>
          <w:szCs w:val="24"/>
        </w:rPr>
        <w:t>le</w:t>
      </w:r>
      <w:r w:rsidR="00514792" w:rsidRPr="00514792">
        <w:rPr>
          <w:rFonts w:ascii="Times New Roman" w:hAnsi="Times New Roman" w:cs="Times New Roman"/>
          <w:noProof/>
          <w:sz w:val="24"/>
          <w:szCs w:val="24"/>
        </w:rPr>
        <w:t>brand</w:t>
      </w:r>
      <w:r w:rsidR="00514792">
        <w:rPr>
          <w:rFonts w:ascii="Times New Roman" w:hAnsi="Times New Roman" w:cs="Times New Roman"/>
          <w:noProof/>
          <w:sz w:val="24"/>
          <w:szCs w:val="24"/>
        </w:rPr>
        <w:t xml:space="preserve"> f</w:t>
      </w:r>
      <w:r w:rsidR="00514792" w:rsidRPr="00514792">
        <w:rPr>
          <w:rFonts w:ascii="Times New Roman" w:hAnsi="Times New Roman" w:cs="Times New Roman"/>
          <w:noProof/>
          <w:sz w:val="24"/>
          <w:szCs w:val="24"/>
        </w:rPr>
        <w:t>actor</w:t>
      </w:r>
      <w:r w:rsidR="00C14CE1">
        <w:rPr>
          <w:rFonts w:ascii="Times New Roman" w:hAnsi="Times New Roman" w:cs="Times New Roman"/>
          <w:noProof/>
          <w:sz w:val="24"/>
          <w:szCs w:val="24"/>
        </w:rPr>
        <w:t>, and in</w:t>
      </w:r>
      <w:r w:rsidR="00E11FA4">
        <w:rPr>
          <w:rFonts w:ascii="Times New Roman" w:hAnsi="Times New Roman" w:cs="Times New Roman"/>
          <w:noProof/>
          <w:sz w:val="24"/>
          <w:szCs w:val="24"/>
        </w:rPr>
        <w:t>dividual patient d</w:t>
      </w:r>
      <w:r w:rsidR="00514792" w:rsidRPr="00514792">
        <w:rPr>
          <w:rFonts w:ascii="Times New Roman" w:hAnsi="Times New Roman" w:cs="Times New Roman"/>
          <w:noProof/>
          <w:sz w:val="24"/>
          <w:szCs w:val="24"/>
        </w:rPr>
        <w:t>osage</w:t>
      </w:r>
      <w:r>
        <w:rPr>
          <w:rFonts w:ascii="Times New Roman" w:hAnsi="Times New Roman" w:cs="Times New Roman"/>
          <w:noProof/>
          <w:sz w:val="24"/>
          <w:szCs w:val="24"/>
        </w:rPr>
        <w:t xml:space="preserve"> </w:t>
      </w:r>
      <w:r w:rsidR="00514792" w:rsidRPr="00514792">
        <w:rPr>
          <w:rFonts w:ascii="Times New Roman" w:hAnsi="Times New Roman" w:cs="Times New Roman"/>
          <w:noProof/>
          <w:sz w:val="24"/>
          <w:szCs w:val="24"/>
        </w:rPr>
        <w:t xml:space="preserve">must be calculated specifically for </w:t>
      </w:r>
      <w:r w:rsidR="00E11FA4">
        <w:rPr>
          <w:rFonts w:ascii="Times New Roman" w:hAnsi="Times New Roman" w:cs="Times New Roman"/>
          <w:noProof/>
          <w:sz w:val="24"/>
          <w:szCs w:val="24"/>
        </w:rPr>
        <w:t>VEYVONDI</w:t>
      </w:r>
      <w:r w:rsidR="00514792" w:rsidRPr="00514792">
        <w:rPr>
          <w:rFonts w:ascii="Times New Roman" w:hAnsi="Times New Roman" w:cs="Times New Roman"/>
          <w:noProof/>
          <w:sz w:val="24"/>
          <w:szCs w:val="24"/>
        </w:rPr>
        <w:t>.</w:t>
      </w:r>
    </w:p>
    <w:p w:rsidR="00F823B5" w:rsidRPr="00892E0D" w:rsidRDefault="0082459F" w:rsidP="007B162C">
      <w:pPr>
        <w:pStyle w:val="BodytextAgency"/>
        <w:spacing w:before="120" w:after="120" w:line="240" w:lineRule="auto"/>
        <w:rPr>
          <w:rFonts w:ascii="Times New Roman" w:hAnsi="Times New Roman" w:cs="Times New Roman"/>
          <w:noProof/>
          <w:sz w:val="24"/>
          <w:szCs w:val="24"/>
        </w:rPr>
      </w:pPr>
      <w:r w:rsidRPr="00892E0D">
        <w:rPr>
          <w:rFonts w:ascii="Times New Roman" w:hAnsi="Times New Roman" w:cs="Times New Roman"/>
          <w:noProof/>
          <w:sz w:val="24"/>
          <w:szCs w:val="24"/>
        </w:rPr>
        <w:t xml:space="preserve">Treatment </w:t>
      </w:r>
      <w:r w:rsidR="00291B40" w:rsidRPr="00892E0D">
        <w:rPr>
          <w:rFonts w:ascii="Times New Roman" w:hAnsi="Times New Roman" w:cs="Times New Roman"/>
          <w:noProof/>
          <w:sz w:val="24"/>
          <w:szCs w:val="24"/>
        </w:rPr>
        <w:t>of von Willebrand disease</w:t>
      </w:r>
      <w:r w:rsidR="003D1192" w:rsidRPr="00892E0D">
        <w:rPr>
          <w:rFonts w:ascii="Times New Roman" w:hAnsi="Times New Roman" w:cs="Times New Roman"/>
          <w:noProof/>
          <w:sz w:val="24"/>
          <w:szCs w:val="24"/>
        </w:rPr>
        <w:t xml:space="preserve"> </w:t>
      </w:r>
      <w:r w:rsidR="00654480" w:rsidRPr="00892E0D">
        <w:rPr>
          <w:rFonts w:ascii="Times New Roman" w:hAnsi="Times New Roman" w:cs="Times New Roman"/>
          <w:noProof/>
          <w:sz w:val="24"/>
          <w:szCs w:val="24"/>
        </w:rPr>
        <w:t xml:space="preserve">(VWD) </w:t>
      </w:r>
      <w:r w:rsidRPr="00892E0D">
        <w:rPr>
          <w:rFonts w:ascii="Times New Roman" w:hAnsi="Times New Roman" w:cs="Times New Roman"/>
          <w:noProof/>
          <w:sz w:val="24"/>
          <w:szCs w:val="24"/>
        </w:rPr>
        <w:t>should be supervised by a physician experienced in the treatment</w:t>
      </w:r>
      <w:r w:rsidR="009862F8" w:rsidRPr="00892E0D">
        <w:rPr>
          <w:rFonts w:ascii="Times New Roman" w:hAnsi="Times New Roman" w:cs="Times New Roman"/>
          <w:noProof/>
          <w:sz w:val="24"/>
          <w:szCs w:val="24"/>
        </w:rPr>
        <w:t xml:space="preserve"> </w:t>
      </w:r>
      <w:r w:rsidRPr="00892E0D">
        <w:rPr>
          <w:rFonts w:ascii="Times New Roman" w:hAnsi="Times New Roman" w:cs="Times New Roman"/>
          <w:noProof/>
          <w:sz w:val="24"/>
          <w:szCs w:val="24"/>
        </w:rPr>
        <w:t>of haemostatic disorders</w:t>
      </w:r>
      <w:r w:rsidR="00D85959" w:rsidRPr="00892E0D">
        <w:rPr>
          <w:rFonts w:ascii="Times New Roman" w:hAnsi="Times New Roman" w:cs="Times New Roman"/>
          <w:noProof/>
          <w:sz w:val="24"/>
          <w:szCs w:val="24"/>
        </w:rPr>
        <w:t>.</w:t>
      </w:r>
      <w:r w:rsidR="00D64941" w:rsidRPr="00892E0D">
        <w:rPr>
          <w:rFonts w:ascii="Times New Roman" w:hAnsi="Times New Roman" w:cs="Times New Roman"/>
          <w:noProof/>
          <w:sz w:val="24"/>
          <w:szCs w:val="24"/>
        </w:rPr>
        <w:t xml:space="preserve"> </w:t>
      </w:r>
    </w:p>
    <w:p w:rsidR="00936B11" w:rsidRPr="00BD6FBE" w:rsidRDefault="002D328B" w:rsidP="007B162C">
      <w:pPr>
        <w:pStyle w:val="Heading3"/>
        <w:numPr>
          <w:ilvl w:val="0"/>
          <w:numId w:val="0"/>
        </w:numPr>
        <w:spacing w:before="120" w:after="120"/>
        <w:ind w:left="907" w:hanging="907"/>
        <w:rPr>
          <w:i/>
          <w:iCs/>
        </w:rPr>
      </w:pPr>
      <w:r w:rsidRPr="00BD6FBE">
        <w:rPr>
          <w:i/>
          <w:iCs/>
        </w:rPr>
        <w:t>Dosage</w:t>
      </w:r>
    </w:p>
    <w:p w:rsidR="00F823B5" w:rsidRPr="00892E0D" w:rsidRDefault="00F823B5" w:rsidP="007B162C">
      <w:pPr>
        <w:pStyle w:val="BodytextAgency"/>
        <w:spacing w:before="120" w:after="120" w:line="240" w:lineRule="auto"/>
        <w:rPr>
          <w:rFonts w:ascii="Times New Roman" w:hAnsi="Times New Roman" w:cs="Times New Roman"/>
          <w:noProof/>
          <w:sz w:val="24"/>
          <w:szCs w:val="24"/>
        </w:rPr>
      </w:pPr>
      <w:r w:rsidRPr="00892E0D">
        <w:rPr>
          <w:rFonts w:ascii="Times New Roman" w:hAnsi="Times New Roman" w:cs="Times New Roman"/>
          <w:noProof/>
          <w:sz w:val="24"/>
          <w:szCs w:val="24"/>
        </w:rPr>
        <w:t xml:space="preserve">Dosage and frequency </w:t>
      </w:r>
      <w:r w:rsidR="00D47FC9" w:rsidRPr="00892E0D">
        <w:rPr>
          <w:rFonts w:ascii="Times New Roman" w:hAnsi="Times New Roman" w:cs="Times New Roman"/>
          <w:noProof/>
          <w:sz w:val="24"/>
          <w:szCs w:val="24"/>
        </w:rPr>
        <w:t xml:space="preserve">of administration </w:t>
      </w:r>
      <w:r w:rsidR="00215893">
        <w:rPr>
          <w:rFonts w:ascii="Times New Roman" w:hAnsi="Times New Roman" w:cs="Times New Roman"/>
          <w:noProof/>
          <w:sz w:val="24"/>
          <w:szCs w:val="24"/>
        </w:rPr>
        <w:t>must be individualis</w:t>
      </w:r>
      <w:r w:rsidRPr="00892E0D">
        <w:rPr>
          <w:rFonts w:ascii="Times New Roman" w:hAnsi="Times New Roman" w:cs="Times New Roman"/>
          <w:noProof/>
          <w:sz w:val="24"/>
          <w:szCs w:val="24"/>
        </w:rPr>
        <w:t xml:space="preserve">ed according to clinical judgement and based on the </w:t>
      </w:r>
      <w:r w:rsidR="00A776DD" w:rsidRPr="00892E0D">
        <w:rPr>
          <w:rFonts w:ascii="Times New Roman" w:hAnsi="Times New Roman" w:cs="Times New Roman"/>
          <w:noProof/>
          <w:sz w:val="24"/>
          <w:szCs w:val="24"/>
        </w:rPr>
        <w:t>patient´s</w:t>
      </w:r>
      <w:r w:rsidR="00493E95">
        <w:rPr>
          <w:rFonts w:ascii="Times New Roman" w:hAnsi="Times New Roman" w:cs="Times New Roman"/>
          <w:noProof/>
          <w:sz w:val="24"/>
          <w:szCs w:val="24"/>
        </w:rPr>
        <w:t xml:space="preserve"> weight,</w:t>
      </w:r>
      <w:r w:rsidRPr="00892E0D">
        <w:rPr>
          <w:rFonts w:ascii="Times New Roman" w:hAnsi="Times New Roman" w:cs="Times New Roman"/>
          <w:noProof/>
          <w:sz w:val="24"/>
          <w:szCs w:val="24"/>
        </w:rPr>
        <w:t xml:space="preserve"> </w:t>
      </w:r>
      <w:r w:rsidR="00F76C87">
        <w:rPr>
          <w:rFonts w:ascii="Times New Roman" w:hAnsi="Times New Roman" w:cs="Times New Roman"/>
          <w:noProof/>
          <w:sz w:val="24"/>
          <w:szCs w:val="24"/>
        </w:rPr>
        <w:t xml:space="preserve">severity and </w:t>
      </w:r>
      <w:r w:rsidR="00493E95">
        <w:rPr>
          <w:rFonts w:ascii="Times New Roman" w:hAnsi="Times New Roman" w:cs="Times New Roman"/>
          <w:noProof/>
          <w:sz w:val="24"/>
          <w:szCs w:val="24"/>
        </w:rPr>
        <w:t>type</w:t>
      </w:r>
      <w:r w:rsidR="00F76C87" w:rsidRPr="00892E0D">
        <w:rPr>
          <w:rFonts w:ascii="Times New Roman" w:hAnsi="Times New Roman" w:cs="Times New Roman"/>
          <w:noProof/>
          <w:sz w:val="24"/>
          <w:szCs w:val="24"/>
        </w:rPr>
        <w:t xml:space="preserve"> </w:t>
      </w:r>
      <w:r w:rsidRPr="00892E0D">
        <w:rPr>
          <w:rFonts w:ascii="Times New Roman" w:hAnsi="Times New Roman" w:cs="Times New Roman"/>
          <w:noProof/>
          <w:sz w:val="24"/>
          <w:szCs w:val="24"/>
        </w:rPr>
        <w:t>of bleeding episodes/surgical intervention</w:t>
      </w:r>
      <w:r w:rsidR="00071023">
        <w:rPr>
          <w:rFonts w:ascii="Times New Roman" w:hAnsi="Times New Roman" w:cs="Times New Roman"/>
          <w:noProof/>
          <w:sz w:val="24"/>
          <w:szCs w:val="24"/>
        </w:rPr>
        <w:t>,</w:t>
      </w:r>
      <w:r w:rsidR="00A776DD" w:rsidRPr="00892E0D">
        <w:rPr>
          <w:rFonts w:ascii="Times New Roman" w:hAnsi="Times New Roman" w:cs="Times New Roman"/>
          <w:noProof/>
          <w:sz w:val="24"/>
          <w:szCs w:val="24"/>
        </w:rPr>
        <w:t xml:space="preserve"> </w:t>
      </w:r>
      <w:r w:rsidR="00C1350A">
        <w:rPr>
          <w:rFonts w:ascii="Times New Roman" w:hAnsi="Times New Roman" w:cs="Times New Roman"/>
          <w:noProof/>
          <w:sz w:val="24"/>
          <w:szCs w:val="24"/>
        </w:rPr>
        <w:t xml:space="preserve">as well as </w:t>
      </w:r>
      <w:r w:rsidR="00A776DD" w:rsidRPr="00892E0D">
        <w:rPr>
          <w:rFonts w:ascii="Times New Roman" w:hAnsi="Times New Roman" w:cs="Times New Roman"/>
          <w:noProof/>
          <w:sz w:val="24"/>
          <w:szCs w:val="24"/>
        </w:rPr>
        <w:t>both VWF:RCo and FVIII:C levels</w:t>
      </w:r>
      <w:r w:rsidR="00C1350A">
        <w:rPr>
          <w:rFonts w:ascii="Times New Roman" w:hAnsi="Times New Roman" w:cs="Times New Roman"/>
          <w:noProof/>
          <w:sz w:val="24"/>
          <w:szCs w:val="24"/>
        </w:rPr>
        <w:t>,</w:t>
      </w:r>
      <w:r w:rsidRPr="00892E0D">
        <w:rPr>
          <w:rFonts w:ascii="Times New Roman" w:hAnsi="Times New Roman" w:cs="Times New Roman"/>
          <w:noProof/>
          <w:sz w:val="24"/>
          <w:szCs w:val="24"/>
        </w:rPr>
        <w:t xml:space="preserve"> and </w:t>
      </w:r>
      <w:r w:rsidR="00C1350A">
        <w:rPr>
          <w:rFonts w:ascii="Times New Roman" w:hAnsi="Times New Roman" w:cs="Times New Roman"/>
          <w:noProof/>
          <w:sz w:val="24"/>
          <w:szCs w:val="24"/>
        </w:rPr>
        <w:t xml:space="preserve">also </w:t>
      </w:r>
      <w:r w:rsidRPr="00892E0D">
        <w:rPr>
          <w:rFonts w:ascii="Times New Roman" w:hAnsi="Times New Roman" w:cs="Times New Roman"/>
          <w:noProof/>
          <w:sz w:val="24"/>
          <w:szCs w:val="24"/>
        </w:rPr>
        <w:t>based on monitoring of appropriate clinical and laboratory measures.</w:t>
      </w:r>
      <w:r w:rsidR="00F642DD" w:rsidRPr="00F642DD">
        <w:rPr>
          <w:rFonts w:ascii="Times New Roman" w:hAnsi="Times New Roman" w:cs="Times New Roman"/>
          <w:noProof/>
          <w:sz w:val="24"/>
          <w:szCs w:val="24"/>
        </w:rPr>
        <w:t xml:space="preserve"> </w:t>
      </w:r>
      <w:r w:rsidR="00F642DD" w:rsidRPr="00892E0D">
        <w:rPr>
          <w:rFonts w:ascii="Times New Roman" w:hAnsi="Times New Roman" w:cs="Times New Roman"/>
          <w:noProof/>
          <w:sz w:val="24"/>
          <w:szCs w:val="24"/>
        </w:rPr>
        <w:t>Dose based on bodyweight may require adjustment in underweight or overweight patients.</w:t>
      </w:r>
    </w:p>
    <w:p w:rsidR="00936B11" w:rsidRPr="00892E0D" w:rsidRDefault="00936B11" w:rsidP="007B162C">
      <w:pPr>
        <w:pStyle w:val="BodytextAgency"/>
        <w:spacing w:before="120" w:after="120" w:line="240" w:lineRule="auto"/>
        <w:rPr>
          <w:rFonts w:ascii="Times New Roman" w:hAnsi="Times New Roman" w:cs="Times New Roman"/>
          <w:noProof/>
          <w:sz w:val="24"/>
          <w:szCs w:val="24"/>
        </w:rPr>
      </w:pPr>
      <w:r w:rsidRPr="00892E0D">
        <w:rPr>
          <w:rFonts w:ascii="Times New Roman" w:hAnsi="Times New Roman" w:cs="Times New Roman"/>
          <w:noProof/>
          <w:sz w:val="24"/>
          <w:szCs w:val="24"/>
        </w:rPr>
        <w:t>Generally, 1</w:t>
      </w:r>
      <w:r w:rsidR="00391F9A" w:rsidRPr="00892E0D">
        <w:rPr>
          <w:rFonts w:ascii="Times New Roman" w:hAnsi="Times New Roman" w:cs="Times New Roman"/>
          <w:noProof/>
          <w:sz w:val="24"/>
          <w:szCs w:val="24"/>
        </w:rPr>
        <w:t> </w:t>
      </w:r>
      <w:r w:rsidRPr="00892E0D">
        <w:rPr>
          <w:rFonts w:ascii="Times New Roman" w:hAnsi="Times New Roman" w:cs="Times New Roman"/>
          <w:noProof/>
          <w:sz w:val="24"/>
          <w:szCs w:val="24"/>
        </w:rPr>
        <w:t xml:space="preserve">IU/kg </w:t>
      </w:r>
      <w:r w:rsidR="00F76C87" w:rsidRPr="00F76C87">
        <w:rPr>
          <w:rFonts w:ascii="Times New Roman" w:hAnsi="Times New Roman" w:cs="Times New Roman"/>
          <w:noProof/>
          <w:sz w:val="24"/>
          <w:szCs w:val="24"/>
        </w:rPr>
        <w:t xml:space="preserve">VEYVONDI </w:t>
      </w:r>
      <w:r w:rsidRPr="00892E0D">
        <w:rPr>
          <w:rFonts w:ascii="Times New Roman" w:hAnsi="Times New Roman" w:cs="Times New Roman"/>
          <w:noProof/>
          <w:sz w:val="24"/>
          <w:szCs w:val="24"/>
        </w:rPr>
        <w:t xml:space="preserve">raises the </w:t>
      </w:r>
      <w:r w:rsidR="00062176" w:rsidRPr="00892E0D">
        <w:rPr>
          <w:rFonts w:ascii="Times New Roman" w:hAnsi="Times New Roman" w:cs="Times New Roman"/>
          <w:noProof/>
          <w:sz w:val="24"/>
          <w:szCs w:val="24"/>
        </w:rPr>
        <w:t xml:space="preserve">plasma </w:t>
      </w:r>
      <w:r w:rsidRPr="00892E0D">
        <w:rPr>
          <w:rFonts w:ascii="Times New Roman" w:hAnsi="Times New Roman" w:cs="Times New Roman"/>
          <w:noProof/>
          <w:sz w:val="24"/>
          <w:szCs w:val="24"/>
        </w:rPr>
        <w:t xml:space="preserve">VWF:RCo by </w:t>
      </w:r>
      <w:r w:rsidR="006A533E" w:rsidRPr="00892E0D">
        <w:rPr>
          <w:rFonts w:ascii="Times New Roman" w:hAnsi="Times New Roman" w:cs="Times New Roman"/>
          <w:noProof/>
          <w:sz w:val="24"/>
          <w:szCs w:val="24"/>
        </w:rPr>
        <w:t>0.02</w:t>
      </w:r>
      <w:r w:rsidR="00391F9A" w:rsidRPr="00892E0D">
        <w:rPr>
          <w:rFonts w:ascii="Times New Roman" w:hAnsi="Times New Roman" w:cs="Times New Roman"/>
          <w:noProof/>
          <w:sz w:val="24"/>
          <w:szCs w:val="24"/>
        </w:rPr>
        <w:t> </w:t>
      </w:r>
      <w:r w:rsidR="006A533E" w:rsidRPr="00892E0D">
        <w:rPr>
          <w:rFonts w:ascii="Times New Roman" w:hAnsi="Times New Roman" w:cs="Times New Roman"/>
          <w:noProof/>
          <w:sz w:val="24"/>
          <w:szCs w:val="24"/>
        </w:rPr>
        <w:t>IU/</w:t>
      </w:r>
      <w:r w:rsidR="00391F9A" w:rsidRPr="00892E0D">
        <w:rPr>
          <w:rFonts w:ascii="Times New Roman" w:hAnsi="Times New Roman" w:cs="Times New Roman"/>
          <w:noProof/>
          <w:sz w:val="24"/>
          <w:szCs w:val="24"/>
        </w:rPr>
        <w:t>mL</w:t>
      </w:r>
      <w:r w:rsidR="00F458E8" w:rsidRPr="00892E0D">
        <w:rPr>
          <w:rFonts w:ascii="Times New Roman" w:hAnsi="Times New Roman" w:cs="Times New Roman"/>
          <w:noProof/>
          <w:sz w:val="24"/>
          <w:szCs w:val="24"/>
        </w:rPr>
        <w:t xml:space="preserve"> (2%)</w:t>
      </w:r>
      <w:r w:rsidR="00F36EF9" w:rsidRPr="00892E0D">
        <w:rPr>
          <w:rFonts w:ascii="Times New Roman" w:hAnsi="Times New Roman" w:cs="Times New Roman"/>
          <w:noProof/>
          <w:sz w:val="24"/>
          <w:szCs w:val="24"/>
        </w:rPr>
        <w:t>.</w:t>
      </w:r>
    </w:p>
    <w:p w:rsidR="00663B5A" w:rsidRPr="00892E0D" w:rsidRDefault="00AF3E3F" w:rsidP="007B162C">
      <w:pPr>
        <w:pStyle w:val="BodytextAgency"/>
        <w:spacing w:before="120" w:after="120" w:line="240" w:lineRule="auto"/>
        <w:rPr>
          <w:rFonts w:ascii="Times New Roman" w:hAnsi="Times New Roman" w:cs="Times New Roman"/>
          <w:noProof/>
          <w:sz w:val="24"/>
          <w:szCs w:val="24"/>
        </w:rPr>
      </w:pPr>
      <w:r w:rsidRPr="00892E0D">
        <w:rPr>
          <w:rFonts w:ascii="Times New Roman" w:hAnsi="Times New Roman" w:cs="Times New Roman"/>
          <w:noProof/>
          <w:sz w:val="24"/>
          <w:szCs w:val="24"/>
        </w:rPr>
        <w:t xml:space="preserve">Haemostasis cannot be ensured until </w:t>
      </w:r>
      <w:r w:rsidR="00F642DD">
        <w:rPr>
          <w:rFonts w:ascii="Times New Roman" w:hAnsi="Times New Roman" w:cs="Times New Roman"/>
          <w:noProof/>
          <w:sz w:val="24"/>
          <w:szCs w:val="24"/>
        </w:rPr>
        <w:t>f</w:t>
      </w:r>
      <w:r w:rsidRPr="00892E0D">
        <w:rPr>
          <w:rFonts w:ascii="Times New Roman" w:hAnsi="Times New Roman" w:cs="Times New Roman"/>
          <w:noProof/>
          <w:sz w:val="24"/>
          <w:szCs w:val="24"/>
        </w:rPr>
        <w:t>actor VIII coagulant activity</w:t>
      </w:r>
      <w:r w:rsidR="006F4C10" w:rsidRPr="00892E0D">
        <w:rPr>
          <w:rFonts w:ascii="Times New Roman" w:hAnsi="Times New Roman" w:cs="Times New Roman"/>
          <w:noProof/>
          <w:sz w:val="24"/>
          <w:szCs w:val="24"/>
        </w:rPr>
        <w:t xml:space="preserve"> (FVIII</w:t>
      </w:r>
      <w:r w:rsidR="00EE65C4" w:rsidRPr="00892E0D">
        <w:rPr>
          <w:rFonts w:ascii="Times New Roman" w:hAnsi="Times New Roman" w:cs="Times New Roman"/>
          <w:noProof/>
          <w:sz w:val="24"/>
          <w:szCs w:val="24"/>
        </w:rPr>
        <w:t>:C</w:t>
      </w:r>
      <w:r w:rsidR="006F4C10" w:rsidRPr="00892E0D">
        <w:rPr>
          <w:rFonts w:ascii="Times New Roman" w:hAnsi="Times New Roman" w:cs="Times New Roman"/>
          <w:noProof/>
          <w:sz w:val="24"/>
          <w:szCs w:val="24"/>
        </w:rPr>
        <w:t xml:space="preserve">) </w:t>
      </w:r>
      <w:r w:rsidR="00A10D11" w:rsidRPr="00892E0D">
        <w:rPr>
          <w:rFonts w:ascii="Times New Roman" w:hAnsi="Times New Roman" w:cs="Times New Roman"/>
          <w:noProof/>
          <w:sz w:val="24"/>
          <w:szCs w:val="24"/>
        </w:rPr>
        <w:t>is at least</w:t>
      </w:r>
      <w:r w:rsidR="006F4C10" w:rsidRPr="00892E0D">
        <w:rPr>
          <w:rFonts w:ascii="Times New Roman" w:hAnsi="Times New Roman" w:cs="Times New Roman"/>
          <w:noProof/>
          <w:sz w:val="24"/>
          <w:szCs w:val="24"/>
        </w:rPr>
        <w:t xml:space="preserve"> 0.4</w:t>
      </w:r>
      <w:r w:rsidR="00E04BE7" w:rsidRPr="00892E0D">
        <w:rPr>
          <w:rFonts w:ascii="Times New Roman" w:hAnsi="Times New Roman" w:cs="Times New Roman"/>
          <w:noProof/>
          <w:sz w:val="24"/>
          <w:szCs w:val="24"/>
        </w:rPr>
        <w:t> IU</w:t>
      </w:r>
      <w:r w:rsidR="006F4C10" w:rsidRPr="00892E0D">
        <w:rPr>
          <w:rFonts w:ascii="Times New Roman" w:hAnsi="Times New Roman" w:cs="Times New Roman"/>
          <w:noProof/>
          <w:sz w:val="24"/>
          <w:szCs w:val="24"/>
        </w:rPr>
        <w:t>/</w:t>
      </w:r>
      <w:r w:rsidR="00391F9A" w:rsidRPr="00892E0D">
        <w:rPr>
          <w:rFonts w:ascii="Times New Roman" w:hAnsi="Times New Roman" w:cs="Times New Roman"/>
          <w:noProof/>
          <w:sz w:val="24"/>
          <w:szCs w:val="24"/>
        </w:rPr>
        <w:t>mL</w:t>
      </w:r>
      <w:r w:rsidR="00EE65C4" w:rsidRPr="00892E0D">
        <w:rPr>
          <w:rFonts w:ascii="Times New Roman" w:hAnsi="Times New Roman" w:cs="Times New Roman"/>
          <w:noProof/>
          <w:sz w:val="24"/>
          <w:szCs w:val="24"/>
        </w:rPr>
        <w:t xml:space="preserve"> </w:t>
      </w:r>
      <w:r w:rsidRPr="00892E0D">
        <w:rPr>
          <w:rFonts w:ascii="Times New Roman" w:hAnsi="Times New Roman" w:cs="Times New Roman"/>
          <w:noProof/>
          <w:sz w:val="24"/>
          <w:szCs w:val="24"/>
        </w:rPr>
        <w:t>(</w:t>
      </w:r>
      <w:r w:rsidR="00CC35D7">
        <w:rPr>
          <w:rFonts w:ascii="Times New Roman" w:hAnsi="Times New Roman" w:cs="Times New Roman"/>
          <w:noProof/>
          <w:sz w:val="24"/>
          <w:szCs w:val="24"/>
        </w:rPr>
        <w:sym w:font="Symbol" w:char="F0B3"/>
      </w:r>
      <w:r w:rsidR="00526202" w:rsidRPr="00892E0D">
        <w:rPr>
          <w:rFonts w:ascii="Times New Roman" w:hAnsi="Times New Roman" w:cs="Times New Roman"/>
          <w:noProof/>
          <w:sz w:val="24"/>
          <w:szCs w:val="24"/>
        </w:rPr>
        <w:t> </w:t>
      </w:r>
      <w:r w:rsidRPr="00892E0D">
        <w:rPr>
          <w:rFonts w:ascii="Times New Roman" w:hAnsi="Times New Roman" w:cs="Times New Roman"/>
          <w:noProof/>
          <w:sz w:val="24"/>
          <w:szCs w:val="24"/>
        </w:rPr>
        <w:t>40%</w:t>
      </w:r>
      <w:r w:rsidR="00D37A2B" w:rsidRPr="00892E0D">
        <w:rPr>
          <w:rFonts w:ascii="Times New Roman" w:hAnsi="Times New Roman" w:cs="Times New Roman"/>
          <w:noProof/>
          <w:sz w:val="24"/>
          <w:szCs w:val="24"/>
        </w:rPr>
        <w:t xml:space="preserve"> of normal activity</w:t>
      </w:r>
      <w:r w:rsidRPr="00892E0D">
        <w:rPr>
          <w:rFonts w:ascii="Times New Roman" w:hAnsi="Times New Roman" w:cs="Times New Roman"/>
          <w:noProof/>
          <w:sz w:val="24"/>
          <w:szCs w:val="24"/>
        </w:rPr>
        <w:t xml:space="preserve">). </w:t>
      </w:r>
      <w:r w:rsidR="001A5590" w:rsidRPr="00892E0D">
        <w:rPr>
          <w:rFonts w:ascii="Times New Roman" w:hAnsi="Times New Roman" w:cs="Times New Roman"/>
          <w:noProof/>
          <w:sz w:val="24"/>
          <w:szCs w:val="24"/>
        </w:rPr>
        <w:t>Depending on the patient’s baseline FVIII:C levels, a</w:t>
      </w:r>
      <w:r w:rsidR="000313B6" w:rsidRPr="00892E0D">
        <w:rPr>
          <w:rFonts w:ascii="Times New Roman" w:hAnsi="Times New Roman" w:cs="Times New Roman"/>
          <w:noProof/>
          <w:sz w:val="24"/>
          <w:szCs w:val="24"/>
        </w:rPr>
        <w:t xml:space="preserve"> single infusion of rVWF will</w:t>
      </w:r>
      <w:r w:rsidR="00470CB7" w:rsidRPr="00892E0D">
        <w:rPr>
          <w:rFonts w:ascii="Times New Roman" w:hAnsi="Times New Roman" w:cs="Times New Roman"/>
          <w:noProof/>
          <w:sz w:val="24"/>
          <w:szCs w:val="24"/>
        </w:rPr>
        <w:t>,</w:t>
      </w:r>
      <w:r w:rsidR="000313B6" w:rsidRPr="00892E0D">
        <w:rPr>
          <w:rFonts w:ascii="Times New Roman" w:hAnsi="Times New Roman" w:cs="Times New Roman"/>
          <w:noProof/>
          <w:sz w:val="24"/>
          <w:szCs w:val="24"/>
        </w:rPr>
        <w:t xml:space="preserve"> </w:t>
      </w:r>
      <w:r w:rsidR="00594FA6" w:rsidRPr="00892E0D">
        <w:rPr>
          <w:rFonts w:ascii="Times New Roman" w:hAnsi="Times New Roman" w:cs="Times New Roman"/>
          <w:noProof/>
          <w:sz w:val="24"/>
          <w:szCs w:val="24"/>
        </w:rPr>
        <w:t>in a majority of patients</w:t>
      </w:r>
      <w:r w:rsidR="00470CB7" w:rsidRPr="00892E0D">
        <w:rPr>
          <w:rFonts w:ascii="Times New Roman" w:hAnsi="Times New Roman" w:cs="Times New Roman"/>
          <w:noProof/>
          <w:sz w:val="24"/>
          <w:szCs w:val="24"/>
        </w:rPr>
        <w:t>,</w:t>
      </w:r>
      <w:r w:rsidR="00594FA6" w:rsidRPr="00892E0D">
        <w:rPr>
          <w:rFonts w:ascii="Times New Roman" w:hAnsi="Times New Roman" w:cs="Times New Roman"/>
          <w:noProof/>
          <w:sz w:val="24"/>
          <w:szCs w:val="24"/>
        </w:rPr>
        <w:t xml:space="preserve"> </w:t>
      </w:r>
      <w:r w:rsidR="000313B6" w:rsidRPr="00892E0D">
        <w:rPr>
          <w:rFonts w:ascii="Times New Roman" w:hAnsi="Times New Roman" w:cs="Times New Roman"/>
          <w:noProof/>
          <w:sz w:val="24"/>
          <w:szCs w:val="24"/>
        </w:rPr>
        <w:t xml:space="preserve">lead to an increase </w:t>
      </w:r>
      <w:r w:rsidR="00226D3D" w:rsidRPr="00892E0D">
        <w:rPr>
          <w:rFonts w:ascii="Times New Roman" w:hAnsi="Times New Roman" w:cs="Times New Roman"/>
          <w:noProof/>
          <w:sz w:val="24"/>
          <w:szCs w:val="24"/>
        </w:rPr>
        <w:t xml:space="preserve">above 40% </w:t>
      </w:r>
      <w:r w:rsidR="000313B6" w:rsidRPr="00892E0D">
        <w:rPr>
          <w:rFonts w:ascii="Times New Roman" w:hAnsi="Times New Roman" w:cs="Times New Roman"/>
          <w:noProof/>
          <w:sz w:val="24"/>
          <w:szCs w:val="24"/>
        </w:rPr>
        <w:t>in</w:t>
      </w:r>
      <w:r w:rsidR="00A10D11" w:rsidRPr="00892E0D">
        <w:rPr>
          <w:rFonts w:ascii="Times New Roman" w:hAnsi="Times New Roman" w:cs="Times New Roman"/>
          <w:noProof/>
          <w:sz w:val="24"/>
          <w:szCs w:val="24"/>
        </w:rPr>
        <w:t xml:space="preserve"> endogenous</w:t>
      </w:r>
      <w:r w:rsidR="000313B6" w:rsidRPr="00892E0D">
        <w:rPr>
          <w:rFonts w:ascii="Times New Roman" w:hAnsi="Times New Roman" w:cs="Times New Roman"/>
          <w:noProof/>
          <w:sz w:val="24"/>
          <w:szCs w:val="24"/>
        </w:rPr>
        <w:t xml:space="preserve"> FVIII:C activity </w:t>
      </w:r>
      <w:r w:rsidR="001A5590" w:rsidRPr="00892E0D">
        <w:rPr>
          <w:rFonts w:ascii="Times New Roman" w:hAnsi="Times New Roman" w:cs="Times New Roman"/>
          <w:noProof/>
          <w:sz w:val="24"/>
          <w:szCs w:val="24"/>
        </w:rPr>
        <w:t>within</w:t>
      </w:r>
      <w:r w:rsidR="000313B6" w:rsidRPr="00892E0D">
        <w:rPr>
          <w:rFonts w:ascii="Times New Roman" w:hAnsi="Times New Roman" w:cs="Times New Roman"/>
          <w:noProof/>
          <w:sz w:val="24"/>
          <w:szCs w:val="24"/>
        </w:rPr>
        <w:t xml:space="preserve"> 6</w:t>
      </w:r>
      <w:r w:rsidR="00E04BE7" w:rsidRPr="00892E0D">
        <w:rPr>
          <w:rFonts w:ascii="Times New Roman" w:hAnsi="Times New Roman" w:cs="Times New Roman"/>
          <w:noProof/>
          <w:sz w:val="24"/>
          <w:szCs w:val="24"/>
        </w:rPr>
        <w:t> </w:t>
      </w:r>
      <w:r w:rsidR="000313B6" w:rsidRPr="00892E0D">
        <w:rPr>
          <w:rFonts w:ascii="Times New Roman" w:hAnsi="Times New Roman" w:cs="Times New Roman"/>
          <w:noProof/>
          <w:sz w:val="24"/>
          <w:szCs w:val="24"/>
        </w:rPr>
        <w:t>hours</w:t>
      </w:r>
      <w:r w:rsidR="00C814D5" w:rsidRPr="00892E0D">
        <w:rPr>
          <w:rFonts w:ascii="Times New Roman" w:hAnsi="Times New Roman" w:cs="Times New Roman"/>
          <w:noProof/>
          <w:sz w:val="24"/>
          <w:szCs w:val="24"/>
        </w:rPr>
        <w:t xml:space="preserve"> and </w:t>
      </w:r>
      <w:r w:rsidR="00226D3D" w:rsidRPr="00892E0D">
        <w:rPr>
          <w:rFonts w:ascii="Times New Roman" w:hAnsi="Times New Roman" w:cs="Times New Roman"/>
          <w:noProof/>
          <w:sz w:val="24"/>
          <w:szCs w:val="24"/>
        </w:rPr>
        <w:t>will result in</w:t>
      </w:r>
      <w:r w:rsidR="00F458E8" w:rsidRPr="00892E0D">
        <w:rPr>
          <w:rFonts w:ascii="Times New Roman" w:hAnsi="Times New Roman" w:cs="Times New Roman"/>
          <w:noProof/>
          <w:sz w:val="24"/>
          <w:szCs w:val="24"/>
        </w:rPr>
        <w:t xml:space="preserve"> </w:t>
      </w:r>
      <w:r w:rsidR="00C814D5" w:rsidRPr="00892E0D">
        <w:rPr>
          <w:rFonts w:ascii="Times New Roman" w:hAnsi="Times New Roman" w:cs="Times New Roman"/>
          <w:noProof/>
          <w:sz w:val="24"/>
          <w:szCs w:val="24"/>
        </w:rPr>
        <w:t>sustaining this level up to 72</w:t>
      </w:r>
      <w:r w:rsidR="00E04BE7" w:rsidRPr="00892E0D">
        <w:rPr>
          <w:rFonts w:ascii="Times New Roman" w:hAnsi="Times New Roman" w:cs="Times New Roman"/>
          <w:noProof/>
          <w:sz w:val="24"/>
          <w:szCs w:val="24"/>
        </w:rPr>
        <w:t> hour</w:t>
      </w:r>
      <w:r w:rsidR="00C814D5" w:rsidRPr="00892E0D">
        <w:rPr>
          <w:rFonts w:ascii="Times New Roman" w:hAnsi="Times New Roman" w:cs="Times New Roman"/>
          <w:noProof/>
          <w:sz w:val="24"/>
          <w:szCs w:val="24"/>
        </w:rPr>
        <w:t>s post infusion</w:t>
      </w:r>
      <w:r w:rsidR="000313B6" w:rsidRPr="00892E0D">
        <w:rPr>
          <w:rFonts w:ascii="Times New Roman" w:hAnsi="Times New Roman" w:cs="Times New Roman"/>
          <w:noProof/>
          <w:sz w:val="24"/>
          <w:szCs w:val="24"/>
        </w:rPr>
        <w:t>.</w:t>
      </w:r>
      <w:r w:rsidR="00A10D11" w:rsidRPr="00892E0D">
        <w:rPr>
          <w:rFonts w:ascii="Times New Roman" w:hAnsi="Times New Roman" w:cs="Times New Roman"/>
          <w:noProof/>
          <w:sz w:val="24"/>
          <w:szCs w:val="24"/>
        </w:rPr>
        <w:t xml:space="preserve"> </w:t>
      </w:r>
      <w:r w:rsidR="00EB7763" w:rsidRPr="00892E0D">
        <w:rPr>
          <w:rFonts w:ascii="Times New Roman" w:hAnsi="Times New Roman" w:cs="Times New Roman"/>
          <w:noProof/>
          <w:sz w:val="24"/>
          <w:szCs w:val="24"/>
        </w:rPr>
        <w:t xml:space="preserve">The dose and duration of the treatment depend on the clinical status of the patient, the </w:t>
      </w:r>
      <w:r w:rsidR="00F76C87">
        <w:rPr>
          <w:rFonts w:ascii="Times New Roman" w:hAnsi="Times New Roman" w:cs="Times New Roman"/>
          <w:noProof/>
          <w:sz w:val="24"/>
          <w:szCs w:val="24"/>
        </w:rPr>
        <w:t xml:space="preserve">severity and </w:t>
      </w:r>
      <w:r w:rsidR="00493E95">
        <w:rPr>
          <w:rFonts w:ascii="Times New Roman" w:hAnsi="Times New Roman" w:cs="Times New Roman"/>
          <w:noProof/>
          <w:sz w:val="24"/>
          <w:szCs w:val="24"/>
        </w:rPr>
        <w:t>type</w:t>
      </w:r>
      <w:r w:rsidR="00F76C87">
        <w:rPr>
          <w:rFonts w:ascii="Times New Roman" w:hAnsi="Times New Roman" w:cs="Times New Roman"/>
          <w:noProof/>
          <w:sz w:val="24"/>
          <w:szCs w:val="24"/>
        </w:rPr>
        <w:t xml:space="preserve"> </w:t>
      </w:r>
      <w:r w:rsidR="00EB7763" w:rsidRPr="00892E0D">
        <w:rPr>
          <w:rFonts w:ascii="Times New Roman" w:hAnsi="Times New Roman" w:cs="Times New Roman"/>
          <w:noProof/>
          <w:sz w:val="24"/>
          <w:szCs w:val="24"/>
        </w:rPr>
        <w:t xml:space="preserve">of bleeding, and both VWF:RCo and FVIII:C levels. </w:t>
      </w:r>
      <w:r w:rsidR="00A10D11" w:rsidRPr="00892E0D">
        <w:rPr>
          <w:rFonts w:ascii="Times New Roman" w:hAnsi="Times New Roman" w:cs="Times New Roman"/>
          <w:noProof/>
          <w:sz w:val="24"/>
          <w:szCs w:val="24"/>
        </w:rPr>
        <w:t>If the patient’s baseline plasma FVIII:C level is &lt;</w:t>
      </w:r>
      <w:r w:rsidR="00F36EF9" w:rsidRPr="00892E0D">
        <w:rPr>
          <w:rFonts w:ascii="Times New Roman" w:hAnsi="Times New Roman" w:cs="Times New Roman"/>
          <w:noProof/>
          <w:sz w:val="24"/>
          <w:szCs w:val="24"/>
        </w:rPr>
        <w:t> </w:t>
      </w:r>
      <w:r w:rsidR="00A10D11" w:rsidRPr="00892E0D">
        <w:rPr>
          <w:rFonts w:ascii="Times New Roman" w:hAnsi="Times New Roman" w:cs="Times New Roman"/>
          <w:noProof/>
          <w:sz w:val="24"/>
          <w:szCs w:val="24"/>
        </w:rPr>
        <w:t>40% or is unknown</w:t>
      </w:r>
      <w:r w:rsidR="00936B11" w:rsidRPr="00892E0D">
        <w:rPr>
          <w:rFonts w:ascii="Times New Roman" w:hAnsi="Times New Roman" w:cs="Times New Roman"/>
          <w:noProof/>
          <w:sz w:val="24"/>
          <w:szCs w:val="24"/>
        </w:rPr>
        <w:t xml:space="preserve"> </w:t>
      </w:r>
      <w:r w:rsidR="00226D3D" w:rsidRPr="00892E0D">
        <w:rPr>
          <w:rFonts w:ascii="Times New Roman" w:hAnsi="Times New Roman" w:cs="Times New Roman"/>
          <w:noProof/>
          <w:sz w:val="24"/>
          <w:szCs w:val="24"/>
        </w:rPr>
        <w:t xml:space="preserve">and </w:t>
      </w:r>
      <w:r w:rsidR="00936B11" w:rsidRPr="00892E0D">
        <w:rPr>
          <w:rFonts w:ascii="Times New Roman" w:hAnsi="Times New Roman" w:cs="Times New Roman"/>
          <w:noProof/>
          <w:sz w:val="24"/>
          <w:szCs w:val="24"/>
        </w:rPr>
        <w:t xml:space="preserve">in all situations where a rapid correction of haemostasis should be achieved, such as treatment of </w:t>
      </w:r>
      <w:r w:rsidR="00226D3D" w:rsidRPr="00892E0D">
        <w:rPr>
          <w:rFonts w:ascii="Times New Roman" w:hAnsi="Times New Roman" w:cs="Times New Roman"/>
          <w:noProof/>
          <w:sz w:val="24"/>
          <w:szCs w:val="24"/>
        </w:rPr>
        <w:t xml:space="preserve">an acute </w:t>
      </w:r>
      <w:r w:rsidR="00936B11" w:rsidRPr="00892E0D">
        <w:rPr>
          <w:rFonts w:ascii="Times New Roman" w:hAnsi="Times New Roman" w:cs="Times New Roman"/>
          <w:noProof/>
          <w:sz w:val="24"/>
          <w:szCs w:val="24"/>
        </w:rPr>
        <w:t xml:space="preserve">haemorrhage, severe trauma or emergency surgery, it is necessary to administer a </w:t>
      </w:r>
      <w:r w:rsidR="007B162C" w:rsidRPr="00E54FE3">
        <w:rPr>
          <w:rFonts w:ascii="Times New Roman" w:hAnsi="Times New Roman" w:cs="Times New Roman"/>
          <w:noProof/>
          <w:sz w:val="24"/>
          <w:szCs w:val="24"/>
        </w:rPr>
        <w:t>recombinant coagulation factor</w:t>
      </w:r>
      <w:r w:rsidR="007A489A">
        <w:rPr>
          <w:rFonts w:ascii="Times New Roman" w:hAnsi="Times New Roman" w:cs="Times New Roman"/>
          <w:noProof/>
          <w:sz w:val="24"/>
          <w:szCs w:val="24"/>
        </w:rPr>
        <w:t> </w:t>
      </w:r>
      <w:r w:rsidR="007B162C" w:rsidRPr="00E54FE3">
        <w:rPr>
          <w:rFonts w:ascii="Times New Roman" w:hAnsi="Times New Roman" w:cs="Times New Roman"/>
          <w:noProof/>
          <w:sz w:val="24"/>
          <w:szCs w:val="24"/>
        </w:rPr>
        <w:t>VIII (</w:t>
      </w:r>
      <w:r w:rsidR="002130BB" w:rsidRPr="00E54FE3">
        <w:rPr>
          <w:rFonts w:ascii="Times New Roman" w:hAnsi="Times New Roman" w:cs="Times New Roman"/>
          <w:noProof/>
          <w:sz w:val="24"/>
          <w:szCs w:val="24"/>
        </w:rPr>
        <w:t>rFVIII</w:t>
      </w:r>
      <w:r w:rsidR="007B162C" w:rsidRPr="00E54FE3">
        <w:rPr>
          <w:rFonts w:ascii="Times New Roman" w:hAnsi="Times New Roman" w:cs="Times New Roman"/>
          <w:noProof/>
          <w:sz w:val="24"/>
          <w:szCs w:val="24"/>
        </w:rPr>
        <w:t>)</w:t>
      </w:r>
      <w:r w:rsidR="00936B11" w:rsidRPr="00E54FE3">
        <w:rPr>
          <w:rFonts w:ascii="Times New Roman" w:hAnsi="Times New Roman" w:cs="Times New Roman"/>
          <w:noProof/>
          <w:sz w:val="24"/>
          <w:szCs w:val="24"/>
        </w:rPr>
        <w:t xml:space="preserve"> product with the first </w:t>
      </w:r>
      <w:r w:rsidR="00E61A02" w:rsidRPr="00E54FE3">
        <w:rPr>
          <w:rFonts w:ascii="Times New Roman" w:hAnsi="Times New Roman" w:cs="Times New Roman"/>
          <w:noProof/>
          <w:sz w:val="24"/>
          <w:szCs w:val="24"/>
        </w:rPr>
        <w:t xml:space="preserve">infusion </w:t>
      </w:r>
      <w:r w:rsidR="00936B11" w:rsidRPr="00E54FE3">
        <w:rPr>
          <w:rFonts w:ascii="Times New Roman" w:hAnsi="Times New Roman" w:cs="Times New Roman"/>
          <w:noProof/>
          <w:sz w:val="24"/>
          <w:szCs w:val="24"/>
        </w:rPr>
        <w:t xml:space="preserve">of </w:t>
      </w:r>
      <w:r w:rsidR="00C9453E" w:rsidRPr="00E54FE3">
        <w:rPr>
          <w:rFonts w:ascii="Times New Roman" w:hAnsi="Times New Roman" w:cs="Times New Roman"/>
          <w:noProof/>
          <w:sz w:val="24"/>
          <w:szCs w:val="24"/>
        </w:rPr>
        <w:t>VEYVONDI</w:t>
      </w:r>
      <w:r w:rsidR="00936B11" w:rsidRPr="00E54FE3">
        <w:rPr>
          <w:rFonts w:ascii="Times New Roman" w:hAnsi="Times New Roman" w:cs="Times New Roman"/>
          <w:noProof/>
          <w:sz w:val="24"/>
          <w:szCs w:val="24"/>
        </w:rPr>
        <w:t>, in order to achieve a haemostatic plasma level of FVIII:C.</w:t>
      </w:r>
      <w:r w:rsidR="00936B11" w:rsidRPr="00892E0D">
        <w:rPr>
          <w:rFonts w:ascii="Times New Roman" w:hAnsi="Times New Roman" w:cs="Times New Roman"/>
          <w:noProof/>
          <w:sz w:val="24"/>
          <w:szCs w:val="24"/>
        </w:rPr>
        <w:t xml:space="preserve"> </w:t>
      </w:r>
    </w:p>
    <w:p w:rsidR="005065AA" w:rsidRPr="00892E0D" w:rsidRDefault="00936B11" w:rsidP="007B162C">
      <w:pPr>
        <w:pStyle w:val="BodytextAgency"/>
        <w:spacing w:before="120" w:after="120" w:line="240" w:lineRule="auto"/>
        <w:rPr>
          <w:rFonts w:ascii="Times New Roman" w:hAnsi="Times New Roman" w:cs="Times New Roman"/>
          <w:noProof/>
          <w:sz w:val="24"/>
          <w:szCs w:val="24"/>
        </w:rPr>
      </w:pPr>
      <w:r w:rsidRPr="00892E0D">
        <w:rPr>
          <w:rFonts w:ascii="Times New Roman" w:hAnsi="Times New Roman" w:cs="Times New Roman"/>
          <w:noProof/>
          <w:sz w:val="24"/>
          <w:szCs w:val="24"/>
        </w:rPr>
        <w:lastRenderedPageBreak/>
        <w:t>However, if an immediate rise in FVIII:C is not necessary, or if the baseline FVIII:C level is sufficient to ensure haemostasis, the physician may decide to omit the co-administration of rFVIII at the first infusion with VEYVONDI.</w:t>
      </w:r>
      <w:r w:rsidR="000D1217" w:rsidRPr="00892E0D">
        <w:rPr>
          <w:rFonts w:ascii="Times New Roman" w:hAnsi="Times New Roman" w:cs="Times New Roman"/>
          <w:noProof/>
          <w:sz w:val="24"/>
          <w:szCs w:val="24"/>
        </w:rPr>
        <w:t xml:space="preserve"> </w:t>
      </w:r>
    </w:p>
    <w:p w:rsidR="0055540E" w:rsidRDefault="00F823B5" w:rsidP="007B162C">
      <w:pPr>
        <w:pStyle w:val="BodytextAgency"/>
        <w:spacing w:before="120" w:after="120" w:line="240" w:lineRule="auto"/>
        <w:rPr>
          <w:rFonts w:ascii="Times New Roman" w:hAnsi="Times New Roman" w:cs="Times New Roman"/>
          <w:noProof/>
          <w:sz w:val="24"/>
          <w:szCs w:val="24"/>
        </w:rPr>
      </w:pPr>
      <w:r w:rsidRPr="00892E0D">
        <w:rPr>
          <w:rFonts w:ascii="Times New Roman" w:hAnsi="Times New Roman" w:cs="Times New Roman"/>
          <w:noProof/>
          <w:sz w:val="24"/>
          <w:szCs w:val="24"/>
        </w:rPr>
        <w:t xml:space="preserve">In </w:t>
      </w:r>
      <w:r w:rsidRPr="00215893">
        <w:rPr>
          <w:rFonts w:ascii="Times New Roman" w:hAnsi="Times New Roman" w:cs="Times New Roman"/>
          <w:noProof/>
          <w:sz w:val="24"/>
          <w:szCs w:val="24"/>
        </w:rPr>
        <w:t>case of major bleeding events or major surgeries requiring repeated, frequent infusions, monitoring of FVIII</w:t>
      </w:r>
      <w:r w:rsidR="001B1748" w:rsidRPr="00215893">
        <w:rPr>
          <w:rFonts w:ascii="Times New Roman" w:hAnsi="Times New Roman" w:cs="Times New Roman"/>
          <w:noProof/>
          <w:sz w:val="24"/>
          <w:szCs w:val="24"/>
        </w:rPr>
        <w:t>:C</w:t>
      </w:r>
      <w:r w:rsidRPr="00215893">
        <w:rPr>
          <w:rFonts w:ascii="Times New Roman" w:hAnsi="Times New Roman" w:cs="Times New Roman"/>
          <w:noProof/>
          <w:sz w:val="24"/>
          <w:szCs w:val="24"/>
        </w:rPr>
        <w:t xml:space="preserve"> levels is recommended</w:t>
      </w:r>
      <w:r w:rsidR="000D1217" w:rsidRPr="00215893">
        <w:rPr>
          <w:rFonts w:ascii="Times New Roman" w:hAnsi="Times New Roman" w:cs="Times New Roman"/>
          <w:noProof/>
          <w:sz w:val="24"/>
          <w:szCs w:val="24"/>
        </w:rPr>
        <w:t>,</w:t>
      </w:r>
      <w:r w:rsidRPr="00215893">
        <w:rPr>
          <w:rFonts w:ascii="Times New Roman" w:hAnsi="Times New Roman" w:cs="Times New Roman"/>
          <w:noProof/>
          <w:sz w:val="24"/>
          <w:szCs w:val="24"/>
        </w:rPr>
        <w:t xml:space="preserve"> to decide if rFVIII is required for subsequent infusions to avoid excessive rise of FVIII</w:t>
      </w:r>
      <w:r w:rsidR="00226D3D" w:rsidRPr="00215893">
        <w:rPr>
          <w:rFonts w:ascii="Times New Roman" w:hAnsi="Times New Roman" w:cs="Times New Roman"/>
          <w:noProof/>
          <w:sz w:val="24"/>
          <w:szCs w:val="24"/>
        </w:rPr>
        <w:t>:C</w:t>
      </w:r>
      <w:r w:rsidR="000D1217" w:rsidRPr="00215893">
        <w:rPr>
          <w:rFonts w:ascii="Times New Roman" w:hAnsi="Times New Roman" w:cs="Times New Roman"/>
          <w:noProof/>
          <w:sz w:val="24"/>
          <w:szCs w:val="24"/>
        </w:rPr>
        <w:t>.</w:t>
      </w:r>
    </w:p>
    <w:p w:rsidR="00E54FE3" w:rsidRPr="00892E0D" w:rsidRDefault="00E54FE3" w:rsidP="00E54FE3">
      <w:pPr>
        <w:pStyle w:val="BodytextAgency"/>
        <w:spacing w:before="120" w:after="120" w:line="240" w:lineRule="auto"/>
        <w:rPr>
          <w:rFonts w:ascii="Times New Roman" w:hAnsi="Times New Roman" w:cs="Times New Roman"/>
          <w:noProof/>
          <w:sz w:val="24"/>
          <w:szCs w:val="24"/>
        </w:rPr>
      </w:pPr>
      <w:r w:rsidRPr="00AC3B47">
        <w:rPr>
          <w:rFonts w:ascii="Times New Roman" w:hAnsi="Times New Roman" w:cs="Times New Roman"/>
          <w:noProof/>
          <w:sz w:val="24"/>
          <w:szCs w:val="24"/>
        </w:rPr>
        <w:t xml:space="preserve">Patients should be monitored for the development of VWF or FVIII neutralising antibodies (inhibitors). If suspected VWF activity (VWF:RCo) plasma levels are not attained, or if bleeding is not controlled with an appropriate dose, an assay should be performed to determine if a VWF or FVIII inhibitor is present. See Section </w:t>
      </w:r>
      <w:r w:rsidRPr="00AC3B47">
        <w:rPr>
          <w:rFonts w:ascii="Times New Roman" w:hAnsi="Times New Roman" w:cs="Times New Roman"/>
          <w:noProof/>
          <w:sz w:val="24"/>
          <w:szCs w:val="24"/>
        </w:rPr>
        <w:fldChar w:fldCharType="begin"/>
      </w:r>
      <w:r w:rsidRPr="00AC3B47">
        <w:rPr>
          <w:rFonts w:ascii="Times New Roman" w:hAnsi="Times New Roman" w:cs="Times New Roman"/>
          <w:noProof/>
          <w:sz w:val="24"/>
          <w:szCs w:val="24"/>
        </w:rPr>
        <w:instrText xml:space="preserve"> REF _Ref2876307 \r \h </w:instrText>
      </w:r>
      <w:r w:rsidRPr="00AC3B47">
        <w:rPr>
          <w:rFonts w:ascii="Times New Roman" w:hAnsi="Times New Roman" w:cs="Times New Roman"/>
          <w:noProof/>
          <w:sz w:val="24"/>
          <w:szCs w:val="24"/>
        </w:rPr>
      </w:r>
      <w:r w:rsidRPr="00AC3B47">
        <w:rPr>
          <w:rFonts w:ascii="Times New Roman" w:hAnsi="Times New Roman" w:cs="Times New Roman"/>
          <w:noProof/>
          <w:sz w:val="24"/>
          <w:szCs w:val="24"/>
        </w:rPr>
        <w:instrText xml:space="preserve"> \* MERGEFORMAT </w:instrText>
      </w:r>
      <w:r w:rsidRPr="00AC3B47">
        <w:rPr>
          <w:rFonts w:ascii="Times New Roman" w:hAnsi="Times New Roman" w:cs="Times New Roman"/>
          <w:noProof/>
          <w:sz w:val="24"/>
          <w:szCs w:val="24"/>
        </w:rPr>
        <w:fldChar w:fldCharType="separate"/>
      </w:r>
      <w:r w:rsidRPr="00AC3B47">
        <w:rPr>
          <w:rFonts w:ascii="Times New Roman" w:hAnsi="Times New Roman" w:cs="Times New Roman"/>
          <w:noProof/>
          <w:sz w:val="24"/>
          <w:szCs w:val="24"/>
        </w:rPr>
        <w:t>4.4</w:t>
      </w:r>
      <w:r w:rsidRPr="00AC3B47">
        <w:rPr>
          <w:rFonts w:ascii="Times New Roman" w:hAnsi="Times New Roman" w:cs="Times New Roman"/>
          <w:noProof/>
          <w:sz w:val="24"/>
          <w:szCs w:val="24"/>
        </w:rPr>
        <w:fldChar w:fldCharType="end"/>
      </w:r>
      <w:r w:rsidRPr="00AC3B47">
        <w:rPr>
          <w:rFonts w:ascii="Times New Roman" w:hAnsi="Times New Roman" w:cs="Times New Roman"/>
          <w:noProof/>
          <w:sz w:val="24"/>
          <w:szCs w:val="24"/>
        </w:rPr>
        <w:t xml:space="preserve"> </w:t>
      </w:r>
      <w:r w:rsidRPr="00AC3B47">
        <w:rPr>
          <w:rFonts w:ascii="Times New Roman" w:hAnsi="Times New Roman" w:cs="Times New Roman"/>
          <w:noProof/>
          <w:sz w:val="24"/>
          <w:szCs w:val="24"/>
        </w:rPr>
        <w:fldChar w:fldCharType="begin"/>
      </w:r>
      <w:r w:rsidRPr="00AC3B47">
        <w:rPr>
          <w:rFonts w:ascii="Times New Roman" w:hAnsi="Times New Roman" w:cs="Times New Roman"/>
          <w:noProof/>
          <w:sz w:val="24"/>
          <w:szCs w:val="24"/>
        </w:rPr>
        <w:instrText xml:space="preserve"> REF _Ref2876307 \h </w:instrText>
      </w:r>
      <w:r w:rsidRPr="00AC3B47">
        <w:rPr>
          <w:rFonts w:ascii="Times New Roman" w:hAnsi="Times New Roman" w:cs="Times New Roman"/>
          <w:noProof/>
          <w:sz w:val="24"/>
          <w:szCs w:val="24"/>
        </w:rPr>
      </w:r>
      <w:r w:rsidRPr="00AC3B47">
        <w:rPr>
          <w:rFonts w:ascii="Times New Roman" w:hAnsi="Times New Roman" w:cs="Times New Roman"/>
          <w:noProof/>
          <w:sz w:val="24"/>
          <w:szCs w:val="24"/>
        </w:rPr>
        <w:instrText xml:space="preserve"> \* MERGEFORMAT </w:instrText>
      </w:r>
      <w:r w:rsidRPr="00AC3B47">
        <w:rPr>
          <w:rFonts w:ascii="Times New Roman" w:hAnsi="Times New Roman" w:cs="Times New Roman"/>
          <w:noProof/>
          <w:sz w:val="24"/>
          <w:szCs w:val="24"/>
        </w:rPr>
        <w:fldChar w:fldCharType="separate"/>
      </w:r>
      <w:r w:rsidRPr="00AC3B47">
        <w:rPr>
          <w:rFonts w:ascii="Times New Roman" w:hAnsi="Times New Roman" w:cs="Times New Roman"/>
          <w:noProof/>
          <w:sz w:val="24"/>
          <w:szCs w:val="24"/>
        </w:rPr>
        <w:t>SPECIAL WARNINGS AND PRECAUTIONS FOR USE</w:t>
      </w:r>
      <w:r w:rsidRPr="00AC3B47">
        <w:rPr>
          <w:rFonts w:ascii="Times New Roman" w:hAnsi="Times New Roman" w:cs="Times New Roman"/>
          <w:noProof/>
          <w:sz w:val="24"/>
          <w:szCs w:val="24"/>
        </w:rPr>
        <w:fldChar w:fldCharType="end"/>
      </w:r>
      <w:r w:rsidR="00AC3B47" w:rsidRPr="00AC3B47">
        <w:rPr>
          <w:rFonts w:ascii="Times New Roman" w:hAnsi="Times New Roman" w:cs="Times New Roman"/>
          <w:noProof/>
          <w:sz w:val="24"/>
          <w:szCs w:val="24"/>
        </w:rPr>
        <w:t xml:space="preserve">, </w:t>
      </w:r>
      <w:r w:rsidRPr="00AC3B47">
        <w:rPr>
          <w:rFonts w:ascii="Times New Roman" w:hAnsi="Times New Roman" w:cs="Times New Roman"/>
          <w:noProof/>
          <w:sz w:val="24"/>
          <w:szCs w:val="24"/>
        </w:rPr>
        <w:fldChar w:fldCharType="begin"/>
      </w:r>
      <w:r w:rsidRPr="00AC3B47">
        <w:rPr>
          <w:rFonts w:ascii="Times New Roman" w:hAnsi="Times New Roman" w:cs="Times New Roman"/>
          <w:noProof/>
          <w:sz w:val="24"/>
          <w:szCs w:val="24"/>
        </w:rPr>
        <w:instrText xml:space="preserve"> REF _Ref2876318 \h </w:instrText>
      </w:r>
      <w:r w:rsidRPr="00AC3B47">
        <w:rPr>
          <w:rFonts w:ascii="Times New Roman" w:hAnsi="Times New Roman" w:cs="Times New Roman"/>
          <w:noProof/>
          <w:sz w:val="24"/>
          <w:szCs w:val="24"/>
        </w:rPr>
      </w:r>
      <w:r w:rsidRPr="00AC3B47">
        <w:rPr>
          <w:rFonts w:ascii="Times New Roman" w:hAnsi="Times New Roman" w:cs="Times New Roman"/>
          <w:noProof/>
          <w:sz w:val="24"/>
          <w:szCs w:val="24"/>
        </w:rPr>
        <w:instrText xml:space="preserve"> \* MERGEFORMAT </w:instrText>
      </w:r>
      <w:r w:rsidRPr="00AC3B47">
        <w:rPr>
          <w:rFonts w:ascii="Times New Roman" w:hAnsi="Times New Roman" w:cs="Times New Roman"/>
          <w:noProof/>
          <w:sz w:val="24"/>
          <w:szCs w:val="24"/>
        </w:rPr>
        <w:fldChar w:fldCharType="separate"/>
      </w:r>
      <w:r w:rsidRPr="00AC3B47">
        <w:rPr>
          <w:rFonts w:ascii="Times New Roman" w:hAnsi="Times New Roman" w:cs="Times New Roman"/>
          <w:noProof/>
          <w:sz w:val="24"/>
          <w:szCs w:val="24"/>
        </w:rPr>
        <w:t>Neutralising antibodie</w:t>
      </w:r>
      <w:r w:rsidRPr="00AC3B47">
        <w:rPr>
          <w:rFonts w:ascii="Times New Roman" w:hAnsi="Times New Roman" w:cs="Times New Roman"/>
          <w:noProof/>
          <w:sz w:val="24"/>
          <w:szCs w:val="24"/>
        </w:rPr>
        <w:t>s</w:t>
      </w:r>
      <w:r w:rsidRPr="00AC3B47">
        <w:rPr>
          <w:rFonts w:ascii="Times New Roman" w:hAnsi="Times New Roman" w:cs="Times New Roman"/>
          <w:noProof/>
          <w:sz w:val="24"/>
          <w:szCs w:val="24"/>
        </w:rPr>
        <w:t xml:space="preserve"> (inhibitors)</w:t>
      </w:r>
      <w:r w:rsidRPr="00AC3B47">
        <w:rPr>
          <w:rFonts w:ascii="Times New Roman" w:hAnsi="Times New Roman" w:cs="Times New Roman"/>
          <w:noProof/>
          <w:sz w:val="24"/>
          <w:szCs w:val="24"/>
        </w:rPr>
        <w:fldChar w:fldCharType="end"/>
      </w:r>
      <w:r w:rsidRPr="00AC3B47">
        <w:rPr>
          <w:rFonts w:ascii="Times New Roman" w:hAnsi="Times New Roman" w:cs="Times New Roman"/>
          <w:noProof/>
          <w:sz w:val="24"/>
          <w:szCs w:val="24"/>
        </w:rPr>
        <w:t>.</w:t>
      </w:r>
    </w:p>
    <w:p w:rsidR="0055540E" w:rsidRPr="00215893" w:rsidRDefault="0055540E" w:rsidP="007B162C">
      <w:pPr>
        <w:pStyle w:val="Heading4"/>
        <w:numPr>
          <w:ilvl w:val="0"/>
          <w:numId w:val="0"/>
        </w:numPr>
        <w:spacing w:before="120" w:after="120"/>
        <w:ind w:left="907" w:hanging="907"/>
        <w:rPr>
          <w:bCs w:val="0"/>
          <w:noProof/>
          <w:szCs w:val="24"/>
          <w:u w:val="single"/>
        </w:rPr>
      </w:pPr>
      <w:r w:rsidRPr="00215893">
        <w:rPr>
          <w:bCs w:val="0"/>
          <w:noProof/>
          <w:szCs w:val="24"/>
          <w:u w:val="single"/>
        </w:rPr>
        <w:t>Treatment of bleeding episodes</w:t>
      </w:r>
      <w:r w:rsidR="004830A9" w:rsidRPr="00215893">
        <w:rPr>
          <w:bCs w:val="0"/>
          <w:noProof/>
          <w:szCs w:val="24"/>
          <w:u w:val="single"/>
        </w:rPr>
        <w:t xml:space="preserve"> (On demand treatment)</w:t>
      </w:r>
    </w:p>
    <w:p w:rsidR="00AF3E3F" w:rsidRPr="00215893" w:rsidRDefault="00AF3E3F" w:rsidP="007B162C">
      <w:pPr>
        <w:pStyle w:val="Heading5"/>
        <w:spacing w:before="120" w:after="120" w:line="240" w:lineRule="auto"/>
        <w:rPr>
          <w:bCs/>
          <w:i/>
          <w:sz w:val="24"/>
          <w:szCs w:val="24"/>
        </w:rPr>
      </w:pPr>
      <w:r w:rsidRPr="00215893">
        <w:rPr>
          <w:bCs/>
          <w:i/>
          <w:sz w:val="24"/>
          <w:szCs w:val="24"/>
        </w:rPr>
        <w:t xml:space="preserve">Start of </w:t>
      </w:r>
      <w:r w:rsidR="00823B71">
        <w:rPr>
          <w:bCs/>
          <w:i/>
          <w:sz w:val="24"/>
          <w:szCs w:val="24"/>
        </w:rPr>
        <w:t>treatment</w:t>
      </w:r>
    </w:p>
    <w:p w:rsidR="00F823B5" w:rsidRPr="00215893" w:rsidRDefault="00F823B5" w:rsidP="007B162C">
      <w:pPr>
        <w:pStyle w:val="BodytextAgency"/>
        <w:spacing w:before="120" w:after="120" w:line="240" w:lineRule="auto"/>
        <w:rPr>
          <w:rFonts w:ascii="Times New Roman" w:hAnsi="Times New Roman" w:cs="Times New Roman"/>
          <w:noProof/>
          <w:sz w:val="24"/>
          <w:szCs w:val="24"/>
        </w:rPr>
      </w:pPr>
      <w:r w:rsidRPr="00215893">
        <w:rPr>
          <w:rFonts w:ascii="Times New Roman" w:hAnsi="Times New Roman" w:cs="Times New Roman"/>
          <w:noProof/>
          <w:sz w:val="24"/>
          <w:szCs w:val="24"/>
        </w:rPr>
        <w:t>The first dose of VEYVONDI should be 40 to 80</w:t>
      </w:r>
      <w:r w:rsidR="00E04BE7" w:rsidRPr="00215893">
        <w:rPr>
          <w:rFonts w:ascii="Times New Roman" w:hAnsi="Times New Roman" w:cs="Times New Roman"/>
          <w:noProof/>
          <w:sz w:val="24"/>
          <w:szCs w:val="24"/>
        </w:rPr>
        <w:t> IU</w:t>
      </w:r>
      <w:r w:rsidRPr="00215893">
        <w:rPr>
          <w:rFonts w:ascii="Times New Roman" w:hAnsi="Times New Roman" w:cs="Times New Roman"/>
          <w:noProof/>
          <w:sz w:val="24"/>
          <w:szCs w:val="24"/>
        </w:rPr>
        <w:t>/kg body weight. Replaceme</w:t>
      </w:r>
      <w:r w:rsidR="006A533E" w:rsidRPr="00215893">
        <w:rPr>
          <w:rFonts w:ascii="Times New Roman" w:hAnsi="Times New Roman" w:cs="Times New Roman"/>
          <w:noProof/>
          <w:sz w:val="24"/>
          <w:szCs w:val="24"/>
        </w:rPr>
        <w:t>nt levels of VWF:RCo &gt;</w:t>
      </w:r>
      <w:r w:rsidR="00391F9A" w:rsidRPr="00215893">
        <w:rPr>
          <w:rFonts w:ascii="Times New Roman" w:hAnsi="Times New Roman" w:cs="Times New Roman"/>
          <w:noProof/>
          <w:sz w:val="24"/>
          <w:szCs w:val="24"/>
        </w:rPr>
        <w:t> </w:t>
      </w:r>
      <w:r w:rsidR="006A533E" w:rsidRPr="00215893">
        <w:rPr>
          <w:rFonts w:ascii="Times New Roman" w:hAnsi="Times New Roman" w:cs="Times New Roman"/>
          <w:noProof/>
          <w:sz w:val="24"/>
          <w:szCs w:val="24"/>
        </w:rPr>
        <w:t>0.6</w:t>
      </w:r>
      <w:r w:rsidR="00391F9A" w:rsidRPr="00215893">
        <w:rPr>
          <w:rFonts w:ascii="Times New Roman" w:hAnsi="Times New Roman" w:cs="Times New Roman"/>
          <w:noProof/>
          <w:sz w:val="24"/>
          <w:szCs w:val="24"/>
        </w:rPr>
        <w:t> </w:t>
      </w:r>
      <w:r w:rsidR="006A533E" w:rsidRPr="00215893">
        <w:rPr>
          <w:rFonts w:ascii="Times New Roman" w:hAnsi="Times New Roman" w:cs="Times New Roman"/>
          <w:noProof/>
          <w:sz w:val="24"/>
          <w:szCs w:val="24"/>
        </w:rPr>
        <w:t>IU/</w:t>
      </w:r>
      <w:r w:rsidR="00391F9A" w:rsidRPr="00215893">
        <w:rPr>
          <w:rFonts w:ascii="Times New Roman" w:hAnsi="Times New Roman" w:cs="Times New Roman"/>
          <w:noProof/>
          <w:sz w:val="24"/>
          <w:szCs w:val="24"/>
        </w:rPr>
        <w:t>mL</w:t>
      </w:r>
      <w:r w:rsidRPr="00215893">
        <w:rPr>
          <w:rFonts w:ascii="Times New Roman" w:hAnsi="Times New Roman" w:cs="Times New Roman"/>
          <w:noProof/>
          <w:sz w:val="24"/>
          <w:szCs w:val="24"/>
        </w:rPr>
        <w:t xml:space="preserve"> (60%) and FVIII:C &gt;</w:t>
      </w:r>
      <w:r w:rsidR="00391F9A" w:rsidRPr="00215893">
        <w:rPr>
          <w:rFonts w:ascii="Times New Roman" w:hAnsi="Times New Roman" w:cs="Times New Roman"/>
          <w:noProof/>
          <w:sz w:val="24"/>
          <w:szCs w:val="24"/>
        </w:rPr>
        <w:t> </w:t>
      </w:r>
      <w:r w:rsidRPr="00215893">
        <w:rPr>
          <w:rFonts w:ascii="Times New Roman" w:hAnsi="Times New Roman" w:cs="Times New Roman"/>
          <w:noProof/>
          <w:sz w:val="24"/>
          <w:szCs w:val="24"/>
        </w:rPr>
        <w:t>0.4</w:t>
      </w:r>
      <w:r w:rsidR="00391F9A" w:rsidRPr="00215893">
        <w:rPr>
          <w:rFonts w:ascii="Times New Roman" w:hAnsi="Times New Roman" w:cs="Times New Roman"/>
          <w:noProof/>
          <w:sz w:val="24"/>
          <w:szCs w:val="24"/>
        </w:rPr>
        <w:t> </w:t>
      </w:r>
      <w:r w:rsidRPr="00215893">
        <w:rPr>
          <w:rFonts w:ascii="Times New Roman" w:hAnsi="Times New Roman" w:cs="Times New Roman"/>
          <w:noProof/>
          <w:sz w:val="24"/>
          <w:szCs w:val="24"/>
        </w:rPr>
        <w:t>IU/</w:t>
      </w:r>
      <w:r w:rsidR="00391F9A" w:rsidRPr="00215893">
        <w:rPr>
          <w:rFonts w:ascii="Times New Roman" w:hAnsi="Times New Roman" w:cs="Times New Roman"/>
          <w:noProof/>
          <w:sz w:val="24"/>
          <w:szCs w:val="24"/>
        </w:rPr>
        <w:t>mL</w:t>
      </w:r>
      <w:r w:rsidRPr="00215893">
        <w:rPr>
          <w:rFonts w:ascii="Times New Roman" w:hAnsi="Times New Roman" w:cs="Times New Roman"/>
          <w:noProof/>
          <w:sz w:val="24"/>
          <w:szCs w:val="24"/>
        </w:rPr>
        <w:t xml:space="preserve"> (40%) should be achieved. Dosing guidelines for treatment of minor and major haemorrhages are provided in</w:t>
      </w:r>
      <w:r w:rsidR="00C834F3">
        <w:rPr>
          <w:rFonts w:ascii="Times New Roman" w:hAnsi="Times New Roman" w:cs="Times New Roman"/>
          <w:noProof/>
          <w:sz w:val="24"/>
          <w:szCs w:val="24"/>
        </w:rPr>
        <w:t xml:space="preserve"> </w:t>
      </w:r>
      <w:r w:rsidR="00C834F3">
        <w:rPr>
          <w:rFonts w:ascii="Times New Roman" w:hAnsi="Times New Roman" w:cs="Times New Roman"/>
          <w:noProof/>
          <w:sz w:val="24"/>
          <w:szCs w:val="24"/>
        </w:rPr>
        <w:fldChar w:fldCharType="begin"/>
      </w:r>
      <w:r w:rsidR="00C834F3">
        <w:rPr>
          <w:rFonts w:ascii="Times New Roman" w:hAnsi="Times New Roman" w:cs="Times New Roman"/>
          <w:noProof/>
          <w:sz w:val="24"/>
          <w:szCs w:val="24"/>
        </w:rPr>
        <w:instrText xml:space="preserve"> REF _Ref527025608 \h </w:instrText>
      </w:r>
      <w:r w:rsidR="00C834F3">
        <w:rPr>
          <w:rFonts w:ascii="Times New Roman" w:hAnsi="Times New Roman" w:cs="Times New Roman"/>
          <w:noProof/>
          <w:sz w:val="24"/>
          <w:szCs w:val="24"/>
        </w:rPr>
      </w:r>
      <w:r w:rsidR="00C834F3">
        <w:rPr>
          <w:rFonts w:ascii="Times New Roman" w:hAnsi="Times New Roman" w:cs="Times New Roman"/>
          <w:noProof/>
          <w:sz w:val="24"/>
          <w:szCs w:val="24"/>
        </w:rPr>
        <w:instrText xml:space="preserve"> \* MERGEFORMAT </w:instrText>
      </w:r>
      <w:r w:rsidR="00C834F3">
        <w:rPr>
          <w:rFonts w:ascii="Times New Roman" w:hAnsi="Times New Roman" w:cs="Times New Roman"/>
          <w:noProof/>
          <w:sz w:val="24"/>
          <w:szCs w:val="24"/>
        </w:rPr>
        <w:fldChar w:fldCharType="separate"/>
      </w:r>
      <w:r w:rsidR="00C834F3" w:rsidRPr="00C834F3">
        <w:rPr>
          <w:rFonts w:ascii="Times New Roman" w:hAnsi="Times New Roman" w:cs="Times New Roman"/>
          <w:noProof/>
          <w:sz w:val="24"/>
          <w:szCs w:val="24"/>
        </w:rPr>
        <w:t>Table 1</w:t>
      </w:r>
      <w:r w:rsidR="00C834F3">
        <w:rPr>
          <w:rFonts w:ascii="Times New Roman" w:hAnsi="Times New Roman" w:cs="Times New Roman"/>
          <w:noProof/>
          <w:sz w:val="24"/>
          <w:szCs w:val="24"/>
        </w:rPr>
        <w:fldChar w:fldCharType="end"/>
      </w:r>
      <w:r w:rsidR="000D1217" w:rsidRPr="00215893">
        <w:rPr>
          <w:rFonts w:ascii="Times New Roman" w:hAnsi="Times New Roman" w:cs="Times New Roman"/>
          <w:noProof/>
          <w:sz w:val="24"/>
          <w:szCs w:val="24"/>
        </w:rPr>
        <w:t>.</w:t>
      </w:r>
    </w:p>
    <w:p w:rsidR="0055540E" w:rsidRPr="00215893" w:rsidRDefault="00546CFA" w:rsidP="007B162C">
      <w:pPr>
        <w:pStyle w:val="BodytextAgency"/>
        <w:spacing w:before="120" w:after="120" w:line="240" w:lineRule="auto"/>
        <w:rPr>
          <w:rFonts w:ascii="Times New Roman" w:hAnsi="Times New Roman" w:cs="Times New Roman"/>
          <w:noProof/>
          <w:sz w:val="24"/>
          <w:szCs w:val="24"/>
        </w:rPr>
      </w:pPr>
      <w:r w:rsidRPr="00215893">
        <w:rPr>
          <w:rFonts w:ascii="Times New Roman" w:hAnsi="Times New Roman" w:cs="Times New Roman"/>
          <w:noProof/>
          <w:sz w:val="24"/>
          <w:szCs w:val="24"/>
        </w:rPr>
        <w:t>VEYVONDI</w:t>
      </w:r>
      <w:r w:rsidR="0055540E" w:rsidRPr="00215893">
        <w:rPr>
          <w:rFonts w:ascii="Times New Roman" w:hAnsi="Times New Roman" w:cs="Times New Roman"/>
          <w:noProof/>
          <w:sz w:val="24"/>
          <w:szCs w:val="24"/>
        </w:rPr>
        <w:t xml:space="preserve"> </w:t>
      </w:r>
      <w:r w:rsidR="006F4773" w:rsidRPr="00215893">
        <w:rPr>
          <w:rFonts w:ascii="Times New Roman" w:hAnsi="Times New Roman" w:cs="Times New Roman"/>
          <w:noProof/>
          <w:sz w:val="24"/>
          <w:szCs w:val="24"/>
        </w:rPr>
        <w:t xml:space="preserve">should be administered </w:t>
      </w:r>
      <w:r w:rsidR="002130BB">
        <w:rPr>
          <w:rFonts w:ascii="Times New Roman" w:hAnsi="Times New Roman" w:cs="Times New Roman"/>
          <w:noProof/>
          <w:sz w:val="24"/>
          <w:szCs w:val="24"/>
        </w:rPr>
        <w:t>with rF</w:t>
      </w:r>
      <w:r w:rsidR="0055540E" w:rsidRPr="00215893">
        <w:rPr>
          <w:rFonts w:ascii="Times New Roman" w:hAnsi="Times New Roman" w:cs="Times New Roman"/>
          <w:noProof/>
          <w:sz w:val="24"/>
          <w:szCs w:val="24"/>
        </w:rPr>
        <w:t>VIII</w:t>
      </w:r>
      <w:r w:rsidR="000F097A" w:rsidRPr="00215893">
        <w:rPr>
          <w:rFonts w:ascii="Times New Roman" w:hAnsi="Times New Roman" w:cs="Times New Roman"/>
          <w:noProof/>
          <w:sz w:val="24"/>
          <w:szCs w:val="24"/>
        </w:rPr>
        <w:t xml:space="preserve"> if the FVIII:C levels are</w:t>
      </w:r>
      <w:r w:rsidR="00CB3916" w:rsidRPr="00215893">
        <w:rPr>
          <w:rFonts w:ascii="Times New Roman" w:hAnsi="Times New Roman" w:cs="Times New Roman"/>
          <w:noProof/>
          <w:sz w:val="24"/>
          <w:szCs w:val="24"/>
        </w:rPr>
        <w:t xml:space="preserve"> </w:t>
      </w:r>
      <w:r w:rsidR="000F097A" w:rsidRPr="00215893">
        <w:rPr>
          <w:rFonts w:ascii="Times New Roman" w:hAnsi="Times New Roman" w:cs="Times New Roman"/>
          <w:noProof/>
          <w:sz w:val="24"/>
          <w:szCs w:val="24"/>
        </w:rPr>
        <w:t>&lt;</w:t>
      </w:r>
      <w:r w:rsidR="00391F9A" w:rsidRPr="00215893">
        <w:rPr>
          <w:rFonts w:ascii="Times New Roman" w:hAnsi="Times New Roman" w:cs="Times New Roman"/>
          <w:noProof/>
          <w:sz w:val="24"/>
          <w:szCs w:val="24"/>
        </w:rPr>
        <w:t> </w:t>
      </w:r>
      <w:r w:rsidR="000F097A" w:rsidRPr="00215893">
        <w:rPr>
          <w:rFonts w:ascii="Times New Roman" w:hAnsi="Times New Roman" w:cs="Times New Roman"/>
          <w:noProof/>
          <w:sz w:val="24"/>
          <w:szCs w:val="24"/>
        </w:rPr>
        <w:t xml:space="preserve">40%, or </w:t>
      </w:r>
      <w:r w:rsidR="00C90A35" w:rsidRPr="00215893">
        <w:rPr>
          <w:rFonts w:ascii="Times New Roman" w:hAnsi="Times New Roman" w:cs="Times New Roman"/>
          <w:noProof/>
          <w:sz w:val="24"/>
          <w:szCs w:val="24"/>
        </w:rPr>
        <w:t xml:space="preserve">are </w:t>
      </w:r>
      <w:r w:rsidR="000F097A" w:rsidRPr="00215893">
        <w:rPr>
          <w:rFonts w:ascii="Times New Roman" w:hAnsi="Times New Roman" w:cs="Times New Roman"/>
          <w:noProof/>
          <w:sz w:val="24"/>
          <w:szCs w:val="24"/>
        </w:rPr>
        <w:t>unknown</w:t>
      </w:r>
      <w:r w:rsidR="00C90A35" w:rsidRPr="00215893">
        <w:rPr>
          <w:rFonts w:ascii="Times New Roman" w:hAnsi="Times New Roman" w:cs="Times New Roman"/>
          <w:noProof/>
          <w:sz w:val="24"/>
          <w:szCs w:val="24"/>
        </w:rPr>
        <w:t>,</w:t>
      </w:r>
      <w:r w:rsidR="000F097A" w:rsidRPr="00215893">
        <w:rPr>
          <w:rFonts w:ascii="Times New Roman" w:hAnsi="Times New Roman" w:cs="Times New Roman"/>
          <w:noProof/>
          <w:sz w:val="24"/>
          <w:szCs w:val="24"/>
        </w:rPr>
        <w:t xml:space="preserve"> to control bleeding.</w:t>
      </w:r>
      <w:r w:rsidR="00E14F09" w:rsidRPr="00215893">
        <w:rPr>
          <w:rFonts w:ascii="Times New Roman" w:hAnsi="Times New Roman" w:cs="Times New Roman"/>
          <w:noProof/>
          <w:sz w:val="24"/>
          <w:szCs w:val="24"/>
        </w:rPr>
        <w:t xml:space="preserve"> </w:t>
      </w:r>
      <w:r w:rsidR="00CD52F1" w:rsidRPr="00215893">
        <w:rPr>
          <w:rFonts w:ascii="Times New Roman" w:hAnsi="Times New Roman" w:cs="Times New Roman"/>
          <w:noProof/>
          <w:sz w:val="24"/>
          <w:szCs w:val="24"/>
        </w:rPr>
        <w:t xml:space="preserve">The rFVIII dose should be calculated according to the difference between the patient’s baseline plasma FVIII:C level, and the desired peak FVIII:C level to achieve an appropriate plasma FVIII:C level based on the approximate mean recovery of </w:t>
      </w:r>
      <w:r w:rsidR="003B2B13" w:rsidRPr="00215893">
        <w:rPr>
          <w:rFonts w:ascii="Times New Roman" w:hAnsi="Times New Roman" w:cs="Times New Roman"/>
          <w:noProof/>
          <w:sz w:val="24"/>
          <w:szCs w:val="24"/>
        </w:rPr>
        <w:t>0.</w:t>
      </w:r>
      <w:r w:rsidR="00CD52F1" w:rsidRPr="00215893">
        <w:rPr>
          <w:rFonts w:ascii="Times New Roman" w:hAnsi="Times New Roman" w:cs="Times New Roman"/>
          <w:noProof/>
          <w:sz w:val="24"/>
          <w:szCs w:val="24"/>
        </w:rPr>
        <w:t>2</w:t>
      </w:r>
      <w:r w:rsidR="008E5893">
        <w:rPr>
          <w:rFonts w:ascii="Times New Roman" w:hAnsi="Times New Roman" w:cs="Times New Roman"/>
          <w:noProof/>
          <w:sz w:val="24"/>
          <w:szCs w:val="24"/>
        </w:rPr>
        <w:t> </w:t>
      </w:r>
      <w:r w:rsidR="00CD52F1" w:rsidRPr="00215893">
        <w:rPr>
          <w:rFonts w:ascii="Times New Roman" w:hAnsi="Times New Roman" w:cs="Times New Roman"/>
          <w:noProof/>
          <w:sz w:val="24"/>
          <w:szCs w:val="24"/>
        </w:rPr>
        <w:t>(IU/</w:t>
      </w:r>
      <w:r w:rsidR="00391F9A" w:rsidRPr="00215893">
        <w:rPr>
          <w:rFonts w:ascii="Times New Roman" w:hAnsi="Times New Roman" w:cs="Times New Roman"/>
          <w:noProof/>
          <w:sz w:val="24"/>
          <w:szCs w:val="24"/>
        </w:rPr>
        <w:t>mL</w:t>
      </w:r>
      <w:r w:rsidR="00CD52F1" w:rsidRPr="00215893">
        <w:rPr>
          <w:rFonts w:ascii="Times New Roman" w:hAnsi="Times New Roman" w:cs="Times New Roman"/>
          <w:noProof/>
          <w:sz w:val="24"/>
          <w:szCs w:val="24"/>
        </w:rPr>
        <w:t xml:space="preserve">)/(IU/kg). </w:t>
      </w:r>
      <w:r w:rsidR="000703F3" w:rsidRPr="00215893">
        <w:rPr>
          <w:rFonts w:ascii="Times New Roman" w:hAnsi="Times New Roman" w:cs="Times New Roman"/>
          <w:noProof/>
          <w:sz w:val="24"/>
          <w:szCs w:val="24"/>
        </w:rPr>
        <w:t>T</w:t>
      </w:r>
      <w:r w:rsidR="00CD52F1" w:rsidRPr="00215893">
        <w:rPr>
          <w:rFonts w:ascii="Times New Roman" w:hAnsi="Times New Roman" w:cs="Times New Roman"/>
          <w:noProof/>
          <w:sz w:val="24"/>
          <w:szCs w:val="24"/>
        </w:rPr>
        <w:t xml:space="preserve">he complete dose of VEYVONDI </w:t>
      </w:r>
      <w:r w:rsidR="000703F3" w:rsidRPr="00215893">
        <w:rPr>
          <w:rFonts w:ascii="Times New Roman" w:hAnsi="Times New Roman" w:cs="Times New Roman"/>
          <w:noProof/>
          <w:sz w:val="24"/>
          <w:szCs w:val="24"/>
        </w:rPr>
        <w:t xml:space="preserve">should be administered </w:t>
      </w:r>
      <w:r w:rsidR="00CD52F1" w:rsidRPr="00215893">
        <w:rPr>
          <w:rFonts w:ascii="Times New Roman" w:hAnsi="Times New Roman" w:cs="Times New Roman"/>
          <w:noProof/>
          <w:sz w:val="24"/>
          <w:szCs w:val="24"/>
        </w:rPr>
        <w:t>followed by rFVIII within 10</w:t>
      </w:r>
      <w:r w:rsidR="007C7345" w:rsidRPr="00215893">
        <w:rPr>
          <w:rFonts w:ascii="Times New Roman" w:hAnsi="Times New Roman" w:cs="Times New Roman"/>
          <w:noProof/>
          <w:sz w:val="24"/>
          <w:szCs w:val="24"/>
        </w:rPr>
        <w:t> </w:t>
      </w:r>
      <w:r w:rsidR="00CD52F1" w:rsidRPr="00215893">
        <w:rPr>
          <w:rFonts w:ascii="Times New Roman" w:hAnsi="Times New Roman" w:cs="Times New Roman"/>
          <w:noProof/>
          <w:sz w:val="24"/>
          <w:szCs w:val="24"/>
        </w:rPr>
        <w:t>minutes</w:t>
      </w:r>
      <w:r w:rsidR="0055540E" w:rsidRPr="00DC482D">
        <w:rPr>
          <w:rFonts w:ascii="Times New Roman" w:hAnsi="Times New Roman" w:cs="Times New Roman"/>
          <w:noProof/>
          <w:sz w:val="24"/>
          <w:szCs w:val="24"/>
        </w:rPr>
        <w:t>.</w:t>
      </w:r>
      <w:r w:rsidR="00DC482D">
        <w:rPr>
          <w:rFonts w:ascii="Times New Roman" w:hAnsi="Times New Roman" w:cs="Times New Roman"/>
          <w:noProof/>
          <w:sz w:val="24"/>
          <w:szCs w:val="24"/>
        </w:rPr>
        <w:t xml:space="preserve"> See Section </w:t>
      </w:r>
      <w:r w:rsidR="00DC482D">
        <w:rPr>
          <w:rFonts w:ascii="Times New Roman" w:hAnsi="Times New Roman" w:cs="Times New Roman"/>
          <w:noProof/>
          <w:sz w:val="24"/>
          <w:szCs w:val="24"/>
        </w:rPr>
        <w:fldChar w:fldCharType="begin"/>
      </w:r>
      <w:r w:rsidR="00DC482D">
        <w:rPr>
          <w:rFonts w:ascii="Times New Roman" w:hAnsi="Times New Roman" w:cs="Times New Roman"/>
          <w:noProof/>
          <w:sz w:val="24"/>
          <w:szCs w:val="24"/>
        </w:rPr>
        <w:instrText xml:space="preserve"> REF _Ref527032474 \w \h </w:instrText>
      </w:r>
      <w:r w:rsidR="00DC482D">
        <w:rPr>
          <w:rFonts w:ascii="Times New Roman" w:hAnsi="Times New Roman" w:cs="Times New Roman"/>
          <w:noProof/>
          <w:sz w:val="24"/>
          <w:szCs w:val="24"/>
        </w:rPr>
      </w:r>
      <w:r w:rsidR="00DC482D">
        <w:rPr>
          <w:rFonts w:ascii="Times New Roman" w:hAnsi="Times New Roman" w:cs="Times New Roman"/>
          <w:noProof/>
          <w:sz w:val="24"/>
          <w:szCs w:val="24"/>
        </w:rPr>
        <w:instrText xml:space="preserve"> \* MERGEFORMAT </w:instrText>
      </w:r>
      <w:r w:rsidR="00DC482D">
        <w:rPr>
          <w:rFonts w:ascii="Times New Roman" w:hAnsi="Times New Roman" w:cs="Times New Roman"/>
          <w:noProof/>
          <w:sz w:val="24"/>
          <w:szCs w:val="24"/>
        </w:rPr>
        <w:fldChar w:fldCharType="separate"/>
      </w:r>
      <w:r w:rsidR="00DC482D">
        <w:rPr>
          <w:rFonts w:ascii="Times New Roman" w:hAnsi="Times New Roman" w:cs="Times New Roman"/>
          <w:noProof/>
          <w:sz w:val="24"/>
          <w:szCs w:val="24"/>
        </w:rPr>
        <w:t>4.2</w:t>
      </w:r>
      <w:r w:rsidR="00DC482D">
        <w:rPr>
          <w:rFonts w:ascii="Times New Roman" w:hAnsi="Times New Roman" w:cs="Times New Roman"/>
          <w:noProof/>
          <w:sz w:val="24"/>
          <w:szCs w:val="24"/>
        </w:rPr>
        <w:fldChar w:fldCharType="end"/>
      </w:r>
      <w:r w:rsidR="00DC482D">
        <w:rPr>
          <w:rFonts w:ascii="Times New Roman" w:hAnsi="Times New Roman" w:cs="Times New Roman"/>
          <w:noProof/>
          <w:sz w:val="24"/>
          <w:szCs w:val="24"/>
        </w:rPr>
        <w:t xml:space="preserve"> for </w:t>
      </w:r>
      <w:r w:rsidR="00DC482D">
        <w:rPr>
          <w:rFonts w:ascii="Times New Roman" w:hAnsi="Times New Roman" w:cs="Times New Roman"/>
          <w:noProof/>
          <w:sz w:val="24"/>
          <w:szCs w:val="24"/>
        </w:rPr>
        <w:fldChar w:fldCharType="begin"/>
      </w:r>
      <w:r w:rsidR="00DC482D">
        <w:rPr>
          <w:rFonts w:ascii="Times New Roman" w:hAnsi="Times New Roman" w:cs="Times New Roman"/>
          <w:noProof/>
          <w:sz w:val="24"/>
          <w:szCs w:val="24"/>
        </w:rPr>
        <w:instrText xml:space="preserve"> REF _Ref4490274 \h </w:instrText>
      </w:r>
      <w:r w:rsidR="00DC482D">
        <w:rPr>
          <w:rFonts w:ascii="Times New Roman" w:hAnsi="Times New Roman" w:cs="Times New Roman"/>
          <w:noProof/>
          <w:sz w:val="24"/>
          <w:szCs w:val="24"/>
        </w:rPr>
      </w:r>
      <w:r w:rsidR="00DC482D">
        <w:rPr>
          <w:rFonts w:ascii="Times New Roman" w:hAnsi="Times New Roman" w:cs="Times New Roman"/>
          <w:noProof/>
          <w:sz w:val="24"/>
          <w:szCs w:val="24"/>
        </w:rPr>
        <w:instrText xml:space="preserve"> \* MERGEFORMAT </w:instrText>
      </w:r>
      <w:r w:rsidR="00DC482D">
        <w:rPr>
          <w:rFonts w:ascii="Times New Roman" w:hAnsi="Times New Roman" w:cs="Times New Roman"/>
          <w:noProof/>
          <w:sz w:val="24"/>
          <w:szCs w:val="24"/>
        </w:rPr>
        <w:fldChar w:fldCharType="separate"/>
      </w:r>
      <w:r w:rsidR="00DC482D" w:rsidRPr="00DC482D">
        <w:rPr>
          <w:rFonts w:ascii="Times New Roman" w:hAnsi="Times New Roman" w:cs="Times New Roman"/>
          <w:noProof/>
          <w:sz w:val="24"/>
          <w:szCs w:val="24"/>
        </w:rPr>
        <w:t>method of administration</w:t>
      </w:r>
      <w:r w:rsidR="00DC482D">
        <w:rPr>
          <w:rFonts w:ascii="Times New Roman" w:hAnsi="Times New Roman" w:cs="Times New Roman"/>
          <w:noProof/>
          <w:sz w:val="24"/>
          <w:szCs w:val="24"/>
        </w:rPr>
        <w:fldChar w:fldCharType="end"/>
      </w:r>
      <w:r w:rsidR="00DC482D">
        <w:rPr>
          <w:rFonts w:ascii="Times New Roman" w:hAnsi="Times New Roman" w:cs="Times New Roman"/>
          <w:noProof/>
          <w:sz w:val="24"/>
          <w:szCs w:val="24"/>
        </w:rPr>
        <w:t xml:space="preserve">  and Section </w:t>
      </w:r>
      <w:r w:rsidR="00DC482D">
        <w:rPr>
          <w:rFonts w:ascii="Times New Roman" w:hAnsi="Times New Roman" w:cs="Times New Roman"/>
          <w:noProof/>
          <w:sz w:val="24"/>
          <w:szCs w:val="24"/>
        </w:rPr>
        <w:fldChar w:fldCharType="begin"/>
      </w:r>
      <w:r w:rsidR="00DC482D">
        <w:rPr>
          <w:rFonts w:ascii="Times New Roman" w:hAnsi="Times New Roman" w:cs="Times New Roman"/>
          <w:noProof/>
          <w:sz w:val="24"/>
          <w:szCs w:val="24"/>
        </w:rPr>
        <w:instrText xml:space="preserve"> REF _Ref527116419 \r \h </w:instrText>
      </w:r>
      <w:r w:rsidR="00DC482D">
        <w:rPr>
          <w:rFonts w:ascii="Times New Roman" w:hAnsi="Times New Roman" w:cs="Times New Roman"/>
          <w:noProof/>
          <w:sz w:val="24"/>
          <w:szCs w:val="24"/>
        </w:rPr>
      </w:r>
      <w:r w:rsidR="00DC482D">
        <w:rPr>
          <w:rFonts w:ascii="Times New Roman" w:hAnsi="Times New Roman" w:cs="Times New Roman"/>
          <w:noProof/>
          <w:sz w:val="24"/>
          <w:szCs w:val="24"/>
        </w:rPr>
        <w:instrText xml:space="preserve"> \* MERGEFORMAT </w:instrText>
      </w:r>
      <w:r w:rsidR="00DC482D">
        <w:rPr>
          <w:rFonts w:ascii="Times New Roman" w:hAnsi="Times New Roman" w:cs="Times New Roman"/>
          <w:noProof/>
          <w:sz w:val="24"/>
          <w:szCs w:val="24"/>
        </w:rPr>
        <w:fldChar w:fldCharType="separate"/>
      </w:r>
      <w:r w:rsidR="00DC482D">
        <w:rPr>
          <w:rFonts w:ascii="Times New Roman" w:hAnsi="Times New Roman" w:cs="Times New Roman"/>
          <w:noProof/>
          <w:sz w:val="24"/>
          <w:szCs w:val="24"/>
        </w:rPr>
        <w:t>6.2</w:t>
      </w:r>
      <w:r w:rsidR="00DC482D">
        <w:rPr>
          <w:rFonts w:ascii="Times New Roman" w:hAnsi="Times New Roman" w:cs="Times New Roman"/>
          <w:noProof/>
          <w:sz w:val="24"/>
          <w:szCs w:val="24"/>
        </w:rPr>
        <w:fldChar w:fldCharType="end"/>
      </w:r>
      <w:r w:rsidR="00DC482D">
        <w:rPr>
          <w:rFonts w:ascii="Times New Roman" w:hAnsi="Times New Roman" w:cs="Times New Roman"/>
          <w:noProof/>
          <w:sz w:val="24"/>
          <w:szCs w:val="24"/>
        </w:rPr>
        <w:t xml:space="preserve"> for </w:t>
      </w:r>
      <w:r w:rsidR="00DC482D">
        <w:rPr>
          <w:rFonts w:ascii="Times New Roman" w:hAnsi="Times New Roman" w:cs="Times New Roman"/>
          <w:noProof/>
          <w:sz w:val="24"/>
          <w:szCs w:val="24"/>
        </w:rPr>
        <w:fldChar w:fldCharType="begin"/>
      </w:r>
      <w:r w:rsidR="00DC482D">
        <w:rPr>
          <w:rFonts w:ascii="Times New Roman" w:hAnsi="Times New Roman" w:cs="Times New Roman"/>
          <w:noProof/>
          <w:sz w:val="24"/>
          <w:szCs w:val="24"/>
        </w:rPr>
        <w:instrText xml:space="preserve"> REF _Ref527116419 \h </w:instrText>
      </w:r>
      <w:r w:rsidR="00DC482D">
        <w:rPr>
          <w:rFonts w:ascii="Times New Roman" w:hAnsi="Times New Roman" w:cs="Times New Roman"/>
          <w:noProof/>
          <w:sz w:val="24"/>
          <w:szCs w:val="24"/>
        </w:rPr>
      </w:r>
      <w:r w:rsidR="00DC482D">
        <w:rPr>
          <w:rFonts w:ascii="Times New Roman" w:hAnsi="Times New Roman" w:cs="Times New Roman"/>
          <w:noProof/>
          <w:sz w:val="24"/>
          <w:szCs w:val="24"/>
        </w:rPr>
        <w:instrText xml:space="preserve"> \* MERGEFORMAT </w:instrText>
      </w:r>
      <w:r w:rsidR="00DC482D">
        <w:rPr>
          <w:rFonts w:ascii="Times New Roman" w:hAnsi="Times New Roman" w:cs="Times New Roman"/>
          <w:noProof/>
          <w:sz w:val="24"/>
          <w:szCs w:val="24"/>
        </w:rPr>
        <w:fldChar w:fldCharType="separate"/>
      </w:r>
      <w:r w:rsidR="00DC482D" w:rsidRPr="00C1607C">
        <w:rPr>
          <w:rFonts w:ascii="Times New Roman" w:hAnsi="Times New Roman" w:cs="Times New Roman"/>
          <w:noProof/>
          <w:sz w:val="24"/>
          <w:szCs w:val="24"/>
        </w:rPr>
        <w:t>incompatibilities</w:t>
      </w:r>
      <w:r w:rsidR="00DC482D">
        <w:rPr>
          <w:rFonts w:ascii="Times New Roman" w:hAnsi="Times New Roman" w:cs="Times New Roman"/>
          <w:noProof/>
          <w:sz w:val="24"/>
          <w:szCs w:val="24"/>
        </w:rPr>
        <w:fldChar w:fldCharType="end"/>
      </w:r>
      <w:r w:rsidR="00DC482D">
        <w:rPr>
          <w:rFonts w:ascii="Times New Roman" w:hAnsi="Times New Roman" w:cs="Times New Roman"/>
          <w:noProof/>
          <w:sz w:val="24"/>
          <w:szCs w:val="24"/>
        </w:rPr>
        <w:t xml:space="preserve"> in relation to co-administration of VEYVONDI and rFVIII.</w:t>
      </w:r>
    </w:p>
    <w:p w:rsidR="0055540E" w:rsidRPr="00215893" w:rsidRDefault="00823B71" w:rsidP="007B162C">
      <w:pPr>
        <w:pStyle w:val="Heading5"/>
        <w:spacing w:before="120" w:after="120" w:line="240" w:lineRule="auto"/>
        <w:rPr>
          <w:bCs/>
          <w:i/>
          <w:sz w:val="24"/>
          <w:szCs w:val="24"/>
        </w:rPr>
      </w:pPr>
      <w:r>
        <w:rPr>
          <w:bCs/>
          <w:i/>
          <w:sz w:val="24"/>
          <w:szCs w:val="24"/>
        </w:rPr>
        <w:t>Calculating dose</w:t>
      </w:r>
    </w:p>
    <w:p w:rsidR="0055540E" w:rsidRPr="005E50C6" w:rsidRDefault="00546CFA" w:rsidP="007B162C">
      <w:pPr>
        <w:pStyle w:val="BodytextAgency"/>
        <w:spacing w:before="120" w:after="120" w:line="240" w:lineRule="auto"/>
        <w:rPr>
          <w:bCs/>
        </w:rPr>
      </w:pPr>
      <w:r w:rsidRPr="00215893">
        <w:rPr>
          <w:rFonts w:ascii="Times New Roman" w:hAnsi="Times New Roman" w:cs="Times New Roman"/>
          <w:noProof/>
          <w:sz w:val="24"/>
          <w:szCs w:val="24"/>
        </w:rPr>
        <w:t>VEYVONDI</w:t>
      </w:r>
      <w:r w:rsidR="0055540E" w:rsidRPr="00215893">
        <w:rPr>
          <w:rFonts w:ascii="Times New Roman" w:hAnsi="Times New Roman" w:cs="Times New Roman"/>
          <w:noProof/>
          <w:sz w:val="24"/>
          <w:szCs w:val="24"/>
        </w:rPr>
        <w:t xml:space="preserve"> dose [IU] = dose [IU/kg] x weight [kg]</w:t>
      </w:r>
    </w:p>
    <w:p w:rsidR="005A3BBB" w:rsidRPr="00215893" w:rsidRDefault="005A3BBB" w:rsidP="007B162C">
      <w:pPr>
        <w:pStyle w:val="Heading5"/>
        <w:spacing w:before="120" w:after="120" w:line="240" w:lineRule="auto"/>
        <w:rPr>
          <w:bCs/>
          <w:i/>
          <w:sz w:val="24"/>
          <w:szCs w:val="24"/>
        </w:rPr>
      </w:pPr>
      <w:r w:rsidRPr="00215893">
        <w:rPr>
          <w:bCs/>
          <w:i/>
          <w:sz w:val="24"/>
          <w:szCs w:val="24"/>
        </w:rPr>
        <w:t xml:space="preserve">Subsequent </w:t>
      </w:r>
      <w:r w:rsidR="005E36E5" w:rsidRPr="00215893">
        <w:rPr>
          <w:bCs/>
          <w:i/>
          <w:sz w:val="24"/>
          <w:szCs w:val="24"/>
        </w:rPr>
        <w:t>infusions</w:t>
      </w:r>
    </w:p>
    <w:p w:rsidR="00F763B7" w:rsidRPr="00215893" w:rsidRDefault="00EB7763" w:rsidP="007B162C">
      <w:pPr>
        <w:pStyle w:val="BodytextAgency"/>
        <w:spacing w:before="120" w:after="120" w:line="240" w:lineRule="auto"/>
        <w:rPr>
          <w:rFonts w:ascii="Times New Roman" w:hAnsi="Times New Roman" w:cs="Times New Roman"/>
          <w:noProof/>
          <w:sz w:val="24"/>
          <w:szCs w:val="24"/>
        </w:rPr>
      </w:pPr>
      <w:r w:rsidRPr="00215893">
        <w:rPr>
          <w:rFonts w:ascii="Times New Roman" w:hAnsi="Times New Roman" w:cs="Times New Roman"/>
          <w:noProof/>
          <w:sz w:val="24"/>
          <w:szCs w:val="24"/>
        </w:rPr>
        <w:t xml:space="preserve">A </w:t>
      </w:r>
      <w:r w:rsidR="00C1748C" w:rsidRPr="00215893">
        <w:rPr>
          <w:rFonts w:ascii="Times New Roman" w:hAnsi="Times New Roman" w:cs="Times New Roman"/>
          <w:noProof/>
          <w:sz w:val="24"/>
          <w:szCs w:val="24"/>
        </w:rPr>
        <w:t>s</w:t>
      </w:r>
      <w:r w:rsidR="00F763B7" w:rsidRPr="00215893">
        <w:rPr>
          <w:rFonts w:ascii="Times New Roman" w:hAnsi="Times New Roman" w:cs="Times New Roman"/>
          <w:noProof/>
          <w:sz w:val="24"/>
          <w:szCs w:val="24"/>
        </w:rPr>
        <w:t xml:space="preserve">ubsequent dose </w:t>
      </w:r>
      <w:r w:rsidR="000F097A" w:rsidRPr="00215893">
        <w:rPr>
          <w:rFonts w:ascii="Times New Roman" w:hAnsi="Times New Roman" w:cs="Times New Roman"/>
          <w:noProof/>
          <w:sz w:val="24"/>
          <w:szCs w:val="24"/>
        </w:rPr>
        <w:t xml:space="preserve">of </w:t>
      </w:r>
      <w:r w:rsidR="00F763B7" w:rsidRPr="00215893">
        <w:rPr>
          <w:rFonts w:ascii="Times New Roman" w:hAnsi="Times New Roman" w:cs="Times New Roman"/>
          <w:noProof/>
          <w:sz w:val="24"/>
          <w:szCs w:val="24"/>
        </w:rPr>
        <w:t>40</w:t>
      </w:r>
      <w:r w:rsidR="00E04BE7" w:rsidRPr="00215893">
        <w:rPr>
          <w:rFonts w:ascii="Times New Roman" w:hAnsi="Times New Roman" w:cs="Times New Roman"/>
          <w:noProof/>
          <w:sz w:val="24"/>
          <w:szCs w:val="24"/>
        </w:rPr>
        <w:t> IU</w:t>
      </w:r>
      <w:r w:rsidR="00F763B7" w:rsidRPr="00215893">
        <w:rPr>
          <w:rFonts w:ascii="Times New Roman" w:hAnsi="Times New Roman" w:cs="Times New Roman"/>
          <w:noProof/>
          <w:sz w:val="24"/>
          <w:szCs w:val="24"/>
        </w:rPr>
        <w:t xml:space="preserve"> to 60</w:t>
      </w:r>
      <w:r w:rsidR="00E04BE7" w:rsidRPr="00215893">
        <w:rPr>
          <w:rFonts w:ascii="Times New Roman" w:hAnsi="Times New Roman" w:cs="Times New Roman"/>
          <w:noProof/>
          <w:sz w:val="24"/>
          <w:szCs w:val="24"/>
        </w:rPr>
        <w:t> IU</w:t>
      </w:r>
      <w:r w:rsidR="00F763B7" w:rsidRPr="00215893">
        <w:rPr>
          <w:rFonts w:ascii="Times New Roman" w:hAnsi="Times New Roman" w:cs="Times New Roman"/>
          <w:noProof/>
          <w:sz w:val="24"/>
          <w:szCs w:val="24"/>
        </w:rPr>
        <w:t xml:space="preserve">/kg of </w:t>
      </w:r>
      <w:r w:rsidR="00546CFA" w:rsidRPr="00215893">
        <w:rPr>
          <w:rFonts w:ascii="Times New Roman" w:hAnsi="Times New Roman" w:cs="Times New Roman"/>
          <w:noProof/>
          <w:sz w:val="24"/>
          <w:szCs w:val="24"/>
        </w:rPr>
        <w:t>VEYVONDI</w:t>
      </w:r>
      <w:r w:rsidR="00F763B7" w:rsidRPr="00215893">
        <w:rPr>
          <w:rFonts w:ascii="Times New Roman" w:hAnsi="Times New Roman" w:cs="Times New Roman"/>
          <w:noProof/>
          <w:sz w:val="24"/>
          <w:szCs w:val="24"/>
        </w:rPr>
        <w:t xml:space="preserve"> </w:t>
      </w:r>
      <w:r w:rsidRPr="00215893">
        <w:rPr>
          <w:rFonts w:ascii="Times New Roman" w:hAnsi="Times New Roman" w:cs="Times New Roman"/>
          <w:noProof/>
          <w:sz w:val="24"/>
          <w:szCs w:val="24"/>
        </w:rPr>
        <w:t xml:space="preserve">should be </w:t>
      </w:r>
      <w:r w:rsidR="00F763B7" w:rsidRPr="00215893">
        <w:rPr>
          <w:rFonts w:ascii="Times New Roman" w:hAnsi="Times New Roman" w:cs="Times New Roman"/>
          <w:noProof/>
          <w:sz w:val="24"/>
          <w:szCs w:val="24"/>
        </w:rPr>
        <w:t>infused every 8 to 24</w:t>
      </w:r>
      <w:r w:rsidR="00E04BE7" w:rsidRPr="00215893">
        <w:rPr>
          <w:rFonts w:ascii="Times New Roman" w:hAnsi="Times New Roman" w:cs="Times New Roman"/>
          <w:noProof/>
          <w:sz w:val="24"/>
          <w:szCs w:val="24"/>
        </w:rPr>
        <w:t> </w:t>
      </w:r>
      <w:r w:rsidR="00F763B7" w:rsidRPr="00215893">
        <w:rPr>
          <w:rFonts w:ascii="Times New Roman" w:hAnsi="Times New Roman" w:cs="Times New Roman"/>
          <w:noProof/>
          <w:sz w:val="24"/>
          <w:szCs w:val="24"/>
        </w:rPr>
        <w:t xml:space="preserve">hours as per the dosing ranges in </w:t>
      </w:r>
      <w:r w:rsidR="00590E56" w:rsidRPr="00215893">
        <w:rPr>
          <w:rFonts w:ascii="Times New Roman" w:hAnsi="Times New Roman" w:cs="Times New Roman"/>
          <w:noProof/>
          <w:sz w:val="24"/>
          <w:szCs w:val="24"/>
        </w:rPr>
        <w:t>Table</w:t>
      </w:r>
      <w:r w:rsidR="00F36EF9" w:rsidRPr="00215893">
        <w:rPr>
          <w:rFonts w:ascii="Times New Roman" w:hAnsi="Times New Roman" w:cs="Times New Roman"/>
          <w:noProof/>
          <w:sz w:val="24"/>
          <w:szCs w:val="24"/>
        </w:rPr>
        <w:t> </w:t>
      </w:r>
      <w:r w:rsidR="00590E56" w:rsidRPr="00215893">
        <w:rPr>
          <w:rFonts w:ascii="Times New Roman" w:hAnsi="Times New Roman" w:cs="Times New Roman"/>
          <w:noProof/>
          <w:sz w:val="24"/>
          <w:szCs w:val="24"/>
        </w:rPr>
        <w:t>1</w:t>
      </w:r>
      <w:r w:rsidR="000F097A" w:rsidRPr="00215893">
        <w:rPr>
          <w:rFonts w:ascii="Times New Roman" w:hAnsi="Times New Roman" w:cs="Times New Roman"/>
          <w:noProof/>
          <w:sz w:val="24"/>
          <w:szCs w:val="24"/>
        </w:rPr>
        <w:t xml:space="preserve">, </w:t>
      </w:r>
      <w:r w:rsidR="003879FA" w:rsidRPr="00215893">
        <w:rPr>
          <w:rFonts w:ascii="Times New Roman" w:hAnsi="Times New Roman" w:cs="Times New Roman"/>
          <w:noProof/>
          <w:sz w:val="24"/>
          <w:szCs w:val="24"/>
        </w:rPr>
        <w:t xml:space="preserve">or </w:t>
      </w:r>
      <w:r w:rsidR="00F763B7" w:rsidRPr="00215893">
        <w:rPr>
          <w:rFonts w:ascii="Times New Roman" w:hAnsi="Times New Roman" w:cs="Times New Roman"/>
          <w:noProof/>
          <w:sz w:val="24"/>
          <w:szCs w:val="24"/>
        </w:rPr>
        <w:t xml:space="preserve">as long as clinically </w:t>
      </w:r>
      <w:r w:rsidR="003879FA" w:rsidRPr="00215893">
        <w:rPr>
          <w:rFonts w:ascii="Times New Roman" w:hAnsi="Times New Roman" w:cs="Times New Roman"/>
          <w:noProof/>
          <w:sz w:val="24"/>
          <w:szCs w:val="24"/>
        </w:rPr>
        <w:t>appropriate</w:t>
      </w:r>
      <w:r w:rsidR="00F763B7" w:rsidRPr="00215893">
        <w:rPr>
          <w:rFonts w:ascii="Times New Roman" w:hAnsi="Times New Roman" w:cs="Times New Roman"/>
          <w:noProof/>
          <w:sz w:val="24"/>
          <w:szCs w:val="24"/>
        </w:rPr>
        <w:t>.</w:t>
      </w:r>
      <w:r w:rsidR="000F097A" w:rsidRPr="00215893">
        <w:rPr>
          <w:rFonts w:ascii="Times New Roman" w:hAnsi="Times New Roman" w:cs="Times New Roman"/>
          <w:noProof/>
          <w:sz w:val="24"/>
          <w:szCs w:val="24"/>
        </w:rPr>
        <w:t xml:space="preserve"> In major bleeding episodes, maintain trough levels of VWF:RCo greater than 50% for as long as deemed necessary</w:t>
      </w:r>
      <w:r w:rsidR="00C1748C" w:rsidRPr="00215893">
        <w:rPr>
          <w:rFonts w:ascii="Times New Roman" w:hAnsi="Times New Roman" w:cs="Times New Roman"/>
          <w:noProof/>
          <w:sz w:val="24"/>
          <w:szCs w:val="24"/>
        </w:rPr>
        <w:t>.</w:t>
      </w:r>
    </w:p>
    <w:p w:rsidR="005E0CD5" w:rsidRDefault="00334A3C" w:rsidP="007B162C">
      <w:pPr>
        <w:pStyle w:val="BodytextAgency"/>
        <w:spacing w:before="120" w:after="120" w:line="240" w:lineRule="auto"/>
        <w:rPr>
          <w:rFonts w:ascii="Times New Roman" w:hAnsi="Times New Roman" w:cs="Times New Roman"/>
          <w:noProof/>
          <w:sz w:val="24"/>
          <w:szCs w:val="24"/>
        </w:rPr>
      </w:pPr>
      <w:r w:rsidRPr="00215893">
        <w:rPr>
          <w:rFonts w:ascii="Times New Roman" w:hAnsi="Times New Roman" w:cs="Times New Roman"/>
          <w:noProof/>
          <w:sz w:val="24"/>
          <w:szCs w:val="24"/>
        </w:rPr>
        <w:t>Based on experience from clinical studies, once VWF has been replaced</w:t>
      </w:r>
      <w:r w:rsidR="00C1748C" w:rsidRPr="00215893">
        <w:rPr>
          <w:rFonts w:ascii="Times New Roman" w:hAnsi="Times New Roman" w:cs="Times New Roman"/>
          <w:noProof/>
          <w:sz w:val="24"/>
          <w:szCs w:val="24"/>
        </w:rPr>
        <w:t>,</w:t>
      </w:r>
      <w:r w:rsidRPr="00215893">
        <w:rPr>
          <w:rFonts w:ascii="Times New Roman" w:hAnsi="Times New Roman" w:cs="Times New Roman"/>
          <w:noProof/>
          <w:sz w:val="24"/>
          <w:szCs w:val="24"/>
        </w:rPr>
        <w:t xml:space="preserve"> endogenous FVIII levels will remain normal or near normal as long as </w:t>
      </w:r>
      <w:r w:rsidR="000F097A" w:rsidRPr="00215893">
        <w:rPr>
          <w:rFonts w:ascii="Times New Roman" w:hAnsi="Times New Roman" w:cs="Times New Roman"/>
          <w:noProof/>
          <w:sz w:val="24"/>
          <w:szCs w:val="24"/>
        </w:rPr>
        <w:t xml:space="preserve">VEYVONDI </w:t>
      </w:r>
      <w:r w:rsidRPr="00215893">
        <w:rPr>
          <w:rFonts w:ascii="Times New Roman" w:hAnsi="Times New Roman" w:cs="Times New Roman"/>
          <w:noProof/>
          <w:sz w:val="24"/>
          <w:szCs w:val="24"/>
        </w:rPr>
        <w:t xml:space="preserve">is </w:t>
      </w:r>
      <w:r w:rsidR="000F097A" w:rsidRPr="00215893">
        <w:rPr>
          <w:rFonts w:ascii="Times New Roman" w:hAnsi="Times New Roman" w:cs="Times New Roman"/>
          <w:noProof/>
          <w:sz w:val="24"/>
          <w:szCs w:val="24"/>
        </w:rPr>
        <w:t xml:space="preserve">continued to be </w:t>
      </w:r>
      <w:r w:rsidRPr="00215893">
        <w:rPr>
          <w:rFonts w:ascii="Times New Roman" w:hAnsi="Times New Roman" w:cs="Times New Roman"/>
          <w:noProof/>
          <w:sz w:val="24"/>
          <w:szCs w:val="24"/>
        </w:rPr>
        <w:t xml:space="preserve">administered. </w:t>
      </w:r>
    </w:p>
    <w:p w:rsidR="003B16D8" w:rsidRDefault="003B16D8" w:rsidP="00CC35D7">
      <w:pPr>
        <w:pStyle w:val="TableTitle"/>
        <w:pageBreakBefore/>
        <w:spacing w:before="60" w:after="60"/>
        <w:rPr>
          <w:noProof/>
        </w:rPr>
      </w:pPr>
      <w:bookmarkStart w:id="2" w:name="_Ref527025608"/>
      <w:r>
        <w:lastRenderedPageBreak/>
        <w:t xml:space="preserve">Table </w:t>
      </w:r>
      <w:r>
        <w:fldChar w:fldCharType="begin"/>
      </w:r>
      <w:r>
        <w:instrText xml:space="preserve"> SEQ Table \* ARABIC </w:instrText>
      </w:r>
      <w:r>
        <w:fldChar w:fldCharType="separate"/>
      </w:r>
      <w:r>
        <w:rPr>
          <w:noProof/>
        </w:rPr>
        <w:t>1</w:t>
      </w:r>
      <w:r>
        <w:fldChar w:fldCharType="end"/>
      </w:r>
      <w:bookmarkEnd w:id="2"/>
      <w:r w:rsidR="00C24444">
        <w:br/>
      </w:r>
      <w:r w:rsidRPr="0053665F">
        <w:t>Dosing recommendations for the treatment of minor and major haemorrhages</w:t>
      </w:r>
    </w:p>
    <w:tbl>
      <w:tblPr>
        <w:tblW w:w="0" w:type="auto"/>
        <w:tblCellMar>
          <w:left w:w="0" w:type="dxa"/>
          <w:right w:w="0" w:type="dxa"/>
        </w:tblCellMar>
        <w:tblLook w:val="04A0" w:firstRow="1" w:lastRow="0" w:firstColumn="1" w:lastColumn="0" w:noHBand="0" w:noVBand="1"/>
      </w:tblPr>
      <w:tblGrid>
        <w:gridCol w:w="3034"/>
        <w:gridCol w:w="2977"/>
        <w:gridCol w:w="3117"/>
      </w:tblGrid>
      <w:tr w:rsidR="001A3C69" w:rsidRPr="003B16D8" w:rsidTr="001A3C69">
        <w:trPr>
          <w:cantSplit/>
          <w:trHeight w:val="379"/>
        </w:trPr>
        <w:tc>
          <w:tcPr>
            <w:tcW w:w="3034" w:type="dxa"/>
            <w:tcBorders>
              <w:top w:val="single" w:sz="4" w:space="0" w:color="auto"/>
              <w:left w:val="single" w:sz="8" w:space="0" w:color="000000"/>
              <w:bottom w:val="single" w:sz="4" w:space="0" w:color="auto"/>
              <w:right w:val="single" w:sz="8" w:space="0" w:color="000000"/>
            </w:tcBorders>
            <w:tcMar>
              <w:top w:w="0" w:type="dxa"/>
              <w:left w:w="57" w:type="dxa"/>
              <w:bottom w:w="0" w:type="dxa"/>
              <w:right w:w="28" w:type="dxa"/>
            </w:tcMar>
            <w:vAlign w:val="center"/>
          </w:tcPr>
          <w:p w:rsidR="005456C5" w:rsidRPr="005456C5" w:rsidRDefault="00031615" w:rsidP="005456C5">
            <w:pPr>
              <w:pStyle w:val="TableColumnHeading"/>
              <w:spacing w:before="20" w:after="20"/>
            </w:pPr>
            <w:r w:rsidRPr="003B16D8">
              <w:rPr>
                <w:szCs w:val="20"/>
              </w:rPr>
              <w:t>H</w:t>
            </w:r>
            <w:r w:rsidR="00F15484" w:rsidRPr="003B16D8">
              <w:rPr>
                <w:szCs w:val="20"/>
              </w:rPr>
              <w:t>a</w:t>
            </w:r>
            <w:r w:rsidRPr="003B16D8">
              <w:rPr>
                <w:szCs w:val="20"/>
              </w:rPr>
              <w:t>emorrhage</w:t>
            </w:r>
          </w:p>
        </w:tc>
        <w:tc>
          <w:tcPr>
            <w:tcW w:w="2977" w:type="dxa"/>
            <w:tcBorders>
              <w:top w:val="single" w:sz="4" w:space="0" w:color="auto"/>
              <w:left w:val="nil"/>
              <w:bottom w:val="single" w:sz="4" w:space="0" w:color="auto"/>
              <w:right w:val="single" w:sz="8" w:space="0" w:color="000000"/>
            </w:tcBorders>
            <w:tcMar>
              <w:top w:w="0" w:type="dxa"/>
              <w:left w:w="57" w:type="dxa"/>
              <w:bottom w:w="0" w:type="dxa"/>
              <w:right w:w="28" w:type="dxa"/>
            </w:tcMar>
            <w:vAlign w:val="center"/>
            <w:hideMark/>
          </w:tcPr>
          <w:p w:rsidR="00031615" w:rsidRPr="003B16D8" w:rsidRDefault="00031615" w:rsidP="00056D51">
            <w:pPr>
              <w:pStyle w:val="TableColumnHeading"/>
              <w:spacing w:before="20" w:after="20"/>
              <w:rPr>
                <w:szCs w:val="20"/>
              </w:rPr>
            </w:pPr>
            <w:r w:rsidRPr="003B16D8">
              <w:rPr>
                <w:szCs w:val="20"/>
              </w:rPr>
              <w:t xml:space="preserve"> Initial </w:t>
            </w:r>
            <w:r w:rsidR="00636934">
              <w:rPr>
                <w:szCs w:val="20"/>
              </w:rPr>
              <w:t>d</w:t>
            </w:r>
            <w:r w:rsidRPr="003B16D8">
              <w:rPr>
                <w:szCs w:val="20"/>
              </w:rPr>
              <w:t>ose</w:t>
            </w:r>
            <w:r w:rsidRPr="001A3C69">
              <w:rPr>
                <w:b w:val="0"/>
                <w:szCs w:val="20"/>
                <w:vertAlign w:val="superscript"/>
              </w:rPr>
              <w:t>a</w:t>
            </w:r>
            <w:r w:rsidR="003B16D8" w:rsidRPr="003B16D8">
              <w:rPr>
                <w:szCs w:val="20"/>
                <w:vertAlign w:val="superscript"/>
              </w:rPr>
              <w:br/>
            </w:r>
            <w:r w:rsidRPr="003B16D8">
              <w:rPr>
                <w:szCs w:val="20"/>
              </w:rPr>
              <w:t>(IU VWF:RCo/kg body weight)</w:t>
            </w:r>
          </w:p>
        </w:tc>
        <w:tc>
          <w:tcPr>
            <w:tcW w:w="3117" w:type="dxa"/>
            <w:tcBorders>
              <w:top w:val="single" w:sz="4" w:space="0" w:color="auto"/>
              <w:left w:val="nil"/>
              <w:bottom w:val="single" w:sz="4" w:space="0" w:color="auto"/>
              <w:right w:val="single" w:sz="8" w:space="0" w:color="000000"/>
            </w:tcBorders>
            <w:vAlign w:val="center"/>
          </w:tcPr>
          <w:p w:rsidR="00031615" w:rsidRPr="003B16D8" w:rsidRDefault="00031615" w:rsidP="00056D51">
            <w:pPr>
              <w:pStyle w:val="TableColumnHeading"/>
              <w:spacing w:before="20" w:after="20"/>
              <w:rPr>
                <w:szCs w:val="20"/>
              </w:rPr>
            </w:pPr>
            <w:r w:rsidRPr="003B16D8">
              <w:rPr>
                <w:szCs w:val="20"/>
              </w:rPr>
              <w:t xml:space="preserve">Subsequent </w:t>
            </w:r>
            <w:r w:rsidR="00636934">
              <w:rPr>
                <w:szCs w:val="20"/>
              </w:rPr>
              <w:t>d</w:t>
            </w:r>
            <w:r w:rsidRPr="003B16D8">
              <w:rPr>
                <w:szCs w:val="20"/>
              </w:rPr>
              <w:t>ose</w:t>
            </w:r>
          </w:p>
        </w:tc>
      </w:tr>
      <w:tr w:rsidR="00031615" w:rsidRPr="003B16D8" w:rsidTr="001A3C69">
        <w:trPr>
          <w:cantSplit/>
          <w:trHeight w:val="715"/>
        </w:trPr>
        <w:tc>
          <w:tcPr>
            <w:tcW w:w="30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5456C5" w:rsidRPr="005456C5" w:rsidRDefault="00031615" w:rsidP="005456C5">
            <w:pPr>
              <w:pStyle w:val="TableText"/>
              <w:spacing w:before="20" w:after="20"/>
            </w:pPr>
            <w:r w:rsidRPr="003B16D8">
              <w:rPr>
                <w:b/>
                <w:szCs w:val="20"/>
              </w:rPr>
              <w:t>Minor</w:t>
            </w:r>
            <w:r w:rsidR="003B16D8" w:rsidRPr="003B16D8">
              <w:rPr>
                <w:b/>
                <w:szCs w:val="20"/>
              </w:rPr>
              <w:br/>
            </w:r>
            <w:r w:rsidRPr="003B16D8">
              <w:rPr>
                <w:szCs w:val="20"/>
              </w:rPr>
              <w:t>(e.g. epistaxis, oral bleeding, menorrhagia)</w:t>
            </w:r>
          </w:p>
        </w:tc>
        <w:tc>
          <w:tcPr>
            <w:tcW w:w="297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rsidR="00031615" w:rsidRPr="003B16D8" w:rsidRDefault="00031615" w:rsidP="00056D51">
            <w:pPr>
              <w:pStyle w:val="TableText"/>
              <w:spacing w:before="20" w:after="20"/>
              <w:jc w:val="center"/>
              <w:rPr>
                <w:szCs w:val="20"/>
              </w:rPr>
            </w:pPr>
            <w:r w:rsidRPr="003B16D8">
              <w:rPr>
                <w:szCs w:val="20"/>
              </w:rPr>
              <w:t>40 to 50</w:t>
            </w:r>
            <w:r w:rsidR="00E04BE7" w:rsidRPr="003B16D8">
              <w:rPr>
                <w:szCs w:val="20"/>
              </w:rPr>
              <w:t> IU</w:t>
            </w:r>
            <w:r w:rsidRPr="003B16D8">
              <w:rPr>
                <w:szCs w:val="20"/>
              </w:rPr>
              <w:t>/kg</w:t>
            </w:r>
          </w:p>
        </w:tc>
        <w:tc>
          <w:tcPr>
            <w:tcW w:w="3117" w:type="dxa"/>
            <w:tcBorders>
              <w:top w:val="single" w:sz="4" w:space="0" w:color="auto"/>
              <w:left w:val="single" w:sz="4" w:space="0" w:color="auto"/>
              <w:bottom w:val="single" w:sz="4" w:space="0" w:color="auto"/>
              <w:right w:val="single" w:sz="4" w:space="0" w:color="auto"/>
            </w:tcBorders>
            <w:vAlign w:val="center"/>
          </w:tcPr>
          <w:p w:rsidR="00031615" w:rsidRPr="003B16D8" w:rsidRDefault="00CF70B3" w:rsidP="00056D51">
            <w:pPr>
              <w:pStyle w:val="TableText"/>
              <w:spacing w:before="20" w:after="20"/>
              <w:ind w:left="142" w:right="140"/>
              <w:jc w:val="center"/>
              <w:rPr>
                <w:szCs w:val="20"/>
              </w:rPr>
            </w:pPr>
            <w:r w:rsidRPr="003B16D8">
              <w:rPr>
                <w:szCs w:val="20"/>
              </w:rPr>
              <w:t>40 to 50</w:t>
            </w:r>
            <w:r w:rsidR="00E04BE7" w:rsidRPr="003B16D8">
              <w:rPr>
                <w:szCs w:val="20"/>
              </w:rPr>
              <w:t> </w:t>
            </w:r>
            <w:r w:rsidRPr="003B16D8">
              <w:rPr>
                <w:szCs w:val="20"/>
              </w:rPr>
              <w:t>IU/kg every 8 to 24</w:t>
            </w:r>
            <w:r w:rsidR="00E04BE7" w:rsidRPr="003B16D8">
              <w:rPr>
                <w:szCs w:val="20"/>
              </w:rPr>
              <w:t> </w:t>
            </w:r>
            <w:r w:rsidRPr="003B16D8">
              <w:rPr>
                <w:szCs w:val="20"/>
              </w:rPr>
              <w:t xml:space="preserve">hours </w:t>
            </w:r>
            <w:r w:rsidR="003B16D8" w:rsidRPr="003B16D8">
              <w:rPr>
                <w:szCs w:val="20"/>
              </w:rPr>
              <w:br/>
            </w:r>
            <w:r w:rsidRPr="003B16D8">
              <w:rPr>
                <w:szCs w:val="20"/>
              </w:rPr>
              <w:t xml:space="preserve">(or </w:t>
            </w:r>
            <w:r w:rsidRPr="003B16D8">
              <w:rPr>
                <w:bCs/>
                <w:szCs w:val="20"/>
              </w:rPr>
              <w:t xml:space="preserve">as long as deemed </w:t>
            </w:r>
            <w:r w:rsidR="001A3C69">
              <w:rPr>
                <w:bCs/>
                <w:szCs w:val="20"/>
              </w:rPr>
              <w:br/>
            </w:r>
            <w:r w:rsidRPr="003B16D8">
              <w:rPr>
                <w:bCs/>
                <w:szCs w:val="20"/>
              </w:rPr>
              <w:t>clinically necessary</w:t>
            </w:r>
            <w:r w:rsidRPr="003B16D8">
              <w:rPr>
                <w:szCs w:val="20"/>
              </w:rPr>
              <w:t>)</w:t>
            </w:r>
          </w:p>
        </w:tc>
      </w:tr>
      <w:tr w:rsidR="00031615" w:rsidRPr="003B16D8" w:rsidTr="001A3C69">
        <w:trPr>
          <w:cantSplit/>
          <w:trHeight w:val="1219"/>
        </w:trPr>
        <w:tc>
          <w:tcPr>
            <w:tcW w:w="3034" w:type="dxa"/>
            <w:tcBorders>
              <w:top w:val="single" w:sz="4" w:space="0" w:color="auto"/>
              <w:left w:val="single" w:sz="4" w:space="0" w:color="auto"/>
              <w:bottom w:val="single" w:sz="4" w:space="0" w:color="auto"/>
              <w:right w:val="single" w:sz="4" w:space="0" w:color="auto"/>
            </w:tcBorders>
            <w:vAlign w:val="center"/>
          </w:tcPr>
          <w:p w:rsidR="005456C5" w:rsidRPr="005456C5" w:rsidRDefault="00031615" w:rsidP="005456C5">
            <w:pPr>
              <w:pStyle w:val="TableText"/>
              <w:spacing w:before="20" w:after="20"/>
              <w:ind w:left="57"/>
            </w:pPr>
            <w:r w:rsidRPr="003B16D8">
              <w:rPr>
                <w:b/>
                <w:szCs w:val="20"/>
              </w:rPr>
              <w:t>Major</w:t>
            </w:r>
            <w:r w:rsidRPr="003B16D8">
              <w:rPr>
                <w:szCs w:val="20"/>
                <w:vertAlign w:val="superscript"/>
              </w:rPr>
              <w:t>b</w:t>
            </w:r>
            <w:r w:rsidR="003B16D8" w:rsidRPr="003B16D8">
              <w:rPr>
                <w:szCs w:val="20"/>
                <w:vertAlign w:val="superscript"/>
              </w:rPr>
              <w:br/>
            </w:r>
            <w:r w:rsidRPr="003B16D8">
              <w:rPr>
                <w:szCs w:val="20"/>
              </w:rPr>
              <w:t xml:space="preserve">(e.g. severe or refractory epistaxis, menorrhagia, </w:t>
            </w:r>
            <w:r w:rsidR="00282A64" w:rsidRPr="003B16D8">
              <w:rPr>
                <w:szCs w:val="20"/>
              </w:rPr>
              <w:t>g</w:t>
            </w:r>
            <w:r w:rsidR="007123A0" w:rsidRPr="003B16D8">
              <w:rPr>
                <w:szCs w:val="20"/>
              </w:rPr>
              <w:t xml:space="preserve">astrointestinal </w:t>
            </w:r>
            <w:r w:rsidRPr="003B16D8">
              <w:rPr>
                <w:szCs w:val="20"/>
              </w:rPr>
              <w:t xml:space="preserve">bleeding, </w:t>
            </w:r>
            <w:r w:rsidR="00C468EA" w:rsidRPr="003B16D8">
              <w:rPr>
                <w:szCs w:val="20"/>
              </w:rPr>
              <w:t xml:space="preserve">central nervous system </w:t>
            </w:r>
            <w:r w:rsidRPr="003B16D8">
              <w:rPr>
                <w:szCs w:val="20"/>
              </w:rPr>
              <w:t>trauma, h</w:t>
            </w:r>
            <w:r w:rsidR="007123A0" w:rsidRPr="003B16D8">
              <w:rPr>
                <w:szCs w:val="20"/>
              </w:rPr>
              <w:t>a</w:t>
            </w:r>
            <w:r w:rsidRPr="003B16D8">
              <w:rPr>
                <w:szCs w:val="20"/>
              </w:rPr>
              <w:t>emarthrosis, or traumatic h</w:t>
            </w:r>
            <w:r w:rsidR="00F15484" w:rsidRPr="003B16D8">
              <w:rPr>
                <w:szCs w:val="20"/>
              </w:rPr>
              <w:t>a</w:t>
            </w:r>
            <w:r w:rsidRPr="003B16D8">
              <w:rPr>
                <w:szCs w:val="20"/>
              </w:rPr>
              <w:t>emorrhage)</w:t>
            </w:r>
          </w:p>
        </w:tc>
        <w:tc>
          <w:tcPr>
            <w:tcW w:w="297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rsidR="00031615" w:rsidRPr="003B16D8" w:rsidRDefault="00031615" w:rsidP="00056D51">
            <w:pPr>
              <w:pStyle w:val="TableText"/>
              <w:spacing w:before="20" w:after="20"/>
              <w:jc w:val="center"/>
              <w:rPr>
                <w:szCs w:val="20"/>
              </w:rPr>
            </w:pPr>
            <w:r w:rsidRPr="003B16D8">
              <w:rPr>
                <w:szCs w:val="20"/>
              </w:rPr>
              <w:t>50 to 80</w:t>
            </w:r>
            <w:r w:rsidR="00E04BE7" w:rsidRPr="003B16D8">
              <w:rPr>
                <w:szCs w:val="20"/>
              </w:rPr>
              <w:t> IU</w:t>
            </w:r>
            <w:r w:rsidRPr="003B16D8">
              <w:rPr>
                <w:szCs w:val="20"/>
              </w:rPr>
              <w:t>/kg</w:t>
            </w:r>
          </w:p>
        </w:tc>
        <w:tc>
          <w:tcPr>
            <w:tcW w:w="3117" w:type="dxa"/>
            <w:tcBorders>
              <w:top w:val="single" w:sz="4" w:space="0" w:color="auto"/>
              <w:left w:val="single" w:sz="4" w:space="0" w:color="auto"/>
              <w:bottom w:val="single" w:sz="4" w:space="0" w:color="auto"/>
              <w:right w:val="single" w:sz="4" w:space="0" w:color="auto"/>
            </w:tcBorders>
            <w:vAlign w:val="center"/>
          </w:tcPr>
          <w:p w:rsidR="00031615" w:rsidRPr="003B16D8" w:rsidRDefault="00CF70B3" w:rsidP="00056D51">
            <w:pPr>
              <w:pStyle w:val="TableText"/>
              <w:spacing w:before="20" w:after="20"/>
              <w:ind w:left="142" w:right="140"/>
              <w:jc w:val="center"/>
              <w:rPr>
                <w:szCs w:val="20"/>
              </w:rPr>
            </w:pPr>
            <w:r w:rsidRPr="003B16D8">
              <w:rPr>
                <w:bCs/>
                <w:szCs w:val="20"/>
              </w:rPr>
              <w:t>40 to 60</w:t>
            </w:r>
            <w:r w:rsidR="00E04BE7" w:rsidRPr="003B16D8">
              <w:rPr>
                <w:bCs/>
                <w:szCs w:val="20"/>
              </w:rPr>
              <w:t> IU</w:t>
            </w:r>
            <w:r w:rsidRPr="003B16D8">
              <w:rPr>
                <w:bCs/>
                <w:szCs w:val="20"/>
              </w:rPr>
              <w:t>/kg every 8 to 24</w:t>
            </w:r>
            <w:r w:rsidR="00E04BE7" w:rsidRPr="003B16D8">
              <w:rPr>
                <w:bCs/>
                <w:szCs w:val="20"/>
              </w:rPr>
              <w:t> hour</w:t>
            </w:r>
            <w:r w:rsidRPr="003B16D8">
              <w:rPr>
                <w:bCs/>
                <w:szCs w:val="20"/>
              </w:rPr>
              <w:t>s for approximately 2-3</w:t>
            </w:r>
            <w:r w:rsidR="0088410C" w:rsidRPr="003B16D8">
              <w:rPr>
                <w:bCs/>
                <w:szCs w:val="20"/>
              </w:rPr>
              <w:t> </w:t>
            </w:r>
            <w:r w:rsidRPr="003B16D8">
              <w:rPr>
                <w:bCs/>
                <w:szCs w:val="20"/>
              </w:rPr>
              <w:t xml:space="preserve">days </w:t>
            </w:r>
            <w:r w:rsidR="003B16D8" w:rsidRPr="003B16D8">
              <w:rPr>
                <w:bCs/>
                <w:szCs w:val="20"/>
              </w:rPr>
              <w:br/>
            </w:r>
            <w:r w:rsidRPr="003B16D8">
              <w:rPr>
                <w:bCs/>
                <w:szCs w:val="20"/>
              </w:rPr>
              <w:t xml:space="preserve">(or as long as deemed </w:t>
            </w:r>
            <w:r w:rsidR="001A3C69">
              <w:rPr>
                <w:bCs/>
                <w:szCs w:val="20"/>
              </w:rPr>
              <w:br/>
            </w:r>
            <w:r w:rsidRPr="003B16D8">
              <w:rPr>
                <w:bCs/>
                <w:szCs w:val="20"/>
              </w:rPr>
              <w:t>clinically necessary)</w:t>
            </w:r>
          </w:p>
        </w:tc>
      </w:tr>
      <w:tr w:rsidR="00031615" w:rsidRPr="003B16D8" w:rsidTr="00F755C9">
        <w:trPr>
          <w:cantSplit/>
          <w:trHeight w:val="806"/>
        </w:trPr>
        <w:tc>
          <w:tcPr>
            <w:tcW w:w="9128" w:type="dxa"/>
            <w:gridSpan w:val="3"/>
            <w:tcBorders>
              <w:top w:val="single" w:sz="4" w:space="0" w:color="auto"/>
            </w:tcBorders>
            <w:vAlign w:val="center"/>
          </w:tcPr>
          <w:p w:rsidR="00CF70B3" w:rsidRPr="003B16D8" w:rsidRDefault="00CF70B3" w:rsidP="00056D51">
            <w:pPr>
              <w:pStyle w:val="TableFootnote"/>
              <w:tabs>
                <w:tab w:val="clear" w:pos="216"/>
                <w:tab w:val="left" w:pos="57"/>
              </w:tabs>
              <w:spacing w:before="20" w:after="20"/>
              <w:ind w:left="113" w:hanging="113"/>
            </w:pPr>
            <w:r w:rsidRPr="003B16D8">
              <w:rPr>
                <w:vertAlign w:val="superscript"/>
              </w:rPr>
              <w:t>a</w:t>
            </w:r>
            <w:r w:rsidR="003B16D8">
              <w:rPr>
                <w:vertAlign w:val="superscript"/>
              </w:rPr>
              <w:t xml:space="preserve"> </w:t>
            </w:r>
            <w:r w:rsidRPr="003B16D8">
              <w:t>If rFVIII is administered, see rFVIII package insert for reconstitution and administration instructions.</w:t>
            </w:r>
          </w:p>
          <w:p w:rsidR="005456C5" w:rsidRPr="005456C5" w:rsidRDefault="00CF70B3" w:rsidP="005456C5">
            <w:pPr>
              <w:pStyle w:val="TableFootnote"/>
              <w:tabs>
                <w:tab w:val="clear" w:pos="216"/>
                <w:tab w:val="left" w:pos="57"/>
              </w:tabs>
              <w:spacing w:before="20" w:after="20"/>
              <w:ind w:left="113" w:hanging="113"/>
            </w:pPr>
            <w:r w:rsidRPr="003B16D8">
              <w:rPr>
                <w:vertAlign w:val="superscript"/>
              </w:rPr>
              <w:t>b</w:t>
            </w:r>
            <w:r w:rsidR="003B16D8">
              <w:rPr>
                <w:vertAlign w:val="superscript"/>
              </w:rPr>
              <w:t xml:space="preserve"> </w:t>
            </w:r>
            <w:r w:rsidRPr="003B16D8">
              <w:t xml:space="preserve">A bleed could be considered major if red blood cell transfusion is either required or potentially indicated or if bleeding occurs in a critical anatomical site (e.g., intracranial or gastrointestinal </w:t>
            </w:r>
            <w:r w:rsidR="00DB4C9E" w:rsidRPr="003B16D8">
              <w:t>haemorrhage</w:t>
            </w:r>
            <w:r w:rsidRPr="003B16D8">
              <w:t>).</w:t>
            </w:r>
          </w:p>
        </w:tc>
      </w:tr>
    </w:tbl>
    <w:p w:rsidR="00B97AEB" w:rsidRPr="00C834F3" w:rsidRDefault="008825FD" w:rsidP="006B5E3F">
      <w:pPr>
        <w:pStyle w:val="Heading4"/>
        <w:numPr>
          <w:ilvl w:val="0"/>
          <w:numId w:val="0"/>
        </w:numPr>
        <w:spacing w:before="120" w:after="120"/>
        <w:ind w:left="907" w:hanging="907"/>
        <w:rPr>
          <w:bCs w:val="0"/>
          <w:noProof/>
          <w:szCs w:val="24"/>
          <w:u w:val="single"/>
        </w:rPr>
      </w:pPr>
      <w:r w:rsidRPr="00C834F3">
        <w:rPr>
          <w:bCs w:val="0"/>
          <w:noProof/>
          <w:szCs w:val="24"/>
          <w:u w:val="single"/>
        </w:rPr>
        <w:t>Prevention of bleedin</w:t>
      </w:r>
      <w:r w:rsidR="000703F3" w:rsidRPr="00C834F3">
        <w:rPr>
          <w:bCs w:val="0"/>
          <w:noProof/>
          <w:szCs w:val="24"/>
          <w:u w:val="single"/>
        </w:rPr>
        <w:t>g</w:t>
      </w:r>
      <w:r w:rsidR="00EB7763" w:rsidRPr="00C834F3">
        <w:rPr>
          <w:bCs w:val="0"/>
          <w:noProof/>
          <w:szCs w:val="24"/>
          <w:u w:val="single"/>
        </w:rPr>
        <w:t>/haemorrhage</w:t>
      </w:r>
      <w:r w:rsidRPr="00C834F3">
        <w:rPr>
          <w:bCs w:val="0"/>
          <w:noProof/>
          <w:szCs w:val="24"/>
          <w:u w:val="single"/>
        </w:rPr>
        <w:t xml:space="preserve"> and t</w:t>
      </w:r>
      <w:r w:rsidR="00B97AEB" w:rsidRPr="00C834F3">
        <w:rPr>
          <w:bCs w:val="0"/>
          <w:noProof/>
          <w:szCs w:val="24"/>
          <w:u w:val="single"/>
        </w:rPr>
        <w:t xml:space="preserve">reatment in case of </w:t>
      </w:r>
      <w:r w:rsidR="00C508F2" w:rsidRPr="00C834F3">
        <w:rPr>
          <w:bCs w:val="0"/>
          <w:noProof/>
          <w:szCs w:val="24"/>
          <w:u w:val="single"/>
        </w:rPr>
        <w:t xml:space="preserve">elective </w:t>
      </w:r>
      <w:r w:rsidR="00C834F3">
        <w:rPr>
          <w:bCs w:val="0"/>
          <w:noProof/>
          <w:szCs w:val="24"/>
          <w:u w:val="single"/>
        </w:rPr>
        <w:t>surgery</w:t>
      </w:r>
    </w:p>
    <w:p w:rsidR="008E5893" w:rsidRPr="00215893" w:rsidRDefault="008E5893" w:rsidP="006B5E3F">
      <w:pPr>
        <w:pStyle w:val="Heading5"/>
        <w:spacing w:before="120" w:after="120" w:line="240" w:lineRule="auto"/>
        <w:rPr>
          <w:bCs/>
          <w:i/>
          <w:sz w:val="24"/>
          <w:szCs w:val="24"/>
        </w:rPr>
      </w:pPr>
      <w:r>
        <w:rPr>
          <w:bCs/>
          <w:i/>
          <w:sz w:val="24"/>
          <w:szCs w:val="24"/>
        </w:rPr>
        <w:t>Prior to surgery</w:t>
      </w:r>
    </w:p>
    <w:p w:rsidR="008E5893" w:rsidRDefault="008E5893" w:rsidP="006B5E3F">
      <w:pPr>
        <w:pStyle w:val="BodytextAgency"/>
        <w:keepNext/>
        <w:keepLines/>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t>In patients with inadequate levels of FVIII, a dose of 40-60 IU/kg VEYVONDI should be adminsitered 12-24 hours prior to initiating elective surgery (pre-operative dose), to ensure pre</w:t>
      </w:r>
      <w:r>
        <w:rPr>
          <w:rFonts w:ascii="Times New Roman" w:hAnsi="Times New Roman" w:cs="Times New Roman"/>
          <w:noProof/>
          <w:sz w:val="24"/>
          <w:szCs w:val="24"/>
        </w:rPr>
        <w:noBreakHyphen/>
        <w:t>operative endogenous FVIII levels of at least 0.4 IU/mL for minor and at least 0.8 IU/mL for major surgery.</w:t>
      </w:r>
    </w:p>
    <w:p w:rsidR="008E5893" w:rsidRDefault="00C468EA" w:rsidP="007B162C">
      <w:pPr>
        <w:pStyle w:val="BodytextAgency"/>
        <w:spacing w:before="120" w:after="120" w:line="240" w:lineRule="auto"/>
        <w:rPr>
          <w:rFonts w:ascii="Times New Roman" w:hAnsi="Times New Roman" w:cs="Times New Roman"/>
          <w:noProof/>
          <w:sz w:val="24"/>
          <w:szCs w:val="24"/>
        </w:rPr>
      </w:pPr>
      <w:r w:rsidRPr="00C834F3">
        <w:rPr>
          <w:rFonts w:ascii="Times New Roman" w:hAnsi="Times New Roman" w:cs="Times New Roman"/>
          <w:noProof/>
          <w:sz w:val="24"/>
          <w:szCs w:val="24"/>
        </w:rPr>
        <w:t xml:space="preserve">For prevention of excessive bleeding </w:t>
      </w:r>
      <w:r w:rsidR="004335DA" w:rsidRPr="00C834F3">
        <w:rPr>
          <w:rFonts w:ascii="Times New Roman" w:hAnsi="Times New Roman" w:cs="Times New Roman"/>
          <w:noProof/>
          <w:sz w:val="24"/>
          <w:szCs w:val="24"/>
        </w:rPr>
        <w:t>in case of elective surgery</w:t>
      </w:r>
      <w:r w:rsidR="008E5893">
        <w:rPr>
          <w:rFonts w:ascii="Times New Roman" w:hAnsi="Times New Roman" w:cs="Times New Roman"/>
          <w:noProof/>
          <w:sz w:val="24"/>
          <w:szCs w:val="24"/>
        </w:rPr>
        <w:t>,</w:t>
      </w:r>
      <w:r w:rsidR="004335DA" w:rsidRPr="00C834F3">
        <w:rPr>
          <w:rFonts w:ascii="Times New Roman" w:hAnsi="Times New Roman" w:cs="Times New Roman"/>
          <w:noProof/>
          <w:sz w:val="24"/>
          <w:szCs w:val="24"/>
        </w:rPr>
        <w:t xml:space="preserve"> </w:t>
      </w:r>
      <w:r w:rsidRPr="00E54FE3">
        <w:rPr>
          <w:rFonts w:ascii="Times New Roman" w:hAnsi="Times New Roman" w:cs="Times New Roman"/>
          <w:noProof/>
          <w:sz w:val="24"/>
          <w:szCs w:val="24"/>
        </w:rPr>
        <w:t>the FVIII:C levels should be assessed within 3</w:t>
      </w:r>
      <w:r w:rsidR="00E04BE7" w:rsidRPr="00E54FE3">
        <w:rPr>
          <w:rFonts w:ascii="Times New Roman" w:hAnsi="Times New Roman" w:cs="Times New Roman"/>
          <w:noProof/>
          <w:sz w:val="24"/>
          <w:szCs w:val="24"/>
        </w:rPr>
        <w:t> hour</w:t>
      </w:r>
      <w:r w:rsidRPr="00E54FE3">
        <w:rPr>
          <w:rFonts w:ascii="Times New Roman" w:hAnsi="Times New Roman" w:cs="Times New Roman"/>
          <w:noProof/>
          <w:sz w:val="24"/>
          <w:szCs w:val="24"/>
        </w:rPr>
        <w:t>s prior to initiation of any surgical procedure.</w:t>
      </w:r>
      <w:r w:rsidRPr="00C834F3">
        <w:rPr>
          <w:rFonts w:ascii="Times New Roman" w:hAnsi="Times New Roman" w:cs="Times New Roman"/>
          <w:noProof/>
          <w:sz w:val="24"/>
          <w:szCs w:val="24"/>
        </w:rPr>
        <w:t xml:space="preserve"> </w:t>
      </w:r>
    </w:p>
    <w:p w:rsidR="008E5893" w:rsidRDefault="008E5893" w:rsidP="007B162C">
      <w:pPr>
        <w:pStyle w:val="BodytextAgency"/>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t>If the FVIII:C levels are at the recommended target level of:</w:t>
      </w:r>
    </w:p>
    <w:p w:rsidR="008E5893" w:rsidRDefault="008E5893" w:rsidP="007B162C">
      <w:pPr>
        <w:pStyle w:val="BodytextAgency"/>
        <w:numPr>
          <w:ilvl w:val="0"/>
          <w:numId w:val="11"/>
        </w:numPr>
        <w:spacing w:before="120" w:after="120" w:line="240" w:lineRule="auto"/>
        <w:ind w:left="714" w:hanging="357"/>
        <w:contextualSpacing/>
        <w:rPr>
          <w:rFonts w:ascii="Times New Roman" w:hAnsi="Times New Roman" w:cs="Times New Roman"/>
          <w:noProof/>
          <w:sz w:val="24"/>
          <w:szCs w:val="24"/>
        </w:rPr>
      </w:pPr>
      <w:r>
        <w:rPr>
          <w:rFonts w:ascii="Times New Roman" w:hAnsi="Times New Roman" w:cs="Times New Roman"/>
          <w:noProof/>
          <w:sz w:val="24"/>
          <w:szCs w:val="24"/>
        </w:rPr>
        <w:t>at least 0.4IU/mL for minor and oral surgery and</w:t>
      </w:r>
    </w:p>
    <w:p w:rsidR="008E5893" w:rsidRDefault="008E5893" w:rsidP="007B162C">
      <w:pPr>
        <w:pStyle w:val="BodytextAgency"/>
        <w:numPr>
          <w:ilvl w:val="0"/>
          <w:numId w:val="11"/>
        </w:numPr>
        <w:spacing w:before="120" w:after="120" w:line="240" w:lineRule="auto"/>
        <w:ind w:left="714" w:hanging="357"/>
        <w:contextualSpacing/>
        <w:rPr>
          <w:rFonts w:ascii="Times New Roman" w:hAnsi="Times New Roman" w:cs="Times New Roman"/>
          <w:noProof/>
          <w:sz w:val="24"/>
          <w:szCs w:val="24"/>
        </w:rPr>
      </w:pPr>
      <w:r>
        <w:rPr>
          <w:rFonts w:ascii="Times New Roman" w:hAnsi="Times New Roman" w:cs="Times New Roman"/>
          <w:noProof/>
          <w:sz w:val="24"/>
          <w:szCs w:val="24"/>
        </w:rPr>
        <w:t>at least 0.8 IU/mL for m</w:t>
      </w:r>
      <w:r w:rsidR="009F42FE">
        <w:rPr>
          <w:rFonts w:ascii="Times New Roman" w:hAnsi="Times New Roman" w:cs="Times New Roman"/>
          <w:noProof/>
          <w:sz w:val="24"/>
          <w:szCs w:val="24"/>
        </w:rPr>
        <w:t>a</w:t>
      </w:r>
      <w:r>
        <w:rPr>
          <w:rFonts w:ascii="Times New Roman" w:hAnsi="Times New Roman" w:cs="Times New Roman"/>
          <w:noProof/>
          <w:sz w:val="24"/>
          <w:szCs w:val="24"/>
        </w:rPr>
        <w:t>jor surgery,</w:t>
      </w:r>
    </w:p>
    <w:p w:rsidR="008E5893" w:rsidRDefault="00636934" w:rsidP="007B162C">
      <w:pPr>
        <w:pStyle w:val="BodytextAgency"/>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t>a</w:t>
      </w:r>
      <w:r w:rsidR="008E5893">
        <w:rPr>
          <w:rFonts w:ascii="Times New Roman" w:hAnsi="Times New Roman" w:cs="Times New Roman"/>
          <w:noProof/>
          <w:sz w:val="24"/>
          <w:szCs w:val="24"/>
        </w:rPr>
        <w:t xml:space="preserve"> dose of VEYVONDI alone should be administered within 1 hour prior to the procedure.</w:t>
      </w:r>
    </w:p>
    <w:p w:rsidR="008E5893" w:rsidRDefault="00636934" w:rsidP="007B162C">
      <w:pPr>
        <w:pStyle w:val="BodytextAgency"/>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t>If the FVIII:C levels are not at the recommended target levels, rFVIII should be administered in addition to</w:t>
      </w:r>
      <w:r w:rsidR="00F76C87">
        <w:rPr>
          <w:rFonts w:ascii="Times New Roman" w:hAnsi="Times New Roman" w:cs="Times New Roman"/>
          <w:noProof/>
          <w:sz w:val="24"/>
          <w:szCs w:val="24"/>
        </w:rPr>
        <w:t xml:space="preserve"> VEYVONDI</w:t>
      </w:r>
      <w:r>
        <w:rPr>
          <w:rFonts w:ascii="Times New Roman" w:hAnsi="Times New Roman" w:cs="Times New Roman"/>
          <w:noProof/>
          <w:sz w:val="24"/>
          <w:szCs w:val="24"/>
        </w:rPr>
        <w:t xml:space="preserve"> to raise VWF:RCo and FVIII:C, within 1 hour prior to the procedure.</w:t>
      </w:r>
    </w:p>
    <w:p w:rsidR="00636934" w:rsidRDefault="00636934" w:rsidP="007B162C">
      <w:pPr>
        <w:pStyle w:val="BodytextAgency"/>
        <w:spacing w:before="120" w:after="120" w:line="240" w:lineRule="auto"/>
        <w:rPr>
          <w:rFonts w:ascii="Times New Roman" w:hAnsi="Times New Roman" w:cs="Times New Roman"/>
          <w:noProof/>
          <w:sz w:val="24"/>
          <w:szCs w:val="24"/>
        </w:rPr>
      </w:pPr>
      <w:r w:rsidRPr="00C834F3">
        <w:rPr>
          <w:rFonts w:ascii="Times New Roman" w:hAnsi="Times New Roman" w:cs="Times New Roman"/>
          <w:noProof/>
          <w:sz w:val="24"/>
          <w:szCs w:val="24"/>
        </w:rPr>
        <w:t xml:space="preserve">Please refer to </w:t>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REF _Ref527025830 \h </w:instrText>
      </w:r>
      <w:r>
        <w:rPr>
          <w:rFonts w:ascii="Times New Roman" w:hAnsi="Times New Roman" w:cs="Times New Roman"/>
          <w:noProof/>
          <w:sz w:val="24"/>
          <w:szCs w:val="24"/>
        </w:rPr>
      </w:r>
      <w:r>
        <w:rPr>
          <w:rFonts w:ascii="Times New Roman" w:hAnsi="Times New Roman" w:cs="Times New Roman"/>
          <w:noProof/>
          <w:sz w:val="24"/>
          <w:szCs w:val="24"/>
        </w:rPr>
        <w:instrText xml:space="preserve"> \* MERGEFORMAT </w:instrText>
      </w:r>
      <w:r>
        <w:rPr>
          <w:rFonts w:ascii="Times New Roman" w:hAnsi="Times New Roman" w:cs="Times New Roman"/>
          <w:noProof/>
          <w:sz w:val="24"/>
          <w:szCs w:val="24"/>
        </w:rPr>
        <w:fldChar w:fldCharType="separate"/>
      </w:r>
      <w:r w:rsidRPr="00CE4F78">
        <w:rPr>
          <w:rFonts w:ascii="Times New Roman" w:hAnsi="Times New Roman" w:cs="Times New Roman"/>
          <w:noProof/>
          <w:sz w:val="24"/>
          <w:szCs w:val="24"/>
        </w:rPr>
        <w:t>Table 2</w:t>
      </w:r>
      <w:r>
        <w:rPr>
          <w:rFonts w:ascii="Times New Roman" w:hAnsi="Times New Roman" w:cs="Times New Roman"/>
          <w:noProof/>
          <w:sz w:val="24"/>
          <w:szCs w:val="24"/>
        </w:rPr>
        <w:fldChar w:fldCharType="end"/>
      </w:r>
      <w:r w:rsidRPr="00C834F3">
        <w:rPr>
          <w:rFonts w:ascii="Times New Roman" w:hAnsi="Times New Roman" w:cs="Times New Roman"/>
          <w:noProof/>
          <w:sz w:val="24"/>
          <w:szCs w:val="24"/>
        </w:rPr>
        <w:t xml:space="preserve"> for FVIII:C recommended target levels.</w:t>
      </w:r>
      <w:r>
        <w:rPr>
          <w:rFonts w:ascii="Times New Roman" w:hAnsi="Times New Roman" w:cs="Times New Roman"/>
          <w:noProof/>
          <w:sz w:val="24"/>
          <w:szCs w:val="24"/>
        </w:rPr>
        <w:t xml:space="preserve"> The dose depends on VWF and FVIII levels of the patient, the type and severity of the expected bleeding.</w:t>
      </w:r>
    </w:p>
    <w:p w:rsidR="00C834F3" w:rsidRPr="00FB2C85" w:rsidRDefault="00C834F3" w:rsidP="00CC35D7">
      <w:pPr>
        <w:pStyle w:val="TableTitle"/>
        <w:pageBreakBefore/>
        <w:spacing w:before="60" w:after="60"/>
        <w:rPr>
          <w:noProof/>
          <w:sz w:val="22"/>
          <w:szCs w:val="22"/>
        </w:rPr>
      </w:pPr>
      <w:bookmarkStart w:id="3" w:name="_Ref527025830"/>
      <w:r w:rsidRPr="00FB2C85">
        <w:rPr>
          <w:sz w:val="22"/>
          <w:szCs w:val="22"/>
        </w:rPr>
        <w:lastRenderedPageBreak/>
        <w:t xml:space="preserve">Table </w:t>
      </w:r>
      <w:r w:rsidRPr="00FB2C85">
        <w:rPr>
          <w:sz w:val="22"/>
          <w:szCs w:val="22"/>
        </w:rPr>
        <w:fldChar w:fldCharType="begin"/>
      </w:r>
      <w:r w:rsidRPr="00FB2C85">
        <w:rPr>
          <w:sz w:val="22"/>
          <w:szCs w:val="22"/>
        </w:rPr>
        <w:instrText xml:space="preserve"> SEQ Table \* ARABIC </w:instrText>
      </w:r>
      <w:r w:rsidRPr="00FB2C85">
        <w:rPr>
          <w:sz w:val="22"/>
          <w:szCs w:val="22"/>
        </w:rPr>
        <w:fldChar w:fldCharType="separate"/>
      </w:r>
      <w:r w:rsidRPr="00FB2C85">
        <w:rPr>
          <w:noProof/>
          <w:sz w:val="22"/>
          <w:szCs w:val="22"/>
        </w:rPr>
        <w:t>2</w:t>
      </w:r>
      <w:r w:rsidRPr="00FB2C85">
        <w:rPr>
          <w:sz w:val="22"/>
          <w:szCs w:val="22"/>
        </w:rPr>
        <w:fldChar w:fldCharType="end"/>
      </w:r>
      <w:bookmarkEnd w:id="3"/>
      <w:r w:rsidR="00C24444" w:rsidRPr="00FB2C85">
        <w:rPr>
          <w:sz w:val="22"/>
          <w:szCs w:val="22"/>
        </w:rPr>
        <w:br/>
      </w:r>
      <w:r w:rsidR="00636934">
        <w:rPr>
          <w:sz w:val="22"/>
          <w:szCs w:val="22"/>
        </w:rPr>
        <w:t>Recommended t</w:t>
      </w:r>
      <w:r w:rsidR="00CE4F78" w:rsidRPr="00FB2C85">
        <w:rPr>
          <w:sz w:val="22"/>
          <w:szCs w:val="22"/>
        </w:rPr>
        <w:t xml:space="preserve">arget </w:t>
      </w:r>
      <w:r w:rsidR="00636934">
        <w:rPr>
          <w:sz w:val="22"/>
          <w:szCs w:val="22"/>
        </w:rPr>
        <w:t>peak plasma l</w:t>
      </w:r>
      <w:r w:rsidR="00CE4F78" w:rsidRPr="00FB2C85">
        <w:rPr>
          <w:sz w:val="22"/>
          <w:szCs w:val="22"/>
        </w:rPr>
        <w:t xml:space="preserve">evels </w:t>
      </w:r>
      <w:r w:rsidR="00636934">
        <w:rPr>
          <w:sz w:val="22"/>
          <w:szCs w:val="22"/>
        </w:rPr>
        <w:t>of</w:t>
      </w:r>
      <w:r w:rsidR="00CE4F78" w:rsidRPr="00FB2C85">
        <w:rPr>
          <w:sz w:val="22"/>
          <w:szCs w:val="22"/>
        </w:rPr>
        <w:t xml:space="preserve"> </w:t>
      </w:r>
      <w:r w:rsidR="00636934" w:rsidRPr="00FB2C85">
        <w:rPr>
          <w:sz w:val="22"/>
          <w:szCs w:val="22"/>
        </w:rPr>
        <w:t>VWF:RCo and FVIII:C</w:t>
      </w:r>
      <w:r w:rsidR="00636934">
        <w:rPr>
          <w:sz w:val="22"/>
          <w:szCs w:val="22"/>
        </w:rPr>
        <w:t xml:space="preserve"> to be achieved </w:t>
      </w:r>
      <w:r w:rsidR="00636934">
        <w:rPr>
          <w:sz w:val="22"/>
          <w:szCs w:val="22"/>
        </w:rPr>
        <w:br/>
        <w:t>prior to surgery for the prevention of excessive bleeding during and after surgery</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36"/>
        <w:gridCol w:w="1800"/>
        <w:gridCol w:w="4586"/>
      </w:tblGrid>
      <w:tr w:rsidR="00715961" w:rsidRPr="0053665F" w:rsidTr="00C24444">
        <w:tc>
          <w:tcPr>
            <w:tcW w:w="1134" w:type="dxa"/>
            <w:shd w:val="clear" w:color="auto" w:fill="auto"/>
            <w:vAlign w:val="center"/>
          </w:tcPr>
          <w:p w:rsidR="00715961" w:rsidRPr="00CE4F78" w:rsidRDefault="00715961" w:rsidP="00056D51">
            <w:pPr>
              <w:pStyle w:val="TableColumnHeading"/>
              <w:spacing w:before="20" w:after="20"/>
              <w:rPr>
                <w:szCs w:val="20"/>
              </w:rPr>
            </w:pPr>
            <w:r w:rsidRPr="00CE4F78">
              <w:rPr>
                <w:szCs w:val="20"/>
              </w:rPr>
              <w:t xml:space="preserve">Type of </w:t>
            </w:r>
            <w:r w:rsidR="00636934">
              <w:rPr>
                <w:szCs w:val="20"/>
              </w:rPr>
              <w:t>s</w:t>
            </w:r>
            <w:r w:rsidRPr="00CE4F78">
              <w:rPr>
                <w:szCs w:val="20"/>
              </w:rPr>
              <w:t>urgery</w:t>
            </w:r>
          </w:p>
        </w:tc>
        <w:tc>
          <w:tcPr>
            <w:tcW w:w="1836" w:type="dxa"/>
            <w:shd w:val="clear" w:color="auto" w:fill="auto"/>
            <w:vAlign w:val="center"/>
          </w:tcPr>
          <w:p w:rsidR="00715961" w:rsidRPr="00CE4F78" w:rsidRDefault="00715961" w:rsidP="00056D51">
            <w:pPr>
              <w:pStyle w:val="TableColumnHeading"/>
              <w:spacing w:before="20" w:after="20"/>
              <w:rPr>
                <w:szCs w:val="20"/>
              </w:rPr>
            </w:pPr>
            <w:r w:rsidRPr="00CE4F78">
              <w:rPr>
                <w:szCs w:val="20"/>
              </w:rPr>
              <w:t xml:space="preserve">VWF:RCo </w:t>
            </w:r>
            <w:r w:rsidR="00636934">
              <w:rPr>
                <w:szCs w:val="20"/>
              </w:rPr>
              <w:br/>
              <w:t>t</w:t>
            </w:r>
            <w:r w:rsidRPr="00CE4F78">
              <w:rPr>
                <w:szCs w:val="20"/>
              </w:rPr>
              <w:t xml:space="preserve">arget </w:t>
            </w:r>
            <w:r w:rsidR="00636934">
              <w:rPr>
                <w:szCs w:val="20"/>
              </w:rPr>
              <w:t>p</w:t>
            </w:r>
            <w:r w:rsidRPr="00CE4F78">
              <w:rPr>
                <w:szCs w:val="20"/>
              </w:rPr>
              <w:t xml:space="preserve">eak </w:t>
            </w:r>
            <w:r w:rsidR="00636934">
              <w:rPr>
                <w:szCs w:val="20"/>
              </w:rPr>
              <w:t>p</w:t>
            </w:r>
            <w:r w:rsidRPr="00CE4F78">
              <w:rPr>
                <w:szCs w:val="20"/>
              </w:rPr>
              <w:t xml:space="preserve">lasma </w:t>
            </w:r>
            <w:r w:rsidR="00636934">
              <w:rPr>
                <w:szCs w:val="20"/>
              </w:rPr>
              <w:t>l</w:t>
            </w:r>
            <w:r w:rsidRPr="00CE4F78">
              <w:rPr>
                <w:szCs w:val="20"/>
              </w:rPr>
              <w:t>evel</w:t>
            </w:r>
          </w:p>
        </w:tc>
        <w:tc>
          <w:tcPr>
            <w:tcW w:w="1800" w:type="dxa"/>
            <w:shd w:val="clear" w:color="auto" w:fill="auto"/>
            <w:vAlign w:val="center"/>
          </w:tcPr>
          <w:p w:rsidR="00715961" w:rsidRPr="00CE4F78" w:rsidRDefault="00715961" w:rsidP="00056D51">
            <w:pPr>
              <w:pStyle w:val="TableColumnHeading"/>
              <w:spacing w:before="20" w:after="20"/>
              <w:rPr>
                <w:szCs w:val="20"/>
              </w:rPr>
            </w:pPr>
            <w:r w:rsidRPr="00CE4F78">
              <w:rPr>
                <w:szCs w:val="20"/>
              </w:rPr>
              <w:t>F</w:t>
            </w:r>
            <w:r w:rsidR="00C24444">
              <w:rPr>
                <w:szCs w:val="20"/>
              </w:rPr>
              <w:t xml:space="preserve">VIII:C </w:t>
            </w:r>
            <w:r w:rsidR="00636934">
              <w:rPr>
                <w:szCs w:val="20"/>
              </w:rPr>
              <w:br/>
              <w:t>t</w:t>
            </w:r>
            <w:r w:rsidR="00C24444">
              <w:rPr>
                <w:szCs w:val="20"/>
              </w:rPr>
              <w:t xml:space="preserve">arget </w:t>
            </w:r>
            <w:r w:rsidR="00636934">
              <w:rPr>
                <w:szCs w:val="20"/>
              </w:rPr>
              <w:t>p</w:t>
            </w:r>
            <w:r w:rsidR="00C24444">
              <w:rPr>
                <w:szCs w:val="20"/>
              </w:rPr>
              <w:t xml:space="preserve">eak </w:t>
            </w:r>
            <w:r w:rsidR="00636934">
              <w:rPr>
                <w:szCs w:val="20"/>
              </w:rPr>
              <w:t>p</w:t>
            </w:r>
            <w:r w:rsidR="00C24444">
              <w:rPr>
                <w:szCs w:val="20"/>
              </w:rPr>
              <w:t xml:space="preserve">lasma </w:t>
            </w:r>
            <w:r w:rsidR="00636934">
              <w:rPr>
                <w:szCs w:val="20"/>
              </w:rPr>
              <w:t>l</w:t>
            </w:r>
            <w:r w:rsidR="00C24444">
              <w:rPr>
                <w:szCs w:val="20"/>
              </w:rPr>
              <w:t>evel</w:t>
            </w:r>
            <w:r w:rsidRPr="00C24444">
              <w:rPr>
                <w:b w:val="0"/>
                <w:szCs w:val="20"/>
                <w:vertAlign w:val="superscript"/>
              </w:rPr>
              <w:t>a</w:t>
            </w:r>
          </w:p>
        </w:tc>
        <w:tc>
          <w:tcPr>
            <w:tcW w:w="4586" w:type="dxa"/>
            <w:shd w:val="clear" w:color="auto" w:fill="auto"/>
            <w:vAlign w:val="center"/>
          </w:tcPr>
          <w:p w:rsidR="00715961" w:rsidRPr="00CE4F78" w:rsidRDefault="002F4C2E" w:rsidP="00056D51">
            <w:pPr>
              <w:pStyle w:val="TableColumnHeading"/>
              <w:spacing w:before="20" w:after="20"/>
              <w:rPr>
                <w:szCs w:val="20"/>
              </w:rPr>
            </w:pPr>
            <w:r w:rsidRPr="00CE4F78">
              <w:rPr>
                <w:szCs w:val="20"/>
              </w:rPr>
              <w:t xml:space="preserve">Calculation of rVWF dose </w:t>
            </w:r>
            <w:r w:rsidR="00CE4F78">
              <w:rPr>
                <w:szCs w:val="20"/>
              </w:rPr>
              <w:br/>
            </w:r>
            <w:r w:rsidRPr="00CE4F78">
              <w:rPr>
                <w:szCs w:val="20"/>
              </w:rPr>
              <w:t>(to be administered within 1</w:t>
            </w:r>
            <w:r w:rsidR="00E04BE7" w:rsidRPr="00CE4F78">
              <w:rPr>
                <w:szCs w:val="20"/>
              </w:rPr>
              <w:t> hour</w:t>
            </w:r>
            <w:r w:rsidRPr="00CE4F78">
              <w:rPr>
                <w:szCs w:val="20"/>
              </w:rPr>
              <w:t xml:space="preserve"> prior to surgery) (IU VWF:RCo required)</w:t>
            </w:r>
          </w:p>
        </w:tc>
      </w:tr>
      <w:tr w:rsidR="00715961" w:rsidRPr="0053665F" w:rsidTr="00C24444">
        <w:tc>
          <w:tcPr>
            <w:tcW w:w="1134" w:type="dxa"/>
            <w:shd w:val="clear" w:color="auto" w:fill="auto"/>
            <w:vAlign w:val="center"/>
          </w:tcPr>
          <w:p w:rsidR="00715961" w:rsidRPr="00CE4F78" w:rsidRDefault="00715961" w:rsidP="00056D51">
            <w:pPr>
              <w:pStyle w:val="TableText"/>
              <w:spacing w:before="20" w:after="20"/>
              <w:rPr>
                <w:b/>
                <w:szCs w:val="20"/>
              </w:rPr>
            </w:pPr>
            <w:r w:rsidRPr="00CE4F78">
              <w:rPr>
                <w:b/>
                <w:szCs w:val="20"/>
              </w:rPr>
              <w:t>Minor</w:t>
            </w:r>
          </w:p>
        </w:tc>
        <w:tc>
          <w:tcPr>
            <w:tcW w:w="1836" w:type="dxa"/>
            <w:shd w:val="clear" w:color="auto" w:fill="auto"/>
            <w:vAlign w:val="center"/>
          </w:tcPr>
          <w:p w:rsidR="00715961" w:rsidRPr="00CE4F78" w:rsidRDefault="001B1748" w:rsidP="00056D51">
            <w:pPr>
              <w:pStyle w:val="TableText"/>
              <w:spacing w:before="20" w:after="20"/>
              <w:jc w:val="center"/>
              <w:rPr>
                <w:szCs w:val="20"/>
              </w:rPr>
            </w:pPr>
            <w:r w:rsidRPr="00CE4F78">
              <w:rPr>
                <w:szCs w:val="20"/>
              </w:rPr>
              <w:t>0.5</w:t>
            </w:r>
            <w:r w:rsidR="006F56D1" w:rsidRPr="00CE4F78">
              <w:rPr>
                <w:szCs w:val="20"/>
              </w:rPr>
              <w:t>0</w:t>
            </w:r>
            <w:r w:rsidR="007C2F42" w:rsidRPr="00CE4F78">
              <w:rPr>
                <w:szCs w:val="20"/>
              </w:rPr>
              <w:t xml:space="preserve"> </w:t>
            </w:r>
            <w:r w:rsidRPr="00CE4F78">
              <w:rPr>
                <w:szCs w:val="20"/>
              </w:rPr>
              <w:t>–</w:t>
            </w:r>
            <w:r w:rsidR="007C2F42" w:rsidRPr="00CE4F78">
              <w:rPr>
                <w:szCs w:val="20"/>
              </w:rPr>
              <w:t xml:space="preserve"> </w:t>
            </w:r>
            <w:r w:rsidRPr="00CE4F78">
              <w:rPr>
                <w:szCs w:val="20"/>
              </w:rPr>
              <w:t>0.</w:t>
            </w:r>
            <w:r w:rsidR="00715961" w:rsidRPr="00CE4F78">
              <w:rPr>
                <w:szCs w:val="20"/>
              </w:rPr>
              <w:t>60</w:t>
            </w:r>
            <w:r w:rsidR="00E04BE7" w:rsidRPr="00CE4F78">
              <w:rPr>
                <w:szCs w:val="20"/>
              </w:rPr>
              <w:t> IU</w:t>
            </w:r>
            <w:r w:rsidR="00715961" w:rsidRPr="00CE4F78">
              <w:rPr>
                <w:szCs w:val="20"/>
              </w:rPr>
              <w:t>/</w:t>
            </w:r>
            <w:r w:rsidR="00391F9A" w:rsidRPr="00CE4F78">
              <w:rPr>
                <w:szCs w:val="20"/>
              </w:rPr>
              <w:t>mL</w:t>
            </w:r>
          </w:p>
        </w:tc>
        <w:tc>
          <w:tcPr>
            <w:tcW w:w="1800" w:type="dxa"/>
            <w:shd w:val="clear" w:color="auto" w:fill="auto"/>
            <w:vAlign w:val="center"/>
          </w:tcPr>
          <w:p w:rsidR="00715961" w:rsidRPr="00CE4F78" w:rsidRDefault="001B1748" w:rsidP="00056D51">
            <w:pPr>
              <w:pStyle w:val="TableText"/>
              <w:spacing w:before="20" w:after="20"/>
              <w:jc w:val="center"/>
              <w:rPr>
                <w:szCs w:val="20"/>
              </w:rPr>
            </w:pPr>
            <w:r w:rsidRPr="00CE4F78">
              <w:rPr>
                <w:szCs w:val="20"/>
              </w:rPr>
              <w:t>0.</w:t>
            </w:r>
            <w:r w:rsidR="00715961" w:rsidRPr="00CE4F78">
              <w:rPr>
                <w:szCs w:val="20"/>
              </w:rPr>
              <w:t xml:space="preserve">40 </w:t>
            </w:r>
            <w:r w:rsidRPr="00CE4F78">
              <w:rPr>
                <w:szCs w:val="20"/>
              </w:rPr>
              <w:t>–</w:t>
            </w:r>
            <w:r w:rsidR="00715961" w:rsidRPr="00CE4F78">
              <w:rPr>
                <w:szCs w:val="20"/>
              </w:rPr>
              <w:t xml:space="preserve"> </w:t>
            </w:r>
            <w:r w:rsidRPr="00CE4F78">
              <w:rPr>
                <w:szCs w:val="20"/>
              </w:rPr>
              <w:t>0.</w:t>
            </w:r>
            <w:r w:rsidR="00715961" w:rsidRPr="00CE4F78">
              <w:rPr>
                <w:szCs w:val="20"/>
              </w:rPr>
              <w:t>50</w:t>
            </w:r>
            <w:r w:rsidR="00E04BE7" w:rsidRPr="00CE4F78">
              <w:rPr>
                <w:szCs w:val="20"/>
              </w:rPr>
              <w:t> IU</w:t>
            </w:r>
            <w:r w:rsidR="00715961" w:rsidRPr="00CE4F78">
              <w:rPr>
                <w:szCs w:val="20"/>
              </w:rPr>
              <w:t>/</w:t>
            </w:r>
            <w:r w:rsidR="00391F9A" w:rsidRPr="00CE4F78">
              <w:rPr>
                <w:szCs w:val="20"/>
              </w:rPr>
              <w:t>mL</w:t>
            </w:r>
          </w:p>
        </w:tc>
        <w:tc>
          <w:tcPr>
            <w:tcW w:w="4586" w:type="dxa"/>
            <w:shd w:val="clear" w:color="auto" w:fill="auto"/>
            <w:vAlign w:val="center"/>
          </w:tcPr>
          <w:p w:rsidR="00715961" w:rsidRPr="00CE4F78" w:rsidRDefault="00715961" w:rsidP="00056D51">
            <w:pPr>
              <w:pStyle w:val="TableText"/>
              <w:spacing w:before="20" w:after="20"/>
              <w:jc w:val="center"/>
              <w:rPr>
                <w:szCs w:val="20"/>
              </w:rPr>
            </w:pPr>
            <w:r w:rsidRPr="00CE4F78">
              <w:rPr>
                <w:szCs w:val="20"/>
              </w:rPr>
              <w:t>∆</w:t>
            </w:r>
            <w:r w:rsidRPr="00865E6E">
              <w:rPr>
                <w:szCs w:val="20"/>
                <w:vertAlign w:val="superscript"/>
              </w:rPr>
              <w:t>b</w:t>
            </w:r>
            <w:r w:rsidR="00865E6E">
              <w:rPr>
                <w:szCs w:val="20"/>
              </w:rPr>
              <w:t xml:space="preserve"> VWF:RCo x BW</w:t>
            </w:r>
            <w:r w:rsidRPr="00CE4F78">
              <w:rPr>
                <w:szCs w:val="20"/>
              </w:rPr>
              <w:t>(kg)/IR</w:t>
            </w:r>
            <w:r w:rsidRPr="00865E6E">
              <w:rPr>
                <w:szCs w:val="20"/>
                <w:vertAlign w:val="superscript"/>
              </w:rPr>
              <w:t>c</w:t>
            </w:r>
          </w:p>
        </w:tc>
      </w:tr>
      <w:tr w:rsidR="00715961" w:rsidRPr="0053665F" w:rsidTr="00C24444">
        <w:tc>
          <w:tcPr>
            <w:tcW w:w="1134" w:type="dxa"/>
            <w:tcBorders>
              <w:bottom w:val="single" w:sz="4" w:space="0" w:color="auto"/>
            </w:tcBorders>
            <w:shd w:val="clear" w:color="auto" w:fill="auto"/>
            <w:vAlign w:val="center"/>
          </w:tcPr>
          <w:p w:rsidR="00715961" w:rsidRPr="00CE4F78" w:rsidRDefault="00715961" w:rsidP="00056D51">
            <w:pPr>
              <w:pStyle w:val="TableText"/>
              <w:spacing w:before="20" w:after="20"/>
              <w:rPr>
                <w:b/>
                <w:szCs w:val="20"/>
              </w:rPr>
            </w:pPr>
            <w:r w:rsidRPr="00CE4F78">
              <w:rPr>
                <w:b/>
                <w:szCs w:val="20"/>
              </w:rPr>
              <w:t>Major</w:t>
            </w:r>
          </w:p>
        </w:tc>
        <w:tc>
          <w:tcPr>
            <w:tcW w:w="1836" w:type="dxa"/>
            <w:tcBorders>
              <w:bottom w:val="single" w:sz="4" w:space="0" w:color="auto"/>
            </w:tcBorders>
            <w:shd w:val="clear" w:color="auto" w:fill="auto"/>
            <w:vAlign w:val="center"/>
          </w:tcPr>
          <w:p w:rsidR="00715961" w:rsidRPr="00CE4F78" w:rsidRDefault="00715961" w:rsidP="00056D51">
            <w:pPr>
              <w:pStyle w:val="TableText"/>
              <w:spacing w:before="20" w:after="20"/>
              <w:jc w:val="center"/>
              <w:rPr>
                <w:szCs w:val="20"/>
              </w:rPr>
            </w:pPr>
            <w:r w:rsidRPr="00CE4F78">
              <w:rPr>
                <w:szCs w:val="20"/>
              </w:rPr>
              <w:t>1</w:t>
            </w:r>
            <w:r w:rsidR="00E04BE7" w:rsidRPr="00CE4F78">
              <w:rPr>
                <w:szCs w:val="20"/>
              </w:rPr>
              <w:t> IU</w:t>
            </w:r>
            <w:r w:rsidRPr="00CE4F78">
              <w:rPr>
                <w:szCs w:val="20"/>
              </w:rPr>
              <w:t>/</w:t>
            </w:r>
            <w:r w:rsidR="00391F9A" w:rsidRPr="00CE4F78">
              <w:rPr>
                <w:szCs w:val="20"/>
              </w:rPr>
              <w:t>mL</w:t>
            </w:r>
          </w:p>
        </w:tc>
        <w:tc>
          <w:tcPr>
            <w:tcW w:w="1800" w:type="dxa"/>
            <w:tcBorders>
              <w:bottom w:val="single" w:sz="4" w:space="0" w:color="auto"/>
            </w:tcBorders>
            <w:shd w:val="clear" w:color="auto" w:fill="auto"/>
            <w:vAlign w:val="center"/>
          </w:tcPr>
          <w:p w:rsidR="00715961" w:rsidRPr="00CE4F78" w:rsidRDefault="001B1748" w:rsidP="00056D51">
            <w:pPr>
              <w:pStyle w:val="TableText"/>
              <w:spacing w:before="20" w:after="20"/>
              <w:jc w:val="center"/>
              <w:rPr>
                <w:szCs w:val="20"/>
              </w:rPr>
            </w:pPr>
            <w:r w:rsidRPr="00CE4F78">
              <w:rPr>
                <w:szCs w:val="20"/>
              </w:rPr>
              <w:t>0.</w:t>
            </w:r>
            <w:r w:rsidR="00715961" w:rsidRPr="00CE4F78">
              <w:rPr>
                <w:szCs w:val="20"/>
              </w:rPr>
              <w:t xml:space="preserve">80 </w:t>
            </w:r>
            <w:r w:rsidR="00374118" w:rsidRPr="00CE4F78">
              <w:rPr>
                <w:szCs w:val="20"/>
              </w:rPr>
              <w:t>–</w:t>
            </w:r>
            <w:r w:rsidR="00715961" w:rsidRPr="00CE4F78">
              <w:rPr>
                <w:szCs w:val="20"/>
              </w:rPr>
              <w:t xml:space="preserve"> 1</w:t>
            </w:r>
            <w:r w:rsidR="00E04BE7" w:rsidRPr="00CE4F78">
              <w:rPr>
                <w:szCs w:val="20"/>
              </w:rPr>
              <w:t> IU</w:t>
            </w:r>
            <w:r w:rsidR="00715961" w:rsidRPr="00CE4F78">
              <w:rPr>
                <w:szCs w:val="20"/>
              </w:rPr>
              <w:t>/</w:t>
            </w:r>
            <w:r w:rsidR="00391F9A" w:rsidRPr="00CE4F78">
              <w:rPr>
                <w:szCs w:val="20"/>
              </w:rPr>
              <w:t>mL</w:t>
            </w:r>
          </w:p>
        </w:tc>
        <w:tc>
          <w:tcPr>
            <w:tcW w:w="4586" w:type="dxa"/>
            <w:tcBorders>
              <w:bottom w:val="single" w:sz="4" w:space="0" w:color="auto"/>
            </w:tcBorders>
            <w:shd w:val="clear" w:color="auto" w:fill="auto"/>
            <w:vAlign w:val="center"/>
          </w:tcPr>
          <w:p w:rsidR="00715961" w:rsidRPr="00CE4F78" w:rsidRDefault="00865E6E" w:rsidP="00056D51">
            <w:pPr>
              <w:pStyle w:val="TableText"/>
              <w:spacing w:before="20" w:after="20"/>
              <w:jc w:val="center"/>
              <w:rPr>
                <w:szCs w:val="20"/>
              </w:rPr>
            </w:pPr>
            <w:r w:rsidRPr="00CE4F78">
              <w:rPr>
                <w:szCs w:val="20"/>
              </w:rPr>
              <w:t>∆</w:t>
            </w:r>
            <w:r w:rsidRPr="00865E6E">
              <w:rPr>
                <w:szCs w:val="20"/>
                <w:vertAlign w:val="superscript"/>
              </w:rPr>
              <w:t>b</w:t>
            </w:r>
            <w:r>
              <w:rPr>
                <w:szCs w:val="20"/>
              </w:rPr>
              <w:t xml:space="preserve"> VWF:RCo x BW</w:t>
            </w:r>
            <w:r w:rsidRPr="00CE4F78">
              <w:rPr>
                <w:szCs w:val="20"/>
              </w:rPr>
              <w:t>(kg)/IR</w:t>
            </w:r>
            <w:r w:rsidRPr="00865E6E">
              <w:rPr>
                <w:szCs w:val="20"/>
                <w:vertAlign w:val="superscript"/>
              </w:rPr>
              <w:t>c</w:t>
            </w:r>
          </w:p>
        </w:tc>
      </w:tr>
      <w:tr w:rsidR="002032CB" w:rsidRPr="0053665F" w:rsidTr="00C24444">
        <w:trPr>
          <w:trHeight w:val="1481"/>
        </w:trPr>
        <w:tc>
          <w:tcPr>
            <w:tcW w:w="9356" w:type="dxa"/>
            <w:gridSpan w:val="4"/>
            <w:tcBorders>
              <w:left w:val="nil"/>
              <w:bottom w:val="nil"/>
              <w:right w:val="nil"/>
            </w:tcBorders>
            <w:shd w:val="clear" w:color="auto" w:fill="auto"/>
          </w:tcPr>
          <w:p w:rsidR="002032CB" w:rsidRDefault="002032CB" w:rsidP="00056D51">
            <w:pPr>
              <w:pStyle w:val="TableFootnote"/>
              <w:tabs>
                <w:tab w:val="clear" w:pos="216"/>
                <w:tab w:val="left" w:pos="57"/>
              </w:tabs>
              <w:spacing w:before="20" w:after="20"/>
              <w:ind w:left="113" w:hanging="113"/>
              <w:contextualSpacing/>
            </w:pPr>
            <w:r w:rsidRPr="002032CB">
              <w:rPr>
                <w:vertAlign w:val="superscript"/>
              </w:rPr>
              <w:t>a</w:t>
            </w:r>
            <w:r w:rsidRPr="002032CB">
              <w:t xml:space="preserve"> Additional rFVIII may be required to attain the recommended FVIII:C target peak plasma levels. Dosing guidance should be done based on the IR.</w:t>
            </w:r>
          </w:p>
          <w:p w:rsidR="002032CB" w:rsidRPr="002032CB" w:rsidRDefault="002032CB" w:rsidP="00056D51">
            <w:pPr>
              <w:pStyle w:val="TableFootnote"/>
              <w:tabs>
                <w:tab w:val="clear" w:pos="216"/>
                <w:tab w:val="left" w:pos="57"/>
              </w:tabs>
              <w:spacing w:before="20" w:after="20"/>
              <w:ind w:left="113" w:hanging="113"/>
              <w:contextualSpacing/>
            </w:pPr>
            <w:r w:rsidRPr="002032CB">
              <w:rPr>
                <w:vertAlign w:val="superscript"/>
              </w:rPr>
              <w:t>b</w:t>
            </w:r>
            <w:r w:rsidRPr="002032CB">
              <w:t xml:space="preserve"> ∆ = Target peak plasma VWF:RCo – baseline plasma VWF:RCo</w:t>
            </w:r>
          </w:p>
          <w:p w:rsidR="002032CB" w:rsidRPr="002032CB" w:rsidRDefault="002032CB" w:rsidP="00056D51">
            <w:pPr>
              <w:pStyle w:val="TableFootnote"/>
              <w:tabs>
                <w:tab w:val="left" w:pos="57"/>
              </w:tabs>
              <w:spacing w:before="20" w:after="20"/>
              <w:ind w:left="113" w:hanging="113"/>
              <w:contextualSpacing/>
            </w:pPr>
            <w:r w:rsidRPr="002032CB">
              <w:rPr>
                <w:vertAlign w:val="superscript"/>
              </w:rPr>
              <w:t>c</w:t>
            </w:r>
            <w:r>
              <w:t xml:space="preserve"> </w:t>
            </w:r>
            <w:r w:rsidRPr="0053665F">
              <w:t>IR = Incremental Recovery as measured in the subject. If the IR is not available, assume an IR of 0.2 IU/mL per IU/kg.</w:t>
            </w:r>
          </w:p>
        </w:tc>
      </w:tr>
    </w:tbl>
    <w:p w:rsidR="00640FE4" w:rsidRDefault="00622ADF" w:rsidP="007B162C">
      <w:pPr>
        <w:pStyle w:val="Heading5"/>
        <w:spacing w:before="120" w:after="120" w:line="240" w:lineRule="auto"/>
        <w:rPr>
          <w:bCs/>
          <w:i/>
          <w:sz w:val="24"/>
          <w:szCs w:val="24"/>
        </w:rPr>
      </w:pPr>
      <w:r>
        <w:rPr>
          <w:bCs/>
          <w:i/>
          <w:sz w:val="24"/>
          <w:szCs w:val="24"/>
        </w:rPr>
        <w:t xml:space="preserve">During and after </w:t>
      </w:r>
      <w:r w:rsidR="00640FE4">
        <w:rPr>
          <w:bCs/>
          <w:i/>
          <w:sz w:val="24"/>
          <w:szCs w:val="24"/>
        </w:rPr>
        <w:t>surgery</w:t>
      </w:r>
    </w:p>
    <w:p w:rsidR="00640FE4" w:rsidRDefault="00640FE4" w:rsidP="007B162C">
      <w:pPr>
        <w:pStyle w:val="BodytextAgency"/>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After the initiation of the surgical procedure, the VWF:RCo and FVIII:C plasma levels should be </w:t>
      </w:r>
      <w:r w:rsidRPr="00640FE4">
        <w:rPr>
          <w:rFonts w:ascii="Times New Roman" w:hAnsi="Times New Roman" w:cs="Times New Roman"/>
          <w:noProof/>
          <w:sz w:val="24"/>
          <w:szCs w:val="24"/>
        </w:rPr>
        <w:t>monitored and the intra-and post-operative substitution regimen should be individualised according to the PK results, intensity and duration of the haemostatic challenge, and the institution’s standard of care.</w:t>
      </w:r>
      <w:r>
        <w:rPr>
          <w:rFonts w:ascii="Times New Roman" w:hAnsi="Times New Roman" w:cs="Times New Roman"/>
          <w:noProof/>
          <w:sz w:val="24"/>
          <w:szCs w:val="24"/>
        </w:rPr>
        <w:t xml:space="preserve"> </w:t>
      </w:r>
      <w:r w:rsidRPr="00640FE4">
        <w:rPr>
          <w:rFonts w:ascii="Times New Roman" w:hAnsi="Times New Roman" w:cs="Times New Roman"/>
          <w:noProof/>
          <w:sz w:val="24"/>
          <w:szCs w:val="24"/>
        </w:rPr>
        <w:t>In general, the frequency of VEYVONDI</w:t>
      </w:r>
      <w:r>
        <w:rPr>
          <w:rFonts w:ascii="Times New Roman" w:hAnsi="Times New Roman" w:cs="Times New Roman"/>
          <w:noProof/>
          <w:sz w:val="24"/>
          <w:szCs w:val="24"/>
        </w:rPr>
        <w:t xml:space="preserve"> </w:t>
      </w:r>
      <w:r w:rsidRPr="00640FE4">
        <w:rPr>
          <w:rFonts w:ascii="Times New Roman" w:hAnsi="Times New Roman" w:cs="Times New Roman"/>
          <w:noProof/>
          <w:sz w:val="24"/>
          <w:szCs w:val="24"/>
        </w:rPr>
        <w:t>dosing for post</w:t>
      </w:r>
      <w:r>
        <w:rPr>
          <w:rFonts w:ascii="Times New Roman" w:hAnsi="Times New Roman" w:cs="Times New Roman"/>
          <w:noProof/>
          <w:sz w:val="24"/>
          <w:szCs w:val="24"/>
        </w:rPr>
        <w:noBreakHyphen/>
      </w:r>
      <w:r w:rsidRPr="00640FE4">
        <w:rPr>
          <w:rFonts w:ascii="Times New Roman" w:hAnsi="Times New Roman" w:cs="Times New Roman"/>
          <w:noProof/>
          <w:sz w:val="24"/>
          <w:szCs w:val="24"/>
        </w:rPr>
        <w:t>operative substitution should range from</w:t>
      </w:r>
      <w:r w:rsidR="00F76C87">
        <w:rPr>
          <w:rFonts w:ascii="Times New Roman" w:hAnsi="Times New Roman" w:cs="Times New Roman"/>
          <w:noProof/>
          <w:sz w:val="24"/>
          <w:szCs w:val="24"/>
        </w:rPr>
        <w:t xml:space="preserve"> </w:t>
      </w:r>
      <w:r w:rsidRPr="00640FE4">
        <w:rPr>
          <w:rFonts w:ascii="Times New Roman" w:hAnsi="Times New Roman" w:cs="Times New Roman"/>
          <w:noProof/>
          <w:sz w:val="24"/>
          <w:szCs w:val="24"/>
        </w:rPr>
        <w:t>twice a day to every 48</w:t>
      </w:r>
      <w:r>
        <w:rPr>
          <w:rFonts w:ascii="Times New Roman" w:hAnsi="Times New Roman" w:cs="Times New Roman"/>
          <w:noProof/>
          <w:sz w:val="24"/>
          <w:szCs w:val="24"/>
        </w:rPr>
        <w:t xml:space="preserve"> hours. </w:t>
      </w:r>
    </w:p>
    <w:p w:rsidR="00640FE4" w:rsidRPr="00640FE4" w:rsidRDefault="00640FE4" w:rsidP="007B162C">
      <w:pPr>
        <w:pStyle w:val="BodytextAgency"/>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t>P</w:t>
      </w:r>
      <w:r w:rsidRPr="00640FE4">
        <w:rPr>
          <w:rFonts w:ascii="Times New Roman" w:hAnsi="Times New Roman" w:cs="Times New Roman"/>
          <w:noProof/>
          <w:sz w:val="24"/>
          <w:szCs w:val="24"/>
        </w:rPr>
        <w:t>lease</w:t>
      </w:r>
      <w:r>
        <w:rPr>
          <w:rFonts w:ascii="Times New Roman" w:hAnsi="Times New Roman" w:cs="Times New Roman"/>
          <w:noProof/>
          <w:sz w:val="24"/>
          <w:szCs w:val="24"/>
        </w:rPr>
        <w:t xml:space="preserve"> </w:t>
      </w:r>
      <w:r w:rsidRPr="00640FE4">
        <w:rPr>
          <w:rFonts w:ascii="Times New Roman" w:hAnsi="Times New Roman" w:cs="Times New Roman"/>
          <w:noProof/>
          <w:sz w:val="24"/>
          <w:szCs w:val="24"/>
        </w:rPr>
        <w:t>refer</w:t>
      </w:r>
      <w:r>
        <w:rPr>
          <w:rFonts w:ascii="Times New Roman" w:hAnsi="Times New Roman" w:cs="Times New Roman"/>
          <w:noProof/>
          <w:sz w:val="24"/>
          <w:szCs w:val="24"/>
        </w:rPr>
        <w:t xml:space="preserve"> </w:t>
      </w:r>
      <w:r w:rsidRPr="00640FE4">
        <w:rPr>
          <w:rFonts w:ascii="Times New Roman" w:hAnsi="Times New Roman" w:cs="Times New Roman"/>
          <w:noProof/>
          <w:sz w:val="24"/>
          <w:szCs w:val="24"/>
        </w:rPr>
        <w:t>to</w:t>
      </w:r>
      <w:r>
        <w:rPr>
          <w:rFonts w:ascii="Times New Roman" w:hAnsi="Times New Roman" w:cs="Times New Roman"/>
          <w:noProof/>
          <w:sz w:val="24"/>
          <w:szCs w:val="24"/>
        </w:rPr>
        <w:t xml:space="preserve"> </w:t>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REF _Ref527031054 \h </w:instrText>
      </w:r>
      <w:r>
        <w:rPr>
          <w:rFonts w:ascii="Times New Roman" w:hAnsi="Times New Roman" w:cs="Times New Roman"/>
          <w:noProof/>
          <w:sz w:val="24"/>
          <w:szCs w:val="24"/>
        </w:rPr>
      </w:r>
      <w:r>
        <w:rPr>
          <w:rFonts w:ascii="Times New Roman" w:hAnsi="Times New Roman" w:cs="Times New Roman"/>
          <w:noProof/>
          <w:sz w:val="24"/>
          <w:szCs w:val="24"/>
        </w:rPr>
        <w:instrText xml:space="preserve"> \* MERGEFORMAT </w:instrText>
      </w:r>
      <w:r>
        <w:rPr>
          <w:rFonts w:ascii="Times New Roman" w:hAnsi="Times New Roman" w:cs="Times New Roman"/>
          <w:noProof/>
          <w:sz w:val="24"/>
          <w:szCs w:val="24"/>
        </w:rPr>
        <w:fldChar w:fldCharType="separate"/>
      </w:r>
      <w:r w:rsidRPr="00374118">
        <w:rPr>
          <w:rFonts w:ascii="Times New Roman" w:hAnsi="Times New Roman" w:cs="Times New Roman"/>
          <w:noProof/>
          <w:sz w:val="24"/>
          <w:szCs w:val="24"/>
        </w:rPr>
        <w:t>Table 3</w:t>
      </w:r>
      <w:r>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w:t>
      </w:r>
      <w:r w:rsidRPr="00640FE4">
        <w:rPr>
          <w:rFonts w:ascii="Times New Roman" w:hAnsi="Times New Roman" w:cs="Times New Roman"/>
          <w:noProof/>
          <w:sz w:val="24"/>
          <w:szCs w:val="24"/>
        </w:rPr>
        <w:t>for treatment recommendations for subsequent maintenance doses.</w:t>
      </w:r>
    </w:p>
    <w:p w:rsidR="00CF70B3" w:rsidRPr="00FB2C85" w:rsidRDefault="005D0673" w:rsidP="002F70CF">
      <w:pPr>
        <w:pStyle w:val="TableTitle"/>
        <w:keepLines/>
        <w:spacing w:before="0" w:after="60"/>
        <w:rPr>
          <w:sz w:val="22"/>
          <w:szCs w:val="22"/>
        </w:rPr>
      </w:pPr>
      <w:bookmarkStart w:id="4" w:name="_Ref527031054"/>
      <w:r w:rsidRPr="00FB2C85">
        <w:rPr>
          <w:sz w:val="22"/>
          <w:szCs w:val="22"/>
        </w:rPr>
        <w:t xml:space="preserve">Table </w:t>
      </w:r>
      <w:r w:rsidRPr="00FB2C85">
        <w:rPr>
          <w:sz w:val="22"/>
          <w:szCs w:val="22"/>
        </w:rPr>
        <w:fldChar w:fldCharType="begin"/>
      </w:r>
      <w:r w:rsidRPr="00FB2C85">
        <w:rPr>
          <w:sz w:val="22"/>
          <w:szCs w:val="22"/>
        </w:rPr>
        <w:instrText xml:space="preserve"> SEQ Table \* ARABIC </w:instrText>
      </w:r>
      <w:r w:rsidRPr="00FB2C85">
        <w:rPr>
          <w:sz w:val="22"/>
          <w:szCs w:val="22"/>
        </w:rPr>
        <w:fldChar w:fldCharType="separate"/>
      </w:r>
      <w:r w:rsidRPr="00FB2C85">
        <w:rPr>
          <w:noProof/>
          <w:sz w:val="22"/>
          <w:szCs w:val="22"/>
        </w:rPr>
        <w:t>3</w:t>
      </w:r>
      <w:r w:rsidRPr="00FB2C85">
        <w:rPr>
          <w:sz w:val="22"/>
          <w:szCs w:val="22"/>
        </w:rPr>
        <w:fldChar w:fldCharType="end"/>
      </w:r>
      <w:bookmarkEnd w:id="4"/>
      <w:r w:rsidR="00C24444" w:rsidRPr="00FB2C85">
        <w:rPr>
          <w:sz w:val="22"/>
          <w:szCs w:val="22"/>
        </w:rPr>
        <w:br/>
      </w:r>
      <w:r w:rsidR="00640FE4">
        <w:rPr>
          <w:sz w:val="22"/>
          <w:szCs w:val="22"/>
        </w:rPr>
        <w:t xml:space="preserve">Recommended target trough plasma levels of </w:t>
      </w:r>
      <w:r w:rsidRPr="00FB2C85">
        <w:rPr>
          <w:sz w:val="22"/>
          <w:szCs w:val="22"/>
        </w:rPr>
        <w:t xml:space="preserve">VWF:RCo and FVIII:C </w:t>
      </w:r>
      <w:r w:rsidR="00640FE4">
        <w:rPr>
          <w:sz w:val="22"/>
          <w:szCs w:val="22"/>
        </w:rPr>
        <w:t>and</w:t>
      </w:r>
      <w:r w:rsidR="00640FE4">
        <w:rPr>
          <w:sz w:val="22"/>
          <w:szCs w:val="22"/>
        </w:rPr>
        <w:br/>
        <w:t>minimum d</w:t>
      </w:r>
      <w:r w:rsidRPr="00FB2C85">
        <w:rPr>
          <w:sz w:val="22"/>
          <w:szCs w:val="22"/>
        </w:rPr>
        <w:t xml:space="preserve">uration of </w:t>
      </w:r>
      <w:r w:rsidR="00640FE4">
        <w:rPr>
          <w:sz w:val="22"/>
          <w:szCs w:val="22"/>
        </w:rPr>
        <w:t>t</w:t>
      </w:r>
      <w:r w:rsidRPr="00FB2C85">
        <w:rPr>
          <w:sz w:val="22"/>
          <w:szCs w:val="22"/>
        </w:rPr>
        <w:t>reatment</w:t>
      </w:r>
      <w:r w:rsidR="00640FE4">
        <w:rPr>
          <w:sz w:val="22"/>
          <w:szCs w:val="22"/>
        </w:rPr>
        <w:t xml:space="preserve"> for s</w:t>
      </w:r>
      <w:r w:rsidRPr="00FB2C85">
        <w:rPr>
          <w:sz w:val="22"/>
          <w:szCs w:val="22"/>
        </w:rPr>
        <w:t xml:space="preserve">ubsequent </w:t>
      </w:r>
      <w:r w:rsidR="00640FE4">
        <w:rPr>
          <w:sz w:val="22"/>
          <w:szCs w:val="22"/>
        </w:rPr>
        <w:t>m</w:t>
      </w:r>
      <w:r w:rsidRPr="00FB2C85">
        <w:rPr>
          <w:sz w:val="22"/>
          <w:szCs w:val="22"/>
        </w:rPr>
        <w:t xml:space="preserve">aintenance </w:t>
      </w:r>
      <w:r w:rsidR="00640FE4">
        <w:rPr>
          <w:sz w:val="22"/>
          <w:szCs w:val="22"/>
        </w:rPr>
        <w:t>d</w:t>
      </w:r>
      <w:r w:rsidRPr="00FB2C85">
        <w:rPr>
          <w:sz w:val="22"/>
          <w:szCs w:val="22"/>
        </w:rPr>
        <w:t xml:space="preserve">oses </w:t>
      </w:r>
      <w:r w:rsidR="00640FE4">
        <w:rPr>
          <w:sz w:val="22"/>
          <w:szCs w:val="22"/>
        </w:rPr>
        <w:br/>
      </w:r>
      <w:r w:rsidRPr="00FB2C85">
        <w:rPr>
          <w:sz w:val="22"/>
          <w:szCs w:val="22"/>
        </w:rPr>
        <w:t xml:space="preserve">for the </w:t>
      </w:r>
      <w:r w:rsidR="00640FE4">
        <w:rPr>
          <w:sz w:val="22"/>
          <w:szCs w:val="22"/>
        </w:rPr>
        <w:t>p</w:t>
      </w:r>
      <w:r w:rsidRPr="00FB2C85">
        <w:rPr>
          <w:sz w:val="22"/>
          <w:szCs w:val="22"/>
        </w:rPr>
        <w:t xml:space="preserve">revention of </w:t>
      </w:r>
      <w:r w:rsidR="00640FE4">
        <w:rPr>
          <w:sz w:val="22"/>
          <w:szCs w:val="22"/>
        </w:rPr>
        <w:t>e</w:t>
      </w:r>
      <w:r w:rsidRPr="00FB2C85">
        <w:rPr>
          <w:sz w:val="22"/>
          <w:szCs w:val="22"/>
        </w:rPr>
        <w:t xml:space="preserve">xcessive </w:t>
      </w:r>
      <w:r w:rsidR="00640FE4">
        <w:rPr>
          <w:sz w:val="22"/>
          <w:szCs w:val="22"/>
        </w:rPr>
        <w:t>b</w:t>
      </w:r>
      <w:r w:rsidRPr="00FB2C85">
        <w:rPr>
          <w:sz w:val="22"/>
          <w:szCs w:val="22"/>
        </w:rPr>
        <w:t xml:space="preserve">leeding </w:t>
      </w:r>
      <w:r w:rsidR="00622ADF">
        <w:rPr>
          <w:sz w:val="22"/>
          <w:szCs w:val="22"/>
        </w:rPr>
        <w:t xml:space="preserve">during and </w:t>
      </w:r>
      <w:r w:rsidR="00640FE4">
        <w:rPr>
          <w:sz w:val="22"/>
          <w:szCs w:val="22"/>
        </w:rPr>
        <w:t>after s</w:t>
      </w:r>
      <w:r w:rsidRPr="00FB2C85">
        <w:rPr>
          <w:sz w:val="22"/>
          <w:szCs w:val="22"/>
        </w:rPr>
        <w:t>urgery</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382"/>
        <w:gridCol w:w="1382"/>
        <w:gridCol w:w="1382"/>
        <w:gridCol w:w="1382"/>
        <w:gridCol w:w="1134"/>
        <w:gridCol w:w="1843"/>
      </w:tblGrid>
      <w:tr w:rsidR="00CF70B3" w:rsidRPr="0053665F" w:rsidTr="002F70CF">
        <w:trPr>
          <w:cantSplit/>
        </w:trPr>
        <w:tc>
          <w:tcPr>
            <w:tcW w:w="959" w:type="dxa"/>
            <w:vMerge w:val="restart"/>
            <w:shd w:val="clear" w:color="auto" w:fill="auto"/>
            <w:vAlign w:val="center"/>
          </w:tcPr>
          <w:p w:rsidR="00CF70B3" w:rsidRPr="00374118" w:rsidRDefault="00CF70B3" w:rsidP="002F70CF">
            <w:pPr>
              <w:pStyle w:val="TableColumnHeading"/>
              <w:keepNext/>
              <w:keepLines/>
              <w:spacing w:before="20" w:after="20"/>
              <w:rPr>
                <w:szCs w:val="20"/>
              </w:rPr>
            </w:pPr>
            <w:r w:rsidRPr="00374118">
              <w:rPr>
                <w:szCs w:val="20"/>
              </w:rPr>
              <w:t xml:space="preserve">Type of </w:t>
            </w:r>
            <w:r w:rsidR="00640FE4">
              <w:rPr>
                <w:szCs w:val="20"/>
              </w:rPr>
              <w:t>s</w:t>
            </w:r>
            <w:r w:rsidRPr="00374118">
              <w:rPr>
                <w:szCs w:val="20"/>
              </w:rPr>
              <w:t>urgery</w:t>
            </w:r>
          </w:p>
        </w:tc>
        <w:tc>
          <w:tcPr>
            <w:tcW w:w="2764" w:type="dxa"/>
            <w:gridSpan w:val="2"/>
            <w:shd w:val="clear" w:color="auto" w:fill="auto"/>
            <w:vAlign w:val="center"/>
          </w:tcPr>
          <w:p w:rsidR="00CF70B3" w:rsidRPr="00B40D48" w:rsidRDefault="00CF70B3" w:rsidP="002F70CF">
            <w:pPr>
              <w:pStyle w:val="TableColumnHeading"/>
              <w:keepNext/>
              <w:keepLines/>
              <w:spacing w:before="20" w:after="20"/>
              <w:rPr>
                <w:szCs w:val="20"/>
              </w:rPr>
            </w:pPr>
            <w:r w:rsidRPr="00B40D48">
              <w:rPr>
                <w:szCs w:val="20"/>
              </w:rPr>
              <w:t>VWF:RCo</w:t>
            </w:r>
            <w:r w:rsidR="00374118" w:rsidRPr="00B40D48">
              <w:rPr>
                <w:szCs w:val="20"/>
              </w:rPr>
              <w:br/>
            </w:r>
            <w:r w:rsidR="00640FE4" w:rsidRPr="00B40D48">
              <w:rPr>
                <w:szCs w:val="20"/>
              </w:rPr>
              <w:t>t</w:t>
            </w:r>
            <w:r w:rsidRPr="00B40D48">
              <w:rPr>
                <w:szCs w:val="20"/>
              </w:rPr>
              <w:t xml:space="preserve">arget </w:t>
            </w:r>
            <w:r w:rsidR="00640FE4" w:rsidRPr="00B40D48">
              <w:rPr>
                <w:szCs w:val="20"/>
              </w:rPr>
              <w:t>t</w:t>
            </w:r>
            <w:r w:rsidRPr="00B40D48">
              <w:rPr>
                <w:szCs w:val="20"/>
              </w:rPr>
              <w:t xml:space="preserve">rough </w:t>
            </w:r>
            <w:r w:rsidR="00640FE4" w:rsidRPr="00B40D48">
              <w:rPr>
                <w:szCs w:val="20"/>
              </w:rPr>
              <w:t>p</w:t>
            </w:r>
            <w:r w:rsidRPr="00B40D48">
              <w:rPr>
                <w:szCs w:val="20"/>
              </w:rPr>
              <w:t xml:space="preserve">lasma </w:t>
            </w:r>
            <w:r w:rsidR="00640FE4" w:rsidRPr="00B40D48">
              <w:rPr>
                <w:szCs w:val="20"/>
              </w:rPr>
              <w:t>l</w:t>
            </w:r>
            <w:r w:rsidRPr="00B40D48">
              <w:rPr>
                <w:szCs w:val="20"/>
              </w:rPr>
              <w:t>evel</w:t>
            </w:r>
          </w:p>
        </w:tc>
        <w:tc>
          <w:tcPr>
            <w:tcW w:w="2764" w:type="dxa"/>
            <w:gridSpan w:val="2"/>
            <w:shd w:val="clear" w:color="auto" w:fill="auto"/>
            <w:vAlign w:val="center"/>
          </w:tcPr>
          <w:p w:rsidR="00CF70B3" w:rsidRPr="000C282A" w:rsidRDefault="00CF70B3" w:rsidP="002F70CF">
            <w:pPr>
              <w:pStyle w:val="TableColumnHeading"/>
              <w:keepNext/>
              <w:keepLines/>
              <w:spacing w:before="20" w:after="20"/>
              <w:rPr>
                <w:szCs w:val="20"/>
              </w:rPr>
            </w:pPr>
            <w:r w:rsidRPr="000C282A">
              <w:rPr>
                <w:szCs w:val="20"/>
              </w:rPr>
              <w:t>FVIII:C</w:t>
            </w:r>
            <w:r w:rsidR="00374118" w:rsidRPr="000C282A">
              <w:rPr>
                <w:szCs w:val="20"/>
              </w:rPr>
              <w:br/>
            </w:r>
            <w:r w:rsidR="00640FE4">
              <w:rPr>
                <w:szCs w:val="20"/>
              </w:rPr>
              <w:t>t</w:t>
            </w:r>
            <w:r w:rsidRPr="000C282A">
              <w:rPr>
                <w:szCs w:val="20"/>
              </w:rPr>
              <w:t xml:space="preserve">arget </w:t>
            </w:r>
            <w:r w:rsidR="00640FE4">
              <w:rPr>
                <w:szCs w:val="20"/>
              </w:rPr>
              <w:t>t</w:t>
            </w:r>
            <w:r w:rsidRPr="000C282A">
              <w:rPr>
                <w:szCs w:val="20"/>
              </w:rPr>
              <w:t xml:space="preserve">rough </w:t>
            </w:r>
            <w:r w:rsidR="00640FE4">
              <w:rPr>
                <w:szCs w:val="20"/>
              </w:rPr>
              <w:t>p</w:t>
            </w:r>
            <w:r w:rsidRPr="000C282A">
              <w:rPr>
                <w:szCs w:val="20"/>
              </w:rPr>
              <w:t xml:space="preserve">lasma </w:t>
            </w:r>
            <w:r w:rsidR="00640FE4">
              <w:rPr>
                <w:szCs w:val="20"/>
              </w:rPr>
              <w:t>l</w:t>
            </w:r>
            <w:r w:rsidRPr="000C282A">
              <w:rPr>
                <w:szCs w:val="20"/>
              </w:rPr>
              <w:t>evel</w:t>
            </w:r>
          </w:p>
        </w:tc>
        <w:tc>
          <w:tcPr>
            <w:tcW w:w="1134" w:type="dxa"/>
            <w:vMerge w:val="restart"/>
            <w:shd w:val="clear" w:color="auto" w:fill="auto"/>
            <w:vAlign w:val="center"/>
          </w:tcPr>
          <w:p w:rsidR="00CF70B3" w:rsidRPr="00374118" w:rsidRDefault="00CF70B3" w:rsidP="002F70CF">
            <w:pPr>
              <w:pStyle w:val="TableColumnHeading"/>
              <w:keepNext/>
              <w:keepLines/>
              <w:spacing w:before="20" w:after="20"/>
              <w:rPr>
                <w:szCs w:val="20"/>
              </w:rPr>
            </w:pPr>
            <w:r w:rsidRPr="00374118">
              <w:rPr>
                <w:szCs w:val="20"/>
              </w:rPr>
              <w:t xml:space="preserve">Minimum </w:t>
            </w:r>
            <w:r w:rsidR="00640FE4">
              <w:rPr>
                <w:szCs w:val="20"/>
              </w:rPr>
              <w:t>d</w:t>
            </w:r>
            <w:r w:rsidRPr="00374118">
              <w:rPr>
                <w:szCs w:val="20"/>
              </w:rPr>
              <w:t>uration of treatment</w:t>
            </w:r>
          </w:p>
        </w:tc>
        <w:tc>
          <w:tcPr>
            <w:tcW w:w="1843" w:type="dxa"/>
            <w:vMerge w:val="restart"/>
            <w:shd w:val="clear" w:color="auto" w:fill="auto"/>
            <w:vAlign w:val="center"/>
          </w:tcPr>
          <w:p w:rsidR="00CF70B3" w:rsidRPr="00374118" w:rsidRDefault="00CF70B3" w:rsidP="002F70CF">
            <w:pPr>
              <w:pStyle w:val="TableColumnHeading"/>
              <w:keepNext/>
              <w:keepLines/>
              <w:spacing w:before="20" w:after="20"/>
              <w:rPr>
                <w:szCs w:val="20"/>
              </w:rPr>
            </w:pPr>
            <w:r w:rsidRPr="00374118">
              <w:rPr>
                <w:szCs w:val="20"/>
              </w:rPr>
              <w:t>Frequency of dosing</w:t>
            </w:r>
          </w:p>
        </w:tc>
      </w:tr>
      <w:tr w:rsidR="00CF70B3" w:rsidRPr="0053665F" w:rsidTr="002F70CF">
        <w:trPr>
          <w:cantSplit/>
        </w:trPr>
        <w:tc>
          <w:tcPr>
            <w:tcW w:w="959" w:type="dxa"/>
            <w:vMerge/>
            <w:shd w:val="clear" w:color="auto" w:fill="auto"/>
            <w:vAlign w:val="center"/>
          </w:tcPr>
          <w:p w:rsidR="00CF70B3" w:rsidRPr="0053665F" w:rsidRDefault="00CF70B3" w:rsidP="00056D51">
            <w:pPr>
              <w:autoSpaceDE w:val="0"/>
              <w:autoSpaceDN w:val="0"/>
              <w:adjustRightInd w:val="0"/>
              <w:spacing w:before="20" w:after="20" w:line="240" w:lineRule="auto"/>
              <w:contextualSpacing/>
              <w:jc w:val="center"/>
              <w:rPr>
                <w:b/>
                <w:szCs w:val="22"/>
              </w:rPr>
            </w:pPr>
          </w:p>
        </w:tc>
        <w:tc>
          <w:tcPr>
            <w:tcW w:w="1382" w:type="dxa"/>
            <w:shd w:val="clear" w:color="auto" w:fill="auto"/>
            <w:vAlign w:val="center"/>
          </w:tcPr>
          <w:p w:rsidR="00CF70B3" w:rsidRPr="00B40D48" w:rsidRDefault="00CF70B3" w:rsidP="00056D51">
            <w:pPr>
              <w:pStyle w:val="TableColumnHeading"/>
              <w:spacing w:before="20" w:after="20"/>
              <w:rPr>
                <w:sz w:val="18"/>
                <w:szCs w:val="18"/>
              </w:rPr>
            </w:pPr>
            <w:r w:rsidRPr="00B40D48">
              <w:rPr>
                <w:sz w:val="18"/>
                <w:szCs w:val="18"/>
              </w:rPr>
              <w:t>Up to 72</w:t>
            </w:r>
            <w:r w:rsidR="00F36EF9" w:rsidRPr="00B40D48">
              <w:rPr>
                <w:sz w:val="18"/>
                <w:szCs w:val="18"/>
              </w:rPr>
              <w:t xml:space="preserve"> </w:t>
            </w:r>
            <w:r w:rsidR="000C282A" w:rsidRPr="00B40D48">
              <w:rPr>
                <w:sz w:val="18"/>
                <w:szCs w:val="18"/>
              </w:rPr>
              <w:t>hours post-</w:t>
            </w:r>
            <w:r w:rsidRPr="00B40D48">
              <w:rPr>
                <w:sz w:val="18"/>
                <w:szCs w:val="18"/>
              </w:rPr>
              <w:t>surgery</w:t>
            </w:r>
          </w:p>
        </w:tc>
        <w:tc>
          <w:tcPr>
            <w:tcW w:w="1382" w:type="dxa"/>
            <w:shd w:val="clear" w:color="auto" w:fill="auto"/>
            <w:vAlign w:val="center"/>
          </w:tcPr>
          <w:p w:rsidR="00CF70B3" w:rsidRPr="000C282A" w:rsidRDefault="00CF70B3" w:rsidP="00056D51">
            <w:pPr>
              <w:pStyle w:val="TableColumnHeading"/>
              <w:spacing w:before="20" w:after="20"/>
              <w:rPr>
                <w:sz w:val="18"/>
                <w:szCs w:val="18"/>
              </w:rPr>
            </w:pPr>
            <w:r w:rsidRPr="000C282A">
              <w:rPr>
                <w:sz w:val="18"/>
                <w:szCs w:val="18"/>
              </w:rPr>
              <w:t>After 72</w:t>
            </w:r>
            <w:r w:rsidR="00E04BE7" w:rsidRPr="000C282A">
              <w:rPr>
                <w:sz w:val="18"/>
                <w:szCs w:val="18"/>
              </w:rPr>
              <w:t> hour</w:t>
            </w:r>
            <w:r w:rsidRPr="000C282A">
              <w:rPr>
                <w:sz w:val="18"/>
                <w:szCs w:val="18"/>
              </w:rPr>
              <w:t>s post</w:t>
            </w:r>
            <w:r w:rsidR="000C282A">
              <w:rPr>
                <w:sz w:val="18"/>
                <w:szCs w:val="18"/>
              </w:rPr>
              <w:t>-</w:t>
            </w:r>
            <w:r w:rsidRPr="000C282A">
              <w:rPr>
                <w:sz w:val="18"/>
                <w:szCs w:val="18"/>
              </w:rPr>
              <w:t>surgery</w:t>
            </w:r>
          </w:p>
        </w:tc>
        <w:tc>
          <w:tcPr>
            <w:tcW w:w="1382" w:type="dxa"/>
            <w:shd w:val="clear" w:color="auto" w:fill="auto"/>
            <w:vAlign w:val="center"/>
          </w:tcPr>
          <w:p w:rsidR="00CF70B3" w:rsidRPr="00640FE4" w:rsidRDefault="00CF70B3" w:rsidP="00056D51">
            <w:pPr>
              <w:pStyle w:val="TableColumnHeading"/>
              <w:spacing w:before="20" w:after="20"/>
              <w:rPr>
                <w:sz w:val="18"/>
                <w:szCs w:val="18"/>
                <w:highlight w:val="yellow"/>
              </w:rPr>
            </w:pPr>
            <w:r w:rsidRPr="00622ADF">
              <w:rPr>
                <w:sz w:val="18"/>
                <w:szCs w:val="18"/>
              </w:rPr>
              <w:t>Up to 72</w:t>
            </w:r>
            <w:r w:rsidR="00F36EF9" w:rsidRPr="00622ADF">
              <w:rPr>
                <w:sz w:val="18"/>
                <w:szCs w:val="18"/>
              </w:rPr>
              <w:t xml:space="preserve"> </w:t>
            </w:r>
            <w:r w:rsidR="000C282A" w:rsidRPr="00622ADF">
              <w:rPr>
                <w:sz w:val="18"/>
                <w:szCs w:val="18"/>
              </w:rPr>
              <w:t>hours post-</w:t>
            </w:r>
            <w:r w:rsidRPr="00622ADF">
              <w:rPr>
                <w:sz w:val="18"/>
                <w:szCs w:val="18"/>
              </w:rPr>
              <w:t>surgery</w:t>
            </w:r>
          </w:p>
        </w:tc>
        <w:tc>
          <w:tcPr>
            <w:tcW w:w="1382" w:type="dxa"/>
            <w:shd w:val="clear" w:color="auto" w:fill="auto"/>
            <w:vAlign w:val="center"/>
          </w:tcPr>
          <w:p w:rsidR="00CF70B3" w:rsidRPr="000C282A" w:rsidRDefault="00CF70B3" w:rsidP="00056D51">
            <w:pPr>
              <w:pStyle w:val="TableColumnHeading"/>
              <w:spacing w:before="20" w:after="20"/>
              <w:rPr>
                <w:sz w:val="18"/>
                <w:szCs w:val="18"/>
              </w:rPr>
            </w:pPr>
            <w:r w:rsidRPr="000C282A">
              <w:rPr>
                <w:sz w:val="18"/>
                <w:szCs w:val="18"/>
              </w:rPr>
              <w:t>After 72</w:t>
            </w:r>
            <w:r w:rsidR="00E04BE7" w:rsidRPr="000C282A">
              <w:rPr>
                <w:sz w:val="18"/>
                <w:szCs w:val="18"/>
              </w:rPr>
              <w:t> hour</w:t>
            </w:r>
            <w:r w:rsidR="000C282A">
              <w:rPr>
                <w:sz w:val="18"/>
                <w:szCs w:val="18"/>
              </w:rPr>
              <w:t>s post-</w:t>
            </w:r>
            <w:r w:rsidRPr="000C282A">
              <w:rPr>
                <w:sz w:val="18"/>
                <w:szCs w:val="18"/>
              </w:rPr>
              <w:t>surgery</w:t>
            </w:r>
          </w:p>
        </w:tc>
        <w:tc>
          <w:tcPr>
            <w:tcW w:w="1134" w:type="dxa"/>
            <w:vMerge/>
            <w:shd w:val="clear" w:color="auto" w:fill="auto"/>
            <w:vAlign w:val="center"/>
          </w:tcPr>
          <w:p w:rsidR="00CF70B3" w:rsidRPr="0053665F" w:rsidRDefault="00CF70B3" w:rsidP="00056D51">
            <w:pPr>
              <w:autoSpaceDE w:val="0"/>
              <w:autoSpaceDN w:val="0"/>
              <w:adjustRightInd w:val="0"/>
              <w:spacing w:before="20" w:after="20" w:line="240" w:lineRule="auto"/>
              <w:contextualSpacing/>
              <w:jc w:val="center"/>
              <w:rPr>
                <w:b/>
                <w:szCs w:val="22"/>
              </w:rPr>
            </w:pPr>
          </w:p>
        </w:tc>
        <w:tc>
          <w:tcPr>
            <w:tcW w:w="1843" w:type="dxa"/>
            <w:vMerge/>
            <w:shd w:val="clear" w:color="auto" w:fill="auto"/>
            <w:vAlign w:val="center"/>
          </w:tcPr>
          <w:p w:rsidR="00CF70B3" w:rsidRPr="0053665F" w:rsidRDefault="00CF70B3" w:rsidP="00056D51">
            <w:pPr>
              <w:autoSpaceDE w:val="0"/>
              <w:autoSpaceDN w:val="0"/>
              <w:adjustRightInd w:val="0"/>
              <w:spacing w:before="20" w:after="20" w:line="240" w:lineRule="auto"/>
              <w:contextualSpacing/>
              <w:jc w:val="center"/>
              <w:rPr>
                <w:b/>
                <w:szCs w:val="22"/>
              </w:rPr>
            </w:pPr>
          </w:p>
        </w:tc>
      </w:tr>
      <w:tr w:rsidR="00CF70B3" w:rsidRPr="0053665F" w:rsidTr="002F70CF">
        <w:trPr>
          <w:cantSplit/>
        </w:trPr>
        <w:tc>
          <w:tcPr>
            <w:tcW w:w="959" w:type="dxa"/>
            <w:shd w:val="clear" w:color="auto" w:fill="auto"/>
            <w:vAlign w:val="center"/>
          </w:tcPr>
          <w:p w:rsidR="00CF70B3" w:rsidRPr="0053665F" w:rsidRDefault="00CF70B3" w:rsidP="00056D51">
            <w:pPr>
              <w:pStyle w:val="TableText"/>
              <w:spacing w:before="20" w:after="20"/>
              <w:rPr>
                <w:b/>
                <w:szCs w:val="22"/>
              </w:rPr>
            </w:pPr>
            <w:r w:rsidRPr="00374118">
              <w:rPr>
                <w:b/>
                <w:szCs w:val="20"/>
              </w:rPr>
              <w:t>Minor</w:t>
            </w:r>
          </w:p>
        </w:tc>
        <w:tc>
          <w:tcPr>
            <w:tcW w:w="1382" w:type="dxa"/>
            <w:shd w:val="clear" w:color="auto" w:fill="auto"/>
            <w:vAlign w:val="center"/>
          </w:tcPr>
          <w:p w:rsidR="00CF70B3" w:rsidRPr="00B40D48" w:rsidRDefault="00CC35D7" w:rsidP="00056D51">
            <w:pPr>
              <w:pStyle w:val="TableText"/>
              <w:spacing w:before="20" w:after="20"/>
              <w:jc w:val="center"/>
              <w:rPr>
                <w:szCs w:val="20"/>
              </w:rPr>
            </w:pPr>
            <w:r>
              <w:rPr>
                <w:noProof/>
                <w:sz w:val="24"/>
              </w:rPr>
              <w:sym w:font="Symbol" w:char="F0B3"/>
            </w:r>
            <w:r w:rsidR="00CF70B3" w:rsidRPr="00B40D48">
              <w:rPr>
                <w:szCs w:val="20"/>
              </w:rPr>
              <w:t xml:space="preserve"> </w:t>
            </w:r>
            <w:r w:rsidR="00FF571B" w:rsidRPr="00B40D48">
              <w:rPr>
                <w:szCs w:val="20"/>
              </w:rPr>
              <w:t>0.</w:t>
            </w:r>
            <w:r w:rsidR="00CF70B3" w:rsidRPr="00B40D48">
              <w:rPr>
                <w:szCs w:val="20"/>
              </w:rPr>
              <w:t>30</w:t>
            </w:r>
            <w:r w:rsidR="00E04BE7" w:rsidRPr="00B40D48">
              <w:rPr>
                <w:szCs w:val="20"/>
              </w:rPr>
              <w:t> IU</w:t>
            </w:r>
            <w:r w:rsidR="00CF70B3" w:rsidRPr="00B40D48">
              <w:rPr>
                <w:szCs w:val="20"/>
              </w:rPr>
              <w:t>/</w:t>
            </w:r>
            <w:r w:rsidR="00391F9A" w:rsidRPr="00B40D48">
              <w:rPr>
                <w:szCs w:val="20"/>
              </w:rPr>
              <w:t>mL</w:t>
            </w:r>
          </w:p>
        </w:tc>
        <w:tc>
          <w:tcPr>
            <w:tcW w:w="1382" w:type="dxa"/>
            <w:shd w:val="clear" w:color="auto" w:fill="auto"/>
            <w:vAlign w:val="center"/>
          </w:tcPr>
          <w:p w:rsidR="00CF70B3" w:rsidRPr="00374118" w:rsidRDefault="000C282A" w:rsidP="00056D51">
            <w:pPr>
              <w:pStyle w:val="TableText"/>
              <w:spacing w:before="20" w:after="20"/>
              <w:jc w:val="center"/>
              <w:rPr>
                <w:szCs w:val="20"/>
              </w:rPr>
            </w:pPr>
            <w:r w:rsidRPr="00CE4F78">
              <w:rPr>
                <w:szCs w:val="20"/>
              </w:rPr>
              <w:t>–</w:t>
            </w:r>
          </w:p>
        </w:tc>
        <w:tc>
          <w:tcPr>
            <w:tcW w:w="1382" w:type="dxa"/>
            <w:shd w:val="clear" w:color="auto" w:fill="auto"/>
            <w:vAlign w:val="center"/>
          </w:tcPr>
          <w:p w:rsidR="00CF70B3" w:rsidRPr="00640FE4" w:rsidRDefault="00EB7763" w:rsidP="00056D51">
            <w:pPr>
              <w:pStyle w:val="TableText"/>
              <w:spacing w:before="20" w:after="20"/>
              <w:jc w:val="center"/>
              <w:rPr>
                <w:szCs w:val="20"/>
                <w:highlight w:val="yellow"/>
              </w:rPr>
            </w:pPr>
            <w:r w:rsidRPr="00E54FE3">
              <w:rPr>
                <w:szCs w:val="20"/>
              </w:rPr>
              <w:t xml:space="preserve">&gt; </w:t>
            </w:r>
            <w:r w:rsidR="00FF571B" w:rsidRPr="00E54FE3">
              <w:rPr>
                <w:szCs w:val="20"/>
              </w:rPr>
              <w:t>0.</w:t>
            </w:r>
            <w:r w:rsidR="00622ADF" w:rsidRPr="00E54FE3">
              <w:rPr>
                <w:szCs w:val="20"/>
              </w:rPr>
              <w:t>4</w:t>
            </w:r>
            <w:r w:rsidRPr="00E54FE3">
              <w:rPr>
                <w:szCs w:val="20"/>
              </w:rPr>
              <w:t>0</w:t>
            </w:r>
            <w:r w:rsidR="00E04BE7" w:rsidRPr="00E54FE3">
              <w:rPr>
                <w:szCs w:val="20"/>
              </w:rPr>
              <w:t> IU</w:t>
            </w:r>
            <w:r w:rsidRPr="00E54FE3">
              <w:rPr>
                <w:szCs w:val="20"/>
              </w:rPr>
              <w:t>/</w:t>
            </w:r>
            <w:r w:rsidR="00391F9A" w:rsidRPr="00E54FE3">
              <w:rPr>
                <w:szCs w:val="20"/>
              </w:rPr>
              <w:t>mL</w:t>
            </w:r>
            <w:r w:rsidRPr="00E54FE3">
              <w:rPr>
                <w:szCs w:val="20"/>
              </w:rPr>
              <w:t xml:space="preserve"> </w:t>
            </w:r>
          </w:p>
        </w:tc>
        <w:tc>
          <w:tcPr>
            <w:tcW w:w="1382" w:type="dxa"/>
            <w:shd w:val="clear" w:color="auto" w:fill="auto"/>
            <w:vAlign w:val="center"/>
          </w:tcPr>
          <w:p w:rsidR="00CF70B3" w:rsidRPr="00374118" w:rsidRDefault="000C282A" w:rsidP="00056D51">
            <w:pPr>
              <w:pStyle w:val="TableText"/>
              <w:spacing w:before="20" w:after="20"/>
              <w:jc w:val="center"/>
              <w:rPr>
                <w:szCs w:val="20"/>
              </w:rPr>
            </w:pPr>
            <w:r w:rsidRPr="00CE4F78">
              <w:rPr>
                <w:szCs w:val="20"/>
              </w:rPr>
              <w:t>–</w:t>
            </w:r>
          </w:p>
        </w:tc>
        <w:tc>
          <w:tcPr>
            <w:tcW w:w="1134" w:type="dxa"/>
            <w:shd w:val="clear" w:color="auto" w:fill="auto"/>
            <w:vAlign w:val="center"/>
          </w:tcPr>
          <w:p w:rsidR="00CF70B3" w:rsidRPr="00374118" w:rsidRDefault="00CF70B3" w:rsidP="00056D51">
            <w:pPr>
              <w:pStyle w:val="TableText"/>
              <w:spacing w:before="20" w:after="20"/>
              <w:jc w:val="center"/>
              <w:rPr>
                <w:szCs w:val="20"/>
              </w:rPr>
            </w:pPr>
            <w:r w:rsidRPr="00374118">
              <w:rPr>
                <w:szCs w:val="20"/>
              </w:rPr>
              <w:t>48</w:t>
            </w:r>
            <w:r w:rsidR="00E04BE7" w:rsidRPr="00374118">
              <w:rPr>
                <w:szCs w:val="20"/>
              </w:rPr>
              <w:t> hour</w:t>
            </w:r>
            <w:r w:rsidRPr="00374118">
              <w:rPr>
                <w:szCs w:val="20"/>
              </w:rPr>
              <w:t>s</w:t>
            </w:r>
          </w:p>
        </w:tc>
        <w:tc>
          <w:tcPr>
            <w:tcW w:w="1843" w:type="dxa"/>
            <w:shd w:val="clear" w:color="auto" w:fill="auto"/>
            <w:vAlign w:val="center"/>
          </w:tcPr>
          <w:p w:rsidR="00CF70B3" w:rsidRPr="00374118" w:rsidRDefault="00CF70B3" w:rsidP="00056D51">
            <w:pPr>
              <w:pStyle w:val="TableText"/>
              <w:spacing w:before="20" w:after="20"/>
              <w:jc w:val="center"/>
              <w:rPr>
                <w:szCs w:val="20"/>
              </w:rPr>
            </w:pPr>
            <w:r w:rsidRPr="00374118">
              <w:rPr>
                <w:szCs w:val="20"/>
              </w:rPr>
              <w:t>Every 12</w:t>
            </w:r>
            <w:r w:rsidR="00AE7555" w:rsidRPr="00CE4F78">
              <w:rPr>
                <w:szCs w:val="20"/>
              </w:rPr>
              <w:t>–</w:t>
            </w:r>
            <w:r w:rsidRPr="00374118">
              <w:rPr>
                <w:szCs w:val="20"/>
              </w:rPr>
              <w:t>24 h</w:t>
            </w:r>
            <w:r w:rsidR="00AE7555">
              <w:rPr>
                <w:szCs w:val="20"/>
              </w:rPr>
              <w:t>ou</w:t>
            </w:r>
            <w:r w:rsidRPr="00374118">
              <w:rPr>
                <w:szCs w:val="20"/>
              </w:rPr>
              <w:t xml:space="preserve">rs </w:t>
            </w:r>
            <w:r w:rsidR="000C282A">
              <w:rPr>
                <w:szCs w:val="20"/>
              </w:rPr>
              <w:br/>
            </w:r>
            <w:r w:rsidR="00865E6E">
              <w:rPr>
                <w:szCs w:val="20"/>
              </w:rPr>
              <w:t>to</w:t>
            </w:r>
            <w:r w:rsidRPr="00374118">
              <w:rPr>
                <w:szCs w:val="20"/>
              </w:rPr>
              <w:t xml:space="preserve"> every other day</w:t>
            </w:r>
          </w:p>
        </w:tc>
      </w:tr>
      <w:tr w:rsidR="00CF70B3" w:rsidRPr="0053665F" w:rsidTr="002F70CF">
        <w:trPr>
          <w:cantSplit/>
        </w:trPr>
        <w:tc>
          <w:tcPr>
            <w:tcW w:w="959" w:type="dxa"/>
            <w:tcBorders>
              <w:bottom w:val="single" w:sz="4" w:space="0" w:color="auto"/>
            </w:tcBorders>
            <w:shd w:val="clear" w:color="auto" w:fill="auto"/>
            <w:vAlign w:val="center"/>
          </w:tcPr>
          <w:p w:rsidR="00CF70B3" w:rsidRPr="000C282A" w:rsidRDefault="00CF70B3" w:rsidP="00056D51">
            <w:pPr>
              <w:pStyle w:val="TableText"/>
              <w:spacing w:before="20" w:after="20"/>
              <w:rPr>
                <w:b/>
                <w:szCs w:val="20"/>
              </w:rPr>
            </w:pPr>
            <w:r w:rsidRPr="000C282A">
              <w:rPr>
                <w:b/>
                <w:szCs w:val="20"/>
              </w:rPr>
              <w:t>Major</w:t>
            </w:r>
          </w:p>
        </w:tc>
        <w:tc>
          <w:tcPr>
            <w:tcW w:w="1382" w:type="dxa"/>
            <w:tcBorders>
              <w:bottom w:val="single" w:sz="4" w:space="0" w:color="auto"/>
            </w:tcBorders>
            <w:shd w:val="clear" w:color="auto" w:fill="auto"/>
            <w:vAlign w:val="center"/>
          </w:tcPr>
          <w:p w:rsidR="00CF70B3" w:rsidRPr="00B40D48" w:rsidRDefault="00CF70B3" w:rsidP="00056D51">
            <w:pPr>
              <w:pStyle w:val="TableText"/>
              <w:spacing w:before="20" w:after="20"/>
              <w:jc w:val="center"/>
              <w:rPr>
                <w:szCs w:val="20"/>
              </w:rPr>
            </w:pPr>
            <w:r w:rsidRPr="00B40D48">
              <w:rPr>
                <w:szCs w:val="20"/>
              </w:rPr>
              <w:t xml:space="preserve">&gt; </w:t>
            </w:r>
            <w:r w:rsidR="00FF571B" w:rsidRPr="00B40D48">
              <w:rPr>
                <w:szCs w:val="20"/>
              </w:rPr>
              <w:t>0.</w:t>
            </w:r>
            <w:r w:rsidRPr="00B40D48">
              <w:rPr>
                <w:szCs w:val="20"/>
              </w:rPr>
              <w:t>50</w:t>
            </w:r>
            <w:r w:rsidR="00E04BE7" w:rsidRPr="00B40D48">
              <w:rPr>
                <w:szCs w:val="20"/>
              </w:rPr>
              <w:t> IU</w:t>
            </w:r>
            <w:r w:rsidRPr="00B40D48">
              <w:rPr>
                <w:szCs w:val="20"/>
              </w:rPr>
              <w:t>/</w:t>
            </w:r>
            <w:r w:rsidR="00391F9A" w:rsidRPr="00B40D48">
              <w:rPr>
                <w:szCs w:val="20"/>
              </w:rPr>
              <w:t>mL</w:t>
            </w:r>
          </w:p>
        </w:tc>
        <w:tc>
          <w:tcPr>
            <w:tcW w:w="1382" w:type="dxa"/>
            <w:tcBorders>
              <w:bottom w:val="single" w:sz="4" w:space="0" w:color="auto"/>
            </w:tcBorders>
            <w:shd w:val="clear" w:color="auto" w:fill="auto"/>
            <w:vAlign w:val="center"/>
          </w:tcPr>
          <w:p w:rsidR="00CF70B3" w:rsidRPr="000C282A" w:rsidRDefault="00CF70B3" w:rsidP="00056D51">
            <w:pPr>
              <w:pStyle w:val="TableText"/>
              <w:spacing w:before="20" w:after="20"/>
              <w:jc w:val="center"/>
              <w:rPr>
                <w:szCs w:val="20"/>
              </w:rPr>
            </w:pPr>
            <w:r w:rsidRPr="000C282A">
              <w:rPr>
                <w:szCs w:val="20"/>
              </w:rPr>
              <w:t xml:space="preserve">&gt; </w:t>
            </w:r>
            <w:r w:rsidR="00FF571B" w:rsidRPr="000C282A">
              <w:rPr>
                <w:szCs w:val="20"/>
              </w:rPr>
              <w:t>0.</w:t>
            </w:r>
            <w:r w:rsidRPr="000C282A">
              <w:rPr>
                <w:szCs w:val="20"/>
              </w:rPr>
              <w:t>30</w:t>
            </w:r>
            <w:r w:rsidR="00E04BE7" w:rsidRPr="000C282A">
              <w:rPr>
                <w:szCs w:val="20"/>
              </w:rPr>
              <w:t> IU</w:t>
            </w:r>
            <w:r w:rsidRPr="000C282A">
              <w:rPr>
                <w:szCs w:val="20"/>
              </w:rPr>
              <w:t>/</w:t>
            </w:r>
            <w:r w:rsidR="00391F9A" w:rsidRPr="000C282A">
              <w:rPr>
                <w:szCs w:val="20"/>
              </w:rPr>
              <w:t>mL</w:t>
            </w:r>
          </w:p>
        </w:tc>
        <w:tc>
          <w:tcPr>
            <w:tcW w:w="1382" w:type="dxa"/>
            <w:tcBorders>
              <w:bottom w:val="single" w:sz="4" w:space="0" w:color="auto"/>
            </w:tcBorders>
            <w:shd w:val="clear" w:color="auto" w:fill="auto"/>
            <w:vAlign w:val="center"/>
          </w:tcPr>
          <w:p w:rsidR="00CF70B3" w:rsidRPr="00640FE4" w:rsidRDefault="00CF70B3" w:rsidP="00056D51">
            <w:pPr>
              <w:pStyle w:val="TableText"/>
              <w:spacing w:before="20" w:after="20"/>
              <w:jc w:val="center"/>
              <w:rPr>
                <w:szCs w:val="20"/>
                <w:highlight w:val="yellow"/>
              </w:rPr>
            </w:pPr>
            <w:r w:rsidRPr="00B40D48">
              <w:rPr>
                <w:szCs w:val="20"/>
              </w:rPr>
              <w:t xml:space="preserve">&gt; </w:t>
            </w:r>
            <w:r w:rsidR="00FF571B" w:rsidRPr="00B40D48">
              <w:rPr>
                <w:szCs w:val="20"/>
              </w:rPr>
              <w:t>0.</w:t>
            </w:r>
            <w:r w:rsidRPr="00B40D48">
              <w:rPr>
                <w:szCs w:val="20"/>
              </w:rPr>
              <w:t>50</w:t>
            </w:r>
            <w:r w:rsidR="00E04BE7" w:rsidRPr="00B40D48">
              <w:rPr>
                <w:szCs w:val="20"/>
              </w:rPr>
              <w:t> IU</w:t>
            </w:r>
            <w:r w:rsidRPr="00B40D48">
              <w:rPr>
                <w:szCs w:val="20"/>
              </w:rPr>
              <w:t>/</w:t>
            </w:r>
            <w:r w:rsidR="00391F9A" w:rsidRPr="00B40D48">
              <w:rPr>
                <w:szCs w:val="20"/>
              </w:rPr>
              <w:t>mL</w:t>
            </w:r>
          </w:p>
        </w:tc>
        <w:tc>
          <w:tcPr>
            <w:tcW w:w="1382" w:type="dxa"/>
            <w:tcBorders>
              <w:bottom w:val="single" w:sz="4" w:space="0" w:color="auto"/>
            </w:tcBorders>
            <w:shd w:val="clear" w:color="auto" w:fill="auto"/>
            <w:vAlign w:val="center"/>
          </w:tcPr>
          <w:p w:rsidR="00CF70B3" w:rsidRPr="000C282A" w:rsidRDefault="00CF70B3" w:rsidP="00056D51">
            <w:pPr>
              <w:pStyle w:val="TableText"/>
              <w:spacing w:before="20" w:after="20"/>
              <w:jc w:val="center"/>
              <w:rPr>
                <w:szCs w:val="20"/>
              </w:rPr>
            </w:pPr>
            <w:r w:rsidRPr="00E54FE3">
              <w:rPr>
                <w:szCs w:val="20"/>
              </w:rPr>
              <w:t xml:space="preserve">&gt; </w:t>
            </w:r>
            <w:r w:rsidR="00FF571B" w:rsidRPr="00E54FE3">
              <w:rPr>
                <w:szCs w:val="20"/>
              </w:rPr>
              <w:t>0.</w:t>
            </w:r>
            <w:r w:rsidR="00622ADF" w:rsidRPr="00E54FE3">
              <w:rPr>
                <w:szCs w:val="20"/>
              </w:rPr>
              <w:t>4</w:t>
            </w:r>
            <w:r w:rsidRPr="00E54FE3">
              <w:rPr>
                <w:szCs w:val="20"/>
              </w:rPr>
              <w:t>0</w:t>
            </w:r>
            <w:r w:rsidR="00E04BE7" w:rsidRPr="00E54FE3">
              <w:rPr>
                <w:szCs w:val="20"/>
              </w:rPr>
              <w:t> IU</w:t>
            </w:r>
            <w:r w:rsidRPr="00E54FE3">
              <w:rPr>
                <w:szCs w:val="20"/>
              </w:rPr>
              <w:t>/</w:t>
            </w:r>
            <w:r w:rsidR="00391F9A" w:rsidRPr="00E54FE3">
              <w:rPr>
                <w:szCs w:val="20"/>
              </w:rPr>
              <w:t>mL</w:t>
            </w:r>
          </w:p>
        </w:tc>
        <w:tc>
          <w:tcPr>
            <w:tcW w:w="1134" w:type="dxa"/>
            <w:tcBorders>
              <w:bottom w:val="single" w:sz="4" w:space="0" w:color="auto"/>
            </w:tcBorders>
            <w:shd w:val="clear" w:color="auto" w:fill="auto"/>
            <w:vAlign w:val="center"/>
          </w:tcPr>
          <w:p w:rsidR="00CF70B3" w:rsidRPr="000C282A" w:rsidRDefault="00CF70B3" w:rsidP="00056D51">
            <w:pPr>
              <w:pStyle w:val="TableText"/>
              <w:spacing w:before="20" w:after="20"/>
              <w:jc w:val="center"/>
              <w:rPr>
                <w:szCs w:val="20"/>
              </w:rPr>
            </w:pPr>
            <w:r w:rsidRPr="000C282A">
              <w:rPr>
                <w:szCs w:val="20"/>
              </w:rPr>
              <w:t>72</w:t>
            </w:r>
            <w:r w:rsidR="00E04BE7" w:rsidRPr="000C282A">
              <w:rPr>
                <w:szCs w:val="20"/>
              </w:rPr>
              <w:t> hour</w:t>
            </w:r>
            <w:r w:rsidRPr="000C282A">
              <w:rPr>
                <w:szCs w:val="20"/>
              </w:rPr>
              <w:t>s</w:t>
            </w:r>
          </w:p>
        </w:tc>
        <w:tc>
          <w:tcPr>
            <w:tcW w:w="1843" w:type="dxa"/>
            <w:tcBorders>
              <w:bottom w:val="single" w:sz="4" w:space="0" w:color="auto"/>
            </w:tcBorders>
            <w:shd w:val="clear" w:color="auto" w:fill="auto"/>
            <w:vAlign w:val="center"/>
          </w:tcPr>
          <w:p w:rsidR="00CF70B3" w:rsidRPr="000C282A" w:rsidRDefault="00CF70B3" w:rsidP="00056D51">
            <w:pPr>
              <w:pStyle w:val="TableText"/>
              <w:spacing w:before="20" w:after="20"/>
              <w:jc w:val="center"/>
              <w:rPr>
                <w:szCs w:val="20"/>
              </w:rPr>
            </w:pPr>
            <w:r w:rsidRPr="000C282A">
              <w:rPr>
                <w:szCs w:val="20"/>
              </w:rPr>
              <w:t>Every 12</w:t>
            </w:r>
            <w:r w:rsidR="00AE7555" w:rsidRPr="00CE4F78">
              <w:rPr>
                <w:szCs w:val="20"/>
              </w:rPr>
              <w:t>–</w:t>
            </w:r>
            <w:r w:rsidRPr="000C282A">
              <w:rPr>
                <w:szCs w:val="20"/>
              </w:rPr>
              <w:t>24 h</w:t>
            </w:r>
            <w:r w:rsidR="00AE7555">
              <w:rPr>
                <w:szCs w:val="20"/>
              </w:rPr>
              <w:t>ou</w:t>
            </w:r>
            <w:r w:rsidRPr="000C282A">
              <w:rPr>
                <w:szCs w:val="20"/>
              </w:rPr>
              <w:t xml:space="preserve">rs </w:t>
            </w:r>
            <w:r w:rsidR="000C282A">
              <w:rPr>
                <w:szCs w:val="20"/>
              </w:rPr>
              <w:br/>
            </w:r>
            <w:r w:rsidR="00865E6E">
              <w:rPr>
                <w:szCs w:val="20"/>
              </w:rPr>
              <w:t>to</w:t>
            </w:r>
            <w:r w:rsidRPr="000C282A">
              <w:rPr>
                <w:szCs w:val="20"/>
              </w:rPr>
              <w:t xml:space="preserve"> every other day</w:t>
            </w:r>
          </w:p>
        </w:tc>
      </w:tr>
    </w:tbl>
    <w:p w:rsidR="007B162C" w:rsidRPr="007B162C" w:rsidRDefault="007B162C" w:rsidP="00D22631">
      <w:pPr>
        <w:pStyle w:val="BodytextAgency"/>
        <w:spacing w:after="0" w:line="240" w:lineRule="auto"/>
        <w:rPr>
          <w:rFonts w:ascii="Times New Roman" w:hAnsi="Times New Roman" w:cs="Times New Roman"/>
          <w:noProof/>
          <w:sz w:val="24"/>
          <w:szCs w:val="24"/>
        </w:rPr>
      </w:pPr>
      <w:bookmarkStart w:id="5" w:name="_Ref527042409"/>
    </w:p>
    <w:p w:rsidR="0082459F" w:rsidRPr="00BD6FBE" w:rsidRDefault="0082459F" w:rsidP="007B162C">
      <w:pPr>
        <w:pStyle w:val="Heading3"/>
        <w:numPr>
          <w:ilvl w:val="0"/>
          <w:numId w:val="0"/>
        </w:numPr>
        <w:spacing w:before="120" w:after="120"/>
        <w:ind w:left="907" w:hanging="907"/>
        <w:rPr>
          <w:i/>
          <w:iCs/>
        </w:rPr>
      </w:pPr>
      <w:bookmarkStart w:id="6" w:name="_Ref4490274"/>
      <w:r w:rsidRPr="00BD6FBE">
        <w:rPr>
          <w:i/>
          <w:iCs/>
        </w:rPr>
        <w:t>Method of administration</w:t>
      </w:r>
      <w:bookmarkEnd w:id="5"/>
      <w:bookmarkEnd w:id="6"/>
    </w:p>
    <w:p w:rsidR="00FE0D44" w:rsidRPr="00AE7555" w:rsidRDefault="00622ADF" w:rsidP="007B162C">
      <w:pPr>
        <w:pStyle w:val="BodytextAgency"/>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t>VEYVONDI is f</w:t>
      </w:r>
      <w:r w:rsidR="002659E3" w:rsidRPr="00AE7555">
        <w:rPr>
          <w:rFonts w:ascii="Times New Roman" w:hAnsi="Times New Roman" w:cs="Times New Roman"/>
          <w:noProof/>
          <w:sz w:val="24"/>
          <w:szCs w:val="24"/>
        </w:rPr>
        <w:t>or intravenous use.</w:t>
      </w:r>
      <w:r>
        <w:rPr>
          <w:rFonts w:ascii="Times New Roman" w:hAnsi="Times New Roman" w:cs="Times New Roman"/>
          <w:noProof/>
          <w:sz w:val="24"/>
          <w:szCs w:val="24"/>
        </w:rPr>
        <w:t xml:space="preserve"> The reconstituted product should be inspected visually prior to administration.</w:t>
      </w:r>
      <w:r w:rsidR="00D31DCC">
        <w:rPr>
          <w:rFonts w:ascii="Times New Roman" w:hAnsi="Times New Roman" w:cs="Times New Roman"/>
          <w:noProof/>
          <w:sz w:val="24"/>
          <w:szCs w:val="24"/>
        </w:rPr>
        <w:t xml:space="preserve"> </w:t>
      </w:r>
      <w:r w:rsidR="00F76C87" w:rsidRPr="00F67144">
        <w:rPr>
          <w:rFonts w:ascii="Times New Roman" w:hAnsi="Times New Roman" w:cs="Times New Roman"/>
          <w:noProof/>
          <w:sz w:val="24"/>
          <w:szCs w:val="24"/>
        </w:rPr>
        <w:t>The reconstituted solution should be clear, colorless solution, free from particles.</w:t>
      </w:r>
      <w:r w:rsidR="00F76C87">
        <w:rPr>
          <w:rFonts w:ascii="Times New Roman" w:hAnsi="Times New Roman" w:cs="Times New Roman"/>
          <w:noProof/>
          <w:sz w:val="24"/>
          <w:szCs w:val="24"/>
        </w:rPr>
        <w:t xml:space="preserve"> </w:t>
      </w:r>
      <w:r w:rsidR="00F76C87" w:rsidRPr="00F67144">
        <w:rPr>
          <w:rFonts w:ascii="Times New Roman" w:hAnsi="Times New Roman" w:cs="Times New Roman"/>
          <w:noProof/>
          <w:sz w:val="24"/>
          <w:szCs w:val="24"/>
        </w:rPr>
        <w:t>Do not administer if particulate matter, or discoloration or cloudiness is</w:t>
      </w:r>
      <w:r w:rsidR="00C92F86">
        <w:rPr>
          <w:rFonts w:ascii="Times New Roman" w:hAnsi="Times New Roman" w:cs="Times New Roman"/>
          <w:noProof/>
          <w:sz w:val="24"/>
          <w:szCs w:val="24"/>
        </w:rPr>
        <w:t xml:space="preserve"> observed</w:t>
      </w:r>
      <w:r w:rsidR="00F76C87">
        <w:rPr>
          <w:rFonts w:ascii="Times New Roman" w:hAnsi="Times New Roman" w:cs="Times New Roman"/>
          <w:noProof/>
          <w:sz w:val="24"/>
          <w:szCs w:val="24"/>
        </w:rPr>
        <w:t>.</w:t>
      </w:r>
    </w:p>
    <w:p w:rsidR="00BA7CD0" w:rsidRDefault="00C468EA" w:rsidP="007B162C">
      <w:pPr>
        <w:pStyle w:val="BodytextAgency"/>
        <w:spacing w:before="120" w:after="120" w:line="240" w:lineRule="auto"/>
        <w:rPr>
          <w:rFonts w:ascii="Times New Roman" w:hAnsi="Times New Roman" w:cs="Times New Roman"/>
          <w:noProof/>
          <w:sz w:val="24"/>
          <w:szCs w:val="24"/>
        </w:rPr>
      </w:pPr>
      <w:r w:rsidRPr="00AE7555">
        <w:rPr>
          <w:rFonts w:ascii="Times New Roman" w:hAnsi="Times New Roman" w:cs="Times New Roman"/>
          <w:noProof/>
          <w:sz w:val="24"/>
          <w:szCs w:val="24"/>
        </w:rPr>
        <w:t xml:space="preserve">The rate of </w:t>
      </w:r>
      <w:r w:rsidR="00D03565">
        <w:rPr>
          <w:rFonts w:ascii="Times New Roman" w:hAnsi="Times New Roman" w:cs="Times New Roman"/>
          <w:noProof/>
          <w:sz w:val="24"/>
          <w:szCs w:val="24"/>
        </w:rPr>
        <w:t xml:space="preserve">administration should be </w:t>
      </w:r>
      <w:r w:rsidR="0041738C" w:rsidRPr="00AE7555">
        <w:rPr>
          <w:rFonts w:ascii="Times New Roman" w:hAnsi="Times New Roman" w:cs="Times New Roman"/>
          <w:noProof/>
          <w:sz w:val="24"/>
          <w:szCs w:val="24"/>
        </w:rPr>
        <w:t>slow enough to</w:t>
      </w:r>
      <w:r w:rsidRPr="00AE7555">
        <w:rPr>
          <w:rFonts w:ascii="Times New Roman" w:hAnsi="Times New Roman" w:cs="Times New Roman"/>
          <w:noProof/>
          <w:sz w:val="24"/>
          <w:szCs w:val="24"/>
        </w:rPr>
        <w:t xml:space="preserve"> ensure the comfort of the patient, up to a maximum of 4</w:t>
      </w:r>
      <w:r w:rsidR="002210E5" w:rsidRPr="00AE7555">
        <w:rPr>
          <w:rFonts w:ascii="Times New Roman" w:hAnsi="Times New Roman" w:cs="Times New Roman"/>
          <w:noProof/>
          <w:sz w:val="24"/>
          <w:szCs w:val="24"/>
        </w:rPr>
        <w:t> </w:t>
      </w:r>
      <w:r w:rsidR="00391F9A" w:rsidRPr="00AE7555">
        <w:rPr>
          <w:rFonts w:ascii="Times New Roman" w:hAnsi="Times New Roman" w:cs="Times New Roman"/>
          <w:noProof/>
          <w:sz w:val="24"/>
          <w:szCs w:val="24"/>
        </w:rPr>
        <w:t>mL</w:t>
      </w:r>
      <w:r w:rsidRPr="00AE7555">
        <w:rPr>
          <w:rFonts w:ascii="Times New Roman" w:hAnsi="Times New Roman" w:cs="Times New Roman"/>
          <w:noProof/>
          <w:sz w:val="24"/>
          <w:szCs w:val="24"/>
        </w:rPr>
        <w:t xml:space="preserve">/min. </w:t>
      </w:r>
    </w:p>
    <w:p w:rsidR="00C468EA" w:rsidRPr="00AE7555" w:rsidRDefault="00C468EA" w:rsidP="007B162C">
      <w:pPr>
        <w:pStyle w:val="BodytextAgency"/>
        <w:spacing w:before="120" w:after="120" w:line="240" w:lineRule="auto"/>
        <w:rPr>
          <w:rFonts w:ascii="Times New Roman" w:hAnsi="Times New Roman" w:cs="Times New Roman"/>
          <w:noProof/>
          <w:sz w:val="24"/>
          <w:szCs w:val="24"/>
        </w:rPr>
      </w:pPr>
      <w:r w:rsidRPr="00AE7555">
        <w:rPr>
          <w:rFonts w:ascii="Times New Roman" w:hAnsi="Times New Roman" w:cs="Times New Roman"/>
          <w:noProof/>
          <w:sz w:val="24"/>
          <w:szCs w:val="24"/>
        </w:rPr>
        <w:t>The patient should be observed for any immediate reaction. If any reaction</w:t>
      </w:r>
      <w:r w:rsidR="006F1870" w:rsidRPr="00AE7555">
        <w:rPr>
          <w:rFonts w:ascii="Times New Roman" w:hAnsi="Times New Roman" w:cs="Times New Roman"/>
          <w:noProof/>
          <w:sz w:val="24"/>
          <w:szCs w:val="24"/>
        </w:rPr>
        <w:t>, such as tachycardia,</w:t>
      </w:r>
      <w:r w:rsidRPr="00AE7555">
        <w:rPr>
          <w:rFonts w:ascii="Times New Roman" w:hAnsi="Times New Roman" w:cs="Times New Roman"/>
          <w:noProof/>
          <w:sz w:val="24"/>
          <w:szCs w:val="24"/>
        </w:rPr>
        <w:t xml:space="preserve"> </w:t>
      </w:r>
      <w:r w:rsidR="00A2176B" w:rsidRPr="00AE7555">
        <w:rPr>
          <w:rFonts w:ascii="Times New Roman" w:hAnsi="Times New Roman" w:cs="Times New Roman"/>
          <w:noProof/>
          <w:sz w:val="24"/>
          <w:szCs w:val="24"/>
        </w:rPr>
        <w:t>occurs</w:t>
      </w:r>
      <w:r w:rsidRPr="00AE7555">
        <w:rPr>
          <w:rFonts w:ascii="Times New Roman" w:hAnsi="Times New Roman" w:cs="Times New Roman"/>
          <w:noProof/>
          <w:sz w:val="24"/>
          <w:szCs w:val="24"/>
        </w:rPr>
        <w:t xml:space="preserve"> that might be related to the administration of the product, the rate of infusion should be </w:t>
      </w:r>
      <w:r w:rsidR="006F1870" w:rsidRPr="00AE7555">
        <w:rPr>
          <w:rFonts w:ascii="Times New Roman" w:hAnsi="Times New Roman" w:cs="Times New Roman"/>
          <w:noProof/>
          <w:sz w:val="24"/>
          <w:szCs w:val="24"/>
        </w:rPr>
        <w:t>reduced or stopped</w:t>
      </w:r>
      <w:r w:rsidRPr="00AE7555">
        <w:rPr>
          <w:rFonts w:ascii="Times New Roman" w:hAnsi="Times New Roman" w:cs="Times New Roman"/>
          <w:noProof/>
          <w:sz w:val="24"/>
          <w:szCs w:val="24"/>
        </w:rPr>
        <w:t xml:space="preserve"> as required by the clinical condition of the patient.</w:t>
      </w:r>
      <w:r w:rsidR="004B3B24" w:rsidRPr="00AE7555">
        <w:rPr>
          <w:rFonts w:ascii="Times New Roman" w:hAnsi="Times New Roman" w:cs="Times New Roman"/>
          <w:noProof/>
          <w:sz w:val="24"/>
          <w:szCs w:val="24"/>
        </w:rPr>
        <w:t xml:space="preserve"> </w:t>
      </w:r>
    </w:p>
    <w:p w:rsidR="00A13B70" w:rsidRDefault="000A6F6F" w:rsidP="007B162C">
      <w:pPr>
        <w:pStyle w:val="BodytextAgency"/>
        <w:spacing w:before="120" w:after="120" w:line="240" w:lineRule="auto"/>
        <w:rPr>
          <w:rFonts w:ascii="Times New Roman" w:hAnsi="Times New Roman" w:cs="Times New Roman"/>
          <w:noProof/>
          <w:sz w:val="24"/>
          <w:szCs w:val="24"/>
        </w:rPr>
      </w:pPr>
      <w:r w:rsidRPr="00AE7555">
        <w:rPr>
          <w:rFonts w:ascii="Times New Roman" w:hAnsi="Times New Roman" w:cs="Times New Roman"/>
          <w:noProof/>
          <w:sz w:val="24"/>
          <w:szCs w:val="24"/>
        </w:rPr>
        <w:lastRenderedPageBreak/>
        <w:t xml:space="preserve">When co-administration of rVWF and rFVIII is considered necessary, they can be pre-mixed in a single syringe to achieve the appropriate dose. The contents of each vial of rVWF and rFVIII can be drawn into a single syringe by using a separate unused reconstitution device (see </w:t>
      </w:r>
      <w:r w:rsidR="00843183">
        <w:rPr>
          <w:rFonts w:ascii="Times New Roman" w:hAnsi="Times New Roman" w:cs="Times New Roman"/>
          <w:noProof/>
          <w:sz w:val="24"/>
          <w:szCs w:val="24"/>
        </w:rPr>
        <w:t>Section</w:t>
      </w:r>
      <w:r w:rsidR="00C1607C">
        <w:rPr>
          <w:rFonts w:ascii="Times New Roman" w:hAnsi="Times New Roman" w:cs="Times New Roman"/>
          <w:noProof/>
          <w:sz w:val="24"/>
          <w:szCs w:val="24"/>
        </w:rPr>
        <w:t xml:space="preserve"> </w:t>
      </w:r>
      <w:r w:rsidR="00C1607C">
        <w:rPr>
          <w:rFonts w:ascii="Times New Roman" w:hAnsi="Times New Roman" w:cs="Times New Roman"/>
          <w:noProof/>
          <w:sz w:val="24"/>
          <w:szCs w:val="24"/>
        </w:rPr>
        <w:fldChar w:fldCharType="begin"/>
      </w:r>
      <w:r w:rsidR="00C1607C">
        <w:rPr>
          <w:rFonts w:ascii="Times New Roman" w:hAnsi="Times New Roman" w:cs="Times New Roman"/>
          <w:noProof/>
          <w:sz w:val="24"/>
          <w:szCs w:val="24"/>
        </w:rPr>
        <w:instrText xml:space="preserve"> REF _Ref527116419 \r \h </w:instrText>
      </w:r>
      <w:r w:rsidR="00C1607C">
        <w:rPr>
          <w:rFonts w:ascii="Times New Roman" w:hAnsi="Times New Roman" w:cs="Times New Roman"/>
          <w:noProof/>
          <w:sz w:val="24"/>
          <w:szCs w:val="24"/>
        </w:rPr>
      </w:r>
      <w:r w:rsidR="00C1607C">
        <w:rPr>
          <w:rFonts w:ascii="Times New Roman" w:hAnsi="Times New Roman" w:cs="Times New Roman"/>
          <w:noProof/>
          <w:sz w:val="24"/>
          <w:szCs w:val="24"/>
        </w:rPr>
        <w:instrText xml:space="preserve"> \* MERGEFORMAT </w:instrText>
      </w:r>
      <w:r w:rsidR="00C1607C">
        <w:rPr>
          <w:rFonts w:ascii="Times New Roman" w:hAnsi="Times New Roman" w:cs="Times New Roman"/>
          <w:noProof/>
          <w:sz w:val="24"/>
          <w:szCs w:val="24"/>
        </w:rPr>
        <w:fldChar w:fldCharType="separate"/>
      </w:r>
      <w:r w:rsidR="00C1607C">
        <w:rPr>
          <w:rFonts w:ascii="Times New Roman" w:hAnsi="Times New Roman" w:cs="Times New Roman"/>
          <w:noProof/>
          <w:sz w:val="24"/>
          <w:szCs w:val="24"/>
        </w:rPr>
        <w:t>6.2</w:t>
      </w:r>
      <w:r w:rsidR="00C1607C">
        <w:rPr>
          <w:rFonts w:ascii="Times New Roman" w:hAnsi="Times New Roman" w:cs="Times New Roman"/>
          <w:noProof/>
          <w:sz w:val="24"/>
          <w:szCs w:val="24"/>
        </w:rPr>
        <w:fldChar w:fldCharType="end"/>
      </w:r>
      <w:r w:rsidR="00C1607C">
        <w:rPr>
          <w:rFonts w:ascii="Times New Roman" w:hAnsi="Times New Roman" w:cs="Times New Roman"/>
          <w:noProof/>
          <w:sz w:val="24"/>
          <w:szCs w:val="24"/>
        </w:rPr>
        <w:t xml:space="preserve"> </w:t>
      </w:r>
      <w:r w:rsidR="00C1607C">
        <w:rPr>
          <w:rFonts w:ascii="Times New Roman" w:hAnsi="Times New Roman" w:cs="Times New Roman"/>
          <w:noProof/>
          <w:sz w:val="24"/>
          <w:szCs w:val="24"/>
        </w:rPr>
        <w:fldChar w:fldCharType="begin"/>
      </w:r>
      <w:r w:rsidR="00C1607C">
        <w:rPr>
          <w:rFonts w:ascii="Times New Roman" w:hAnsi="Times New Roman" w:cs="Times New Roman"/>
          <w:noProof/>
          <w:sz w:val="24"/>
          <w:szCs w:val="24"/>
        </w:rPr>
        <w:instrText xml:space="preserve"> REF _Ref527116419 \h </w:instrText>
      </w:r>
      <w:r w:rsidR="00C1607C">
        <w:rPr>
          <w:rFonts w:ascii="Times New Roman" w:hAnsi="Times New Roman" w:cs="Times New Roman"/>
          <w:noProof/>
          <w:sz w:val="24"/>
          <w:szCs w:val="24"/>
        </w:rPr>
      </w:r>
      <w:r w:rsidR="00C1607C">
        <w:rPr>
          <w:rFonts w:ascii="Times New Roman" w:hAnsi="Times New Roman" w:cs="Times New Roman"/>
          <w:noProof/>
          <w:sz w:val="24"/>
          <w:szCs w:val="24"/>
        </w:rPr>
        <w:instrText xml:space="preserve"> \* MERGEFORMAT </w:instrText>
      </w:r>
      <w:r w:rsidR="00C1607C">
        <w:rPr>
          <w:rFonts w:ascii="Times New Roman" w:hAnsi="Times New Roman" w:cs="Times New Roman"/>
          <w:noProof/>
          <w:sz w:val="24"/>
          <w:szCs w:val="24"/>
        </w:rPr>
        <w:fldChar w:fldCharType="separate"/>
      </w:r>
      <w:r w:rsidR="00C1607C" w:rsidRPr="00C1607C">
        <w:rPr>
          <w:rFonts w:ascii="Times New Roman" w:hAnsi="Times New Roman" w:cs="Times New Roman"/>
          <w:noProof/>
          <w:sz w:val="24"/>
          <w:szCs w:val="24"/>
        </w:rPr>
        <w:t>INCOMPATIBILITIES</w:t>
      </w:r>
      <w:r w:rsidR="00C1607C">
        <w:rPr>
          <w:rFonts w:ascii="Times New Roman" w:hAnsi="Times New Roman" w:cs="Times New Roman"/>
          <w:noProof/>
          <w:sz w:val="24"/>
          <w:szCs w:val="24"/>
        </w:rPr>
        <w:fldChar w:fldCharType="end"/>
      </w:r>
      <w:r w:rsidRPr="00AE7555">
        <w:rPr>
          <w:rFonts w:ascii="Times New Roman" w:hAnsi="Times New Roman" w:cs="Times New Roman"/>
          <w:noProof/>
          <w:sz w:val="24"/>
          <w:szCs w:val="24"/>
        </w:rPr>
        <w:t>).</w:t>
      </w:r>
    </w:p>
    <w:p w:rsidR="00D22631" w:rsidRPr="00BD6FBE" w:rsidRDefault="00D22631" w:rsidP="00D22631">
      <w:pPr>
        <w:pStyle w:val="Heading3"/>
        <w:numPr>
          <w:ilvl w:val="0"/>
          <w:numId w:val="0"/>
        </w:numPr>
        <w:spacing w:before="120" w:after="120"/>
        <w:ind w:left="907" w:hanging="907"/>
        <w:rPr>
          <w:i/>
          <w:iCs/>
        </w:rPr>
      </w:pPr>
      <w:bookmarkStart w:id="7" w:name="_Ref527120894"/>
      <w:bookmarkStart w:id="8" w:name="_Ref4489880"/>
      <w:r>
        <w:rPr>
          <w:i/>
          <w:iCs/>
        </w:rPr>
        <w:t>Instructions for use</w:t>
      </w:r>
      <w:bookmarkEnd w:id="7"/>
      <w:bookmarkEnd w:id="8"/>
    </w:p>
    <w:p w:rsidR="00D22631" w:rsidRPr="00504380" w:rsidRDefault="00D22631" w:rsidP="00D22631">
      <w:pPr>
        <w:pStyle w:val="Heading4"/>
        <w:numPr>
          <w:ilvl w:val="0"/>
          <w:numId w:val="0"/>
        </w:numPr>
        <w:spacing w:before="120" w:after="120"/>
        <w:ind w:left="907" w:hanging="907"/>
        <w:rPr>
          <w:bCs w:val="0"/>
          <w:noProof/>
          <w:szCs w:val="24"/>
          <w:u w:val="single"/>
        </w:rPr>
      </w:pPr>
      <w:r w:rsidRPr="00504380">
        <w:rPr>
          <w:bCs w:val="0"/>
          <w:noProof/>
          <w:szCs w:val="24"/>
          <w:u w:val="single"/>
        </w:rPr>
        <w:t>General Instructions</w:t>
      </w:r>
    </w:p>
    <w:p w:rsidR="00D22631" w:rsidRPr="00504380" w:rsidRDefault="00D22631" w:rsidP="00D22631">
      <w:pPr>
        <w:pStyle w:val="BodytextAgency"/>
        <w:numPr>
          <w:ilvl w:val="0"/>
          <w:numId w:val="14"/>
        </w:numPr>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t>Check the expiry date</w:t>
      </w:r>
      <w:r w:rsidRPr="00504380">
        <w:rPr>
          <w:rFonts w:ascii="Times New Roman" w:hAnsi="Times New Roman" w:cs="Times New Roman"/>
          <w:noProof/>
          <w:sz w:val="24"/>
          <w:szCs w:val="24"/>
        </w:rPr>
        <w:t>. Do not use after the expiry date stated on the labels and carton.</w:t>
      </w:r>
    </w:p>
    <w:p w:rsidR="00D22631" w:rsidRPr="00504380" w:rsidRDefault="00D22631" w:rsidP="00D22631">
      <w:pPr>
        <w:pStyle w:val="BodytextAgency"/>
        <w:numPr>
          <w:ilvl w:val="0"/>
          <w:numId w:val="14"/>
        </w:numPr>
        <w:spacing w:after="120" w:line="240" w:lineRule="auto"/>
        <w:rPr>
          <w:rFonts w:ascii="Times New Roman" w:hAnsi="Times New Roman" w:cs="Times New Roman"/>
          <w:noProof/>
          <w:sz w:val="24"/>
          <w:szCs w:val="24"/>
        </w:rPr>
      </w:pPr>
      <w:r w:rsidRPr="00504380">
        <w:rPr>
          <w:rFonts w:ascii="Times New Roman" w:hAnsi="Times New Roman" w:cs="Times New Roman"/>
          <w:noProof/>
          <w:sz w:val="24"/>
          <w:szCs w:val="24"/>
        </w:rPr>
        <w:t xml:space="preserve">Ensure that the VEYVONDI </w:t>
      </w:r>
      <w:r>
        <w:rPr>
          <w:rFonts w:ascii="Times New Roman" w:hAnsi="Times New Roman" w:cs="Times New Roman"/>
          <w:noProof/>
          <w:sz w:val="24"/>
          <w:szCs w:val="24"/>
        </w:rPr>
        <w:t xml:space="preserve">powder vial and the </w:t>
      </w:r>
      <w:r w:rsidRPr="00504380">
        <w:rPr>
          <w:rFonts w:ascii="Times New Roman" w:hAnsi="Times New Roman" w:cs="Times New Roman"/>
          <w:noProof/>
          <w:sz w:val="24"/>
          <w:szCs w:val="24"/>
        </w:rPr>
        <w:t>solvent</w:t>
      </w:r>
      <w:r>
        <w:rPr>
          <w:rFonts w:ascii="Times New Roman" w:hAnsi="Times New Roman" w:cs="Times New Roman"/>
          <w:noProof/>
          <w:sz w:val="24"/>
          <w:szCs w:val="24"/>
        </w:rPr>
        <w:t xml:space="preserve"> vial</w:t>
      </w:r>
      <w:r w:rsidRPr="00504380">
        <w:rPr>
          <w:rFonts w:ascii="Times New Roman" w:hAnsi="Times New Roman" w:cs="Times New Roman"/>
          <w:noProof/>
          <w:sz w:val="24"/>
          <w:szCs w:val="24"/>
        </w:rPr>
        <w:t xml:space="preserve"> are at room temperature prior to preparation. </w:t>
      </w:r>
    </w:p>
    <w:p w:rsidR="00D22631" w:rsidRPr="00504380" w:rsidRDefault="00D22631" w:rsidP="00D22631">
      <w:pPr>
        <w:pStyle w:val="BodytextAgency"/>
        <w:numPr>
          <w:ilvl w:val="0"/>
          <w:numId w:val="14"/>
        </w:numPr>
        <w:spacing w:after="120" w:line="240" w:lineRule="auto"/>
        <w:rPr>
          <w:rFonts w:ascii="Times New Roman" w:hAnsi="Times New Roman" w:cs="Times New Roman"/>
          <w:noProof/>
          <w:sz w:val="24"/>
          <w:szCs w:val="24"/>
        </w:rPr>
      </w:pPr>
      <w:r w:rsidRPr="00504380">
        <w:rPr>
          <w:rFonts w:ascii="Times New Roman" w:hAnsi="Times New Roman" w:cs="Times New Roman"/>
          <w:noProof/>
          <w:sz w:val="24"/>
          <w:szCs w:val="24"/>
        </w:rPr>
        <w:t>Use antiseptic technique (clean and low</w:t>
      </w:r>
      <w:r w:rsidRPr="00504380">
        <w:rPr>
          <w:rFonts w:ascii="Times New Roman" w:hAnsi="Times New Roman" w:cs="Times New Roman"/>
          <w:noProof/>
          <w:sz w:val="24"/>
          <w:szCs w:val="24"/>
        </w:rPr>
        <w:noBreakHyphen/>
        <w:t>germ conditions) and a flat work surface during the reconstitution procedure. Wash your hands and put on clean exam gloves</w:t>
      </w:r>
      <w:r>
        <w:rPr>
          <w:rFonts w:ascii="Times New Roman" w:hAnsi="Times New Roman" w:cs="Times New Roman"/>
          <w:noProof/>
          <w:sz w:val="24"/>
          <w:szCs w:val="24"/>
        </w:rPr>
        <w:t xml:space="preserve"> (the use of gloves is optional)</w:t>
      </w:r>
      <w:r w:rsidRPr="00504380">
        <w:rPr>
          <w:rFonts w:ascii="Times New Roman" w:hAnsi="Times New Roman" w:cs="Times New Roman"/>
          <w:noProof/>
          <w:sz w:val="24"/>
          <w:szCs w:val="24"/>
        </w:rPr>
        <w:t>.</w:t>
      </w:r>
    </w:p>
    <w:p w:rsidR="00D22631" w:rsidRDefault="00D22631" w:rsidP="00D22631">
      <w:pPr>
        <w:pStyle w:val="BodytextAgency"/>
        <w:numPr>
          <w:ilvl w:val="0"/>
          <w:numId w:val="14"/>
        </w:numPr>
        <w:spacing w:after="120" w:line="240" w:lineRule="auto"/>
        <w:rPr>
          <w:rFonts w:ascii="Times New Roman" w:hAnsi="Times New Roman" w:cs="Times New Roman"/>
          <w:noProof/>
          <w:sz w:val="24"/>
          <w:szCs w:val="24"/>
        </w:rPr>
      </w:pPr>
      <w:r>
        <w:rPr>
          <w:rFonts w:ascii="Times New Roman" w:hAnsi="Times New Roman" w:cs="Times New Roman"/>
          <w:noProof/>
          <w:sz w:val="24"/>
          <w:szCs w:val="24"/>
        </w:rPr>
        <w:t>Use the reconstituted product (after mixing the powder with the supplied</w:t>
      </w:r>
      <w:r w:rsidR="00F76C87">
        <w:rPr>
          <w:rFonts w:ascii="Times New Roman" w:hAnsi="Times New Roman" w:cs="Times New Roman"/>
          <w:noProof/>
          <w:sz w:val="24"/>
          <w:szCs w:val="24"/>
        </w:rPr>
        <w:t xml:space="preserve"> solvent</w:t>
      </w:r>
      <w:r>
        <w:rPr>
          <w:rFonts w:ascii="Times New Roman" w:hAnsi="Times New Roman" w:cs="Times New Roman"/>
          <w:noProof/>
          <w:sz w:val="24"/>
          <w:szCs w:val="24"/>
        </w:rPr>
        <w:t>) as soon as possible and within three hours. The reconstituted product may be stored at room temperature not to exceed 25◦C for up to three hours.</w:t>
      </w:r>
    </w:p>
    <w:p w:rsidR="00D22631" w:rsidRPr="00AE7555" w:rsidRDefault="00D22631" w:rsidP="00D22631">
      <w:pPr>
        <w:pStyle w:val="BodytextAgency"/>
        <w:numPr>
          <w:ilvl w:val="0"/>
          <w:numId w:val="14"/>
        </w:numPr>
        <w:spacing w:after="120" w:line="240" w:lineRule="auto"/>
        <w:rPr>
          <w:rFonts w:ascii="Times New Roman" w:hAnsi="Times New Roman" w:cs="Times New Roman"/>
          <w:noProof/>
          <w:sz w:val="24"/>
          <w:szCs w:val="24"/>
        </w:rPr>
      </w:pPr>
      <w:r>
        <w:rPr>
          <w:rFonts w:ascii="Times New Roman" w:hAnsi="Times New Roman" w:cs="Times New Roman"/>
          <w:noProof/>
          <w:sz w:val="24"/>
          <w:szCs w:val="24"/>
        </w:rPr>
        <w:t>The r</w:t>
      </w:r>
      <w:r w:rsidRPr="00AE7555">
        <w:rPr>
          <w:rFonts w:ascii="Times New Roman" w:hAnsi="Times New Roman" w:cs="Times New Roman"/>
          <w:noProof/>
          <w:sz w:val="24"/>
          <w:szCs w:val="24"/>
        </w:rPr>
        <w:t xml:space="preserve">econstituted </w:t>
      </w:r>
      <w:r>
        <w:rPr>
          <w:rFonts w:ascii="Times New Roman" w:hAnsi="Times New Roman" w:cs="Times New Roman"/>
          <w:noProof/>
          <w:sz w:val="24"/>
          <w:szCs w:val="24"/>
        </w:rPr>
        <w:t xml:space="preserve">solution </w:t>
      </w:r>
      <w:r w:rsidRPr="00AE7555">
        <w:rPr>
          <w:rFonts w:ascii="Times New Roman" w:hAnsi="Times New Roman" w:cs="Times New Roman"/>
          <w:noProof/>
          <w:sz w:val="24"/>
          <w:szCs w:val="24"/>
        </w:rPr>
        <w:t xml:space="preserve">should be inspected visually prior to administration. </w:t>
      </w:r>
    </w:p>
    <w:p w:rsidR="00D22631" w:rsidRPr="00504380" w:rsidRDefault="00D22631" w:rsidP="00D22631">
      <w:pPr>
        <w:pStyle w:val="BodytextAgency"/>
        <w:numPr>
          <w:ilvl w:val="0"/>
          <w:numId w:val="14"/>
        </w:numPr>
        <w:spacing w:after="120" w:line="240" w:lineRule="auto"/>
        <w:rPr>
          <w:rFonts w:ascii="Times New Roman" w:hAnsi="Times New Roman" w:cs="Times New Roman"/>
          <w:noProof/>
          <w:sz w:val="24"/>
          <w:szCs w:val="24"/>
        </w:rPr>
      </w:pPr>
      <w:r w:rsidRPr="00504380">
        <w:rPr>
          <w:rFonts w:ascii="Times New Roman" w:hAnsi="Times New Roman" w:cs="Times New Roman"/>
          <w:noProof/>
          <w:sz w:val="24"/>
          <w:szCs w:val="24"/>
        </w:rPr>
        <w:t>Use plastic syringes with this product because proteins in the product tend to stick to the surface of glass syringes.</w:t>
      </w:r>
    </w:p>
    <w:p w:rsidR="00D22631" w:rsidRPr="00504380" w:rsidRDefault="00D22631" w:rsidP="00D22631">
      <w:pPr>
        <w:pStyle w:val="BodytextAgency"/>
        <w:numPr>
          <w:ilvl w:val="0"/>
          <w:numId w:val="14"/>
        </w:numPr>
        <w:spacing w:after="120" w:line="240" w:lineRule="auto"/>
        <w:rPr>
          <w:rFonts w:ascii="Times New Roman" w:hAnsi="Times New Roman" w:cs="Times New Roman"/>
          <w:noProof/>
          <w:sz w:val="24"/>
          <w:szCs w:val="24"/>
        </w:rPr>
      </w:pPr>
      <w:r w:rsidRPr="00504380">
        <w:rPr>
          <w:rFonts w:ascii="Times New Roman" w:hAnsi="Times New Roman" w:cs="Times New Roman"/>
          <w:noProof/>
          <w:sz w:val="24"/>
          <w:szCs w:val="24"/>
        </w:rPr>
        <w:t xml:space="preserve">Do not mix </w:t>
      </w:r>
      <w:r>
        <w:rPr>
          <w:rFonts w:ascii="Times New Roman" w:hAnsi="Times New Roman" w:cs="Times New Roman"/>
          <w:noProof/>
          <w:sz w:val="24"/>
          <w:szCs w:val="24"/>
        </w:rPr>
        <w:t>VEYVONDI</w:t>
      </w:r>
      <w:r w:rsidRPr="00504380">
        <w:rPr>
          <w:rFonts w:ascii="Times New Roman" w:hAnsi="Times New Roman" w:cs="Times New Roman"/>
          <w:noProof/>
          <w:sz w:val="24"/>
          <w:szCs w:val="24"/>
        </w:rPr>
        <w:t xml:space="preserve"> with other medicinal products except for rFVIII</w:t>
      </w:r>
      <w:r>
        <w:rPr>
          <w:rFonts w:ascii="Times New Roman" w:hAnsi="Times New Roman" w:cs="Times New Roman"/>
          <w:noProof/>
          <w:sz w:val="24"/>
          <w:szCs w:val="24"/>
        </w:rPr>
        <w:t xml:space="preserve"> (see Section </w:t>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REF _Ref527116419 \r \h </w:instrText>
      </w:r>
      <w:r>
        <w:rPr>
          <w:rFonts w:ascii="Times New Roman" w:hAnsi="Times New Roman" w:cs="Times New Roman"/>
          <w:noProof/>
          <w:sz w:val="24"/>
          <w:szCs w:val="24"/>
        </w:rPr>
      </w:r>
      <w:r>
        <w:rPr>
          <w:rFonts w:ascii="Times New Roman" w:hAnsi="Times New Roman" w:cs="Times New Roman"/>
          <w:noProof/>
          <w:sz w:val="24"/>
          <w:szCs w:val="24"/>
        </w:rPr>
        <w:instrText xml:space="preserve"> \* MERGEFORMAT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t>6.2</w:t>
      </w:r>
      <w:r>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w:t>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REF _Ref527116419 \h </w:instrText>
      </w:r>
      <w:r>
        <w:rPr>
          <w:rFonts w:ascii="Times New Roman" w:hAnsi="Times New Roman" w:cs="Times New Roman"/>
          <w:noProof/>
          <w:sz w:val="24"/>
          <w:szCs w:val="24"/>
        </w:rPr>
      </w:r>
      <w:r>
        <w:rPr>
          <w:rFonts w:ascii="Times New Roman" w:hAnsi="Times New Roman" w:cs="Times New Roman"/>
          <w:noProof/>
          <w:sz w:val="24"/>
          <w:szCs w:val="24"/>
        </w:rPr>
        <w:instrText xml:space="preserve"> \* MERGEFORMAT </w:instrText>
      </w:r>
      <w:r>
        <w:rPr>
          <w:rFonts w:ascii="Times New Roman" w:hAnsi="Times New Roman" w:cs="Times New Roman"/>
          <w:noProof/>
          <w:sz w:val="24"/>
          <w:szCs w:val="24"/>
        </w:rPr>
        <w:fldChar w:fldCharType="separate"/>
      </w:r>
      <w:r w:rsidRPr="00D22631">
        <w:rPr>
          <w:rFonts w:ascii="Times New Roman" w:hAnsi="Times New Roman" w:cs="Times New Roman"/>
          <w:noProof/>
          <w:sz w:val="24"/>
          <w:szCs w:val="24"/>
        </w:rPr>
        <w:t>INCOMPATIBILITIES</w:t>
      </w:r>
      <w:r>
        <w:rPr>
          <w:rFonts w:ascii="Times New Roman" w:hAnsi="Times New Roman" w:cs="Times New Roman"/>
          <w:noProof/>
          <w:sz w:val="24"/>
          <w:szCs w:val="24"/>
        </w:rPr>
        <w:fldChar w:fldCharType="end"/>
      </w:r>
      <w:r w:rsidRPr="00AE7555">
        <w:rPr>
          <w:rFonts w:ascii="Times New Roman" w:hAnsi="Times New Roman" w:cs="Times New Roman"/>
          <w:noProof/>
          <w:sz w:val="24"/>
          <w:szCs w:val="24"/>
        </w:rPr>
        <w:t>).</w:t>
      </w:r>
    </w:p>
    <w:p w:rsidR="00D22631" w:rsidRPr="00504380" w:rsidRDefault="00D22631" w:rsidP="00D22631">
      <w:pPr>
        <w:pStyle w:val="Heading4"/>
        <w:numPr>
          <w:ilvl w:val="0"/>
          <w:numId w:val="0"/>
        </w:numPr>
        <w:spacing w:before="120" w:after="120"/>
        <w:ind w:left="907" w:hanging="907"/>
        <w:rPr>
          <w:bCs w:val="0"/>
          <w:noProof/>
          <w:szCs w:val="24"/>
          <w:u w:val="single"/>
        </w:rPr>
      </w:pPr>
      <w:r>
        <w:rPr>
          <w:bCs w:val="0"/>
          <w:noProof/>
          <w:szCs w:val="24"/>
          <w:u w:val="single"/>
        </w:rPr>
        <w:t>Reconstitution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2410"/>
      </w:tblGrid>
      <w:tr w:rsidR="00D22631" w:rsidRPr="00E0661E" w:rsidTr="00991F4E">
        <w:tc>
          <w:tcPr>
            <w:tcW w:w="567" w:type="dxa"/>
            <w:shd w:val="clear" w:color="auto" w:fill="auto"/>
          </w:tcPr>
          <w:p w:rsidR="00D22631" w:rsidRPr="00BA7CD0" w:rsidRDefault="00D22631" w:rsidP="00CC4980">
            <w:pPr>
              <w:pStyle w:val="TableText"/>
              <w:spacing w:before="120" w:after="120"/>
              <w:rPr>
                <w:sz w:val="24"/>
              </w:rPr>
            </w:pPr>
            <w:r w:rsidRPr="00BA7CD0">
              <w:rPr>
                <w:sz w:val="24"/>
              </w:rPr>
              <w:t>1.</w:t>
            </w:r>
          </w:p>
        </w:tc>
        <w:tc>
          <w:tcPr>
            <w:tcW w:w="6521" w:type="dxa"/>
            <w:shd w:val="clear" w:color="auto" w:fill="auto"/>
          </w:tcPr>
          <w:p w:rsidR="00D22631" w:rsidRPr="00BA7CD0" w:rsidRDefault="00D22631" w:rsidP="00CC4980">
            <w:pPr>
              <w:pStyle w:val="TableText"/>
              <w:spacing w:before="120" w:after="120"/>
              <w:rPr>
                <w:sz w:val="24"/>
              </w:rPr>
            </w:pPr>
            <w:r w:rsidRPr="00BA7CD0">
              <w:rPr>
                <w:sz w:val="24"/>
              </w:rPr>
              <w:t>Remove the caps from the VEYVONDI powder and solvent vials to expose the center of the rubber stoppers.</w:t>
            </w:r>
          </w:p>
        </w:tc>
        <w:tc>
          <w:tcPr>
            <w:tcW w:w="2410" w:type="dxa"/>
            <w:shd w:val="clear" w:color="auto" w:fill="auto"/>
          </w:tcPr>
          <w:p w:rsidR="00D22631" w:rsidRPr="00C72D48" w:rsidRDefault="00D22631" w:rsidP="00B6177D">
            <w:pPr>
              <w:pStyle w:val="TableHead"/>
              <w:contextualSpacing/>
              <w:rPr>
                <w:b w:val="0"/>
              </w:rPr>
            </w:pPr>
            <w:r w:rsidRPr="00C72D48">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6" type="#_x0000_t75" alt="26857_Fig" style="width:81.4pt;height:80.15pt;visibility:visible">
                  <v:imagedata r:id="rId13" o:title="26857_Fig" croptop="3584f" cropbottom="3584f" cropleft="2560f" cropright="3584f"/>
                </v:shape>
              </w:pict>
            </w:r>
          </w:p>
        </w:tc>
      </w:tr>
      <w:tr w:rsidR="00D22631" w:rsidRPr="00E0661E" w:rsidTr="00991F4E">
        <w:tc>
          <w:tcPr>
            <w:tcW w:w="567" w:type="dxa"/>
            <w:shd w:val="clear" w:color="auto" w:fill="auto"/>
          </w:tcPr>
          <w:p w:rsidR="00D22631" w:rsidRPr="00BA7CD0" w:rsidRDefault="00D22631" w:rsidP="00CC4980">
            <w:pPr>
              <w:pStyle w:val="TableText"/>
              <w:spacing w:before="120" w:after="120"/>
              <w:rPr>
                <w:sz w:val="24"/>
              </w:rPr>
            </w:pPr>
            <w:r w:rsidRPr="00BA7CD0">
              <w:rPr>
                <w:sz w:val="24"/>
              </w:rPr>
              <w:t>2.</w:t>
            </w:r>
          </w:p>
        </w:tc>
        <w:tc>
          <w:tcPr>
            <w:tcW w:w="6521" w:type="dxa"/>
            <w:shd w:val="clear" w:color="auto" w:fill="auto"/>
          </w:tcPr>
          <w:p w:rsidR="00D22631" w:rsidRPr="00BA7CD0" w:rsidRDefault="00D22631" w:rsidP="00CC4980">
            <w:pPr>
              <w:pStyle w:val="TableText"/>
              <w:spacing w:before="120" w:after="120"/>
              <w:ind w:right="34"/>
              <w:rPr>
                <w:sz w:val="24"/>
              </w:rPr>
            </w:pPr>
            <w:r w:rsidRPr="00BA7CD0">
              <w:rPr>
                <w:sz w:val="24"/>
              </w:rPr>
              <w:t>Disinfect each stopper with a separate sterile alcohol swab by wiping the stopper for several seconds. Allow the rubber stopper to dry. Place the vials on a flat surface.</w:t>
            </w:r>
          </w:p>
        </w:tc>
        <w:tc>
          <w:tcPr>
            <w:tcW w:w="2410" w:type="dxa"/>
            <w:shd w:val="clear" w:color="auto" w:fill="auto"/>
          </w:tcPr>
          <w:p w:rsidR="00D22631" w:rsidRPr="00C72D48" w:rsidRDefault="00D22631" w:rsidP="00B6177D">
            <w:pPr>
              <w:pStyle w:val="TableCenter"/>
              <w:spacing w:before="60"/>
              <w:contextualSpacing/>
            </w:pPr>
            <w:r w:rsidRPr="00C72D48">
              <w:rPr>
                <w:noProof/>
              </w:rPr>
              <w:pict>
                <v:shape id="Picture 7" o:spid="_x0000_i1027" type="#_x0000_t75" style="width:85.15pt;height:87.05pt;visibility:visible">
                  <v:imagedata r:id="rId14" o:title="" croptop="2829f" cropbottom="2357f" cropleft="3772f" cropright="2829f"/>
                </v:shape>
              </w:pict>
            </w:r>
          </w:p>
        </w:tc>
      </w:tr>
      <w:tr w:rsidR="00D22631" w:rsidRPr="00E0661E" w:rsidTr="00991F4E">
        <w:tc>
          <w:tcPr>
            <w:tcW w:w="567" w:type="dxa"/>
            <w:shd w:val="clear" w:color="auto" w:fill="auto"/>
          </w:tcPr>
          <w:p w:rsidR="00D22631" w:rsidRPr="00BA7CD0" w:rsidRDefault="00D22631" w:rsidP="00CC4980">
            <w:pPr>
              <w:pStyle w:val="TableText"/>
              <w:keepNext/>
              <w:keepLines/>
              <w:spacing w:before="120" w:after="120"/>
              <w:rPr>
                <w:sz w:val="24"/>
              </w:rPr>
            </w:pPr>
            <w:r w:rsidRPr="00BA7CD0">
              <w:rPr>
                <w:sz w:val="24"/>
              </w:rPr>
              <w:lastRenderedPageBreak/>
              <w:t>3.</w:t>
            </w:r>
          </w:p>
        </w:tc>
        <w:tc>
          <w:tcPr>
            <w:tcW w:w="8931" w:type="dxa"/>
            <w:gridSpan w:val="2"/>
            <w:shd w:val="clear" w:color="auto" w:fill="auto"/>
          </w:tcPr>
          <w:p w:rsidR="00D22631" w:rsidRPr="00CB2A4A" w:rsidRDefault="00D22631" w:rsidP="00CC4980">
            <w:pPr>
              <w:pStyle w:val="TableText"/>
              <w:keepNext/>
              <w:keepLines/>
              <w:spacing w:before="120" w:after="120"/>
            </w:pPr>
            <w:r w:rsidRPr="00BA7CD0">
              <w:rPr>
                <w:sz w:val="24"/>
              </w:rPr>
              <w:t>Open the Mix2Vial device package by completely peeling away the lid, without touching the inside of the package. Do not remove the Mix2Vial device from the package.</w:t>
            </w:r>
          </w:p>
        </w:tc>
      </w:tr>
      <w:tr w:rsidR="00D22631" w:rsidRPr="00E0661E" w:rsidTr="00991F4E">
        <w:tc>
          <w:tcPr>
            <w:tcW w:w="567" w:type="dxa"/>
            <w:shd w:val="clear" w:color="auto" w:fill="auto"/>
          </w:tcPr>
          <w:p w:rsidR="00D22631" w:rsidRPr="00BA7CD0" w:rsidRDefault="00D22631" w:rsidP="00CC4980">
            <w:pPr>
              <w:pStyle w:val="TableText"/>
              <w:spacing w:before="120" w:after="120"/>
              <w:rPr>
                <w:sz w:val="24"/>
              </w:rPr>
            </w:pPr>
            <w:r w:rsidRPr="00BA7CD0">
              <w:rPr>
                <w:sz w:val="24"/>
              </w:rPr>
              <w:t>4.</w:t>
            </w:r>
          </w:p>
        </w:tc>
        <w:tc>
          <w:tcPr>
            <w:tcW w:w="6521" w:type="dxa"/>
            <w:shd w:val="clear" w:color="auto" w:fill="auto"/>
          </w:tcPr>
          <w:p w:rsidR="00D22631" w:rsidRPr="00BA7CD0" w:rsidRDefault="00D22631" w:rsidP="00F76C87">
            <w:pPr>
              <w:pStyle w:val="TableText"/>
              <w:spacing w:before="120" w:after="120"/>
              <w:rPr>
                <w:sz w:val="24"/>
              </w:rPr>
            </w:pPr>
            <w:r w:rsidRPr="00BA7CD0">
              <w:rPr>
                <w:sz w:val="24"/>
              </w:rPr>
              <w:t>Turn the package with the Mix2Vial device upside down and place it over the top of the solvent vial. Firmly insert the blue plastic spike of the device into the center of the solvent vial stopper by pushing straight down. Grip the package at its edge and lift it off the Mix2Vial device. Be careful not to touch the clear plastic spike. The solvent vial now has the Mix2Vial device connected to it and is ready to be connected to the VEYVONDI</w:t>
            </w:r>
            <w:r w:rsidR="00F76C87">
              <w:rPr>
                <w:sz w:val="24"/>
              </w:rPr>
              <w:t xml:space="preserve"> powder</w:t>
            </w:r>
            <w:r w:rsidRPr="00BA7CD0">
              <w:rPr>
                <w:sz w:val="24"/>
              </w:rPr>
              <w:t xml:space="preserve"> vial.</w:t>
            </w:r>
          </w:p>
        </w:tc>
        <w:tc>
          <w:tcPr>
            <w:tcW w:w="2410" w:type="dxa"/>
            <w:shd w:val="clear" w:color="auto" w:fill="auto"/>
            <w:vAlign w:val="center"/>
          </w:tcPr>
          <w:p w:rsidR="00D22631" w:rsidRPr="00C72D48" w:rsidRDefault="00D22631" w:rsidP="00B6177D">
            <w:pPr>
              <w:pStyle w:val="TableCenter"/>
              <w:spacing w:before="60"/>
              <w:ind w:left="-108" w:right="-108"/>
              <w:contextualSpacing/>
            </w:pPr>
            <w:r w:rsidRPr="00C72D48">
              <w:rPr>
                <w:noProof/>
              </w:rPr>
              <w:pict>
                <v:shape id="Picture 16" o:spid="_x0000_i1028" type="#_x0000_t75" style="width:110.2pt;height:83.25pt;visibility:visible">
                  <v:imagedata r:id="rId15" o:title="" cropleft="2341f"/>
                </v:shape>
              </w:pict>
            </w:r>
          </w:p>
        </w:tc>
      </w:tr>
      <w:tr w:rsidR="00D22631" w:rsidRPr="00E0661E" w:rsidTr="00991F4E">
        <w:tc>
          <w:tcPr>
            <w:tcW w:w="567" w:type="dxa"/>
            <w:shd w:val="clear" w:color="auto" w:fill="auto"/>
          </w:tcPr>
          <w:p w:rsidR="00D22631" w:rsidRPr="00BA7CD0" w:rsidRDefault="00D22631" w:rsidP="00CC4980">
            <w:pPr>
              <w:pStyle w:val="TableText"/>
              <w:spacing w:before="120" w:after="120"/>
              <w:rPr>
                <w:sz w:val="24"/>
              </w:rPr>
            </w:pPr>
            <w:r w:rsidRPr="00BA7CD0">
              <w:rPr>
                <w:sz w:val="24"/>
              </w:rPr>
              <w:t>5.</w:t>
            </w:r>
          </w:p>
        </w:tc>
        <w:tc>
          <w:tcPr>
            <w:tcW w:w="6521" w:type="dxa"/>
            <w:shd w:val="clear" w:color="auto" w:fill="auto"/>
          </w:tcPr>
          <w:p w:rsidR="00D22631" w:rsidRPr="00BA7CD0" w:rsidRDefault="00D22631" w:rsidP="00F76C87">
            <w:pPr>
              <w:pStyle w:val="TableText"/>
              <w:spacing w:before="120" w:after="120"/>
              <w:rPr>
                <w:sz w:val="24"/>
              </w:rPr>
            </w:pPr>
            <w:r w:rsidRPr="00BA7CD0">
              <w:rPr>
                <w:sz w:val="24"/>
              </w:rPr>
              <w:t>To connect the solvent vial to the VEYVONDI</w:t>
            </w:r>
            <w:r w:rsidR="00D03565">
              <w:rPr>
                <w:sz w:val="24"/>
              </w:rPr>
              <w:t xml:space="preserve"> </w:t>
            </w:r>
            <w:r w:rsidR="00F76C87">
              <w:rPr>
                <w:sz w:val="24"/>
              </w:rPr>
              <w:t>powder</w:t>
            </w:r>
            <w:r w:rsidR="00F76C87" w:rsidRPr="00BA7CD0">
              <w:rPr>
                <w:sz w:val="24"/>
              </w:rPr>
              <w:t xml:space="preserve"> </w:t>
            </w:r>
            <w:r w:rsidRPr="00BA7CD0">
              <w:rPr>
                <w:sz w:val="24"/>
              </w:rPr>
              <w:t xml:space="preserve">vial, turn the solvent vial over and place it on top of the vial containing VEYVONDI powder. Fully insert the clear plastic spike into the VEYVONDI </w:t>
            </w:r>
            <w:r w:rsidR="00F76C87">
              <w:rPr>
                <w:sz w:val="24"/>
              </w:rPr>
              <w:t>powder</w:t>
            </w:r>
            <w:r w:rsidR="00F76C87" w:rsidRPr="00BA7CD0">
              <w:rPr>
                <w:sz w:val="24"/>
              </w:rPr>
              <w:t xml:space="preserve"> </w:t>
            </w:r>
            <w:r w:rsidRPr="00BA7CD0">
              <w:rPr>
                <w:sz w:val="24"/>
              </w:rPr>
              <w:t xml:space="preserve">vial stopper by firmly pushing straight down. This should be done right away to keep the liquid free of germs. The solvent will flow into the VEYVONDI </w:t>
            </w:r>
            <w:r w:rsidR="00F76C87">
              <w:rPr>
                <w:sz w:val="24"/>
              </w:rPr>
              <w:t>powder</w:t>
            </w:r>
            <w:r w:rsidR="00F76C87" w:rsidRPr="00BA7CD0">
              <w:rPr>
                <w:sz w:val="24"/>
              </w:rPr>
              <w:t xml:space="preserve"> </w:t>
            </w:r>
            <w:r w:rsidRPr="00BA7CD0">
              <w:rPr>
                <w:sz w:val="24"/>
              </w:rPr>
              <w:t xml:space="preserve">vial by vacuum. Check that all the solvent has transferred. Do not use if the vacuum has been lost and the solvent </w:t>
            </w:r>
            <w:r w:rsidR="00F76C87">
              <w:rPr>
                <w:sz w:val="24"/>
              </w:rPr>
              <w:t>does not flow into the VEYVONDI</w:t>
            </w:r>
            <w:r w:rsidR="00D03565">
              <w:rPr>
                <w:sz w:val="24"/>
              </w:rPr>
              <w:t xml:space="preserve"> </w:t>
            </w:r>
            <w:r w:rsidR="00F76C87">
              <w:rPr>
                <w:sz w:val="24"/>
              </w:rPr>
              <w:t>powder</w:t>
            </w:r>
            <w:r w:rsidR="00F76C87" w:rsidRPr="00BA7CD0">
              <w:rPr>
                <w:sz w:val="24"/>
              </w:rPr>
              <w:t xml:space="preserve"> </w:t>
            </w:r>
            <w:r w:rsidRPr="00BA7CD0">
              <w:rPr>
                <w:sz w:val="24"/>
              </w:rPr>
              <w:t>vial.</w:t>
            </w:r>
          </w:p>
        </w:tc>
        <w:tc>
          <w:tcPr>
            <w:tcW w:w="2410" w:type="dxa"/>
            <w:shd w:val="clear" w:color="auto" w:fill="auto"/>
            <w:vAlign w:val="center"/>
          </w:tcPr>
          <w:p w:rsidR="00D22631" w:rsidRPr="00C72D48" w:rsidRDefault="00D22631" w:rsidP="00B6177D">
            <w:pPr>
              <w:pStyle w:val="TableCenter"/>
              <w:spacing w:before="60"/>
              <w:contextualSpacing/>
            </w:pPr>
            <w:r w:rsidRPr="00C72D48">
              <w:rPr>
                <w:rFonts w:eastAsia="Batang"/>
                <w:noProof/>
              </w:rPr>
              <w:pict>
                <v:shape id="Picture 17" o:spid="_x0000_i1029" type="#_x0000_t75" alt="Figure_6_IFU_Option_B" style="width:100.15pt;height:82.65pt;visibility:visible">
                  <v:imagedata r:id="rId16" o:title="Figure_6_IFU_Option_B" croptop="10365f" cropbottom="6687f"/>
                </v:shape>
              </w:pict>
            </w:r>
          </w:p>
        </w:tc>
      </w:tr>
      <w:tr w:rsidR="00D22631" w:rsidRPr="00E0661E" w:rsidTr="00991F4E">
        <w:tc>
          <w:tcPr>
            <w:tcW w:w="567" w:type="dxa"/>
            <w:shd w:val="clear" w:color="auto" w:fill="auto"/>
          </w:tcPr>
          <w:p w:rsidR="00D22631" w:rsidRPr="00BA7CD0" w:rsidRDefault="00D22631" w:rsidP="00CC4980">
            <w:pPr>
              <w:pStyle w:val="TableText"/>
              <w:spacing w:before="120" w:after="120"/>
              <w:rPr>
                <w:sz w:val="24"/>
              </w:rPr>
            </w:pPr>
            <w:r w:rsidRPr="00BA7CD0">
              <w:rPr>
                <w:sz w:val="24"/>
              </w:rPr>
              <w:t>6.</w:t>
            </w:r>
          </w:p>
        </w:tc>
        <w:tc>
          <w:tcPr>
            <w:tcW w:w="6521" w:type="dxa"/>
            <w:shd w:val="clear" w:color="auto" w:fill="auto"/>
          </w:tcPr>
          <w:p w:rsidR="00D22631" w:rsidRPr="00BA7CD0" w:rsidRDefault="00D22631" w:rsidP="00CC4980">
            <w:pPr>
              <w:pStyle w:val="TableText"/>
              <w:spacing w:before="120" w:after="120"/>
              <w:rPr>
                <w:sz w:val="24"/>
              </w:rPr>
            </w:pPr>
            <w:r w:rsidRPr="00BA7CD0">
              <w:rPr>
                <w:sz w:val="24"/>
              </w:rPr>
              <w:t>Gently and continuously swirl the connected vials or allow the reconstituted product to stand for 5 minutes then gently swirl to ensure the powder is completely dissolved. Do not shake. Shaking will adversely affect the product. Do not refrigerate after reconstitution.</w:t>
            </w:r>
          </w:p>
        </w:tc>
        <w:tc>
          <w:tcPr>
            <w:tcW w:w="2410" w:type="dxa"/>
            <w:shd w:val="clear" w:color="auto" w:fill="auto"/>
          </w:tcPr>
          <w:p w:rsidR="00D22631" w:rsidRPr="00C72D48" w:rsidRDefault="00D22631" w:rsidP="00B6177D">
            <w:pPr>
              <w:pStyle w:val="TableCenter"/>
              <w:spacing w:before="60"/>
              <w:contextualSpacing/>
            </w:pPr>
            <w:r w:rsidRPr="00C72D48">
              <w:rPr>
                <w:noProof/>
              </w:rPr>
              <w:pict>
                <v:shape id="Picture 18" o:spid="_x0000_i1030" type="#_x0000_t75" style="width:104.55pt;height:93.9pt;visibility:visible">
                  <v:imagedata r:id="rId17" o:title=""/>
                </v:shape>
              </w:pict>
            </w:r>
          </w:p>
        </w:tc>
      </w:tr>
      <w:tr w:rsidR="00D22631" w:rsidRPr="00E0661E" w:rsidTr="00991F4E">
        <w:tc>
          <w:tcPr>
            <w:tcW w:w="567" w:type="dxa"/>
            <w:shd w:val="clear" w:color="auto" w:fill="auto"/>
          </w:tcPr>
          <w:p w:rsidR="00D22631" w:rsidRPr="00BA7CD0" w:rsidRDefault="00D22631" w:rsidP="00CC4980">
            <w:pPr>
              <w:pStyle w:val="TableText"/>
              <w:spacing w:before="120" w:after="120"/>
              <w:rPr>
                <w:sz w:val="24"/>
              </w:rPr>
            </w:pPr>
            <w:r w:rsidRPr="00BA7CD0">
              <w:rPr>
                <w:sz w:val="24"/>
              </w:rPr>
              <w:t>7.</w:t>
            </w:r>
          </w:p>
        </w:tc>
        <w:tc>
          <w:tcPr>
            <w:tcW w:w="6521" w:type="dxa"/>
            <w:shd w:val="clear" w:color="auto" w:fill="auto"/>
          </w:tcPr>
          <w:p w:rsidR="00CC4980" w:rsidRDefault="00D22631" w:rsidP="00CC4980">
            <w:pPr>
              <w:pStyle w:val="TableText"/>
              <w:spacing w:before="120" w:after="120"/>
              <w:rPr>
                <w:sz w:val="24"/>
              </w:rPr>
            </w:pPr>
            <w:r w:rsidRPr="00BA7CD0">
              <w:rPr>
                <w:sz w:val="24"/>
              </w:rPr>
              <w:t>Disconnect the two sides of the Mix2Vial from each other by holding the clear plastic side of the Mix2Vial device attached to the VEYVONDI vial with one hand and the blue plastic side of the Mix2Vial device attached to the solvent vial with the other hand. Turn the blue plastic side counter</w:t>
            </w:r>
            <w:r w:rsidR="00C11CDF">
              <w:rPr>
                <w:sz w:val="24"/>
              </w:rPr>
              <w:t>-</w:t>
            </w:r>
            <w:r w:rsidRPr="00BA7CD0">
              <w:rPr>
                <w:sz w:val="24"/>
              </w:rPr>
              <w:t xml:space="preserve">clockwise and gently pull the two vials apart. </w:t>
            </w:r>
          </w:p>
          <w:p w:rsidR="00D22631" w:rsidRPr="00BA7CD0" w:rsidRDefault="00D22631" w:rsidP="00CC4980">
            <w:pPr>
              <w:pStyle w:val="TableText"/>
              <w:spacing w:before="120" w:after="120"/>
              <w:rPr>
                <w:sz w:val="24"/>
              </w:rPr>
            </w:pPr>
            <w:r w:rsidRPr="00BA7CD0">
              <w:rPr>
                <w:sz w:val="24"/>
              </w:rPr>
              <w:t>Do not touch the end of the plastic connector attached to the VEYVONDI vial containing the dissolved product. Place the VEYVONDI vial on a flat work surface. Discard the empty solvent vial.</w:t>
            </w:r>
          </w:p>
        </w:tc>
        <w:tc>
          <w:tcPr>
            <w:tcW w:w="2410" w:type="dxa"/>
            <w:shd w:val="clear" w:color="auto" w:fill="auto"/>
            <w:vAlign w:val="center"/>
          </w:tcPr>
          <w:p w:rsidR="00D22631" w:rsidRPr="00C72D48" w:rsidRDefault="00D22631" w:rsidP="00B6177D">
            <w:pPr>
              <w:pStyle w:val="TableCenter"/>
              <w:spacing w:before="60"/>
              <w:ind w:left="-108"/>
              <w:contextualSpacing/>
            </w:pPr>
            <w:r w:rsidRPr="00C72D48">
              <w:rPr>
                <w:rFonts w:eastAsia="Batang"/>
                <w:noProof/>
              </w:rPr>
              <w:pict>
                <v:shape id="Picture 19" o:spid="_x0000_i1031" type="#_x0000_t75" style="width:118.95pt;height:87.05pt;visibility:visible">
                  <v:imagedata r:id="rId18" o:title=""/>
                </v:shape>
              </w:pict>
            </w:r>
          </w:p>
        </w:tc>
      </w:tr>
      <w:tr w:rsidR="00D22631" w:rsidRPr="00E0661E" w:rsidTr="00991F4E">
        <w:tc>
          <w:tcPr>
            <w:tcW w:w="567" w:type="dxa"/>
            <w:shd w:val="clear" w:color="auto" w:fill="auto"/>
          </w:tcPr>
          <w:p w:rsidR="00D22631" w:rsidRPr="00BA7CD0" w:rsidRDefault="00D22631" w:rsidP="00CC4980">
            <w:pPr>
              <w:pStyle w:val="TableText"/>
              <w:spacing w:before="120" w:after="120"/>
              <w:rPr>
                <w:sz w:val="24"/>
              </w:rPr>
            </w:pPr>
            <w:r w:rsidRPr="00BA7CD0">
              <w:rPr>
                <w:sz w:val="24"/>
              </w:rPr>
              <w:lastRenderedPageBreak/>
              <w:t>8.</w:t>
            </w:r>
          </w:p>
        </w:tc>
        <w:tc>
          <w:tcPr>
            <w:tcW w:w="6521" w:type="dxa"/>
            <w:shd w:val="clear" w:color="auto" w:fill="auto"/>
          </w:tcPr>
          <w:p w:rsidR="00D22631" w:rsidRPr="00BA7CD0" w:rsidRDefault="00D22631" w:rsidP="00CC4980">
            <w:pPr>
              <w:pStyle w:val="TableText"/>
              <w:spacing w:before="120" w:after="120"/>
              <w:rPr>
                <w:sz w:val="24"/>
              </w:rPr>
            </w:pPr>
            <w:r w:rsidRPr="00BA7CD0">
              <w:rPr>
                <w:sz w:val="24"/>
              </w:rPr>
              <w:t>Draw air into the empty, sterile disposable plastic syringe by pulling back on the plunger. The amount of air should equal the amount of reconstituted VEYVONDI that you will withdraw from the vial.</w:t>
            </w:r>
          </w:p>
        </w:tc>
        <w:tc>
          <w:tcPr>
            <w:tcW w:w="2410" w:type="dxa"/>
            <w:shd w:val="clear" w:color="auto" w:fill="auto"/>
          </w:tcPr>
          <w:p w:rsidR="00D22631" w:rsidRPr="00C72D48" w:rsidRDefault="00D22631" w:rsidP="00B6177D">
            <w:pPr>
              <w:pStyle w:val="TableCenter"/>
              <w:spacing w:before="60"/>
              <w:contextualSpacing/>
            </w:pPr>
            <w:r w:rsidRPr="00C72D48">
              <w:rPr>
                <w:rFonts w:eastAsia="Batang"/>
                <w:noProof/>
              </w:rPr>
              <w:pict>
                <v:shape id="Picture 20" o:spid="_x0000_i1032" type="#_x0000_t75" style="width:92.65pt;height:95.8pt;visibility:visible">
                  <v:imagedata r:id="rId19" o:title="" croptop="5992f"/>
                </v:shape>
              </w:pict>
            </w:r>
          </w:p>
        </w:tc>
      </w:tr>
      <w:tr w:rsidR="00D22631" w:rsidRPr="00E0661E" w:rsidTr="00991F4E">
        <w:tc>
          <w:tcPr>
            <w:tcW w:w="567" w:type="dxa"/>
            <w:shd w:val="clear" w:color="auto" w:fill="auto"/>
          </w:tcPr>
          <w:p w:rsidR="00D22631" w:rsidRPr="00BA7CD0" w:rsidRDefault="00D22631" w:rsidP="00CC4980">
            <w:pPr>
              <w:pStyle w:val="TableText"/>
              <w:spacing w:before="120" w:after="120"/>
              <w:rPr>
                <w:sz w:val="24"/>
              </w:rPr>
            </w:pPr>
            <w:r w:rsidRPr="00BA7CD0">
              <w:rPr>
                <w:sz w:val="24"/>
              </w:rPr>
              <w:t>9.</w:t>
            </w:r>
          </w:p>
        </w:tc>
        <w:tc>
          <w:tcPr>
            <w:tcW w:w="6521" w:type="dxa"/>
            <w:shd w:val="clear" w:color="auto" w:fill="auto"/>
          </w:tcPr>
          <w:p w:rsidR="00D22631" w:rsidRPr="00BA7CD0" w:rsidRDefault="00D22631" w:rsidP="00CC4980">
            <w:pPr>
              <w:pStyle w:val="TableText"/>
              <w:spacing w:before="120" w:after="120"/>
              <w:rPr>
                <w:sz w:val="24"/>
              </w:rPr>
            </w:pPr>
            <w:r>
              <w:rPr>
                <w:sz w:val="24"/>
              </w:rPr>
              <w:t>Place</w:t>
            </w:r>
            <w:r w:rsidRPr="00BA7CD0">
              <w:rPr>
                <w:sz w:val="24"/>
              </w:rPr>
              <w:t xml:space="preserve"> the VEYVONDI vial (containing the recons</w:t>
            </w:r>
            <w:r>
              <w:rPr>
                <w:sz w:val="24"/>
              </w:rPr>
              <w:t>t</w:t>
            </w:r>
            <w:r w:rsidRPr="00BA7CD0">
              <w:rPr>
                <w:sz w:val="24"/>
              </w:rPr>
              <w:t xml:space="preserve">ituted </w:t>
            </w:r>
            <w:r>
              <w:rPr>
                <w:sz w:val="24"/>
              </w:rPr>
              <w:t>solution</w:t>
            </w:r>
            <w:r w:rsidRPr="00BA7CD0">
              <w:rPr>
                <w:sz w:val="24"/>
              </w:rPr>
              <w:t>) on your flat work surface, connect the syringe to the clear plastic connector and turning the syringe clockwise.</w:t>
            </w:r>
          </w:p>
        </w:tc>
        <w:tc>
          <w:tcPr>
            <w:tcW w:w="2410" w:type="dxa"/>
            <w:shd w:val="clear" w:color="auto" w:fill="auto"/>
          </w:tcPr>
          <w:p w:rsidR="00D22631" w:rsidRPr="00C72D48" w:rsidRDefault="00D22631" w:rsidP="00B6177D">
            <w:pPr>
              <w:pStyle w:val="TableCenter"/>
              <w:spacing w:before="60"/>
              <w:contextualSpacing/>
            </w:pPr>
            <w:r w:rsidRPr="00C72D48">
              <w:rPr>
                <w:rFonts w:eastAsia="Batang"/>
                <w:noProof/>
                <w:sz w:val="24"/>
              </w:rPr>
              <w:pict>
                <v:shape id="Picture 21" o:spid="_x0000_i1033" type="#_x0000_t75" style="width:101.45pt;height:103.95pt;visibility:visible">
                  <v:imagedata r:id="rId20" o:title="" croptop="3581f"/>
                </v:shape>
              </w:pict>
            </w:r>
          </w:p>
        </w:tc>
      </w:tr>
      <w:tr w:rsidR="00D22631" w:rsidRPr="00E0661E" w:rsidTr="00991F4E">
        <w:tc>
          <w:tcPr>
            <w:tcW w:w="567" w:type="dxa"/>
            <w:shd w:val="clear" w:color="auto" w:fill="auto"/>
          </w:tcPr>
          <w:p w:rsidR="00D22631" w:rsidRPr="00BA7CD0" w:rsidRDefault="00D22631" w:rsidP="00CC4980">
            <w:pPr>
              <w:pStyle w:val="TableText"/>
              <w:spacing w:before="120" w:after="120"/>
              <w:rPr>
                <w:sz w:val="24"/>
              </w:rPr>
            </w:pPr>
            <w:r w:rsidRPr="00BA7CD0">
              <w:rPr>
                <w:sz w:val="24"/>
              </w:rPr>
              <w:t>10.</w:t>
            </w:r>
          </w:p>
        </w:tc>
        <w:tc>
          <w:tcPr>
            <w:tcW w:w="6521" w:type="dxa"/>
            <w:shd w:val="clear" w:color="auto" w:fill="auto"/>
          </w:tcPr>
          <w:p w:rsidR="00D22631" w:rsidRPr="00BA7CD0" w:rsidRDefault="00D22631" w:rsidP="00CC4980">
            <w:pPr>
              <w:pStyle w:val="TableText"/>
              <w:spacing w:before="120" w:after="120"/>
              <w:rPr>
                <w:sz w:val="24"/>
              </w:rPr>
            </w:pPr>
            <w:r w:rsidRPr="00BA7CD0">
              <w:rPr>
                <w:sz w:val="24"/>
              </w:rPr>
              <w:t xml:space="preserve">Hold the vial with one hand and use the other hand to push all the air from the syringe into the vial. </w:t>
            </w:r>
          </w:p>
        </w:tc>
        <w:tc>
          <w:tcPr>
            <w:tcW w:w="2410" w:type="dxa"/>
            <w:shd w:val="clear" w:color="auto" w:fill="auto"/>
          </w:tcPr>
          <w:p w:rsidR="00D22631" w:rsidRPr="00C72D48" w:rsidRDefault="00D22631" w:rsidP="00B6177D">
            <w:pPr>
              <w:pStyle w:val="TableCenter"/>
              <w:spacing w:before="60"/>
              <w:contextualSpacing/>
            </w:pPr>
            <w:r w:rsidRPr="00C72D48">
              <w:rPr>
                <w:noProof/>
              </w:rPr>
              <w:pict>
                <v:shape id="Picture 22" o:spid="_x0000_i1034" type="#_x0000_t75" style="width:96.4pt;height:106.45pt;visibility:visible">
                  <v:imagedata r:id="rId21" o:title="" croptop="6049f"/>
                </v:shape>
              </w:pict>
            </w:r>
          </w:p>
        </w:tc>
      </w:tr>
      <w:tr w:rsidR="00D22631" w:rsidRPr="00E0661E" w:rsidTr="00991F4E">
        <w:tc>
          <w:tcPr>
            <w:tcW w:w="567" w:type="dxa"/>
            <w:shd w:val="clear" w:color="auto" w:fill="auto"/>
          </w:tcPr>
          <w:p w:rsidR="00D22631" w:rsidRPr="00BA7CD0" w:rsidRDefault="00D22631" w:rsidP="00CC4980">
            <w:pPr>
              <w:pStyle w:val="TableText"/>
              <w:spacing w:before="120" w:after="120"/>
              <w:rPr>
                <w:sz w:val="24"/>
              </w:rPr>
            </w:pPr>
            <w:r w:rsidRPr="00BA7CD0">
              <w:rPr>
                <w:sz w:val="24"/>
              </w:rPr>
              <w:t>11.</w:t>
            </w:r>
          </w:p>
        </w:tc>
        <w:tc>
          <w:tcPr>
            <w:tcW w:w="6521" w:type="dxa"/>
            <w:shd w:val="clear" w:color="auto" w:fill="auto"/>
          </w:tcPr>
          <w:p w:rsidR="00D22631" w:rsidRPr="00BA7CD0" w:rsidRDefault="00D22631" w:rsidP="00CC4980">
            <w:pPr>
              <w:pStyle w:val="TableText"/>
              <w:spacing w:before="120" w:after="120"/>
              <w:rPr>
                <w:sz w:val="24"/>
              </w:rPr>
            </w:pPr>
            <w:r w:rsidRPr="00BA7CD0">
              <w:rPr>
                <w:sz w:val="24"/>
              </w:rPr>
              <w:t>Flip connected syringe and VEYVONDI vial so the vial is on top. Be sure to keep the syringe plunger pressed in. Draw the VEYVONDI into the syringe by pulling plunger back slowly.</w:t>
            </w:r>
          </w:p>
        </w:tc>
        <w:tc>
          <w:tcPr>
            <w:tcW w:w="2410" w:type="dxa"/>
            <w:shd w:val="clear" w:color="auto" w:fill="auto"/>
          </w:tcPr>
          <w:p w:rsidR="00D22631" w:rsidRPr="00C72D48" w:rsidRDefault="00D22631" w:rsidP="00B6177D">
            <w:pPr>
              <w:pStyle w:val="TableCenter"/>
              <w:spacing w:before="60"/>
              <w:contextualSpacing/>
            </w:pPr>
            <w:r w:rsidRPr="00C72D48">
              <w:rPr>
                <w:noProof/>
                <w:sz w:val="24"/>
              </w:rPr>
              <w:pict>
                <v:shape id="Picture 23" o:spid="_x0000_i1035" type="#_x0000_t75" alt="Figure 13 IFU_2" style="width:103.95pt;height:125.2pt;visibility:visible">
                  <v:imagedata r:id="rId22" o:title="Figure 13 IFU_2" croptop="3277f" cropleft="5515f" cropright="3893f"/>
                </v:shape>
              </w:pict>
            </w:r>
          </w:p>
        </w:tc>
      </w:tr>
      <w:tr w:rsidR="00D22631" w:rsidRPr="00E0661E" w:rsidTr="00991F4E">
        <w:tc>
          <w:tcPr>
            <w:tcW w:w="567" w:type="dxa"/>
            <w:shd w:val="clear" w:color="auto" w:fill="auto"/>
          </w:tcPr>
          <w:p w:rsidR="00D22631" w:rsidRPr="00BA7CD0" w:rsidRDefault="00D22631" w:rsidP="00CC4980">
            <w:pPr>
              <w:pStyle w:val="TableText"/>
              <w:spacing w:before="120" w:after="120"/>
              <w:rPr>
                <w:sz w:val="24"/>
              </w:rPr>
            </w:pPr>
            <w:r w:rsidRPr="00BA7CD0">
              <w:rPr>
                <w:sz w:val="24"/>
              </w:rPr>
              <w:t>12.</w:t>
            </w:r>
          </w:p>
        </w:tc>
        <w:tc>
          <w:tcPr>
            <w:tcW w:w="6521" w:type="dxa"/>
            <w:shd w:val="clear" w:color="auto" w:fill="auto"/>
          </w:tcPr>
          <w:p w:rsidR="00D22631" w:rsidRPr="00BA7CD0" w:rsidRDefault="00D22631" w:rsidP="00561FCE">
            <w:pPr>
              <w:pStyle w:val="TableText"/>
              <w:spacing w:before="120" w:after="120"/>
              <w:rPr>
                <w:sz w:val="24"/>
              </w:rPr>
            </w:pPr>
            <w:r w:rsidRPr="00BA7CD0">
              <w:rPr>
                <w:sz w:val="24"/>
              </w:rPr>
              <w:t>Do not push and pull solution back and forth between syringe and vial. Doing so may harm</w:t>
            </w:r>
            <w:r w:rsidR="00D03565">
              <w:rPr>
                <w:sz w:val="24"/>
              </w:rPr>
              <w:t xml:space="preserve"> </w:t>
            </w:r>
            <w:r w:rsidR="00561FCE">
              <w:rPr>
                <w:sz w:val="24"/>
              </w:rPr>
              <w:t xml:space="preserve">the </w:t>
            </w:r>
            <w:r w:rsidRPr="00BA7CD0">
              <w:rPr>
                <w:sz w:val="24"/>
              </w:rPr>
              <w:t>medicine. When ready to infuse, disconnect the syringe by turning it counter</w:t>
            </w:r>
            <w:r w:rsidR="00C11CDF">
              <w:rPr>
                <w:sz w:val="24"/>
              </w:rPr>
              <w:t>-</w:t>
            </w:r>
            <w:r w:rsidRPr="00BA7CD0">
              <w:rPr>
                <w:sz w:val="24"/>
              </w:rPr>
              <w:t>clockwise. Inspect the syringe visually for particulate matter; the solution should be clear and colourless. If flakes or particles are seen, do not use the solution and notify</w:t>
            </w:r>
            <w:r w:rsidR="00561FCE">
              <w:rPr>
                <w:sz w:val="24"/>
              </w:rPr>
              <w:t xml:space="preserve"> Shire Customer Service</w:t>
            </w:r>
            <w:r w:rsidRPr="00BA7CD0">
              <w:rPr>
                <w:sz w:val="24"/>
              </w:rPr>
              <w:t>.</w:t>
            </w:r>
          </w:p>
        </w:tc>
        <w:tc>
          <w:tcPr>
            <w:tcW w:w="2410" w:type="dxa"/>
            <w:shd w:val="clear" w:color="auto" w:fill="auto"/>
          </w:tcPr>
          <w:p w:rsidR="00D22631" w:rsidRPr="00C72D48" w:rsidRDefault="00D22631" w:rsidP="00B6177D">
            <w:pPr>
              <w:pStyle w:val="TableCenter"/>
              <w:spacing w:before="60"/>
              <w:contextualSpacing/>
            </w:pPr>
            <w:r w:rsidRPr="00C72D48">
              <w:rPr>
                <w:rFonts w:eastAsia="Batang"/>
                <w:noProof/>
                <w:sz w:val="24"/>
              </w:rPr>
              <w:pict>
                <v:shape id="Picture 24" o:spid="_x0000_i1036" type="#_x0000_t75" style="width:83.9pt;height:115.85pt;visibility:visible">
                  <v:imagedata r:id="rId23" o:title=""/>
                </v:shape>
              </w:pict>
            </w:r>
          </w:p>
        </w:tc>
      </w:tr>
      <w:tr w:rsidR="00D22631" w:rsidRPr="00E0661E" w:rsidTr="00991F4E">
        <w:tc>
          <w:tcPr>
            <w:tcW w:w="567" w:type="dxa"/>
            <w:shd w:val="clear" w:color="auto" w:fill="auto"/>
          </w:tcPr>
          <w:p w:rsidR="00D22631" w:rsidRPr="00BA7CD0" w:rsidRDefault="00D22631" w:rsidP="00CC4980">
            <w:pPr>
              <w:pStyle w:val="TableText"/>
              <w:keepNext/>
              <w:keepLines/>
              <w:spacing w:before="120" w:after="120"/>
              <w:rPr>
                <w:sz w:val="24"/>
              </w:rPr>
            </w:pPr>
            <w:r w:rsidRPr="00BA7CD0">
              <w:rPr>
                <w:sz w:val="24"/>
              </w:rPr>
              <w:lastRenderedPageBreak/>
              <w:t>13.</w:t>
            </w:r>
          </w:p>
        </w:tc>
        <w:tc>
          <w:tcPr>
            <w:tcW w:w="8931" w:type="dxa"/>
            <w:gridSpan w:val="2"/>
            <w:shd w:val="clear" w:color="auto" w:fill="auto"/>
          </w:tcPr>
          <w:p w:rsidR="00991F4E" w:rsidRDefault="00D22631" w:rsidP="00CC4980">
            <w:pPr>
              <w:pStyle w:val="TableText"/>
              <w:keepNext/>
              <w:keepLines/>
              <w:spacing w:before="120" w:after="120"/>
              <w:rPr>
                <w:sz w:val="24"/>
              </w:rPr>
            </w:pPr>
            <w:r w:rsidRPr="00BA7CD0">
              <w:rPr>
                <w:sz w:val="24"/>
              </w:rPr>
              <w:t>If you need more than one vial of VEYVONDI to make up your dose</w:t>
            </w:r>
            <w:r w:rsidR="00991F4E">
              <w:rPr>
                <w:sz w:val="24"/>
              </w:rPr>
              <w:t>:</w:t>
            </w:r>
          </w:p>
          <w:p w:rsidR="00D22631" w:rsidRDefault="00145BB1" w:rsidP="00CC4980">
            <w:pPr>
              <w:pStyle w:val="TableCenter"/>
              <w:keepNext/>
              <w:keepLines/>
              <w:numPr>
                <w:ilvl w:val="0"/>
                <w:numId w:val="16"/>
              </w:numPr>
              <w:spacing w:after="120"/>
              <w:contextualSpacing/>
              <w:jc w:val="left"/>
              <w:rPr>
                <w:sz w:val="24"/>
              </w:rPr>
            </w:pPr>
            <w:r>
              <w:rPr>
                <w:sz w:val="24"/>
              </w:rPr>
              <w:t>L</w:t>
            </w:r>
            <w:r w:rsidR="00D22631" w:rsidRPr="00BA7CD0">
              <w:rPr>
                <w:sz w:val="24"/>
              </w:rPr>
              <w:t>eave the syringe attached to the vial until an additional vial is prepared.</w:t>
            </w:r>
            <w:r w:rsidR="00D22631">
              <w:rPr>
                <w:sz w:val="24"/>
              </w:rPr>
              <w:t xml:space="preserve"> </w:t>
            </w:r>
          </w:p>
          <w:p w:rsidR="00D22631" w:rsidRPr="00991F4E" w:rsidRDefault="00991F4E" w:rsidP="00A02A71">
            <w:pPr>
              <w:pStyle w:val="TableCenter"/>
              <w:keepNext/>
              <w:keepLines/>
              <w:numPr>
                <w:ilvl w:val="0"/>
                <w:numId w:val="16"/>
              </w:numPr>
              <w:spacing w:after="120"/>
              <w:ind w:left="357" w:hanging="357"/>
              <w:contextualSpacing/>
              <w:jc w:val="left"/>
              <w:rPr>
                <w:sz w:val="24"/>
              </w:rPr>
            </w:pPr>
            <w:r w:rsidRPr="00BA7CD0">
              <w:rPr>
                <w:sz w:val="24"/>
              </w:rPr>
              <w:t>Use the reconstitution steps above (2 to 8) to prepare the additional vial of VEYVONDI using a fresh Mix2Vial device for each vial</w:t>
            </w:r>
            <w:r>
              <w:rPr>
                <w:sz w:val="24"/>
              </w:rPr>
              <w:t>.</w:t>
            </w:r>
          </w:p>
        </w:tc>
      </w:tr>
      <w:tr w:rsidR="00D22631" w:rsidRPr="00E0661E" w:rsidTr="00991F4E">
        <w:tc>
          <w:tcPr>
            <w:tcW w:w="567" w:type="dxa"/>
            <w:shd w:val="clear" w:color="auto" w:fill="auto"/>
          </w:tcPr>
          <w:p w:rsidR="00D22631" w:rsidRPr="00BA7CD0" w:rsidRDefault="00D22631" w:rsidP="00CC4980">
            <w:pPr>
              <w:pStyle w:val="TableText"/>
              <w:spacing w:before="120" w:after="120"/>
              <w:rPr>
                <w:sz w:val="24"/>
              </w:rPr>
            </w:pPr>
            <w:r w:rsidRPr="00BA7CD0">
              <w:rPr>
                <w:sz w:val="24"/>
              </w:rPr>
              <w:t>14.</w:t>
            </w:r>
          </w:p>
        </w:tc>
        <w:tc>
          <w:tcPr>
            <w:tcW w:w="8931" w:type="dxa"/>
            <w:gridSpan w:val="2"/>
            <w:shd w:val="clear" w:color="auto" w:fill="auto"/>
          </w:tcPr>
          <w:p w:rsidR="00D22631" w:rsidRPr="00BA7CD0" w:rsidRDefault="00D22631" w:rsidP="00CC4980">
            <w:pPr>
              <w:pStyle w:val="TableText"/>
              <w:spacing w:before="120" w:after="120"/>
              <w:rPr>
                <w:sz w:val="24"/>
              </w:rPr>
            </w:pPr>
            <w:r w:rsidRPr="00BA7CD0">
              <w:rPr>
                <w:sz w:val="24"/>
              </w:rPr>
              <w:t xml:space="preserve">The contents of two vials may be drawn into a single syringe. </w:t>
            </w:r>
          </w:p>
          <w:p w:rsidR="00D22631" w:rsidRPr="00E0661E" w:rsidRDefault="00D22631" w:rsidP="00CC4980">
            <w:pPr>
              <w:pStyle w:val="TableCenter"/>
              <w:spacing w:after="120"/>
              <w:contextualSpacing/>
              <w:jc w:val="left"/>
            </w:pPr>
            <w:r w:rsidRPr="00BA7CD0">
              <w:rPr>
                <w:sz w:val="24"/>
              </w:rPr>
              <w:t>NOTE: When pushing air into a second vial of VEYVONDI to be pooled into a syringe, orient the vial and connected syringe with the vial on top.</w:t>
            </w:r>
          </w:p>
        </w:tc>
      </w:tr>
    </w:tbl>
    <w:p w:rsidR="00D22631" w:rsidRPr="001A1F75" w:rsidRDefault="00D22631" w:rsidP="00D22631">
      <w:pPr>
        <w:pStyle w:val="Heading4"/>
        <w:numPr>
          <w:ilvl w:val="0"/>
          <w:numId w:val="0"/>
        </w:numPr>
        <w:spacing w:after="120"/>
        <w:ind w:left="907" w:hanging="907"/>
        <w:rPr>
          <w:bCs w:val="0"/>
          <w:noProof/>
          <w:szCs w:val="24"/>
          <w:u w:val="single"/>
        </w:rPr>
      </w:pPr>
      <w:r w:rsidRPr="001A1F75">
        <w:rPr>
          <w:bCs w:val="0"/>
          <w:noProof/>
          <w:szCs w:val="24"/>
          <w:u w:val="single"/>
        </w:rPr>
        <w:t>Administration</w:t>
      </w:r>
    </w:p>
    <w:p w:rsidR="00D22631" w:rsidRPr="001A1F75" w:rsidRDefault="00D22631" w:rsidP="00D22631">
      <w:pPr>
        <w:pStyle w:val="BodytextAgency"/>
        <w:spacing w:before="120" w:after="120" w:line="240" w:lineRule="auto"/>
        <w:rPr>
          <w:rFonts w:ascii="Times New Roman" w:hAnsi="Times New Roman" w:cs="Times New Roman"/>
          <w:noProof/>
          <w:sz w:val="24"/>
          <w:szCs w:val="24"/>
        </w:rPr>
      </w:pPr>
      <w:r w:rsidRPr="001A1F75">
        <w:rPr>
          <w:rFonts w:ascii="Times New Roman" w:hAnsi="Times New Roman" w:cs="Times New Roman"/>
          <w:noProof/>
          <w:sz w:val="24"/>
          <w:szCs w:val="24"/>
        </w:rPr>
        <w:t>Inspect the prepared solution in the syringe for particulate matter and discolo</w:t>
      </w:r>
      <w:r>
        <w:rPr>
          <w:rFonts w:ascii="Times New Roman" w:hAnsi="Times New Roman" w:cs="Times New Roman"/>
          <w:noProof/>
          <w:sz w:val="24"/>
          <w:szCs w:val="24"/>
        </w:rPr>
        <w:t>ration prior to administration.  T</w:t>
      </w:r>
      <w:r w:rsidRPr="001A1F75">
        <w:rPr>
          <w:rFonts w:ascii="Times New Roman" w:hAnsi="Times New Roman" w:cs="Times New Roman"/>
          <w:noProof/>
          <w:sz w:val="24"/>
          <w:szCs w:val="24"/>
        </w:rPr>
        <w:t>he solution should be clear, colourless and free from particles. It is not uncommon for a few flakes or particles to remain in the product vial after reconstitution. The filter included in the Mix2Vial device removes those particles completely. Filtration does not influence dosage calculations. The solution in the syringe should not be used if it is cloudy or contains flakes or particles after filtration.</w:t>
      </w:r>
    </w:p>
    <w:p w:rsidR="00D22631" w:rsidRPr="001A1F75" w:rsidRDefault="00D22631" w:rsidP="00D22631">
      <w:pPr>
        <w:numPr>
          <w:ilvl w:val="0"/>
          <w:numId w:val="6"/>
        </w:numPr>
        <w:tabs>
          <w:tab w:val="clear" w:pos="567"/>
        </w:tabs>
        <w:spacing w:after="120" w:line="240" w:lineRule="auto"/>
        <w:ind w:left="283" w:hanging="283"/>
        <w:rPr>
          <w:sz w:val="24"/>
          <w:szCs w:val="24"/>
          <w:u w:val="single"/>
        </w:rPr>
      </w:pPr>
      <w:r w:rsidRPr="001A1F75">
        <w:rPr>
          <w:sz w:val="24"/>
          <w:szCs w:val="24"/>
        </w:rPr>
        <w:t>Attach the infusion needle to a syringe containing VEYVONDI solution. For comfort, a winged (butterfly) infusion set is preferred. Point the needle up and remove any air bubbles by gently tapping the syringe with your finger and slowly and carefully pushing air out of the syringe and needle.</w:t>
      </w:r>
    </w:p>
    <w:p w:rsidR="00D22631" w:rsidRPr="001A1F75" w:rsidRDefault="00D22631" w:rsidP="00D22631">
      <w:pPr>
        <w:numPr>
          <w:ilvl w:val="0"/>
          <w:numId w:val="6"/>
        </w:numPr>
        <w:tabs>
          <w:tab w:val="clear" w:pos="567"/>
        </w:tabs>
        <w:spacing w:after="120" w:line="240" w:lineRule="auto"/>
        <w:ind w:left="283" w:right="-2" w:hanging="283"/>
        <w:rPr>
          <w:noProof/>
          <w:sz w:val="24"/>
          <w:szCs w:val="24"/>
        </w:rPr>
      </w:pPr>
      <w:r w:rsidRPr="001A1F75">
        <w:rPr>
          <w:sz w:val="24"/>
          <w:szCs w:val="24"/>
        </w:rPr>
        <w:t>Apply a tourniquet and get the infusion site ready by wiping the skin well with a sterile alcohol swa</w:t>
      </w:r>
      <w:r w:rsidR="00CC4980">
        <w:rPr>
          <w:sz w:val="24"/>
          <w:szCs w:val="24"/>
        </w:rPr>
        <w:t>b</w:t>
      </w:r>
      <w:r w:rsidR="00561FCE" w:rsidRPr="001A1F75">
        <w:rPr>
          <w:sz w:val="24"/>
          <w:szCs w:val="24"/>
        </w:rPr>
        <w:t>.</w:t>
      </w:r>
    </w:p>
    <w:p w:rsidR="00D22631" w:rsidRPr="001A1F75" w:rsidRDefault="00D22631" w:rsidP="00D22631">
      <w:pPr>
        <w:pStyle w:val="TableCenter"/>
        <w:numPr>
          <w:ilvl w:val="0"/>
          <w:numId w:val="6"/>
        </w:numPr>
        <w:spacing w:after="120"/>
        <w:ind w:left="283" w:hanging="283"/>
        <w:jc w:val="left"/>
        <w:rPr>
          <w:sz w:val="24"/>
        </w:rPr>
      </w:pPr>
      <w:r w:rsidRPr="001A1F75">
        <w:rPr>
          <w:sz w:val="24"/>
        </w:rPr>
        <w:t>Insert the needle into the vein and remove the tourniquet. Slowly infuse VEYVONDI. Do not infuse any faster than 4 mL per minute. Disconnect the empty syringe. If your dose requires multiple syringes, attach and administer each additional syringe of VEYVONDI one at a time.</w:t>
      </w:r>
    </w:p>
    <w:p w:rsidR="00D22631" w:rsidRDefault="00D22631" w:rsidP="00D22631">
      <w:pPr>
        <w:pStyle w:val="TableCenter"/>
        <w:spacing w:after="120"/>
        <w:ind w:left="283" w:firstLine="1"/>
        <w:jc w:val="left"/>
        <w:rPr>
          <w:b/>
          <w:sz w:val="24"/>
        </w:rPr>
      </w:pPr>
      <w:r>
        <w:rPr>
          <w:sz w:val="24"/>
        </w:rPr>
        <w:t>NOTE:</w:t>
      </w:r>
      <w:r w:rsidRPr="001A1F75">
        <w:rPr>
          <w:b/>
          <w:sz w:val="24"/>
        </w:rPr>
        <w:t xml:space="preserve"> </w:t>
      </w:r>
    </w:p>
    <w:p w:rsidR="00D22631" w:rsidRPr="001A1F75" w:rsidRDefault="00D22631" w:rsidP="00D22631">
      <w:pPr>
        <w:pStyle w:val="TableCenter"/>
        <w:spacing w:after="120"/>
        <w:ind w:left="283" w:firstLine="1"/>
        <w:jc w:val="left"/>
        <w:rPr>
          <w:sz w:val="24"/>
        </w:rPr>
      </w:pPr>
      <w:r w:rsidRPr="001A1F75">
        <w:rPr>
          <w:sz w:val="24"/>
        </w:rPr>
        <w:t>Do not remove butterfly needle until all syringes have been infused and do not touch the Luer port that connects to the syringe.</w:t>
      </w:r>
    </w:p>
    <w:p w:rsidR="00D22631" w:rsidRPr="001A1F75" w:rsidRDefault="00D22631" w:rsidP="00D22631">
      <w:pPr>
        <w:tabs>
          <w:tab w:val="clear" w:pos="567"/>
        </w:tabs>
        <w:spacing w:after="120" w:line="240" w:lineRule="auto"/>
        <w:ind w:left="283" w:right="-2" w:firstLine="1"/>
        <w:rPr>
          <w:sz w:val="24"/>
          <w:szCs w:val="24"/>
        </w:rPr>
      </w:pPr>
      <w:r w:rsidRPr="001A1F75">
        <w:rPr>
          <w:sz w:val="24"/>
          <w:szCs w:val="24"/>
        </w:rPr>
        <w:t>If rFVIII has been prescribed, administer rFVIII within 10 minutes after infusion of VEYVONDI has been completed.</w:t>
      </w:r>
      <w:r w:rsidR="00DC482D">
        <w:rPr>
          <w:sz w:val="24"/>
          <w:szCs w:val="24"/>
        </w:rPr>
        <w:t xml:space="preserve"> </w:t>
      </w:r>
      <w:r w:rsidR="00DC482D">
        <w:rPr>
          <w:noProof/>
          <w:sz w:val="24"/>
          <w:szCs w:val="24"/>
        </w:rPr>
        <w:t>When co-administration of VEYVONDI</w:t>
      </w:r>
      <w:r w:rsidR="00DC482D" w:rsidRPr="00AE7555">
        <w:rPr>
          <w:noProof/>
          <w:sz w:val="24"/>
          <w:szCs w:val="24"/>
        </w:rPr>
        <w:t xml:space="preserve"> and rFVIII is considered necessary</w:t>
      </w:r>
      <w:r w:rsidR="00DC482D">
        <w:rPr>
          <w:noProof/>
          <w:sz w:val="24"/>
          <w:szCs w:val="24"/>
        </w:rPr>
        <w:t xml:space="preserve">, see Section </w:t>
      </w:r>
      <w:r w:rsidR="00DC482D">
        <w:rPr>
          <w:noProof/>
          <w:sz w:val="24"/>
          <w:szCs w:val="24"/>
        </w:rPr>
        <w:fldChar w:fldCharType="begin"/>
      </w:r>
      <w:r w:rsidR="00DC482D">
        <w:rPr>
          <w:noProof/>
          <w:sz w:val="24"/>
          <w:szCs w:val="24"/>
        </w:rPr>
        <w:instrText xml:space="preserve"> REF _Ref527116419 \r \h </w:instrText>
      </w:r>
      <w:r w:rsidR="00DC482D">
        <w:rPr>
          <w:noProof/>
          <w:sz w:val="24"/>
          <w:szCs w:val="24"/>
        </w:rPr>
      </w:r>
      <w:r w:rsidR="00DC482D">
        <w:rPr>
          <w:noProof/>
          <w:sz w:val="24"/>
          <w:szCs w:val="24"/>
        </w:rPr>
        <w:instrText xml:space="preserve"> \* MERGEFORMAT </w:instrText>
      </w:r>
      <w:r w:rsidR="00DC482D">
        <w:rPr>
          <w:noProof/>
          <w:sz w:val="24"/>
          <w:szCs w:val="24"/>
        </w:rPr>
        <w:fldChar w:fldCharType="separate"/>
      </w:r>
      <w:r w:rsidR="00DC482D">
        <w:rPr>
          <w:noProof/>
          <w:sz w:val="24"/>
          <w:szCs w:val="24"/>
        </w:rPr>
        <w:t>6.2</w:t>
      </w:r>
      <w:r w:rsidR="00DC482D">
        <w:rPr>
          <w:noProof/>
          <w:sz w:val="24"/>
          <w:szCs w:val="24"/>
        </w:rPr>
        <w:fldChar w:fldCharType="end"/>
      </w:r>
      <w:r w:rsidR="00DC482D">
        <w:rPr>
          <w:noProof/>
          <w:sz w:val="24"/>
          <w:szCs w:val="24"/>
        </w:rPr>
        <w:t xml:space="preserve"> for </w:t>
      </w:r>
      <w:r w:rsidR="00DC482D">
        <w:rPr>
          <w:noProof/>
          <w:sz w:val="24"/>
          <w:szCs w:val="24"/>
        </w:rPr>
        <w:fldChar w:fldCharType="begin"/>
      </w:r>
      <w:r w:rsidR="00DC482D">
        <w:rPr>
          <w:noProof/>
          <w:sz w:val="24"/>
          <w:szCs w:val="24"/>
        </w:rPr>
        <w:instrText xml:space="preserve"> REF _Ref527116419 \h </w:instrText>
      </w:r>
      <w:r w:rsidR="00DC482D">
        <w:rPr>
          <w:noProof/>
          <w:sz w:val="24"/>
          <w:szCs w:val="24"/>
        </w:rPr>
      </w:r>
      <w:r w:rsidR="00DC482D">
        <w:rPr>
          <w:noProof/>
          <w:sz w:val="24"/>
          <w:szCs w:val="24"/>
        </w:rPr>
        <w:instrText xml:space="preserve"> \* MERGEFORMAT </w:instrText>
      </w:r>
      <w:r w:rsidR="00DC482D">
        <w:rPr>
          <w:noProof/>
          <w:sz w:val="24"/>
          <w:szCs w:val="24"/>
        </w:rPr>
        <w:fldChar w:fldCharType="separate"/>
      </w:r>
      <w:r w:rsidR="00DC482D" w:rsidRPr="00C1607C">
        <w:rPr>
          <w:noProof/>
          <w:sz w:val="24"/>
          <w:szCs w:val="24"/>
        </w:rPr>
        <w:t>incompa</w:t>
      </w:r>
      <w:r w:rsidR="00DC482D" w:rsidRPr="00C1607C">
        <w:rPr>
          <w:noProof/>
          <w:sz w:val="24"/>
          <w:szCs w:val="24"/>
        </w:rPr>
        <w:t>t</w:t>
      </w:r>
      <w:r w:rsidR="00DC482D" w:rsidRPr="00C1607C">
        <w:rPr>
          <w:noProof/>
          <w:sz w:val="24"/>
          <w:szCs w:val="24"/>
        </w:rPr>
        <w:t>ibilities</w:t>
      </w:r>
      <w:r w:rsidR="00DC482D">
        <w:rPr>
          <w:noProof/>
          <w:sz w:val="24"/>
          <w:szCs w:val="24"/>
        </w:rPr>
        <w:fldChar w:fldCharType="end"/>
      </w:r>
      <w:r w:rsidR="00DC482D">
        <w:rPr>
          <w:noProof/>
          <w:sz w:val="24"/>
          <w:szCs w:val="24"/>
        </w:rPr>
        <w:t>.</w:t>
      </w:r>
    </w:p>
    <w:p w:rsidR="00D22631" w:rsidRPr="001A1F75" w:rsidRDefault="00D22631" w:rsidP="00D22631">
      <w:pPr>
        <w:numPr>
          <w:ilvl w:val="0"/>
          <w:numId w:val="6"/>
        </w:numPr>
        <w:tabs>
          <w:tab w:val="clear" w:pos="567"/>
        </w:tabs>
        <w:spacing w:line="240" w:lineRule="auto"/>
        <w:ind w:left="283" w:right="-2" w:hanging="283"/>
        <w:rPr>
          <w:sz w:val="24"/>
          <w:szCs w:val="24"/>
        </w:rPr>
      </w:pPr>
      <w:r w:rsidRPr="001A1F75">
        <w:rPr>
          <w:sz w:val="24"/>
          <w:szCs w:val="24"/>
        </w:rPr>
        <w:t>Take the needle out of the vein and use sterile gauze to put pressure on the infusion site for several minutes.</w:t>
      </w:r>
    </w:p>
    <w:p w:rsidR="00D22631" w:rsidRPr="001A1F75" w:rsidRDefault="00D22631" w:rsidP="00D22631">
      <w:pPr>
        <w:pStyle w:val="BodytextAgency"/>
        <w:spacing w:before="120" w:after="120" w:line="240" w:lineRule="auto"/>
        <w:rPr>
          <w:rFonts w:ascii="Times New Roman" w:hAnsi="Times New Roman" w:cs="Times New Roman"/>
          <w:noProof/>
          <w:sz w:val="24"/>
          <w:szCs w:val="24"/>
        </w:rPr>
      </w:pPr>
      <w:r w:rsidRPr="001A1F75">
        <w:rPr>
          <w:rFonts w:ascii="Times New Roman" w:hAnsi="Times New Roman" w:cs="Times New Roman"/>
          <w:noProof/>
          <w:sz w:val="24"/>
          <w:szCs w:val="24"/>
        </w:rPr>
        <w:t xml:space="preserve">In case large volumes of VEYVONDI are required, it is possible to pool two vials of VEYVONDI together. The contents of each reconstituted </w:t>
      </w:r>
      <w:r>
        <w:rPr>
          <w:rFonts w:ascii="Times New Roman" w:hAnsi="Times New Roman" w:cs="Times New Roman"/>
          <w:noProof/>
          <w:sz w:val="24"/>
          <w:szCs w:val="24"/>
        </w:rPr>
        <w:t>vial</w:t>
      </w:r>
      <w:r w:rsidRPr="001A1F75">
        <w:rPr>
          <w:rFonts w:ascii="Times New Roman" w:hAnsi="Times New Roman" w:cs="Times New Roman"/>
          <w:noProof/>
          <w:sz w:val="24"/>
          <w:szCs w:val="24"/>
        </w:rPr>
        <w:t xml:space="preserve"> can be drawn in a single syringe. However, in these cases the initially reconstituted solution of </w:t>
      </w:r>
      <w:r>
        <w:rPr>
          <w:rFonts w:ascii="Times New Roman" w:hAnsi="Times New Roman" w:cs="Times New Roman"/>
          <w:noProof/>
          <w:sz w:val="24"/>
          <w:szCs w:val="24"/>
        </w:rPr>
        <w:t xml:space="preserve">VEYVONDI </w:t>
      </w:r>
      <w:r w:rsidRPr="001A1F75">
        <w:rPr>
          <w:rFonts w:ascii="Times New Roman" w:hAnsi="Times New Roman" w:cs="Times New Roman"/>
          <w:noProof/>
          <w:sz w:val="24"/>
          <w:szCs w:val="24"/>
        </w:rPr>
        <w:t>should not be diluted any further.</w:t>
      </w:r>
    </w:p>
    <w:p w:rsidR="00D22631" w:rsidRDefault="00D22631" w:rsidP="00D22631">
      <w:pPr>
        <w:pStyle w:val="BodytextAgency"/>
        <w:spacing w:before="120" w:after="120" w:line="240" w:lineRule="auto"/>
        <w:rPr>
          <w:rFonts w:ascii="Times New Roman" w:hAnsi="Times New Roman" w:cs="Times New Roman"/>
          <w:noProof/>
          <w:sz w:val="24"/>
          <w:szCs w:val="24"/>
        </w:rPr>
      </w:pPr>
      <w:r w:rsidRPr="001A1F75">
        <w:rPr>
          <w:rFonts w:ascii="Times New Roman" w:hAnsi="Times New Roman" w:cs="Times New Roman"/>
          <w:noProof/>
          <w:sz w:val="24"/>
          <w:szCs w:val="24"/>
        </w:rPr>
        <w:t>The solution should be slowly administered intravenou</w:t>
      </w:r>
      <w:r>
        <w:rPr>
          <w:rFonts w:ascii="Times New Roman" w:hAnsi="Times New Roman" w:cs="Times New Roman"/>
          <w:noProof/>
          <w:sz w:val="24"/>
          <w:szCs w:val="24"/>
        </w:rPr>
        <w:t xml:space="preserve">sly </w:t>
      </w:r>
      <w:r w:rsidRPr="001A1F75">
        <w:rPr>
          <w:rFonts w:ascii="Times New Roman" w:hAnsi="Times New Roman" w:cs="Times New Roman"/>
          <w:noProof/>
          <w:sz w:val="24"/>
          <w:szCs w:val="24"/>
        </w:rPr>
        <w:t>not exceeding 4 mL/min.</w:t>
      </w:r>
    </w:p>
    <w:p w:rsidR="00622ADF" w:rsidRDefault="00D22631" w:rsidP="00D22631">
      <w:pPr>
        <w:pStyle w:val="BodytextAgency"/>
        <w:spacing w:before="120" w:after="120" w:line="240" w:lineRule="auto"/>
        <w:rPr>
          <w:rFonts w:ascii="Times New Roman" w:hAnsi="Times New Roman" w:cs="Times New Roman"/>
          <w:noProof/>
          <w:sz w:val="24"/>
          <w:szCs w:val="24"/>
        </w:rPr>
      </w:pPr>
      <w:r w:rsidRPr="00542705">
        <w:rPr>
          <w:rFonts w:ascii="Times New Roman" w:hAnsi="Times New Roman" w:cs="Times New Roman"/>
          <w:noProof/>
          <w:sz w:val="24"/>
          <w:szCs w:val="24"/>
        </w:rPr>
        <w:lastRenderedPageBreak/>
        <w:t xml:space="preserve">Do not recap the needle. </w:t>
      </w:r>
      <w:r>
        <w:rPr>
          <w:rFonts w:ascii="Times New Roman" w:hAnsi="Times New Roman" w:cs="Times New Roman"/>
          <w:noProof/>
          <w:sz w:val="24"/>
          <w:szCs w:val="24"/>
        </w:rPr>
        <w:t>S</w:t>
      </w:r>
      <w:r w:rsidR="00622ADF">
        <w:rPr>
          <w:rFonts w:ascii="Times New Roman" w:hAnsi="Times New Roman" w:cs="Times New Roman"/>
          <w:noProof/>
          <w:sz w:val="24"/>
          <w:szCs w:val="24"/>
        </w:rPr>
        <w:t xml:space="preserve">ee section </w:t>
      </w:r>
      <w:r w:rsidR="00622ADF">
        <w:rPr>
          <w:rFonts w:ascii="Times New Roman" w:hAnsi="Times New Roman" w:cs="Times New Roman"/>
          <w:noProof/>
          <w:sz w:val="24"/>
          <w:szCs w:val="24"/>
        </w:rPr>
        <w:fldChar w:fldCharType="begin"/>
      </w:r>
      <w:r w:rsidR="00622ADF">
        <w:rPr>
          <w:rFonts w:ascii="Times New Roman" w:hAnsi="Times New Roman" w:cs="Times New Roman"/>
          <w:noProof/>
          <w:sz w:val="24"/>
          <w:szCs w:val="24"/>
        </w:rPr>
        <w:instrText xml:space="preserve"> REF _Ref2861651 \r \h </w:instrText>
      </w:r>
      <w:r w:rsidR="00622ADF">
        <w:rPr>
          <w:rFonts w:ascii="Times New Roman" w:hAnsi="Times New Roman" w:cs="Times New Roman"/>
          <w:noProof/>
          <w:sz w:val="24"/>
          <w:szCs w:val="24"/>
        </w:rPr>
      </w:r>
      <w:r w:rsidR="00B43C06">
        <w:rPr>
          <w:rFonts w:ascii="Times New Roman" w:hAnsi="Times New Roman" w:cs="Times New Roman"/>
          <w:noProof/>
          <w:sz w:val="24"/>
          <w:szCs w:val="24"/>
        </w:rPr>
        <w:instrText xml:space="preserve"> \* MERGEFORMAT </w:instrText>
      </w:r>
      <w:r w:rsidR="00622ADF">
        <w:rPr>
          <w:rFonts w:ascii="Times New Roman" w:hAnsi="Times New Roman" w:cs="Times New Roman"/>
          <w:noProof/>
          <w:sz w:val="24"/>
          <w:szCs w:val="24"/>
        </w:rPr>
        <w:fldChar w:fldCharType="separate"/>
      </w:r>
      <w:r w:rsidR="00622ADF">
        <w:rPr>
          <w:rFonts w:ascii="Times New Roman" w:hAnsi="Times New Roman" w:cs="Times New Roman"/>
          <w:noProof/>
          <w:sz w:val="24"/>
          <w:szCs w:val="24"/>
        </w:rPr>
        <w:t>6.6</w:t>
      </w:r>
      <w:r w:rsidR="00622ADF">
        <w:rPr>
          <w:rFonts w:ascii="Times New Roman" w:hAnsi="Times New Roman" w:cs="Times New Roman"/>
          <w:noProof/>
          <w:sz w:val="24"/>
          <w:szCs w:val="24"/>
        </w:rPr>
        <w:fldChar w:fldCharType="end"/>
      </w:r>
      <w:r w:rsidR="00B43C06">
        <w:rPr>
          <w:rFonts w:ascii="Times New Roman" w:hAnsi="Times New Roman" w:cs="Times New Roman"/>
          <w:noProof/>
          <w:sz w:val="24"/>
          <w:szCs w:val="24"/>
        </w:rPr>
        <w:t xml:space="preserve"> </w:t>
      </w:r>
      <w:r w:rsidR="00B43C06">
        <w:rPr>
          <w:rFonts w:ascii="Times New Roman" w:hAnsi="Times New Roman" w:cs="Times New Roman"/>
          <w:noProof/>
          <w:sz w:val="24"/>
          <w:szCs w:val="24"/>
        </w:rPr>
        <w:fldChar w:fldCharType="begin"/>
      </w:r>
      <w:r w:rsidR="00B43C06">
        <w:rPr>
          <w:rFonts w:ascii="Times New Roman" w:hAnsi="Times New Roman" w:cs="Times New Roman"/>
          <w:noProof/>
          <w:sz w:val="24"/>
          <w:szCs w:val="24"/>
        </w:rPr>
        <w:instrText xml:space="preserve"> REF _Ref2861651 \h </w:instrText>
      </w:r>
      <w:r w:rsidR="00B43C06">
        <w:rPr>
          <w:rFonts w:ascii="Times New Roman" w:hAnsi="Times New Roman" w:cs="Times New Roman"/>
          <w:noProof/>
          <w:sz w:val="24"/>
          <w:szCs w:val="24"/>
        </w:rPr>
      </w:r>
      <w:r w:rsidR="00B43C06">
        <w:rPr>
          <w:rFonts w:ascii="Times New Roman" w:hAnsi="Times New Roman" w:cs="Times New Roman"/>
          <w:noProof/>
          <w:sz w:val="24"/>
          <w:szCs w:val="24"/>
        </w:rPr>
        <w:instrText xml:space="preserve"> \* MERGEFORMAT </w:instrText>
      </w:r>
      <w:r w:rsidR="00B43C06">
        <w:rPr>
          <w:rFonts w:ascii="Times New Roman" w:hAnsi="Times New Roman" w:cs="Times New Roman"/>
          <w:noProof/>
          <w:sz w:val="24"/>
          <w:szCs w:val="24"/>
        </w:rPr>
        <w:fldChar w:fldCharType="separate"/>
      </w:r>
      <w:r w:rsidR="00B43C06" w:rsidRPr="00B43C06">
        <w:rPr>
          <w:rFonts w:ascii="Times New Roman" w:hAnsi="Times New Roman" w:cs="Times New Roman"/>
          <w:noProof/>
          <w:sz w:val="24"/>
          <w:szCs w:val="24"/>
        </w:rPr>
        <w:t>SPECIAL PRECAUTIONS FOR DISPOSAL</w:t>
      </w:r>
      <w:r w:rsidR="00B43C06">
        <w:rPr>
          <w:rFonts w:ascii="Times New Roman" w:hAnsi="Times New Roman" w:cs="Times New Roman"/>
          <w:noProof/>
          <w:sz w:val="24"/>
          <w:szCs w:val="24"/>
        </w:rPr>
        <w:fldChar w:fldCharType="end"/>
      </w:r>
      <w:r w:rsidR="00622ADF">
        <w:rPr>
          <w:rFonts w:ascii="Times New Roman" w:hAnsi="Times New Roman" w:cs="Times New Roman"/>
          <w:noProof/>
          <w:sz w:val="24"/>
          <w:szCs w:val="24"/>
        </w:rPr>
        <w:t>.</w:t>
      </w:r>
    </w:p>
    <w:p w:rsidR="00812D16" w:rsidRPr="00843183" w:rsidRDefault="00843183" w:rsidP="007B162C">
      <w:pPr>
        <w:pStyle w:val="Heading2"/>
        <w:tabs>
          <w:tab w:val="clear" w:pos="907"/>
          <w:tab w:val="num" w:pos="851"/>
        </w:tabs>
        <w:spacing w:after="120"/>
        <w:ind w:left="851" w:hanging="851"/>
      </w:pPr>
      <w:r w:rsidRPr="00843183">
        <w:t>CONTRAINDICATIONS</w:t>
      </w:r>
    </w:p>
    <w:p w:rsidR="003667B9" w:rsidRPr="00843183" w:rsidRDefault="00812D16" w:rsidP="007B162C">
      <w:pPr>
        <w:pStyle w:val="BodytextAgency"/>
        <w:spacing w:before="120" w:after="120" w:line="240" w:lineRule="auto"/>
        <w:rPr>
          <w:rFonts w:ascii="Times New Roman" w:hAnsi="Times New Roman" w:cs="Times New Roman"/>
          <w:noProof/>
          <w:sz w:val="24"/>
          <w:szCs w:val="24"/>
        </w:rPr>
      </w:pPr>
      <w:r w:rsidRPr="00843183">
        <w:rPr>
          <w:rFonts w:ascii="Times New Roman" w:hAnsi="Times New Roman" w:cs="Times New Roman"/>
          <w:noProof/>
          <w:sz w:val="24"/>
          <w:szCs w:val="24"/>
        </w:rPr>
        <w:t>Hypersensit</w:t>
      </w:r>
      <w:r w:rsidR="00881B5B" w:rsidRPr="00843183">
        <w:rPr>
          <w:rFonts w:ascii="Times New Roman" w:hAnsi="Times New Roman" w:cs="Times New Roman"/>
          <w:noProof/>
          <w:sz w:val="24"/>
          <w:szCs w:val="24"/>
        </w:rPr>
        <w:t>ivity to the active substance</w:t>
      </w:r>
      <w:r w:rsidR="00A13B70" w:rsidRPr="00843183">
        <w:rPr>
          <w:rFonts w:ascii="Times New Roman" w:hAnsi="Times New Roman" w:cs="Times New Roman"/>
          <w:noProof/>
          <w:sz w:val="24"/>
          <w:szCs w:val="24"/>
        </w:rPr>
        <w:t xml:space="preserve"> or </w:t>
      </w:r>
      <w:r w:rsidRPr="00843183">
        <w:rPr>
          <w:rFonts w:ascii="Times New Roman" w:hAnsi="Times New Roman" w:cs="Times New Roman"/>
          <w:noProof/>
          <w:sz w:val="24"/>
          <w:szCs w:val="24"/>
        </w:rPr>
        <w:t xml:space="preserve">to any of the excipients listed in </w:t>
      </w:r>
      <w:r w:rsidR="00BD6FBE">
        <w:rPr>
          <w:rFonts w:ascii="Times New Roman" w:hAnsi="Times New Roman" w:cs="Times New Roman"/>
          <w:noProof/>
          <w:sz w:val="24"/>
          <w:szCs w:val="24"/>
        </w:rPr>
        <w:t>S</w:t>
      </w:r>
      <w:r w:rsidR="00BD6FBE" w:rsidRPr="006D5E7C">
        <w:rPr>
          <w:rFonts w:ascii="Times New Roman" w:hAnsi="Times New Roman" w:cs="Times New Roman"/>
          <w:noProof/>
          <w:sz w:val="24"/>
          <w:szCs w:val="24"/>
        </w:rPr>
        <w:t>ection </w:t>
      </w:r>
      <w:r w:rsidR="00BD6FBE">
        <w:rPr>
          <w:rFonts w:ascii="Times New Roman" w:hAnsi="Times New Roman" w:cs="Times New Roman"/>
          <w:noProof/>
          <w:sz w:val="24"/>
          <w:szCs w:val="24"/>
        </w:rPr>
        <w:fldChar w:fldCharType="begin"/>
      </w:r>
      <w:r w:rsidR="00BD6FBE">
        <w:rPr>
          <w:rFonts w:ascii="Times New Roman" w:hAnsi="Times New Roman" w:cs="Times New Roman"/>
          <w:noProof/>
          <w:sz w:val="24"/>
          <w:szCs w:val="24"/>
        </w:rPr>
        <w:instrText xml:space="preserve"> REF _Ref527042452 \r \h </w:instrText>
      </w:r>
      <w:r w:rsidR="00BD6FBE">
        <w:rPr>
          <w:rFonts w:ascii="Times New Roman" w:hAnsi="Times New Roman" w:cs="Times New Roman"/>
          <w:noProof/>
          <w:sz w:val="24"/>
          <w:szCs w:val="24"/>
        </w:rPr>
      </w:r>
      <w:r w:rsidR="00BD6FBE">
        <w:rPr>
          <w:rFonts w:ascii="Times New Roman" w:hAnsi="Times New Roman" w:cs="Times New Roman"/>
          <w:noProof/>
          <w:sz w:val="24"/>
          <w:szCs w:val="24"/>
        </w:rPr>
        <w:instrText xml:space="preserve"> \* MERGEFORMAT </w:instrText>
      </w:r>
      <w:r w:rsidR="00BD6FBE">
        <w:rPr>
          <w:rFonts w:ascii="Times New Roman" w:hAnsi="Times New Roman" w:cs="Times New Roman"/>
          <w:noProof/>
          <w:sz w:val="24"/>
          <w:szCs w:val="24"/>
        </w:rPr>
        <w:fldChar w:fldCharType="separate"/>
      </w:r>
      <w:r w:rsidR="00BD6FBE">
        <w:rPr>
          <w:rFonts w:ascii="Times New Roman" w:hAnsi="Times New Roman" w:cs="Times New Roman"/>
          <w:noProof/>
          <w:sz w:val="24"/>
          <w:szCs w:val="24"/>
        </w:rPr>
        <w:t>6.1</w:t>
      </w:r>
      <w:r w:rsidR="00BD6FBE">
        <w:rPr>
          <w:rFonts w:ascii="Times New Roman" w:hAnsi="Times New Roman" w:cs="Times New Roman"/>
          <w:noProof/>
          <w:sz w:val="24"/>
          <w:szCs w:val="24"/>
        </w:rPr>
        <w:fldChar w:fldCharType="end"/>
      </w:r>
      <w:r w:rsidR="00BD6FBE">
        <w:rPr>
          <w:rFonts w:ascii="Times New Roman" w:hAnsi="Times New Roman" w:cs="Times New Roman"/>
          <w:noProof/>
          <w:sz w:val="24"/>
          <w:szCs w:val="24"/>
        </w:rPr>
        <w:t xml:space="preserve"> </w:t>
      </w:r>
      <w:r w:rsidR="00BD6FBE">
        <w:rPr>
          <w:rFonts w:ascii="Times New Roman" w:hAnsi="Times New Roman" w:cs="Times New Roman"/>
          <w:noProof/>
          <w:sz w:val="24"/>
          <w:szCs w:val="24"/>
        </w:rPr>
        <w:fldChar w:fldCharType="begin"/>
      </w:r>
      <w:r w:rsidR="00BD6FBE">
        <w:rPr>
          <w:rFonts w:ascii="Times New Roman" w:hAnsi="Times New Roman" w:cs="Times New Roman"/>
          <w:noProof/>
          <w:sz w:val="24"/>
          <w:szCs w:val="24"/>
        </w:rPr>
        <w:instrText xml:space="preserve"> REF _Ref527042452 \h </w:instrText>
      </w:r>
      <w:r w:rsidR="00BD6FBE">
        <w:rPr>
          <w:rFonts w:ascii="Times New Roman" w:hAnsi="Times New Roman" w:cs="Times New Roman"/>
          <w:noProof/>
          <w:sz w:val="24"/>
          <w:szCs w:val="24"/>
        </w:rPr>
      </w:r>
      <w:r w:rsidR="00BD6FBE">
        <w:rPr>
          <w:rFonts w:ascii="Times New Roman" w:hAnsi="Times New Roman" w:cs="Times New Roman"/>
          <w:noProof/>
          <w:sz w:val="24"/>
          <w:szCs w:val="24"/>
        </w:rPr>
        <w:instrText xml:space="preserve"> \* MERGEFORMAT </w:instrText>
      </w:r>
      <w:r w:rsidR="00BD6FBE">
        <w:rPr>
          <w:rFonts w:ascii="Times New Roman" w:hAnsi="Times New Roman" w:cs="Times New Roman"/>
          <w:noProof/>
          <w:sz w:val="24"/>
          <w:szCs w:val="24"/>
        </w:rPr>
        <w:fldChar w:fldCharType="separate"/>
      </w:r>
      <w:r w:rsidR="00BD6FBE" w:rsidRPr="00BD6FBE">
        <w:rPr>
          <w:rFonts w:ascii="Times New Roman" w:hAnsi="Times New Roman" w:cs="Times New Roman"/>
          <w:noProof/>
          <w:sz w:val="24"/>
          <w:szCs w:val="24"/>
        </w:rPr>
        <w:t>LIST OF EXCIPIENTS</w:t>
      </w:r>
      <w:r w:rsidR="00BD6FBE">
        <w:rPr>
          <w:rFonts w:ascii="Times New Roman" w:hAnsi="Times New Roman" w:cs="Times New Roman"/>
          <w:noProof/>
          <w:sz w:val="24"/>
          <w:szCs w:val="24"/>
        </w:rPr>
        <w:fldChar w:fldCharType="end"/>
      </w:r>
      <w:r w:rsidR="00BD6FBE" w:rsidRPr="006D5E7C">
        <w:rPr>
          <w:rFonts w:ascii="Times New Roman" w:hAnsi="Times New Roman" w:cs="Times New Roman"/>
          <w:noProof/>
          <w:sz w:val="24"/>
          <w:szCs w:val="24"/>
        </w:rPr>
        <w:t>.</w:t>
      </w:r>
    </w:p>
    <w:p w:rsidR="00812D16" w:rsidRPr="00843183" w:rsidRDefault="003667B9" w:rsidP="007B162C">
      <w:pPr>
        <w:pStyle w:val="BodytextAgency"/>
        <w:spacing w:before="120" w:after="120" w:line="240" w:lineRule="auto"/>
        <w:rPr>
          <w:rFonts w:ascii="Times New Roman" w:hAnsi="Times New Roman" w:cs="Times New Roman"/>
          <w:noProof/>
          <w:sz w:val="24"/>
          <w:szCs w:val="24"/>
        </w:rPr>
      </w:pPr>
      <w:r w:rsidRPr="00843183">
        <w:rPr>
          <w:rFonts w:ascii="Times New Roman" w:hAnsi="Times New Roman" w:cs="Times New Roman"/>
          <w:noProof/>
          <w:sz w:val="24"/>
          <w:szCs w:val="24"/>
        </w:rPr>
        <w:t xml:space="preserve">Known allergic reaction to </w:t>
      </w:r>
      <w:r w:rsidR="00881B5B" w:rsidRPr="00843183">
        <w:rPr>
          <w:rFonts w:ascii="Times New Roman" w:hAnsi="Times New Roman" w:cs="Times New Roman"/>
          <w:noProof/>
          <w:sz w:val="24"/>
          <w:szCs w:val="24"/>
        </w:rPr>
        <w:t xml:space="preserve">mouse or </w:t>
      </w:r>
      <w:r w:rsidR="00071023">
        <w:rPr>
          <w:rFonts w:ascii="Times New Roman" w:hAnsi="Times New Roman" w:cs="Times New Roman"/>
          <w:noProof/>
          <w:sz w:val="24"/>
          <w:szCs w:val="24"/>
        </w:rPr>
        <w:t>h</w:t>
      </w:r>
      <w:r w:rsidR="00881B5B" w:rsidRPr="00843183">
        <w:rPr>
          <w:rFonts w:ascii="Times New Roman" w:hAnsi="Times New Roman" w:cs="Times New Roman"/>
          <w:noProof/>
          <w:sz w:val="24"/>
          <w:szCs w:val="24"/>
        </w:rPr>
        <w:t>amster proteins</w:t>
      </w:r>
      <w:r w:rsidR="00E04BE7" w:rsidRPr="00843183">
        <w:rPr>
          <w:rFonts w:ascii="Times New Roman" w:hAnsi="Times New Roman" w:cs="Times New Roman"/>
          <w:noProof/>
          <w:sz w:val="24"/>
          <w:szCs w:val="24"/>
        </w:rPr>
        <w:t>.</w:t>
      </w:r>
    </w:p>
    <w:p w:rsidR="00812D16" w:rsidRPr="00843183" w:rsidRDefault="00843183" w:rsidP="007B162C">
      <w:pPr>
        <w:pStyle w:val="Heading2"/>
        <w:tabs>
          <w:tab w:val="clear" w:pos="907"/>
          <w:tab w:val="num" w:pos="851"/>
        </w:tabs>
        <w:spacing w:after="120"/>
        <w:ind w:left="851" w:hanging="851"/>
      </w:pPr>
      <w:bookmarkStart w:id="9" w:name="_Ref2876307"/>
      <w:bookmarkStart w:id="10" w:name="_Ref3218972"/>
      <w:r w:rsidRPr="00843183">
        <w:t>SPECIAL WARNINGS AND PRECAUTIONS FOR USE</w:t>
      </w:r>
      <w:bookmarkEnd w:id="9"/>
      <w:r w:rsidRPr="00843183">
        <w:t xml:space="preserve"> </w:t>
      </w:r>
      <w:bookmarkEnd w:id="10"/>
    </w:p>
    <w:p w:rsidR="00186DEF" w:rsidRDefault="00186DEF" w:rsidP="007B162C">
      <w:pPr>
        <w:pStyle w:val="BodytextAgency"/>
        <w:spacing w:before="120" w:after="120" w:line="240" w:lineRule="auto"/>
        <w:rPr>
          <w:rFonts w:ascii="Times New Roman" w:hAnsi="Times New Roman" w:cs="Times New Roman"/>
          <w:noProof/>
          <w:sz w:val="24"/>
          <w:szCs w:val="24"/>
        </w:rPr>
      </w:pPr>
      <w:r w:rsidRPr="00843183">
        <w:rPr>
          <w:rFonts w:ascii="Times New Roman" w:hAnsi="Times New Roman" w:cs="Times New Roman"/>
          <w:noProof/>
          <w:sz w:val="24"/>
          <w:szCs w:val="24"/>
        </w:rPr>
        <w:t>In actively bleeding patients</w:t>
      </w:r>
      <w:r w:rsidR="000165C1">
        <w:rPr>
          <w:rFonts w:ascii="Times New Roman" w:hAnsi="Times New Roman" w:cs="Times New Roman"/>
          <w:noProof/>
          <w:sz w:val="24"/>
          <w:szCs w:val="24"/>
        </w:rPr>
        <w:t>,</w:t>
      </w:r>
      <w:r w:rsidRPr="00843183">
        <w:rPr>
          <w:rFonts w:ascii="Times New Roman" w:hAnsi="Times New Roman" w:cs="Times New Roman"/>
          <w:noProof/>
          <w:sz w:val="24"/>
          <w:szCs w:val="24"/>
        </w:rPr>
        <w:t xml:space="preserve"> it is recommended to co-administer a </w:t>
      </w:r>
      <w:r w:rsidR="000165C1">
        <w:rPr>
          <w:rFonts w:ascii="Times New Roman" w:hAnsi="Times New Roman" w:cs="Times New Roman"/>
          <w:noProof/>
          <w:sz w:val="24"/>
          <w:szCs w:val="24"/>
        </w:rPr>
        <w:t>r</w:t>
      </w:r>
      <w:r w:rsidRPr="00843183">
        <w:rPr>
          <w:rFonts w:ascii="Times New Roman" w:hAnsi="Times New Roman" w:cs="Times New Roman"/>
          <w:noProof/>
          <w:sz w:val="24"/>
          <w:szCs w:val="24"/>
        </w:rPr>
        <w:t xml:space="preserve">FVIII product with </w:t>
      </w:r>
      <w:r w:rsidR="004521D1" w:rsidRPr="00843183">
        <w:rPr>
          <w:rFonts w:ascii="Times New Roman" w:hAnsi="Times New Roman" w:cs="Times New Roman"/>
          <w:noProof/>
          <w:sz w:val="24"/>
          <w:szCs w:val="24"/>
        </w:rPr>
        <w:t xml:space="preserve">VEYVONDI </w:t>
      </w:r>
      <w:r w:rsidRPr="00843183">
        <w:rPr>
          <w:rFonts w:ascii="Times New Roman" w:hAnsi="Times New Roman" w:cs="Times New Roman"/>
          <w:noProof/>
          <w:sz w:val="24"/>
          <w:szCs w:val="24"/>
        </w:rPr>
        <w:t xml:space="preserve">as a first line treatment and depending on the FVIII activity levels (see </w:t>
      </w:r>
      <w:r w:rsidR="00843183">
        <w:rPr>
          <w:rFonts w:ascii="Times New Roman" w:hAnsi="Times New Roman" w:cs="Times New Roman"/>
          <w:noProof/>
          <w:sz w:val="24"/>
          <w:szCs w:val="24"/>
        </w:rPr>
        <w:t xml:space="preserve">Section </w:t>
      </w:r>
      <w:r w:rsidR="00843183">
        <w:rPr>
          <w:rFonts w:ascii="Times New Roman" w:hAnsi="Times New Roman" w:cs="Times New Roman"/>
          <w:noProof/>
          <w:sz w:val="24"/>
          <w:szCs w:val="24"/>
        </w:rPr>
        <w:fldChar w:fldCharType="begin"/>
      </w:r>
      <w:r w:rsidR="00843183">
        <w:rPr>
          <w:rFonts w:ascii="Times New Roman" w:hAnsi="Times New Roman" w:cs="Times New Roman"/>
          <w:noProof/>
          <w:sz w:val="24"/>
          <w:szCs w:val="24"/>
        </w:rPr>
        <w:instrText xml:space="preserve"> REF _Ref527032474 \w \h </w:instrText>
      </w:r>
      <w:r w:rsidR="00843183">
        <w:rPr>
          <w:rFonts w:ascii="Times New Roman" w:hAnsi="Times New Roman" w:cs="Times New Roman"/>
          <w:noProof/>
          <w:sz w:val="24"/>
          <w:szCs w:val="24"/>
        </w:rPr>
      </w:r>
      <w:r w:rsidR="00843183">
        <w:rPr>
          <w:rFonts w:ascii="Times New Roman" w:hAnsi="Times New Roman" w:cs="Times New Roman"/>
          <w:noProof/>
          <w:sz w:val="24"/>
          <w:szCs w:val="24"/>
        </w:rPr>
        <w:instrText xml:space="preserve"> \* MERGEFORMAT </w:instrText>
      </w:r>
      <w:r w:rsidR="00843183">
        <w:rPr>
          <w:rFonts w:ascii="Times New Roman" w:hAnsi="Times New Roman" w:cs="Times New Roman"/>
          <w:noProof/>
          <w:sz w:val="24"/>
          <w:szCs w:val="24"/>
        </w:rPr>
        <w:fldChar w:fldCharType="separate"/>
      </w:r>
      <w:r w:rsidR="00843183">
        <w:rPr>
          <w:rFonts w:ascii="Times New Roman" w:hAnsi="Times New Roman" w:cs="Times New Roman"/>
          <w:noProof/>
          <w:sz w:val="24"/>
          <w:szCs w:val="24"/>
        </w:rPr>
        <w:t>4.2</w:t>
      </w:r>
      <w:r w:rsidR="00843183">
        <w:rPr>
          <w:rFonts w:ascii="Times New Roman" w:hAnsi="Times New Roman" w:cs="Times New Roman"/>
          <w:noProof/>
          <w:sz w:val="24"/>
          <w:szCs w:val="24"/>
        </w:rPr>
        <w:fldChar w:fldCharType="end"/>
      </w:r>
      <w:r w:rsidR="00843183">
        <w:rPr>
          <w:rFonts w:ascii="Times New Roman" w:hAnsi="Times New Roman" w:cs="Times New Roman"/>
          <w:noProof/>
          <w:sz w:val="24"/>
          <w:szCs w:val="24"/>
        </w:rPr>
        <w:t xml:space="preserve"> </w:t>
      </w:r>
      <w:r w:rsidR="00843183">
        <w:rPr>
          <w:rFonts w:ascii="Times New Roman" w:hAnsi="Times New Roman" w:cs="Times New Roman"/>
          <w:noProof/>
          <w:sz w:val="24"/>
          <w:szCs w:val="24"/>
        </w:rPr>
        <w:fldChar w:fldCharType="begin"/>
      </w:r>
      <w:r w:rsidR="00843183">
        <w:rPr>
          <w:rFonts w:ascii="Times New Roman" w:hAnsi="Times New Roman" w:cs="Times New Roman"/>
          <w:noProof/>
          <w:sz w:val="24"/>
          <w:szCs w:val="24"/>
        </w:rPr>
        <w:instrText xml:space="preserve"> REF _Ref527032474 \h </w:instrText>
      </w:r>
      <w:r w:rsidR="00843183">
        <w:rPr>
          <w:rFonts w:ascii="Times New Roman" w:hAnsi="Times New Roman" w:cs="Times New Roman"/>
          <w:noProof/>
          <w:sz w:val="24"/>
          <w:szCs w:val="24"/>
        </w:rPr>
      </w:r>
      <w:r w:rsidR="00843183">
        <w:rPr>
          <w:rFonts w:ascii="Times New Roman" w:hAnsi="Times New Roman" w:cs="Times New Roman"/>
          <w:noProof/>
          <w:sz w:val="24"/>
          <w:szCs w:val="24"/>
        </w:rPr>
        <w:instrText xml:space="preserve"> \* MERGEFORMAT </w:instrText>
      </w:r>
      <w:r w:rsidR="00843183">
        <w:rPr>
          <w:rFonts w:ascii="Times New Roman" w:hAnsi="Times New Roman" w:cs="Times New Roman"/>
          <w:noProof/>
          <w:sz w:val="24"/>
          <w:szCs w:val="24"/>
        </w:rPr>
        <w:fldChar w:fldCharType="separate"/>
      </w:r>
      <w:r w:rsidR="00843183" w:rsidRPr="00843183">
        <w:rPr>
          <w:rFonts w:ascii="Times New Roman" w:hAnsi="Times New Roman" w:cs="Times New Roman"/>
          <w:noProof/>
          <w:sz w:val="24"/>
          <w:szCs w:val="24"/>
        </w:rPr>
        <w:t>DOSE AND METHOD OF ADMINISTRATION</w:t>
      </w:r>
      <w:r w:rsidR="00843183">
        <w:rPr>
          <w:rFonts w:ascii="Times New Roman" w:hAnsi="Times New Roman" w:cs="Times New Roman"/>
          <w:noProof/>
          <w:sz w:val="24"/>
          <w:szCs w:val="24"/>
        </w:rPr>
        <w:fldChar w:fldCharType="end"/>
      </w:r>
      <w:r w:rsidRPr="00843183">
        <w:rPr>
          <w:rFonts w:ascii="Times New Roman" w:hAnsi="Times New Roman" w:cs="Times New Roman"/>
          <w:noProof/>
          <w:sz w:val="24"/>
          <w:szCs w:val="24"/>
        </w:rPr>
        <w:t>).</w:t>
      </w:r>
    </w:p>
    <w:p w:rsidR="00622ADF" w:rsidRPr="00BD6FBE" w:rsidRDefault="00622ADF" w:rsidP="007B162C">
      <w:pPr>
        <w:pStyle w:val="Heading3"/>
        <w:numPr>
          <w:ilvl w:val="0"/>
          <w:numId w:val="0"/>
        </w:numPr>
        <w:spacing w:before="120" w:after="120"/>
        <w:ind w:left="907" w:hanging="907"/>
        <w:rPr>
          <w:i/>
          <w:iCs/>
        </w:rPr>
      </w:pPr>
      <w:r>
        <w:rPr>
          <w:i/>
          <w:iCs/>
        </w:rPr>
        <w:t>Trace</w:t>
      </w:r>
      <w:r w:rsidR="003B08C0">
        <w:rPr>
          <w:i/>
          <w:iCs/>
        </w:rPr>
        <w:t>a</w:t>
      </w:r>
      <w:r>
        <w:rPr>
          <w:i/>
          <w:iCs/>
        </w:rPr>
        <w:t>bility</w:t>
      </w:r>
    </w:p>
    <w:p w:rsidR="00622ADF" w:rsidRPr="00843183" w:rsidRDefault="00622ADF" w:rsidP="007B162C">
      <w:pPr>
        <w:pStyle w:val="BodytextAgency"/>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t>In order to improve the tracebility of biological medicinal products, the name and the batch number of the administered product should be clearly recorded.</w:t>
      </w:r>
    </w:p>
    <w:p w:rsidR="008B08DE" w:rsidRPr="00BD6FBE" w:rsidRDefault="004B64B5" w:rsidP="007B162C">
      <w:pPr>
        <w:pStyle w:val="Heading3"/>
        <w:numPr>
          <w:ilvl w:val="0"/>
          <w:numId w:val="0"/>
        </w:numPr>
        <w:spacing w:before="120" w:after="120"/>
        <w:ind w:left="907" w:hanging="907"/>
        <w:rPr>
          <w:i/>
          <w:iCs/>
        </w:rPr>
      </w:pPr>
      <w:r w:rsidRPr="00BD6FBE">
        <w:rPr>
          <w:i/>
          <w:iCs/>
        </w:rPr>
        <w:t>Hypersensitivity r</w:t>
      </w:r>
      <w:r w:rsidR="00F85F66" w:rsidRPr="00BD6FBE">
        <w:rPr>
          <w:i/>
          <w:iCs/>
        </w:rPr>
        <w:t>eactions</w:t>
      </w:r>
    </w:p>
    <w:p w:rsidR="008B08DE" w:rsidRPr="00843183" w:rsidRDefault="008B08DE" w:rsidP="007B162C">
      <w:pPr>
        <w:pStyle w:val="BodytextAgency"/>
        <w:spacing w:before="120" w:after="120" w:line="240" w:lineRule="auto"/>
        <w:rPr>
          <w:rFonts w:ascii="Times New Roman" w:hAnsi="Times New Roman" w:cs="Times New Roman"/>
          <w:noProof/>
          <w:sz w:val="24"/>
          <w:szCs w:val="24"/>
        </w:rPr>
      </w:pPr>
      <w:r w:rsidRPr="00843183">
        <w:rPr>
          <w:rFonts w:ascii="Times New Roman" w:hAnsi="Times New Roman" w:cs="Times New Roman"/>
          <w:noProof/>
          <w:sz w:val="24"/>
          <w:szCs w:val="24"/>
        </w:rPr>
        <w:t xml:space="preserve">Hypersensitivity reactions (including anaphylaxis) </w:t>
      </w:r>
      <w:r w:rsidR="001B6D6C">
        <w:rPr>
          <w:rFonts w:ascii="Times New Roman" w:hAnsi="Times New Roman" w:cs="Times New Roman"/>
          <w:noProof/>
          <w:sz w:val="24"/>
          <w:szCs w:val="24"/>
        </w:rPr>
        <w:t xml:space="preserve">have </w:t>
      </w:r>
      <w:r w:rsidRPr="00843183">
        <w:rPr>
          <w:rFonts w:ascii="Times New Roman" w:hAnsi="Times New Roman" w:cs="Times New Roman"/>
          <w:noProof/>
          <w:sz w:val="24"/>
          <w:szCs w:val="24"/>
        </w:rPr>
        <w:t>occur</w:t>
      </w:r>
      <w:r w:rsidR="001B6D6C">
        <w:rPr>
          <w:rFonts w:ascii="Times New Roman" w:hAnsi="Times New Roman" w:cs="Times New Roman"/>
          <w:noProof/>
          <w:sz w:val="24"/>
          <w:szCs w:val="24"/>
        </w:rPr>
        <w:t>red</w:t>
      </w:r>
      <w:r w:rsidRPr="00843183">
        <w:rPr>
          <w:rFonts w:ascii="Times New Roman" w:hAnsi="Times New Roman" w:cs="Times New Roman"/>
          <w:noProof/>
          <w:sz w:val="24"/>
          <w:szCs w:val="24"/>
        </w:rPr>
        <w:t xml:space="preserve">. Patients and/or their caregivers should be informed of the early signs of hypersensitivity reactions, which may include </w:t>
      </w:r>
      <w:r w:rsidR="007048F0" w:rsidRPr="00843183">
        <w:rPr>
          <w:rFonts w:ascii="Times New Roman" w:hAnsi="Times New Roman" w:cs="Times New Roman"/>
          <w:noProof/>
          <w:sz w:val="24"/>
          <w:szCs w:val="24"/>
        </w:rPr>
        <w:t xml:space="preserve">but are not limited to </w:t>
      </w:r>
      <w:r w:rsidR="00D32EF8" w:rsidRPr="00843183">
        <w:rPr>
          <w:rFonts w:ascii="Times New Roman" w:hAnsi="Times New Roman" w:cs="Times New Roman"/>
          <w:noProof/>
          <w:sz w:val="24"/>
          <w:szCs w:val="24"/>
        </w:rPr>
        <w:t xml:space="preserve">tachycardia, tightness of the chest, wheezing and/or acute respiratory distress, hypotension, </w:t>
      </w:r>
      <w:r w:rsidR="00CD0E81" w:rsidRPr="00843183">
        <w:rPr>
          <w:rFonts w:ascii="Times New Roman" w:hAnsi="Times New Roman" w:cs="Times New Roman"/>
          <w:noProof/>
          <w:sz w:val="24"/>
          <w:szCs w:val="24"/>
        </w:rPr>
        <w:t xml:space="preserve">generalised </w:t>
      </w:r>
      <w:r w:rsidRPr="00843183">
        <w:rPr>
          <w:rFonts w:ascii="Times New Roman" w:hAnsi="Times New Roman" w:cs="Times New Roman"/>
          <w:noProof/>
          <w:sz w:val="24"/>
          <w:szCs w:val="24"/>
        </w:rPr>
        <w:t xml:space="preserve">urticaria, </w:t>
      </w:r>
      <w:r w:rsidR="00874956" w:rsidRPr="00843183">
        <w:rPr>
          <w:rFonts w:ascii="Times New Roman" w:hAnsi="Times New Roman" w:cs="Times New Roman"/>
          <w:noProof/>
          <w:sz w:val="24"/>
          <w:szCs w:val="24"/>
        </w:rPr>
        <w:t xml:space="preserve">pruritus, </w:t>
      </w:r>
      <w:r w:rsidR="00D32EF8" w:rsidRPr="00843183">
        <w:rPr>
          <w:rFonts w:ascii="Times New Roman" w:hAnsi="Times New Roman" w:cs="Times New Roman"/>
          <w:noProof/>
          <w:sz w:val="24"/>
          <w:szCs w:val="24"/>
        </w:rPr>
        <w:t xml:space="preserve">rhinoconjunctivitis, </w:t>
      </w:r>
      <w:r w:rsidRPr="00843183">
        <w:rPr>
          <w:rFonts w:ascii="Times New Roman" w:hAnsi="Times New Roman" w:cs="Times New Roman"/>
          <w:noProof/>
          <w:sz w:val="24"/>
          <w:szCs w:val="24"/>
        </w:rPr>
        <w:t xml:space="preserve">angioedema, lethargy, nausea, vomiting, paresthesia, restlessness, and </w:t>
      </w:r>
      <w:r w:rsidR="00A13DBD" w:rsidRPr="00843183">
        <w:rPr>
          <w:rFonts w:ascii="Times New Roman" w:hAnsi="Times New Roman" w:cs="Times New Roman"/>
          <w:noProof/>
          <w:sz w:val="24"/>
          <w:szCs w:val="24"/>
        </w:rPr>
        <w:t xml:space="preserve">may progress to </w:t>
      </w:r>
      <w:r w:rsidRPr="00843183">
        <w:rPr>
          <w:rFonts w:ascii="Times New Roman" w:hAnsi="Times New Roman" w:cs="Times New Roman"/>
          <w:noProof/>
          <w:sz w:val="24"/>
          <w:szCs w:val="24"/>
        </w:rPr>
        <w:t xml:space="preserve">anaphylactic shock. </w:t>
      </w:r>
      <w:r w:rsidR="00760F2B" w:rsidRPr="00843183">
        <w:rPr>
          <w:rFonts w:ascii="Times New Roman" w:hAnsi="Times New Roman" w:cs="Times New Roman"/>
          <w:noProof/>
          <w:sz w:val="24"/>
          <w:szCs w:val="24"/>
        </w:rPr>
        <w:t xml:space="preserve">In case of shock, standard medical treatment for shock should be implemented. </w:t>
      </w:r>
    </w:p>
    <w:p w:rsidR="006C6612" w:rsidRPr="00843183" w:rsidRDefault="006C6612" w:rsidP="007B162C">
      <w:pPr>
        <w:pStyle w:val="BodytextAgency"/>
        <w:spacing w:before="120" w:after="120" w:line="240" w:lineRule="auto"/>
        <w:rPr>
          <w:rFonts w:ascii="Times New Roman" w:hAnsi="Times New Roman" w:cs="Times New Roman"/>
          <w:noProof/>
          <w:sz w:val="24"/>
          <w:szCs w:val="24"/>
        </w:rPr>
      </w:pPr>
      <w:r w:rsidRPr="00843183">
        <w:rPr>
          <w:rFonts w:ascii="Times New Roman" w:hAnsi="Times New Roman" w:cs="Times New Roman"/>
          <w:noProof/>
          <w:sz w:val="24"/>
          <w:szCs w:val="24"/>
        </w:rPr>
        <w:t xml:space="preserve">Patients </w:t>
      </w:r>
      <w:r w:rsidR="008B08DE" w:rsidRPr="00843183">
        <w:rPr>
          <w:rFonts w:ascii="Times New Roman" w:hAnsi="Times New Roman" w:cs="Times New Roman"/>
          <w:noProof/>
          <w:sz w:val="24"/>
          <w:szCs w:val="24"/>
        </w:rPr>
        <w:t>should</w:t>
      </w:r>
      <w:r w:rsidR="00A13DBD" w:rsidRPr="00843183">
        <w:rPr>
          <w:rFonts w:ascii="Times New Roman" w:hAnsi="Times New Roman" w:cs="Times New Roman"/>
          <w:noProof/>
          <w:sz w:val="24"/>
          <w:szCs w:val="24"/>
        </w:rPr>
        <w:t xml:space="preserve"> </w:t>
      </w:r>
      <w:r w:rsidRPr="00843183">
        <w:rPr>
          <w:rFonts w:ascii="Times New Roman" w:hAnsi="Times New Roman" w:cs="Times New Roman"/>
          <w:noProof/>
          <w:sz w:val="24"/>
          <w:szCs w:val="24"/>
        </w:rPr>
        <w:t>be closely monitored and carefully observed for any symptoms throughout</w:t>
      </w:r>
      <w:r w:rsidR="00590E56" w:rsidRPr="00843183">
        <w:rPr>
          <w:rFonts w:ascii="Times New Roman" w:hAnsi="Times New Roman" w:cs="Times New Roman"/>
          <w:noProof/>
          <w:sz w:val="24"/>
          <w:szCs w:val="24"/>
        </w:rPr>
        <w:t xml:space="preserve"> </w:t>
      </w:r>
      <w:r w:rsidRPr="00843183">
        <w:rPr>
          <w:rFonts w:ascii="Times New Roman" w:hAnsi="Times New Roman" w:cs="Times New Roman"/>
          <w:noProof/>
          <w:sz w:val="24"/>
          <w:szCs w:val="24"/>
        </w:rPr>
        <w:t>the infusion period.</w:t>
      </w:r>
      <w:r w:rsidR="009F7802" w:rsidRPr="00843183">
        <w:rPr>
          <w:rFonts w:ascii="Times New Roman" w:hAnsi="Times New Roman" w:cs="Times New Roman"/>
          <w:noProof/>
          <w:sz w:val="24"/>
          <w:szCs w:val="24"/>
        </w:rPr>
        <w:t xml:space="preserve"> If signs and symptoms of severe allergic reactions occur, immediately discontinue administration of VEYVONDI and provide appropriate supportive care.</w:t>
      </w:r>
    </w:p>
    <w:p w:rsidR="00221D2F" w:rsidRPr="00843183" w:rsidRDefault="00221D2F" w:rsidP="007B162C">
      <w:pPr>
        <w:pStyle w:val="BodytextAgency"/>
        <w:spacing w:before="120" w:after="120" w:line="240" w:lineRule="auto"/>
        <w:rPr>
          <w:rFonts w:ascii="Times New Roman" w:hAnsi="Times New Roman" w:cs="Times New Roman"/>
          <w:noProof/>
          <w:sz w:val="24"/>
          <w:szCs w:val="24"/>
        </w:rPr>
      </w:pPr>
      <w:r w:rsidRPr="00843183">
        <w:rPr>
          <w:rFonts w:ascii="Times New Roman" w:hAnsi="Times New Roman" w:cs="Times New Roman"/>
          <w:noProof/>
          <w:sz w:val="24"/>
          <w:szCs w:val="24"/>
        </w:rPr>
        <w:t>Adequate medical treatment and provisions should be available for immediate use for a potential anaphylactic reaction</w:t>
      </w:r>
      <w:r w:rsidR="00874956" w:rsidRPr="00843183">
        <w:rPr>
          <w:rFonts w:ascii="Times New Roman" w:hAnsi="Times New Roman" w:cs="Times New Roman"/>
          <w:noProof/>
          <w:sz w:val="24"/>
          <w:szCs w:val="24"/>
        </w:rPr>
        <w:t>, especially for patients with a history of allergic reactions</w:t>
      </w:r>
      <w:r w:rsidRPr="00843183">
        <w:rPr>
          <w:rFonts w:ascii="Times New Roman" w:hAnsi="Times New Roman" w:cs="Times New Roman"/>
          <w:noProof/>
          <w:sz w:val="24"/>
          <w:szCs w:val="24"/>
        </w:rPr>
        <w:t>.</w:t>
      </w:r>
    </w:p>
    <w:p w:rsidR="00F85F66" w:rsidRPr="004B64B5" w:rsidRDefault="00546CFA" w:rsidP="007B162C">
      <w:pPr>
        <w:pStyle w:val="BodytextAgency"/>
        <w:spacing w:before="120" w:after="120" w:line="240" w:lineRule="auto"/>
        <w:rPr>
          <w:rFonts w:ascii="Times New Roman" w:hAnsi="Times New Roman" w:cs="Times New Roman"/>
          <w:noProof/>
          <w:sz w:val="24"/>
          <w:szCs w:val="24"/>
        </w:rPr>
      </w:pPr>
      <w:r w:rsidRPr="004B64B5">
        <w:rPr>
          <w:rFonts w:ascii="Times New Roman" w:hAnsi="Times New Roman" w:cs="Times New Roman"/>
          <w:noProof/>
          <w:sz w:val="24"/>
          <w:szCs w:val="24"/>
        </w:rPr>
        <w:t>VEYVONDI</w:t>
      </w:r>
      <w:r w:rsidR="00F85F66" w:rsidRPr="004B64B5">
        <w:rPr>
          <w:rFonts w:ascii="Times New Roman" w:hAnsi="Times New Roman" w:cs="Times New Roman"/>
          <w:noProof/>
          <w:sz w:val="24"/>
          <w:szCs w:val="24"/>
        </w:rPr>
        <w:t xml:space="preserve"> contains trace amounts of mouse immunoglobulin G (</w:t>
      </w:r>
      <w:r w:rsidR="00F57776">
        <w:rPr>
          <w:rFonts w:ascii="Times New Roman" w:hAnsi="Times New Roman" w:cs="Times New Roman"/>
          <w:noProof/>
          <w:sz w:val="24"/>
          <w:szCs w:val="24"/>
        </w:rPr>
        <w:t xml:space="preserve">murine </w:t>
      </w:r>
      <w:r w:rsidR="00F85F66" w:rsidRPr="004B64B5">
        <w:rPr>
          <w:rFonts w:ascii="Times New Roman" w:hAnsi="Times New Roman" w:cs="Times New Roman"/>
          <w:noProof/>
          <w:sz w:val="24"/>
          <w:szCs w:val="24"/>
        </w:rPr>
        <w:t xml:space="preserve">IgG) and </w:t>
      </w:r>
      <w:r w:rsidR="00CD0E81" w:rsidRPr="004B64B5">
        <w:rPr>
          <w:rFonts w:ascii="Times New Roman" w:hAnsi="Times New Roman" w:cs="Times New Roman"/>
          <w:noProof/>
          <w:sz w:val="24"/>
          <w:szCs w:val="24"/>
        </w:rPr>
        <w:t>H</w:t>
      </w:r>
      <w:r w:rsidR="00F85F66" w:rsidRPr="004B64B5">
        <w:rPr>
          <w:rFonts w:ascii="Times New Roman" w:hAnsi="Times New Roman" w:cs="Times New Roman"/>
          <w:noProof/>
          <w:sz w:val="24"/>
          <w:szCs w:val="24"/>
        </w:rPr>
        <w:t xml:space="preserve">amster proteins </w:t>
      </w:r>
      <w:r w:rsidR="00334F1F" w:rsidRPr="004B64B5">
        <w:rPr>
          <w:rFonts w:ascii="Times New Roman" w:hAnsi="Times New Roman" w:cs="Times New Roman"/>
          <w:noProof/>
          <w:sz w:val="24"/>
          <w:szCs w:val="24"/>
        </w:rPr>
        <w:t>(</w:t>
      </w:r>
      <w:r w:rsidR="00F85F66" w:rsidRPr="004B64B5">
        <w:rPr>
          <w:rFonts w:ascii="Times New Roman" w:hAnsi="Times New Roman" w:cs="Times New Roman"/>
          <w:noProof/>
          <w:sz w:val="24"/>
          <w:szCs w:val="24"/>
        </w:rPr>
        <w:t xml:space="preserve">less than or equal to 2 ng/IU </w:t>
      </w:r>
      <w:r w:rsidRPr="004B64B5">
        <w:rPr>
          <w:rFonts w:ascii="Times New Roman" w:hAnsi="Times New Roman" w:cs="Times New Roman"/>
          <w:noProof/>
          <w:sz w:val="24"/>
          <w:szCs w:val="24"/>
        </w:rPr>
        <w:t>VEYVONDI</w:t>
      </w:r>
      <w:r w:rsidR="00334F1F" w:rsidRPr="004B64B5">
        <w:rPr>
          <w:rFonts w:ascii="Times New Roman" w:hAnsi="Times New Roman" w:cs="Times New Roman"/>
          <w:noProof/>
          <w:sz w:val="24"/>
          <w:szCs w:val="24"/>
        </w:rPr>
        <w:t>)</w:t>
      </w:r>
      <w:r w:rsidR="00D42423" w:rsidRPr="004B64B5">
        <w:rPr>
          <w:rFonts w:ascii="Times New Roman" w:hAnsi="Times New Roman" w:cs="Times New Roman"/>
          <w:noProof/>
          <w:sz w:val="24"/>
          <w:szCs w:val="24"/>
        </w:rPr>
        <w:t>.</w:t>
      </w:r>
      <w:r w:rsidR="00F85F66" w:rsidRPr="004B64B5">
        <w:rPr>
          <w:rFonts w:ascii="Times New Roman" w:hAnsi="Times New Roman" w:cs="Times New Roman"/>
          <w:noProof/>
          <w:sz w:val="24"/>
          <w:szCs w:val="24"/>
        </w:rPr>
        <w:t xml:space="preserve"> Patients treated with this product may develop hypersensitivity reactions to </w:t>
      </w:r>
      <w:r w:rsidR="00334F1F" w:rsidRPr="004B64B5">
        <w:rPr>
          <w:rFonts w:ascii="Times New Roman" w:hAnsi="Times New Roman" w:cs="Times New Roman"/>
          <w:noProof/>
          <w:sz w:val="24"/>
          <w:szCs w:val="24"/>
        </w:rPr>
        <w:t xml:space="preserve">these </w:t>
      </w:r>
      <w:r w:rsidR="00F85F66" w:rsidRPr="004B64B5">
        <w:rPr>
          <w:rFonts w:ascii="Times New Roman" w:hAnsi="Times New Roman" w:cs="Times New Roman"/>
          <w:noProof/>
          <w:sz w:val="24"/>
          <w:szCs w:val="24"/>
        </w:rPr>
        <w:t>non-human mammalian proteins</w:t>
      </w:r>
      <w:r w:rsidR="00C02934" w:rsidRPr="004B64B5">
        <w:rPr>
          <w:rFonts w:ascii="Times New Roman" w:hAnsi="Times New Roman" w:cs="Times New Roman"/>
          <w:noProof/>
          <w:sz w:val="24"/>
          <w:szCs w:val="24"/>
        </w:rPr>
        <w:t xml:space="preserve">. </w:t>
      </w:r>
      <w:r w:rsidR="00D42423" w:rsidRPr="004B64B5">
        <w:rPr>
          <w:rFonts w:ascii="Times New Roman" w:hAnsi="Times New Roman" w:cs="Times New Roman"/>
          <w:noProof/>
          <w:sz w:val="24"/>
          <w:szCs w:val="24"/>
        </w:rPr>
        <w:t xml:space="preserve">VEYVONDI contains trace amounts of </w:t>
      </w:r>
      <w:r w:rsidR="002130BB">
        <w:rPr>
          <w:rFonts w:ascii="Times New Roman" w:hAnsi="Times New Roman" w:cs="Times New Roman"/>
          <w:noProof/>
          <w:sz w:val="24"/>
          <w:szCs w:val="24"/>
        </w:rPr>
        <w:t>rFVIII</w:t>
      </w:r>
      <w:r w:rsidR="009F5C5D" w:rsidRPr="004B64B5">
        <w:rPr>
          <w:rFonts w:ascii="Times New Roman" w:hAnsi="Times New Roman" w:cs="Times New Roman"/>
          <w:noProof/>
          <w:sz w:val="24"/>
          <w:szCs w:val="24"/>
        </w:rPr>
        <w:t>.</w:t>
      </w:r>
      <w:r w:rsidR="00D42423" w:rsidRPr="004B64B5">
        <w:rPr>
          <w:rFonts w:ascii="Times New Roman" w:hAnsi="Times New Roman" w:cs="Times New Roman"/>
          <w:noProof/>
          <w:sz w:val="24"/>
          <w:szCs w:val="24"/>
        </w:rPr>
        <w:t xml:space="preserve"> </w:t>
      </w:r>
    </w:p>
    <w:p w:rsidR="00031615" w:rsidRPr="00BD6FBE" w:rsidRDefault="004B64B5" w:rsidP="007B162C">
      <w:pPr>
        <w:pStyle w:val="Heading3"/>
        <w:numPr>
          <w:ilvl w:val="0"/>
          <w:numId w:val="0"/>
        </w:numPr>
        <w:spacing w:before="120" w:after="120"/>
        <w:ind w:left="907" w:hanging="907"/>
        <w:rPr>
          <w:i/>
          <w:iCs/>
        </w:rPr>
      </w:pPr>
      <w:bookmarkStart w:id="11" w:name="_Ref3218980"/>
      <w:r w:rsidRPr="00BD6FBE">
        <w:rPr>
          <w:i/>
          <w:iCs/>
        </w:rPr>
        <w:t>Thrombosis and e</w:t>
      </w:r>
      <w:r w:rsidR="003667B9" w:rsidRPr="00BD6FBE">
        <w:rPr>
          <w:i/>
          <w:iCs/>
        </w:rPr>
        <w:t>mbolism</w:t>
      </w:r>
      <w:bookmarkEnd w:id="11"/>
    </w:p>
    <w:p w:rsidR="00344B07" w:rsidRPr="004B64B5" w:rsidRDefault="008A7E6A" w:rsidP="007B162C">
      <w:pPr>
        <w:pStyle w:val="BodytextAgency"/>
        <w:spacing w:before="120" w:after="120" w:line="240" w:lineRule="auto"/>
        <w:rPr>
          <w:rFonts w:ascii="Times New Roman" w:hAnsi="Times New Roman" w:cs="Times New Roman"/>
          <w:noProof/>
          <w:sz w:val="24"/>
          <w:szCs w:val="24"/>
        </w:rPr>
      </w:pPr>
      <w:r w:rsidRPr="004B64B5">
        <w:rPr>
          <w:rFonts w:ascii="Times New Roman" w:hAnsi="Times New Roman" w:cs="Times New Roman"/>
          <w:noProof/>
          <w:sz w:val="24"/>
          <w:szCs w:val="24"/>
        </w:rPr>
        <w:t>There is a risk of occurrence of thrombotic events, particularly in patients with known clinical or laboratory risk factors</w:t>
      </w:r>
      <w:r w:rsidR="006127D0" w:rsidRPr="004B64B5">
        <w:rPr>
          <w:rFonts w:ascii="Times New Roman" w:hAnsi="Times New Roman" w:cs="Times New Roman"/>
          <w:noProof/>
          <w:sz w:val="24"/>
          <w:szCs w:val="24"/>
        </w:rPr>
        <w:t xml:space="preserve"> for thrombosis</w:t>
      </w:r>
      <w:r w:rsidR="002E77E2" w:rsidRPr="004B64B5">
        <w:rPr>
          <w:rFonts w:ascii="Times New Roman" w:hAnsi="Times New Roman" w:cs="Times New Roman"/>
          <w:noProof/>
          <w:sz w:val="24"/>
          <w:szCs w:val="24"/>
        </w:rPr>
        <w:t xml:space="preserve"> including low ADAMTS13 levels</w:t>
      </w:r>
      <w:r w:rsidR="00E35428" w:rsidRPr="004B64B5">
        <w:rPr>
          <w:rFonts w:ascii="Times New Roman" w:hAnsi="Times New Roman" w:cs="Times New Roman"/>
          <w:noProof/>
          <w:sz w:val="24"/>
          <w:szCs w:val="24"/>
        </w:rPr>
        <w:t>.</w:t>
      </w:r>
      <w:r w:rsidR="00CC3B45" w:rsidRPr="004B64B5">
        <w:rPr>
          <w:rFonts w:ascii="Times New Roman" w:hAnsi="Times New Roman" w:cs="Times New Roman"/>
          <w:noProof/>
          <w:sz w:val="24"/>
          <w:szCs w:val="24"/>
        </w:rPr>
        <w:t xml:space="preserve"> </w:t>
      </w:r>
      <w:r w:rsidRPr="004B64B5">
        <w:rPr>
          <w:rFonts w:ascii="Times New Roman" w:hAnsi="Times New Roman" w:cs="Times New Roman"/>
          <w:noProof/>
          <w:sz w:val="24"/>
          <w:szCs w:val="24"/>
        </w:rPr>
        <w:t xml:space="preserve">Therefore, patients at risk </w:t>
      </w:r>
      <w:r w:rsidR="009F5C5D" w:rsidRPr="004B64B5">
        <w:rPr>
          <w:rFonts w:ascii="Times New Roman" w:hAnsi="Times New Roman" w:cs="Times New Roman"/>
          <w:noProof/>
          <w:sz w:val="24"/>
          <w:szCs w:val="24"/>
        </w:rPr>
        <w:t xml:space="preserve">have to </w:t>
      </w:r>
      <w:r w:rsidRPr="004B64B5">
        <w:rPr>
          <w:rFonts w:ascii="Times New Roman" w:hAnsi="Times New Roman" w:cs="Times New Roman"/>
          <w:noProof/>
          <w:sz w:val="24"/>
          <w:szCs w:val="24"/>
        </w:rPr>
        <w:t>be monitored for early signs of thrombosis</w:t>
      </w:r>
      <w:r w:rsidR="00334F1F" w:rsidRPr="004B64B5">
        <w:rPr>
          <w:rFonts w:ascii="Times New Roman" w:hAnsi="Times New Roman" w:cs="Times New Roman"/>
          <w:noProof/>
          <w:sz w:val="24"/>
          <w:szCs w:val="24"/>
        </w:rPr>
        <w:t>,</w:t>
      </w:r>
      <w:r w:rsidR="00760F2B" w:rsidRPr="004B64B5">
        <w:rPr>
          <w:rFonts w:ascii="Times New Roman" w:hAnsi="Times New Roman" w:cs="Times New Roman"/>
          <w:noProof/>
          <w:sz w:val="24"/>
          <w:szCs w:val="24"/>
        </w:rPr>
        <w:t xml:space="preserve"> and prophylaxis measures against </w:t>
      </w:r>
      <w:r w:rsidR="00760F2B" w:rsidRPr="004B64B5">
        <w:rPr>
          <w:rFonts w:ascii="Times New Roman" w:hAnsi="Times New Roman" w:cs="Times New Roman"/>
          <w:noProof/>
          <w:sz w:val="24"/>
          <w:szCs w:val="24"/>
        </w:rPr>
        <w:lastRenderedPageBreak/>
        <w:t>thromboembolism should be instituted according to current recommendations</w:t>
      </w:r>
      <w:r w:rsidR="009F7802" w:rsidRPr="004B64B5">
        <w:rPr>
          <w:rFonts w:ascii="Times New Roman" w:hAnsi="Times New Roman" w:cs="Times New Roman"/>
          <w:noProof/>
          <w:sz w:val="24"/>
          <w:szCs w:val="24"/>
        </w:rPr>
        <w:t xml:space="preserve"> and standard of care</w:t>
      </w:r>
      <w:r w:rsidRPr="004B64B5">
        <w:rPr>
          <w:rFonts w:ascii="Times New Roman" w:hAnsi="Times New Roman" w:cs="Times New Roman"/>
          <w:noProof/>
          <w:sz w:val="24"/>
          <w:szCs w:val="24"/>
        </w:rPr>
        <w:t>.</w:t>
      </w:r>
      <w:r w:rsidR="001B1748" w:rsidRPr="004B64B5">
        <w:rPr>
          <w:rFonts w:ascii="Times New Roman" w:hAnsi="Times New Roman" w:cs="Times New Roman"/>
          <w:noProof/>
          <w:sz w:val="24"/>
          <w:szCs w:val="24"/>
        </w:rPr>
        <w:t xml:space="preserve"> </w:t>
      </w:r>
      <w:r w:rsidR="00B902FA" w:rsidRPr="00957464">
        <w:rPr>
          <w:rFonts w:ascii="Times New Roman" w:hAnsi="Times New Roman" w:cs="Times New Roman"/>
          <w:noProof/>
          <w:sz w:val="24"/>
          <w:szCs w:val="24"/>
        </w:rPr>
        <w:t xml:space="preserve">See Section </w:t>
      </w:r>
      <w:r w:rsidR="00957464" w:rsidRPr="00957464">
        <w:rPr>
          <w:rFonts w:ascii="Times New Roman" w:hAnsi="Times New Roman" w:cs="Times New Roman"/>
          <w:noProof/>
          <w:sz w:val="24"/>
          <w:szCs w:val="24"/>
        </w:rPr>
        <w:fldChar w:fldCharType="begin"/>
      </w:r>
      <w:r w:rsidR="00957464" w:rsidRPr="00957464">
        <w:rPr>
          <w:rFonts w:ascii="Times New Roman" w:hAnsi="Times New Roman" w:cs="Times New Roman"/>
          <w:noProof/>
          <w:sz w:val="24"/>
          <w:szCs w:val="24"/>
        </w:rPr>
        <w:instrText xml:space="preserve"> REF _Ref3218538 \r \h </w:instrText>
      </w:r>
      <w:r w:rsidR="00957464" w:rsidRPr="00957464">
        <w:rPr>
          <w:rFonts w:ascii="Times New Roman" w:hAnsi="Times New Roman" w:cs="Times New Roman"/>
          <w:noProof/>
          <w:sz w:val="24"/>
          <w:szCs w:val="24"/>
        </w:rPr>
      </w:r>
      <w:r w:rsidR="00957464">
        <w:rPr>
          <w:rFonts w:ascii="Times New Roman" w:hAnsi="Times New Roman" w:cs="Times New Roman"/>
          <w:noProof/>
          <w:sz w:val="24"/>
          <w:szCs w:val="24"/>
        </w:rPr>
        <w:instrText xml:space="preserve"> \* MERGEFORMAT </w:instrText>
      </w:r>
      <w:r w:rsidR="00957464" w:rsidRPr="00957464">
        <w:rPr>
          <w:rFonts w:ascii="Times New Roman" w:hAnsi="Times New Roman" w:cs="Times New Roman"/>
          <w:noProof/>
          <w:sz w:val="24"/>
          <w:szCs w:val="24"/>
        </w:rPr>
        <w:fldChar w:fldCharType="separate"/>
      </w:r>
      <w:r w:rsidR="00957464" w:rsidRPr="00957464">
        <w:rPr>
          <w:rFonts w:ascii="Times New Roman" w:hAnsi="Times New Roman" w:cs="Times New Roman"/>
          <w:noProof/>
          <w:sz w:val="24"/>
          <w:szCs w:val="24"/>
        </w:rPr>
        <w:t>4.8</w:t>
      </w:r>
      <w:r w:rsidR="00957464" w:rsidRPr="00957464">
        <w:rPr>
          <w:rFonts w:ascii="Times New Roman" w:hAnsi="Times New Roman" w:cs="Times New Roman"/>
          <w:noProof/>
          <w:sz w:val="24"/>
          <w:szCs w:val="24"/>
        </w:rPr>
        <w:fldChar w:fldCharType="end"/>
      </w:r>
      <w:r w:rsidR="00957464" w:rsidRPr="00957464">
        <w:rPr>
          <w:rFonts w:ascii="Times New Roman" w:hAnsi="Times New Roman" w:cs="Times New Roman"/>
          <w:noProof/>
          <w:sz w:val="24"/>
          <w:szCs w:val="24"/>
        </w:rPr>
        <w:t xml:space="preserve"> </w:t>
      </w:r>
      <w:r w:rsidR="00957464" w:rsidRPr="00957464">
        <w:rPr>
          <w:rFonts w:ascii="Times New Roman" w:hAnsi="Times New Roman" w:cs="Times New Roman"/>
          <w:noProof/>
          <w:sz w:val="24"/>
          <w:szCs w:val="24"/>
        </w:rPr>
        <w:fldChar w:fldCharType="begin"/>
      </w:r>
      <w:r w:rsidR="00957464" w:rsidRPr="00957464">
        <w:rPr>
          <w:rFonts w:ascii="Times New Roman" w:hAnsi="Times New Roman" w:cs="Times New Roman"/>
          <w:noProof/>
          <w:sz w:val="24"/>
          <w:szCs w:val="24"/>
        </w:rPr>
        <w:instrText xml:space="preserve"> REF _Ref3218538 \h </w:instrText>
      </w:r>
      <w:r w:rsidR="00957464" w:rsidRPr="00957464">
        <w:rPr>
          <w:rFonts w:ascii="Times New Roman" w:hAnsi="Times New Roman" w:cs="Times New Roman"/>
          <w:noProof/>
          <w:sz w:val="24"/>
          <w:szCs w:val="24"/>
        </w:rPr>
      </w:r>
      <w:r w:rsidR="00957464">
        <w:rPr>
          <w:rFonts w:ascii="Times New Roman" w:hAnsi="Times New Roman" w:cs="Times New Roman"/>
          <w:noProof/>
          <w:sz w:val="24"/>
          <w:szCs w:val="24"/>
        </w:rPr>
        <w:instrText xml:space="preserve"> \* MERGEFORMAT </w:instrText>
      </w:r>
      <w:r w:rsidR="00957464" w:rsidRPr="00957464">
        <w:rPr>
          <w:rFonts w:ascii="Times New Roman" w:hAnsi="Times New Roman" w:cs="Times New Roman"/>
          <w:noProof/>
          <w:sz w:val="24"/>
          <w:szCs w:val="24"/>
        </w:rPr>
        <w:fldChar w:fldCharType="separate"/>
      </w:r>
      <w:r w:rsidR="00957464" w:rsidRPr="00957464">
        <w:rPr>
          <w:rFonts w:ascii="Times New Roman" w:hAnsi="Times New Roman" w:cs="Times New Roman"/>
          <w:noProof/>
          <w:sz w:val="24"/>
          <w:szCs w:val="24"/>
        </w:rPr>
        <w:t>ADVERSE EFFECTS (UNDESIRABLE EFFECTS)</w:t>
      </w:r>
      <w:r w:rsidR="00957464" w:rsidRPr="00957464">
        <w:rPr>
          <w:rFonts w:ascii="Times New Roman" w:hAnsi="Times New Roman" w:cs="Times New Roman"/>
          <w:noProof/>
          <w:sz w:val="24"/>
          <w:szCs w:val="24"/>
        </w:rPr>
        <w:fldChar w:fldCharType="end"/>
      </w:r>
      <w:r w:rsidR="00957464">
        <w:rPr>
          <w:rFonts w:ascii="Times New Roman" w:hAnsi="Times New Roman" w:cs="Times New Roman"/>
          <w:noProof/>
          <w:sz w:val="24"/>
          <w:szCs w:val="24"/>
        </w:rPr>
        <w:t xml:space="preserve">, </w:t>
      </w:r>
      <w:r w:rsidR="00957464">
        <w:rPr>
          <w:rFonts w:ascii="Times New Roman" w:hAnsi="Times New Roman" w:cs="Times New Roman"/>
          <w:noProof/>
          <w:sz w:val="24"/>
          <w:szCs w:val="24"/>
        </w:rPr>
        <w:fldChar w:fldCharType="begin"/>
      </w:r>
      <w:r w:rsidR="00957464">
        <w:rPr>
          <w:rFonts w:ascii="Times New Roman" w:hAnsi="Times New Roman" w:cs="Times New Roman"/>
          <w:noProof/>
          <w:sz w:val="24"/>
          <w:szCs w:val="24"/>
        </w:rPr>
        <w:instrText xml:space="preserve"> REF _Ref3218585 \h </w:instrText>
      </w:r>
      <w:r w:rsidR="00957464">
        <w:rPr>
          <w:rFonts w:ascii="Times New Roman" w:hAnsi="Times New Roman" w:cs="Times New Roman"/>
          <w:noProof/>
          <w:sz w:val="24"/>
          <w:szCs w:val="24"/>
        </w:rPr>
      </w:r>
      <w:r w:rsidR="00957464">
        <w:rPr>
          <w:rFonts w:ascii="Times New Roman" w:hAnsi="Times New Roman" w:cs="Times New Roman"/>
          <w:noProof/>
          <w:sz w:val="24"/>
          <w:szCs w:val="24"/>
        </w:rPr>
        <w:instrText xml:space="preserve"> \* MERGEFORMAT </w:instrText>
      </w:r>
      <w:r w:rsidR="00957464">
        <w:rPr>
          <w:rFonts w:ascii="Times New Roman" w:hAnsi="Times New Roman" w:cs="Times New Roman"/>
          <w:noProof/>
          <w:sz w:val="24"/>
          <w:szCs w:val="24"/>
        </w:rPr>
        <w:fldChar w:fldCharType="separate"/>
      </w:r>
      <w:r w:rsidR="00957464" w:rsidRPr="00957464">
        <w:rPr>
          <w:rFonts w:ascii="Times New Roman" w:hAnsi="Times New Roman" w:cs="Times New Roman"/>
          <w:noProof/>
          <w:sz w:val="24"/>
          <w:szCs w:val="24"/>
        </w:rPr>
        <w:t>Throm</w:t>
      </w:r>
      <w:r w:rsidR="00957464" w:rsidRPr="00957464">
        <w:rPr>
          <w:rFonts w:ascii="Times New Roman" w:hAnsi="Times New Roman" w:cs="Times New Roman"/>
          <w:noProof/>
          <w:sz w:val="24"/>
          <w:szCs w:val="24"/>
        </w:rPr>
        <w:t>b</w:t>
      </w:r>
      <w:r w:rsidR="00957464" w:rsidRPr="00957464">
        <w:rPr>
          <w:rFonts w:ascii="Times New Roman" w:hAnsi="Times New Roman" w:cs="Times New Roman"/>
          <w:noProof/>
          <w:sz w:val="24"/>
          <w:szCs w:val="24"/>
        </w:rPr>
        <w:t>ogenicity</w:t>
      </w:r>
      <w:r w:rsidR="00957464">
        <w:rPr>
          <w:rFonts w:ascii="Times New Roman" w:hAnsi="Times New Roman" w:cs="Times New Roman"/>
          <w:noProof/>
          <w:sz w:val="24"/>
          <w:szCs w:val="24"/>
        </w:rPr>
        <w:fldChar w:fldCharType="end"/>
      </w:r>
      <w:r w:rsidR="00957464">
        <w:rPr>
          <w:rFonts w:ascii="Times New Roman" w:hAnsi="Times New Roman" w:cs="Times New Roman"/>
          <w:noProof/>
          <w:sz w:val="24"/>
          <w:szCs w:val="24"/>
        </w:rPr>
        <w:t>.</w:t>
      </w:r>
    </w:p>
    <w:p w:rsidR="00344B07" w:rsidRPr="004B64B5" w:rsidRDefault="008A7E6A" w:rsidP="007B162C">
      <w:pPr>
        <w:pStyle w:val="BodytextAgency"/>
        <w:spacing w:before="120" w:after="120" w:line="240" w:lineRule="auto"/>
        <w:rPr>
          <w:rFonts w:ascii="Times New Roman" w:hAnsi="Times New Roman" w:cs="Times New Roman"/>
          <w:noProof/>
          <w:sz w:val="24"/>
          <w:szCs w:val="24"/>
        </w:rPr>
      </w:pPr>
      <w:r w:rsidRPr="004B64B5">
        <w:rPr>
          <w:rFonts w:ascii="Times New Roman" w:hAnsi="Times New Roman" w:cs="Times New Roman"/>
          <w:noProof/>
          <w:sz w:val="24"/>
          <w:szCs w:val="24"/>
        </w:rPr>
        <w:t xml:space="preserve">In patients requiring frequent doses of </w:t>
      </w:r>
      <w:r w:rsidR="00546CFA" w:rsidRPr="004B64B5">
        <w:rPr>
          <w:rFonts w:ascii="Times New Roman" w:hAnsi="Times New Roman" w:cs="Times New Roman"/>
          <w:noProof/>
          <w:sz w:val="24"/>
          <w:szCs w:val="24"/>
        </w:rPr>
        <w:t>VEYVONDI</w:t>
      </w:r>
      <w:r w:rsidRPr="004B64B5">
        <w:rPr>
          <w:rFonts w:ascii="Times New Roman" w:hAnsi="Times New Roman" w:cs="Times New Roman"/>
          <w:noProof/>
          <w:sz w:val="24"/>
          <w:szCs w:val="24"/>
        </w:rPr>
        <w:t xml:space="preserve"> </w:t>
      </w:r>
      <w:r w:rsidR="00431CB0" w:rsidRPr="004B64B5">
        <w:rPr>
          <w:rFonts w:ascii="Times New Roman" w:hAnsi="Times New Roman" w:cs="Times New Roman"/>
          <w:noProof/>
          <w:sz w:val="24"/>
          <w:szCs w:val="24"/>
        </w:rPr>
        <w:t xml:space="preserve">in combination </w:t>
      </w:r>
      <w:r w:rsidR="002130BB">
        <w:rPr>
          <w:rFonts w:ascii="Times New Roman" w:hAnsi="Times New Roman" w:cs="Times New Roman"/>
          <w:noProof/>
          <w:sz w:val="24"/>
          <w:szCs w:val="24"/>
        </w:rPr>
        <w:t>with rF</w:t>
      </w:r>
      <w:r w:rsidRPr="004B64B5">
        <w:rPr>
          <w:rFonts w:ascii="Times New Roman" w:hAnsi="Times New Roman" w:cs="Times New Roman"/>
          <w:noProof/>
          <w:sz w:val="24"/>
          <w:szCs w:val="24"/>
        </w:rPr>
        <w:t xml:space="preserve">VIII, plasma levels for FVIII:C activity </w:t>
      </w:r>
      <w:r w:rsidR="002E77E2" w:rsidRPr="004B64B5">
        <w:rPr>
          <w:rFonts w:ascii="Times New Roman" w:hAnsi="Times New Roman" w:cs="Times New Roman"/>
          <w:noProof/>
          <w:sz w:val="24"/>
          <w:szCs w:val="24"/>
        </w:rPr>
        <w:t xml:space="preserve">should be monitored to avoid </w:t>
      </w:r>
      <w:r w:rsidR="000F050D" w:rsidRPr="004B64B5">
        <w:rPr>
          <w:rFonts w:ascii="Times New Roman" w:hAnsi="Times New Roman" w:cs="Times New Roman"/>
          <w:noProof/>
          <w:sz w:val="24"/>
          <w:szCs w:val="24"/>
        </w:rPr>
        <w:t xml:space="preserve">sustained </w:t>
      </w:r>
      <w:r w:rsidR="002E77E2" w:rsidRPr="004B64B5">
        <w:rPr>
          <w:rFonts w:ascii="Times New Roman" w:hAnsi="Times New Roman" w:cs="Times New Roman"/>
          <w:noProof/>
          <w:sz w:val="24"/>
          <w:szCs w:val="24"/>
        </w:rPr>
        <w:t xml:space="preserve">excessive FVIII:C plasma levels, </w:t>
      </w:r>
      <w:r w:rsidR="00567EF9" w:rsidRPr="004B64B5">
        <w:rPr>
          <w:rFonts w:ascii="Times New Roman" w:hAnsi="Times New Roman" w:cs="Times New Roman"/>
          <w:noProof/>
          <w:sz w:val="24"/>
          <w:szCs w:val="24"/>
        </w:rPr>
        <w:t>which may increase the risk of thrombotic events</w:t>
      </w:r>
      <w:r w:rsidR="00344B07" w:rsidRPr="004B64B5">
        <w:rPr>
          <w:rFonts w:ascii="Times New Roman" w:hAnsi="Times New Roman" w:cs="Times New Roman"/>
          <w:noProof/>
          <w:sz w:val="24"/>
          <w:szCs w:val="24"/>
        </w:rPr>
        <w:t>.</w:t>
      </w:r>
    </w:p>
    <w:p w:rsidR="00344B07" w:rsidRDefault="009F5C5D" w:rsidP="007B162C">
      <w:pPr>
        <w:pStyle w:val="BodytextAgency"/>
        <w:spacing w:before="120" w:after="120" w:line="240" w:lineRule="auto"/>
        <w:rPr>
          <w:rFonts w:ascii="Times New Roman" w:hAnsi="Times New Roman" w:cs="Times New Roman"/>
          <w:noProof/>
          <w:sz w:val="24"/>
          <w:szCs w:val="24"/>
        </w:rPr>
      </w:pPr>
      <w:r w:rsidRPr="004B64B5">
        <w:rPr>
          <w:rFonts w:ascii="Times New Roman" w:hAnsi="Times New Roman" w:cs="Times New Roman"/>
          <w:noProof/>
          <w:sz w:val="24"/>
          <w:szCs w:val="24"/>
        </w:rPr>
        <w:t>A</w:t>
      </w:r>
      <w:r w:rsidR="00344B07" w:rsidRPr="004B64B5">
        <w:rPr>
          <w:rFonts w:ascii="Times New Roman" w:hAnsi="Times New Roman" w:cs="Times New Roman"/>
          <w:noProof/>
          <w:sz w:val="24"/>
          <w:szCs w:val="24"/>
        </w:rPr>
        <w:t xml:space="preserve">ny FVIII that would be administered along with VEYVONDI should be a pure FVIII </w:t>
      </w:r>
      <w:r w:rsidR="000165C1">
        <w:rPr>
          <w:rFonts w:ascii="Times New Roman" w:hAnsi="Times New Roman" w:cs="Times New Roman"/>
          <w:noProof/>
          <w:sz w:val="24"/>
          <w:szCs w:val="24"/>
        </w:rPr>
        <w:t xml:space="preserve">(i.e. rFVIII) </w:t>
      </w:r>
      <w:r w:rsidR="00344B07" w:rsidRPr="004B64B5">
        <w:rPr>
          <w:rFonts w:ascii="Times New Roman" w:hAnsi="Times New Roman" w:cs="Times New Roman"/>
          <w:noProof/>
          <w:sz w:val="24"/>
          <w:szCs w:val="24"/>
        </w:rPr>
        <w:t>product</w:t>
      </w:r>
      <w:r w:rsidRPr="004B64B5">
        <w:rPr>
          <w:rFonts w:ascii="Times New Roman" w:hAnsi="Times New Roman" w:cs="Times New Roman"/>
          <w:noProof/>
          <w:sz w:val="24"/>
          <w:szCs w:val="24"/>
        </w:rPr>
        <w:t>.</w:t>
      </w:r>
      <w:r w:rsidR="00344B07" w:rsidRPr="004B64B5">
        <w:rPr>
          <w:rFonts w:ascii="Times New Roman" w:hAnsi="Times New Roman" w:cs="Times New Roman"/>
          <w:noProof/>
          <w:sz w:val="24"/>
          <w:szCs w:val="24"/>
        </w:rPr>
        <w:t xml:space="preserve"> </w:t>
      </w:r>
      <w:r w:rsidRPr="004B64B5">
        <w:rPr>
          <w:rFonts w:ascii="Times New Roman" w:hAnsi="Times New Roman" w:cs="Times New Roman"/>
          <w:noProof/>
          <w:sz w:val="24"/>
          <w:szCs w:val="24"/>
        </w:rPr>
        <w:t xml:space="preserve">A </w:t>
      </w:r>
      <w:r w:rsidR="00344B07" w:rsidRPr="004B64B5">
        <w:rPr>
          <w:rFonts w:ascii="Times New Roman" w:hAnsi="Times New Roman" w:cs="Times New Roman"/>
          <w:noProof/>
          <w:sz w:val="24"/>
          <w:szCs w:val="24"/>
        </w:rPr>
        <w:t xml:space="preserve">combination </w:t>
      </w:r>
      <w:r w:rsidR="00F41222" w:rsidRPr="004B64B5">
        <w:rPr>
          <w:rFonts w:ascii="Times New Roman" w:hAnsi="Times New Roman" w:cs="Times New Roman"/>
          <w:noProof/>
          <w:sz w:val="24"/>
          <w:szCs w:val="24"/>
        </w:rPr>
        <w:t>w</w:t>
      </w:r>
      <w:r w:rsidRPr="004B64B5">
        <w:rPr>
          <w:rFonts w:ascii="Times New Roman" w:hAnsi="Times New Roman" w:cs="Times New Roman"/>
          <w:noProof/>
          <w:sz w:val="24"/>
          <w:szCs w:val="24"/>
        </w:rPr>
        <w:t xml:space="preserve">ith a </w:t>
      </w:r>
      <w:r w:rsidR="001524DA" w:rsidRPr="004B64B5">
        <w:rPr>
          <w:rFonts w:ascii="Times New Roman" w:hAnsi="Times New Roman" w:cs="Times New Roman"/>
          <w:noProof/>
          <w:sz w:val="24"/>
          <w:szCs w:val="24"/>
        </w:rPr>
        <w:t xml:space="preserve">FVIII product containing </w:t>
      </w:r>
      <w:r w:rsidRPr="004B64B5">
        <w:rPr>
          <w:rFonts w:ascii="Times New Roman" w:hAnsi="Times New Roman" w:cs="Times New Roman"/>
          <w:noProof/>
          <w:sz w:val="24"/>
          <w:szCs w:val="24"/>
        </w:rPr>
        <w:t>VWF would pose an additional risk of thrombotic events.</w:t>
      </w:r>
    </w:p>
    <w:p w:rsidR="00287BA8" w:rsidRPr="00BD6FBE" w:rsidRDefault="004B64B5" w:rsidP="007B162C">
      <w:pPr>
        <w:pStyle w:val="Heading3"/>
        <w:numPr>
          <w:ilvl w:val="0"/>
          <w:numId w:val="0"/>
        </w:numPr>
        <w:spacing w:before="120" w:after="120"/>
        <w:ind w:left="907" w:hanging="907"/>
        <w:rPr>
          <w:i/>
          <w:iCs/>
        </w:rPr>
      </w:pPr>
      <w:bookmarkStart w:id="12" w:name="_Ref2876318"/>
      <w:r w:rsidRPr="00BD6FBE">
        <w:rPr>
          <w:i/>
          <w:iCs/>
        </w:rPr>
        <w:t>Neutralis</w:t>
      </w:r>
      <w:r w:rsidR="00287BA8" w:rsidRPr="00BD6FBE">
        <w:rPr>
          <w:i/>
          <w:iCs/>
        </w:rPr>
        <w:t xml:space="preserve">ing </w:t>
      </w:r>
      <w:r w:rsidRPr="00BD6FBE">
        <w:rPr>
          <w:i/>
          <w:iCs/>
        </w:rPr>
        <w:t>a</w:t>
      </w:r>
      <w:r w:rsidR="00287BA8" w:rsidRPr="00BD6FBE">
        <w:rPr>
          <w:i/>
          <w:iCs/>
        </w:rPr>
        <w:t>ntibodies</w:t>
      </w:r>
      <w:r w:rsidRPr="00BD6FBE">
        <w:rPr>
          <w:i/>
          <w:iCs/>
        </w:rPr>
        <w:t xml:space="preserve"> (i</w:t>
      </w:r>
      <w:r w:rsidR="006127D0" w:rsidRPr="00BD6FBE">
        <w:rPr>
          <w:i/>
          <w:iCs/>
        </w:rPr>
        <w:t>nhibitors)</w:t>
      </w:r>
      <w:bookmarkEnd w:id="12"/>
    </w:p>
    <w:p w:rsidR="008A7E6A" w:rsidRPr="004B64B5" w:rsidRDefault="008A7E6A" w:rsidP="007B162C">
      <w:pPr>
        <w:pStyle w:val="BodytextAgency"/>
        <w:spacing w:before="120" w:after="120" w:line="240" w:lineRule="auto"/>
        <w:rPr>
          <w:rFonts w:ascii="Times New Roman" w:hAnsi="Times New Roman" w:cs="Times New Roman"/>
          <w:noProof/>
          <w:sz w:val="24"/>
          <w:szCs w:val="24"/>
        </w:rPr>
      </w:pPr>
      <w:r w:rsidRPr="004B64B5">
        <w:rPr>
          <w:rFonts w:ascii="Times New Roman" w:hAnsi="Times New Roman" w:cs="Times New Roman"/>
          <w:noProof/>
          <w:sz w:val="24"/>
          <w:szCs w:val="24"/>
        </w:rPr>
        <w:t xml:space="preserve">Patients with </w:t>
      </w:r>
      <w:r w:rsidR="00CF201E" w:rsidRPr="004B64B5">
        <w:rPr>
          <w:rFonts w:ascii="Times New Roman" w:hAnsi="Times New Roman" w:cs="Times New Roman"/>
          <w:noProof/>
          <w:sz w:val="24"/>
          <w:szCs w:val="24"/>
        </w:rPr>
        <w:t>VW</w:t>
      </w:r>
      <w:r w:rsidR="00345739" w:rsidRPr="004B64B5">
        <w:rPr>
          <w:rFonts w:ascii="Times New Roman" w:hAnsi="Times New Roman" w:cs="Times New Roman"/>
          <w:noProof/>
          <w:sz w:val="24"/>
          <w:szCs w:val="24"/>
        </w:rPr>
        <w:t>D</w:t>
      </w:r>
      <w:r w:rsidRPr="004B64B5">
        <w:rPr>
          <w:rFonts w:ascii="Times New Roman" w:hAnsi="Times New Roman" w:cs="Times New Roman"/>
          <w:noProof/>
          <w:sz w:val="24"/>
          <w:szCs w:val="24"/>
        </w:rPr>
        <w:t xml:space="preserve">, especially </w:t>
      </w:r>
      <w:r w:rsidR="00CD527F" w:rsidRPr="004B64B5">
        <w:rPr>
          <w:rFonts w:ascii="Times New Roman" w:hAnsi="Times New Roman" w:cs="Times New Roman"/>
          <w:noProof/>
          <w:sz w:val="24"/>
          <w:szCs w:val="24"/>
        </w:rPr>
        <w:t>T</w:t>
      </w:r>
      <w:r w:rsidRPr="004B64B5">
        <w:rPr>
          <w:rFonts w:ascii="Times New Roman" w:hAnsi="Times New Roman" w:cs="Times New Roman"/>
          <w:noProof/>
          <w:sz w:val="24"/>
          <w:szCs w:val="24"/>
        </w:rPr>
        <w:t>ype</w:t>
      </w:r>
      <w:r w:rsidR="00520D6E" w:rsidRPr="004B64B5">
        <w:rPr>
          <w:rFonts w:ascii="Times New Roman" w:hAnsi="Times New Roman" w:cs="Times New Roman"/>
          <w:noProof/>
          <w:sz w:val="24"/>
          <w:szCs w:val="24"/>
        </w:rPr>
        <w:t> </w:t>
      </w:r>
      <w:r w:rsidRPr="004B64B5">
        <w:rPr>
          <w:rFonts w:ascii="Times New Roman" w:hAnsi="Times New Roman" w:cs="Times New Roman"/>
          <w:noProof/>
          <w:sz w:val="24"/>
          <w:szCs w:val="24"/>
        </w:rPr>
        <w:t>3, may develop neutralising antibodies</w:t>
      </w:r>
      <w:r w:rsidR="007218B3" w:rsidRPr="004B64B5">
        <w:rPr>
          <w:rFonts w:ascii="Times New Roman" w:hAnsi="Times New Roman" w:cs="Times New Roman"/>
          <w:noProof/>
          <w:sz w:val="24"/>
          <w:szCs w:val="24"/>
        </w:rPr>
        <w:t xml:space="preserve"> </w:t>
      </w:r>
      <w:r w:rsidRPr="004B64B5">
        <w:rPr>
          <w:rFonts w:ascii="Times New Roman" w:hAnsi="Times New Roman" w:cs="Times New Roman"/>
          <w:noProof/>
          <w:sz w:val="24"/>
          <w:szCs w:val="24"/>
        </w:rPr>
        <w:t xml:space="preserve">(inhibitors) to </w:t>
      </w:r>
      <w:r w:rsidR="007B162C">
        <w:rPr>
          <w:rFonts w:ascii="Times New Roman" w:hAnsi="Times New Roman" w:cs="Times New Roman"/>
          <w:noProof/>
          <w:sz w:val="24"/>
          <w:szCs w:val="24"/>
        </w:rPr>
        <w:t>VWF</w:t>
      </w:r>
      <w:r w:rsidR="00573297" w:rsidRPr="004B64B5">
        <w:rPr>
          <w:rFonts w:ascii="Times New Roman" w:hAnsi="Times New Roman" w:cs="Times New Roman"/>
          <w:noProof/>
          <w:sz w:val="24"/>
          <w:szCs w:val="24"/>
        </w:rPr>
        <w:t>.</w:t>
      </w:r>
      <w:r w:rsidRPr="004B64B5">
        <w:rPr>
          <w:rFonts w:ascii="Times New Roman" w:hAnsi="Times New Roman" w:cs="Times New Roman"/>
          <w:noProof/>
          <w:sz w:val="24"/>
          <w:szCs w:val="24"/>
        </w:rPr>
        <w:t xml:space="preserve"> If the expected </w:t>
      </w:r>
      <w:r w:rsidR="006067EC" w:rsidRPr="004B64B5">
        <w:rPr>
          <w:rFonts w:ascii="Times New Roman" w:hAnsi="Times New Roman" w:cs="Times New Roman"/>
          <w:noProof/>
          <w:sz w:val="24"/>
          <w:szCs w:val="24"/>
        </w:rPr>
        <w:t>plasma levels of (</w:t>
      </w:r>
      <w:r w:rsidRPr="004B64B5">
        <w:rPr>
          <w:rFonts w:ascii="Times New Roman" w:hAnsi="Times New Roman" w:cs="Times New Roman"/>
          <w:noProof/>
          <w:sz w:val="24"/>
          <w:szCs w:val="24"/>
        </w:rPr>
        <w:t>VWF:RCo</w:t>
      </w:r>
      <w:r w:rsidR="006067EC" w:rsidRPr="004B64B5">
        <w:rPr>
          <w:rFonts w:ascii="Times New Roman" w:hAnsi="Times New Roman" w:cs="Times New Roman"/>
          <w:noProof/>
          <w:sz w:val="24"/>
          <w:szCs w:val="24"/>
        </w:rPr>
        <w:t>)</w:t>
      </w:r>
      <w:r w:rsidRPr="004B64B5">
        <w:rPr>
          <w:rFonts w:ascii="Times New Roman" w:hAnsi="Times New Roman" w:cs="Times New Roman"/>
          <w:noProof/>
          <w:sz w:val="24"/>
          <w:szCs w:val="24"/>
        </w:rPr>
        <w:t xml:space="preserve"> are not attained, or if bleeding is not controlled with an appropriate dose, an appropriate assay should be performed to determine if a</w:t>
      </w:r>
      <w:r w:rsidR="001B6D6C">
        <w:rPr>
          <w:rFonts w:ascii="Times New Roman" w:hAnsi="Times New Roman" w:cs="Times New Roman"/>
          <w:noProof/>
          <w:sz w:val="24"/>
          <w:szCs w:val="24"/>
        </w:rPr>
        <w:t xml:space="preserve">n </w:t>
      </w:r>
      <w:r w:rsidRPr="004B64B5">
        <w:rPr>
          <w:rFonts w:ascii="Times New Roman" w:hAnsi="Times New Roman" w:cs="Times New Roman"/>
          <w:noProof/>
          <w:sz w:val="24"/>
          <w:szCs w:val="24"/>
        </w:rPr>
        <w:t xml:space="preserve"> </w:t>
      </w:r>
      <w:r w:rsidR="001B6D6C">
        <w:rPr>
          <w:rFonts w:ascii="Times New Roman" w:hAnsi="Times New Roman" w:cs="Times New Roman"/>
          <w:noProof/>
          <w:sz w:val="24"/>
          <w:szCs w:val="24"/>
        </w:rPr>
        <w:t>anti-</w:t>
      </w:r>
      <w:r w:rsidR="007B162C">
        <w:rPr>
          <w:rFonts w:ascii="Times New Roman" w:hAnsi="Times New Roman" w:cs="Times New Roman"/>
          <w:noProof/>
          <w:sz w:val="24"/>
          <w:szCs w:val="24"/>
        </w:rPr>
        <w:t>VWF</w:t>
      </w:r>
      <w:r w:rsidRPr="004B64B5">
        <w:rPr>
          <w:rFonts w:ascii="Times New Roman" w:hAnsi="Times New Roman" w:cs="Times New Roman"/>
          <w:noProof/>
          <w:sz w:val="24"/>
          <w:szCs w:val="24"/>
        </w:rPr>
        <w:t xml:space="preserve"> </w:t>
      </w:r>
      <w:r w:rsidR="001B6D6C">
        <w:rPr>
          <w:rFonts w:ascii="Times New Roman" w:hAnsi="Times New Roman" w:cs="Times New Roman"/>
          <w:noProof/>
          <w:sz w:val="24"/>
          <w:szCs w:val="24"/>
        </w:rPr>
        <w:t xml:space="preserve">antibody </w:t>
      </w:r>
      <w:r w:rsidRPr="004B64B5">
        <w:rPr>
          <w:rFonts w:ascii="Times New Roman" w:hAnsi="Times New Roman" w:cs="Times New Roman"/>
          <w:noProof/>
          <w:sz w:val="24"/>
          <w:szCs w:val="24"/>
        </w:rPr>
        <w:t>is present. In patients with high levels of</w:t>
      </w:r>
      <w:r w:rsidR="00334F1F" w:rsidRPr="004B64B5">
        <w:rPr>
          <w:rFonts w:ascii="Times New Roman" w:hAnsi="Times New Roman" w:cs="Times New Roman"/>
          <w:noProof/>
          <w:sz w:val="24"/>
          <w:szCs w:val="24"/>
        </w:rPr>
        <w:t xml:space="preserve"> </w:t>
      </w:r>
      <w:r w:rsidR="00573297" w:rsidRPr="004B64B5">
        <w:rPr>
          <w:rFonts w:ascii="Times New Roman" w:hAnsi="Times New Roman" w:cs="Times New Roman"/>
          <w:noProof/>
          <w:sz w:val="24"/>
          <w:szCs w:val="24"/>
        </w:rPr>
        <w:t>anti-VWF antibodies</w:t>
      </w:r>
      <w:r w:rsidR="007B162C">
        <w:rPr>
          <w:rFonts w:ascii="Times New Roman" w:hAnsi="Times New Roman" w:cs="Times New Roman"/>
          <w:noProof/>
          <w:sz w:val="24"/>
          <w:szCs w:val="24"/>
        </w:rPr>
        <w:t xml:space="preserve">, VWF </w:t>
      </w:r>
      <w:r w:rsidRPr="004B64B5">
        <w:rPr>
          <w:rFonts w:ascii="Times New Roman" w:hAnsi="Times New Roman" w:cs="Times New Roman"/>
          <w:noProof/>
          <w:sz w:val="24"/>
          <w:szCs w:val="24"/>
        </w:rPr>
        <w:t>therapy may not be effective and other therapeutic options should be considered.</w:t>
      </w:r>
    </w:p>
    <w:p w:rsidR="00B06738" w:rsidRPr="004B64B5" w:rsidRDefault="001524DA" w:rsidP="007B162C">
      <w:pPr>
        <w:pStyle w:val="BodytextAgency"/>
        <w:spacing w:before="120" w:after="120" w:line="240" w:lineRule="auto"/>
        <w:rPr>
          <w:rFonts w:ascii="Times New Roman" w:hAnsi="Times New Roman" w:cs="Times New Roman"/>
          <w:noProof/>
          <w:sz w:val="24"/>
          <w:szCs w:val="24"/>
        </w:rPr>
      </w:pPr>
      <w:r w:rsidRPr="004B64B5">
        <w:rPr>
          <w:rFonts w:ascii="Times New Roman" w:hAnsi="Times New Roman" w:cs="Times New Roman"/>
          <w:noProof/>
          <w:sz w:val="24"/>
          <w:szCs w:val="24"/>
        </w:rPr>
        <w:t>T</w:t>
      </w:r>
      <w:r w:rsidR="00B06738" w:rsidRPr="004B64B5">
        <w:rPr>
          <w:rFonts w:ascii="Times New Roman" w:hAnsi="Times New Roman" w:cs="Times New Roman"/>
          <w:noProof/>
          <w:sz w:val="24"/>
          <w:szCs w:val="24"/>
        </w:rPr>
        <w:t xml:space="preserve">reatment of VWD patients </w:t>
      </w:r>
      <w:r w:rsidRPr="004B64B5">
        <w:rPr>
          <w:rFonts w:ascii="Times New Roman" w:hAnsi="Times New Roman" w:cs="Times New Roman"/>
          <w:noProof/>
          <w:sz w:val="24"/>
          <w:szCs w:val="24"/>
        </w:rPr>
        <w:t xml:space="preserve">who have </w:t>
      </w:r>
      <w:r w:rsidR="00B06738" w:rsidRPr="004B64B5">
        <w:rPr>
          <w:rFonts w:ascii="Times New Roman" w:hAnsi="Times New Roman" w:cs="Times New Roman"/>
          <w:noProof/>
          <w:sz w:val="24"/>
          <w:szCs w:val="24"/>
        </w:rPr>
        <w:t xml:space="preserve">high-titer binding antibodies </w:t>
      </w:r>
      <w:r w:rsidR="00D03565">
        <w:rPr>
          <w:rFonts w:ascii="Times New Roman" w:hAnsi="Times New Roman" w:cs="Times New Roman"/>
          <w:noProof/>
          <w:sz w:val="24"/>
          <w:szCs w:val="24"/>
        </w:rPr>
        <w:t>(due to prev</w:t>
      </w:r>
      <w:r w:rsidR="00561FCE">
        <w:rPr>
          <w:rFonts w:ascii="Times New Roman" w:hAnsi="Times New Roman" w:cs="Times New Roman"/>
          <w:noProof/>
          <w:sz w:val="24"/>
          <w:szCs w:val="24"/>
        </w:rPr>
        <w:t>i</w:t>
      </w:r>
      <w:r w:rsidR="00D03565">
        <w:rPr>
          <w:rFonts w:ascii="Times New Roman" w:hAnsi="Times New Roman" w:cs="Times New Roman"/>
          <w:noProof/>
          <w:sz w:val="24"/>
          <w:szCs w:val="24"/>
        </w:rPr>
        <w:t>o</w:t>
      </w:r>
      <w:r w:rsidR="00B902FA">
        <w:rPr>
          <w:rFonts w:ascii="Times New Roman" w:hAnsi="Times New Roman" w:cs="Times New Roman"/>
          <w:noProof/>
          <w:sz w:val="24"/>
          <w:szCs w:val="24"/>
        </w:rPr>
        <w:t xml:space="preserve">us treatment with plasma-derived VWF) </w:t>
      </w:r>
      <w:r w:rsidR="00B06738" w:rsidRPr="004B64B5">
        <w:rPr>
          <w:rFonts w:ascii="Times New Roman" w:hAnsi="Times New Roman" w:cs="Times New Roman"/>
          <w:noProof/>
          <w:sz w:val="24"/>
          <w:szCs w:val="24"/>
        </w:rPr>
        <w:t>may require a higher dose to overcome the binding antibody effect</w:t>
      </w:r>
      <w:r w:rsidR="008B1D08" w:rsidRPr="004B64B5">
        <w:rPr>
          <w:rFonts w:ascii="Times New Roman" w:hAnsi="Times New Roman" w:cs="Times New Roman"/>
          <w:noProof/>
          <w:sz w:val="24"/>
          <w:szCs w:val="24"/>
        </w:rPr>
        <w:t xml:space="preserve"> and such patients could be managed clinically by administration of higher doses of </w:t>
      </w:r>
      <w:r w:rsidR="000165C1">
        <w:rPr>
          <w:rFonts w:ascii="Times New Roman" w:hAnsi="Times New Roman" w:cs="Times New Roman"/>
          <w:noProof/>
          <w:sz w:val="24"/>
          <w:szCs w:val="24"/>
        </w:rPr>
        <w:t xml:space="preserve">VEYVONDI </w:t>
      </w:r>
      <w:r w:rsidR="008B1D08" w:rsidRPr="004B64B5">
        <w:rPr>
          <w:rFonts w:ascii="Times New Roman" w:hAnsi="Times New Roman" w:cs="Times New Roman"/>
          <w:noProof/>
          <w:sz w:val="24"/>
          <w:szCs w:val="24"/>
        </w:rPr>
        <w:t>based on the PK data for each individual patient</w:t>
      </w:r>
      <w:r w:rsidR="00B06738" w:rsidRPr="004B64B5">
        <w:rPr>
          <w:rFonts w:ascii="Times New Roman" w:hAnsi="Times New Roman" w:cs="Times New Roman"/>
          <w:noProof/>
          <w:sz w:val="24"/>
          <w:szCs w:val="24"/>
        </w:rPr>
        <w:t>.</w:t>
      </w:r>
    </w:p>
    <w:p w:rsidR="00FF61EC" w:rsidRPr="00BD6FBE" w:rsidRDefault="00FF61EC" w:rsidP="00B26C0A">
      <w:pPr>
        <w:pStyle w:val="Heading3"/>
        <w:keepLines/>
        <w:numPr>
          <w:ilvl w:val="0"/>
          <w:numId w:val="0"/>
        </w:numPr>
        <w:spacing w:before="120" w:after="120"/>
        <w:ind w:left="907" w:hanging="907"/>
        <w:rPr>
          <w:i/>
          <w:iCs/>
        </w:rPr>
      </w:pPr>
      <w:r w:rsidRPr="00BD6FBE">
        <w:rPr>
          <w:i/>
          <w:iCs/>
        </w:rPr>
        <w:t>Excipient related considerations</w:t>
      </w:r>
    </w:p>
    <w:p w:rsidR="00FF61EC" w:rsidRPr="004B64B5" w:rsidRDefault="00711DFB" w:rsidP="00B26C0A">
      <w:pPr>
        <w:pStyle w:val="BodytextAgency"/>
        <w:keepLines/>
        <w:spacing w:before="120" w:after="120" w:line="240" w:lineRule="auto"/>
        <w:rPr>
          <w:rFonts w:ascii="Times New Roman" w:hAnsi="Times New Roman" w:cs="Times New Roman"/>
          <w:noProof/>
          <w:sz w:val="24"/>
          <w:szCs w:val="24"/>
        </w:rPr>
      </w:pPr>
      <w:r w:rsidRPr="004B64B5">
        <w:rPr>
          <w:rFonts w:ascii="Times New Roman" w:hAnsi="Times New Roman" w:cs="Times New Roman"/>
          <w:noProof/>
          <w:sz w:val="24"/>
          <w:szCs w:val="24"/>
        </w:rPr>
        <w:t>This medicinal product contains 5.2</w:t>
      </w:r>
      <w:r w:rsidR="00391F9A" w:rsidRPr="004B64B5">
        <w:rPr>
          <w:rFonts w:ascii="Times New Roman" w:hAnsi="Times New Roman" w:cs="Times New Roman"/>
          <w:noProof/>
          <w:sz w:val="24"/>
          <w:szCs w:val="24"/>
        </w:rPr>
        <w:t> </w:t>
      </w:r>
      <w:r w:rsidRPr="004B64B5">
        <w:rPr>
          <w:rFonts w:ascii="Times New Roman" w:hAnsi="Times New Roman" w:cs="Times New Roman"/>
          <w:noProof/>
          <w:sz w:val="24"/>
          <w:szCs w:val="24"/>
        </w:rPr>
        <w:t>mg sodium in each 650</w:t>
      </w:r>
      <w:r w:rsidR="00391F9A" w:rsidRPr="004B64B5">
        <w:rPr>
          <w:rFonts w:ascii="Times New Roman" w:hAnsi="Times New Roman" w:cs="Times New Roman"/>
          <w:noProof/>
          <w:sz w:val="24"/>
          <w:szCs w:val="24"/>
        </w:rPr>
        <w:t> </w:t>
      </w:r>
      <w:r w:rsidRPr="004B64B5">
        <w:rPr>
          <w:rFonts w:ascii="Times New Roman" w:hAnsi="Times New Roman" w:cs="Times New Roman"/>
          <w:noProof/>
          <w:sz w:val="24"/>
          <w:szCs w:val="24"/>
        </w:rPr>
        <w:t>IU vial or 10.4</w:t>
      </w:r>
      <w:r w:rsidR="00391F9A" w:rsidRPr="004B64B5">
        <w:rPr>
          <w:rFonts w:ascii="Times New Roman" w:hAnsi="Times New Roman" w:cs="Times New Roman"/>
          <w:noProof/>
          <w:sz w:val="24"/>
          <w:szCs w:val="24"/>
        </w:rPr>
        <w:t> </w:t>
      </w:r>
      <w:r w:rsidRPr="004B64B5">
        <w:rPr>
          <w:rFonts w:ascii="Times New Roman" w:hAnsi="Times New Roman" w:cs="Times New Roman"/>
          <w:noProof/>
          <w:sz w:val="24"/>
          <w:szCs w:val="24"/>
        </w:rPr>
        <w:t>mg sodium in each 1300</w:t>
      </w:r>
      <w:r w:rsidR="00391F9A" w:rsidRPr="004B64B5">
        <w:rPr>
          <w:rFonts w:ascii="Times New Roman" w:hAnsi="Times New Roman" w:cs="Times New Roman"/>
          <w:noProof/>
          <w:sz w:val="24"/>
          <w:szCs w:val="24"/>
        </w:rPr>
        <w:t> </w:t>
      </w:r>
      <w:r w:rsidRPr="004B64B5">
        <w:rPr>
          <w:rFonts w:ascii="Times New Roman" w:hAnsi="Times New Roman" w:cs="Times New Roman"/>
          <w:noProof/>
          <w:sz w:val="24"/>
          <w:szCs w:val="24"/>
        </w:rPr>
        <w:t>IU vial. This is equivalent to 2.2% of the WHO recommended maximum daily intake of 2</w:t>
      </w:r>
      <w:r w:rsidR="00391F9A" w:rsidRPr="004B64B5">
        <w:rPr>
          <w:rFonts w:ascii="Times New Roman" w:hAnsi="Times New Roman" w:cs="Times New Roman"/>
          <w:noProof/>
          <w:sz w:val="24"/>
          <w:szCs w:val="24"/>
        </w:rPr>
        <w:t> </w:t>
      </w:r>
      <w:r w:rsidRPr="004B64B5">
        <w:rPr>
          <w:rFonts w:ascii="Times New Roman" w:hAnsi="Times New Roman" w:cs="Times New Roman"/>
          <w:noProof/>
          <w:sz w:val="24"/>
          <w:szCs w:val="24"/>
        </w:rPr>
        <w:t>g sodium for an adult, assuming a body weight of 70</w:t>
      </w:r>
      <w:r w:rsidR="00391F9A" w:rsidRPr="004B64B5">
        <w:rPr>
          <w:rFonts w:ascii="Times New Roman" w:hAnsi="Times New Roman" w:cs="Times New Roman"/>
          <w:noProof/>
          <w:sz w:val="24"/>
          <w:szCs w:val="24"/>
        </w:rPr>
        <w:t> </w:t>
      </w:r>
      <w:r w:rsidRPr="004B64B5">
        <w:rPr>
          <w:rFonts w:ascii="Times New Roman" w:hAnsi="Times New Roman" w:cs="Times New Roman"/>
          <w:noProof/>
          <w:sz w:val="24"/>
          <w:szCs w:val="24"/>
        </w:rPr>
        <w:t>kg and a dose of 80</w:t>
      </w:r>
      <w:r w:rsidR="00391F9A" w:rsidRPr="004B64B5">
        <w:rPr>
          <w:rFonts w:ascii="Times New Roman" w:hAnsi="Times New Roman" w:cs="Times New Roman"/>
          <w:noProof/>
          <w:sz w:val="24"/>
          <w:szCs w:val="24"/>
        </w:rPr>
        <w:t> </w:t>
      </w:r>
      <w:r w:rsidRPr="004B64B5">
        <w:rPr>
          <w:rFonts w:ascii="Times New Roman" w:hAnsi="Times New Roman" w:cs="Times New Roman"/>
          <w:noProof/>
          <w:sz w:val="24"/>
          <w:szCs w:val="24"/>
        </w:rPr>
        <w:t xml:space="preserve">IU/kg body weight. </w:t>
      </w:r>
      <w:r w:rsidR="00CF201E" w:rsidRPr="004B64B5">
        <w:rPr>
          <w:rFonts w:ascii="Times New Roman" w:hAnsi="Times New Roman" w:cs="Times New Roman"/>
          <w:noProof/>
          <w:sz w:val="24"/>
          <w:szCs w:val="24"/>
        </w:rPr>
        <w:t>This is t</w:t>
      </w:r>
      <w:r w:rsidR="00FF61EC" w:rsidRPr="004B64B5">
        <w:rPr>
          <w:rFonts w:ascii="Times New Roman" w:hAnsi="Times New Roman" w:cs="Times New Roman"/>
          <w:noProof/>
          <w:sz w:val="24"/>
          <w:szCs w:val="24"/>
        </w:rPr>
        <w:t>o be taken into consideration by patients on a controlled sodium diet</w:t>
      </w:r>
      <w:r w:rsidR="00982035" w:rsidRPr="004B64B5">
        <w:rPr>
          <w:rFonts w:ascii="Times New Roman" w:hAnsi="Times New Roman" w:cs="Times New Roman"/>
          <w:noProof/>
          <w:sz w:val="24"/>
          <w:szCs w:val="24"/>
        </w:rPr>
        <w:t>.</w:t>
      </w:r>
    </w:p>
    <w:p w:rsidR="00E34845" w:rsidRDefault="00506E80" w:rsidP="007B162C">
      <w:pPr>
        <w:pStyle w:val="Heading3"/>
        <w:numPr>
          <w:ilvl w:val="0"/>
          <w:numId w:val="0"/>
        </w:numPr>
        <w:spacing w:before="120" w:after="120"/>
        <w:ind w:left="907" w:hanging="907"/>
        <w:rPr>
          <w:i/>
          <w:iCs/>
        </w:rPr>
      </w:pPr>
      <w:r>
        <w:rPr>
          <w:i/>
          <w:iCs/>
        </w:rPr>
        <w:t>Use in hepatic impairment</w:t>
      </w:r>
    </w:p>
    <w:p w:rsidR="00506E80" w:rsidRPr="00506E80" w:rsidRDefault="00506E80" w:rsidP="00506E80">
      <w:pPr>
        <w:pStyle w:val="BodytextAgency"/>
        <w:tabs>
          <w:tab w:val="right" w:pos="9299"/>
        </w:tabs>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Subjects with significant liver disease were excluded from participation in the clinical trials. </w:t>
      </w:r>
      <w:r w:rsidRPr="00506E80">
        <w:rPr>
          <w:rFonts w:ascii="Times New Roman" w:hAnsi="Times New Roman" w:cs="Times New Roman"/>
          <w:noProof/>
          <w:sz w:val="24"/>
          <w:szCs w:val="24"/>
        </w:rPr>
        <w:t>No analyses</w:t>
      </w:r>
      <w:r w:rsidR="00FB5F69">
        <w:rPr>
          <w:rFonts w:ascii="Times New Roman" w:hAnsi="Times New Roman" w:cs="Times New Roman"/>
          <w:noProof/>
          <w:sz w:val="24"/>
          <w:szCs w:val="24"/>
        </w:rPr>
        <w:t xml:space="preserve"> of the intrinsic effects of </w:t>
      </w:r>
      <w:r w:rsidRPr="00506E80">
        <w:rPr>
          <w:rFonts w:ascii="Times New Roman" w:hAnsi="Times New Roman" w:cs="Times New Roman"/>
          <w:noProof/>
          <w:sz w:val="24"/>
          <w:szCs w:val="24"/>
        </w:rPr>
        <w:t>hepatic impairment on</w:t>
      </w:r>
      <w:r w:rsidR="00FB5F69">
        <w:rPr>
          <w:rFonts w:ascii="Times New Roman" w:hAnsi="Times New Roman" w:cs="Times New Roman"/>
          <w:noProof/>
          <w:sz w:val="24"/>
          <w:szCs w:val="24"/>
        </w:rPr>
        <w:t xml:space="preserve"> p</w:t>
      </w:r>
      <w:r w:rsidRPr="00506E80">
        <w:rPr>
          <w:rFonts w:ascii="Times New Roman" w:hAnsi="Times New Roman" w:cs="Times New Roman"/>
          <w:noProof/>
          <w:sz w:val="24"/>
          <w:szCs w:val="24"/>
        </w:rPr>
        <w:t>harmacokinetic outcomes</w:t>
      </w:r>
      <w:r w:rsidR="00FB5F69" w:rsidRPr="00506E80">
        <w:rPr>
          <w:rFonts w:ascii="Times New Roman" w:hAnsi="Times New Roman" w:cs="Times New Roman"/>
          <w:noProof/>
          <w:sz w:val="24"/>
          <w:szCs w:val="24"/>
        </w:rPr>
        <w:t xml:space="preserve"> </w:t>
      </w:r>
      <w:r w:rsidR="00FB5F69">
        <w:rPr>
          <w:rFonts w:ascii="Times New Roman" w:hAnsi="Times New Roman" w:cs="Times New Roman"/>
          <w:noProof/>
          <w:sz w:val="24"/>
          <w:szCs w:val="24"/>
        </w:rPr>
        <w:t>have been conducted</w:t>
      </w:r>
      <w:r w:rsidRPr="00506E80">
        <w:rPr>
          <w:rFonts w:ascii="Times New Roman" w:hAnsi="Times New Roman" w:cs="Times New Roman"/>
          <w:noProof/>
          <w:sz w:val="24"/>
          <w:szCs w:val="24"/>
        </w:rPr>
        <w:t>.</w:t>
      </w:r>
    </w:p>
    <w:p w:rsidR="00506E80" w:rsidRDefault="00506E80" w:rsidP="00506E80">
      <w:pPr>
        <w:pStyle w:val="Heading3"/>
        <w:numPr>
          <w:ilvl w:val="0"/>
          <w:numId w:val="0"/>
        </w:numPr>
        <w:spacing w:before="120" w:after="120"/>
        <w:ind w:left="907" w:hanging="907"/>
        <w:rPr>
          <w:i/>
          <w:iCs/>
        </w:rPr>
      </w:pPr>
      <w:r>
        <w:rPr>
          <w:i/>
          <w:iCs/>
        </w:rPr>
        <w:t>Use in renal impairment</w:t>
      </w:r>
    </w:p>
    <w:p w:rsidR="00506E80" w:rsidRPr="00506E80" w:rsidRDefault="00506E80" w:rsidP="00506E80">
      <w:pPr>
        <w:pStyle w:val="BodytextAgency"/>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Subjects with renal disease (with a serum creatinine level </w:t>
      </w:r>
      <w:r w:rsidR="00CC35D7">
        <w:rPr>
          <w:rFonts w:ascii="Times New Roman" w:hAnsi="Times New Roman" w:cs="Times New Roman"/>
          <w:noProof/>
          <w:sz w:val="24"/>
          <w:szCs w:val="24"/>
        </w:rPr>
        <w:sym w:font="Symbol" w:char="F0B3"/>
      </w:r>
      <w:r>
        <w:rPr>
          <w:rFonts w:ascii="Times New Roman" w:hAnsi="Times New Roman" w:cs="Times New Roman"/>
          <w:noProof/>
          <w:sz w:val="24"/>
          <w:szCs w:val="24"/>
        </w:rPr>
        <w:t xml:space="preserve"> 2 mg/dL) were excluded from participation in the clinical trials.</w:t>
      </w:r>
      <w:r w:rsidR="00FB5F69">
        <w:rPr>
          <w:rFonts w:ascii="Times New Roman" w:hAnsi="Times New Roman" w:cs="Times New Roman"/>
          <w:noProof/>
          <w:sz w:val="24"/>
          <w:szCs w:val="24"/>
        </w:rPr>
        <w:t xml:space="preserve"> </w:t>
      </w:r>
      <w:r w:rsidR="00FB5F69" w:rsidRPr="00506E80">
        <w:rPr>
          <w:rFonts w:ascii="Times New Roman" w:hAnsi="Times New Roman" w:cs="Times New Roman"/>
          <w:noProof/>
          <w:sz w:val="24"/>
          <w:szCs w:val="24"/>
        </w:rPr>
        <w:t>No analyses</w:t>
      </w:r>
      <w:r w:rsidR="00FB5F69">
        <w:rPr>
          <w:rFonts w:ascii="Times New Roman" w:hAnsi="Times New Roman" w:cs="Times New Roman"/>
          <w:noProof/>
          <w:sz w:val="24"/>
          <w:szCs w:val="24"/>
        </w:rPr>
        <w:t xml:space="preserve"> of the intrinsic effects of renal</w:t>
      </w:r>
      <w:r w:rsidR="00FB5F69" w:rsidRPr="00506E80">
        <w:rPr>
          <w:rFonts w:ascii="Times New Roman" w:hAnsi="Times New Roman" w:cs="Times New Roman"/>
          <w:noProof/>
          <w:sz w:val="24"/>
          <w:szCs w:val="24"/>
        </w:rPr>
        <w:t xml:space="preserve"> impairment on</w:t>
      </w:r>
      <w:r w:rsidR="00FB5F69">
        <w:rPr>
          <w:rFonts w:ascii="Times New Roman" w:hAnsi="Times New Roman" w:cs="Times New Roman"/>
          <w:noProof/>
          <w:sz w:val="24"/>
          <w:szCs w:val="24"/>
        </w:rPr>
        <w:t xml:space="preserve"> p</w:t>
      </w:r>
      <w:r w:rsidR="00FB5F69" w:rsidRPr="00506E80">
        <w:rPr>
          <w:rFonts w:ascii="Times New Roman" w:hAnsi="Times New Roman" w:cs="Times New Roman"/>
          <w:noProof/>
          <w:sz w:val="24"/>
          <w:szCs w:val="24"/>
        </w:rPr>
        <w:t xml:space="preserve">harmacokinetic outcomes </w:t>
      </w:r>
      <w:r w:rsidR="00FB5F69">
        <w:rPr>
          <w:rFonts w:ascii="Times New Roman" w:hAnsi="Times New Roman" w:cs="Times New Roman"/>
          <w:noProof/>
          <w:sz w:val="24"/>
          <w:szCs w:val="24"/>
        </w:rPr>
        <w:t>have been conducted</w:t>
      </w:r>
      <w:r w:rsidR="00FB5F69" w:rsidRPr="00506E80">
        <w:rPr>
          <w:rFonts w:ascii="Times New Roman" w:hAnsi="Times New Roman" w:cs="Times New Roman"/>
          <w:noProof/>
          <w:sz w:val="24"/>
          <w:szCs w:val="24"/>
        </w:rPr>
        <w:t>.</w:t>
      </w:r>
    </w:p>
    <w:p w:rsidR="00823B71" w:rsidRPr="00BD6FBE" w:rsidRDefault="00823B71" w:rsidP="007B162C">
      <w:pPr>
        <w:pStyle w:val="Heading3"/>
        <w:numPr>
          <w:ilvl w:val="0"/>
          <w:numId w:val="0"/>
        </w:numPr>
        <w:spacing w:before="120" w:after="120"/>
        <w:ind w:left="907" w:hanging="907"/>
        <w:rPr>
          <w:i/>
          <w:iCs/>
        </w:rPr>
      </w:pPr>
      <w:r w:rsidRPr="00BD6FBE">
        <w:rPr>
          <w:i/>
          <w:iCs/>
        </w:rPr>
        <w:t xml:space="preserve">Use in </w:t>
      </w:r>
      <w:r w:rsidR="00E34845">
        <w:rPr>
          <w:i/>
          <w:iCs/>
        </w:rPr>
        <w:t xml:space="preserve">the </w:t>
      </w:r>
      <w:r w:rsidRPr="00BD6FBE">
        <w:rPr>
          <w:i/>
          <w:iCs/>
        </w:rPr>
        <w:t>elderly</w:t>
      </w:r>
    </w:p>
    <w:p w:rsidR="00823B71" w:rsidRDefault="000165C1" w:rsidP="007B162C">
      <w:pPr>
        <w:pStyle w:val="BodytextAgency"/>
        <w:spacing w:before="120" w:after="120" w:line="240" w:lineRule="auto"/>
        <w:rPr>
          <w:rFonts w:ascii="Times New Roman" w:hAnsi="Times New Roman" w:cs="Times New Roman"/>
          <w:noProof/>
          <w:sz w:val="24"/>
          <w:szCs w:val="24"/>
        </w:rPr>
      </w:pPr>
      <w:r w:rsidRPr="000165C1">
        <w:rPr>
          <w:rFonts w:ascii="Times New Roman" w:hAnsi="Times New Roman" w:cs="Times New Roman"/>
          <w:noProof/>
          <w:sz w:val="24"/>
          <w:szCs w:val="24"/>
        </w:rPr>
        <w:t>There is insufficient data to recommend the use of VEYVONDI in elderly patients (aged 65 and over).</w:t>
      </w:r>
      <w:r>
        <w:rPr>
          <w:rFonts w:ascii="Times New Roman" w:hAnsi="Times New Roman" w:cs="Times New Roman"/>
          <w:noProof/>
          <w:sz w:val="24"/>
          <w:szCs w:val="24"/>
        </w:rPr>
        <w:t xml:space="preserve"> Clinical trials of VEYVON</w:t>
      </w:r>
      <w:r w:rsidRPr="007E5697">
        <w:rPr>
          <w:rFonts w:ascii="Times New Roman" w:hAnsi="Times New Roman" w:cs="Times New Roman"/>
          <w:noProof/>
          <w:sz w:val="24"/>
          <w:szCs w:val="24"/>
        </w:rPr>
        <w:t>DI</w:t>
      </w:r>
      <w:r>
        <w:rPr>
          <w:rFonts w:ascii="Times New Roman" w:hAnsi="Times New Roman" w:cs="Times New Roman"/>
          <w:noProof/>
          <w:sz w:val="24"/>
          <w:szCs w:val="24"/>
        </w:rPr>
        <w:t xml:space="preserve"> </w:t>
      </w:r>
      <w:r w:rsidRPr="007E5697">
        <w:rPr>
          <w:rFonts w:ascii="Times New Roman" w:hAnsi="Times New Roman" w:cs="Times New Roman"/>
          <w:noProof/>
          <w:sz w:val="24"/>
          <w:szCs w:val="24"/>
        </w:rPr>
        <w:t>did not include sufficient numbers of subjects aged 65 and over to determine whether they respond differently compared to younger subjects.</w:t>
      </w:r>
    </w:p>
    <w:p w:rsidR="00823B71" w:rsidRPr="00B902FA" w:rsidRDefault="00823B71" w:rsidP="007B162C">
      <w:pPr>
        <w:pStyle w:val="Heading3"/>
        <w:numPr>
          <w:ilvl w:val="0"/>
          <w:numId w:val="0"/>
        </w:numPr>
        <w:spacing w:before="120" w:after="120"/>
        <w:ind w:left="907" w:hanging="907"/>
        <w:rPr>
          <w:i/>
          <w:iCs/>
        </w:rPr>
      </w:pPr>
      <w:r w:rsidRPr="00B902FA">
        <w:rPr>
          <w:i/>
          <w:iCs/>
        </w:rPr>
        <w:lastRenderedPageBreak/>
        <w:t>Paediatric use</w:t>
      </w:r>
    </w:p>
    <w:p w:rsidR="00823B71" w:rsidRDefault="000165C1" w:rsidP="007B162C">
      <w:pPr>
        <w:pStyle w:val="BodytextAgency"/>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No data available. </w:t>
      </w:r>
      <w:r w:rsidR="00823B71" w:rsidRPr="00B902FA">
        <w:rPr>
          <w:rFonts w:ascii="Times New Roman" w:hAnsi="Times New Roman" w:cs="Times New Roman"/>
          <w:noProof/>
          <w:sz w:val="24"/>
          <w:szCs w:val="24"/>
        </w:rPr>
        <w:t>The safety and efficacy of VEYVONDI in children aged 0 to 18 years have not yet been esta</w:t>
      </w:r>
      <w:r w:rsidR="00BD6FBE" w:rsidRPr="00B902FA">
        <w:rPr>
          <w:rFonts w:ascii="Times New Roman" w:hAnsi="Times New Roman" w:cs="Times New Roman"/>
          <w:noProof/>
          <w:sz w:val="24"/>
          <w:szCs w:val="24"/>
        </w:rPr>
        <w:t>blished.</w:t>
      </w:r>
      <w:r w:rsidR="00BD6FBE">
        <w:rPr>
          <w:rFonts w:ascii="Times New Roman" w:hAnsi="Times New Roman" w:cs="Times New Roman"/>
          <w:noProof/>
          <w:sz w:val="24"/>
          <w:szCs w:val="24"/>
        </w:rPr>
        <w:t xml:space="preserve"> </w:t>
      </w:r>
    </w:p>
    <w:p w:rsidR="00823B71" w:rsidRPr="00BD6FBE" w:rsidRDefault="00823B71" w:rsidP="007B162C">
      <w:pPr>
        <w:pStyle w:val="Heading3"/>
        <w:numPr>
          <w:ilvl w:val="0"/>
          <w:numId w:val="0"/>
        </w:numPr>
        <w:spacing w:before="120" w:after="120"/>
        <w:ind w:left="907" w:hanging="907"/>
        <w:rPr>
          <w:i/>
          <w:iCs/>
        </w:rPr>
      </w:pPr>
      <w:r w:rsidRPr="00BD6FBE">
        <w:rPr>
          <w:i/>
          <w:iCs/>
        </w:rPr>
        <w:t>Effects on laboratory tests</w:t>
      </w:r>
    </w:p>
    <w:p w:rsidR="00823B71" w:rsidRDefault="00AF4C1D" w:rsidP="007B162C">
      <w:pPr>
        <w:pStyle w:val="BodytextAgency"/>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t>In clinical trials, n</w:t>
      </w:r>
      <w:r w:rsidR="00307F8B">
        <w:rPr>
          <w:rFonts w:ascii="Times New Roman" w:hAnsi="Times New Roman" w:cs="Times New Roman"/>
          <w:noProof/>
          <w:sz w:val="24"/>
          <w:szCs w:val="24"/>
        </w:rPr>
        <w:t xml:space="preserve">o clinically significant </w:t>
      </w:r>
      <w:r w:rsidR="00846BB5">
        <w:rPr>
          <w:rFonts w:ascii="Times New Roman" w:hAnsi="Times New Roman" w:cs="Times New Roman"/>
          <w:noProof/>
          <w:sz w:val="24"/>
          <w:szCs w:val="24"/>
        </w:rPr>
        <w:t>abnormalities</w:t>
      </w:r>
      <w:r w:rsidR="00307F8B">
        <w:rPr>
          <w:rFonts w:ascii="Times New Roman" w:hAnsi="Times New Roman" w:cs="Times New Roman"/>
          <w:noProof/>
          <w:sz w:val="24"/>
          <w:szCs w:val="24"/>
        </w:rPr>
        <w:t xml:space="preserve"> in laboratory parameters were considered to be related </w:t>
      </w:r>
      <w:r>
        <w:rPr>
          <w:rFonts w:ascii="Times New Roman" w:hAnsi="Times New Roman" w:cs="Times New Roman"/>
          <w:noProof/>
          <w:sz w:val="24"/>
          <w:szCs w:val="24"/>
        </w:rPr>
        <w:t>to VEYVONDI.</w:t>
      </w:r>
    </w:p>
    <w:p w:rsidR="00812D16" w:rsidRPr="004B64B5" w:rsidRDefault="004B64B5" w:rsidP="007B162C">
      <w:pPr>
        <w:pStyle w:val="Heading2"/>
        <w:tabs>
          <w:tab w:val="clear" w:pos="907"/>
          <w:tab w:val="num" w:pos="851"/>
        </w:tabs>
        <w:spacing w:after="120"/>
        <w:ind w:left="851" w:hanging="851"/>
      </w:pPr>
      <w:r w:rsidRPr="004B64B5">
        <w:t>INTERACTION WITH OTHER MEDICINAL PRODUCTS AND OTHER FORMS OF INTERACTION</w:t>
      </w:r>
    </w:p>
    <w:p w:rsidR="00FF61EC" w:rsidRPr="00823B71" w:rsidRDefault="009328F2" w:rsidP="007B162C">
      <w:pPr>
        <w:pStyle w:val="BodytextAgency"/>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No interaction studies have been performed with VEYVONDI. </w:t>
      </w:r>
      <w:r w:rsidR="00FF61EC" w:rsidRPr="00823B71">
        <w:rPr>
          <w:rFonts w:ascii="Times New Roman" w:hAnsi="Times New Roman" w:cs="Times New Roman"/>
          <w:noProof/>
          <w:sz w:val="24"/>
          <w:szCs w:val="24"/>
        </w:rPr>
        <w:t>No interactions of human von Willebrand factor products with other medicinal products are known.</w:t>
      </w:r>
    </w:p>
    <w:p w:rsidR="00812D16" w:rsidRPr="004B64B5" w:rsidRDefault="004B64B5" w:rsidP="007B162C">
      <w:pPr>
        <w:pStyle w:val="Heading2"/>
        <w:tabs>
          <w:tab w:val="clear" w:pos="907"/>
          <w:tab w:val="num" w:pos="851"/>
        </w:tabs>
        <w:spacing w:after="120"/>
        <w:ind w:left="851" w:hanging="851"/>
      </w:pPr>
      <w:r w:rsidRPr="004B64B5">
        <w:t>FERTILITY, PREGNANCY AND LACTATION</w:t>
      </w:r>
    </w:p>
    <w:p w:rsidR="00823B71" w:rsidRPr="00BD6FBE" w:rsidRDefault="00823B71" w:rsidP="007B162C">
      <w:pPr>
        <w:pStyle w:val="Heading3"/>
        <w:numPr>
          <w:ilvl w:val="0"/>
          <w:numId w:val="0"/>
        </w:numPr>
        <w:spacing w:before="120" w:after="120"/>
        <w:ind w:left="907" w:hanging="907"/>
        <w:rPr>
          <w:i/>
          <w:iCs/>
        </w:rPr>
      </w:pPr>
      <w:r w:rsidRPr="00BD6FBE">
        <w:rPr>
          <w:i/>
          <w:iCs/>
        </w:rPr>
        <w:t>Effects on fertility</w:t>
      </w:r>
    </w:p>
    <w:p w:rsidR="00967A42" w:rsidRPr="00823B71" w:rsidRDefault="00967A42" w:rsidP="007B162C">
      <w:pPr>
        <w:pStyle w:val="BodytextAgency"/>
        <w:spacing w:before="120" w:after="120" w:line="240" w:lineRule="auto"/>
        <w:rPr>
          <w:rFonts w:ascii="Times New Roman" w:hAnsi="Times New Roman" w:cs="Times New Roman"/>
          <w:noProof/>
          <w:sz w:val="24"/>
          <w:szCs w:val="24"/>
        </w:rPr>
      </w:pPr>
      <w:r w:rsidRPr="00823B71">
        <w:rPr>
          <w:rFonts w:ascii="Times New Roman" w:hAnsi="Times New Roman" w:cs="Times New Roman"/>
          <w:noProof/>
          <w:sz w:val="24"/>
          <w:szCs w:val="24"/>
        </w:rPr>
        <w:t>Animal reproduction studies have not been conducted with VEYVONDI.</w:t>
      </w:r>
      <w:r w:rsidR="009F0C23">
        <w:rPr>
          <w:rFonts w:ascii="Times New Roman" w:hAnsi="Times New Roman" w:cs="Times New Roman"/>
          <w:noProof/>
          <w:sz w:val="24"/>
          <w:szCs w:val="24"/>
        </w:rPr>
        <w:t xml:space="preserve"> </w:t>
      </w:r>
    </w:p>
    <w:p w:rsidR="00823B71" w:rsidRPr="00823B71" w:rsidRDefault="00823B71" w:rsidP="007B162C">
      <w:pPr>
        <w:pStyle w:val="BodytextAgency"/>
        <w:spacing w:before="120" w:after="120" w:line="240" w:lineRule="auto"/>
        <w:rPr>
          <w:rFonts w:ascii="Times New Roman" w:hAnsi="Times New Roman" w:cs="Times New Roman"/>
          <w:noProof/>
          <w:sz w:val="24"/>
          <w:szCs w:val="24"/>
        </w:rPr>
      </w:pPr>
      <w:r w:rsidRPr="00823B71">
        <w:rPr>
          <w:rFonts w:ascii="Times New Roman" w:hAnsi="Times New Roman" w:cs="Times New Roman"/>
          <w:noProof/>
          <w:sz w:val="24"/>
          <w:szCs w:val="24"/>
        </w:rPr>
        <w:t>The effects of VEYVONDI on fertility have not been established.</w:t>
      </w:r>
    </w:p>
    <w:p w:rsidR="00B92AE4" w:rsidRPr="00BD6FBE" w:rsidRDefault="00823B71" w:rsidP="00991F4E">
      <w:pPr>
        <w:pStyle w:val="Heading3"/>
        <w:numPr>
          <w:ilvl w:val="0"/>
          <w:numId w:val="0"/>
        </w:numPr>
        <w:spacing w:before="120" w:after="120"/>
        <w:ind w:left="907" w:hanging="907"/>
        <w:rPr>
          <w:i/>
          <w:iCs/>
        </w:rPr>
      </w:pPr>
      <w:r w:rsidRPr="00BD6FBE">
        <w:rPr>
          <w:i/>
          <w:iCs/>
        </w:rPr>
        <w:t>Use in p</w:t>
      </w:r>
      <w:r w:rsidR="00B92AE4" w:rsidRPr="00BD6FBE">
        <w:rPr>
          <w:i/>
          <w:iCs/>
        </w:rPr>
        <w:t>regnancy</w:t>
      </w:r>
    </w:p>
    <w:p w:rsidR="00823B71" w:rsidRDefault="00823B71" w:rsidP="00991F4E">
      <w:pPr>
        <w:pStyle w:val="BodytextAgency"/>
        <w:keepNext/>
        <w:spacing w:before="120" w:after="120" w:line="240" w:lineRule="auto"/>
        <w:rPr>
          <w:rFonts w:ascii="Times New Roman" w:hAnsi="Times New Roman" w:cs="Times New Roman"/>
          <w:noProof/>
          <w:sz w:val="24"/>
          <w:szCs w:val="24"/>
        </w:rPr>
      </w:pPr>
      <w:r w:rsidRPr="00593946">
        <w:rPr>
          <w:rFonts w:ascii="Times New Roman" w:hAnsi="Times New Roman" w:cs="Times New Roman"/>
          <w:noProof/>
          <w:sz w:val="24"/>
          <w:szCs w:val="24"/>
        </w:rPr>
        <w:t xml:space="preserve">Australian Pregnancy Categorisation </w:t>
      </w:r>
      <w:r w:rsidR="00593946">
        <w:rPr>
          <w:rFonts w:ascii="Times New Roman" w:hAnsi="Times New Roman" w:cs="Times New Roman"/>
          <w:noProof/>
          <w:sz w:val="24"/>
          <w:szCs w:val="24"/>
        </w:rPr>
        <w:t>(Category B2</w:t>
      </w:r>
      <w:r w:rsidRPr="00593946">
        <w:rPr>
          <w:rFonts w:ascii="Times New Roman" w:hAnsi="Times New Roman" w:cs="Times New Roman"/>
          <w:noProof/>
          <w:sz w:val="24"/>
          <w:szCs w:val="24"/>
        </w:rPr>
        <w:t>)</w:t>
      </w:r>
    </w:p>
    <w:p w:rsidR="00B92AE4" w:rsidRPr="00823B71" w:rsidRDefault="000B7B6A" w:rsidP="007B162C">
      <w:pPr>
        <w:pStyle w:val="BodytextAgency"/>
        <w:spacing w:before="120" w:after="120" w:line="240" w:lineRule="auto"/>
        <w:rPr>
          <w:rFonts w:ascii="Times New Roman" w:hAnsi="Times New Roman" w:cs="Times New Roman"/>
          <w:noProof/>
          <w:sz w:val="24"/>
          <w:szCs w:val="24"/>
        </w:rPr>
      </w:pPr>
      <w:r w:rsidRPr="00823B71">
        <w:rPr>
          <w:rFonts w:ascii="Times New Roman" w:hAnsi="Times New Roman" w:cs="Times New Roman"/>
          <w:noProof/>
          <w:sz w:val="24"/>
          <w:szCs w:val="24"/>
        </w:rPr>
        <w:t xml:space="preserve">Experience in the treatment of pregnant women is not available. </w:t>
      </w:r>
      <w:r w:rsidR="00875CD7" w:rsidRPr="00875CD7">
        <w:rPr>
          <w:rFonts w:ascii="Times New Roman" w:hAnsi="Times New Roman" w:cs="Times New Roman"/>
          <w:noProof/>
          <w:sz w:val="24"/>
          <w:szCs w:val="24"/>
        </w:rPr>
        <w:t xml:space="preserve">Animal embryofetal development studies with vonicog alfa have not been performed. Vonicog alfa was shown not to cross the human placenta in an </w:t>
      </w:r>
      <w:r w:rsidR="00875CD7" w:rsidRPr="00875CD7">
        <w:rPr>
          <w:rFonts w:ascii="Times New Roman" w:hAnsi="Times New Roman" w:cs="Times New Roman"/>
          <w:i/>
          <w:noProof/>
          <w:sz w:val="24"/>
          <w:szCs w:val="24"/>
        </w:rPr>
        <w:t>ex vivo</w:t>
      </w:r>
      <w:r w:rsidR="00875CD7" w:rsidRPr="00875CD7">
        <w:rPr>
          <w:rFonts w:ascii="Times New Roman" w:hAnsi="Times New Roman" w:cs="Times New Roman"/>
          <w:noProof/>
          <w:sz w:val="24"/>
          <w:szCs w:val="24"/>
        </w:rPr>
        <w:t xml:space="preserve"> perfusion model.</w:t>
      </w:r>
      <w:r w:rsidR="00875CD7">
        <w:rPr>
          <w:rFonts w:ascii="Times New Roman" w:hAnsi="Times New Roman" w:cs="Times New Roman"/>
          <w:noProof/>
          <w:sz w:val="24"/>
          <w:szCs w:val="24"/>
        </w:rPr>
        <w:t xml:space="preserve"> </w:t>
      </w:r>
      <w:r w:rsidRPr="00823B71">
        <w:rPr>
          <w:rFonts w:ascii="Times New Roman" w:hAnsi="Times New Roman" w:cs="Times New Roman"/>
          <w:noProof/>
          <w:sz w:val="24"/>
          <w:szCs w:val="24"/>
        </w:rPr>
        <w:t>VEYVONDI should be administered to pregnant women only if clearly indicated, taking into consideration that delivery confers an increased risk of haemorrhagic events in these patients</w:t>
      </w:r>
      <w:r w:rsidR="004A6CBA" w:rsidRPr="00823B71">
        <w:rPr>
          <w:rFonts w:ascii="Times New Roman" w:hAnsi="Times New Roman" w:cs="Times New Roman"/>
          <w:noProof/>
          <w:sz w:val="24"/>
          <w:szCs w:val="24"/>
        </w:rPr>
        <w:t>.</w:t>
      </w:r>
    </w:p>
    <w:p w:rsidR="00B92AE4" w:rsidRPr="00BD6FBE" w:rsidRDefault="00D91DF4" w:rsidP="007B162C">
      <w:pPr>
        <w:pStyle w:val="Heading3"/>
        <w:numPr>
          <w:ilvl w:val="0"/>
          <w:numId w:val="0"/>
        </w:numPr>
        <w:spacing w:before="120" w:after="120"/>
        <w:ind w:left="907" w:hanging="907"/>
        <w:rPr>
          <w:i/>
          <w:iCs/>
        </w:rPr>
      </w:pPr>
      <w:r w:rsidRPr="00BD6FBE">
        <w:rPr>
          <w:i/>
          <w:iCs/>
        </w:rPr>
        <w:t>Use in l</w:t>
      </w:r>
      <w:r w:rsidR="00823B71" w:rsidRPr="00BD6FBE">
        <w:rPr>
          <w:i/>
          <w:iCs/>
        </w:rPr>
        <w:t>actation</w:t>
      </w:r>
    </w:p>
    <w:p w:rsidR="00812D16" w:rsidRDefault="00304060" w:rsidP="007B162C">
      <w:pPr>
        <w:pStyle w:val="BodytextAgency"/>
        <w:spacing w:before="120" w:after="120" w:line="240" w:lineRule="auto"/>
        <w:rPr>
          <w:rFonts w:ascii="Times New Roman" w:hAnsi="Times New Roman" w:cs="Times New Roman"/>
          <w:noProof/>
          <w:sz w:val="24"/>
          <w:szCs w:val="24"/>
        </w:rPr>
      </w:pPr>
      <w:r w:rsidRPr="00823B71">
        <w:rPr>
          <w:rFonts w:ascii="Times New Roman" w:hAnsi="Times New Roman" w:cs="Times New Roman"/>
          <w:noProof/>
          <w:sz w:val="24"/>
          <w:szCs w:val="24"/>
        </w:rPr>
        <w:t>It is unknown whether</w:t>
      </w:r>
      <w:r w:rsidR="00032304">
        <w:rPr>
          <w:rFonts w:ascii="Times New Roman" w:hAnsi="Times New Roman" w:cs="Times New Roman"/>
          <w:noProof/>
          <w:sz w:val="24"/>
          <w:szCs w:val="24"/>
        </w:rPr>
        <w:t xml:space="preserve"> vonicog alfa</w:t>
      </w:r>
      <w:r w:rsidR="00196AB4" w:rsidRPr="00823B71">
        <w:rPr>
          <w:rFonts w:ascii="Times New Roman" w:hAnsi="Times New Roman" w:cs="Times New Roman"/>
          <w:noProof/>
          <w:sz w:val="24"/>
          <w:szCs w:val="24"/>
        </w:rPr>
        <w:t xml:space="preserve"> is</w:t>
      </w:r>
      <w:r w:rsidRPr="00823B71">
        <w:rPr>
          <w:rFonts w:ascii="Times New Roman" w:hAnsi="Times New Roman" w:cs="Times New Roman"/>
          <w:noProof/>
          <w:sz w:val="24"/>
          <w:szCs w:val="24"/>
        </w:rPr>
        <w:t xml:space="preserve"> excreted in human milk.</w:t>
      </w:r>
      <w:r w:rsidR="00032304">
        <w:rPr>
          <w:rFonts w:ascii="Times New Roman" w:hAnsi="Times New Roman" w:cs="Times New Roman"/>
          <w:noProof/>
          <w:sz w:val="24"/>
          <w:szCs w:val="24"/>
        </w:rPr>
        <w:t xml:space="preserve"> </w:t>
      </w:r>
      <w:r w:rsidR="00916916" w:rsidRPr="00823B71">
        <w:rPr>
          <w:rFonts w:ascii="Times New Roman" w:hAnsi="Times New Roman" w:cs="Times New Roman"/>
          <w:noProof/>
          <w:sz w:val="24"/>
          <w:szCs w:val="24"/>
        </w:rPr>
        <w:t xml:space="preserve">Therefore, </w:t>
      </w:r>
      <w:r w:rsidR="00546CFA" w:rsidRPr="00823B71">
        <w:rPr>
          <w:rFonts w:ascii="Times New Roman" w:hAnsi="Times New Roman" w:cs="Times New Roman"/>
          <w:noProof/>
          <w:sz w:val="24"/>
          <w:szCs w:val="24"/>
        </w:rPr>
        <w:t>VEYVONDI</w:t>
      </w:r>
      <w:r w:rsidR="00870A95" w:rsidRPr="00823B71">
        <w:rPr>
          <w:rFonts w:ascii="Times New Roman" w:hAnsi="Times New Roman" w:cs="Times New Roman"/>
          <w:noProof/>
          <w:sz w:val="24"/>
          <w:szCs w:val="24"/>
        </w:rPr>
        <w:t xml:space="preserve"> should be administered to lactating </w:t>
      </w:r>
      <w:r w:rsidR="00823B71">
        <w:rPr>
          <w:rFonts w:ascii="Times New Roman" w:hAnsi="Times New Roman" w:cs="Times New Roman"/>
          <w:noProof/>
          <w:sz w:val="24"/>
          <w:szCs w:val="24"/>
        </w:rPr>
        <w:t>VWF</w:t>
      </w:r>
      <w:r w:rsidR="00870A95" w:rsidRPr="00823B71">
        <w:rPr>
          <w:rFonts w:ascii="Times New Roman" w:hAnsi="Times New Roman" w:cs="Times New Roman"/>
          <w:noProof/>
          <w:sz w:val="24"/>
          <w:szCs w:val="24"/>
        </w:rPr>
        <w:t xml:space="preserve"> deficient women only if clearly indicated.</w:t>
      </w:r>
      <w:r w:rsidR="009B5871" w:rsidRPr="00823B71">
        <w:rPr>
          <w:rFonts w:ascii="Times New Roman" w:hAnsi="Times New Roman" w:cs="Times New Roman"/>
          <w:noProof/>
          <w:sz w:val="24"/>
          <w:szCs w:val="24"/>
        </w:rPr>
        <w:t xml:space="preserve"> Healthcare professionals should balance the potential risks and only prescribe </w:t>
      </w:r>
      <w:r w:rsidR="00C9453E" w:rsidRPr="00823B71">
        <w:rPr>
          <w:rFonts w:ascii="Times New Roman" w:hAnsi="Times New Roman" w:cs="Times New Roman"/>
          <w:noProof/>
          <w:sz w:val="24"/>
          <w:szCs w:val="24"/>
        </w:rPr>
        <w:t xml:space="preserve">VEYVONDI </w:t>
      </w:r>
      <w:r w:rsidR="009B5871" w:rsidRPr="00823B71">
        <w:rPr>
          <w:rFonts w:ascii="Times New Roman" w:hAnsi="Times New Roman" w:cs="Times New Roman"/>
          <w:noProof/>
          <w:sz w:val="24"/>
          <w:szCs w:val="24"/>
        </w:rPr>
        <w:t>if needed</w:t>
      </w:r>
      <w:r w:rsidR="00823B71">
        <w:rPr>
          <w:rFonts w:ascii="Times New Roman" w:hAnsi="Times New Roman" w:cs="Times New Roman"/>
          <w:noProof/>
          <w:sz w:val="24"/>
          <w:szCs w:val="24"/>
        </w:rPr>
        <w:t>.</w:t>
      </w:r>
    </w:p>
    <w:p w:rsidR="00812D16" w:rsidRPr="00F55F38" w:rsidRDefault="00823B71" w:rsidP="007B162C">
      <w:pPr>
        <w:pStyle w:val="Heading2"/>
        <w:tabs>
          <w:tab w:val="clear" w:pos="907"/>
          <w:tab w:val="num" w:pos="851"/>
        </w:tabs>
        <w:spacing w:after="120"/>
        <w:ind w:left="851" w:hanging="851"/>
      </w:pPr>
      <w:r w:rsidRPr="00823B71">
        <w:t>EFFECTS ON ABILITY TO DRIVE AND USE MACHINES</w:t>
      </w:r>
    </w:p>
    <w:p w:rsidR="00590E56" w:rsidRPr="00F55F38" w:rsidRDefault="00E42695" w:rsidP="007B162C">
      <w:pPr>
        <w:pStyle w:val="BodytextAgency"/>
        <w:spacing w:before="120" w:after="120" w:line="240" w:lineRule="auto"/>
        <w:rPr>
          <w:rFonts w:eastAsia="SimSun"/>
          <w:szCs w:val="22"/>
          <w:lang w:val="en-US"/>
        </w:rPr>
      </w:pPr>
      <w:r w:rsidRPr="00F55F38">
        <w:rPr>
          <w:rFonts w:ascii="Times New Roman" w:hAnsi="Times New Roman" w:cs="Times New Roman"/>
          <w:noProof/>
          <w:sz w:val="24"/>
          <w:szCs w:val="24"/>
        </w:rPr>
        <w:t xml:space="preserve">VEYVONDI has no </w:t>
      </w:r>
      <w:r w:rsidR="00C72D48" w:rsidRPr="00F55F38">
        <w:rPr>
          <w:rFonts w:ascii="Times New Roman" w:hAnsi="Times New Roman" w:cs="Times New Roman"/>
          <w:noProof/>
          <w:sz w:val="24"/>
          <w:szCs w:val="24"/>
        </w:rPr>
        <w:t>or negligible influence</w:t>
      </w:r>
      <w:r w:rsidR="00C72D48" w:rsidRPr="00F55F38" w:rsidDel="00C72D48">
        <w:rPr>
          <w:rFonts w:ascii="Times New Roman" w:hAnsi="Times New Roman" w:cs="Times New Roman"/>
          <w:noProof/>
          <w:sz w:val="24"/>
          <w:szCs w:val="24"/>
        </w:rPr>
        <w:t xml:space="preserve"> </w:t>
      </w:r>
      <w:r w:rsidRPr="00F55F38">
        <w:rPr>
          <w:rFonts w:ascii="Times New Roman" w:hAnsi="Times New Roman" w:cs="Times New Roman"/>
          <w:noProof/>
          <w:sz w:val="24"/>
          <w:szCs w:val="24"/>
        </w:rPr>
        <w:t xml:space="preserve">on </w:t>
      </w:r>
      <w:r w:rsidR="00C72D48" w:rsidRPr="00F55F38">
        <w:rPr>
          <w:rFonts w:ascii="Times New Roman" w:hAnsi="Times New Roman" w:cs="Times New Roman"/>
          <w:noProof/>
          <w:sz w:val="24"/>
          <w:szCs w:val="24"/>
        </w:rPr>
        <w:t xml:space="preserve">the </w:t>
      </w:r>
      <w:r w:rsidRPr="00F55F38">
        <w:rPr>
          <w:rFonts w:ascii="Times New Roman" w:hAnsi="Times New Roman" w:cs="Times New Roman"/>
          <w:noProof/>
          <w:sz w:val="24"/>
          <w:szCs w:val="24"/>
        </w:rPr>
        <w:t>ability to drive and use machines.</w:t>
      </w:r>
    </w:p>
    <w:p w:rsidR="00812D16" w:rsidRPr="00F55F38" w:rsidRDefault="00F55F38" w:rsidP="00BD3146">
      <w:pPr>
        <w:pStyle w:val="Heading2"/>
        <w:tabs>
          <w:tab w:val="clear" w:pos="907"/>
          <w:tab w:val="num" w:pos="851"/>
        </w:tabs>
        <w:spacing w:after="120"/>
        <w:ind w:left="851" w:hanging="851"/>
      </w:pPr>
      <w:bookmarkStart w:id="13" w:name="_Ref3218538"/>
      <w:r>
        <w:lastRenderedPageBreak/>
        <w:t>ADVERSE EFFECTS (UNDESIRABLE EFFECTS)</w:t>
      </w:r>
      <w:bookmarkEnd w:id="13"/>
    </w:p>
    <w:p w:rsidR="00DE24DC" w:rsidRPr="00BD6FBE" w:rsidRDefault="00DE24DC" w:rsidP="00BD3146">
      <w:pPr>
        <w:pStyle w:val="Heading3"/>
        <w:numPr>
          <w:ilvl w:val="0"/>
          <w:numId w:val="0"/>
        </w:numPr>
        <w:spacing w:before="120" w:after="120"/>
        <w:ind w:left="907" w:hanging="907"/>
        <w:rPr>
          <w:i/>
          <w:iCs/>
        </w:rPr>
      </w:pPr>
      <w:r w:rsidRPr="00BD6FBE">
        <w:rPr>
          <w:i/>
          <w:iCs/>
        </w:rPr>
        <w:t>Summary of the safety profile</w:t>
      </w:r>
    </w:p>
    <w:p w:rsidR="007B162C" w:rsidRDefault="007B162C" w:rsidP="007B162C">
      <w:pPr>
        <w:pStyle w:val="BodytextAgency"/>
        <w:spacing w:before="120" w:after="120" w:line="240" w:lineRule="auto"/>
        <w:rPr>
          <w:rFonts w:ascii="Times New Roman" w:hAnsi="Times New Roman" w:cs="Times New Roman"/>
          <w:noProof/>
          <w:sz w:val="24"/>
          <w:szCs w:val="24"/>
          <w:highlight w:val="lightGray"/>
        </w:rPr>
      </w:pPr>
      <w:r w:rsidRPr="007B162C">
        <w:rPr>
          <w:rFonts w:ascii="Times New Roman" w:hAnsi="Times New Roman" w:cs="Times New Roman"/>
          <w:noProof/>
          <w:sz w:val="24"/>
          <w:szCs w:val="24"/>
        </w:rPr>
        <w:t>During treatment with VEYVONDI</w:t>
      </w:r>
      <w:r w:rsidR="00F37B61">
        <w:rPr>
          <w:rFonts w:ascii="Times New Roman" w:hAnsi="Times New Roman" w:cs="Times New Roman"/>
          <w:noProof/>
          <w:sz w:val="24"/>
          <w:szCs w:val="24"/>
        </w:rPr>
        <w:t>,</w:t>
      </w:r>
      <w:r w:rsidRPr="007B162C">
        <w:rPr>
          <w:rFonts w:ascii="Times New Roman" w:hAnsi="Times New Roman" w:cs="Times New Roman"/>
          <w:noProof/>
          <w:sz w:val="24"/>
          <w:szCs w:val="24"/>
        </w:rPr>
        <w:t xml:space="preserve"> adverse reactions may occur</w:t>
      </w:r>
      <w:r w:rsidR="00F37B61">
        <w:rPr>
          <w:rFonts w:ascii="Times New Roman" w:hAnsi="Times New Roman" w:cs="Times New Roman"/>
          <w:noProof/>
          <w:sz w:val="24"/>
          <w:szCs w:val="24"/>
        </w:rPr>
        <w:t>. These include</w:t>
      </w:r>
      <w:r w:rsidRPr="007B162C">
        <w:rPr>
          <w:rFonts w:ascii="Times New Roman" w:hAnsi="Times New Roman" w:cs="Times New Roman"/>
          <w:noProof/>
          <w:sz w:val="24"/>
          <w:szCs w:val="24"/>
        </w:rPr>
        <w:t>:</w:t>
      </w:r>
      <w:r>
        <w:rPr>
          <w:rFonts w:ascii="Times New Roman" w:hAnsi="Times New Roman" w:cs="Times New Roman"/>
          <w:noProof/>
          <w:sz w:val="24"/>
          <w:szCs w:val="24"/>
        </w:rPr>
        <w:t xml:space="preserve"> </w:t>
      </w:r>
      <w:r w:rsidRPr="007B162C">
        <w:rPr>
          <w:rFonts w:ascii="Times New Roman" w:hAnsi="Times New Roman" w:cs="Times New Roman"/>
          <w:noProof/>
          <w:sz w:val="24"/>
          <w:szCs w:val="24"/>
        </w:rPr>
        <w:t>Hypersensitivity or allergic reactions, thromboembolic events, inhibitor formation against VWF.</w:t>
      </w:r>
    </w:p>
    <w:p w:rsidR="007C5201" w:rsidRPr="0064542F" w:rsidRDefault="007C5201" w:rsidP="007B162C">
      <w:pPr>
        <w:pStyle w:val="Heading3"/>
        <w:numPr>
          <w:ilvl w:val="0"/>
          <w:numId w:val="0"/>
        </w:numPr>
        <w:spacing w:before="120" w:after="120"/>
        <w:ind w:left="907" w:hanging="907"/>
      </w:pPr>
      <w:r w:rsidRPr="00BD6FBE">
        <w:rPr>
          <w:i/>
          <w:iCs/>
        </w:rPr>
        <w:t>Tabulated summary of adverse reactions</w:t>
      </w:r>
    </w:p>
    <w:p w:rsidR="00AD763B" w:rsidRPr="00593946" w:rsidRDefault="00AD763B" w:rsidP="007B162C">
      <w:pPr>
        <w:pStyle w:val="BodytextAgency"/>
        <w:spacing w:before="120" w:after="120" w:line="240" w:lineRule="auto"/>
        <w:rPr>
          <w:rFonts w:ascii="Times New Roman" w:hAnsi="Times New Roman" w:cs="Times New Roman"/>
          <w:noProof/>
          <w:sz w:val="24"/>
          <w:szCs w:val="24"/>
        </w:rPr>
      </w:pPr>
      <w:r w:rsidRPr="00593946">
        <w:rPr>
          <w:rFonts w:ascii="Times New Roman" w:hAnsi="Times New Roman" w:cs="Times New Roman"/>
          <w:noProof/>
          <w:sz w:val="24"/>
          <w:szCs w:val="24"/>
        </w:rPr>
        <w:t xml:space="preserve">The adverse drug reactions (ADR) presented in Table 4 have been identified </w:t>
      </w:r>
      <w:r w:rsidR="00F37B61">
        <w:rPr>
          <w:rFonts w:ascii="Times New Roman" w:hAnsi="Times New Roman" w:cs="Times New Roman"/>
          <w:noProof/>
          <w:sz w:val="24"/>
          <w:szCs w:val="24"/>
        </w:rPr>
        <w:t xml:space="preserve">in 80 patients with von Willebrand disease </w:t>
      </w:r>
      <w:r w:rsidRPr="00593946">
        <w:rPr>
          <w:rFonts w:ascii="Times New Roman" w:hAnsi="Times New Roman" w:cs="Times New Roman"/>
          <w:noProof/>
          <w:sz w:val="24"/>
          <w:szCs w:val="24"/>
        </w:rPr>
        <w:t>from a</w:t>
      </w:r>
      <w:r w:rsidR="0033780E" w:rsidRPr="00593946">
        <w:rPr>
          <w:rFonts w:ascii="Times New Roman" w:hAnsi="Times New Roman" w:cs="Times New Roman"/>
          <w:noProof/>
          <w:sz w:val="24"/>
          <w:szCs w:val="24"/>
        </w:rPr>
        <w:t xml:space="preserve"> </w:t>
      </w:r>
      <w:r w:rsidRPr="00593946">
        <w:rPr>
          <w:rFonts w:ascii="Times New Roman" w:hAnsi="Times New Roman" w:cs="Times New Roman"/>
          <w:noProof/>
          <w:sz w:val="24"/>
          <w:szCs w:val="24"/>
        </w:rPr>
        <w:t>prospective, multicent</w:t>
      </w:r>
      <w:r w:rsidR="00E7659C" w:rsidRPr="00593946">
        <w:rPr>
          <w:rFonts w:ascii="Times New Roman" w:hAnsi="Times New Roman" w:cs="Times New Roman"/>
          <w:noProof/>
          <w:sz w:val="24"/>
          <w:szCs w:val="24"/>
        </w:rPr>
        <w:t>r</w:t>
      </w:r>
      <w:r w:rsidRPr="00593946">
        <w:rPr>
          <w:rFonts w:ascii="Times New Roman" w:hAnsi="Times New Roman" w:cs="Times New Roman"/>
          <w:noProof/>
          <w:sz w:val="24"/>
          <w:szCs w:val="24"/>
        </w:rPr>
        <w:t>e, controlled, randomi</w:t>
      </w:r>
      <w:r w:rsidR="00B40D48" w:rsidRPr="00593946">
        <w:rPr>
          <w:rFonts w:ascii="Times New Roman" w:hAnsi="Times New Roman" w:cs="Times New Roman"/>
          <w:noProof/>
          <w:sz w:val="24"/>
          <w:szCs w:val="24"/>
        </w:rPr>
        <w:t>s</w:t>
      </w:r>
      <w:r w:rsidRPr="00593946">
        <w:rPr>
          <w:rFonts w:ascii="Times New Roman" w:hAnsi="Times New Roman" w:cs="Times New Roman"/>
          <w:noProof/>
          <w:sz w:val="24"/>
          <w:szCs w:val="24"/>
        </w:rPr>
        <w:t>ed Phase 1 dose escalation study (070701)</w:t>
      </w:r>
      <w:r w:rsidR="0033780E" w:rsidRPr="00593946">
        <w:rPr>
          <w:rFonts w:ascii="Times New Roman" w:hAnsi="Times New Roman" w:cs="Times New Roman"/>
          <w:noProof/>
          <w:sz w:val="24"/>
          <w:szCs w:val="24"/>
        </w:rPr>
        <w:t xml:space="preserve"> </w:t>
      </w:r>
      <w:r w:rsidRPr="00593946">
        <w:rPr>
          <w:rFonts w:ascii="Times New Roman" w:hAnsi="Times New Roman" w:cs="Times New Roman"/>
          <w:noProof/>
          <w:sz w:val="24"/>
          <w:szCs w:val="24"/>
        </w:rPr>
        <w:t>evaluating PK, safety and tolerability in severe VWD, a prospective, multicent</w:t>
      </w:r>
      <w:r w:rsidR="00E7659C" w:rsidRPr="00593946">
        <w:rPr>
          <w:rFonts w:ascii="Times New Roman" w:hAnsi="Times New Roman" w:cs="Times New Roman"/>
          <w:noProof/>
          <w:sz w:val="24"/>
          <w:szCs w:val="24"/>
        </w:rPr>
        <w:t>r</w:t>
      </w:r>
      <w:r w:rsidR="000165C1" w:rsidRPr="00593946">
        <w:rPr>
          <w:rFonts w:ascii="Times New Roman" w:hAnsi="Times New Roman" w:cs="Times New Roman"/>
          <w:noProof/>
          <w:sz w:val="24"/>
          <w:szCs w:val="24"/>
        </w:rPr>
        <w:t>e</w:t>
      </w:r>
      <w:r w:rsidRPr="00593946">
        <w:rPr>
          <w:rFonts w:ascii="Times New Roman" w:hAnsi="Times New Roman" w:cs="Times New Roman"/>
          <w:noProof/>
          <w:sz w:val="24"/>
          <w:szCs w:val="24"/>
        </w:rPr>
        <w:t>,</w:t>
      </w:r>
      <w:r w:rsidR="0033780E" w:rsidRPr="00593946">
        <w:rPr>
          <w:rFonts w:ascii="Times New Roman" w:hAnsi="Times New Roman" w:cs="Times New Roman"/>
          <w:noProof/>
          <w:sz w:val="24"/>
          <w:szCs w:val="24"/>
        </w:rPr>
        <w:t xml:space="preserve"> </w:t>
      </w:r>
      <w:r w:rsidR="00765236" w:rsidRPr="00593946">
        <w:rPr>
          <w:rFonts w:ascii="Times New Roman" w:hAnsi="Times New Roman" w:cs="Times New Roman"/>
          <w:noProof/>
          <w:sz w:val="24"/>
          <w:szCs w:val="24"/>
        </w:rPr>
        <w:t>part randomis</w:t>
      </w:r>
      <w:r w:rsidRPr="00593946">
        <w:rPr>
          <w:rFonts w:ascii="Times New Roman" w:hAnsi="Times New Roman" w:cs="Times New Roman"/>
          <w:noProof/>
          <w:sz w:val="24"/>
          <w:szCs w:val="24"/>
        </w:rPr>
        <w:t>ed Phase 3 pivotal study (071001) to assess the PK, safety, and efficacy in the</w:t>
      </w:r>
      <w:r w:rsidR="0033780E" w:rsidRPr="00593946">
        <w:rPr>
          <w:rFonts w:ascii="Times New Roman" w:hAnsi="Times New Roman" w:cs="Times New Roman"/>
          <w:noProof/>
          <w:sz w:val="24"/>
          <w:szCs w:val="24"/>
        </w:rPr>
        <w:t xml:space="preserve"> </w:t>
      </w:r>
      <w:r w:rsidRPr="00593946">
        <w:rPr>
          <w:rFonts w:ascii="Times New Roman" w:hAnsi="Times New Roman" w:cs="Times New Roman"/>
          <w:noProof/>
          <w:sz w:val="24"/>
          <w:szCs w:val="24"/>
        </w:rPr>
        <w:t>treatment of bleeding episodes in severe VWD, and a Phase 3 surgical study (071101).</w:t>
      </w:r>
    </w:p>
    <w:p w:rsidR="00B43C06" w:rsidRDefault="007C5201" w:rsidP="007B162C">
      <w:pPr>
        <w:pStyle w:val="BodytextAgency"/>
        <w:spacing w:before="120" w:after="0" w:line="240" w:lineRule="auto"/>
        <w:rPr>
          <w:rFonts w:ascii="Times New Roman" w:hAnsi="Times New Roman" w:cs="Times New Roman"/>
          <w:noProof/>
          <w:sz w:val="24"/>
          <w:szCs w:val="24"/>
        </w:rPr>
      </w:pPr>
      <w:r w:rsidRPr="00D50DF8">
        <w:rPr>
          <w:rFonts w:ascii="Times New Roman" w:hAnsi="Times New Roman" w:cs="Times New Roman"/>
          <w:noProof/>
          <w:sz w:val="24"/>
          <w:szCs w:val="24"/>
        </w:rPr>
        <w:t>Frequency categories are defined according to the following convention: very common (≥</w:t>
      </w:r>
      <w:r w:rsidR="00F36EF9" w:rsidRPr="00D50DF8">
        <w:rPr>
          <w:rFonts w:ascii="Times New Roman" w:hAnsi="Times New Roman" w:cs="Times New Roman"/>
          <w:noProof/>
          <w:sz w:val="24"/>
          <w:szCs w:val="24"/>
        </w:rPr>
        <w:t> </w:t>
      </w:r>
      <w:r w:rsidRPr="00D50DF8">
        <w:rPr>
          <w:rFonts w:ascii="Times New Roman" w:hAnsi="Times New Roman" w:cs="Times New Roman"/>
          <w:noProof/>
          <w:sz w:val="24"/>
          <w:szCs w:val="24"/>
        </w:rPr>
        <w:t>1/10), common (≥</w:t>
      </w:r>
      <w:r w:rsidR="00F36EF9" w:rsidRPr="00D50DF8">
        <w:rPr>
          <w:rFonts w:ascii="Times New Roman" w:hAnsi="Times New Roman" w:cs="Times New Roman"/>
          <w:noProof/>
          <w:sz w:val="24"/>
          <w:szCs w:val="24"/>
        </w:rPr>
        <w:t> </w:t>
      </w:r>
      <w:r w:rsidRPr="00D50DF8">
        <w:rPr>
          <w:rFonts w:ascii="Times New Roman" w:hAnsi="Times New Roman" w:cs="Times New Roman"/>
          <w:noProof/>
          <w:sz w:val="24"/>
          <w:szCs w:val="24"/>
        </w:rPr>
        <w:t>1/100 to &lt;</w:t>
      </w:r>
      <w:r w:rsidR="00F36EF9" w:rsidRPr="00D50DF8">
        <w:rPr>
          <w:rFonts w:ascii="Times New Roman" w:hAnsi="Times New Roman" w:cs="Times New Roman"/>
          <w:noProof/>
          <w:sz w:val="24"/>
          <w:szCs w:val="24"/>
        </w:rPr>
        <w:t> </w:t>
      </w:r>
      <w:r w:rsidRPr="00D50DF8">
        <w:rPr>
          <w:rFonts w:ascii="Times New Roman" w:hAnsi="Times New Roman" w:cs="Times New Roman"/>
          <w:noProof/>
          <w:sz w:val="24"/>
          <w:szCs w:val="24"/>
        </w:rPr>
        <w:t>1/10), uncommon (≥</w:t>
      </w:r>
      <w:r w:rsidR="00F36EF9" w:rsidRPr="00D50DF8">
        <w:rPr>
          <w:rFonts w:ascii="Times New Roman" w:hAnsi="Times New Roman" w:cs="Times New Roman"/>
          <w:noProof/>
          <w:sz w:val="24"/>
          <w:szCs w:val="24"/>
        </w:rPr>
        <w:t> </w:t>
      </w:r>
      <w:r w:rsidRPr="00D50DF8">
        <w:rPr>
          <w:rFonts w:ascii="Times New Roman" w:hAnsi="Times New Roman" w:cs="Times New Roman"/>
          <w:noProof/>
          <w:sz w:val="24"/>
          <w:szCs w:val="24"/>
        </w:rPr>
        <w:t>1/1,000 to &lt;</w:t>
      </w:r>
      <w:r w:rsidR="00F36EF9" w:rsidRPr="00D50DF8">
        <w:rPr>
          <w:rFonts w:ascii="Times New Roman" w:hAnsi="Times New Roman" w:cs="Times New Roman"/>
          <w:noProof/>
          <w:sz w:val="24"/>
          <w:szCs w:val="24"/>
        </w:rPr>
        <w:t> </w:t>
      </w:r>
      <w:r w:rsidRPr="00D50DF8">
        <w:rPr>
          <w:rFonts w:ascii="Times New Roman" w:hAnsi="Times New Roman" w:cs="Times New Roman"/>
          <w:noProof/>
          <w:sz w:val="24"/>
          <w:szCs w:val="24"/>
        </w:rPr>
        <w:t>1/100), rare (≥</w:t>
      </w:r>
      <w:r w:rsidR="00F36EF9" w:rsidRPr="00D50DF8">
        <w:rPr>
          <w:rFonts w:ascii="Times New Roman" w:hAnsi="Times New Roman" w:cs="Times New Roman"/>
          <w:noProof/>
          <w:sz w:val="24"/>
          <w:szCs w:val="24"/>
        </w:rPr>
        <w:t> </w:t>
      </w:r>
      <w:r w:rsidRPr="00D50DF8">
        <w:rPr>
          <w:rFonts w:ascii="Times New Roman" w:hAnsi="Times New Roman" w:cs="Times New Roman"/>
          <w:noProof/>
          <w:sz w:val="24"/>
          <w:szCs w:val="24"/>
        </w:rPr>
        <w:t>1/10,000 to &lt;</w:t>
      </w:r>
      <w:r w:rsidR="00F36EF9" w:rsidRPr="00D50DF8">
        <w:rPr>
          <w:rFonts w:ascii="Times New Roman" w:hAnsi="Times New Roman" w:cs="Times New Roman"/>
          <w:noProof/>
          <w:sz w:val="24"/>
          <w:szCs w:val="24"/>
        </w:rPr>
        <w:t> </w:t>
      </w:r>
      <w:r w:rsidRPr="00D50DF8">
        <w:rPr>
          <w:rFonts w:ascii="Times New Roman" w:hAnsi="Times New Roman" w:cs="Times New Roman"/>
          <w:noProof/>
          <w:sz w:val="24"/>
          <w:szCs w:val="24"/>
        </w:rPr>
        <w:t>1/1,000), very rare (&lt;</w:t>
      </w:r>
      <w:r w:rsidR="00F36EF9" w:rsidRPr="00D50DF8">
        <w:rPr>
          <w:rFonts w:ascii="Times New Roman" w:hAnsi="Times New Roman" w:cs="Times New Roman"/>
          <w:noProof/>
          <w:sz w:val="24"/>
          <w:szCs w:val="24"/>
        </w:rPr>
        <w:t> </w:t>
      </w:r>
      <w:r w:rsidRPr="00D50DF8">
        <w:rPr>
          <w:rFonts w:ascii="Times New Roman" w:hAnsi="Times New Roman" w:cs="Times New Roman"/>
          <w:noProof/>
          <w:sz w:val="24"/>
          <w:szCs w:val="24"/>
        </w:rPr>
        <w:t>1/10,000), not known (cannot be estimated from the available data). Within each frequency grouping, undesirable effects are presented in the order of decreasing seriousness.</w:t>
      </w:r>
    </w:p>
    <w:p w:rsidR="00FE2AB4" w:rsidRPr="00FB2C85" w:rsidRDefault="00C24444" w:rsidP="00D22631">
      <w:pPr>
        <w:pStyle w:val="BodytextAgency"/>
        <w:keepNext/>
        <w:spacing w:before="120" w:after="60" w:line="240" w:lineRule="auto"/>
        <w:jc w:val="center"/>
        <w:rPr>
          <w:rFonts w:ascii="Times New Roman" w:eastAsia="MS Mincho" w:hAnsi="Times New Roman" w:cs="Times New Roman"/>
          <w:b/>
          <w:bCs/>
          <w:sz w:val="22"/>
          <w:szCs w:val="22"/>
          <w:lang w:val="en-US" w:eastAsia="ja-JP"/>
        </w:rPr>
      </w:pPr>
      <w:bookmarkStart w:id="14" w:name="_Ref527109022"/>
      <w:r w:rsidRPr="00FB2C85">
        <w:rPr>
          <w:rFonts w:ascii="Times New Roman" w:eastAsia="MS Mincho" w:hAnsi="Times New Roman" w:cs="Times New Roman"/>
          <w:b/>
          <w:bCs/>
          <w:sz w:val="22"/>
          <w:szCs w:val="22"/>
          <w:lang w:val="en-US" w:eastAsia="ja-JP"/>
        </w:rPr>
        <w:t xml:space="preserve">Table </w:t>
      </w:r>
      <w:r w:rsidRPr="00FB2C85">
        <w:rPr>
          <w:rFonts w:ascii="Times New Roman" w:eastAsia="MS Mincho" w:hAnsi="Times New Roman" w:cs="Times New Roman"/>
          <w:b/>
          <w:bCs/>
          <w:sz w:val="22"/>
          <w:szCs w:val="22"/>
          <w:lang w:val="en-US" w:eastAsia="ja-JP"/>
        </w:rPr>
        <w:fldChar w:fldCharType="begin"/>
      </w:r>
      <w:r w:rsidRPr="00FB2C85">
        <w:rPr>
          <w:rFonts w:ascii="Times New Roman" w:eastAsia="MS Mincho" w:hAnsi="Times New Roman" w:cs="Times New Roman"/>
          <w:b/>
          <w:bCs/>
          <w:sz w:val="22"/>
          <w:szCs w:val="22"/>
          <w:lang w:val="en-US" w:eastAsia="ja-JP"/>
        </w:rPr>
        <w:instrText xml:space="preserve"> SEQ Table \* ARABIC </w:instrText>
      </w:r>
      <w:r w:rsidRPr="00FB2C85">
        <w:rPr>
          <w:rFonts w:ascii="Times New Roman" w:eastAsia="MS Mincho" w:hAnsi="Times New Roman" w:cs="Times New Roman"/>
          <w:b/>
          <w:bCs/>
          <w:sz w:val="22"/>
          <w:szCs w:val="22"/>
          <w:lang w:val="en-US" w:eastAsia="ja-JP"/>
        </w:rPr>
        <w:fldChar w:fldCharType="separate"/>
      </w:r>
      <w:r w:rsidRPr="00FB2C85">
        <w:rPr>
          <w:rFonts w:ascii="Times New Roman" w:eastAsia="MS Mincho" w:hAnsi="Times New Roman" w:cs="Times New Roman"/>
          <w:b/>
          <w:bCs/>
          <w:sz w:val="22"/>
          <w:szCs w:val="22"/>
          <w:lang w:val="en-US" w:eastAsia="ja-JP"/>
        </w:rPr>
        <w:t>4</w:t>
      </w:r>
      <w:r w:rsidRPr="00FB2C85">
        <w:rPr>
          <w:rFonts w:ascii="Times New Roman" w:eastAsia="MS Mincho" w:hAnsi="Times New Roman" w:cs="Times New Roman"/>
          <w:b/>
          <w:bCs/>
          <w:sz w:val="22"/>
          <w:szCs w:val="22"/>
          <w:lang w:val="en-US" w:eastAsia="ja-JP"/>
        </w:rPr>
        <w:fldChar w:fldCharType="end"/>
      </w:r>
      <w:bookmarkEnd w:id="14"/>
      <w:r w:rsidR="004C2768" w:rsidRPr="00FB2C85">
        <w:rPr>
          <w:rFonts w:ascii="Times New Roman" w:eastAsia="MS Mincho" w:hAnsi="Times New Roman" w:cs="Times New Roman"/>
          <w:b/>
          <w:bCs/>
          <w:sz w:val="22"/>
          <w:szCs w:val="22"/>
          <w:lang w:val="en-US" w:eastAsia="ja-JP"/>
        </w:rPr>
        <w:br/>
      </w:r>
      <w:r w:rsidR="00B43C06">
        <w:rPr>
          <w:rFonts w:ascii="Times New Roman" w:eastAsia="MS Mincho" w:hAnsi="Times New Roman" w:cs="Times New Roman"/>
          <w:b/>
          <w:bCs/>
          <w:sz w:val="22"/>
          <w:szCs w:val="22"/>
          <w:lang w:val="en-US" w:eastAsia="ja-JP"/>
        </w:rPr>
        <w:t>Summary of adverse r</w:t>
      </w:r>
      <w:r w:rsidRPr="00FB2C85">
        <w:rPr>
          <w:rFonts w:ascii="Times New Roman" w:eastAsia="MS Mincho" w:hAnsi="Times New Roman" w:cs="Times New Roman"/>
          <w:b/>
          <w:bCs/>
          <w:sz w:val="22"/>
          <w:szCs w:val="22"/>
          <w:lang w:val="en-US" w:eastAsia="ja-JP"/>
        </w:rPr>
        <w:t>eactions reported i</w:t>
      </w:r>
      <w:r w:rsidR="00B43C06">
        <w:rPr>
          <w:rFonts w:ascii="Times New Roman" w:eastAsia="MS Mincho" w:hAnsi="Times New Roman" w:cs="Times New Roman"/>
          <w:b/>
          <w:bCs/>
          <w:sz w:val="22"/>
          <w:szCs w:val="22"/>
          <w:lang w:val="en-US" w:eastAsia="ja-JP"/>
        </w:rPr>
        <w:t>n c</w:t>
      </w:r>
      <w:r w:rsidR="004C2768" w:rsidRPr="00FB2C85">
        <w:rPr>
          <w:rFonts w:ascii="Times New Roman" w:eastAsia="MS Mincho" w:hAnsi="Times New Roman" w:cs="Times New Roman"/>
          <w:b/>
          <w:bCs/>
          <w:sz w:val="22"/>
          <w:szCs w:val="22"/>
          <w:lang w:val="en-US" w:eastAsia="ja-JP"/>
        </w:rPr>
        <w:t xml:space="preserve">linical </w:t>
      </w:r>
      <w:r w:rsidR="00B43C06">
        <w:rPr>
          <w:rFonts w:ascii="Times New Roman" w:eastAsia="MS Mincho" w:hAnsi="Times New Roman" w:cs="Times New Roman"/>
          <w:b/>
          <w:bCs/>
          <w:sz w:val="22"/>
          <w:szCs w:val="22"/>
          <w:lang w:val="en-US" w:eastAsia="ja-JP"/>
        </w:rPr>
        <w:t>t</w:t>
      </w:r>
      <w:r w:rsidR="004C2768" w:rsidRPr="00FB2C85">
        <w:rPr>
          <w:rFonts w:ascii="Times New Roman" w:eastAsia="MS Mincho" w:hAnsi="Times New Roman" w:cs="Times New Roman"/>
          <w:b/>
          <w:bCs/>
          <w:sz w:val="22"/>
          <w:szCs w:val="22"/>
          <w:lang w:val="en-US" w:eastAsia="ja-JP"/>
        </w:rPr>
        <w:t xml:space="preserve">rials with VEYVONDI </w:t>
      </w:r>
      <w:r w:rsidRPr="00FB2C85">
        <w:rPr>
          <w:rFonts w:ascii="Times New Roman" w:eastAsia="MS Mincho" w:hAnsi="Times New Roman" w:cs="Times New Roman"/>
          <w:b/>
          <w:bCs/>
          <w:sz w:val="22"/>
          <w:szCs w:val="22"/>
          <w:lang w:val="en-US" w:eastAsia="ja-JP"/>
        </w:rPr>
        <w:t xml:space="preserve">in </w:t>
      </w:r>
      <w:r w:rsidR="00B43C06">
        <w:rPr>
          <w:rFonts w:ascii="Times New Roman" w:eastAsia="MS Mincho" w:hAnsi="Times New Roman" w:cs="Times New Roman"/>
          <w:b/>
          <w:bCs/>
          <w:sz w:val="22"/>
          <w:szCs w:val="22"/>
          <w:lang w:val="en-US" w:eastAsia="ja-JP"/>
        </w:rPr>
        <w:t>VWD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0"/>
        <w:gridCol w:w="3262"/>
        <w:gridCol w:w="1275"/>
        <w:gridCol w:w="1089"/>
        <w:gridCol w:w="1089"/>
      </w:tblGrid>
      <w:tr w:rsidR="002C7B12" w:rsidRPr="00991F4E" w:rsidTr="002F70CF">
        <w:trPr>
          <w:trHeight w:val="1319"/>
          <w:tblHeader/>
        </w:trPr>
        <w:tc>
          <w:tcPr>
            <w:tcW w:w="1472" w:type="pct"/>
            <w:vAlign w:val="center"/>
          </w:tcPr>
          <w:p w:rsidR="00A52977" w:rsidRPr="00991F4E" w:rsidRDefault="00A52977" w:rsidP="00991F4E">
            <w:pPr>
              <w:pStyle w:val="TableColumnHeading"/>
              <w:keepNext/>
              <w:keepLines/>
              <w:spacing w:before="20" w:after="20"/>
              <w:rPr>
                <w:szCs w:val="20"/>
              </w:rPr>
            </w:pPr>
            <w:r w:rsidRPr="00991F4E">
              <w:rPr>
                <w:szCs w:val="20"/>
              </w:rPr>
              <w:t xml:space="preserve">MedDRA </w:t>
            </w:r>
            <w:r w:rsidR="00E713DD" w:rsidRPr="00991F4E">
              <w:rPr>
                <w:szCs w:val="20"/>
              </w:rPr>
              <w:br/>
            </w:r>
            <w:r w:rsidRPr="00991F4E">
              <w:rPr>
                <w:szCs w:val="20"/>
              </w:rPr>
              <w:t>System Organ Class (SOC)</w:t>
            </w:r>
          </w:p>
        </w:tc>
        <w:tc>
          <w:tcPr>
            <w:tcW w:w="1714" w:type="pct"/>
            <w:vAlign w:val="center"/>
          </w:tcPr>
          <w:p w:rsidR="00A52977" w:rsidRPr="00991F4E" w:rsidRDefault="00B43C06" w:rsidP="00991F4E">
            <w:pPr>
              <w:pStyle w:val="TableColumnHeading"/>
              <w:keepNext/>
              <w:keepLines/>
              <w:spacing w:before="20" w:after="20"/>
              <w:rPr>
                <w:szCs w:val="20"/>
              </w:rPr>
            </w:pPr>
            <w:r w:rsidRPr="00991F4E">
              <w:rPr>
                <w:szCs w:val="20"/>
              </w:rPr>
              <w:t>Adverse re</w:t>
            </w:r>
            <w:r w:rsidR="00A52977" w:rsidRPr="00991F4E">
              <w:rPr>
                <w:szCs w:val="20"/>
              </w:rPr>
              <w:t xml:space="preserve">action </w:t>
            </w:r>
            <w:r w:rsidR="00E713DD" w:rsidRPr="00991F4E">
              <w:rPr>
                <w:szCs w:val="20"/>
              </w:rPr>
              <w:br/>
            </w:r>
            <w:r w:rsidR="00A52977" w:rsidRPr="00991F4E">
              <w:rPr>
                <w:szCs w:val="20"/>
              </w:rPr>
              <w:t>by Preferred Term (PT)</w:t>
            </w:r>
          </w:p>
        </w:tc>
        <w:tc>
          <w:tcPr>
            <w:tcW w:w="670" w:type="pct"/>
            <w:vAlign w:val="center"/>
          </w:tcPr>
          <w:p w:rsidR="00A52977" w:rsidRPr="00991F4E" w:rsidRDefault="00A52977" w:rsidP="00991F4E">
            <w:pPr>
              <w:pStyle w:val="TableColumnHeading"/>
              <w:keepNext/>
              <w:keepLines/>
              <w:spacing w:before="20" w:after="20"/>
              <w:rPr>
                <w:szCs w:val="20"/>
              </w:rPr>
            </w:pPr>
            <w:r w:rsidRPr="00991F4E">
              <w:rPr>
                <w:szCs w:val="20"/>
              </w:rPr>
              <w:t xml:space="preserve">Frequency </w:t>
            </w:r>
            <w:r w:rsidR="00B43C06" w:rsidRPr="00991F4E">
              <w:rPr>
                <w:szCs w:val="20"/>
              </w:rPr>
              <w:t>c</w:t>
            </w:r>
            <w:r w:rsidRPr="00991F4E">
              <w:rPr>
                <w:szCs w:val="20"/>
              </w:rPr>
              <w:t xml:space="preserve">ategory </w:t>
            </w:r>
            <w:r w:rsidR="00C40686" w:rsidRPr="00991F4E">
              <w:rPr>
                <w:szCs w:val="20"/>
              </w:rPr>
              <w:br/>
            </w:r>
            <w:r w:rsidR="00B43C06" w:rsidRPr="00991F4E">
              <w:rPr>
                <w:szCs w:val="20"/>
              </w:rPr>
              <w:t>by s</w:t>
            </w:r>
            <w:r w:rsidRPr="00991F4E">
              <w:rPr>
                <w:szCs w:val="20"/>
              </w:rPr>
              <w:t>ubject</w:t>
            </w:r>
          </w:p>
        </w:tc>
        <w:tc>
          <w:tcPr>
            <w:tcW w:w="572" w:type="pct"/>
            <w:vAlign w:val="center"/>
          </w:tcPr>
          <w:p w:rsidR="00A52977" w:rsidRPr="00991F4E" w:rsidRDefault="00B43C06" w:rsidP="00991F4E">
            <w:pPr>
              <w:pStyle w:val="TableColumnHeading"/>
              <w:keepNext/>
              <w:keepLines/>
              <w:spacing w:before="20" w:after="20"/>
              <w:contextualSpacing/>
              <w:rPr>
                <w:szCs w:val="20"/>
              </w:rPr>
            </w:pPr>
            <w:r w:rsidRPr="00991F4E">
              <w:rPr>
                <w:szCs w:val="20"/>
              </w:rPr>
              <w:t>Number and frequency by s</w:t>
            </w:r>
            <w:r w:rsidR="00A52977" w:rsidRPr="00991F4E">
              <w:rPr>
                <w:szCs w:val="20"/>
              </w:rPr>
              <w:t>ubject</w:t>
            </w:r>
            <w:r w:rsidR="00A52977" w:rsidRPr="00991F4E">
              <w:rPr>
                <w:b w:val="0"/>
                <w:szCs w:val="20"/>
                <w:vertAlign w:val="superscript"/>
              </w:rPr>
              <w:t>a</w:t>
            </w:r>
          </w:p>
          <w:p w:rsidR="00A52977" w:rsidRPr="00991F4E" w:rsidRDefault="00A52977" w:rsidP="00991F4E">
            <w:pPr>
              <w:pStyle w:val="TableColumnHeading"/>
              <w:keepNext/>
              <w:keepLines/>
              <w:spacing w:before="20" w:after="20"/>
              <w:contextualSpacing/>
              <w:rPr>
                <w:szCs w:val="20"/>
              </w:rPr>
            </w:pPr>
            <w:r w:rsidRPr="00991F4E">
              <w:rPr>
                <w:szCs w:val="20"/>
              </w:rPr>
              <w:t>(N=80</w:t>
            </w:r>
            <w:r w:rsidR="003D15CD">
              <w:rPr>
                <w:szCs w:val="20"/>
                <w:vertAlign w:val="superscript"/>
              </w:rPr>
              <w:t>c</w:t>
            </w:r>
            <w:r w:rsidRPr="00991F4E">
              <w:rPr>
                <w:szCs w:val="20"/>
              </w:rPr>
              <w:t>)</w:t>
            </w:r>
            <w:r w:rsidR="004C2768" w:rsidRPr="00991F4E">
              <w:rPr>
                <w:szCs w:val="20"/>
              </w:rPr>
              <w:br/>
            </w:r>
            <w:r w:rsidRPr="00991F4E">
              <w:rPr>
                <w:szCs w:val="20"/>
              </w:rPr>
              <w:t>n (%)</w:t>
            </w:r>
          </w:p>
        </w:tc>
        <w:tc>
          <w:tcPr>
            <w:tcW w:w="572" w:type="pct"/>
            <w:vAlign w:val="center"/>
          </w:tcPr>
          <w:p w:rsidR="00A52977" w:rsidRPr="00593946" w:rsidRDefault="00B43C06" w:rsidP="00991F4E">
            <w:pPr>
              <w:pStyle w:val="TableColumnHeading"/>
              <w:keepNext/>
              <w:keepLines/>
              <w:spacing w:before="20" w:after="20"/>
              <w:contextualSpacing/>
              <w:rPr>
                <w:szCs w:val="20"/>
              </w:rPr>
            </w:pPr>
            <w:r w:rsidRPr="00593946">
              <w:rPr>
                <w:szCs w:val="20"/>
              </w:rPr>
              <w:t>Number and f</w:t>
            </w:r>
            <w:r w:rsidR="00A52977" w:rsidRPr="00593946">
              <w:rPr>
                <w:szCs w:val="20"/>
              </w:rPr>
              <w:t>requency</w:t>
            </w:r>
            <w:r w:rsidR="004C2768" w:rsidRPr="00593946">
              <w:rPr>
                <w:szCs w:val="20"/>
              </w:rPr>
              <w:t xml:space="preserve"> </w:t>
            </w:r>
            <w:r w:rsidR="004C2768" w:rsidRPr="00593946">
              <w:rPr>
                <w:szCs w:val="20"/>
              </w:rPr>
              <w:br/>
            </w:r>
            <w:r w:rsidRPr="00593946">
              <w:rPr>
                <w:szCs w:val="20"/>
              </w:rPr>
              <w:t>by i</w:t>
            </w:r>
            <w:r w:rsidR="00A52977" w:rsidRPr="00593946">
              <w:rPr>
                <w:szCs w:val="20"/>
              </w:rPr>
              <w:t>nfusion</w:t>
            </w:r>
            <w:r w:rsidR="00A52977" w:rsidRPr="00593946">
              <w:rPr>
                <w:b w:val="0"/>
                <w:szCs w:val="20"/>
                <w:vertAlign w:val="superscript"/>
              </w:rPr>
              <w:t>b</w:t>
            </w:r>
          </w:p>
          <w:p w:rsidR="00A52977" w:rsidRPr="00593946" w:rsidRDefault="00A52977" w:rsidP="00991F4E">
            <w:pPr>
              <w:pStyle w:val="TableColumnHeading"/>
              <w:keepNext/>
              <w:keepLines/>
              <w:spacing w:before="20" w:after="20"/>
              <w:contextualSpacing/>
              <w:rPr>
                <w:szCs w:val="20"/>
              </w:rPr>
            </w:pPr>
            <w:r w:rsidRPr="00593946">
              <w:rPr>
                <w:szCs w:val="20"/>
              </w:rPr>
              <w:t>(N=476)</w:t>
            </w:r>
            <w:r w:rsidR="004C2768" w:rsidRPr="00593946">
              <w:rPr>
                <w:szCs w:val="20"/>
              </w:rPr>
              <w:br/>
            </w:r>
            <w:r w:rsidRPr="00593946">
              <w:rPr>
                <w:szCs w:val="20"/>
              </w:rPr>
              <w:t>n (%)</w:t>
            </w:r>
          </w:p>
        </w:tc>
      </w:tr>
      <w:tr w:rsidR="002C7B12" w:rsidRPr="00991F4E" w:rsidTr="002F70CF">
        <w:trPr>
          <w:trHeight w:val="341"/>
        </w:trPr>
        <w:tc>
          <w:tcPr>
            <w:tcW w:w="1472" w:type="pct"/>
            <w:vMerge w:val="restart"/>
          </w:tcPr>
          <w:p w:rsidR="00A52977" w:rsidRPr="00991F4E" w:rsidRDefault="00A52977" w:rsidP="00991F4E">
            <w:pPr>
              <w:pStyle w:val="TableText"/>
              <w:keepNext/>
              <w:keepLines/>
              <w:spacing w:before="20" w:after="20"/>
              <w:rPr>
                <w:b/>
                <w:szCs w:val="20"/>
              </w:rPr>
            </w:pPr>
            <w:r w:rsidRPr="00991F4E">
              <w:rPr>
                <w:b/>
                <w:szCs w:val="20"/>
              </w:rPr>
              <w:t xml:space="preserve">Nervous </w:t>
            </w:r>
            <w:r w:rsidR="00B43C06" w:rsidRPr="00991F4E">
              <w:rPr>
                <w:b/>
                <w:szCs w:val="20"/>
              </w:rPr>
              <w:t>s</w:t>
            </w:r>
            <w:r w:rsidRPr="00991F4E">
              <w:rPr>
                <w:b/>
                <w:szCs w:val="20"/>
              </w:rPr>
              <w:t xml:space="preserve">ystem </w:t>
            </w:r>
            <w:r w:rsidR="00B43C06" w:rsidRPr="00991F4E">
              <w:rPr>
                <w:b/>
                <w:szCs w:val="20"/>
              </w:rPr>
              <w:t>d</w:t>
            </w:r>
            <w:r w:rsidRPr="00991F4E">
              <w:rPr>
                <w:b/>
                <w:szCs w:val="20"/>
              </w:rPr>
              <w:t>isorders</w:t>
            </w:r>
          </w:p>
        </w:tc>
        <w:tc>
          <w:tcPr>
            <w:tcW w:w="1714" w:type="pct"/>
          </w:tcPr>
          <w:p w:rsidR="00A52977" w:rsidRPr="00991F4E" w:rsidRDefault="00A52977" w:rsidP="00991F4E">
            <w:pPr>
              <w:pStyle w:val="TableText"/>
              <w:keepNext/>
              <w:keepLines/>
              <w:spacing w:before="20" w:after="20"/>
              <w:rPr>
                <w:szCs w:val="20"/>
              </w:rPr>
            </w:pPr>
            <w:r w:rsidRPr="00991F4E">
              <w:rPr>
                <w:szCs w:val="20"/>
              </w:rPr>
              <w:t>Dizziness</w:t>
            </w:r>
          </w:p>
        </w:tc>
        <w:tc>
          <w:tcPr>
            <w:tcW w:w="670" w:type="pct"/>
          </w:tcPr>
          <w:p w:rsidR="00A52977" w:rsidRPr="00991F4E" w:rsidRDefault="00A52977" w:rsidP="00991F4E">
            <w:pPr>
              <w:pStyle w:val="TableText"/>
              <w:keepNext/>
              <w:keepLines/>
              <w:spacing w:before="20" w:after="20"/>
              <w:jc w:val="center"/>
              <w:rPr>
                <w:szCs w:val="20"/>
              </w:rPr>
            </w:pPr>
            <w:r w:rsidRPr="00991F4E">
              <w:rPr>
                <w:szCs w:val="20"/>
              </w:rPr>
              <w:t>Common</w:t>
            </w:r>
          </w:p>
        </w:tc>
        <w:tc>
          <w:tcPr>
            <w:tcW w:w="572" w:type="pct"/>
          </w:tcPr>
          <w:p w:rsidR="00A52977" w:rsidRPr="00991F4E" w:rsidRDefault="00A52977" w:rsidP="00991F4E">
            <w:pPr>
              <w:pStyle w:val="TableText"/>
              <w:keepNext/>
              <w:keepLines/>
              <w:spacing w:before="20" w:after="20"/>
              <w:jc w:val="center"/>
              <w:rPr>
                <w:szCs w:val="20"/>
              </w:rPr>
            </w:pPr>
            <w:r w:rsidRPr="00991F4E">
              <w:rPr>
                <w:szCs w:val="20"/>
              </w:rPr>
              <w:t>3 (3.75)</w:t>
            </w:r>
          </w:p>
        </w:tc>
        <w:tc>
          <w:tcPr>
            <w:tcW w:w="572" w:type="pct"/>
          </w:tcPr>
          <w:p w:rsidR="00A52977" w:rsidRPr="00593946" w:rsidRDefault="00A52977" w:rsidP="00991F4E">
            <w:pPr>
              <w:pStyle w:val="TableText"/>
              <w:keepNext/>
              <w:keepLines/>
              <w:spacing w:before="20" w:after="20"/>
              <w:jc w:val="center"/>
              <w:rPr>
                <w:szCs w:val="20"/>
              </w:rPr>
            </w:pPr>
            <w:r w:rsidRPr="00593946">
              <w:rPr>
                <w:szCs w:val="20"/>
              </w:rPr>
              <w:t>3 (0.63)</w:t>
            </w:r>
          </w:p>
        </w:tc>
      </w:tr>
      <w:tr w:rsidR="002C7B12" w:rsidRPr="00991F4E" w:rsidTr="002F70CF">
        <w:trPr>
          <w:trHeight w:val="269"/>
        </w:trPr>
        <w:tc>
          <w:tcPr>
            <w:tcW w:w="1472" w:type="pct"/>
            <w:vMerge/>
          </w:tcPr>
          <w:p w:rsidR="00A52977" w:rsidRPr="00991F4E" w:rsidRDefault="00A52977" w:rsidP="00991F4E">
            <w:pPr>
              <w:pStyle w:val="TableText"/>
              <w:keepNext/>
              <w:keepLines/>
              <w:spacing w:before="20" w:after="20"/>
              <w:rPr>
                <w:b/>
                <w:szCs w:val="20"/>
              </w:rPr>
            </w:pPr>
          </w:p>
        </w:tc>
        <w:tc>
          <w:tcPr>
            <w:tcW w:w="1714" w:type="pct"/>
          </w:tcPr>
          <w:p w:rsidR="00A52977" w:rsidRPr="00991F4E" w:rsidRDefault="00A52977" w:rsidP="00991F4E">
            <w:pPr>
              <w:pStyle w:val="TableText"/>
              <w:keepNext/>
              <w:keepLines/>
              <w:spacing w:before="20" w:after="20"/>
              <w:rPr>
                <w:szCs w:val="20"/>
              </w:rPr>
            </w:pPr>
            <w:r w:rsidRPr="00991F4E">
              <w:rPr>
                <w:szCs w:val="20"/>
              </w:rPr>
              <w:t>Vertigo</w:t>
            </w:r>
          </w:p>
        </w:tc>
        <w:tc>
          <w:tcPr>
            <w:tcW w:w="670" w:type="pct"/>
          </w:tcPr>
          <w:p w:rsidR="00A52977" w:rsidRPr="00991F4E" w:rsidRDefault="00A52977" w:rsidP="00991F4E">
            <w:pPr>
              <w:pStyle w:val="TableText"/>
              <w:keepNext/>
              <w:keepLines/>
              <w:spacing w:before="20" w:after="20"/>
              <w:jc w:val="center"/>
              <w:rPr>
                <w:szCs w:val="20"/>
              </w:rPr>
            </w:pPr>
            <w:r w:rsidRPr="00991F4E">
              <w:rPr>
                <w:szCs w:val="20"/>
              </w:rPr>
              <w:t>Common</w:t>
            </w:r>
          </w:p>
        </w:tc>
        <w:tc>
          <w:tcPr>
            <w:tcW w:w="572" w:type="pct"/>
          </w:tcPr>
          <w:p w:rsidR="00A52977" w:rsidRPr="00991F4E" w:rsidRDefault="00A52977" w:rsidP="00991F4E">
            <w:pPr>
              <w:pStyle w:val="TableText"/>
              <w:keepNext/>
              <w:keepLines/>
              <w:spacing w:before="20" w:after="20"/>
              <w:jc w:val="center"/>
              <w:rPr>
                <w:szCs w:val="20"/>
              </w:rPr>
            </w:pPr>
            <w:r w:rsidRPr="00991F4E">
              <w:rPr>
                <w:szCs w:val="20"/>
              </w:rPr>
              <w:t>2 (2.50)</w:t>
            </w:r>
          </w:p>
        </w:tc>
        <w:tc>
          <w:tcPr>
            <w:tcW w:w="572" w:type="pct"/>
          </w:tcPr>
          <w:p w:rsidR="00A52977" w:rsidRPr="00593946" w:rsidRDefault="00A52977" w:rsidP="00991F4E">
            <w:pPr>
              <w:pStyle w:val="TableText"/>
              <w:keepNext/>
              <w:keepLines/>
              <w:spacing w:before="20" w:after="20"/>
              <w:jc w:val="center"/>
              <w:rPr>
                <w:szCs w:val="20"/>
              </w:rPr>
            </w:pPr>
            <w:r w:rsidRPr="00593946">
              <w:rPr>
                <w:szCs w:val="20"/>
              </w:rPr>
              <w:t>3 (0.63)</w:t>
            </w:r>
          </w:p>
        </w:tc>
      </w:tr>
      <w:tr w:rsidR="002C7B12" w:rsidRPr="00991F4E" w:rsidTr="002F70CF">
        <w:trPr>
          <w:trHeight w:val="260"/>
        </w:trPr>
        <w:tc>
          <w:tcPr>
            <w:tcW w:w="1472" w:type="pct"/>
            <w:vMerge/>
          </w:tcPr>
          <w:p w:rsidR="00A52977" w:rsidRPr="00991F4E" w:rsidRDefault="00A52977" w:rsidP="00991F4E">
            <w:pPr>
              <w:pStyle w:val="TableText"/>
              <w:keepNext/>
              <w:keepLines/>
              <w:spacing w:before="20" w:after="20"/>
              <w:rPr>
                <w:b/>
                <w:szCs w:val="20"/>
              </w:rPr>
            </w:pPr>
          </w:p>
        </w:tc>
        <w:tc>
          <w:tcPr>
            <w:tcW w:w="1714" w:type="pct"/>
          </w:tcPr>
          <w:p w:rsidR="00A52977" w:rsidRPr="00991F4E" w:rsidRDefault="00A52977" w:rsidP="00991F4E">
            <w:pPr>
              <w:pStyle w:val="TableText"/>
              <w:keepNext/>
              <w:keepLines/>
              <w:spacing w:before="20" w:after="20"/>
              <w:ind w:right="-108"/>
              <w:rPr>
                <w:szCs w:val="20"/>
              </w:rPr>
            </w:pPr>
            <w:r w:rsidRPr="00991F4E">
              <w:rPr>
                <w:szCs w:val="20"/>
              </w:rPr>
              <w:t>Dysgeusia</w:t>
            </w:r>
          </w:p>
        </w:tc>
        <w:tc>
          <w:tcPr>
            <w:tcW w:w="670" w:type="pct"/>
          </w:tcPr>
          <w:p w:rsidR="00A52977" w:rsidRPr="00991F4E" w:rsidRDefault="00A52977" w:rsidP="00991F4E">
            <w:pPr>
              <w:pStyle w:val="TableText"/>
              <w:keepNext/>
              <w:keepLines/>
              <w:spacing w:before="20" w:after="20"/>
              <w:jc w:val="center"/>
              <w:rPr>
                <w:szCs w:val="20"/>
              </w:rPr>
            </w:pPr>
            <w:r w:rsidRPr="00991F4E">
              <w:rPr>
                <w:szCs w:val="20"/>
              </w:rPr>
              <w:t>Common</w:t>
            </w:r>
          </w:p>
        </w:tc>
        <w:tc>
          <w:tcPr>
            <w:tcW w:w="572" w:type="pct"/>
          </w:tcPr>
          <w:p w:rsidR="00A52977" w:rsidRPr="00991F4E" w:rsidRDefault="00A52977" w:rsidP="00991F4E">
            <w:pPr>
              <w:pStyle w:val="TableText"/>
              <w:keepNext/>
              <w:keepLines/>
              <w:spacing w:before="20" w:after="20"/>
              <w:jc w:val="center"/>
              <w:rPr>
                <w:szCs w:val="20"/>
              </w:rPr>
            </w:pPr>
            <w:r w:rsidRPr="00991F4E">
              <w:rPr>
                <w:szCs w:val="20"/>
              </w:rPr>
              <w:t>1 (1.25)</w:t>
            </w:r>
          </w:p>
        </w:tc>
        <w:tc>
          <w:tcPr>
            <w:tcW w:w="572" w:type="pct"/>
          </w:tcPr>
          <w:p w:rsidR="00A52977" w:rsidRPr="00593946" w:rsidRDefault="00A52977" w:rsidP="00991F4E">
            <w:pPr>
              <w:pStyle w:val="TableText"/>
              <w:keepNext/>
              <w:keepLines/>
              <w:spacing w:before="20" w:after="20"/>
              <w:jc w:val="center"/>
              <w:rPr>
                <w:szCs w:val="20"/>
              </w:rPr>
            </w:pPr>
            <w:r w:rsidRPr="00593946">
              <w:rPr>
                <w:szCs w:val="20"/>
              </w:rPr>
              <w:t>1 (0.21)</w:t>
            </w:r>
          </w:p>
        </w:tc>
      </w:tr>
      <w:tr w:rsidR="002C7B12" w:rsidRPr="00991F4E" w:rsidTr="002F70CF">
        <w:trPr>
          <w:trHeight w:val="260"/>
        </w:trPr>
        <w:tc>
          <w:tcPr>
            <w:tcW w:w="1472" w:type="pct"/>
            <w:vMerge/>
          </w:tcPr>
          <w:p w:rsidR="00A52977" w:rsidRPr="00991F4E" w:rsidRDefault="00A52977" w:rsidP="00991F4E">
            <w:pPr>
              <w:pStyle w:val="TableText"/>
              <w:keepNext/>
              <w:keepLines/>
              <w:spacing w:before="20" w:after="20"/>
              <w:rPr>
                <w:b/>
                <w:szCs w:val="20"/>
              </w:rPr>
            </w:pPr>
          </w:p>
        </w:tc>
        <w:tc>
          <w:tcPr>
            <w:tcW w:w="1714" w:type="pct"/>
          </w:tcPr>
          <w:p w:rsidR="00A52977" w:rsidRPr="00991F4E" w:rsidRDefault="00A52977" w:rsidP="00991F4E">
            <w:pPr>
              <w:pStyle w:val="TableText"/>
              <w:keepNext/>
              <w:keepLines/>
              <w:spacing w:before="20" w:after="20"/>
              <w:rPr>
                <w:szCs w:val="20"/>
              </w:rPr>
            </w:pPr>
            <w:r w:rsidRPr="00991F4E">
              <w:rPr>
                <w:szCs w:val="20"/>
              </w:rPr>
              <w:t>Tremor</w:t>
            </w:r>
          </w:p>
        </w:tc>
        <w:tc>
          <w:tcPr>
            <w:tcW w:w="670" w:type="pct"/>
          </w:tcPr>
          <w:p w:rsidR="00A52977" w:rsidRPr="00991F4E" w:rsidRDefault="00A52977" w:rsidP="00991F4E">
            <w:pPr>
              <w:pStyle w:val="TableText"/>
              <w:keepNext/>
              <w:keepLines/>
              <w:spacing w:before="20" w:after="20"/>
              <w:jc w:val="center"/>
              <w:rPr>
                <w:szCs w:val="20"/>
              </w:rPr>
            </w:pPr>
            <w:r w:rsidRPr="00991F4E">
              <w:rPr>
                <w:szCs w:val="20"/>
              </w:rPr>
              <w:t>Common</w:t>
            </w:r>
          </w:p>
        </w:tc>
        <w:tc>
          <w:tcPr>
            <w:tcW w:w="572" w:type="pct"/>
          </w:tcPr>
          <w:p w:rsidR="00A52977" w:rsidRPr="00991F4E" w:rsidRDefault="00A52977" w:rsidP="00991F4E">
            <w:pPr>
              <w:pStyle w:val="TableText"/>
              <w:keepNext/>
              <w:keepLines/>
              <w:spacing w:before="20" w:after="20"/>
              <w:jc w:val="center"/>
              <w:rPr>
                <w:szCs w:val="20"/>
              </w:rPr>
            </w:pPr>
            <w:r w:rsidRPr="00991F4E">
              <w:rPr>
                <w:szCs w:val="20"/>
              </w:rPr>
              <w:t>1 (1.25)</w:t>
            </w:r>
          </w:p>
        </w:tc>
        <w:tc>
          <w:tcPr>
            <w:tcW w:w="572" w:type="pct"/>
          </w:tcPr>
          <w:p w:rsidR="00A52977" w:rsidRPr="00593946" w:rsidRDefault="00A52977" w:rsidP="00991F4E">
            <w:pPr>
              <w:pStyle w:val="TableText"/>
              <w:keepNext/>
              <w:keepLines/>
              <w:spacing w:before="20" w:after="20"/>
              <w:jc w:val="center"/>
              <w:rPr>
                <w:szCs w:val="20"/>
              </w:rPr>
            </w:pPr>
            <w:r w:rsidRPr="00593946">
              <w:rPr>
                <w:szCs w:val="20"/>
              </w:rPr>
              <w:t>1 (0.21)</w:t>
            </w:r>
          </w:p>
        </w:tc>
      </w:tr>
      <w:tr w:rsidR="002C7B12" w:rsidRPr="00991F4E" w:rsidTr="002F70CF">
        <w:trPr>
          <w:trHeight w:val="260"/>
        </w:trPr>
        <w:tc>
          <w:tcPr>
            <w:tcW w:w="1472" w:type="pct"/>
          </w:tcPr>
          <w:p w:rsidR="00A52977" w:rsidRPr="00991F4E" w:rsidRDefault="00B43C06" w:rsidP="00CC4980">
            <w:pPr>
              <w:pStyle w:val="TableText"/>
              <w:spacing w:before="20" w:after="20"/>
              <w:rPr>
                <w:b/>
                <w:szCs w:val="20"/>
              </w:rPr>
            </w:pPr>
            <w:r w:rsidRPr="00991F4E">
              <w:rPr>
                <w:b/>
                <w:szCs w:val="20"/>
              </w:rPr>
              <w:t>Cardiac d</w:t>
            </w:r>
            <w:r w:rsidR="00A52977" w:rsidRPr="00991F4E">
              <w:rPr>
                <w:b/>
                <w:szCs w:val="20"/>
              </w:rPr>
              <w:t>isorders</w:t>
            </w:r>
          </w:p>
        </w:tc>
        <w:tc>
          <w:tcPr>
            <w:tcW w:w="1714" w:type="pct"/>
          </w:tcPr>
          <w:p w:rsidR="00A52977" w:rsidRPr="00991F4E" w:rsidRDefault="00A52977" w:rsidP="00CC4980">
            <w:pPr>
              <w:pStyle w:val="TableText"/>
              <w:spacing w:before="20" w:after="20"/>
              <w:rPr>
                <w:szCs w:val="20"/>
              </w:rPr>
            </w:pPr>
            <w:r w:rsidRPr="00991F4E">
              <w:rPr>
                <w:szCs w:val="20"/>
              </w:rPr>
              <w:t>Tachycardia</w:t>
            </w:r>
          </w:p>
        </w:tc>
        <w:tc>
          <w:tcPr>
            <w:tcW w:w="670" w:type="pct"/>
          </w:tcPr>
          <w:p w:rsidR="00A52977" w:rsidRPr="00991F4E" w:rsidRDefault="00A52977" w:rsidP="00CC4980">
            <w:pPr>
              <w:pStyle w:val="TableText"/>
              <w:spacing w:before="20" w:after="20"/>
              <w:jc w:val="center"/>
              <w:rPr>
                <w:szCs w:val="20"/>
              </w:rPr>
            </w:pPr>
            <w:r w:rsidRPr="00991F4E">
              <w:rPr>
                <w:szCs w:val="20"/>
              </w:rPr>
              <w:t>Common</w:t>
            </w:r>
          </w:p>
        </w:tc>
        <w:tc>
          <w:tcPr>
            <w:tcW w:w="572" w:type="pct"/>
          </w:tcPr>
          <w:p w:rsidR="00A52977" w:rsidRPr="00991F4E" w:rsidRDefault="00A52977" w:rsidP="00CC4980">
            <w:pPr>
              <w:pStyle w:val="TableText"/>
              <w:spacing w:before="20" w:after="20"/>
              <w:jc w:val="center"/>
              <w:rPr>
                <w:szCs w:val="20"/>
              </w:rPr>
            </w:pPr>
            <w:r w:rsidRPr="00991F4E">
              <w:rPr>
                <w:szCs w:val="20"/>
              </w:rPr>
              <w:t>1 (1.25)</w:t>
            </w:r>
          </w:p>
        </w:tc>
        <w:tc>
          <w:tcPr>
            <w:tcW w:w="572" w:type="pct"/>
          </w:tcPr>
          <w:p w:rsidR="00A52977" w:rsidRPr="00593946" w:rsidRDefault="00A52977" w:rsidP="00CC4980">
            <w:pPr>
              <w:pStyle w:val="TableText"/>
              <w:spacing w:before="20" w:after="20"/>
              <w:jc w:val="center"/>
              <w:rPr>
                <w:szCs w:val="20"/>
              </w:rPr>
            </w:pPr>
            <w:r w:rsidRPr="00593946">
              <w:rPr>
                <w:szCs w:val="20"/>
              </w:rPr>
              <w:t>1 (0.21)</w:t>
            </w:r>
          </w:p>
        </w:tc>
      </w:tr>
      <w:tr w:rsidR="002C7B12" w:rsidRPr="00991F4E" w:rsidTr="002F70CF">
        <w:trPr>
          <w:trHeight w:val="251"/>
        </w:trPr>
        <w:tc>
          <w:tcPr>
            <w:tcW w:w="1472" w:type="pct"/>
            <w:vMerge w:val="restart"/>
          </w:tcPr>
          <w:p w:rsidR="00A52977" w:rsidRPr="00991F4E" w:rsidRDefault="00B43C06" w:rsidP="00CC4980">
            <w:pPr>
              <w:pStyle w:val="TableText"/>
              <w:spacing w:before="20" w:after="20"/>
              <w:rPr>
                <w:b/>
                <w:szCs w:val="20"/>
              </w:rPr>
            </w:pPr>
            <w:r w:rsidRPr="00991F4E">
              <w:rPr>
                <w:b/>
                <w:szCs w:val="20"/>
              </w:rPr>
              <w:t>Vascular d</w:t>
            </w:r>
            <w:r w:rsidR="00A52977" w:rsidRPr="00991F4E">
              <w:rPr>
                <w:b/>
                <w:szCs w:val="20"/>
              </w:rPr>
              <w:t>isorders</w:t>
            </w:r>
          </w:p>
        </w:tc>
        <w:tc>
          <w:tcPr>
            <w:tcW w:w="1714" w:type="pct"/>
          </w:tcPr>
          <w:p w:rsidR="00A52977" w:rsidRPr="00991F4E" w:rsidRDefault="00A52977" w:rsidP="00CC4980">
            <w:pPr>
              <w:pStyle w:val="TableText"/>
              <w:spacing w:before="20" w:after="20"/>
              <w:rPr>
                <w:szCs w:val="20"/>
              </w:rPr>
            </w:pPr>
            <w:r w:rsidRPr="00991F4E">
              <w:rPr>
                <w:szCs w:val="20"/>
              </w:rPr>
              <w:t>Deep venous thrombosis</w:t>
            </w:r>
          </w:p>
        </w:tc>
        <w:tc>
          <w:tcPr>
            <w:tcW w:w="670" w:type="pct"/>
          </w:tcPr>
          <w:p w:rsidR="00A52977" w:rsidRPr="00991F4E" w:rsidRDefault="00A52977" w:rsidP="00CC4980">
            <w:pPr>
              <w:pStyle w:val="TableText"/>
              <w:spacing w:before="20" w:after="20"/>
              <w:jc w:val="center"/>
              <w:rPr>
                <w:szCs w:val="20"/>
              </w:rPr>
            </w:pPr>
            <w:r w:rsidRPr="00991F4E">
              <w:rPr>
                <w:szCs w:val="20"/>
              </w:rPr>
              <w:t>Common</w:t>
            </w:r>
          </w:p>
        </w:tc>
        <w:tc>
          <w:tcPr>
            <w:tcW w:w="572" w:type="pct"/>
          </w:tcPr>
          <w:p w:rsidR="00A52977" w:rsidRPr="00991F4E" w:rsidRDefault="00A52977" w:rsidP="00CC4980">
            <w:pPr>
              <w:pStyle w:val="TableText"/>
              <w:spacing w:before="20" w:after="20"/>
              <w:jc w:val="center"/>
              <w:rPr>
                <w:szCs w:val="20"/>
              </w:rPr>
            </w:pPr>
            <w:r w:rsidRPr="00991F4E">
              <w:rPr>
                <w:szCs w:val="20"/>
              </w:rPr>
              <w:t>1 (1.25)</w:t>
            </w:r>
          </w:p>
        </w:tc>
        <w:tc>
          <w:tcPr>
            <w:tcW w:w="572" w:type="pct"/>
          </w:tcPr>
          <w:p w:rsidR="00A52977" w:rsidRPr="00593946" w:rsidRDefault="00A52977" w:rsidP="00CC4980">
            <w:pPr>
              <w:pStyle w:val="TableText"/>
              <w:spacing w:before="20" w:after="20"/>
              <w:jc w:val="center"/>
              <w:rPr>
                <w:szCs w:val="20"/>
              </w:rPr>
            </w:pPr>
            <w:r w:rsidRPr="00593946">
              <w:rPr>
                <w:szCs w:val="20"/>
              </w:rPr>
              <w:t>2 (0.42)</w:t>
            </w:r>
          </w:p>
        </w:tc>
      </w:tr>
      <w:tr w:rsidR="002C7B12" w:rsidRPr="00991F4E" w:rsidTr="002F70CF">
        <w:trPr>
          <w:trHeight w:val="269"/>
        </w:trPr>
        <w:tc>
          <w:tcPr>
            <w:tcW w:w="1472" w:type="pct"/>
            <w:vMerge/>
          </w:tcPr>
          <w:p w:rsidR="00A52977" w:rsidRPr="00991F4E" w:rsidRDefault="00A52977" w:rsidP="00CC4980">
            <w:pPr>
              <w:pStyle w:val="TableText"/>
              <w:spacing w:before="20" w:after="20"/>
              <w:rPr>
                <w:b/>
                <w:szCs w:val="20"/>
              </w:rPr>
            </w:pPr>
          </w:p>
        </w:tc>
        <w:tc>
          <w:tcPr>
            <w:tcW w:w="1714" w:type="pct"/>
          </w:tcPr>
          <w:p w:rsidR="00A52977" w:rsidRPr="00991F4E" w:rsidRDefault="00A52977" w:rsidP="00CC4980">
            <w:pPr>
              <w:pStyle w:val="TableText"/>
              <w:spacing w:before="20" w:after="20"/>
              <w:rPr>
                <w:szCs w:val="20"/>
              </w:rPr>
            </w:pPr>
            <w:r w:rsidRPr="00991F4E">
              <w:rPr>
                <w:szCs w:val="20"/>
              </w:rPr>
              <w:t>Hypertension</w:t>
            </w:r>
          </w:p>
        </w:tc>
        <w:tc>
          <w:tcPr>
            <w:tcW w:w="670" w:type="pct"/>
          </w:tcPr>
          <w:p w:rsidR="00A52977" w:rsidRPr="00991F4E" w:rsidRDefault="00A52977" w:rsidP="00CC4980">
            <w:pPr>
              <w:pStyle w:val="TableText"/>
              <w:spacing w:before="20" w:after="20"/>
              <w:jc w:val="center"/>
              <w:rPr>
                <w:szCs w:val="20"/>
              </w:rPr>
            </w:pPr>
            <w:r w:rsidRPr="00991F4E">
              <w:rPr>
                <w:szCs w:val="20"/>
              </w:rPr>
              <w:t>Common</w:t>
            </w:r>
          </w:p>
        </w:tc>
        <w:tc>
          <w:tcPr>
            <w:tcW w:w="572" w:type="pct"/>
          </w:tcPr>
          <w:p w:rsidR="00A52977" w:rsidRPr="00991F4E" w:rsidRDefault="00A52977" w:rsidP="00CC4980">
            <w:pPr>
              <w:pStyle w:val="TableText"/>
              <w:spacing w:before="20" w:after="20"/>
              <w:jc w:val="center"/>
              <w:rPr>
                <w:szCs w:val="20"/>
              </w:rPr>
            </w:pPr>
            <w:r w:rsidRPr="00991F4E">
              <w:rPr>
                <w:szCs w:val="20"/>
              </w:rPr>
              <w:t>1(1.25)</w:t>
            </w:r>
          </w:p>
        </w:tc>
        <w:tc>
          <w:tcPr>
            <w:tcW w:w="572" w:type="pct"/>
          </w:tcPr>
          <w:p w:rsidR="00A52977" w:rsidRPr="00593946" w:rsidRDefault="00A52977" w:rsidP="00CC4980">
            <w:pPr>
              <w:pStyle w:val="TableText"/>
              <w:spacing w:before="20" w:after="20"/>
              <w:jc w:val="center"/>
              <w:rPr>
                <w:szCs w:val="20"/>
              </w:rPr>
            </w:pPr>
            <w:r w:rsidRPr="00593946">
              <w:rPr>
                <w:szCs w:val="20"/>
              </w:rPr>
              <w:t>2 (0.42)</w:t>
            </w:r>
          </w:p>
        </w:tc>
      </w:tr>
      <w:tr w:rsidR="002C7B12" w:rsidRPr="00991F4E" w:rsidTr="002F70CF">
        <w:trPr>
          <w:trHeight w:val="260"/>
        </w:trPr>
        <w:tc>
          <w:tcPr>
            <w:tcW w:w="1472" w:type="pct"/>
            <w:vMerge/>
          </w:tcPr>
          <w:p w:rsidR="00A52977" w:rsidRPr="00991F4E" w:rsidRDefault="00A52977" w:rsidP="00CC4980">
            <w:pPr>
              <w:pStyle w:val="TableText"/>
              <w:spacing w:before="20" w:after="20"/>
              <w:rPr>
                <w:b/>
                <w:szCs w:val="20"/>
              </w:rPr>
            </w:pPr>
          </w:p>
        </w:tc>
        <w:tc>
          <w:tcPr>
            <w:tcW w:w="1714" w:type="pct"/>
          </w:tcPr>
          <w:p w:rsidR="00A52977" w:rsidRPr="00991F4E" w:rsidRDefault="00A52977" w:rsidP="00CC4980">
            <w:pPr>
              <w:pStyle w:val="TableText"/>
              <w:spacing w:before="20" w:after="20"/>
              <w:rPr>
                <w:szCs w:val="20"/>
              </w:rPr>
            </w:pPr>
            <w:r w:rsidRPr="00991F4E">
              <w:rPr>
                <w:szCs w:val="20"/>
              </w:rPr>
              <w:t>Hot flush</w:t>
            </w:r>
          </w:p>
        </w:tc>
        <w:tc>
          <w:tcPr>
            <w:tcW w:w="670" w:type="pct"/>
          </w:tcPr>
          <w:p w:rsidR="00A52977" w:rsidRPr="00991F4E" w:rsidRDefault="00A52977" w:rsidP="00CC4980">
            <w:pPr>
              <w:pStyle w:val="TableText"/>
              <w:spacing w:before="20" w:after="20"/>
              <w:jc w:val="center"/>
              <w:rPr>
                <w:szCs w:val="20"/>
              </w:rPr>
            </w:pPr>
            <w:r w:rsidRPr="00991F4E">
              <w:rPr>
                <w:szCs w:val="20"/>
              </w:rPr>
              <w:t>Common</w:t>
            </w:r>
          </w:p>
        </w:tc>
        <w:tc>
          <w:tcPr>
            <w:tcW w:w="572" w:type="pct"/>
          </w:tcPr>
          <w:p w:rsidR="00A52977" w:rsidRPr="00991F4E" w:rsidRDefault="00A52977" w:rsidP="00CC4980">
            <w:pPr>
              <w:pStyle w:val="TableText"/>
              <w:spacing w:before="20" w:after="20"/>
              <w:jc w:val="center"/>
              <w:rPr>
                <w:szCs w:val="20"/>
              </w:rPr>
            </w:pPr>
            <w:r w:rsidRPr="00991F4E">
              <w:rPr>
                <w:szCs w:val="20"/>
              </w:rPr>
              <w:t>1 (1.25)</w:t>
            </w:r>
          </w:p>
        </w:tc>
        <w:tc>
          <w:tcPr>
            <w:tcW w:w="572" w:type="pct"/>
          </w:tcPr>
          <w:p w:rsidR="00A52977" w:rsidRPr="00593946" w:rsidRDefault="00A52977" w:rsidP="00CC4980">
            <w:pPr>
              <w:pStyle w:val="TableText"/>
              <w:spacing w:before="20" w:after="20"/>
              <w:jc w:val="center"/>
              <w:rPr>
                <w:szCs w:val="20"/>
              </w:rPr>
            </w:pPr>
            <w:r w:rsidRPr="00593946">
              <w:rPr>
                <w:szCs w:val="20"/>
              </w:rPr>
              <w:t>1 (0.21)</w:t>
            </w:r>
          </w:p>
        </w:tc>
      </w:tr>
      <w:tr w:rsidR="002C7B12" w:rsidRPr="00991F4E" w:rsidTr="002F70CF">
        <w:trPr>
          <w:trHeight w:val="260"/>
        </w:trPr>
        <w:tc>
          <w:tcPr>
            <w:tcW w:w="1472" w:type="pct"/>
            <w:vMerge w:val="restart"/>
          </w:tcPr>
          <w:p w:rsidR="00A52977" w:rsidRPr="00991F4E" w:rsidRDefault="00B43C06" w:rsidP="00CC4980">
            <w:pPr>
              <w:pStyle w:val="TableText"/>
              <w:spacing w:before="20" w:after="20"/>
              <w:rPr>
                <w:b/>
                <w:szCs w:val="20"/>
              </w:rPr>
            </w:pPr>
            <w:r w:rsidRPr="00991F4E">
              <w:rPr>
                <w:b/>
                <w:szCs w:val="20"/>
              </w:rPr>
              <w:t>Gastrointestinal d</w:t>
            </w:r>
            <w:r w:rsidR="00A52977" w:rsidRPr="00991F4E">
              <w:rPr>
                <w:b/>
                <w:szCs w:val="20"/>
              </w:rPr>
              <w:t>isorders</w:t>
            </w:r>
          </w:p>
        </w:tc>
        <w:tc>
          <w:tcPr>
            <w:tcW w:w="1714" w:type="pct"/>
          </w:tcPr>
          <w:p w:rsidR="00A52977" w:rsidRPr="00991F4E" w:rsidRDefault="00A52977" w:rsidP="00CC4980">
            <w:pPr>
              <w:pStyle w:val="TableText"/>
              <w:spacing w:before="20" w:after="20"/>
              <w:rPr>
                <w:szCs w:val="20"/>
              </w:rPr>
            </w:pPr>
            <w:r w:rsidRPr="00991F4E">
              <w:rPr>
                <w:szCs w:val="20"/>
              </w:rPr>
              <w:t>Vomiting</w:t>
            </w:r>
          </w:p>
        </w:tc>
        <w:tc>
          <w:tcPr>
            <w:tcW w:w="670" w:type="pct"/>
          </w:tcPr>
          <w:p w:rsidR="00A52977" w:rsidRPr="00991F4E" w:rsidRDefault="00A52977" w:rsidP="00CC4980">
            <w:pPr>
              <w:pStyle w:val="TableText"/>
              <w:spacing w:before="20" w:after="20"/>
              <w:jc w:val="center"/>
              <w:rPr>
                <w:szCs w:val="20"/>
              </w:rPr>
            </w:pPr>
            <w:r w:rsidRPr="00991F4E">
              <w:rPr>
                <w:szCs w:val="20"/>
              </w:rPr>
              <w:t>Common</w:t>
            </w:r>
          </w:p>
        </w:tc>
        <w:tc>
          <w:tcPr>
            <w:tcW w:w="572" w:type="pct"/>
          </w:tcPr>
          <w:p w:rsidR="00A52977" w:rsidRPr="00991F4E" w:rsidRDefault="00A52977" w:rsidP="00CC4980">
            <w:pPr>
              <w:pStyle w:val="TableText"/>
              <w:spacing w:before="20" w:after="20"/>
              <w:jc w:val="center"/>
              <w:rPr>
                <w:szCs w:val="20"/>
              </w:rPr>
            </w:pPr>
            <w:r w:rsidRPr="00991F4E">
              <w:rPr>
                <w:szCs w:val="20"/>
              </w:rPr>
              <w:t>3 (3.75)</w:t>
            </w:r>
          </w:p>
        </w:tc>
        <w:tc>
          <w:tcPr>
            <w:tcW w:w="572" w:type="pct"/>
          </w:tcPr>
          <w:p w:rsidR="00A52977" w:rsidRPr="00593946" w:rsidRDefault="00A52977" w:rsidP="00CC4980">
            <w:pPr>
              <w:pStyle w:val="TableText"/>
              <w:spacing w:before="20" w:after="20"/>
              <w:jc w:val="center"/>
              <w:rPr>
                <w:szCs w:val="20"/>
              </w:rPr>
            </w:pPr>
            <w:r w:rsidRPr="00593946">
              <w:rPr>
                <w:szCs w:val="20"/>
              </w:rPr>
              <w:t>4 (0.84)</w:t>
            </w:r>
          </w:p>
        </w:tc>
      </w:tr>
      <w:tr w:rsidR="002C7B12" w:rsidRPr="00991F4E" w:rsidTr="002F70CF">
        <w:trPr>
          <w:trHeight w:val="170"/>
        </w:trPr>
        <w:tc>
          <w:tcPr>
            <w:tcW w:w="1472" w:type="pct"/>
            <w:vMerge/>
          </w:tcPr>
          <w:p w:rsidR="00A52977" w:rsidRPr="00991F4E" w:rsidRDefault="00A52977" w:rsidP="00CC4980">
            <w:pPr>
              <w:pStyle w:val="TableText"/>
              <w:spacing w:before="20" w:after="20"/>
              <w:rPr>
                <w:b/>
                <w:szCs w:val="20"/>
              </w:rPr>
            </w:pPr>
          </w:p>
        </w:tc>
        <w:tc>
          <w:tcPr>
            <w:tcW w:w="1714" w:type="pct"/>
          </w:tcPr>
          <w:p w:rsidR="00A52977" w:rsidRPr="00991F4E" w:rsidRDefault="00A52977" w:rsidP="00CC4980">
            <w:pPr>
              <w:pStyle w:val="TableText"/>
              <w:spacing w:before="20" w:after="20"/>
              <w:rPr>
                <w:szCs w:val="20"/>
              </w:rPr>
            </w:pPr>
            <w:r w:rsidRPr="00991F4E">
              <w:rPr>
                <w:szCs w:val="20"/>
              </w:rPr>
              <w:t>Nausea</w:t>
            </w:r>
          </w:p>
        </w:tc>
        <w:tc>
          <w:tcPr>
            <w:tcW w:w="670" w:type="pct"/>
          </w:tcPr>
          <w:p w:rsidR="00A52977" w:rsidRPr="00991F4E" w:rsidRDefault="00A52977" w:rsidP="00CC4980">
            <w:pPr>
              <w:pStyle w:val="TableText"/>
              <w:spacing w:before="20" w:after="20"/>
              <w:jc w:val="center"/>
              <w:rPr>
                <w:szCs w:val="20"/>
              </w:rPr>
            </w:pPr>
            <w:r w:rsidRPr="00991F4E">
              <w:rPr>
                <w:szCs w:val="20"/>
              </w:rPr>
              <w:t>Common</w:t>
            </w:r>
          </w:p>
        </w:tc>
        <w:tc>
          <w:tcPr>
            <w:tcW w:w="572" w:type="pct"/>
          </w:tcPr>
          <w:p w:rsidR="00A52977" w:rsidRPr="00991F4E" w:rsidRDefault="00A52977" w:rsidP="00CC4980">
            <w:pPr>
              <w:pStyle w:val="TableText"/>
              <w:spacing w:before="20" w:after="20"/>
              <w:jc w:val="center"/>
              <w:rPr>
                <w:szCs w:val="20"/>
              </w:rPr>
            </w:pPr>
            <w:r w:rsidRPr="00991F4E">
              <w:rPr>
                <w:szCs w:val="20"/>
              </w:rPr>
              <w:t>3 (3.75)</w:t>
            </w:r>
          </w:p>
        </w:tc>
        <w:tc>
          <w:tcPr>
            <w:tcW w:w="572" w:type="pct"/>
          </w:tcPr>
          <w:p w:rsidR="00A52977" w:rsidRPr="00593946" w:rsidRDefault="00A52977" w:rsidP="00CC4980">
            <w:pPr>
              <w:pStyle w:val="TableText"/>
              <w:spacing w:before="20" w:after="20"/>
              <w:jc w:val="center"/>
              <w:rPr>
                <w:szCs w:val="20"/>
              </w:rPr>
            </w:pPr>
            <w:r w:rsidRPr="00593946">
              <w:rPr>
                <w:szCs w:val="20"/>
              </w:rPr>
              <w:t>3 (0.63)</w:t>
            </w:r>
          </w:p>
        </w:tc>
      </w:tr>
      <w:tr w:rsidR="002C7B12" w:rsidRPr="00991F4E" w:rsidTr="002F70CF">
        <w:trPr>
          <w:trHeight w:val="186"/>
        </w:trPr>
        <w:tc>
          <w:tcPr>
            <w:tcW w:w="1472" w:type="pct"/>
          </w:tcPr>
          <w:p w:rsidR="00A52977" w:rsidRPr="00991F4E" w:rsidRDefault="004C2768" w:rsidP="00CC4980">
            <w:pPr>
              <w:pStyle w:val="TableText"/>
              <w:spacing w:before="20" w:after="20"/>
              <w:rPr>
                <w:b/>
                <w:szCs w:val="20"/>
              </w:rPr>
            </w:pPr>
            <w:r w:rsidRPr="00991F4E">
              <w:rPr>
                <w:b/>
                <w:szCs w:val="20"/>
              </w:rPr>
              <w:t>Skin a</w:t>
            </w:r>
            <w:r w:rsidR="00B43C06" w:rsidRPr="00991F4E">
              <w:rPr>
                <w:b/>
                <w:szCs w:val="20"/>
              </w:rPr>
              <w:t>nd subcutaneous tissue d</w:t>
            </w:r>
            <w:r w:rsidR="00A52977" w:rsidRPr="00991F4E">
              <w:rPr>
                <w:b/>
                <w:szCs w:val="20"/>
              </w:rPr>
              <w:t>isorders</w:t>
            </w:r>
          </w:p>
        </w:tc>
        <w:tc>
          <w:tcPr>
            <w:tcW w:w="1714" w:type="pct"/>
          </w:tcPr>
          <w:p w:rsidR="00A52977" w:rsidRPr="00991F4E" w:rsidRDefault="004C2768" w:rsidP="00CC4980">
            <w:pPr>
              <w:pStyle w:val="TableText"/>
              <w:spacing w:before="20" w:after="20"/>
              <w:rPr>
                <w:szCs w:val="20"/>
              </w:rPr>
            </w:pPr>
            <w:r w:rsidRPr="00991F4E">
              <w:rPr>
                <w:szCs w:val="20"/>
              </w:rPr>
              <w:t>Pruritus generalis</w:t>
            </w:r>
            <w:r w:rsidR="00A52977" w:rsidRPr="00991F4E">
              <w:rPr>
                <w:szCs w:val="20"/>
              </w:rPr>
              <w:t>ed</w:t>
            </w:r>
          </w:p>
        </w:tc>
        <w:tc>
          <w:tcPr>
            <w:tcW w:w="670" w:type="pct"/>
          </w:tcPr>
          <w:p w:rsidR="00A52977" w:rsidRPr="00991F4E" w:rsidRDefault="00A52977" w:rsidP="00CC4980">
            <w:pPr>
              <w:pStyle w:val="TableText"/>
              <w:spacing w:before="20" w:after="20"/>
              <w:jc w:val="center"/>
              <w:rPr>
                <w:szCs w:val="20"/>
              </w:rPr>
            </w:pPr>
            <w:r w:rsidRPr="00991F4E">
              <w:rPr>
                <w:szCs w:val="20"/>
              </w:rPr>
              <w:t>Common</w:t>
            </w:r>
          </w:p>
        </w:tc>
        <w:tc>
          <w:tcPr>
            <w:tcW w:w="572" w:type="pct"/>
          </w:tcPr>
          <w:p w:rsidR="00A52977" w:rsidRPr="00991F4E" w:rsidRDefault="00A52977" w:rsidP="00CC4980">
            <w:pPr>
              <w:pStyle w:val="TableText"/>
              <w:spacing w:before="20" w:after="20"/>
              <w:jc w:val="center"/>
              <w:rPr>
                <w:szCs w:val="20"/>
              </w:rPr>
            </w:pPr>
            <w:r w:rsidRPr="00991F4E">
              <w:rPr>
                <w:szCs w:val="20"/>
              </w:rPr>
              <w:t>2 (2.50)</w:t>
            </w:r>
          </w:p>
        </w:tc>
        <w:tc>
          <w:tcPr>
            <w:tcW w:w="572" w:type="pct"/>
          </w:tcPr>
          <w:p w:rsidR="00A52977" w:rsidRPr="00593946" w:rsidRDefault="00A52977" w:rsidP="00CC4980">
            <w:pPr>
              <w:pStyle w:val="TableText"/>
              <w:spacing w:before="20" w:after="20"/>
              <w:jc w:val="center"/>
              <w:rPr>
                <w:szCs w:val="20"/>
              </w:rPr>
            </w:pPr>
            <w:r w:rsidRPr="00593946">
              <w:rPr>
                <w:szCs w:val="20"/>
              </w:rPr>
              <w:t>2 (0.42)</w:t>
            </w:r>
          </w:p>
        </w:tc>
      </w:tr>
      <w:tr w:rsidR="002C7B12" w:rsidRPr="00991F4E" w:rsidTr="002F70CF">
        <w:trPr>
          <w:trHeight w:val="269"/>
        </w:trPr>
        <w:tc>
          <w:tcPr>
            <w:tcW w:w="1472" w:type="pct"/>
            <w:vMerge w:val="restart"/>
          </w:tcPr>
          <w:p w:rsidR="00A52977" w:rsidRPr="00991F4E" w:rsidRDefault="00B43C06" w:rsidP="002F70CF">
            <w:pPr>
              <w:pStyle w:val="TableText"/>
              <w:keepLines/>
              <w:spacing w:before="20" w:after="20"/>
              <w:rPr>
                <w:b/>
                <w:szCs w:val="20"/>
              </w:rPr>
            </w:pPr>
            <w:r w:rsidRPr="00991F4E">
              <w:rPr>
                <w:b/>
                <w:szCs w:val="20"/>
              </w:rPr>
              <w:t>General disorders and administration site c</w:t>
            </w:r>
            <w:r w:rsidR="00A52977" w:rsidRPr="00991F4E">
              <w:rPr>
                <w:b/>
                <w:szCs w:val="20"/>
              </w:rPr>
              <w:t>onditions</w:t>
            </w:r>
          </w:p>
        </w:tc>
        <w:tc>
          <w:tcPr>
            <w:tcW w:w="1714" w:type="pct"/>
          </w:tcPr>
          <w:p w:rsidR="00A52977" w:rsidRPr="00991F4E" w:rsidRDefault="00A52977" w:rsidP="002F70CF">
            <w:pPr>
              <w:pStyle w:val="TableText"/>
              <w:keepLines/>
              <w:spacing w:before="20" w:after="20"/>
              <w:rPr>
                <w:szCs w:val="20"/>
              </w:rPr>
            </w:pPr>
            <w:r w:rsidRPr="00991F4E">
              <w:rPr>
                <w:szCs w:val="20"/>
              </w:rPr>
              <w:t>Chest discomfort</w:t>
            </w:r>
          </w:p>
        </w:tc>
        <w:tc>
          <w:tcPr>
            <w:tcW w:w="670" w:type="pct"/>
          </w:tcPr>
          <w:p w:rsidR="00A52977" w:rsidRPr="00991F4E" w:rsidRDefault="00A52977" w:rsidP="002F70CF">
            <w:pPr>
              <w:pStyle w:val="TableText"/>
              <w:keepLines/>
              <w:spacing w:before="20" w:after="20"/>
              <w:jc w:val="center"/>
              <w:rPr>
                <w:szCs w:val="20"/>
              </w:rPr>
            </w:pPr>
            <w:r w:rsidRPr="00991F4E">
              <w:rPr>
                <w:szCs w:val="20"/>
              </w:rPr>
              <w:t>Common</w:t>
            </w:r>
          </w:p>
        </w:tc>
        <w:tc>
          <w:tcPr>
            <w:tcW w:w="572" w:type="pct"/>
          </w:tcPr>
          <w:p w:rsidR="00A52977" w:rsidRPr="00991F4E" w:rsidRDefault="00A52977" w:rsidP="002F70CF">
            <w:pPr>
              <w:pStyle w:val="TableText"/>
              <w:keepLines/>
              <w:spacing w:before="20" w:after="20"/>
              <w:jc w:val="center"/>
              <w:rPr>
                <w:szCs w:val="20"/>
              </w:rPr>
            </w:pPr>
            <w:r w:rsidRPr="00991F4E">
              <w:rPr>
                <w:szCs w:val="20"/>
              </w:rPr>
              <w:t>1 (1.25)</w:t>
            </w:r>
          </w:p>
        </w:tc>
        <w:tc>
          <w:tcPr>
            <w:tcW w:w="572" w:type="pct"/>
          </w:tcPr>
          <w:p w:rsidR="00A52977" w:rsidRPr="00593946" w:rsidRDefault="00A52977" w:rsidP="002F70CF">
            <w:pPr>
              <w:pStyle w:val="TableText"/>
              <w:keepLines/>
              <w:spacing w:before="20" w:after="20"/>
              <w:jc w:val="center"/>
              <w:rPr>
                <w:szCs w:val="20"/>
              </w:rPr>
            </w:pPr>
            <w:r w:rsidRPr="00593946">
              <w:rPr>
                <w:szCs w:val="20"/>
              </w:rPr>
              <w:t>1 (0.21)</w:t>
            </w:r>
          </w:p>
        </w:tc>
      </w:tr>
      <w:tr w:rsidR="002C7B12" w:rsidRPr="00991F4E" w:rsidTr="002F70CF">
        <w:trPr>
          <w:trHeight w:val="242"/>
        </w:trPr>
        <w:tc>
          <w:tcPr>
            <w:tcW w:w="1472" w:type="pct"/>
            <w:vMerge/>
          </w:tcPr>
          <w:p w:rsidR="00A52977" w:rsidRPr="00991F4E" w:rsidRDefault="00A52977" w:rsidP="002F70CF">
            <w:pPr>
              <w:pStyle w:val="TableText"/>
              <w:keepLines/>
              <w:spacing w:before="20" w:after="20"/>
              <w:rPr>
                <w:b/>
                <w:szCs w:val="20"/>
              </w:rPr>
            </w:pPr>
          </w:p>
        </w:tc>
        <w:tc>
          <w:tcPr>
            <w:tcW w:w="1714" w:type="pct"/>
          </w:tcPr>
          <w:p w:rsidR="00A52977" w:rsidRPr="00991F4E" w:rsidRDefault="00A52977" w:rsidP="002F70CF">
            <w:pPr>
              <w:pStyle w:val="TableText"/>
              <w:keepLines/>
              <w:spacing w:before="20" w:after="20"/>
              <w:rPr>
                <w:szCs w:val="20"/>
              </w:rPr>
            </w:pPr>
            <w:r w:rsidRPr="00991F4E">
              <w:rPr>
                <w:szCs w:val="20"/>
              </w:rPr>
              <w:t>Infusion site paraesthesia</w:t>
            </w:r>
          </w:p>
        </w:tc>
        <w:tc>
          <w:tcPr>
            <w:tcW w:w="670" w:type="pct"/>
          </w:tcPr>
          <w:p w:rsidR="00A52977" w:rsidRPr="00991F4E" w:rsidRDefault="00A52977" w:rsidP="002F70CF">
            <w:pPr>
              <w:pStyle w:val="TableText"/>
              <w:keepLines/>
              <w:spacing w:before="20" w:after="20"/>
              <w:jc w:val="center"/>
              <w:rPr>
                <w:szCs w:val="20"/>
              </w:rPr>
            </w:pPr>
            <w:r w:rsidRPr="00991F4E">
              <w:rPr>
                <w:szCs w:val="20"/>
              </w:rPr>
              <w:t>Common</w:t>
            </w:r>
          </w:p>
        </w:tc>
        <w:tc>
          <w:tcPr>
            <w:tcW w:w="572" w:type="pct"/>
          </w:tcPr>
          <w:p w:rsidR="00A52977" w:rsidRPr="00991F4E" w:rsidRDefault="00A52977" w:rsidP="002F70CF">
            <w:pPr>
              <w:pStyle w:val="TableText"/>
              <w:keepLines/>
              <w:spacing w:before="20" w:after="20"/>
              <w:jc w:val="center"/>
              <w:rPr>
                <w:szCs w:val="20"/>
              </w:rPr>
            </w:pPr>
            <w:r w:rsidRPr="00991F4E">
              <w:rPr>
                <w:szCs w:val="20"/>
              </w:rPr>
              <w:t>1 (1.25)</w:t>
            </w:r>
          </w:p>
        </w:tc>
        <w:tc>
          <w:tcPr>
            <w:tcW w:w="572" w:type="pct"/>
          </w:tcPr>
          <w:p w:rsidR="00A52977" w:rsidRPr="00593946" w:rsidRDefault="00A52977" w:rsidP="002F70CF">
            <w:pPr>
              <w:pStyle w:val="TableText"/>
              <w:keepLines/>
              <w:spacing w:before="20" w:after="20"/>
              <w:jc w:val="center"/>
              <w:rPr>
                <w:szCs w:val="20"/>
              </w:rPr>
            </w:pPr>
            <w:r w:rsidRPr="00593946">
              <w:rPr>
                <w:szCs w:val="20"/>
              </w:rPr>
              <w:t>1 (0.21)</w:t>
            </w:r>
          </w:p>
        </w:tc>
      </w:tr>
      <w:tr w:rsidR="002C7B12" w:rsidRPr="00991F4E" w:rsidTr="002F70CF">
        <w:trPr>
          <w:trHeight w:val="167"/>
        </w:trPr>
        <w:tc>
          <w:tcPr>
            <w:tcW w:w="1472" w:type="pct"/>
            <w:vMerge w:val="restart"/>
          </w:tcPr>
          <w:p w:rsidR="00A52977" w:rsidRPr="00991F4E" w:rsidRDefault="00A52977" w:rsidP="00A21367">
            <w:pPr>
              <w:pStyle w:val="TableText"/>
              <w:spacing w:before="20" w:after="20"/>
              <w:rPr>
                <w:b/>
                <w:szCs w:val="20"/>
              </w:rPr>
            </w:pPr>
            <w:r w:rsidRPr="00991F4E">
              <w:rPr>
                <w:b/>
                <w:szCs w:val="20"/>
              </w:rPr>
              <w:t>Investigations</w:t>
            </w:r>
          </w:p>
        </w:tc>
        <w:tc>
          <w:tcPr>
            <w:tcW w:w="1714" w:type="pct"/>
          </w:tcPr>
          <w:p w:rsidR="00A52977" w:rsidRPr="00991F4E" w:rsidRDefault="00A52977" w:rsidP="00991F4E">
            <w:pPr>
              <w:pStyle w:val="TableText"/>
              <w:keepNext/>
              <w:keepLines/>
              <w:spacing w:before="20" w:after="20"/>
              <w:rPr>
                <w:szCs w:val="20"/>
              </w:rPr>
            </w:pPr>
            <w:r w:rsidRPr="00991F4E">
              <w:rPr>
                <w:szCs w:val="20"/>
              </w:rPr>
              <w:t>Electrocardiogram T wave inversion</w:t>
            </w:r>
          </w:p>
        </w:tc>
        <w:tc>
          <w:tcPr>
            <w:tcW w:w="670" w:type="pct"/>
          </w:tcPr>
          <w:p w:rsidR="00A52977" w:rsidRPr="00991F4E" w:rsidRDefault="00A52977" w:rsidP="00991F4E">
            <w:pPr>
              <w:pStyle w:val="TableText"/>
              <w:keepNext/>
              <w:keepLines/>
              <w:spacing w:before="20" w:after="20"/>
              <w:jc w:val="center"/>
              <w:rPr>
                <w:szCs w:val="20"/>
              </w:rPr>
            </w:pPr>
            <w:r w:rsidRPr="00991F4E">
              <w:rPr>
                <w:szCs w:val="20"/>
              </w:rPr>
              <w:t>Common</w:t>
            </w:r>
          </w:p>
        </w:tc>
        <w:tc>
          <w:tcPr>
            <w:tcW w:w="572" w:type="pct"/>
          </w:tcPr>
          <w:p w:rsidR="00A52977" w:rsidRPr="00991F4E" w:rsidRDefault="00A52977" w:rsidP="00991F4E">
            <w:pPr>
              <w:pStyle w:val="TableText"/>
              <w:keepNext/>
              <w:keepLines/>
              <w:spacing w:before="20" w:after="20"/>
              <w:jc w:val="center"/>
              <w:rPr>
                <w:szCs w:val="20"/>
              </w:rPr>
            </w:pPr>
            <w:r w:rsidRPr="00991F4E">
              <w:rPr>
                <w:szCs w:val="20"/>
              </w:rPr>
              <w:t>1 (1.25)</w:t>
            </w:r>
          </w:p>
        </w:tc>
        <w:tc>
          <w:tcPr>
            <w:tcW w:w="572" w:type="pct"/>
          </w:tcPr>
          <w:p w:rsidR="00A52977" w:rsidRPr="00593946" w:rsidRDefault="00A52977" w:rsidP="00991F4E">
            <w:pPr>
              <w:pStyle w:val="TableText"/>
              <w:keepNext/>
              <w:keepLines/>
              <w:spacing w:before="20" w:after="20"/>
              <w:jc w:val="center"/>
              <w:rPr>
                <w:szCs w:val="20"/>
              </w:rPr>
            </w:pPr>
            <w:r w:rsidRPr="00593946">
              <w:rPr>
                <w:szCs w:val="20"/>
              </w:rPr>
              <w:t>1 (0.21)</w:t>
            </w:r>
          </w:p>
        </w:tc>
      </w:tr>
      <w:tr w:rsidR="002C7B12" w:rsidRPr="00991F4E" w:rsidTr="002F70CF">
        <w:trPr>
          <w:trHeight w:val="251"/>
        </w:trPr>
        <w:tc>
          <w:tcPr>
            <w:tcW w:w="1472" w:type="pct"/>
            <w:vMerge/>
            <w:tcBorders>
              <w:bottom w:val="single" w:sz="4" w:space="0" w:color="auto"/>
            </w:tcBorders>
            <w:vAlign w:val="center"/>
          </w:tcPr>
          <w:p w:rsidR="00A52977" w:rsidRPr="00991F4E" w:rsidRDefault="00A52977" w:rsidP="00A21367">
            <w:pPr>
              <w:tabs>
                <w:tab w:val="left" w:pos="854"/>
              </w:tabs>
              <w:spacing w:before="20" w:after="20" w:line="240" w:lineRule="auto"/>
              <w:contextualSpacing/>
              <w:rPr>
                <w:b/>
                <w:caps/>
                <w:szCs w:val="22"/>
                <w:lang w:val="de-DE"/>
              </w:rPr>
            </w:pPr>
          </w:p>
        </w:tc>
        <w:tc>
          <w:tcPr>
            <w:tcW w:w="1714" w:type="pct"/>
            <w:tcBorders>
              <w:bottom w:val="single" w:sz="4" w:space="0" w:color="auto"/>
            </w:tcBorders>
            <w:vAlign w:val="center"/>
          </w:tcPr>
          <w:p w:rsidR="00A52977" w:rsidRPr="00991F4E" w:rsidRDefault="00A52977" w:rsidP="00A21367">
            <w:pPr>
              <w:pStyle w:val="TableText"/>
              <w:spacing w:before="20" w:after="20"/>
              <w:rPr>
                <w:szCs w:val="20"/>
              </w:rPr>
            </w:pPr>
            <w:r w:rsidRPr="00991F4E">
              <w:rPr>
                <w:szCs w:val="20"/>
              </w:rPr>
              <w:t>Heart rate increased</w:t>
            </w:r>
          </w:p>
        </w:tc>
        <w:tc>
          <w:tcPr>
            <w:tcW w:w="670" w:type="pct"/>
            <w:tcBorders>
              <w:bottom w:val="single" w:sz="4" w:space="0" w:color="auto"/>
            </w:tcBorders>
            <w:vAlign w:val="center"/>
          </w:tcPr>
          <w:p w:rsidR="00A52977" w:rsidRPr="00991F4E" w:rsidRDefault="00A52977" w:rsidP="00A21367">
            <w:pPr>
              <w:pStyle w:val="TableText"/>
              <w:spacing w:before="20" w:after="20"/>
              <w:jc w:val="center"/>
              <w:rPr>
                <w:szCs w:val="20"/>
              </w:rPr>
            </w:pPr>
            <w:r w:rsidRPr="00991F4E">
              <w:rPr>
                <w:szCs w:val="20"/>
              </w:rPr>
              <w:t>Common</w:t>
            </w:r>
          </w:p>
        </w:tc>
        <w:tc>
          <w:tcPr>
            <w:tcW w:w="572" w:type="pct"/>
            <w:tcBorders>
              <w:bottom w:val="single" w:sz="4" w:space="0" w:color="auto"/>
            </w:tcBorders>
            <w:vAlign w:val="center"/>
          </w:tcPr>
          <w:p w:rsidR="00A52977" w:rsidRPr="00991F4E" w:rsidRDefault="00A52977" w:rsidP="00A21367">
            <w:pPr>
              <w:pStyle w:val="TableText"/>
              <w:spacing w:before="20" w:after="20"/>
              <w:jc w:val="center"/>
              <w:rPr>
                <w:szCs w:val="20"/>
              </w:rPr>
            </w:pPr>
            <w:r w:rsidRPr="00991F4E">
              <w:rPr>
                <w:szCs w:val="20"/>
              </w:rPr>
              <w:t>1 (1.25)</w:t>
            </w:r>
          </w:p>
        </w:tc>
        <w:tc>
          <w:tcPr>
            <w:tcW w:w="572" w:type="pct"/>
            <w:tcBorders>
              <w:bottom w:val="single" w:sz="4" w:space="0" w:color="auto"/>
            </w:tcBorders>
            <w:vAlign w:val="center"/>
          </w:tcPr>
          <w:p w:rsidR="00A52977" w:rsidRPr="00593946" w:rsidRDefault="00A52977" w:rsidP="00A21367">
            <w:pPr>
              <w:pStyle w:val="TableText"/>
              <w:spacing w:before="20" w:after="20"/>
              <w:jc w:val="center"/>
              <w:rPr>
                <w:szCs w:val="20"/>
              </w:rPr>
            </w:pPr>
            <w:r w:rsidRPr="00593946">
              <w:rPr>
                <w:szCs w:val="20"/>
              </w:rPr>
              <w:t>1 (0.21)</w:t>
            </w:r>
          </w:p>
        </w:tc>
      </w:tr>
      <w:tr w:rsidR="00A52977" w:rsidRPr="00991F4E" w:rsidTr="002F70CF">
        <w:trPr>
          <w:trHeight w:val="627"/>
        </w:trPr>
        <w:tc>
          <w:tcPr>
            <w:tcW w:w="5000" w:type="pct"/>
            <w:gridSpan w:val="5"/>
            <w:tcBorders>
              <w:top w:val="single" w:sz="4" w:space="0" w:color="auto"/>
              <w:left w:val="nil"/>
              <w:bottom w:val="nil"/>
              <w:right w:val="nil"/>
            </w:tcBorders>
            <w:vAlign w:val="center"/>
          </w:tcPr>
          <w:p w:rsidR="00A52977" w:rsidRPr="00991F4E" w:rsidRDefault="00A52977" w:rsidP="00A21367">
            <w:pPr>
              <w:pStyle w:val="TableFootnote"/>
              <w:tabs>
                <w:tab w:val="clear" w:pos="216"/>
                <w:tab w:val="left" w:pos="57"/>
              </w:tabs>
              <w:spacing w:before="20" w:after="20"/>
              <w:ind w:left="113" w:hanging="113"/>
              <w:contextualSpacing/>
            </w:pPr>
            <w:r w:rsidRPr="00991F4E">
              <w:rPr>
                <w:vertAlign w:val="superscript"/>
              </w:rPr>
              <w:t>a</w:t>
            </w:r>
            <w:r w:rsidRPr="00991F4E">
              <w:t xml:space="preserve"> </w:t>
            </w:r>
            <w:r w:rsidRPr="00991F4E">
              <w:rPr>
                <w:b/>
              </w:rPr>
              <w:t>Frequency by Subject:</w:t>
            </w:r>
            <w:r w:rsidRPr="00991F4E">
              <w:t xml:space="preserve"> Total number of subjects experiencing the AE (related and unrelated) divided by total number of subjects (N) and multiplied by 100.</w:t>
            </w:r>
          </w:p>
          <w:p w:rsidR="00A52977" w:rsidRDefault="00A52977" w:rsidP="003D15CD">
            <w:pPr>
              <w:pStyle w:val="TableFootnote"/>
              <w:tabs>
                <w:tab w:val="clear" w:pos="216"/>
                <w:tab w:val="left" w:pos="57"/>
              </w:tabs>
              <w:spacing w:before="20" w:after="20"/>
              <w:ind w:left="113" w:hanging="113"/>
              <w:contextualSpacing/>
            </w:pPr>
            <w:r w:rsidRPr="00991F4E">
              <w:rPr>
                <w:vertAlign w:val="superscript"/>
              </w:rPr>
              <w:t>b</w:t>
            </w:r>
            <w:r w:rsidRPr="00991F4E">
              <w:t xml:space="preserve"> </w:t>
            </w:r>
            <w:r w:rsidRPr="00991F4E">
              <w:rPr>
                <w:b/>
              </w:rPr>
              <w:t>Frequency by Infusion:</w:t>
            </w:r>
            <w:r w:rsidRPr="00991F4E">
              <w:t xml:space="preserve"> Total number of unique infusions after which at least one AE was reported of the </w:t>
            </w:r>
            <w:r w:rsidRPr="00991F4E">
              <w:lastRenderedPageBreak/>
              <w:t>respective ADR preferred term divided by total number of infusions (N) and multiplied by 100.</w:t>
            </w:r>
          </w:p>
          <w:p w:rsidR="003D15CD" w:rsidRPr="003D15CD" w:rsidRDefault="003D15CD" w:rsidP="00A21367">
            <w:pPr>
              <w:pStyle w:val="TableFootnote"/>
              <w:tabs>
                <w:tab w:val="clear" w:pos="216"/>
                <w:tab w:val="left" w:pos="57"/>
              </w:tabs>
              <w:spacing w:before="20" w:after="120"/>
              <w:ind w:left="113" w:hanging="113"/>
              <w:contextualSpacing/>
              <w:rPr>
                <w:szCs w:val="22"/>
                <w:lang w:val="en-AU"/>
              </w:rPr>
            </w:pPr>
            <w:r>
              <w:rPr>
                <w:vertAlign w:val="superscript"/>
                <w:lang w:val="en-AU"/>
              </w:rPr>
              <w:t xml:space="preserve">c </w:t>
            </w:r>
            <w:r>
              <w:rPr>
                <w:b/>
                <w:lang w:val="en-AU"/>
              </w:rPr>
              <w:t xml:space="preserve">Total number of subjects analysed: </w:t>
            </w:r>
            <w:r>
              <w:rPr>
                <w:lang w:val="en-AU"/>
              </w:rPr>
              <w:t>31 subjects in study 070701, 37 subjects in study 071001 and 15 subjects in study 071101 were treated with VEYVONDI. Among these, 3 subjects participated in more than one study.</w:t>
            </w:r>
          </w:p>
        </w:tc>
      </w:tr>
    </w:tbl>
    <w:p w:rsidR="00367380" w:rsidRPr="00BD6FBE" w:rsidRDefault="00367380" w:rsidP="007B162C">
      <w:pPr>
        <w:pStyle w:val="Heading3"/>
        <w:numPr>
          <w:ilvl w:val="0"/>
          <w:numId w:val="0"/>
        </w:numPr>
        <w:spacing w:before="120" w:after="120"/>
        <w:ind w:left="907" w:hanging="907"/>
        <w:rPr>
          <w:i/>
          <w:iCs/>
        </w:rPr>
      </w:pPr>
      <w:r w:rsidRPr="00BD6FBE">
        <w:rPr>
          <w:i/>
          <w:iCs/>
        </w:rPr>
        <w:lastRenderedPageBreak/>
        <w:t xml:space="preserve">Description of selected adverse reactions </w:t>
      </w:r>
    </w:p>
    <w:p w:rsidR="0033780E" w:rsidRPr="00D50DF8" w:rsidRDefault="0033780E" w:rsidP="007B162C">
      <w:pPr>
        <w:pStyle w:val="Heading4"/>
        <w:numPr>
          <w:ilvl w:val="0"/>
          <w:numId w:val="0"/>
        </w:numPr>
        <w:spacing w:before="120" w:after="120"/>
        <w:ind w:left="907" w:hanging="907"/>
        <w:rPr>
          <w:bCs w:val="0"/>
          <w:noProof/>
          <w:szCs w:val="24"/>
          <w:u w:val="single"/>
        </w:rPr>
      </w:pPr>
      <w:r w:rsidRPr="00D50DF8">
        <w:rPr>
          <w:bCs w:val="0"/>
          <w:noProof/>
          <w:szCs w:val="24"/>
          <w:u w:val="single"/>
        </w:rPr>
        <w:t>Hypersensitivity</w:t>
      </w:r>
    </w:p>
    <w:p w:rsidR="0033780E" w:rsidRPr="00D50DF8" w:rsidRDefault="0033780E" w:rsidP="007B162C">
      <w:pPr>
        <w:pStyle w:val="BodytextAgency"/>
        <w:spacing w:before="120" w:after="120" w:line="240" w:lineRule="auto"/>
        <w:rPr>
          <w:rFonts w:ascii="Times New Roman" w:hAnsi="Times New Roman" w:cs="Times New Roman"/>
          <w:noProof/>
          <w:sz w:val="24"/>
          <w:szCs w:val="24"/>
        </w:rPr>
      </w:pPr>
      <w:r w:rsidRPr="00D50DF8">
        <w:rPr>
          <w:rFonts w:ascii="Times New Roman" w:hAnsi="Times New Roman" w:cs="Times New Roman"/>
          <w:noProof/>
          <w:sz w:val="24"/>
          <w:szCs w:val="24"/>
        </w:rPr>
        <w:t>There is a possibility of developing hypersensitivity or allergic reactions (which may include angioedema, burning and stinging at the infusion site, chills, flushing, rhinoconjunctivitis, generalised urticaria, headache, hives, hypotension, lethargy, nausea, restlessness, tachycardia, tightness of the chest, tingling, vomiting, wheezing) which may in some cases progress to anaphylaxis (including shock).</w:t>
      </w:r>
    </w:p>
    <w:p w:rsidR="0033780E" w:rsidRPr="00D50DF8" w:rsidRDefault="0033780E" w:rsidP="007B162C">
      <w:pPr>
        <w:pStyle w:val="BodytextAgency"/>
        <w:spacing w:before="120" w:after="120" w:line="240" w:lineRule="auto"/>
        <w:rPr>
          <w:rFonts w:ascii="Times New Roman" w:hAnsi="Times New Roman" w:cs="Times New Roman"/>
          <w:noProof/>
          <w:sz w:val="24"/>
          <w:szCs w:val="24"/>
        </w:rPr>
      </w:pPr>
      <w:r w:rsidRPr="00D50DF8">
        <w:rPr>
          <w:rFonts w:ascii="Times New Roman" w:hAnsi="Times New Roman" w:cs="Times New Roman"/>
          <w:noProof/>
          <w:sz w:val="24"/>
          <w:szCs w:val="24"/>
        </w:rPr>
        <w:t xml:space="preserve">Patients with </w:t>
      </w:r>
      <w:r>
        <w:rPr>
          <w:rFonts w:ascii="Times New Roman" w:hAnsi="Times New Roman" w:cs="Times New Roman"/>
          <w:noProof/>
          <w:sz w:val="24"/>
          <w:szCs w:val="24"/>
        </w:rPr>
        <w:t>VWD</w:t>
      </w:r>
      <w:r w:rsidRPr="00D50DF8">
        <w:rPr>
          <w:rFonts w:ascii="Times New Roman" w:hAnsi="Times New Roman" w:cs="Times New Roman"/>
          <w:noProof/>
          <w:sz w:val="24"/>
          <w:szCs w:val="24"/>
        </w:rPr>
        <w:t xml:space="preserve">, especially Type 3, may very rarely develop neutralising antibodies (inhibitors) to </w:t>
      </w:r>
      <w:r>
        <w:rPr>
          <w:rFonts w:ascii="Times New Roman" w:hAnsi="Times New Roman" w:cs="Times New Roman"/>
          <w:noProof/>
          <w:sz w:val="24"/>
          <w:szCs w:val="24"/>
        </w:rPr>
        <w:t>VWF</w:t>
      </w:r>
      <w:r w:rsidRPr="00D50DF8">
        <w:rPr>
          <w:rFonts w:ascii="Times New Roman" w:hAnsi="Times New Roman" w:cs="Times New Roman"/>
          <w:noProof/>
          <w:sz w:val="24"/>
          <w:szCs w:val="24"/>
        </w:rPr>
        <w:t>. If such inhibitors occur, the condition may manifest itself as an inadequate clinical response. Such antibodies may occur in close association with hypersensitivity or anaphylactic reactions. Therefore, patients experiencing hypersensitivity or anaphylactic reactions should be tested and evaluated for the presence of an inhibitor.</w:t>
      </w:r>
    </w:p>
    <w:p w:rsidR="0033780E" w:rsidRPr="00D50DF8" w:rsidRDefault="0033780E" w:rsidP="007B162C">
      <w:pPr>
        <w:pStyle w:val="BodytextAgency"/>
        <w:spacing w:before="120" w:after="120" w:line="240" w:lineRule="auto"/>
        <w:rPr>
          <w:rFonts w:ascii="Times New Roman" w:hAnsi="Times New Roman" w:cs="Times New Roman"/>
          <w:noProof/>
          <w:sz w:val="24"/>
          <w:szCs w:val="24"/>
        </w:rPr>
      </w:pPr>
      <w:r w:rsidRPr="00D50DF8">
        <w:rPr>
          <w:rFonts w:ascii="Times New Roman" w:hAnsi="Times New Roman" w:cs="Times New Roman"/>
          <w:noProof/>
          <w:sz w:val="24"/>
          <w:szCs w:val="24"/>
        </w:rPr>
        <w:t>In all such cases, it is recommended that a specialised haemophilia centre be contacted.</w:t>
      </w:r>
    </w:p>
    <w:p w:rsidR="0033780E" w:rsidRPr="00D50DF8" w:rsidRDefault="0033780E" w:rsidP="007B162C">
      <w:pPr>
        <w:pStyle w:val="Heading4"/>
        <w:numPr>
          <w:ilvl w:val="0"/>
          <w:numId w:val="0"/>
        </w:numPr>
        <w:spacing w:before="120" w:after="120"/>
        <w:ind w:left="907" w:hanging="907"/>
        <w:rPr>
          <w:bCs w:val="0"/>
          <w:noProof/>
          <w:szCs w:val="24"/>
          <w:u w:val="single"/>
        </w:rPr>
      </w:pPr>
      <w:bookmarkStart w:id="15" w:name="_Ref3218585"/>
      <w:r w:rsidRPr="00D50DF8">
        <w:rPr>
          <w:bCs w:val="0"/>
          <w:noProof/>
          <w:szCs w:val="24"/>
          <w:u w:val="single"/>
        </w:rPr>
        <w:t>Thrombogenicity</w:t>
      </w:r>
      <w:bookmarkEnd w:id="15"/>
    </w:p>
    <w:p w:rsidR="00957464" w:rsidRDefault="00B43C06" w:rsidP="00B43C06">
      <w:pPr>
        <w:pStyle w:val="BodytextAgency"/>
        <w:spacing w:before="120" w:after="120" w:line="240" w:lineRule="auto"/>
        <w:rPr>
          <w:rFonts w:ascii="Times New Roman" w:hAnsi="Times New Roman" w:cs="Times New Roman"/>
          <w:noProof/>
          <w:sz w:val="24"/>
          <w:szCs w:val="24"/>
        </w:rPr>
      </w:pPr>
      <w:r w:rsidRPr="00CB13FC">
        <w:rPr>
          <w:rFonts w:ascii="Times New Roman" w:hAnsi="Times New Roman" w:cs="Times New Roman"/>
          <w:noProof/>
          <w:sz w:val="24"/>
          <w:szCs w:val="24"/>
        </w:rPr>
        <w:t>In clinical trials, one case of clinically asymptomatic deep vein thrombosis (DVT) was reported for a subject in the surgery study who had total hip replacement. In addition, one post-marketing case of DVT has been reported spontaneously in an elderly patient.</w:t>
      </w:r>
      <w:r w:rsidR="00957464">
        <w:rPr>
          <w:rFonts w:ascii="Times New Roman" w:hAnsi="Times New Roman" w:cs="Times New Roman"/>
          <w:noProof/>
          <w:sz w:val="24"/>
          <w:szCs w:val="24"/>
        </w:rPr>
        <w:t xml:space="preserve"> </w:t>
      </w:r>
    </w:p>
    <w:p w:rsidR="0033780E" w:rsidRPr="00D50DF8" w:rsidRDefault="0033780E" w:rsidP="007B162C">
      <w:pPr>
        <w:pStyle w:val="Heading4"/>
        <w:numPr>
          <w:ilvl w:val="0"/>
          <w:numId w:val="0"/>
        </w:numPr>
        <w:spacing w:before="120" w:after="120"/>
        <w:ind w:left="907" w:hanging="907"/>
        <w:rPr>
          <w:bCs w:val="0"/>
          <w:noProof/>
          <w:szCs w:val="24"/>
          <w:u w:val="single"/>
        </w:rPr>
      </w:pPr>
      <w:r w:rsidRPr="00D50DF8">
        <w:rPr>
          <w:bCs w:val="0"/>
          <w:noProof/>
          <w:szCs w:val="24"/>
          <w:u w:val="single"/>
        </w:rPr>
        <w:t>Immunogenicity</w:t>
      </w:r>
    </w:p>
    <w:p w:rsidR="0033780E" w:rsidRDefault="0033780E" w:rsidP="007B162C">
      <w:pPr>
        <w:pStyle w:val="BodytextAgency"/>
        <w:spacing w:before="120" w:after="120" w:line="240" w:lineRule="auto"/>
        <w:rPr>
          <w:rFonts w:ascii="Times New Roman" w:hAnsi="Times New Roman" w:cs="Times New Roman"/>
          <w:noProof/>
          <w:sz w:val="24"/>
          <w:szCs w:val="24"/>
        </w:rPr>
      </w:pPr>
      <w:r w:rsidRPr="00D50DF8">
        <w:rPr>
          <w:rFonts w:ascii="Times New Roman" w:hAnsi="Times New Roman" w:cs="Times New Roman"/>
          <w:noProof/>
          <w:sz w:val="24"/>
          <w:szCs w:val="24"/>
        </w:rPr>
        <w:t xml:space="preserve">The immunogenicity of VEYVONDI was assessed in clinical trials by monitoring the development of </w:t>
      </w:r>
      <w:r>
        <w:rPr>
          <w:rFonts w:ascii="Times New Roman" w:hAnsi="Times New Roman" w:cs="Times New Roman"/>
          <w:noProof/>
          <w:sz w:val="24"/>
          <w:szCs w:val="24"/>
        </w:rPr>
        <w:t>neutralis</w:t>
      </w:r>
      <w:r w:rsidRPr="00D50DF8">
        <w:rPr>
          <w:rFonts w:ascii="Times New Roman" w:hAnsi="Times New Roman" w:cs="Times New Roman"/>
          <w:noProof/>
          <w:sz w:val="24"/>
          <w:szCs w:val="24"/>
        </w:rPr>
        <w:t>ing antibodies against VWF and FVIII, as well as binding antibodies against VWF, Furin, Chinese Hamster Ovary (CHO) protein and mouse IgG. No treatment</w:t>
      </w:r>
      <w:r>
        <w:rPr>
          <w:rFonts w:ascii="Times New Roman" w:hAnsi="Times New Roman" w:cs="Times New Roman"/>
          <w:noProof/>
          <w:sz w:val="24"/>
          <w:szCs w:val="24"/>
        </w:rPr>
        <w:noBreakHyphen/>
      </w:r>
      <w:r w:rsidRPr="00D50DF8">
        <w:rPr>
          <w:rFonts w:ascii="Times New Roman" w:hAnsi="Times New Roman" w:cs="Times New Roman"/>
          <w:noProof/>
          <w:sz w:val="24"/>
          <w:szCs w:val="24"/>
        </w:rPr>
        <w:t>e</w:t>
      </w:r>
      <w:r>
        <w:rPr>
          <w:rFonts w:ascii="Times New Roman" w:hAnsi="Times New Roman" w:cs="Times New Roman"/>
          <w:noProof/>
          <w:sz w:val="24"/>
          <w:szCs w:val="24"/>
        </w:rPr>
        <w:t>mergent development of neutralis</w:t>
      </w:r>
      <w:r w:rsidRPr="00D50DF8">
        <w:rPr>
          <w:rFonts w:ascii="Times New Roman" w:hAnsi="Times New Roman" w:cs="Times New Roman"/>
          <w:noProof/>
          <w:sz w:val="24"/>
          <w:szCs w:val="24"/>
        </w:rPr>
        <w:t>ing antibodies against human VWF or neutrali</w:t>
      </w:r>
      <w:r>
        <w:rPr>
          <w:rFonts w:ascii="Times New Roman" w:hAnsi="Times New Roman" w:cs="Times New Roman"/>
          <w:noProof/>
          <w:sz w:val="24"/>
          <w:szCs w:val="24"/>
        </w:rPr>
        <w:t>s</w:t>
      </w:r>
      <w:r w:rsidRPr="00D50DF8">
        <w:rPr>
          <w:rFonts w:ascii="Times New Roman" w:hAnsi="Times New Roman" w:cs="Times New Roman"/>
          <w:noProof/>
          <w:sz w:val="24"/>
          <w:szCs w:val="24"/>
        </w:rPr>
        <w:t>ing antibodies against human rFVIII was observed. One of the 80 subj</w:t>
      </w:r>
      <w:r>
        <w:rPr>
          <w:rFonts w:ascii="Times New Roman" w:hAnsi="Times New Roman" w:cs="Times New Roman"/>
          <w:noProof/>
          <w:sz w:val="24"/>
          <w:szCs w:val="24"/>
        </w:rPr>
        <w:t>ects who received VEYVONDI peri</w:t>
      </w:r>
      <w:r w:rsidRPr="00D50DF8">
        <w:rPr>
          <w:rFonts w:ascii="Times New Roman" w:hAnsi="Times New Roman" w:cs="Times New Roman"/>
          <w:noProof/>
          <w:sz w:val="24"/>
          <w:szCs w:val="24"/>
        </w:rPr>
        <w:t>operatively in clinical studies developed treatment-emergent binding antibodies against VWF following a surgery for whom no adverse events or lack of haemostatic efficacy has been reported. Binding antibodies against impurities such as rFurin, CHO-protein or mouse IgG were not observed after treatment with VEYVONDI.</w:t>
      </w:r>
    </w:p>
    <w:p w:rsidR="00D64BFB" w:rsidRPr="00D50DF8" w:rsidRDefault="00D64BFB" w:rsidP="007B162C">
      <w:pPr>
        <w:pStyle w:val="BodytextAgency"/>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t>The long-term safety profile of VEYVONDI has not been established yet.</w:t>
      </w:r>
    </w:p>
    <w:p w:rsidR="00736CC1" w:rsidRPr="00BD6FBE" w:rsidRDefault="00D50DF8" w:rsidP="007B162C">
      <w:pPr>
        <w:pStyle w:val="Heading3"/>
        <w:numPr>
          <w:ilvl w:val="0"/>
          <w:numId w:val="0"/>
        </w:numPr>
        <w:spacing w:before="120" w:after="120"/>
        <w:ind w:left="907" w:hanging="907"/>
        <w:rPr>
          <w:i/>
          <w:iCs/>
        </w:rPr>
      </w:pPr>
      <w:r w:rsidRPr="00BD6FBE">
        <w:rPr>
          <w:i/>
          <w:iCs/>
        </w:rPr>
        <w:lastRenderedPageBreak/>
        <w:t>Post-marketing e</w:t>
      </w:r>
      <w:r w:rsidR="00736CC1" w:rsidRPr="00BD6FBE">
        <w:rPr>
          <w:i/>
          <w:iCs/>
        </w:rPr>
        <w:t>xperience</w:t>
      </w:r>
    </w:p>
    <w:p w:rsidR="00736CC1" w:rsidRDefault="00736CC1" w:rsidP="007B162C">
      <w:pPr>
        <w:pStyle w:val="BodytextAgency"/>
        <w:spacing w:before="120" w:after="120" w:line="240" w:lineRule="auto"/>
        <w:rPr>
          <w:rFonts w:ascii="Times New Roman" w:hAnsi="Times New Roman" w:cs="Times New Roman"/>
          <w:noProof/>
          <w:sz w:val="24"/>
          <w:szCs w:val="24"/>
        </w:rPr>
      </w:pPr>
      <w:r w:rsidRPr="00C65691">
        <w:rPr>
          <w:rFonts w:ascii="Times New Roman" w:hAnsi="Times New Roman" w:cs="Times New Roman"/>
          <w:noProof/>
          <w:sz w:val="24"/>
          <w:szCs w:val="24"/>
        </w:rPr>
        <w:t>Because these reactions are reported voluntarily from a population of uncertain size, it is not always possible to reliably estimate their frequency or establish a causal relationship to drug exposure.</w:t>
      </w:r>
    </w:p>
    <w:p w:rsidR="002A5B07" w:rsidRPr="003E4315" w:rsidRDefault="002A5B07" w:rsidP="007B162C">
      <w:pPr>
        <w:pStyle w:val="BodytextAgency"/>
        <w:spacing w:before="120" w:after="120" w:line="240" w:lineRule="auto"/>
        <w:rPr>
          <w:rFonts w:ascii="Times New Roman" w:hAnsi="Times New Roman" w:cs="Times New Roman"/>
          <w:noProof/>
          <w:sz w:val="24"/>
          <w:szCs w:val="24"/>
        </w:rPr>
      </w:pPr>
      <w:r w:rsidRPr="003E4315">
        <w:rPr>
          <w:rFonts w:ascii="Times New Roman" w:hAnsi="Times New Roman" w:cs="Times New Roman"/>
          <w:noProof/>
          <w:sz w:val="24"/>
          <w:szCs w:val="24"/>
        </w:rPr>
        <w:t>The following</w:t>
      </w:r>
      <w:r w:rsidR="00BA22F0" w:rsidRPr="003E4315">
        <w:rPr>
          <w:rFonts w:ascii="Times New Roman" w:hAnsi="Times New Roman" w:cs="Times New Roman"/>
          <w:noProof/>
          <w:sz w:val="24"/>
          <w:szCs w:val="24"/>
        </w:rPr>
        <w:t xml:space="preserve"> are the most common post-marketing </w:t>
      </w:r>
      <w:r w:rsidRPr="003E4315">
        <w:rPr>
          <w:rFonts w:ascii="Times New Roman" w:hAnsi="Times New Roman" w:cs="Times New Roman"/>
          <w:noProof/>
          <w:sz w:val="24"/>
          <w:szCs w:val="24"/>
        </w:rPr>
        <w:t xml:space="preserve">ADRs </w:t>
      </w:r>
      <w:r w:rsidR="00D31DCC" w:rsidRPr="003E4315">
        <w:rPr>
          <w:rFonts w:ascii="Times New Roman" w:hAnsi="Times New Roman" w:cs="Times New Roman"/>
          <w:noProof/>
          <w:sz w:val="24"/>
          <w:szCs w:val="24"/>
        </w:rPr>
        <w:t xml:space="preserve">reported in association with </w:t>
      </w:r>
      <w:r w:rsidR="007B268E" w:rsidRPr="003E4315">
        <w:rPr>
          <w:rFonts w:ascii="Times New Roman" w:hAnsi="Times New Roman" w:cs="Times New Roman"/>
          <w:noProof/>
          <w:sz w:val="24"/>
          <w:szCs w:val="24"/>
        </w:rPr>
        <w:t>VEYVONDI</w:t>
      </w:r>
      <w:r w:rsidR="00BA22F0" w:rsidRPr="003E4315">
        <w:rPr>
          <w:rFonts w:ascii="Times New Roman" w:hAnsi="Times New Roman" w:cs="Times New Roman"/>
          <w:noProof/>
          <w:sz w:val="24"/>
          <w:szCs w:val="24"/>
        </w:rPr>
        <w:t xml:space="preserve"> treatment</w:t>
      </w:r>
      <w:r w:rsidR="00765236" w:rsidRPr="003E4315">
        <w:rPr>
          <w:rFonts w:ascii="Times New Roman" w:hAnsi="Times New Roman" w:cs="Times New Roman"/>
          <w:noProof/>
          <w:sz w:val="24"/>
          <w:szCs w:val="24"/>
        </w:rPr>
        <w:t xml:space="preserve"> with an unknown frequency</w:t>
      </w:r>
      <w:r w:rsidRPr="003E4315">
        <w:rPr>
          <w:rFonts w:ascii="Times New Roman" w:hAnsi="Times New Roman" w:cs="Times New Roman"/>
          <w:noProof/>
          <w:sz w:val="24"/>
          <w:szCs w:val="24"/>
        </w:rPr>
        <w:t>, listed by MedDRA System Organ Class (SOC), then by Preferred Term.</w:t>
      </w:r>
    </w:p>
    <w:p w:rsidR="00B510A3" w:rsidRDefault="00B510A3" w:rsidP="007B162C">
      <w:pPr>
        <w:pStyle w:val="BodytextAgency"/>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t>IMMUNE SYSTEM DISORDERS:</w:t>
      </w:r>
      <w:r>
        <w:rPr>
          <w:rFonts w:ascii="Times New Roman" w:hAnsi="Times New Roman" w:cs="Times New Roman"/>
          <w:noProof/>
          <w:sz w:val="24"/>
          <w:szCs w:val="24"/>
        </w:rPr>
        <w:br/>
        <w:t>Anaphylactic reaction</w:t>
      </w:r>
    </w:p>
    <w:p w:rsidR="002A5B07" w:rsidRPr="00C65691" w:rsidRDefault="002A5B07" w:rsidP="007B162C">
      <w:pPr>
        <w:pStyle w:val="BodytextAgency"/>
        <w:spacing w:before="120" w:after="120" w:line="240" w:lineRule="auto"/>
        <w:rPr>
          <w:rFonts w:ascii="Times New Roman" w:hAnsi="Times New Roman" w:cs="Times New Roman"/>
          <w:noProof/>
          <w:sz w:val="24"/>
          <w:szCs w:val="24"/>
        </w:rPr>
      </w:pPr>
      <w:r w:rsidRPr="003E4315">
        <w:rPr>
          <w:rFonts w:ascii="Times New Roman" w:hAnsi="Times New Roman" w:cs="Times New Roman"/>
          <w:noProof/>
          <w:sz w:val="24"/>
          <w:szCs w:val="24"/>
        </w:rPr>
        <w:t>GENERAL DISORDERS AND ADMINISTRATION SITE CONDITIONS:</w:t>
      </w:r>
      <w:r w:rsidR="00BA22F0">
        <w:rPr>
          <w:rFonts w:ascii="Times New Roman" w:hAnsi="Times New Roman" w:cs="Times New Roman"/>
          <w:noProof/>
          <w:sz w:val="24"/>
          <w:szCs w:val="24"/>
        </w:rPr>
        <w:t xml:space="preserve"> </w:t>
      </w:r>
      <w:r w:rsidR="00BA22F0">
        <w:rPr>
          <w:rFonts w:ascii="Times New Roman" w:hAnsi="Times New Roman" w:cs="Times New Roman"/>
          <w:noProof/>
          <w:sz w:val="24"/>
          <w:szCs w:val="24"/>
        </w:rPr>
        <w:br/>
        <w:t>Infusion-</w:t>
      </w:r>
      <w:r>
        <w:rPr>
          <w:rFonts w:ascii="Times New Roman" w:hAnsi="Times New Roman" w:cs="Times New Roman"/>
          <w:noProof/>
          <w:sz w:val="24"/>
          <w:szCs w:val="24"/>
        </w:rPr>
        <w:t xml:space="preserve">related reaction </w:t>
      </w:r>
      <w:r w:rsidR="00BA22F0">
        <w:rPr>
          <w:rFonts w:ascii="Times New Roman" w:hAnsi="Times New Roman" w:cs="Times New Roman"/>
          <w:noProof/>
          <w:sz w:val="24"/>
          <w:szCs w:val="24"/>
        </w:rPr>
        <w:t>(IRR), clinically manifested by the following s</w:t>
      </w:r>
      <w:r>
        <w:rPr>
          <w:rFonts w:ascii="Times New Roman" w:hAnsi="Times New Roman" w:cs="Times New Roman"/>
          <w:noProof/>
          <w:sz w:val="24"/>
          <w:szCs w:val="24"/>
        </w:rPr>
        <w:t>ymptoms</w:t>
      </w:r>
      <w:r w:rsidR="00BA22F0">
        <w:rPr>
          <w:rFonts w:ascii="Times New Roman" w:hAnsi="Times New Roman" w:cs="Times New Roman"/>
          <w:noProof/>
          <w:sz w:val="24"/>
          <w:szCs w:val="24"/>
        </w:rPr>
        <w:t xml:space="preserve">: </w:t>
      </w:r>
      <w:r w:rsidRPr="00C65691">
        <w:rPr>
          <w:rFonts w:ascii="Times New Roman" w:hAnsi="Times New Roman" w:cs="Times New Roman"/>
          <w:noProof/>
          <w:sz w:val="24"/>
          <w:szCs w:val="24"/>
        </w:rPr>
        <w:t>tachycardia, flushing, rash, dyspnea, and blurred vision</w:t>
      </w:r>
      <w:r w:rsidR="00BA22F0">
        <w:rPr>
          <w:rFonts w:ascii="Times New Roman" w:hAnsi="Times New Roman" w:cs="Times New Roman"/>
          <w:noProof/>
          <w:sz w:val="24"/>
          <w:szCs w:val="24"/>
        </w:rPr>
        <w:t>.</w:t>
      </w:r>
    </w:p>
    <w:p w:rsidR="0086791B" w:rsidRDefault="00736CC1" w:rsidP="007B162C">
      <w:pPr>
        <w:pStyle w:val="BodytextAgency"/>
        <w:spacing w:before="120" w:after="120" w:line="240" w:lineRule="auto"/>
        <w:rPr>
          <w:rFonts w:ascii="Times New Roman" w:hAnsi="Times New Roman" w:cs="Times New Roman"/>
          <w:noProof/>
          <w:sz w:val="24"/>
          <w:szCs w:val="24"/>
        </w:rPr>
      </w:pPr>
      <w:r w:rsidRPr="00C65691">
        <w:rPr>
          <w:rFonts w:ascii="Times New Roman" w:hAnsi="Times New Roman" w:cs="Times New Roman"/>
          <w:noProof/>
          <w:sz w:val="24"/>
          <w:szCs w:val="24"/>
        </w:rPr>
        <w:t>In the 2 spontaneous post</w:t>
      </w:r>
      <w:r w:rsidR="009269A3">
        <w:rPr>
          <w:rFonts w:ascii="Times New Roman" w:hAnsi="Times New Roman" w:cs="Times New Roman"/>
          <w:noProof/>
          <w:sz w:val="24"/>
          <w:szCs w:val="24"/>
        </w:rPr>
        <w:noBreakHyphen/>
      </w:r>
      <w:r w:rsidRPr="00C65691">
        <w:rPr>
          <w:rFonts w:ascii="Times New Roman" w:hAnsi="Times New Roman" w:cs="Times New Roman"/>
          <w:noProof/>
          <w:sz w:val="24"/>
          <w:szCs w:val="24"/>
        </w:rPr>
        <w:t xml:space="preserve">marketing cases </w:t>
      </w:r>
      <w:r w:rsidR="009328F2">
        <w:rPr>
          <w:rFonts w:ascii="Times New Roman" w:hAnsi="Times New Roman" w:cs="Times New Roman"/>
          <w:noProof/>
          <w:sz w:val="24"/>
          <w:szCs w:val="24"/>
        </w:rPr>
        <w:t xml:space="preserve">reported </w:t>
      </w:r>
      <w:r w:rsidR="00D31DCC">
        <w:rPr>
          <w:rFonts w:ascii="Times New Roman" w:hAnsi="Times New Roman" w:cs="Times New Roman"/>
          <w:noProof/>
          <w:sz w:val="24"/>
          <w:szCs w:val="24"/>
        </w:rPr>
        <w:t>of infusion</w:t>
      </w:r>
      <w:r w:rsidR="002A5B07">
        <w:rPr>
          <w:rFonts w:ascii="Times New Roman" w:hAnsi="Times New Roman" w:cs="Times New Roman"/>
          <w:noProof/>
          <w:sz w:val="24"/>
          <w:szCs w:val="24"/>
        </w:rPr>
        <w:t xml:space="preserve"> related reactions</w:t>
      </w:r>
      <w:r w:rsidRPr="00C65691">
        <w:rPr>
          <w:rFonts w:ascii="Times New Roman" w:hAnsi="Times New Roman" w:cs="Times New Roman"/>
          <w:noProof/>
          <w:sz w:val="24"/>
          <w:szCs w:val="24"/>
        </w:rPr>
        <w:t>, the symptoms resolved and the patients fully recovered in approximately 20 minutes to 4 hours upon stopping the infusion.</w:t>
      </w:r>
    </w:p>
    <w:p w:rsidR="00033D26" w:rsidRPr="00BD6FBE" w:rsidRDefault="0064542F" w:rsidP="007B162C">
      <w:pPr>
        <w:pStyle w:val="Heading3"/>
        <w:numPr>
          <w:ilvl w:val="0"/>
          <w:numId w:val="0"/>
        </w:numPr>
        <w:spacing w:before="120" w:after="120"/>
        <w:ind w:left="907" w:hanging="907"/>
        <w:rPr>
          <w:i/>
          <w:iCs/>
        </w:rPr>
      </w:pPr>
      <w:r w:rsidRPr="00BD6FBE">
        <w:rPr>
          <w:i/>
          <w:iCs/>
        </w:rPr>
        <w:t>Reporting suspected adverse effects</w:t>
      </w:r>
    </w:p>
    <w:p w:rsidR="008D35AD" w:rsidRPr="00C65691" w:rsidRDefault="0064542F" w:rsidP="007B162C">
      <w:pPr>
        <w:pStyle w:val="BodytextAgency"/>
        <w:spacing w:before="120" w:after="120" w:line="240" w:lineRule="auto"/>
        <w:rPr>
          <w:rFonts w:ascii="Times New Roman" w:hAnsi="Times New Roman" w:cs="Times New Roman"/>
          <w:noProof/>
          <w:sz w:val="24"/>
          <w:szCs w:val="24"/>
        </w:rPr>
      </w:pPr>
      <w:r w:rsidRPr="00C65691">
        <w:rPr>
          <w:rFonts w:ascii="Times New Roman" w:hAnsi="Times New Roman" w:cs="Times New Roman"/>
          <w:noProof/>
          <w:sz w:val="24"/>
          <w:szCs w:val="24"/>
        </w:rPr>
        <w:t>Reporting suspected adverse reactions after registration of the medicinal product is important. It allows continued monitoring of the benefit-risk balance of the medicinal product. Healthcare professionals are asked to report any suspected adverse reactions at www.tga.gov.au/reporting-problems.</w:t>
      </w:r>
    </w:p>
    <w:p w:rsidR="00812D16" w:rsidRPr="0064542F" w:rsidRDefault="0064542F" w:rsidP="007B162C">
      <w:pPr>
        <w:pStyle w:val="Heading2"/>
        <w:tabs>
          <w:tab w:val="clear" w:pos="907"/>
          <w:tab w:val="num" w:pos="851"/>
        </w:tabs>
        <w:spacing w:after="120"/>
        <w:ind w:left="851" w:hanging="851"/>
      </w:pPr>
      <w:r w:rsidRPr="0064542F">
        <w:t>OVERDOSE</w:t>
      </w:r>
    </w:p>
    <w:p w:rsidR="003655D6" w:rsidRDefault="00AC609A" w:rsidP="007B162C">
      <w:pPr>
        <w:pStyle w:val="BodytextAgency"/>
        <w:spacing w:before="120" w:after="120" w:line="240" w:lineRule="auto"/>
        <w:rPr>
          <w:rFonts w:ascii="Times New Roman" w:hAnsi="Times New Roman" w:cs="Times New Roman"/>
          <w:noProof/>
          <w:sz w:val="24"/>
          <w:szCs w:val="24"/>
        </w:rPr>
      </w:pPr>
      <w:r w:rsidRPr="00C65691">
        <w:rPr>
          <w:rFonts w:ascii="Times New Roman" w:hAnsi="Times New Roman" w:cs="Times New Roman"/>
          <w:noProof/>
          <w:sz w:val="24"/>
          <w:szCs w:val="24"/>
        </w:rPr>
        <w:t xml:space="preserve">No symptoms of overdose with </w:t>
      </w:r>
      <w:r w:rsidR="00C65691">
        <w:rPr>
          <w:rFonts w:ascii="Times New Roman" w:hAnsi="Times New Roman" w:cs="Times New Roman"/>
          <w:noProof/>
          <w:sz w:val="24"/>
          <w:szCs w:val="24"/>
        </w:rPr>
        <w:t>VWF</w:t>
      </w:r>
      <w:r w:rsidRPr="00C65691">
        <w:rPr>
          <w:rFonts w:ascii="Times New Roman" w:hAnsi="Times New Roman" w:cs="Times New Roman"/>
          <w:noProof/>
          <w:sz w:val="24"/>
          <w:szCs w:val="24"/>
        </w:rPr>
        <w:t xml:space="preserve"> have been reported. Thromboembolic events may occur in case of major overdose.</w:t>
      </w:r>
    </w:p>
    <w:p w:rsidR="00EB300C" w:rsidRPr="00EA35B0" w:rsidRDefault="00C65691" w:rsidP="007B162C">
      <w:pPr>
        <w:pStyle w:val="BodytextAgency"/>
        <w:spacing w:before="120" w:after="120" w:line="240" w:lineRule="auto"/>
        <w:rPr>
          <w:noProof/>
          <w:szCs w:val="22"/>
        </w:rPr>
      </w:pPr>
      <w:r w:rsidRPr="003E4315">
        <w:rPr>
          <w:rFonts w:ascii="Times New Roman" w:hAnsi="Times New Roman" w:cs="Times New Roman"/>
          <w:noProof/>
          <w:sz w:val="24"/>
          <w:szCs w:val="24"/>
        </w:rPr>
        <w:t>For information on the management of overdose, contact the Poisons Information Centre on 131126 (Australia).</w:t>
      </w:r>
    </w:p>
    <w:p w:rsidR="00812D16" w:rsidRPr="00847402" w:rsidRDefault="00812D16" w:rsidP="007B162C">
      <w:pPr>
        <w:pStyle w:val="Heading1"/>
      </w:pPr>
      <w:r w:rsidRPr="0064542F">
        <w:t>PHARMACOLOGICAL PROPERTIES</w:t>
      </w:r>
    </w:p>
    <w:p w:rsidR="00812D16" w:rsidRPr="000232D8" w:rsidRDefault="0064542F" w:rsidP="007B162C">
      <w:pPr>
        <w:pStyle w:val="Heading2"/>
        <w:tabs>
          <w:tab w:val="clear" w:pos="907"/>
          <w:tab w:val="num" w:pos="851"/>
        </w:tabs>
        <w:spacing w:after="120"/>
        <w:ind w:left="851" w:hanging="851"/>
      </w:pPr>
      <w:r w:rsidRPr="0064542F">
        <w:t>PHARMACODYNAMIC PROPERTIES</w:t>
      </w:r>
    </w:p>
    <w:p w:rsidR="00EA735F" w:rsidRDefault="00476011" w:rsidP="007B162C">
      <w:pPr>
        <w:pStyle w:val="BodytextAgency"/>
        <w:spacing w:before="120" w:after="120" w:line="240" w:lineRule="auto"/>
        <w:rPr>
          <w:rFonts w:ascii="Times New Roman" w:hAnsi="Times New Roman" w:cs="Times New Roman"/>
          <w:noProof/>
          <w:sz w:val="24"/>
          <w:szCs w:val="24"/>
        </w:rPr>
      </w:pPr>
      <w:r w:rsidRPr="00C65691">
        <w:rPr>
          <w:rFonts w:ascii="Times New Roman" w:hAnsi="Times New Roman" w:cs="Times New Roman"/>
          <w:noProof/>
          <w:sz w:val="24"/>
          <w:szCs w:val="24"/>
        </w:rPr>
        <w:t xml:space="preserve">Pharmacotherapeutic </w:t>
      </w:r>
      <w:r w:rsidR="00C72D48" w:rsidRPr="00C65691">
        <w:rPr>
          <w:rFonts w:ascii="Times New Roman" w:hAnsi="Times New Roman" w:cs="Times New Roman"/>
          <w:noProof/>
          <w:sz w:val="24"/>
          <w:szCs w:val="24"/>
        </w:rPr>
        <w:t>g</w:t>
      </w:r>
      <w:r w:rsidRPr="00C65691">
        <w:rPr>
          <w:rFonts w:ascii="Times New Roman" w:hAnsi="Times New Roman" w:cs="Times New Roman"/>
          <w:noProof/>
          <w:sz w:val="24"/>
          <w:szCs w:val="24"/>
        </w:rPr>
        <w:t>roup: Antihaemorrhagic</w:t>
      </w:r>
      <w:r w:rsidR="00D77B8C" w:rsidRPr="00C65691">
        <w:rPr>
          <w:rFonts w:ascii="Times New Roman" w:hAnsi="Times New Roman" w:cs="Times New Roman"/>
          <w:noProof/>
          <w:sz w:val="24"/>
          <w:szCs w:val="24"/>
        </w:rPr>
        <w:t>s: blood coagulation factor</w:t>
      </w:r>
      <w:r w:rsidRPr="00C65691">
        <w:rPr>
          <w:rFonts w:ascii="Times New Roman" w:hAnsi="Times New Roman" w:cs="Times New Roman"/>
          <w:noProof/>
          <w:sz w:val="24"/>
          <w:szCs w:val="24"/>
        </w:rPr>
        <w:t xml:space="preserve"> </w:t>
      </w:r>
      <w:r w:rsidR="009269A3" w:rsidRPr="00C65691">
        <w:rPr>
          <w:rFonts w:ascii="Times New Roman" w:hAnsi="Times New Roman" w:cs="Times New Roman"/>
          <w:noProof/>
          <w:sz w:val="24"/>
          <w:szCs w:val="24"/>
        </w:rPr>
        <w:t>von Willebrand factor</w:t>
      </w:r>
      <w:r w:rsidRPr="00C65691">
        <w:rPr>
          <w:rFonts w:ascii="Times New Roman" w:hAnsi="Times New Roman" w:cs="Times New Roman"/>
          <w:noProof/>
          <w:sz w:val="24"/>
          <w:szCs w:val="24"/>
        </w:rPr>
        <w:t xml:space="preserve">. </w:t>
      </w:r>
    </w:p>
    <w:p w:rsidR="00476011" w:rsidRPr="00C65691" w:rsidRDefault="00476011" w:rsidP="007B162C">
      <w:pPr>
        <w:pStyle w:val="BodytextAgency"/>
        <w:spacing w:after="120" w:line="240" w:lineRule="auto"/>
        <w:ind w:left="2835" w:hanging="2835"/>
        <w:rPr>
          <w:rFonts w:ascii="Times New Roman" w:hAnsi="Times New Roman" w:cs="Times New Roman"/>
          <w:noProof/>
          <w:sz w:val="24"/>
          <w:szCs w:val="24"/>
        </w:rPr>
      </w:pPr>
      <w:r w:rsidRPr="00C65691">
        <w:rPr>
          <w:rFonts w:ascii="Times New Roman" w:hAnsi="Times New Roman" w:cs="Times New Roman"/>
          <w:noProof/>
          <w:sz w:val="24"/>
          <w:szCs w:val="24"/>
        </w:rPr>
        <w:t>ATC code:</w:t>
      </w:r>
      <w:r w:rsidR="00D77B8C" w:rsidRPr="00C65691">
        <w:rPr>
          <w:rFonts w:ascii="Times New Roman" w:hAnsi="Times New Roman" w:cs="Times New Roman"/>
          <w:noProof/>
          <w:sz w:val="24"/>
          <w:szCs w:val="24"/>
        </w:rPr>
        <w:t xml:space="preserve"> B02BD</w:t>
      </w:r>
      <w:r w:rsidR="000569DA" w:rsidRPr="00C65691">
        <w:rPr>
          <w:rFonts w:ascii="Times New Roman" w:hAnsi="Times New Roman" w:cs="Times New Roman"/>
          <w:noProof/>
          <w:sz w:val="24"/>
          <w:szCs w:val="24"/>
        </w:rPr>
        <w:t>10</w:t>
      </w:r>
    </w:p>
    <w:p w:rsidR="00224105" w:rsidRPr="00BD6FBE" w:rsidRDefault="00224105" w:rsidP="007B162C">
      <w:pPr>
        <w:pStyle w:val="Heading3"/>
        <w:numPr>
          <w:ilvl w:val="0"/>
          <w:numId w:val="0"/>
        </w:numPr>
        <w:spacing w:before="120" w:after="120"/>
        <w:ind w:left="907" w:hanging="907"/>
        <w:rPr>
          <w:i/>
          <w:iCs/>
        </w:rPr>
      </w:pPr>
      <w:r w:rsidRPr="00BD6FBE">
        <w:rPr>
          <w:i/>
          <w:iCs/>
        </w:rPr>
        <w:lastRenderedPageBreak/>
        <w:t>Mechanism of action</w:t>
      </w:r>
    </w:p>
    <w:p w:rsidR="00CB1BC6" w:rsidRDefault="00CB1BC6" w:rsidP="007B162C">
      <w:pPr>
        <w:pStyle w:val="BodytextAgency"/>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von Willebrand factor </w:t>
      </w:r>
      <w:r w:rsidRPr="00CB1BC6">
        <w:rPr>
          <w:rFonts w:ascii="Times New Roman" w:hAnsi="Times New Roman" w:cs="Times New Roman"/>
          <w:noProof/>
          <w:sz w:val="24"/>
          <w:szCs w:val="24"/>
        </w:rPr>
        <w:t xml:space="preserve">is the carrier molecule for </w:t>
      </w:r>
      <w:r>
        <w:rPr>
          <w:rFonts w:ascii="Times New Roman" w:hAnsi="Times New Roman" w:cs="Times New Roman"/>
          <w:noProof/>
          <w:sz w:val="24"/>
          <w:szCs w:val="24"/>
        </w:rPr>
        <w:t xml:space="preserve">factor </w:t>
      </w:r>
      <w:r w:rsidRPr="00CB1BC6">
        <w:rPr>
          <w:rFonts w:ascii="Times New Roman" w:hAnsi="Times New Roman" w:cs="Times New Roman"/>
          <w:noProof/>
          <w:sz w:val="24"/>
          <w:szCs w:val="24"/>
        </w:rPr>
        <w:t>VIII, an essential cofactor of secondary haemostasis that leads to the fibrin clot formation, and facilitates platelet adhesion to sub</w:t>
      </w:r>
      <w:r w:rsidR="00F20469">
        <w:rPr>
          <w:rFonts w:ascii="Times New Roman" w:hAnsi="Times New Roman" w:cs="Times New Roman"/>
          <w:noProof/>
          <w:sz w:val="24"/>
          <w:szCs w:val="24"/>
        </w:rPr>
        <w:noBreakHyphen/>
      </w:r>
      <w:r w:rsidRPr="00CB1BC6">
        <w:rPr>
          <w:rFonts w:ascii="Times New Roman" w:hAnsi="Times New Roman" w:cs="Times New Roman"/>
          <w:noProof/>
          <w:sz w:val="24"/>
          <w:szCs w:val="24"/>
        </w:rPr>
        <w:t>endothelium at sites of vascular injury.</w:t>
      </w:r>
    </w:p>
    <w:p w:rsidR="00BA22F0" w:rsidRDefault="000A49F1" w:rsidP="007B162C">
      <w:pPr>
        <w:pStyle w:val="BodytextAgency"/>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Vonicog alfa </w:t>
      </w:r>
      <w:r w:rsidR="00224105" w:rsidRPr="00C65691">
        <w:rPr>
          <w:rFonts w:ascii="Times New Roman" w:hAnsi="Times New Roman" w:cs="Times New Roman"/>
          <w:noProof/>
          <w:sz w:val="24"/>
          <w:szCs w:val="24"/>
        </w:rPr>
        <w:t xml:space="preserve">is a recombinant human von Willebrand factor (rVWF). </w:t>
      </w:r>
      <w:r>
        <w:rPr>
          <w:rFonts w:ascii="Times New Roman" w:hAnsi="Times New Roman" w:cs="Times New Roman"/>
          <w:noProof/>
          <w:sz w:val="24"/>
          <w:szCs w:val="24"/>
        </w:rPr>
        <w:t xml:space="preserve">Vonicog alfa </w:t>
      </w:r>
      <w:r w:rsidR="00476011" w:rsidRPr="00C65691">
        <w:rPr>
          <w:rFonts w:ascii="Times New Roman" w:hAnsi="Times New Roman" w:cs="Times New Roman"/>
          <w:noProof/>
          <w:sz w:val="24"/>
          <w:szCs w:val="24"/>
        </w:rPr>
        <w:t xml:space="preserve">behaves in the same way as endogenous </w:t>
      </w:r>
      <w:r w:rsidR="009269A3">
        <w:rPr>
          <w:rFonts w:ascii="Times New Roman" w:hAnsi="Times New Roman" w:cs="Times New Roman"/>
          <w:noProof/>
          <w:sz w:val="24"/>
          <w:szCs w:val="24"/>
        </w:rPr>
        <w:t>VWF</w:t>
      </w:r>
      <w:r w:rsidR="00476011" w:rsidRPr="00C65691">
        <w:rPr>
          <w:rFonts w:ascii="Times New Roman" w:hAnsi="Times New Roman" w:cs="Times New Roman"/>
          <w:noProof/>
          <w:sz w:val="24"/>
          <w:szCs w:val="24"/>
        </w:rPr>
        <w:t>.</w:t>
      </w:r>
      <w:r w:rsidR="000C6F18" w:rsidRPr="000C6F18">
        <w:rPr>
          <w:rFonts w:ascii="Times New Roman" w:hAnsi="Times New Roman" w:cs="Times New Roman"/>
          <w:noProof/>
          <w:sz w:val="24"/>
          <w:szCs w:val="24"/>
        </w:rPr>
        <w:t xml:space="preserve"> </w:t>
      </w:r>
    </w:p>
    <w:p w:rsidR="00DC7AD3" w:rsidRPr="00C65691" w:rsidRDefault="00FB3AEB" w:rsidP="007B162C">
      <w:pPr>
        <w:pStyle w:val="BodytextAgency"/>
        <w:spacing w:before="120" w:after="120" w:line="240" w:lineRule="auto"/>
        <w:rPr>
          <w:rFonts w:ascii="Times New Roman" w:hAnsi="Times New Roman" w:cs="Times New Roman"/>
          <w:noProof/>
          <w:sz w:val="24"/>
          <w:szCs w:val="24"/>
        </w:rPr>
      </w:pPr>
      <w:r w:rsidRPr="00C65691">
        <w:rPr>
          <w:rFonts w:ascii="Times New Roman" w:hAnsi="Times New Roman" w:cs="Times New Roman"/>
          <w:noProof/>
          <w:sz w:val="24"/>
          <w:szCs w:val="24"/>
        </w:rPr>
        <w:t xml:space="preserve">Administration of </w:t>
      </w:r>
      <w:r w:rsidR="000A49F1">
        <w:rPr>
          <w:rFonts w:ascii="Times New Roman" w:hAnsi="Times New Roman" w:cs="Times New Roman"/>
          <w:noProof/>
          <w:sz w:val="24"/>
          <w:szCs w:val="24"/>
        </w:rPr>
        <w:t xml:space="preserve">vonicog alfa </w:t>
      </w:r>
      <w:r w:rsidRPr="00C65691">
        <w:rPr>
          <w:rFonts w:ascii="Times New Roman" w:hAnsi="Times New Roman" w:cs="Times New Roman"/>
          <w:noProof/>
          <w:sz w:val="24"/>
          <w:szCs w:val="24"/>
        </w:rPr>
        <w:t>allows correction of the haemostatic abnormalities exhibited</w:t>
      </w:r>
      <w:r w:rsidR="007123A0" w:rsidRPr="00C65691">
        <w:rPr>
          <w:rFonts w:ascii="Times New Roman" w:hAnsi="Times New Roman" w:cs="Times New Roman"/>
          <w:noProof/>
          <w:sz w:val="24"/>
          <w:szCs w:val="24"/>
        </w:rPr>
        <w:t xml:space="preserve"> </w:t>
      </w:r>
      <w:r w:rsidRPr="00C65691">
        <w:rPr>
          <w:rFonts w:ascii="Times New Roman" w:hAnsi="Times New Roman" w:cs="Times New Roman"/>
          <w:noProof/>
          <w:sz w:val="24"/>
          <w:szCs w:val="24"/>
        </w:rPr>
        <w:t xml:space="preserve">by patients who suffer from </w:t>
      </w:r>
      <w:r w:rsidR="009269A3">
        <w:rPr>
          <w:rFonts w:ascii="Times New Roman" w:hAnsi="Times New Roman" w:cs="Times New Roman"/>
          <w:noProof/>
          <w:sz w:val="24"/>
          <w:szCs w:val="24"/>
        </w:rPr>
        <w:t>VWF</w:t>
      </w:r>
      <w:r w:rsidRPr="00C65691">
        <w:rPr>
          <w:rFonts w:ascii="Times New Roman" w:hAnsi="Times New Roman" w:cs="Times New Roman"/>
          <w:noProof/>
          <w:sz w:val="24"/>
          <w:szCs w:val="24"/>
        </w:rPr>
        <w:t xml:space="preserve"> deficiency (</w:t>
      </w:r>
      <w:r w:rsidR="009269A3">
        <w:rPr>
          <w:rFonts w:ascii="Times New Roman" w:hAnsi="Times New Roman" w:cs="Times New Roman"/>
          <w:noProof/>
          <w:sz w:val="24"/>
          <w:szCs w:val="24"/>
        </w:rPr>
        <w:t>VWD</w:t>
      </w:r>
      <w:r w:rsidRPr="00C65691">
        <w:rPr>
          <w:rFonts w:ascii="Times New Roman" w:hAnsi="Times New Roman" w:cs="Times New Roman"/>
          <w:noProof/>
          <w:sz w:val="24"/>
          <w:szCs w:val="24"/>
        </w:rPr>
        <w:t>) at two levels:</w:t>
      </w:r>
    </w:p>
    <w:p w:rsidR="00FB3AEB" w:rsidRPr="00C65691" w:rsidRDefault="000A49F1" w:rsidP="00BA22F0">
      <w:pPr>
        <w:pStyle w:val="BodytextAgency"/>
        <w:numPr>
          <w:ilvl w:val="0"/>
          <w:numId w:val="12"/>
        </w:numPr>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Vonicog alfa </w:t>
      </w:r>
      <w:r w:rsidR="00FB3AEB" w:rsidRPr="00C65691">
        <w:rPr>
          <w:rFonts w:ascii="Times New Roman" w:hAnsi="Times New Roman" w:cs="Times New Roman"/>
          <w:noProof/>
          <w:sz w:val="24"/>
          <w:szCs w:val="24"/>
        </w:rPr>
        <w:t>re-establishes platelet adhesion to the vascular sub-endothelium at the site of vascular damage (as it binds both to the vascular sub-endothelium matrix (e.g. collagen) and to the platelet membrane), providing primary haemostasis as shown by the shortening of the bleeding time. This effect occurs immediately and is known to depend to a large extent on the level of polymerisation of the protein.</w:t>
      </w:r>
    </w:p>
    <w:p w:rsidR="00E8232B" w:rsidRDefault="000A49F1" w:rsidP="00BA22F0">
      <w:pPr>
        <w:pStyle w:val="BodytextAgency"/>
        <w:numPr>
          <w:ilvl w:val="0"/>
          <w:numId w:val="12"/>
        </w:numPr>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Vonicog alfa </w:t>
      </w:r>
      <w:r w:rsidR="00FB3AEB" w:rsidRPr="00C65691">
        <w:rPr>
          <w:rFonts w:ascii="Times New Roman" w:hAnsi="Times New Roman" w:cs="Times New Roman"/>
          <w:noProof/>
          <w:sz w:val="24"/>
          <w:szCs w:val="24"/>
        </w:rPr>
        <w:t>produces delayed corr</w:t>
      </w:r>
      <w:r w:rsidR="002130BB">
        <w:rPr>
          <w:rFonts w:ascii="Times New Roman" w:hAnsi="Times New Roman" w:cs="Times New Roman"/>
          <w:noProof/>
          <w:sz w:val="24"/>
          <w:szCs w:val="24"/>
        </w:rPr>
        <w:t>ection of the associated F</w:t>
      </w:r>
      <w:r w:rsidR="00FB3AEB" w:rsidRPr="00C65691">
        <w:rPr>
          <w:rFonts w:ascii="Times New Roman" w:hAnsi="Times New Roman" w:cs="Times New Roman"/>
          <w:noProof/>
          <w:sz w:val="24"/>
          <w:szCs w:val="24"/>
        </w:rPr>
        <w:t xml:space="preserve">VIII deficiency. Administered intravenously, </w:t>
      </w:r>
      <w:r>
        <w:rPr>
          <w:rFonts w:ascii="Times New Roman" w:hAnsi="Times New Roman" w:cs="Times New Roman"/>
          <w:noProof/>
          <w:sz w:val="24"/>
          <w:szCs w:val="24"/>
        </w:rPr>
        <w:t xml:space="preserve">vonicog alfa </w:t>
      </w:r>
      <w:r w:rsidR="002130BB">
        <w:rPr>
          <w:rFonts w:ascii="Times New Roman" w:hAnsi="Times New Roman" w:cs="Times New Roman"/>
          <w:noProof/>
          <w:sz w:val="24"/>
          <w:szCs w:val="24"/>
        </w:rPr>
        <w:t>binds to endogenous F</w:t>
      </w:r>
      <w:r w:rsidR="00FB3AEB" w:rsidRPr="00C65691">
        <w:rPr>
          <w:rFonts w:ascii="Times New Roman" w:hAnsi="Times New Roman" w:cs="Times New Roman"/>
          <w:noProof/>
          <w:sz w:val="24"/>
          <w:szCs w:val="24"/>
        </w:rPr>
        <w:t xml:space="preserve">VIII (which is produced normally by the patient), and by stabilising this factor, avoids its rapid degradation. Because of this, administration of </w:t>
      </w:r>
      <w:r>
        <w:rPr>
          <w:rFonts w:ascii="Times New Roman" w:hAnsi="Times New Roman" w:cs="Times New Roman"/>
          <w:noProof/>
          <w:sz w:val="24"/>
          <w:szCs w:val="24"/>
        </w:rPr>
        <w:t xml:space="preserve">vonicog alfa </w:t>
      </w:r>
      <w:r w:rsidR="00FB3AEB" w:rsidRPr="00C65691">
        <w:rPr>
          <w:rFonts w:ascii="Times New Roman" w:hAnsi="Times New Roman" w:cs="Times New Roman"/>
          <w:noProof/>
          <w:sz w:val="24"/>
          <w:szCs w:val="24"/>
        </w:rPr>
        <w:t>restores the FVIII</w:t>
      </w:r>
      <w:r w:rsidR="00EE65C4" w:rsidRPr="00C65691">
        <w:rPr>
          <w:rFonts w:ascii="Times New Roman" w:hAnsi="Times New Roman" w:cs="Times New Roman"/>
          <w:noProof/>
          <w:sz w:val="24"/>
          <w:szCs w:val="24"/>
        </w:rPr>
        <w:t>:C</w:t>
      </w:r>
      <w:r w:rsidR="00FB3AEB" w:rsidRPr="00C65691">
        <w:rPr>
          <w:rFonts w:ascii="Times New Roman" w:hAnsi="Times New Roman" w:cs="Times New Roman"/>
          <w:noProof/>
          <w:sz w:val="24"/>
          <w:szCs w:val="24"/>
        </w:rPr>
        <w:t xml:space="preserve"> level to normal as a secondary effect</w:t>
      </w:r>
      <w:r w:rsidR="00E85F98" w:rsidRPr="00C65691">
        <w:rPr>
          <w:rFonts w:ascii="Times New Roman" w:hAnsi="Times New Roman" w:cs="Times New Roman"/>
          <w:noProof/>
          <w:sz w:val="24"/>
          <w:szCs w:val="24"/>
        </w:rPr>
        <w:t>.</w:t>
      </w:r>
      <w:r w:rsidR="00FB3AEB" w:rsidRPr="00C65691">
        <w:rPr>
          <w:rFonts w:ascii="Times New Roman" w:hAnsi="Times New Roman" w:cs="Times New Roman"/>
          <w:noProof/>
          <w:sz w:val="24"/>
          <w:szCs w:val="24"/>
        </w:rPr>
        <w:t xml:space="preserve"> </w:t>
      </w:r>
      <w:r w:rsidR="00E85F98" w:rsidRPr="00C65691">
        <w:rPr>
          <w:rFonts w:ascii="Times New Roman" w:hAnsi="Times New Roman" w:cs="Times New Roman"/>
          <w:noProof/>
          <w:sz w:val="24"/>
          <w:szCs w:val="24"/>
        </w:rPr>
        <w:t>After the first infusion</w:t>
      </w:r>
      <w:r w:rsidR="001A5590" w:rsidRPr="00C65691">
        <w:rPr>
          <w:rFonts w:ascii="Times New Roman" w:hAnsi="Times New Roman" w:cs="Times New Roman"/>
          <w:noProof/>
          <w:sz w:val="24"/>
          <w:szCs w:val="24"/>
        </w:rPr>
        <w:t>,</w:t>
      </w:r>
      <w:r w:rsidR="00E85F98" w:rsidRPr="00C65691">
        <w:rPr>
          <w:rFonts w:ascii="Times New Roman" w:hAnsi="Times New Roman" w:cs="Times New Roman"/>
          <w:noProof/>
          <w:sz w:val="24"/>
          <w:szCs w:val="24"/>
        </w:rPr>
        <w:t xml:space="preserve"> the FVIII:C </w:t>
      </w:r>
      <w:r w:rsidR="001A5590" w:rsidRPr="00C65691">
        <w:rPr>
          <w:rFonts w:ascii="Times New Roman" w:hAnsi="Times New Roman" w:cs="Times New Roman"/>
          <w:noProof/>
          <w:sz w:val="24"/>
          <w:szCs w:val="24"/>
        </w:rPr>
        <w:t xml:space="preserve">rises </w:t>
      </w:r>
      <w:r w:rsidR="00594FA6" w:rsidRPr="00C65691">
        <w:rPr>
          <w:rFonts w:ascii="Times New Roman" w:hAnsi="Times New Roman" w:cs="Times New Roman"/>
          <w:noProof/>
          <w:sz w:val="24"/>
          <w:szCs w:val="24"/>
        </w:rPr>
        <w:t xml:space="preserve">above </w:t>
      </w:r>
      <w:r w:rsidR="00E85F98" w:rsidRPr="00C65691">
        <w:rPr>
          <w:rFonts w:ascii="Times New Roman" w:hAnsi="Times New Roman" w:cs="Times New Roman"/>
          <w:noProof/>
          <w:sz w:val="24"/>
          <w:szCs w:val="24"/>
        </w:rPr>
        <w:t xml:space="preserve">40% </w:t>
      </w:r>
      <w:r w:rsidR="001A5590" w:rsidRPr="00C65691">
        <w:rPr>
          <w:rFonts w:ascii="Times New Roman" w:hAnsi="Times New Roman" w:cs="Times New Roman"/>
          <w:noProof/>
          <w:sz w:val="24"/>
          <w:szCs w:val="24"/>
        </w:rPr>
        <w:t>within</w:t>
      </w:r>
      <w:r w:rsidR="00594FA6" w:rsidRPr="00C65691">
        <w:rPr>
          <w:rFonts w:ascii="Times New Roman" w:hAnsi="Times New Roman" w:cs="Times New Roman"/>
          <w:noProof/>
          <w:sz w:val="24"/>
          <w:szCs w:val="24"/>
        </w:rPr>
        <w:t xml:space="preserve"> </w:t>
      </w:r>
      <w:r w:rsidR="00E85F98" w:rsidRPr="00C65691">
        <w:rPr>
          <w:rFonts w:ascii="Times New Roman" w:hAnsi="Times New Roman" w:cs="Times New Roman"/>
          <w:noProof/>
          <w:sz w:val="24"/>
          <w:szCs w:val="24"/>
        </w:rPr>
        <w:t>6</w:t>
      </w:r>
      <w:r w:rsidR="00E04BE7" w:rsidRPr="00C65691">
        <w:rPr>
          <w:rFonts w:ascii="Times New Roman" w:hAnsi="Times New Roman" w:cs="Times New Roman"/>
          <w:noProof/>
          <w:sz w:val="24"/>
          <w:szCs w:val="24"/>
        </w:rPr>
        <w:t> hour</w:t>
      </w:r>
      <w:r w:rsidR="00E85F98" w:rsidRPr="00C65691">
        <w:rPr>
          <w:rFonts w:ascii="Times New Roman" w:hAnsi="Times New Roman" w:cs="Times New Roman"/>
          <w:noProof/>
          <w:sz w:val="24"/>
          <w:szCs w:val="24"/>
        </w:rPr>
        <w:t xml:space="preserve">s and peaks </w:t>
      </w:r>
      <w:r w:rsidR="001A78AD" w:rsidRPr="00C65691">
        <w:rPr>
          <w:rFonts w:ascii="Times New Roman" w:hAnsi="Times New Roman" w:cs="Times New Roman"/>
          <w:noProof/>
          <w:sz w:val="24"/>
          <w:szCs w:val="24"/>
        </w:rPr>
        <w:t xml:space="preserve">within </w:t>
      </w:r>
      <w:r w:rsidR="00E85F98" w:rsidRPr="00C65691">
        <w:rPr>
          <w:rFonts w:ascii="Times New Roman" w:hAnsi="Times New Roman" w:cs="Times New Roman"/>
          <w:noProof/>
          <w:sz w:val="24"/>
          <w:szCs w:val="24"/>
        </w:rPr>
        <w:t>24</w:t>
      </w:r>
      <w:r w:rsidR="00E04BE7" w:rsidRPr="00C65691">
        <w:rPr>
          <w:rFonts w:ascii="Times New Roman" w:hAnsi="Times New Roman" w:cs="Times New Roman"/>
          <w:noProof/>
          <w:sz w:val="24"/>
          <w:szCs w:val="24"/>
        </w:rPr>
        <w:t> hour</w:t>
      </w:r>
      <w:r w:rsidR="00E85F98" w:rsidRPr="00C65691">
        <w:rPr>
          <w:rFonts w:ascii="Times New Roman" w:hAnsi="Times New Roman" w:cs="Times New Roman"/>
          <w:noProof/>
          <w:sz w:val="24"/>
          <w:szCs w:val="24"/>
        </w:rPr>
        <w:t>s</w:t>
      </w:r>
      <w:r w:rsidR="00594FA6" w:rsidRPr="00C65691">
        <w:rPr>
          <w:rFonts w:ascii="Times New Roman" w:hAnsi="Times New Roman" w:cs="Times New Roman"/>
          <w:noProof/>
          <w:sz w:val="24"/>
          <w:szCs w:val="24"/>
        </w:rPr>
        <w:t xml:space="preserve"> in a majority of patients</w:t>
      </w:r>
      <w:r w:rsidR="001A5590" w:rsidRPr="00C65691">
        <w:rPr>
          <w:rFonts w:ascii="Times New Roman" w:hAnsi="Times New Roman" w:cs="Times New Roman"/>
          <w:noProof/>
          <w:sz w:val="24"/>
          <w:szCs w:val="24"/>
        </w:rPr>
        <w:t>,</w:t>
      </w:r>
      <w:r w:rsidR="00773CDF" w:rsidRPr="00C65691">
        <w:rPr>
          <w:rFonts w:ascii="Times New Roman" w:hAnsi="Times New Roman" w:cs="Times New Roman"/>
          <w:noProof/>
          <w:sz w:val="24"/>
          <w:szCs w:val="24"/>
        </w:rPr>
        <w:t xml:space="preserve"> depending on the baseline FVIII:C level</w:t>
      </w:r>
      <w:r w:rsidR="00E85F98" w:rsidRPr="00C65691">
        <w:rPr>
          <w:rFonts w:ascii="Times New Roman" w:hAnsi="Times New Roman" w:cs="Times New Roman"/>
          <w:noProof/>
          <w:sz w:val="24"/>
          <w:szCs w:val="24"/>
        </w:rPr>
        <w:t>.</w:t>
      </w:r>
    </w:p>
    <w:p w:rsidR="00F62B84" w:rsidRPr="00F62B84" w:rsidRDefault="00F62B84" w:rsidP="00F62B84">
      <w:pPr>
        <w:pStyle w:val="BodytextAgency"/>
        <w:spacing w:before="120" w:after="120" w:line="240" w:lineRule="auto"/>
        <w:rPr>
          <w:rFonts w:ascii="Times New Roman" w:hAnsi="Times New Roman" w:cs="Times New Roman"/>
          <w:noProof/>
          <w:sz w:val="24"/>
          <w:szCs w:val="24"/>
        </w:rPr>
      </w:pPr>
      <w:r w:rsidRPr="003E4315">
        <w:rPr>
          <w:rFonts w:ascii="Times New Roman" w:hAnsi="Times New Roman" w:cs="Times New Roman"/>
          <w:noProof/>
          <w:sz w:val="24"/>
          <w:szCs w:val="24"/>
        </w:rPr>
        <w:t>The adhesive activity of rVWF depends on the size of its multimers, with ultra-large multimers being the most effective in supporting interactions with collagen and platelet receptors.</w:t>
      </w:r>
    </w:p>
    <w:p w:rsidR="00812D16" w:rsidRPr="00BD6FBE" w:rsidRDefault="00812D16" w:rsidP="00A21367">
      <w:pPr>
        <w:pStyle w:val="Heading3"/>
        <w:numPr>
          <w:ilvl w:val="0"/>
          <w:numId w:val="0"/>
        </w:numPr>
        <w:spacing w:before="120" w:after="120"/>
        <w:ind w:left="907" w:hanging="907"/>
        <w:rPr>
          <w:i/>
          <w:iCs/>
        </w:rPr>
      </w:pPr>
      <w:r w:rsidRPr="00BD6FBE">
        <w:rPr>
          <w:i/>
          <w:iCs/>
        </w:rPr>
        <w:t xml:space="preserve">Clinical </w:t>
      </w:r>
      <w:r w:rsidR="009269A3" w:rsidRPr="00BD6FBE">
        <w:rPr>
          <w:i/>
          <w:iCs/>
        </w:rPr>
        <w:t>trials</w:t>
      </w:r>
    </w:p>
    <w:p w:rsidR="00882762" w:rsidRDefault="00C73930" w:rsidP="00A21367">
      <w:pPr>
        <w:pStyle w:val="BodytextAgency"/>
        <w:keepNext/>
        <w:keepLines/>
        <w:spacing w:before="120" w:after="120" w:line="240" w:lineRule="auto"/>
        <w:rPr>
          <w:rFonts w:ascii="Times New Roman" w:hAnsi="Times New Roman" w:cs="Times New Roman"/>
          <w:noProof/>
          <w:sz w:val="24"/>
          <w:szCs w:val="24"/>
        </w:rPr>
      </w:pPr>
      <w:r w:rsidRPr="009269A3">
        <w:rPr>
          <w:rFonts w:ascii="Times New Roman" w:hAnsi="Times New Roman" w:cs="Times New Roman"/>
          <w:noProof/>
          <w:sz w:val="24"/>
          <w:szCs w:val="24"/>
        </w:rPr>
        <w:t xml:space="preserve">The clinical safety, efficacy and PK data were assessed in </w:t>
      </w:r>
      <w:r w:rsidR="00A7528B" w:rsidRPr="009269A3">
        <w:rPr>
          <w:rFonts w:ascii="Times New Roman" w:hAnsi="Times New Roman" w:cs="Times New Roman"/>
          <w:noProof/>
          <w:sz w:val="24"/>
          <w:szCs w:val="24"/>
        </w:rPr>
        <w:t>3</w:t>
      </w:r>
      <w:r w:rsidR="00F66BBC" w:rsidRPr="009269A3">
        <w:rPr>
          <w:rFonts w:ascii="Times New Roman" w:hAnsi="Times New Roman" w:cs="Times New Roman"/>
          <w:noProof/>
          <w:sz w:val="24"/>
          <w:szCs w:val="24"/>
        </w:rPr>
        <w:t> </w:t>
      </w:r>
      <w:r w:rsidRPr="009269A3">
        <w:rPr>
          <w:rFonts w:ascii="Times New Roman" w:hAnsi="Times New Roman" w:cs="Times New Roman"/>
          <w:noProof/>
          <w:sz w:val="24"/>
          <w:szCs w:val="24"/>
        </w:rPr>
        <w:t xml:space="preserve">completed trials, (070701, 071001 and 071101) </w:t>
      </w:r>
      <w:r w:rsidR="00745142" w:rsidRPr="009269A3">
        <w:rPr>
          <w:rFonts w:ascii="Times New Roman" w:hAnsi="Times New Roman" w:cs="Times New Roman"/>
          <w:noProof/>
          <w:sz w:val="24"/>
          <w:szCs w:val="24"/>
        </w:rPr>
        <w:t xml:space="preserve">which </w:t>
      </w:r>
      <w:r w:rsidRPr="009269A3">
        <w:rPr>
          <w:rFonts w:ascii="Times New Roman" w:hAnsi="Times New Roman" w:cs="Times New Roman"/>
          <w:noProof/>
          <w:sz w:val="24"/>
          <w:szCs w:val="24"/>
        </w:rPr>
        <w:t>enrolled patients with VWD</w:t>
      </w:r>
      <w:r w:rsidR="006B7DFA" w:rsidRPr="009269A3">
        <w:rPr>
          <w:rFonts w:ascii="Times New Roman" w:hAnsi="Times New Roman" w:cs="Times New Roman"/>
          <w:noProof/>
          <w:sz w:val="24"/>
          <w:szCs w:val="24"/>
        </w:rPr>
        <w:t>.</w:t>
      </w:r>
      <w:r w:rsidRPr="009269A3">
        <w:rPr>
          <w:rFonts w:ascii="Times New Roman" w:hAnsi="Times New Roman" w:cs="Times New Roman"/>
          <w:noProof/>
          <w:sz w:val="24"/>
          <w:szCs w:val="24"/>
        </w:rPr>
        <w:t xml:space="preserve"> A total of 92</w:t>
      </w:r>
      <w:r w:rsidR="00F66BBC" w:rsidRPr="009269A3">
        <w:rPr>
          <w:rFonts w:ascii="Times New Roman" w:hAnsi="Times New Roman" w:cs="Times New Roman"/>
          <w:noProof/>
          <w:sz w:val="24"/>
          <w:szCs w:val="24"/>
        </w:rPr>
        <w:t> </w:t>
      </w:r>
      <w:r w:rsidRPr="009269A3">
        <w:rPr>
          <w:rFonts w:ascii="Times New Roman" w:hAnsi="Times New Roman" w:cs="Times New Roman"/>
          <w:noProof/>
          <w:sz w:val="24"/>
          <w:szCs w:val="24"/>
        </w:rPr>
        <w:t>unique subjects (80</w:t>
      </w:r>
      <w:r w:rsidR="00F66BBC" w:rsidRPr="009269A3">
        <w:rPr>
          <w:rFonts w:ascii="Times New Roman" w:hAnsi="Times New Roman" w:cs="Times New Roman"/>
          <w:noProof/>
          <w:sz w:val="24"/>
          <w:szCs w:val="24"/>
        </w:rPr>
        <w:t> </w:t>
      </w:r>
      <w:r w:rsidRPr="009269A3">
        <w:rPr>
          <w:rFonts w:ascii="Times New Roman" w:hAnsi="Times New Roman" w:cs="Times New Roman"/>
          <w:noProof/>
          <w:sz w:val="24"/>
          <w:szCs w:val="24"/>
        </w:rPr>
        <w:t>unique subjects with VWD in studies 070701,</w:t>
      </w:r>
      <w:r w:rsidR="00F66BBC" w:rsidRPr="009269A3">
        <w:rPr>
          <w:rFonts w:ascii="Times New Roman" w:hAnsi="Times New Roman" w:cs="Times New Roman"/>
          <w:noProof/>
          <w:sz w:val="24"/>
          <w:szCs w:val="24"/>
        </w:rPr>
        <w:t xml:space="preserve"> </w:t>
      </w:r>
      <w:r w:rsidRPr="009269A3">
        <w:rPr>
          <w:rFonts w:ascii="Times New Roman" w:hAnsi="Times New Roman" w:cs="Times New Roman"/>
          <w:noProof/>
          <w:sz w:val="24"/>
          <w:szCs w:val="24"/>
        </w:rPr>
        <w:t>071001 and 071101</w:t>
      </w:r>
      <w:r w:rsidR="00991F4E">
        <w:rPr>
          <w:rFonts w:ascii="Times New Roman" w:hAnsi="Times New Roman" w:cs="Times New Roman"/>
          <w:noProof/>
          <w:sz w:val="24"/>
          <w:szCs w:val="24"/>
        </w:rPr>
        <w:t xml:space="preserve"> and 12 subjects with Haemophilia A in </w:t>
      </w:r>
      <w:r w:rsidR="00D31DCC">
        <w:rPr>
          <w:rFonts w:ascii="Times New Roman" w:hAnsi="Times New Roman" w:cs="Times New Roman"/>
          <w:noProof/>
          <w:sz w:val="24"/>
          <w:szCs w:val="24"/>
        </w:rPr>
        <w:t>s</w:t>
      </w:r>
      <w:r w:rsidR="00991F4E">
        <w:rPr>
          <w:rFonts w:ascii="Times New Roman" w:hAnsi="Times New Roman" w:cs="Times New Roman"/>
          <w:noProof/>
          <w:sz w:val="24"/>
          <w:szCs w:val="24"/>
        </w:rPr>
        <w:t>tudy 071104) were exposed to VEYVONDI during clin</w:t>
      </w:r>
      <w:r w:rsidR="00D0313E">
        <w:rPr>
          <w:rFonts w:ascii="Times New Roman" w:hAnsi="Times New Roman" w:cs="Times New Roman"/>
          <w:noProof/>
          <w:sz w:val="24"/>
          <w:szCs w:val="24"/>
        </w:rPr>
        <w:t>i</w:t>
      </w:r>
      <w:r w:rsidR="00991F4E">
        <w:rPr>
          <w:rFonts w:ascii="Times New Roman" w:hAnsi="Times New Roman" w:cs="Times New Roman"/>
          <w:noProof/>
          <w:sz w:val="24"/>
          <w:szCs w:val="24"/>
        </w:rPr>
        <w:t>cal development.</w:t>
      </w:r>
    </w:p>
    <w:p w:rsidR="00882762" w:rsidRPr="0064542F" w:rsidRDefault="00882762" w:rsidP="007B162C">
      <w:pPr>
        <w:pStyle w:val="Heading4"/>
        <w:numPr>
          <w:ilvl w:val="0"/>
          <w:numId w:val="0"/>
        </w:numPr>
        <w:spacing w:before="120" w:after="120"/>
        <w:ind w:left="907" w:hanging="907"/>
        <w:rPr>
          <w:bCs w:val="0"/>
          <w:noProof/>
          <w:szCs w:val="24"/>
          <w:u w:val="single"/>
        </w:rPr>
      </w:pPr>
      <w:r w:rsidRPr="003E4315">
        <w:rPr>
          <w:bCs w:val="0"/>
          <w:noProof/>
          <w:szCs w:val="24"/>
          <w:u w:val="single"/>
        </w:rPr>
        <w:t>Study 071001</w:t>
      </w:r>
      <w:r w:rsidR="00B6177D" w:rsidRPr="003E4315">
        <w:rPr>
          <w:bCs w:val="0"/>
          <w:noProof/>
          <w:szCs w:val="24"/>
          <w:u w:val="single"/>
        </w:rPr>
        <w:t xml:space="preserve"> (Phase 3 VWD</w:t>
      </w:r>
      <w:r w:rsidRPr="003E4315">
        <w:rPr>
          <w:bCs w:val="0"/>
          <w:noProof/>
          <w:szCs w:val="24"/>
          <w:u w:val="single"/>
        </w:rPr>
        <w:t>)</w:t>
      </w:r>
    </w:p>
    <w:p w:rsidR="005213D0" w:rsidRPr="009269A3" w:rsidRDefault="00354B22" w:rsidP="001807BC">
      <w:pPr>
        <w:pStyle w:val="BodytextAgency"/>
        <w:spacing w:before="120" w:after="120" w:line="240" w:lineRule="auto"/>
        <w:rPr>
          <w:rFonts w:ascii="Times New Roman" w:hAnsi="Times New Roman" w:cs="Times New Roman"/>
          <w:noProof/>
          <w:sz w:val="24"/>
          <w:szCs w:val="24"/>
        </w:rPr>
      </w:pPr>
      <w:r w:rsidRPr="009269A3">
        <w:rPr>
          <w:rFonts w:ascii="Times New Roman" w:hAnsi="Times New Roman" w:cs="Times New Roman"/>
          <w:noProof/>
          <w:sz w:val="24"/>
          <w:szCs w:val="24"/>
        </w:rPr>
        <w:t xml:space="preserve">A </w:t>
      </w:r>
      <w:r w:rsidR="00872454" w:rsidRPr="009269A3">
        <w:rPr>
          <w:rFonts w:ascii="Times New Roman" w:hAnsi="Times New Roman" w:cs="Times New Roman"/>
          <w:noProof/>
          <w:sz w:val="24"/>
          <w:szCs w:val="24"/>
        </w:rPr>
        <w:t>Phase </w:t>
      </w:r>
      <w:r w:rsidR="009269A3">
        <w:rPr>
          <w:rFonts w:ascii="Times New Roman" w:hAnsi="Times New Roman" w:cs="Times New Roman"/>
          <w:noProof/>
          <w:sz w:val="24"/>
          <w:szCs w:val="24"/>
        </w:rPr>
        <w:t>3, multicent</w:t>
      </w:r>
      <w:r w:rsidR="00E7659C">
        <w:rPr>
          <w:rFonts w:ascii="Times New Roman" w:hAnsi="Times New Roman" w:cs="Times New Roman"/>
          <w:noProof/>
          <w:sz w:val="24"/>
          <w:szCs w:val="24"/>
        </w:rPr>
        <w:t>r</w:t>
      </w:r>
      <w:r w:rsidR="009269A3">
        <w:rPr>
          <w:rFonts w:ascii="Times New Roman" w:hAnsi="Times New Roman" w:cs="Times New Roman"/>
          <w:noProof/>
          <w:sz w:val="24"/>
          <w:szCs w:val="24"/>
        </w:rPr>
        <w:t>e part-randomis</w:t>
      </w:r>
      <w:r w:rsidRPr="009269A3">
        <w:rPr>
          <w:rFonts w:ascii="Times New Roman" w:hAnsi="Times New Roman" w:cs="Times New Roman"/>
          <w:noProof/>
          <w:sz w:val="24"/>
          <w:szCs w:val="24"/>
        </w:rPr>
        <w:t xml:space="preserve">ed clinical study to assess the PK, safety and efficacy of rVWF:rFVIII and rVWF in the treatment of </w:t>
      </w:r>
      <w:r w:rsidR="004B2544" w:rsidRPr="009269A3">
        <w:rPr>
          <w:rFonts w:ascii="Times New Roman" w:hAnsi="Times New Roman" w:cs="Times New Roman"/>
          <w:noProof/>
          <w:sz w:val="24"/>
          <w:szCs w:val="24"/>
        </w:rPr>
        <w:t>b</w:t>
      </w:r>
      <w:r w:rsidR="00784B0C" w:rsidRPr="009269A3">
        <w:rPr>
          <w:rFonts w:ascii="Times New Roman" w:hAnsi="Times New Roman" w:cs="Times New Roman"/>
          <w:noProof/>
          <w:sz w:val="24"/>
          <w:szCs w:val="24"/>
        </w:rPr>
        <w:t>leeding episodes</w:t>
      </w:r>
      <w:r w:rsidR="004B2544" w:rsidRPr="009269A3">
        <w:rPr>
          <w:rFonts w:ascii="Times New Roman" w:hAnsi="Times New Roman" w:cs="Times New Roman"/>
          <w:noProof/>
          <w:sz w:val="24"/>
          <w:szCs w:val="24"/>
        </w:rPr>
        <w:t xml:space="preserve"> </w:t>
      </w:r>
      <w:r w:rsidRPr="009269A3">
        <w:rPr>
          <w:rFonts w:ascii="Times New Roman" w:hAnsi="Times New Roman" w:cs="Times New Roman"/>
          <w:noProof/>
          <w:sz w:val="24"/>
          <w:szCs w:val="24"/>
        </w:rPr>
        <w:t>in</w:t>
      </w:r>
      <w:r w:rsidR="004A36D1" w:rsidRPr="009269A3">
        <w:rPr>
          <w:rFonts w:ascii="Times New Roman" w:hAnsi="Times New Roman" w:cs="Times New Roman"/>
          <w:noProof/>
          <w:sz w:val="24"/>
          <w:szCs w:val="24"/>
        </w:rPr>
        <w:t xml:space="preserve"> </w:t>
      </w:r>
      <w:r w:rsidRPr="009269A3">
        <w:rPr>
          <w:rFonts w:ascii="Times New Roman" w:hAnsi="Times New Roman" w:cs="Times New Roman"/>
          <w:noProof/>
          <w:sz w:val="24"/>
          <w:szCs w:val="24"/>
        </w:rPr>
        <w:t xml:space="preserve">adult subjects with severe </w:t>
      </w:r>
      <w:r w:rsidR="00CD527F" w:rsidRPr="009269A3">
        <w:rPr>
          <w:rFonts w:ascii="Times New Roman" w:hAnsi="Times New Roman" w:cs="Times New Roman"/>
          <w:noProof/>
          <w:sz w:val="24"/>
          <w:szCs w:val="24"/>
        </w:rPr>
        <w:t>T</w:t>
      </w:r>
      <w:r w:rsidRPr="009269A3">
        <w:rPr>
          <w:rFonts w:ascii="Times New Roman" w:hAnsi="Times New Roman" w:cs="Times New Roman"/>
          <w:noProof/>
          <w:sz w:val="24"/>
          <w:szCs w:val="24"/>
        </w:rPr>
        <w:t>ype</w:t>
      </w:r>
      <w:r w:rsidR="00F01C72" w:rsidRPr="009269A3">
        <w:rPr>
          <w:rFonts w:ascii="Times New Roman" w:hAnsi="Times New Roman" w:cs="Times New Roman"/>
          <w:noProof/>
          <w:sz w:val="24"/>
          <w:szCs w:val="24"/>
        </w:rPr>
        <w:t> </w:t>
      </w:r>
      <w:r w:rsidRPr="009269A3">
        <w:rPr>
          <w:rFonts w:ascii="Times New Roman" w:hAnsi="Times New Roman" w:cs="Times New Roman"/>
          <w:noProof/>
          <w:sz w:val="24"/>
          <w:szCs w:val="24"/>
        </w:rPr>
        <w:t>3 and severe non-</w:t>
      </w:r>
      <w:r w:rsidR="00CD527F" w:rsidRPr="009269A3">
        <w:rPr>
          <w:rFonts w:ascii="Times New Roman" w:hAnsi="Times New Roman" w:cs="Times New Roman"/>
          <w:noProof/>
          <w:sz w:val="24"/>
          <w:szCs w:val="24"/>
        </w:rPr>
        <w:t>T</w:t>
      </w:r>
      <w:r w:rsidRPr="009269A3">
        <w:rPr>
          <w:rFonts w:ascii="Times New Roman" w:hAnsi="Times New Roman" w:cs="Times New Roman"/>
          <w:noProof/>
          <w:sz w:val="24"/>
          <w:szCs w:val="24"/>
        </w:rPr>
        <w:t>ype</w:t>
      </w:r>
      <w:r w:rsidR="00F01C72" w:rsidRPr="009269A3">
        <w:rPr>
          <w:rFonts w:ascii="Times New Roman" w:hAnsi="Times New Roman" w:cs="Times New Roman"/>
          <w:noProof/>
          <w:sz w:val="24"/>
          <w:szCs w:val="24"/>
        </w:rPr>
        <w:t> </w:t>
      </w:r>
      <w:r w:rsidRPr="009269A3">
        <w:rPr>
          <w:rFonts w:ascii="Times New Roman" w:hAnsi="Times New Roman" w:cs="Times New Roman"/>
          <w:noProof/>
          <w:sz w:val="24"/>
          <w:szCs w:val="24"/>
        </w:rPr>
        <w:t>3 VWD.</w:t>
      </w:r>
      <w:r w:rsidR="00B6177D">
        <w:rPr>
          <w:rFonts w:ascii="Times New Roman" w:hAnsi="Times New Roman" w:cs="Times New Roman"/>
          <w:noProof/>
          <w:sz w:val="24"/>
          <w:szCs w:val="24"/>
        </w:rPr>
        <w:t xml:space="preserve"> The study consisted of 2 parts; Part A consisted of PK assessment alone (Arm 2: PK50 only [without treatmen</w:t>
      </w:r>
      <w:r w:rsidR="00561FCE">
        <w:rPr>
          <w:rFonts w:ascii="Times New Roman" w:hAnsi="Times New Roman" w:cs="Times New Roman"/>
          <w:noProof/>
          <w:sz w:val="24"/>
          <w:szCs w:val="24"/>
        </w:rPr>
        <w:t>t</w:t>
      </w:r>
      <w:r w:rsidR="00B6177D">
        <w:rPr>
          <w:rFonts w:ascii="Times New Roman" w:hAnsi="Times New Roman" w:cs="Times New Roman"/>
          <w:noProof/>
          <w:sz w:val="24"/>
          <w:szCs w:val="24"/>
        </w:rPr>
        <w:t xml:space="preserve"> of bleeding episodes]), or PK assessments (Arm 1: PK50 and Arm 3: PK80) plus on-demand treatment period(s) of 6 months for bleeding episodes, or Arm 4: on demand treatment for bleeding episodes only.</w:t>
      </w:r>
      <w:r w:rsidR="001807BC">
        <w:rPr>
          <w:rFonts w:ascii="Times New Roman" w:hAnsi="Times New Roman" w:cs="Times New Roman"/>
          <w:noProof/>
          <w:sz w:val="24"/>
          <w:szCs w:val="24"/>
        </w:rPr>
        <w:t xml:space="preserve"> </w:t>
      </w:r>
      <w:r w:rsidR="00561FCE" w:rsidRPr="001807BC">
        <w:rPr>
          <w:rFonts w:ascii="Times New Roman" w:hAnsi="Times New Roman" w:cs="Times New Roman"/>
          <w:noProof/>
          <w:sz w:val="24"/>
          <w:szCs w:val="24"/>
        </w:rPr>
        <w:t>Patients receiving treatment for P</w:t>
      </w:r>
      <w:r w:rsidR="00561FCE">
        <w:rPr>
          <w:rFonts w:ascii="Times New Roman" w:hAnsi="Times New Roman" w:cs="Times New Roman"/>
          <w:noProof/>
          <w:sz w:val="24"/>
          <w:szCs w:val="24"/>
        </w:rPr>
        <w:t>K assessments and/or bleeding episode</w:t>
      </w:r>
      <w:r w:rsidR="00561FCE" w:rsidRPr="001807BC">
        <w:rPr>
          <w:rFonts w:ascii="Times New Roman" w:hAnsi="Times New Roman" w:cs="Times New Roman"/>
          <w:noProof/>
          <w:sz w:val="24"/>
          <w:szCs w:val="24"/>
        </w:rPr>
        <w:t>s in Part A were</w:t>
      </w:r>
      <w:r w:rsidR="00561FCE">
        <w:rPr>
          <w:rFonts w:ascii="Times New Roman" w:hAnsi="Times New Roman" w:cs="Times New Roman"/>
          <w:noProof/>
          <w:sz w:val="24"/>
          <w:szCs w:val="24"/>
        </w:rPr>
        <w:t xml:space="preserve"> </w:t>
      </w:r>
      <w:r w:rsidR="00561FCE" w:rsidRPr="001807BC">
        <w:rPr>
          <w:rFonts w:ascii="Times New Roman" w:hAnsi="Times New Roman" w:cs="Times New Roman"/>
          <w:noProof/>
          <w:sz w:val="24"/>
          <w:szCs w:val="24"/>
        </w:rPr>
        <w:t>to be entered into Part B to con</w:t>
      </w:r>
      <w:r w:rsidR="00561FCE">
        <w:rPr>
          <w:rFonts w:ascii="Times New Roman" w:hAnsi="Times New Roman" w:cs="Times New Roman"/>
          <w:noProof/>
          <w:sz w:val="24"/>
          <w:szCs w:val="24"/>
        </w:rPr>
        <w:t>tinue on-demand treatment for bleeding episode</w:t>
      </w:r>
      <w:r w:rsidR="00561FCE" w:rsidRPr="001807BC">
        <w:rPr>
          <w:rFonts w:ascii="Times New Roman" w:hAnsi="Times New Roman" w:cs="Times New Roman"/>
          <w:noProof/>
          <w:sz w:val="24"/>
          <w:szCs w:val="24"/>
        </w:rPr>
        <w:t>s for 6 additional months for a</w:t>
      </w:r>
      <w:r w:rsidR="00561FCE">
        <w:rPr>
          <w:rFonts w:ascii="Times New Roman" w:hAnsi="Times New Roman" w:cs="Times New Roman"/>
          <w:noProof/>
          <w:sz w:val="24"/>
          <w:szCs w:val="24"/>
        </w:rPr>
        <w:t xml:space="preserve"> </w:t>
      </w:r>
      <w:r w:rsidR="00561FCE" w:rsidRPr="001807BC">
        <w:rPr>
          <w:rFonts w:ascii="Times New Roman" w:hAnsi="Times New Roman" w:cs="Times New Roman"/>
          <w:noProof/>
          <w:sz w:val="24"/>
          <w:szCs w:val="24"/>
        </w:rPr>
        <w:t>total of 12 months in the study.</w:t>
      </w:r>
    </w:p>
    <w:p w:rsidR="00B6177D" w:rsidRDefault="00B6177D" w:rsidP="00B6177D">
      <w:pPr>
        <w:pStyle w:val="BodytextAgency"/>
        <w:spacing w:before="120" w:after="120" w:line="240" w:lineRule="auto"/>
        <w:rPr>
          <w:rFonts w:ascii="Times New Roman" w:hAnsi="Times New Roman" w:cs="Times New Roman"/>
          <w:noProof/>
          <w:sz w:val="24"/>
          <w:szCs w:val="24"/>
        </w:rPr>
      </w:pPr>
      <w:r w:rsidRPr="00B6177D">
        <w:rPr>
          <w:rFonts w:ascii="Times New Roman" w:hAnsi="Times New Roman" w:cs="Times New Roman"/>
          <w:noProof/>
          <w:sz w:val="24"/>
          <w:szCs w:val="24"/>
        </w:rPr>
        <w:t>A total of 193 bleeding episodes were reported in 22/37 sub</w:t>
      </w:r>
      <w:r>
        <w:rPr>
          <w:rFonts w:ascii="Times New Roman" w:hAnsi="Times New Roman" w:cs="Times New Roman"/>
          <w:noProof/>
          <w:sz w:val="24"/>
          <w:szCs w:val="24"/>
        </w:rPr>
        <w:t xml:space="preserve">jects exposed to VEYVONDI </w:t>
      </w:r>
      <w:r w:rsidRPr="00B6177D">
        <w:rPr>
          <w:rFonts w:ascii="Times New Roman" w:hAnsi="Times New Roman" w:cs="Times New Roman"/>
          <w:noProof/>
          <w:sz w:val="24"/>
          <w:szCs w:val="24"/>
        </w:rPr>
        <w:t>and the h</w:t>
      </w:r>
      <w:r w:rsidR="00561FCE">
        <w:rPr>
          <w:rFonts w:ascii="Times New Roman" w:hAnsi="Times New Roman" w:cs="Times New Roman"/>
          <w:noProof/>
          <w:sz w:val="24"/>
          <w:szCs w:val="24"/>
        </w:rPr>
        <w:t>a</w:t>
      </w:r>
      <w:r w:rsidRPr="00B6177D">
        <w:rPr>
          <w:rFonts w:ascii="Times New Roman" w:hAnsi="Times New Roman" w:cs="Times New Roman"/>
          <w:noProof/>
          <w:sz w:val="24"/>
          <w:szCs w:val="24"/>
        </w:rPr>
        <w:t>emostatic efficacy data are available on 192 bleeding episodes (1 bleeding</w:t>
      </w:r>
      <w:r>
        <w:rPr>
          <w:rFonts w:ascii="Times New Roman" w:hAnsi="Times New Roman" w:cs="Times New Roman"/>
          <w:noProof/>
          <w:sz w:val="24"/>
          <w:szCs w:val="24"/>
        </w:rPr>
        <w:t xml:space="preserve"> </w:t>
      </w:r>
      <w:r w:rsidRPr="00B6177D">
        <w:rPr>
          <w:rFonts w:ascii="Times New Roman" w:hAnsi="Times New Roman" w:cs="Times New Roman"/>
          <w:noProof/>
          <w:sz w:val="24"/>
          <w:szCs w:val="24"/>
        </w:rPr>
        <w:t xml:space="preserve">episode in 1 </w:t>
      </w:r>
      <w:r w:rsidRPr="00B6177D">
        <w:rPr>
          <w:rFonts w:ascii="Times New Roman" w:hAnsi="Times New Roman" w:cs="Times New Roman"/>
          <w:noProof/>
          <w:sz w:val="24"/>
          <w:szCs w:val="24"/>
        </w:rPr>
        <w:lastRenderedPageBreak/>
        <w:t>subject was excluded because the subject received a plasma-derived VWF</w:t>
      </w:r>
      <w:r>
        <w:rPr>
          <w:rFonts w:ascii="Times New Roman" w:hAnsi="Times New Roman" w:cs="Times New Roman"/>
          <w:noProof/>
          <w:sz w:val="24"/>
          <w:szCs w:val="24"/>
        </w:rPr>
        <w:t xml:space="preserve"> </w:t>
      </w:r>
      <w:r w:rsidRPr="00B6177D">
        <w:rPr>
          <w:rFonts w:ascii="Times New Roman" w:hAnsi="Times New Roman" w:cs="Times New Roman"/>
          <w:noProof/>
          <w:sz w:val="24"/>
          <w:szCs w:val="24"/>
        </w:rPr>
        <w:t>product for the third infusion; therefore, the analysis was conducted on 192 bleeding</w:t>
      </w:r>
      <w:r>
        <w:rPr>
          <w:rFonts w:ascii="Times New Roman" w:hAnsi="Times New Roman" w:cs="Times New Roman"/>
          <w:noProof/>
          <w:sz w:val="24"/>
          <w:szCs w:val="24"/>
        </w:rPr>
        <w:t xml:space="preserve"> </w:t>
      </w:r>
      <w:r w:rsidRPr="00B6177D">
        <w:rPr>
          <w:rFonts w:ascii="Times New Roman" w:hAnsi="Times New Roman" w:cs="Times New Roman"/>
          <w:noProof/>
          <w:sz w:val="24"/>
          <w:szCs w:val="24"/>
        </w:rPr>
        <w:t>episodes).</w:t>
      </w:r>
    </w:p>
    <w:p w:rsidR="00B6177D" w:rsidRDefault="00B6177D" w:rsidP="00B6177D">
      <w:pPr>
        <w:pStyle w:val="BodytextAgency"/>
        <w:spacing w:before="120" w:after="120" w:line="240" w:lineRule="auto"/>
        <w:rPr>
          <w:rFonts w:ascii="Times New Roman" w:hAnsi="Times New Roman" w:cs="Times New Roman"/>
          <w:noProof/>
          <w:sz w:val="24"/>
          <w:szCs w:val="24"/>
        </w:rPr>
      </w:pPr>
      <w:r w:rsidRPr="00B6177D">
        <w:rPr>
          <w:rFonts w:ascii="Times New Roman" w:hAnsi="Times New Roman" w:cs="Times New Roman"/>
          <w:noProof/>
          <w:sz w:val="24"/>
          <w:szCs w:val="24"/>
        </w:rPr>
        <w:t>The primary efficacy endpoint was the number of subjects with treatment success for control</w:t>
      </w:r>
      <w:r>
        <w:rPr>
          <w:rFonts w:ascii="Times New Roman" w:hAnsi="Times New Roman" w:cs="Times New Roman"/>
          <w:noProof/>
          <w:sz w:val="24"/>
          <w:szCs w:val="24"/>
        </w:rPr>
        <w:t xml:space="preserve"> </w:t>
      </w:r>
      <w:r w:rsidRPr="00B6177D">
        <w:rPr>
          <w:rFonts w:ascii="Times New Roman" w:hAnsi="Times New Roman" w:cs="Times New Roman"/>
          <w:noProof/>
          <w:sz w:val="24"/>
          <w:szCs w:val="24"/>
        </w:rPr>
        <w:t>of bleeding episodes. Treatment success was defined as a mean efficacy rating score of</w:t>
      </w:r>
      <w:r w:rsidR="00507E7F">
        <w:rPr>
          <w:rFonts w:ascii="Times New Roman" w:hAnsi="Times New Roman" w:cs="Times New Roman"/>
          <w:noProof/>
          <w:sz w:val="24"/>
          <w:szCs w:val="24"/>
        </w:rPr>
        <w:t xml:space="preserve"> </w:t>
      </w:r>
      <w:r w:rsidRPr="00B6177D">
        <w:rPr>
          <w:rFonts w:ascii="Times New Roman" w:hAnsi="Times New Roman" w:cs="Times New Roman"/>
          <w:noProof/>
          <w:sz w:val="24"/>
          <w:szCs w:val="24"/>
        </w:rPr>
        <w:t xml:space="preserve">less than 2.5 for all bleeding episodes in a subject treated with </w:t>
      </w:r>
      <w:r w:rsidR="00507E7F">
        <w:rPr>
          <w:rFonts w:ascii="Times New Roman" w:hAnsi="Times New Roman" w:cs="Times New Roman"/>
          <w:noProof/>
          <w:sz w:val="24"/>
          <w:szCs w:val="24"/>
        </w:rPr>
        <w:t>VEYVONDI</w:t>
      </w:r>
      <w:r w:rsidRPr="00B6177D">
        <w:rPr>
          <w:rFonts w:ascii="Times New Roman" w:hAnsi="Times New Roman" w:cs="Times New Roman"/>
          <w:noProof/>
          <w:sz w:val="24"/>
          <w:szCs w:val="24"/>
        </w:rPr>
        <w:t xml:space="preserve"> (with or</w:t>
      </w:r>
      <w:r w:rsidR="00507E7F">
        <w:rPr>
          <w:rFonts w:ascii="Times New Roman" w:hAnsi="Times New Roman" w:cs="Times New Roman"/>
          <w:noProof/>
          <w:sz w:val="24"/>
          <w:szCs w:val="24"/>
        </w:rPr>
        <w:t xml:space="preserve"> </w:t>
      </w:r>
      <w:r w:rsidRPr="00B6177D">
        <w:rPr>
          <w:rFonts w:ascii="Times New Roman" w:hAnsi="Times New Roman" w:cs="Times New Roman"/>
          <w:noProof/>
          <w:sz w:val="24"/>
          <w:szCs w:val="24"/>
        </w:rPr>
        <w:t>without ADVATE</w:t>
      </w:r>
      <w:r w:rsidR="00B35081">
        <w:rPr>
          <w:rFonts w:ascii="Times New Roman" w:hAnsi="Times New Roman" w:cs="Times New Roman"/>
          <w:noProof/>
          <w:sz w:val="24"/>
          <w:szCs w:val="24"/>
        </w:rPr>
        <w:t xml:space="preserve"> [octocog alfa, </w:t>
      </w:r>
      <w:r w:rsidR="00B35081" w:rsidRPr="00B35081">
        <w:rPr>
          <w:rFonts w:ascii="Times New Roman" w:hAnsi="Times New Roman" w:cs="Times New Roman"/>
          <w:noProof/>
          <w:sz w:val="24"/>
          <w:szCs w:val="24"/>
        </w:rPr>
        <w:t>a rFVIII</w:t>
      </w:r>
      <w:r w:rsidR="00B35081">
        <w:rPr>
          <w:rFonts w:ascii="Times New Roman" w:hAnsi="Times New Roman" w:cs="Times New Roman"/>
          <w:noProof/>
          <w:sz w:val="24"/>
          <w:szCs w:val="24"/>
        </w:rPr>
        <w:t>]</w:t>
      </w:r>
      <w:r w:rsidRPr="00B6177D">
        <w:rPr>
          <w:rFonts w:ascii="Times New Roman" w:hAnsi="Times New Roman" w:cs="Times New Roman"/>
          <w:noProof/>
          <w:sz w:val="24"/>
          <w:szCs w:val="24"/>
        </w:rPr>
        <w:t>) during the trial period. The efficacy rating was assessed using a pre</w:t>
      </w:r>
      <w:r w:rsidR="00AF6F00">
        <w:rPr>
          <w:rFonts w:ascii="Times New Roman" w:hAnsi="Times New Roman" w:cs="Times New Roman"/>
          <w:noProof/>
          <w:sz w:val="24"/>
          <w:szCs w:val="24"/>
        </w:rPr>
        <w:noBreakHyphen/>
      </w:r>
      <w:r w:rsidRPr="00B6177D">
        <w:rPr>
          <w:rFonts w:ascii="Times New Roman" w:hAnsi="Times New Roman" w:cs="Times New Roman"/>
          <w:noProof/>
          <w:sz w:val="24"/>
          <w:szCs w:val="24"/>
        </w:rPr>
        <w:t>specified</w:t>
      </w:r>
      <w:r w:rsidR="00507E7F">
        <w:rPr>
          <w:rFonts w:ascii="Times New Roman" w:hAnsi="Times New Roman" w:cs="Times New Roman"/>
          <w:noProof/>
          <w:sz w:val="24"/>
          <w:szCs w:val="24"/>
        </w:rPr>
        <w:t xml:space="preserve"> </w:t>
      </w:r>
      <w:r w:rsidRPr="00B6177D">
        <w:rPr>
          <w:rFonts w:ascii="Times New Roman" w:hAnsi="Times New Roman" w:cs="Times New Roman"/>
          <w:noProof/>
          <w:sz w:val="24"/>
          <w:szCs w:val="24"/>
        </w:rPr>
        <w:t>4 point rating scale comparing the prospectively estimated number of infusions</w:t>
      </w:r>
      <w:r w:rsidR="00507E7F">
        <w:rPr>
          <w:rFonts w:ascii="Times New Roman" w:hAnsi="Times New Roman" w:cs="Times New Roman"/>
          <w:noProof/>
          <w:sz w:val="24"/>
          <w:szCs w:val="24"/>
        </w:rPr>
        <w:t xml:space="preserve"> </w:t>
      </w:r>
      <w:r w:rsidRPr="00B6177D">
        <w:rPr>
          <w:rFonts w:ascii="Times New Roman" w:hAnsi="Times New Roman" w:cs="Times New Roman"/>
          <w:noProof/>
          <w:sz w:val="24"/>
          <w:szCs w:val="24"/>
        </w:rPr>
        <w:t>needed to treat the bleeding episodes as assessed by the investigator to the actual number of</w:t>
      </w:r>
      <w:r w:rsidR="00507E7F">
        <w:rPr>
          <w:rFonts w:ascii="Times New Roman" w:hAnsi="Times New Roman" w:cs="Times New Roman"/>
          <w:noProof/>
          <w:sz w:val="24"/>
          <w:szCs w:val="24"/>
        </w:rPr>
        <w:t xml:space="preserve"> </w:t>
      </w:r>
      <w:r w:rsidRPr="00B6177D">
        <w:rPr>
          <w:rFonts w:ascii="Times New Roman" w:hAnsi="Times New Roman" w:cs="Times New Roman"/>
          <w:noProof/>
          <w:sz w:val="24"/>
          <w:szCs w:val="24"/>
        </w:rPr>
        <w:t>infusions administered.</w:t>
      </w:r>
    </w:p>
    <w:p w:rsidR="00507E7F" w:rsidRDefault="00507E7F" w:rsidP="00507E7F">
      <w:pPr>
        <w:pStyle w:val="BodytextAgency"/>
        <w:spacing w:before="120" w:after="120" w:line="240" w:lineRule="auto"/>
        <w:rPr>
          <w:rFonts w:ascii="Times New Roman" w:hAnsi="Times New Roman" w:cs="Times New Roman"/>
          <w:noProof/>
          <w:sz w:val="24"/>
          <w:szCs w:val="24"/>
        </w:rPr>
      </w:pPr>
      <w:r w:rsidRPr="00507E7F">
        <w:rPr>
          <w:rFonts w:ascii="Times New Roman" w:hAnsi="Times New Roman" w:cs="Times New Roman"/>
          <w:noProof/>
          <w:sz w:val="24"/>
          <w:szCs w:val="24"/>
        </w:rPr>
        <w:t>Secondary efficacy measures were the number of treated bleeding episodes with an efficacy</w:t>
      </w:r>
      <w:r>
        <w:rPr>
          <w:rFonts w:ascii="Times New Roman" w:hAnsi="Times New Roman" w:cs="Times New Roman"/>
          <w:noProof/>
          <w:sz w:val="24"/>
          <w:szCs w:val="24"/>
        </w:rPr>
        <w:t xml:space="preserve"> </w:t>
      </w:r>
      <w:r w:rsidRPr="00507E7F">
        <w:rPr>
          <w:rFonts w:ascii="Times New Roman" w:hAnsi="Times New Roman" w:cs="Times New Roman"/>
          <w:noProof/>
          <w:sz w:val="24"/>
          <w:szCs w:val="24"/>
        </w:rPr>
        <w:t>rating of 'excellent' or 'good', the number of infusions and number of units of</w:t>
      </w:r>
      <w:r>
        <w:rPr>
          <w:rFonts w:ascii="Times New Roman" w:hAnsi="Times New Roman" w:cs="Times New Roman"/>
          <w:noProof/>
          <w:sz w:val="24"/>
          <w:szCs w:val="24"/>
        </w:rPr>
        <w:t xml:space="preserve"> VEYVONDI, a</w:t>
      </w:r>
      <w:r w:rsidRPr="00507E7F">
        <w:rPr>
          <w:rFonts w:ascii="Times New Roman" w:hAnsi="Times New Roman" w:cs="Times New Roman"/>
          <w:noProof/>
          <w:sz w:val="24"/>
          <w:szCs w:val="24"/>
        </w:rPr>
        <w:t>dministered with or without ADVATE, per bleeding episode.</w:t>
      </w:r>
    </w:p>
    <w:p w:rsidR="001949FC" w:rsidRDefault="00354B22" w:rsidP="007B162C">
      <w:pPr>
        <w:pStyle w:val="BodytextAgency"/>
        <w:spacing w:before="120" w:after="120" w:line="240" w:lineRule="auto"/>
        <w:rPr>
          <w:rFonts w:ascii="Times New Roman" w:hAnsi="Times New Roman" w:cs="Times New Roman"/>
          <w:noProof/>
          <w:sz w:val="24"/>
          <w:szCs w:val="24"/>
        </w:rPr>
      </w:pPr>
      <w:r w:rsidRPr="009269A3">
        <w:rPr>
          <w:rFonts w:ascii="Times New Roman" w:hAnsi="Times New Roman" w:cs="Times New Roman"/>
          <w:noProof/>
          <w:sz w:val="24"/>
          <w:szCs w:val="24"/>
        </w:rPr>
        <w:t xml:space="preserve">The primary efficacy assessments of treatment success for bleeds were made prospectively and </w:t>
      </w:r>
      <w:r w:rsidR="00AD64BC" w:rsidRPr="009269A3">
        <w:rPr>
          <w:rFonts w:ascii="Times New Roman" w:hAnsi="Times New Roman" w:cs="Times New Roman"/>
          <w:noProof/>
          <w:sz w:val="24"/>
          <w:szCs w:val="24"/>
        </w:rPr>
        <w:t xml:space="preserve">excluded </w:t>
      </w:r>
      <w:r w:rsidR="009269A3">
        <w:rPr>
          <w:rFonts w:ascii="Times New Roman" w:hAnsi="Times New Roman" w:cs="Times New Roman"/>
          <w:noProof/>
          <w:sz w:val="24"/>
          <w:szCs w:val="24"/>
        </w:rPr>
        <w:t>gastrointestinal</w:t>
      </w:r>
      <w:r w:rsidR="00507E7F">
        <w:rPr>
          <w:rFonts w:ascii="Times New Roman" w:hAnsi="Times New Roman" w:cs="Times New Roman"/>
          <w:noProof/>
          <w:sz w:val="24"/>
          <w:szCs w:val="24"/>
        </w:rPr>
        <w:t xml:space="preserve"> (GI)</w:t>
      </w:r>
      <w:r w:rsidRPr="009269A3">
        <w:rPr>
          <w:rFonts w:ascii="Times New Roman" w:hAnsi="Times New Roman" w:cs="Times New Roman"/>
          <w:noProof/>
          <w:sz w:val="24"/>
          <w:szCs w:val="24"/>
        </w:rPr>
        <w:t xml:space="preserve"> bleeds. </w:t>
      </w:r>
      <w:r w:rsidR="00507E7F">
        <w:rPr>
          <w:rFonts w:ascii="Times New Roman" w:hAnsi="Times New Roman" w:cs="Times New Roman"/>
          <w:noProof/>
          <w:sz w:val="24"/>
          <w:szCs w:val="24"/>
        </w:rPr>
        <w:t>Eighte</w:t>
      </w:r>
      <w:r w:rsidR="00962F42">
        <w:rPr>
          <w:rFonts w:ascii="Times New Roman" w:hAnsi="Times New Roman" w:cs="Times New Roman"/>
          <w:noProof/>
          <w:sz w:val="24"/>
          <w:szCs w:val="24"/>
        </w:rPr>
        <w:t>en</w:t>
      </w:r>
      <w:r w:rsidR="00507E7F">
        <w:rPr>
          <w:rFonts w:ascii="Times New Roman" w:hAnsi="Times New Roman" w:cs="Times New Roman"/>
          <w:noProof/>
          <w:sz w:val="24"/>
          <w:szCs w:val="24"/>
        </w:rPr>
        <w:t xml:space="preserve"> subjects were included in the primary outcome assessment after excluding 2 subjects with</w:t>
      </w:r>
      <w:r w:rsidR="00962F42">
        <w:rPr>
          <w:rFonts w:ascii="Times New Roman" w:hAnsi="Times New Roman" w:cs="Times New Roman"/>
          <w:noProof/>
          <w:sz w:val="24"/>
          <w:szCs w:val="24"/>
        </w:rPr>
        <w:t xml:space="preserve"> o</w:t>
      </w:r>
      <w:r w:rsidR="00507E7F">
        <w:rPr>
          <w:rFonts w:ascii="Times New Roman" w:hAnsi="Times New Roman" w:cs="Times New Roman"/>
          <w:noProof/>
          <w:sz w:val="24"/>
          <w:szCs w:val="24"/>
        </w:rPr>
        <w:t>nly GI bl</w:t>
      </w:r>
      <w:r w:rsidR="00D31DCC">
        <w:rPr>
          <w:rFonts w:ascii="Times New Roman" w:hAnsi="Times New Roman" w:cs="Times New Roman"/>
          <w:noProof/>
          <w:sz w:val="24"/>
          <w:szCs w:val="24"/>
        </w:rPr>
        <w:t>eed (and no other bleeds requri</w:t>
      </w:r>
      <w:r w:rsidR="00507E7F">
        <w:rPr>
          <w:rFonts w:ascii="Times New Roman" w:hAnsi="Times New Roman" w:cs="Times New Roman"/>
          <w:noProof/>
          <w:sz w:val="24"/>
          <w:szCs w:val="24"/>
        </w:rPr>
        <w:t>ng VEYVONDI), and 2 subjects in whom th enumber of infusions to control a bleed was estimated retrospectively.  The rate of subjects (n=18) with treatment success was 100% (95% CI 81.5 to 100).</w:t>
      </w:r>
    </w:p>
    <w:p w:rsidR="00507E7F" w:rsidRPr="009269A3" w:rsidRDefault="00507E7F" w:rsidP="00507E7F">
      <w:pPr>
        <w:pStyle w:val="BodytextAgency"/>
        <w:spacing w:before="120" w:after="120" w:line="240" w:lineRule="auto"/>
        <w:rPr>
          <w:rFonts w:ascii="Times New Roman" w:hAnsi="Times New Roman" w:cs="Times New Roman"/>
          <w:noProof/>
          <w:sz w:val="24"/>
          <w:szCs w:val="24"/>
        </w:rPr>
      </w:pPr>
      <w:r w:rsidRPr="00507E7F">
        <w:rPr>
          <w:rFonts w:ascii="Times New Roman" w:hAnsi="Times New Roman" w:cs="Times New Roman"/>
          <w:noProof/>
          <w:sz w:val="24"/>
          <w:szCs w:val="24"/>
        </w:rPr>
        <w:t>Sensitivity analyses of treatment success for bleeding episodes including GI bleeds and those</w:t>
      </w:r>
      <w:r>
        <w:rPr>
          <w:rFonts w:ascii="Times New Roman" w:hAnsi="Times New Roman" w:cs="Times New Roman"/>
          <w:noProof/>
          <w:sz w:val="24"/>
          <w:szCs w:val="24"/>
        </w:rPr>
        <w:t xml:space="preserve"> </w:t>
      </w:r>
      <w:r w:rsidRPr="00507E7F">
        <w:rPr>
          <w:rFonts w:ascii="Times New Roman" w:hAnsi="Times New Roman" w:cs="Times New Roman"/>
          <w:noProof/>
          <w:sz w:val="24"/>
          <w:szCs w:val="24"/>
        </w:rPr>
        <w:t>bleeding episodes for which the investigator made retrospective assessment of the number of</w:t>
      </w:r>
      <w:r>
        <w:rPr>
          <w:rFonts w:ascii="Times New Roman" w:hAnsi="Times New Roman" w:cs="Times New Roman"/>
          <w:noProof/>
          <w:sz w:val="24"/>
          <w:szCs w:val="24"/>
        </w:rPr>
        <w:t xml:space="preserve"> </w:t>
      </w:r>
      <w:r w:rsidRPr="00507E7F">
        <w:rPr>
          <w:rFonts w:ascii="Times New Roman" w:hAnsi="Times New Roman" w:cs="Times New Roman"/>
          <w:noProof/>
          <w:sz w:val="24"/>
          <w:szCs w:val="24"/>
        </w:rPr>
        <w:t>infusions required (n=22: 17 with type 3 VWD, 4 with type 2A VWD and 1 with</w:t>
      </w:r>
      <w:r>
        <w:rPr>
          <w:rFonts w:ascii="Times New Roman" w:hAnsi="Times New Roman" w:cs="Times New Roman"/>
          <w:noProof/>
          <w:sz w:val="24"/>
          <w:szCs w:val="24"/>
        </w:rPr>
        <w:t xml:space="preserve"> </w:t>
      </w:r>
      <w:r w:rsidRPr="00507E7F">
        <w:rPr>
          <w:rFonts w:ascii="Times New Roman" w:hAnsi="Times New Roman" w:cs="Times New Roman"/>
          <w:noProof/>
          <w:sz w:val="24"/>
          <w:szCs w:val="24"/>
        </w:rPr>
        <w:t>type 2N VWD) confirmed the primary analysis, with a 100% treatment success rate for each</w:t>
      </w:r>
      <w:r>
        <w:rPr>
          <w:rFonts w:ascii="Times New Roman" w:hAnsi="Times New Roman" w:cs="Times New Roman"/>
          <w:noProof/>
          <w:sz w:val="24"/>
          <w:szCs w:val="24"/>
        </w:rPr>
        <w:t xml:space="preserve"> </w:t>
      </w:r>
      <w:r w:rsidRPr="00507E7F">
        <w:rPr>
          <w:rFonts w:ascii="Times New Roman" w:hAnsi="Times New Roman" w:cs="Times New Roman"/>
          <w:noProof/>
          <w:sz w:val="24"/>
          <w:szCs w:val="24"/>
        </w:rPr>
        <w:t>scenario.</w:t>
      </w:r>
    </w:p>
    <w:p w:rsidR="00354B22" w:rsidRPr="009269A3" w:rsidRDefault="00354B22" w:rsidP="007B162C">
      <w:pPr>
        <w:pStyle w:val="BodytextAgency"/>
        <w:spacing w:before="120" w:after="120" w:line="240" w:lineRule="auto"/>
        <w:rPr>
          <w:rFonts w:ascii="Times New Roman" w:hAnsi="Times New Roman" w:cs="Times New Roman"/>
          <w:noProof/>
          <w:sz w:val="24"/>
          <w:szCs w:val="24"/>
        </w:rPr>
      </w:pPr>
      <w:r w:rsidRPr="009269A3">
        <w:rPr>
          <w:rFonts w:ascii="Times New Roman" w:hAnsi="Times New Roman" w:cs="Times New Roman"/>
          <w:noProof/>
          <w:sz w:val="24"/>
          <w:szCs w:val="24"/>
        </w:rPr>
        <w:t xml:space="preserve">All bleeding episodes treated with VEYVONDI and </w:t>
      </w:r>
      <w:r w:rsidR="00507E7F">
        <w:rPr>
          <w:rFonts w:ascii="Times New Roman" w:hAnsi="Times New Roman" w:cs="Times New Roman"/>
          <w:noProof/>
          <w:sz w:val="24"/>
          <w:szCs w:val="24"/>
        </w:rPr>
        <w:t>ADVATE</w:t>
      </w:r>
      <w:r w:rsidR="00AD64BC" w:rsidRPr="009269A3">
        <w:rPr>
          <w:rFonts w:ascii="Times New Roman" w:hAnsi="Times New Roman" w:cs="Times New Roman"/>
          <w:noProof/>
          <w:sz w:val="24"/>
          <w:szCs w:val="24"/>
        </w:rPr>
        <w:t xml:space="preserve"> or </w:t>
      </w:r>
      <w:r w:rsidRPr="009269A3">
        <w:rPr>
          <w:rFonts w:ascii="Times New Roman" w:hAnsi="Times New Roman" w:cs="Times New Roman"/>
          <w:noProof/>
          <w:sz w:val="24"/>
          <w:szCs w:val="24"/>
        </w:rPr>
        <w:t xml:space="preserve">VEYVONDI alone </w:t>
      </w:r>
      <w:r w:rsidR="00AD64BC" w:rsidRPr="009269A3">
        <w:rPr>
          <w:rFonts w:ascii="Times New Roman" w:hAnsi="Times New Roman" w:cs="Times New Roman"/>
          <w:noProof/>
          <w:sz w:val="24"/>
          <w:szCs w:val="24"/>
        </w:rPr>
        <w:t xml:space="preserve">were </w:t>
      </w:r>
      <w:r w:rsidRPr="009269A3">
        <w:rPr>
          <w:rFonts w:ascii="Times New Roman" w:hAnsi="Times New Roman" w:cs="Times New Roman"/>
          <w:noProof/>
          <w:sz w:val="24"/>
          <w:szCs w:val="24"/>
        </w:rPr>
        <w:t>controlled with an efficacy rating of excellent (96.9%) or good (3.1%). Control of bleeding episodes was consistent across all degrees of bleeding severity.</w:t>
      </w:r>
    </w:p>
    <w:p w:rsidR="005213D0" w:rsidRDefault="00031615" w:rsidP="007B162C">
      <w:pPr>
        <w:pStyle w:val="BodytextAgency"/>
        <w:spacing w:before="120" w:after="120" w:line="240" w:lineRule="auto"/>
        <w:rPr>
          <w:rFonts w:ascii="Times New Roman" w:hAnsi="Times New Roman" w:cs="Times New Roman"/>
          <w:noProof/>
          <w:sz w:val="24"/>
          <w:szCs w:val="24"/>
        </w:rPr>
      </w:pPr>
      <w:r w:rsidRPr="009269A3">
        <w:rPr>
          <w:rFonts w:ascii="Times New Roman" w:hAnsi="Times New Roman" w:cs="Times New Roman"/>
          <w:noProof/>
          <w:sz w:val="24"/>
          <w:szCs w:val="24"/>
        </w:rPr>
        <w:t>For an overview of haemostatic efficacy by bleeding severity and number of infusions required to treat a bleeding episode refer to</w:t>
      </w:r>
      <w:r w:rsidR="006E4903">
        <w:rPr>
          <w:rFonts w:ascii="Times New Roman" w:hAnsi="Times New Roman" w:cs="Times New Roman"/>
          <w:noProof/>
          <w:sz w:val="24"/>
          <w:szCs w:val="24"/>
        </w:rPr>
        <w:t xml:space="preserve"> </w:t>
      </w:r>
      <w:r w:rsidR="006E4903">
        <w:rPr>
          <w:rFonts w:ascii="Times New Roman" w:hAnsi="Times New Roman" w:cs="Times New Roman"/>
          <w:noProof/>
          <w:sz w:val="24"/>
          <w:szCs w:val="24"/>
        </w:rPr>
        <w:fldChar w:fldCharType="begin"/>
      </w:r>
      <w:r w:rsidR="006E4903">
        <w:rPr>
          <w:rFonts w:ascii="Times New Roman" w:hAnsi="Times New Roman" w:cs="Times New Roman"/>
          <w:noProof/>
          <w:sz w:val="24"/>
          <w:szCs w:val="24"/>
        </w:rPr>
        <w:instrText xml:space="preserve"> REF _Ref527109566 \h </w:instrText>
      </w:r>
      <w:r w:rsidR="006E4903">
        <w:rPr>
          <w:rFonts w:ascii="Times New Roman" w:hAnsi="Times New Roman" w:cs="Times New Roman"/>
          <w:noProof/>
          <w:sz w:val="24"/>
          <w:szCs w:val="24"/>
        </w:rPr>
      </w:r>
      <w:r w:rsidR="006E4903">
        <w:rPr>
          <w:rFonts w:ascii="Times New Roman" w:hAnsi="Times New Roman" w:cs="Times New Roman"/>
          <w:noProof/>
          <w:sz w:val="24"/>
          <w:szCs w:val="24"/>
        </w:rPr>
        <w:fldChar w:fldCharType="separate"/>
      </w:r>
      <w:r w:rsidR="006E4903" w:rsidRPr="00E713DD">
        <w:rPr>
          <w:rFonts w:ascii="Times New Roman" w:hAnsi="Times New Roman"/>
          <w:bCs/>
          <w:sz w:val="24"/>
        </w:rPr>
        <w:t xml:space="preserve">Table </w:t>
      </w:r>
      <w:r w:rsidR="006E4903" w:rsidRPr="00E713DD">
        <w:rPr>
          <w:rFonts w:ascii="Times New Roman" w:hAnsi="Times New Roman"/>
          <w:bCs/>
          <w:noProof/>
          <w:sz w:val="24"/>
        </w:rPr>
        <w:t>5</w:t>
      </w:r>
      <w:r w:rsidR="006E4903">
        <w:rPr>
          <w:rFonts w:ascii="Times New Roman" w:hAnsi="Times New Roman" w:cs="Times New Roman"/>
          <w:noProof/>
          <w:sz w:val="24"/>
          <w:szCs w:val="24"/>
        </w:rPr>
        <w:fldChar w:fldCharType="end"/>
      </w:r>
      <w:r w:rsidR="00F36EF9" w:rsidRPr="009269A3">
        <w:rPr>
          <w:rFonts w:ascii="Times New Roman" w:hAnsi="Times New Roman" w:cs="Times New Roman"/>
          <w:noProof/>
          <w:sz w:val="24"/>
          <w:szCs w:val="24"/>
        </w:rPr>
        <w:t>.</w:t>
      </w:r>
    </w:p>
    <w:p w:rsidR="00E713DD" w:rsidRPr="00FB2C85" w:rsidRDefault="00E713DD" w:rsidP="007B162C">
      <w:pPr>
        <w:pStyle w:val="TableHead"/>
        <w:rPr>
          <w:bCs/>
          <w:sz w:val="22"/>
          <w:szCs w:val="22"/>
        </w:rPr>
      </w:pPr>
      <w:bookmarkStart w:id="16" w:name="_Ref527109566"/>
      <w:r w:rsidRPr="00FB2C85">
        <w:rPr>
          <w:bCs/>
          <w:sz w:val="22"/>
          <w:szCs w:val="22"/>
        </w:rPr>
        <w:t xml:space="preserve">Table </w:t>
      </w:r>
      <w:r w:rsidRPr="00FB2C85">
        <w:rPr>
          <w:bCs/>
          <w:sz w:val="22"/>
          <w:szCs w:val="22"/>
        </w:rPr>
        <w:fldChar w:fldCharType="begin"/>
      </w:r>
      <w:r w:rsidRPr="00FB2C85">
        <w:rPr>
          <w:bCs/>
          <w:sz w:val="22"/>
          <w:szCs w:val="22"/>
        </w:rPr>
        <w:instrText xml:space="preserve"> SEQ Table \* ARABIC </w:instrText>
      </w:r>
      <w:r w:rsidRPr="00FB2C85">
        <w:rPr>
          <w:bCs/>
          <w:sz w:val="22"/>
          <w:szCs w:val="22"/>
        </w:rPr>
        <w:fldChar w:fldCharType="separate"/>
      </w:r>
      <w:r w:rsidRPr="00FB2C85">
        <w:rPr>
          <w:bCs/>
          <w:noProof/>
          <w:sz w:val="22"/>
          <w:szCs w:val="22"/>
        </w:rPr>
        <w:t>5</w:t>
      </w:r>
      <w:r w:rsidRPr="00FB2C85">
        <w:rPr>
          <w:bCs/>
          <w:sz w:val="22"/>
          <w:szCs w:val="22"/>
        </w:rPr>
        <w:fldChar w:fldCharType="end"/>
      </w:r>
      <w:bookmarkEnd w:id="16"/>
      <w:r w:rsidRPr="00FB2C85">
        <w:rPr>
          <w:bCs/>
          <w:sz w:val="22"/>
          <w:szCs w:val="22"/>
        </w:rPr>
        <w:br/>
        <w:t>Numb</w:t>
      </w:r>
      <w:r w:rsidR="00BA22F0">
        <w:rPr>
          <w:bCs/>
          <w:sz w:val="22"/>
          <w:szCs w:val="22"/>
        </w:rPr>
        <w:t>er of infusions by severity of bleeding e</w:t>
      </w:r>
      <w:r w:rsidRPr="00FB2C85">
        <w:rPr>
          <w:bCs/>
          <w:sz w:val="22"/>
          <w:szCs w:val="22"/>
        </w:rPr>
        <w:t>pisodes</w:t>
      </w:r>
      <w:r w:rsidRPr="00FB2C85">
        <w:rPr>
          <w:b w:val="0"/>
          <w:bCs/>
          <w:sz w:val="22"/>
          <w:szCs w:val="22"/>
          <w:vertAlign w:val="superscript"/>
        </w:rPr>
        <w:t>a</w:t>
      </w:r>
    </w:p>
    <w:tbl>
      <w:tblPr>
        <w:tblW w:w="4954" w:type="pct"/>
        <w:jc w:val="center"/>
        <w:tblCellMar>
          <w:left w:w="0" w:type="dxa"/>
          <w:right w:w="0" w:type="dxa"/>
        </w:tblCellMar>
        <w:tblLook w:val="04A0" w:firstRow="1" w:lastRow="0" w:firstColumn="1" w:lastColumn="0" w:noHBand="0" w:noVBand="1"/>
      </w:tblPr>
      <w:tblGrid>
        <w:gridCol w:w="2150"/>
        <w:gridCol w:w="1428"/>
        <w:gridCol w:w="1430"/>
        <w:gridCol w:w="1428"/>
        <w:gridCol w:w="1430"/>
        <w:gridCol w:w="1432"/>
      </w:tblGrid>
      <w:tr w:rsidR="00031615" w:rsidRPr="00CB2A4A" w:rsidTr="00E713DD">
        <w:trPr>
          <w:cantSplit/>
          <w:jc w:val="center"/>
        </w:trPr>
        <w:tc>
          <w:tcPr>
            <w:tcW w:w="1156" w:type="pct"/>
            <w:vMerge w:val="restart"/>
            <w:tcBorders>
              <w:top w:val="single" w:sz="4" w:space="0" w:color="auto"/>
              <w:left w:val="single" w:sz="4" w:space="0" w:color="auto"/>
              <w:right w:val="single" w:sz="4" w:space="0" w:color="auto"/>
            </w:tcBorders>
            <w:shd w:val="clear" w:color="auto" w:fill="FFFFFF"/>
            <w:vAlign w:val="center"/>
          </w:tcPr>
          <w:p w:rsidR="00031615" w:rsidRPr="006E4903" w:rsidRDefault="00BA22F0" w:rsidP="00991F4E">
            <w:pPr>
              <w:pStyle w:val="TableColumnHeading"/>
              <w:keepNext/>
              <w:spacing w:before="20" w:after="20"/>
              <w:rPr>
                <w:szCs w:val="20"/>
              </w:rPr>
            </w:pPr>
            <w:r>
              <w:rPr>
                <w:szCs w:val="20"/>
              </w:rPr>
              <w:t>Number of i</w:t>
            </w:r>
            <w:r w:rsidR="00031615" w:rsidRPr="006E4903">
              <w:rPr>
                <w:szCs w:val="20"/>
              </w:rPr>
              <w:t xml:space="preserve">nfusions </w:t>
            </w:r>
            <w:r w:rsidR="006E4903">
              <w:rPr>
                <w:szCs w:val="20"/>
              </w:rPr>
              <w:br/>
            </w:r>
            <w:r w:rsidR="00031615" w:rsidRPr="006E4903">
              <w:rPr>
                <w:szCs w:val="20"/>
              </w:rPr>
              <w:t xml:space="preserve">per </w:t>
            </w:r>
            <w:r>
              <w:rPr>
                <w:szCs w:val="20"/>
              </w:rPr>
              <w:t>b</w:t>
            </w:r>
            <w:r w:rsidR="00031615" w:rsidRPr="006E4903">
              <w:rPr>
                <w:szCs w:val="20"/>
              </w:rPr>
              <w:t>leed</w:t>
            </w:r>
          </w:p>
        </w:tc>
        <w:tc>
          <w:tcPr>
            <w:tcW w:w="3844" w:type="pct"/>
            <w:gridSpan w:val="5"/>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bottom"/>
            <w:hideMark/>
          </w:tcPr>
          <w:p w:rsidR="00031615" w:rsidRPr="006E4903" w:rsidRDefault="00BA22F0" w:rsidP="00991F4E">
            <w:pPr>
              <w:pStyle w:val="TableColumnHeading"/>
              <w:keepNext/>
              <w:spacing w:before="20" w:after="20"/>
              <w:rPr>
                <w:szCs w:val="20"/>
              </w:rPr>
            </w:pPr>
            <w:r>
              <w:rPr>
                <w:szCs w:val="20"/>
              </w:rPr>
              <w:t>Severity of bleeding e</w:t>
            </w:r>
            <w:r w:rsidR="00031615" w:rsidRPr="006E4903">
              <w:rPr>
                <w:szCs w:val="20"/>
              </w:rPr>
              <w:t>pisodes</w:t>
            </w:r>
          </w:p>
        </w:tc>
      </w:tr>
      <w:tr w:rsidR="00031615" w:rsidRPr="00CB2A4A" w:rsidTr="00B771C7">
        <w:trPr>
          <w:cantSplit/>
          <w:jc w:val="center"/>
        </w:trPr>
        <w:tc>
          <w:tcPr>
            <w:tcW w:w="1156" w:type="pct"/>
            <w:vMerge/>
            <w:tcBorders>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center"/>
            <w:hideMark/>
          </w:tcPr>
          <w:p w:rsidR="00031615" w:rsidRPr="006E4903" w:rsidRDefault="00031615" w:rsidP="00991F4E">
            <w:pPr>
              <w:pStyle w:val="TableColumnHeading"/>
              <w:keepNext/>
              <w:spacing w:before="20" w:after="20"/>
              <w:rPr>
                <w:szCs w:val="20"/>
              </w:rPr>
            </w:pPr>
          </w:p>
        </w:tc>
        <w:tc>
          <w:tcPr>
            <w:tcW w:w="768"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bottom"/>
            <w:hideMark/>
          </w:tcPr>
          <w:p w:rsidR="00031615" w:rsidRPr="006E4903" w:rsidRDefault="00031615" w:rsidP="00991F4E">
            <w:pPr>
              <w:pStyle w:val="TableColumnHeading"/>
              <w:keepNext/>
              <w:spacing w:before="20" w:after="20"/>
              <w:rPr>
                <w:szCs w:val="20"/>
              </w:rPr>
            </w:pPr>
            <w:r w:rsidRPr="006E4903">
              <w:rPr>
                <w:szCs w:val="20"/>
              </w:rPr>
              <w:t>Minor</w:t>
            </w:r>
            <w:r w:rsidRPr="006E4903">
              <w:rPr>
                <w:szCs w:val="20"/>
              </w:rPr>
              <w:br/>
              <w:t>n (%)</w:t>
            </w:r>
            <w:r w:rsidR="006E4903">
              <w:rPr>
                <w:szCs w:val="20"/>
              </w:rPr>
              <w:br/>
            </w:r>
            <w:r w:rsidRPr="006E4903">
              <w:rPr>
                <w:szCs w:val="20"/>
              </w:rPr>
              <w:t>n=122</w:t>
            </w:r>
          </w:p>
        </w:tc>
        <w:tc>
          <w:tcPr>
            <w:tcW w:w="769"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bottom"/>
            <w:hideMark/>
          </w:tcPr>
          <w:p w:rsidR="00031615" w:rsidRPr="006E4903" w:rsidRDefault="00031615" w:rsidP="00991F4E">
            <w:pPr>
              <w:pStyle w:val="TableColumnHeading"/>
              <w:keepNext/>
              <w:spacing w:before="20" w:after="20"/>
              <w:rPr>
                <w:szCs w:val="20"/>
              </w:rPr>
            </w:pPr>
            <w:r w:rsidRPr="006E4903">
              <w:rPr>
                <w:szCs w:val="20"/>
              </w:rPr>
              <w:t>Moderate</w:t>
            </w:r>
            <w:r w:rsidRPr="006E4903">
              <w:rPr>
                <w:szCs w:val="20"/>
              </w:rPr>
              <w:br/>
              <w:t>n (%)</w:t>
            </w:r>
            <w:r w:rsidR="006E4903">
              <w:rPr>
                <w:szCs w:val="20"/>
              </w:rPr>
              <w:br/>
            </w:r>
            <w:r w:rsidRPr="006E4903">
              <w:rPr>
                <w:szCs w:val="20"/>
              </w:rPr>
              <w:t>n=61</w:t>
            </w:r>
          </w:p>
        </w:tc>
        <w:tc>
          <w:tcPr>
            <w:tcW w:w="768"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bottom"/>
            <w:hideMark/>
          </w:tcPr>
          <w:p w:rsidR="00031615" w:rsidRPr="006E4903" w:rsidRDefault="00031615" w:rsidP="00991F4E">
            <w:pPr>
              <w:pStyle w:val="TableColumnHeading"/>
              <w:keepNext/>
              <w:spacing w:before="20" w:after="20"/>
              <w:rPr>
                <w:szCs w:val="20"/>
              </w:rPr>
            </w:pPr>
            <w:r w:rsidRPr="006E4903">
              <w:rPr>
                <w:szCs w:val="20"/>
              </w:rPr>
              <w:t>Major/Severe</w:t>
            </w:r>
            <w:r w:rsidRPr="006E4903">
              <w:rPr>
                <w:szCs w:val="20"/>
              </w:rPr>
              <w:br/>
              <w:t>n (%)</w:t>
            </w:r>
            <w:r w:rsidR="006E4903">
              <w:rPr>
                <w:szCs w:val="20"/>
              </w:rPr>
              <w:br/>
            </w:r>
            <w:r w:rsidRPr="006E4903">
              <w:rPr>
                <w:szCs w:val="20"/>
              </w:rPr>
              <w:t>n=7</w:t>
            </w:r>
          </w:p>
        </w:tc>
        <w:tc>
          <w:tcPr>
            <w:tcW w:w="769"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bottom"/>
            <w:hideMark/>
          </w:tcPr>
          <w:p w:rsidR="00031615" w:rsidRPr="006E4903" w:rsidRDefault="00031615" w:rsidP="00991F4E">
            <w:pPr>
              <w:pStyle w:val="TableColumnHeading"/>
              <w:keepNext/>
              <w:spacing w:before="20" w:after="20"/>
              <w:rPr>
                <w:szCs w:val="20"/>
              </w:rPr>
            </w:pPr>
            <w:r w:rsidRPr="006E4903">
              <w:rPr>
                <w:szCs w:val="20"/>
              </w:rPr>
              <w:t>Unknown</w:t>
            </w:r>
            <w:r w:rsidRPr="006E4903">
              <w:rPr>
                <w:szCs w:val="20"/>
              </w:rPr>
              <w:br/>
              <w:t>n (%)</w:t>
            </w:r>
            <w:r w:rsidR="006E4903">
              <w:rPr>
                <w:szCs w:val="20"/>
              </w:rPr>
              <w:br/>
            </w:r>
            <w:r w:rsidRPr="006E4903">
              <w:rPr>
                <w:szCs w:val="20"/>
              </w:rPr>
              <w:t>n=2</w:t>
            </w:r>
          </w:p>
        </w:tc>
        <w:tc>
          <w:tcPr>
            <w:tcW w:w="770"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bottom"/>
            <w:hideMark/>
          </w:tcPr>
          <w:p w:rsidR="00031615" w:rsidRPr="006E4903" w:rsidRDefault="00031615" w:rsidP="00991F4E">
            <w:pPr>
              <w:pStyle w:val="TableColumnHeading"/>
              <w:keepNext/>
              <w:spacing w:before="20" w:after="20"/>
              <w:rPr>
                <w:szCs w:val="20"/>
              </w:rPr>
            </w:pPr>
            <w:r w:rsidRPr="006E4903">
              <w:rPr>
                <w:szCs w:val="20"/>
              </w:rPr>
              <w:t>All</w:t>
            </w:r>
            <w:r w:rsidRPr="006E4903">
              <w:rPr>
                <w:szCs w:val="20"/>
              </w:rPr>
              <w:br/>
              <w:t>n (%)</w:t>
            </w:r>
            <w:r w:rsidR="006E4903">
              <w:rPr>
                <w:szCs w:val="20"/>
              </w:rPr>
              <w:br/>
            </w:r>
            <w:r w:rsidRPr="006E4903">
              <w:rPr>
                <w:szCs w:val="20"/>
              </w:rPr>
              <w:t>n=192</w:t>
            </w:r>
          </w:p>
        </w:tc>
      </w:tr>
      <w:tr w:rsidR="00031615" w:rsidRPr="00CB2A4A" w:rsidTr="00B771C7">
        <w:trPr>
          <w:cantSplit/>
          <w:jc w:val="center"/>
        </w:trPr>
        <w:tc>
          <w:tcPr>
            <w:tcW w:w="1156"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center"/>
            <w:hideMark/>
          </w:tcPr>
          <w:p w:rsidR="00031615" w:rsidRPr="006E4903" w:rsidRDefault="00031615" w:rsidP="00991F4E">
            <w:pPr>
              <w:pStyle w:val="TableText"/>
              <w:keepNext/>
              <w:spacing w:before="20" w:after="20"/>
              <w:jc w:val="center"/>
              <w:rPr>
                <w:b/>
                <w:szCs w:val="20"/>
              </w:rPr>
            </w:pPr>
            <w:r w:rsidRPr="006E4903">
              <w:rPr>
                <w:b/>
                <w:szCs w:val="20"/>
              </w:rPr>
              <w:t>1</w:t>
            </w:r>
          </w:p>
        </w:tc>
        <w:tc>
          <w:tcPr>
            <w:tcW w:w="768"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center"/>
            <w:hideMark/>
          </w:tcPr>
          <w:p w:rsidR="00031615" w:rsidRPr="006E4903" w:rsidRDefault="00031615" w:rsidP="00991F4E">
            <w:pPr>
              <w:pStyle w:val="TableText"/>
              <w:keepNext/>
              <w:spacing w:before="20" w:after="20"/>
              <w:jc w:val="center"/>
              <w:rPr>
                <w:szCs w:val="20"/>
              </w:rPr>
            </w:pPr>
            <w:r w:rsidRPr="006E4903">
              <w:rPr>
                <w:szCs w:val="20"/>
              </w:rPr>
              <w:t>113 (92.6%)</w:t>
            </w:r>
          </w:p>
        </w:tc>
        <w:tc>
          <w:tcPr>
            <w:tcW w:w="769"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center"/>
            <w:hideMark/>
          </w:tcPr>
          <w:p w:rsidR="00031615" w:rsidRPr="006E4903" w:rsidRDefault="00031615" w:rsidP="00991F4E">
            <w:pPr>
              <w:pStyle w:val="TableText"/>
              <w:keepNext/>
              <w:spacing w:before="20" w:after="20"/>
              <w:jc w:val="center"/>
              <w:rPr>
                <w:szCs w:val="20"/>
              </w:rPr>
            </w:pPr>
            <w:r w:rsidRPr="006E4903">
              <w:rPr>
                <w:szCs w:val="20"/>
              </w:rPr>
              <w:t>41 (67.2%)</w:t>
            </w:r>
          </w:p>
        </w:tc>
        <w:tc>
          <w:tcPr>
            <w:tcW w:w="768"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center"/>
            <w:hideMark/>
          </w:tcPr>
          <w:p w:rsidR="00031615" w:rsidRPr="006E4903" w:rsidRDefault="00031615" w:rsidP="00991F4E">
            <w:pPr>
              <w:pStyle w:val="TableText"/>
              <w:keepNext/>
              <w:spacing w:before="20" w:after="20"/>
              <w:jc w:val="center"/>
              <w:rPr>
                <w:szCs w:val="20"/>
              </w:rPr>
            </w:pPr>
            <w:r w:rsidRPr="006E4903">
              <w:rPr>
                <w:szCs w:val="20"/>
              </w:rPr>
              <w:t>1 (14.3%)</w:t>
            </w:r>
          </w:p>
        </w:tc>
        <w:tc>
          <w:tcPr>
            <w:tcW w:w="769"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center"/>
            <w:hideMark/>
          </w:tcPr>
          <w:p w:rsidR="00031615" w:rsidRPr="006E4903" w:rsidRDefault="00031615" w:rsidP="00991F4E">
            <w:pPr>
              <w:pStyle w:val="TableText"/>
              <w:keepNext/>
              <w:spacing w:before="20" w:after="20"/>
              <w:jc w:val="center"/>
              <w:rPr>
                <w:szCs w:val="20"/>
              </w:rPr>
            </w:pPr>
            <w:r w:rsidRPr="006E4903">
              <w:rPr>
                <w:szCs w:val="20"/>
              </w:rPr>
              <w:t>2 (100%)</w:t>
            </w:r>
          </w:p>
        </w:tc>
        <w:tc>
          <w:tcPr>
            <w:tcW w:w="770"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center"/>
            <w:hideMark/>
          </w:tcPr>
          <w:p w:rsidR="00031615" w:rsidRPr="006E4903" w:rsidRDefault="00031615" w:rsidP="00991F4E">
            <w:pPr>
              <w:pStyle w:val="TableText"/>
              <w:keepNext/>
              <w:spacing w:before="20" w:after="20"/>
              <w:jc w:val="center"/>
              <w:rPr>
                <w:szCs w:val="20"/>
              </w:rPr>
            </w:pPr>
            <w:r w:rsidRPr="006E4903">
              <w:rPr>
                <w:szCs w:val="20"/>
              </w:rPr>
              <w:t>157 (81.8%)</w:t>
            </w:r>
          </w:p>
        </w:tc>
      </w:tr>
      <w:tr w:rsidR="00031615" w:rsidRPr="00CB2A4A" w:rsidTr="00B771C7">
        <w:trPr>
          <w:cantSplit/>
          <w:jc w:val="center"/>
        </w:trPr>
        <w:tc>
          <w:tcPr>
            <w:tcW w:w="1156"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hideMark/>
          </w:tcPr>
          <w:p w:rsidR="00031615" w:rsidRPr="006E4903" w:rsidRDefault="00031615" w:rsidP="00991F4E">
            <w:pPr>
              <w:pStyle w:val="TableText"/>
              <w:keepNext/>
              <w:spacing w:before="20" w:after="20"/>
              <w:jc w:val="center"/>
              <w:rPr>
                <w:b/>
                <w:szCs w:val="20"/>
              </w:rPr>
            </w:pPr>
            <w:r w:rsidRPr="006E4903">
              <w:rPr>
                <w:b/>
                <w:szCs w:val="20"/>
              </w:rPr>
              <w:t>2</w:t>
            </w:r>
          </w:p>
        </w:tc>
        <w:tc>
          <w:tcPr>
            <w:tcW w:w="768"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hideMark/>
          </w:tcPr>
          <w:p w:rsidR="00031615" w:rsidRPr="006E4903" w:rsidRDefault="00031615" w:rsidP="00991F4E">
            <w:pPr>
              <w:pStyle w:val="TableText"/>
              <w:keepNext/>
              <w:spacing w:before="20" w:after="20"/>
              <w:jc w:val="center"/>
              <w:rPr>
                <w:szCs w:val="20"/>
              </w:rPr>
            </w:pPr>
            <w:r w:rsidRPr="006E4903">
              <w:rPr>
                <w:szCs w:val="20"/>
              </w:rPr>
              <w:t>8 (6.6%)</w:t>
            </w:r>
          </w:p>
        </w:tc>
        <w:tc>
          <w:tcPr>
            <w:tcW w:w="769"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hideMark/>
          </w:tcPr>
          <w:p w:rsidR="00031615" w:rsidRPr="006E4903" w:rsidRDefault="00031615" w:rsidP="00991F4E">
            <w:pPr>
              <w:pStyle w:val="TableText"/>
              <w:keepNext/>
              <w:spacing w:before="20" w:after="20"/>
              <w:jc w:val="center"/>
              <w:rPr>
                <w:szCs w:val="20"/>
              </w:rPr>
            </w:pPr>
            <w:r w:rsidRPr="006E4903">
              <w:rPr>
                <w:szCs w:val="20"/>
              </w:rPr>
              <w:t>13 (21.3%)</w:t>
            </w:r>
          </w:p>
        </w:tc>
        <w:tc>
          <w:tcPr>
            <w:tcW w:w="768"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hideMark/>
          </w:tcPr>
          <w:p w:rsidR="00031615" w:rsidRPr="006E4903" w:rsidRDefault="00031615" w:rsidP="00991F4E">
            <w:pPr>
              <w:pStyle w:val="TableText"/>
              <w:keepNext/>
              <w:spacing w:before="20" w:after="20"/>
              <w:jc w:val="center"/>
              <w:rPr>
                <w:szCs w:val="20"/>
              </w:rPr>
            </w:pPr>
            <w:r w:rsidRPr="006E4903">
              <w:rPr>
                <w:szCs w:val="20"/>
              </w:rPr>
              <w:t>4 (57.1%)</w:t>
            </w:r>
          </w:p>
        </w:tc>
        <w:tc>
          <w:tcPr>
            <w:tcW w:w="769"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hideMark/>
          </w:tcPr>
          <w:p w:rsidR="00031615" w:rsidRPr="006E4903" w:rsidRDefault="00031615" w:rsidP="00991F4E">
            <w:pPr>
              <w:pStyle w:val="TableText"/>
              <w:keepNext/>
              <w:spacing w:before="20" w:after="20"/>
              <w:jc w:val="center"/>
              <w:rPr>
                <w:szCs w:val="20"/>
              </w:rPr>
            </w:pPr>
            <w:r w:rsidRPr="006E4903">
              <w:rPr>
                <w:szCs w:val="20"/>
              </w:rPr>
              <w:t>0 (0.0)</w:t>
            </w:r>
          </w:p>
        </w:tc>
        <w:tc>
          <w:tcPr>
            <w:tcW w:w="770"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hideMark/>
          </w:tcPr>
          <w:p w:rsidR="00031615" w:rsidRPr="006E4903" w:rsidRDefault="00031615" w:rsidP="00991F4E">
            <w:pPr>
              <w:pStyle w:val="TableText"/>
              <w:keepNext/>
              <w:spacing w:before="20" w:after="20"/>
              <w:jc w:val="center"/>
              <w:rPr>
                <w:szCs w:val="20"/>
              </w:rPr>
            </w:pPr>
            <w:r w:rsidRPr="006E4903">
              <w:rPr>
                <w:szCs w:val="20"/>
              </w:rPr>
              <w:t>25 (13.0%)</w:t>
            </w:r>
          </w:p>
        </w:tc>
      </w:tr>
      <w:tr w:rsidR="00031615" w:rsidRPr="00CB2A4A" w:rsidTr="00B771C7">
        <w:trPr>
          <w:cantSplit/>
          <w:jc w:val="center"/>
        </w:trPr>
        <w:tc>
          <w:tcPr>
            <w:tcW w:w="1156"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hideMark/>
          </w:tcPr>
          <w:p w:rsidR="00031615" w:rsidRPr="006E4903" w:rsidRDefault="00031615" w:rsidP="00991F4E">
            <w:pPr>
              <w:pStyle w:val="TableText"/>
              <w:keepNext/>
              <w:spacing w:before="20" w:after="20"/>
              <w:jc w:val="center"/>
              <w:rPr>
                <w:b/>
                <w:szCs w:val="20"/>
              </w:rPr>
            </w:pPr>
            <w:r w:rsidRPr="006E4903">
              <w:rPr>
                <w:b/>
                <w:szCs w:val="20"/>
              </w:rPr>
              <w:t>3</w:t>
            </w:r>
          </w:p>
        </w:tc>
        <w:tc>
          <w:tcPr>
            <w:tcW w:w="768"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hideMark/>
          </w:tcPr>
          <w:p w:rsidR="00031615" w:rsidRPr="006E4903" w:rsidRDefault="00031615" w:rsidP="00991F4E">
            <w:pPr>
              <w:pStyle w:val="TableText"/>
              <w:keepNext/>
              <w:spacing w:before="20" w:after="20"/>
              <w:jc w:val="center"/>
              <w:rPr>
                <w:szCs w:val="20"/>
              </w:rPr>
            </w:pPr>
            <w:r w:rsidRPr="006E4903">
              <w:rPr>
                <w:szCs w:val="20"/>
              </w:rPr>
              <w:t>1 (0.8%)</w:t>
            </w:r>
          </w:p>
        </w:tc>
        <w:tc>
          <w:tcPr>
            <w:tcW w:w="769"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hideMark/>
          </w:tcPr>
          <w:p w:rsidR="00031615" w:rsidRPr="006E4903" w:rsidRDefault="00031615" w:rsidP="00991F4E">
            <w:pPr>
              <w:pStyle w:val="TableText"/>
              <w:keepNext/>
              <w:spacing w:before="20" w:after="20"/>
              <w:jc w:val="center"/>
              <w:rPr>
                <w:szCs w:val="20"/>
              </w:rPr>
            </w:pPr>
            <w:r w:rsidRPr="006E4903">
              <w:rPr>
                <w:szCs w:val="20"/>
              </w:rPr>
              <w:t>6 (9.8%)</w:t>
            </w:r>
          </w:p>
        </w:tc>
        <w:tc>
          <w:tcPr>
            <w:tcW w:w="768"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hideMark/>
          </w:tcPr>
          <w:p w:rsidR="00031615" w:rsidRPr="006E4903" w:rsidRDefault="00031615" w:rsidP="00991F4E">
            <w:pPr>
              <w:pStyle w:val="TableText"/>
              <w:keepNext/>
              <w:spacing w:before="20" w:after="20"/>
              <w:jc w:val="center"/>
              <w:rPr>
                <w:szCs w:val="20"/>
              </w:rPr>
            </w:pPr>
            <w:r w:rsidRPr="006E4903">
              <w:rPr>
                <w:szCs w:val="20"/>
              </w:rPr>
              <w:t>2 (28.6%)</w:t>
            </w:r>
          </w:p>
        </w:tc>
        <w:tc>
          <w:tcPr>
            <w:tcW w:w="769"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hideMark/>
          </w:tcPr>
          <w:p w:rsidR="00031615" w:rsidRPr="006E4903" w:rsidRDefault="00031615" w:rsidP="00991F4E">
            <w:pPr>
              <w:pStyle w:val="TableText"/>
              <w:keepNext/>
              <w:spacing w:before="20" w:after="20"/>
              <w:jc w:val="center"/>
              <w:rPr>
                <w:szCs w:val="20"/>
              </w:rPr>
            </w:pPr>
            <w:r w:rsidRPr="006E4903">
              <w:rPr>
                <w:szCs w:val="20"/>
              </w:rPr>
              <w:t>0 (0.0)</w:t>
            </w:r>
          </w:p>
        </w:tc>
        <w:tc>
          <w:tcPr>
            <w:tcW w:w="770"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hideMark/>
          </w:tcPr>
          <w:p w:rsidR="00031615" w:rsidRPr="006E4903" w:rsidRDefault="00031615" w:rsidP="00991F4E">
            <w:pPr>
              <w:pStyle w:val="TableText"/>
              <w:keepNext/>
              <w:spacing w:before="20" w:after="20"/>
              <w:jc w:val="center"/>
              <w:rPr>
                <w:szCs w:val="20"/>
              </w:rPr>
            </w:pPr>
            <w:r w:rsidRPr="006E4903">
              <w:rPr>
                <w:szCs w:val="20"/>
              </w:rPr>
              <w:t>9 (4.7%)</w:t>
            </w:r>
          </w:p>
        </w:tc>
      </w:tr>
      <w:tr w:rsidR="00031615" w:rsidRPr="00CB2A4A" w:rsidTr="00B771C7">
        <w:trPr>
          <w:cantSplit/>
          <w:jc w:val="center"/>
        </w:trPr>
        <w:tc>
          <w:tcPr>
            <w:tcW w:w="1156"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hideMark/>
          </w:tcPr>
          <w:p w:rsidR="00031615" w:rsidRPr="006E4903" w:rsidRDefault="00031615" w:rsidP="00991F4E">
            <w:pPr>
              <w:pStyle w:val="TableText"/>
              <w:keepNext/>
              <w:spacing w:before="20" w:after="20"/>
              <w:jc w:val="center"/>
              <w:rPr>
                <w:b/>
                <w:szCs w:val="20"/>
              </w:rPr>
            </w:pPr>
            <w:r w:rsidRPr="006E4903">
              <w:rPr>
                <w:b/>
                <w:szCs w:val="20"/>
              </w:rPr>
              <w:t>4</w:t>
            </w:r>
          </w:p>
        </w:tc>
        <w:tc>
          <w:tcPr>
            <w:tcW w:w="768"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hideMark/>
          </w:tcPr>
          <w:p w:rsidR="00031615" w:rsidRPr="006E4903" w:rsidRDefault="00031615" w:rsidP="00991F4E">
            <w:pPr>
              <w:pStyle w:val="TableText"/>
              <w:keepNext/>
              <w:spacing w:before="20" w:after="20"/>
              <w:jc w:val="center"/>
              <w:rPr>
                <w:szCs w:val="20"/>
              </w:rPr>
            </w:pPr>
            <w:r w:rsidRPr="006E4903">
              <w:rPr>
                <w:szCs w:val="20"/>
              </w:rPr>
              <w:t>0 (0.0)</w:t>
            </w:r>
          </w:p>
        </w:tc>
        <w:tc>
          <w:tcPr>
            <w:tcW w:w="769"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hideMark/>
          </w:tcPr>
          <w:p w:rsidR="00031615" w:rsidRPr="006E4903" w:rsidRDefault="00031615" w:rsidP="00991F4E">
            <w:pPr>
              <w:pStyle w:val="TableText"/>
              <w:keepNext/>
              <w:spacing w:before="20" w:after="20"/>
              <w:jc w:val="center"/>
              <w:rPr>
                <w:szCs w:val="20"/>
              </w:rPr>
            </w:pPr>
            <w:r w:rsidRPr="006E4903">
              <w:rPr>
                <w:szCs w:val="20"/>
              </w:rPr>
              <w:t>1 (1.6%)</w:t>
            </w:r>
          </w:p>
        </w:tc>
        <w:tc>
          <w:tcPr>
            <w:tcW w:w="768"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hideMark/>
          </w:tcPr>
          <w:p w:rsidR="00031615" w:rsidRPr="006E4903" w:rsidRDefault="00031615" w:rsidP="00991F4E">
            <w:pPr>
              <w:pStyle w:val="TableText"/>
              <w:keepNext/>
              <w:spacing w:before="20" w:after="20"/>
              <w:jc w:val="center"/>
              <w:rPr>
                <w:szCs w:val="20"/>
              </w:rPr>
            </w:pPr>
            <w:r w:rsidRPr="006E4903">
              <w:rPr>
                <w:szCs w:val="20"/>
              </w:rPr>
              <w:t>0 (0.0)</w:t>
            </w:r>
          </w:p>
        </w:tc>
        <w:tc>
          <w:tcPr>
            <w:tcW w:w="769"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hideMark/>
          </w:tcPr>
          <w:p w:rsidR="00031615" w:rsidRPr="006E4903" w:rsidRDefault="00031615" w:rsidP="00991F4E">
            <w:pPr>
              <w:pStyle w:val="TableText"/>
              <w:keepNext/>
              <w:spacing w:before="20" w:after="20"/>
              <w:jc w:val="center"/>
              <w:rPr>
                <w:szCs w:val="20"/>
              </w:rPr>
            </w:pPr>
            <w:r w:rsidRPr="006E4903">
              <w:rPr>
                <w:szCs w:val="20"/>
              </w:rPr>
              <w:t>0 (0.0)</w:t>
            </w:r>
          </w:p>
        </w:tc>
        <w:tc>
          <w:tcPr>
            <w:tcW w:w="770"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hideMark/>
          </w:tcPr>
          <w:p w:rsidR="00031615" w:rsidRPr="006E4903" w:rsidRDefault="00031615" w:rsidP="00991F4E">
            <w:pPr>
              <w:pStyle w:val="TableText"/>
              <w:keepNext/>
              <w:spacing w:before="20" w:after="20"/>
              <w:jc w:val="center"/>
              <w:rPr>
                <w:szCs w:val="20"/>
              </w:rPr>
            </w:pPr>
            <w:r w:rsidRPr="006E4903">
              <w:rPr>
                <w:szCs w:val="20"/>
              </w:rPr>
              <w:t>1 (0.5%)</w:t>
            </w:r>
          </w:p>
        </w:tc>
      </w:tr>
      <w:tr w:rsidR="00B771C7" w:rsidRPr="00CB2A4A" w:rsidTr="00B771C7">
        <w:trPr>
          <w:cantSplit/>
          <w:jc w:val="center"/>
        </w:trPr>
        <w:tc>
          <w:tcPr>
            <w:tcW w:w="1156"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tcPr>
          <w:p w:rsidR="00B771C7" w:rsidRPr="006E4903" w:rsidRDefault="00B771C7" w:rsidP="00991F4E">
            <w:pPr>
              <w:pStyle w:val="TableText"/>
              <w:keepNext/>
              <w:spacing w:before="20" w:after="20"/>
              <w:rPr>
                <w:b/>
                <w:szCs w:val="20"/>
              </w:rPr>
            </w:pPr>
            <w:r w:rsidRPr="006E4903">
              <w:rPr>
                <w:b/>
                <w:szCs w:val="20"/>
              </w:rPr>
              <w:t>Median</w:t>
            </w:r>
          </w:p>
        </w:tc>
        <w:tc>
          <w:tcPr>
            <w:tcW w:w="768"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tcPr>
          <w:p w:rsidR="00B771C7" w:rsidRPr="006E4903" w:rsidRDefault="00B771C7" w:rsidP="00991F4E">
            <w:pPr>
              <w:pStyle w:val="TableText"/>
              <w:keepNext/>
              <w:spacing w:before="20" w:after="20"/>
              <w:jc w:val="center"/>
              <w:rPr>
                <w:szCs w:val="20"/>
              </w:rPr>
            </w:pPr>
            <w:r w:rsidRPr="006E4903">
              <w:rPr>
                <w:szCs w:val="20"/>
              </w:rPr>
              <w:t>1</w:t>
            </w:r>
          </w:p>
        </w:tc>
        <w:tc>
          <w:tcPr>
            <w:tcW w:w="769"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tcPr>
          <w:p w:rsidR="00B771C7" w:rsidRPr="006E4903" w:rsidRDefault="00B771C7" w:rsidP="00991F4E">
            <w:pPr>
              <w:pStyle w:val="TableText"/>
              <w:keepNext/>
              <w:spacing w:before="20" w:after="20"/>
              <w:jc w:val="center"/>
              <w:rPr>
                <w:szCs w:val="20"/>
              </w:rPr>
            </w:pPr>
            <w:r w:rsidRPr="006E4903">
              <w:rPr>
                <w:szCs w:val="20"/>
              </w:rPr>
              <w:t>1</w:t>
            </w:r>
          </w:p>
        </w:tc>
        <w:tc>
          <w:tcPr>
            <w:tcW w:w="768"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tcPr>
          <w:p w:rsidR="00B771C7" w:rsidRPr="006E4903" w:rsidRDefault="00B771C7" w:rsidP="00991F4E">
            <w:pPr>
              <w:pStyle w:val="TableText"/>
              <w:keepNext/>
              <w:spacing w:before="20" w:after="20"/>
              <w:jc w:val="center"/>
              <w:rPr>
                <w:szCs w:val="20"/>
              </w:rPr>
            </w:pPr>
            <w:r w:rsidRPr="006E4903">
              <w:rPr>
                <w:szCs w:val="20"/>
              </w:rPr>
              <w:t>2</w:t>
            </w:r>
          </w:p>
        </w:tc>
        <w:tc>
          <w:tcPr>
            <w:tcW w:w="769"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tcPr>
          <w:p w:rsidR="00B771C7" w:rsidRPr="006E4903" w:rsidRDefault="00B771C7" w:rsidP="00991F4E">
            <w:pPr>
              <w:pStyle w:val="TableText"/>
              <w:keepNext/>
              <w:spacing w:before="20" w:after="20"/>
              <w:jc w:val="center"/>
              <w:rPr>
                <w:szCs w:val="20"/>
              </w:rPr>
            </w:pPr>
            <w:r w:rsidRPr="006E4903">
              <w:rPr>
                <w:szCs w:val="20"/>
              </w:rPr>
              <w:t>1</w:t>
            </w:r>
          </w:p>
        </w:tc>
        <w:tc>
          <w:tcPr>
            <w:tcW w:w="770"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tcPr>
          <w:p w:rsidR="00B771C7" w:rsidRPr="006E4903" w:rsidRDefault="00B771C7" w:rsidP="00991F4E">
            <w:pPr>
              <w:pStyle w:val="TableText"/>
              <w:keepNext/>
              <w:spacing w:before="20" w:after="20"/>
              <w:jc w:val="center"/>
              <w:rPr>
                <w:szCs w:val="20"/>
              </w:rPr>
            </w:pPr>
            <w:r w:rsidRPr="006E4903">
              <w:rPr>
                <w:szCs w:val="20"/>
              </w:rPr>
              <w:t>1</w:t>
            </w:r>
          </w:p>
        </w:tc>
      </w:tr>
      <w:tr w:rsidR="00031615" w:rsidRPr="00CB2A4A" w:rsidTr="00B771C7">
        <w:trPr>
          <w:cantSplit/>
          <w:jc w:val="center"/>
        </w:trPr>
        <w:tc>
          <w:tcPr>
            <w:tcW w:w="1156"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tcPr>
          <w:p w:rsidR="00031615" w:rsidRPr="006E4903" w:rsidRDefault="00B771C7" w:rsidP="00991F4E">
            <w:pPr>
              <w:pStyle w:val="TableText"/>
              <w:keepNext/>
              <w:spacing w:before="20" w:after="20"/>
              <w:rPr>
                <w:b/>
                <w:szCs w:val="20"/>
              </w:rPr>
            </w:pPr>
            <w:r>
              <w:rPr>
                <w:b/>
                <w:szCs w:val="20"/>
              </w:rPr>
              <w:t>Range</w:t>
            </w:r>
          </w:p>
        </w:tc>
        <w:tc>
          <w:tcPr>
            <w:tcW w:w="768"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tcPr>
          <w:p w:rsidR="00031615" w:rsidRPr="006E4903" w:rsidRDefault="00B771C7" w:rsidP="00991F4E">
            <w:pPr>
              <w:pStyle w:val="TableText"/>
              <w:keepNext/>
              <w:spacing w:before="20" w:after="20"/>
              <w:jc w:val="center"/>
              <w:rPr>
                <w:szCs w:val="20"/>
              </w:rPr>
            </w:pPr>
            <w:r>
              <w:rPr>
                <w:szCs w:val="20"/>
              </w:rPr>
              <w:t>1-3</w:t>
            </w:r>
          </w:p>
        </w:tc>
        <w:tc>
          <w:tcPr>
            <w:tcW w:w="769"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tcPr>
          <w:p w:rsidR="00031615" w:rsidRPr="006E4903" w:rsidRDefault="00B771C7" w:rsidP="00991F4E">
            <w:pPr>
              <w:pStyle w:val="TableText"/>
              <w:keepNext/>
              <w:spacing w:before="20" w:after="20"/>
              <w:jc w:val="center"/>
              <w:rPr>
                <w:szCs w:val="20"/>
              </w:rPr>
            </w:pPr>
            <w:r>
              <w:rPr>
                <w:szCs w:val="20"/>
              </w:rPr>
              <w:t>1-4</w:t>
            </w:r>
          </w:p>
        </w:tc>
        <w:tc>
          <w:tcPr>
            <w:tcW w:w="768"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tcPr>
          <w:p w:rsidR="00031615" w:rsidRPr="006E4903" w:rsidRDefault="00B771C7" w:rsidP="00991F4E">
            <w:pPr>
              <w:pStyle w:val="TableText"/>
              <w:keepNext/>
              <w:spacing w:before="20" w:after="20"/>
              <w:jc w:val="center"/>
              <w:rPr>
                <w:szCs w:val="20"/>
              </w:rPr>
            </w:pPr>
            <w:r>
              <w:rPr>
                <w:szCs w:val="20"/>
              </w:rPr>
              <w:t>1-3</w:t>
            </w:r>
          </w:p>
        </w:tc>
        <w:tc>
          <w:tcPr>
            <w:tcW w:w="769"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tcPr>
          <w:p w:rsidR="00031615" w:rsidRPr="006E4903" w:rsidRDefault="00B771C7" w:rsidP="00991F4E">
            <w:pPr>
              <w:pStyle w:val="TableText"/>
              <w:keepNext/>
              <w:spacing w:before="20" w:after="20"/>
              <w:jc w:val="center"/>
              <w:rPr>
                <w:szCs w:val="20"/>
              </w:rPr>
            </w:pPr>
            <w:r>
              <w:rPr>
                <w:szCs w:val="20"/>
              </w:rPr>
              <w:t>1-1</w:t>
            </w:r>
          </w:p>
        </w:tc>
        <w:tc>
          <w:tcPr>
            <w:tcW w:w="770"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tcPr>
          <w:p w:rsidR="00031615" w:rsidRPr="006E4903" w:rsidRDefault="00B771C7" w:rsidP="00991F4E">
            <w:pPr>
              <w:pStyle w:val="TableText"/>
              <w:keepNext/>
              <w:spacing w:before="20" w:after="20"/>
              <w:jc w:val="center"/>
              <w:rPr>
                <w:szCs w:val="20"/>
              </w:rPr>
            </w:pPr>
            <w:r>
              <w:rPr>
                <w:szCs w:val="20"/>
              </w:rPr>
              <w:t>1-4</w:t>
            </w:r>
          </w:p>
        </w:tc>
      </w:tr>
    </w:tbl>
    <w:p w:rsidR="005213D0" w:rsidRPr="006E4903" w:rsidRDefault="005213D0" w:rsidP="007B162C">
      <w:pPr>
        <w:pStyle w:val="TableFootnote"/>
        <w:tabs>
          <w:tab w:val="clear" w:pos="216"/>
          <w:tab w:val="left" w:pos="57"/>
        </w:tabs>
        <w:spacing w:before="60" w:after="60"/>
        <w:ind w:left="113" w:hanging="113"/>
        <w:contextualSpacing/>
      </w:pPr>
      <w:r w:rsidRPr="006E4903">
        <w:rPr>
          <w:vertAlign w:val="superscript"/>
        </w:rPr>
        <w:t>a</w:t>
      </w:r>
      <w:r w:rsidR="006E4903">
        <w:t xml:space="preserve"> </w:t>
      </w:r>
      <w:r w:rsidRPr="006E4903">
        <w:tab/>
        <w:t>One subject received plasma-derived VWF for one bleeding episode for the 3</w:t>
      </w:r>
      <w:r w:rsidRPr="006B3A19">
        <w:rPr>
          <w:vertAlign w:val="superscript"/>
        </w:rPr>
        <w:t>rd</w:t>
      </w:r>
      <w:r w:rsidRPr="006E4903">
        <w:t xml:space="preserve"> infusion and the</w:t>
      </w:r>
      <w:r w:rsidR="007A2DF1" w:rsidRPr="006E4903">
        <w:t xml:space="preserve">refore </w:t>
      </w:r>
      <w:r w:rsidR="006B3A19">
        <w:t xml:space="preserve">it </w:t>
      </w:r>
      <w:r w:rsidR="007A2DF1" w:rsidRPr="006E4903">
        <w:t xml:space="preserve">was excluded from </w:t>
      </w:r>
      <w:r w:rsidR="00255DE2" w:rsidRPr="006E4903">
        <w:t xml:space="preserve">the total number (193) of bleeding episodes in </w:t>
      </w:r>
      <w:r w:rsidR="006E4903">
        <w:fldChar w:fldCharType="begin"/>
      </w:r>
      <w:r w:rsidR="006E4903">
        <w:instrText xml:space="preserve"> REF _Ref527109566 \h </w:instrText>
      </w:r>
      <w:r w:rsidR="006E4903">
        <w:instrText xml:space="preserve"> \* MERGEFORMAT </w:instrText>
      </w:r>
      <w:r w:rsidR="006E4903">
        <w:fldChar w:fldCharType="separate"/>
      </w:r>
      <w:r w:rsidR="006E4903" w:rsidRPr="006E4903">
        <w:t>Table 5</w:t>
      </w:r>
      <w:r w:rsidR="006E4903">
        <w:fldChar w:fldCharType="end"/>
      </w:r>
      <w:r w:rsidR="00F36EF9" w:rsidRPr="006E4903">
        <w:t>.</w:t>
      </w:r>
    </w:p>
    <w:p w:rsidR="00255DE2" w:rsidRPr="009269A3" w:rsidRDefault="00255DE2" w:rsidP="007B162C">
      <w:pPr>
        <w:pStyle w:val="BodytextAgency"/>
        <w:spacing w:before="120" w:after="120" w:line="240" w:lineRule="auto"/>
        <w:rPr>
          <w:rFonts w:ascii="Times New Roman" w:hAnsi="Times New Roman" w:cs="Times New Roman"/>
          <w:noProof/>
          <w:sz w:val="24"/>
          <w:szCs w:val="24"/>
        </w:rPr>
      </w:pPr>
      <w:r w:rsidRPr="009269A3">
        <w:rPr>
          <w:rFonts w:ascii="Times New Roman" w:hAnsi="Times New Roman" w:cs="Times New Roman"/>
          <w:noProof/>
          <w:sz w:val="24"/>
          <w:szCs w:val="24"/>
        </w:rPr>
        <w:lastRenderedPageBreak/>
        <w:t xml:space="preserve">The median cumulative dose of VEYVONDI with or without </w:t>
      </w:r>
      <w:r w:rsidR="005576DC">
        <w:rPr>
          <w:rFonts w:ascii="Times New Roman" w:hAnsi="Times New Roman" w:cs="Times New Roman"/>
          <w:noProof/>
          <w:sz w:val="24"/>
          <w:szCs w:val="24"/>
        </w:rPr>
        <w:t>ADVATE</w:t>
      </w:r>
      <w:r w:rsidRPr="009269A3">
        <w:rPr>
          <w:rFonts w:ascii="Times New Roman" w:hAnsi="Times New Roman" w:cs="Times New Roman"/>
          <w:noProof/>
          <w:sz w:val="24"/>
          <w:szCs w:val="24"/>
        </w:rPr>
        <w:t xml:space="preserve"> administered per bleeding episodes </w:t>
      </w:r>
      <w:r w:rsidR="005576DC">
        <w:rPr>
          <w:rFonts w:ascii="Times New Roman" w:hAnsi="Times New Roman" w:cs="Times New Roman"/>
          <w:noProof/>
          <w:sz w:val="24"/>
          <w:szCs w:val="24"/>
        </w:rPr>
        <w:t xml:space="preserve">(n=174) </w:t>
      </w:r>
      <w:r w:rsidRPr="009269A3">
        <w:rPr>
          <w:rFonts w:ascii="Times New Roman" w:hAnsi="Times New Roman" w:cs="Times New Roman"/>
          <w:noProof/>
          <w:sz w:val="24"/>
          <w:szCs w:val="24"/>
        </w:rPr>
        <w:t>was 48.2</w:t>
      </w:r>
      <w:r w:rsidR="00E04BE7" w:rsidRPr="009269A3">
        <w:rPr>
          <w:rFonts w:ascii="Times New Roman" w:hAnsi="Times New Roman" w:cs="Times New Roman"/>
          <w:noProof/>
          <w:sz w:val="24"/>
          <w:szCs w:val="24"/>
        </w:rPr>
        <w:t> IU</w:t>
      </w:r>
      <w:r w:rsidRPr="009269A3">
        <w:rPr>
          <w:rFonts w:ascii="Times New Roman" w:hAnsi="Times New Roman" w:cs="Times New Roman"/>
          <w:noProof/>
          <w:sz w:val="24"/>
          <w:szCs w:val="24"/>
        </w:rPr>
        <w:t>/kg (90% CI, 43.9 to 50.2</w:t>
      </w:r>
      <w:r w:rsidR="00E04BE7" w:rsidRPr="009269A3">
        <w:rPr>
          <w:rFonts w:ascii="Times New Roman" w:hAnsi="Times New Roman" w:cs="Times New Roman"/>
          <w:noProof/>
          <w:sz w:val="24"/>
          <w:szCs w:val="24"/>
        </w:rPr>
        <w:t> IU</w:t>
      </w:r>
      <w:r w:rsidRPr="009269A3">
        <w:rPr>
          <w:rFonts w:ascii="Times New Roman" w:hAnsi="Times New Roman" w:cs="Times New Roman"/>
          <w:noProof/>
          <w:sz w:val="24"/>
          <w:szCs w:val="24"/>
        </w:rPr>
        <w:t xml:space="preserve">/kg). The median actual dose of VEYVONDI with </w:t>
      </w:r>
      <w:r w:rsidR="005576DC">
        <w:rPr>
          <w:rFonts w:ascii="Times New Roman" w:hAnsi="Times New Roman" w:cs="Times New Roman"/>
          <w:noProof/>
          <w:sz w:val="24"/>
          <w:szCs w:val="24"/>
        </w:rPr>
        <w:t>ADVATE</w:t>
      </w:r>
      <w:r w:rsidRPr="009269A3">
        <w:rPr>
          <w:rFonts w:ascii="Times New Roman" w:hAnsi="Times New Roman" w:cs="Times New Roman"/>
          <w:noProof/>
          <w:sz w:val="24"/>
          <w:szCs w:val="24"/>
        </w:rPr>
        <w:t xml:space="preserve"> administered per bleeding episode (n=166) was 46.5 (90% CI, 43.3 to 48.2)</w:t>
      </w:r>
      <w:r w:rsidR="00E04BE7" w:rsidRPr="009269A3">
        <w:rPr>
          <w:rFonts w:ascii="Times New Roman" w:hAnsi="Times New Roman" w:cs="Times New Roman"/>
          <w:noProof/>
          <w:sz w:val="24"/>
          <w:szCs w:val="24"/>
        </w:rPr>
        <w:t> IU</w:t>
      </w:r>
      <w:r w:rsidRPr="009269A3">
        <w:rPr>
          <w:rFonts w:ascii="Times New Roman" w:hAnsi="Times New Roman" w:cs="Times New Roman"/>
          <w:noProof/>
          <w:sz w:val="24"/>
          <w:szCs w:val="24"/>
        </w:rPr>
        <w:t>/kg and 33.6 (90% CI, 32.4 to 36.8)</w:t>
      </w:r>
      <w:r w:rsidR="00E04BE7" w:rsidRPr="009269A3">
        <w:rPr>
          <w:rFonts w:ascii="Times New Roman" w:hAnsi="Times New Roman" w:cs="Times New Roman"/>
          <w:noProof/>
          <w:sz w:val="24"/>
          <w:szCs w:val="24"/>
        </w:rPr>
        <w:t> IU</w:t>
      </w:r>
      <w:r w:rsidRPr="009269A3">
        <w:rPr>
          <w:rFonts w:ascii="Times New Roman" w:hAnsi="Times New Roman" w:cs="Times New Roman"/>
          <w:noProof/>
          <w:sz w:val="24"/>
          <w:szCs w:val="24"/>
        </w:rPr>
        <w:t xml:space="preserve">/kg respectively. The median actual dose </w:t>
      </w:r>
      <w:r w:rsidR="009B4991" w:rsidRPr="009269A3">
        <w:rPr>
          <w:rFonts w:ascii="Times New Roman" w:hAnsi="Times New Roman" w:cs="Times New Roman"/>
          <w:noProof/>
          <w:sz w:val="24"/>
          <w:szCs w:val="24"/>
        </w:rPr>
        <w:t>of VEYVONDI</w:t>
      </w:r>
      <w:r w:rsidR="00355C3A" w:rsidRPr="009269A3">
        <w:rPr>
          <w:rFonts w:ascii="Times New Roman" w:hAnsi="Times New Roman" w:cs="Times New Roman"/>
          <w:noProof/>
          <w:sz w:val="24"/>
          <w:szCs w:val="24"/>
        </w:rPr>
        <w:t xml:space="preserve"> </w:t>
      </w:r>
      <w:r w:rsidRPr="009269A3">
        <w:rPr>
          <w:rFonts w:ascii="Times New Roman" w:hAnsi="Times New Roman" w:cs="Times New Roman"/>
          <w:noProof/>
          <w:sz w:val="24"/>
          <w:szCs w:val="24"/>
        </w:rPr>
        <w:t>alone administered per bleeding episode (n=30) was 52.8 (90% CI, 52.6 to 55.7)</w:t>
      </w:r>
      <w:r w:rsidR="00E04BE7" w:rsidRPr="009269A3">
        <w:rPr>
          <w:rFonts w:ascii="Times New Roman" w:hAnsi="Times New Roman" w:cs="Times New Roman"/>
          <w:noProof/>
          <w:sz w:val="24"/>
          <w:szCs w:val="24"/>
        </w:rPr>
        <w:t> IU</w:t>
      </w:r>
      <w:r w:rsidRPr="009269A3">
        <w:rPr>
          <w:rFonts w:ascii="Times New Roman" w:hAnsi="Times New Roman" w:cs="Times New Roman"/>
          <w:noProof/>
          <w:sz w:val="24"/>
          <w:szCs w:val="24"/>
        </w:rPr>
        <w:t>/kg</w:t>
      </w:r>
      <w:r w:rsidR="00AD64BC" w:rsidRPr="009269A3">
        <w:rPr>
          <w:rFonts w:ascii="Times New Roman" w:hAnsi="Times New Roman" w:cs="Times New Roman"/>
          <w:noProof/>
          <w:sz w:val="24"/>
          <w:szCs w:val="24"/>
        </w:rPr>
        <w:t>.</w:t>
      </w:r>
    </w:p>
    <w:p w:rsidR="006B3A19" w:rsidRDefault="006B3A19" w:rsidP="006B3A19">
      <w:pPr>
        <w:pStyle w:val="BodytextAgency"/>
        <w:spacing w:before="120" w:after="120" w:line="240" w:lineRule="auto"/>
        <w:rPr>
          <w:rFonts w:ascii="Times New Roman" w:hAnsi="Times New Roman" w:cs="Times New Roman"/>
          <w:noProof/>
          <w:sz w:val="24"/>
          <w:szCs w:val="24"/>
        </w:rPr>
      </w:pPr>
      <w:r w:rsidRPr="006B3A19">
        <w:rPr>
          <w:rFonts w:ascii="Times New Roman" w:hAnsi="Times New Roman" w:cs="Times New Roman"/>
          <w:noProof/>
          <w:sz w:val="24"/>
          <w:szCs w:val="24"/>
        </w:rPr>
        <w:t xml:space="preserve">In relation to bleeding severity, the median cumulative dose of </w:t>
      </w:r>
      <w:r>
        <w:rPr>
          <w:rFonts w:ascii="Times New Roman" w:hAnsi="Times New Roman" w:cs="Times New Roman"/>
          <w:noProof/>
          <w:sz w:val="24"/>
          <w:szCs w:val="24"/>
        </w:rPr>
        <w:t>VEYVONDI</w:t>
      </w:r>
      <w:r w:rsidRPr="006B3A19">
        <w:rPr>
          <w:rFonts w:ascii="Times New Roman" w:hAnsi="Times New Roman" w:cs="Times New Roman"/>
          <w:noProof/>
          <w:sz w:val="24"/>
          <w:szCs w:val="24"/>
        </w:rPr>
        <w:t xml:space="preserve"> to treat a bleeding episode was 43.3 (range, 25.2 to 158.2) IU/kg for minor bleeding episodes (n=122),</w:t>
      </w:r>
      <w:r>
        <w:rPr>
          <w:rFonts w:ascii="Times New Roman" w:hAnsi="Times New Roman" w:cs="Times New Roman"/>
          <w:noProof/>
          <w:sz w:val="24"/>
          <w:szCs w:val="24"/>
        </w:rPr>
        <w:t xml:space="preserve"> </w:t>
      </w:r>
      <w:r w:rsidRPr="006B3A19">
        <w:rPr>
          <w:rFonts w:ascii="Times New Roman" w:hAnsi="Times New Roman" w:cs="Times New Roman"/>
          <w:noProof/>
          <w:sz w:val="24"/>
          <w:szCs w:val="24"/>
        </w:rPr>
        <w:t>52.7 (range, 23.8 to 184.9) IU/kg for moderate bleeding episodes (n=61), 100.0 (range, 57.5 to</w:t>
      </w:r>
      <w:r>
        <w:rPr>
          <w:rFonts w:ascii="Times New Roman" w:hAnsi="Times New Roman" w:cs="Times New Roman"/>
          <w:noProof/>
          <w:sz w:val="24"/>
          <w:szCs w:val="24"/>
        </w:rPr>
        <w:t xml:space="preserve"> </w:t>
      </w:r>
      <w:r w:rsidRPr="006B3A19">
        <w:rPr>
          <w:rFonts w:ascii="Times New Roman" w:hAnsi="Times New Roman" w:cs="Times New Roman"/>
          <w:noProof/>
          <w:sz w:val="24"/>
          <w:szCs w:val="24"/>
        </w:rPr>
        <w:t>135.0) IU/kg for major bleeding episodes (n=7).</w:t>
      </w:r>
    </w:p>
    <w:p w:rsidR="002925F5" w:rsidRDefault="002925F5" w:rsidP="002925F5">
      <w:pPr>
        <w:pStyle w:val="BodytextAgency"/>
        <w:spacing w:before="120" w:after="120" w:line="240" w:lineRule="auto"/>
        <w:rPr>
          <w:rFonts w:ascii="Times New Roman" w:hAnsi="Times New Roman" w:cs="Times New Roman"/>
          <w:noProof/>
          <w:sz w:val="24"/>
          <w:szCs w:val="24"/>
        </w:rPr>
      </w:pPr>
      <w:r w:rsidRPr="002925F5">
        <w:rPr>
          <w:rFonts w:ascii="Times New Roman" w:hAnsi="Times New Roman" w:cs="Times New Roman"/>
          <w:noProof/>
          <w:sz w:val="24"/>
          <w:szCs w:val="24"/>
        </w:rPr>
        <w:fldChar w:fldCharType="begin"/>
      </w:r>
      <w:r w:rsidRPr="002925F5">
        <w:rPr>
          <w:rFonts w:ascii="Times New Roman" w:hAnsi="Times New Roman" w:cs="Times New Roman"/>
          <w:noProof/>
          <w:sz w:val="24"/>
          <w:szCs w:val="24"/>
        </w:rPr>
        <w:instrText xml:space="preserve"> REF _Ref2939077 \h </w:instrText>
      </w:r>
      <w:r w:rsidRPr="002925F5">
        <w:rPr>
          <w:rFonts w:ascii="Times New Roman" w:hAnsi="Times New Roman" w:cs="Times New Roman"/>
          <w:noProof/>
          <w:sz w:val="24"/>
          <w:szCs w:val="24"/>
        </w:rPr>
      </w:r>
      <w:r>
        <w:rPr>
          <w:rFonts w:ascii="Times New Roman" w:hAnsi="Times New Roman" w:cs="Times New Roman"/>
          <w:noProof/>
          <w:sz w:val="24"/>
          <w:szCs w:val="24"/>
        </w:rPr>
        <w:instrText xml:space="preserve"> \* MERGEFORMAT </w:instrText>
      </w:r>
      <w:r w:rsidRPr="002925F5">
        <w:rPr>
          <w:rFonts w:ascii="Times New Roman" w:hAnsi="Times New Roman" w:cs="Times New Roman"/>
          <w:noProof/>
          <w:sz w:val="24"/>
          <w:szCs w:val="24"/>
        </w:rPr>
        <w:fldChar w:fldCharType="separate"/>
      </w:r>
      <w:r w:rsidRPr="002925F5">
        <w:rPr>
          <w:rFonts w:ascii="Times New Roman" w:hAnsi="Times New Roman" w:cs="Times New Roman"/>
          <w:noProof/>
          <w:sz w:val="24"/>
          <w:szCs w:val="24"/>
        </w:rPr>
        <w:t>Table 6</w:t>
      </w:r>
      <w:r w:rsidRPr="002925F5">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summarises the data obtained for number of infusions and efficacy rating per bleeding episode by location.</w:t>
      </w:r>
    </w:p>
    <w:p w:rsidR="002925F5" w:rsidRPr="00FB2C85" w:rsidRDefault="002925F5" w:rsidP="0088783B">
      <w:pPr>
        <w:pStyle w:val="TableHead"/>
        <w:spacing w:before="0"/>
        <w:rPr>
          <w:bCs/>
          <w:sz w:val="22"/>
          <w:szCs w:val="22"/>
        </w:rPr>
      </w:pPr>
      <w:bookmarkStart w:id="17" w:name="_Ref2939077"/>
      <w:r w:rsidRPr="00FB2C85">
        <w:rPr>
          <w:bCs/>
          <w:sz w:val="22"/>
          <w:szCs w:val="22"/>
        </w:rPr>
        <w:t xml:space="preserve">Table </w:t>
      </w:r>
      <w:r w:rsidRPr="00FB2C85">
        <w:rPr>
          <w:bCs/>
          <w:sz w:val="22"/>
          <w:szCs w:val="22"/>
        </w:rPr>
        <w:fldChar w:fldCharType="begin"/>
      </w:r>
      <w:r w:rsidRPr="00FB2C85">
        <w:rPr>
          <w:bCs/>
          <w:sz w:val="22"/>
          <w:szCs w:val="22"/>
        </w:rPr>
        <w:instrText xml:space="preserve"> SEQ Table \* ARABIC </w:instrText>
      </w:r>
      <w:r w:rsidRPr="00FB2C85">
        <w:rPr>
          <w:bCs/>
          <w:sz w:val="22"/>
          <w:szCs w:val="22"/>
        </w:rPr>
        <w:fldChar w:fldCharType="separate"/>
      </w:r>
      <w:r>
        <w:rPr>
          <w:bCs/>
          <w:noProof/>
          <w:sz w:val="22"/>
          <w:szCs w:val="22"/>
        </w:rPr>
        <w:t>6</w:t>
      </w:r>
      <w:r w:rsidRPr="00FB2C85">
        <w:rPr>
          <w:bCs/>
          <w:sz w:val="22"/>
          <w:szCs w:val="22"/>
        </w:rPr>
        <w:fldChar w:fldCharType="end"/>
      </w:r>
      <w:bookmarkEnd w:id="17"/>
      <w:r w:rsidRPr="00FB2C85">
        <w:rPr>
          <w:bCs/>
          <w:sz w:val="22"/>
          <w:szCs w:val="22"/>
        </w:rPr>
        <w:br/>
      </w:r>
      <w:r>
        <w:rPr>
          <w:bCs/>
          <w:sz w:val="22"/>
          <w:szCs w:val="22"/>
        </w:rPr>
        <w:t>Efficacy by bleeding episode location</w:t>
      </w:r>
    </w:p>
    <w:tbl>
      <w:tblPr>
        <w:tblW w:w="4988" w:type="pct"/>
        <w:tblCellMar>
          <w:left w:w="0" w:type="dxa"/>
          <w:right w:w="0" w:type="dxa"/>
        </w:tblCellMar>
        <w:tblLook w:val="04A0" w:firstRow="1" w:lastRow="0" w:firstColumn="1" w:lastColumn="0" w:noHBand="0" w:noVBand="1"/>
      </w:tblPr>
      <w:tblGrid>
        <w:gridCol w:w="3769"/>
        <w:gridCol w:w="3542"/>
        <w:gridCol w:w="2125"/>
      </w:tblGrid>
      <w:tr w:rsidR="002925F5" w:rsidRPr="00077167" w:rsidTr="0088783B">
        <w:trPr>
          <w:cantSplit/>
          <w:trHeight w:val="421"/>
        </w:trPr>
        <w:tc>
          <w:tcPr>
            <w:tcW w:w="1997"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center"/>
            <w:hideMark/>
          </w:tcPr>
          <w:p w:rsidR="002925F5" w:rsidRPr="00077167" w:rsidRDefault="002925F5" w:rsidP="000E325E">
            <w:pPr>
              <w:pStyle w:val="TableText"/>
              <w:keepNext/>
              <w:spacing w:before="20" w:after="20"/>
              <w:jc w:val="center"/>
              <w:rPr>
                <w:b/>
                <w:szCs w:val="20"/>
              </w:rPr>
            </w:pPr>
            <w:r w:rsidRPr="00077167">
              <w:rPr>
                <w:b/>
                <w:szCs w:val="20"/>
              </w:rPr>
              <w:t>Bleeding episode by location (n)</w:t>
            </w:r>
          </w:p>
        </w:tc>
        <w:tc>
          <w:tcPr>
            <w:tcW w:w="1877"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center"/>
            <w:hideMark/>
          </w:tcPr>
          <w:p w:rsidR="002925F5" w:rsidRPr="00077167" w:rsidRDefault="002925F5" w:rsidP="000E325E">
            <w:pPr>
              <w:pStyle w:val="TableText"/>
              <w:keepNext/>
              <w:spacing w:before="20" w:after="20"/>
              <w:jc w:val="center"/>
              <w:rPr>
                <w:b/>
                <w:szCs w:val="20"/>
              </w:rPr>
            </w:pPr>
            <w:r w:rsidRPr="00077167">
              <w:rPr>
                <w:b/>
                <w:szCs w:val="20"/>
              </w:rPr>
              <w:t>Median number of infusions (range)</w:t>
            </w:r>
          </w:p>
        </w:tc>
        <w:tc>
          <w:tcPr>
            <w:tcW w:w="1126"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center"/>
            <w:hideMark/>
          </w:tcPr>
          <w:p w:rsidR="002925F5" w:rsidRPr="00077167" w:rsidRDefault="002925F5" w:rsidP="000E325E">
            <w:pPr>
              <w:pStyle w:val="TableText"/>
              <w:keepNext/>
              <w:spacing w:before="20" w:after="20"/>
              <w:jc w:val="center"/>
              <w:rPr>
                <w:b/>
                <w:szCs w:val="20"/>
              </w:rPr>
            </w:pPr>
            <w:r w:rsidRPr="00077167">
              <w:rPr>
                <w:b/>
                <w:szCs w:val="20"/>
              </w:rPr>
              <w:t>Rating (%)</w:t>
            </w:r>
          </w:p>
        </w:tc>
      </w:tr>
      <w:tr w:rsidR="002925F5" w:rsidRPr="00077167" w:rsidTr="00077167">
        <w:trPr>
          <w:cantSplit/>
        </w:trPr>
        <w:tc>
          <w:tcPr>
            <w:tcW w:w="1997"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center"/>
            <w:hideMark/>
          </w:tcPr>
          <w:p w:rsidR="002925F5" w:rsidRPr="00077167" w:rsidRDefault="002925F5" w:rsidP="000E325E">
            <w:pPr>
              <w:pStyle w:val="TableText"/>
              <w:keepNext/>
              <w:spacing w:before="20" w:after="20"/>
              <w:rPr>
                <w:szCs w:val="20"/>
              </w:rPr>
            </w:pPr>
            <w:r w:rsidRPr="00077167">
              <w:rPr>
                <w:szCs w:val="20"/>
              </w:rPr>
              <w:t>Joint (n=59</w:t>
            </w:r>
            <w:r w:rsidR="000E325E" w:rsidRPr="00077167">
              <w:rPr>
                <w:szCs w:val="20"/>
              </w:rPr>
              <w:t>)</w:t>
            </w:r>
          </w:p>
        </w:tc>
        <w:tc>
          <w:tcPr>
            <w:tcW w:w="1877"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center"/>
            <w:hideMark/>
          </w:tcPr>
          <w:p w:rsidR="002925F5" w:rsidRPr="00077167" w:rsidRDefault="000E325E" w:rsidP="000E325E">
            <w:pPr>
              <w:pStyle w:val="TableText"/>
              <w:keepNext/>
              <w:spacing w:before="20" w:after="20"/>
              <w:jc w:val="center"/>
              <w:rPr>
                <w:szCs w:val="20"/>
              </w:rPr>
            </w:pPr>
            <w:r w:rsidRPr="00077167">
              <w:rPr>
                <w:szCs w:val="20"/>
              </w:rPr>
              <w:t>1 (1 to 3)</w:t>
            </w:r>
          </w:p>
        </w:tc>
        <w:tc>
          <w:tcPr>
            <w:tcW w:w="1126"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hideMark/>
          </w:tcPr>
          <w:p w:rsidR="002925F5" w:rsidRPr="00077167" w:rsidRDefault="000E325E" w:rsidP="000E325E">
            <w:pPr>
              <w:pStyle w:val="TableText"/>
              <w:keepNext/>
              <w:spacing w:before="20" w:after="20"/>
              <w:jc w:val="center"/>
              <w:rPr>
                <w:szCs w:val="20"/>
              </w:rPr>
            </w:pPr>
            <w:r w:rsidRPr="00077167">
              <w:rPr>
                <w:szCs w:val="20"/>
              </w:rPr>
              <w:t>Excellent (96.6%)</w:t>
            </w:r>
            <w:r w:rsidRPr="00077167">
              <w:rPr>
                <w:szCs w:val="20"/>
              </w:rPr>
              <w:br/>
              <w:t>Good (3.4%)</w:t>
            </w:r>
          </w:p>
        </w:tc>
      </w:tr>
      <w:tr w:rsidR="000E325E" w:rsidRPr="00077167" w:rsidTr="00077167">
        <w:trPr>
          <w:cantSplit/>
        </w:trPr>
        <w:tc>
          <w:tcPr>
            <w:tcW w:w="1997"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center"/>
            <w:hideMark/>
          </w:tcPr>
          <w:p w:rsidR="000E325E" w:rsidRPr="00077167" w:rsidRDefault="000E325E" w:rsidP="000E325E">
            <w:pPr>
              <w:pStyle w:val="TableText"/>
              <w:keepNext/>
              <w:tabs>
                <w:tab w:val="left" w:pos="252"/>
                <w:tab w:val="center" w:pos="1804"/>
              </w:tabs>
              <w:spacing w:before="20" w:after="20"/>
              <w:rPr>
                <w:szCs w:val="20"/>
              </w:rPr>
            </w:pPr>
            <w:r w:rsidRPr="00077167">
              <w:rPr>
                <w:szCs w:val="20"/>
              </w:rPr>
              <w:t>GI (n=6)</w:t>
            </w:r>
          </w:p>
        </w:tc>
        <w:tc>
          <w:tcPr>
            <w:tcW w:w="1877"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center"/>
            <w:hideMark/>
          </w:tcPr>
          <w:p w:rsidR="000E325E" w:rsidRPr="00077167" w:rsidRDefault="000E325E" w:rsidP="000E325E">
            <w:pPr>
              <w:spacing w:before="20" w:after="20"/>
              <w:jc w:val="center"/>
              <w:rPr>
                <w:sz w:val="20"/>
              </w:rPr>
            </w:pPr>
            <w:r w:rsidRPr="00077167">
              <w:rPr>
                <w:sz w:val="20"/>
              </w:rPr>
              <w:t>1 (1 to 2)</w:t>
            </w:r>
          </w:p>
        </w:tc>
        <w:tc>
          <w:tcPr>
            <w:tcW w:w="1126"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center"/>
            <w:hideMark/>
          </w:tcPr>
          <w:p w:rsidR="000E325E" w:rsidRPr="00077167" w:rsidRDefault="000E325E" w:rsidP="000E325E">
            <w:pPr>
              <w:spacing w:before="20" w:after="20"/>
              <w:jc w:val="center"/>
              <w:rPr>
                <w:sz w:val="20"/>
              </w:rPr>
            </w:pPr>
            <w:r w:rsidRPr="00077167">
              <w:rPr>
                <w:sz w:val="20"/>
              </w:rPr>
              <w:t>Excellent (83.3%)</w:t>
            </w:r>
            <w:r w:rsidRPr="00077167">
              <w:rPr>
                <w:sz w:val="20"/>
              </w:rPr>
              <w:br/>
              <w:t>Good (16.7%)</w:t>
            </w:r>
          </w:p>
        </w:tc>
      </w:tr>
      <w:tr w:rsidR="000E325E" w:rsidRPr="00077167" w:rsidTr="00077167">
        <w:trPr>
          <w:cantSplit/>
        </w:trPr>
        <w:tc>
          <w:tcPr>
            <w:tcW w:w="1997"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center"/>
            <w:hideMark/>
          </w:tcPr>
          <w:p w:rsidR="000E325E" w:rsidRPr="00077167" w:rsidRDefault="000E325E" w:rsidP="000E325E">
            <w:pPr>
              <w:pStyle w:val="TableText"/>
              <w:keepNext/>
              <w:spacing w:before="20" w:after="20"/>
              <w:rPr>
                <w:szCs w:val="20"/>
              </w:rPr>
            </w:pPr>
            <w:r w:rsidRPr="00077167">
              <w:rPr>
                <w:szCs w:val="20"/>
              </w:rPr>
              <w:t>Mucosal: Genital tract fema</w:t>
            </w:r>
            <w:r w:rsidRPr="00622785">
              <w:rPr>
                <w:szCs w:val="20"/>
              </w:rPr>
              <w:t>le (n=</w:t>
            </w:r>
            <w:r w:rsidR="0018569D">
              <w:rPr>
                <w:szCs w:val="20"/>
              </w:rPr>
              <w:t>45</w:t>
            </w:r>
            <w:r w:rsidRPr="00622785">
              <w:rPr>
                <w:szCs w:val="20"/>
              </w:rPr>
              <w:t>)</w:t>
            </w:r>
          </w:p>
        </w:tc>
        <w:tc>
          <w:tcPr>
            <w:tcW w:w="1877"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center"/>
            <w:hideMark/>
          </w:tcPr>
          <w:p w:rsidR="000E325E" w:rsidRPr="00077167" w:rsidRDefault="000E325E" w:rsidP="000E325E">
            <w:pPr>
              <w:spacing w:before="20" w:after="20"/>
              <w:jc w:val="center"/>
              <w:rPr>
                <w:sz w:val="20"/>
              </w:rPr>
            </w:pPr>
            <w:r w:rsidRPr="00622785">
              <w:rPr>
                <w:sz w:val="20"/>
              </w:rPr>
              <w:t xml:space="preserve">1 (1 to </w:t>
            </w:r>
            <w:r w:rsidR="0018569D">
              <w:rPr>
                <w:sz w:val="20"/>
              </w:rPr>
              <w:t>4</w:t>
            </w:r>
            <w:r w:rsidRPr="00622785">
              <w:rPr>
                <w:sz w:val="20"/>
              </w:rPr>
              <w:t>)</w:t>
            </w:r>
          </w:p>
        </w:tc>
        <w:tc>
          <w:tcPr>
            <w:tcW w:w="1126"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center"/>
            <w:hideMark/>
          </w:tcPr>
          <w:p w:rsidR="000E325E" w:rsidRPr="00077167" w:rsidRDefault="000E325E" w:rsidP="000E325E">
            <w:pPr>
              <w:spacing w:before="20" w:after="20"/>
              <w:jc w:val="center"/>
              <w:rPr>
                <w:sz w:val="20"/>
              </w:rPr>
            </w:pPr>
            <w:r w:rsidRPr="00622785">
              <w:rPr>
                <w:sz w:val="20"/>
              </w:rPr>
              <w:t>E</w:t>
            </w:r>
            <w:r w:rsidR="00146BD9" w:rsidRPr="00622785">
              <w:rPr>
                <w:sz w:val="20"/>
              </w:rPr>
              <w:t>xcellent (</w:t>
            </w:r>
            <w:r w:rsidR="0018569D">
              <w:rPr>
                <w:sz w:val="20"/>
              </w:rPr>
              <w:t>97.8</w:t>
            </w:r>
            <w:r w:rsidR="00146BD9" w:rsidRPr="00622785">
              <w:rPr>
                <w:sz w:val="20"/>
              </w:rPr>
              <w:t>%)</w:t>
            </w:r>
            <w:r w:rsidR="00146BD9" w:rsidRPr="00622785">
              <w:rPr>
                <w:sz w:val="20"/>
              </w:rPr>
              <w:br/>
              <w:t>Good (</w:t>
            </w:r>
            <w:r w:rsidR="0018569D">
              <w:rPr>
                <w:sz w:val="20"/>
              </w:rPr>
              <w:t>2.2</w:t>
            </w:r>
            <w:r w:rsidRPr="00622785">
              <w:rPr>
                <w:sz w:val="20"/>
              </w:rPr>
              <w:t>%)</w:t>
            </w:r>
          </w:p>
        </w:tc>
      </w:tr>
      <w:tr w:rsidR="000E325E" w:rsidRPr="00077167" w:rsidTr="00077167">
        <w:trPr>
          <w:cantSplit/>
        </w:trPr>
        <w:tc>
          <w:tcPr>
            <w:tcW w:w="1997"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center"/>
            <w:hideMark/>
          </w:tcPr>
          <w:p w:rsidR="000E325E" w:rsidRPr="00077167" w:rsidRDefault="000E325E" w:rsidP="000E325E">
            <w:pPr>
              <w:pStyle w:val="TableText"/>
              <w:keepNext/>
              <w:spacing w:before="20" w:after="20"/>
              <w:rPr>
                <w:szCs w:val="20"/>
              </w:rPr>
            </w:pPr>
            <w:r w:rsidRPr="00077167">
              <w:rPr>
                <w:szCs w:val="20"/>
              </w:rPr>
              <w:t>Mucosal: Nasopharyngeal (n=42)</w:t>
            </w:r>
          </w:p>
        </w:tc>
        <w:tc>
          <w:tcPr>
            <w:tcW w:w="1877"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center"/>
            <w:hideMark/>
          </w:tcPr>
          <w:p w:rsidR="000E325E" w:rsidRPr="00077167" w:rsidRDefault="000E325E" w:rsidP="000E325E">
            <w:pPr>
              <w:spacing w:before="20" w:after="20"/>
              <w:jc w:val="center"/>
              <w:rPr>
                <w:sz w:val="20"/>
              </w:rPr>
            </w:pPr>
            <w:r w:rsidRPr="00077167">
              <w:rPr>
                <w:sz w:val="20"/>
              </w:rPr>
              <w:t>1 (1 to 2)</w:t>
            </w:r>
          </w:p>
        </w:tc>
        <w:tc>
          <w:tcPr>
            <w:tcW w:w="1126"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center"/>
            <w:hideMark/>
          </w:tcPr>
          <w:p w:rsidR="000E325E" w:rsidRPr="00077167" w:rsidRDefault="000E325E" w:rsidP="000E325E">
            <w:pPr>
              <w:spacing w:before="20" w:after="20"/>
              <w:jc w:val="center"/>
              <w:rPr>
                <w:sz w:val="20"/>
              </w:rPr>
            </w:pPr>
            <w:r w:rsidRPr="00077167">
              <w:rPr>
                <w:sz w:val="20"/>
              </w:rPr>
              <w:t>E</w:t>
            </w:r>
            <w:r w:rsidR="00146BD9" w:rsidRPr="00077167">
              <w:rPr>
                <w:sz w:val="20"/>
              </w:rPr>
              <w:t>xcellent (97.6%)</w:t>
            </w:r>
            <w:r w:rsidR="00146BD9" w:rsidRPr="00077167">
              <w:rPr>
                <w:sz w:val="20"/>
              </w:rPr>
              <w:br/>
              <w:t>Good (2</w:t>
            </w:r>
            <w:r w:rsidRPr="00077167">
              <w:rPr>
                <w:sz w:val="20"/>
              </w:rPr>
              <w:t>.4%)</w:t>
            </w:r>
          </w:p>
        </w:tc>
      </w:tr>
      <w:tr w:rsidR="000E325E" w:rsidRPr="00077167" w:rsidTr="00077167">
        <w:trPr>
          <w:cantSplit/>
        </w:trPr>
        <w:tc>
          <w:tcPr>
            <w:tcW w:w="1997"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center"/>
            <w:hideMark/>
          </w:tcPr>
          <w:p w:rsidR="000E325E" w:rsidRPr="00077167" w:rsidRDefault="000E325E" w:rsidP="000E325E">
            <w:pPr>
              <w:pStyle w:val="TableText"/>
              <w:keepNext/>
              <w:spacing w:before="20" w:after="20"/>
              <w:rPr>
                <w:szCs w:val="20"/>
              </w:rPr>
            </w:pPr>
            <w:r w:rsidRPr="00077167">
              <w:rPr>
                <w:szCs w:val="20"/>
              </w:rPr>
              <w:t>Mucosal: Mouth and oral cavity (n=26)</w:t>
            </w:r>
          </w:p>
        </w:tc>
        <w:tc>
          <w:tcPr>
            <w:tcW w:w="1877"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center"/>
            <w:hideMark/>
          </w:tcPr>
          <w:p w:rsidR="000E325E" w:rsidRPr="00077167" w:rsidRDefault="000E325E" w:rsidP="000E325E">
            <w:pPr>
              <w:spacing w:before="20" w:after="20"/>
              <w:jc w:val="center"/>
              <w:rPr>
                <w:sz w:val="20"/>
              </w:rPr>
            </w:pPr>
            <w:r w:rsidRPr="00077167">
              <w:rPr>
                <w:sz w:val="20"/>
              </w:rPr>
              <w:t>1 (1 to 43)</w:t>
            </w:r>
          </w:p>
        </w:tc>
        <w:tc>
          <w:tcPr>
            <w:tcW w:w="1126" w:type="pct"/>
            <w:tcBorders>
              <w:top w:val="single" w:sz="4" w:space="0" w:color="auto"/>
              <w:left w:val="single" w:sz="4" w:space="0" w:color="auto"/>
              <w:bottom w:val="single" w:sz="4" w:space="0" w:color="auto"/>
              <w:right w:val="single" w:sz="4" w:space="0" w:color="auto"/>
            </w:tcBorders>
            <w:shd w:val="clear" w:color="auto" w:fill="FFFFFF"/>
            <w:tcMar>
              <w:top w:w="0" w:type="dxa"/>
              <w:left w:w="80" w:type="dxa"/>
              <w:bottom w:w="0" w:type="dxa"/>
              <w:right w:w="80" w:type="dxa"/>
            </w:tcMar>
            <w:vAlign w:val="center"/>
            <w:hideMark/>
          </w:tcPr>
          <w:p w:rsidR="000E325E" w:rsidRPr="00077167" w:rsidRDefault="000E325E" w:rsidP="00146BD9">
            <w:pPr>
              <w:spacing w:before="20" w:after="20"/>
              <w:jc w:val="center"/>
              <w:rPr>
                <w:sz w:val="20"/>
              </w:rPr>
            </w:pPr>
            <w:r w:rsidRPr="00077167">
              <w:rPr>
                <w:sz w:val="20"/>
              </w:rPr>
              <w:t>E</w:t>
            </w:r>
            <w:r w:rsidR="00146BD9" w:rsidRPr="00077167">
              <w:rPr>
                <w:sz w:val="20"/>
              </w:rPr>
              <w:t>xcellent (100.0%)</w:t>
            </w:r>
            <w:r w:rsidR="00146BD9" w:rsidRPr="00077167">
              <w:rPr>
                <w:sz w:val="20"/>
              </w:rPr>
              <w:br/>
              <w:t>Good (0</w:t>
            </w:r>
            <w:r w:rsidRPr="00077167">
              <w:rPr>
                <w:sz w:val="20"/>
              </w:rPr>
              <w:t>%)</w:t>
            </w:r>
          </w:p>
        </w:tc>
      </w:tr>
    </w:tbl>
    <w:p w:rsidR="00882762" w:rsidRPr="00962F42" w:rsidRDefault="006B3A19" w:rsidP="009F0C23">
      <w:pPr>
        <w:pStyle w:val="Heading4"/>
        <w:numPr>
          <w:ilvl w:val="0"/>
          <w:numId w:val="0"/>
        </w:numPr>
        <w:spacing w:after="120"/>
        <w:ind w:left="907" w:hanging="907"/>
        <w:rPr>
          <w:bCs w:val="0"/>
          <w:noProof/>
          <w:szCs w:val="24"/>
          <w:u w:val="single"/>
        </w:rPr>
      </w:pPr>
      <w:r w:rsidRPr="00962F42">
        <w:rPr>
          <w:bCs w:val="0"/>
          <w:noProof/>
          <w:szCs w:val="24"/>
          <w:u w:val="single"/>
        </w:rPr>
        <w:t>S</w:t>
      </w:r>
      <w:r w:rsidR="00882762" w:rsidRPr="00962F42">
        <w:rPr>
          <w:bCs w:val="0"/>
          <w:noProof/>
          <w:szCs w:val="24"/>
          <w:u w:val="single"/>
        </w:rPr>
        <w:t>tudy 071101</w:t>
      </w:r>
      <w:r w:rsidRPr="00962F42">
        <w:rPr>
          <w:bCs w:val="0"/>
          <w:noProof/>
          <w:szCs w:val="24"/>
          <w:u w:val="single"/>
        </w:rPr>
        <w:t xml:space="preserve"> (Phase 3 VWD – Surgery</w:t>
      </w:r>
      <w:r w:rsidR="00882762" w:rsidRPr="00962F42">
        <w:rPr>
          <w:bCs w:val="0"/>
          <w:noProof/>
          <w:szCs w:val="24"/>
          <w:u w:val="single"/>
        </w:rPr>
        <w:t>)</w:t>
      </w:r>
      <w:r w:rsidR="00ED25DB" w:rsidRPr="00962F42">
        <w:rPr>
          <w:bCs w:val="0"/>
          <w:noProof/>
          <w:szCs w:val="24"/>
          <w:u w:val="single"/>
        </w:rPr>
        <w:t xml:space="preserve"> </w:t>
      </w:r>
    </w:p>
    <w:p w:rsidR="00F575DD" w:rsidRDefault="00F575DD" w:rsidP="007B162C">
      <w:pPr>
        <w:pStyle w:val="BodytextAgency"/>
        <w:spacing w:before="120" w:after="120" w:line="240" w:lineRule="auto"/>
        <w:rPr>
          <w:rFonts w:ascii="Times New Roman" w:hAnsi="Times New Roman" w:cs="Times New Roman"/>
          <w:noProof/>
          <w:sz w:val="24"/>
          <w:szCs w:val="24"/>
        </w:rPr>
      </w:pPr>
      <w:r w:rsidRPr="00962F42">
        <w:rPr>
          <w:rFonts w:ascii="Times New Roman" w:hAnsi="Times New Roman" w:cs="Times New Roman"/>
          <w:noProof/>
          <w:sz w:val="24"/>
          <w:szCs w:val="24"/>
        </w:rPr>
        <w:t xml:space="preserve">Haemostatic efficacy of </w:t>
      </w:r>
      <w:r w:rsidR="00546CFA" w:rsidRPr="00962F42">
        <w:rPr>
          <w:rFonts w:ascii="Times New Roman" w:hAnsi="Times New Roman" w:cs="Times New Roman"/>
          <w:noProof/>
          <w:sz w:val="24"/>
          <w:szCs w:val="24"/>
        </w:rPr>
        <w:t>VEYVONDI</w:t>
      </w:r>
      <w:r w:rsidRPr="00962F42">
        <w:rPr>
          <w:rFonts w:ascii="Times New Roman" w:hAnsi="Times New Roman" w:cs="Times New Roman"/>
          <w:noProof/>
          <w:sz w:val="24"/>
          <w:szCs w:val="24"/>
        </w:rPr>
        <w:t xml:space="preserve"> was assessed in a </w:t>
      </w:r>
      <w:r w:rsidR="00AD64BC" w:rsidRPr="00962F42">
        <w:rPr>
          <w:rFonts w:ascii="Times New Roman" w:hAnsi="Times New Roman" w:cs="Times New Roman"/>
          <w:noProof/>
          <w:sz w:val="24"/>
          <w:szCs w:val="24"/>
        </w:rPr>
        <w:t>Phase</w:t>
      </w:r>
      <w:r w:rsidR="000363CB" w:rsidRPr="00962F42">
        <w:rPr>
          <w:rFonts w:ascii="Times New Roman" w:hAnsi="Times New Roman" w:cs="Times New Roman"/>
          <w:noProof/>
          <w:sz w:val="24"/>
          <w:szCs w:val="24"/>
        </w:rPr>
        <w:t> </w:t>
      </w:r>
      <w:r w:rsidRPr="00962F42">
        <w:rPr>
          <w:rFonts w:ascii="Times New Roman" w:hAnsi="Times New Roman" w:cs="Times New Roman"/>
          <w:noProof/>
          <w:sz w:val="24"/>
          <w:szCs w:val="24"/>
        </w:rPr>
        <w:t>3 prospective,</w:t>
      </w:r>
      <w:r w:rsidR="006B3A19" w:rsidRPr="00962F42">
        <w:rPr>
          <w:rFonts w:ascii="Times New Roman" w:hAnsi="Times New Roman" w:cs="Times New Roman"/>
          <w:noProof/>
          <w:sz w:val="24"/>
          <w:szCs w:val="24"/>
        </w:rPr>
        <w:t xml:space="preserve"> open-label</w:t>
      </w:r>
      <w:r w:rsidR="006B3A19">
        <w:rPr>
          <w:rFonts w:ascii="Times New Roman" w:hAnsi="Times New Roman" w:cs="Times New Roman"/>
          <w:noProof/>
          <w:sz w:val="24"/>
          <w:szCs w:val="24"/>
        </w:rPr>
        <w:t xml:space="preserve"> </w:t>
      </w:r>
      <w:r w:rsidRPr="002130BB">
        <w:rPr>
          <w:rFonts w:ascii="Times New Roman" w:hAnsi="Times New Roman" w:cs="Times New Roman"/>
          <w:noProof/>
          <w:sz w:val="24"/>
          <w:szCs w:val="24"/>
        </w:rPr>
        <w:t>multicent</w:t>
      </w:r>
      <w:r w:rsidR="006B3A19">
        <w:rPr>
          <w:rFonts w:ascii="Times New Roman" w:hAnsi="Times New Roman" w:cs="Times New Roman"/>
          <w:noProof/>
          <w:sz w:val="24"/>
          <w:szCs w:val="24"/>
        </w:rPr>
        <w:t>re</w:t>
      </w:r>
      <w:r w:rsidRPr="002130BB">
        <w:rPr>
          <w:rFonts w:ascii="Times New Roman" w:hAnsi="Times New Roman" w:cs="Times New Roman"/>
          <w:noProof/>
          <w:sz w:val="24"/>
          <w:szCs w:val="24"/>
        </w:rPr>
        <w:t xml:space="preserve"> study to evaluate efficacy and safety of </w:t>
      </w:r>
      <w:r w:rsidR="00D6488C" w:rsidRPr="002130BB">
        <w:rPr>
          <w:rFonts w:ascii="Times New Roman" w:hAnsi="Times New Roman" w:cs="Times New Roman"/>
          <w:noProof/>
          <w:sz w:val="24"/>
          <w:szCs w:val="24"/>
        </w:rPr>
        <w:t>VEYVONDI</w:t>
      </w:r>
      <w:r w:rsidR="008D0313" w:rsidRPr="002130BB">
        <w:rPr>
          <w:rFonts w:ascii="Times New Roman" w:hAnsi="Times New Roman" w:cs="Times New Roman"/>
          <w:noProof/>
          <w:sz w:val="24"/>
          <w:szCs w:val="24"/>
        </w:rPr>
        <w:t xml:space="preserve"> </w:t>
      </w:r>
      <w:r w:rsidR="006B3A19">
        <w:rPr>
          <w:rFonts w:ascii="Times New Roman" w:hAnsi="Times New Roman" w:cs="Times New Roman"/>
          <w:noProof/>
          <w:sz w:val="24"/>
          <w:szCs w:val="24"/>
        </w:rPr>
        <w:t>with or without ADVATE</w:t>
      </w:r>
      <w:r w:rsidRPr="002130BB">
        <w:rPr>
          <w:rFonts w:ascii="Times New Roman" w:hAnsi="Times New Roman" w:cs="Times New Roman"/>
          <w:noProof/>
          <w:sz w:val="24"/>
          <w:szCs w:val="24"/>
        </w:rPr>
        <w:t xml:space="preserve"> in elective surgical procedures in </w:t>
      </w:r>
      <w:r w:rsidR="00D6488C" w:rsidRPr="002130BB">
        <w:rPr>
          <w:rFonts w:ascii="Times New Roman" w:hAnsi="Times New Roman" w:cs="Times New Roman"/>
          <w:noProof/>
          <w:sz w:val="24"/>
          <w:szCs w:val="24"/>
        </w:rPr>
        <w:t>adults (age 18</w:t>
      </w:r>
      <w:r w:rsidR="000363CB" w:rsidRPr="002130BB">
        <w:rPr>
          <w:rFonts w:ascii="Times New Roman" w:hAnsi="Times New Roman" w:cs="Times New Roman"/>
          <w:noProof/>
          <w:sz w:val="24"/>
          <w:szCs w:val="24"/>
        </w:rPr>
        <w:t> </w:t>
      </w:r>
      <w:r w:rsidR="00D6488C" w:rsidRPr="002130BB">
        <w:rPr>
          <w:rFonts w:ascii="Times New Roman" w:hAnsi="Times New Roman" w:cs="Times New Roman"/>
          <w:noProof/>
          <w:sz w:val="24"/>
          <w:szCs w:val="24"/>
        </w:rPr>
        <w:t xml:space="preserve">years and older) diagnosed </w:t>
      </w:r>
      <w:r w:rsidRPr="002130BB">
        <w:rPr>
          <w:rFonts w:ascii="Times New Roman" w:hAnsi="Times New Roman" w:cs="Times New Roman"/>
          <w:noProof/>
          <w:sz w:val="24"/>
          <w:szCs w:val="24"/>
        </w:rPr>
        <w:t xml:space="preserve">with severe </w:t>
      </w:r>
      <w:r w:rsidR="00BA22F0">
        <w:rPr>
          <w:rFonts w:ascii="Times New Roman" w:hAnsi="Times New Roman" w:cs="Times New Roman"/>
          <w:noProof/>
          <w:sz w:val="24"/>
          <w:szCs w:val="24"/>
        </w:rPr>
        <w:t>VWD</w:t>
      </w:r>
      <w:r w:rsidRPr="002130BB">
        <w:rPr>
          <w:rFonts w:ascii="Times New Roman" w:hAnsi="Times New Roman" w:cs="Times New Roman"/>
          <w:noProof/>
          <w:sz w:val="24"/>
          <w:szCs w:val="24"/>
        </w:rPr>
        <w:t xml:space="preserve">. </w:t>
      </w:r>
      <w:r w:rsidR="006B3A19">
        <w:rPr>
          <w:rFonts w:ascii="Times New Roman" w:hAnsi="Times New Roman" w:cs="Times New Roman"/>
          <w:noProof/>
          <w:sz w:val="24"/>
          <w:szCs w:val="24"/>
        </w:rPr>
        <w:t xml:space="preserve">A total of 24 subjects were enrolled (signed informed consent) and screened, </w:t>
      </w:r>
      <w:r w:rsidRPr="002130BB">
        <w:rPr>
          <w:rFonts w:ascii="Times New Roman" w:hAnsi="Times New Roman" w:cs="Times New Roman"/>
          <w:noProof/>
          <w:sz w:val="24"/>
          <w:szCs w:val="24"/>
        </w:rPr>
        <w:t>15</w:t>
      </w:r>
      <w:r w:rsidR="000363CB" w:rsidRPr="002130BB">
        <w:rPr>
          <w:rFonts w:ascii="Times New Roman" w:hAnsi="Times New Roman" w:cs="Times New Roman"/>
          <w:noProof/>
          <w:sz w:val="24"/>
          <w:szCs w:val="24"/>
        </w:rPr>
        <w:t> </w:t>
      </w:r>
      <w:r w:rsidRPr="002130BB">
        <w:rPr>
          <w:rFonts w:ascii="Times New Roman" w:hAnsi="Times New Roman" w:cs="Times New Roman"/>
          <w:noProof/>
          <w:sz w:val="24"/>
          <w:szCs w:val="24"/>
        </w:rPr>
        <w:t xml:space="preserve">subjects were treated with </w:t>
      </w:r>
      <w:r w:rsidR="00D6488C" w:rsidRPr="002130BB">
        <w:rPr>
          <w:rFonts w:ascii="Times New Roman" w:hAnsi="Times New Roman" w:cs="Times New Roman"/>
          <w:noProof/>
          <w:sz w:val="24"/>
          <w:szCs w:val="24"/>
        </w:rPr>
        <w:t>VEYVONDI</w:t>
      </w:r>
      <w:r w:rsidRPr="002130BB">
        <w:rPr>
          <w:rFonts w:ascii="Times New Roman" w:hAnsi="Times New Roman" w:cs="Times New Roman"/>
          <w:noProof/>
          <w:sz w:val="24"/>
          <w:szCs w:val="24"/>
        </w:rPr>
        <w:t>,</w:t>
      </w:r>
      <w:r w:rsidR="006B3A19">
        <w:rPr>
          <w:rFonts w:ascii="Times New Roman" w:hAnsi="Times New Roman" w:cs="Times New Roman"/>
          <w:noProof/>
          <w:sz w:val="24"/>
          <w:szCs w:val="24"/>
        </w:rPr>
        <w:t xml:space="preserve"> and 15 subjects comp</w:t>
      </w:r>
      <w:r w:rsidR="0023756C">
        <w:rPr>
          <w:rFonts w:ascii="Times New Roman" w:hAnsi="Times New Roman" w:cs="Times New Roman"/>
          <w:noProof/>
          <w:sz w:val="24"/>
          <w:szCs w:val="24"/>
        </w:rPr>
        <w:t>l</w:t>
      </w:r>
      <w:r w:rsidR="006B3A19">
        <w:rPr>
          <w:rFonts w:ascii="Times New Roman" w:hAnsi="Times New Roman" w:cs="Times New Roman"/>
          <w:noProof/>
          <w:sz w:val="24"/>
          <w:szCs w:val="24"/>
        </w:rPr>
        <w:t xml:space="preserve">eted the study. A minimum of 15 subjects with severe VWD were enrolled, of whom at least </w:t>
      </w:r>
      <w:r w:rsidRPr="002130BB">
        <w:rPr>
          <w:rFonts w:ascii="Times New Roman" w:hAnsi="Times New Roman" w:cs="Times New Roman"/>
          <w:noProof/>
          <w:sz w:val="24"/>
          <w:szCs w:val="24"/>
        </w:rPr>
        <w:t>10</w:t>
      </w:r>
      <w:r w:rsidR="000363CB" w:rsidRPr="002130BB">
        <w:rPr>
          <w:rFonts w:ascii="Times New Roman" w:hAnsi="Times New Roman" w:cs="Times New Roman"/>
          <w:noProof/>
          <w:sz w:val="24"/>
          <w:szCs w:val="24"/>
        </w:rPr>
        <w:t> </w:t>
      </w:r>
      <w:r w:rsidR="008716C4" w:rsidRPr="002130BB">
        <w:rPr>
          <w:rFonts w:ascii="Times New Roman" w:hAnsi="Times New Roman" w:cs="Times New Roman"/>
          <w:noProof/>
          <w:sz w:val="24"/>
          <w:szCs w:val="24"/>
        </w:rPr>
        <w:t>underwent</w:t>
      </w:r>
      <w:r w:rsidRPr="002130BB">
        <w:rPr>
          <w:rFonts w:ascii="Times New Roman" w:hAnsi="Times New Roman" w:cs="Times New Roman"/>
          <w:noProof/>
          <w:sz w:val="24"/>
          <w:szCs w:val="24"/>
        </w:rPr>
        <w:t xml:space="preserve"> major surgical procedures.</w:t>
      </w:r>
    </w:p>
    <w:p w:rsidR="005C67A4" w:rsidRDefault="00056D51" w:rsidP="005C67A4">
      <w:pPr>
        <w:pStyle w:val="BodytextAgency"/>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All </w:t>
      </w:r>
      <w:r w:rsidR="005C67A4" w:rsidRPr="005C67A4">
        <w:rPr>
          <w:rFonts w:ascii="Times New Roman" w:hAnsi="Times New Roman" w:cs="Times New Roman"/>
          <w:noProof/>
          <w:sz w:val="24"/>
          <w:szCs w:val="24"/>
        </w:rPr>
        <w:t>subjects received a dose of 40 to 60 IU/kg rVWF:RCo</w:t>
      </w:r>
      <w:r>
        <w:rPr>
          <w:rFonts w:ascii="Times New Roman" w:hAnsi="Times New Roman" w:cs="Times New Roman"/>
          <w:noProof/>
          <w:sz w:val="24"/>
          <w:szCs w:val="24"/>
        </w:rPr>
        <w:t xml:space="preserve"> </w:t>
      </w:r>
      <w:r w:rsidRPr="005C67A4">
        <w:rPr>
          <w:rFonts w:ascii="Times New Roman" w:hAnsi="Times New Roman" w:cs="Times New Roman"/>
          <w:noProof/>
          <w:sz w:val="24"/>
          <w:szCs w:val="24"/>
        </w:rPr>
        <w:t>12 to 24 hours before surgery</w:t>
      </w:r>
      <w:r w:rsidR="005C67A4" w:rsidRPr="005C67A4">
        <w:rPr>
          <w:rFonts w:ascii="Times New Roman" w:hAnsi="Times New Roman" w:cs="Times New Roman"/>
          <w:noProof/>
          <w:sz w:val="24"/>
          <w:szCs w:val="24"/>
        </w:rPr>
        <w:t>. Within</w:t>
      </w:r>
      <w:r w:rsidR="005C67A4">
        <w:rPr>
          <w:rFonts w:ascii="Times New Roman" w:hAnsi="Times New Roman" w:cs="Times New Roman"/>
          <w:noProof/>
          <w:sz w:val="24"/>
          <w:szCs w:val="24"/>
        </w:rPr>
        <w:t xml:space="preserve"> </w:t>
      </w:r>
      <w:r w:rsidR="005C67A4" w:rsidRPr="005C67A4">
        <w:rPr>
          <w:rFonts w:ascii="Times New Roman" w:hAnsi="Times New Roman" w:cs="Times New Roman"/>
          <w:noProof/>
          <w:sz w:val="24"/>
          <w:szCs w:val="24"/>
        </w:rPr>
        <w:t>3 hours prior to surgery, the subject</w:t>
      </w:r>
      <w:r w:rsidR="005C67A4">
        <w:rPr>
          <w:rFonts w:ascii="Times New Roman" w:hAnsi="Times New Roman" w:cs="Times New Roman"/>
          <w:noProof/>
          <w:sz w:val="24"/>
          <w:szCs w:val="24"/>
        </w:rPr>
        <w:t>’s</w:t>
      </w:r>
      <w:r w:rsidR="005C67A4" w:rsidRPr="005C67A4">
        <w:rPr>
          <w:rFonts w:ascii="Times New Roman" w:hAnsi="Times New Roman" w:cs="Times New Roman"/>
          <w:noProof/>
          <w:sz w:val="24"/>
          <w:szCs w:val="24"/>
        </w:rPr>
        <w:t xml:space="preserve"> FVIII:C levels were assessed with a target of </w:t>
      </w:r>
      <w:r w:rsidR="005C67A4" w:rsidRPr="00CB13FC">
        <w:rPr>
          <w:rFonts w:ascii="Times New Roman" w:hAnsi="Times New Roman" w:cs="Times New Roman"/>
          <w:noProof/>
          <w:sz w:val="24"/>
          <w:szCs w:val="24"/>
        </w:rPr>
        <w:t>0.30 IU/mL</w:t>
      </w:r>
      <w:r w:rsidR="005C67A4">
        <w:rPr>
          <w:rFonts w:ascii="Times New Roman" w:hAnsi="Times New Roman" w:cs="Times New Roman"/>
          <w:noProof/>
          <w:sz w:val="24"/>
          <w:szCs w:val="24"/>
        </w:rPr>
        <w:t xml:space="preserve"> </w:t>
      </w:r>
      <w:r w:rsidR="005C67A4" w:rsidRPr="005C67A4">
        <w:rPr>
          <w:rFonts w:ascii="Times New Roman" w:hAnsi="Times New Roman" w:cs="Times New Roman"/>
          <w:noProof/>
          <w:sz w:val="24"/>
          <w:szCs w:val="24"/>
        </w:rPr>
        <w:t xml:space="preserve">for minor and oral surgeries and </w:t>
      </w:r>
      <w:r w:rsidR="005C67A4" w:rsidRPr="00CB13FC">
        <w:rPr>
          <w:rFonts w:ascii="Times New Roman" w:hAnsi="Times New Roman" w:cs="Times New Roman"/>
          <w:noProof/>
          <w:sz w:val="24"/>
          <w:szCs w:val="24"/>
        </w:rPr>
        <w:t>0.60 IU/mL</w:t>
      </w:r>
      <w:r w:rsidR="005C67A4" w:rsidRPr="005C67A4">
        <w:rPr>
          <w:rFonts w:ascii="Times New Roman" w:hAnsi="Times New Roman" w:cs="Times New Roman"/>
          <w:noProof/>
          <w:sz w:val="24"/>
          <w:szCs w:val="24"/>
        </w:rPr>
        <w:t xml:space="preserve"> for major surgeries. Within 1 hour prior to surgery,</w:t>
      </w:r>
      <w:r w:rsidR="005C67A4">
        <w:rPr>
          <w:rFonts w:ascii="Times New Roman" w:hAnsi="Times New Roman" w:cs="Times New Roman"/>
          <w:noProof/>
          <w:sz w:val="24"/>
          <w:szCs w:val="24"/>
        </w:rPr>
        <w:t xml:space="preserve"> </w:t>
      </w:r>
      <w:r w:rsidR="005C67A4" w:rsidRPr="005C67A4">
        <w:rPr>
          <w:rFonts w:ascii="Times New Roman" w:hAnsi="Times New Roman" w:cs="Times New Roman"/>
          <w:noProof/>
          <w:sz w:val="24"/>
          <w:szCs w:val="24"/>
        </w:rPr>
        <w:t xml:space="preserve">subjects received a dose of </w:t>
      </w:r>
      <w:r>
        <w:rPr>
          <w:rFonts w:ascii="Times New Roman" w:hAnsi="Times New Roman" w:cs="Times New Roman"/>
          <w:noProof/>
          <w:sz w:val="24"/>
          <w:szCs w:val="24"/>
        </w:rPr>
        <w:t>VEYVONDI</w:t>
      </w:r>
      <w:r w:rsidR="005C67A4" w:rsidRPr="005C67A4">
        <w:rPr>
          <w:rFonts w:ascii="Times New Roman" w:hAnsi="Times New Roman" w:cs="Times New Roman"/>
          <w:noProof/>
          <w:sz w:val="24"/>
          <w:szCs w:val="24"/>
        </w:rPr>
        <w:t xml:space="preserve"> with or without ADVATE (depending on the</w:t>
      </w:r>
      <w:r w:rsidR="005C67A4">
        <w:rPr>
          <w:rFonts w:ascii="Times New Roman" w:hAnsi="Times New Roman" w:cs="Times New Roman"/>
          <w:noProof/>
          <w:sz w:val="24"/>
          <w:szCs w:val="24"/>
        </w:rPr>
        <w:t xml:space="preserve"> </w:t>
      </w:r>
      <w:r w:rsidR="005C67A4" w:rsidRPr="005C67A4">
        <w:rPr>
          <w:rFonts w:ascii="Times New Roman" w:hAnsi="Times New Roman" w:cs="Times New Roman"/>
          <w:noProof/>
          <w:sz w:val="24"/>
          <w:szCs w:val="24"/>
        </w:rPr>
        <w:t>target FVIII:C levels at the 3 ho</w:t>
      </w:r>
      <w:r>
        <w:rPr>
          <w:rFonts w:ascii="Times New Roman" w:hAnsi="Times New Roman" w:cs="Times New Roman"/>
          <w:noProof/>
          <w:sz w:val="24"/>
          <w:szCs w:val="24"/>
        </w:rPr>
        <w:t>ur assessment). VWF and FVIII incremendal recovery</w:t>
      </w:r>
      <w:r w:rsidR="005C67A4" w:rsidRPr="005C67A4">
        <w:rPr>
          <w:rFonts w:ascii="Times New Roman" w:hAnsi="Times New Roman" w:cs="Times New Roman"/>
          <w:noProof/>
          <w:sz w:val="24"/>
          <w:szCs w:val="24"/>
        </w:rPr>
        <w:t xml:space="preserve"> and T</w:t>
      </w:r>
      <w:r w:rsidR="005C67A4" w:rsidRPr="005C67A4">
        <w:rPr>
          <w:rFonts w:ascii="Times New Roman" w:hAnsi="Times New Roman" w:cs="Times New Roman"/>
          <w:noProof/>
          <w:sz w:val="24"/>
          <w:szCs w:val="24"/>
          <w:vertAlign w:val="subscript"/>
        </w:rPr>
        <w:t xml:space="preserve">1/2 </w:t>
      </w:r>
      <w:r w:rsidR="005C67A4" w:rsidRPr="005C67A4">
        <w:rPr>
          <w:rFonts w:ascii="Times New Roman" w:hAnsi="Times New Roman" w:cs="Times New Roman"/>
          <w:noProof/>
          <w:sz w:val="24"/>
          <w:szCs w:val="24"/>
        </w:rPr>
        <w:t>for each subject,</w:t>
      </w:r>
      <w:r w:rsidR="005C67A4">
        <w:rPr>
          <w:rFonts w:ascii="Times New Roman" w:hAnsi="Times New Roman" w:cs="Times New Roman"/>
          <w:noProof/>
          <w:sz w:val="24"/>
          <w:szCs w:val="24"/>
        </w:rPr>
        <w:t xml:space="preserve"> </w:t>
      </w:r>
      <w:r w:rsidR="005C67A4" w:rsidRPr="005C67A4">
        <w:rPr>
          <w:rFonts w:ascii="Times New Roman" w:hAnsi="Times New Roman" w:cs="Times New Roman"/>
          <w:noProof/>
          <w:sz w:val="24"/>
          <w:szCs w:val="24"/>
        </w:rPr>
        <w:t>when known, were used to guide the initial dose and subsequent doses.</w:t>
      </w:r>
    </w:p>
    <w:p w:rsidR="005C67A4" w:rsidRDefault="00BC221B" w:rsidP="005C67A4">
      <w:pPr>
        <w:pStyle w:val="BodytextAgency"/>
        <w:spacing w:before="120" w:after="120" w:line="240" w:lineRule="auto"/>
        <w:rPr>
          <w:rFonts w:ascii="Times New Roman" w:hAnsi="Times New Roman" w:cs="Times New Roman"/>
          <w:noProof/>
          <w:sz w:val="24"/>
          <w:szCs w:val="24"/>
        </w:rPr>
      </w:pPr>
      <w:r w:rsidRPr="002130BB">
        <w:rPr>
          <w:rFonts w:ascii="Times New Roman" w:hAnsi="Times New Roman" w:cs="Times New Roman"/>
          <w:noProof/>
          <w:sz w:val="24"/>
          <w:szCs w:val="24"/>
        </w:rPr>
        <w:t>The primary outcome measure was the overall assessment of h</w:t>
      </w:r>
      <w:r w:rsidR="00A43E19" w:rsidRPr="002130BB">
        <w:rPr>
          <w:rFonts w:ascii="Times New Roman" w:hAnsi="Times New Roman" w:cs="Times New Roman"/>
          <w:noProof/>
          <w:sz w:val="24"/>
          <w:szCs w:val="24"/>
        </w:rPr>
        <w:t>a</w:t>
      </w:r>
      <w:r w:rsidRPr="002130BB">
        <w:rPr>
          <w:rFonts w:ascii="Times New Roman" w:hAnsi="Times New Roman" w:cs="Times New Roman"/>
          <w:noProof/>
          <w:sz w:val="24"/>
          <w:szCs w:val="24"/>
        </w:rPr>
        <w:t>emostatic efficacy assessed by the investigator (h</w:t>
      </w:r>
      <w:r w:rsidR="00A43E19" w:rsidRPr="002130BB">
        <w:rPr>
          <w:rFonts w:ascii="Times New Roman" w:hAnsi="Times New Roman" w:cs="Times New Roman"/>
          <w:noProof/>
          <w:sz w:val="24"/>
          <w:szCs w:val="24"/>
        </w:rPr>
        <w:t>a</w:t>
      </w:r>
      <w:r w:rsidRPr="002130BB">
        <w:rPr>
          <w:rFonts w:ascii="Times New Roman" w:hAnsi="Times New Roman" w:cs="Times New Roman"/>
          <w:noProof/>
          <w:sz w:val="24"/>
          <w:szCs w:val="24"/>
        </w:rPr>
        <w:t>emophilia physician) 24</w:t>
      </w:r>
      <w:r w:rsidR="00E04BE7" w:rsidRPr="002130BB">
        <w:rPr>
          <w:rFonts w:ascii="Times New Roman" w:hAnsi="Times New Roman" w:cs="Times New Roman"/>
          <w:noProof/>
          <w:sz w:val="24"/>
          <w:szCs w:val="24"/>
        </w:rPr>
        <w:t> hour</w:t>
      </w:r>
      <w:r w:rsidRPr="002130BB">
        <w:rPr>
          <w:rFonts w:ascii="Times New Roman" w:hAnsi="Times New Roman" w:cs="Times New Roman"/>
          <w:noProof/>
          <w:sz w:val="24"/>
          <w:szCs w:val="24"/>
        </w:rPr>
        <w:t>s after last perioperative VEYVONDI infusion or at completion of day</w:t>
      </w:r>
      <w:r w:rsidR="00944487" w:rsidRPr="002130BB">
        <w:rPr>
          <w:rFonts w:ascii="Times New Roman" w:hAnsi="Times New Roman" w:cs="Times New Roman"/>
          <w:noProof/>
          <w:sz w:val="24"/>
          <w:szCs w:val="24"/>
        </w:rPr>
        <w:t> </w:t>
      </w:r>
      <w:r w:rsidRPr="002130BB">
        <w:rPr>
          <w:rFonts w:ascii="Times New Roman" w:hAnsi="Times New Roman" w:cs="Times New Roman"/>
          <w:noProof/>
          <w:sz w:val="24"/>
          <w:szCs w:val="24"/>
        </w:rPr>
        <w:t>14 visit, whichever occurred earlier, was summari</w:t>
      </w:r>
      <w:r w:rsidR="002130BB">
        <w:rPr>
          <w:rFonts w:ascii="Times New Roman" w:hAnsi="Times New Roman" w:cs="Times New Roman"/>
          <w:noProof/>
          <w:sz w:val="24"/>
          <w:szCs w:val="24"/>
        </w:rPr>
        <w:t>s</w:t>
      </w:r>
      <w:r w:rsidRPr="002130BB">
        <w:rPr>
          <w:rFonts w:ascii="Times New Roman" w:hAnsi="Times New Roman" w:cs="Times New Roman"/>
          <w:noProof/>
          <w:sz w:val="24"/>
          <w:szCs w:val="24"/>
        </w:rPr>
        <w:t xml:space="preserve">ed by the percentage </w:t>
      </w:r>
      <w:r w:rsidRPr="002130BB">
        <w:rPr>
          <w:rFonts w:ascii="Times New Roman" w:hAnsi="Times New Roman" w:cs="Times New Roman"/>
          <w:noProof/>
          <w:sz w:val="24"/>
          <w:szCs w:val="24"/>
        </w:rPr>
        <w:lastRenderedPageBreak/>
        <w:t xml:space="preserve">of subjects in each efficacy category (“excellent”, “good”, “moderate” and “none”). </w:t>
      </w:r>
      <w:r w:rsidR="005C67A4">
        <w:rPr>
          <w:rFonts w:ascii="Times New Roman" w:hAnsi="Times New Roman" w:cs="Times New Roman"/>
          <w:noProof/>
          <w:sz w:val="24"/>
          <w:szCs w:val="24"/>
        </w:rPr>
        <w:t>Point estimate and corresponding 90% two-sided exact confidence interval (CI) was calculated for the</w:t>
      </w:r>
      <w:r w:rsidR="00976703">
        <w:rPr>
          <w:rFonts w:ascii="Times New Roman" w:hAnsi="Times New Roman" w:cs="Times New Roman"/>
          <w:noProof/>
          <w:sz w:val="24"/>
          <w:szCs w:val="24"/>
        </w:rPr>
        <w:t xml:space="preserve"> </w:t>
      </w:r>
      <w:r w:rsidR="005C67A4">
        <w:rPr>
          <w:rFonts w:ascii="Times New Roman" w:hAnsi="Times New Roman" w:cs="Times New Roman"/>
          <w:noProof/>
          <w:sz w:val="24"/>
          <w:szCs w:val="24"/>
        </w:rPr>
        <w:t xml:space="preserve">rate of subjects with an overall assessment of </w:t>
      </w:r>
      <w:r w:rsidR="0054249B">
        <w:rPr>
          <w:rFonts w:ascii="Times New Roman" w:hAnsi="Times New Roman" w:cs="Times New Roman"/>
          <w:noProof/>
          <w:sz w:val="24"/>
          <w:szCs w:val="24"/>
        </w:rPr>
        <w:t>ha</w:t>
      </w:r>
      <w:r w:rsidR="00E7659C">
        <w:rPr>
          <w:rFonts w:ascii="Times New Roman" w:hAnsi="Times New Roman" w:cs="Times New Roman"/>
          <w:noProof/>
          <w:sz w:val="24"/>
          <w:szCs w:val="24"/>
        </w:rPr>
        <w:t>emo</w:t>
      </w:r>
      <w:r w:rsidR="005C67A4">
        <w:rPr>
          <w:rFonts w:ascii="Times New Roman" w:hAnsi="Times New Roman" w:cs="Times New Roman"/>
          <w:noProof/>
          <w:sz w:val="24"/>
          <w:szCs w:val="24"/>
        </w:rPr>
        <w:t xml:space="preserve">static efficacy. </w:t>
      </w:r>
      <w:r w:rsidRPr="002130BB">
        <w:rPr>
          <w:rFonts w:ascii="Times New Roman" w:hAnsi="Times New Roman" w:cs="Times New Roman"/>
          <w:noProof/>
          <w:sz w:val="24"/>
          <w:szCs w:val="24"/>
        </w:rPr>
        <w:t>All 15</w:t>
      </w:r>
      <w:r w:rsidR="000363CB" w:rsidRPr="002130BB">
        <w:rPr>
          <w:rFonts w:ascii="Times New Roman" w:hAnsi="Times New Roman" w:cs="Times New Roman"/>
          <w:noProof/>
          <w:sz w:val="24"/>
          <w:szCs w:val="24"/>
        </w:rPr>
        <w:t> </w:t>
      </w:r>
      <w:r w:rsidRPr="002130BB">
        <w:rPr>
          <w:rFonts w:ascii="Times New Roman" w:hAnsi="Times New Roman" w:cs="Times New Roman"/>
          <w:noProof/>
          <w:sz w:val="24"/>
          <w:szCs w:val="24"/>
        </w:rPr>
        <w:t xml:space="preserve">subjects treated with VEYVONDI (with or without </w:t>
      </w:r>
      <w:r w:rsidR="005C67A4" w:rsidRPr="00A457DA">
        <w:rPr>
          <w:rFonts w:ascii="Times New Roman" w:hAnsi="Times New Roman" w:cs="Times New Roman"/>
          <w:noProof/>
          <w:sz w:val="24"/>
          <w:szCs w:val="24"/>
        </w:rPr>
        <w:t>ADVATE</w:t>
      </w:r>
      <w:r w:rsidRPr="00A457DA">
        <w:rPr>
          <w:rFonts w:ascii="Times New Roman" w:hAnsi="Times New Roman" w:cs="Times New Roman"/>
          <w:noProof/>
          <w:sz w:val="24"/>
          <w:szCs w:val="24"/>
        </w:rPr>
        <w:t>) for major (10), minor (4), and oral (1) elective surgical procedures had overall h</w:t>
      </w:r>
      <w:r w:rsidR="00A43E19" w:rsidRPr="00A457DA">
        <w:rPr>
          <w:rFonts w:ascii="Times New Roman" w:hAnsi="Times New Roman" w:cs="Times New Roman"/>
          <w:noProof/>
          <w:sz w:val="24"/>
          <w:szCs w:val="24"/>
        </w:rPr>
        <w:t>a</w:t>
      </w:r>
      <w:r w:rsidRPr="00A457DA">
        <w:rPr>
          <w:rFonts w:ascii="Times New Roman" w:hAnsi="Times New Roman" w:cs="Times New Roman"/>
          <w:noProof/>
          <w:sz w:val="24"/>
          <w:szCs w:val="24"/>
        </w:rPr>
        <w:t xml:space="preserve">emostatic efficacy ratings of “excellent” or “good”. </w:t>
      </w:r>
      <w:r w:rsidR="00A457DA" w:rsidRPr="00A457DA">
        <w:rPr>
          <w:rFonts w:ascii="Times New Roman" w:hAnsi="Times New Roman" w:cs="Times New Roman"/>
          <w:noProof/>
          <w:sz w:val="24"/>
          <w:szCs w:val="24"/>
        </w:rPr>
        <w:t>M</w:t>
      </w:r>
      <w:r w:rsidR="005C67A4" w:rsidRPr="00A457DA">
        <w:rPr>
          <w:rFonts w:ascii="Times New Roman" w:hAnsi="Times New Roman" w:cs="Times New Roman"/>
          <w:noProof/>
          <w:sz w:val="24"/>
          <w:szCs w:val="24"/>
        </w:rPr>
        <w:t xml:space="preserve">ost (73.3%) subjects had </w:t>
      </w:r>
      <w:r w:rsidR="00A457DA" w:rsidRPr="00A457DA">
        <w:rPr>
          <w:rFonts w:ascii="Times New Roman" w:hAnsi="Times New Roman" w:cs="Times New Roman"/>
          <w:noProof/>
          <w:sz w:val="24"/>
          <w:szCs w:val="24"/>
        </w:rPr>
        <w:t>“e</w:t>
      </w:r>
      <w:r w:rsidR="005C67A4" w:rsidRPr="00A457DA">
        <w:rPr>
          <w:rFonts w:ascii="Times New Roman" w:hAnsi="Times New Roman" w:cs="Times New Roman"/>
          <w:noProof/>
          <w:sz w:val="24"/>
          <w:szCs w:val="24"/>
        </w:rPr>
        <w:t>xcellent</w:t>
      </w:r>
      <w:r w:rsidR="00A457DA" w:rsidRPr="00A457DA">
        <w:rPr>
          <w:rFonts w:ascii="Times New Roman" w:hAnsi="Times New Roman" w:cs="Times New Roman"/>
          <w:noProof/>
          <w:sz w:val="24"/>
          <w:szCs w:val="24"/>
        </w:rPr>
        <w:t>”</w:t>
      </w:r>
      <w:r w:rsidR="005C67A4" w:rsidRPr="00A457DA">
        <w:rPr>
          <w:rFonts w:ascii="Times New Roman" w:hAnsi="Times New Roman" w:cs="Times New Roman"/>
          <w:noProof/>
          <w:sz w:val="24"/>
          <w:szCs w:val="24"/>
        </w:rPr>
        <w:t xml:space="preserve"> overall </w:t>
      </w:r>
      <w:r w:rsidR="0054249B">
        <w:rPr>
          <w:rFonts w:ascii="Times New Roman" w:hAnsi="Times New Roman" w:cs="Times New Roman"/>
          <w:noProof/>
          <w:sz w:val="24"/>
          <w:szCs w:val="24"/>
        </w:rPr>
        <w:t>ha</w:t>
      </w:r>
      <w:r w:rsidR="00E7659C">
        <w:rPr>
          <w:rFonts w:ascii="Times New Roman" w:hAnsi="Times New Roman" w:cs="Times New Roman"/>
          <w:noProof/>
          <w:sz w:val="24"/>
          <w:szCs w:val="24"/>
        </w:rPr>
        <w:t>emo</w:t>
      </w:r>
      <w:r w:rsidR="005C67A4" w:rsidRPr="00A457DA">
        <w:rPr>
          <w:rFonts w:ascii="Times New Roman" w:hAnsi="Times New Roman" w:cs="Times New Roman"/>
          <w:noProof/>
          <w:sz w:val="24"/>
          <w:szCs w:val="24"/>
        </w:rPr>
        <w:t xml:space="preserve">static efficacy ratings; of these, 7 underwent major surgery and 4 underwent minor surgery. The remaining 26.7% subjects had “good” overall </w:t>
      </w:r>
      <w:r w:rsidR="0054249B">
        <w:rPr>
          <w:rFonts w:ascii="Times New Roman" w:hAnsi="Times New Roman" w:cs="Times New Roman"/>
          <w:noProof/>
          <w:sz w:val="24"/>
          <w:szCs w:val="24"/>
        </w:rPr>
        <w:t>ha</w:t>
      </w:r>
      <w:r w:rsidR="00E7659C">
        <w:rPr>
          <w:rFonts w:ascii="Times New Roman" w:hAnsi="Times New Roman" w:cs="Times New Roman"/>
          <w:noProof/>
          <w:sz w:val="24"/>
          <w:szCs w:val="24"/>
        </w:rPr>
        <w:t>emo</w:t>
      </w:r>
      <w:r w:rsidR="005C67A4" w:rsidRPr="00A457DA">
        <w:rPr>
          <w:rFonts w:ascii="Times New Roman" w:hAnsi="Times New Roman" w:cs="Times New Roman"/>
          <w:noProof/>
          <w:sz w:val="24"/>
          <w:szCs w:val="24"/>
        </w:rPr>
        <w:t xml:space="preserve">static efficacy ratings: 3 underwent major surgery and 1 underwent oral surgery. All 8 subjects with VWD Type 3, the subtype classified as absolute VWF deficiency, had overall </w:t>
      </w:r>
      <w:r w:rsidR="0054249B">
        <w:rPr>
          <w:rFonts w:ascii="Times New Roman" w:hAnsi="Times New Roman" w:cs="Times New Roman"/>
          <w:noProof/>
          <w:sz w:val="24"/>
          <w:szCs w:val="24"/>
        </w:rPr>
        <w:t>ha</w:t>
      </w:r>
      <w:r w:rsidR="00E7659C">
        <w:rPr>
          <w:rFonts w:ascii="Times New Roman" w:hAnsi="Times New Roman" w:cs="Times New Roman"/>
          <w:noProof/>
          <w:sz w:val="24"/>
          <w:szCs w:val="24"/>
        </w:rPr>
        <w:t>emo</w:t>
      </w:r>
      <w:r w:rsidR="005C67A4" w:rsidRPr="00A457DA">
        <w:rPr>
          <w:rFonts w:ascii="Times New Roman" w:hAnsi="Times New Roman" w:cs="Times New Roman"/>
          <w:noProof/>
          <w:sz w:val="24"/>
          <w:szCs w:val="24"/>
        </w:rPr>
        <w:t>static effiacy ratings of “excellent” (87.5%) or “good</w:t>
      </w:r>
      <w:r w:rsidR="0018569D">
        <w:rPr>
          <w:rFonts w:ascii="Times New Roman" w:hAnsi="Times New Roman" w:cs="Times New Roman"/>
          <w:noProof/>
          <w:sz w:val="24"/>
          <w:szCs w:val="24"/>
        </w:rPr>
        <w:t>”</w:t>
      </w:r>
      <w:r w:rsidR="005C67A4" w:rsidRPr="00A457DA">
        <w:rPr>
          <w:rFonts w:ascii="Times New Roman" w:hAnsi="Times New Roman" w:cs="Times New Roman"/>
          <w:noProof/>
          <w:sz w:val="24"/>
          <w:szCs w:val="24"/>
        </w:rPr>
        <w:t xml:space="preserve"> (12.5%).</w:t>
      </w:r>
    </w:p>
    <w:p w:rsidR="005C67A4" w:rsidRDefault="005C67A4" w:rsidP="005C67A4">
      <w:pPr>
        <w:pStyle w:val="BodytextAgency"/>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t>Intra</w:t>
      </w:r>
      <w:r w:rsidR="006F1FA8" w:rsidRPr="002130BB">
        <w:rPr>
          <w:rFonts w:ascii="Times New Roman" w:hAnsi="Times New Roman" w:cs="Times New Roman"/>
          <w:noProof/>
          <w:sz w:val="24"/>
          <w:szCs w:val="24"/>
        </w:rPr>
        <w:t>operative h</w:t>
      </w:r>
      <w:r w:rsidR="00F15484" w:rsidRPr="002130BB">
        <w:rPr>
          <w:rFonts w:ascii="Times New Roman" w:hAnsi="Times New Roman" w:cs="Times New Roman"/>
          <w:noProof/>
          <w:sz w:val="24"/>
          <w:szCs w:val="24"/>
        </w:rPr>
        <w:t>a</w:t>
      </w:r>
      <w:r w:rsidR="006F1FA8" w:rsidRPr="002130BB">
        <w:rPr>
          <w:rFonts w:ascii="Times New Roman" w:hAnsi="Times New Roman" w:cs="Times New Roman"/>
          <w:noProof/>
          <w:sz w:val="24"/>
          <w:szCs w:val="24"/>
        </w:rPr>
        <w:t xml:space="preserve">emostatic efficacy ratings were also rated as “excellent” or “good” for all 15 treated subjects. </w:t>
      </w:r>
      <w:r w:rsidRPr="005C67A4">
        <w:rPr>
          <w:rFonts w:ascii="Times New Roman" w:hAnsi="Times New Roman" w:cs="Times New Roman"/>
          <w:noProof/>
          <w:sz w:val="24"/>
          <w:szCs w:val="24"/>
        </w:rPr>
        <w:t xml:space="preserve">Most (86.7%) subjects had </w:t>
      </w:r>
      <w:r>
        <w:rPr>
          <w:rFonts w:ascii="Times New Roman" w:hAnsi="Times New Roman" w:cs="Times New Roman"/>
          <w:noProof/>
          <w:sz w:val="24"/>
          <w:szCs w:val="24"/>
        </w:rPr>
        <w:t>“</w:t>
      </w:r>
      <w:r w:rsidRPr="005C67A4">
        <w:rPr>
          <w:rFonts w:ascii="Times New Roman" w:hAnsi="Times New Roman" w:cs="Times New Roman"/>
          <w:noProof/>
          <w:sz w:val="24"/>
          <w:szCs w:val="24"/>
        </w:rPr>
        <w:t>excellent</w:t>
      </w:r>
      <w:r>
        <w:rPr>
          <w:rFonts w:ascii="Times New Roman" w:hAnsi="Times New Roman" w:cs="Times New Roman"/>
          <w:noProof/>
          <w:sz w:val="24"/>
          <w:szCs w:val="24"/>
        </w:rPr>
        <w:t>”</w:t>
      </w:r>
      <w:r w:rsidRPr="005C67A4">
        <w:rPr>
          <w:rFonts w:ascii="Times New Roman" w:hAnsi="Times New Roman" w:cs="Times New Roman"/>
          <w:noProof/>
          <w:sz w:val="24"/>
          <w:szCs w:val="24"/>
        </w:rPr>
        <w:t xml:space="preserve"> intraoperative </w:t>
      </w:r>
      <w:r w:rsidR="0054249B">
        <w:rPr>
          <w:rFonts w:ascii="Times New Roman" w:hAnsi="Times New Roman" w:cs="Times New Roman"/>
          <w:noProof/>
          <w:sz w:val="24"/>
          <w:szCs w:val="24"/>
        </w:rPr>
        <w:t>ha</w:t>
      </w:r>
      <w:r w:rsidR="00E7659C">
        <w:rPr>
          <w:rFonts w:ascii="Times New Roman" w:hAnsi="Times New Roman" w:cs="Times New Roman"/>
          <w:noProof/>
          <w:sz w:val="24"/>
          <w:szCs w:val="24"/>
        </w:rPr>
        <w:t>emo</w:t>
      </w:r>
      <w:r w:rsidRPr="005C67A4">
        <w:rPr>
          <w:rFonts w:ascii="Times New Roman" w:hAnsi="Times New Roman" w:cs="Times New Roman"/>
          <w:noProof/>
          <w:sz w:val="24"/>
          <w:szCs w:val="24"/>
        </w:rPr>
        <w:t>static efficacy</w:t>
      </w:r>
      <w:r>
        <w:rPr>
          <w:rFonts w:ascii="Times New Roman" w:hAnsi="Times New Roman" w:cs="Times New Roman"/>
          <w:noProof/>
          <w:sz w:val="24"/>
          <w:szCs w:val="24"/>
        </w:rPr>
        <w:t xml:space="preserve"> </w:t>
      </w:r>
      <w:r w:rsidRPr="005C67A4">
        <w:rPr>
          <w:rFonts w:ascii="Times New Roman" w:hAnsi="Times New Roman" w:cs="Times New Roman"/>
          <w:noProof/>
          <w:sz w:val="24"/>
          <w:szCs w:val="24"/>
        </w:rPr>
        <w:t>ratings; of these, 8 underwent major surgery, 4 underwent minor surgery, and 1 underwent</w:t>
      </w:r>
      <w:r>
        <w:rPr>
          <w:rFonts w:ascii="Times New Roman" w:hAnsi="Times New Roman" w:cs="Times New Roman"/>
          <w:noProof/>
          <w:sz w:val="24"/>
          <w:szCs w:val="24"/>
        </w:rPr>
        <w:t xml:space="preserve"> </w:t>
      </w:r>
      <w:r w:rsidRPr="005C67A4">
        <w:rPr>
          <w:rFonts w:ascii="Times New Roman" w:hAnsi="Times New Roman" w:cs="Times New Roman"/>
          <w:noProof/>
          <w:sz w:val="24"/>
          <w:szCs w:val="24"/>
        </w:rPr>
        <w:t>oral surgery. Two (13.3%) subjects who underwent major surgery had</w:t>
      </w:r>
      <w:r>
        <w:rPr>
          <w:rFonts w:ascii="Times New Roman" w:hAnsi="Times New Roman" w:cs="Times New Roman"/>
          <w:noProof/>
          <w:sz w:val="24"/>
          <w:szCs w:val="24"/>
        </w:rPr>
        <w:t xml:space="preserve"> “g</w:t>
      </w:r>
      <w:r w:rsidRPr="005C67A4">
        <w:rPr>
          <w:rFonts w:ascii="Times New Roman" w:hAnsi="Times New Roman" w:cs="Times New Roman"/>
          <w:noProof/>
          <w:sz w:val="24"/>
          <w:szCs w:val="24"/>
        </w:rPr>
        <w:t>ood</w:t>
      </w:r>
      <w:r>
        <w:rPr>
          <w:rFonts w:ascii="Times New Roman" w:hAnsi="Times New Roman" w:cs="Times New Roman"/>
          <w:noProof/>
          <w:sz w:val="24"/>
          <w:szCs w:val="24"/>
        </w:rPr>
        <w:t xml:space="preserve">” </w:t>
      </w:r>
      <w:r w:rsidRPr="005C67A4">
        <w:rPr>
          <w:rFonts w:ascii="Times New Roman" w:hAnsi="Times New Roman" w:cs="Times New Roman"/>
          <w:noProof/>
          <w:sz w:val="24"/>
          <w:szCs w:val="24"/>
        </w:rPr>
        <w:t>intraoperative</w:t>
      </w:r>
      <w:r>
        <w:rPr>
          <w:rFonts w:ascii="Times New Roman" w:hAnsi="Times New Roman" w:cs="Times New Roman"/>
          <w:noProof/>
          <w:sz w:val="24"/>
          <w:szCs w:val="24"/>
        </w:rPr>
        <w:t xml:space="preserve"> </w:t>
      </w:r>
      <w:r w:rsidR="0054249B">
        <w:rPr>
          <w:rFonts w:ascii="Times New Roman" w:hAnsi="Times New Roman" w:cs="Times New Roman"/>
          <w:noProof/>
          <w:sz w:val="24"/>
          <w:szCs w:val="24"/>
        </w:rPr>
        <w:t>ha</w:t>
      </w:r>
      <w:r w:rsidR="00E7659C">
        <w:rPr>
          <w:rFonts w:ascii="Times New Roman" w:hAnsi="Times New Roman" w:cs="Times New Roman"/>
          <w:noProof/>
          <w:sz w:val="24"/>
          <w:szCs w:val="24"/>
        </w:rPr>
        <w:t>emo</w:t>
      </w:r>
      <w:r w:rsidRPr="005C67A4">
        <w:rPr>
          <w:rFonts w:ascii="Times New Roman" w:hAnsi="Times New Roman" w:cs="Times New Roman"/>
          <w:noProof/>
          <w:sz w:val="24"/>
          <w:szCs w:val="24"/>
        </w:rPr>
        <w:t xml:space="preserve">static efficacy ratings. Intraoperative </w:t>
      </w:r>
      <w:r w:rsidR="0054249B">
        <w:rPr>
          <w:rFonts w:ascii="Times New Roman" w:hAnsi="Times New Roman" w:cs="Times New Roman"/>
          <w:noProof/>
          <w:sz w:val="24"/>
          <w:szCs w:val="24"/>
        </w:rPr>
        <w:t>ha</w:t>
      </w:r>
      <w:r w:rsidR="00E7659C">
        <w:rPr>
          <w:rFonts w:ascii="Times New Roman" w:hAnsi="Times New Roman" w:cs="Times New Roman"/>
          <w:noProof/>
          <w:sz w:val="24"/>
          <w:szCs w:val="24"/>
        </w:rPr>
        <w:t>emo</w:t>
      </w:r>
      <w:r w:rsidRPr="005C67A4">
        <w:rPr>
          <w:rFonts w:ascii="Times New Roman" w:hAnsi="Times New Roman" w:cs="Times New Roman"/>
          <w:noProof/>
          <w:sz w:val="24"/>
          <w:szCs w:val="24"/>
        </w:rPr>
        <w:t>static efficacy was rated as</w:t>
      </w:r>
      <w:r>
        <w:rPr>
          <w:rFonts w:ascii="Times New Roman" w:hAnsi="Times New Roman" w:cs="Times New Roman"/>
          <w:noProof/>
          <w:sz w:val="24"/>
          <w:szCs w:val="24"/>
        </w:rPr>
        <w:t xml:space="preserve"> “e</w:t>
      </w:r>
      <w:r w:rsidRPr="005C67A4">
        <w:rPr>
          <w:rFonts w:ascii="Times New Roman" w:hAnsi="Times New Roman" w:cs="Times New Roman"/>
          <w:noProof/>
          <w:sz w:val="24"/>
          <w:szCs w:val="24"/>
        </w:rPr>
        <w:t>xcellent</w:t>
      </w:r>
      <w:r>
        <w:rPr>
          <w:rFonts w:ascii="Times New Roman" w:hAnsi="Times New Roman" w:cs="Times New Roman"/>
          <w:noProof/>
          <w:sz w:val="24"/>
          <w:szCs w:val="24"/>
        </w:rPr>
        <w:t xml:space="preserve">” </w:t>
      </w:r>
      <w:r w:rsidRPr="005C67A4">
        <w:rPr>
          <w:rFonts w:ascii="Times New Roman" w:hAnsi="Times New Roman" w:cs="Times New Roman"/>
          <w:noProof/>
          <w:sz w:val="24"/>
          <w:szCs w:val="24"/>
        </w:rPr>
        <w:t xml:space="preserve"> or</w:t>
      </w:r>
      <w:r>
        <w:rPr>
          <w:rFonts w:ascii="Times New Roman" w:hAnsi="Times New Roman" w:cs="Times New Roman"/>
          <w:noProof/>
          <w:sz w:val="24"/>
          <w:szCs w:val="24"/>
        </w:rPr>
        <w:t xml:space="preserve"> “g</w:t>
      </w:r>
      <w:r w:rsidRPr="005C67A4">
        <w:rPr>
          <w:rFonts w:ascii="Times New Roman" w:hAnsi="Times New Roman" w:cs="Times New Roman"/>
          <w:noProof/>
          <w:sz w:val="24"/>
          <w:szCs w:val="24"/>
        </w:rPr>
        <w:t>ood</w:t>
      </w:r>
      <w:r>
        <w:rPr>
          <w:rFonts w:ascii="Times New Roman" w:hAnsi="Times New Roman" w:cs="Times New Roman"/>
          <w:noProof/>
          <w:sz w:val="24"/>
          <w:szCs w:val="24"/>
        </w:rPr>
        <w:t xml:space="preserve">” </w:t>
      </w:r>
      <w:r w:rsidRPr="005C67A4">
        <w:rPr>
          <w:rFonts w:ascii="Times New Roman" w:hAnsi="Times New Roman" w:cs="Times New Roman"/>
          <w:noProof/>
          <w:sz w:val="24"/>
          <w:szCs w:val="24"/>
        </w:rPr>
        <w:t xml:space="preserve">for all subjects with VWD Type 3: </w:t>
      </w:r>
      <w:r>
        <w:rPr>
          <w:rFonts w:ascii="Times New Roman" w:hAnsi="Times New Roman" w:cs="Times New Roman"/>
          <w:noProof/>
          <w:sz w:val="24"/>
          <w:szCs w:val="24"/>
        </w:rPr>
        <w:t>“ex</w:t>
      </w:r>
      <w:r w:rsidRPr="005C67A4">
        <w:rPr>
          <w:rFonts w:ascii="Times New Roman" w:hAnsi="Times New Roman" w:cs="Times New Roman"/>
          <w:noProof/>
          <w:sz w:val="24"/>
          <w:szCs w:val="24"/>
        </w:rPr>
        <w:t>cellent</w:t>
      </w:r>
      <w:r>
        <w:rPr>
          <w:rFonts w:ascii="Times New Roman" w:hAnsi="Times New Roman" w:cs="Times New Roman"/>
          <w:noProof/>
          <w:sz w:val="24"/>
          <w:szCs w:val="24"/>
        </w:rPr>
        <w:t xml:space="preserve">” </w:t>
      </w:r>
      <w:r w:rsidRPr="005C67A4">
        <w:rPr>
          <w:rFonts w:ascii="Times New Roman" w:hAnsi="Times New Roman" w:cs="Times New Roman"/>
          <w:noProof/>
          <w:sz w:val="24"/>
          <w:szCs w:val="24"/>
        </w:rPr>
        <w:t>for 7 (87.5%) subjects and</w:t>
      </w:r>
      <w:r>
        <w:rPr>
          <w:rFonts w:ascii="Times New Roman" w:hAnsi="Times New Roman" w:cs="Times New Roman"/>
          <w:noProof/>
          <w:sz w:val="24"/>
          <w:szCs w:val="24"/>
        </w:rPr>
        <w:t xml:space="preserve"> “g</w:t>
      </w:r>
      <w:r w:rsidRPr="005C67A4">
        <w:rPr>
          <w:rFonts w:ascii="Times New Roman" w:hAnsi="Times New Roman" w:cs="Times New Roman"/>
          <w:noProof/>
          <w:sz w:val="24"/>
          <w:szCs w:val="24"/>
        </w:rPr>
        <w:t>ood</w:t>
      </w:r>
      <w:r>
        <w:rPr>
          <w:rFonts w:ascii="Times New Roman" w:hAnsi="Times New Roman" w:cs="Times New Roman"/>
          <w:noProof/>
          <w:sz w:val="24"/>
          <w:szCs w:val="24"/>
        </w:rPr>
        <w:t>”</w:t>
      </w:r>
      <w:r w:rsidRPr="005C67A4">
        <w:rPr>
          <w:rFonts w:ascii="Times New Roman" w:hAnsi="Times New Roman" w:cs="Times New Roman"/>
          <w:noProof/>
          <w:sz w:val="24"/>
          <w:szCs w:val="24"/>
        </w:rPr>
        <w:t xml:space="preserve"> for</w:t>
      </w:r>
      <w:r>
        <w:rPr>
          <w:rFonts w:ascii="Times New Roman" w:hAnsi="Times New Roman" w:cs="Times New Roman"/>
          <w:noProof/>
          <w:sz w:val="24"/>
          <w:szCs w:val="24"/>
        </w:rPr>
        <w:t xml:space="preserve"> 1</w:t>
      </w:r>
      <w:r w:rsidR="00077167">
        <w:rPr>
          <w:rFonts w:ascii="Times New Roman" w:hAnsi="Times New Roman" w:cs="Times New Roman"/>
          <w:noProof/>
          <w:sz w:val="24"/>
          <w:szCs w:val="24"/>
        </w:rPr>
        <w:t> </w:t>
      </w:r>
      <w:r>
        <w:rPr>
          <w:rFonts w:ascii="Times New Roman" w:hAnsi="Times New Roman" w:cs="Times New Roman"/>
          <w:noProof/>
          <w:sz w:val="24"/>
          <w:szCs w:val="24"/>
        </w:rPr>
        <w:t xml:space="preserve">(12.5%) subject. Only 1 subject received </w:t>
      </w:r>
      <w:r w:rsidRPr="005C67A4">
        <w:rPr>
          <w:rFonts w:ascii="Times New Roman" w:hAnsi="Times New Roman" w:cs="Times New Roman"/>
          <w:noProof/>
          <w:sz w:val="24"/>
          <w:szCs w:val="24"/>
        </w:rPr>
        <w:t>an int</w:t>
      </w:r>
      <w:r>
        <w:rPr>
          <w:rFonts w:ascii="Times New Roman" w:hAnsi="Times New Roman" w:cs="Times New Roman"/>
          <w:noProof/>
          <w:sz w:val="24"/>
          <w:szCs w:val="24"/>
        </w:rPr>
        <w:t xml:space="preserve">raoperative dose of VEYVONDI </w:t>
      </w:r>
      <w:r w:rsidRPr="005C67A4">
        <w:rPr>
          <w:rFonts w:ascii="Times New Roman" w:hAnsi="Times New Roman" w:cs="Times New Roman"/>
          <w:noProof/>
          <w:sz w:val="24"/>
          <w:szCs w:val="24"/>
        </w:rPr>
        <w:t>(18.1 IU/kg) and ADVATE (8.1 IU/kg).</w:t>
      </w:r>
    </w:p>
    <w:p w:rsidR="00703AE7" w:rsidRPr="00F7010C" w:rsidRDefault="00020947" w:rsidP="00020947">
      <w:pPr>
        <w:pStyle w:val="BodytextAgency"/>
        <w:spacing w:before="120" w:after="120" w:line="240" w:lineRule="auto"/>
        <w:rPr>
          <w:rFonts w:ascii="Times New Roman" w:hAnsi="Times New Roman" w:cs="Times New Roman"/>
          <w:noProof/>
          <w:sz w:val="24"/>
          <w:szCs w:val="24"/>
        </w:rPr>
      </w:pPr>
      <w:r w:rsidRPr="00020947">
        <w:rPr>
          <w:rFonts w:ascii="Times New Roman" w:hAnsi="Times New Roman" w:cs="Times New Roman"/>
          <w:noProof/>
          <w:sz w:val="24"/>
          <w:szCs w:val="24"/>
        </w:rPr>
        <w:t>For patients treated with V</w:t>
      </w:r>
      <w:r>
        <w:rPr>
          <w:rFonts w:ascii="Times New Roman" w:hAnsi="Times New Roman" w:cs="Times New Roman"/>
          <w:noProof/>
          <w:sz w:val="24"/>
          <w:szCs w:val="24"/>
        </w:rPr>
        <w:t>EY</w:t>
      </w:r>
      <w:r w:rsidRPr="00020947">
        <w:rPr>
          <w:rFonts w:ascii="Times New Roman" w:hAnsi="Times New Roman" w:cs="Times New Roman"/>
          <w:noProof/>
          <w:sz w:val="24"/>
          <w:szCs w:val="24"/>
        </w:rPr>
        <w:t>V</w:t>
      </w:r>
      <w:r w:rsidR="009F42FE">
        <w:rPr>
          <w:rFonts w:ascii="Times New Roman" w:hAnsi="Times New Roman" w:cs="Times New Roman"/>
          <w:noProof/>
          <w:sz w:val="24"/>
          <w:szCs w:val="24"/>
        </w:rPr>
        <w:t>O</w:t>
      </w:r>
      <w:r w:rsidRPr="00020947">
        <w:rPr>
          <w:rFonts w:ascii="Times New Roman" w:hAnsi="Times New Roman" w:cs="Times New Roman"/>
          <w:noProof/>
          <w:sz w:val="24"/>
          <w:szCs w:val="24"/>
        </w:rPr>
        <w:t>NDI (with or without ADVATE), the median total</w:t>
      </w:r>
      <w:r>
        <w:rPr>
          <w:rFonts w:ascii="Times New Roman" w:hAnsi="Times New Roman" w:cs="Times New Roman"/>
          <w:noProof/>
          <w:sz w:val="24"/>
          <w:szCs w:val="24"/>
        </w:rPr>
        <w:t xml:space="preserve"> </w:t>
      </w:r>
      <w:r w:rsidRPr="00020947">
        <w:rPr>
          <w:rFonts w:ascii="Times New Roman" w:hAnsi="Times New Roman" w:cs="Times New Roman"/>
          <w:noProof/>
          <w:sz w:val="24"/>
          <w:szCs w:val="24"/>
        </w:rPr>
        <w:t>postoperative</w:t>
      </w:r>
      <w:r>
        <w:rPr>
          <w:rFonts w:ascii="Times New Roman" w:hAnsi="Times New Roman" w:cs="Times New Roman"/>
          <w:noProof/>
          <w:sz w:val="24"/>
          <w:szCs w:val="24"/>
        </w:rPr>
        <w:t xml:space="preserve"> </w:t>
      </w:r>
      <w:r w:rsidRPr="00020947">
        <w:rPr>
          <w:rFonts w:ascii="Times New Roman" w:hAnsi="Times New Roman" w:cs="Times New Roman"/>
          <w:noProof/>
          <w:sz w:val="24"/>
          <w:szCs w:val="24"/>
        </w:rPr>
        <w:t>dose within the first 7 days after surgery was 114.2 IU/kg with a range of 23.8 to 318.9 IU/kg</w:t>
      </w:r>
      <w:r>
        <w:rPr>
          <w:rFonts w:ascii="Times New Roman" w:hAnsi="Times New Roman" w:cs="Times New Roman"/>
          <w:noProof/>
          <w:sz w:val="24"/>
          <w:szCs w:val="24"/>
        </w:rPr>
        <w:t xml:space="preserve"> </w:t>
      </w:r>
      <w:r w:rsidRPr="00020947">
        <w:rPr>
          <w:rFonts w:ascii="Times New Roman" w:hAnsi="Times New Roman" w:cs="Times New Roman"/>
          <w:noProof/>
          <w:sz w:val="24"/>
          <w:szCs w:val="24"/>
        </w:rPr>
        <w:t>(n=13) and 76.2 IU/kg with a range of 23.8 to 214.4 IU/kg for the next 7 postoperative days</w:t>
      </w:r>
      <w:r>
        <w:rPr>
          <w:rFonts w:ascii="Times New Roman" w:hAnsi="Times New Roman" w:cs="Times New Roman"/>
          <w:noProof/>
          <w:sz w:val="24"/>
          <w:szCs w:val="24"/>
        </w:rPr>
        <w:t xml:space="preserve"> </w:t>
      </w:r>
      <w:r w:rsidRPr="00020947">
        <w:rPr>
          <w:rFonts w:ascii="Times New Roman" w:hAnsi="Times New Roman" w:cs="Times New Roman"/>
          <w:noProof/>
          <w:sz w:val="24"/>
          <w:szCs w:val="24"/>
        </w:rPr>
        <w:t>(n=8).</w:t>
      </w:r>
    </w:p>
    <w:p w:rsidR="003C56AC" w:rsidRPr="00020947" w:rsidRDefault="00020947" w:rsidP="00020947">
      <w:pPr>
        <w:pStyle w:val="BodytextAgency"/>
        <w:spacing w:before="120" w:after="120" w:line="240" w:lineRule="auto"/>
        <w:rPr>
          <w:rFonts w:ascii="Times New Roman" w:hAnsi="Times New Roman" w:cs="Times New Roman"/>
          <w:noProof/>
          <w:sz w:val="24"/>
          <w:szCs w:val="24"/>
        </w:rPr>
      </w:pPr>
      <w:r w:rsidRPr="00020947">
        <w:rPr>
          <w:rFonts w:ascii="Times New Roman" w:hAnsi="Times New Roman" w:cs="Times New Roman"/>
          <w:noProof/>
          <w:sz w:val="24"/>
          <w:szCs w:val="24"/>
        </w:rPr>
        <w:t>For patients treated with V</w:t>
      </w:r>
      <w:r>
        <w:rPr>
          <w:rFonts w:ascii="Times New Roman" w:hAnsi="Times New Roman" w:cs="Times New Roman"/>
          <w:noProof/>
          <w:sz w:val="24"/>
          <w:szCs w:val="24"/>
        </w:rPr>
        <w:t>EY</w:t>
      </w:r>
      <w:r w:rsidRPr="00020947">
        <w:rPr>
          <w:rFonts w:ascii="Times New Roman" w:hAnsi="Times New Roman" w:cs="Times New Roman"/>
          <w:noProof/>
          <w:sz w:val="24"/>
          <w:szCs w:val="24"/>
        </w:rPr>
        <w:t>V</w:t>
      </w:r>
      <w:r>
        <w:rPr>
          <w:rFonts w:ascii="Times New Roman" w:hAnsi="Times New Roman" w:cs="Times New Roman"/>
          <w:noProof/>
          <w:sz w:val="24"/>
          <w:szCs w:val="24"/>
        </w:rPr>
        <w:t>OND</w:t>
      </w:r>
      <w:r w:rsidRPr="00020947">
        <w:rPr>
          <w:rFonts w:ascii="Times New Roman" w:hAnsi="Times New Roman" w:cs="Times New Roman"/>
          <w:noProof/>
          <w:sz w:val="24"/>
          <w:szCs w:val="24"/>
        </w:rPr>
        <w:t>I alone, the median total postoperative dose within the first 7 days after surgery was 103.4 IU/kg with a range of 23.8 to 318.9 IU/kg (n=12) and 94.5 IU/kg with a range of 23.8 to 214.4 IU/kg for the next 7 postoperative days (n=7).</w:t>
      </w:r>
    </w:p>
    <w:p w:rsidR="00F62B84" w:rsidRDefault="00F62B84" w:rsidP="005C67A4">
      <w:pPr>
        <w:pStyle w:val="BodytextAgency"/>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REF _Ref2941178 \h </w:instrText>
      </w:r>
      <w:r>
        <w:rPr>
          <w:rFonts w:ascii="Times New Roman" w:hAnsi="Times New Roman" w:cs="Times New Roman"/>
          <w:noProof/>
          <w:sz w:val="24"/>
          <w:szCs w:val="24"/>
        </w:rPr>
      </w:r>
      <w:r>
        <w:rPr>
          <w:rFonts w:ascii="Times New Roman" w:hAnsi="Times New Roman" w:cs="Times New Roman"/>
          <w:noProof/>
          <w:sz w:val="24"/>
          <w:szCs w:val="24"/>
        </w:rPr>
        <w:instrText xml:space="preserve"> \* MERGEFORMAT </w:instrText>
      </w:r>
      <w:r>
        <w:rPr>
          <w:rFonts w:ascii="Times New Roman" w:hAnsi="Times New Roman" w:cs="Times New Roman"/>
          <w:noProof/>
          <w:sz w:val="24"/>
          <w:szCs w:val="24"/>
        </w:rPr>
        <w:fldChar w:fldCharType="separate"/>
      </w:r>
      <w:r w:rsidRPr="00F62B84">
        <w:rPr>
          <w:rFonts w:ascii="Times New Roman" w:hAnsi="Times New Roman" w:cs="Times New Roman"/>
          <w:noProof/>
          <w:sz w:val="24"/>
          <w:szCs w:val="24"/>
        </w:rPr>
        <w:t>Table 7</w:t>
      </w:r>
      <w:r>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summarises the data obtained for VEYVONDI treatme</w:t>
      </w:r>
      <w:r w:rsidR="00B86C27">
        <w:rPr>
          <w:rFonts w:ascii="Times New Roman" w:hAnsi="Times New Roman" w:cs="Times New Roman"/>
          <w:noProof/>
          <w:sz w:val="24"/>
          <w:szCs w:val="24"/>
        </w:rPr>
        <w:t>n</w:t>
      </w:r>
      <w:r>
        <w:rPr>
          <w:rFonts w:ascii="Times New Roman" w:hAnsi="Times New Roman" w:cs="Times New Roman"/>
          <w:noProof/>
          <w:sz w:val="24"/>
          <w:szCs w:val="24"/>
        </w:rPr>
        <w:t xml:space="preserve">t </w:t>
      </w:r>
      <w:r w:rsidR="00B86C27">
        <w:rPr>
          <w:rFonts w:ascii="Times New Roman" w:hAnsi="Times New Roman" w:cs="Times New Roman"/>
          <w:noProof/>
          <w:sz w:val="24"/>
          <w:szCs w:val="24"/>
        </w:rPr>
        <w:t>b</w:t>
      </w:r>
      <w:r>
        <w:rPr>
          <w:rFonts w:ascii="Times New Roman" w:hAnsi="Times New Roman" w:cs="Times New Roman"/>
          <w:noProof/>
          <w:sz w:val="24"/>
          <w:szCs w:val="24"/>
        </w:rPr>
        <w:t>y surgery type.</w:t>
      </w:r>
    </w:p>
    <w:p w:rsidR="00F62B84" w:rsidRPr="00ED4F0F" w:rsidRDefault="00F62B84" w:rsidP="002D1C48">
      <w:pPr>
        <w:pStyle w:val="TableTitle"/>
        <w:keepLines/>
        <w:spacing w:before="0" w:after="60"/>
        <w:rPr>
          <w:sz w:val="22"/>
          <w:szCs w:val="22"/>
        </w:rPr>
      </w:pPr>
      <w:bookmarkStart w:id="18" w:name="_Ref2941178"/>
      <w:r w:rsidRPr="00FB2C85">
        <w:rPr>
          <w:sz w:val="22"/>
          <w:szCs w:val="22"/>
        </w:rPr>
        <w:t xml:space="preserve">Table </w:t>
      </w:r>
      <w:r w:rsidRPr="00FB2C85">
        <w:rPr>
          <w:sz w:val="22"/>
          <w:szCs w:val="22"/>
        </w:rPr>
        <w:fldChar w:fldCharType="begin"/>
      </w:r>
      <w:r w:rsidRPr="00FB2C85">
        <w:rPr>
          <w:sz w:val="22"/>
          <w:szCs w:val="22"/>
        </w:rPr>
        <w:instrText xml:space="preserve"> SEQ Table \* ARABIC </w:instrText>
      </w:r>
      <w:r w:rsidRPr="00FB2C85">
        <w:rPr>
          <w:sz w:val="22"/>
          <w:szCs w:val="22"/>
        </w:rPr>
        <w:fldChar w:fldCharType="separate"/>
      </w:r>
      <w:r>
        <w:rPr>
          <w:noProof/>
          <w:sz w:val="22"/>
          <w:szCs w:val="22"/>
        </w:rPr>
        <w:t>7</w:t>
      </w:r>
      <w:r w:rsidRPr="00FB2C85">
        <w:rPr>
          <w:sz w:val="22"/>
          <w:szCs w:val="22"/>
        </w:rPr>
        <w:fldChar w:fldCharType="end"/>
      </w:r>
      <w:bookmarkEnd w:id="18"/>
      <w:r w:rsidRPr="00FB2C85">
        <w:rPr>
          <w:sz w:val="22"/>
          <w:szCs w:val="22"/>
        </w:rPr>
        <w:br/>
      </w:r>
      <w:r>
        <w:rPr>
          <w:sz w:val="22"/>
          <w:szCs w:val="22"/>
        </w:rPr>
        <w:t>VEYVONDI treatment summary by surgery type</w:t>
      </w:r>
      <w:r w:rsidRPr="00F62B84">
        <w:rPr>
          <w:sz w:val="22"/>
          <w:szCs w:val="22"/>
          <w:vertAlign w:val="superscript"/>
        </w:rPr>
        <w:t>a</w:t>
      </w:r>
      <w:r w:rsidR="00ED4F0F">
        <w:rPr>
          <w:sz w:val="22"/>
          <w:szCs w:val="22"/>
          <w:vertAlign w:val="superscript"/>
        </w:rPr>
        <w:br/>
      </w:r>
      <w:r w:rsidR="00ED4F0F" w:rsidRPr="00ED4F0F">
        <w:rPr>
          <w:sz w:val="22"/>
          <w:szCs w:val="22"/>
        </w:rPr>
        <w:t>(Study 071101: Safety Analysis Set)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720"/>
        <w:gridCol w:w="1201"/>
        <w:gridCol w:w="689"/>
        <w:gridCol w:w="1189"/>
        <w:gridCol w:w="701"/>
        <w:gridCol w:w="1177"/>
        <w:gridCol w:w="713"/>
        <w:gridCol w:w="1166"/>
      </w:tblGrid>
      <w:tr w:rsidR="00F62B84" w:rsidRPr="00F62B84" w:rsidTr="00750BC3">
        <w:trPr>
          <w:cantSplit/>
          <w:trHeight w:val="211"/>
          <w:tblHeader/>
        </w:trPr>
        <w:tc>
          <w:tcPr>
            <w:tcW w:w="1908" w:type="dxa"/>
            <w:vMerge w:val="restart"/>
            <w:shd w:val="clear" w:color="auto" w:fill="auto"/>
            <w:vAlign w:val="center"/>
          </w:tcPr>
          <w:p w:rsidR="00F62B84" w:rsidRPr="00F62B84" w:rsidRDefault="00F62B84" w:rsidP="009F0C23">
            <w:pPr>
              <w:pStyle w:val="TableColumnHeading"/>
              <w:keepNext/>
              <w:keepLines/>
              <w:spacing w:before="20" w:after="20"/>
              <w:rPr>
                <w:szCs w:val="20"/>
              </w:rPr>
            </w:pPr>
            <w:r w:rsidRPr="00F62B84">
              <w:rPr>
                <w:szCs w:val="20"/>
              </w:rPr>
              <w:t>Parameter</w:t>
            </w:r>
          </w:p>
        </w:tc>
        <w:tc>
          <w:tcPr>
            <w:tcW w:w="1921" w:type="dxa"/>
            <w:gridSpan w:val="2"/>
            <w:shd w:val="clear" w:color="auto" w:fill="auto"/>
            <w:vAlign w:val="center"/>
          </w:tcPr>
          <w:p w:rsidR="00F62B84" w:rsidRPr="00F62B84" w:rsidRDefault="00F62B84" w:rsidP="009F0C23">
            <w:pPr>
              <w:pStyle w:val="TableColumnHeading"/>
              <w:keepNext/>
              <w:keepLines/>
              <w:spacing w:before="20" w:after="20"/>
              <w:rPr>
                <w:szCs w:val="20"/>
              </w:rPr>
            </w:pPr>
            <w:r w:rsidRPr="00F62B84">
              <w:rPr>
                <w:szCs w:val="20"/>
              </w:rPr>
              <w:t>Minor</w:t>
            </w:r>
          </w:p>
        </w:tc>
        <w:tc>
          <w:tcPr>
            <w:tcW w:w="1878" w:type="dxa"/>
            <w:gridSpan w:val="2"/>
            <w:shd w:val="clear" w:color="auto" w:fill="auto"/>
            <w:vAlign w:val="center"/>
          </w:tcPr>
          <w:p w:rsidR="00F62B84" w:rsidRPr="00F62B84" w:rsidRDefault="00F62B84" w:rsidP="009F0C23">
            <w:pPr>
              <w:pStyle w:val="TableColumnHeading"/>
              <w:keepNext/>
              <w:keepLines/>
              <w:spacing w:before="20" w:after="20"/>
              <w:rPr>
                <w:szCs w:val="20"/>
              </w:rPr>
            </w:pPr>
            <w:r w:rsidRPr="00F62B84">
              <w:rPr>
                <w:szCs w:val="20"/>
              </w:rPr>
              <w:t>Major</w:t>
            </w:r>
          </w:p>
        </w:tc>
        <w:tc>
          <w:tcPr>
            <w:tcW w:w="1878" w:type="dxa"/>
            <w:gridSpan w:val="2"/>
            <w:shd w:val="clear" w:color="auto" w:fill="auto"/>
            <w:vAlign w:val="center"/>
          </w:tcPr>
          <w:p w:rsidR="00F62B84" w:rsidRPr="00F62B84" w:rsidRDefault="00F62B84" w:rsidP="009F0C23">
            <w:pPr>
              <w:pStyle w:val="TableColumnHeading"/>
              <w:keepNext/>
              <w:keepLines/>
              <w:spacing w:before="20" w:after="20"/>
              <w:rPr>
                <w:szCs w:val="20"/>
              </w:rPr>
            </w:pPr>
            <w:r w:rsidRPr="00F62B84">
              <w:rPr>
                <w:szCs w:val="20"/>
              </w:rPr>
              <w:t>Oral</w:t>
            </w:r>
          </w:p>
        </w:tc>
        <w:tc>
          <w:tcPr>
            <w:tcW w:w="1879" w:type="dxa"/>
            <w:gridSpan w:val="2"/>
            <w:shd w:val="clear" w:color="auto" w:fill="auto"/>
            <w:vAlign w:val="center"/>
          </w:tcPr>
          <w:p w:rsidR="00F62B84" w:rsidRPr="00F62B84" w:rsidRDefault="00F62B84" w:rsidP="009F0C23">
            <w:pPr>
              <w:pStyle w:val="TableColumnHeading"/>
              <w:keepNext/>
              <w:keepLines/>
              <w:spacing w:before="20" w:after="20"/>
              <w:rPr>
                <w:szCs w:val="20"/>
              </w:rPr>
            </w:pPr>
            <w:r w:rsidRPr="00F62B84">
              <w:rPr>
                <w:szCs w:val="20"/>
              </w:rPr>
              <w:t>Overall</w:t>
            </w:r>
          </w:p>
        </w:tc>
      </w:tr>
      <w:tr w:rsidR="00F62B84" w:rsidRPr="00F62B84" w:rsidTr="00750BC3">
        <w:trPr>
          <w:cantSplit/>
          <w:tblHeader/>
        </w:trPr>
        <w:tc>
          <w:tcPr>
            <w:tcW w:w="1908" w:type="dxa"/>
            <w:vMerge/>
            <w:shd w:val="clear" w:color="auto" w:fill="auto"/>
            <w:vAlign w:val="center"/>
          </w:tcPr>
          <w:p w:rsidR="00F62B84" w:rsidRPr="00F62B84" w:rsidRDefault="00F62B84" w:rsidP="00417341">
            <w:pPr>
              <w:keepNext/>
              <w:keepLines/>
              <w:autoSpaceDE w:val="0"/>
              <w:autoSpaceDN w:val="0"/>
              <w:adjustRightInd w:val="0"/>
              <w:spacing w:before="20" w:after="20" w:line="240" w:lineRule="auto"/>
              <w:jc w:val="center"/>
              <w:rPr>
                <w:b/>
                <w:sz w:val="20"/>
              </w:rPr>
            </w:pPr>
          </w:p>
        </w:tc>
        <w:tc>
          <w:tcPr>
            <w:tcW w:w="720" w:type="dxa"/>
            <w:shd w:val="clear" w:color="auto" w:fill="auto"/>
            <w:vAlign w:val="center"/>
          </w:tcPr>
          <w:p w:rsidR="00F62B84" w:rsidRPr="00F62B84" w:rsidRDefault="00F62B84" w:rsidP="00207C94">
            <w:pPr>
              <w:pStyle w:val="TableColumnHeading"/>
              <w:keepNext/>
              <w:keepLines/>
              <w:spacing w:before="20" w:after="20"/>
              <w:rPr>
                <w:sz w:val="18"/>
                <w:szCs w:val="18"/>
              </w:rPr>
            </w:pPr>
            <w:r w:rsidRPr="00F62B84">
              <w:rPr>
                <w:sz w:val="18"/>
                <w:szCs w:val="18"/>
              </w:rPr>
              <w:t>Mean</w:t>
            </w:r>
          </w:p>
        </w:tc>
        <w:tc>
          <w:tcPr>
            <w:tcW w:w="1201" w:type="dxa"/>
            <w:shd w:val="clear" w:color="auto" w:fill="auto"/>
            <w:vAlign w:val="center"/>
          </w:tcPr>
          <w:p w:rsidR="00F62B84" w:rsidRPr="00F62B84" w:rsidRDefault="00F62B84" w:rsidP="00207C94">
            <w:pPr>
              <w:pStyle w:val="TableColumnHeading"/>
              <w:keepNext/>
              <w:keepLines/>
              <w:spacing w:before="20" w:after="20"/>
              <w:rPr>
                <w:sz w:val="18"/>
                <w:szCs w:val="18"/>
              </w:rPr>
            </w:pPr>
            <w:r w:rsidRPr="00F62B84">
              <w:rPr>
                <w:sz w:val="18"/>
                <w:szCs w:val="18"/>
              </w:rPr>
              <w:t xml:space="preserve">Median </w:t>
            </w:r>
            <w:r>
              <w:rPr>
                <w:sz w:val="18"/>
                <w:szCs w:val="18"/>
              </w:rPr>
              <w:br/>
            </w:r>
            <w:r w:rsidRPr="00F62B84">
              <w:rPr>
                <w:sz w:val="18"/>
                <w:szCs w:val="18"/>
              </w:rPr>
              <w:t>(Min-Max)</w:t>
            </w:r>
          </w:p>
        </w:tc>
        <w:tc>
          <w:tcPr>
            <w:tcW w:w="689" w:type="dxa"/>
            <w:shd w:val="clear" w:color="auto" w:fill="auto"/>
            <w:vAlign w:val="center"/>
          </w:tcPr>
          <w:p w:rsidR="00F62B84" w:rsidRPr="00F62B84" w:rsidRDefault="00F62B84" w:rsidP="00207C94">
            <w:pPr>
              <w:pStyle w:val="TableColumnHeading"/>
              <w:keepNext/>
              <w:keepLines/>
              <w:spacing w:before="20" w:after="20"/>
              <w:rPr>
                <w:sz w:val="18"/>
                <w:szCs w:val="18"/>
                <w:highlight w:val="yellow"/>
              </w:rPr>
            </w:pPr>
            <w:r w:rsidRPr="00F62B84">
              <w:rPr>
                <w:sz w:val="18"/>
                <w:szCs w:val="18"/>
              </w:rPr>
              <w:t>Mean</w:t>
            </w:r>
          </w:p>
        </w:tc>
        <w:tc>
          <w:tcPr>
            <w:tcW w:w="1189" w:type="dxa"/>
            <w:shd w:val="clear" w:color="auto" w:fill="auto"/>
            <w:vAlign w:val="center"/>
          </w:tcPr>
          <w:p w:rsidR="00F62B84" w:rsidRPr="00F62B84" w:rsidRDefault="00F62B84" w:rsidP="00207C94">
            <w:pPr>
              <w:pStyle w:val="TableColumnHeading"/>
              <w:keepNext/>
              <w:keepLines/>
              <w:spacing w:before="20" w:after="20"/>
              <w:rPr>
                <w:sz w:val="18"/>
                <w:szCs w:val="18"/>
              </w:rPr>
            </w:pPr>
            <w:r w:rsidRPr="00F62B84">
              <w:rPr>
                <w:sz w:val="18"/>
                <w:szCs w:val="18"/>
              </w:rPr>
              <w:t xml:space="preserve">Median </w:t>
            </w:r>
            <w:r>
              <w:rPr>
                <w:sz w:val="18"/>
                <w:szCs w:val="18"/>
              </w:rPr>
              <w:br/>
            </w:r>
            <w:r w:rsidRPr="00F62B84">
              <w:rPr>
                <w:sz w:val="18"/>
                <w:szCs w:val="18"/>
              </w:rPr>
              <w:t>(Min-Max)</w:t>
            </w:r>
          </w:p>
        </w:tc>
        <w:tc>
          <w:tcPr>
            <w:tcW w:w="701" w:type="dxa"/>
            <w:shd w:val="clear" w:color="auto" w:fill="auto"/>
            <w:vAlign w:val="center"/>
          </w:tcPr>
          <w:p w:rsidR="00F62B84" w:rsidRPr="00F62B84" w:rsidRDefault="00F62B84" w:rsidP="00207C94">
            <w:pPr>
              <w:pStyle w:val="TableColumnHeading"/>
              <w:keepNext/>
              <w:keepLines/>
              <w:spacing w:before="20" w:after="20"/>
              <w:rPr>
                <w:sz w:val="18"/>
                <w:szCs w:val="18"/>
              </w:rPr>
            </w:pPr>
            <w:r w:rsidRPr="00F62B84">
              <w:rPr>
                <w:sz w:val="18"/>
                <w:szCs w:val="18"/>
              </w:rPr>
              <w:t>Mean</w:t>
            </w:r>
          </w:p>
        </w:tc>
        <w:tc>
          <w:tcPr>
            <w:tcW w:w="1177" w:type="dxa"/>
            <w:shd w:val="clear" w:color="auto" w:fill="auto"/>
            <w:vAlign w:val="center"/>
          </w:tcPr>
          <w:p w:rsidR="00F62B84" w:rsidRPr="00F62B84" w:rsidRDefault="00F62B84" w:rsidP="00207C94">
            <w:pPr>
              <w:pStyle w:val="TableColumnHeading"/>
              <w:keepNext/>
              <w:keepLines/>
              <w:spacing w:before="20" w:after="20"/>
              <w:rPr>
                <w:sz w:val="18"/>
                <w:szCs w:val="18"/>
              </w:rPr>
            </w:pPr>
            <w:r w:rsidRPr="00F62B84">
              <w:rPr>
                <w:sz w:val="18"/>
                <w:szCs w:val="18"/>
              </w:rPr>
              <w:t xml:space="preserve">Median </w:t>
            </w:r>
            <w:r>
              <w:rPr>
                <w:sz w:val="18"/>
                <w:szCs w:val="18"/>
              </w:rPr>
              <w:br/>
            </w:r>
            <w:r w:rsidRPr="00F62B84">
              <w:rPr>
                <w:sz w:val="18"/>
                <w:szCs w:val="18"/>
              </w:rPr>
              <w:t>(Min-Max)</w:t>
            </w:r>
          </w:p>
        </w:tc>
        <w:tc>
          <w:tcPr>
            <w:tcW w:w="713" w:type="dxa"/>
            <w:shd w:val="clear" w:color="auto" w:fill="auto"/>
            <w:vAlign w:val="center"/>
          </w:tcPr>
          <w:p w:rsidR="00F62B84" w:rsidRPr="00F62B84" w:rsidRDefault="00F62B84" w:rsidP="00207C94">
            <w:pPr>
              <w:pStyle w:val="TableColumnHeading"/>
              <w:keepNext/>
              <w:keepLines/>
              <w:spacing w:before="20" w:after="20"/>
              <w:rPr>
                <w:sz w:val="18"/>
                <w:szCs w:val="18"/>
              </w:rPr>
            </w:pPr>
            <w:r w:rsidRPr="00F62B84">
              <w:rPr>
                <w:sz w:val="18"/>
                <w:szCs w:val="18"/>
              </w:rPr>
              <w:t>Mean</w:t>
            </w:r>
          </w:p>
        </w:tc>
        <w:tc>
          <w:tcPr>
            <w:tcW w:w="1166" w:type="dxa"/>
            <w:shd w:val="clear" w:color="auto" w:fill="auto"/>
            <w:vAlign w:val="center"/>
          </w:tcPr>
          <w:p w:rsidR="00F62B84" w:rsidRPr="00F62B84" w:rsidRDefault="00F62B84" w:rsidP="00207C94">
            <w:pPr>
              <w:pStyle w:val="TableColumnHeading"/>
              <w:keepNext/>
              <w:keepLines/>
              <w:spacing w:before="20" w:after="20"/>
              <w:rPr>
                <w:sz w:val="18"/>
                <w:szCs w:val="18"/>
              </w:rPr>
            </w:pPr>
            <w:r w:rsidRPr="00F62B84">
              <w:rPr>
                <w:sz w:val="18"/>
                <w:szCs w:val="18"/>
              </w:rPr>
              <w:t xml:space="preserve">Median </w:t>
            </w:r>
            <w:r>
              <w:rPr>
                <w:sz w:val="18"/>
                <w:szCs w:val="18"/>
              </w:rPr>
              <w:br/>
            </w:r>
            <w:r w:rsidRPr="00F62B84">
              <w:rPr>
                <w:sz w:val="18"/>
                <w:szCs w:val="18"/>
              </w:rPr>
              <w:t>(Min-Max)</w:t>
            </w:r>
          </w:p>
        </w:tc>
      </w:tr>
      <w:tr w:rsidR="00F62B84" w:rsidRPr="00F62B84" w:rsidTr="00750BC3">
        <w:trPr>
          <w:cantSplit/>
        </w:trPr>
        <w:tc>
          <w:tcPr>
            <w:tcW w:w="1908" w:type="dxa"/>
            <w:shd w:val="clear" w:color="auto" w:fill="auto"/>
          </w:tcPr>
          <w:p w:rsidR="00F62B84" w:rsidRPr="00F62B84" w:rsidRDefault="00F62B84" w:rsidP="00750BC3">
            <w:pPr>
              <w:pStyle w:val="TableText"/>
              <w:keepNext/>
              <w:keepLines/>
              <w:spacing w:before="20" w:after="20"/>
              <w:rPr>
                <w:szCs w:val="20"/>
              </w:rPr>
            </w:pPr>
            <w:r w:rsidRPr="00F62B84">
              <w:rPr>
                <w:szCs w:val="20"/>
              </w:rPr>
              <w:t>Number of doses to treat surgery</w:t>
            </w:r>
          </w:p>
        </w:tc>
        <w:tc>
          <w:tcPr>
            <w:tcW w:w="720" w:type="dxa"/>
            <w:shd w:val="clear" w:color="auto" w:fill="auto"/>
            <w:vAlign w:val="center"/>
          </w:tcPr>
          <w:p w:rsidR="00F62B84" w:rsidRPr="00F62B84" w:rsidRDefault="00F62B84" w:rsidP="009F0C23">
            <w:pPr>
              <w:pStyle w:val="TableText"/>
              <w:keepNext/>
              <w:keepLines/>
              <w:spacing w:before="20" w:after="20"/>
              <w:jc w:val="center"/>
              <w:rPr>
                <w:szCs w:val="20"/>
              </w:rPr>
            </w:pPr>
            <w:r w:rsidRPr="00F62B84">
              <w:rPr>
                <w:szCs w:val="20"/>
              </w:rPr>
              <w:t>3.0</w:t>
            </w:r>
          </w:p>
        </w:tc>
        <w:tc>
          <w:tcPr>
            <w:tcW w:w="1201" w:type="dxa"/>
            <w:shd w:val="clear" w:color="auto" w:fill="auto"/>
            <w:vAlign w:val="center"/>
          </w:tcPr>
          <w:p w:rsidR="00F62B84" w:rsidRPr="00F62B84" w:rsidRDefault="00F62B84" w:rsidP="009F0C23">
            <w:pPr>
              <w:pStyle w:val="TableText"/>
              <w:keepNext/>
              <w:keepLines/>
              <w:spacing w:before="20" w:after="20"/>
              <w:jc w:val="center"/>
              <w:rPr>
                <w:szCs w:val="20"/>
              </w:rPr>
            </w:pPr>
            <w:r w:rsidRPr="00F62B84">
              <w:rPr>
                <w:szCs w:val="20"/>
              </w:rPr>
              <w:t>3.0</w:t>
            </w:r>
            <w:r w:rsidRPr="00F62B84">
              <w:rPr>
                <w:szCs w:val="20"/>
              </w:rPr>
              <w:br/>
              <w:t>(2-4)</w:t>
            </w:r>
          </w:p>
        </w:tc>
        <w:tc>
          <w:tcPr>
            <w:tcW w:w="689" w:type="dxa"/>
            <w:shd w:val="clear" w:color="auto" w:fill="auto"/>
            <w:vAlign w:val="center"/>
          </w:tcPr>
          <w:p w:rsidR="00F62B84" w:rsidRPr="00F62B84" w:rsidRDefault="00F62B84" w:rsidP="009F0C23">
            <w:pPr>
              <w:pStyle w:val="TableText"/>
              <w:keepNext/>
              <w:keepLines/>
              <w:spacing w:before="20" w:after="20"/>
              <w:jc w:val="center"/>
              <w:rPr>
                <w:szCs w:val="20"/>
              </w:rPr>
            </w:pPr>
            <w:r w:rsidRPr="00F62B84">
              <w:rPr>
                <w:szCs w:val="20"/>
              </w:rPr>
              <w:t>9.3</w:t>
            </w:r>
          </w:p>
        </w:tc>
        <w:tc>
          <w:tcPr>
            <w:tcW w:w="1189" w:type="dxa"/>
            <w:shd w:val="clear" w:color="auto" w:fill="auto"/>
            <w:vAlign w:val="center"/>
          </w:tcPr>
          <w:p w:rsidR="00F62B84" w:rsidRPr="00F62B84" w:rsidRDefault="00F62B84" w:rsidP="009F0C23">
            <w:pPr>
              <w:pStyle w:val="TableText"/>
              <w:keepNext/>
              <w:keepLines/>
              <w:spacing w:before="20" w:after="20"/>
              <w:jc w:val="center"/>
              <w:rPr>
                <w:szCs w:val="20"/>
              </w:rPr>
            </w:pPr>
            <w:r w:rsidRPr="00F62B84">
              <w:rPr>
                <w:szCs w:val="20"/>
              </w:rPr>
              <w:t>9.0</w:t>
            </w:r>
            <w:r w:rsidRPr="00F62B84">
              <w:rPr>
                <w:szCs w:val="20"/>
              </w:rPr>
              <w:br/>
              <w:t>(4-15)</w:t>
            </w:r>
          </w:p>
        </w:tc>
        <w:tc>
          <w:tcPr>
            <w:tcW w:w="701" w:type="dxa"/>
            <w:shd w:val="clear" w:color="auto" w:fill="auto"/>
            <w:vAlign w:val="center"/>
          </w:tcPr>
          <w:p w:rsidR="00F62B84" w:rsidRPr="00F62B84" w:rsidRDefault="00F62B84" w:rsidP="009F0C23">
            <w:pPr>
              <w:pStyle w:val="TableText"/>
              <w:keepNext/>
              <w:keepLines/>
              <w:spacing w:before="20" w:after="20"/>
              <w:jc w:val="center"/>
              <w:rPr>
                <w:szCs w:val="20"/>
              </w:rPr>
            </w:pPr>
            <w:r w:rsidRPr="00F62B84">
              <w:rPr>
                <w:szCs w:val="20"/>
              </w:rPr>
              <w:t>5.0</w:t>
            </w:r>
          </w:p>
        </w:tc>
        <w:tc>
          <w:tcPr>
            <w:tcW w:w="1177" w:type="dxa"/>
            <w:shd w:val="clear" w:color="auto" w:fill="auto"/>
            <w:vAlign w:val="center"/>
          </w:tcPr>
          <w:p w:rsidR="00F62B84" w:rsidRPr="00F62B84" w:rsidRDefault="00ED4F0F" w:rsidP="009F0C23">
            <w:pPr>
              <w:pStyle w:val="TableText"/>
              <w:keepNext/>
              <w:keepLines/>
              <w:spacing w:before="20" w:after="20"/>
              <w:jc w:val="center"/>
              <w:rPr>
                <w:szCs w:val="20"/>
              </w:rPr>
            </w:pPr>
            <w:r>
              <w:rPr>
                <w:szCs w:val="20"/>
              </w:rPr>
              <w:t>5.0</w:t>
            </w:r>
            <w:r w:rsidR="00F62B84" w:rsidRPr="00F62B84">
              <w:rPr>
                <w:szCs w:val="20"/>
              </w:rPr>
              <w:br/>
              <w:t>(5-5)</w:t>
            </w:r>
          </w:p>
        </w:tc>
        <w:tc>
          <w:tcPr>
            <w:tcW w:w="713" w:type="dxa"/>
            <w:shd w:val="clear" w:color="auto" w:fill="auto"/>
            <w:vAlign w:val="center"/>
          </w:tcPr>
          <w:p w:rsidR="00F62B84" w:rsidRPr="00F62B84" w:rsidRDefault="00F62B84" w:rsidP="009F0C23">
            <w:pPr>
              <w:pStyle w:val="TableText"/>
              <w:keepNext/>
              <w:keepLines/>
              <w:spacing w:before="20" w:after="20"/>
              <w:jc w:val="center"/>
              <w:rPr>
                <w:szCs w:val="20"/>
              </w:rPr>
            </w:pPr>
            <w:r w:rsidRPr="00F62B84">
              <w:rPr>
                <w:szCs w:val="20"/>
              </w:rPr>
              <w:t>7.3</w:t>
            </w:r>
          </w:p>
        </w:tc>
        <w:tc>
          <w:tcPr>
            <w:tcW w:w="1166" w:type="dxa"/>
            <w:shd w:val="clear" w:color="auto" w:fill="auto"/>
            <w:vAlign w:val="center"/>
          </w:tcPr>
          <w:p w:rsidR="00F62B84" w:rsidRPr="00F62B84" w:rsidRDefault="00F62B84" w:rsidP="009F0C23">
            <w:pPr>
              <w:pStyle w:val="TableText"/>
              <w:keepNext/>
              <w:keepLines/>
              <w:spacing w:before="20" w:after="20"/>
              <w:jc w:val="center"/>
              <w:rPr>
                <w:szCs w:val="20"/>
              </w:rPr>
            </w:pPr>
            <w:r w:rsidRPr="00F62B84">
              <w:rPr>
                <w:szCs w:val="20"/>
              </w:rPr>
              <w:t>6.0</w:t>
            </w:r>
            <w:r w:rsidRPr="00F62B84">
              <w:rPr>
                <w:szCs w:val="20"/>
              </w:rPr>
              <w:br/>
              <w:t>(2-15)</w:t>
            </w:r>
          </w:p>
        </w:tc>
      </w:tr>
      <w:tr w:rsidR="00F62B84" w:rsidRPr="00F62B84" w:rsidTr="00750BC3">
        <w:trPr>
          <w:cantSplit/>
        </w:trPr>
        <w:tc>
          <w:tcPr>
            <w:tcW w:w="1908" w:type="dxa"/>
            <w:tcBorders>
              <w:bottom w:val="single" w:sz="4" w:space="0" w:color="auto"/>
            </w:tcBorders>
            <w:shd w:val="clear" w:color="auto" w:fill="auto"/>
          </w:tcPr>
          <w:p w:rsidR="00F62B84" w:rsidRPr="00F62B84" w:rsidRDefault="00F62B84" w:rsidP="00750BC3">
            <w:pPr>
              <w:pStyle w:val="TableText"/>
              <w:keepNext/>
              <w:keepLines/>
              <w:spacing w:before="20" w:after="20"/>
              <w:rPr>
                <w:szCs w:val="20"/>
              </w:rPr>
            </w:pPr>
            <w:r>
              <w:rPr>
                <w:szCs w:val="20"/>
              </w:rPr>
              <w:t>Exposure Days to treat surgery</w:t>
            </w:r>
          </w:p>
        </w:tc>
        <w:tc>
          <w:tcPr>
            <w:tcW w:w="720" w:type="dxa"/>
            <w:tcBorders>
              <w:bottom w:val="single" w:sz="4" w:space="0" w:color="auto"/>
            </w:tcBorders>
            <w:shd w:val="clear" w:color="auto" w:fill="auto"/>
            <w:vAlign w:val="center"/>
          </w:tcPr>
          <w:p w:rsidR="00F62B84" w:rsidRPr="00F62B84" w:rsidRDefault="00F62B84" w:rsidP="009F0C23">
            <w:pPr>
              <w:pStyle w:val="TableText"/>
              <w:keepNext/>
              <w:keepLines/>
              <w:spacing w:before="20" w:after="20"/>
              <w:jc w:val="center"/>
              <w:rPr>
                <w:szCs w:val="20"/>
              </w:rPr>
            </w:pPr>
            <w:r>
              <w:rPr>
                <w:szCs w:val="20"/>
              </w:rPr>
              <w:t>3</w:t>
            </w:r>
            <w:r w:rsidR="00F75C17">
              <w:rPr>
                <w:szCs w:val="20"/>
              </w:rPr>
              <w:t>.0</w:t>
            </w:r>
          </w:p>
        </w:tc>
        <w:tc>
          <w:tcPr>
            <w:tcW w:w="1201" w:type="dxa"/>
            <w:tcBorders>
              <w:bottom w:val="single" w:sz="4" w:space="0" w:color="auto"/>
            </w:tcBorders>
            <w:shd w:val="clear" w:color="auto" w:fill="auto"/>
            <w:vAlign w:val="center"/>
          </w:tcPr>
          <w:p w:rsidR="00F62B84" w:rsidRPr="00F62B84" w:rsidRDefault="00F62B84" w:rsidP="009F0C23">
            <w:pPr>
              <w:pStyle w:val="TableText"/>
              <w:keepNext/>
              <w:keepLines/>
              <w:spacing w:before="20" w:after="20"/>
              <w:jc w:val="center"/>
              <w:rPr>
                <w:szCs w:val="20"/>
              </w:rPr>
            </w:pPr>
            <w:r w:rsidRPr="00F62B84">
              <w:rPr>
                <w:szCs w:val="20"/>
              </w:rPr>
              <w:t>3.0</w:t>
            </w:r>
            <w:r w:rsidRPr="00F62B84">
              <w:rPr>
                <w:szCs w:val="20"/>
              </w:rPr>
              <w:br/>
              <w:t>(2-4)</w:t>
            </w:r>
          </w:p>
        </w:tc>
        <w:tc>
          <w:tcPr>
            <w:tcW w:w="689" w:type="dxa"/>
            <w:tcBorders>
              <w:bottom w:val="single" w:sz="4" w:space="0" w:color="auto"/>
            </w:tcBorders>
            <w:shd w:val="clear" w:color="auto" w:fill="auto"/>
            <w:vAlign w:val="center"/>
          </w:tcPr>
          <w:p w:rsidR="00F62B84" w:rsidRPr="00F62B84" w:rsidRDefault="00F75C17" w:rsidP="009F0C23">
            <w:pPr>
              <w:pStyle w:val="TableText"/>
              <w:keepNext/>
              <w:keepLines/>
              <w:spacing w:before="20" w:after="20"/>
              <w:jc w:val="center"/>
              <w:rPr>
                <w:szCs w:val="20"/>
              </w:rPr>
            </w:pPr>
            <w:r>
              <w:rPr>
                <w:szCs w:val="20"/>
              </w:rPr>
              <w:t>8.6</w:t>
            </w:r>
          </w:p>
        </w:tc>
        <w:tc>
          <w:tcPr>
            <w:tcW w:w="1189" w:type="dxa"/>
            <w:tcBorders>
              <w:bottom w:val="single" w:sz="4" w:space="0" w:color="auto"/>
            </w:tcBorders>
            <w:shd w:val="clear" w:color="auto" w:fill="auto"/>
            <w:vAlign w:val="center"/>
          </w:tcPr>
          <w:p w:rsidR="00F62B84" w:rsidRPr="00F62B84" w:rsidRDefault="00F75C17" w:rsidP="009F0C23">
            <w:pPr>
              <w:pStyle w:val="TableText"/>
              <w:keepNext/>
              <w:keepLines/>
              <w:spacing w:before="20" w:after="20"/>
              <w:jc w:val="center"/>
              <w:rPr>
                <w:szCs w:val="20"/>
              </w:rPr>
            </w:pPr>
            <w:r>
              <w:rPr>
                <w:szCs w:val="20"/>
              </w:rPr>
              <w:t>8</w:t>
            </w:r>
            <w:r w:rsidR="00F62B84" w:rsidRPr="00F62B84">
              <w:rPr>
                <w:szCs w:val="20"/>
              </w:rPr>
              <w:t>.0</w:t>
            </w:r>
            <w:r w:rsidR="00F62B84" w:rsidRPr="00F62B84">
              <w:rPr>
                <w:szCs w:val="20"/>
              </w:rPr>
              <w:br/>
              <w:t>(4-15)</w:t>
            </w:r>
          </w:p>
        </w:tc>
        <w:tc>
          <w:tcPr>
            <w:tcW w:w="701" w:type="dxa"/>
            <w:tcBorders>
              <w:bottom w:val="single" w:sz="4" w:space="0" w:color="auto"/>
            </w:tcBorders>
            <w:shd w:val="clear" w:color="auto" w:fill="auto"/>
            <w:vAlign w:val="center"/>
          </w:tcPr>
          <w:p w:rsidR="00F62B84" w:rsidRPr="00F62B84" w:rsidRDefault="00F75C17" w:rsidP="009F0C23">
            <w:pPr>
              <w:pStyle w:val="TableText"/>
              <w:keepNext/>
              <w:keepLines/>
              <w:spacing w:before="20" w:after="20"/>
              <w:jc w:val="center"/>
              <w:rPr>
                <w:szCs w:val="20"/>
              </w:rPr>
            </w:pPr>
            <w:r>
              <w:rPr>
                <w:szCs w:val="20"/>
              </w:rPr>
              <w:t>4</w:t>
            </w:r>
            <w:r w:rsidR="00F62B84" w:rsidRPr="00F62B84">
              <w:rPr>
                <w:szCs w:val="20"/>
              </w:rPr>
              <w:t>.0</w:t>
            </w:r>
          </w:p>
        </w:tc>
        <w:tc>
          <w:tcPr>
            <w:tcW w:w="1177" w:type="dxa"/>
            <w:tcBorders>
              <w:bottom w:val="single" w:sz="4" w:space="0" w:color="auto"/>
            </w:tcBorders>
            <w:shd w:val="clear" w:color="auto" w:fill="auto"/>
            <w:vAlign w:val="center"/>
          </w:tcPr>
          <w:p w:rsidR="00F62B84" w:rsidRPr="00F62B84" w:rsidRDefault="00ED4F0F" w:rsidP="009F0C23">
            <w:pPr>
              <w:pStyle w:val="TableText"/>
              <w:keepNext/>
              <w:keepLines/>
              <w:spacing w:before="20" w:after="20"/>
              <w:jc w:val="center"/>
              <w:rPr>
                <w:szCs w:val="20"/>
              </w:rPr>
            </w:pPr>
            <w:r>
              <w:rPr>
                <w:szCs w:val="20"/>
              </w:rPr>
              <w:t>4.0</w:t>
            </w:r>
            <w:r w:rsidR="00F75C17">
              <w:rPr>
                <w:szCs w:val="20"/>
              </w:rPr>
              <w:br/>
              <w:t>(4-4</w:t>
            </w:r>
            <w:r w:rsidR="00F62B84" w:rsidRPr="00F62B84">
              <w:rPr>
                <w:szCs w:val="20"/>
              </w:rPr>
              <w:t>)</w:t>
            </w:r>
          </w:p>
        </w:tc>
        <w:tc>
          <w:tcPr>
            <w:tcW w:w="713" w:type="dxa"/>
            <w:tcBorders>
              <w:bottom w:val="single" w:sz="4" w:space="0" w:color="auto"/>
            </w:tcBorders>
            <w:shd w:val="clear" w:color="auto" w:fill="auto"/>
            <w:vAlign w:val="center"/>
          </w:tcPr>
          <w:p w:rsidR="00F62B84" w:rsidRPr="00F62B84" w:rsidRDefault="00F75C17" w:rsidP="009F0C23">
            <w:pPr>
              <w:pStyle w:val="TableText"/>
              <w:keepNext/>
              <w:keepLines/>
              <w:spacing w:before="20" w:after="20"/>
              <w:jc w:val="center"/>
              <w:rPr>
                <w:szCs w:val="20"/>
              </w:rPr>
            </w:pPr>
            <w:r>
              <w:rPr>
                <w:szCs w:val="20"/>
              </w:rPr>
              <w:t>6.8</w:t>
            </w:r>
          </w:p>
        </w:tc>
        <w:tc>
          <w:tcPr>
            <w:tcW w:w="1166" w:type="dxa"/>
            <w:tcBorders>
              <w:bottom w:val="single" w:sz="4" w:space="0" w:color="auto"/>
            </w:tcBorders>
            <w:shd w:val="clear" w:color="auto" w:fill="auto"/>
            <w:vAlign w:val="center"/>
          </w:tcPr>
          <w:p w:rsidR="00F62B84" w:rsidRPr="00F62B84" w:rsidRDefault="00F62B84" w:rsidP="009F0C23">
            <w:pPr>
              <w:pStyle w:val="TableText"/>
              <w:keepNext/>
              <w:keepLines/>
              <w:spacing w:before="20" w:after="20"/>
              <w:jc w:val="center"/>
              <w:rPr>
                <w:szCs w:val="20"/>
              </w:rPr>
            </w:pPr>
            <w:r w:rsidRPr="00F62B84">
              <w:rPr>
                <w:szCs w:val="20"/>
              </w:rPr>
              <w:t>6.0</w:t>
            </w:r>
            <w:r w:rsidRPr="00F62B84">
              <w:rPr>
                <w:szCs w:val="20"/>
              </w:rPr>
              <w:br/>
              <w:t>(2-15)</w:t>
            </w:r>
          </w:p>
        </w:tc>
      </w:tr>
      <w:tr w:rsidR="00F62B84" w:rsidRPr="00F62B84" w:rsidTr="00750BC3">
        <w:trPr>
          <w:cantSplit/>
        </w:trPr>
        <w:tc>
          <w:tcPr>
            <w:tcW w:w="1908" w:type="dxa"/>
            <w:tcBorders>
              <w:top w:val="single" w:sz="4" w:space="0" w:color="auto"/>
              <w:left w:val="single" w:sz="4" w:space="0" w:color="auto"/>
              <w:bottom w:val="single" w:sz="4" w:space="0" w:color="auto"/>
              <w:right w:val="single" w:sz="4" w:space="0" w:color="auto"/>
            </w:tcBorders>
            <w:shd w:val="clear" w:color="auto" w:fill="auto"/>
          </w:tcPr>
          <w:p w:rsidR="00F62B84" w:rsidRPr="00F62B84" w:rsidRDefault="00F62B84" w:rsidP="00750BC3">
            <w:pPr>
              <w:pStyle w:val="TableText"/>
              <w:keepLines/>
              <w:spacing w:before="20" w:after="20"/>
              <w:rPr>
                <w:szCs w:val="20"/>
              </w:rPr>
            </w:pPr>
            <w:r>
              <w:rPr>
                <w:szCs w:val="20"/>
              </w:rPr>
              <w:t>Pre-operative dose 12-24 h before surgery</w:t>
            </w:r>
            <w:r>
              <w:rPr>
                <w:szCs w:val="20"/>
              </w:rPr>
              <w:br/>
              <w:t>[IU/kg]</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62B84" w:rsidRPr="00F62B84" w:rsidRDefault="00F75C17" w:rsidP="009F0C23">
            <w:pPr>
              <w:pStyle w:val="TableText"/>
              <w:keepLines/>
              <w:spacing w:before="20" w:after="20"/>
              <w:jc w:val="center"/>
              <w:rPr>
                <w:szCs w:val="20"/>
              </w:rPr>
            </w:pPr>
            <w:r>
              <w:rPr>
                <w:szCs w:val="20"/>
              </w:rPr>
              <w:t>57.3</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F62B84" w:rsidRPr="00F62B84" w:rsidRDefault="00F75C17" w:rsidP="009F0C23">
            <w:pPr>
              <w:pStyle w:val="TableText"/>
              <w:keepLines/>
              <w:spacing w:before="20" w:after="20"/>
              <w:jc w:val="center"/>
              <w:rPr>
                <w:szCs w:val="20"/>
              </w:rPr>
            </w:pPr>
            <w:r>
              <w:rPr>
                <w:szCs w:val="20"/>
              </w:rPr>
              <w:t>57.2</w:t>
            </w:r>
            <w:r w:rsidR="00F62B84" w:rsidRPr="00F62B84">
              <w:rPr>
                <w:szCs w:val="20"/>
              </w:rPr>
              <w:br/>
              <w:t>(</w:t>
            </w:r>
            <w:r>
              <w:rPr>
                <w:szCs w:val="20"/>
              </w:rPr>
              <w:t>55.0-59.9</w:t>
            </w:r>
            <w:r w:rsidR="00F62B84" w:rsidRPr="00F62B84">
              <w:rPr>
                <w:szCs w:val="20"/>
              </w:rPr>
              <w:t>)</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F62B84" w:rsidRPr="00F62B84" w:rsidRDefault="00F75C17" w:rsidP="009F0C23">
            <w:pPr>
              <w:pStyle w:val="TableText"/>
              <w:keepLines/>
              <w:spacing w:before="20" w:after="20"/>
              <w:jc w:val="center"/>
              <w:rPr>
                <w:szCs w:val="20"/>
              </w:rPr>
            </w:pPr>
            <w:r>
              <w:rPr>
                <w:szCs w:val="20"/>
              </w:rPr>
              <w:t>49.8</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rsidR="00F62B84" w:rsidRPr="00F62B84" w:rsidRDefault="00F75C17" w:rsidP="009F0C23">
            <w:pPr>
              <w:pStyle w:val="TableText"/>
              <w:keepLines/>
              <w:spacing w:before="20" w:after="20"/>
              <w:jc w:val="center"/>
              <w:rPr>
                <w:szCs w:val="20"/>
              </w:rPr>
            </w:pPr>
            <w:r>
              <w:rPr>
                <w:szCs w:val="20"/>
              </w:rPr>
              <w:t>49.3</w:t>
            </w:r>
            <w:r>
              <w:rPr>
                <w:szCs w:val="20"/>
              </w:rPr>
              <w:br/>
            </w:r>
            <w:r w:rsidR="00F62B84" w:rsidRPr="00F62B84">
              <w:rPr>
                <w:szCs w:val="20"/>
              </w:rPr>
              <w:t>(</w:t>
            </w:r>
            <w:r>
              <w:rPr>
                <w:szCs w:val="20"/>
              </w:rPr>
              <w:t>37.4</w:t>
            </w:r>
            <w:r w:rsidR="00F62B84" w:rsidRPr="00F62B84">
              <w:rPr>
                <w:szCs w:val="20"/>
              </w:rPr>
              <w:t>-</w:t>
            </w:r>
            <w:r>
              <w:rPr>
                <w:szCs w:val="20"/>
              </w:rPr>
              <w:t>57.6</w:t>
            </w:r>
            <w:r w:rsidR="00F62B84" w:rsidRPr="00F62B84">
              <w:rPr>
                <w:szCs w:val="20"/>
              </w:rPr>
              <w:t>)</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F62B84" w:rsidRPr="00F62B84" w:rsidRDefault="00F75C17" w:rsidP="009F0C23">
            <w:pPr>
              <w:pStyle w:val="TableText"/>
              <w:keepLines/>
              <w:spacing w:before="20" w:after="20"/>
              <w:jc w:val="center"/>
              <w:rPr>
                <w:szCs w:val="20"/>
              </w:rPr>
            </w:pPr>
            <w:r>
              <w:rPr>
                <w:szCs w:val="20"/>
              </w:rPr>
              <w:t>36</w:t>
            </w:r>
            <w:r w:rsidR="00F62B84" w:rsidRPr="00F62B84">
              <w:rPr>
                <w:szCs w:val="20"/>
              </w:rPr>
              <w:t>.</w:t>
            </w:r>
            <w:r>
              <w:rPr>
                <w:szCs w:val="20"/>
              </w:rPr>
              <w:t>1</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2B84" w:rsidRPr="00F62B84" w:rsidRDefault="00ED4F0F" w:rsidP="009F0C23">
            <w:pPr>
              <w:pStyle w:val="TableText"/>
              <w:keepLines/>
              <w:spacing w:before="20" w:after="20"/>
              <w:jc w:val="center"/>
              <w:rPr>
                <w:szCs w:val="20"/>
              </w:rPr>
            </w:pPr>
            <w:r>
              <w:rPr>
                <w:szCs w:val="20"/>
              </w:rPr>
              <w:t>36.1</w:t>
            </w:r>
            <w:r w:rsidR="00F75C17">
              <w:rPr>
                <w:szCs w:val="20"/>
              </w:rPr>
              <w:br/>
              <w:t>(36.1-36.1</w:t>
            </w:r>
            <w:r w:rsidR="00F62B84" w:rsidRPr="00F62B84">
              <w:rPr>
                <w:szCs w:val="20"/>
              </w:rPr>
              <w:t>)</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F62B84" w:rsidRPr="00F62B84" w:rsidRDefault="00F75C17" w:rsidP="009F0C23">
            <w:pPr>
              <w:pStyle w:val="TableText"/>
              <w:keepLines/>
              <w:spacing w:before="20" w:after="20"/>
              <w:jc w:val="center"/>
              <w:rPr>
                <w:szCs w:val="20"/>
              </w:rPr>
            </w:pPr>
            <w:r>
              <w:rPr>
                <w:szCs w:val="20"/>
              </w:rPr>
              <w:t>50.9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62B84" w:rsidRPr="00F62B84" w:rsidRDefault="00F75C17" w:rsidP="009F0C23">
            <w:pPr>
              <w:pStyle w:val="TableText"/>
              <w:keepLines/>
              <w:spacing w:before="20" w:after="20"/>
              <w:jc w:val="center"/>
              <w:rPr>
                <w:szCs w:val="20"/>
              </w:rPr>
            </w:pPr>
            <w:r>
              <w:rPr>
                <w:szCs w:val="20"/>
              </w:rPr>
              <w:t>55.0</w:t>
            </w:r>
            <w:r>
              <w:rPr>
                <w:szCs w:val="20"/>
              </w:rPr>
              <w:br/>
              <w:t>(36.1-59.9)</w:t>
            </w:r>
          </w:p>
        </w:tc>
      </w:tr>
      <w:tr w:rsidR="00F62B84" w:rsidRPr="00F62B84" w:rsidTr="00750BC3">
        <w:trPr>
          <w:cantSplit/>
        </w:trPr>
        <w:tc>
          <w:tcPr>
            <w:tcW w:w="1908" w:type="dxa"/>
            <w:tcBorders>
              <w:top w:val="single" w:sz="4" w:space="0" w:color="auto"/>
              <w:left w:val="single" w:sz="4" w:space="0" w:color="auto"/>
              <w:bottom w:val="single" w:sz="4" w:space="0" w:color="auto"/>
              <w:right w:val="single" w:sz="4" w:space="0" w:color="auto"/>
            </w:tcBorders>
            <w:shd w:val="clear" w:color="auto" w:fill="auto"/>
          </w:tcPr>
          <w:p w:rsidR="00F62B84" w:rsidRPr="00F62B84" w:rsidRDefault="00F62B84" w:rsidP="00750BC3">
            <w:pPr>
              <w:pStyle w:val="TableText"/>
              <w:keepLines/>
              <w:spacing w:before="20" w:after="20"/>
              <w:rPr>
                <w:szCs w:val="20"/>
              </w:rPr>
            </w:pPr>
            <w:r>
              <w:rPr>
                <w:szCs w:val="20"/>
              </w:rPr>
              <w:t>P</w:t>
            </w:r>
            <w:r w:rsidR="00F75C17">
              <w:rPr>
                <w:szCs w:val="20"/>
              </w:rPr>
              <w:t>re-operative dose 1</w:t>
            </w:r>
            <w:r w:rsidR="0088783B">
              <w:rPr>
                <w:szCs w:val="20"/>
              </w:rPr>
              <w:t> </w:t>
            </w:r>
            <w:r>
              <w:rPr>
                <w:szCs w:val="20"/>
              </w:rPr>
              <w:t>h before surgery</w:t>
            </w:r>
            <w:r>
              <w:rPr>
                <w:szCs w:val="20"/>
              </w:rPr>
              <w:br/>
              <w:t>[IU/kg]</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62B84" w:rsidRPr="00F62B84" w:rsidRDefault="00F75C17" w:rsidP="009F0C23">
            <w:pPr>
              <w:pStyle w:val="TableText"/>
              <w:keepLines/>
              <w:spacing w:before="20" w:after="20"/>
              <w:jc w:val="center"/>
              <w:rPr>
                <w:szCs w:val="20"/>
              </w:rPr>
            </w:pPr>
            <w:r>
              <w:rPr>
                <w:szCs w:val="20"/>
              </w:rPr>
              <w:t>33.</w:t>
            </w:r>
            <w:r w:rsidR="0088783B">
              <w:rPr>
                <w:szCs w:val="20"/>
              </w:rPr>
              <w:t>2</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F62B84" w:rsidRPr="00F62B84" w:rsidRDefault="00F62B84" w:rsidP="009F0C23">
            <w:pPr>
              <w:pStyle w:val="TableText"/>
              <w:keepLines/>
              <w:spacing w:before="20" w:after="20"/>
              <w:jc w:val="center"/>
              <w:rPr>
                <w:szCs w:val="20"/>
              </w:rPr>
            </w:pPr>
            <w:r w:rsidRPr="00F62B84">
              <w:rPr>
                <w:szCs w:val="20"/>
              </w:rPr>
              <w:t>3</w:t>
            </w:r>
            <w:r w:rsidR="00F75C17">
              <w:rPr>
                <w:szCs w:val="20"/>
              </w:rPr>
              <w:t>9.3</w:t>
            </w:r>
            <w:r w:rsidR="00F75C17">
              <w:rPr>
                <w:szCs w:val="20"/>
              </w:rPr>
              <w:br/>
              <w:t>(8.0-46.4</w:t>
            </w:r>
            <w:r w:rsidRPr="00F62B84">
              <w:rPr>
                <w:szCs w:val="20"/>
              </w:rPr>
              <w:t>)</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F62B84" w:rsidRPr="00F62B84" w:rsidRDefault="00F75C17" w:rsidP="009F0C23">
            <w:pPr>
              <w:pStyle w:val="TableText"/>
              <w:keepLines/>
              <w:spacing w:before="20" w:after="20"/>
              <w:jc w:val="center"/>
              <w:rPr>
                <w:szCs w:val="20"/>
              </w:rPr>
            </w:pPr>
            <w:r>
              <w:rPr>
                <w:szCs w:val="20"/>
              </w:rPr>
              <w:t>42.8</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rsidR="00F62B84" w:rsidRPr="00F62B84" w:rsidRDefault="00F75C17" w:rsidP="009F0C23">
            <w:pPr>
              <w:pStyle w:val="TableText"/>
              <w:keepLines/>
              <w:spacing w:before="20" w:after="20"/>
              <w:jc w:val="center"/>
              <w:rPr>
                <w:szCs w:val="20"/>
              </w:rPr>
            </w:pPr>
            <w:r>
              <w:rPr>
                <w:szCs w:val="20"/>
              </w:rPr>
              <w:t>37.6</w:t>
            </w:r>
            <w:r>
              <w:rPr>
                <w:szCs w:val="20"/>
              </w:rPr>
              <w:br/>
              <w:t>(15.7-82.7</w:t>
            </w:r>
            <w:r w:rsidR="00F62B84" w:rsidRPr="00F62B84">
              <w:rPr>
                <w:szCs w:val="20"/>
              </w:rPr>
              <w:t>)</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F62B84" w:rsidRPr="00F62B84" w:rsidRDefault="00F75C17" w:rsidP="009F0C23">
            <w:pPr>
              <w:pStyle w:val="TableText"/>
              <w:keepLines/>
              <w:spacing w:before="20" w:after="20"/>
              <w:jc w:val="center"/>
              <w:rPr>
                <w:szCs w:val="20"/>
              </w:rPr>
            </w:pPr>
            <w:r>
              <w:rPr>
                <w:szCs w:val="20"/>
              </w:rPr>
              <w:t>18.1</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2B84" w:rsidRPr="00F62B84" w:rsidRDefault="00ED4F0F" w:rsidP="009F0C23">
            <w:pPr>
              <w:pStyle w:val="TableText"/>
              <w:keepLines/>
              <w:spacing w:before="20" w:after="20"/>
              <w:jc w:val="center"/>
              <w:rPr>
                <w:szCs w:val="20"/>
              </w:rPr>
            </w:pPr>
            <w:r>
              <w:rPr>
                <w:szCs w:val="20"/>
              </w:rPr>
              <w:t>18.1</w:t>
            </w:r>
            <w:r w:rsidR="00F62B84" w:rsidRPr="00F62B84">
              <w:rPr>
                <w:szCs w:val="20"/>
              </w:rPr>
              <w:br/>
            </w:r>
            <w:r w:rsidR="00F75C17">
              <w:rPr>
                <w:szCs w:val="20"/>
              </w:rPr>
              <w:t>(18.1-18.1)</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F62B84" w:rsidRPr="00F62B84" w:rsidRDefault="00F75C17" w:rsidP="009F0C23">
            <w:pPr>
              <w:pStyle w:val="TableText"/>
              <w:keepLines/>
              <w:spacing w:before="20" w:after="20"/>
              <w:jc w:val="center"/>
              <w:rPr>
                <w:szCs w:val="20"/>
              </w:rPr>
            </w:pPr>
            <w:r>
              <w:rPr>
                <w:szCs w:val="20"/>
              </w:rPr>
              <w:t>38.6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62B84" w:rsidRPr="00F62B84" w:rsidRDefault="00F75C17" w:rsidP="009F0C23">
            <w:pPr>
              <w:pStyle w:val="TableText"/>
              <w:keepLines/>
              <w:spacing w:before="20" w:after="20"/>
              <w:jc w:val="center"/>
              <w:rPr>
                <w:szCs w:val="20"/>
              </w:rPr>
            </w:pPr>
            <w:r>
              <w:rPr>
                <w:szCs w:val="20"/>
              </w:rPr>
              <w:t>35.8</w:t>
            </w:r>
            <w:r>
              <w:rPr>
                <w:szCs w:val="20"/>
              </w:rPr>
              <w:br/>
              <w:t>(8.0-82.7)</w:t>
            </w:r>
          </w:p>
        </w:tc>
      </w:tr>
      <w:tr w:rsidR="00F62B84" w:rsidRPr="00F62B84" w:rsidTr="00750BC3">
        <w:trPr>
          <w:cantSplit/>
          <w:trHeight w:val="359"/>
        </w:trPr>
        <w:tc>
          <w:tcPr>
            <w:tcW w:w="1908" w:type="dxa"/>
            <w:tcBorders>
              <w:top w:val="single" w:sz="4" w:space="0" w:color="auto"/>
              <w:left w:val="single" w:sz="4" w:space="0" w:color="auto"/>
              <w:bottom w:val="single" w:sz="4" w:space="0" w:color="auto"/>
              <w:right w:val="single" w:sz="4" w:space="0" w:color="auto"/>
            </w:tcBorders>
            <w:shd w:val="clear" w:color="auto" w:fill="auto"/>
          </w:tcPr>
          <w:p w:rsidR="00F62B84" w:rsidRPr="00F62B84" w:rsidRDefault="00F75C17" w:rsidP="00750BC3">
            <w:pPr>
              <w:pStyle w:val="TableText"/>
              <w:keepLines/>
              <w:spacing w:before="20" w:after="20"/>
              <w:rPr>
                <w:szCs w:val="20"/>
              </w:rPr>
            </w:pPr>
            <w:r>
              <w:rPr>
                <w:szCs w:val="20"/>
              </w:rPr>
              <w:t>Intra</w:t>
            </w:r>
            <w:r w:rsidR="00F62B84">
              <w:rPr>
                <w:szCs w:val="20"/>
              </w:rPr>
              <w:t xml:space="preserve">-operative dose </w:t>
            </w:r>
            <w:r w:rsidR="00F62B84">
              <w:rPr>
                <w:szCs w:val="20"/>
              </w:rPr>
              <w:br/>
              <w:t>[IU/kg]</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62B84" w:rsidRPr="00F62B84" w:rsidRDefault="00F75C17" w:rsidP="009F0C23">
            <w:pPr>
              <w:pStyle w:val="TableText"/>
              <w:keepLines/>
              <w:spacing w:before="20" w:after="20"/>
              <w:jc w:val="center"/>
              <w:rPr>
                <w:szCs w:val="20"/>
              </w:rPr>
            </w:pPr>
            <w:r>
              <w:rPr>
                <w:szCs w:val="20"/>
              </w:rPr>
              <w:t>NA</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F62B84" w:rsidRPr="00F62B84" w:rsidRDefault="00F75C17" w:rsidP="009F0C23">
            <w:pPr>
              <w:pStyle w:val="TableText"/>
              <w:keepLines/>
              <w:spacing w:before="20" w:after="20"/>
              <w:jc w:val="center"/>
              <w:rPr>
                <w:szCs w:val="20"/>
              </w:rPr>
            </w:pPr>
            <w:r>
              <w:rPr>
                <w:szCs w:val="20"/>
              </w:rPr>
              <w:t>NA</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F62B84" w:rsidRPr="00F62B84" w:rsidRDefault="00F75C17" w:rsidP="009F0C23">
            <w:pPr>
              <w:pStyle w:val="TableText"/>
              <w:keepLines/>
              <w:spacing w:before="20" w:after="20"/>
              <w:jc w:val="center"/>
              <w:rPr>
                <w:szCs w:val="20"/>
              </w:rPr>
            </w:pPr>
            <w:r>
              <w:rPr>
                <w:szCs w:val="20"/>
              </w:rPr>
              <w:t>NA</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rsidR="00F62B84" w:rsidRPr="00F62B84" w:rsidRDefault="00F75C17" w:rsidP="009F0C23">
            <w:pPr>
              <w:pStyle w:val="TableText"/>
              <w:keepLines/>
              <w:spacing w:before="20" w:after="20"/>
              <w:jc w:val="center"/>
              <w:rPr>
                <w:szCs w:val="20"/>
              </w:rPr>
            </w:pPr>
            <w:r>
              <w:rPr>
                <w:szCs w:val="20"/>
              </w:rPr>
              <w:t>NA</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F62B84" w:rsidRPr="00F62B84" w:rsidRDefault="00F75C17" w:rsidP="009F0C23">
            <w:pPr>
              <w:pStyle w:val="TableText"/>
              <w:keepLines/>
              <w:spacing w:before="20" w:after="20"/>
              <w:jc w:val="center"/>
              <w:rPr>
                <w:szCs w:val="20"/>
              </w:rPr>
            </w:pPr>
            <w:r>
              <w:rPr>
                <w:szCs w:val="20"/>
              </w:rPr>
              <w:t>18.1</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2B84" w:rsidRPr="00F62B84" w:rsidRDefault="00ED4F0F" w:rsidP="009F0C23">
            <w:pPr>
              <w:pStyle w:val="TableText"/>
              <w:keepLines/>
              <w:spacing w:before="20" w:after="20"/>
              <w:jc w:val="center"/>
              <w:rPr>
                <w:szCs w:val="20"/>
              </w:rPr>
            </w:pPr>
            <w:r>
              <w:rPr>
                <w:szCs w:val="20"/>
              </w:rPr>
              <w:t>18.1</w:t>
            </w:r>
            <w:r w:rsidR="00F75C17" w:rsidRPr="00F62B84">
              <w:rPr>
                <w:szCs w:val="20"/>
              </w:rPr>
              <w:br/>
            </w:r>
            <w:r w:rsidR="00F75C17">
              <w:rPr>
                <w:szCs w:val="20"/>
              </w:rPr>
              <w:t>(18.1-18.1)</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F62B84" w:rsidRPr="00F62B84" w:rsidRDefault="00F75C17" w:rsidP="009F0C23">
            <w:pPr>
              <w:pStyle w:val="TableText"/>
              <w:keepLines/>
              <w:spacing w:before="20" w:after="20"/>
              <w:jc w:val="center"/>
              <w:rPr>
                <w:szCs w:val="20"/>
              </w:rPr>
            </w:pPr>
            <w:r>
              <w:rPr>
                <w:szCs w:val="20"/>
              </w:rPr>
              <w:t>18.1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62B84" w:rsidRPr="00F62B84" w:rsidRDefault="00ED4F0F" w:rsidP="009F0C23">
            <w:pPr>
              <w:pStyle w:val="TableText"/>
              <w:keepLines/>
              <w:spacing w:before="20" w:after="20"/>
              <w:jc w:val="center"/>
              <w:rPr>
                <w:szCs w:val="20"/>
              </w:rPr>
            </w:pPr>
            <w:r>
              <w:rPr>
                <w:szCs w:val="20"/>
              </w:rPr>
              <w:t>18.1</w:t>
            </w:r>
            <w:r w:rsidR="0088783B">
              <w:rPr>
                <w:szCs w:val="20"/>
              </w:rPr>
              <w:br/>
            </w:r>
            <w:r w:rsidR="00F75C17">
              <w:rPr>
                <w:szCs w:val="20"/>
              </w:rPr>
              <w:t>(18.1-18.1</w:t>
            </w:r>
            <w:r w:rsidR="00F62B84" w:rsidRPr="00F62B84">
              <w:rPr>
                <w:szCs w:val="20"/>
              </w:rPr>
              <w:t>)</w:t>
            </w:r>
          </w:p>
        </w:tc>
      </w:tr>
      <w:tr w:rsidR="0088783B" w:rsidRPr="00F62B84" w:rsidTr="00750BC3">
        <w:trPr>
          <w:cantSplit/>
        </w:trPr>
        <w:tc>
          <w:tcPr>
            <w:tcW w:w="1908" w:type="dxa"/>
            <w:tcBorders>
              <w:top w:val="single" w:sz="4" w:space="0" w:color="auto"/>
              <w:left w:val="single" w:sz="4" w:space="0" w:color="auto"/>
              <w:bottom w:val="single" w:sz="4" w:space="0" w:color="auto"/>
              <w:right w:val="single" w:sz="4" w:space="0" w:color="auto"/>
            </w:tcBorders>
            <w:shd w:val="clear" w:color="auto" w:fill="auto"/>
          </w:tcPr>
          <w:p w:rsidR="0088783B" w:rsidRPr="00F62B84" w:rsidRDefault="0088783B" w:rsidP="00750BC3">
            <w:pPr>
              <w:pStyle w:val="TableText"/>
              <w:keepLines/>
              <w:spacing w:before="20" w:after="20"/>
              <w:rPr>
                <w:szCs w:val="20"/>
              </w:rPr>
            </w:pPr>
            <w:r>
              <w:rPr>
                <w:szCs w:val="20"/>
              </w:rPr>
              <w:lastRenderedPageBreak/>
              <w:t>Total Post</w:t>
            </w:r>
            <w:r>
              <w:rPr>
                <w:szCs w:val="20"/>
              </w:rPr>
              <w:noBreakHyphen/>
              <w:t>operative dose (Days 0-14)</w:t>
            </w:r>
            <w:r>
              <w:rPr>
                <w:szCs w:val="20"/>
              </w:rPr>
              <w:br/>
              <w:t>[IU/kg]</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88783B" w:rsidRPr="00F62B84" w:rsidRDefault="0088783B" w:rsidP="009F0C23">
            <w:pPr>
              <w:pStyle w:val="TableText"/>
              <w:keepLines/>
              <w:spacing w:before="20" w:after="20"/>
              <w:jc w:val="center"/>
              <w:rPr>
                <w:szCs w:val="20"/>
              </w:rPr>
            </w:pPr>
            <w:r>
              <w:rPr>
                <w:szCs w:val="20"/>
              </w:rPr>
              <w:t>79.3</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88783B" w:rsidRPr="00F62B84" w:rsidRDefault="0088783B" w:rsidP="00750BC3">
            <w:pPr>
              <w:pStyle w:val="TableText"/>
              <w:keepLines/>
              <w:spacing w:before="20" w:after="20"/>
              <w:ind w:left="-104" w:right="-75" w:firstLine="104"/>
              <w:jc w:val="center"/>
              <w:rPr>
                <w:szCs w:val="20"/>
              </w:rPr>
            </w:pPr>
            <w:r>
              <w:rPr>
                <w:szCs w:val="20"/>
              </w:rPr>
              <w:t>79.3</w:t>
            </w:r>
            <w:r w:rsidRPr="00F62B84">
              <w:rPr>
                <w:szCs w:val="20"/>
              </w:rPr>
              <w:br/>
            </w:r>
            <w:r>
              <w:rPr>
                <w:szCs w:val="20"/>
              </w:rPr>
              <w:t>(42.8-115.9)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8783B" w:rsidRPr="00F62B84" w:rsidRDefault="00ED4F0F" w:rsidP="009F0C23">
            <w:pPr>
              <w:pStyle w:val="TableText"/>
              <w:keepLines/>
              <w:spacing w:before="20" w:after="20"/>
              <w:jc w:val="center"/>
              <w:rPr>
                <w:szCs w:val="20"/>
              </w:rPr>
            </w:pPr>
            <w:r>
              <w:rPr>
                <w:szCs w:val="20"/>
              </w:rPr>
              <w:t>225.7</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rsidR="0088783B" w:rsidRPr="00F62B84" w:rsidRDefault="00ED4F0F" w:rsidP="00750BC3">
            <w:pPr>
              <w:pStyle w:val="TableText"/>
              <w:keepLines/>
              <w:spacing w:before="20" w:after="20"/>
              <w:ind w:left="-104" w:right="-90"/>
              <w:jc w:val="center"/>
              <w:rPr>
                <w:szCs w:val="20"/>
              </w:rPr>
            </w:pPr>
            <w:r>
              <w:rPr>
                <w:szCs w:val="20"/>
              </w:rPr>
              <w:t>233.9</w:t>
            </w:r>
            <w:r w:rsidR="0088783B">
              <w:rPr>
                <w:szCs w:val="20"/>
              </w:rPr>
              <w:br/>
              <w:t>(47.7-</w:t>
            </w:r>
            <w:r w:rsidR="0088783B" w:rsidRPr="00F62B84">
              <w:rPr>
                <w:szCs w:val="20"/>
              </w:rPr>
              <w:t>5</w:t>
            </w:r>
            <w:r w:rsidR="0088783B">
              <w:rPr>
                <w:szCs w:val="20"/>
              </w:rPr>
              <w:t>33.3</w:t>
            </w:r>
            <w:r w:rsidR="0088783B" w:rsidRPr="00F62B84">
              <w:rPr>
                <w:szCs w:val="20"/>
              </w:rPr>
              <w:t>)</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88783B" w:rsidRPr="00F62B84" w:rsidRDefault="0088783B" w:rsidP="009F0C23">
            <w:pPr>
              <w:pStyle w:val="TableText"/>
              <w:keepLines/>
              <w:spacing w:before="20" w:after="20"/>
              <w:jc w:val="center"/>
              <w:rPr>
                <w:szCs w:val="20"/>
              </w:rPr>
            </w:pPr>
            <w:r>
              <w:rPr>
                <w:szCs w:val="20"/>
              </w:rPr>
              <w:t>36.1</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88783B" w:rsidRPr="00F62B84" w:rsidRDefault="00ED4F0F" w:rsidP="009F0C23">
            <w:pPr>
              <w:pStyle w:val="TableText"/>
              <w:keepLines/>
              <w:spacing w:before="20" w:after="20"/>
              <w:jc w:val="center"/>
              <w:rPr>
                <w:szCs w:val="20"/>
              </w:rPr>
            </w:pPr>
            <w:r>
              <w:rPr>
                <w:szCs w:val="20"/>
              </w:rPr>
              <w:t>36.1</w:t>
            </w:r>
            <w:r w:rsidR="0088783B" w:rsidRPr="00F62B84">
              <w:rPr>
                <w:szCs w:val="20"/>
              </w:rPr>
              <w:br/>
            </w:r>
            <w:r w:rsidR="0088783B">
              <w:rPr>
                <w:szCs w:val="20"/>
              </w:rPr>
              <w:t>(36.1-36.1)</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88783B" w:rsidRPr="00F62B84" w:rsidRDefault="00ED4F0F" w:rsidP="009F0C23">
            <w:pPr>
              <w:pStyle w:val="TableText"/>
              <w:keepLines/>
              <w:spacing w:before="20" w:after="20"/>
              <w:jc w:val="center"/>
              <w:rPr>
                <w:szCs w:val="20"/>
              </w:rPr>
            </w:pPr>
            <w:r>
              <w:rPr>
                <w:szCs w:val="20"/>
              </w:rPr>
              <w:t>188.6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88783B" w:rsidRPr="00F62B84" w:rsidRDefault="00ED4F0F" w:rsidP="00750BC3">
            <w:pPr>
              <w:pStyle w:val="TableText"/>
              <w:keepLines/>
              <w:spacing w:before="20" w:after="20"/>
              <w:ind w:left="-104" w:right="-104"/>
              <w:jc w:val="center"/>
              <w:rPr>
                <w:szCs w:val="20"/>
              </w:rPr>
            </w:pPr>
            <w:r>
              <w:rPr>
                <w:szCs w:val="20"/>
              </w:rPr>
              <w:t>197.9</w:t>
            </w:r>
            <w:r w:rsidR="0088783B">
              <w:rPr>
                <w:szCs w:val="20"/>
              </w:rPr>
              <w:br/>
            </w:r>
            <w:r w:rsidR="0088783B" w:rsidRPr="00F62B84">
              <w:rPr>
                <w:szCs w:val="20"/>
              </w:rPr>
              <w:t>(</w:t>
            </w:r>
            <w:r w:rsidR="0088783B">
              <w:rPr>
                <w:szCs w:val="20"/>
              </w:rPr>
              <w:t>36.1-533.3)</w:t>
            </w:r>
          </w:p>
        </w:tc>
      </w:tr>
      <w:tr w:rsidR="00F75C17" w:rsidRPr="00F62B84" w:rsidTr="009F0C23">
        <w:trPr>
          <w:cantSplit/>
        </w:trPr>
        <w:tc>
          <w:tcPr>
            <w:tcW w:w="946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75C17" w:rsidRPr="001C2F62" w:rsidRDefault="00F75C17" w:rsidP="009F0C23">
            <w:pPr>
              <w:pStyle w:val="TableFootnote"/>
              <w:keepLines/>
              <w:tabs>
                <w:tab w:val="clear" w:pos="216"/>
                <w:tab w:val="left" w:pos="57"/>
              </w:tabs>
              <w:spacing w:before="60" w:after="60"/>
              <w:ind w:left="113" w:hanging="113"/>
            </w:pPr>
            <w:r w:rsidRPr="00F75C17">
              <w:rPr>
                <w:vertAlign w:val="superscript"/>
              </w:rPr>
              <w:t>a</w:t>
            </w:r>
            <w:r w:rsidRPr="00F75C17">
              <w:t xml:space="preserve"> Infusions to treat surgery refers to the total of the 12-24 hour pre-operative infusions, 1 hour pre-operative initial</w:t>
            </w:r>
            <w:r w:rsidR="001C2F62">
              <w:t xml:space="preserve"> </w:t>
            </w:r>
            <w:r w:rsidRPr="00F75C17">
              <w:t>doses, intra-operative doses and post-operative doses.</w:t>
            </w:r>
            <w:r w:rsidR="00ED4F0F">
              <w:br/>
              <w:t>Infusions to treat the bleed / maintain haemostasis are taken into account as postoperative infusions.</w:t>
            </w:r>
          </w:p>
        </w:tc>
      </w:tr>
    </w:tbl>
    <w:p w:rsidR="00F62B84" w:rsidRDefault="0088783B" w:rsidP="002F70CF">
      <w:pPr>
        <w:pStyle w:val="BodytextAgency"/>
        <w:spacing w:before="120" w:after="120" w:line="240" w:lineRule="auto"/>
        <w:ind w:right="-57"/>
        <w:rPr>
          <w:rFonts w:ascii="Times New Roman" w:hAnsi="Times New Roman" w:cs="Times New Roman"/>
          <w:noProof/>
          <w:sz w:val="24"/>
          <w:szCs w:val="24"/>
        </w:rPr>
      </w:pPr>
      <w:r w:rsidRPr="0088783B">
        <w:rPr>
          <w:rFonts w:ascii="Times New Roman" w:hAnsi="Times New Roman" w:cs="Times New Roman"/>
          <w:noProof/>
          <w:sz w:val="24"/>
          <w:szCs w:val="24"/>
        </w:rPr>
        <w:t>In this study, 1 subject with VWD Type 3 tested positive for binding antibodies to VWF on</w:t>
      </w:r>
      <w:r>
        <w:rPr>
          <w:rFonts w:ascii="Times New Roman" w:hAnsi="Times New Roman" w:cs="Times New Roman"/>
          <w:noProof/>
          <w:sz w:val="24"/>
          <w:szCs w:val="24"/>
        </w:rPr>
        <w:t xml:space="preserve"> </w:t>
      </w:r>
      <w:r w:rsidRPr="0088783B">
        <w:rPr>
          <w:rFonts w:ascii="Times New Roman" w:hAnsi="Times New Roman" w:cs="Times New Roman"/>
          <w:noProof/>
          <w:sz w:val="24"/>
          <w:szCs w:val="24"/>
        </w:rPr>
        <w:t>post</w:t>
      </w:r>
      <w:r w:rsidR="002F70CF">
        <w:rPr>
          <w:rFonts w:ascii="Times New Roman" w:hAnsi="Times New Roman" w:cs="Times New Roman"/>
          <w:noProof/>
          <w:sz w:val="24"/>
          <w:szCs w:val="24"/>
        </w:rPr>
        <w:noBreakHyphen/>
      </w:r>
      <w:r w:rsidRPr="0088783B">
        <w:rPr>
          <w:rFonts w:ascii="Times New Roman" w:hAnsi="Times New Roman" w:cs="Times New Roman"/>
          <w:noProof/>
          <w:sz w:val="24"/>
          <w:szCs w:val="24"/>
        </w:rPr>
        <w:t>operative day 7 through study completion, subsequent to receiving an intraoperative</w:t>
      </w:r>
      <w:r>
        <w:rPr>
          <w:rFonts w:ascii="Times New Roman" w:hAnsi="Times New Roman" w:cs="Times New Roman"/>
          <w:noProof/>
          <w:sz w:val="24"/>
          <w:szCs w:val="24"/>
        </w:rPr>
        <w:t xml:space="preserve"> </w:t>
      </w:r>
      <w:r w:rsidRPr="0088783B">
        <w:rPr>
          <w:rFonts w:ascii="Times New Roman" w:hAnsi="Times New Roman" w:cs="Times New Roman"/>
          <w:noProof/>
          <w:sz w:val="24"/>
          <w:szCs w:val="24"/>
        </w:rPr>
        <w:t>transfusion of packed red blood cells during total knee replacement surgery. No subjects</w:t>
      </w:r>
      <w:r>
        <w:rPr>
          <w:rFonts w:ascii="Times New Roman" w:hAnsi="Times New Roman" w:cs="Times New Roman"/>
          <w:noProof/>
          <w:sz w:val="24"/>
          <w:szCs w:val="24"/>
        </w:rPr>
        <w:t xml:space="preserve"> developed neutralising antibodies to rFVIII or binding antibodies to CHO, rFurin, or murine IgG.</w:t>
      </w:r>
    </w:p>
    <w:p w:rsidR="00812D16" w:rsidRPr="0064542F" w:rsidRDefault="0064542F" w:rsidP="007B162C">
      <w:pPr>
        <w:pStyle w:val="Heading2"/>
        <w:tabs>
          <w:tab w:val="clear" w:pos="907"/>
          <w:tab w:val="num" w:pos="851"/>
        </w:tabs>
        <w:spacing w:after="120"/>
        <w:ind w:left="851" w:hanging="851"/>
      </w:pPr>
      <w:r>
        <w:t>P</w:t>
      </w:r>
      <w:r w:rsidRPr="0064542F">
        <w:t>HARMACOKINETIC PROPERTIES</w:t>
      </w:r>
    </w:p>
    <w:p w:rsidR="005A5AC6" w:rsidRPr="00856344" w:rsidRDefault="000E5EE5" w:rsidP="007B162C">
      <w:pPr>
        <w:pStyle w:val="BodytextAgency"/>
        <w:spacing w:before="120" w:after="120" w:line="240" w:lineRule="auto"/>
        <w:rPr>
          <w:rFonts w:ascii="Times New Roman" w:hAnsi="Times New Roman" w:cs="Times New Roman"/>
          <w:noProof/>
          <w:sz w:val="24"/>
          <w:szCs w:val="24"/>
        </w:rPr>
      </w:pPr>
      <w:r w:rsidRPr="00856344">
        <w:rPr>
          <w:rFonts w:ascii="Times New Roman" w:hAnsi="Times New Roman" w:cs="Times New Roman"/>
          <w:noProof/>
          <w:sz w:val="24"/>
          <w:szCs w:val="24"/>
        </w:rPr>
        <w:t xml:space="preserve">The </w:t>
      </w:r>
      <w:r w:rsidR="00543FF7" w:rsidRPr="00856344">
        <w:rPr>
          <w:rFonts w:ascii="Times New Roman" w:hAnsi="Times New Roman" w:cs="Times New Roman"/>
          <w:noProof/>
          <w:sz w:val="24"/>
          <w:szCs w:val="24"/>
        </w:rPr>
        <w:t>pharmacokinetics (</w:t>
      </w:r>
      <w:r w:rsidRPr="00856344">
        <w:rPr>
          <w:rFonts w:ascii="Times New Roman" w:hAnsi="Times New Roman" w:cs="Times New Roman"/>
          <w:noProof/>
          <w:sz w:val="24"/>
          <w:szCs w:val="24"/>
        </w:rPr>
        <w:t>PK</w:t>
      </w:r>
      <w:r w:rsidR="00543FF7" w:rsidRPr="00856344">
        <w:rPr>
          <w:rFonts w:ascii="Times New Roman" w:hAnsi="Times New Roman" w:cs="Times New Roman"/>
          <w:noProof/>
          <w:sz w:val="24"/>
          <w:szCs w:val="24"/>
        </w:rPr>
        <w:t>)</w:t>
      </w:r>
      <w:r w:rsidRPr="00856344">
        <w:rPr>
          <w:rFonts w:ascii="Times New Roman" w:hAnsi="Times New Roman" w:cs="Times New Roman"/>
          <w:noProof/>
          <w:sz w:val="24"/>
          <w:szCs w:val="24"/>
        </w:rPr>
        <w:t xml:space="preserve"> of </w:t>
      </w:r>
      <w:r w:rsidR="00546CFA" w:rsidRPr="00856344">
        <w:rPr>
          <w:rFonts w:ascii="Times New Roman" w:hAnsi="Times New Roman" w:cs="Times New Roman"/>
          <w:noProof/>
          <w:sz w:val="24"/>
          <w:szCs w:val="24"/>
        </w:rPr>
        <w:t>VEYVONDI</w:t>
      </w:r>
      <w:r w:rsidRPr="00856344">
        <w:rPr>
          <w:rFonts w:ascii="Times New Roman" w:hAnsi="Times New Roman" w:cs="Times New Roman"/>
          <w:noProof/>
          <w:sz w:val="24"/>
          <w:szCs w:val="24"/>
        </w:rPr>
        <w:t xml:space="preserve"> </w:t>
      </w:r>
      <w:r w:rsidR="00543FF7" w:rsidRPr="00856344">
        <w:rPr>
          <w:rFonts w:ascii="Times New Roman" w:hAnsi="Times New Roman" w:cs="Times New Roman"/>
          <w:noProof/>
          <w:sz w:val="24"/>
          <w:szCs w:val="24"/>
        </w:rPr>
        <w:t xml:space="preserve">were determined </w:t>
      </w:r>
      <w:r w:rsidRPr="00856344">
        <w:rPr>
          <w:rFonts w:ascii="Times New Roman" w:hAnsi="Times New Roman" w:cs="Times New Roman"/>
          <w:noProof/>
          <w:sz w:val="24"/>
          <w:szCs w:val="24"/>
        </w:rPr>
        <w:t xml:space="preserve">in </w:t>
      </w:r>
      <w:r w:rsidR="00C07CE5" w:rsidRPr="00856344">
        <w:rPr>
          <w:rFonts w:ascii="Times New Roman" w:hAnsi="Times New Roman" w:cs="Times New Roman"/>
          <w:noProof/>
          <w:sz w:val="24"/>
          <w:szCs w:val="24"/>
        </w:rPr>
        <w:t>three</w:t>
      </w:r>
      <w:r w:rsidR="001949FC" w:rsidRPr="00856344">
        <w:rPr>
          <w:rFonts w:ascii="Times New Roman" w:hAnsi="Times New Roman" w:cs="Times New Roman"/>
          <w:noProof/>
          <w:sz w:val="24"/>
          <w:szCs w:val="24"/>
        </w:rPr>
        <w:t xml:space="preserve"> clinical studies</w:t>
      </w:r>
      <w:r w:rsidR="00C07CE5" w:rsidRPr="00856344">
        <w:rPr>
          <w:rFonts w:ascii="Times New Roman" w:hAnsi="Times New Roman" w:cs="Times New Roman"/>
          <w:noProof/>
          <w:sz w:val="24"/>
          <w:szCs w:val="24"/>
        </w:rPr>
        <w:t xml:space="preserve"> </w:t>
      </w:r>
      <w:r w:rsidR="00543FF7" w:rsidRPr="00856344">
        <w:rPr>
          <w:rFonts w:ascii="Times New Roman" w:hAnsi="Times New Roman" w:cs="Times New Roman"/>
          <w:noProof/>
          <w:sz w:val="24"/>
          <w:szCs w:val="24"/>
        </w:rPr>
        <w:t>by assessing the plasma levels of VWF:RCo, von Willebrand Factor Antigen (VWF:Ag), and von Willebrand Collagen Binding Activity (VWF:CB)</w:t>
      </w:r>
      <w:r w:rsidRPr="00856344">
        <w:rPr>
          <w:rFonts w:ascii="Times New Roman" w:hAnsi="Times New Roman" w:cs="Times New Roman"/>
          <w:noProof/>
          <w:sz w:val="24"/>
          <w:szCs w:val="24"/>
        </w:rPr>
        <w:t xml:space="preserve">. In </w:t>
      </w:r>
      <w:r w:rsidR="00C07CE5" w:rsidRPr="00856344">
        <w:rPr>
          <w:rFonts w:ascii="Times New Roman" w:hAnsi="Times New Roman" w:cs="Times New Roman"/>
          <w:noProof/>
          <w:sz w:val="24"/>
          <w:szCs w:val="24"/>
        </w:rPr>
        <w:t xml:space="preserve">all three </w:t>
      </w:r>
      <w:r w:rsidRPr="00856344">
        <w:rPr>
          <w:rFonts w:ascii="Times New Roman" w:hAnsi="Times New Roman" w:cs="Times New Roman"/>
          <w:noProof/>
          <w:sz w:val="24"/>
          <w:szCs w:val="24"/>
        </w:rPr>
        <w:t>studies, subjects were evaluated in the non-bleeding state. Sustained increase of FVIII</w:t>
      </w:r>
      <w:r w:rsidR="00EE65C4" w:rsidRPr="00856344">
        <w:rPr>
          <w:rFonts w:ascii="Times New Roman" w:hAnsi="Times New Roman" w:cs="Times New Roman"/>
          <w:noProof/>
          <w:sz w:val="24"/>
          <w:szCs w:val="24"/>
        </w:rPr>
        <w:t>:C</w:t>
      </w:r>
      <w:r w:rsidRPr="00856344">
        <w:rPr>
          <w:rFonts w:ascii="Times New Roman" w:hAnsi="Times New Roman" w:cs="Times New Roman"/>
          <w:noProof/>
          <w:sz w:val="24"/>
          <w:szCs w:val="24"/>
        </w:rPr>
        <w:t xml:space="preserve"> was observed by six</w:t>
      </w:r>
      <w:r w:rsidR="00E04BE7" w:rsidRPr="00856344">
        <w:rPr>
          <w:rFonts w:ascii="Times New Roman" w:hAnsi="Times New Roman" w:cs="Times New Roman"/>
          <w:noProof/>
          <w:sz w:val="24"/>
          <w:szCs w:val="24"/>
        </w:rPr>
        <w:t> hour</w:t>
      </w:r>
      <w:r w:rsidRPr="00856344">
        <w:rPr>
          <w:rFonts w:ascii="Times New Roman" w:hAnsi="Times New Roman" w:cs="Times New Roman"/>
          <w:noProof/>
          <w:sz w:val="24"/>
          <w:szCs w:val="24"/>
        </w:rPr>
        <w:t>s after a single infu</w:t>
      </w:r>
      <w:r w:rsidR="00571259" w:rsidRPr="00856344">
        <w:rPr>
          <w:rFonts w:ascii="Times New Roman" w:hAnsi="Times New Roman" w:cs="Times New Roman"/>
          <w:noProof/>
          <w:sz w:val="24"/>
          <w:szCs w:val="24"/>
        </w:rPr>
        <w:t xml:space="preserve">sion of </w:t>
      </w:r>
      <w:r w:rsidR="00546CFA" w:rsidRPr="00856344">
        <w:rPr>
          <w:rFonts w:ascii="Times New Roman" w:hAnsi="Times New Roman" w:cs="Times New Roman"/>
          <w:noProof/>
          <w:sz w:val="24"/>
          <w:szCs w:val="24"/>
        </w:rPr>
        <w:t>VEYVONDI</w:t>
      </w:r>
      <w:r w:rsidRPr="00856344">
        <w:rPr>
          <w:rFonts w:ascii="Times New Roman" w:hAnsi="Times New Roman" w:cs="Times New Roman"/>
          <w:noProof/>
          <w:sz w:val="24"/>
          <w:szCs w:val="24"/>
        </w:rPr>
        <w:t xml:space="preserve">. </w:t>
      </w:r>
    </w:p>
    <w:p w:rsidR="000F6504" w:rsidRPr="00856344" w:rsidRDefault="006E4903" w:rsidP="007B162C">
      <w:pPr>
        <w:pStyle w:val="BodytextAgency"/>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REF _Ref527109960 \h </w:instrText>
      </w:r>
      <w:r>
        <w:rPr>
          <w:rFonts w:ascii="Times New Roman" w:hAnsi="Times New Roman" w:cs="Times New Roman"/>
          <w:noProof/>
          <w:sz w:val="24"/>
          <w:szCs w:val="24"/>
        </w:rPr>
      </w:r>
      <w:r>
        <w:rPr>
          <w:rFonts w:ascii="Times New Roman" w:hAnsi="Times New Roman" w:cs="Times New Roman"/>
          <w:noProof/>
          <w:sz w:val="24"/>
          <w:szCs w:val="24"/>
        </w:rPr>
        <w:instrText xml:space="preserve"> \* MERGEFORMAT </w:instrText>
      </w:r>
      <w:r>
        <w:rPr>
          <w:rFonts w:ascii="Times New Roman" w:hAnsi="Times New Roman" w:cs="Times New Roman"/>
          <w:noProof/>
          <w:sz w:val="24"/>
          <w:szCs w:val="24"/>
        </w:rPr>
        <w:fldChar w:fldCharType="separate"/>
      </w:r>
      <w:r w:rsidR="00A21367" w:rsidRPr="00A21367">
        <w:rPr>
          <w:rFonts w:ascii="Times New Roman" w:hAnsi="Times New Roman" w:cs="Times New Roman"/>
          <w:noProof/>
          <w:sz w:val="24"/>
          <w:szCs w:val="24"/>
        </w:rPr>
        <w:t>Table 8</w:t>
      </w:r>
      <w:r>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w:t>
      </w:r>
      <w:r w:rsidR="00856344">
        <w:rPr>
          <w:rFonts w:ascii="Times New Roman" w:hAnsi="Times New Roman" w:cs="Times New Roman"/>
          <w:noProof/>
          <w:sz w:val="24"/>
          <w:szCs w:val="24"/>
        </w:rPr>
        <w:t>summaris</w:t>
      </w:r>
      <w:r w:rsidR="000F6504" w:rsidRPr="00856344">
        <w:rPr>
          <w:rFonts w:ascii="Times New Roman" w:hAnsi="Times New Roman" w:cs="Times New Roman"/>
          <w:noProof/>
          <w:sz w:val="24"/>
          <w:szCs w:val="24"/>
        </w:rPr>
        <w:t>es the PK of VEYVONDI after 50</w:t>
      </w:r>
      <w:r w:rsidR="00E04BE7" w:rsidRPr="00856344">
        <w:rPr>
          <w:rFonts w:ascii="Times New Roman" w:hAnsi="Times New Roman" w:cs="Times New Roman"/>
          <w:noProof/>
          <w:sz w:val="24"/>
          <w:szCs w:val="24"/>
        </w:rPr>
        <w:t> IU</w:t>
      </w:r>
      <w:r w:rsidR="000F6504" w:rsidRPr="00856344">
        <w:rPr>
          <w:rFonts w:ascii="Times New Roman" w:hAnsi="Times New Roman" w:cs="Times New Roman"/>
          <w:noProof/>
          <w:sz w:val="24"/>
          <w:szCs w:val="24"/>
        </w:rPr>
        <w:t>/kg</w:t>
      </w:r>
      <w:r w:rsidR="000B5FCF" w:rsidRPr="00856344">
        <w:rPr>
          <w:rFonts w:ascii="Times New Roman" w:hAnsi="Times New Roman" w:cs="Times New Roman"/>
          <w:noProof/>
          <w:sz w:val="24"/>
          <w:szCs w:val="24"/>
        </w:rPr>
        <w:t xml:space="preserve"> VWR:RCo</w:t>
      </w:r>
      <w:r w:rsidR="000F6504" w:rsidRPr="00856344">
        <w:rPr>
          <w:rFonts w:ascii="Times New Roman" w:hAnsi="Times New Roman" w:cs="Times New Roman"/>
          <w:noProof/>
          <w:sz w:val="24"/>
          <w:szCs w:val="24"/>
        </w:rPr>
        <w:t xml:space="preserve"> (PK</w:t>
      </w:r>
      <w:r w:rsidR="000F6504" w:rsidRPr="00856344">
        <w:rPr>
          <w:rFonts w:ascii="Times New Roman" w:hAnsi="Times New Roman" w:cs="Times New Roman"/>
          <w:noProof/>
          <w:sz w:val="24"/>
          <w:szCs w:val="24"/>
          <w:vertAlign w:val="subscript"/>
        </w:rPr>
        <w:t>50</w:t>
      </w:r>
      <w:r w:rsidR="000F6504" w:rsidRPr="00856344">
        <w:rPr>
          <w:rFonts w:ascii="Times New Roman" w:hAnsi="Times New Roman" w:cs="Times New Roman"/>
          <w:noProof/>
          <w:sz w:val="24"/>
          <w:szCs w:val="24"/>
        </w:rPr>
        <w:t>) or 80</w:t>
      </w:r>
      <w:r w:rsidR="00E04BE7" w:rsidRPr="00856344">
        <w:rPr>
          <w:rFonts w:ascii="Times New Roman" w:hAnsi="Times New Roman" w:cs="Times New Roman"/>
          <w:noProof/>
          <w:sz w:val="24"/>
          <w:szCs w:val="24"/>
        </w:rPr>
        <w:t> IU</w:t>
      </w:r>
      <w:r w:rsidR="000F6504" w:rsidRPr="00856344">
        <w:rPr>
          <w:rFonts w:ascii="Times New Roman" w:hAnsi="Times New Roman" w:cs="Times New Roman"/>
          <w:noProof/>
          <w:sz w:val="24"/>
          <w:szCs w:val="24"/>
        </w:rPr>
        <w:t>/kg VWF:RCo (PK</w:t>
      </w:r>
      <w:r w:rsidR="000F6504" w:rsidRPr="00856344">
        <w:rPr>
          <w:rFonts w:ascii="Times New Roman" w:hAnsi="Times New Roman" w:cs="Times New Roman"/>
          <w:noProof/>
          <w:sz w:val="24"/>
          <w:szCs w:val="24"/>
          <w:vertAlign w:val="subscript"/>
        </w:rPr>
        <w:t>80</w:t>
      </w:r>
      <w:r w:rsidR="000F6504" w:rsidRPr="00856344">
        <w:rPr>
          <w:rFonts w:ascii="Times New Roman" w:hAnsi="Times New Roman" w:cs="Times New Roman"/>
          <w:noProof/>
          <w:sz w:val="24"/>
          <w:szCs w:val="24"/>
        </w:rPr>
        <w:t>) infusions . The mean duration of infusion was 16.5</w:t>
      </w:r>
      <w:r w:rsidR="007C7345" w:rsidRPr="00856344">
        <w:rPr>
          <w:rFonts w:ascii="Times New Roman" w:hAnsi="Times New Roman" w:cs="Times New Roman"/>
          <w:noProof/>
          <w:sz w:val="24"/>
          <w:szCs w:val="24"/>
        </w:rPr>
        <w:t> </w:t>
      </w:r>
      <w:r w:rsidR="000F6504" w:rsidRPr="00856344">
        <w:rPr>
          <w:rFonts w:ascii="Times New Roman" w:hAnsi="Times New Roman" w:cs="Times New Roman"/>
          <w:noProof/>
          <w:sz w:val="24"/>
          <w:szCs w:val="24"/>
        </w:rPr>
        <w:t>minutes (</w:t>
      </w:r>
      <w:r w:rsidR="000B5FCF" w:rsidRPr="00856344">
        <w:rPr>
          <w:rFonts w:ascii="Times New Roman" w:hAnsi="Times New Roman" w:cs="Times New Roman"/>
          <w:noProof/>
          <w:sz w:val="24"/>
          <w:szCs w:val="24"/>
        </w:rPr>
        <w:t>SD</w:t>
      </w:r>
      <w:r w:rsidR="000B083D">
        <w:rPr>
          <w:rFonts w:ascii="Times New Roman" w:hAnsi="Times New Roman" w:cs="Times New Roman"/>
          <w:noProof/>
          <w:sz w:val="24"/>
          <w:szCs w:val="24"/>
        </w:rPr>
        <w:t> </w:t>
      </w:r>
      <w:r w:rsidR="000F6504" w:rsidRPr="00856344">
        <w:rPr>
          <w:rFonts w:ascii="Times New Roman" w:hAnsi="Times New Roman" w:cs="Times New Roman"/>
          <w:noProof/>
          <w:sz w:val="24"/>
          <w:szCs w:val="24"/>
        </w:rPr>
        <w:t>±</w:t>
      </w:r>
      <w:r w:rsidR="007C7345" w:rsidRPr="00856344">
        <w:rPr>
          <w:rFonts w:ascii="Times New Roman" w:hAnsi="Times New Roman" w:cs="Times New Roman"/>
          <w:noProof/>
          <w:sz w:val="24"/>
          <w:szCs w:val="24"/>
        </w:rPr>
        <w:t> </w:t>
      </w:r>
      <w:r w:rsidR="000F6504" w:rsidRPr="00856344">
        <w:rPr>
          <w:rFonts w:ascii="Times New Roman" w:hAnsi="Times New Roman" w:cs="Times New Roman"/>
          <w:noProof/>
          <w:sz w:val="24"/>
          <w:szCs w:val="24"/>
        </w:rPr>
        <w:t>3.51</w:t>
      </w:r>
      <w:r w:rsidR="007C7345" w:rsidRPr="00856344">
        <w:rPr>
          <w:rFonts w:ascii="Times New Roman" w:hAnsi="Times New Roman" w:cs="Times New Roman"/>
          <w:noProof/>
          <w:sz w:val="24"/>
          <w:szCs w:val="24"/>
        </w:rPr>
        <w:t> </w:t>
      </w:r>
      <w:r w:rsidR="000F6504" w:rsidRPr="00856344">
        <w:rPr>
          <w:rFonts w:ascii="Times New Roman" w:hAnsi="Times New Roman" w:cs="Times New Roman"/>
          <w:noProof/>
          <w:sz w:val="24"/>
          <w:szCs w:val="24"/>
        </w:rPr>
        <w:t>minutes) for 50</w:t>
      </w:r>
      <w:r w:rsidR="00E04BE7" w:rsidRPr="00856344">
        <w:rPr>
          <w:rFonts w:ascii="Times New Roman" w:hAnsi="Times New Roman" w:cs="Times New Roman"/>
          <w:noProof/>
          <w:sz w:val="24"/>
          <w:szCs w:val="24"/>
        </w:rPr>
        <w:t> IU</w:t>
      </w:r>
      <w:r w:rsidR="000F6504" w:rsidRPr="00856344">
        <w:rPr>
          <w:rFonts w:ascii="Times New Roman" w:hAnsi="Times New Roman" w:cs="Times New Roman"/>
          <w:noProof/>
          <w:sz w:val="24"/>
          <w:szCs w:val="24"/>
        </w:rPr>
        <w:t>/kg (PK</w:t>
      </w:r>
      <w:r w:rsidR="000F6504" w:rsidRPr="00856344">
        <w:rPr>
          <w:rFonts w:ascii="Times New Roman" w:hAnsi="Times New Roman" w:cs="Times New Roman"/>
          <w:noProof/>
          <w:sz w:val="24"/>
          <w:szCs w:val="24"/>
          <w:vertAlign w:val="subscript"/>
        </w:rPr>
        <w:t>50</w:t>
      </w:r>
      <w:r w:rsidR="000F6504" w:rsidRPr="00856344">
        <w:rPr>
          <w:rFonts w:ascii="Times New Roman" w:hAnsi="Times New Roman" w:cs="Times New Roman"/>
          <w:noProof/>
          <w:sz w:val="24"/>
          <w:szCs w:val="24"/>
        </w:rPr>
        <w:t>) and 11.8</w:t>
      </w:r>
      <w:r w:rsidR="007C7345" w:rsidRPr="00856344">
        <w:rPr>
          <w:rFonts w:ascii="Times New Roman" w:hAnsi="Times New Roman" w:cs="Times New Roman"/>
          <w:noProof/>
          <w:sz w:val="24"/>
          <w:szCs w:val="24"/>
        </w:rPr>
        <w:t> </w:t>
      </w:r>
      <w:r w:rsidR="000F6504" w:rsidRPr="00856344">
        <w:rPr>
          <w:rFonts w:ascii="Times New Roman" w:hAnsi="Times New Roman" w:cs="Times New Roman"/>
          <w:noProof/>
          <w:sz w:val="24"/>
          <w:szCs w:val="24"/>
        </w:rPr>
        <w:t>minutes (±</w:t>
      </w:r>
      <w:r w:rsidR="007C7345" w:rsidRPr="00856344">
        <w:rPr>
          <w:rFonts w:ascii="Times New Roman" w:hAnsi="Times New Roman" w:cs="Times New Roman"/>
          <w:noProof/>
          <w:sz w:val="24"/>
          <w:szCs w:val="24"/>
        </w:rPr>
        <w:t> </w:t>
      </w:r>
      <w:r w:rsidR="000F6504" w:rsidRPr="00856344">
        <w:rPr>
          <w:rFonts w:ascii="Times New Roman" w:hAnsi="Times New Roman" w:cs="Times New Roman"/>
          <w:noProof/>
          <w:sz w:val="24"/>
          <w:szCs w:val="24"/>
        </w:rPr>
        <w:t>2.86</w:t>
      </w:r>
      <w:r w:rsidR="007C7345" w:rsidRPr="00856344">
        <w:rPr>
          <w:rFonts w:ascii="Times New Roman" w:hAnsi="Times New Roman" w:cs="Times New Roman"/>
          <w:noProof/>
          <w:sz w:val="24"/>
          <w:szCs w:val="24"/>
        </w:rPr>
        <w:t> </w:t>
      </w:r>
      <w:r w:rsidR="000F6504" w:rsidRPr="00856344">
        <w:rPr>
          <w:rFonts w:ascii="Times New Roman" w:hAnsi="Times New Roman" w:cs="Times New Roman"/>
          <w:noProof/>
          <w:sz w:val="24"/>
          <w:szCs w:val="24"/>
        </w:rPr>
        <w:t>minutes) for 80</w:t>
      </w:r>
      <w:r w:rsidR="00E04BE7" w:rsidRPr="00856344">
        <w:rPr>
          <w:rFonts w:ascii="Times New Roman" w:hAnsi="Times New Roman" w:cs="Times New Roman"/>
          <w:noProof/>
          <w:sz w:val="24"/>
          <w:szCs w:val="24"/>
        </w:rPr>
        <w:t> IU</w:t>
      </w:r>
      <w:r w:rsidR="000F6504" w:rsidRPr="00856344">
        <w:rPr>
          <w:rFonts w:ascii="Times New Roman" w:hAnsi="Times New Roman" w:cs="Times New Roman"/>
          <w:noProof/>
          <w:sz w:val="24"/>
          <w:szCs w:val="24"/>
        </w:rPr>
        <w:t>/kg VWF:RCo (PK</w:t>
      </w:r>
      <w:r w:rsidR="000F6504" w:rsidRPr="00856344">
        <w:rPr>
          <w:rFonts w:ascii="Times New Roman" w:hAnsi="Times New Roman" w:cs="Times New Roman"/>
          <w:noProof/>
          <w:sz w:val="24"/>
          <w:szCs w:val="24"/>
          <w:vertAlign w:val="subscript"/>
        </w:rPr>
        <w:t>80</w:t>
      </w:r>
      <w:r w:rsidR="000F6504" w:rsidRPr="00856344">
        <w:rPr>
          <w:rFonts w:ascii="Times New Roman" w:hAnsi="Times New Roman" w:cs="Times New Roman"/>
          <w:noProof/>
          <w:sz w:val="24"/>
          <w:szCs w:val="24"/>
        </w:rPr>
        <w:t>).</w:t>
      </w:r>
    </w:p>
    <w:p w:rsidR="006E4903" w:rsidRPr="00FB2C85" w:rsidRDefault="006E4903" w:rsidP="007B162C">
      <w:pPr>
        <w:pStyle w:val="TableHead"/>
        <w:rPr>
          <w:bCs/>
          <w:sz w:val="22"/>
          <w:szCs w:val="22"/>
        </w:rPr>
      </w:pPr>
      <w:bookmarkStart w:id="19" w:name="_Ref480537205"/>
      <w:bookmarkStart w:id="20" w:name="_Ref480537227"/>
      <w:bookmarkStart w:id="21" w:name="_Ref527109960"/>
      <w:r w:rsidRPr="00FB2C85">
        <w:rPr>
          <w:bCs/>
          <w:sz w:val="22"/>
          <w:szCs w:val="22"/>
        </w:rPr>
        <w:t xml:space="preserve">Table </w:t>
      </w:r>
      <w:r w:rsidRPr="00FB2C85">
        <w:rPr>
          <w:bCs/>
          <w:sz w:val="22"/>
          <w:szCs w:val="22"/>
        </w:rPr>
        <w:fldChar w:fldCharType="begin"/>
      </w:r>
      <w:r w:rsidRPr="00FB2C85">
        <w:rPr>
          <w:bCs/>
          <w:sz w:val="22"/>
          <w:szCs w:val="22"/>
        </w:rPr>
        <w:instrText xml:space="preserve"> SEQ Table \* ARABIC </w:instrText>
      </w:r>
      <w:r w:rsidRPr="00FB2C85">
        <w:rPr>
          <w:bCs/>
          <w:sz w:val="22"/>
          <w:szCs w:val="22"/>
        </w:rPr>
        <w:fldChar w:fldCharType="separate"/>
      </w:r>
      <w:r w:rsidR="00A21367">
        <w:rPr>
          <w:bCs/>
          <w:noProof/>
          <w:sz w:val="22"/>
          <w:szCs w:val="22"/>
        </w:rPr>
        <w:t>8</w:t>
      </w:r>
      <w:r w:rsidRPr="00FB2C85">
        <w:rPr>
          <w:bCs/>
          <w:sz w:val="22"/>
          <w:szCs w:val="22"/>
        </w:rPr>
        <w:fldChar w:fldCharType="end"/>
      </w:r>
      <w:bookmarkEnd w:id="20"/>
      <w:bookmarkEnd w:id="21"/>
      <w:r w:rsidRPr="00FB2C85">
        <w:rPr>
          <w:bCs/>
          <w:sz w:val="22"/>
          <w:szCs w:val="22"/>
        </w:rPr>
        <w:br/>
        <w:t xml:space="preserve">Pharmacokinetic </w:t>
      </w:r>
      <w:r w:rsidR="00BA22F0">
        <w:rPr>
          <w:bCs/>
          <w:sz w:val="22"/>
          <w:szCs w:val="22"/>
        </w:rPr>
        <w:t>a</w:t>
      </w:r>
      <w:r w:rsidRPr="00FB2C85">
        <w:rPr>
          <w:bCs/>
          <w:sz w:val="22"/>
          <w:szCs w:val="22"/>
        </w:rPr>
        <w:t>ssessment of VWF:RCo</w:t>
      </w:r>
      <w:r w:rsidRPr="00FB2C85">
        <w:rPr>
          <w:b w:val="0"/>
          <w:bCs/>
          <w:sz w:val="22"/>
          <w:szCs w:val="22"/>
          <w:vertAlign w:val="superscript"/>
        </w:rPr>
        <w:t>f</w:t>
      </w:r>
      <w:bookmarkEnd w:id="19"/>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489"/>
        <w:gridCol w:w="2005"/>
        <w:gridCol w:w="2008"/>
        <w:gridCol w:w="2006"/>
        <w:gridCol w:w="1994"/>
        <w:gridCol w:w="13"/>
      </w:tblGrid>
      <w:tr w:rsidR="00AA6CEF" w:rsidRPr="00CB2A4A" w:rsidTr="000B083D">
        <w:trPr>
          <w:cantSplit/>
          <w:trHeight w:val="1377"/>
          <w:jc w:val="center"/>
        </w:trPr>
        <w:tc>
          <w:tcPr>
            <w:tcW w:w="783" w:type="pct"/>
            <w:tcBorders>
              <w:bottom w:val="single" w:sz="6" w:space="0" w:color="000000"/>
            </w:tcBorders>
            <w:shd w:val="clear" w:color="auto" w:fill="auto"/>
            <w:vAlign w:val="center"/>
          </w:tcPr>
          <w:p w:rsidR="00543FF7" w:rsidRPr="006E4903" w:rsidRDefault="00543FF7" w:rsidP="00991F4E">
            <w:pPr>
              <w:pStyle w:val="TableColumnHeading"/>
              <w:keepNext/>
              <w:spacing w:before="20" w:after="20"/>
              <w:contextualSpacing/>
              <w:rPr>
                <w:szCs w:val="20"/>
              </w:rPr>
            </w:pPr>
            <w:r w:rsidRPr="006E4903">
              <w:rPr>
                <w:szCs w:val="20"/>
              </w:rPr>
              <w:t>Parameter</w:t>
            </w:r>
          </w:p>
        </w:tc>
        <w:tc>
          <w:tcPr>
            <w:tcW w:w="1054" w:type="pct"/>
            <w:tcBorders>
              <w:bottom w:val="single" w:sz="6" w:space="0" w:color="000000"/>
            </w:tcBorders>
            <w:shd w:val="clear" w:color="auto" w:fill="auto"/>
            <w:vAlign w:val="center"/>
          </w:tcPr>
          <w:p w:rsidR="00EC7976" w:rsidRDefault="00543FF7" w:rsidP="00991F4E">
            <w:pPr>
              <w:pStyle w:val="TableColumnHeading"/>
              <w:keepNext/>
              <w:spacing w:before="20" w:after="20"/>
              <w:contextualSpacing/>
              <w:rPr>
                <w:szCs w:val="20"/>
              </w:rPr>
            </w:pPr>
            <w:r w:rsidRPr="006E4903">
              <w:rPr>
                <w:szCs w:val="20"/>
              </w:rPr>
              <w:t>Phase</w:t>
            </w:r>
            <w:r w:rsidR="00872454" w:rsidRPr="006E4903">
              <w:rPr>
                <w:szCs w:val="20"/>
              </w:rPr>
              <w:t> </w:t>
            </w:r>
            <w:r w:rsidRPr="006E4903">
              <w:rPr>
                <w:szCs w:val="20"/>
              </w:rPr>
              <w:t>1 PK</w:t>
            </w:r>
            <w:r w:rsidRPr="006E4903">
              <w:rPr>
                <w:szCs w:val="20"/>
                <w:vertAlign w:val="subscript"/>
              </w:rPr>
              <w:t>50</w:t>
            </w:r>
            <w:r w:rsidRPr="006E4903">
              <w:rPr>
                <w:szCs w:val="20"/>
              </w:rPr>
              <w:t xml:space="preserve"> </w:t>
            </w:r>
            <w:r w:rsidR="003C262A" w:rsidRPr="006E4903">
              <w:rPr>
                <w:szCs w:val="20"/>
              </w:rPr>
              <w:t>VEYVONDI </w:t>
            </w:r>
            <w:r w:rsidRPr="006E4903">
              <w:rPr>
                <w:szCs w:val="20"/>
              </w:rPr>
              <w:t>with</w:t>
            </w:r>
            <w:r w:rsidR="00EC7976">
              <w:rPr>
                <w:szCs w:val="20"/>
              </w:rPr>
              <w:br/>
            </w:r>
            <w:r w:rsidR="00A457DA">
              <w:rPr>
                <w:szCs w:val="20"/>
              </w:rPr>
              <w:t>ADVATE</w:t>
            </w:r>
            <w:r w:rsidR="005D56D0" w:rsidRPr="00EC7976">
              <w:rPr>
                <w:b w:val="0"/>
                <w:szCs w:val="20"/>
                <w:vertAlign w:val="superscript"/>
              </w:rPr>
              <w:t>g</w:t>
            </w:r>
            <w:r w:rsidRPr="006E4903">
              <w:rPr>
                <w:szCs w:val="20"/>
              </w:rPr>
              <w:br/>
              <w:t>(Study 070701)</w:t>
            </w:r>
          </w:p>
          <w:p w:rsidR="00543FF7" w:rsidRPr="006E4903" w:rsidRDefault="00543FF7" w:rsidP="00991F4E">
            <w:pPr>
              <w:pStyle w:val="TableColumnHeading"/>
              <w:keepNext/>
              <w:spacing w:before="20" w:after="20"/>
              <w:contextualSpacing/>
              <w:rPr>
                <w:szCs w:val="20"/>
              </w:rPr>
            </w:pPr>
            <w:r w:rsidRPr="006E4903">
              <w:rPr>
                <w:szCs w:val="20"/>
              </w:rPr>
              <w:t>Mean (95% CI)</w:t>
            </w:r>
            <w:r w:rsidRPr="006E4903">
              <w:rPr>
                <w:szCs w:val="20"/>
              </w:rPr>
              <w:br/>
              <w:t>SD</w:t>
            </w:r>
          </w:p>
        </w:tc>
        <w:tc>
          <w:tcPr>
            <w:tcW w:w="1055" w:type="pct"/>
            <w:tcBorders>
              <w:bottom w:val="single" w:sz="6" w:space="0" w:color="000000"/>
            </w:tcBorders>
            <w:shd w:val="clear" w:color="auto" w:fill="auto"/>
            <w:vAlign w:val="center"/>
          </w:tcPr>
          <w:p w:rsidR="00EC7976" w:rsidRDefault="00543FF7" w:rsidP="00991F4E">
            <w:pPr>
              <w:pStyle w:val="TableColumnHeading"/>
              <w:keepNext/>
              <w:spacing w:before="20" w:after="20"/>
              <w:contextualSpacing/>
              <w:rPr>
                <w:szCs w:val="20"/>
              </w:rPr>
            </w:pPr>
            <w:r w:rsidRPr="006E4903">
              <w:rPr>
                <w:szCs w:val="20"/>
              </w:rPr>
              <w:t>Phase</w:t>
            </w:r>
            <w:r w:rsidR="00872454" w:rsidRPr="006E4903">
              <w:rPr>
                <w:szCs w:val="20"/>
              </w:rPr>
              <w:t> </w:t>
            </w:r>
            <w:r w:rsidRPr="006E4903">
              <w:rPr>
                <w:szCs w:val="20"/>
              </w:rPr>
              <w:t>3 PK</w:t>
            </w:r>
            <w:r w:rsidRPr="006E4903">
              <w:rPr>
                <w:szCs w:val="20"/>
                <w:vertAlign w:val="subscript"/>
              </w:rPr>
              <w:t>50</w:t>
            </w:r>
            <w:r w:rsidRPr="006E4903">
              <w:rPr>
                <w:szCs w:val="20"/>
              </w:rPr>
              <w:t xml:space="preserve"> </w:t>
            </w:r>
            <w:r w:rsidR="003C262A" w:rsidRPr="006E4903">
              <w:rPr>
                <w:szCs w:val="20"/>
              </w:rPr>
              <w:t>VEYVONDI</w:t>
            </w:r>
            <w:r w:rsidRPr="006E4903">
              <w:rPr>
                <w:szCs w:val="20"/>
              </w:rPr>
              <w:br/>
              <w:t>(Study 071001)</w:t>
            </w:r>
          </w:p>
          <w:p w:rsidR="00543FF7" w:rsidRPr="006E4903" w:rsidRDefault="00543FF7" w:rsidP="00991F4E">
            <w:pPr>
              <w:pStyle w:val="TableColumnHeading"/>
              <w:keepNext/>
              <w:spacing w:before="20" w:after="20"/>
              <w:contextualSpacing/>
              <w:rPr>
                <w:szCs w:val="20"/>
              </w:rPr>
            </w:pPr>
            <w:r w:rsidRPr="006E4903">
              <w:rPr>
                <w:szCs w:val="20"/>
              </w:rPr>
              <w:t>Mean (95% CI)</w:t>
            </w:r>
            <w:r w:rsidRPr="006E4903">
              <w:rPr>
                <w:szCs w:val="20"/>
              </w:rPr>
              <w:br/>
              <w:t>SD</w:t>
            </w:r>
          </w:p>
        </w:tc>
        <w:tc>
          <w:tcPr>
            <w:tcW w:w="1054" w:type="pct"/>
            <w:tcBorders>
              <w:bottom w:val="single" w:sz="6" w:space="0" w:color="000000"/>
            </w:tcBorders>
            <w:shd w:val="clear" w:color="auto" w:fill="auto"/>
            <w:vAlign w:val="center"/>
          </w:tcPr>
          <w:p w:rsidR="00EC7976" w:rsidRDefault="00543FF7" w:rsidP="00991F4E">
            <w:pPr>
              <w:pStyle w:val="TableColumnHeading"/>
              <w:keepNext/>
              <w:spacing w:before="20" w:after="20"/>
              <w:contextualSpacing/>
              <w:rPr>
                <w:szCs w:val="20"/>
              </w:rPr>
            </w:pPr>
            <w:r w:rsidRPr="006E4903">
              <w:rPr>
                <w:szCs w:val="20"/>
              </w:rPr>
              <w:t>Phase</w:t>
            </w:r>
            <w:r w:rsidR="00872454" w:rsidRPr="006E4903">
              <w:rPr>
                <w:szCs w:val="20"/>
              </w:rPr>
              <w:t> </w:t>
            </w:r>
            <w:r w:rsidRPr="006E4903">
              <w:rPr>
                <w:szCs w:val="20"/>
              </w:rPr>
              <w:t>3 PK</w:t>
            </w:r>
            <w:r w:rsidRPr="006E4903">
              <w:rPr>
                <w:szCs w:val="20"/>
                <w:vertAlign w:val="subscript"/>
              </w:rPr>
              <w:t xml:space="preserve">80 </w:t>
            </w:r>
            <w:r w:rsidR="003C262A" w:rsidRPr="006E4903">
              <w:rPr>
                <w:szCs w:val="20"/>
              </w:rPr>
              <w:t>VEYVONDI</w:t>
            </w:r>
            <w:r w:rsidR="00EC7976">
              <w:rPr>
                <w:szCs w:val="20"/>
              </w:rPr>
              <w:br/>
              <w:t>(Study 071001)</w:t>
            </w:r>
          </w:p>
          <w:p w:rsidR="00543FF7" w:rsidRPr="006E4903" w:rsidRDefault="00543FF7" w:rsidP="00991F4E">
            <w:pPr>
              <w:pStyle w:val="TableColumnHeading"/>
              <w:keepNext/>
              <w:spacing w:before="20" w:after="20"/>
              <w:contextualSpacing/>
              <w:rPr>
                <w:szCs w:val="20"/>
              </w:rPr>
            </w:pPr>
            <w:r w:rsidRPr="006E4903">
              <w:rPr>
                <w:szCs w:val="20"/>
              </w:rPr>
              <w:t>Mean (95% CI)</w:t>
            </w:r>
            <w:r w:rsidRPr="006E4903">
              <w:rPr>
                <w:szCs w:val="20"/>
              </w:rPr>
              <w:br/>
              <w:t>SD</w:t>
            </w:r>
          </w:p>
        </w:tc>
        <w:tc>
          <w:tcPr>
            <w:tcW w:w="1055" w:type="pct"/>
            <w:gridSpan w:val="2"/>
            <w:tcBorders>
              <w:bottom w:val="single" w:sz="6" w:space="0" w:color="000000"/>
            </w:tcBorders>
            <w:vAlign w:val="center"/>
          </w:tcPr>
          <w:p w:rsidR="00EC7976" w:rsidRDefault="00543FF7" w:rsidP="00991F4E">
            <w:pPr>
              <w:pStyle w:val="TableColumnHeading"/>
              <w:keepNext/>
              <w:spacing w:before="20" w:after="20"/>
              <w:contextualSpacing/>
              <w:rPr>
                <w:szCs w:val="20"/>
              </w:rPr>
            </w:pPr>
            <w:r w:rsidRPr="006E4903">
              <w:rPr>
                <w:szCs w:val="20"/>
              </w:rPr>
              <w:t>Surgery PK</w:t>
            </w:r>
            <w:r w:rsidRPr="00EC7976">
              <w:rPr>
                <w:szCs w:val="20"/>
                <w:vertAlign w:val="subscript"/>
              </w:rPr>
              <w:t xml:space="preserve">50 </w:t>
            </w:r>
            <w:r w:rsidR="003C262A" w:rsidRPr="006E4903">
              <w:rPr>
                <w:szCs w:val="20"/>
              </w:rPr>
              <w:t>VEYVONDI</w:t>
            </w:r>
            <w:r w:rsidRPr="006E4903">
              <w:rPr>
                <w:szCs w:val="20"/>
              </w:rPr>
              <w:br/>
              <w:t>(Study 071101)</w:t>
            </w:r>
          </w:p>
          <w:p w:rsidR="00543FF7" w:rsidRPr="006E4903" w:rsidRDefault="00543FF7" w:rsidP="00991F4E">
            <w:pPr>
              <w:pStyle w:val="TableColumnHeading"/>
              <w:keepNext/>
              <w:spacing w:before="20" w:after="20"/>
              <w:contextualSpacing/>
              <w:rPr>
                <w:szCs w:val="20"/>
              </w:rPr>
            </w:pPr>
            <w:r w:rsidRPr="006E4903">
              <w:rPr>
                <w:szCs w:val="20"/>
              </w:rPr>
              <w:t>Mean (95% CI)</w:t>
            </w:r>
            <w:r w:rsidRPr="006E4903">
              <w:rPr>
                <w:szCs w:val="20"/>
              </w:rPr>
              <w:br/>
              <w:t>SD</w:t>
            </w:r>
          </w:p>
        </w:tc>
      </w:tr>
      <w:tr w:rsidR="00AA6CEF" w:rsidRPr="00EC7976" w:rsidTr="00AA6CEF">
        <w:trPr>
          <w:cantSplit/>
          <w:jc w:val="center"/>
        </w:trPr>
        <w:tc>
          <w:tcPr>
            <w:tcW w:w="783" w:type="pct"/>
            <w:tcBorders>
              <w:bottom w:val="single" w:sz="6" w:space="0" w:color="000000"/>
            </w:tcBorders>
            <w:shd w:val="clear" w:color="auto" w:fill="auto"/>
            <w:vAlign w:val="center"/>
          </w:tcPr>
          <w:p w:rsidR="00543FF7" w:rsidRPr="00EC7976" w:rsidRDefault="00543FF7" w:rsidP="00991F4E">
            <w:pPr>
              <w:pStyle w:val="TableText"/>
              <w:keepNext/>
              <w:spacing w:before="20" w:after="20"/>
              <w:contextualSpacing/>
              <w:rPr>
                <w:b/>
                <w:szCs w:val="20"/>
              </w:rPr>
            </w:pPr>
            <w:r w:rsidRPr="00EC7976">
              <w:rPr>
                <w:b/>
                <w:szCs w:val="20"/>
              </w:rPr>
              <w:t>T</w:t>
            </w:r>
            <w:r w:rsidRPr="00BA22F0">
              <w:rPr>
                <w:b/>
                <w:szCs w:val="20"/>
                <w:vertAlign w:val="subscript"/>
              </w:rPr>
              <w:t>1/2</w:t>
            </w:r>
            <w:r w:rsidRPr="00EC7976">
              <w:rPr>
                <w:szCs w:val="20"/>
                <w:vertAlign w:val="superscript"/>
              </w:rPr>
              <w:t>a</w:t>
            </w:r>
          </w:p>
        </w:tc>
        <w:tc>
          <w:tcPr>
            <w:tcW w:w="1054" w:type="pct"/>
            <w:tcBorders>
              <w:bottom w:val="single" w:sz="6" w:space="0" w:color="000000"/>
            </w:tcBorders>
            <w:shd w:val="clear" w:color="auto" w:fill="auto"/>
          </w:tcPr>
          <w:p w:rsidR="00543FF7" w:rsidRPr="00EC7976" w:rsidRDefault="00543FF7" w:rsidP="00991F4E">
            <w:pPr>
              <w:pStyle w:val="TableText"/>
              <w:keepNext/>
              <w:spacing w:before="20" w:after="20"/>
              <w:contextualSpacing/>
              <w:jc w:val="center"/>
              <w:rPr>
                <w:spacing w:val="-10"/>
                <w:szCs w:val="20"/>
              </w:rPr>
            </w:pPr>
            <w:r w:rsidRPr="00EC7976">
              <w:rPr>
                <w:spacing w:val="-10"/>
                <w:szCs w:val="20"/>
              </w:rPr>
              <w:t>19.3 (14.3; 24.3)</w:t>
            </w:r>
            <w:r w:rsidRPr="00EC7976">
              <w:rPr>
                <w:spacing w:val="-10"/>
                <w:szCs w:val="20"/>
              </w:rPr>
              <w:br/>
              <w:t>10.99</w:t>
            </w:r>
          </w:p>
        </w:tc>
        <w:tc>
          <w:tcPr>
            <w:tcW w:w="1055" w:type="pct"/>
            <w:tcBorders>
              <w:bottom w:val="single" w:sz="6" w:space="0" w:color="000000"/>
            </w:tcBorders>
            <w:shd w:val="clear" w:color="auto" w:fill="auto"/>
          </w:tcPr>
          <w:p w:rsidR="00543FF7" w:rsidRPr="00EC7976" w:rsidRDefault="00543FF7" w:rsidP="00991F4E">
            <w:pPr>
              <w:pStyle w:val="TableText"/>
              <w:keepNext/>
              <w:spacing w:before="20" w:after="20"/>
              <w:contextualSpacing/>
              <w:jc w:val="center"/>
              <w:rPr>
                <w:spacing w:val="-10"/>
                <w:szCs w:val="20"/>
              </w:rPr>
            </w:pPr>
            <w:r w:rsidRPr="00EC7976">
              <w:rPr>
                <w:spacing w:val="-10"/>
                <w:szCs w:val="20"/>
              </w:rPr>
              <w:t>22.6 (19.5; 25.7)</w:t>
            </w:r>
            <w:r w:rsidRPr="00EC7976">
              <w:rPr>
                <w:spacing w:val="-10"/>
                <w:szCs w:val="20"/>
              </w:rPr>
              <w:br/>
              <w:t>5.34</w:t>
            </w:r>
          </w:p>
        </w:tc>
        <w:tc>
          <w:tcPr>
            <w:tcW w:w="1054" w:type="pct"/>
            <w:tcBorders>
              <w:bottom w:val="single" w:sz="6" w:space="0" w:color="000000"/>
            </w:tcBorders>
            <w:shd w:val="clear" w:color="auto" w:fill="auto"/>
          </w:tcPr>
          <w:p w:rsidR="00543FF7" w:rsidRPr="00EC7976" w:rsidRDefault="00543FF7" w:rsidP="00991F4E">
            <w:pPr>
              <w:pStyle w:val="TableText"/>
              <w:keepNext/>
              <w:spacing w:before="20" w:after="20"/>
              <w:contextualSpacing/>
              <w:jc w:val="center"/>
              <w:rPr>
                <w:spacing w:val="-10"/>
                <w:szCs w:val="20"/>
              </w:rPr>
            </w:pPr>
            <w:r w:rsidRPr="00EC7976">
              <w:rPr>
                <w:spacing w:val="-10"/>
                <w:szCs w:val="20"/>
              </w:rPr>
              <w:t>19.1 (16.7; 21.5)</w:t>
            </w:r>
            <w:r w:rsidRPr="00EC7976">
              <w:rPr>
                <w:spacing w:val="-10"/>
                <w:szCs w:val="20"/>
              </w:rPr>
              <w:br/>
              <w:t>4.32</w:t>
            </w:r>
          </w:p>
        </w:tc>
        <w:tc>
          <w:tcPr>
            <w:tcW w:w="1055" w:type="pct"/>
            <w:gridSpan w:val="2"/>
            <w:tcBorders>
              <w:bottom w:val="single" w:sz="6" w:space="0" w:color="000000"/>
            </w:tcBorders>
          </w:tcPr>
          <w:p w:rsidR="00543FF7" w:rsidRPr="00EC7976" w:rsidRDefault="00543FF7" w:rsidP="00991F4E">
            <w:pPr>
              <w:pStyle w:val="TableText"/>
              <w:keepNext/>
              <w:spacing w:before="20" w:after="20"/>
              <w:contextualSpacing/>
              <w:jc w:val="center"/>
              <w:rPr>
                <w:spacing w:val="-10"/>
                <w:szCs w:val="20"/>
              </w:rPr>
            </w:pPr>
            <w:r w:rsidRPr="00EC7976">
              <w:rPr>
                <w:spacing w:val="-10"/>
                <w:szCs w:val="20"/>
              </w:rPr>
              <w:t>17.8 (12.9; 22.8)</w:t>
            </w:r>
            <w:r w:rsidRPr="00EC7976">
              <w:rPr>
                <w:spacing w:val="-10"/>
                <w:szCs w:val="20"/>
              </w:rPr>
              <w:br/>
              <w:t>7.34</w:t>
            </w:r>
          </w:p>
        </w:tc>
      </w:tr>
      <w:tr w:rsidR="00AA6CEF" w:rsidRPr="00EC7976" w:rsidTr="00AA6CEF">
        <w:trPr>
          <w:cantSplit/>
          <w:jc w:val="center"/>
        </w:trPr>
        <w:tc>
          <w:tcPr>
            <w:tcW w:w="783" w:type="pct"/>
            <w:tcBorders>
              <w:bottom w:val="single" w:sz="6" w:space="0" w:color="000000"/>
            </w:tcBorders>
            <w:shd w:val="clear" w:color="auto" w:fill="auto"/>
            <w:vAlign w:val="center"/>
          </w:tcPr>
          <w:p w:rsidR="00543FF7" w:rsidRPr="00EC7976" w:rsidRDefault="00543FF7" w:rsidP="00991F4E">
            <w:pPr>
              <w:pStyle w:val="TableText"/>
              <w:keepNext/>
              <w:spacing w:before="20" w:after="20"/>
              <w:contextualSpacing/>
              <w:rPr>
                <w:b/>
                <w:szCs w:val="20"/>
              </w:rPr>
            </w:pPr>
            <w:r w:rsidRPr="00EC7976">
              <w:rPr>
                <w:b/>
                <w:szCs w:val="20"/>
              </w:rPr>
              <w:t>C</w:t>
            </w:r>
            <w:r w:rsidR="003B4818">
              <w:rPr>
                <w:b/>
                <w:szCs w:val="20"/>
              </w:rPr>
              <w:t>L</w:t>
            </w:r>
            <w:r w:rsidRPr="00EC7976">
              <w:rPr>
                <w:szCs w:val="20"/>
                <w:vertAlign w:val="superscript"/>
              </w:rPr>
              <w:t>b</w:t>
            </w:r>
          </w:p>
        </w:tc>
        <w:tc>
          <w:tcPr>
            <w:tcW w:w="1054" w:type="pct"/>
            <w:tcBorders>
              <w:bottom w:val="single" w:sz="6" w:space="0" w:color="000000"/>
            </w:tcBorders>
            <w:shd w:val="clear" w:color="auto" w:fill="auto"/>
          </w:tcPr>
          <w:p w:rsidR="00543FF7" w:rsidRPr="00EC7976" w:rsidRDefault="00543FF7" w:rsidP="00991F4E">
            <w:pPr>
              <w:pStyle w:val="TableText"/>
              <w:keepNext/>
              <w:spacing w:before="20" w:after="20"/>
              <w:contextualSpacing/>
              <w:jc w:val="center"/>
              <w:rPr>
                <w:spacing w:val="-10"/>
                <w:szCs w:val="20"/>
              </w:rPr>
            </w:pPr>
            <w:r w:rsidRPr="00EC7976">
              <w:rPr>
                <w:spacing w:val="-10"/>
                <w:szCs w:val="20"/>
              </w:rPr>
              <w:t>0.04 (0.03; 0.05)</w:t>
            </w:r>
            <w:r w:rsidRPr="00EC7976">
              <w:rPr>
                <w:spacing w:val="-10"/>
                <w:szCs w:val="20"/>
              </w:rPr>
              <w:br/>
              <w:t>0.028</w:t>
            </w:r>
          </w:p>
        </w:tc>
        <w:tc>
          <w:tcPr>
            <w:tcW w:w="1055" w:type="pct"/>
            <w:tcBorders>
              <w:bottom w:val="single" w:sz="6" w:space="0" w:color="000000"/>
            </w:tcBorders>
            <w:shd w:val="clear" w:color="auto" w:fill="auto"/>
          </w:tcPr>
          <w:p w:rsidR="00543FF7" w:rsidRPr="00EC7976" w:rsidRDefault="00543FF7" w:rsidP="00991F4E">
            <w:pPr>
              <w:pStyle w:val="TableText"/>
              <w:keepNext/>
              <w:spacing w:before="20" w:after="20"/>
              <w:contextualSpacing/>
              <w:jc w:val="center"/>
              <w:rPr>
                <w:spacing w:val="-10"/>
                <w:szCs w:val="20"/>
              </w:rPr>
            </w:pPr>
            <w:r w:rsidRPr="00EC7976">
              <w:rPr>
                <w:spacing w:val="-10"/>
                <w:szCs w:val="20"/>
              </w:rPr>
              <w:t>0.02 (0.02; 0.03)</w:t>
            </w:r>
            <w:r w:rsidRPr="00EC7976">
              <w:rPr>
                <w:spacing w:val="-10"/>
                <w:szCs w:val="20"/>
              </w:rPr>
              <w:br/>
              <w:t>0.005</w:t>
            </w:r>
          </w:p>
        </w:tc>
        <w:tc>
          <w:tcPr>
            <w:tcW w:w="1054" w:type="pct"/>
            <w:tcBorders>
              <w:bottom w:val="single" w:sz="6" w:space="0" w:color="000000"/>
            </w:tcBorders>
            <w:shd w:val="clear" w:color="auto" w:fill="auto"/>
          </w:tcPr>
          <w:p w:rsidR="00543FF7" w:rsidRPr="00EC7976" w:rsidRDefault="00543FF7" w:rsidP="00991F4E">
            <w:pPr>
              <w:pStyle w:val="TableText"/>
              <w:keepNext/>
              <w:spacing w:before="20" w:after="20"/>
              <w:contextualSpacing/>
              <w:jc w:val="center"/>
              <w:rPr>
                <w:spacing w:val="-10"/>
                <w:szCs w:val="20"/>
              </w:rPr>
            </w:pPr>
            <w:r w:rsidRPr="00EC7976">
              <w:rPr>
                <w:spacing w:val="-10"/>
                <w:szCs w:val="20"/>
              </w:rPr>
              <w:t>0.03 (0.02; 0.03)</w:t>
            </w:r>
            <w:r w:rsidRPr="00EC7976">
              <w:rPr>
                <w:spacing w:val="-10"/>
                <w:szCs w:val="20"/>
              </w:rPr>
              <w:br/>
              <w:t>0.009</w:t>
            </w:r>
          </w:p>
        </w:tc>
        <w:tc>
          <w:tcPr>
            <w:tcW w:w="1055" w:type="pct"/>
            <w:gridSpan w:val="2"/>
            <w:tcBorders>
              <w:bottom w:val="single" w:sz="6" w:space="0" w:color="000000"/>
            </w:tcBorders>
          </w:tcPr>
          <w:p w:rsidR="00543FF7" w:rsidRPr="00EC7976" w:rsidRDefault="00543FF7" w:rsidP="00991F4E">
            <w:pPr>
              <w:pStyle w:val="TableText"/>
              <w:keepNext/>
              <w:spacing w:before="20" w:after="20"/>
              <w:contextualSpacing/>
              <w:jc w:val="center"/>
              <w:rPr>
                <w:spacing w:val="-10"/>
                <w:szCs w:val="20"/>
              </w:rPr>
            </w:pPr>
            <w:r w:rsidRPr="00EC7976">
              <w:rPr>
                <w:spacing w:val="-10"/>
                <w:szCs w:val="20"/>
              </w:rPr>
              <w:t>0.03 (0.02; 0.04)</w:t>
            </w:r>
            <w:r w:rsidRPr="00EC7976">
              <w:rPr>
                <w:spacing w:val="-10"/>
                <w:szCs w:val="20"/>
              </w:rPr>
              <w:br/>
              <w:t>0.011</w:t>
            </w:r>
          </w:p>
        </w:tc>
      </w:tr>
      <w:tr w:rsidR="00AA6CEF" w:rsidRPr="00EC7976" w:rsidTr="00AA6CEF">
        <w:trPr>
          <w:cantSplit/>
          <w:jc w:val="center"/>
        </w:trPr>
        <w:tc>
          <w:tcPr>
            <w:tcW w:w="783" w:type="pct"/>
            <w:tcBorders>
              <w:bottom w:val="single" w:sz="6" w:space="0" w:color="000000"/>
            </w:tcBorders>
            <w:shd w:val="clear" w:color="auto" w:fill="auto"/>
            <w:vAlign w:val="center"/>
          </w:tcPr>
          <w:p w:rsidR="00543FF7" w:rsidRPr="00EC7976" w:rsidRDefault="00543FF7" w:rsidP="00991F4E">
            <w:pPr>
              <w:pStyle w:val="TableText"/>
              <w:keepNext/>
              <w:spacing w:before="20" w:after="20"/>
              <w:contextualSpacing/>
              <w:rPr>
                <w:b/>
                <w:szCs w:val="20"/>
              </w:rPr>
            </w:pPr>
            <w:r w:rsidRPr="00EC7976">
              <w:rPr>
                <w:b/>
                <w:szCs w:val="20"/>
              </w:rPr>
              <w:t>IR at C</w:t>
            </w:r>
            <w:r w:rsidRPr="00EC7976">
              <w:rPr>
                <w:b/>
                <w:szCs w:val="20"/>
                <w:vertAlign w:val="subscript"/>
              </w:rPr>
              <w:t>max</w:t>
            </w:r>
            <w:r w:rsidRPr="00EC7976">
              <w:rPr>
                <w:szCs w:val="20"/>
                <w:vertAlign w:val="superscript"/>
              </w:rPr>
              <w:t>c</w:t>
            </w:r>
          </w:p>
        </w:tc>
        <w:tc>
          <w:tcPr>
            <w:tcW w:w="1054" w:type="pct"/>
            <w:tcBorders>
              <w:bottom w:val="single" w:sz="6" w:space="0" w:color="000000"/>
            </w:tcBorders>
            <w:shd w:val="clear" w:color="auto" w:fill="auto"/>
          </w:tcPr>
          <w:p w:rsidR="00543FF7" w:rsidRPr="00EC7976" w:rsidRDefault="00543FF7" w:rsidP="00991F4E">
            <w:pPr>
              <w:pStyle w:val="TableText"/>
              <w:keepNext/>
              <w:spacing w:before="20" w:after="20"/>
              <w:contextualSpacing/>
              <w:jc w:val="center"/>
              <w:rPr>
                <w:spacing w:val="-10"/>
                <w:szCs w:val="20"/>
              </w:rPr>
            </w:pPr>
            <w:r w:rsidRPr="00EC7976">
              <w:rPr>
                <w:spacing w:val="-10"/>
                <w:szCs w:val="20"/>
              </w:rPr>
              <w:t>1.7 (1.4; 2.0)</w:t>
            </w:r>
            <w:r w:rsidRPr="00EC7976">
              <w:rPr>
                <w:spacing w:val="-10"/>
                <w:szCs w:val="20"/>
              </w:rPr>
              <w:br/>
              <w:t>0.62</w:t>
            </w:r>
          </w:p>
        </w:tc>
        <w:tc>
          <w:tcPr>
            <w:tcW w:w="1055" w:type="pct"/>
            <w:tcBorders>
              <w:bottom w:val="single" w:sz="6" w:space="0" w:color="000000"/>
            </w:tcBorders>
            <w:shd w:val="clear" w:color="auto" w:fill="auto"/>
          </w:tcPr>
          <w:p w:rsidR="00543FF7" w:rsidRPr="00EC7976" w:rsidRDefault="00543FF7" w:rsidP="00991F4E">
            <w:pPr>
              <w:pStyle w:val="TableText"/>
              <w:keepNext/>
              <w:spacing w:before="20" w:after="20"/>
              <w:contextualSpacing/>
              <w:jc w:val="center"/>
              <w:rPr>
                <w:spacing w:val="-10"/>
                <w:szCs w:val="20"/>
              </w:rPr>
            </w:pPr>
            <w:r w:rsidRPr="00EC7976">
              <w:rPr>
                <w:spacing w:val="-10"/>
                <w:szCs w:val="20"/>
              </w:rPr>
              <w:t>1.9 (1.6; 2.1)</w:t>
            </w:r>
            <w:r w:rsidRPr="00EC7976">
              <w:rPr>
                <w:spacing w:val="-10"/>
                <w:szCs w:val="20"/>
              </w:rPr>
              <w:br/>
              <w:t>0.41</w:t>
            </w:r>
          </w:p>
        </w:tc>
        <w:tc>
          <w:tcPr>
            <w:tcW w:w="1054" w:type="pct"/>
            <w:tcBorders>
              <w:bottom w:val="single" w:sz="6" w:space="0" w:color="000000"/>
            </w:tcBorders>
            <w:shd w:val="clear" w:color="auto" w:fill="auto"/>
          </w:tcPr>
          <w:p w:rsidR="00543FF7" w:rsidRPr="00EC7976" w:rsidRDefault="00543FF7" w:rsidP="00991F4E">
            <w:pPr>
              <w:pStyle w:val="TableText"/>
              <w:keepNext/>
              <w:spacing w:before="20" w:after="20"/>
              <w:contextualSpacing/>
              <w:jc w:val="center"/>
              <w:rPr>
                <w:spacing w:val="-10"/>
                <w:szCs w:val="20"/>
              </w:rPr>
            </w:pPr>
            <w:r w:rsidRPr="00EC7976">
              <w:rPr>
                <w:spacing w:val="-10"/>
                <w:szCs w:val="20"/>
              </w:rPr>
              <w:t>2.0 (1.7; 2.2)</w:t>
            </w:r>
            <w:r w:rsidRPr="00EC7976">
              <w:rPr>
                <w:spacing w:val="-10"/>
                <w:szCs w:val="20"/>
              </w:rPr>
              <w:br/>
              <w:t>0.39</w:t>
            </w:r>
          </w:p>
        </w:tc>
        <w:tc>
          <w:tcPr>
            <w:tcW w:w="1055" w:type="pct"/>
            <w:gridSpan w:val="2"/>
            <w:tcBorders>
              <w:bottom w:val="single" w:sz="6" w:space="0" w:color="000000"/>
            </w:tcBorders>
          </w:tcPr>
          <w:p w:rsidR="00543FF7" w:rsidRPr="00EC7976" w:rsidRDefault="00543FF7" w:rsidP="00991F4E">
            <w:pPr>
              <w:pStyle w:val="TableText"/>
              <w:keepNext/>
              <w:spacing w:before="20" w:after="20"/>
              <w:contextualSpacing/>
              <w:jc w:val="center"/>
              <w:rPr>
                <w:spacing w:val="-10"/>
                <w:szCs w:val="20"/>
              </w:rPr>
            </w:pPr>
            <w:r w:rsidRPr="00EC7976">
              <w:rPr>
                <w:spacing w:val="-10"/>
                <w:szCs w:val="20"/>
              </w:rPr>
              <w:t>2.0 (1.7; 2.3)</w:t>
            </w:r>
            <w:r w:rsidRPr="00EC7976">
              <w:rPr>
                <w:spacing w:val="-10"/>
                <w:szCs w:val="20"/>
              </w:rPr>
              <w:br/>
              <w:t>0.45</w:t>
            </w:r>
          </w:p>
        </w:tc>
      </w:tr>
      <w:tr w:rsidR="00AA6CEF" w:rsidRPr="00EC7976" w:rsidTr="00AA6CEF">
        <w:trPr>
          <w:cantSplit/>
          <w:jc w:val="center"/>
        </w:trPr>
        <w:tc>
          <w:tcPr>
            <w:tcW w:w="783" w:type="pct"/>
            <w:tcBorders>
              <w:bottom w:val="single" w:sz="4" w:space="0" w:color="auto"/>
            </w:tcBorders>
            <w:shd w:val="clear" w:color="auto" w:fill="auto"/>
            <w:vAlign w:val="center"/>
          </w:tcPr>
          <w:p w:rsidR="00543FF7" w:rsidRPr="00EC7976" w:rsidRDefault="00543FF7" w:rsidP="00991F4E">
            <w:pPr>
              <w:pStyle w:val="TableText"/>
              <w:keepNext/>
              <w:spacing w:before="20" w:after="20"/>
              <w:contextualSpacing/>
              <w:rPr>
                <w:b/>
                <w:szCs w:val="20"/>
              </w:rPr>
            </w:pPr>
            <w:r w:rsidRPr="00EC7976">
              <w:rPr>
                <w:b/>
                <w:szCs w:val="20"/>
              </w:rPr>
              <w:t>AUC</w:t>
            </w:r>
            <w:r w:rsidRPr="00EC7976">
              <w:rPr>
                <w:b/>
                <w:szCs w:val="20"/>
                <w:vertAlign w:val="subscript"/>
              </w:rPr>
              <w:t>0-inf</w:t>
            </w:r>
            <w:r w:rsidRPr="00EC7976">
              <w:rPr>
                <w:szCs w:val="20"/>
                <w:vertAlign w:val="superscript"/>
              </w:rPr>
              <w:t>d</w:t>
            </w:r>
          </w:p>
        </w:tc>
        <w:tc>
          <w:tcPr>
            <w:tcW w:w="1054" w:type="pct"/>
            <w:tcBorders>
              <w:bottom w:val="single" w:sz="4" w:space="0" w:color="auto"/>
            </w:tcBorders>
            <w:shd w:val="clear" w:color="auto" w:fill="auto"/>
          </w:tcPr>
          <w:p w:rsidR="00543FF7" w:rsidRPr="00EC7976" w:rsidRDefault="00543FF7" w:rsidP="00991F4E">
            <w:pPr>
              <w:pStyle w:val="TableText"/>
              <w:keepNext/>
              <w:spacing w:before="20" w:after="20"/>
              <w:contextualSpacing/>
              <w:jc w:val="center"/>
              <w:rPr>
                <w:spacing w:val="-10"/>
                <w:szCs w:val="20"/>
              </w:rPr>
            </w:pPr>
            <w:r w:rsidRPr="00EC7976">
              <w:rPr>
                <w:spacing w:val="-10"/>
                <w:szCs w:val="20"/>
              </w:rPr>
              <w:t>1541.4 (1295.7; 1787.2)</w:t>
            </w:r>
            <w:r w:rsidRPr="00EC7976">
              <w:rPr>
                <w:spacing w:val="-10"/>
                <w:szCs w:val="20"/>
              </w:rPr>
              <w:br/>
              <w:t>554.31</w:t>
            </w:r>
          </w:p>
        </w:tc>
        <w:tc>
          <w:tcPr>
            <w:tcW w:w="1055" w:type="pct"/>
            <w:tcBorders>
              <w:bottom w:val="single" w:sz="4" w:space="0" w:color="auto"/>
            </w:tcBorders>
            <w:shd w:val="clear" w:color="auto" w:fill="auto"/>
          </w:tcPr>
          <w:p w:rsidR="00543FF7" w:rsidRPr="00EC7976" w:rsidRDefault="00543FF7" w:rsidP="00991F4E">
            <w:pPr>
              <w:pStyle w:val="TableText"/>
              <w:keepNext/>
              <w:spacing w:before="20" w:after="20"/>
              <w:contextualSpacing/>
              <w:jc w:val="center"/>
              <w:rPr>
                <w:spacing w:val="-10"/>
                <w:szCs w:val="20"/>
              </w:rPr>
            </w:pPr>
            <w:r w:rsidRPr="00EC7976">
              <w:rPr>
                <w:spacing w:val="-10"/>
                <w:szCs w:val="20"/>
              </w:rPr>
              <w:t>2105.4 (1858.6; 2352.3)</w:t>
            </w:r>
            <w:r w:rsidRPr="00EC7976">
              <w:rPr>
                <w:spacing w:val="-10"/>
                <w:szCs w:val="20"/>
              </w:rPr>
              <w:br/>
              <w:t>427.51</w:t>
            </w:r>
          </w:p>
        </w:tc>
        <w:tc>
          <w:tcPr>
            <w:tcW w:w="1054" w:type="pct"/>
            <w:tcBorders>
              <w:bottom w:val="single" w:sz="4" w:space="0" w:color="auto"/>
            </w:tcBorders>
            <w:shd w:val="clear" w:color="auto" w:fill="auto"/>
          </w:tcPr>
          <w:p w:rsidR="00543FF7" w:rsidRPr="00EC7976" w:rsidRDefault="00543FF7" w:rsidP="00991F4E">
            <w:pPr>
              <w:pStyle w:val="TableText"/>
              <w:keepNext/>
              <w:spacing w:before="20" w:after="20"/>
              <w:contextualSpacing/>
              <w:jc w:val="center"/>
              <w:rPr>
                <w:spacing w:val="-10"/>
                <w:szCs w:val="20"/>
              </w:rPr>
            </w:pPr>
            <w:r w:rsidRPr="00EC7976">
              <w:rPr>
                <w:spacing w:val="-10"/>
                <w:szCs w:val="20"/>
              </w:rPr>
              <w:t>2939.0 (2533.2; 3344.8)</w:t>
            </w:r>
            <w:r w:rsidRPr="00EC7976">
              <w:rPr>
                <w:spacing w:val="-10"/>
                <w:szCs w:val="20"/>
              </w:rPr>
              <w:br/>
              <w:t>732.72</w:t>
            </w:r>
          </w:p>
        </w:tc>
        <w:tc>
          <w:tcPr>
            <w:tcW w:w="1055" w:type="pct"/>
            <w:gridSpan w:val="2"/>
            <w:tcBorders>
              <w:bottom w:val="single" w:sz="4" w:space="0" w:color="auto"/>
            </w:tcBorders>
          </w:tcPr>
          <w:p w:rsidR="00543FF7" w:rsidRPr="00EC7976" w:rsidRDefault="00543FF7" w:rsidP="00991F4E">
            <w:pPr>
              <w:pStyle w:val="TableText"/>
              <w:keepNext/>
              <w:spacing w:before="20" w:after="20"/>
              <w:contextualSpacing/>
              <w:jc w:val="center"/>
              <w:rPr>
                <w:spacing w:val="-10"/>
                <w:szCs w:val="20"/>
              </w:rPr>
            </w:pPr>
            <w:r w:rsidRPr="00EC7976">
              <w:rPr>
                <w:spacing w:val="-10"/>
                <w:szCs w:val="20"/>
              </w:rPr>
              <w:t>1834.4 (1259.0; 2409.7)</w:t>
            </w:r>
            <w:r w:rsidRPr="00EC7976">
              <w:rPr>
                <w:spacing w:val="-10"/>
                <w:szCs w:val="20"/>
              </w:rPr>
              <w:br/>
              <w:t>856.45</w:t>
            </w:r>
          </w:p>
        </w:tc>
      </w:tr>
      <w:tr w:rsidR="00AA6CEF" w:rsidRPr="00EC7976" w:rsidTr="00AA6CEF">
        <w:trPr>
          <w:cantSplit/>
          <w:jc w:val="center"/>
        </w:trPr>
        <w:tc>
          <w:tcPr>
            <w:tcW w:w="783" w:type="pct"/>
            <w:tcBorders>
              <w:bottom w:val="single" w:sz="4" w:space="0" w:color="auto"/>
            </w:tcBorders>
            <w:shd w:val="clear" w:color="auto" w:fill="auto"/>
            <w:vAlign w:val="center"/>
          </w:tcPr>
          <w:p w:rsidR="00543FF7" w:rsidRPr="00EC7976" w:rsidRDefault="00543FF7" w:rsidP="00A21367">
            <w:pPr>
              <w:pStyle w:val="TableText"/>
              <w:spacing w:before="20" w:after="20"/>
              <w:contextualSpacing/>
              <w:rPr>
                <w:b/>
                <w:szCs w:val="20"/>
              </w:rPr>
            </w:pPr>
            <w:r w:rsidRPr="00EC7976">
              <w:rPr>
                <w:b/>
                <w:szCs w:val="20"/>
              </w:rPr>
              <w:t>AUC</w:t>
            </w:r>
            <w:r w:rsidRPr="00EC7976">
              <w:rPr>
                <w:b/>
                <w:szCs w:val="20"/>
                <w:vertAlign w:val="subscript"/>
              </w:rPr>
              <w:t>0-inf</w:t>
            </w:r>
            <w:r w:rsidRPr="00EC7976">
              <w:rPr>
                <w:b/>
                <w:szCs w:val="20"/>
              </w:rPr>
              <w:t>/Dose</w:t>
            </w:r>
            <w:r w:rsidRPr="00EC7976">
              <w:rPr>
                <w:szCs w:val="20"/>
                <w:vertAlign w:val="superscript"/>
              </w:rPr>
              <w:t>e</w:t>
            </w:r>
          </w:p>
        </w:tc>
        <w:tc>
          <w:tcPr>
            <w:tcW w:w="1054" w:type="pct"/>
            <w:tcBorders>
              <w:bottom w:val="single" w:sz="4" w:space="0" w:color="auto"/>
            </w:tcBorders>
            <w:shd w:val="clear" w:color="auto" w:fill="auto"/>
          </w:tcPr>
          <w:p w:rsidR="00543FF7" w:rsidRPr="00EC7976" w:rsidRDefault="00543FF7" w:rsidP="00A21367">
            <w:pPr>
              <w:pStyle w:val="TableText"/>
              <w:spacing w:before="20" w:after="20"/>
              <w:contextualSpacing/>
              <w:jc w:val="center"/>
              <w:rPr>
                <w:spacing w:val="-10"/>
                <w:szCs w:val="20"/>
              </w:rPr>
            </w:pPr>
            <w:r w:rsidRPr="00EC7976">
              <w:rPr>
                <w:spacing w:val="-10"/>
                <w:szCs w:val="20"/>
              </w:rPr>
              <w:t>33.4 (27.2; 39.5)</w:t>
            </w:r>
            <w:r w:rsidRPr="00EC7976">
              <w:rPr>
                <w:spacing w:val="-10"/>
                <w:szCs w:val="20"/>
              </w:rPr>
              <w:br/>
              <w:t>13.87</w:t>
            </w:r>
          </w:p>
        </w:tc>
        <w:tc>
          <w:tcPr>
            <w:tcW w:w="1055" w:type="pct"/>
            <w:tcBorders>
              <w:bottom w:val="single" w:sz="4" w:space="0" w:color="auto"/>
            </w:tcBorders>
            <w:shd w:val="clear" w:color="auto" w:fill="auto"/>
          </w:tcPr>
          <w:p w:rsidR="00543FF7" w:rsidRPr="00EC7976" w:rsidRDefault="00543FF7" w:rsidP="00A21367">
            <w:pPr>
              <w:pStyle w:val="TableText"/>
              <w:spacing w:before="20" w:after="20"/>
              <w:contextualSpacing/>
              <w:jc w:val="center"/>
              <w:rPr>
                <w:spacing w:val="-10"/>
                <w:szCs w:val="20"/>
              </w:rPr>
            </w:pPr>
            <w:r w:rsidRPr="00EC7976">
              <w:rPr>
                <w:spacing w:val="-10"/>
                <w:szCs w:val="20"/>
              </w:rPr>
              <w:t>42.1 (37.3; 46.9)</w:t>
            </w:r>
            <w:r w:rsidRPr="00EC7976">
              <w:rPr>
                <w:spacing w:val="-10"/>
                <w:szCs w:val="20"/>
              </w:rPr>
              <w:br/>
              <w:t>8.31</w:t>
            </w:r>
          </w:p>
        </w:tc>
        <w:tc>
          <w:tcPr>
            <w:tcW w:w="1054" w:type="pct"/>
            <w:tcBorders>
              <w:bottom w:val="single" w:sz="4" w:space="0" w:color="auto"/>
            </w:tcBorders>
            <w:shd w:val="clear" w:color="auto" w:fill="auto"/>
          </w:tcPr>
          <w:p w:rsidR="00543FF7" w:rsidRPr="00EC7976" w:rsidRDefault="00543FF7" w:rsidP="00A21367">
            <w:pPr>
              <w:pStyle w:val="TableText"/>
              <w:spacing w:before="20" w:after="20"/>
              <w:contextualSpacing/>
              <w:jc w:val="center"/>
              <w:rPr>
                <w:spacing w:val="-10"/>
                <w:szCs w:val="20"/>
              </w:rPr>
            </w:pPr>
            <w:r w:rsidRPr="00EC7976">
              <w:rPr>
                <w:spacing w:val="-10"/>
                <w:szCs w:val="20"/>
              </w:rPr>
              <w:t>36.8 (31.8; 41.8)</w:t>
            </w:r>
            <w:r w:rsidRPr="00EC7976">
              <w:rPr>
                <w:spacing w:val="-10"/>
                <w:szCs w:val="20"/>
              </w:rPr>
              <w:br/>
              <w:t>8.97</w:t>
            </w:r>
          </w:p>
        </w:tc>
        <w:tc>
          <w:tcPr>
            <w:tcW w:w="1055" w:type="pct"/>
            <w:gridSpan w:val="2"/>
            <w:tcBorders>
              <w:bottom w:val="single" w:sz="4" w:space="0" w:color="auto"/>
            </w:tcBorders>
          </w:tcPr>
          <w:p w:rsidR="00543FF7" w:rsidRPr="00EC7976" w:rsidRDefault="00543FF7" w:rsidP="00A21367">
            <w:pPr>
              <w:pStyle w:val="TableText"/>
              <w:spacing w:before="20" w:after="20"/>
              <w:contextualSpacing/>
              <w:jc w:val="center"/>
              <w:rPr>
                <w:spacing w:val="-10"/>
                <w:szCs w:val="20"/>
              </w:rPr>
            </w:pPr>
            <w:r w:rsidRPr="00EC7976">
              <w:rPr>
                <w:spacing w:val="-10"/>
                <w:szCs w:val="20"/>
              </w:rPr>
              <w:t>37.5 (25.3; 49.7)</w:t>
            </w:r>
            <w:r w:rsidRPr="00EC7976">
              <w:rPr>
                <w:spacing w:val="-10"/>
                <w:szCs w:val="20"/>
              </w:rPr>
              <w:br/>
              <w:t>18.14</w:t>
            </w:r>
          </w:p>
        </w:tc>
      </w:tr>
      <w:tr w:rsidR="003E21E2" w:rsidRPr="00CB2A4A" w:rsidTr="00A21367">
        <w:trPr>
          <w:gridAfter w:val="1"/>
          <w:wAfter w:w="6" w:type="pct"/>
          <w:cantSplit/>
          <w:trHeight w:val="1330"/>
          <w:jc w:val="center"/>
        </w:trPr>
        <w:tc>
          <w:tcPr>
            <w:tcW w:w="4994" w:type="pct"/>
            <w:gridSpan w:val="5"/>
            <w:tcBorders>
              <w:top w:val="single" w:sz="4" w:space="0" w:color="auto"/>
              <w:left w:val="nil"/>
              <w:bottom w:val="nil"/>
              <w:right w:val="nil"/>
            </w:tcBorders>
            <w:shd w:val="clear" w:color="auto" w:fill="auto"/>
          </w:tcPr>
          <w:p w:rsidR="003E21E2" w:rsidRPr="00EC7976" w:rsidRDefault="00FA2DCB" w:rsidP="00991F4E">
            <w:pPr>
              <w:pStyle w:val="TableFootnote"/>
              <w:tabs>
                <w:tab w:val="clear" w:pos="216"/>
                <w:tab w:val="left" w:pos="57"/>
              </w:tabs>
              <w:spacing w:before="20" w:after="20"/>
              <w:ind w:left="113" w:hanging="113"/>
              <w:contextualSpacing/>
            </w:pPr>
            <w:r w:rsidRPr="00EC7976">
              <w:rPr>
                <w:vertAlign w:val="superscript"/>
              </w:rPr>
              <w:lastRenderedPageBreak/>
              <w:t>a</w:t>
            </w:r>
            <w:r w:rsidR="00EC7976">
              <w:t xml:space="preserve"> </w:t>
            </w:r>
            <w:r w:rsidRPr="00EC7976">
              <w:t xml:space="preserve">[hours], </w:t>
            </w:r>
            <w:r w:rsidRPr="00EC7976">
              <w:rPr>
                <w:vertAlign w:val="superscript"/>
              </w:rPr>
              <w:t>b</w:t>
            </w:r>
            <w:r w:rsidR="00EC7976">
              <w:t xml:space="preserve"> </w:t>
            </w:r>
            <w:r w:rsidRPr="00EC7976">
              <w:t xml:space="preserve">[dL/kg/hours], </w:t>
            </w:r>
            <w:r w:rsidRPr="00EC7976">
              <w:rPr>
                <w:vertAlign w:val="superscript"/>
              </w:rPr>
              <w:t>c</w:t>
            </w:r>
            <w:r w:rsidR="00EC7976">
              <w:t xml:space="preserve"> </w:t>
            </w:r>
            <w:r w:rsidRPr="00EC7976">
              <w:t>[(U/dL)/(U VWF:RCo/kg)]</w:t>
            </w:r>
            <w:r w:rsidR="00EC7976">
              <w:t>,</w:t>
            </w:r>
            <w:r w:rsidRPr="00EC7976">
              <w:t xml:space="preserve"> </w:t>
            </w:r>
            <w:r w:rsidRPr="00EC7976">
              <w:rPr>
                <w:vertAlign w:val="superscript"/>
              </w:rPr>
              <w:t>d</w:t>
            </w:r>
            <w:r w:rsidR="00EC7976">
              <w:t xml:space="preserve"> </w:t>
            </w:r>
            <w:r w:rsidRPr="00EC7976">
              <w:t>[(h*U/dL)]</w:t>
            </w:r>
            <w:r w:rsidR="00EC7976">
              <w:t>,</w:t>
            </w:r>
            <w:r w:rsidRPr="00EC7976">
              <w:t xml:space="preserve"> </w:t>
            </w:r>
            <w:r w:rsidRPr="00EC7976">
              <w:rPr>
                <w:vertAlign w:val="superscript"/>
              </w:rPr>
              <w:t>e</w:t>
            </w:r>
            <w:r w:rsidR="00EC7976">
              <w:t xml:space="preserve"> </w:t>
            </w:r>
            <w:r w:rsidRPr="00EC7976">
              <w:t>[(h*U/dL)/(U VWF:RCo/kg)]</w:t>
            </w:r>
          </w:p>
          <w:p w:rsidR="00B85199" w:rsidRPr="00EC7976" w:rsidRDefault="004055CA" w:rsidP="00991F4E">
            <w:pPr>
              <w:pStyle w:val="TableFootnote"/>
              <w:tabs>
                <w:tab w:val="clear" w:pos="216"/>
                <w:tab w:val="left" w:pos="57"/>
              </w:tabs>
              <w:spacing w:before="20" w:after="20"/>
              <w:ind w:left="113" w:right="8" w:hanging="113"/>
              <w:contextualSpacing/>
            </w:pPr>
            <w:r w:rsidRPr="00EC7976">
              <w:rPr>
                <w:vertAlign w:val="superscript"/>
              </w:rPr>
              <w:t>f</w:t>
            </w:r>
            <w:r w:rsidR="00EC7976">
              <w:rPr>
                <w:vertAlign w:val="superscript"/>
              </w:rPr>
              <w:t xml:space="preserve">  </w:t>
            </w:r>
            <w:r w:rsidR="00B85199" w:rsidRPr="00EC7976">
              <w:t xml:space="preserve">VWF:RCo assays with different sensitivity and working ranges were used: </w:t>
            </w:r>
            <w:r w:rsidR="00EC7976">
              <w:br/>
            </w:r>
            <w:r w:rsidR="00B85199" w:rsidRPr="00EC7976">
              <w:t>Phase</w:t>
            </w:r>
            <w:r w:rsidR="00872454" w:rsidRPr="00EC7976">
              <w:t> </w:t>
            </w:r>
            <w:r w:rsidR="00B85199" w:rsidRPr="00EC7976">
              <w:t>1: automated assay 0.08 – 1.50</w:t>
            </w:r>
            <w:r w:rsidR="00E04BE7" w:rsidRPr="00EC7976">
              <w:t> IU</w:t>
            </w:r>
            <w:r w:rsidR="00B85199" w:rsidRPr="00EC7976">
              <w:t>/</w:t>
            </w:r>
            <w:r w:rsidR="00391F9A" w:rsidRPr="00EC7976">
              <w:t>mL</w:t>
            </w:r>
            <w:r w:rsidR="00B85199" w:rsidRPr="00EC7976">
              <w:t xml:space="preserve"> and sensitive manual assay 0.01 – 0.08</w:t>
            </w:r>
            <w:r w:rsidR="00E04BE7" w:rsidRPr="00EC7976">
              <w:t> IU</w:t>
            </w:r>
            <w:r w:rsidR="00B85199" w:rsidRPr="00EC7976">
              <w:t>/</w:t>
            </w:r>
            <w:r w:rsidR="00391F9A" w:rsidRPr="00EC7976">
              <w:t>mL</w:t>
            </w:r>
            <w:r w:rsidR="00B85199" w:rsidRPr="00EC7976">
              <w:t xml:space="preserve">; </w:t>
            </w:r>
            <w:r w:rsidR="00EC7976">
              <w:br/>
            </w:r>
            <w:r w:rsidR="00B85199" w:rsidRPr="00EC7976">
              <w:t>Phase</w:t>
            </w:r>
            <w:r w:rsidR="00872454" w:rsidRPr="00EC7976">
              <w:t> </w:t>
            </w:r>
            <w:r w:rsidR="00B85199" w:rsidRPr="00EC7976">
              <w:t>3: automated assay 0.08 – 1.50</w:t>
            </w:r>
            <w:r w:rsidR="00E04BE7" w:rsidRPr="00EC7976">
              <w:t> IU</w:t>
            </w:r>
            <w:r w:rsidR="00B85199" w:rsidRPr="00EC7976">
              <w:t>/</w:t>
            </w:r>
            <w:r w:rsidR="00391F9A" w:rsidRPr="00EC7976">
              <w:t>mL</w:t>
            </w:r>
          </w:p>
          <w:p w:rsidR="00B85199" w:rsidRPr="00C72D48" w:rsidRDefault="005D56D0" w:rsidP="00991F4E">
            <w:pPr>
              <w:pStyle w:val="TableFootnote"/>
              <w:tabs>
                <w:tab w:val="clear" w:pos="216"/>
                <w:tab w:val="left" w:pos="57"/>
              </w:tabs>
              <w:spacing w:before="20" w:after="20"/>
              <w:ind w:left="113" w:hanging="113"/>
              <w:contextualSpacing/>
              <w:rPr>
                <w:vertAlign w:val="superscript"/>
              </w:rPr>
            </w:pPr>
            <w:r w:rsidRPr="00EC7976">
              <w:rPr>
                <w:vertAlign w:val="superscript"/>
              </w:rPr>
              <w:t>g</w:t>
            </w:r>
            <w:r w:rsidR="00B85199" w:rsidRPr="00EC7976">
              <w:t xml:space="preserve"> This trial was done us</w:t>
            </w:r>
            <w:r w:rsidR="002130BB" w:rsidRPr="00EC7976">
              <w:t>ing ADVATE, a rF</w:t>
            </w:r>
            <w:r w:rsidR="00B85199" w:rsidRPr="00EC7976">
              <w:t>VIII</w:t>
            </w:r>
          </w:p>
        </w:tc>
      </w:tr>
    </w:tbl>
    <w:p w:rsidR="009966BE" w:rsidRDefault="004055CA" w:rsidP="007B162C">
      <w:pPr>
        <w:pStyle w:val="BodytextAgency"/>
        <w:keepLines/>
        <w:spacing w:before="120" w:after="120" w:line="240" w:lineRule="auto"/>
        <w:rPr>
          <w:rFonts w:ascii="Times New Roman" w:hAnsi="Times New Roman" w:cs="Times New Roman"/>
          <w:noProof/>
          <w:sz w:val="24"/>
          <w:szCs w:val="24"/>
        </w:rPr>
      </w:pPr>
      <w:r w:rsidRPr="00856344">
        <w:rPr>
          <w:rFonts w:ascii="Times New Roman" w:hAnsi="Times New Roman" w:cs="Times New Roman"/>
          <w:noProof/>
          <w:sz w:val="24"/>
          <w:szCs w:val="24"/>
        </w:rPr>
        <w:t xml:space="preserve">An exploratory analysis of combined data from studies 070701 and 071001 indicated a </w:t>
      </w:r>
      <w:r w:rsidR="00BA22F0">
        <w:rPr>
          <w:rFonts w:ascii="Times New Roman" w:hAnsi="Times New Roman" w:cs="Times New Roman"/>
          <w:noProof/>
          <w:sz w:val="24"/>
          <w:szCs w:val="24"/>
        </w:rPr>
        <w:t>statistically significant (at the 5% level) longer mea</w:t>
      </w:r>
      <w:r w:rsidRPr="00856344">
        <w:rPr>
          <w:rFonts w:ascii="Times New Roman" w:hAnsi="Times New Roman" w:cs="Times New Roman"/>
          <w:noProof/>
          <w:sz w:val="24"/>
          <w:szCs w:val="24"/>
        </w:rPr>
        <w:t>n residence time,</w:t>
      </w:r>
      <w:r w:rsidR="00BA22F0">
        <w:rPr>
          <w:rFonts w:ascii="Times New Roman" w:hAnsi="Times New Roman" w:cs="Times New Roman"/>
          <w:noProof/>
          <w:sz w:val="24"/>
          <w:szCs w:val="24"/>
        </w:rPr>
        <w:t xml:space="preserve"> </w:t>
      </w:r>
      <w:r w:rsidR="00BA22F0" w:rsidRPr="00856344">
        <w:rPr>
          <w:rFonts w:ascii="Times New Roman" w:hAnsi="Times New Roman" w:cs="Times New Roman"/>
          <w:noProof/>
          <w:sz w:val="24"/>
          <w:szCs w:val="24"/>
        </w:rPr>
        <w:t xml:space="preserve">a </w:t>
      </w:r>
      <w:r w:rsidR="00BA22F0">
        <w:rPr>
          <w:rFonts w:ascii="Times New Roman" w:hAnsi="Times New Roman" w:cs="Times New Roman"/>
          <w:noProof/>
          <w:sz w:val="24"/>
          <w:szCs w:val="24"/>
        </w:rPr>
        <w:t>statistically significant (at the 5% level)</w:t>
      </w:r>
      <w:r w:rsidRPr="00856344">
        <w:rPr>
          <w:rFonts w:ascii="Times New Roman" w:hAnsi="Times New Roman" w:cs="Times New Roman"/>
          <w:noProof/>
          <w:sz w:val="24"/>
          <w:szCs w:val="24"/>
        </w:rPr>
        <w:t xml:space="preserve"> longer terminal half-life and larger AUC</w:t>
      </w:r>
      <w:r w:rsidRPr="00856344">
        <w:rPr>
          <w:rFonts w:ascii="Times New Roman" w:hAnsi="Times New Roman" w:cs="Times New Roman"/>
          <w:noProof/>
          <w:sz w:val="24"/>
          <w:szCs w:val="24"/>
          <w:vertAlign w:val="subscript"/>
        </w:rPr>
        <w:t>0-inf</w:t>
      </w:r>
      <w:r w:rsidRPr="00E7659C">
        <w:rPr>
          <w:rFonts w:ascii="Times New Roman" w:hAnsi="Times New Roman" w:cs="Times New Roman"/>
          <w:noProof/>
          <w:sz w:val="24"/>
          <w:szCs w:val="24"/>
        </w:rPr>
        <w:t xml:space="preserve"> </w:t>
      </w:r>
      <w:r w:rsidRPr="00856344">
        <w:rPr>
          <w:rFonts w:ascii="Times New Roman" w:hAnsi="Times New Roman" w:cs="Times New Roman"/>
          <w:noProof/>
          <w:sz w:val="24"/>
          <w:szCs w:val="24"/>
        </w:rPr>
        <w:t>regarding VWF:RCo following administration with VEYVONDI (50</w:t>
      </w:r>
      <w:r w:rsidR="00E04BE7" w:rsidRPr="00856344">
        <w:rPr>
          <w:rFonts w:ascii="Times New Roman" w:hAnsi="Times New Roman" w:cs="Times New Roman"/>
          <w:noProof/>
          <w:sz w:val="24"/>
          <w:szCs w:val="24"/>
        </w:rPr>
        <w:t> IU</w:t>
      </w:r>
      <w:r w:rsidRPr="00856344">
        <w:rPr>
          <w:rFonts w:ascii="Times New Roman" w:hAnsi="Times New Roman" w:cs="Times New Roman"/>
          <w:noProof/>
          <w:sz w:val="24"/>
          <w:szCs w:val="24"/>
        </w:rPr>
        <w:t xml:space="preserve">/kg VWF:RCo) and combined administration of VEYVONDI and </w:t>
      </w:r>
      <w:r w:rsidR="00B35081">
        <w:rPr>
          <w:rFonts w:ascii="Times New Roman" w:hAnsi="Times New Roman" w:cs="Times New Roman"/>
          <w:noProof/>
          <w:sz w:val="24"/>
          <w:szCs w:val="24"/>
        </w:rPr>
        <w:t xml:space="preserve">ADVATE </w:t>
      </w:r>
      <w:r w:rsidRPr="00856344">
        <w:rPr>
          <w:rFonts w:ascii="Times New Roman" w:hAnsi="Times New Roman" w:cs="Times New Roman"/>
          <w:noProof/>
          <w:sz w:val="24"/>
          <w:szCs w:val="24"/>
        </w:rPr>
        <w:t>(50</w:t>
      </w:r>
      <w:r w:rsidR="00E04BE7" w:rsidRPr="00856344">
        <w:rPr>
          <w:rFonts w:ascii="Times New Roman" w:hAnsi="Times New Roman" w:cs="Times New Roman"/>
          <w:noProof/>
          <w:sz w:val="24"/>
          <w:szCs w:val="24"/>
        </w:rPr>
        <w:t> IU</w:t>
      </w:r>
      <w:r w:rsidRPr="00856344">
        <w:rPr>
          <w:rFonts w:ascii="Times New Roman" w:hAnsi="Times New Roman" w:cs="Times New Roman"/>
          <w:noProof/>
          <w:sz w:val="24"/>
          <w:szCs w:val="24"/>
        </w:rPr>
        <w:t>/kg VWF:RCo and 38.5</w:t>
      </w:r>
      <w:r w:rsidR="00E04BE7" w:rsidRPr="00856344">
        <w:rPr>
          <w:rFonts w:ascii="Times New Roman" w:hAnsi="Times New Roman" w:cs="Times New Roman"/>
          <w:noProof/>
          <w:sz w:val="24"/>
          <w:szCs w:val="24"/>
        </w:rPr>
        <w:t> IU</w:t>
      </w:r>
      <w:r w:rsidRPr="00856344">
        <w:rPr>
          <w:rFonts w:ascii="Times New Roman" w:hAnsi="Times New Roman" w:cs="Times New Roman"/>
          <w:noProof/>
          <w:sz w:val="24"/>
          <w:szCs w:val="24"/>
        </w:rPr>
        <w:t>/kg rFVIII) than after administration of pdVWF and pdFVIII (50</w:t>
      </w:r>
      <w:r w:rsidR="00E04BE7" w:rsidRPr="00856344">
        <w:rPr>
          <w:rFonts w:ascii="Times New Roman" w:hAnsi="Times New Roman" w:cs="Times New Roman"/>
          <w:noProof/>
          <w:sz w:val="24"/>
          <w:szCs w:val="24"/>
        </w:rPr>
        <w:t> IU</w:t>
      </w:r>
      <w:r w:rsidRPr="00856344">
        <w:rPr>
          <w:rFonts w:ascii="Times New Roman" w:hAnsi="Times New Roman" w:cs="Times New Roman"/>
          <w:noProof/>
          <w:sz w:val="24"/>
          <w:szCs w:val="24"/>
        </w:rPr>
        <w:t>/kg pdVWF:RCo and 38.5</w:t>
      </w:r>
      <w:r w:rsidR="00E04BE7" w:rsidRPr="00856344">
        <w:rPr>
          <w:rFonts w:ascii="Times New Roman" w:hAnsi="Times New Roman" w:cs="Times New Roman"/>
          <w:noProof/>
          <w:sz w:val="24"/>
          <w:szCs w:val="24"/>
        </w:rPr>
        <w:t> IU</w:t>
      </w:r>
      <w:r w:rsidRPr="00856344">
        <w:rPr>
          <w:rFonts w:ascii="Times New Roman" w:hAnsi="Times New Roman" w:cs="Times New Roman"/>
          <w:noProof/>
          <w:sz w:val="24"/>
          <w:szCs w:val="24"/>
        </w:rPr>
        <w:t xml:space="preserve">/kg pdFVIII). </w:t>
      </w:r>
    </w:p>
    <w:p w:rsidR="00812D16" w:rsidRPr="00CB2A4A" w:rsidRDefault="0064542F" w:rsidP="007B162C">
      <w:pPr>
        <w:pStyle w:val="Heading2"/>
        <w:tabs>
          <w:tab w:val="clear" w:pos="907"/>
          <w:tab w:val="num" w:pos="851"/>
        </w:tabs>
        <w:spacing w:after="120"/>
        <w:ind w:left="851" w:hanging="851"/>
        <w:rPr>
          <w:noProof/>
          <w:szCs w:val="22"/>
        </w:rPr>
      </w:pPr>
      <w:r w:rsidRPr="0064542F">
        <w:t>PRECLINICAL SAFETY DATA</w:t>
      </w:r>
    </w:p>
    <w:p w:rsidR="00967A42" w:rsidRPr="00F20469" w:rsidRDefault="00967A42" w:rsidP="007B162C">
      <w:pPr>
        <w:pStyle w:val="Heading3"/>
        <w:numPr>
          <w:ilvl w:val="0"/>
          <w:numId w:val="0"/>
        </w:numPr>
        <w:spacing w:before="120" w:after="120"/>
        <w:ind w:left="907" w:hanging="907"/>
        <w:rPr>
          <w:i/>
          <w:iCs/>
        </w:rPr>
      </w:pPr>
      <w:r w:rsidRPr="00F20469">
        <w:rPr>
          <w:i/>
          <w:iCs/>
        </w:rPr>
        <w:t>Genotoxicity</w:t>
      </w:r>
    </w:p>
    <w:p w:rsidR="00967A42" w:rsidRPr="000A49F1" w:rsidRDefault="000A49F1" w:rsidP="007B162C">
      <w:pPr>
        <w:pStyle w:val="BodytextAgency"/>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Vonicog alfa was not mutagenic in bacterial reverse mutation assays, and was not clastogenic </w:t>
      </w:r>
      <w:r>
        <w:rPr>
          <w:rFonts w:ascii="Times New Roman" w:hAnsi="Times New Roman" w:cs="Times New Roman"/>
          <w:i/>
          <w:noProof/>
          <w:sz w:val="24"/>
          <w:szCs w:val="24"/>
        </w:rPr>
        <w:t>in vitro</w:t>
      </w:r>
      <w:r>
        <w:rPr>
          <w:rFonts w:ascii="Times New Roman" w:hAnsi="Times New Roman" w:cs="Times New Roman"/>
          <w:noProof/>
          <w:sz w:val="24"/>
          <w:szCs w:val="24"/>
        </w:rPr>
        <w:t xml:space="preserve"> in human lymphocytes or </w:t>
      </w:r>
      <w:r>
        <w:rPr>
          <w:rFonts w:ascii="Times New Roman" w:hAnsi="Times New Roman" w:cs="Times New Roman"/>
          <w:i/>
          <w:noProof/>
          <w:sz w:val="24"/>
          <w:szCs w:val="24"/>
        </w:rPr>
        <w:t>in vivo</w:t>
      </w:r>
      <w:r>
        <w:rPr>
          <w:rFonts w:ascii="Times New Roman" w:hAnsi="Times New Roman" w:cs="Times New Roman"/>
          <w:noProof/>
          <w:sz w:val="24"/>
          <w:szCs w:val="24"/>
        </w:rPr>
        <w:t xml:space="preserve"> in the mouse bone marrow micronucleus test. As a large protein molecule, vonicog alfa is not expected to interact with DNA or other chromosomal material.</w:t>
      </w:r>
    </w:p>
    <w:p w:rsidR="00967A42" w:rsidRPr="00F20469" w:rsidRDefault="00967A42" w:rsidP="007B162C">
      <w:pPr>
        <w:pStyle w:val="Heading3"/>
        <w:numPr>
          <w:ilvl w:val="0"/>
          <w:numId w:val="0"/>
        </w:numPr>
        <w:spacing w:before="120" w:after="120"/>
        <w:ind w:left="907" w:hanging="907"/>
        <w:rPr>
          <w:i/>
          <w:iCs/>
        </w:rPr>
      </w:pPr>
      <w:r w:rsidRPr="00F20469">
        <w:rPr>
          <w:i/>
          <w:iCs/>
        </w:rPr>
        <w:t>Carcinogenicity</w:t>
      </w:r>
    </w:p>
    <w:p w:rsidR="002C31FC" w:rsidRPr="00856344" w:rsidRDefault="000A49F1" w:rsidP="007B162C">
      <w:pPr>
        <w:pStyle w:val="BodytextAgency"/>
        <w:spacing w:before="120" w:after="120" w:line="240" w:lineRule="auto"/>
        <w:rPr>
          <w:rFonts w:ascii="Times New Roman" w:hAnsi="Times New Roman" w:cs="Times New Roman"/>
          <w:noProof/>
          <w:sz w:val="24"/>
          <w:szCs w:val="24"/>
        </w:rPr>
      </w:pPr>
      <w:r w:rsidRPr="000A49F1">
        <w:rPr>
          <w:rFonts w:ascii="Times New Roman" w:hAnsi="Times New Roman" w:cs="Times New Roman"/>
          <w:noProof/>
          <w:sz w:val="24"/>
          <w:szCs w:val="24"/>
        </w:rPr>
        <w:t xml:space="preserve">Carcinogenicity studies have not been conducted with vonicog alfa. Given the nature of the product, </w:t>
      </w:r>
      <w:r w:rsidR="009F0C23">
        <w:rPr>
          <w:rFonts w:ascii="Times New Roman" w:hAnsi="Times New Roman" w:cs="Times New Roman"/>
          <w:noProof/>
          <w:sz w:val="24"/>
          <w:szCs w:val="24"/>
        </w:rPr>
        <w:t xml:space="preserve">there is </w:t>
      </w:r>
      <w:r w:rsidRPr="000A49F1">
        <w:rPr>
          <w:rFonts w:ascii="Times New Roman" w:hAnsi="Times New Roman" w:cs="Times New Roman"/>
          <w:noProof/>
          <w:sz w:val="24"/>
          <w:szCs w:val="24"/>
        </w:rPr>
        <w:t>no particular concern for carcinogenicity in patients treated with vonicog alfa.</w:t>
      </w:r>
      <w:r w:rsidR="004F5A96" w:rsidRPr="00856344">
        <w:rPr>
          <w:rFonts w:ascii="Times New Roman" w:hAnsi="Times New Roman" w:cs="Times New Roman"/>
          <w:noProof/>
          <w:sz w:val="24"/>
          <w:szCs w:val="24"/>
        </w:rPr>
        <w:t xml:space="preserve"> </w:t>
      </w:r>
    </w:p>
    <w:p w:rsidR="00812D16" w:rsidRPr="0064542F" w:rsidRDefault="00812D16" w:rsidP="007B162C">
      <w:pPr>
        <w:pStyle w:val="Heading1"/>
      </w:pPr>
      <w:r w:rsidRPr="0064542F">
        <w:t>PHARMACEUTICAL PARTICULARS</w:t>
      </w:r>
    </w:p>
    <w:p w:rsidR="00812D16" w:rsidRPr="0064542F" w:rsidRDefault="0064542F" w:rsidP="007B162C">
      <w:pPr>
        <w:pStyle w:val="Heading2"/>
        <w:tabs>
          <w:tab w:val="clear" w:pos="907"/>
          <w:tab w:val="num" w:pos="851"/>
        </w:tabs>
        <w:spacing w:after="120"/>
        <w:ind w:left="851" w:hanging="851"/>
      </w:pPr>
      <w:bookmarkStart w:id="22" w:name="_Ref527042452"/>
      <w:r w:rsidRPr="0064542F">
        <w:t>LIST OF EXCIPIENTS</w:t>
      </w:r>
      <w:bookmarkEnd w:id="22"/>
    </w:p>
    <w:p w:rsidR="00DA5BE8" w:rsidRPr="00856344" w:rsidRDefault="00AF6495" w:rsidP="007B162C">
      <w:pPr>
        <w:pStyle w:val="BodytextAgency"/>
        <w:spacing w:before="120" w:after="120" w:line="240" w:lineRule="auto"/>
        <w:rPr>
          <w:rFonts w:ascii="Times New Roman" w:hAnsi="Times New Roman" w:cs="Times New Roman"/>
          <w:noProof/>
          <w:sz w:val="24"/>
          <w:szCs w:val="24"/>
        </w:rPr>
      </w:pPr>
      <w:r w:rsidRPr="00856344">
        <w:rPr>
          <w:rFonts w:ascii="Times New Roman" w:eastAsia="Times New Roman" w:hAnsi="Times New Roman" w:cs="Arial"/>
          <w:noProof/>
          <w:sz w:val="24"/>
          <w:szCs w:val="24"/>
          <w:u w:val="single"/>
          <w:lang w:val="en-US" w:eastAsia="en-US"/>
        </w:rPr>
        <w:t>Powder</w:t>
      </w:r>
      <w:r w:rsidR="00856344">
        <w:rPr>
          <w:rFonts w:ascii="Times New Roman" w:hAnsi="Times New Roman" w:cs="Times New Roman"/>
          <w:noProof/>
          <w:sz w:val="24"/>
          <w:szCs w:val="24"/>
        </w:rPr>
        <w:br/>
      </w:r>
      <w:r w:rsidR="009F5C5D" w:rsidRPr="00962F42">
        <w:rPr>
          <w:rFonts w:ascii="Times New Roman" w:hAnsi="Times New Roman" w:cs="Times New Roman"/>
          <w:noProof/>
          <w:sz w:val="24"/>
          <w:szCs w:val="24"/>
        </w:rPr>
        <w:t>Sodium citrate</w:t>
      </w:r>
      <w:r w:rsidR="00E334DE" w:rsidRPr="00962F42">
        <w:rPr>
          <w:rFonts w:ascii="Times New Roman" w:hAnsi="Times New Roman" w:cs="Times New Roman"/>
          <w:noProof/>
          <w:sz w:val="24"/>
          <w:szCs w:val="24"/>
        </w:rPr>
        <w:t xml:space="preserve"> dihydrate</w:t>
      </w:r>
      <w:r w:rsidR="00856344">
        <w:rPr>
          <w:rFonts w:ascii="Times New Roman" w:hAnsi="Times New Roman" w:cs="Times New Roman"/>
          <w:noProof/>
          <w:sz w:val="24"/>
          <w:szCs w:val="24"/>
        </w:rPr>
        <w:br/>
      </w:r>
      <w:r w:rsidR="00DA5BE8" w:rsidRPr="00856344">
        <w:rPr>
          <w:rFonts w:ascii="Times New Roman" w:hAnsi="Times New Roman" w:cs="Times New Roman"/>
          <w:noProof/>
          <w:sz w:val="24"/>
          <w:szCs w:val="24"/>
        </w:rPr>
        <w:t>Glycine</w:t>
      </w:r>
      <w:r w:rsidR="00856344">
        <w:rPr>
          <w:rFonts w:ascii="Times New Roman" w:hAnsi="Times New Roman" w:cs="Times New Roman"/>
          <w:noProof/>
          <w:sz w:val="24"/>
          <w:szCs w:val="24"/>
        </w:rPr>
        <w:br/>
      </w:r>
      <w:r w:rsidR="00DA5BE8" w:rsidRPr="009966BE">
        <w:rPr>
          <w:rFonts w:ascii="Times New Roman" w:hAnsi="Times New Roman" w:cs="Times New Roman"/>
          <w:noProof/>
          <w:sz w:val="24"/>
          <w:szCs w:val="24"/>
        </w:rPr>
        <w:t>Trehalose dihydrate</w:t>
      </w:r>
      <w:r w:rsidR="00856344">
        <w:rPr>
          <w:rFonts w:ascii="Times New Roman" w:hAnsi="Times New Roman" w:cs="Times New Roman"/>
          <w:noProof/>
          <w:sz w:val="24"/>
          <w:szCs w:val="24"/>
        </w:rPr>
        <w:br/>
      </w:r>
      <w:r w:rsidR="00DA5BE8" w:rsidRPr="00856344">
        <w:rPr>
          <w:rFonts w:ascii="Times New Roman" w:hAnsi="Times New Roman" w:cs="Times New Roman"/>
          <w:noProof/>
          <w:sz w:val="24"/>
          <w:szCs w:val="24"/>
        </w:rPr>
        <w:t>Mannitol</w:t>
      </w:r>
      <w:r w:rsidR="00856344">
        <w:rPr>
          <w:rFonts w:ascii="Times New Roman" w:hAnsi="Times New Roman" w:cs="Times New Roman"/>
          <w:noProof/>
          <w:sz w:val="24"/>
          <w:szCs w:val="24"/>
        </w:rPr>
        <w:br/>
      </w:r>
      <w:r w:rsidR="00DA5BE8" w:rsidRPr="00856344">
        <w:rPr>
          <w:rFonts w:ascii="Times New Roman" w:hAnsi="Times New Roman" w:cs="Times New Roman"/>
          <w:noProof/>
          <w:sz w:val="24"/>
          <w:szCs w:val="24"/>
        </w:rPr>
        <w:t>Polysorbate</w:t>
      </w:r>
      <w:r w:rsidR="00EA35B0" w:rsidRPr="00856344">
        <w:rPr>
          <w:rFonts w:ascii="Times New Roman" w:hAnsi="Times New Roman" w:cs="Times New Roman"/>
          <w:noProof/>
          <w:sz w:val="24"/>
          <w:szCs w:val="24"/>
        </w:rPr>
        <w:t> </w:t>
      </w:r>
      <w:r w:rsidR="00DA5BE8" w:rsidRPr="00856344">
        <w:rPr>
          <w:rFonts w:ascii="Times New Roman" w:hAnsi="Times New Roman" w:cs="Times New Roman"/>
          <w:noProof/>
          <w:sz w:val="24"/>
          <w:szCs w:val="24"/>
        </w:rPr>
        <w:t>80</w:t>
      </w:r>
    </w:p>
    <w:p w:rsidR="00AF6495" w:rsidRPr="00856344" w:rsidRDefault="00AF6495" w:rsidP="007B162C">
      <w:pPr>
        <w:pStyle w:val="BodytextAgency"/>
        <w:spacing w:before="120" w:after="120" w:line="240" w:lineRule="auto"/>
        <w:rPr>
          <w:rFonts w:ascii="Times New Roman" w:hAnsi="Times New Roman" w:cs="Times New Roman"/>
          <w:noProof/>
          <w:sz w:val="24"/>
          <w:szCs w:val="24"/>
        </w:rPr>
      </w:pPr>
      <w:r w:rsidRPr="00856344">
        <w:rPr>
          <w:rFonts w:ascii="Times New Roman" w:hAnsi="Times New Roman" w:cs="Times New Roman"/>
          <w:noProof/>
          <w:sz w:val="24"/>
          <w:szCs w:val="24"/>
          <w:u w:val="single"/>
        </w:rPr>
        <w:t>Solvent</w:t>
      </w:r>
      <w:r w:rsidR="00856344">
        <w:rPr>
          <w:rFonts w:ascii="Times New Roman" w:hAnsi="Times New Roman" w:cs="Times New Roman"/>
          <w:noProof/>
          <w:sz w:val="24"/>
          <w:szCs w:val="24"/>
        </w:rPr>
        <w:br/>
      </w:r>
      <w:r w:rsidR="00E334DE">
        <w:rPr>
          <w:rFonts w:ascii="Times New Roman" w:hAnsi="Times New Roman" w:cs="Times New Roman"/>
          <w:noProof/>
          <w:sz w:val="24"/>
          <w:szCs w:val="24"/>
        </w:rPr>
        <w:t>Water for i</w:t>
      </w:r>
      <w:r w:rsidRPr="00856344">
        <w:rPr>
          <w:rFonts w:ascii="Times New Roman" w:hAnsi="Times New Roman" w:cs="Times New Roman"/>
          <w:noProof/>
          <w:sz w:val="24"/>
          <w:szCs w:val="24"/>
        </w:rPr>
        <w:t>njections</w:t>
      </w:r>
    </w:p>
    <w:p w:rsidR="00812D16" w:rsidRPr="0064542F" w:rsidRDefault="0064542F" w:rsidP="007B162C">
      <w:pPr>
        <w:pStyle w:val="Heading2"/>
        <w:tabs>
          <w:tab w:val="clear" w:pos="907"/>
          <w:tab w:val="num" w:pos="851"/>
        </w:tabs>
        <w:spacing w:after="120"/>
        <w:ind w:left="851" w:hanging="851"/>
      </w:pPr>
      <w:bookmarkStart w:id="23" w:name="_Ref527116419"/>
      <w:r w:rsidRPr="0064542F">
        <w:t>INCOMPATIBILITIES</w:t>
      </w:r>
      <w:bookmarkEnd w:id="23"/>
    </w:p>
    <w:p w:rsidR="009966BE" w:rsidRDefault="009A4AA7" w:rsidP="009966BE">
      <w:pPr>
        <w:pStyle w:val="BodytextAgency"/>
        <w:spacing w:before="120" w:after="120" w:line="240" w:lineRule="auto"/>
        <w:rPr>
          <w:rFonts w:ascii="Times New Roman" w:hAnsi="Times New Roman" w:cs="Times New Roman"/>
          <w:noProof/>
          <w:sz w:val="24"/>
          <w:szCs w:val="24"/>
        </w:rPr>
      </w:pPr>
      <w:r w:rsidRPr="00856344">
        <w:rPr>
          <w:rFonts w:ascii="Times New Roman" w:hAnsi="Times New Roman" w:cs="Times New Roman"/>
          <w:noProof/>
          <w:sz w:val="24"/>
          <w:szCs w:val="24"/>
        </w:rPr>
        <w:t xml:space="preserve">Clinical and compatibility studies were conducted to administer </w:t>
      </w:r>
      <w:r w:rsidR="00B86C27">
        <w:rPr>
          <w:rFonts w:ascii="Times New Roman" w:hAnsi="Times New Roman" w:cs="Times New Roman"/>
          <w:noProof/>
          <w:sz w:val="24"/>
          <w:szCs w:val="24"/>
        </w:rPr>
        <w:t xml:space="preserve">VEYVONDI </w:t>
      </w:r>
      <w:r w:rsidR="00DB4E60">
        <w:rPr>
          <w:rFonts w:ascii="Times New Roman" w:hAnsi="Times New Roman" w:cs="Times New Roman"/>
          <w:noProof/>
          <w:sz w:val="24"/>
          <w:szCs w:val="24"/>
        </w:rPr>
        <w:t xml:space="preserve">(rVWF) </w:t>
      </w:r>
      <w:r w:rsidR="00BD6FBE">
        <w:rPr>
          <w:rFonts w:ascii="Times New Roman" w:hAnsi="Times New Roman" w:cs="Times New Roman"/>
          <w:noProof/>
          <w:sz w:val="24"/>
          <w:szCs w:val="24"/>
        </w:rPr>
        <w:t xml:space="preserve">with </w:t>
      </w:r>
      <w:r w:rsidR="00B86C27">
        <w:rPr>
          <w:rFonts w:ascii="Times New Roman" w:hAnsi="Times New Roman" w:cs="Times New Roman"/>
          <w:noProof/>
          <w:sz w:val="24"/>
          <w:szCs w:val="24"/>
        </w:rPr>
        <w:t xml:space="preserve">ADVATE </w:t>
      </w:r>
      <w:r w:rsidR="00DB4E60">
        <w:rPr>
          <w:rFonts w:ascii="Times New Roman" w:hAnsi="Times New Roman" w:cs="Times New Roman"/>
          <w:noProof/>
          <w:sz w:val="24"/>
          <w:szCs w:val="24"/>
        </w:rPr>
        <w:t>(rFVIII)</w:t>
      </w:r>
      <w:r w:rsidRPr="00856344">
        <w:rPr>
          <w:rFonts w:ascii="Times New Roman" w:hAnsi="Times New Roman" w:cs="Times New Roman"/>
          <w:noProof/>
          <w:sz w:val="24"/>
          <w:szCs w:val="24"/>
        </w:rPr>
        <w:t xml:space="preserve"> in the same syringe. The rVWF and rFVIII can be pre-mixed in a single syringe to achieve the appropriate dose</w:t>
      </w:r>
      <w:r w:rsidR="00BD6FBE">
        <w:rPr>
          <w:rFonts w:ascii="Times New Roman" w:hAnsi="Times New Roman" w:cs="Times New Roman"/>
          <w:noProof/>
          <w:sz w:val="24"/>
          <w:szCs w:val="24"/>
        </w:rPr>
        <w:t>, see</w:t>
      </w:r>
      <w:r w:rsidR="00E334DE">
        <w:rPr>
          <w:rFonts w:ascii="Times New Roman" w:hAnsi="Times New Roman" w:cs="Times New Roman"/>
          <w:noProof/>
          <w:sz w:val="24"/>
          <w:szCs w:val="24"/>
        </w:rPr>
        <w:t xml:space="preserve"> Section </w:t>
      </w:r>
      <w:r w:rsidR="00E334DE">
        <w:rPr>
          <w:rFonts w:ascii="Times New Roman" w:hAnsi="Times New Roman" w:cs="Times New Roman"/>
          <w:noProof/>
          <w:sz w:val="24"/>
          <w:szCs w:val="24"/>
        </w:rPr>
        <w:fldChar w:fldCharType="begin"/>
      </w:r>
      <w:r w:rsidR="00E334DE">
        <w:rPr>
          <w:rFonts w:ascii="Times New Roman" w:hAnsi="Times New Roman" w:cs="Times New Roman"/>
          <w:noProof/>
          <w:sz w:val="24"/>
          <w:szCs w:val="24"/>
        </w:rPr>
        <w:instrText xml:space="preserve"> REF _Ref527032474 \r \h </w:instrText>
      </w:r>
      <w:r w:rsidR="00E334DE">
        <w:rPr>
          <w:rFonts w:ascii="Times New Roman" w:hAnsi="Times New Roman" w:cs="Times New Roman"/>
          <w:noProof/>
          <w:sz w:val="24"/>
          <w:szCs w:val="24"/>
        </w:rPr>
      </w:r>
      <w:r w:rsidR="00E334DE">
        <w:rPr>
          <w:rFonts w:ascii="Times New Roman" w:hAnsi="Times New Roman" w:cs="Times New Roman"/>
          <w:noProof/>
          <w:sz w:val="24"/>
          <w:szCs w:val="24"/>
        </w:rPr>
        <w:instrText xml:space="preserve"> \* MERGEFORMAT </w:instrText>
      </w:r>
      <w:r w:rsidR="00E334DE">
        <w:rPr>
          <w:rFonts w:ascii="Times New Roman" w:hAnsi="Times New Roman" w:cs="Times New Roman"/>
          <w:noProof/>
          <w:sz w:val="24"/>
          <w:szCs w:val="24"/>
        </w:rPr>
        <w:fldChar w:fldCharType="separate"/>
      </w:r>
      <w:r w:rsidR="00E334DE">
        <w:rPr>
          <w:rFonts w:ascii="Times New Roman" w:hAnsi="Times New Roman" w:cs="Times New Roman"/>
          <w:noProof/>
          <w:sz w:val="24"/>
          <w:szCs w:val="24"/>
        </w:rPr>
        <w:t>4.2</w:t>
      </w:r>
      <w:r w:rsidR="00E334DE">
        <w:rPr>
          <w:rFonts w:ascii="Times New Roman" w:hAnsi="Times New Roman" w:cs="Times New Roman"/>
          <w:noProof/>
          <w:sz w:val="24"/>
          <w:szCs w:val="24"/>
        </w:rPr>
        <w:fldChar w:fldCharType="end"/>
      </w:r>
      <w:r w:rsidR="00E334DE">
        <w:rPr>
          <w:rFonts w:ascii="Times New Roman" w:hAnsi="Times New Roman" w:cs="Times New Roman"/>
          <w:noProof/>
          <w:sz w:val="24"/>
          <w:szCs w:val="24"/>
        </w:rPr>
        <w:t xml:space="preserve"> </w:t>
      </w:r>
      <w:r w:rsidR="00E334DE">
        <w:rPr>
          <w:rFonts w:ascii="Times New Roman" w:hAnsi="Times New Roman" w:cs="Times New Roman"/>
          <w:noProof/>
          <w:sz w:val="24"/>
          <w:szCs w:val="24"/>
        </w:rPr>
        <w:fldChar w:fldCharType="begin"/>
      </w:r>
      <w:r w:rsidR="00E334DE">
        <w:rPr>
          <w:rFonts w:ascii="Times New Roman" w:hAnsi="Times New Roman" w:cs="Times New Roman"/>
          <w:noProof/>
          <w:sz w:val="24"/>
          <w:szCs w:val="24"/>
        </w:rPr>
        <w:instrText xml:space="preserve"> REF _Ref527032474 \h </w:instrText>
      </w:r>
      <w:r w:rsidR="00E334DE">
        <w:rPr>
          <w:rFonts w:ascii="Times New Roman" w:hAnsi="Times New Roman" w:cs="Times New Roman"/>
          <w:noProof/>
          <w:sz w:val="24"/>
          <w:szCs w:val="24"/>
        </w:rPr>
      </w:r>
      <w:r w:rsidR="00E334DE">
        <w:rPr>
          <w:rFonts w:ascii="Times New Roman" w:hAnsi="Times New Roman" w:cs="Times New Roman"/>
          <w:noProof/>
          <w:sz w:val="24"/>
          <w:szCs w:val="24"/>
        </w:rPr>
        <w:instrText xml:space="preserve"> \* MERGEFORMAT </w:instrText>
      </w:r>
      <w:r w:rsidR="00E334DE">
        <w:rPr>
          <w:rFonts w:ascii="Times New Roman" w:hAnsi="Times New Roman" w:cs="Times New Roman"/>
          <w:noProof/>
          <w:sz w:val="24"/>
          <w:szCs w:val="24"/>
        </w:rPr>
        <w:fldChar w:fldCharType="separate"/>
      </w:r>
      <w:r w:rsidR="00E334DE" w:rsidRPr="00E334DE">
        <w:rPr>
          <w:rFonts w:ascii="Times New Roman" w:hAnsi="Times New Roman" w:cs="Times New Roman"/>
          <w:noProof/>
          <w:sz w:val="24"/>
          <w:szCs w:val="24"/>
        </w:rPr>
        <w:t>DOSE AND METHOD OF ADMINISTRATION</w:t>
      </w:r>
      <w:r w:rsidR="00E334DE">
        <w:rPr>
          <w:rFonts w:ascii="Times New Roman" w:hAnsi="Times New Roman" w:cs="Times New Roman"/>
          <w:noProof/>
          <w:sz w:val="24"/>
          <w:szCs w:val="24"/>
        </w:rPr>
        <w:fldChar w:fldCharType="end"/>
      </w:r>
      <w:r w:rsidR="00987237">
        <w:rPr>
          <w:rFonts w:ascii="Times New Roman" w:hAnsi="Times New Roman" w:cs="Times New Roman"/>
          <w:noProof/>
          <w:sz w:val="24"/>
          <w:szCs w:val="24"/>
        </w:rPr>
        <w:t xml:space="preserve">, </w:t>
      </w:r>
      <w:r w:rsidR="00987237">
        <w:rPr>
          <w:rFonts w:ascii="Times New Roman" w:hAnsi="Times New Roman" w:cs="Times New Roman"/>
          <w:noProof/>
          <w:sz w:val="24"/>
          <w:szCs w:val="24"/>
        </w:rPr>
        <w:fldChar w:fldCharType="begin"/>
      </w:r>
      <w:r w:rsidR="00987237">
        <w:rPr>
          <w:rFonts w:ascii="Times New Roman" w:hAnsi="Times New Roman" w:cs="Times New Roman"/>
          <w:noProof/>
          <w:sz w:val="24"/>
          <w:szCs w:val="24"/>
        </w:rPr>
        <w:instrText xml:space="preserve"> REF _Ref4490274 \h </w:instrText>
      </w:r>
      <w:r w:rsidR="00987237">
        <w:rPr>
          <w:rFonts w:ascii="Times New Roman" w:hAnsi="Times New Roman" w:cs="Times New Roman"/>
          <w:noProof/>
          <w:sz w:val="24"/>
          <w:szCs w:val="24"/>
        </w:rPr>
      </w:r>
      <w:r w:rsidR="00987237">
        <w:rPr>
          <w:rFonts w:ascii="Times New Roman" w:hAnsi="Times New Roman" w:cs="Times New Roman"/>
          <w:noProof/>
          <w:sz w:val="24"/>
          <w:szCs w:val="24"/>
        </w:rPr>
        <w:instrText xml:space="preserve"> \* MERGEFORMAT </w:instrText>
      </w:r>
      <w:r w:rsidR="00987237">
        <w:rPr>
          <w:rFonts w:ascii="Times New Roman" w:hAnsi="Times New Roman" w:cs="Times New Roman"/>
          <w:noProof/>
          <w:sz w:val="24"/>
          <w:szCs w:val="24"/>
        </w:rPr>
        <w:fldChar w:fldCharType="separate"/>
      </w:r>
      <w:r w:rsidR="00987237" w:rsidRPr="00987237">
        <w:rPr>
          <w:rFonts w:ascii="Times New Roman" w:hAnsi="Times New Roman" w:cs="Times New Roman"/>
          <w:noProof/>
          <w:sz w:val="24"/>
          <w:szCs w:val="24"/>
        </w:rPr>
        <w:t>Method of ad</w:t>
      </w:r>
      <w:r w:rsidR="00987237" w:rsidRPr="00987237">
        <w:rPr>
          <w:rFonts w:ascii="Times New Roman" w:hAnsi="Times New Roman" w:cs="Times New Roman"/>
          <w:noProof/>
          <w:sz w:val="24"/>
          <w:szCs w:val="24"/>
        </w:rPr>
        <w:t>m</w:t>
      </w:r>
      <w:r w:rsidR="00987237" w:rsidRPr="00987237">
        <w:rPr>
          <w:rFonts w:ascii="Times New Roman" w:hAnsi="Times New Roman" w:cs="Times New Roman"/>
          <w:noProof/>
          <w:sz w:val="24"/>
          <w:szCs w:val="24"/>
        </w:rPr>
        <w:t>inistration</w:t>
      </w:r>
      <w:r w:rsidR="00987237">
        <w:rPr>
          <w:rFonts w:ascii="Times New Roman" w:hAnsi="Times New Roman" w:cs="Times New Roman"/>
          <w:noProof/>
          <w:sz w:val="24"/>
          <w:szCs w:val="24"/>
        </w:rPr>
        <w:fldChar w:fldCharType="end"/>
      </w:r>
      <w:r w:rsidR="00E334DE">
        <w:rPr>
          <w:rFonts w:ascii="Times New Roman" w:hAnsi="Times New Roman" w:cs="Times New Roman"/>
          <w:noProof/>
          <w:sz w:val="24"/>
          <w:szCs w:val="24"/>
        </w:rPr>
        <w:t>).</w:t>
      </w:r>
      <w:r w:rsidR="009966BE" w:rsidRPr="009966BE">
        <w:rPr>
          <w:rFonts w:ascii="Times New Roman" w:hAnsi="Times New Roman" w:cs="Times New Roman"/>
          <w:noProof/>
          <w:sz w:val="24"/>
          <w:szCs w:val="24"/>
        </w:rPr>
        <w:t xml:space="preserve"> </w:t>
      </w:r>
    </w:p>
    <w:p w:rsidR="00E334DE" w:rsidRPr="00856344" w:rsidRDefault="009966BE" w:rsidP="007B162C">
      <w:pPr>
        <w:pStyle w:val="BodytextAgency"/>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lastRenderedPageBreak/>
        <w:t>VEYVONDI</w:t>
      </w:r>
      <w:r w:rsidRPr="00856344">
        <w:rPr>
          <w:rFonts w:ascii="Times New Roman" w:hAnsi="Times New Roman" w:cs="Times New Roman"/>
          <w:noProof/>
          <w:sz w:val="24"/>
          <w:szCs w:val="24"/>
        </w:rPr>
        <w:t xml:space="preserve"> must not be mixed with other medicinal products except </w:t>
      </w:r>
      <w:r w:rsidR="009E5681">
        <w:rPr>
          <w:rFonts w:ascii="Times New Roman" w:hAnsi="Times New Roman" w:cs="Times New Roman"/>
          <w:noProof/>
          <w:sz w:val="24"/>
          <w:szCs w:val="24"/>
        </w:rPr>
        <w:t>for rFVIII.</w:t>
      </w:r>
    </w:p>
    <w:p w:rsidR="00812D16" w:rsidRPr="0064542F" w:rsidRDefault="0064542F" w:rsidP="007B162C">
      <w:pPr>
        <w:pStyle w:val="Heading2"/>
        <w:tabs>
          <w:tab w:val="clear" w:pos="907"/>
          <w:tab w:val="num" w:pos="851"/>
        </w:tabs>
        <w:spacing w:after="120"/>
        <w:ind w:left="851" w:hanging="851"/>
      </w:pPr>
      <w:bookmarkStart w:id="24" w:name="_Ref527044808"/>
      <w:r w:rsidRPr="0064542F">
        <w:t>SHELF LIFE</w:t>
      </w:r>
      <w:bookmarkEnd w:id="24"/>
    </w:p>
    <w:p w:rsidR="009F5C5D" w:rsidRPr="00856344" w:rsidRDefault="009F5C5D" w:rsidP="007B162C">
      <w:pPr>
        <w:pStyle w:val="Heading3"/>
        <w:numPr>
          <w:ilvl w:val="0"/>
          <w:numId w:val="0"/>
        </w:numPr>
        <w:spacing w:before="120" w:after="120"/>
        <w:rPr>
          <w:b w:val="0"/>
          <w:bCs w:val="0"/>
          <w:noProof/>
          <w:szCs w:val="24"/>
          <w:u w:val="single"/>
        </w:rPr>
      </w:pPr>
      <w:r w:rsidRPr="00856344">
        <w:rPr>
          <w:b w:val="0"/>
          <w:bCs w:val="0"/>
          <w:noProof/>
          <w:szCs w:val="24"/>
          <w:u w:val="single"/>
        </w:rPr>
        <w:t>Unopened vial</w:t>
      </w:r>
    </w:p>
    <w:p w:rsidR="007D6010" w:rsidRPr="00856344" w:rsidRDefault="00DB4E60" w:rsidP="007B162C">
      <w:pPr>
        <w:pStyle w:val="BodytextAgency"/>
        <w:spacing w:before="120" w:after="120" w:line="240" w:lineRule="auto"/>
        <w:rPr>
          <w:rFonts w:ascii="Times New Roman" w:hAnsi="Times New Roman" w:cs="Times New Roman"/>
          <w:noProof/>
          <w:sz w:val="24"/>
          <w:szCs w:val="24"/>
        </w:rPr>
      </w:pPr>
      <w:r w:rsidRPr="00962F42">
        <w:rPr>
          <w:rFonts w:ascii="Times New Roman" w:hAnsi="Times New Roman" w:cs="Times New Roman"/>
          <w:noProof/>
          <w:sz w:val="24"/>
          <w:szCs w:val="24"/>
        </w:rPr>
        <w:t>In Australia, information on the shelf-life can be found on the public summary of the Australian Register of Therapeutic Goods (ARTG).  The</w:t>
      </w:r>
      <w:r>
        <w:rPr>
          <w:rFonts w:ascii="Times New Roman" w:hAnsi="Times New Roman" w:cs="Times New Roman"/>
          <w:noProof/>
          <w:sz w:val="24"/>
          <w:szCs w:val="24"/>
        </w:rPr>
        <w:t xml:space="preserve"> expiry date can be found on the packaging.</w:t>
      </w:r>
    </w:p>
    <w:p w:rsidR="00B428A9" w:rsidRPr="00856344" w:rsidRDefault="00856344" w:rsidP="007B162C">
      <w:pPr>
        <w:pStyle w:val="Heading3"/>
        <w:numPr>
          <w:ilvl w:val="0"/>
          <w:numId w:val="0"/>
        </w:numPr>
        <w:spacing w:before="120" w:after="120"/>
        <w:rPr>
          <w:b w:val="0"/>
          <w:bCs w:val="0"/>
          <w:noProof/>
          <w:szCs w:val="24"/>
          <w:u w:val="single"/>
        </w:rPr>
      </w:pPr>
      <w:bookmarkStart w:id="25" w:name="_Ref2873143"/>
      <w:r>
        <w:rPr>
          <w:b w:val="0"/>
          <w:bCs w:val="0"/>
          <w:noProof/>
          <w:szCs w:val="24"/>
          <w:u w:val="single"/>
        </w:rPr>
        <w:t>After reconstitution</w:t>
      </w:r>
      <w:bookmarkEnd w:id="25"/>
    </w:p>
    <w:p w:rsidR="00D76175" w:rsidRPr="00D22631" w:rsidRDefault="00F176DE" w:rsidP="00D22631">
      <w:pPr>
        <w:pStyle w:val="BodytextAgency"/>
        <w:spacing w:before="120" w:after="120" w:line="240" w:lineRule="auto"/>
        <w:rPr>
          <w:rFonts w:ascii="Times New Roman" w:hAnsi="Times New Roman" w:cs="Times New Roman"/>
          <w:noProof/>
          <w:sz w:val="24"/>
          <w:szCs w:val="24"/>
        </w:rPr>
      </w:pPr>
      <w:r w:rsidRPr="00D22631">
        <w:rPr>
          <w:rFonts w:ascii="Times New Roman" w:hAnsi="Times New Roman" w:cs="Times New Roman"/>
          <w:noProof/>
          <w:sz w:val="24"/>
          <w:szCs w:val="24"/>
        </w:rPr>
        <w:t>Chemical and physical in-use s</w:t>
      </w:r>
      <w:r w:rsidR="00D76175" w:rsidRPr="00D22631">
        <w:rPr>
          <w:rFonts w:ascii="Times New Roman" w:hAnsi="Times New Roman" w:cs="Times New Roman"/>
          <w:noProof/>
          <w:sz w:val="24"/>
          <w:szCs w:val="24"/>
        </w:rPr>
        <w:t>tability has been demonstrated for 3</w:t>
      </w:r>
      <w:r w:rsidR="00E04BE7" w:rsidRPr="00D22631">
        <w:rPr>
          <w:rFonts w:ascii="Times New Roman" w:hAnsi="Times New Roman" w:cs="Times New Roman"/>
          <w:noProof/>
          <w:sz w:val="24"/>
          <w:szCs w:val="24"/>
        </w:rPr>
        <w:t> hour</w:t>
      </w:r>
      <w:r w:rsidR="00D76175" w:rsidRPr="00D22631">
        <w:rPr>
          <w:rFonts w:ascii="Times New Roman" w:hAnsi="Times New Roman" w:cs="Times New Roman"/>
          <w:noProof/>
          <w:sz w:val="24"/>
          <w:szCs w:val="24"/>
        </w:rPr>
        <w:t xml:space="preserve">s at </w:t>
      </w:r>
      <w:r w:rsidRPr="00D22631">
        <w:rPr>
          <w:rFonts w:ascii="Times New Roman" w:hAnsi="Times New Roman" w:cs="Times New Roman"/>
          <w:noProof/>
          <w:sz w:val="24"/>
          <w:szCs w:val="24"/>
        </w:rPr>
        <w:t>25</w:t>
      </w:r>
      <w:r w:rsidR="00D76175" w:rsidRPr="00D22631">
        <w:rPr>
          <w:rFonts w:ascii="Times New Roman" w:hAnsi="Times New Roman" w:cs="Times New Roman"/>
          <w:noProof/>
          <w:sz w:val="24"/>
          <w:szCs w:val="24"/>
        </w:rPr>
        <w:t xml:space="preserve">°C. </w:t>
      </w:r>
    </w:p>
    <w:p w:rsidR="00B06865" w:rsidRDefault="00D232BE" w:rsidP="00D22631">
      <w:pPr>
        <w:pStyle w:val="BodytextAgency"/>
        <w:spacing w:before="120" w:after="120" w:line="240" w:lineRule="auto"/>
        <w:rPr>
          <w:rFonts w:ascii="Times New Roman" w:hAnsi="Times New Roman" w:cs="Times New Roman"/>
          <w:noProof/>
          <w:sz w:val="24"/>
          <w:szCs w:val="24"/>
        </w:rPr>
      </w:pPr>
      <w:r w:rsidRPr="00D22631">
        <w:rPr>
          <w:rFonts w:ascii="Times New Roman" w:hAnsi="Times New Roman" w:cs="Times New Roman"/>
          <w:noProof/>
          <w:sz w:val="24"/>
          <w:szCs w:val="24"/>
        </w:rPr>
        <w:t>From a microbiological point of view, the product should be used immediately</w:t>
      </w:r>
      <w:r w:rsidR="00B06865" w:rsidRPr="00D22631">
        <w:rPr>
          <w:rFonts w:ascii="Times New Roman" w:hAnsi="Times New Roman" w:cs="Times New Roman"/>
          <w:noProof/>
          <w:sz w:val="24"/>
          <w:szCs w:val="24"/>
        </w:rPr>
        <w:t>.</w:t>
      </w:r>
      <w:r w:rsidR="00F176DE" w:rsidRPr="00D22631">
        <w:rPr>
          <w:rFonts w:ascii="Times New Roman" w:hAnsi="Times New Roman" w:cs="Times New Roman"/>
          <w:noProof/>
          <w:sz w:val="24"/>
          <w:szCs w:val="24"/>
        </w:rPr>
        <w:t xml:space="preserve"> </w:t>
      </w:r>
      <w:r w:rsidR="00B06865" w:rsidRPr="00D22631">
        <w:rPr>
          <w:rFonts w:ascii="Times New Roman" w:hAnsi="Times New Roman" w:cs="Times New Roman"/>
          <w:noProof/>
          <w:sz w:val="24"/>
          <w:szCs w:val="24"/>
        </w:rPr>
        <w:t>If not used immediately, in-use storage times and conditions prior to use are the responsibility of the user and would normally not be longer than 24</w:t>
      </w:r>
      <w:r w:rsidR="00E04BE7" w:rsidRPr="00D22631">
        <w:rPr>
          <w:rFonts w:ascii="Times New Roman" w:hAnsi="Times New Roman" w:cs="Times New Roman"/>
          <w:noProof/>
          <w:sz w:val="24"/>
          <w:szCs w:val="24"/>
        </w:rPr>
        <w:t> hour</w:t>
      </w:r>
      <w:r w:rsidR="00B06865" w:rsidRPr="00D22631">
        <w:rPr>
          <w:rFonts w:ascii="Times New Roman" w:hAnsi="Times New Roman" w:cs="Times New Roman"/>
          <w:noProof/>
          <w:sz w:val="24"/>
          <w:szCs w:val="24"/>
        </w:rPr>
        <w:t>s at 2 to 8°C.</w:t>
      </w:r>
      <w:r w:rsidR="00B06865" w:rsidRPr="00856344">
        <w:rPr>
          <w:rFonts w:ascii="Times New Roman" w:hAnsi="Times New Roman" w:cs="Times New Roman"/>
          <w:noProof/>
          <w:sz w:val="24"/>
          <w:szCs w:val="24"/>
        </w:rPr>
        <w:t xml:space="preserve"> </w:t>
      </w:r>
    </w:p>
    <w:p w:rsidR="00812D16" w:rsidRPr="0064542F" w:rsidRDefault="0064542F" w:rsidP="007B162C">
      <w:pPr>
        <w:pStyle w:val="Heading2"/>
        <w:tabs>
          <w:tab w:val="clear" w:pos="907"/>
          <w:tab w:val="num" w:pos="851"/>
        </w:tabs>
        <w:spacing w:after="120"/>
        <w:ind w:left="851" w:hanging="851"/>
      </w:pPr>
      <w:r w:rsidRPr="0064542F">
        <w:t>SPECIAL PRECAUTIONS FOR STORAGE</w:t>
      </w:r>
    </w:p>
    <w:p w:rsidR="006325AE" w:rsidRPr="00856344" w:rsidRDefault="00652313" w:rsidP="007B162C">
      <w:pPr>
        <w:pStyle w:val="Heading3"/>
        <w:numPr>
          <w:ilvl w:val="0"/>
          <w:numId w:val="0"/>
        </w:numPr>
        <w:spacing w:before="120" w:after="120"/>
        <w:rPr>
          <w:b w:val="0"/>
          <w:bCs w:val="0"/>
          <w:noProof/>
          <w:szCs w:val="24"/>
          <w:u w:val="single"/>
        </w:rPr>
      </w:pPr>
      <w:r>
        <w:rPr>
          <w:b w:val="0"/>
          <w:bCs w:val="0"/>
          <w:noProof/>
          <w:szCs w:val="24"/>
          <w:u w:val="single"/>
        </w:rPr>
        <w:t>Unopened vials</w:t>
      </w:r>
    </w:p>
    <w:p w:rsidR="00CB5C7E" w:rsidRPr="00856344" w:rsidRDefault="00EE188C" w:rsidP="007B162C">
      <w:pPr>
        <w:pStyle w:val="BodytextAgency"/>
        <w:spacing w:before="120" w:after="120" w:line="240" w:lineRule="auto"/>
        <w:rPr>
          <w:rFonts w:ascii="Times New Roman" w:hAnsi="Times New Roman" w:cs="Times New Roman"/>
          <w:noProof/>
          <w:sz w:val="24"/>
          <w:szCs w:val="24"/>
        </w:rPr>
      </w:pPr>
      <w:r w:rsidRPr="00D22631">
        <w:rPr>
          <w:rFonts w:ascii="Times New Roman" w:hAnsi="Times New Roman" w:cs="Times New Roman"/>
          <w:noProof/>
          <w:sz w:val="24"/>
          <w:szCs w:val="24"/>
        </w:rPr>
        <w:t>Store below</w:t>
      </w:r>
      <w:r w:rsidR="00186DEF" w:rsidRPr="00D22631">
        <w:rPr>
          <w:rFonts w:ascii="Times New Roman" w:hAnsi="Times New Roman" w:cs="Times New Roman"/>
          <w:noProof/>
          <w:sz w:val="24"/>
          <w:szCs w:val="24"/>
        </w:rPr>
        <w:t xml:space="preserve"> 30°C.</w:t>
      </w:r>
      <w:r w:rsidR="000465C4">
        <w:rPr>
          <w:rFonts w:ascii="Times New Roman" w:hAnsi="Times New Roman" w:cs="Times New Roman"/>
          <w:noProof/>
          <w:sz w:val="24"/>
          <w:szCs w:val="24"/>
        </w:rPr>
        <w:t xml:space="preserve"> </w:t>
      </w:r>
      <w:r w:rsidR="004F5EBE">
        <w:rPr>
          <w:rFonts w:ascii="Times New Roman" w:hAnsi="Times New Roman" w:cs="Times New Roman"/>
          <w:noProof/>
          <w:sz w:val="24"/>
          <w:szCs w:val="24"/>
        </w:rPr>
        <w:br/>
      </w:r>
      <w:r w:rsidR="00357C74" w:rsidRPr="00856344">
        <w:rPr>
          <w:rFonts w:ascii="Times New Roman" w:hAnsi="Times New Roman" w:cs="Times New Roman"/>
          <w:noProof/>
          <w:sz w:val="24"/>
          <w:szCs w:val="24"/>
        </w:rPr>
        <w:t>Do not freeze.</w:t>
      </w:r>
      <w:r w:rsidR="000465C4">
        <w:rPr>
          <w:rFonts w:ascii="Times New Roman" w:hAnsi="Times New Roman" w:cs="Times New Roman"/>
          <w:noProof/>
          <w:sz w:val="24"/>
          <w:szCs w:val="24"/>
        </w:rPr>
        <w:t xml:space="preserve"> </w:t>
      </w:r>
      <w:r w:rsidR="004F5EBE">
        <w:rPr>
          <w:rFonts w:ascii="Times New Roman" w:hAnsi="Times New Roman" w:cs="Times New Roman"/>
          <w:noProof/>
          <w:sz w:val="24"/>
          <w:szCs w:val="24"/>
        </w:rPr>
        <w:br/>
      </w:r>
      <w:r w:rsidR="00CB5C7E" w:rsidRPr="00856344">
        <w:rPr>
          <w:rFonts w:ascii="Times New Roman" w:hAnsi="Times New Roman" w:cs="Times New Roman"/>
          <w:noProof/>
          <w:sz w:val="24"/>
          <w:szCs w:val="24"/>
        </w:rPr>
        <w:t>Store in the original package</w:t>
      </w:r>
      <w:r w:rsidR="00186DEF" w:rsidRPr="00856344">
        <w:rPr>
          <w:rFonts w:ascii="Times New Roman" w:hAnsi="Times New Roman" w:cs="Times New Roman"/>
          <w:noProof/>
          <w:sz w:val="24"/>
          <w:szCs w:val="24"/>
        </w:rPr>
        <w:t xml:space="preserve"> in order to protect from light</w:t>
      </w:r>
      <w:r w:rsidR="00CB5C7E" w:rsidRPr="00856344">
        <w:rPr>
          <w:rFonts w:ascii="Times New Roman" w:hAnsi="Times New Roman" w:cs="Times New Roman"/>
          <w:noProof/>
          <w:sz w:val="24"/>
          <w:szCs w:val="24"/>
        </w:rPr>
        <w:t xml:space="preserve">. </w:t>
      </w:r>
    </w:p>
    <w:p w:rsidR="00440133" w:rsidRPr="00856344" w:rsidRDefault="00440133" w:rsidP="007B162C">
      <w:pPr>
        <w:pStyle w:val="Heading3"/>
        <w:numPr>
          <w:ilvl w:val="0"/>
          <w:numId w:val="0"/>
        </w:numPr>
        <w:spacing w:before="120" w:after="120"/>
        <w:rPr>
          <w:b w:val="0"/>
          <w:bCs w:val="0"/>
          <w:noProof/>
          <w:szCs w:val="24"/>
          <w:u w:val="single"/>
        </w:rPr>
      </w:pPr>
      <w:r w:rsidRPr="00856344">
        <w:rPr>
          <w:b w:val="0"/>
          <w:bCs w:val="0"/>
          <w:noProof/>
          <w:szCs w:val="24"/>
          <w:u w:val="single"/>
        </w:rPr>
        <w:t>After reconstitution</w:t>
      </w:r>
    </w:p>
    <w:p w:rsidR="000465C4" w:rsidRPr="00504380" w:rsidRDefault="004F5EBE" w:rsidP="007B162C">
      <w:pPr>
        <w:pStyle w:val="BodytextAgency"/>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For storage conditions after reconstitution, see Section </w:t>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REF _Ref527044808 \r \h </w:instrText>
      </w:r>
      <w:r>
        <w:rPr>
          <w:rFonts w:ascii="Times New Roman" w:hAnsi="Times New Roman" w:cs="Times New Roman"/>
          <w:noProof/>
          <w:sz w:val="24"/>
          <w:szCs w:val="24"/>
        </w:rPr>
      </w:r>
      <w:r>
        <w:rPr>
          <w:rFonts w:ascii="Times New Roman" w:hAnsi="Times New Roman" w:cs="Times New Roman"/>
          <w:noProof/>
          <w:sz w:val="24"/>
          <w:szCs w:val="24"/>
        </w:rPr>
        <w:instrText xml:space="preserve"> \* MERGEFORMAT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t>6.3</w:t>
      </w:r>
      <w:r>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w:t>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REF _Ref527044808 \h </w:instrText>
      </w:r>
      <w:r>
        <w:rPr>
          <w:rFonts w:ascii="Times New Roman" w:hAnsi="Times New Roman" w:cs="Times New Roman"/>
          <w:noProof/>
          <w:sz w:val="24"/>
          <w:szCs w:val="24"/>
        </w:rPr>
      </w:r>
      <w:r>
        <w:rPr>
          <w:rFonts w:ascii="Times New Roman" w:hAnsi="Times New Roman" w:cs="Times New Roman"/>
          <w:noProof/>
          <w:sz w:val="24"/>
          <w:szCs w:val="24"/>
        </w:rPr>
        <w:instrText xml:space="preserve"> \* MERGEFORMAT </w:instrText>
      </w:r>
      <w:r>
        <w:rPr>
          <w:rFonts w:ascii="Times New Roman" w:hAnsi="Times New Roman" w:cs="Times New Roman"/>
          <w:noProof/>
          <w:sz w:val="24"/>
          <w:szCs w:val="24"/>
        </w:rPr>
        <w:fldChar w:fldCharType="separate"/>
      </w:r>
      <w:r w:rsidRPr="004F5EBE">
        <w:rPr>
          <w:rFonts w:ascii="Times New Roman" w:hAnsi="Times New Roman" w:cs="Times New Roman"/>
          <w:noProof/>
          <w:sz w:val="24"/>
          <w:szCs w:val="24"/>
        </w:rPr>
        <w:t>SHELF LIFE</w:t>
      </w:r>
      <w:r>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 </w:t>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REF _Ref2873143 \h </w:instrText>
      </w:r>
      <w:r>
        <w:rPr>
          <w:rFonts w:ascii="Times New Roman" w:hAnsi="Times New Roman" w:cs="Times New Roman"/>
          <w:noProof/>
          <w:sz w:val="24"/>
          <w:szCs w:val="24"/>
        </w:rPr>
      </w:r>
      <w:r>
        <w:rPr>
          <w:rFonts w:ascii="Times New Roman" w:hAnsi="Times New Roman" w:cs="Times New Roman"/>
          <w:noProof/>
          <w:sz w:val="24"/>
          <w:szCs w:val="24"/>
        </w:rPr>
        <w:instrText xml:space="preserve"> \* MERGEFORMAT </w:instrText>
      </w:r>
      <w:r>
        <w:rPr>
          <w:rFonts w:ascii="Times New Roman" w:hAnsi="Times New Roman" w:cs="Times New Roman"/>
          <w:noProof/>
          <w:sz w:val="24"/>
          <w:szCs w:val="24"/>
        </w:rPr>
        <w:fldChar w:fldCharType="separate"/>
      </w:r>
      <w:r w:rsidRPr="004F5EBE">
        <w:rPr>
          <w:rFonts w:ascii="Times New Roman" w:hAnsi="Times New Roman" w:cs="Times New Roman"/>
          <w:noProof/>
          <w:sz w:val="24"/>
          <w:szCs w:val="24"/>
        </w:rPr>
        <w:t>After reconstitution</w:t>
      </w:r>
      <w:r>
        <w:rPr>
          <w:rFonts w:ascii="Times New Roman" w:hAnsi="Times New Roman" w:cs="Times New Roman"/>
          <w:noProof/>
          <w:sz w:val="24"/>
          <w:szCs w:val="24"/>
        </w:rPr>
        <w:fldChar w:fldCharType="end"/>
      </w:r>
      <w:r>
        <w:rPr>
          <w:rFonts w:ascii="Times New Roman" w:hAnsi="Times New Roman" w:cs="Times New Roman"/>
          <w:noProof/>
          <w:sz w:val="24"/>
          <w:szCs w:val="24"/>
        </w:rPr>
        <w:t>.</w:t>
      </w:r>
    </w:p>
    <w:p w:rsidR="00812D16" w:rsidRPr="0064542F" w:rsidRDefault="0064542F" w:rsidP="007B162C">
      <w:pPr>
        <w:pStyle w:val="Heading2"/>
        <w:tabs>
          <w:tab w:val="clear" w:pos="907"/>
          <w:tab w:val="num" w:pos="851"/>
        </w:tabs>
        <w:spacing w:after="120"/>
        <w:ind w:left="851" w:hanging="851"/>
      </w:pPr>
      <w:r w:rsidRPr="0064542F">
        <w:t>NATURE AND CONTENTS OF CONTAINER</w:t>
      </w:r>
    </w:p>
    <w:p w:rsidR="004F5EBE" w:rsidRDefault="004F5EBE" w:rsidP="007B162C">
      <w:pPr>
        <w:pStyle w:val="BodytextAgency"/>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Each pack of </w:t>
      </w:r>
      <w:r w:rsidR="00DD38B5">
        <w:rPr>
          <w:rFonts w:ascii="Times New Roman" w:hAnsi="Times New Roman" w:cs="Times New Roman"/>
          <w:noProof/>
          <w:sz w:val="24"/>
          <w:szCs w:val="24"/>
        </w:rPr>
        <w:t>VEYVONDI 650</w:t>
      </w:r>
      <w:r w:rsidR="00DD38B5" w:rsidRPr="004306AD">
        <w:rPr>
          <w:rFonts w:ascii="Times New Roman" w:hAnsi="Times New Roman" w:cs="Times New Roman"/>
          <w:noProof/>
          <w:sz w:val="24"/>
          <w:szCs w:val="24"/>
        </w:rPr>
        <w:t> IU</w:t>
      </w:r>
      <w:r w:rsidR="00DD38B5">
        <w:rPr>
          <w:rFonts w:ascii="Times New Roman" w:hAnsi="Times New Roman" w:cs="Times New Roman"/>
          <w:noProof/>
          <w:sz w:val="24"/>
          <w:szCs w:val="24"/>
        </w:rPr>
        <w:t xml:space="preserve"> </w:t>
      </w:r>
      <w:r>
        <w:rPr>
          <w:rFonts w:ascii="Times New Roman" w:hAnsi="Times New Roman" w:cs="Times New Roman"/>
          <w:noProof/>
          <w:sz w:val="24"/>
          <w:szCs w:val="24"/>
        </w:rPr>
        <w:t>contains:</w:t>
      </w:r>
    </w:p>
    <w:p w:rsidR="004F5EBE" w:rsidRDefault="00DD38B5" w:rsidP="00991F4E">
      <w:pPr>
        <w:pStyle w:val="BodytextAgency"/>
        <w:numPr>
          <w:ilvl w:val="0"/>
          <w:numId w:val="13"/>
        </w:numPr>
        <w:spacing w:before="120" w:after="120" w:line="240" w:lineRule="auto"/>
        <w:ind w:left="426" w:hanging="357"/>
        <w:contextualSpacing/>
        <w:rPr>
          <w:rFonts w:ascii="Times New Roman" w:hAnsi="Times New Roman" w:cs="Times New Roman"/>
          <w:noProof/>
          <w:sz w:val="24"/>
          <w:szCs w:val="24"/>
        </w:rPr>
      </w:pPr>
      <w:r>
        <w:rPr>
          <w:rFonts w:ascii="Times New Roman" w:hAnsi="Times New Roman" w:cs="Times New Roman"/>
          <w:noProof/>
          <w:sz w:val="24"/>
          <w:szCs w:val="24"/>
        </w:rPr>
        <w:t>one</w:t>
      </w:r>
      <w:r w:rsidRPr="004306AD">
        <w:rPr>
          <w:rFonts w:ascii="Times New Roman" w:hAnsi="Times New Roman" w:cs="Times New Roman"/>
          <w:noProof/>
          <w:sz w:val="24"/>
          <w:szCs w:val="24"/>
        </w:rPr>
        <w:t xml:space="preserve"> </w:t>
      </w:r>
      <w:r>
        <w:rPr>
          <w:rFonts w:ascii="Times New Roman" w:hAnsi="Times New Roman" w:cs="Times New Roman"/>
          <w:noProof/>
          <w:sz w:val="24"/>
          <w:szCs w:val="24"/>
        </w:rPr>
        <w:t>powder</w:t>
      </w:r>
      <w:r w:rsidR="004F5EBE">
        <w:rPr>
          <w:rFonts w:ascii="Times New Roman" w:hAnsi="Times New Roman" w:cs="Times New Roman"/>
          <w:noProof/>
          <w:sz w:val="24"/>
          <w:szCs w:val="24"/>
        </w:rPr>
        <w:t xml:space="preserve"> vial of</w:t>
      </w:r>
      <w:r w:rsidR="00852362">
        <w:rPr>
          <w:rFonts w:ascii="Times New Roman" w:hAnsi="Times New Roman" w:cs="Times New Roman"/>
          <w:noProof/>
          <w:sz w:val="24"/>
          <w:szCs w:val="24"/>
        </w:rPr>
        <w:t xml:space="preserve"> </w:t>
      </w:r>
      <w:r>
        <w:rPr>
          <w:rFonts w:ascii="Times New Roman" w:hAnsi="Times New Roman" w:cs="Times New Roman"/>
          <w:noProof/>
          <w:sz w:val="24"/>
          <w:szCs w:val="24"/>
        </w:rPr>
        <w:t>650 IU vonicog alfa</w:t>
      </w:r>
      <w:r w:rsidRPr="004306AD">
        <w:rPr>
          <w:rFonts w:ascii="Times New Roman" w:hAnsi="Times New Roman" w:cs="Times New Roman"/>
          <w:noProof/>
          <w:sz w:val="24"/>
          <w:szCs w:val="24"/>
        </w:rPr>
        <w:t xml:space="preserve">, </w:t>
      </w:r>
    </w:p>
    <w:p w:rsidR="004F5EBE" w:rsidRDefault="00DD38B5" w:rsidP="00991F4E">
      <w:pPr>
        <w:pStyle w:val="BodytextAgency"/>
        <w:numPr>
          <w:ilvl w:val="0"/>
          <w:numId w:val="13"/>
        </w:numPr>
        <w:spacing w:before="120" w:after="120" w:line="240" w:lineRule="auto"/>
        <w:ind w:left="426" w:hanging="357"/>
        <w:contextualSpacing/>
        <w:rPr>
          <w:rFonts w:ascii="Times New Roman" w:hAnsi="Times New Roman" w:cs="Times New Roman"/>
          <w:noProof/>
          <w:sz w:val="24"/>
          <w:szCs w:val="24"/>
        </w:rPr>
      </w:pPr>
      <w:r w:rsidRPr="004306AD">
        <w:rPr>
          <w:rFonts w:ascii="Times New Roman" w:hAnsi="Times New Roman" w:cs="Times New Roman"/>
          <w:noProof/>
          <w:sz w:val="24"/>
          <w:szCs w:val="24"/>
        </w:rPr>
        <w:t>one solvent vial</w:t>
      </w:r>
      <w:r w:rsidR="004F5EBE">
        <w:rPr>
          <w:rFonts w:ascii="Times New Roman" w:hAnsi="Times New Roman" w:cs="Times New Roman"/>
          <w:noProof/>
          <w:sz w:val="24"/>
          <w:szCs w:val="24"/>
        </w:rPr>
        <w:t xml:space="preserve"> of 5</w:t>
      </w:r>
      <w:r w:rsidR="00852362">
        <w:rPr>
          <w:rFonts w:ascii="Times New Roman" w:hAnsi="Times New Roman" w:cs="Times New Roman"/>
          <w:noProof/>
          <w:sz w:val="24"/>
          <w:szCs w:val="24"/>
        </w:rPr>
        <w:t xml:space="preserve"> </w:t>
      </w:r>
      <w:r w:rsidR="004F5EBE">
        <w:rPr>
          <w:rFonts w:ascii="Times New Roman" w:hAnsi="Times New Roman" w:cs="Times New Roman"/>
          <w:noProof/>
          <w:sz w:val="24"/>
          <w:szCs w:val="24"/>
        </w:rPr>
        <w:t>mL w</w:t>
      </w:r>
      <w:r>
        <w:rPr>
          <w:rFonts w:ascii="Times New Roman" w:hAnsi="Times New Roman" w:cs="Times New Roman"/>
          <w:noProof/>
          <w:sz w:val="24"/>
          <w:szCs w:val="24"/>
        </w:rPr>
        <w:t xml:space="preserve">ater for </w:t>
      </w:r>
      <w:r w:rsidR="004F5EBE">
        <w:rPr>
          <w:rFonts w:ascii="Times New Roman" w:hAnsi="Times New Roman" w:cs="Times New Roman"/>
          <w:noProof/>
          <w:sz w:val="24"/>
          <w:szCs w:val="24"/>
        </w:rPr>
        <w:t>i</w:t>
      </w:r>
      <w:r>
        <w:rPr>
          <w:rFonts w:ascii="Times New Roman" w:hAnsi="Times New Roman" w:cs="Times New Roman"/>
          <w:noProof/>
          <w:sz w:val="24"/>
          <w:szCs w:val="24"/>
        </w:rPr>
        <w:t>njections</w:t>
      </w:r>
      <w:r w:rsidRPr="004306AD">
        <w:rPr>
          <w:rFonts w:ascii="Times New Roman" w:hAnsi="Times New Roman" w:cs="Times New Roman"/>
          <w:noProof/>
          <w:sz w:val="24"/>
          <w:szCs w:val="24"/>
        </w:rPr>
        <w:t xml:space="preserve"> and </w:t>
      </w:r>
    </w:p>
    <w:p w:rsidR="004F5EBE" w:rsidRPr="004F5EBE" w:rsidRDefault="00DD38B5" w:rsidP="00991F4E">
      <w:pPr>
        <w:pStyle w:val="BodytextAgency"/>
        <w:numPr>
          <w:ilvl w:val="0"/>
          <w:numId w:val="13"/>
        </w:numPr>
        <w:spacing w:before="120" w:after="120" w:line="240" w:lineRule="auto"/>
        <w:ind w:left="426" w:hanging="357"/>
        <w:contextualSpacing/>
        <w:rPr>
          <w:rFonts w:ascii="Times New Roman" w:hAnsi="Times New Roman" w:cs="Times New Roman"/>
          <w:noProof/>
          <w:sz w:val="24"/>
          <w:szCs w:val="24"/>
        </w:rPr>
      </w:pPr>
      <w:r>
        <w:rPr>
          <w:rFonts w:ascii="Times New Roman" w:hAnsi="Times New Roman" w:cs="Times New Roman"/>
          <w:noProof/>
          <w:sz w:val="24"/>
          <w:szCs w:val="24"/>
        </w:rPr>
        <w:t xml:space="preserve">one reconstitution device </w:t>
      </w:r>
      <w:r w:rsidR="004F5EBE">
        <w:rPr>
          <w:rFonts w:ascii="Times New Roman" w:hAnsi="Times New Roman" w:cs="Times New Roman"/>
          <w:noProof/>
          <w:sz w:val="24"/>
          <w:szCs w:val="24"/>
        </w:rPr>
        <w:t>(Mix2Vial)</w:t>
      </w:r>
    </w:p>
    <w:p w:rsidR="004F5EBE" w:rsidRDefault="004F5EBE" w:rsidP="00750BC3">
      <w:pPr>
        <w:pStyle w:val="BodytextAgency"/>
        <w:keepNext/>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t>Each pack of VEYVONDI 1300</w:t>
      </w:r>
      <w:r w:rsidRPr="004306AD">
        <w:rPr>
          <w:rFonts w:ascii="Times New Roman" w:hAnsi="Times New Roman" w:cs="Times New Roman"/>
          <w:noProof/>
          <w:sz w:val="24"/>
          <w:szCs w:val="24"/>
        </w:rPr>
        <w:t> IU</w:t>
      </w:r>
      <w:r>
        <w:rPr>
          <w:rFonts w:ascii="Times New Roman" w:hAnsi="Times New Roman" w:cs="Times New Roman"/>
          <w:noProof/>
          <w:sz w:val="24"/>
          <w:szCs w:val="24"/>
        </w:rPr>
        <w:t xml:space="preserve"> contains:</w:t>
      </w:r>
    </w:p>
    <w:p w:rsidR="004F5EBE" w:rsidRDefault="004F5EBE" w:rsidP="00991F4E">
      <w:pPr>
        <w:pStyle w:val="BodytextAgency"/>
        <w:numPr>
          <w:ilvl w:val="0"/>
          <w:numId w:val="13"/>
        </w:numPr>
        <w:spacing w:before="120" w:after="120" w:line="240" w:lineRule="auto"/>
        <w:ind w:left="426"/>
        <w:contextualSpacing/>
        <w:rPr>
          <w:rFonts w:ascii="Times New Roman" w:hAnsi="Times New Roman" w:cs="Times New Roman"/>
          <w:noProof/>
          <w:sz w:val="24"/>
          <w:szCs w:val="24"/>
        </w:rPr>
      </w:pPr>
      <w:r>
        <w:rPr>
          <w:rFonts w:ascii="Times New Roman" w:hAnsi="Times New Roman" w:cs="Times New Roman"/>
          <w:noProof/>
          <w:sz w:val="24"/>
          <w:szCs w:val="24"/>
        </w:rPr>
        <w:t>one</w:t>
      </w:r>
      <w:r w:rsidRPr="004306AD">
        <w:rPr>
          <w:rFonts w:ascii="Times New Roman" w:hAnsi="Times New Roman" w:cs="Times New Roman"/>
          <w:noProof/>
          <w:sz w:val="24"/>
          <w:szCs w:val="24"/>
        </w:rPr>
        <w:t xml:space="preserve"> </w:t>
      </w:r>
      <w:r>
        <w:rPr>
          <w:rFonts w:ascii="Times New Roman" w:hAnsi="Times New Roman" w:cs="Times New Roman"/>
          <w:noProof/>
          <w:sz w:val="24"/>
          <w:szCs w:val="24"/>
        </w:rPr>
        <w:t>powder vial of 1300 IU vonicog alfa</w:t>
      </w:r>
      <w:r w:rsidRPr="004306AD">
        <w:rPr>
          <w:rFonts w:ascii="Times New Roman" w:hAnsi="Times New Roman" w:cs="Times New Roman"/>
          <w:noProof/>
          <w:sz w:val="24"/>
          <w:szCs w:val="24"/>
        </w:rPr>
        <w:t xml:space="preserve">, </w:t>
      </w:r>
    </w:p>
    <w:p w:rsidR="004F5EBE" w:rsidRDefault="004F5EBE" w:rsidP="00991F4E">
      <w:pPr>
        <w:pStyle w:val="BodytextAgency"/>
        <w:numPr>
          <w:ilvl w:val="0"/>
          <w:numId w:val="13"/>
        </w:numPr>
        <w:spacing w:before="120" w:after="120" w:line="240" w:lineRule="auto"/>
        <w:ind w:left="426"/>
        <w:contextualSpacing/>
        <w:rPr>
          <w:rFonts w:ascii="Times New Roman" w:hAnsi="Times New Roman" w:cs="Times New Roman"/>
          <w:noProof/>
          <w:sz w:val="24"/>
          <w:szCs w:val="24"/>
        </w:rPr>
      </w:pPr>
      <w:r w:rsidRPr="004306AD">
        <w:rPr>
          <w:rFonts w:ascii="Times New Roman" w:hAnsi="Times New Roman" w:cs="Times New Roman"/>
          <w:noProof/>
          <w:sz w:val="24"/>
          <w:szCs w:val="24"/>
        </w:rPr>
        <w:t>one solvent vial</w:t>
      </w:r>
      <w:r>
        <w:rPr>
          <w:rFonts w:ascii="Times New Roman" w:hAnsi="Times New Roman" w:cs="Times New Roman"/>
          <w:noProof/>
          <w:sz w:val="24"/>
          <w:szCs w:val="24"/>
        </w:rPr>
        <w:t xml:space="preserve"> of 10 mL water for injections</w:t>
      </w:r>
      <w:r w:rsidRPr="004306AD">
        <w:rPr>
          <w:rFonts w:ascii="Times New Roman" w:hAnsi="Times New Roman" w:cs="Times New Roman"/>
          <w:noProof/>
          <w:sz w:val="24"/>
          <w:szCs w:val="24"/>
        </w:rPr>
        <w:t xml:space="preserve"> and </w:t>
      </w:r>
    </w:p>
    <w:p w:rsidR="004F5EBE" w:rsidRDefault="004F5EBE" w:rsidP="00991F4E">
      <w:pPr>
        <w:pStyle w:val="BodytextAgency"/>
        <w:numPr>
          <w:ilvl w:val="0"/>
          <w:numId w:val="13"/>
        </w:numPr>
        <w:spacing w:before="120" w:after="120" w:line="240" w:lineRule="auto"/>
        <w:ind w:left="426"/>
        <w:contextualSpacing/>
        <w:rPr>
          <w:rFonts w:ascii="Times New Roman" w:hAnsi="Times New Roman" w:cs="Times New Roman"/>
          <w:noProof/>
          <w:sz w:val="24"/>
          <w:szCs w:val="24"/>
        </w:rPr>
      </w:pPr>
      <w:r>
        <w:rPr>
          <w:rFonts w:ascii="Times New Roman" w:hAnsi="Times New Roman" w:cs="Times New Roman"/>
          <w:noProof/>
          <w:sz w:val="24"/>
          <w:szCs w:val="24"/>
        </w:rPr>
        <w:t>one reconstitution device (Mix2Vial)</w:t>
      </w:r>
    </w:p>
    <w:p w:rsidR="001D509E" w:rsidRDefault="004F5EBE" w:rsidP="001D509E">
      <w:pPr>
        <w:pStyle w:val="BodytextAgency"/>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The powder is supplied in Type 1 glass vial with a butyl rubber stopper. The solvent is supplied in Type 1 glass vial with a chlorobutyl </w:t>
      </w:r>
      <w:r w:rsidR="00C23447">
        <w:rPr>
          <w:rFonts w:ascii="Times New Roman" w:hAnsi="Times New Roman" w:cs="Times New Roman"/>
          <w:noProof/>
          <w:sz w:val="24"/>
          <w:szCs w:val="24"/>
        </w:rPr>
        <w:t xml:space="preserve">rubber </w:t>
      </w:r>
      <w:r w:rsidR="00B26C0A">
        <w:rPr>
          <w:rFonts w:ascii="Times New Roman" w:hAnsi="Times New Roman" w:cs="Times New Roman"/>
          <w:noProof/>
          <w:sz w:val="24"/>
          <w:szCs w:val="24"/>
        </w:rPr>
        <w:t xml:space="preserve">stopper </w:t>
      </w:r>
      <w:r>
        <w:rPr>
          <w:rFonts w:ascii="Times New Roman" w:hAnsi="Times New Roman" w:cs="Times New Roman"/>
          <w:noProof/>
          <w:sz w:val="24"/>
          <w:szCs w:val="24"/>
        </w:rPr>
        <w:t>(5 mL</w:t>
      </w:r>
      <w:r w:rsidR="00B26C0A">
        <w:rPr>
          <w:rFonts w:ascii="Times New Roman" w:hAnsi="Times New Roman" w:cs="Times New Roman"/>
          <w:noProof/>
          <w:sz w:val="24"/>
          <w:szCs w:val="24"/>
        </w:rPr>
        <w:t xml:space="preserve"> solvent</w:t>
      </w:r>
      <w:r>
        <w:rPr>
          <w:rFonts w:ascii="Times New Roman" w:hAnsi="Times New Roman" w:cs="Times New Roman"/>
          <w:noProof/>
          <w:sz w:val="24"/>
          <w:szCs w:val="24"/>
        </w:rPr>
        <w:t xml:space="preserve">) or </w:t>
      </w:r>
      <w:r w:rsidR="00B26C0A">
        <w:rPr>
          <w:rFonts w:ascii="Times New Roman" w:hAnsi="Times New Roman" w:cs="Times New Roman"/>
          <w:noProof/>
          <w:sz w:val="24"/>
          <w:szCs w:val="24"/>
        </w:rPr>
        <w:t xml:space="preserve">a </w:t>
      </w:r>
      <w:r>
        <w:rPr>
          <w:rFonts w:ascii="Times New Roman" w:hAnsi="Times New Roman" w:cs="Times New Roman"/>
          <w:noProof/>
          <w:sz w:val="24"/>
          <w:szCs w:val="24"/>
        </w:rPr>
        <w:t>bromobutyl rubber</w:t>
      </w:r>
      <w:r w:rsidR="00B26C0A">
        <w:rPr>
          <w:rFonts w:ascii="Times New Roman" w:hAnsi="Times New Roman" w:cs="Times New Roman"/>
          <w:noProof/>
          <w:sz w:val="24"/>
          <w:szCs w:val="24"/>
        </w:rPr>
        <w:t xml:space="preserve"> stopper</w:t>
      </w:r>
      <w:r>
        <w:rPr>
          <w:rFonts w:ascii="Times New Roman" w:hAnsi="Times New Roman" w:cs="Times New Roman"/>
          <w:noProof/>
          <w:sz w:val="24"/>
          <w:szCs w:val="24"/>
        </w:rPr>
        <w:t xml:space="preserve"> </w:t>
      </w:r>
      <w:r w:rsidR="001D509E">
        <w:rPr>
          <w:rFonts w:ascii="Times New Roman" w:hAnsi="Times New Roman" w:cs="Times New Roman"/>
          <w:noProof/>
          <w:sz w:val="24"/>
          <w:szCs w:val="24"/>
        </w:rPr>
        <w:t>(10 mL</w:t>
      </w:r>
      <w:r w:rsidR="00B26C0A">
        <w:rPr>
          <w:rFonts w:ascii="Times New Roman" w:hAnsi="Times New Roman" w:cs="Times New Roman"/>
          <w:noProof/>
          <w:sz w:val="24"/>
          <w:szCs w:val="24"/>
        </w:rPr>
        <w:t xml:space="preserve"> solvent</w:t>
      </w:r>
      <w:r w:rsidR="001D509E">
        <w:rPr>
          <w:rFonts w:ascii="Times New Roman" w:hAnsi="Times New Roman" w:cs="Times New Roman"/>
          <w:noProof/>
          <w:sz w:val="24"/>
          <w:szCs w:val="24"/>
        </w:rPr>
        <w:t>)</w:t>
      </w:r>
      <w:r>
        <w:rPr>
          <w:rFonts w:ascii="Times New Roman" w:hAnsi="Times New Roman" w:cs="Times New Roman"/>
          <w:noProof/>
          <w:sz w:val="24"/>
          <w:szCs w:val="24"/>
        </w:rPr>
        <w:t>.</w:t>
      </w:r>
      <w:r w:rsidR="001D509E" w:rsidRPr="001D509E">
        <w:rPr>
          <w:rFonts w:ascii="Times New Roman" w:hAnsi="Times New Roman" w:cs="Times New Roman"/>
          <w:noProof/>
          <w:sz w:val="24"/>
          <w:szCs w:val="24"/>
        </w:rPr>
        <w:t xml:space="preserve"> </w:t>
      </w:r>
    </w:p>
    <w:p w:rsidR="001D509E" w:rsidRDefault="001D509E" w:rsidP="001D509E">
      <w:pPr>
        <w:pStyle w:val="BodytextAgency"/>
        <w:spacing w:before="120" w:after="120" w:line="240" w:lineRule="auto"/>
        <w:rPr>
          <w:rFonts w:ascii="Times New Roman" w:hAnsi="Times New Roman" w:cs="Times New Roman"/>
          <w:noProof/>
          <w:sz w:val="24"/>
          <w:szCs w:val="24"/>
        </w:rPr>
      </w:pPr>
      <w:r w:rsidRPr="00962F42">
        <w:rPr>
          <w:rFonts w:ascii="Times New Roman" w:hAnsi="Times New Roman" w:cs="Times New Roman"/>
          <w:noProof/>
          <w:sz w:val="24"/>
          <w:szCs w:val="24"/>
        </w:rPr>
        <w:t>Components used in the packaging of VEYVONDI are not made with natural rubber latex.</w:t>
      </w:r>
    </w:p>
    <w:p w:rsidR="00812D16" w:rsidRPr="0064542F" w:rsidRDefault="0064542F" w:rsidP="007B162C">
      <w:pPr>
        <w:pStyle w:val="Heading2"/>
        <w:tabs>
          <w:tab w:val="clear" w:pos="907"/>
          <w:tab w:val="num" w:pos="851"/>
        </w:tabs>
        <w:spacing w:after="120"/>
        <w:ind w:left="851" w:hanging="851"/>
      </w:pPr>
      <w:bookmarkStart w:id="26" w:name="OLE_LINK1"/>
      <w:bookmarkStart w:id="27" w:name="_Ref2861651"/>
      <w:r w:rsidRPr="0064542F">
        <w:lastRenderedPageBreak/>
        <w:t>SPECIAL PRECAUTIONS FOR DISPOSAL</w:t>
      </w:r>
      <w:bookmarkEnd w:id="27"/>
    </w:p>
    <w:p w:rsidR="00D22631" w:rsidRPr="00856344" w:rsidRDefault="00D22631" w:rsidP="00D22631">
      <w:pPr>
        <w:pStyle w:val="BodytextAgency"/>
        <w:spacing w:before="120" w:after="120" w:line="240" w:lineRule="auto"/>
        <w:rPr>
          <w:rFonts w:ascii="Times New Roman" w:hAnsi="Times New Roman" w:cs="Times New Roman"/>
          <w:noProof/>
          <w:sz w:val="24"/>
          <w:szCs w:val="24"/>
        </w:rPr>
      </w:pPr>
      <w:r w:rsidRPr="00D22631">
        <w:rPr>
          <w:rFonts w:ascii="Times New Roman" w:hAnsi="Times New Roman" w:cs="Times New Roman"/>
          <w:noProof/>
          <w:sz w:val="24"/>
          <w:szCs w:val="24"/>
        </w:rPr>
        <w:t>For single use only and for one patient only.  Discard unused portion of the product.</w:t>
      </w:r>
    </w:p>
    <w:p w:rsidR="00856344" w:rsidRDefault="00856344" w:rsidP="007B162C">
      <w:pPr>
        <w:pStyle w:val="BodytextAgency"/>
        <w:spacing w:before="120" w:after="120" w:line="240" w:lineRule="auto"/>
        <w:rPr>
          <w:rFonts w:ascii="Times New Roman" w:hAnsi="Times New Roman" w:cs="Times New Roman"/>
          <w:noProof/>
          <w:sz w:val="24"/>
          <w:szCs w:val="24"/>
        </w:rPr>
      </w:pPr>
      <w:r w:rsidRPr="00962F42">
        <w:rPr>
          <w:rFonts w:ascii="Times New Roman" w:hAnsi="Times New Roman" w:cs="Times New Roman"/>
          <w:noProof/>
          <w:sz w:val="24"/>
          <w:szCs w:val="24"/>
        </w:rPr>
        <w:t>In Australia, any unused medicine or waste material should be disposed of in accordance with local requirements.</w:t>
      </w:r>
    </w:p>
    <w:p w:rsidR="004306AD" w:rsidRPr="0064542F" w:rsidRDefault="004306AD" w:rsidP="007B162C">
      <w:pPr>
        <w:pStyle w:val="Heading2"/>
        <w:tabs>
          <w:tab w:val="clear" w:pos="907"/>
          <w:tab w:val="num" w:pos="851"/>
        </w:tabs>
        <w:spacing w:after="120"/>
        <w:ind w:left="851" w:hanging="851"/>
      </w:pPr>
      <w:r>
        <w:t>PHYSICOCHEMICAL PROPERTIES</w:t>
      </w:r>
    </w:p>
    <w:p w:rsidR="004306AD" w:rsidRPr="004306AD" w:rsidRDefault="004306AD" w:rsidP="007B162C">
      <w:pPr>
        <w:pStyle w:val="Heading3"/>
        <w:numPr>
          <w:ilvl w:val="0"/>
          <w:numId w:val="0"/>
        </w:numPr>
        <w:spacing w:before="120" w:after="120"/>
        <w:ind w:left="907" w:hanging="907"/>
        <w:rPr>
          <w:i/>
          <w:iCs/>
        </w:rPr>
      </w:pPr>
      <w:r w:rsidRPr="004306AD">
        <w:rPr>
          <w:i/>
          <w:iCs/>
        </w:rPr>
        <w:t>Chemical structure</w:t>
      </w:r>
    </w:p>
    <w:p w:rsidR="004A7904" w:rsidRPr="00CB1BC6" w:rsidRDefault="004306AD" w:rsidP="004A7904">
      <w:pPr>
        <w:pStyle w:val="BodytextAgency"/>
        <w:spacing w:before="120" w:after="120" w:line="240" w:lineRule="auto"/>
        <w:rPr>
          <w:rFonts w:ascii="Times New Roman" w:hAnsi="Times New Roman" w:cs="Times New Roman"/>
          <w:noProof/>
          <w:sz w:val="24"/>
          <w:szCs w:val="24"/>
        </w:rPr>
      </w:pPr>
      <w:r w:rsidRPr="00CB1BC6">
        <w:rPr>
          <w:rFonts w:ascii="Times New Roman" w:hAnsi="Times New Roman" w:cs="Times New Roman"/>
          <w:noProof/>
          <w:sz w:val="24"/>
          <w:szCs w:val="24"/>
        </w:rPr>
        <w:t>VWF is a large multimeric glycoprotein that is normally found in</w:t>
      </w:r>
      <w:r w:rsidR="000C6F18" w:rsidRPr="00CB1BC6">
        <w:rPr>
          <w:rFonts w:ascii="Times New Roman" w:hAnsi="Times New Roman" w:cs="Times New Roman"/>
          <w:noProof/>
          <w:sz w:val="24"/>
          <w:szCs w:val="24"/>
        </w:rPr>
        <w:t xml:space="preserve"> </w:t>
      </w:r>
      <w:r w:rsidRPr="00CB1BC6">
        <w:rPr>
          <w:rFonts w:ascii="Times New Roman" w:hAnsi="Times New Roman" w:cs="Times New Roman"/>
          <w:noProof/>
          <w:sz w:val="24"/>
          <w:szCs w:val="24"/>
        </w:rPr>
        <w:t>plasma, alpha-granules of platelets and intracellular organelles known as the</w:t>
      </w:r>
      <w:r w:rsidR="000C6F18" w:rsidRPr="00CB1BC6">
        <w:rPr>
          <w:rFonts w:ascii="Times New Roman" w:hAnsi="Times New Roman" w:cs="Times New Roman"/>
          <w:noProof/>
          <w:sz w:val="24"/>
          <w:szCs w:val="24"/>
        </w:rPr>
        <w:t xml:space="preserve"> </w:t>
      </w:r>
      <w:r w:rsidRPr="00CB1BC6">
        <w:rPr>
          <w:rFonts w:ascii="Times New Roman" w:hAnsi="Times New Roman" w:cs="Times New Roman"/>
          <w:noProof/>
          <w:sz w:val="24"/>
          <w:szCs w:val="24"/>
        </w:rPr>
        <w:t>Weibel Palade bodies. The multimers of VWF range in molecular weight (MW)</w:t>
      </w:r>
      <w:r w:rsidR="000C6F18" w:rsidRPr="00CB1BC6">
        <w:rPr>
          <w:rFonts w:ascii="Times New Roman" w:hAnsi="Times New Roman" w:cs="Times New Roman"/>
          <w:noProof/>
          <w:sz w:val="24"/>
          <w:szCs w:val="24"/>
        </w:rPr>
        <w:t xml:space="preserve"> </w:t>
      </w:r>
      <w:r w:rsidRPr="00CB1BC6">
        <w:rPr>
          <w:rFonts w:ascii="Times New Roman" w:hAnsi="Times New Roman" w:cs="Times New Roman"/>
          <w:noProof/>
          <w:sz w:val="24"/>
          <w:szCs w:val="24"/>
        </w:rPr>
        <w:t xml:space="preserve">from 500 to &gt; 20,000 kDa. </w:t>
      </w:r>
    </w:p>
    <w:p w:rsidR="000C6F18" w:rsidRPr="00CB1BC6" w:rsidRDefault="000C6F18" w:rsidP="007B162C">
      <w:pPr>
        <w:pStyle w:val="BodytextAgency"/>
        <w:spacing w:before="120" w:after="120" w:line="240" w:lineRule="auto"/>
        <w:rPr>
          <w:rFonts w:ascii="Times New Roman" w:hAnsi="Times New Roman" w:cs="Times New Roman"/>
          <w:noProof/>
          <w:sz w:val="24"/>
          <w:szCs w:val="24"/>
        </w:rPr>
      </w:pPr>
      <w:r w:rsidRPr="00CB1BC6">
        <w:rPr>
          <w:rFonts w:ascii="Times New Roman" w:hAnsi="Times New Roman" w:cs="Times New Roman"/>
          <w:noProof/>
          <w:sz w:val="24"/>
          <w:szCs w:val="24"/>
        </w:rPr>
        <w:t>VEYVONDI contains VWF expressed from CHO cells. After reduction of disulfide bonds in electrophoretic analysis VEYVONDI appears as a single predominant band having an apparent MW of approximately 260 kDa. In low resolution agarose gel electrophoresis VEYVONDI shows a characteristic ladder of bands also known as multimers.</w:t>
      </w:r>
    </w:p>
    <w:p w:rsidR="000C6F18" w:rsidRPr="004306AD" w:rsidRDefault="000C6F18" w:rsidP="007B162C">
      <w:pPr>
        <w:pStyle w:val="BodytextAgency"/>
        <w:spacing w:before="120" w:after="120" w:line="240" w:lineRule="auto"/>
        <w:rPr>
          <w:rFonts w:ascii="Times New Roman" w:hAnsi="Times New Roman" w:cs="Times New Roman"/>
          <w:noProof/>
          <w:sz w:val="24"/>
          <w:szCs w:val="24"/>
        </w:rPr>
      </w:pPr>
      <w:r w:rsidRPr="00CB1BC6">
        <w:rPr>
          <w:rFonts w:ascii="Times New Roman" w:hAnsi="Times New Roman" w:cs="Times New Roman"/>
          <w:noProof/>
          <w:sz w:val="24"/>
          <w:szCs w:val="24"/>
        </w:rPr>
        <w:t>VEYVONDI is rVWF that contains ultra-large multimers in addition to all of the multimers found in plasma as it is not exposed to proteolysis by ADAMTS13 during the manufacturing process.</w:t>
      </w:r>
    </w:p>
    <w:p w:rsidR="004306AD" w:rsidRPr="004306AD" w:rsidRDefault="004306AD" w:rsidP="007B162C">
      <w:pPr>
        <w:pStyle w:val="Heading3"/>
        <w:numPr>
          <w:ilvl w:val="0"/>
          <w:numId w:val="0"/>
        </w:numPr>
        <w:spacing w:before="120" w:after="120"/>
        <w:ind w:left="907" w:hanging="907"/>
        <w:rPr>
          <w:i/>
          <w:iCs/>
        </w:rPr>
      </w:pPr>
      <w:r w:rsidRPr="004306AD">
        <w:rPr>
          <w:i/>
          <w:iCs/>
        </w:rPr>
        <w:t>CAS number</w:t>
      </w:r>
    </w:p>
    <w:p w:rsidR="004306AD" w:rsidRPr="00967A42" w:rsidRDefault="007E6C70" w:rsidP="007B162C">
      <w:pPr>
        <w:pStyle w:val="BodytextAgency"/>
        <w:spacing w:before="120" w:after="120" w:line="240" w:lineRule="auto"/>
        <w:rPr>
          <w:rFonts w:ascii="Times New Roman" w:hAnsi="Times New Roman" w:cs="Times New Roman"/>
          <w:noProof/>
          <w:sz w:val="24"/>
          <w:szCs w:val="24"/>
        </w:rPr>
      </w:pPr>
      <w:r w:rsidRPr="00962F42">
        <w:rPr>
          <w:rFonts w:ascii="Times New Roman" w:hAnsi="Times New Roman" w:cs="Times New Roman"/>
          <w:noProof/>
          <w:sz w:val="24"/>
          <w:szCs w:val="24"/>
        </w:rPr>
        <w:t>109319-16-6</w:t>
      </w:r>
    </w:p>
    <w:bookmarkEnd w:id="26"/>
    <w:p w:rsidR="00DB711E" w:rsidRPr="00DB711E" w:rsidRDefault="00DB711E" w:rsidP="007B162C">
      <w:pPr>
        <w:pStyle w:val="Heading1"/>
      </w:pPr>
      <w:r w:rsidRPr="00DB711E">
        <w:t>MEDICINE SCHEDULE (POISONS STANDARD)</w:t>
      </w:r>
    </w:p>
    <w:p w:rsidR="00DB711E" w:rsidRPr="00E0661E" w:rsidRDefault="00DB711E" w:rsidP="007B162C">
      <w:pPr>
        <w:pStyle w:val="BodytextAgency"/>
        <w:spacing w:before="120" w:after="120" w:line="240" w:lineRule="auto"/>
        <w:rPr>
          <w:szCs w:val="22"/>
        </w:rPr>
      </w:pPr>
      <w:r w:rsidRPr="00DB711E">
        <w:rPr>
          <w:rFonts w:ascii="Times New Roman" w:hAnsi="Times New Roman" w:cs="Times New Roman"/>
          <w:noProof/>
          <w:sz w:val="24"/>
          <w:szCs w:val="24"/>
        </w:rPr>
        <w:t>Unscheduled (Exempted)</w:t>
      </w:r>
    </w:p>
    <w:p w:rsidR="00812D16" w:rsidRPr="00E0661E" w:rsidRDefault="00DB711E" w:rsidP="007B162C">
      <w:pPr>
        <w:pStyle w:val="Heading1"/>
        <w:rPr>
          <w:noProof/>
          <w:szCs w:val="22"/>
        </w:rPr>
      </w:pPr>
      <w:r w:rsidRPr="00DB711E">
        <w:t>SPONSOR</w:t>
      </w:r>
    </w:p>
    <w:p w:rsidR="00856344" w:rsidRPr="00856344" w:rsidRDefault="00856344" w:rsidP="007B162C">
      <w:pPr>
        <w:pStyle w:val="BodytextAgency"/>
        <w:spacing w:before="120" w:after="120" w:line="240" w:lineRule="auto"/>
        <w:rPr>
          <w:rFonts w:ascii="Times New Roman" w:hAnsi="Times New Roman" w:cs="Times New Roman"/>
          <w:noProof/>
          <w:sz w:val="24"/>
          <w:szCs w:val="24"/>
        </w:rPr>
      </w:pPr>
      <w:r w:rsidRPr="00856344">
        <w:rPr>
          <w:rFonts w:ascii="Times New Roman" w:hAnsi="Times New Roman" w:cs="Times New Roman"/>
          <w:noProof/>
          <w:sz w:val="24"/>
          <w:szCs w:val="24"/>
        </w:rPr>
        <w:t xml:space="preserve">Shire Australia Pty Limited </w:t>
      </w:r>
      <w:r w:rsidR="004869E9">
        <w:rPr>
          <w:rFonts w:ascii="Times New Roman" w:hAnsi="Times New Roman" w:cs="Times New Roman"/>
          <w:noProof/>
          <w:sz w:val="24"/>
          <w:szCs w:val="24"/>
        </w:rPr>
        <w:br/>
        <w:t xml:space="preserve">Shire is </w:t>
      </w:r>
      <w:r w:rsidR="00CC4980">
        <w:rPr>
          <w:rFonts w:ascii="Times New Roman" w:hAnsi="Times New Roman" w:cs="Times New Roman"/>
          <w:noProof/>
          <w:sz w:val="24"/>
          <w:szCs w:val="24"/>
        </w:rPr>
        <w:t>now part of Takeda</w:t>
      </w:r>
      <w:r>
        <w:rPr>
          <w:rFonts w:ascii="Times New Roman" w:hAnsi="Times New Roman" w:cs="Times New Roman"/>
          <w:noProof/>
          <w:sz w:val="24"/>
          <w:szCs w:val="24"/>
        </w:rPr>
        <w:br/>
        <w:t>Level 39</w:t>
      </w:r>
      <w:r>
        <w:rPr>
          <w:rFonts w:ascii="Times New Roman" w:hAnsi="Times New Roman" w:cs="Times New Roman"/>
          <w:noProof/>
          <w:sz w:val="24"/>
          <w:szCs w:val="24"/>
        </w:rPr>
        <w:br/>
      </w:r>
      <w:r w:rsidRPr="00856344">
        <w:rPr>
          <w:rFonts w:ascii="Times New Roman" w:hAnsi="Times New Roman" w:cs="Times New Roman"/>
          <w:noProof/>
          <w:sz w:val="24"/>
          <w:szCs w:val="24"/>
        </w:rPr>
        <w:t xml:space="preserve">225 George Street </w:t>
      </w:r>
      <w:r>
        <w:rPr>
          <w:rFonts w:ascii="Times New Roman" w:hAnsi="Times New Roman" w:cs="Times New Roman"/>
          <w:noProof/>
          <w:sz w:val="24"/>
          <w:szCs w:val="24"/>
        </w:rPr>
        <w:br/>
        <w:t xml:space="preserve">Sydney </w:t>
      </w:r>
      <w:r w:rsidRPr="00856344">
        <w:rPr>
          <w:rFonts w:ascii="Times New Roman" w:hAnsi="Times New Roman" w:cs="Times New Roman"/>
          <w:noProof/>
          <w:sz w:val="24"/>
          <w:szCs w:val="24"/>
        </w:rPr>
        <w:t xml:space="preserve">NSW 2000 </w:t>
      </w:r>
      <w:r>
        <w:rPr>
          <w:rFonts w:ascii="Times New Roman" w:hAnsi="Times New Roman" w:cs="Times New Roman"/>
          <w:noProof/>
          <w:sz w:val="24"/>
          <w:szCs w:val="24"/>
        </w:rPr>
        <w:br/>
      </w:r>
      <w:r w:rsidRPr="00856344">
        <w:rPr>
          <w:rFonts w:ascii="Times New Roman" w:hAnsi="Times New Roman" w:cs="Times New Roman"/>
          <w:noProof/>
          <w:sz w:val="24"/>
          <w:szCs w:val="24"/>
        </w:rPr>
        <w:t>Australia</w:t>
      </w:r>
    </w:p>
    <w:p w:rsidR="00856344" w:rsidRPr="00856344" w:rsidRDefault="00856344" w:rsidP="007B162C">
      <w:pPr>
        <w:pStyle w:val="BodytextAgency"/>
        <w:spacing w:before="120" w:after="120" w:line="240" w:lineRule="auto"/>
        <w:rPr>
          <w:rFonts w:ascii="Times New Roman" w:hAnsi="Times New Roman" w:cs="Times New Roman"/>
          <w:noProof/>
          <w:sz w:val="24"/>
          <w:szCs w:val="24"/>
        </w:rPr>
      </w:pPr>
      <w:r w:rsidRPr="00856344">
        <w:rPr>
          <w:rFonts w:ascii="Times New Roman" w:hAnsi="Times New Roman" w:cs="Times New Roman"/>
          <w:noProof/>
          <w:sz w:val="24"/>
          <w:szCs w:val="24"/>
        </w:rPr>
        <w:t>Telephone: 1800 012 612</w:t>
      </w:r>
    </w:p>
    <w:p w:rsidR="00812D16" w:rsidRPr="00DB711E" w:rsidRDefault="00856344" w:rsidP="007B162C">
      <w:pPr>
        <w:pStyle w:val="BodytextAgency"/>
        <w:spacing w:before="120" w:after="120" w:line="240" w:lineRule="auto"/>
        <w:rPr>
          <w:rFonts w:ascii="Times New Roman" w:hAnsi="Times New Roman" w:cs="Times New Roman"/>
          <w:noProof/>
          <w:sz w:val="24"/>
          <w:szCs w:val="24"/>
        </w:rPr>
      </w:pPr>
      <w:r w:rsidRPr="00856344">
        <w:rPr>
          <w:rFonts w:ascii="Times New Roman" w:hAnsi="Times New Roman" w:cs="Times New Roman"/>
          <w:noProof/>
          <w:sz w:val="24"/>
          <w:szCs w:val="24"/>
        </w:rPr>
        <w:t xml:space="preserve">www.shireaustralia.com.au </w:t>
      </w:r>
    </w:p>
    <w:p w:rsidR="00812D16" w:rsidRPr="00DB711E" w:rsidRDefault="00DB711E" w:rsidP="007B162C">
      <w:pPr>
        <w:pStyle w:val="Heading1"/>
        <w:rPr>
          <w:noProof/>
          <w:szCs w:val="22"/>
        </w:rPr>
      </w:pPr>
      <w:r>
        <w:lastRenderedPageBreak/>
        <w:t>DATE OF FIRST APPROVAL</w:t>
      </w:r>
    </w:p>
    <w:p w:rsidR="00DB711E" w:rsidRPr="00DB711E" w:rsidRDefault="00033D81" w:rsidP="007B162C">
      <w:pPr>
        <w:pStyle w:val="BodytextAgency"/>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t>2</w:t>
      </w:r>
      <w:r w:rsidR="00AE4BA3">
        <w:rPr>
          <w:rFonts w:ascii="Times New Roman" w:hAnsi="Times New Roman" w:cs="Times New Roman"/>
          <w:noProof/>
          <w:sz w:val="24"/>
          <w:szCs w:val="24"/>
        </w:rPr>
        <w:t>0</w:t>
      </w:r>
      <w:r>
        <w:rPr>
          <w:rFonts w:ascii="Times New Roman" w:hAnsi="Times New Roman" w:cs="Times New Roman"/>
          <w:noProof/>
          <w:sz w:val="24"/>
          <w:szCs w:val="24"/>
        </w:rPr>
        <w:t xml:space="preserve"> April 2020</w:t>
      </w:r>
    </w:p>
    <w:p w:rsidR="00812D16" w:rsidRPr="00DB711E" w:rsidRDefault="00812D16" w:rsidP="007B162C">
      <w:pPr>
        <w:pStyle w:val="Heading1"/>
      </w:pPr>
      <w:r w:rsidRPr="00DB711E">
        <w:t xml:space="preserve">DATE OF REVISION </w:t>
      </w:r>
    </w:p>
    <w:p w:rsidR="00DB711E" w:rsidRPr="00DB711E" w:rsidRDefault="00DB711E" w:rsidP="007B162C">
      <w:pPr>
        <w:pStyle w:val="BodytextAgency"/>
        <w:spacing w:before="120" w:after="120" w:line="240" w:lineRule="auto"/>
        <w:rPr>
          <w:rFonts w:ascii="Times New Roman" w:hAnsi="Times New Roman" w:cs="Times New Roman"/>
          <w:noProof/>
          <w:sz w:val="24"/>
          <w:szCs w:val="24"/>
        </w:rPr>
      </w:pPr>
      <w:r>
        <w:rPr>
          <w:rFonts w:ascii="Times New Roman" w:hAnsi="Times New Roman" w:cs="Times New Roman"/>
          <w:noProof/>
          <w:sz w:val="24"/>
          <w:szCs w:val="24"/>
        </w:rPr>
        <w:t>Not applicable.</w:t>
      </w:r>
    </w:p>
    <w:p w:rsidR="008929AA" w:rsidRPr="00DB711E" w:rsidRDefault="00DB711E" w:rsidP="007B162C">
      <w:pPr>
        <w:pStyle w:val="Heading1"/>
        <w:numPr>
          <w:ilvl w:val="0"/>
          <w:numId w:val="0"/>
        </w:numPr>
      </w:pPr>
      <w:r>
        <w:t>S</w:t>
      </w:r>
      <w:r w:rsidR="000244C6">
        <w:t>ummary table of changes</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6023"/>
      </w:tblGrid>
      <w:tr w:rsidR="00DB711E" w:rsidRPr="00114926" w:rsidTr="00114926">
        <w:tc>
          <w:tcPr>
            <w:tcW w:w="3264" w:type="dxa"/>
            <w:shd w:val="clear" w:color="auto" w:fill="auto"/>
          </w:tcPr>
          <w:p w:rsidR="00DB711E" w:rsidRPr="00114926" w:rsidRDefault="00DB711E" w:rsidP="007B162C">
            <w:pPr>
              <w:pStyle w:val="TableColumnHeading"/>
              <w:rPr>
                <w:szCs w:val="20"/>
              </w:rPr>
            </w:pPr>
            <w:r w:rsidRPr="00114926">
              <w:rPr>
                <w:szCs w:val="20"/>
              </w:rPr>
              <w:t>Section changed</w:t>
            </w:r>
          </w:p>
        </w:tc>
        <w:tc>
          <w:tcPr>
            <w:tcW w:w="6023" w:type="dxa"/>
            <w:shd w:val="clear" w:color="auto" w:fill="auto"/>
          </w:tcPr>
          <w:p w:rsidR="00DB711E" w:rsidRPr="00114926" w:rsidRDefault="00DB711E" w:rsidP="007B162C">
            <w:pPr>
              <w:pStyle w:val="TableColumnHeading"/>
              <w:rPr>
                <w:szCs w:val="20"/>
              </w:rPr>
            </w:pPr>
            <w:r w:rsidRPr="00114926">
              <w:rPr>
                <w:szCs w:val="20"/>
              </w:rPr>
              <w:t>Summary of new information</w:t>
            </w:r>
          </w:p>
        </w:tc>
      </w:tr>
      <w:tr w:rsidR="00DB711E" w:rsidRPr="00114926" w:rsidTr="00114926">
        <w:tc>
          <w:tcPr>
            <w:tcW w:w="3264" w:type="dxa"/>
            <w:shd w:val="clear" w:color="auto" w:fill="auto"/>
          </w:tcPr>
          <w:p w:rsidR="00DB711E" w:rsidRPr="00114926" w:rsidRDefault="00DB711E" w:rsidP="007B162C">
            <w:pPr>
              <w:pStyle w:val="TableText"/>
              <w:rPr>
                <w:noProof/>
                <w:szCs w:val="22"/>
              </w:rPr>
            </w:pPr>
            <w:r w:rsidRPr="00114926">
              <w:rPr>
                <w:szCs w:val="20"/>
              </w:rPr>
              <w:t>Not applicable.</w:t>
            </w:r>
          </w:p>
        </w:tc>
        <w:tc>
          <w:tcPr>
            <w:tcW w:w="6023" w:type="dxa"/>
            <w:shd w:val="clear" w:color="auto" w:fill="auto"/>
          </w:tcPr>
          <w:p w:rsidR="00DB711E" w:rsidRPr="00114926" w:rsidRDefault="00DB711E" w:rsidP="007B162C">
            <w:pPr>
              <w:numPr>
                <w:ilvl w:val="12"/>
                <w:numId w:val="0"/>
              </w:numPr>
              <w:tabs>
                <w:tab w:val="left" w:pos="2657"/>
              </w:tabs>
              <w:spacing w:line="240" w:lineRule="auto"/>
              <w:ind w:right="-28"/>
              <w:contextualSpacing/>
              <w:rPr>
                <w:b/>
                <w:noProof/>
                <w:szCs w:val="22"/>
              </w:rPr>
            </w:pPr>
          </w:p>
        </w:tc>
      </w:tr>
    </w:tbl>
    <w:p w:rsidR="00DB711E" w:rsidRDefault="00DB711E" w:rsidP="007B162C">
      <w:pPr>
        <w:numPr>
          <w:ilvl w:val="12"/>
          <w:numId w:val="0"/>
        </w:numPr>
        <w:tabs>
          <w:tab w:val="left" w:pos="2657"/>
        </w:tabs>
        <w:spacing w:line="240" w:lineRule="auto"/>
        <w:ind w:left="-37" w:right="-28"/>
        <w:contextualSpacing/>
        <w:rPr>
          <w:b/>
          <w:noProof/>
          <w:szCs w:val="22"/>
        </w:rPr>
      </w:pPr>
    </w:p>
    <w:p w:rsidR="00CC4980" w:rsidRPr="00BD3146" w:rsidRDefault="00CC4980" w:rsidP="00CC4980">
      <w:pPr>
        <w:pStyle w:val="BodytextAgency"/>
        <w:spacing w:before="120" w:after="120" w:line="240" w:lineRule="auto"/>
        <w:rPr>
          <w:rFonts w:ascii="Times New Roman" w:hAnsi="Times New Roman" w:cs="Times New Roman"/>
          <w:noProof/>
          <w:sz w:val="24"/>
          <w:szCs w:val="24"/>
        </w:rPr>
      </w:pPr>
      <w:r w:rsidRPr="00BD3146">
        <w:rPr>
          <w:rFonts w:ascii="Times New Roman" w:hAnsi="Times New Roman" w:cs="Times New Roman"/>
          <w:noProof/>
          <w:sz w:val="24"/>
          <w:szCs w:val="24"/>
        </w:rPr>
        <w:t xml:space="preserve">Mix2Vial is a registered trademark of </w:t>
      </w:r>
      <w:r>
        <w:rPr>
          <w:rFonts w:ascii="Times New Roman" w:hAnsi="Times New Roman" w:cs="Times New Roman"/>
          <w:noProof/>
          <w:sz w:val="24"/>
          <w:szCs w:val="24"/>
        </w:rPr>
        <w:t xml:space="preserve">West </w:t>
      </w:r>
      <w:r w:rsidRPr="00C80269">
        <w:rPr>
          <w:rFonts w:ascii="Times New Roman" w:hAnsi="Times New Roman" w:cs="Times New Roman"/>
          <w:noProof/>
          <w:sz w:val="24"/>
          <w:szCs w:val="24"/>
        </w:rPr>
        <w:t>Pharmaceutical Services, Inc</w:t>
      </w:r>
      <w:r w:rsidRPr="00BD3146">
        <w:rPr>
          <w:rFonts w:ascii="Times New Roman" w:hAnsi="Times New Roman" w:cs="Times New Roman"/>
          <w:noProof/>
          <w:sz w:val="24"/>
          <w:szCs w:val="24"/>
        </w:rPr>
        <w:t>.</w:t>
      </w:r>
    </w:p>
    <w:p w:rsidR="00935A89" w:rsidRPr="0092570C" w:rsidRDefault="00AA6CEF" w:rsidP="007B162C">
      <w:pPr>
        <w:pStyle w:val="BodytextAgency"/>
        <w:spacing w:before="120" w:after="120" w:line="240" w:lineRule="auto"/>
        <w:rPr>
          <w:szCs w:val="22"/>
        </w:rPr>
      </w:pPr>
      <w:r w:rsidRPr="00BD3146">
        <w:rPr>
          <w:rFonts w:ascii="Times New Roman" w:hAnsi="Times New Roman" w:cs="Times New Roman"/>
          <w:noProof/>
          <w:sz w:val="24"/>
          <w:szCs w:val="24"/>
        </w:rPr>
        <w:t xml:space="preserve">ADVATE and </w:t>
      </w:r>
      <w:r w:rsidR="00DB711E" w:rsidRPr="00BD3146">
        <w:rPr>
          <w:rFonts w:ascii="Times New Roman" w:hAnsi="Times New Roman" w:cs="Times New Roman"/>
          <w:noProof/>
          <w:sz w:val="24"/>
          <w:szCs w:val="24"/>
        </w:rPr>
        <w:t>VEYVONDI</w:t>
      </w:r>
      <w:r w:rsidRPr="00BD3146">
        <w:rPr>
          <w:rFonts w:ascii="Times New Roman" w:hAnsi="Times New Roman" w:cs="Times New Roman"/>
          <w:noProof/>
          <w:sz w:val="24"/>
          <w:szCs w:val="24"/>
        </w:rPr>
        <w:t xml:space="preserve"> are</w:t>
      </w:r>
      <w:r w:rsidR="004306AD" w:rsidRPr="00BD3146">
        <w:rPr>
          <w:rFonts w:ascii="Times New Roman" w:hAnsi="Times New Roman" w:cs="Times New Roman"/>
          <w:noProof/>
          <w:sz w:val="24"/>
          <w:szCs w:val="24"/>
        </w:rPr>
        <w:t xml:space="preserve"> </w:t>
      </w:r>
      <w:r w:rsidR="00C80269">
        <w:rPr>
          <w:rFonts w:ascii="Times New Roman" w:hAnsi="Times New Roman" w:cs="Times New Roman"/>
          <w:noProof/>
          <w:sz w:val="24"/>
          <w:szCs w:val="24"/>
        </w:rPr>
        <w:t xml:space="preserve">registered </w:t>
      </w:r>
      <w:r w:rsidR="00BD3146">
        <w:rPr>
          <w:rFonts w:ascii="Times New Roman" w:hAnsi="Times New Roman" w:cs="Times New Roman"/>
          <w:noProof/>
          <w:sz w:val="24"/>
          <w:szCs w:val="24"/>
        </w:rPr>
        <w:t>trademark</w:t>
      </w:r>
      <w:r w:rsidR="000E32F2">
        <w:rPr>
          <w:rFonts w:ascii="Times New Roman" w:hAnsi="Times New Roman" w:cs="Times New Roman"/>
          <w:noProof/>
          <w:sz w:val="24"/>
          <w:szCs w:val="24"/>
        </w:rPr>
        <w:t>s</w:t>
      </w:r>
      <w:r w:rsidR="00DB711E" w:rsidRPr="00BD3146">
        <w:rPr>
          <w:rFonts w:ascii="Times New Roman" w:hAnsi="Times New Roman" w:cs="Times New Roman"/>
          <w:noProof/>
          <w:sz w:val="24"/>
          <w:szCs w:val="24"/>
        </w:rPr>
        <w:t xml:space="preserve"> </w:t>
      </w:r>
      <w:r w:rsidR="00C80269">
        <w:rPr>
          <w:rFonts w:ascii="Times New Roman" w:hAnsi="Times New Roman" w:cs="Times New Roman"/>
          <w:noProof/>
          <w:sz w:val="24"/>
          <w:szCs w:val="24"/>
        </w:rPr>
        <w:t>and trademark</w:t>
      </w:r>
      <w:r w:rsidR="000E32F2">
        <w:rPr>
          <w:rFonts w:ascii="Times New Roman" w:hAnsi="Times New Roman" w:cs="Times New Roman"/>
          <w:noProof/>
          <w:sz w:val="24"/>
          <w:szCs w:val="24"/>
        </w:rPr>
        <w:t>s</w:t>
      </w:r>
      <w:r w:rsidR="00C80269">
        <w:rPr>
          <w:rFonts w:ascii="Times New Roman" w:hAnsi="Times New Roman" w:cs="Times New Roman"/>
          <w:noProof/>
          <w:sz w:val="24"/>
          <w:szCs w:val="24"/>
        </w:rPr>
        <w:t xml:space="preserve"> </w:t>
      </w:r>
      <w:r w:rsidR="00DB711E" w:rsidRPr="00BD3146">
        <w:rPr>
          <w:rFonts w:ascii="Times New Roman" w:hAnsi="Times New Roman" w:cs="Times New Roman"/>
          <w:noProof/>
          <w:sz w:val="24"/>
          <w:szCs w:val="24"/>
        </w:rPr>
        <w:t>of Baxalta Incorporated, a</w:t>
      </w:r>
      <w:r w:rsidR="00CA2F25">
        <w:rPr>
          <w:rFonts w:ascii="Times New Roman" w:hAnsi="Times New Roman" w:cs="Times New Roman"/>
          <w:noProof/>
          <w:sz w:val="24"/>
          <w:szCs w:val="24"/>
        </w:rPr>
        <w:t xml:space="preserve"> Takeda company</w:t>
      </w:r>
      <w:r w:rsidR="00DB711E" w:rsidRPr="00BD3146">
        <w:rPr>
          <w:rFonts w:ascii="Times New Roman" w:hAnsi="Times New Roman" w:cs="Times New Roman"/>
          <w:noProof/>
          <w:sz w:val="24"/>
          <w:szCs w:val="24"/>
        </w:rPr>
        <w:t xml:space="preserve">. Shire and the Shire Logo are trademarks of </w:t>
      </w:r>
      <w:r w:rsidR="00CA2F25">
        <w:rPr>
          <w:rFonts w:ascii="Times New Roman" w:hAnsi="Times New Roman" w:cs="Times New Roman"/>
          <w:noProof/>
          <w:sz w:val="24"/>
          <w:szCs w:val="24"/>
        </w:rPr>
        <w:t xml:space="preserve">the </w:t>
      </w:r>
      <w:r w:rsidR="00DB711E" w:rsidRPr="00BD3146">
        <w:rPr>
          <w:rFonts w:ascii="Times New Roman" w:hAnsi="Times New Roman" w:cs="Times New Roman"/>
          <w:noProof/>
          <w:sz w:val="24"/>
          <w:szCs w:val="24"/>
        </w:rPr>
        <w:t>Shire</w:t>
      </w:r>
      <w:r w:rsidR="00CA2F25">
        <w:rPr>
          <w:rFonts w:ascii="Times New Roman" w:hAnsi="Times New Roman" w:cs="Times New Roman"/>
          <w:noProof/>
          <w:sz w:val="24"/>
          <w:szCs w:val="24"/>
        </w:rPr>
        <w:t xml:space="preserve"> group of companies</w:t>
      </w:r>
      <w:r w:rsidR="00CC4980">
        <w:rPr>
          <w:rFonts w:ascii="Times New Roman" w:hAnsi="Times New Roman" w:cs="Times New Roman"/>
          <w:noProof/>
          <w:sz w:val="24"/>
          <w:szCs w:val="24"/>
        </w:rPr>
        <w:t>, now part of Takeda</w:t>
      </w:r>
      <w:r w:rsidR="00DB711E" w:rsidRPr="00BD3146">
        <w:rPr>
          <w:rFonts w:ascii="Times New Roman" w:hAnsi="Times New Roman" w:cs="Times New Roman"/>
          <w:noProof/>
          <w:sz w:val="24"/>
          <w:szCs w:val="24"/>
        </w:rPr>
        <w:t>.</w:t>
      </w:r>
      <w:r w:rsidR="00DB711E">
        <w:rPr>
          <w:sz w:val="23"/>
          <w:szCs w:val="23"/>
        </w:rPr>
        <w:t xml:space="preserve"> </w:t>
      </w:r>
    </w:p>
    <w:p w:rsidR="003D5C92" w:rsidRPr="0092570C" w:rsidRDefault="003D5C92" w:rsidP="007B162C">
      <w:pPr>
        <w:numPr>
          <w:ilvl w:val="12"/>
          <w:numId w:val="0"/>
        </w:numPr>
        <w:tabs>
          <w:tab w:val="left" w:pos="2657"/>
        </w:tabs>
        <w:spacing w:line="240" w:lineRule="auto"/>
        <w:ind w:left="-37" w:right="-28"/>
        <w:contextualSpacing/>
        <w:rPr>
          <w:noProof/>
          <w:szCs w:val="22"/>
        </w:rPr>
      </w:pPr>
    </w:p>
    <w:sectPr w:rsidR="003D5C92" w:rsidRPr="0092570C" w:rsidSect="00A21367">
      <w:headerReference w:type="even" r:id="rId24"/>
      <w:headerReference w:type="default" r:id="rId25"/>
      <w:footerReference w:type="even" r:id="rId26"/>
      <w:footerReference w:type="default" r:id="rId27"/>
      <w:headerReference w:type="first" r:id="rId28"/>
      <w:footerReference w:type="first" r:id="rId29"/>
      <w:endnotePr>
        <w:numFmt w:val="decimal"/>
      </w:endnotePr>
      <w:pgSz w:w="11907" w:h="16840" w:code="9"/>
      <w:pgMar w:top="1134" w:right="1304" w:bottom="1560" w:left="1304" w:header="737" w:footer="81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FCC" w:rsidRDefault="00DF2FCC">
      <w:r>
        <w:separator/>
      </w:r>
    </w:p>
  </w:endnote>
  <w:endnote w:type="continuationSeparator" w:id="0">
    <w:p w:rsidR="00DF2FCC" w:rsidRDefault="00DF2FCC">
      <w:r>
        <w:continuationSeparator/>
      </w:r>
    </w:p>
  </w:endnote>
  <w:endnote w:type="continuationNotice" w:id="1">
    <w:p w:rsidR="00DF2FCC" w:rsidRDefault="00DF2F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E26" w:rsidRDefault="00686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341" w:rsidRPr="00FB2C85" w:rsidRDefault="00417341" w:rsidP="00991F4E">
    <w:pPr>
      <w:pBdr>
        <w:top w:val="single" w:sz="4" w:space="1" w:color="auto"/>
      </w:pBdr>
      <w:tabs>
        <w:tab w:val="clear" w:pos="567"/>
        <w:tab w:val="left" w:pos="8080"/>
      </w:tabs>
      <w:rPr>
        <w:sz w:val="20"/>
      </w:rPr>
    </w:pPr>
    <w:r>
      <w:rPr>
        <w:sz w:val="20"/>
      </w:rPr>
      <w:t xml:space="preserve">VEYVONDI PI </w:t>
    </w:r>
    <w:r w:rsidR="00686E26">
      <w:rPr>
        <w:sz w:val="20"/>
      </w:rPr>
      <w:t>V</w:t>
    </w:r>
    <w:r>
      <w:rPr>
        <w:sz w:val="20"/>
      </w:rPr>
      <w:t xml:space="preserve">1.0 (CCDS </w:t>
    </w:r>
    <w:r w:rsidR="00686E26">
      <w:rPr>
        <w:sz w:val="20"/>
      </w:rPr>
      <w:t>V</w:t>
    </w:r>
    <w:r>
      <w:rPr>
        <w:sz w:val="20"/>
      </w:rPr>
      <w:t>7.0)</w:t>
    </w:r>
    <w:r>
      <w:rPr>
        <w:sz w:val="20"/>
      </w:rPr>
      <w:tab/>
    </w:r>
    <w:r w:rsidRPr="00114926">
      <w:rPr>
        <w:sz w:val="20"/>
      </w:rPr>
      <w:t xml:space="preserve">Page </w:t>
    </w:r>
    <w:r w:rsidRPr="00114926">
      <w:rPr>
        <w:b/>
        <w:sz w:val="20"/>
      </w:rPr>
      <w:fldChar w:fldCharType="begin"/>
    </w:r>
    <w:r w:rsidRPr="00114926">
      <w:rPr>
        <w:b/>
        <w:sz w:val="20"/>
      </w:rPr>
      <w:instrText xml:space="preserve"> PAGE  \* Arabic  \* MERGEFORMAT </w:instrText>
    </w:r>
    <w:r w:rsidRPr="00114926">
      <w:rPr>
        <w:b/>
        <w:sz w:val="20"/>
      </w:rPr>
      <w:fldChar w:fldCharType="separate"/>
    </w:r>
    <w:r w:rsidR="004F30BD">
      <w:rPr>
        <w:b/>
        <w:noProof/>
        <w:sz w:val="20"/>
      </w:rPr>
      <w:t>1</w:t>
    </w:r>
    <w:r w:rsidRPr="00114926">
      <w:rPr>
        <w:b/>
        <w:sz w:val="20"/>
      </w:rPr>
      <w:fldChar w:fldCharType="end"/>
    </w:r>
    <w:r w:rsidRPr="00114926">
      <w:rPr>
        <w:sz w:val="20"/>
      </w:rPr>
      <w:t xml:space="preserve"> of </w:t>
    </w:r>
    <w:r w:rsidRPr="00114926">
      <w:rPr>
        <w:b/>
        <w:sz w:val="20"/>
      </w:rPr>
      <w:fldChar w:fldCharType="begin"/>
    </w:r>
    <w:r w:rsidRPr="00114926">
      <w:rPr>
        <w:b/>
        <w:sz w:val="20"/>
      </w:rPr>
      <w:instrText xml:space="preserve"> NUMPAGES  \* Arabic  \* MERGEFORMAT </w:instrText>
    </w:r>
    <w:r w:rsidRPr="00114926">
      <w:rPr>
        <w:b/>
        <w:sz w:val="20"/>
      </w:rPr>
      <w:fldChar w:fldCharType="separate"/>
    </w:r>
    <w:r w:rsidR="004F30BD">
      <w:rPr>
        <w:b/>
        <w:noProof/>
        <w:sz w:val="20"/>
      </w:rPr>
      <w:t>24</w:t>
    </w:r>
    <w:r w:rsidRPr="00114926">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341" w:rsidRPr="00114926" w:rsidRDefault="00417341" w:rsidP="00114926">
    <w:pPr>
      <w:pBdr>
        <w:top w:val="single" w:sz="4" w:space="1" w:color="auto"/>
      </w:pBdr>
      <w:rPr>
        <w:sz w:val="20"/>
      </w:rPr>
    </w:pPr>
    <w:r>
      <w:rPr>
        <w:sz w:val="20"/>
      </w:rPr>
      <w:t>VEYVONDI PI DD MMM YYYY (CCDS 6.0)</w:t>
    </w:r>
    <w:r>
      <w:rPr>
        <w:sz w:val="20"/>
      </w:rPr>
      <w:tab/>
    </w:r>
    <w:r>
      <w:rPr>
        <w:sz w:val="20"/>
      </w:rPr>
      <w:tab/>
    </w:r>
    <w:r>
      <w:rPr>
        <w:sz w:val="20"/>
      </w:rPr>
      <w:tab/>
    </w:r>
    <w:r>
      <w:rPr>
        <w:sz w:val="20"/>
      </w:rPr>
      <w:tab/>
    </w:r>
    <w:r>
      <w:rPr>
        <w:sz w:val="20"/>
      </w:rPr>
      <w:tab/>
    </w:r>
    <w:r>
      <w:rPr>
        <w:sz w:val="20"/>
      </w:rPr>
      <w:tab/>
    </w:r>
    <w:r w:rsidRPr="00114926">
      <w:rPr>
        <w:sz w:val="20"/>
      </w:rPr>
      <w:t xml:space="preserve">Page </w:t>
    </w:r>
    <w:r w:rsidRPr="00114926">
      <w:rPr>
        <w:b/>
        <w:sz w:val="20"/>
      </w:rPr>
      <w:fldChar w:fldCharType="begin"/>
    </w:r>
    <w:r w:rsidRPr="00114926">
      <w:rPr>
        <w:b/>
        <w:sz w:val="20"/>
      </w:rPr>
      <w:instrText xml:space="preserve"> PAGE  \* Arabic  \* MERGEFORMAT </w:instrText>
    </w:r>
    <w:r w:rsidRPr="00114926">
      <w:rPr>
        <w:b/>
        <w:sz w:val="20"/>
      </w:rPr>
      <w:fldChar w:fldCharType="separate"/>
    </w:r>
    <w:r>
      <w:rPr>
        <w:b/>
        <w:noProof/>
        <w:sz w:val="20"/>
      </w:rPr>
      <w:t>1</w:t>
    </w:r>
    <w:r w:rsidRPr="00114926">
      <w:rPr>
        <w:b/>
        <w:sz w:val="20"/>
      </w:rPr>
      <w:fldChar w:fldCharType="end"/>
    </w:r>
    <w:r w:rsidRPr="00114926">
      <w:rPr>
        <w:sz w:val="20"/>
      </w:rPr>
      <w:t xml:space="preserve"> of </w:t>
    </w:r>
    <w:r w:rsidRPr="00114926">
      <w:rPr>
        <w:b/>
        <w:sz w:val="20"/>
      </w:rPr>
      <w:fldChar w:fldCharType="begin"/>
    </w:r>
    <w:r w:rsidRPr="00114926">
      <w:rPr>
        <w:b/>
        <w:sz w:val="20"/>
      </w:rPr>
      <w:instrText xml:space="preserve"> NUMPAGES  \* Arabic  \* MERGEFORMAT </w:instrText>
    </w:r>
    <w:r w:rsidRPr="00114926">
      <w:rPr>
        <w:b/>
        <w:sz w:val="20"/>
      </w:rPr>
      <w:fldChar w:fldCharType="separate"/>
    </w:r>
    <w:r>
      <w:rPr>
        <w:b/>
        <w:noProof/>
        <w:sz w:val="20"/>
      </w:rPr>
      <w:t>22</w:t>
    </w:r>
    <w:r w:rsidRPr="00114926">
      <w:rPr>
        <w:b/>
        <w:sz w:val="20"/>
      </w:rPr>
      <w:fldChar w:fldCharType="end"/>
    </w:r>
  </w:p>
  <w:p w:rsidR="00417341" w:rsidRDefault="0041734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FCC" w:rsidRDefault="00DF2FCC">
      <w:r>
        <w:separator/>
      </w:r>
    </w:p>
  </w:footnote>
  <w:footnote w:type="continuationSeparator" w:id="0">
    <w:p w:rsidR="00DF2FCC" w:rsidRDefault="00DF2FCC">
      <w:r>
        <w:continuationSeparator/>
      </w:r>
    </w:p>
  </w:footnote>
  <w:footnote w:type="continuationNotice" w:id="1">
    <w:p w:rsidR="00DF2FCC" w:rsidRDefault="00DF2F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E26" w:rsidRDefault="00686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2E0"/>
      <w:tblLook w:val="04A0" w:firstRow="1" w:lastRow="0" w:firstColumn="1" w:lastColumn="0" w:noHBand="0" w:noVBand="1"/>
    </w:tblPr>
    <w:tblGrid>
      <w:gridCol w:w="8720"/>
    </w:tblGrid>
    <w:tr w:rsidR="00CC35D7" w:rsidRPr="000B2145" w:rsidTr="00DF2FCC">
      <w:trPr>
        <w:trHeight w:val="590"/>
      </w:trPr>
      <w:tc>
        <w:tcPr>
          <w:tcW w:w="8720" w:type="dxa"/>
          <w:shd w:val="clear" w:color="auto" w:fill="E4F2E0"/>
        </w:tcPr>
        <w:p w:rsidR="00CC35D7" w:rsidRPr="00DF2FCC" w:rsidRDefault="00CC35D7" w:rsidP="00DF2FCC">
          <w:pPr>
            <w:pStyle w:val="Footer"/>
            <w:rPr>
              <w:b/>
              <w:sz w:val="18"/>
              <w:szCs w:val="18"/>
            </w:rPr>
          </w:pPr>
          <w:r w:rsidRPr="00DF2FCC">
            <w:rPr>
              <w:b/>
              <w:sz w:val="18"/>
              <w:szCs w:val="18"/>
            </w:rPr>
            <w:t>Attachment 1:</w:t>
          </w:r>
          <w:r>
            <w:t xml:space="preserve"> </w:t>
          </w:r>
          <w:r w:rsidRPr="00DF2FCC">
            <w:rPr>
              <w:b/>
              <w:sz w:val="18"/>
              <w:szCs w:val="18"/>
            </w:rPr>
            <w:t>AusPAR - VEYVONDI - vonicog alfa - Shire Australia Pty Ltd - PM-2019-01555-1-6 FINAL 14 October 2020. This is the Product Information that was approved with the submission described in this AusPAR. It may have been superseded. For the most recent PI, please refer to the TGA website at &lt;</w:t>
          </w:r>
          <w:hyperlink r:id="rId1" w:history="1">
            <w:r w:rsidRPr="00DF2FCC">
              <w:rPr>
                <w:rStyle w:val="Hyperlink"/>
                <w:rFonts w:eastAsia="Verdana"/>
                <w:b/>
              </w:rPr>
              <w:t>https://www.tga.gov.au/product-information-pi</w:t>
            </w:r>
          </w:hyperlink>
          <w:r w:rsidRPr="00DF2FCC">
            <w:rPr>
              <w:b/>
              <w:sz w:val="18"/>
              <w:szCs w:val="18"/>
              <w:u w:val="single"/>
            </w:rPr>
            <w:t>&gt;</w:t>
          </w:r>
        </w:p>
      </w:tc>
    </w:tr>
  </w:tbl>
  <w:p w:rsidR="00686E26" w:rsidRDefault="00686E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E26" w:rsidRDefault="00686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2B13AF"/>
    <w:multiLevelType w:val="multilevel"/>
    <w:tmpl w:val="5ECADAC8"/>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133B6E38"/>
    <w:multiLevelType w:val="multilevel"/>
    <w:tmpl w:val="CE3C5D06"/>
    <w:lvl w:ilvl="0">
      <w:start w:val="1"/>
      <w:numFmt w:val="decimal"/>
      <w:pStyle w:val="Heading1"/>
      <w:lvlText w:val="%1."/>
      <w:lvlJc w:val="left"/>
      <w:pPr>
        <w:tabs>
          <w:tab w:val="num" w:pos="2077"/>
        </w:tabs>
        <w:ind w:left="2077" w:hanging="907"/>
      </w:pPr>
      <w:rPr>
        <w:rFonts w:hint="default"/>
      </w:rPr>
    </w:lvl>
    <w:lvl w:ilvl="1">
      <w:start w:val="1"/>
      <w:numFmt w:val="decimal"/>
      <w:pStyle w:val="Heading2"/>
      <w:lvlText w:val="%1.%2"/>
      <w:lvlJc w:val="left"/>
      <w:pPr>
        <w:tabs>
          <w:tab w:val="num" w:pos="907"/>
        </w:tabs>
        <w:ind w:left="907" w:hanging="907"/>
      </w:pPr>
      <w:rPr>
        <w:rFonts w:hint="default"/>
      </w:rPr>
    </w:lvl>
    <w:lvl w:ilvl="2">
      <w:start w:val="1"/>
      <w:numFmt w:val="decimal"/>
      <w:pStyle w:val="Heading3"/>
      <w:lvlText w:val="%1.%2.%3"/>
      <w:lvlJc w:val="left"/>
      <w:pPr>
        <w:tabs>
          <w:tab w:val="num" w:pos="907"/>
        </w:tabs>
        <w:ind w:left="907" w:hanging="907"/>
      </w:pPr>
      <w:rPr>
        <w:rFonts w:hint="default"/>
      </w:rPr>
    </w:lvl>
    <w:lvl w:ilvl="3">
      <w:start w:val="1"/>
      <w:numFmt w:val="decimal"/>
      <w:pStyle w:val="Heading4"/>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3" w15:restartNumberingAfterBreak="0">
    <w:nsid w:val="217A0703"/>
    <w:multiLevelType w:val="hybridMultilevel"/>
    <w:tmpl w:val="1714DB50"/>
    <w:lvl w:ilvl="0" w:tplc="561495D8">
      <w:numFmt w:val="bullet"/>
      <w:lvlText w:val="-"/>
      <w:lvlJc w:val="left"/>
      <w:pPr>
        <w:ind w:left="720" w:hanging="360"/>
      </w:pPr>
      <w:rPr>
        <w:rFonts w:ascii="Times New Roman" w:eastAsia="Verdan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226D6"/>
    <w:multiLevelType w:val="hybridMultilevel"/>
    <w:tmpl w:val="297619E6"/>
    <w:name w:val="BXH23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66001"/>
    <w:multiLevelType w:val="hybridMultilevel"/>
    <w:tmpl w:val="C02A9F3C"/>
    <w:lvl w:ilvl="0" w:tplc="04090001">
      <w:start w:val="1"/>
      <w:numFmt w:val="bullet"/>
      <w:lvlText w:val=""/>
      <w:lvlJc w:val="left"/>
      <w:pPr>
        <w:ind w:left="720" w:hanging="360"/>
      </w:pPr>
      <w:rPr>
        <w:rFonts w:ascii="Symbol" w:hAnsi="Symbol" w:hint="default"/>
      </w:rPr>
    </w:lvl>
    <w:lvl w:ilvl="1" w:tplc="71B49F7E">
      <w:numFmt w:val="bullet"/>
      <w:lvlText w:val="-"/>
      <w:lvlJc w:val="left"/>
      <w:pPr>
        <w:ind w:left="1440" w:hanging="360"/>
      </w:pPr>
      <w:rPr>
        <w:rFonts w:ascii="Times New Roman" w:eastAsia="Times New Roman" w:hAnsi="Times New Roman" w:cs="Times New Roman" w:hint="default"/>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D1297"/>
    <w:multiLevelType w:val="hybridMultilevel"/>
    <w:tmpl w:val="5E8EE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523E5"/>
    <w:multiLevelType w:val="hybridMultilevel"/>
    <w:tmpl w:val="424E15F6"/>
    <w:lvl w:ilvl="0" w:tplc="799A99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A1CDC"/>
    <w:multiLevelType w:val="hybridMultilevel"/>
    <w:tmpl w:val="8F6CB174"/>
    <w:name w:val="BXH23"/>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CE2E02"/>
    <w:multiLevelType w:val="hybridMultilevel"/>
    <w:tmpl w:val="7D08362A"/>
    <w:name w:val="BXH232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764117"/>
    <w:multiLevelType w:val="hybridMultilevel"/>
    <w:tmpl w:val="166201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EDD33E2"/>
    <w:multiLevelType w:val="hybridMultilevel"/>
    <w:tmpl w:val="40D0E4BE"/>
    <w:lvl w:ilvl="0" w:tplc="561495D8">
      <w:numFmt w:val="bullet"/>
      <w:lvlText w:val="-"/>
      <w:lvlJc w:val="left"/>
      <w:pPr>
        <w:ind w:left="360" w:hanging="360"/>
      </w:pPr>
      <w:rPr>
        <w:rFonts w:ascii="Times New Roman" w:eastAsia="Verdan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EF16DC"/>
    <w:multiLevelType w:val="hybridMultilevel"/>
    <w:tmpl w:val="5ED0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5764B7"/>
    <w:multiLevelType w:val="hybridMultilevel"/>
    <w:tmpl w:val="3A7C113E"/>
    <w:name w:val="BXH2322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C535B8C"/>
    <w:multiLevelType w:val="hybridMultilevel"/>
    <w:tmpl w:val="ABFEC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2"/>
  </w:num>
  <w:num w:numId="4">
    <w:abstractNumId w:val="12"/>
  </w:num>
  <w:num w:numId="5">
    <w:abstractNumId w:val="6"/>
  </w:num>
  <w:num w:numId="6">
    <w:abstractNumId w:val="10"/>
  </w:num>
  <w:num w:numId="7">
    <w:abstractNumId w:val="14"/>
  </w:num>
  <w:num w:numId="8">
    <w:abstractNumId w:val="2"/>
  </w:num>
  <w:num w:numId="9">
    <w:abstractNumId w:val="2"/>
  </w:num>
  <w:num w:numId="10">
    <w:abstractNumId w:val="2"/>
  </w:num>
  <w:num w:numId="11">
    <w:abstractNumId w:val="3"/>
  </w:num>
  <w:num w:numId="12">
    <w:abstractNumId w:val="8"/>
  </w:num>
  <w:num w:numId="13">
    <w:abstractNumId w:val="4"/>
  </w:num>
  <w:num w:numId="14">
    <w:abstractNumId w:val="9"/>
  </w:num>
  <w:num w:numId="15">
    <w:abstractNumId w:val="13"/>
  </w:num>
  <w:num w:numId="16">
    <w:abstractNumId w:val="11"/>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Registered" w:val="-1"/>
    <w:docVar w:name="Version" w:val="0"/>
  </w:docVars>
  <w:rsids>
    <w:rsidRoot w:val="00812D16"/>
    <w:rsid w:val="00000D62"/>
    <w:rsid w:val="00001587"/>
    <w:rsid w:val="000015FA"/>
    <w:rsid w:val="0000362A"/>
    <w:rsid w:val="00003AEF"/>
    <w:rsid w:val="00003F72"/>
    <w:rsid w:val="00004F8C"/>
    <w:rsid w:val="00005701"/>
    <w:rsid w:val="000071FD"/>
    <w:rsid w:val="000072AA"/>
    <w:rsid w:val="00007528"/>
    <w:rsid w:val="000078BD"/>
    <w:rsid w:val="000105B3"/>
    <w:rsid w:val="0001164F"/>
    <w:rsid w:val="000122B7"/>
    <w:rsid w:val="00012A9A"/>
    <w:rsid w:val="0001315F"/>
    <w:rsid w:val="00014869"/>
    <w:rsid w:val="000150D3"/>
    <w:rsid w:val="000152E6"/>
    <w:rsid w:val="00015733"/>
    <w:rsid w:val="000165C1"/>
    <w:rsid w:val="000166C1"/>
    <w:rsid w:val="00016721"/>
    <w:rsid w:val="00016DAA"/>
    <w:rsid w:val="00017988"/>
    <w:rsid w:val="0002006B"/>
    <w:rsid w:val="00020947"/>
    <w:rsid w:val="000209B1"/>
    <w:rsid w:val="00020AE8"/>
    <w:rsid w:val="00020D13"/>
    <w:rsid w:val="000212BB"/>
    <w:rsid w:val="0002179F"/>
    <w:rsid w:val="00022427"/>
    <w:rsid w:val="00022F56"/>
    <w:rsid w:val="000232D8"/>
    <w:rsid w:val="00023A2C"/>
    <w:rsid w:val="000244C6"/>
    <w:rsid w:val="00025769"/>
    <w:rsid w:val="00025B79"/>
    <w:rsid w:val="00025D8F"/>
    <w:rsid w:val="00025EBE"/>
    <w:rsid w:val="0002691E"/>
    <w:rsid w:val="00026BF2"/>
    <w:rsid w:val="000271F6"/>
    <w:rsid w:val="000279CC"/>
    <w:rsid w:val="00030445"/>
    <w:rsid w:val="000313B6"/>
    <w:rsid w:val="00031615"/>
    <w:rsid w:val="000318C7"/>
    <w:rsid w:val="00032304"/>
    <w:rsid w:val="00032BCD"/>
    <w:rsid w:val="000339FC"/>
    <w:rsid w:val="00033D26"/>
    <w:rsid w:val="00033D81"/>
    <w:rsid w:val="00033FDB"/>
    <w:rsid w:val="000344F6"/>
    <w:rsid w:val="00036029"/>
    <w:rsid w:val="000363CB"/>
    <w:rsid w:val="000365BE"/>
    <w:rsid w:val="00036FCF"/>
    <w:rsid w:val="00037376"/>
    <w:rsid w:val="00042263"/>
    <w:rsid w:val="00042A09"/>
    <w:rsid w:val="00043505"/>
    <w:rsid w:val="00043C70"/>
    <w:rsid w:val="00043E88"/>
    <w:rsid w:val="00044042"/>
    <w:rsid w:val="00045640"/>
    <w:rsid w:val="00045AC8"/>
    <w:rsid w:val="000465C4"/>
    <w:rsid w:val="00046912"/>
    <w:rsid w:val="0004701A"/>
    <w:rsid w:val="000474D2"/>
    <w:rsid w:val="000479C5"/>
    <w:rsid w:val="00050DFD"/>
    <w:rsid w:val="00053809"/>
    <w:rsid w:val="00053914"/>
    <w:rsid w:val="0005472B"/>
    <w:rsid w:val="00054756"/>
    <w:rsid w:val="000556C8"/>
    <w:rsid w:val="000560C5"/>
    <w:rsid w:val="000569DA"/>
    <w:rsid w:val="00056C49"/>
    <w:rsid w:val="00056C62"/>
    <w:rsid w:val="00056D51"/>
    <w:rsid w:val="00056FE0"/>
    <w:rsid w:val="000570E2"/>
    <w:rsid w:val="00060090"/>
    <w:rsid w:val="000603C8"/>
    <w:rsid w:val="000608A4"/>
    <w:rsid w:val="00060AA1"/>
    <w:rsid w:val="0006192F"/>
    <w:rsid w:val="00061BD8"/>
    <w:rsid w:val="00061FEE"/>
    <w:rsid w:val="00062176"/>
    <w:rsid w:val="000631FD"/>
    <w:rsid w:val="00063364"/>
    <w:rsid w:val="000643D3"/>
    <w:rsid w:val="00064701"/>
    <w:rsid w:val="00065D4F"/>
    <w:rsid w:val="00067B16"/>
    <w:rsid w:val="00067C76"/>
    <w:rsid w:val="00067DE5"/>
    <w:rsid w:val="000703F3"/>
    <w:rsid w:val="00071023"/>
    <w:rsid w:val="00071722"/>
    <w:rsid w:val="00071924"/>
    <w:rsid w:val="00071F8A"/>
    <w:rsid w:val="00073E04"/>
    <w:rsid w:val="0007401B"/>
    <w:rsid w:val="000757B2"/>
    <w:rsid w:val="000757E3"/>
    <w:rsid w:val="00075B7F"/>
    <w:rsid w:val="0007628D"/>
    <w:rsid w:val="00077167"/>
    <w:rsid w:val="00081DAB"/>
    <w:rsid w:val="000846D4"/>
    <w:rsid w:val="00085E61"/>
    <w:rsid w:val="000908F2"/>
    <w:rsid w:val="00091A5B"/>
    <w:rsid w:val="00092829"/>
    <w:rsid w:val="00092B09"/>
    <w:rsid w:val="00092DFB"/>
    <w:rsid w:val="00093290"/>
    <w:rsid w:val="0009351E"/>
    <w:rsid w:val="0009479A"/>
    <w:rsid w:val="00094AD6"/>
    <w:rsid w:val="00094E53"/>
    <w:rsid w:val="00095D61"/>
    <w:rsid w:val="00095E44"/>
    <w:rsid w:val="00096BE6"/>
    <w:rsid w:val="00096D8D"/>
    <w:rsid w:val="00096DA3"/>
    <w:rsid w:val="0009755A"/>
    <w:rsid w:val="00097FEA"/>
    <w:rsid w:val="000A1232"/>
    <w:rsid w:val="000A1394"/>
    <w:rsid w:val="000A1759"/>
    <w:rsid w:val="000A29C9"/>
    <w:rsid w:val="000A30E5"/>
    <w:rsid w:val="000A40D0"/>
    <w:rsid w:val="000A49F1"/>
    <w:rsid w:val="000A68EF"/>
    <w:rsid w:val="000A6F0D"/>
    <w:rsid w:val="000A6F6F"/>
    <w:rsid w:val="000B0097"/>
    <w:rsid w:val="000B083D"/>
    <w:rsid w:val="000B101F"/>
    <w:rsid w:val="000B1985"/>
    <w:rsid w:val="000B1F4B"/>
    <w:rsid w:val="000B2F27"/>
    <w:rsid w:val="000B2F58"/>
    <w:rsid w:val="000B3309"/>
    <w:rsid w:val="000B36DF"/>
    <w:rsid w:val="000B37A8"/>
    <w:rsid w:val="000B3963"/>
    <w:rsid w:val="000B51D9"/>
    <w:rsid w:val="000B5337"/>
    <w:rsid w:val="000B5FCF"/>
    <w:rsid w:val="000B65E6"/>
    <w:rsid w:val="000B6E3A"/>
    <w:rsid w:val="000B7726"/>
    <w:rsid w:val="000B7B6A"/>
    <w:rsid w:val="000C03FB"/>
    <w:rsid w:val="000C106D"/>
    <w:rsid w:val="000C1F22"/>
    <w:rsid w:val="000C282A"/>
    <w:rsid w:val="000C308F"/>
    <w:rsid w:val="000C5A4E"/>
    <w:rsid w:val="000C635D"/>
    <w:rsid w:val="000C68A5"/>
    <w:rsid w:val="000C6F18"/>
    <w:rsid w:val="000C7F49"/>
    <w:rsid w:val="000D1217"/>
    <w:rsid w:val="000D1244"/>
    <w:rsid w:val="000D1AEE"/>
    <w:rsid w:val="000D1AFD"/>
    <w:rsid w:val="000D1F4F"/>
    <w:rsid w:val="000D4D07"/>
    <w:rsid w:val="000D7535"/>
    <w:rsid w:val="000E01E1"/>
    <w:rsid w:val="000E0F95"/>
    <w:rsid w:val="000E14FA"/>
    <w:rsid w:val="000E165D"/>
    <w:rsid w:val="000E1BAF"/>
    <w:rsid w:val="000E223E"/>
    <w:rsid w:val="000E2491"/>
    <w:rsid w:val="000E2758"/>
    <w:rsid w:val="000E2EA9"/>
    <w:rsid w:val="000E325E"/>
    <w:rsid w:val="000E32F2"/>
    <w:rsid w:val="000E46A3"/>
    <w:rsid w:val="000E4E88"/>
    <w:rsid w:val="000E5726"/>
    <w:rsid w:val="000E5EE5"/>
    <w:rsid w:val="000E6756"/>
    <w:rsid w:val="000E6C94"/>
    <w:rsid w:val="000E6DB0"/>
    <w:rsid w:val="000E6EA7"/>
    <w:rsid w:val="000F050D"/>
    <w:rsid w:val="000F097A"/>
    <w:rsid w:val="000F16BA"/>
    <w:rsid w:val="000F1BB2"/>
    <w:rsid w:val="000F217A"/>
    <w:rsid w:val="000F301C"/>
    <w:rsid w:val="000F3F94"/>
    <w:rsid w:val="000F5235"/>
    <w:rsid w:val="000F5B21"/>
    <w:rsid w:val="000F6504"/>
    <w:rsid w:val="000F7EBE"/>
    <w:rsid w:val="00101579"/>
    <w:rsid w:val="00102AC7"/>
    <w:rsid w:val="00102E4B"/>
    <w:rsid w:val="00102FB5"/>
    <w:rsid w:val="0010315B"/>
    <w:rsid w:val="00103501"/>
    <w:rsid w:val="00103B2D"/>
    <w:rsid w:val="00103CD2"/>
    <w:rsid w:val="00104061"/>
    <w:rsid w:val="00107186"/>
    <w:rsid w:val="00107236"/>
    <w:rsid w:val="001074B3"/>
    <w:rsid w:val="001101A2"/>
    <w:rsid w:val="00110690"/>
    <w:rsid w:val="001106F7"/>
    <w:rsid w:val="001108A9"/>
    <w:rsid w:val="00110D07"/>
    <w:rsid w:val="0011292B"/>
    <w:rsid w:val="00112EDA"/>
    <w:rsid w:val="00114174"/>
    <w:rsid w:val="00114926"/>
    <w:rsid w:val="00117B4A"/>
    <w:rsid w:val="00117C1D"/>
    <w:rsid w:val="0012092E"/>
    <w:rsid w:val="001235ED"/>
    <w:rsid w:val="00123688"/>
    <w:rsid w:val="00126F64"/>
    <w:rsid w:val="00127A3F"/>
    <w:rsid w:val="00127F47"/>
    <w:rsid w:val="00133572"/>
    <w:rsid w:val="00134E4A"/>
    <w:rsid w:val="00136464"/>
    <w:rsid w:val="001364FB"/>
    <w:rsid w:val="001365F2"/>
    <w:rsid w:val="00136D7A"/>
    <w:rsid w:val="001374C5"/>
    <w:rsid w:val="00141470"/>
    <w:rsid w:val="00141540"/>
    <w:rsid w:val="001435D0"/>
    <w:rsid w:val="001449DF"/>
    <w:rsid w:val="00144ADC"/>
    <w:rsid w:val="0014569B"/>
    <w:rsid w:val="00145BB1"/>
    <w:rsid w:val="00146A49"/>
    <w:rsid w:val="00146BD9"/>
    <w:rsid w:val="001470E0"/>
    <w:rsid w:val="00150060"/>
    <w:rsid w:val="001524DA"/>
    <w:rsid w:val="00153C9B"/>
    <w:rsid w:val="00154C69"/>
    <w:rsid w:val="001553D2"/>
    <w:rsid w:val="0015694D"/>
    <w:rsid w:val="00156A34"/>
    <w:rsid w:val="0015704C"/>
    <w:rsid w:val="00157895"/>
    <w:rsid w:val="00157983"/>
    <w:rsid w:val="001579CA"/>
    <w:rsid w:val="0016034C"/>
    <w:rsid w:val="00161701"/>
    <w:rsid w:val="00161E87"/>
    <w:rsid w:val="00164255"/>
    <w:rsid w:val="001645D4"/>
    <w:rsid w:val="00164F80"/>
    <w:rsid w:val="0016566C"/>
    <w:rsid w:val="0016640B"/>
    <w:rsid w:val="00166CFE"/>
    <w:rsid w:val="00167B5D"/>
    <w:rsid w:val="00170A38"/>
    <w:rsid w:val="0017215D"/>
    <w:rsid w:val="001727F0"/>
    <w:rsid w:val="00172B06"/>
    <w:rsid w:val="0017347E"/>
    <w:rsid w:val="0017527C"/>
    <w:rsid w:val="001752D8"/>
    <w:rsid w:val="001754B5"/>
    <w:rsid w:val="00175931"/>
    <w:rsid w:val="00176B25"/>
    <w:rsid w:val="001807BC"/>
    <w:rsid w:val="0018238B"/>
    <w:rsid w:val="0018294E"/>
    <w:rsid w:val="00183419"/>
    <w:rsid w:val="0018394A"/>
    <w:rsid w:val="00184DCC"/>
    <w:rsid w:val="00184EE9"/>
    <w:rsid w:val="00185214"/>
    <w:rsid w:val="0018569D"/>
    <w:rsid w:val="00185797"/>
    <w:rsid w:val="0018581D"/>
    <w:rsid w:val="001858F4"/>
    <w:rsid w:val="00186A9D"/>
    <w:rsid w:val="00186DEF"/>
    <w:rsid w:val="001874A6"/>
    <w:rsid w:val="0018765B"/>
    <w:rsid w:val="001904AE"/>
    <w:rsid w:val="00190913"/>
    <w:rsid w:val="0019236A"/>
    <w:rsid w:val="00193B21"/>
    <w:rsid w:val="00193DD3"/>
    <w:rsid w:val="001948AA"/>
    <w:rsid w:val="001949FC"/>
    <w:rsid w:val="00194D5D"/>
    <w:rsid w:val="00195F65"/>
    <w:rsid w:val="00196AB4"/>
    <w:rsid w:val="0019718A"/>
    <w:rsid w:val="001A07E2"/>
    <w:rsid w:val="001A0947"/>
    <w:rsid w:val="001A0A5D"/>
    <w:rsid w:val="001A1F75"/>
    <w:rsid w:val="001A2018"/>
    <w:rsid w:val="001A204D"/>
    <w:rsid w:val="001A26CC"/>
    <w:rsid w:val="001A3C69"/>
    <w:rsid w:val="001A418D"/>
    <w:rsid w:val="001A5117"/>
    <w:rsid w:val="001A5590"/>
    <w:rsid w:val="001A56F1"/>
    <w:rsid w:val="001A5D0E"/>
    <w:rsid w:val="001A6285"/>
    <w:rsid w:val="001A6A03"/>
    <w:rsid w:val="001A78AD"/>
    <w:rsid w:val="001A7C97"/>
    <w:rsid w:val="001A7CED"/>
    <w:rsid w:val="001B01C8"/>
    <w:rsid w:val="001B07BB"/>
    <w:rsid w:val="001B0B52"/>
    <w:rsid w:val="001B13F6"/>
    <w:rsid w:val="001B1747"/>
    <w:rsid w:val="001B1748"/>
    <w:rsid w:val="001B17A2"/>
    <w:rsid w:val="001B1DBF"/>
    <w:rsid w:val="001B2D44"/>
    <w:rsid w:val="001B34DA"/>
    <w:rsid w:val="001B51EF"/>
    <w:rsid w:val="001B6D6C"/>
    <w:rsid w:val="001B7138"/>
    <w:rsid w:val="001B752A"/>
    <w:rsid w:val="001C0231"/>
    <w:rsid w:val="001C12FB"/>
    <w:rsid w:val="001C1930"/>
    <w:rsid w:val="001C1A87"/>
    <w:rsid w:val="001C2DB4"/>
    <w:rsid w:val="001C2F62"/>
    <w:rsid w:val="001C3228"/>
    <w:rsid w:val="001C35E9"/>
    <w:rsid w:val="001C36BD"/>
    <w:rsid w:val="001C3733"/>
    <w:rsid w:val="001C3EE7"/>
    <w:rsid w:val="001C4057"/>
    <w:rsid w:val="001C49B3"/>
    <w:rsid w:val="001C4A7F"/>
    <w:rsid w:val="001C4B42"/>
    <w:rsid w:val="001C5B30"/>
    <w:rsid w:val="001C6199"/>
    <w:rsid w:val="001C6E54"/>
    <w:rsid w:val="001D093A"/>
    <w:rsid w:val="001D25CE"/>
    <w:rsid w:val="001D2953"/>
    <w:rsid w:val="001D2FC6"/>
    <w:rsid w:val="001D33E8"/>
    <w:rsid w:val="001D39D6"/>
    <w:rsid w:val="001D3C05"/>
    <w:rsid w:val="001D5017"/>
    <w:rsid w:val="001D509E"/>
    <w:rsid w:val="001D6352"/>
    <w:rsid w:val="001D6AF4"/>
    <w:rsid w:val="001E00D2"/>
    <w:rsid w:val="001E011D"/>
    <w:rsid w:val="001E06E8"/>
    <w:rsid w:val="001E0CC1"/>
    <w:rsid w:val="001E1C10"/>
    <w:rsid w:val="001E23A2"/>
    <w:rsid w:val="001E38B3"/>
    <w:rsid w:val="001E3C72"/>
    <w:rsid w:val="001E3CC0"/>
    <w:rsid w:val="001E499B"/>
    <w:rsid w:val="001E6433"/>
    <w:rsid w:val="001E77C3"/>
    <w:rsid w:val="001F090B"/>
    <w:rsid w:val="001F1257"/>
    <w:rsid w:val="001F180A"/>
    <w:rsid w:val="001F1A28"/>
    <w:rsid w:val="001F1AD0"/>
    <w:rsid w:val="001F2CE7"/>
    <w:rsid w:val="001F35E8"/>
    <w:rsid w:val="001F3766"/>
    <w:rsid w:val="001F4014"/>
    <w:rsid w:val="001F4120"/>
    <w:rsid w:val="001F445E"/>
    <w:rsid w:val="001F446B"/>
    <w:rsid w:val="001F46F3"/>
    <w:rsid w:val="001F6423"/>
    <w:rsid w:val="001F66CA"/>
    <w:rsid w:val="001F71C6"/>
    <w:rsid w:val="00201213"/>
    <w:rsid w:val="0020150F"/>
    <w:rsid w:val="0020165E"/>
    <w:rsid w:val="00202446"/>
    <w:rsid w:val="0020272E"/>
    <w:rsid w:val="002028E5"/>
    <w:rsid w:val="00202E50"/>
    <w:rsid w:val="002032CB"/>
    <w:rsid w:val="00203EE4"/>
    <w:rsid w:val="00204AAB"/>
    <w:rsid w:val="00205180"/>
    <w:rsid w:val="00205C3E"/>
    <w:rsid w:val="00206C66"/>
    <w:rsid w:val="0020798D"/>
    <w:rsid w:val="00207C94"/>
    <w:rsid w:val="00207F81"/>
    <w:rsid w:val="002109F4"/>
    <w:rsid w:val="00211240"/>
    <w:rsid w:val="00211D62"/>
    <w:rsid w:val="00211FDA"/>
    <w:rsid w:val="002130BB"/>
    <w:rsid w:val="00215893"/>
    <w:rsid w:val="0021596C"/>
    <w:rsid w:val="00215D15"/>
    <w:rsid w:val="00215E05"/>
    <w:rsid w:val="00215FDA"/>
    <w:rsid w:val="002160C2"/>
    <w:rsid w:val="00216BEC"/>
    <w:rsid w:val="002210E5"/>
    <w:rsid w:val="00221D2F"/>
    <w:rsid w:val="00221EEA"/>
    <w:rsid w:val="00222BB9"/>
    <w:rsid w:val="00224105"/>
    <w:rsid w:val="0022451D"/>
    <w:rsid w:val="00225569"/>
    <w:rsid w:val="002258D6"/>
    <w:rsid w:val="00226D3D"/>
    <w:rsid w:val="002274FB"/>
    <w:rsid w:val="002300F4"/>
    <w:rsid w:val="002309D2"/>
    <w:rsid w:val="00231B61"/>
    <w:rsid w:val="00232910"/>
    <w:rsid w:val="0023315B"/>
    <w:rsid w:val="002344AF"/>
    <w:rsid w:val="002347FE"/>
    <w:rsid w:val="00234EF1"/>
    <w:rsid w:val="002360D3"/>
    <w:rsid w:val="00236FEC"/>
    <w:rsid w:val="0023756C"/>
    <w:rsid w:val="00237F04"/>
    <w:rsid w:val="002408A6"/>
    <w:rsid w:val="0024178D"/>
    <w:rsid w:val="0024392B"/>
    <w:rsid w:val="00244447"/>
    <w:rsid w:val="0024482A"/>
    <w:rsid w:val="002450C6"/>
    <w:rsid w:val="00245DCF"/>
    <w:rsid w:val="00246C65"/>
    <w:rsid w:val="00246EF4"/>
    <w:rsid w:val="0024721F"/>
    <w:rsid w:val="0025066D"/>
    <w:rsid w:val="00251720"/>
    <w:rsid w:val="00251A10"/>
    <w:rsid w:val="00252BFF"/>
    <w:rsid w:val="002536DD"/>
    <w:rsid w:val="00253732"/>
    <w:rsid w:val="002542A8"/>
    <w:rsid w:val="00255DE2"/>
    <w:rsid w:val="00255DEC"/>
    <w:rsid w:val="002567B7"/>
    <w:rsid w:val="0025761E"/>
    <w:rsid w:val="002576B8"/>
    <w:rsid w:val="00260A11"/>
    <w:rsid w:val="0026169A"/>
    <w:rsid w:val="002621C3"/>
    <w:rsid w:val="00262763"/>
    <w:rsid w:val="00263FCB"/>
    <w:rsid w:val="00264BEA"/>
    <w:rsid w:val="00265492"/>
    <w:rsid w:val="002659E3"/>
    <w:rsid w:val="00267018"/>
    <w:rsid w:val="00267850"/>
    <w:rsid w:val="00271032"/>
    <w:rsid w:val="00271A0C"/>
    <w:rsid w:val="00273793"/>
    <w:rsid w:val="00273E3E"/>
    <w:rsid w:val="00274147"/>
    <w:rsid w:val="00275189"/>
    <w:rsid w:val="002756DC"/>
    <w:rsid w:val="0027597B"/>
    <w:rsid w:val="00276412"/>
    <w:rsid w:val="00276437"/>
    <w:rsid w:val="0027657C"/>
    <w:rsid w:val="00280053"/>
    <w:rsid w:val="0028063F"/>
    <w:rsid w:val="00280740"/>
    <w:rsid w:val="00280B08"/>
    <w:rsid w:val="00280F9E"/>
    <w:rsid w:val="00281D1C"/>
    <w:rsid w:val="00282A64"/>
    <w:rsid w:val="00283133"/>
    <w:rsid w:val="0028319A"/>
    <w:rsid w:val="0028362C"/>
    <w:rsid w:val="00283B02"/>
    <w:rsid w:val="00283C5D"/>
    <w:rsid w:val="002844B0"/>
    <w:rsid w:val="00284AD0"/>
    <w:rsid w:val="00285E90"/>
    <w:rsid w:val="00286322"/>
    <w:rsid w:val="00287486"/>
    <w:rsid w:val="00287BA8"/>
    <w:rsid w:val="00291B40"/>
    <w:rsid w:val="002925F5"/>
    <w:rsid w:val="00292AF8"/>
    <w:rsid w:val="0029459E"/>
    <w:rsid w:val="00296B03"/>
    <w:rsid w:val="00296C1F"/>
    <w:rsid w:val="002A12D5"/>
    <w:rsid w:val="002A1AB5"/>
    <w:rsid w:val="002A3046"/>
    <w:rsid w:val="002A41E6"/>
    <w:rsid w:val="002A44C8"/>
    <w:rsid w:val="002A545A"/>
    <w:rsid w:val="002A55AD"/>
    <w:rsid w:val="002A5B07"/>
    <w:rsid w:val="002A5E48"/>
    <w:rsid w:val="002A64A0"/>
    <w:rsid w:val="002A6E0E"/>
    <w:rsid w:val="002A7E61"/>
    <w:rsid w:val="002B0059"/>
    <w:rsid w:val="002B0455"/>
    <w:rsid w:val="002B1285"/>
    <w:rsid w:val="002B1EE6"/>
    <w:rsid w:val="002B2361"/>
    <w:rsid w:val="002B261C"/>
    <w:rsid w:val="002B2853"/>
    <w:rsid w:val="002B2BEE"/>
    <w:rsid w:val="002B35C5"/>
    <w:rsid w:val="002B3935"/>
    <w:rsid w:val="002B406A"/>
    <w:rsid w:val="002B41D4"/>
    <w:rsid w:val="002B543F"/>
    <w:rsid w:val="002B6165"/>
    <w:rsid w:val="002B74B3"/>
    <w:rsid w:val="002B7D73"/>
    <w:rsid w:val="002C06E3"/>
    <w:rsid w:val="002C0801"/>
    <w:rsid w:val="002C132E"/>
    <w:rsid w:val="002C145F"/>
    <w:rsid w:val="002C31FC"/>
    <w:rsid w:val="002C33B3"/>
    <w:rsid w:val="002C44B0"/>
    <w:rsid w:val="002C4E07"/>
    <w:rsid w:val="002C5224"/>
    <w:rsid w:val="002C7B12"/>
    <w:rsid w:val="002C7BEB"/>
    <w:rsid w:val="002D0586"/>
    <w:rsid w:val="002D1023"/>
    <w:rsid w:val="002D1459"/>
    <w:rsid w:val="002D1470"/>
    <w:rsid w:val="002D1C48"/>
    <w:rsid w:val="002D21CF"/>
    <w:rsid w:val="002D328B"/>
    <w:rsid w:val="002D38EB"/>
    <w:rsid w:val="002D3DB7"/>
    <w:rsid w:val="002D4558"/>
    <w:rsid w:val="002D4705"/>
    <w:rsid w:val="002D5B65"/>
    <w:rsid w:val="002D6396"/>
    <w:rsid w:val="002D7E5E"/>
    <w:rsid w:val="002E07BA"/>
    <w:rsid w:val="002E07EF"/>
    <w:rsid w:val="002E0D06"/>
    <w:rsid w:val="002E1810"/>
    <w:rsid w:val="002E4020"/>
    <w:rsid w:val="002E4E02"/>
    <w:rsid w:val="002E4E94"/>
    <w:rsid w:val="002E508E"/>
    <w:rsid w:val="002E5E87"/>
    <w:rsid w:val="002E76C1"/>
    <w:rsid w:val="002E77E2"/>
    <w:rsid w:val="002F069F"/>
    <w:rsid w:val="002F0B69"/>
    <w:rsid w:val="002F1244"/>
    <w:rsid w:val="002F1F28"/>
    <w:rsid w:val="002F3987"/>
    <w:rsid w:val="002F3E52"/>
    <w:rsid w:val="002F43CA"/>
    <w:rsid w:val="002F4A7B"/>
    <w:rsid w:val="002F4C2E"/>
    <w:rsid w:val="002F57AA"/>
    <w:rsid w:val="002F57D4"/>
    <w:rsid w:val="002F6EF7"/>
    <w:rsid w:val="002F70CF"/>
    <w:rsid w:val="002F714C"/>
    <w:rsid w:val="002F77BF"/>
    <w:rsid w:val="00300151"/>
    <w:rsid w:val="003004A2"/>
    <w:rsid w:val="003007DF"/>
    <w:rsid w:val="00300B36"/>
    <w:rsid w:val="00301297"/>
    <w:rsid w:val="00301E39"/>
    <w:rsid w:val="003027AF"/>
    <w:rsid w:val="00303DD5"/>
    <w:rsid w:val="00304060"/>
    <w:rsid w:val="0030602E"/>
    <w:rsid w:val="003062DD"/>
    <w:rsid w:val="0030747A"/>
    <w:rsid w:val="00307B74"/>
    <w:rsid w:val="00307E39"/>
    <w:rsid w:val="00307F8B"/>
    <w:rsid w:val="00310764"/>
    <w:rsid w:val="00310BB6"/>
    <w:rsid w:val="003110C1"/>
    <w:rsid w:val="00311BFD"/>
    <w:rsid w:val="00312DEB"/>
    <w:rsid w:val="00312FFB"/>
    <w:rsid w:val="003145D0"/>
    <w:rsid w:val="00314718"/>
    <w:rsid w:val="0031488A"/>
    <w:rsid w:val="003175E1"/>
    <w:rsid w:val="00320203"/>
    <w:rsid w:val="00320D19"/>
    <w:rsid w:val="00321080"/>
    <w:rsid w:val="00322002"/>
    <w:rsid w:val="003221EF"/>
    <w:rsid w:val="00323BFD"/>
    <w:rsid w:val="003247B0"/>
    <w:rsid w:val="00324E5C"/>
    <w:rsid w:val="00325E81"/>
    <w:rsid w:val="00326948"/>
    <w:rsid w:val="00327052"/>
    <w:rsid w:val="0033111A"/>
    <w:rsid w:val="0033486D"/>
    <w:rsid w:val="00334A3C"/>
    <w:rsid w:val="00334F1F"/>
    <w:rsid w:val="00335228"/>
    <w:rsid w:val="003355FA"/>
    <w:rsid w:val="003367C4"/>
    <w:rsid w:val="00336D8E"/>
    <w:rsid w:val="003376B3"/>
    <w:rsid w:val="0033780E"/>
    <w:rsid w:val="00342DBA"/>
    <w:rsid w:val="0034387F"/>
    <w:rsid w:val="00344B07"/>
    <w:rsid w:val="0034537E"/>
    <w:rsid w:val="00345739"/>
    <w:rsid w:val="00345F9C"/>
    <w:rsid w:val="00346E7B"/>
    <w:rsid w:val="00347776"/>
    <w:rsid w:val="00351A91"/>
    <w:rsid w:val="003520C4"/>
    <w:rsid w:val="00353007"/>
    <w:rsid w:val="003533AE"/>
    <w:rsid w:val="00353C71"/>
    <w:rsid w:val="00354B22"/>
    <w:rsid w:val="00354BF1"/>
    <w:rsid w:val="00355998"/>
    <w:rsid w:val="00355C3A"/>
    <w:rsid w:val="00355E14"/>
    <w:rsid w:val="00356D4D"/>
    <w:rsid w:val="00357C5E"/>
    <w:rsid w:val="00357C74"/>
    <w:rsid w:val="00360104"/>
    <w:rsid w:val="003608BD"/>
    <w:rsid w:val="00361280"/>
    <w:rsid w:val="003615BB"/>
    <w:rsid w:val="003615F1"/>
    <w:rsid w:val="00361805"/>
    <w:rsid w:val="00361A6E"/>
    <w:rsid w:val="003626AF"/>
    <w:rsid w:val="00363D7F"/>
    <w:rsid w:val="003655D6"/>
    <w:rsid w:val="00365A70"/>
    <w:rsid w:val="0036655E"/>
    <w:rsid w:val="003667B9"/>
    <w:rsid w:val="00367255"/>
    <w:rsid w:val="00367380"/>
    <w:rsid w:val="003673F5"/>
    <w:rsid w:val="00367C66"/>
    <w:rsid w:val="00367EF4"/>
    <w:rsid w:val="003700B2"/>
    <w:rsid w:val="00372293"/>
    <w:rsid w:val="0037233D"/>
    <w:rsid w:val="003736EF"/>
    <w:rsid w:val="003737E3"/>
    <w:rsid w:val="00373C82"/>
    <w:rsid w:val="00374118"/>
    <w:rsid w:val="003741F3"/>
    <w:rsid w:val="00374BFF"/>
    <w:rsid w:val="00375BA8"/>
    <w:rsid w:val="00375EE2"/>
    <w:rsid w:val="00376AD6"/>
    <w:rsid w:val="003774A0"/>
    <w:rsid w:val="00380A1A"/>
    <w:rsid w:val="00380D80"/>
    <w:rsid w:val="00381A08"/>
    <w:rsid w:val="00381DC2"/>
    <w:rsid w:val="00381F6C"/>
    <w:rsid w:val="0038333B"/>
    <w:rsid w:val="00384301"/>
    <w:rsid w:val="0038500E"/>
    <w:rsid w:val="00385C54"/>
    <w:rsid w:val="00386C3B"/>
    <w:rsid w:val="0038761D"/>
    <w:rsid w:val="003879FA"/>
    <w:rsid w:val="003906F8"/>
    <w:rsid w:val="00390928"/>
    <w:rsid w:val="00391742"/>
    <w:rsid w:val="00391F9A"/>
    <w:rsid w:val="003929F9"/>
    <w:rsid w:val="003935EE"/>
    <w:rsid w:val="00393EE9"/>
    <w:rsid w:val="0039404E"/>
    <w:rsid w:val="0039408A"/>
    <w:rsid w:val="003945F5"/>
    <w:rsid w:val="0039673D"/>
    <w:rsid w:val="003975DA"/>
    <w:rsid w:val="00397893"/>
    <w:rsid w:val="003A2191"/>
    <w:rsid w:val="003A2407"/>
    <w:rsid w:val="003A2CF0"/>
    <w:rsid w:val="003A33D3"/>
    <w:rsid w:val="003A3880"/>
    <w:rsid w:val="003A4172"/>
    <w:rsid w:val="003A4B52"/>
    <w:rsid w:val="003A5BC5"/>
    <w:rsid w:val="003A5D55"/>
    <w:rsid w:val="003A6806"/>
    <w:rsid w:val="003A75E6"/>
    <w:rsid w:val="003B08C0"/>
    <w:rsid w:val="003B08DF"/>
    <w:rsid w:val="003B16D8"/>
    <w:rsid w:val="003B255B"/>
    <w:rsid w:val="003B2B13"/>
    <w:rsid w:val="003B3317"/>
    <w:rsid w:val="003B4818"/>
    <w:rsid w:val="003B4B2F"/>
    <w:rsid w:val="003B4C50"/>
    <w:rsid w:val="003B52D4"/>
    <w:rsid w:val="003B563F"/>
    <w:rsid w:val="003B5717"/>
    <w:rsid w:val="003C1CA5"/>
    <w:rsid w:val="003C1EC7"/>
    <w:rsid w:val="003C262A"/>
    <w:rsid w:val="003C3D8E"/>
    <w:rsid w:val="003C56AC"/>
    <w:rsid w:val="003C5E61"/>
    <w:rsid w:val="003C64A0"/>
    <w:rsid w:val="003C6883"/>
    <w:rsid w:val="003C6F0B"/>
    <w:rsid w:val="003C7BA3"/>
    <w:rsid w:val="003D1192"/>
    <w:rsid w:val="003D15CD"/>
    <w:rsid w:val="003D17E1"/>
    <w:rsid w:val="003D3642"/>
    <w:rsid w:val="003D37E4"/>
    <w:rsid w:val="003D4719"/>
    <w:rsid w:val="003D4E9C"/>
    <w:rsid w:val="003D5666"/>
    <w:rsid w:val="003D5C92"/>
    <w:rsid w:val="003D5EE8"/>
    <w:rsid w:val="003D654F"/>
    <w:rsid w:val="003D6CF1"/>
    <w:rsid w:val="003E00D4"/>
    <w:rsid w:val="003E0AE1"/>
    <w:rsid w:val="003E0BAB"/>
    <w:rsid w:val="003E0D78"/>
    <w:rsid w:val="003E1CB1"/>
    <w:rsid w:val="003E21E2"/>
    <w:rsid w:val="003E2C47"/>
    <w:rsid w:val="003E3A1D"/>
    <w:rsid w:val="003E4315"/>
    <w:rsid w:val="003E48FD"/>
    <w:rsid w:val="003E6CA0"/>
    <w:rsid w:val="003E7400"/>
    <w:rsid w:val="003F03DD"/>
    <w:rsid w:val="003F0613"/>
    <w:rsid w:val="003F1F41"/>
    <w:rsid w:val="003F2FDE"/>
    <w:rsid w:val="003F330B"/>
    <w:rsid w:val="003F5D48"/>
    <w:rsid w:val="003F6FDF"/>
    <w:rsid w:val="00400229"/>
    <w:rsid w:val="004016F5"/>
    <w:rsid w:val="00401A09"/>
    <w:rsid w:val="00401C0C"/>
    <w:rsid w:val="00403040"/>
    <w:rsid w:val="004045AA"/>
    <w:rsid w:val="0040549A"/>
    <w:rsid w:val="004055CA"/>
    <w:rsid w:val="00405B13"/>
    <w:rsid w:val="00405CC9"/>
    <w:rsid w:val="0040711E"/>
    <w:rsid w:val="00407D67"/>
    <w:rsid w:val="0041203A"/>
    <w:rsid w:val="00412450"/>
    <w:rsid w:val="004138DE"/>
    <w:rsid w:val="00413B39"/>
    <w:rsid w:val="00414B2F"/>
    <w:rsid w:val="004152E1"/>
    <w:rsid w:val="00415B1C"/>
    <w:rsid w:val="00415E58"/>
    <w:rsid w:val="00415E97"/>
    <w:rsid w:val="00416231"/>
    <w:rsid w:val="0041670C"/>
    <w:rsid w:val="00416F10"/>
    <w:rsid w:val="00417341"/>
    <w:rsid w:val="0041738C"/>
    <w:rsid w:val="004208AB"/>
    <w:rsid w:val="004219EF"/>
    <w:rsid w:val="00421A72"/>
    <w:rsid w:val="004223F2"/>
    <w:rsid w:val="00423C2B"/>
    <w:rsid w:val="00423E60"/>
    <w:rsid w:val="0042401C"/>
    <w:rsid w:val="00424348"/>
    <w:rsid w:val="004266B3"/>
    <w:rsid w:val="00426A64"/>
    <w:rsid w:val="00426CD9"/>
    <w:rsid w:val="00426F26"/>
    <w:rsid w:val="004306AD"/>
    <w:rsid w:val="00430FEB"/>
    <w:rsid w:val="004310EE"/>
    <w:rsid w:val="00431CB0"/>
    <w:rsid w:val="004331C4"/>
    <w:rsid w:val="004335DA"/>
    <w:rsid w:val="00433677"/>
    <w:rsid w:val="00433C4F"/>
    <w:rsid w:val="004340D5"/>
    <w:rsid w:val="00434880"/>
    <w:rsid w:val="00434A21"/>
    <w:rsid w:val="00434C06"/>
    <w:rsid w:val="00434CB5"/>
    <w:rsid w:val="0043526D"/>
    <w:rsid w:val="00436708"/>
    <w:rsid w:val="00436AB7"/>
    <w:rsid w:val="00436E08"/>
    <w:rsid w:val="00440133"/>
    <w:rsid w:val="0044208C"/>
    <w:rsid w:val="004445FE"/>
    <w:rsid w:val="004460E9"/>
    <w:rsid w:val="0044745F"/>
    <w:rsid w:val="004475A3"/>
    <w:rsid w:val="00447B6F"/>
    <w:rsid w:val="004521D1"/>
    <w:rsid w:val="0045309F"/>
    <w:rsid w:val="004533E9"/>
    <w:rsid w:val="00453623"/>
    <w:rsid w:val="00453C11"/>
    <w:rsid w:val="00454A95"/>
    <w:rsid w:val="004555BF"/>
    <w:rsid w:val="004557B0"/>
    <w:rsid w:val="00456A6D"/>
    <w:rsid w:val="00457946"/>
    <w:rsid w:val="00457D8B"/>
    <w:rsid w:val="00460A17"/>
    <w:rsid w:val="0046120A"/>
    <w:rsid w:val="00461E79"/>
    <w:rsid w:val="00462F79"/>
    <w:rsid w:val="00463438"/>
    <w:rsid w:val="004637A5"/>
    <w:rsid w:val="00463ECE"/>
    <w:rsid w:val="00465059"/>
    <w:rsid w:val="00465388"/>
    <w:rsid w:val="004677C9"/>
    <w:rsid w:val="00470CB5"/>
    <w:rsid w:val="00470CB7"/>
    <w:rsid w:val="00471BF5"/>
    <w:rsid w:val="00471EAB"/>
    <w:rsid w:val="004721D3"/>
    <w:rsid w:val="004723EE"/>
    <w:rsid w:val="004741A6"/>
    <w:rsid w:val="0047498D"/>
    <w:rsid w:val="00474FDB"/>
    <w:rsid w:val="00475A92"/>
    <w:rsid w:val="00476011"/>
    <w:rsid w:val="00477B9B"/>
    <w:rsid w:val="00477BB9"/>
    <w:rsid w:val="00482D51"/>
    <w:rsid w:val="004830A9"/>
    <w:rsid w:val="004859EE"/>
    <w:rsid w:val="00486480"/>
    <w:rsid w:val="004869E9"/>
    <w:rsid w:val="00487366"/>
    <w:rsid w:val="004873E4"/>
    <w:rsid w:val="00487454"/>
    <w:rsid w:val="004879CC"/>
    <w:rsid w:val="0049072C"/>
    <w:rsid w:val="00490E29"/>
    <w:rsid w:val="00490EDF"/>
    <w:rsid w:val="00490FD1"/>
    <w:rsid w:val="004917C0"/>
    <w:rsid w:val="00491AD2"/>
    <w:rsid w:val="004921B0"/>
    <w:rsid w:val="00493098"/>
    <w:rsid w:val="004935C0"/>
    <w:rsid w:val="00493B43"/>
    <w:rsid w:val="00493E95"/>
    <w:rsid w:val="004949A5"/>
    <w:rsid w:val="00494EB1"/>
    <w:rsid w:val="00494F08"/>
    <w:rsid w:val="004954BA"/>
    <w:rsid w:val="00496414"/>
    <w:rsid w:val="00497A38"/>
    <w:rsid w:val="004A0C37"/>
    <w:rsid w:val="004A1884"/>
    <w:rsid w:val="004A3377"/>
    <w:rsid w:val="004A36D1"/>
    <w:rsid w:val="004A3B56"/>
    <w:rsid w:val="004A45BD"/>
    <w:rsid w:val="004A4656"/>
    <w:rsid w:val="004A48B4"/>
    <w:rsid w:val="004A6BC5"/>
    <w:rsid w:val="004A6CBA"/>
    <w:rsid w:val="004A6F83"/>
    <w:rsid w:val="004A77B0"/>
    <w:rsid w:val="004A7904"/>
    <w:rsid w:val="004B08A9"/>
    <w:rsid w:val="004B1823"/>
    <w:rsid w:val="004B1CED"/>
    <w:rsid w:val="004B2544"/>
    <w:rsid w:val="004B25CA"/>
    <w:rsid w:val="004B34A7"/>
    <w:rsid w:val="004B3B06"/>
    <w:rsid w:val="004B3B24"/>
    <w:rsid w:val="004B3ED5"/>
    <w:rsid w:val="004B3F2E"/>
    <w:rsid w:val="004B4643"/>
    <w:rsid w:val="004B5EA9"/>
    <w:rsid w:val="004B64B5"/>
    <w:rsid w:val="004B69DD"/>
    <w:rsid w:val="004B73A7"/>
    <w:rsid w:val="004B7F67"/>
    <w:rsid w:val="004C06BE"/>
    <w:rsid w:val="004C0938"/>
    <w:rsid w:val="004C1166"/>
    <w:rsid w:val="004C1994"/>
    <w:rsid w:val="004C210D"/>
    <w:rsid w:val="004C2768"/>
    <w:rsid w:val="004C278C"/>
    <w:rsid w:val="004C3808"/>
    <w:rsid w:val="004C70FC"/>
    <w:rsid w:val="004C7741"/>
    <w:rsid w:val="004D022C"/>
    <w:rsid w:val="004D07FD"/>
    <w:rsid w:val="004D0DBE"/>
    <w:rsid w:val="004D2675"/>
    <w:rsid w:val="004D29BE"/>
    <w:rsid w:val="004D4080"/>
    <w:rsid w:val="004D448B"/>
    <w:rsid w:val="004D6B9A"/>
    <w:rsid w:val="004D71F9"/>
    <w:rsid w:val="004D7668"/>
    <w:rsid w:val="004E05FD"/>
    <w:rsid w:val="004E1A0D"/>
    <w:rsid w:val="004E1B4A"/>
    <w:rsid w:val="004E23F5"/>
    <w:rsid w:val="004E46DD"/>
    <w:rsid w:val="004E4745"/>
    <w:rsid w:val="004E48F8"/>
    <w:rsid w:val="004E4C75"/>
    <w:rsid w:val="004E5418"/>
    <w:rsid w:val="004E5F5C"/>
    <w:rsid w:val="004E63E5"/>
    <w:rsid w:val="004E6A47"/>
    <w:rsid w:val="004E6B76"/>
    <w:rsid w:val="004F1437"/>
    <w:rsid w:val="004F30BD"/>
    <w:rsid w:val="004F3540"/>
    <w:rsid w:val="004F5122"/>
    <w:rsid w:val="004F52DB"/>
    <w:rsid w:val="004F5624"/>
    <w:rsid w:val="004F5A96"/>
    <w:rsid w:val="004F5DA4"/>
    <w:rsid w:val="004F5EBE"/>
    <w:rsid w:val="004F62B2"/>
    <w:rsid w:val="004F6424"/>
    <w:rsid w:val="0050297A"/>
    <w:rsid w:val="00502BD7"/>
    <w:rsid w:val="005033C9"/>
    <w:rsid w:val="00503498"/>
    <w:rsid w:val="00503839"/>
    <w:rsid w:val="005040CB"/>
    <w:rsid w:val="005040CD"/>
    <w:rsid w:val="00504229"/>
    <w:rsid w:val="00504380"/>
    <w:rsid w:val="00505229"/>
    <w:rsid w:val="00505611"/>
    <w:rsid w:val="005065AA"/>
    <w:rsid w:val="005065F9"/>
    <w:rsid w:val="00506E80"/>
    <w:rsid w:val="00506FA6"/>
    <w:rsid w:val="00507E7F"/>
    <w:rsid w:val="00507F98"/>
    <w:rsid w:val="005108A3"/>
    <w:rsid w:val="00510B6E"/>
    <w:rsid w:val="00510DB5"/>
    <w:rsid w:val="00510F6E"/>
    <w:rsid w:val="00511422"/>
    <w:rsid w:val="005118AE"/>
    <w:rsid w:val="0051212F"/>
    <w:rsid w:val="00514026"/>
    <w:rsid w:val="00514792"/>
    <w:rsid w:val="0051587A"/>
    <w:rsid w:val="005158FA"/>
    <w:rsid w:val="005169AD"/>
    <w:rsid w:val="005208B9"/>
    <w:rsid w:val="00520D6E"/>
    <w:rsid w:val="005213D0"/>
    <w:rsid w:val="00522009"/>
    <w:rsid w:val="005221F0"/>
    <w:rsid w:val="00524807"/>
    <w:rsid w:val="005252FE"/>
    <w:rsid w:val="0052559B"/>
    <w:rsid w:val="005257A1"/>
    <w:rsid w:val="00525D5D"/>
    <w:rsid w:val="00525FF9"/>
    <w:rsid w:val="00526202"/>
    <w:rsid w:val="005300E0"/>
    <w:rsid w:val="00531E59"/>
    <w:rsid w:val="00532C41"/>
    <w:rsid w:val="00532D3F"/>
    <w:rsid w:val="00533587"/>
    <w:rsid w:val="0053386D"/>
    <w:rsid w:val="00533A30"/>
    <w:rsid w:val="00534700"/>
    <w:rsid w:val="00534C97"/>
    <w:rsid w:val="0053504D"/>
    <w:rsid w:val="0053665F"/>
    <w:rsid w:val="0053791F"/>
    <w:rsid w:val="00537C1D"/>
    <w:rsid w:val="0054249B"/>
    <w:rsid w:val="00542705"/>
    <w:rsid w:val="005433FE"/>
    <w:rsid w:val="00543FF7"/>
    <w:rsid w:val="0054473E"/>
    <w:rsid w:val="005451E1"/>
    <w:rsid w:val="005456C5"/>
    <w:rsid w:val="005464CD"/>
    <w:rsid w:val="00546622"/>
    <w:rsid w:val="00546CFA"/>
    <w:rsid w:val="00547538"/>
    <w:rsid w:val="0055022D"/>
    <w:rsid w:val="00553BFA"/>
    <w:rsid w:val="00553C19"/>
    <w:rsid w:val="00554D05"/>
    <w:rsid w:val="0055540E"/>
    <w:rsid w:val="0055596B"/>
    <w:rsid w:val="005574AA"/>
    <w:rsid w:val="005576DC"/>
    <w:rsid w:val="0056077E"/>
    <w:rsid w:val="00560EDA"/>
    <w:rsid w:val="0056122F"/>
    <w:rsid w:val="00561887"/>
    <w:rsid w:val="00561FCE"/>
    <w:rsid w:val="005621B0"/>
    <w:rsid w:val="00562732"/>
    <w:rsid w:val="005629EE"/>
    <w:rsid w:val="005642A6"/>
    <w:rsid w:val="005648FA"/>
    <w:rsid w:val="00564D50"/>
    <w:rsid w:val="00565B7C"/>
    <w:rsid w:val="0056605A"/>
    <w:rsid w:val="00567346"/>
    <w:rsid w:val="00567EF9"/>
    <w:rsid w:val="005707F8"/>
    <w:rsid w:val="00571259"/>
    <w:rsid w:val="00571673"/>
    <w:rsid w:val="00573297"/>
    <w:rsid w:val="0057371B"/>
    <w:rsid w:val="00573DFF"/>
    <w:rsid w:val="005755E4"/>
    <w:rsid w:val="00575EB8"/>
    <w:rsid w:val="0057613A"/>
    <w:rsid w:val="00576B54"/>
    <w:rsid w:val="0058112D"/>
    <w:rsid w:val="00582A9B"/>
    <w:rsid w:val="005832AB"/>
    <w:rsid w:val="0058437C"/>
    <w:rsid w:val="0058618D"/>
    <w:rsid w:val="00586371"/>
    <w:rsid w:val="0059040C"/>
    <w:rsid w:val="005907B0"/>
    <w:rsid w:val="00590E56"/>
    <w:rsid w:val="0059192D"/>
    <w:rsid w:val="00592800"/>
    <w:rsid w:val="00592B42"/>
    <w:rsid w:val="005935F4"/>
    <w:rsid w:val="00593946"/>
    <w:rsid w:val="00593E0A"/>
    <w:rsid w:val="00594FA6"/>
    <w:rsid w:val="00596081"/>
    <w:rsid w:val="00597A1E"/>
    <w:rsid w:val="005A0362"/>
    <w:rsid w:val="005A167F"/>
    <w:rsid w:val="005A1CFD"/>
    <w:rsid w:val="005A2FCE"/>
    <w:rsid w:val="005A346E"/>
    <w:rsid w:val="005A3870"/>
    <w:rsid w:val="005A3BBB"/>
    <w:rsid w:val="005A3FF7"/>
    <w:rsid w:val="005A4AAB"/>
    <w:rsid w:val="005A4FB1"/>
    <w:rsid w:val="005A5AC6"/>
    <w:rsid w:val="005A5E68"/>
    <w:rsid w:val="005A5F4E"/>
    <w:rsid w:val="005A6F7D"/>
    <w:rsid w:val="005A73CF"/>
    <w:rsid w:val="005B3EB1"/>
    <w:rsid w:val="005B3F6F"/>
    <w:rsid w:val="005B6453"/>
    <w:rsid w:val="005B72EB"/>
    <w:rsid w:val="005B798B"/>
    <w:rsid w:val="005C1FAE"/>
    <w:rsid w:val="005C27C1"/>
    <w:rsid w:val="005C39E8"/>
    <w:rsid w:val="005C4CF1"/>
    <w:rsid w:val="005C4D25"/>
    <w:rsid w:val="005C529D"/>
    <w:rsid w:val="005C53D1"/>
    <w:rsid w:val="005C54EE"/>
    <w:rsid w:val="005C561C"/>
    <w:rsid w:val="005C5660"/>
    <w:rsid w:val="005C5902"/>
    <w:rsid w:val="005C67A4"/>
    <w:rsid w:val="005C71E4"/>
    <w:rsid w:val="005C72E3"/>
    <w:rsid w:val="005D04CC"/>
    <w:rsid w:val="005D0673"/>
    <w:rsid w:val="005D0D73"/>
    <w:rsid w:val="005D11B2"/>
    <w:rsid w:val="005D2F15"/>
    <w:rsid w:val="005D3E78"/>
    <w:rsid w:val="005D48BB"/>
    <w:rsid w:val="005D4B68"/>
    <w:rsid w:val="005D55A9"/>
    <w:rsid w:val="005D56D0"/>
    <w:rsid w:val="005D70FC"/>
    <w:rsid w:val="005E0160"/>
    <w:rsid w:val="005E0200"/>
    <w:rsid w:val="005E0CD5"/>
    <w:rsid w:val="005E11C1"/>
    <w:rsid w:val="005E1FDB"/>
    <w:rsid w:val="005E2563"/>
    <w:rsid w:val="005E36E5"/>
    <w:rsid w:val="005E379E"/>
    <w:rsid w:val="005E394C"/>
    <w:rsid w:val="005E3DE4"/>
    <w:rsid w:val="005E42BF"/>
    <w:rsid w:val="005E4639"/>
    <w:rsid w:val="005E4E70"/>
    <w:rsid w:val="005E50C6"/>
    <w:rsid w:val="005E55C6"/>
    <w:rsid w:val="005E58D6"/>
    <w:rsid w:val="005E5FE3"/>
    <w:rsid w:val="005E65BB"/>
    <w:rsid w:val="005E73F4"/>
    <w:rsid w:val="005F064D"/>
    <w:rsid w:val="005F0DA0"/>
    <w:rsid w:val="005F2767"/>
    <w:rsid w:val="005F2E15"/>
    <w:rsid w:val="005F2EAE"/>
    <w:rsid w:val="005F4790"/>
    <w:rsid w:val="005F4914"/>
    <w:rsid w:val="005F50E5"/>
    <w:rsid w:val="005F62B7"/>
    <w:rsid w:val="005F67FC"/>
    <w:rsid w:val="005F6869"/>
    <w:rsid w:val="005F6BB9"/>
    <w:rsid w:val="00603148"/>
    <w:rsid w:val="00605418"/>
    <w:rsid w:val="006067EC"/>
    <w:rsid w:val="006068E1"/>
    <w:rsid w:val="00606FC7"/>
    <w:rsid w:val="00610456"/>
    <w:rsid w:val="00611473"/>
    <w:rsid w:val="00611B36"/>
    <w:rsid w:val="0061210B"/>
    <w:rsid w:val="006127D0"/>
    <w:rsid w:val="00613A34"/>
    <w:rsid w:val="00613E5F"/>
    <w:rsid w:val="00615ADA"/>
    <w:rsid w:val="006161C5"/>
    <w:rsid w:val="00616A4C"/>
    <w:rsid w:val="00617929"/>
    <w:rsid w:val="00620CD4"/>
    <w:rsid w:val="006221CD"/>
    <w:rsid w:val="00622220"/>
    <w:rsid w:val="00622785"/>
    <w:rsid w:val="00622892"/>
    <w:rsid w:val="00622ADF"/>
    <w:rsid w:val="006264D3"/>
    <w:rsid w:val="006266A9"/>
    <w:rsid w:val="0062744D"/>
    <w:rsid w:val="00627A7D"/>
    <w:rsid w:val="00630426"/>
    <w:rsid w:val="0063058E"/>
    <w:rsid w:val="006316C1"/>
    <w:rsid w:val="00631ED4"/>
    <w:rsid w:val="006325AE"/>
    <w:rsid w:val="0063347A"/>
    <w:rsid w:val="00633BC7"/>
    <w:rsid w:val="006341BD"/>
    <w:rsid w:val="00634605"/>
    <w:rsid w:val="00634848"/>
    <w:rsid w:val="00635405"/>
    <w:rsid w:val="00635AC7"/>
    <w:rsid w:val="00635E9C"/>
    <w:rsid w:val="00636934"/>
    <w:rsid w:val="00636E15"/>
    <w:rsid w:val="00636F79"/>
    <w:rsid w:val="00636FE0"/>
    <w:rsid w:val="0063753F"/>
    <w:rsid w:val="00637B41"/>
    <w:rsid w:val="00640FE4"/>
    <w:rsid w:val="006414EE"/>
    <w:rsid w:val="00642524"/>
    <w:rsid w:val="00642D0A"/>
    <w:rsid w:val="00643934"/>
    <w:rsid w:val="006439C6"/>
    <w:rsid w:val="0064406F"/>
    <w:rsid w:val="0064542F"/>
    <w:rsid w:val="006455A2"/>
    <w:rsid w:val="0064630E"/>
    <w:rsid w:val="0064675A"/>
    <w:rsid w:val="00646FE1"/>
    <w:rsid w:val="00647075"/>
    <w:rsid w:val="00650772"/>
    <w:rsid w:val="00652313"/>
    <w:rsid w:val="0065330C"/>
    <w:rsid w:val="00654480"/>
    <w:rsid w:val="00654A3B"/>
    <w:rsid w:val="0065581D"/>
    <w:rsid w:val="00655A2B"/>
    <w:rsid w:val="00655C2F"/>
    <w:rsid w:val="00657083"/>
    <w:rsid w:val="00657FDA"/>
    <w:rsid w:val="00660403"/>
    <w:rsid w:val="00661140"/>
    <w:rsid w:val="00661274"/>
    <w:rsid w:val="00663B5A"/>
    <w:rsid w:val="006710DD"/>
    <w:rsid w:val="00671CAF"/>
    <w:rsid w:val="00671FC9"/>
    <w:rsid w:val="00672AC4"/>
    <w:rsid w:val="00673200"/>
    <w:rsid w:val="0067407F"/>
    <w:rsid w:val="00674E36"/>
    <w:rsid w:val="0067501E"/>
    <w:rsid w:val="00675464"/>
    <w:rsid w:val="006773D2"/>
    <w:rsid w:val="00680145"/>
    <w:rsid w:val="00680581"/>
    <w:rsid w:val="00680A56"/>
    <w:rsid w:val="00681204"/>
    <w:rsid w:val="00681A41"/>
    <w:rsid w:val="006821B2"/>
    <w:rsid w:val="006838C0"/>
    <w:rsid w:val="00685856"/>
    <w:rsid w:val="00685901"/>
    <w:rsid w:val="00685BB9"/>
    <w:rsid w:val="00686334"/>
    <w:rsid w:val="00686ABA"/>
    <w:rsid w:val="00686C8D"/>
    <w:rsid w:val="00686E26"/>
    <w:rsid w:val="00687064"/>
    <w:rsid w:val="00687A42"/>
    <w:rsid w:val="00687E06"/>
    <w:rsid w:val="00690127"/>
    <w:rsid w:val="006913A5"/>
    <w:rsid w:val="00691BFF"/>
    <w:rsid w:val="00691D3F"/>
    <w:rsid w:val="006921BD"/>
    <w:rsid w:val="006926B2"/>
    <w:rsid w:val="00692C32"/>
    <w:rsid w:val="00693318"/>
    <w:rsid w:val="00693496"/>
    <w:rsid w:val="006953C1"/>
    <w:rsid w:val="00696EB2"/>
    <w:rsid w:val="0069741A"/>
    <w:rsid w:val="006A0DEA"/>
    <w:rsid w:val="006A16E9"/>
    <w:rsid w:val="006A32B0"/>
    <w:rsid w:val="006A34C6"/>
    <w:rsid w:val="006A533E"/>
    <w:rsid w:val="006A5450"/>
    <w:rsid w:val="006A6AD3"/>
    <w:rsid w:val="006B0199"/>
    <w:rsid w:val="006B0A32"/>
    <w:rsid w:val="006B0A9E"/>
    <w:rsid w:val="006B0BD8"/>
    <w:rsid w:val="006B3A19"/>
    <w:rsid w:val="006B4348"/>
    <w:rsid w:val="006B4557"/>
    <w:rsid w:val="006B472E"/>
    <w:rsid w:val="006B5E3F"/>
    <w:rsid w:val="006B67EB"/>
    <w:rsid w:val="006B7DFA"/>
    <w:rsid w:val="006C0251"/>
    <w:rsid w:val="006C0320"/>
    <w:rsid w:val="006C1E18"/>
    <w:rsid w:val="006C2B9A"/>
    <w:rsid w:val="006C2C72"/>
    <w:rsid w:val="006C33C9"/>
    <w:rsid w:val="006C39BB"/>
    <w:rsid w:val="006C4502"/>
    <w:rsid w:val="006C49E9"/>
    <w:rsid w:val="006C6114"/>
    <w:rsid w:val="006C6612"/>
    <w:rsid w:val="006C66AF"/>
    <w:rsid w:val="006C7F92"/>
    <w:rsid w:val="006D0488"/>
    <w:rsid w:val="006D2288"/>
    <w:rsid w:val="006D2B58"/>
    <w:rsid w:val="006D4464"/>
    <w:rsid w:val="006D5E7C"/>
    <w:rsid w:val="006D5E91"/>
    <w:rsid w:val="006D6864"/>
    <w:rsid w:val="006D6BFC"/>
    <w:rsid w:val="006D7E87"/>
    <w:rsid w:val="006E0C3C"/>
    <w:rsid w:val="006E110E"/>
    <w:rsid w:val="006E14E6"/>
    <w:rsid w:val="006E1AEE"/>
    <w:rsid w:val="006E1BB0"/>
    <w:rsid w:val="006E20B6"/>
    <w:rsid w:val="006E2F52"/>
    <w:rsid w:val="006E32A9"/>
    <w:rsid w:val="006E3AAA"/>
    <w:rsid w:val="006E3B9C"/>
    <w:rsid w:val="006E4903"/>
    <w:rsid w:val="006E51A2"/>
    <w:rsid w:val="006F0CC2"/>
    <w:rsid w:val="006F0DE2"/>
    <w:rsid w:val="006F11BD"/>
    <w:rsid w:val="006F126A"/>
    <w:rsid w:val="006F1870"/>
    <w:rsid w:val="006F1A00"/>
    <w:rsid w:val="006F1AEA"/>
    <w:rsid w:val="006F1FA8"/>
    <w:rsid w:val="006F25B4"/>
    <w:rsid w:val="006F32C7"/>
    <w:rsid w:val="006F3392"/>
    <w:rsid w:val="006F3495"/>
    <w:rsid w:val="006F417D"/>
    <w:rsid w:val="006F457C"/>
    <w:rsid w:val="006F4773"/>
    <w:rsid w:val="006F4C10"/>
    <w:rsid w:val="006F56D1"/>
    <w:rsid w:val="006F5C83"/>
    <w:rsid w:val="006F6497"/>
    <w:rsid w:val="006F67CC"/>
    <w:rsid w:val="006F6B89"/>
    <w:rsid w:val="007009E9"/>
    <w:rsid w:val="0070162A"/>
    <w:rsid w:val="00701C2D"/>
    <w:rsid w:val="00702162"/>
    <w:rsid w:val="00703930"/>
    <w:rsid w:val="00703AE7"/>
    <w:rsid w:val="007048F0"/>
    <w:rsid w:val="007050BE"/>
    <w:rsid w:val="00705C0E"/>
    <w:rsid w:val="0070610E"/>
    <w:rsid w:val="00707759"/>
    <w:rsid w:val="00710081"/>
    <w:rsid w:val="00710864"/>
    <w:rsid w:val="00710B0D"/>
    <w:rsid w:val="00710D26"/>
    <w:rsid w:val="00711267"/>
    <w:rsid w:val="00711DFB"/>
    <w:rsid w:val="007123A0"/>
    <w:rsid w:val="007126C5"/>
    <w:rsid w:val="00713990"/>
    <w:rsid w:val="00713CB5"/>
    <w:rsid w:val="00714E3F"/>
    <w:rsid w:val="0071558B"/>
    <w:rsid w:val="007156B0"/>
    <w:rsid w:val="00715961"/>
    <w:rsid w:val="0071776A"/>
    <w:rsid w:val="00721189"/>
    <w:rsid w:val="007218B3"/>
    <w:rsid w:val="0072214A"/>
    <w:rsid w:val="007221C3"/>
    <w:rsid w:val="007227E4"/>
    <w:rsid w:val="00722F2C"/>
    <w:rsid w:val="00722F87"/>
    <w:rsid w:val="007254D1"/>
    <w:rsid w:val="00725966"/>
    <w:rsid w:val="00725A43"/>
    <w:rsid w:val="00725B32"/>
    <w:rsid w:val="00725B3C"/>
    <w:rsid w:val="00726BC0"/>
    <w:rsid w:val="00727445"/>
    <w:rsid w:val="00727CEF"/>
    <w:rsid w:val="007314B5"/>
    <w:rsid w:val="007321B5"/>
    <w:rsid w:val="00732F5D"/>
    <w:rsid w:val="00733D54"/>
    <w:rsid w:val="007343A4"/>
    <w:rsid w:val="00734CEE"/>
    <w:rsid w:val="00736A4F"/>
    <w:rsid w:val="00736CC1"/>
    <w:rsid w:val="00737753"/>
    <w:rsid w:val="00737768"/>
    <w:rsid w:val="00737FFA"/>
    <w:rsid w:val="00740BB8"/>
    <w:rsid w:val="00740CE9"/>
    <w:rsid w:val="00742247"/>
    <w:rsid w:val="007428E3"/>
    <w:rsid w:val="00743361"/>
    <w:rsid w:val="0074394E"/>
    <w:rsid w:val="0074422D"/>
    <w:rsid w:val="00745142"/>
    <w:rsid w:val="007465B6"/>
    <w:rsid w:val="0074689C"/>
    <w:rsid w:val="00750BC3"/>
    <w:rsid w:val="00750D0A"/>
    <w:rsid w:val="00751D93"/>
    <w:rsid w:val="00751FDB"/>
    <w:rsid w:val="00752300"/>
    <w:rsid w:val="00753012"/>
    <w:rsid w:val="00753BF5"/>
    <w:rsid w:val="007546F8"/>
    <w:rsid w:val="0075579B"/>
    <w:rsid w:val="00755BAB"/>
    <w:rsid w:val="00757696"/>
    <w:rsid w:val="0076080E"/>
    <w:rsid w:val="00760AC1"/>
    <w:rsid w:val="00760DD2"/>
    <w:rsid w:val="00760F2B"/>
    <w:rsid w:val="007630BD"/>
    <w:rsid w:val="0076411D"/>
    <w:rsid w:val="00765236"/>
    <w:rsid w:val="00765874"/>
    <w:rsid w:val="00765A25"/>
    <w:rsid w:val="00766305"/>
    <w:rsid w:val="00766DA1"/>
    <w:rsid w:val="007670F8"/>
    <w:rsid w:val="00767159"/>
    <w:rsid w:val="007671D4"/>
    <w:rsid w:val="00770A85"/>
    <w:rsid w:val="00773CDF"/>
    <w:rsid w:val="00773DC9"/>
    <w:rsid w:val="0077572E"/>
    <w:rsid w:val="00777BE4"/>
    <w:rsid w:val="0078031B"/>
    <w:rsid w:val="0078033F"/>
    <w:rsid w:val="007845A3"/>
    <w:rsid w:val="00784B0C"/>
    <w:rsid w:val="00784F44"/>
    <w:rsid w:val="00785A9A"/>
    <w:rsid w:val="00786672"/>
    <w:rsid w:val="00786C69"/>
    <w:rsid w:val="007870BF"/>
    <w:rsid w:val="007872CF"/>
    <w:rsid w:val="007876A6"/>
    <w:rsid w:val="0078787E"/>
    <w:rsid w:val="00790021"/>
    <w:rsid w:val="00790069"/>
    <w:rsid w:val="00791105"/>
    <w:rsid w:val="0079201C"/>
    <w:rsid w:val="00792843"/>
    <w:rsid w:val="0079307F"/>
    <w:rsid w:val="00793453"/>
    <w:rsid w:val="007940C5"/>
    <w:rsid w:val="007947C4"/>
    <w:rsid w:val="0079514C"/>
    <w:rsid w:val="0079543E"/>
    <w:rsid w:val="00795812"/>
    <w:rsid w:val="00795CE1"/>
    <w:rsid w:val="007A0646"/>
    <w:rsid w:val="007A06AC"/>
    <w:rsid w:val="007A188E"/>
    <w:rsid w:val="007A1B2F"/>
    <w:rsid w:val="007A25F1"/>
    <w:rsid w:val="007A2DF1"/>
    <w:rsid w:val="007A34BB"/>
    <w:rsid w:val="007A4636"/>
    <w:rsid w:val="007A46DD"/>
    <w:rsid w:val="007A489A"/>
    <w:rsid w:val="007A5719"/>
    <w:rsid w:val="007A7377"/>
    <w:rsid w:val="007B0C4B"/>
    <w:rsid w:val="007B1014"/>
    <w:rsid w:val="007B103F"/>
    <w:rsid w:val="007B1484"/>
    <w:rsid w:val="007B162C"/>
    <w:rsid w:val="007B1A10"/>
    <w:rsid w:val="007B20C5"/>
    <w:rsid w:val="007B2286"/>
    <w:rsid w:val="007B268E"/>
    <w:rsid w:val="007B31AB"/>
    <w:rsid w:val="007B3268"/>
    <w:rsid w:val="007B37F1"/>
    <w:rsid w:val="007B42D3"/>
    <w:rsid w:val="007B46D9"/>
    <w:rsid w:val="007B5148"/>
    <w:rsid w:val="007B615E"/>
    <w:rsid w:val="007B6659"/>
    <w:rsid w:val="007B6C39"/>
    <w:rsid w:val="007B76AB"/>
    <w:rsid w:val="007B7829"/>
    <w:rsid w:val="007B7DBD"/>
    <w:rsid w:val="007C09EA"/>
    <w:rsid w:val="007C0FD6"/>
    <w:rsid w:val="007C264B"/>
    <w:rsid w:val="007C2F42"/>
    <w:rsid w:val="007C45D3"/>
    <w:rsid w:val="007C5201"/>
    <w:rsid w:val="007C5554"/>
    <w:rsid w:val="007C597B"/>
    <w:rsid w:val="007C5B5A"/>
    <w:rsid w:val="007C5CEA"/>
    <w:rsid w:val="007C6CF1"/>
    <w:rsid w:val="007C7345"/>
    <w:rsid w:val="007C760C"/>
    <w:rsid w:val="007D0213"/>
    <w:rsid w:val="007D08FD"/>
    <w:rsid w:val="007D09C0"/>
    <w:rsid w:val="007D1584"/>
    <w:rsid w:val="007D2044"/>
    <w:rsid w:val="007D4F33"/>
    <w:rsid w:val="007D554B"/>
    <w:rsid w:val="007D5795"/>
    <w:rsid w:val="007D6010"/>
    <w:rsid w:val="007D65C7"/>
    <w:rsid w:val="007D7098"/>
    <w:rsid w:val="007D74D2"/>
    <w:rsid w:val="007D79B5"/>
    <w:rsid w:val="007E1C12"/>
    <w:rsid w:val="007E2334"/>
    <w:rsid w:val="007E23CE"/>
    <w:rsid w:val="007E25FF"/>
    <w:rsid w:val="007E289C"/>
    <w:rsid w:val="007E2CE7"/>
    <w:rsid w:val="007E36E8"/>
    <w:rsid w:val="007E43D0"/>
    <w:rsid w:val="007E4F00"/>
    <w:rsid w:val="007E54F8"/>
    <w:rsid w:val="007E5697"/>
    <w:rsid w:val="007E5987"/>
    <w:rsid w:val="007E5BD8"/>
    <w:rsid w:val="007E6C70"/>
    <w:rsid w:val="007E7BF9"/>
    <w:rsid w:val="007F02BC"/>
    <w:rsid w:val="007F1D17"/>
    <w:rsid w:val="007F20D7"/>
    <w:rsid w:val="007F2E65"/>
    <w:rsid w:val="007F43BA"/>
    <w:rsid w:val="007F45D1"/>
    <w:rsid w:val="007F4BD2"/>
    <w:rsid w:val="007F51B3"/>
    <w:rsid w:val="007F64BE"/>
    <w:rsid w:val="007F66A1"/>
    <w:rsid w:val="007F66DE"/>
    <w:rsid w:val="007F6DC3"/>
    <w:rsid w:val="007F7088"/>
    <w:rsid w:val="007F7588"/>
    <w:rsid w:val="008006B4"/>
    <w:rsid w:val="008011C6"/>
    <w:rsid w:val="008015B6"/>
    <w:rsid w:val="00803FD4"/>
    <w:rsid w:val="0080481C"/>
    <w:rsid w:val="00804C54"/>
    <w:rsid w:val="008056DD"/>
    <w:rsid w:val="00806D41"/>
    <w:rsid w:val="00810BDB"/>
    <w:rsid w:val="0081104C"/>
    <w:rsid w:val="008121F2"/>
    <w:rsid w:val="00812D16"/>
    <w:rsid w:val="008147FA"/>
    <w:rsid w:val="00814F78"/>
    <w:rsid w:val="00816BD8"/>
    <w:rsid w:val="00816C51"/>
    <w:rsid w:val="00820137"/>
    <w:rsid w:val="0082058D"/>
    <w:rsid w:val="00821865"/>
    <w:rsid w:val="008225EB"/>
    <w:rsid w:val="0082327D"/>
    <w:rsid w:val="00823B71"/>
    <w:rsid w:val="00823DF4"/>
    <w:rsid w:val="00823F93"/>
    <w:rsid w:val="0082433D"/>
    <w:rsid w:val="00824558"/>
    <w:rsid w:val="0082459F"/>
    <w:rsid w:val="00824629"/>
    <w:rsid w:val="008246C4"/>
    <w:rsid w:val="00825B46"/>
    <w:rsid w:val="00826406"/>
    <w:rsid w:val="00826509"/>
    <w:rsid w:val="00827973"/>
    <w:rsid w:val="00831188"/>
    <w:rsid w:val="0083354D"/>
    <w:rsid w:val="00833754"/>
    <w:rsid w:val="0083561B"/>
    <w:rsid w:val="00836FF0"/>
    <w:rsid w:val="00837A09"/>
    <w:rsid w:val="00837D78"/>
    <w:rsid w:val="00840D79"/>
    <w:rsid w:val="00842A21"/>
    <w:rsid w:val="00843183"/>
    <w:rsid w:val="00845DAD"/>
    <w:rsid w:val="00846BB5"/>
    <w:rsid w:val="00847402"/>
    <w:rsid w:val="00850F9A"/>
    <w:rsid w:val="00851377"/>
    <w:rsid w:val="00852362"/>
    <w:rsid w:val="00852C55"/>
    <w:rsid w:val="008531BF"/>
    <w:rsid w:val="0085437C"/>
    <w:rsid w:val="00854B2F"/>
    <w:rsid w:val="00855197"/>
    <w:rsid w:val="00855481"/>
    <w:rsid w:val="00856344"/>
    <w:rsid w:val="00856354"/>
    <w:rsid w:val="008568E1"/>
    <w:rsid w:val="00856BE9"/>
    <w:rsid w:val="008572BC"/>
    <w:rsid w:val="0085756B"/>
    <w:rsid w:val="008575FB"/>
    <w:rsid w:val="008578F8"/>
    <w:rsid w:val="00860566"/>
    <w:rsid w:val="00860CB4"/>
    <w:rsid w:val="00860D4C"/>
    <w:rsid w:val="0086129A"/>
    <w:rsid w:val="0086165C"/>
    <w:rsid w:val="00861B26"/>
    <w:rsid w:val="00862A32"/>
    <w:rsid w:val="00862EED"/>
    <w:rsid w:val="008643FC"/>
    <w:rsid w:val="008646DB"/>
    <w:rsid w:val="008649B9"/>
    <w:rsid w:val="00864FDB"/>
    <w:rsid w:val="00865E6E"/>
    <w:rsid w:val="0086784F"/>
    <w:rsid w:val="0086791B"/>
    <w:rsid w:val="00870394"/>
    <w:rsid w:val="00870462"/>
    <w:rsid w:val="0087073B"/>
    <w:rsid w:val="00870A95"/>
    <w:rsid w:val="00870F2C"/>
    <w:rsid w:val="008716C4"/>
    <w:rsid w:val="00872454"/>
    <w:rsid w:val="00872B4F"/>
    <w:rsid w:val="00873967"/>
    <w:rsid w:val="008743BB"/>
    <w:rsid w:val="00874956"/>
    <w:rsid w:val="00875CD7"/>
    <w:rsid w:val="008770D4"/>
    <w:rsid w:val="008800E5"/>
    <w:rsid w:val="0088127F"/>
    <w:rsid w:val="008812A2"/>
    <w:rsid w:val="008815EF"/>
    <w:rsid w:val="00881B5B"/>
    <w:rsid w:val="008825FD"/>
    <w:rsid w:val="00882762"/>
    <w:rsid w:val="00883ED5"/>
    <w:rsid w:val="0088410C"/>
    <w:rsid w:val="00884771"/>
    <w:rsid w:val="008848B1"/>
    <w:rsid w:val="00884C14"/>
    <w:rsid w:val="00885273"/>
    <w:rsid w:val="008854C6"/>
    <w:rsid w:val="00885F2C"/>
    <w:rsid w:val="00886386"/>
    <w:rsid w:val="0088701C"/>
    <w:rsid w:val="0088783B"/>
    <w:rsid w:val="00892104"/>
    <w:rsid w:val="00892459"/>
    <w:rsid w:val="008926A5"/>
    <w:rsid w:val="008929AA"/>
    <w:rsid w:val="00892AA5"/>
    <w:rsid w:val="00892E0D"/>
    <w:rsid w:val="00894744"/>
    <w:rsid w:val="0089499B"/>
    <w:rsid w:val="00894ACA"/>
    <w:rsid w:val="00894EC5"/>
    <w:rsid w:val="00895A3D"/>
    <w:rsid w:val="00896658"/>
    <w:rsid w:val="008967B5"/>
    <w:rsid w:val="00896CEE"/>
    <w:rsid w:val="008A03AC"/>
    <w:rsid w:val="008A0450"/>
    <w:rsid w:val="008A1008"/>
    <w:rsid w:val="008A300E"/>
    <w:rsid w:val="008A305C"/>
    <w:rsid w:val="008A345A"/>
    <w:rsid w:val="008A3DB9"/>
    <w:rsid w:val="008A516D"/>
    <w:rsid w:val="008A6A5C"/>
    <w:rsid w:val="008A7316"/>
    <w:rsid w:val="008A7E6A"/>
    <w:rsid w:val="008B08DE"/>
    <w:rsid w:val="008B1D08"/>
    <w:rsid w:val="008B47E8"/>
    <w:rsid w:val="008B4A1C"/>
    <w:rsid w:val="008B4B11"/>
    <w:rsid w:val="008B500A"/>
    <w:rsid w:val="008B6719"/>
    <w:rsid w:val="008B6F7A"/>
    <w:rsid w:val="008B7D92"/>
    <w:rsid w:val="008C0779"/>
    <w:rsid w:val="008C090B"/>
    <w:rsid w:val="008C1556"/>
    <w:rsid w:val="008C1610"/>
    <w:rsid w:val="008C2F1E"/>
    <w:rsid w:val="008C30E5"/>
    <w:rsid w:val="008C3B5B"/>
    <w:rsid w:val="008C409F"/>
    <w:rsid w:val="008C4B32"/>
    <w:rsid w:val="008C57F4"/>
    <w:rsid w:val="008C602D"/>
    <w:rsid w:val="008C60A1"/>
    <w:rsid w:val="008C6BCC"/>
    <w:rsid w:val="008C6ED3"/>
    <w:rsid w:val="008C74E3"/>
    <w:rsid w:val="008C7884"/>
    <w:rsid w:val="008D0313"/>
    <w:rsid w:val="008D03ED"/>
    <w:rsid w:val="008D0911"/>
    <w:rsid w:val="008D092A"/>
    <w:rsid w:val="008D098D"/>
    <w:rsid w:val="008D135A"/>
    <w:rsid w:val="008D2205"/>
    <w:rsid w:val="008D2331"/>
    <w:rsid w:val="008D347F"/>
    <w:rsid w:val="008D35AD"/>
    <w:rsid w:val="008D36CD"/>
    <w:rsid w:val="008D37EB"/>
    <w:rsid w:val="008D4380"/>
    <w:rsid w:val="008D4639"/>
    <w:rsid w:val="008D48D1"/>
    <w:rsid w:val="008D6BE8"/>
    <w:rsid w:val="008E27E9"/>
    <w:rsid w:val="008E42DE"/>
    <w:rsid w:val="008E4CC9"/>
    <w:rsid w:val="008E5893"/>
    <w:rsid w:val="008E6730"/>
    <w:rsid w:val="008E7D27"/>
    <w:rsid w:val="008F2081"/>
    <w:rsid w:val="008F24B9"/>
    <w:rsid w:val="008F2C49"/>
    <w:rsid w:val="008F2E94"/>
    <w:rsid w:val="008F36F0"/>
    <w:rsid w:val="008F66BC"/>
    <w:rsid w:val="008F7CFF"/>
    <w:rsid w:val="008F7ED1"/>
    <w:rsid w:val="00901C8D"/>
    <w:rsid w:val="009020BB"/>
    <w:rsid w:val="00902663"/>
    <w:rsid w:val="00903235"/>
    <w:rsid w:val="00904A4D"/>
    <w:rsid w:val="00905643"/>
    <w:rsid w:val="00905EE9"/>
    <w:rsid w:val="009065F4"/>
    <w:rsid w:val="0090756A"/>
    <w:rsid w:val="009075A7"/>
    <w:rsid w:val="00907DFB"/>
    <w:rsid w:val="009103D0"/>
    <w:rsid w:val="00910624"/>
    <w:rsid w:val="00910FBA"/>
    <w:rsid w:val="00911D39"/>
    <w:rsid w:val="00912B9F"/>
    <w:rsid w:val="009133AE"/>
    <w:rsid w:val="00914067"/>
    <w:rsid w:val="00916916"/>
    <w:rsid w:val="00917C0F"/>
    <w:rsid w:val="0092040E"/>
    <w:rsid w:val="00920C6C"/>
    <w:rsid w:val="00921897"/>
    <w:rsid w:val="00921C6D"/>
    <w:rsid w:val="009227D9"/>
    <w:rsid w:val="00923C44"/>
    <w:rsid w:val="00924112"/>
    <w:rsid w:val="009247A5"/>
    <w:rsid w:val="0092570C"/>
    <w:rsid w:val="009268E8"/>
    <w:rsid w:val="009269A3"/>
    <w:rsid w:val="00927791"/>
    <w:rsid w:val="00930607"/>
    <w:rsid w:val="00930D0A"/>
    <w:rsid w:val="00931AD2"/>
    <w:rsid w:val="009328F2"/>
    <w:rsid w:val="009329BA"/>
    <w:rsid w:val="00932E71"/>
    <w:rsid w:val="0093304D"/>
    <w:rsid w:val="0093398A"/>
    <w:rsid w:val="00933FC8"/>
    <w:rsid w:val="0093475E"/>
    <w:rsid w:val="00934E99"/>
    <w:rsid w:val="00935A89"/>
    <w:rsid w:val="00936939"/>
    <w:rsid w:val="00936B11"/>
    <w:rsid w:val="0094053B"/>
    <w:rsid w:val="00941A4A"/>
    <w:rsid w:val="00942040"/>
    <w:rsid w:val="00942C9F"/>
    <w:rsid w:val="009437DD"/>
    <w:rsid w:val="00943F98"/>
    <w:rsid w:val="00944487"/>
    <w:rsid w:val="00945631"/>
    <w:rsid w:val="00946AD5"/>
    <w:rsid w:val="00947549"/>
    <w:rsid w:val="00947CF3"/>
    <w:rsid w:val="00950142"/>
    <w:rsid w:val="00950C3F"/>
    <w:rsid w:val="00955F4C"/>
    <w:rsid w:val="00956E4B"/>
    <w:rsid w:val="00957464"/>
    <w:rsid w:val="0095793C"/>
    <w:rsid w:val="00960A36"/>
    <w:rsid w:val="0096111E"/>
    <w:rsid w:val="00961125"/>
    <w:rsid w:val="009623D8"/>
    <w:rsid w:val="00962DEA"/>
    <w:rsid w:val="00962F42"/>
    <w:rsid w:val="00963362"/>
    <w:rsid w:val="00963BD1"/>
    <w:rsid w:val="00963CD3"/>
    <w:rsid w:val="00963F66"/>
    <w:rsid w:val="00964614"/>
    <w:rsid w:val="00966B1F"/>
    <w:rsid w:val="00967A42"/>
    <w:rsid w:val="00967CCC"/>
    <w:rsid w:val="00970A7E"/>
    <w:rsid w:val="0097116E"/>
    <w:rsid w:val="00971876"/>
    <w:rsid w:val="00971E80"/>
    <w:rsid w:val="00973E1F"/>
    <w:rsid w:val="00974518"/>
    <w:rsid w:val="00976703"/>
    <w:rsid w:val="00976E7C"/>
    <w:rsid w:val="00980D5A"/>
    <w:rsid w:val="00980FE0"/>
    <w:rsid w:val="00982035"/>
    <w:rsid w:val="00985F8B"/>
    <w:rsid w:val="00986157"/>
    <w:rsid w:val="009862F8"/>
    <w:rsid w:val="00987237"/>
    <w:rsid w:val="0099039C"/>
    <w:rsid w:val="009909DF"/>
    <w:rsid w:val="00990B70"/>
    <w:rsid w:val="00990C3B"/>
    <w:rsid w:val="00991CBD"/>
    <w:rsid w:val="00991F4E"/>
    <w:rsid w:val="009921E6"/>
    <w:rsid w:val="009928B7"/>
    <w:rsid w:val="0099321A"/>
    <w:rsid w:val="00993D4E"/>
    <w:rsid w:val="009947E8"/>
    <w:rsid w:val="00994C81"/>
    <w:rsid w:val="00995EEF"/>
    <w:rsid w:val="009960B7"/>
    <w:rsid w:val="009966BE"/>
    <w:rsid w:val="00996BB2"/>
    <w:rsid w:val="00996F08"/>
    <w:rsid w:val="009972FE"/>
    <w:rsid w:val="009A0D5C"/>
    <w:rsid w:val="009A2146"/>
    <w:rsid w:val="009A4917"/>
    <w:rsid w:val="009A4AA7"/>
    <w:rsid w:val="009A5EA3"/>
    <w:rsid w:val="009A6104"/>
    <w:rsid w:val="009B1884"/>
    <w:rsid w:val="009B4991"/>
    <w:rsid w:val="009B536C"/>
    <w:rsid w:val="009B5871"/>
    <w:rsid w:val="009B5C19"/>
    <w:rsid w:val="009B6267"/>
    <w:rsid w:val="009B6496"/>
    <w:rsid w:val="009B6D2F"/>
    <w:rsid w:val="009C01DA"/>
    <w:rsid w:val="009C1528"/>
    <w:rsid w:val="009C20CC"/>
    <w:rsid w:val="009C2BDF"/>
    <w:rsid w:val="009C30B3"/>
    <w:rsid w:val="009C3558"/>
    <w:rsid w:val="009C41BE"/>
    <w:rsid w:val="009C4A66"/>
    <w:rsid w:val="009C562E"/>
    <w:rsid w:val="009C5E44"/>
    <w:rsid w:val="009C7531"/>
    <w:rsid w:val="009D06D1"/>
    <w:rsid w:val="009D0EB6"/>
    <w:rsid w:val="009D13E5"/>
    <w:rsid w:val="009D1EFB"/>
    <w:rsid w:val="009D220C"/>
    <w:rsid w:val="009D221F"/>
    <w:rsid w:val="009D2DFA"/>
    <w:rsid w:val="009D33D8"/>
    <w:rsid w:val="009D3AFC"/>
    <w:rsid w:val="009D4175"/>
    <w:rsid w:val="009D42E8"/>
    <w:rsid w:val="009D523E"/>
    <w:rsid w:val="009D5DC2"/>
    <w:rsid w:val="009D69B7"/>
    <w:rsid w:val="009E09F0"/>
    <w:rsid w:val="009E0F85"/>
    <w:rsid w:val="009E12D1"/>
    <w:rsid w:val="009E19E8"/>
    <w:rsid w:val="009E1DA7"/>
    <w:rsid w:val="009E377C"/>
    <w:rsid w:val="009E411C"/>
    <w:rsid w:val="009E458A"/>
    <w:rsid w:val="009E5316"/>
    <w:rsid w:val="009E5681"/>
    <w:rsid w:val="009E5D7C"/>
    <w:rsid w:val="009E5DFC"/>
    <w:rsid w:val="009F0C23"/>
    <w:rsid w:val="009F1331"/>
    <w:rsid w:val="009F1789"/>
    <w:rsid w:val="009F1B1A"/>
    <w:rsid w:val="009F25BC"/>
    <w:rsid w:val="009F2A46"/>
    <w:rsid w:val="009F2E3B"/>
    <w:rsid w:val="009F36D2"/>
    <w:rsid w:val="009F372C"/>
    <w:rsid w:val="009F39E9"/>
    <w:rsid w:val="009F3B6B"/>
    <w:rsid w:val="009F42FE"/>
    <w:rsid w:val="009F4504"/>
    <w:rsid w:val="009F502C"/>
    <w:rsid w:val="009F5C5D"/>
    <w:rsid w:val="009F603B"/>
    <w:rsid w:val="009F6987"/>
    <w:rsid w:val="009F720F"/>
    <w:rsid w:val="009F7286"/>
    <w:rsid w:val="009F7802"/>
    <w:rsid w:val="00A010E7"/>
    <w:rsid w:val="00A012D9"/>
    <w:rsid w:val="00A01A17"/>
    <w:rsid w:val="00A01A60"/>
    <w:rsid w:val="00A0261D"/>
    <w:rsid w:val="00A02A71"/>
    <w:rsid w:val="00A037D8"/>
    <w:rsid w:val="00A03D43"/>
    <w:rsid w:val="00A047B6"/>
    <w:rsid w:val="00A05E0E"/>
    <w:rsid w:val="00A06E6E"/>
    <w:rsid w:val="00A0707D"/>
    <w:rsid w:val="00A076F9"/>
    <w:rsid w:val="00A07997"/>
    <w:rsid w:val="00A07CD1"/>
    <w:rsid w:val="00A07F87"/>
    <w:rsid w:val="00A10D11"/>
    <w:rsid w:val="00A114C3"/>
    <w:rsid w:val="00A11B3B"/>
    <w:rsid w:val="00A12D35"/>
    <w:rsid w:val="00A134B9"/>
    <w:rsid w:val="00A13659"/>
    <w:rsid w:val="00A13B70"/>
    <w:rsid w:val="00A13DBD"/>
    <w:rsid w:val="00A1524D"/>
    <w:rsid w:val="00A15384"/>
    <w:rsid w:val="00A15D6D"/>
    <w:rsid w:val="00A15DB7"/>
    <w:rsid w:val="00A1637F"/>
    <w:rsid w:val="00A170FE"/>
    <w:rsid w:val="00A17430"/>
    <w:rsid w:val="00A206ED"/>
    <w:rsid w:val="00A20806"/>
    <w:rsid w:val="00A20C7F"/>
    <w:rsid w:val="00A20D49"/>
    <w:rsid w:val="00A20DE9"/>
    <w:rsid w:val="00A20F44"/>
    <w:rsid w:val="00A21367"/>
    <w:rsid w:val="00A2176B"/>
    <w:rsid w:val="00A21835"/>
    <w:rsid w:val="00A2194C"/>
    <w:rsid w:val="00A21D41"/>
    <w:rsid w:val="00A22CC0"/>
    <w:rsid w:val="00A22DBA"/>
    <w:rsid w:val="00A2329D"/>
    <w:rsid w:val="00A232D3"/>
    <w:rsid w:val="00A2490E"/>
    <w:rsid w:val="00A2521B"/>
    <w:rsid w:val="00A25442"/>
    <w:rsid w:val="00A25539"/>
    <w:rsid w:val="00A25BFF"/>
    <w:rsid w:val="00A26648"/>
    <w:rsid w:val="00A26F79"/>
    <w:rsid w:val="00A27522"/>
    <w:rsid w:val="00A3136F"/>
    <w:rsid w:val="00A3255C"/>
    <w:rsid w:val="00A32692"/>
    <w:rsid w:val="00A33D2A"/>
    <w:rsid w:val="00A34D0C"/>
    <w:rsid w:val="00A34D76"/>
    <w:rsid w:val="00A35125"/>
    <w:rsid w:val="00A365D0"/>
    <w:rsid w:val="00A375D5"/>
    <w:rsid w:val="00A402B8"/>
    <w:rsid w:val="00A4043E"/>
    <w:rsid w:val="00A40CE1"/>
    <w:rsid w:val="00A4119C"/>
    <w:rsid w:val="00A41937"/>
    <w:rsid w:val="00A4357F"/>
    <w:rsid w:val="00A437D9"/>
    <w:rsid w:val="00A43C16"/>
    <w:rsid w:val="00A43E19"/>
    <w:rsid w:val="00A443A6"/>
    <w:rsid w:val="00A457DA"/>
    <w:rsid w:val="00A45A1A"/>
    <w:rsid w:val="00A45E61"/>
    <w:rsid w:val="00A46453"/>
    <w:rsid w:val="00A47F32"/>
    <w:rsid w:val="00A52977"/>
    <w:rsid w:val="00A53220"/>
    <w:rsid w:val="00A538E6"/>
    <w:rsid w:val="00A53A2F"/>
    <w:rsid w:val="00A540B9"/>
    <w:rsid w:val="00A54514"/>
    <w:rsid w:val="00A54BEE"/>
    <w:rsid w:val="00A56102"/>
    <w:rsid w:val="00A567B4"/>
    <w:rsid w:val="00A56800"/>
    <w:rsid w:val="00A56D2F"/>
    <w:rsid w:val="00A56D7E"/>
    <w:rsid w:val="00A57404"/>
    <w:rsid w:val="00A575BD"/>
    <w:rsid w:val="00A60EEC"/>
    <w:rsid w:val="00A618E7"/>
    <w:rsid w:val="00A630BA"/>
    <w:rsid w:val="00A63B83"/>
    <w:rsid w:val="00A643C6"/>
    <w:rsid w:val="00A646A8"/>
    <w:rsid w:val="00A65BD9"/>
    <w:rsid w:val="00A66718"/>
    <w:rsid w:val="00A66C08"/>
    <w:rsid w:val="00A6707D"/>
    <w:rsid w:val="00A671EF"/>
    <w:rsid w:val="00A703FD"/>
    <w:rsid w:val="00A70B31"/>
    <w:rsid w:val="00A70F74"/>
    <w:rsid w:val="00A72D90"/>
    <w:rsid w:val="00A7301F"/>
    <w:rsid w:val="00A73A74"/>
    <w:rsid w:val="00A7528B"/>
    <w:rsid w:val="00A759FE"/>
    <w:rsid w:val="00A75CF1"/>
    <w:rsid w:val="00A75FE1"/>
    <w:rsid w:val="00A765DE"/>
    <w:rsid w:val="00A76D67"/>
    <w:rsid w:val="00A77562"/>
    <w:rsid w:val="00A775E1"/>
    <w:rsid w:val="00A776B8"/>
    <w:rsid w:val="00A776DD"/>
    <w:rsid w:val="00A7777C"/>
    <w:rsid w:val="00A80807"/>
    <w:rsid w:val="00A80ACF"/>
    <w:rsid w:val="00A81EB6"/>
    <w:rsid w:val="00A82DE9"/>
    <w:rsid w:val="00A837FE"/>
    <w:rsid w:val="00A85357"/>
    <w:rsid w:val="00A856B8"/>
    <w:rsid w:val="00A85A5A"/>
    <w:rsid w:val="00A86A99"/>
    <w:rsid w:val="00A871E5"/>
    <w:rsid w:val="00A87382"/>
    <w:rsid w:val="00A902DD"/>
    <w:rsid w:val="00A91617"/>
    <w:rsid w:val="00A91AE2"/>
    <w:rsid w:val="00A92FFB"/>
    <w:rsid w:val="00A93C1C"/>
    <w:rsid w:val="00A949D6"/>
    <w:rsid w:val="00A953F8"/>
    <w:rsid w:val="00A95DAA"/>
    <w:rsid w:val="00A966CB"/>
    <w:rsid w:val="00A96FA8"/>
    <w:rsid w:val="00A9770A"/>
    <w:rsid w:val="00AA0A43"/>
    <w:rsid w:val="00AA0B61"/>
    <w:rsid w:val="00AA0DD3"/>
    <w:rsid w:val="00AA1C07"/>
    <w:rsid w:val="00AA3688"/>
    <w:rsid w:val="00AA3C12"/>
    <w:rsid w:val="00AA4006"/>
    <w:rsid w:val="00AA405B"/>
    <w:rsid w:val="00AA4B24"/>
    <w:rsid w:val="00AA5875"/>
    <w:rsid w:val="00AA5887"/>
    <w:rsid w:val="00AA6CEF"/>
    <w:rsid w:val="00AA6F1E"/>
    <w:rsid w:val="00AB11D8"/>
    <w:rsid w:val="00AB1768"/>
    <w:rsid w:val="00AB19F8"/>
    <w:rsid w:val="00AB235E"/>
    <w:rsid w:val="00AB2A61"/>
    <w:rsid w:val="00AB3A12"/>
    <w:rsid w:val="00AB5A8D"/>
    <w:rsid w:val="00AB6642"/>
    <w:rsid w:val="00AB76C6"/>
    <w:rsid w:val="00AC0348"/>
    <w:rsid w:val="00AC0E57"/>
    <w:rsid w:val="00AC26A9"/>
    <w:rsid w:val="00AC2EFE"/>
    <w:rsid w:val="00AC3930"/>
    <w:rsid w:val="00AC3AB1"/>
    <w:rsid w:val="00AC3B47"/>
    <w:rsid w:val="00AC5B4D"/>
    <w:rsid w:val="00AC609A"/>
    <w:rsid w:val="00AC68C6"/>
    <w:rsid w:val="00AC6B22"/>
    <w:rsid w:val="00AC74E0"/>
    <w:rsid w:val="00AC7612"/>
    <w:rsid w:val="00AC79C1"/>
    <w:rsid w:val="00AC7C35"/>
    <w:rsid w:val="00AC7CA4"/>
    <w:rsid w:val="00AD27B6"/>
    <w:rsid w:val="00AD2DA3"/>
    <w:rsid w:val="00AD419F"/>
    <w:rsid w:val="00AD493B"/>
    <w:rsid w:val="00AD4A64"/>
    <w:rsid w:val="00AD4D4E"/>
    <w:rsid w:val="00AD598F"/>
    <w:rsid w:val="00AD64BC"/>
    <w:rsid w:val="00AD64D9"/>
    <w:rsid w:val="00AD6D09"/>
    <w:rsid w:val="00AD763B"/>
    <w:rsid w:val="00AD796C"/>
    <w:rsid w:val="00AD7EDC"/>
    <w:rsid w:val="00AE001D"/>
    <w:rsid w:val="00AE02EE"/>
    <w:rsid w:val="00AE07DA"/>
    <w:rsid w:val="00AE098E"/>
    <w:rsid w:val="00AE0BBA"/>
    <w:rsid w:val="00AE0F40"/>
    <w:rsid w:val="00AE12A7"/>
    <w:rsid w:val="00AE2291"/>
    <w:rsid w:val="00AE25C8"/>
    <w:rsid w:val="00AE3B06"/>
    <w:rsid w:val="00AE4003"/>
    <w:rsid w:val="00AE4113"/>
    <w:rsid w:val="00AE436A"/>
    <w:rsid w:val="00AE4380"/>
    <w:rsid w:val="00AE4BA3"/>
    <w:rsid w:val="00AE4FAC"/>
    <w:rsid w:val="00AE5525"/>
    <w:rsid w:val="00AE55F8"/>
    <w:rsid w:val="00AE6381"/>
    <w:rsid w:val="00AE656F"/>
    <w:rsid w:val="00AE7555"/>
    <w:rsid w:val="00AE7D78"/>
    <w:rsid w:val="00AF37E6"/>
    <w:rsid w:val="00AF3E3F"/>
    <w:rsid w:val="00AF41CF"/>
    <w:rsid w:val="00AF41F6"/>
    <w:rsid w:val="00AF438E"/>
    <w:rsid w:val="00AF45CA"/>
    <w:rsid w:val="00AF48FB"/>
    <w:rsid w:val="00AF4C1D"/>
    <w:rsid w:val="00AF5CEE"/>
    <w:rsid w:val="00AF6301"/>
    <w:rsid w:val="00AF6495"/>
    <w:rsid w:val="00AF6F00"/>
    <w:rsid w:val="00AF7506"/>
    <w:rsid w:val="00AF7934"/>
    <w:rsid w:val="00B007DD"/>
    <w:rsid w:val="00B0098A"/>
    <w:rsid w:val="00B00B71"/>
    <w:rsid w:val="00B01016"/>
    <w:rsid w:val="00B0146E"/>
    <w:rsid w:val="00B02160"/>
    <w:rsid w:val="00B02716"/>
    <w:rsid w:val="00B027CB"/>
    <w:rsid w:val="00B0352B"/>
    <w:rsid w:val="00B06738"/>
    <w:rsid w:val="00B0683C"/>
    <w:rsid w:val="00B06865"/>
    <w:rsid w:val="00B073E6"/>
    <w:rsid w:val="00B074F8"/>
    <w:rsid w:val="00B11A3D"/>
    <w:rsid w:val="00B121B0"/>
    <w:rsid w:val="00B13AE7"/>
    <w:rsid w:val="00B13B87"/>
    <w:rsid w:val="00B17FAB"/>
    <w:rsid w:val="00B20C26"/>
    <w:rsid w:val="00B21BE7"/>
    <w:rsid w:val="00B22718"/>
    <w:rsid w:val="00B22C5F"/>
    <w:rsid w:val="00B23687"/>
    <w:rsid w:val="00B23AE4"/>
    <w:rsid w:val="00B25710"/>
    <w:rsid w:val="00B264CA"/>
    <w:rsid w:val="00B269A2"/>
    <w:rsid w:val="00B26C0A"/>
    <w:rsid w:val="00B27869"/>
    <w:rsid w:val="00B27B03"/>
    <w:rsid w:val="00B313B0"/>
    <w:rsid w:val="00B31B62"/>
    <w:rsid w:val="00B3208E"/>
    <w:rsid w:val="00B33711"/>
    <w:rsid w:val="00B34889"/>
    <w:rsid w:val="00B35081"/>
    <w:rsid w:val="00B35D0B"/>
    <w:rsid w:val="00B37550"/>
    <w:rsid w:val="00B3779E"/>
    <w:rsid w:val="00B402C6"/>
    <w:rsid w:val="00B40D48"/>
    <w:rsid w:val="00B41484"/>
    <w:rsid w:val="00B41DC1"/>
    <w:rsid w:val="00B428A9"/>
    <w:rsid w:val="00B42F69"/>
    <w:rsid w:val="00B439D0"/>
    <w:rsid w:val="00B43C06"/>
    <w:rsid w:val="00B44EBD"/>
    <w:rsid w:val="00B46C03"/>
    <w:rsid w:val="00B46EC7"/>
    <w:rsid w:val="00B50A91"/>
    <w:rsid w:val="00B510A3"/>
    <w:rsid w:val="00B5160B"/>
    <w:rsid w:val="00B51761"/>
    <w:rsid w:val="00B51871"/>
    <w:rsid w:val="00B52022"/>
    <w:rsid w:val="00B52187"/>
    <w:rsid w:val="00B5247E"/>
    <w:rsid w:val="00B52E38"/>
    <w:rsid w:val="00B541B9"/>
    <w:rsid w:val="00B54691"/>
    <w:rsid w:val="00B547D8"/>
    <w:rsid w:val="00B550EC"/>
    <w:rsid w:val="00B60CCD"/>
    <w:rsid w:val="00B6151D"/>
    <w:rsid w:val="00B6177D"/>
    <w:rsid w:val="00B61EAA"/>
    <w:rsid w:val="00B62854"/>
    <w:rsid w:val="00B62EF1"/>
    <w:rsid w:val="00B633F4"/>
    <w:rsid w:val="00B640CC"/>
    <w:rsid w:val="00B6445B"/>
    <w:rsid w:val="00B645B6"/>
    <w:rsid w:val="00B64A81"/>
    <w:rsid w:val="00B64B2F"/>
    <w:rsid w:val="00B6545D"/>
    <w:rsid w:val="00B65557"/>
    <w:rsid w:val="00B6604C"/>
    <w:rsid w:val="00B66337"/>
    <w:rsid w:val="00B667BF"/>
    <w:rsid w:val="00B66ABE"/>
    <w:rsid w:val="00B674D6"/>
    <w:rsid w:val="00B675E1"/>
    <w:rsid w:val="00B6797D"/>
    <w:rsid w:val="00B723B3"/>
    <w:rsid w:val="00B7245B"/>
    <w:rsid w:val="00B735B8"/>
    <w:rsid w:val="00B73F56"/>
    <w:rsid w:val="00B7466E"/>
    <w:rsid w:val="00B74858"/>
    <w:rsid w:val="00B752EB"/>
    <w:rsid w:val="00B75EF1"/>
    <w:rsid w:val="00B763FC"/>
    <w:rsid w:val="00B76731"/>
    <w:rsid w:val="00B771C7"/>
    <w:rsid w:val="00B77BE4"/>
    <w:rsid w:val="00B80F08"/>
    <w:rsid w:val="00B812BE"/>
    <w:rsid w:val="00B813D5"/>
    <w:rsid w:val="00B8258D"/>
    <w:rsid w:val="00B825B4"/>
    <w:rsid w:val="00B84D2B"/>
    <w:rsid w:val="00B84E7E"/>
    <w:rsid w:val="00B85199"/>
    <w:rsid w:val="00B86608"/>
    <w:rsid w:val="00B86C27"/>
    <w:rsid w:val="00B87847"/>
    <w:rsid w:val="00B87F3D"/>
    <w:rsid w:val="00B902FA"/>
    <w:rsid w:val="00B90477"/>
    <w:rsid w:val="00B92AA5"/>
    <w:rsid w:val="00B92AE4"/>
    <w:rsid w:val="00B93904"/>
    <w:rsid w:val="00B955FE"/>
    <w:rsid w:val="00B95820"/>
    <w:rsid w:val="00B960DF"/>
    <w:rsid w:val="00B96744"/>
    <w:rsid w:val="00B97AEB"/>
    <w:rsid w:val="00BA0118"/>
    <w:rsid w:val="00BA0B9F"/>
    <w:rsid w:val="00BA1099"/>
    <w:rsid w:val="00BA1D96"/>
    <w:rsid w:val="00BA22F0"/>
    <w:rsid w:val="00BA3287"/>
    <w:rsid w:val="00BA5468"/>
    <w:rsid w:val="00BA6419"/>
    <w:rsid w:val="00BA6550"/>
    <w:rsid w:val="00BA7176"/>
    <w:rsid w:val="00BA75D2"/>
    <w:rsid w:val="00BA7CD0"/>
    <w:rsid w:val="00BB0FB4"/>
    <w:rsid w:val="00BB11D4"/>
    <w:rsid w:val="00BB3642"/>
    <w:rsid w:val="00BB3A9B"/>
    <w:rsid w:val="00BB4A3B"/>
    <w:rsid w:val="00BB59F6"/>
    <w:rsid w:val="00BB5EF0"/>
    <w:rsid w:val="00BB66AB"/>
    <w:rsid w:val="00BB7BBA"/>
    <w:rsid w:val="00BC0AD6"/>
    <w:rsid w:val="00BC0F89"/>
    <w:rsid w:val="00BC122E"/>
    <w:rsid w:val="00BC221B"/>
    <w:rsid w:val="00BC3584"/>
    <w:rsid w:val="00BC57E8"/>
    <w:rsid w:val="00BC5838"/>
    <w:rsid w:val="00BC5978"/>
    <w:rsid w:val="00BC6DC2"/>
    <w:rsid w:val="00BD0E2E"/>
    <w:rsid w:val="00BD3146"/>
    <w:rsid w:val="00BD48FF"/>
    <w:rsid w:val="00BD6FBE"/>
    <w:rsid w:val="00BE0C1E"/>
    <w:rsid w:val="00BE3EE7"/>
    <w:rsid w:val="00BE442D"/>
    <w:rsid w:val="00BE4455"/>
    <w:rsid w:val="00BE4DFA"/>
    <w:rsid w:val="00BE4E29"/>
    <w:rsid w:val="00BE4ED6"/>
    <w:rsid w:val="00BE54F3"/>
    <w:rsid w:val="00BE5CAE"/>
    <w:rsid w:val="00BE5F67"/>
    <w:rsid w:val="00BE5FAA"/>
    <w:rsid w:val="00BE7920"/>
    <w:rsid w:val="00BF17A4"/>
    <w:rsid w:val="00BF1E46"/>
    <w:rsid w:val="00BF2A3A"/>
    <w:rsid w:val="00BF2CD1"/>
    <w:rsid w:val="00BF4B6A"/>
    <w:rsid w:val="00BF5135"/>
    <w:rsid w:val="00BF6126"/>
    <w:rsid w:val="00C000E4"/>
    <w:rsid w:val="00C00312"/>
    <w:rsid w:val="00C00828"/>
    <w:rsid w:val="00C009F5"/>
    <w:rsid w:val="00C01129"/>
    <w:rsid w:val="00C01DD9"/>
    <w:rsid w:val="00C02239"/>
    <w:rsid w:val="00C022E1"/>
    <w:rsid w:val="00C02934"/>
    <w:rsid w:val="00C02CA2"/>
    <w:rsid w:val="00C0398D"/>
    <w:rsid w:val="00C03C89"/>
    <w:rsid w:val="00C05C3D"/>
    <w:rsid w:val="00C071AC"/>
    <w:rsid w:val="00C07CE5"/>
    <w:rsid w:val="00C109A2"/>
    <w:rsid w:val="00C11112"/>
    <w:rsid w:val="00C11707"/>
    <w:rsid w:val="00C11CDF"/>
    <w:rsid w:val="00C11E4C"/>
    <w:rsid w:val="00C11ECD"/>
    <w:rsid w:val="00C128E0"/>
    <w:rsid w:val="00C1350A"/>
    <w:rsid w:val="00C14954"/>
    <w:rsid w:val="00C14CE1"/>
    <w:rsid w:val="00C1583F"/>
    <w:rsid w:val="00C1607C"/>
    <w:rsid w:val="00C162FD"/>
    <w:rsid w:val="00C16824"/>
    <w:rsid w:val="00C16A82"/>
    <w:rsid w:val="00C17308"/>
    <w:rsid w:val="00C1748C"/>
    <w:rsid w:val="00C179B0"/>
    <w:rsid w:val="00C20020"/>
    <w:rsid w:val="00C20245"/>
    <w:rsid w:val="00C20CA6"/>
    <w:rsid w:val="00C21567"/>
    <w:rsid w:val="00C21AD6"/>
    <w:rsid w:val="00C226F9"/>
    <w:rsid w:val="00C23398"/>
    <w:rsid w:val="00C23447"/>
    <w:rsid w:val="00C234BE"/>
    <w:rsid w:val="00C23B23"/>
    <w:rsid w:val="00C2428B"/>
    <w:rsid w:val="00C24444"/>
    <w:rsid w:val="00C25A42"/>
    <w:rsid w:val="00C25D9E"/>
    <w:rsid w:val="00C26C22"/>
    <w:rsid w:val="00C27B03"/>
    <w:rsid w:val="00C27DB3"/>
    <w:rsid w:val="00C3089B"/>
    <w:rsid w:val="00C347F1"/>
    <w:rsid w:val="00C34B40"/>
    <w:rsid w:val="00C34B53"/>
    <w:rsid w:val="00C35097"/>
    <w:rsid w:val="00C352E7"/>
    <w:rsid w:val="00C35836"/>
    <w:rsid w:val="00C36ACD"/>
    <w:rsid w:val="00C3722A"/>
    <w:rsid w:val="00C37874"/>
    <w:rsid w:val="00C40686"/>
    <w:rsid w:val="00C40E18"/>
    <w:rsid w:val="00C41CD3"/>
    <w:rsid w:val="00C43438"/>
    <w:rsid w:val="00C438DF"/>
    <w:rsid w:val="00C44264"/>
    <w:rsid w:val="00C446DE"/>
    <w:rsid w:val="00C44782"/>
    <w:rsid w:val="00C456E5"/>
    <w:rsid w:val="00C46251"/>
    <w:rsid w:val="00C468EA"/>
    <w:rsid w:val="00C46F1A"/>
    <w:rsid w:val="00C4790F"/>
    <w:rsid w:val="00C47FC0"/>
    <w:rsid w:val="00C50755"/>
    <w:rsid w:val="00C508F2"/>
    <w:rsid w:val="00C50B75"/>
    <w:rsid w:val="00C5189F"/>
    <w:rsid w:val="00C51D19"/>
    <w:rsid w:val="00C51DEE"/>
    <w:rsid w:val="00C528CC"/>
    <w:rsid w:val="00C529F4"/>
    <w:rsid w:val="00C53ABD"/>
    <w:rsid w:val="00C53AD3"/>
    <w:rsid w:val="00C53C94"/>
    <w:rsid w:val="00C557B6"/>
    <w:rsid w:val="00C55843"/>
    <w:rsid w:val="00C57741"/>
    <w:rsid w:val="00C6074F"/>
    <w:rsid w:val="00C62568"/>
    <w:rsid w:val="00C6296C"/>
    <w:rsid w:val="00C62D1D"/>
    <w:rsid w:val="00C64143"/>
    <w:rsid w:val="00C6434D"/>
    <w:rsid w:val="00C652E5"/>
    <w:rsid w:val="00C65537"/>
    <w:rsid w:val="00C65691"/>
    <w:rsid w:val="00C67446"/>
    <w:rsid w:val="00C67667"/>
    <w:rsid w:val="00C70453"/>
    <w:rsid w:val="00C70535"/>
    <w:rsid w:val="00C70962"/>
    <w:rsid w:val="00C70E4B"/>
    <w:rsid w:val="00C71674"/>
    <w:rsid w:val="00C71ACE"/>
    <w:rsid w:val="00C72D48"/>
    <w:rsid w:val="00C733F7"/>
    <w:rsid w:val="00C73930"/>
    <w:rsid w:val="00C75A9F"/>
    <w:rsid w:val="00C7697F"/>
    <w:rsid w:val="00C80269"/>
    <w:rsid w:val="00C8136C"/>
    <w:rsid w:val="00C814D5"/>
    <w:rsid w:val="00C82FAC"/>
    <w:rsid w:val="00C82FFA"/>
    <w:rsid w:val="00C834F3"/>
    <w:rsid w:val="00C84032"/>
    <w:rsid w:val="00C84A1B"/>
    <w:rsid w:val="00C85484"/>
    <w:rsid w:val="00C85521"/>
    <w:rsid w:val="00C856C0"/>
    <w:rsid w:val="00C863EE"/>
    <w:rsid w:val="00C87787"/>
    <w:rsid w:val="00C90A35"/>
    <w:rsid w:val="00C90BF4"/>
    <w:rsid w:val="00C92646"/>
    <w:rsid w:val="00C92F86"/>
    <w:rsid w:val="00C9316A"/>
    <w:rsid w:val="00C93B5E"/>
    <w:rsid w:val="00C9453E"/>
    <w:rsid w:val="00C95CB9"/>
    <w:rsid w:val="00C95D8D"/>
    <w:rsid w:val="00C96054"/>
    <w:rsid w:val="00C96161"/>
    <w:rsid w:val="00C97C7F"/>
    <w:rsid w:val="00CA03DF"/>
    <w:rsid w:val="00CA2283"/>
    <w:rsid w:val="00CA2AEF"/>
    <w:rsid w:val="00CA2CA3"/>
    <w:rsid w:val="00CA2F25"/>
    <w:rsid w:val="00CA325F"/>
    <w:rsid w:val="00CA33B8"/>
    <w:rsid w:val="00CA34B5"/>
    <w:rsid w:val="00CA5BB1"/>
    <w:rsid w:val="00CA648D"/>
    <w:rsid w:val="00CA6DD8"/>
    <w:rsid w:val="00CA6DFD"/>
    <w:rsid w:val="00CB0E15"/>
    <w:rsid w:val="00CB13FC"/>
    <w:rsid w:val="00CB1446"/>
    <w:rsid w:val="00CB1582"/>
    <w:rsid w:val="00CB1A1C"/>
    <w:rsid w:val="00CB1BC6"/>
    <w:rsid w:val="00CB22B7"/>
    <w:rsid w:val="00CB2A4A"/>
    <w:rsid w:val="00CB31DA"/>
    <w:rsid w:val="00CB3916"/>
    <w:rsid w:val="00CB42EE"/>
    <w:rsid w:val="00CB4963"/>
    <w:rsid w:val="00CB4F70"/>
    <w:rsid w:val="00CB5032"/>
    <w:rsid w:val="00CB59ED"/>
    <w:rsid w:val="00CB5B93"/>
    <w:rsid w:val="00CB5C7E"/>
    <w:rsid w:val="00CB6C27"/>
    <w:rsid w:val="00CB73E3"/>
    <w:rsid w:val="00CB7DF6"/>
    <w:rsid w:val="00CC0843"/>
    <w:rsid w:val="00CC180A"/>
    <w:rsid w:val="00CC303F"/>
    <w:rsid w:val="00CC35D7"/>
    <w:rsid w:val="00CC3B45"/>
    <w:rsid w:val="00CC3C96"/>
    <w:rsid w:val="00CC4980"/>
    <w:rsid w:val="00CD077C"/>
    <w:rsid w:val="00CD0E81"/>
    <w:rsid w:val="00CD2939"/>
    <w:rsid w:val="00CD342A"/>
    <w:rsid w:val="00CD3940"/>
    <w:rsid w:val="00CD4ADF"/>
    <w:rsid w:val="00CD527F"/>
    <w:rsid w:val="00CD52F1"/>
    <w:rsid w:val="00CD70B8"/>
    <w:rsid w:val="00CD7CE4"/>
    <w:rsid w:val="00CE13E9"/>
    <w:rsid w:val="00CE1FBA"/>
    <w:rsid w:val="00CE2F14"/>
    <w:rsid w:val="00CE2FEF"/>
    <w:rsid w:val="00CE3301"/>
    <w:rsid w:val="00CE41E7"/>
    <w:rsid w:val="00CE4F78"/>
    <w:rsid w:val="00CE52B8"/>
    <w:rsid w:val="00CE6A0B"/>
    <w:rsid w:val="00CE7BF6"/>
    <w:rsid w:val="00CF0950"/>
    <w:rsid w:val="00CF1409"/>
    <w:rsid w:val="00CF201E"/>
    <w:rsid w:val="00CF35DC"/>
    <w:rsid w:val="00CF3B07"/>
    <w:rsid w:val="00CF4C13"/>
    <w:rsid w:val="00CF5959"/>
    <w:rsid w:val="00CF60BA"/>
    <w:rsid w:val="00CF62E0"/>
    <w:rsid w:val="00CF6384"/>
    <w:rsid w:val="00CF6902"/>
    <w:rsid w:val="00CF70B3"/>
    <w:rsid w:val="00D004A9"/>
    <w:rsid w:val="00D02B8F"/>
    <w:rsid w:val="00D0313E"/>
    <w:rsid w:val="00D03565"/>
    <w:rsid w:val="00D03B74"/>
    <w:rsid w:val="00D0401F"/>
    <w:rsid w:val="00D0658F"/>
    <w:rsid w:val="00D06E88"/>
    <w:rsid w:val="00D0715A"/>
    <w:rsid w:val="00D0789F"/>
    <w:rsid w:val="00D10276"/>
    <w:rsid w:val="00D10FDD"/>
    <w:rsid w:val="00D11F90"/>
    <w:rsid w:val="00D12CC1"/>
    <w:rsid w:val="00D13527"/>
    <w:rsid w:val="00D15D9B"/>
    <w:rsid w:val="00D15E4E"/>
    <w:rsid w:val="00D17601"/>
    <w:rsid w:val="00D1773E"/>
    <w:rsid w:val="00D20BEC"/>
    <w:rsid w:val="00D20D6E"/>
    <w:rsid w:val="00D21300"/>
    <w:rsid w:val="00D219BA"/>
    <w:rsid w:val="00D22631"/>
    <w:rsid w:val="00D2277C"/>
    <w:rsid w:val="00D22F7B"/>
    <w:rsid w:val="00D230DC"/>
    <w:rsid w:val="00D232BE"/>
    <w:rsid w:val="00D26C9A"/>
    <w:rsid w:val="00D27139"/>
    <w:rsid w:val="00D278AB"/>
    <w:rsid w:val="00D303E8"/>
    <w:rsid w:val="00D31BA6"/>
    <w:rsid w:val="00D31DCC"/>
    <w:rsid w:val="00D32EF8"/>
    <w:rsid w:val="00D335E1"/>
    <w:rsid w:val="00D33911"/>
    <w:rsid w:val="00D3545E"/>
    <w:rsid w:val="00D35FEA"/>
    <w:rsid w:val="00D366E4"/>
    <w:rsid w:val="00D37A2B"/>
    <w:rsid w:val="00D4018F"/>
    <w:rsid w:val="00D41A46"/>
    <w:rsid w:val="00D423AC"/>
    <w:rsid w:val="00D42423"/>
    <w:rsid w:val="00D42D91"/>
    <w:rsid w:val="00D44730"/>
    <w:rsid w:val="00D44B15"/>
    <w:rsid w:val="00D44DC6"/>
    <w:rsid w:val="00D476EA"/>
    <w:rsid w:val="00D47A8C"/>
    <w:rsid w:val="00D47FC9"/>
    <w:rsid w:val="00D50DF8"/>
    <w:rsid w:val="00D514E5"/>
    <w:rsid w:val="00D53589"/>
    <w:rsid w:val="00D539D5"/>
    <w:rsid w:val="00D544D5"/>
    <w:rsid w:val="00D556F6"/>
    <w:rsid w:val="00D56D08"/>
    <w:rsid w:val="00D57897"/>
    <w:rsid w:val="00D60260"/>
    <w:rsid w:val="00D602DE"/>
    <w:rsid w:val="00D6096A"/>
    <w:rsid w:val="00D60ABE"/>
    <w:rsid w:val="00D60CE5"/>
    <w:rsid w:val="00D61811"/>
    <w:rsid w:val="00D63F9F"/>
    <w:rsid w:val="00D646D3"/>
    <w:rsid w:val="00D6488C"/>
    <w:rsid w:val="00D64941"/>
    <w:rsid w:val="00D64BFB"/>
    <w:rsid w:val="00D662F2"/>
    <w:rsid w:val="00D665F1"/>
    <w:rsid w:val="00D6711E"/>
    <w:rsid w:val="00D67A57"/>
    <w:rsid w:val="00D72DCA"/>
    <w:rsid w:val="00D730D4"/>
    <w:rsid w:val="00D73B08"/>
    <w:rsid w:val="00D742F0"/>
    <w:rsid w:val="00D74BC1"/>
    <w:rsid w:val="00D76175"/>
    <w:rsid w:val="00D77B8C"/>
    <w:rsid w:val="00D80127"/>
    <w:rsid w:val="00D804E2"/>
    <w:rsid w:val="00D805D1"/>
    <w:rsid w:val="00D81FB3"/>
    <w:rsid w:val="00D82FD7"/>
    <w:rsid w:val="00D83595"/>
    <w:rsid w:val="00D84FA6"/>
    <w:rsid w:val="00D85959"/>
    <w:rsid w:val="00D859EB"/>
    <w:rsid w:val="00D85C5F"/>
    <w:rsid w:val="00D85ECC"/>
    <w:rsid w:val="00D864C7"/>
    <w:rsid w:val="00D86EB7"/>
    <w:rsid w:val="00D87BDD"/>
    <w:rsid w:val="00D87D77"/>
    <w:rsid w:val="00D9036C"/>
    <w:rsid w:val="00D90D49"/>
    <w:rsid w:val="00D91A84"/>
    <w:rsid w:val="00D91B75"/>
    <w:rsid w:val="00D91DF4"/>
    <w:rsid w:val="00D91E9F"/>
    <w:rsid w:val="00D91F60"/>
    <w:rsid w:val="00D92025"/>
    <w:rsid w:val="00D9204D"/>
    <w:rsid w:val="00D9231B"/>
    <w:rsid w:val="00D92B5E"/>
    <w:rsid w:val="00D93388"/>
    <w:rsid w:val="00D93CFF"/>
    <w:rsid w:val="00D94B91"/>
    <w:rsid w:val="00D95457"/>
    <w:rsid w:val="00D958AD"/>
    <w:rsid w:val="00D973A3"/>
    <w:rsid w:val="00D97A7B"/>
    <w:rsid w:val="00DA1259"/>
    <w:rsid w:val="00DA1AAD"/>
    <w:rsid w:val="00DA1E08"/>
    <w:rsid w:val="00DA2523"/>
    <w:rsid w:val="00DA2D15"/>
    <w:rsid w:val="00DA33E7"/>
    <w:rsid w:val="00DA4A52"/>
    <w:rsid w:val="00DA4FBC"/>
    <w:rsid w:val="00DA5160"/>
    <w:rsid w:val="00DA57CA"/>
    <w:rsid w:val="00DA5BE8"/>
    <w:rsid w:val="00DA61B9"/>
    <w:rsid w:val="00DA7457"/>
    <w:rsid w:val="00DB0BFC"/>
    <w:rsid w:val="00DB1083"/>
    <w:rsid w:val="00DB1B31"/>
    <w:rsid w:val="00DB2995"/>
    <w:rsid w:val="00DB2ED0"/>
    <w:rsid w:val="00DB38F0"/>
    <w:rsid w:val="00DB3EE8"/>
    <w:rsid w:val="00DB4701"/>
    <w:rsid w:val="00DB4C9E"/>
    <w:rsid w:val="00DB4E60"/>
    <w:rsid w:val="00DB4E76"/>
    <w:rsid w:val="00DB5409"/>
    <w:rsid w:val="00DB5484"/>
    <w:rsid w:val="00DB59C0"/>
    <w:rsid w:val="00DB711E"/>
    <w:rsid w:val="00DC0146"/>
    <w:rsid w:val="00DC03EE"/>
    <w:rsid w:val="00DC1B9F"/>
    <w:rsid w:val="00DC36B8"/>
    <w:rsid w:val="00DC402D"/>
    <w:rsid w:val="00DC482D"/>
    <w:rsid w:val="00DC4C87"/>
    <w:rsid w:val="00DC53F2"/>
    <w:rsid w:val="00DC690C"/>
    <w:rsid w:val="00DC6B01"/>
    <w:rsid w:val="00DC7797"/>
    <w:rsid w:val="00DC7AD3"/>
    <w:rsid w:val="00DC7B3B"/>
    <w:rsid w:val="00DC7E53"/>
    <w:rsid w:val="00DD05B7"/>
    <w:rsid w:val="00DD078A"/>
    <w:rsid w:val="00DD0930"/>
    <w:rsid w:val="00DD1737"/>
    <w:rsid w:val="00DD34E1"/>
    <w:rsid w:val="00DD38B5"/>
    <w:rsid w:val="00DD45E7"/>
    <w:rsid w:val="00DD6507"/>
    <w:rsid w:val="00DD71F6"/>
    <w:rsid w:val="00DD7667"/>
    <w:rsid w:val="00DD777C"/>
    <w:rsid w:val="00DE0D2F"/>
    <w:rsid w:val="00DE0D75"/>
    <w:rsid w:val="00DE19EB"/>
    <w:rsid w:val="00DE24DC"/>
    <w:rsid w:val="00DE4E51"/>
    <w:rsid w:val="00DE531C"/>
    <w:rsid w:val="00DE57E8"/>
    <w:rsid w:val="00DE5B0F"/>
    <w:rsid w:val="00DF0FE3"/>
    <w:rsid w:val="00DF2824"/>
    <w:rsid w:val="00DF2CB1"/>
    <w:rsid w:val="00DF2FCC"/>
    <w:rsid w:val="00DF3061"/>
    <w:rsid w:val="00DF4CF6"/>
    <w:rsid w:val="00DF6002"/>
    <w:rsid w:val="00DF69F9"/>
    <w:rsid w:val="00DF70A4"/>
    <w:rsid w:val="00E02579"/>
    <w:rsid w:val="00E0294C"/>
    <w:rsid w:val="00E02B50"/>
    <w:rsid w:val="00E03F70"/>
    <w:rsid w:val="00E04B3F"/>
    <w:rsid w:val="00E04BE7"/>
    <w:rsid w:val="00E05737"/>
    <w:rsid w:val="00E060C1"/>
    <w:rsid w:val="00E06571"/>
    <w:rsid w:val="00E0661E"/>
    <w:rsid w:val="00E06743"/>
    <w:rsid w:val="00E06B1E"/>
    <w:rsid w:val="00E07787"/>
    <w:rsid w:val="00E10AAF"/>
    <w:rsid w:val="00E11D49"/>
    <w:rsid w:val="00E11FA4"/>
    <w:rsid w:val="00E1206E"/>
    <w:rsid w:val="00E12E2A"/>
    <w:rsid w:val="00E1477C"/>
    <w:rsid w:val="00E147D5"/>
    <w:rsid w:val="00E14C0E"/>
    <w:rsid w:val="00E14F09"/>
    <w:rsid w:val="00E16642"/>
    <w:rsid w:val="00E1787C"/>
    <w:rsid w:val="00E17CE9"/>
    <w:rsid w:val="00E200EA"/>
    <w:rsid w:val="00E21C4E"/>
    <w:rsid w:val="00E220DC"/>
    <w:rsid w:val="00E2249E"/>
    <w:rsid w:val="00E22B76"/>
    <w:rsid w:val="00E234A3"/>
    <w:rsid w:val="00E234F1"/>
    <w:rsid w:val="00E240DF"/>
    <w:rsid w:val="00E241ED"/>
    <w:rsid w:val="00E24B35"/>
    <w:rsid w:val="00E24E3A"/>
    <w:rsid w:val="00E25AF8"/>
    <w:rsid w:val="00E26C55"/>
    <w:rsid w:val="00E26F6C"/>
    <w:rsid w:val="00E275DA"/>
    <w:rsid w:val="00E27802"/>
    <w:rsid w:val="00E27CE6"/>
    <w:rsid w:val="00E30831"/>
    <w:rsid w:val="00E30A64"/>
    <w:rsid w:val="00E31BD0"/>
    <w:rsid w:val="00E31DFB"/>
    <w:rsid w:val="00E334DE"/>
    <w:rsid w:val="00E3412E"/>
    <w:rsid w:val="00E34845"/>
    <w:rsid w:val="00E34CA3"/>
    <w:rsid w:val="00E35428"/>
    <w:rsid w:val="00E3592E"/>
    <w:rsid w:val="00E35C4A"/>
    <w:rsid w:val="00E37A0F"/>
    <w:rsid w:val="00E37D6F"/>
    <w:rsid w:val="00E37DA6"/>
    <w:rsid w:val="00E37FE3"/>
    <w:rsid w:val="00E40EB7"/>
    <w:rsid w:val="00E42695"/>
    <w:rsid w:val="00E43AAA"/>
    <w:rsid w:val="00E44385"/>
    <w:rsid w:val="00E445DC"/>
    <w:rsid w:val="00E44C62"/>
    <w:rsid w:val="00E45A50"/>
    <w:rsid w:val="00E47B6C"/>
    <w:rsid w:val="00E47EC9"/>
    <w:rsid w:val="00E50245"/>
    <w:rsid w:val="00E51435"/>
    <w:rsid w:val="00E525B3"/>
    <w:rsid w:val="00E5387C"/>
    <w:rsid w:val="00E53952"/>
    <w:rsid w:val="00E54364"/>
    <w:rsid w:val="00E54EF2"/>
    <w:rsid w:val="00E54FE3"/>
    <w:rsid w:val="00E564A9"/>
    <w:rsid w:val="00E60DC5"/>
    <w:rsid w:val="00E61300"/>
    <w:rsid w:val="00E61981"/>
    <w:rsid w:val="00E61A02"/>
    <w:rsid w:val="00E63199"/>
    <w:rsid w:val="00E631BE"/>
    <w:rsid w:val="00E63559"/>
    <w:rsid w:val="00E648D5"/>
    <w:rsid w:val="00E64C42"/>
    <w:rsid w:val="00E6662E"/>
    <w:rsid w:val="00E67180"/>
    <w:rsid w:val="00E67327"/>
    <w:rsid w:val="00E676E2"/>
    <w:rsid w:val="00E70B3A"/>
    <w:rsid w:val="00E713DD"/>
    <w:rsid w:val="00E730C9"/>
    <w:rsid w:val="00E74FA5"/>
    <w:rsid w:val="00E756A8"/>
    <w:rsid w:val="00E76032"/>
    <w:rsid w:val="00E76113"/>
    <w:rsid w:val="00E7659C"/>
    <w:rsid w:val="00E768F2"/>
    <w:rsid w:val="00E77E9E"/>
    <w:rsid w:val="00E81DED"/>
    <w:rsid w:val="00E82316"/>
    <w:rsid w:val="00E8232B"/>
    <w:rsid w:val="00E825B3"/>
    <w:rsid w:val="00E849DE"/>
    <w:rsid w:val="00E857E8"/>
    <w:rsid w:val="00E85904"/>
    <w:rsid w:val="00E85948"/>
    <w:rsid w:val="00E85F98"/>
    <w:rsid w:val="00E86536"/>
    <w:rsid w:val="00E9167E"/>
    <w:rsid w:val="00E91758"/>
    <w:rsid w:val="00E922A4"/>
    <w:rsid w:val="00E925CE"/>
    <w:rsid w:val="00E92B79"/>
    <w:rsid w:val="00E9363D"/>
    <w:rsid w:val="00E93657"/>
    <w:rsid w:val="00E93F3F"/>
    <w:rsid w:val="00E96385"/>
    <w:rsid w:val="00E964CB"/>
    <w:rsid w:val="00E967CB"/>
    <w:rsid w:val="00E97CA2"/>
    <w:rsid w:val="00E97FCD"/>
    <w:rsid w:val="00EA05D9"/>
    <w:rsid w:val="00EA1104"/>
    <w:rsid w:val="00EA35B0"/>
    <w:rsid w:val="00EA4469"/>
    <w:rsid w:val="00EA5257"/>
    <w:rsid w:val="00EA59B6"/>
    <w:rsid w:val="00EA6A27"/>
    <w:rsid w:val="00EA735F"/>
    <w:rsid w:val="00EA7415"/>
    <w:rsid w:val="00EB0433"/>
    <w:rsid w:val="00EB133B"/>
    <w:rsid w:val="00EB1B8B"/>
    <w:rsid w:val="00EB24EC"/>
    <w:rsid w:val="00EB2D4B"/>
    <w:rsid w:val="00EB300C"/>
    <w:rsid w:val="00EB320D"/>
    <w:rsid w:val="00EB3C54"/>
    <w:rsid w:val="00EB3D2E"/>
    <w:rsid w:val="00EB4951"/>
    <w:rsid w:val="00EB595B"/>
    <w:rsid w:val="00EB634C"/>
    <w:rsid w:val="00EB7763"/>
    <w:rsid w:val="00EC098E"/>
    <w:rsid w:val="00EC0BCB"/>
    <w:rsid w:val="00EC0E71"/>
    <w:rsid w:val="00EC1228"/>
    <w:rsid w:val="00EC7976"/>
    <w:rsid w:val="00ED11B2"/>
    <w:rsid w:val="00ED25DB"/>
    <w:rsid w:val="00ED4A79"/>
    <w:rsid w:val="00ED4F0F"/>
    <w:rsid w:val="00ED5101"/>
    <w:rsid w:val="00ED54F3"/>
    <w:rsid w:val="00ED5F13"/>
    <w:rsid w:val="00ED613A"/>
    <w:rsid w:val="00ED6AF3"/>
    <w:rsid w:val="00ED6B5C"/>
    <w:rsid w:val="00ED6CFA"/>
    <w:rsid w:val="00ED6D53"/>
    <w:rsid w:val="00EE1855"/>
    <w:rsid w:val="00EE188C"/>
    <w:rsid w:val="00EE1E1F"/>
    <w:rsid w:val="00EE2B68"/>
    <w:rsid w:val="00EE3733"/>
    <w:rsid w:val="00EE395E"/>
    <w:rsid w:val="00EE4DA5"/>
    <w:rsid w:val="00EE65C4"/>
    <w:rsid w:val="00EE6D70"/>
    <w:rsid w:val="00EF0CD0"/>
    <w:rsid w:val="00EF1386"/>
    <w:rsid w:val="00EF1AF3"/>
    <w:rsid w:val="00EF2491"/>
    <w:rsid w:val="00EF256B"/>
    <w:rsid w:val="00EF2B73"/>
    <w:rsid w:val="00EF358A"/>
    <w:rsid w:val="00EF4E6D"/>
    <w:rsid w:val="00EF5277"/>
    <w:rsid w:val="00EF5CAD"/>
    <w:rsid w:val="00EF611F"/>
    <w:rsid w:val="00EF76E1"/>
    <w:rsid w:val="00EF7816"/>
    <w:rsid w:val="00F00AAB"/>
    <w:rsid w:val="00F01C72"/>
    <w:rsid w:val="00F01FAB"/>
    <w:rsid w:val="00F029AF"/>
    <w:rsid w:val="00F04099"/>
    <w:rsid w:val="00F042AB"/>
    <w:rsid w:val="00F05B66"/>
    <w:rsid w:val="00F05C0B"/>
    <w:rsid w:val="00F06E86"/>
    <w:rsid w:val="00F07999"/>
    <w:rsid w:val="00F1030E"/>
    <w:rsid w:val="00F10925"/>
    <w:rsid w:val="00F10D86"/>
    <w:rsid w:val="00F125F6"/>
    <w:rsid w:val="00F12F6C"/>
    <w:rsid w:val="00F13DAE"/>
    <w:rsid w:val="00F14360"/>
    <w:rsid w:val="00F14B6C"/>
    <w:rsid w:val="00F15484"/>
    <w:rsid w:val="00F157D8"/>
    <w:rsid w:val="00F176DE"/>
    <w:rsid w:val="00F17D74"/>
    <w:rsid w:val="00F201AD"/>
    <w:rsid w:val="00F20469"/>
    <w:rsid w:val="00F204E3"/>
    <w:rsid w:val="00F21481"/>
    <w:rsid w:val="00F21673"/>
    <w:rsid w:val="00F21B21"/>
    <w:rsid w:val="00F21EBE"/>
    <w:rsid w:val="00F222BB"/>
    <w:rsid w:val="00F2491A"/>
    <w:rsid w:val="00F24EF6"/>
    <w:rsid w:val="00F2524E"/>
    <w:rsid w:val="00F253E0"/>
    <w:rsid w:val="00F254E4"/>
    <w:rsid w:val="00F2697B"/>
    <w:rsid w:val="00F26AAB"/>
    <w:rsid w:val="00F26F5D"/>
    <w:rsid w:val="00F30292"/>
    <w:rsid w:val="00F30B09"/>
    <w:rsid w:val="00F30FA0"/>
    <w:rsid w:val="00F3381E"/>
    <w:rsid w:val="00F34C92"/>
    <w:rsid w:val="00F35D19"/>
    <w:rsid w:val="00F3620D"/>
    <w:rsid w:val="00F36EF9"/>
    <w:rsid w:val="00F377AE"/>
    <w:rsid w:val="00F37B61"/>
    <w:rsid w:val="00F37EEC"/>
    <w:rsid w:val="00F40534"/>
    <w:rsid w:val="00F41222"/>
    <w:rsid w:val="00F41269"/>
    <w:rsid w:val="00F41319"/>
    <w:rsid w:val="00F44772"/>
    <w:rsid w:val="00F44B13"/>
    <w:rsid w:val="00F453BE"/>
    <w:rsid w:val="00F458E8"/>
    <w:rsid w:val="00F45BE7"/>
    <w:rsid w:val="00F463D7"/>
    <w:rsid w:val="00F47F52"/>
    <w:rsid w:val="00F50163"/>
    <w:rsid w:val="00F510E2"/>
    <w:rsid w:val="00F515F1"/>
    <w:rsid w:val="00F5273A"/>
    <w:rsid w:val="00F52D6B"/>
    <w:rsid w:val="00F52E18"/>
    <w:rsid w:val="00F535E2"/>
    <w:rsid w:val="00F54516"/>
    <w:rsid w:val="00F546FB"/>
    <w:rsid w:val="00F548FC"/>
    <w:rsid w:val="00F550FD"/>
    <w:rsid w:val="00F55335"/>
    <w:rsid w:val="00F5556B"/>
    <w:rsid w:val="00F55CF7"/>
    <w:rsid w:val="00F55DF0"/>
    <w:rsid w:val="00F55F38"/>
    <w:rsid w:val="00F567F2"/>
    <w:rsid w:val="00F56B56"/>
    <w:rsid w:val="00F56C07"/>
    <w:rsid w:val="00F56CA3"/>
    <w:rsid w:val="00F575DD"/>
    <w:rsid w:val="00F57776"/>
    <w:rsid w:val="00F57D1C"/>
    <w:rsid w:val="00F6077A"/>
    <w:rsid w:val="00F6086A"/>
    <w:rsid w:val="00F60FB8"/>
    <w:rsid w:val="00F611D1"/>
    <w:rsid w:val="00F6169B"/>
    <w:rsid w:val="00F616DA"/>
    <w:rsid w:val="00F6186A"/>
    <w:rsid w:val="00F62824"/>
    <w:rsid w:val="00F62B84"/>
    <w:rsid w:val="00F62D25"/>
    <w:rsid w:val="00F62D7C"/>
    <w:rsid w:val="00F634C8"/>
    <w:rsid w:val="00F642DD"/>
    <w:rsid w:val="00F65DA3"/>
    <w:rsid w:val="00F66BBC"/>
    <w:rsid w:val="00F67155"/>
    <w:rsid w:val="00F677C5"/>
    <w:rsid w:val="00F67BEA"/>
    <w:rsid w:val="00F7010C"/>
    <w:rsid w:val="00F7058F"/>
    <w:rsid w:val="00F70D21"/>
    <w:rsid w:val="00F70FEF"/>
    <w:rsid w:val="00F71C8B"/>
    <w:rsid w:val="00F71C97"/>
    <w:rsid w:val="00F72D0E"/>
    <w:rsid w:val="00F73A44"/>
    <w:rsid w:val="00F73F06"/>
    <w:rsid w:val="00F741F7"/>
    <w:rsid w:val="00F743BC"/>
    <w:rsid w:val="00F74F3A"/>
    <w:rsid w:val="00F750A7"/>
    <w:rsid w:val="00F755C9"/>
    <w:rsid w:val="00F75C02"/>
    <w:rsid w:val="00F75C17"/>
    <w:rsid w:val="00F763B7"/>
    <w:rsid w:val="00F7684A"/>
    <w:rsid w:val="00F76ABE"/>
    <w:rsid w:val="00F76C87"/>
    <w:rsid w:val="00F77ECB"/>
    <w:rsid w:val="00F80602"/>
    <w:rsid w:val="00F806A6"/>
    <w:rsid w:val="00F80FC1"/>
    <w:rsid w:val="00F81936"/>
    <w:rsid w:val="00F81BF8"/>
    <w:rsid w:val="00F81BFA"/>
    <w:rsid w:val="00F81E47"/>
    <w:rsid w:val="00F823B5"/>
    <w:rsid w:val="00F824EF"/>
    <w:rsid w:val="00F8274F"/>
    <w:rsid w:val="00F830F6"/>
    <w:rsid w:val="00F84408"/>
    <w:rsid w:val="00F85E4D"/>
    <w:rsid w:val="00F85F66"/>
    <w:rsid w:val="00F86474"/>
    <w:rsid w:val="00F868B4"/>
    <w:rsid w:val="00F8730A"/>
    <w:rsid w:val="00F87648"/>
    <w:rsid w:val="00F87A3E"/>
    <w:rsid w:val="00F9016F"/>
    <w:rsid w:val="00F90601"/>
    <w:rsid w:val="00F91EA1"/>
    <w:rsid w:val="00F92CE3"/>
    <w:rsid w:val="00F93703"/>
    <w:rsid w:val="00F93E9E"/>
    <w:rsid w:val="00F95572"/>
    <w:rsid w:val="00F9594D"/>
    <w:rsid w:val="00F97B3C"/>
    <w:rsid w:val="00FA130C"/>
    <w:rsid w:val="00FA1684"/>
    <w:rsid w:val="00FA1FAF"/>
    <w:rsid w:val="00FA28E3"/>
    <w:rsid w:val="00FA2DCB"/>
    <w:rsid w:val="00FA4AD9"/>
    <w:rsid w:val="00FA4E56"/>
    <w:rsid w:val="00FA5D76"/>
    <w:rsid w:val="00FA5F52"/>
    <w:rsid w:val="00FA7423"/>
    <w:rsid w:val="00FA78FD"/>
    <w:rsid w:val="00FB11BE"/>
    <w:rsid w:val="00FB1357"/>
    <w:rsid w:val="00FB1799"/>
    <w:rsid w:val="00FB1B56"/>
    <w:rsid w:val="00FB27F1"/>
    <w:rsid w:val="00FB2C85"/>
    <w:rsid w:val="00FB3AEB"/>
    <w:rsid w:val="00FB3CF9"/>
    <w:rsid w:val="00FB4C6F"/>
    <w:rsid w:val="00FB51B8"/>
    <w:rsid w:val="00FB5F69"/>
    <w:rsid w:val="00FB6789"/>
    <w:rsid w:val="00FB6CBB"/>
    <w:rsid w:val="00FC5E76"/>
    <w:rsid w:val="00FC69CF"/>
    <w:rsid w:val="00FC7214"/>
    <w:rsid w:val="00FC7FB3"/>
    <w:rsid w:val="00FD01B8"/>
    <w:rsid w:val="00FD058F"/>
    <w:rsid w:val="00FD0B70"/>
    <w:rsid w:val="00FD11B8"/>
    <w:rsid w:val="00FD1440"/>
    <w:rsid w:val="00FD1489"/>
    <w:rsid w:val="00FD17D7"/>
    <w:rsid w:val="00FD1864"/>
    <w:rsid w:val="00FD259C"/>
    <w:rsid w:val="00FD2A5C"/>
    <w:rsid w:val="00FD2DA9"/>
    <w:rsid w:val="00FD35FA"/>
    <w:rsid w:val="00FD3B77"/>
    <w:rsid w:val="00FD447F"/>
    <w:rsid w:val="00FD4A9D"/>
    <w:rsid w:val="00FD59F1"/>
    <w:rsid w:val="00FD621B"/>
    <w:rsid w:val="00FD64B1"/>
    <w:rsid w:val="00FD66A4"/>
    <w:rsid w:val="00FD6FE2"/>
    <w:rsid w:val="00FD74CB"/>
    <w:rsid w:val="00FD7543"/>
    <w:rsid w:val="00FD7BF5"/>
    <w:rsid w:val="00FE0D44"/>
    <w:rsid w:val="00FE185C"/>
    <w:rsid w:val="00FE1E0E"/>
    <w:rsid w:val="00FE2AB4"/>
    <w:rsid w:val="00FE3C5F"/>
    <w:rsid w:val="00FE401B"/>
    <w:rsid w:val="00FE4705"/>
    <w:rsid w:val="00FE557C"/>
    <w:rsid w:val="00FF05F3"/>
    <w:rsid w:val="00FF0925"/>
    <w:rsid w:val="00FF2EC8"/>
    <w:rsid w:val="00FF44C5"/>
    <w:rsid w:val="00FF4C3A"/>
    <w:rsid w:val="00FF4D1A"/>
    <w:rsid w:val="00FF5309"/>
    <w:rsid w:val="00FF571B"/>
    <w:rsid w:val="00FF61EC"/>
    <w:rsid w:val="00FF62F4"/>
    <w:rsid w:val="00FF6519"/>
    <w:rsid w:val="00FF76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5565781-E622-4BFF-829D-A3CDB6B4D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337"/>
    <w:pPr>
      <w:tabs>
        <w:tab w:val="left" w:pos="567"/>
      </w:tabs>
      <w:spacing w:line="260" w:lineRule="exact"/>
    </w:pPr>
    <w:rPr>
      <w:rFonts w:eastAsia="Times New Roman"/>
      <w:sz w:val="22"/>
      <w:lang w:val="en-GB" w:eastAsia="en-US"/>
    </w:rPr>
  </w:style>
  <w:style w:type="paragraph" w:styleId="Heading1">
    <w:name w:val="heading 1"/>
    <w:link w:val="Heading1Char"/>
    <w:autoRedefine/>
    <w:qFormat/>
    <w:rsid w:val="00BD6FBE"/>
    <w:pPr>
      <w:keepNext/>
      <w:widowControl w:val="0"/>
      <w:numPr>
        <w:numId w:val="3"/>
      </w:numPr>
      <w:tabs>
        <w:tab w:val="clear" w:pos="2077"/>
        <w:tab w:val="left" w:pos="851"/>
      </w:tabs>
      <w:spacing w:before="240" w:after="120"/>
      <w:ind w:left="851" w:hanging="851"/>
      <w:outlineLvl w:val="0"/>
    </w:pPr>
    <w:rPr>
      <w:rFonts w:eastAsia="Times New Roman"/>
      <w:b/>
      <w:bCs/>
      <w:caps/>
      <w:kern w:val="32"/>
      <w:sz w:val="28"/>
      <w:szCs w:val="32"/>
      <w:lang w:val="en-US" w:eastAsia="en-GB"/>
    </w:rPr>
  </w:style>
  <w:style w:type="paragraph" w:styleId="Heading2">
    <w:name w:val="heading 2"/>
    <w:link w:val="Heading2Char"/>
    <w:qFormat/>
    <w:rsid w:val="006264D3"/>
    <w:pPr>
      <w:keepNext/>
      <w:widowControl w:val="0"/>
      <w:numPr>
        <w:ilvl w:val="1"/>
        <w:numId w:val="3"/>
      </w:numPr>
      <w:spacing w:before="240" w:after="240"/>
      <w:outlineLvl w:val="1"/>
    </w:pPr>
    <w:rPr>
      <w:rFonts w:eastAsia="Times New Roman" w:cs="Arial"/>
      <w:b/>
      <w:iCs/>
      <w:kern w:val="32"/>
      <w:sz w:val="24"/>
      <w:szCs w:val="28"/>
      <w:lang w:val="en-US" w:eastAsia="en-US"/>
    </w:rPr>
  </w:style>
  <w:style w:type="paragraph" w:styleId="Heading3">
    <w:name w:val="heading 3"/>
    <w:next w:val="Normal"/>
    <w:link w:val="Heading3Char"/>
    <w:qFormat/>
    <w:rsid w:val="006264D3"/>
    <w:pPr>
      <w:keepNext/>
      <w:widowControl w:val="0"/>
      <w:numPr>
        <w:ilvl w:val="2"/>
        <w:numId w:val="3"/>
      </w:numPr>
      <w:spacing w:before="240" w:after="240"/>
      <w:outlineLvl w:val="2"/>
    </w:pPr>
    <w:rPr>
      <w:rFonts w:eastAsia="Times New Roman" w:cs="Arial"/>
      <w:b/>
      <w:bCs/>
      <w:sz w:val="24"/>
      <w:szCs w:val="26"/>
      <w:lang w:val="en-US" w:eastAsia="en-US"/>
    </w:rPr>
  </w:style>
  <w:style w:type="paragraph" w:styleId="Heading4">
    <w:name w:val="heading 4"/>
    <w:link w:val="Heading4Char"/>
    <w:qFormat/>
    <w:rsid w:val="006264D3"/>
    <w:pPr>
      <w:keepNext/>
      <w:widowControl w:val="0"/>
      <w:numPr>
        <w:ilvl w:val="3"/>
        <w:numId w:val="3"/>
      </w:numPr>
      <w:spacing w:before="240" w:after="240"/>
      <w:outlineLvl w:val="3"/>
    </w:pPr>
    <w:rPr>
      <w:rFonts w:eastAsia="Times New Roman"/>
      <w:bCs/>
      <w:sz w:val="24"/>
      <w:szCs w:val="28"/>
      <w:lang w:val="en-US" w:eastAsia="en-US"/>
    </w:rPr>
  </w:style>
  <w:style w:type="paragraph" w:styleId="Heading5">
    <w:name w:val="heading 5"/>
    <w:basedOn w:val="Normal"/>
    <w:next w:val="Normal"/>
    <w:link w:val="Heading5Char"/>
    <w:qFormat/>
    <w:rsid w:val="00A33D2A"/>
    <w:pPr>
      <w:keepNext/>
      <w:jc w:val="both"/>
      <w:outlineLvl w:val="4"/>
    </w:pPr>
    <w:rPr>
      <w:noProo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uiPriority w:val="99"/>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paragraph" w:customStyle="1" w:styleId="TableColumnHeading">
    <w:name w:val="Table Column Heading"/>
    <w:basedOn w:val="Normal"/>
    <w:rsid w:val="00096BE6"/>
    <w:pPr>
      <w:tabs>
        <w:tab w:val="clear" w:pos="567"/>
      </w:tabs>
      <w:spacing w:before="60" w:after="60" w:line="240" w:lineRule="auto"/>
      <w:jc w:val="center"/>
    </w:pPr>
    <w:rPr>
      <w:b/>
      <w:sz w:val="20"/>
      <w:szCs w:val="24"/>
      <w:lang w:val="en-US"/>
    </w:rPr>
  </w:style>
  <w:style w:type="paragraph" w:customStyle="1" w:styleId="CCDSRecommendedTextbullet">
    <w:name w:val="CCDS Recommended Text bullet"/>
    <w:basedOn w:val="Normal"/>
    <w:autoRedefine/>
    <w:qFormat/>
    <w:rsid w:val="00096BE6"/>
    <w:pPr>
      <w:tabs>
        <w:tab w:val="clear" w:pos="567"/>
      </w:tabs>
      <w:spacing w:line="240" w:lineRule="auto"/>
    </w:pPr>
    <w:rPr>
      <w:rFonts w:eastAsia="Batang"/>
      <w:sz w:val="24"/>
      <w:szCs w:val="24"/>
      <w:lang w:val="en-US"/>
    </w:rPr>
  </w:style>
  <w:style w:type="table" w:styleId="TableGrid">
    <w:name w:val="Table Grid"/>
    <w:basedOn w:val="TableNormal"/>
    <w:uiPriority w:val="59"/>
    <w:rsid w:val="00096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DSTableText10">
    <w:name w:val="CCDS Table Text 10"/>
    <w:basedOn w:val="Normal"/>
    <w:qFormat/>
    <w:rsid w:val="00ED54F3"/>
    <w:pPr>
      <w:tabs>
        <w:tab w:val="clear" w:pos="567"/>
      </w:tabs>
      <w:spacing w:before="60" w:after="60" w:line="240" w:lineRule="auto"/>
    </w:pPr>
    <w:rPr>
      <w:sz w:val="20"/>
      <w:szCs w:val="24"/>
      <w:lang w:val="en-US"/>
    </w:rPr>
  </w:style>
  <w:style w:type="paragraph" w:customStyle="1" w:styleId="CCDSTableText10Cntrd">
    <w:name w:val="CCDS Table Text 10 Cntrd"/>
    <w:basedOn w:val="CCDSTableText10"/>
    <w:qFormat/>
    <w:rsid w:val="00ED54F3"/>
    <w:pPr>
      <w:jc w:val="center"/>
    </w:pPr>
  </w:style>
  <w:style w:type="paragraph" w:customStyle="1" w:styleId="DocText">
    <w:name w:val="Doc Text"/>
    <w:basedOn w:val="Normal"/>
    <w:link w:val="DocTextChar2"/>
    <w:qFormat/>
    <w:rsid w:val="005213D0"/>
    <w:pPr>
      <w:tabs>
        <w:tab w:val="clear" w:pos="567"/>
      </w:tabs>
      <w:spacing w:after="240" w:line="288" w:lineRule="auto"/>
    </w:pPr>
    <w:rPr>
      <w:rFonts w:eastAsia="Batang"/>
      <w:sz w:val="24"/>
      <w:szCs w:val="24"/>
      <w:lang w:val="en-US"/>
    </w:rPr>
  </w:style>
  <w:style w:type="paragraph" w:customStyle="1" w:styleId="TableText">
    <w:name w:val="Table Text"/>
    <w:basedOn w:val="Normal"/>
    <w:link w:val="TableTextChar1"/>
    <w:qFormat/>
    <w:rsid w:val="005213D0"/>
    <w:pPr>
      <w:tabs>
        <w:tab w:val="clear" w:pos="567"/>
      </w:tabs>
      <w:spacing w:before="60" w:after="60" w:line="240" w:lineRule="auto"/>
    </w:pPr>
    <w:rPr>
      <w:sz w:val="20"/>
      <w:szCs w:val="24"/>
      <w:lang w:val="en-US"/>
    </w:rPr>
  </w:style>
  <w:style w:type="character" w:customStyle="1" w:styleId="DocTextChar2">
    <w:name w:val="Doc Text Char2"/>
    <w:link w:val="DocText"/>
    <w:locked/>
    <w:rsid w:val="005213D0"/>
    <w:rPr>
      <w:rFonts w:eastAsia="Batang"/>
      <w:sz w:val="24"/>
      <w:szCs w:val="24"/>
    </w:rPr>
  </w:style>
  <w:style w:type="paragraph" w:customStyle="1" w:styleId="Paragraph">
    <w:name w:val="Paragraph"/>
    <w:link w:val="ParagraphChar"/>
    <w:rsid w:val="00F575DD"/>
    <w:pPr>
      <w:spacing w:before="120" w:after="240" w:line="288" w:lineRule="auto"/>
    </w:pPr>
    <w:rPr>
      <w:rFonts w:eastAsia="MS Mincho"/>
      <w:sz w:val="24"/>
      <w:szCs w:val="24"/>
      <w:lang w:val="en-US" w:eastAsia="ja-JP"/>
    </w:rPr>
  </w:style>
  <w:style w:type="character" w:customStyle="1" w:styleId="ParagraphChar">
    <w:name w:val="Paragraph Char"/>
    <w:link w:val="Paragraph"/>
    <w:rsid w:val="00F575DD"/>
    <w:rPr>
      <w:rFonts w:eastAsia="MS Mincho"/>
      <w:sz w:val="24"/>
      <w:szCs w:val="24"/>
      <w:lang w:eastAsia="ja-JP"/>
    </w:rPr>
  </w:style>
  <w:style w:type="character" w:customStyle="1" w:styleId="TableTextChar1">
    <w:name w:val="Table Text Char1"/>
    <w:link w:val="TableText"/>
    <w:rsid w:val="00F575DD"/>
    <w:rPr>
      <w:rFonts w:eastAsia="Times New Roman"/>
      <w:szCs w:val="24"/>
    </w:rPr>
  </w:style>
  <w:style w:type="paragraph" w:styleId="Caption">
    <w:name w:val="caption"/>
    <w:basedOn w:val="Normal"/>
    <w:next w:val="DocText"/>
    <w:link w:val="CaptionChar"/>
    <w:qFormat/>
    <w:rsid w:val="00C07CE5"/>
    <w:pPr>
      <w:keepNext/>
      <w:tabs>
        <w:tab w:val="clear" w:pos="567"/>
      </w:tabs>
      <w:spacing w:before="120" w:after="120" w:line="240" w:lineRule="auto"/>
      <w:jc w:val="center"/>
    </w:pPr>
    <w:rPr>
      <w:b/>
      <w:bCs/>
      <w:sz w:val="24"/>
      <w:lang w:val="en-US"/>
    </w:rPr>
  </w:style>
  <w:style w:type="paragraph" w:customStyle="1" w:styleId="TableFootnote">
    <w:name w:val="Table Footnote"/>
    <w:basedOn w:val="Normal"/>
    <w:rsid w:val="00C07CE5"/>
    <w:pPr>
      <w:tabs>
        <w:tab w:val="clear" w:pos="567"/>
        <w:tab w:val="left" w:pos="216"/>
      </w:tabs>
      <w:spacing w:line="240" w:lineRule="auto"/>
      <w:ind w:left="216" w:hanging="216"/>
    </w:pPr>
    <w:rPr>
      <w:sz w:val="20"/>
      <w:szCs w:val="24"/>
      <w:lang w:val="en-US"/>
    </w:rPr>
  </w:style>
  <w:style w:type="character" w:customStyle="1" w:styleId="CaptionChar">
    <w:name w:val="Caption Char"/>
    <w:link w:val="Caption"/>
    <w:locked/>
    <w:rsid w:val="00C07CE5"/>
    <w:rPr>
      <w:rFonts w:eastAsia="Times New Roman"/>
      <w:b/>
      <w:bCs/>
      <w:sz w:val="24"/>
    </w:rPr>
  </w:style>
  <w:style w:type="paragraph" w:customStyle="1" w:styleId="TableTitle">
    <w:name w:val="Table Title"/>
    <w:next w:val="Paragraph"/>
    <w:rsid w:val="00CE13E9"/>
    <w:pPr>
      <w:keepNext/>
      <w:spacing w:before="120" w:after="120"/>
      <w:jc w:val="center"/>
    </w:pPr>
    <w:rPr>
      <w:rFonts w:eastAsia="MS Mincho"/>
      <w:b/>
      <w:bCs/>
      <w:sz w:val="24"/>
      <w:szCs w:val="24"/>
      <w:lang w:val="en-US" w:eastAsia="ja-JP"/>
    </w:rPr>
  </w:style>
  <w:style w:type="paragraph" w:customStyle="1" w:styleId="TableCenter">
    <w:name w:val="Table Center"/>
    <w:basedOn w:val="Normal"/>
    <w:rsid w:val="00CE13E9"/>
    <w:pPr>
      <w:tabs>
        <w:tab w:val="clear" w:pos="567"/>
      </w:tabs>
      <w:spacing w:after="60" w:line="240" w:lineRule="auto"/>
      <w:jc w:val="center"/>
    </w:pPr>
    <w:rPr>
      <w:sz w:val="20"/>
      <w:szCs w:val="24"/>
      <w:lang w:val="en-US"/>
    </w:rPr>
  </w:style>
  <w:style w:type="paragraph" w:customStyle="1" w:styleId="TableLeft">
    <w:name w:val="Table Left"/>
    <w:rsid w:val="00CE13E9"/>
    <w:pPr>
      <w:spacing w:after="60"/>
    </w:pPr>
    <w:rPr>
      <w:rFonts w:eastAsia="Times New Roman" w:cs="Arial"/>
      <w:bCs/>
      <w:kern w:val="32"/>
      <w:szCs w:val="24"/>
      <w:lang w:val="en-US" w:eastAsia="en-US"/>
    </w:rPr>
  </w:style>
  <w:style w:type="paragraph" w:styleId="Subtitle">
    <w:name w:val="Subtitle"/>
    <w:basedOn w:val="Normal"/>
    <w:next w:val="Normal"/>
    <w:link w:val="SubtitleChar"/>
    <w:uiPriority w:val="11"/>
    <w:qFormat/>
    <w:rsid w:val="000F097A"/>
    <w:pPr>
      <w:tabs>
        <w:tab w:val="clear" w:pos="567"/>
      </w:tabs>
      <w:spacing w:after="60" w:line="240" w:lineRule="auto"/>
      <w:jc w:val="center"/>
      <w:outlineLvl w:val="1"/>
    </w:pPr>
    <w:rPr>
      <w:rFonts w:ascii="Cambria" w:hAnsi="Cambria"/>
      <w:sz w:val="24"/>
      <w:szCs w:val="24"/>
      <w:lang w:val="en-US"/>
    </w:rPr>
  </w:style>
  <w:style w:type="character" w:customStyle="1" w:styleId="SubtitleChar">
    <w:name w:val="Subtitle Char"/>
    <w:link w:val="Subtitle"/>
    <w:uiPriority w:val="11"/>
    <w:rsid w:val="000F097A"/>
    <w:rPr>
      <w:rFonts w:ascii="Cambria" w:eastAsia="Times New Roman" w:hAnsi="Cambria"/>
      <w:sz w:val="24"/>
      <w:szCs w:val="24"/>
    </w:rPr>
  </w:style>
  <w:style w:type="paragraph" w:customStyle="1" w:styleId="CCDSTableText8">
    <w:name w:val="CCDS Table Text 8"/>
    <w:basedOn w:val="Normal"/>
    <w:qFormat/>
    <w:rsid w:val="000F097A"/>
    <w:pPr>
      <w:tabs>
        <w:tab w:val="clear" w:pos="567"/>
      </w:tabs>
      <w:spacing w:before="60" w:after="60" w:line="240" w:lineRule="auto"/>
    </w:pPr>
    <w:rPr>
      <w:b/>
      <w:sz w:val="16"/>
      <w:szCs w:val="24"/>
    </w:rPr>
  </w:style>
  <w:style w:type="paragraph" w:customStyle="1" w:styleId="Default">
    <w:name w:val="Default"/>
    <w:rsid w:val="00367380"/>
    <w:pPr>
      <w:autoSpaceDE w:val="0"/>
      <w:autoSpaceDN w:val="0"/>
      <w:adjustRightInd w:val="0"/>
    </w:pPr>
    <w:rPr>
      <w:color w:val="000000"/>
      <w:sz w:val="24"/>
      <w:szCs w:val="24"/>
      <w:lang w:val="en-US" w:eastAsia="en-US"/>
    </w:rPr>
  </w:style>
  <w:style w:type="paragraph" w:customStyle="1" w:styleId="FooterLandscape">
    <w:name w:val="Footer Landscape"/>
    <w:basedOn w:val="Footer"/>
    <w:rsid w:val="00353007"/>
    <w:pPr>
      <w:tabs>
        <w:tab w:val="clear" w:pos="567"/>
        <w:tab w:val="clear" w:pos="4536"/>
        <w:tab w:val="clear" w:pos="8306"/>
        <w:tab w:val="left" w:pos="0"/>
        <w:tab w:val="center" w:pos="6719"/>
        <w:tab w:val="right" w:pos="13438"/>
      </w:tabs>
      <w:spacing w:line="240" w:lineRule="auto"/>
    </w:pPr>
    <w:rPr>
      <w:rFonts w:ascii="Times New Roman" w:hAnsi="Times New Roman"/>
      <w:noProof w:val="0"/>
      <w:sz w:val="18"/>
      <w:szCs w:val="24"/>
      <w:lang w:val="en-US"/>
    </w:rPr>
  </w:style>
  <w:style w:type="paragraph" w:styleId="ListBullet">
    <w:name w:val="List Bullet"/>
    <w:rsid w:val="001435D0"/>
    <w:pPr>
      <w:widowControl w:val="0"/>
      <w:numPr>
        <w:numId w:val="2"/>
      </w:numPr>
      <w:tabs>
        <w:tab w:val="left" w:pos="567"/>
      </w:tabs>
      <w:spacing w:after="120"/>
      <w:jc w:val="both"/>
    </w:pPr>
    <w:rPr>
      <w:rFonts w:eastAsia="Times New Roman"/>
      <w:sz w:val="24"/>
      <w:szCs w:val="24"/>
      <w:lang w:val="en-US" w:eastAsia="en-US"/>
    </w:rPr>
  </w:style>
  <w:style w:type="paragraph" w:styleId="EndnoteText">
    <w:name w:val="endnote text"/>
    <w:basedOn w:val="Normal"/>
    <w:next w:val="Normal"/>
    <w:link w:val="EndnoteTextChar"/>
    <w:rsid w:val="000A1759"/>
    <w:pPr>
      <w:spacing w:line="240" w:lineRule="auto"/>
    </w:pPr>
  </w:style>
  <w:style w:type="character" w:customStyle="1" w:styleId="EndnoteTextChar">
    <w:name w:val="Endnote Text Char"/>
    <w:link w:val="EndnoteText"/>
    <w:rsid w:val="000A1759"/>
    <w:rPr>
      <w:rFonts w:eastAsia="Times New Roman"/>
      <w:sz w:val="22"/>
      <w:lang w:val="en-GB"/>
    </w:rPr>
  </w:style>
  <w:style w:type="character" w:customStyle="1" w:styleId="Heading5Char">
    <w:name w:val="Heading 5 Char"/>
    <w:link w:val="Heading5"/>
    <w:rsid w:val="00A33D2A"/>
    <w:rPr>
      <w:rFonts w:eastAsia="Times New Roman"/>
      <w:noProof/>
      <w:sz w:val="22"/>
      <w:lang w:val="en-GB"/>
    </w:rPr>
  </w:style>
  <w:style w:type="paragraph" w:styleId="ListParagraph">
    <w:name w:val="List Paragraph"/>
    <w:basedOn w:val="Normal"/>
    <w:uiPriority w:val="34"/>
    <w:qFormat/>
    <w:rsid w:val="005E4639"/>
    <w:pPr>
      <w:tabs>
        <w:tab w:val="clear" w:pos="567"/>
      </w:tabs>
      <w:spacing w:line="240" w:lineRule="auto"/>
      <w:ind w:left="720"/>
    </w:pPr>
    <w:rPr>
      <w:rFonts w:ascii="Calibri" w:eastAsia="Calibri" w:hAnsi="Calibri"/>
      <w:szCs w:val="22"/>
      <w:lang w:val="en-US"/>
    </w:rPr>
  </w:style>
  <w:style w:type="character" w:styleId="FootnoteReference">
    <w:name w:val="footnote reference"/>
    <w:rsid w:val="00F823B5"/>
    <w:rPr>
      <w:rFonts w:ascii="Times New Roman" w:hAnsi="Times New Roman"/>
      <w:sz w:val="24"/>
      <w:vertAlign w:val="superscript"/>
    </w:rPr>
  </w:style>
  <w:style w:type="paragraph" w:styleId="FootnoteText">
    <w:name w:val="footnote text"/>
    <w:link w:val="FootnoteTextChar"/>
    <w:rsid w:val="00F823B5"/>
    <w:pPr>
      <w:widowControl w:val="0"/>
      <w:spacing w:before="40"/>
    </w:pPr>
    <w:rPr>
      <w:rFonts w:eastAsia="Times New Roman"/>
      <w:sz w:val="22"/>
      <w:lang w:val="en-US" w:eastAsia="en-US"/>
    </w:rPr>
  </w:style>
  <w:style w:type="character" w:customStyle="1" w:styleId="FootnoteTextChar">
    <w:name w:val="Footnote Text Char"/>
    <w:link w:val="FootnoteText"/>
    <w:rsid w:val="00F823B5"/>
    <w:rPr>
      <w:rFonts w:eastAsia="Times New Roman"/>
      <w:sz w:val="22"/>
    </w:rPr>
  </w:style>
  <w:style w:type="character" w:customStyle="1" w:styleId="Heading1Char">
    <w:name w:val="Heading 1 Char"/>
    <w:link w:val="Heading1"/>
    <w:rsid w:val="00BD6FBE"/>
    <w:rPr>
      <w:rFonts w:eastAsia="Times New Roman"/>
      <w:b/>
      <w:bCs/>
      <w:caps/>
      <w:kern w:val="32"/>
      <w:sz w:val="28"/>
      <w:szCs w:val="32"/>
      <w:lang w:eastAsia="en-GB"/>
    </w:rPr>
  </w:style>
  <w:style w:type="character" w:customStyle="1" w:styleId="Heading2Char">
    <w:name w:val="Heading 2 Char"/>
    <w:link w:val="Heading2"/>
    <w:rsid w:val="006264D3"/>
    <w:rPr>
      <w:rFonts w:eastAsia="Times New Roman" w:cs="Arial"/>
      <w:b/>
      <w:iCs/>
      <w:kern w:val="32"/>
      <w:sz w:val="24"/>
      <w:szCs w:val="28"/>
    </w:rPr>
  </w:style>
  <w:style w:type="character" w:customStyle="1" w:styleId="Heading3Char">
    <w:name w:val="Heading 3 Char"/>
    <w:link w:val="Heading3"/>
    <w:rsid w:val="006264D3"/>
    <w:rPr>
      <w:rFonts w:eastAsia="Times New Roman" w:cs="Arial"/>
      <w:b/>
      <w:bCs/>
      <w:sz w:val="24"/>
      <w:szCs w:val="26"/>
    </w:rPr>
  </w:style>
  <w:style w:type="character" w:customStyle="1" w:styleId="Heading4Char">
    <w:name w:val="Heading 4 Char"/>
    <w:link w:val="Heading4"/>
    <w:rsid w:val="006264D3"/>
    <w:rPr>
      <w:rFonts w:eastAsia="Times New Roman"/>
      <w:bCs/>
      <w:sz w:val="24"/>
      <w:szCs w:val="28"/>
    </w:rPr>
  </w:style>
  <w:style w:type="character" w:styleId="EndnoteReference">
    <w:name w:val="endnote reference"/>
    <w:rsid w:val="002F4C2E"/>
    <w:rPr>
      <w:rFonts w:ascii="Times New Roman" w:hAnsi="Times New Roman"/>
      <w:dstrike w:val="0"/>
      <w:kern w:val="0"/>
      <w:sz w:val="24"/>
      <w:vertAlign w:val="superscript"/>
    </w:rPr>
  </w:style>
  <w:style w:type="paragraph" w:customStyle="1" w:styleId="StyleHeading2Bold">
    <w:name w:val="Style Heading 2 + Bold"/>
    <w:basedOn w:val="Heading2"/>
    <w:link w:val="StyleHeading2BoldChar"/>
    <w:rsid w:val="00DA57CA"/>
    <w:pPr>
      <w:numPr>
        <w:numId w:val="1"/>
      </w:numPr>
    </w:pPr>
    <w:rPr>
      <w:bCs/>
    </w:rPr>
  </w:style>
  <w:style w:type="character" w:customStyle="1" w:styleId="StyleHeading2BoldChar">
    <w:name w:val="Style Heading 2 + Bold Char"/>
    <w:link w:val="StyleHeading2Bold"/>
    <w:rsid w:val="00DA57CA"/>
    <w:rPr>
      <w:rFonts w:eastAsia="Times New Roman" w:cs="Arial"/>
      <w:b/>
      <w:bCs/>
      <w:iCs/>
      <w:kern w:val="32"/>
      <w:sz w:val="24"/>
      <w:szCs w:val="28"/>
    </w:rPr>
  </w:style>
  <w:style w:type="paragraph" w:customStyle="1" w:styleId="TableHead">
    <w:name w:val="Table Head"/>
    <w:rsid w:val="002C7BEB"/>
    <w:pPr>
      <w:keepNext/>
      <w:spacing w:before="60" w:after="60"/>
      <w:jc w:val="center"/>
    </w:pPr>
    <w:rPr>
      <w:rFonts w:eastAsia="MS Mincho"/>
      <w:b/>
      <w:lang w:val="en-US" w:eastAsia="ja-JP"/>
    </w:rPr>
  </w:style>
  <w:style w:type="paragraph" w:customStyle="1" w:styleId="StyleHeading3Before6ptAfter6pt">
    <w:name w:val="Style Heading 3 + Before:  6 pt After:  6 pt"/>
    <w:basedOn w:val="Heading3"/>
    <w:rsid w:val="009269A3"/>
    <w:pPr>
      <w:numPr>
        <w:ilvl w:val="0"/>
        <w:numId w:val="0"/>
      </w:numPr>
      <w:spacing w:before="120" w:after="120"/>
      <w:ind w:left="907" w:hanging="907"/>
    </w:pPr>
    <w:rPr>
      <w:rFonts w:cs="Times New Roman"/>
      <w:i/>
      <w:noProof/>
      <w:szCs w:val="20"/>
    </w:rPr>
  </w:style>
  <w:style w:type="character" w:customStyle="1" w:styleId="FooterChar">
    <w:name w:val="Footer Char"/>
    <w:link w:val="Footer"/>
    <w:rsid w:val="00CC35D7"/>
    <w:rPr>
      <w:rFonts w:ascii="Arial" w:eastAsia="Times New Roman" w:hAnsi="Arial"/>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3541">
      <w:bodyDiv w:val="1"/>
      <w:marLeft w:val="0"/>
      <w:marRight w:val="0"/>
      <w:marTop w:val="0"/>
      <w:marBottom w:val="0"/>
      <w:divBdr>
        <w:top w:val="none" w:sz="0" w:space="0" w:color="auto"/>
        <w:left w:val="none" w:sz="0" w:space="0" w:color="auto"/>
        <w:bottom w:val="none" w:sz="0" w:space="0" w:color="auto"/>
        <w:right w:val="none" w:sz="0" w:space="0" w:color="auto"/>
      </w:divBdr>
    </w:div>
    <w:div w:id="44985280">
      <w:bodyDiv w:val="1"/>
      <w:marLeft w:val="0"/>
      <w:marRight w:val="0"/>
      <w:marTop w:val="0"/>
      <w:marBottom w:val="0"/>
      <w:divBdr>
        <w:top w:val="none" w:sz="0" w:space="0" w:color="auto"/>
        <w:left w:val="none" w:sz="0" w:space="0" w:color="auto"/>
        <w:bottom w:val="none" w:sz="0" w:space="0" w:color="auto"/>
        <w:right w:val="none" w:sz="0" w:space="0" w:color="auto"/>
      </w:divBdr>
    </w:div>
    <w:div w:id="243758514">
      <w:bodyDiv w:val="1"/>
      <w:marLeft w:val="0"/>
      <w:marRight w:val="0"/>
      <w:marTop w:val="0"/>
      <w:marBottom w:val="0"/>
      <w:divBdr>
        <w:top w:val="none" w:sz="0" w:space="0" w:color="auto"/>
        <w:left w:val="none" w:sz="0" w:space="0" w:color="auto"/>
        <w:bottom w:val="none" w:sz="0" w:space="0" w:color="auto"/>
        <w:right w:val="none" w:sz="0" w:space="0" w:color="auto"/>
      </w:divBdr>
    </w:div>
    <w:div w:id="324750528">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54836930">
      <w:bodyDiv w:val="1"/>
      <w:marLeft w:val="0"/>
      <w:marRight w:val="0"/>
      <w:marTop w:val="0"/>
      <w:marBottom w:val="0"/>
      <w:divBdr>
        <w:top w:val="none" w:sz="0" w:space="0" w:color="auto"/>
        <w:left w:val="none" w:sz="0" w:space="0" w:color="auto"/>
        <w:bottom w:val="none" w:sz="0" w:space="0" w:color="auto"/>
        <w:right w:val="none" w:sz="0" w:space="0" w:color="auto"/>
      </w:divBdr>
      <w:divsChild>
        <w:div w:id="391971775">
          <w:marLeft w:val="0"/>
          <w:marRight w:val="0"/>
          <w:marTop w:val="0"/>
          <w:marBottom w:val="0"/>
          <w:divBdr>
            <w:top w:val="none" w:sz="0" w:space="0" w:color="auto"/>
            <w:left w:val="none" w:sz="0" w:space="0" w:color="auto"/>
            <w:bottom w:val="none" w:sz="0" w:space="0" w:color="auto"/>
            <w:right w:val="none" w:sz="0" w:space="0" w:color="auto"/>
          </w:divBdr>
        </w:div>
      </w:divsChild>
    </w:div>
    <w:div w:id="1321348284">
      <w:bodyDiv w:val="1"/>
      <w:marLeft w:val="0"/>
      <w:marRight w:val="0"/>
      <w:marTop w:val="0"/>
      <w:marBottom w:val="0"/>
      <w:divBdr>
        <w:top w:val="none" w:sz="0" w:space="0" w:color="auto"/>
        <w:left w:val="none" w:sz="0" w:space="0" w:color="auto"/>
        <w:bottom w:val="none" w:sz="0" w:space="0" w:color="auto"/>
        <w:right w:val="none" w:sz="0" w:space="0" w:color="auto"/>
      </w:divBdr>
    </w:div>
    <w:div w:id="1430350770">
      <w:bodyDiv w:val="1"/>
      <w:marLeft w:val="0"/>
      <w:marRight w:val="0"/>
      <w:marTop w:val="0"/>
      <w:marBottom w:val="0"/>
      <w:divBdr>
        <w:top w:val="none" w:sz="0" w:space="0" w:color="auto"/>
        <w:left w:val="none" w:sz="0" w:space="0" w:color="auto"/>
        <w:bottom w:val="none" w:sz="0" w:space="0" w:color="auto"/>
        <w:right w:val="none" w:sz="0" w:space="0" w:color="auto"/>
      </w:divBdr>
    </w:div>
    <w:div w:id="1437361688">
      <w:bodyDiv w:val="1"/>
      <w:marLeft w:val="0"/>
      <w:marRight w:val="0"/>
      <w:marTop w:val="0"/>
      <w:marBottom w:val="0"/>
      <w:divBdr>
        <w:top w:val="none" w:sz="0" w:space="0" w:color="auto"/>
        <w:left w:val="none" w:sz="0" w:space="0" w:color="auto"/>
        <w:bottom w:val="none" w:sz="0" w:space="0" w:color="auto"/>
        <w:right w:val="none" w:sz="0" w:space="0" w:color="auto"/>
      </w:divBdr>
    </w:div>
    <w:div w:id="1511874872">
      <w:bodyDiv w:val="1"/>
      <w:marLeft w:val="0"/>
      <w:marRight w:val="0"/>
      <w:marTop w:val="0"/>
      <w:marBottom w:val="0"/>
      <w:divBdr>
        <w:top w:val="none" w:sz="0" w:space="0" w:color="auto"/>
        <w:left w:val="none" w:sz="0" w:space="0" w:color="auto"/>
        <w:bottom w:val="none" w:sz="0" w:space="0" w:color="auto"/>
        <w:right w:val="none" w:sz="0" w:space="0" w:color="auto"/>
      </w:divBdr>
    </w:div>
    <w:div w:id="1528985979">
      <w:bodyDiv w:val="1"/>
      <w:marLeft w:val="0"/>
      <w:marRight w:val="0"/>
      <w:marTop w:val="0"/>
      <w:marBottom w:val="0"/>
      <w:divBdr>
        <w:top w:val="none" w:sz="0" w:space="0" w:color="auto"/>
        <w:left w:val="none" w:sz="0" w:space="0" w:color="auto"/>
        <w:bottom w:val="none" w:sz="0" w:space="0" w:color="auto"/>
        <w:right w:val="none" w:sz="0" w:space="0" w:color="auto"/>
      </w:divBdr>
    </w:div>
    <w:div w:id="1539853314">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4404072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81710927">
      <w:bodyDiv w:val="1"/>
      <w:marLeft w:val="0"/>
      <w:marRight w:val="0"/>
      <w:marTop w:val="0"/>
      <w:marBottom w:val="0"/>
      <w:divBdr>
        <w:top w:val="none" w:sz="0" w:space="0" w:color="auto"/>
        <w:left w:val="none" w:sz="0" w:space="0" w:color="auto"/>
        <w:bottom w:val="none" w:sz="0" w:space="0" w:color="auto"/>
        <w:right w:val="none" w:sz="0" w:space="0" w:color="auto"/>
      </w:divBdr>
    </w:div>
    <w:div w:id="2083477825">
      <w:bodyDiv w:val="1"/>
      <w:marLeft w:val="0"/>
      <w:marRight w:val="0"/>
      <w:marTop w:val="0"/>
      <w:marBottom w:val="0"/>
      <w:divBdr>
        <w:top w:val="none" w:sz="0" w:space="0" w:color="auto"/>
        <w:left w:val="none" w:sz="0" w:space="0" w:color="auto"/>
        <w:bottom w:val="none" w:sz="0" w:space="0" w:color="auto"/>
        <w:right w:val="none" w:sz="0" w:space="0" w:color="auto"/>
      </w:divBdr>
      <w:divsChild>
        <w:div w:id="1053653641">
          <w:marLeft w:val="0"/>
          <w:marRight w:val="0"/>
          <w:marTop w:val="0"/>
          <w:marBottom w:val="0"/>
          <w:divBdr>
            <w:top w:val="none" w:sz="0" w:space="0" w:color="auto"/>
            <w:left w:val="none" w:sz="0" w:space="0" w:color="auto"/>
            <w:bottom w:val="none" w:sz="0" w:space="0" w:color="auto"/>
            <w:right w:val="none" w:sz="0" w:space="0" w:color="auto"/>
          </w:divBdr>
          <w:divsChild>
            <w:div w:id="207228263">
              <w:marLeft w:val="0"/>
              <w:marRight w:val="0"/>
              <w:marTop w:val="0"/>
              <w:marBottom w:val="0"/>
              <w:divBdr>
                <w:top w:val="none" w:sz="0" w:space="0" w:color="auto"/>
                <w:left w:val="none" w:sz="0" w:space="0" w:color="auto"/>
                <w:bottom w:val="none" w:sz="0" w:space="0" w:color="auto"/>
                <w:right w:val="none" w:sz="0" w:space="0" w:color="auto"/>
              </w:divBdr>
              <w:divsChild>
                <w:div w:id="2051223178">
                  <w:marLeft w:val="0"/>
                  <w:marRight w:val="0"/>
                  <w:marTop w:val="0"/>
                  <w:marBottom w:val="0"/>
                  <w:divBdr>
                    <w:top w:val="none" w:sz="0" w:space="0" w:color="auto"/>
                    <w:left w:val="none" w:sz="0" w:space="0" w:color="auto"/>
                    <w:bottom w:val="none" w:sz="0" w:space="0" w:color="auto"/>
                    <w:right w:val="none" w:sz="0" w:space="0" w:color="auto"/>
                  </w:divBdr>
                  <w:divsChild>
                    <w:div w:id="288560963">
                      <w:marLeft w:val="0"/>
                      <w:marRight w:val="0"/>
                      <w:marTop w:val="0"/>
                      <w:marBottom w:val="0"/>
                      <w:divBdr>
                        <w:top w:val="none" w:sz="0" w:space="0" w:color="auto"/>
                        <w:left w:val="none" w:sz="0" w:space="0" w:color="auto"/>
                        <w:bottom w:val="none" w:sz="0" w:space="0" w:color="auto"/>
                        <w:right w:val="none" w:sz="0" w:space="0" w:color="auto"/>
                      </w:divBdr>
                      <w:divsChild>
                        <w:div w:id="1471438718">
                          <w:marLeft w:val="0"/>
                          <w:marRight w:val="0"/>
                          <w:marTop w:val="0"/>
                          <w:marBottom w:val="0"/>
                          <w:divBdr>
                            <w:top w:val="none" w:sz="0" w:space="0" w:color="auto"/>
                            <w:left w:val="none" w:sz="0" w:space="0" w:color="auto"/>
                            <w:bottom w:val="none" w:sz="0" w:space="0" w:color="auto"/>
                            <w:right w:val="none" w:sz="0" w:space="0" w:color="auto"/>
                          </w:divBdr>
                          <w:divsChild>
                            <w:div w:id="1637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image" Target="media/image6.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tyles" Target="styles.xml"/><Relationship Id="rId12" Type="http://schemas.openxmlformats.org/officeDocument/2006/relationships/hyperlink" Target="http://www.tga.gov.au/reporting-problems" TargetMode="External"/><Relationship Id="rId17" Type="http://schemas.openxmlformats.org/officeDocument/2006/relationships/image" Target="media/image5.emf"/><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7.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10.pn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1ADA520BA5B643B020CCAD2DA3E119" ma:contentTypeVersion="10" ma:contentTypeDescription="Create a new document." ma:contentTypeScope="" ma:versionID="2426a07a6e59989b44b01e53c9f2e055">
  <xsd:schema xmlns:xsd="http://www.w3.org/2001/XMLSchema" xmlns:xs="http://www.w3.org/2001/XMLSchema" xmlns:p="http://schemas.microsoft.com/office/2006/metadata/properties" xmlns:ns3="c96adb08-5c5e-4b11-adec-c203ba5e6a30" targetNamespace="http://schemas.microsoft.com/office/2006/metadata/properties" ma:root="true" ma:fieldsID="32905630eaaa52338777c2c989dfc633" ns3:_="">
    <xsd:import namespace="c96adb08-5c5e-4b11-adec-c203ba5e6a3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adb08-5c5e-4b11-adec-c203ba5e6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A8B1D-1417-4F68-BB79-F0444333B9C6}">
  <ds:schemaRefs>
    <ds:schemaRef ds:uri="http://schemas.microsoft.com/sharepoint/v3/contenttype/forms"/>
  </ds:schemaRefs>
</ds:datastoreItem>
</file>

<file path=customXml/itemProps2.xml><?xml version="1.0" encoding="utf-8"?>
<ds:datastoreItem xmlns:ds="http://schemas.openxmlformats.org/officeDocument/2006/customXml" ds:itemID="{2FF0AF63-EDC1-4656-891A-8D7EEDD2E1A9}">
  <ds:schemaRefs>
    <ds:schemaRef ds:uri="http://schemas.microsoft.com/office/2006/metadata/longProperties"/>
  </ds:schemaRefs>
</ds:datastoreItem>
</file>

<file path=customXml/itemProps3.xml><?xml version="1.0" encoding="utf-8"?>
<ds:datastoreItem xmlns:ds="http://schemas.openxmlformats.org/officeDocument/2006/customXml" ds:itemID="{347E9097-79CA-40F3-BA79-4128CE29E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6adb08-5c5e-4b11-adec-c203ba5e6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25492C-2661-4911-8EB6-365987815084}">
  <ds:schemaRefs>
    <ds:schemaRef ds:uri="c96adb08-5c5e-4b11-adec-c203ba5e6a30"/>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10746F03-F5A5-4AF1-B498-D5437CDC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8139</Words>
  <Characters>44277</Characters>
  <Application>Microsoft Office Word</Application>
  <DocSecurity>0</DocSecurity>
  <Lines>1196</Lines>
  <Paragraphs>708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Attachment: Product Information for Vonicog alfa</vt:lpstr>
      <vt:lpstr/>
    </vt:vector>
  </TitlesOfParts>
  <Company>European Medicines Agency</Company>
  <LinksUpToDate>false</LinksUpToDate>
  <CharactersWithSpaces>51708</CharactersWithSpaces>
  <SharedDoc>false</SharedDoc>
  <HLinks>
    <vt:vector size="12" baseType="variant">
      <vt:variant>
        <vt:i4>5898317</vt:i4>
      </vt:variant>
      <vt:variant>
        <vt:i4>3</vt:i4>
      </vt:variant>
      <vt:variant>
        <vt:i4>0</vt:i4>
      </vt:variant>
      <vt:variant>
        <vt:i4>5</vt:i4>
      </vt:variant>
      <vt:variant>
        <vt:lpwstr>http://www.tga.gov.au/reporting-problems</vt:lpwstr>
      </vt:variant>
      <vt:variant>
        <vt:lpwstr/>
      </vt:variant>
      <vt:variant>
        <vt:i4>4194312</vt:i4>
      </vt:variant>
      <vt:variant>
        <vt:i4>0</vt:i4>
      </vt:variant>
      <vt:variant>
        <vt:i4>0</vt:i4>
      </vt:variant>
      <vt:variant>
        <vt:i4>5</vt:i4>
      </vt:variant>
      <vt:variant>
        <vt:lpwstr>https://www.tga.gov.au/product-information-pi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Vonicog alfa</dc:title>
  <dc:subject/>
  <cp:keywords/>
  <cp:lastPrinted>2017-05-02T00:01:00Z</cp:lastPrinted>
  <dcterms:created xsi:type="dcterms:W3CDTF">2020-10-21T01:40:00Z</dcterms:created>
  <dcterms:modified xsi:type="dcterms:W3CDTF">2020-10-21T01:40:00Z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y fmtid="{D5CDD505-2E9C-101B-9397-08002B2CF9AE}" pid="43" name="Doc. Subtype">
    <vt:lpwstr>Non-Clinical Pharm Tox</vt:lpwstr>
  </property>
  <property fmtid="{D5CDD505-2E9C-101B-9397-08002B2CF9AE}" pid="44" name="Document type">
    <vt:lpwstr>PhaseI clinical</vt:lpwstr>
  </property>
  <property fmtid="{D5CDD505-2E9C-101B-9397-08002B2CF9AE}" pid="45" name="Project">
    <vt:lpwstr>BAX 499</vt:lpwstr>
  </property>
  <property fmtid="{D5CDD505-2E9C-101B-9397-08002B2CF9AE}" pid="46" name="Doc. Type">
    <vt:lpwstr>IND</vt:lpwstr>
  </property>
  <property fmtid="{D5CDD505-2E9C-101B-9397-08002B2CF9AE}" pid="47" name="Vrsion type">
    <vt:lpwstr>Version Final</vt:lpwstr>
  </property>
  <property fmtid="{D5CDD505-2E9C-101B-9397-08002B2CF9AE}" pid="48" name="display_urn:schemas-microsoft-com:office:office#SharedWithUsers">
    <vt:lpwstr>Dow, Edward C.</vt:lpwstr>
  </property>
  <property fmtid="{D5CDD505-2E9C-101B-9397-08002B2CF9AE}" pid="49" name="SharedWithUsers">
    <vt:lpwstr>1586;#Dow, Edward C.</vt:lpwstr>
  </property>
  <property fmtid="{D5CDD505-2E9C-101B-9397-08002B2CF9AE}" pid="50" name="ContentTypeId">
    <vt:lpwstr>0x010100F11ADA520BA5B643B020CCAD2DA3E119</vt:lpwstr>
  </property>
</Properties>
</file>