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C21C0E" w:rsidP="002C6766">
            <w:pPr>
              <w:rPr>
                <w:rFonts w:ascii="Arial" w:hAnsi="Arial" w:cs="Arial"/>
                <w:b/>
                <w:color w:val="002C47"/>
                <w:sz w:val="36"/>
                <w:szCs w:val="36"/>
              </w:rPr>
            </w:pPr>
            <w:r>
              <w:rPr>
                <w:rFonts w:ascii="Arial" w:hAnsi="Arial" w:cs="Arial"/>
                <w:b/>
                <w:color w:val="002C47"/>
                <w:sz w:val="36"/>
                <w:szCs w:val="36"/>
              </w:rPr>
              <w:t xml:space="preserve">September </w:t>
            </w:r>
            <w:r w:rsidR="002C6766">
              <w:rPr>
                <w:rFonts w:ascii="Arial" w:hAnsi="Arial" w:cs="Arial"/>
                <w:b/>
                <w:color w:val="002C47"/>
                <w:sz w:val="36"/>
                <w:szCs w:val="36"/>
              </w:rPr>
              <w:t>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2C6766" w:rsidRPr="002C6766">
              <w:rPr>
                <w:color w:val="FFFFFF" w:themeColor="background1"/>
              </w:rPr>
              <w:t>vismodegib</w:t>
            </w:r>
          </w:p>
        </w:tc>
      </w:tr>
      <w:tr w:rsidR="0032583B" w:rsidRPr="00B64760" w:rsidTr="0032583B">
        <w:tc>
          <w:tcPr>
            <w:tcW w:w="9079" w:type="dxa"/>
          </w:tcPr>
          <w:p w:rsidR="0032583B" w:rsidRPr="008E7846" w:rsidRDefault="002C6766" w:rsidP="002C6766">
            <w:pPr>
              <w:pStyle w:val="Subtitle"/>
              <w:rPr>
                <w:color w:val="FFFFFF" w:themeColor="background1"/>
              </w:rPr>
            </w:pPr>
            <w:r>
              <w:rPr>
                <w:color w:val="FFFFFF" w:themeColor="background1"/>
              </w:rPr>
              <w:t xml:space="preserve">Proprietary Product Name: </w:t>
            </w:r>
            <w:proofErr w:type="spellStart"/>
            <w:r>
              <w:rPr>
                <w:color w:val="FFFFFF" w:themeColor="background1"/>
              </w:rPr>
              <w:t>Erivedge</w:t>
            </w:r>
            <w:proofErr w:type="spellEnd"/>
          </w:p>
        </w:tc>
      </w:tr>
      <w:tr w:rsidR="0032583B" w:rsidRPr="00B64760" w:rsidTr="0032583B">
        <w:trPr>
          <w:trHeight w:val="486"/>
        </w:trPr>
        <w:tc>
          <w:tcPr>
            <w:tcW w:w="9079" w:type="dxa"/>
          </w:tcPr>
          <w:p w:rsidR="0032583B" w:rsidRPr="008E7846" w:rsidRDefault="002C6766" w:rsidP="0032583B">
            <w:pPr>
              <w:pStyle w:val="Subtitle"/>
              <w:rPr>
                <w:color w:val="FFFFFF" w:themeColor="background1"/>
              </w:rPr>
            </w:pPr>
            <w:r>
              <w:rPr>
                <w:color w:val="FFFFFF" w:themeColor="background1"/>
              </w:rPr>
              <w:t>Sponsor: Roche Products Pty L</w:t>
            </w:r>
            <w:r w:rsidR="00D22EC4">
              <w:rPr>
                <w:color w:val="FFFFFF" w:themeColor="background1"/>
              </w:rPr>
              <w:t>imi</w:t>
            </w:r>
            <w:r>
              <w:rPr>
                <w:color w:val="FFFFFF" w:themeColor="background1"/>
              </w:rPr>
              <w:t>t</w:t>
            </w:r>
            <w:r w:rsidR="00D22EC4">
              <w:rPr>
                <w:color w:val="FFFFFF" w:themeColor="background1"/>
              </w:rPr>
              <w:t>e</w:t>
            </w:r>
            <w:r>
              <w:rPr>
                <w:color w:val="FFFFFF" w:themeColor="background1"/>
              </w:rPr>
              <w: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267A8D">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DD59F2" w:rsidRDefault="00914A6B">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0129074" w:history="1">
            <w:r w:rsidR="00DD59F2" w:rsidRPr="00D60379">
              <w:rPr>
                <w:rStyle w:val="Hyperlink"/>
                <w:noProof/>
              </w:rPr>
              <w:t>I. Introduction to product submission</w:t>
            </w:r>
            <w:r w:rsidR="00DD59F2">
              <w:rPr>
                <w:noProof/>
                <w:webHidden/>
              </w:rPr>
              <w:tab/>
            </w:r>
            <w:r w:rsidR="00DD59F2">
              <w:rPr>
                <w:noProof/>
                <w:webHidden/>
              </w:rPr>
              <w:fldChar w:fldCharType="begin"/>
            </w:r>
            <w:r w:rsidR="00DD59F2">
              <w:rPr>
                <w:noProof/>
                <w:webHidden/>
              </w:rPr>
              <w:instrText xml:space="preserve"> PAGEREF _Toc370129074 \h </w:instrText>
            </w:r>
            <w:r w:rsidR="00DD59F2">
              <w:rPr>
                <w:noProof/>
                <w:webHidden/>
              </w:rPr>
            </w:r>
            <w:r w:rsidR="00DD59F2">
              <w:rPr>
                <w:noProof/>
                <w:webHidden/>
              </w:rPr>
              <w:fldChar w:fldCharType="separate"/>
            </w:r>
            <w:r w:rsidR="00DD59F2">
              <w:rPr>
                <w:noProof/>
                <w:webHidden/>
              </w:rPr>
              <w:t>5</w:t>
            </w:r>
            <w:r w:rsidR="00DD59F2">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075" w:history="1">
            <w:r w:rsidRPr="00D60379">
              <w:rPr>
                <w:rStyle w:val="Hyperlink"/>
                <w:noProof/>
                <w:lang w:eastAsia="en-AU"/>
              </w:rPr>
              <w:t>Submission details</w:t>
            </w:r>
            <w:r>
              <w:rPr>
                <w:noProof/>
                <w:webHidden/>
              </w:rPr>
              <w:tab/>
            </w:r>
            <w:r>
              <w:rPr>
                <w:noProof/>
                <w:webHidden/>
              </w:rPr>
              <w:fldChar w:fldCharType="begin"/>
            </w:r>
            <w:r>
              <w:rPr>
                <w:noProof/>
                <w:webHidden/>
              </w:rPr>
              <w:instrText xml:space="preserve"> PAGEREF _Toc370129075 \h </w:instrText>
            </w:r>
            <w:r>
              <w:rPr>
                <w:noProof/>
                <w:webHidden/>
              </w:rPr>
            </w:r>
            <w:r>
              <w:rPr>
                <w:noProof/>
                <w:webHidden/>
              </w:rPr>
              <w:fldChar w:fldCharType="separate"/>
            </w:r>
            <w:r>
              <w:rPr>
                <w:noProof/>
                <w:webHidden/>
              </w:rPr>
              <w:t>5</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076" w:history="1">
            <w:r w:rsidRPr="00D60379">
              <w:rPr>
                <w:rStyle w:val="Hyperlink"/>
                <w:noProof/>
              </w:rPr>
              <w:t>Product background</w:t>
            </w:r>
            <w:r>
              <w:rPr>
                <w:noProof/>
                <w:webHidden/>
              </w:rPr>
              <w:tab/>
            </w:r>
            <w:r>
              <w:rPr>
                <w:noProof/>
                <w:webHidden/>
              </w:rPr>
              <w:fldChar w:fldCharType="begin"/>
            </w:r>
            <w:r>
              <w:rPr>
                <w:noProof/>
                <w:webHidden/>
              </w:rPr>
              <w:instrText xml:space="preserve"> PAGEREF _Toc370129076 \h </w:instrText>
            </w:r>
            <w:r>
              <w:rPr>
                <w:noProof/>
                <w:webHidden/>
              </w:rPr>
            </w:r>
            <w:r>
              <w:rPr>
                <w:noProof/>
                <w:webHidden/>
              </w:rPr>
              <w:fldChar w:fldCharType="separate"/>
            </w:r>
            <w:r>
              <w:rPr>
                <w:noProof/>
                <w:webHidden/>
              </w:rPr>
              <w:t>5</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077" w:history="1">
            <w:r w:rsidRPr="00D60379">
              <w:rPr>
                <w:rStyle w:val="Hyperlink"/>
                <w:noProof/>
              </w:rPr>
              <w:t>Regulatory status</w:t>
            </w:r>
            <w:r>
              <w:rPr>
                <w:noProof/>
                <w:webHidden/>
              </w:rPr>
              <w:tab/>
            </w:r>
            <w:r>
              <w:rPr>
                <w:noProof/>
                <w:webHidden/>
              </w:rPr>
              <w:fldChar w:fldCharType="begin"/>
            </w:r>
            <w:r>
              <w:rPr>
                <w:noProof/>
                <w:webHidden/>
              </w:rPr>
              <w:instrText xml:space="preserve"> PAGEREF _Toc370129077 \h </w:instrText>
            </w:r>
            <w:r>
              <w:rPr>
                <w:noProof/>
                <w:webHidden/>
              </w:rPr>
            </w:r>
            <w:r>
              <w:rPr>
                <w:noProof/>
                <w:webHidden/>
              </w:rPr>
              <w:fldChar w:fldCharType="separate"/>
            </w:r>
            <w:r>
              <w:rPr>
                <w:noProof/>
                <w:webHidden/>
              </w:rPr>
              <w:t>6</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078" w:history="1">
            <w:r w:rsidRPr="00D60379">
              <w:rPr>
                <w:rStyle w:val="Hyperlink"/>
                <w:noProof/>
              </w:rPr>
              <w:t>Product Information</w:t>
            </w:r>
            <w:r>
              <w:rPr>
                <w:noProof/>
                <w:webHidden/>
              </w:rPr>
              <w:tab/>
            </w:r>
            <w:r>
              <w:rPr>
                <w:noProof/>
                <w:webHidden/>
              </w:rPr>
              <w:fldChar w:fldCharType="begin"/>
            </w:r>
            <w:r>
              <w:rPr>
                <w:noProof/>
                <w:webHidden/>
              </w:rPr>
              <w:instrText xml:space="preserve"> PAGEREF _Toc370129078 \h </w:instrText>
            </w:r>
            <w:r>
              <w:rPr>
                <w:noProof/>
                <w:webHidden/>
              </w:rPr>
            </w:r>
            <w:r>
              <w:rPr>
                <w:noProof/>
                <w:webHidden/>
              </w:rPr>
              <w:fldChar w:fldCharType="separate"/>
            </w:r>
            <w:r>
              <w:rPr>
                <w:noProof/>
                <w:webHidden/>
              </w:rPr>
              <w:t>6</w:t>
            </w:r>
            <w:r>
              <w:rPr>
                <w:noProof/>
                <w:webHidden/>
              </w:rPr>
              <w:fldChar w:fldCharType="end"/>
            </w:r>
          </w:hyperlink>
        </w:p>
        <w:p w:rsidR="00DD59F2" w:rsidRDefault="00DD59F2">
          <w:pPr>
            <w:pStyle w:val="TOC2"/>
            <w:rPr>
              <w:rFonts w:asciiTheme="minorHAnsi" w:eastAsiaTheme="minorEastAsia" w:hAnsiTheme="minorHAnsi" w:cstheme="minorBidi"/>
              <w:b w:val="0"/>
              <w:noProof/>
              <w:sz w:val="22"/>
              <w:lang w:eastAsia="en-AU"/>
            </w:rPr>
          </w:pPr>
          <w:hyperlink w:anchor="_Toc370129079" w:history="1">
            <w:r w:rsidRPr="00D60379">
              <w:rPr>
                <w:rStyle w:val="Hyperlink"/>
                <w:noProof/>
              </w:rPr>
              <w:t>II. Quality findings</w:t>
            </w:r>
            <w:r>
              <w:rPr>
                <w:noProof/>
                <w:webHidden/>
              </w:rPr>
              <w:tab/>
            </w:r>
            <w:r>
              <w:rPr>
                <w:noProof/>
                <w:webHidden/>
              </w:rPr>
              <w:fldChar w:fldCharType="begin"/>
            </w:r>
            <w:r>
              <w:rPr>
                <w:noProof/>
                <w:webHidden/>
              </w:rPr>
              <w:instrText xml:space="preserve"> PAGEREF _Toc370129079 \h </w:instrText>
            </w:r>
            <w:r>
              <w:rPr>
                <w:noProof/>
                <w:webHidden/>
              </w:rPr>
            </w:r>
            <w:r>
              <w:rPr>
                <w:noProof/>
                <w:webHidden/>
              </w:rPr>
              <w:fldChar w:fldCharType="separate"/>
            </w:r>
            <w:r>
              <w:rPr>
                <w:noProof/>
                <w:webHidden/>
              </w:rPr>
              <w:t>6</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080" w:history="1">
            <w:r w:rsidRPr="00D60379">
              <w:rPr>
                <w:rStyle w:val="Hyperlink"/>
                <w:noProof/>
              </w:rPr>
              <w:t>Drug substance (active ingredient)</w:t>
            </w:r>
            <w:r>
              <w:rPr>
                <w:noProof/>
                <w:webHidden/>
              </w:rPr>
              <w:tab/>
            </w:r>
            <w:r>
              <w:rPr>
                <w:noProof/>
                <w:webHidden/>
              </w:rPr>
              <w:fldChar w:fldCharType="begin"/>
            </w:r>
            <w:r>
              <w:rPr>
                <w:noProof/>
                <w:webHidden/>
              </w:rPr>
              <w:instrText xml:space="preserve"> PAGEREF _Toc370129080 \h </w:instrText>
            </w:r>
            <w:r>
              <w:rPr>
                <w:noProof/>
                <w:webHidden/>
              </w:rPr>
            </w:r>
            <w:r>
              <w:rPr>
                <w:noProof/>
                <w:webHidden/>
              </w:rPr>
              <w:fldChar w:fldCharType="separate"/>
            </w:r>
            <w:r>
              <w:rPr>
                <w:noProof/>
                <w:webHidden/>
              </w:rPr>
              <w:t>6</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081" w:history="1">
            <w:r w:rsidRPr="00D60379">
              <w:rPr>
                <w:rStyle w:val="Hyperlink"/>
                <w:noProof/>
              </w:rPr>
              <w:t>Drug product</w:t>
            </w:r>
            <w:r>
              <w:rPr>
                <w:noProof/>
                <w:webHidden/>
              </w:rPr>
              <w:tab/>
            </w:r>
            <w:r>
              <w:rPr>
                <w:noProof/>
                <w:webHidden/>
              </w:rPr>
              <w:fldChar w:fldCharType="begin"/>
            </w:r>
            <w:r>
              <w:rPr>
                <w:noProof/>
                <w:webHidden/>
              </w:rPr>
              <w:instrText xml:space="preserve"> PAGEREF _Toc370129081 \h </w:instrText>
            </w:r>
            <w:r>
              <w:rPr>
                <w:noProof/>
                <w:webHidden/>
              </w:rPr>
            </w:r>
            <w:r>
              <w:rPr>
                <w:noProof/>
                <w:webHidden/>
              </w:rPr>
              <w:fldChar w:fldCharType="separate"/>
            </w:r>
            <w:r>
              <w:rPr>
                <w:noProof/>
                <w:webHidden/>
              </w:rPr>
              <w:t>6</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082" w:history="1">
            <w:r w:rsidRPr="00D60379">
              <w:rPr>
                <w:rStyle w:val="Hyperlink"/>
                <w:noProof/>
              </w:rPr>
              <w:t>Biopharmaceutics</w:t>
            </w:r>
            <w:r>
              <w:rPr>
                <w:noProof/>
                <w:webHidden/>
              </w:rPr>
              <w:tab/>
            </w:r>
            <w:r>
              <w:rPr>
                <w:noProof/>
                <w:webHidden/>
              </w:rPr>
              <w:fldChar w:fldCharType="begin"/>
            </w:r>
            <w:r>
              <w:rPr>
                <w:noProof/>
                <w:webHidden/>
              </w:rPr>
              <w:instrText xml:space="preserve"> PAGEREF _Toc370129082 \h </w:instrText>
            </w:r>
            <w:r>
              <w:rPr>
                <w:noProof/>
                <w:webHidden/>
              </w:rPr>
            </w:r>
            <w:r>
              <w:rPr>
                <w:noProof/>
                <w:webHidden/>
              </w:rPr>
              <w:fldChar w:fldCharType="separate"/>
            </w:r>
            <w:r>
              <w:rPr>
                <w:noProof/>
                <w:webHidden/>
              </w:rPr>
              <w:t>7</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083" w:history="1">
            <w:r w:rsidRPr="00D60379">
              <w:rPr>
                <w:rStyle w:val="Hyperlink"/>
                <w:noProof/>
              </w:rPr>
              <w:t>Advisory committee considerations</w:t>
            </w:r>
            <w:r>
              <w:rPr>
                <w:noProof/>
                <w:webHidden/>
              </w:rPr>
              <w:tab/>
            </w:r>
            <w:r>
              <w:rPr>
                <w:noProof/>
                <w:webHidden/>
              </w:rPr>
              <w:fldChar w:fldCharType="begin"/>
            </w:r>
            <w:r>
              <w:rPr>
                <w:noProof/>
                <w:webHidden/>
              </w:rPr>
              <w:instrText xml:space="preserve"> PAGEREF _Toc370129083 \h </w:instrText>
            </w:r>
            <w:r>
              <w:rPr>
                <w:noProof/>
                <w:webHidden/>
              </w:rPr>
            </w:r>
            <w:r>
              <w:rPr>
                <w:noProof/>
                <w:webHidden/>
              </w:rPr>
              <w:fldChar w:fldCharType="separate"/>
            </w:r>
            <w:r>
              <w:rPr>
                <w:noProof/>
                <w:webHidden/>
              </w:rPr>
              <w:t>8</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084" w:history="1">
            <w:r w:rsidRPr="00D60379">
              <w:rPr>
                <w:rStyle w:val="Hyperlink"/>
                <w:noProof/>
              </w:rPr>
              <w:t>Quality summary and conclusions</w:t>
            </w:r>
            <w:r>
              <w:rPr>
                <w:noProof/>
                <w:webHidden/>
              </w:rPr>
              <w:tab/>
            </w:r>
            <w:r>
              <w:rPr>
                <w:noProof/>
                <w:webHidden/>
              </w:rPr>
              <w:fldChar w:fldCharType="begin"/>
            </w:r>
            <w:r>
              <w:rPr>
                <w:noProof/>
                <w:webHidden/>
              </w:rPr>
              <w:instrText xml:space="preserve"> PAGEREF _Toc370129084 \h </w:instrText>
            </w:r>
            <w:r>
              <w:rPr>
                <w:noProof/>
                <w:webHidden/>
              </w:rPr>
            </w:r>
            <w:r>
              <w:rPr>
                <w:noProof/>
                <w:webHidden/>
              </w:rPr>
              <w:fldChar w:fldCharType="separate"/>
            </w:r>
            <w:r>
              <w:rPr>
                <w:noProof/>
                <w:webHidden/>
              </w:rPr>
              <w:t>9</w:t>
            </w:r>
            <w:r>
              <w:rPr>
                <w:noProof/>
                <w:webHidden/>
              </w:rPr>
              <w:fldChar w:fldCharType="end"/>
            </w:r>
          </w:hyperlink>
        </w:p>
        <w:p w:rsidR="00DD59F2" w:rsidRDefault="00DD59F2">
          <w:pPr>
            <w:pStyle w:val="TOC2"/>
            <w:rPr>
              <w:rFonts w:asciiTheme="minorHAnsi" w:eastAsiaTheme="minorEastAsia" w:hAnsiTheme="minorHAnsi" w:cstheme="minorBidi"/>
              <w:b w:val="0"/>
              <w:noProof/>
              <w:sz w:val="22"/>
              <w:lang w:eastAsia="en-AU"/>
            </w:rPr>
          </w:pPr>
          <w:hyperlink w:anchor="_Toc370129085" w:history="1">
            <w:r w:rsidRPr="00D60379">
              <w:rPr>
                <w:rStyle w:val="Hyperlink"/>
                <w:noProof/>
              </w:rPr>
              <w:t>III. Nonclinical findings</w:t>
            </w:r>
            <w:r>
              <w:rPr>
                <w:noProof/>
                <w:webHidden/>
              </w:rPr>
              <w:tab/>
            </w:r>
            <w:r>
              <w:rPr>
                <w:noProof/>
                <w:webHidden/>
              </w:rPr>
              <w:fldChar w:fldCharType="begin"/>
            </w:r>
            <w:r>
              <w:rPr>
                <w:noProof/>
                <w:webHidden/>
              </w:rPr>
              <w:instrText xml:space="preserve"> PAGEREF _Toc370129085 \h </w:instrText>
            </w:r>
            <w:r>
              <w:rPr>
                <w:noProof/>
                <w:webHidden/>
              </w:rPr>
            </w:r>
            <w:r>
              <w:rPr>
                <w:noProof/>
                <w:webHidden/>
              </w:rPr>
              <w:fldChar w:fldCharType="separate"/>
            </w:r>
            <w:r>
              <w:rPr>
                <w:noProof/>
                <w:webHidden/>
              </w:rPr>
              <w:t>9</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086" w:history="1">
            <w:r w:rsidRPr="00D60379">
              <w:rPr>
                <w:rStyle w:val="Hyperlink"/>
                <w:noProof/>
              </w:rPr>
              <w:t>Introduction</w:t>
            </w:r>
            <w:r>
              <w:rPr>
                <w:noProof/>
                <w:webHidden/>
              </w:rPr>
              <w:tab/>
            </w:r>
            <w:r>
              <w:rPr>
                <w:noProof/>
                <w:webHidden/>
              </w:rPr>
              <w:fldChar w:fldCharType="begin"/>
            </w:r>
            <w:r>
              <w:rPr>
                <w:noProof/>
                <w:webHidden/>
              </w:rPr>
              <w:instrText xml:space="preserve"> PAGEREF _Toc370129086 \h </w:instrText>
            </w:r>
            <w:r>
              <w:rPr>
                <w:noProof/>
                <w:webHidden/>
              </w:rPr>
            </w:r>
            <w:r>
              <w:rPr>
                <w:noProof/>
                <w:webHidden/>
              </w:rPr>
              <w:fldChar w:fldCharType="separate"/>
            </w:r>
            <w:r>
              <w:rPr>
                <w:noProof/>
                <w:webHidden/>
              </w:rPr>
              <w:t>9</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087" w:history="1">
            <w:r w:rsidRPr="00D60379">
              <w:rPr>
                <w:rStyle w:val="Hyperlink"/>
                <w:noProof/>
                <w:kern w:val="22"/>
              </w:rPr>
              <w:t>Secondary pharmacodynamics</w:t>
            </w:r>
            <w:r>
              <w:rPr>
                <w:noProof/>
                <w:webHidden/>
              </w:rPr>
              <w:tab/>
            </w:r>
            <w:r>
              <w:rPr>
                <w:noProof/>
                <w:webHidden/>
              </w:rPr>
              <w:fldChar w:fldCharType="begin"/>
            </w:r>
            <w:r>
              <w:rPr>
                <w:noProof/>
                <w:webHidden/>
              </w:rPr>
              <w:instrText xml:space="preserve"> PAGEREF _Toc370129087 \h </w:instrText>
            </w:r>
            <w:r>
              <w:rPr>
                <w:noProof/>
                <w:webHidden/>
              </w:rPr>
            </w:r>
            <w:r>
              <w:rPr>
                <w:noProof/>
                <w:webHidden/>
              </w:rPr>
              <w:fldChar w:fldCharType="separate"/>
            </w:r>
            <w:r>
              <w:rPr>
                <w:noProof/>
                <w:webHidden/>
              </w:rPr>
              <w:t>10</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088" w:history="1">
            <w:r w:rsidRPr="00D60379">
              <w:rPr>
                <w:rStyle w:val="Hyperlink"/>
                <w:noProof/>
                <w:kern w:val="22"/>
              </w:rPr>
              <w:t>Pharmacokinetics</w:t>
            </w:r>
            <w:r>
              <w:rPr>
                <w:noProof/>
                <w:webHidden/>
              </w:rPr>
              <w:tab/>
            </w:r>
            <w:r>
              <w:rPr>
                <w:noProof/>
                <w:webHidden/>
              </w:rPr>
              <w:fldChar w:fldCharType="begin"/>
            </w:r>
            <w:r>
              <w:rPr>
                <w:noProof/>
                <w:webHidden/>
              </w:rPr>
              <w:instrText xml:space="preserve"> PAGEREF _Toc370129088 \h </w:instrText>
            </w:r>
            <w:r>
              <w:rPr>
                <w:noProof/>
                <w:webHidden/>
              </w:rPr>
            </w:r>
            <w:r>
              <w:rPr>
                <w:noProof/>
                <w:webHidden/>
              </w:rPr>
              <w:fldChar w:fldCharType="separate"/>
            </w:r>
            <w:r>
              <w:rPr>
                <w:noProof/>
                <w:webHidden/>
              </w:rPr>
              <w:t>11</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089" w:history="1">
            <w:r w:rsidRPr="00D60379">
              <w:rPr>
                <w:rStyle w:val="Hyperlink"/>
                <w:noProof/>
                <w:kern w:val="22"/>
              </w:rPr>
              <w:t>Toxicity</w:t>
            </w:r>
            <w:r>
              <w:rPr>
                <w:noProof/>
                <w:webHidden/>
              </w:rPr>
              <w:tab/>
            </w:r>
            <w:r>
              <w:rPr>
                <w:noProof/>
                <w:webHidden/>
              </w:rPr>
              <w:fldChar w:fldCharType="begin"/>
            </w:r>
            <w:r>
              <w:rPr>
                <w:noProof/>
                <w:webHidden/>
              </w:rPr>
              <w:instrText xml:space="preserve"> PAGEREF _Toc370129089 \h </w:instrText>
            </w:r>
            <w:r>
              <w:rPr>
                <w:noProof/>
                <w:webHidden/>
              </w:rPr>
            </w:r>
            <w:r>
              <w:rPr>
                <w:noProof/>
                <w:webHidden/>
              </w:rPr>
              <w:fldChar w:fldCharType="separate"/>
            </w:r>
            <w:r>
              <w:rPr>
                <w:noProof/>
                <w:webHidden/>
              </w:rPr>
              <w:t>12</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090" w:history="1">
            <w:r w:rsidRPr="00D60379">
              <w:rPr>
                <w:rStyle w:val="Hyperlink"/>
                <w:noProof/>
                <w:kern w:val="22"/>
              </w:rPr>
              <w:t>Paediatric use</w:t>
            </w:r>
            <w:r>
              <w:rPr>
                <w:noProof/>
                <w:webHidden/>
              </w:rPr>
              <w:tab/>
            </w:r>
            <w:r>
              <w:rPr>
                <w:noProof/>
                <w:webHidden/>
              </w:rPr>
              <w:fldChar w:fldCharType="begin"/>
            </w:r>
            <w:r>
              <w:rPr>
                <w:noProof/>
                <w:webHidden/>
              </w:rPr>
              <w:instrText xml:space="preserve"> PAGEREF _Toc370129090 \h </w:instrText>
            </w:r>
            <w:r>
              <w:rPr>
                <w:noProof/>
                <w:webHidden/>
              </w:rPr>
            </w:r>
            <w:r>
              <w:rPr>
                <w:noProof/>
                <w:webHidden/>
              </w:rPr>
              <w:fldChar w:fldCharType="separate"/>
            </w:r>
            <w:r>
              <w:rPr>
                <w:noProof/>
                <w:webHidden/>
              </w:rPr>
              <w:t>16</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091" w:history="1">
            <w:r w:rsidRPr="00D60379">
              <w:rPr>
                <w:rStyle w:val="Hyperlink"/>
                <w:noProof/>
                <w:kern w:val="22"/>
              </w:rPr>
              <w:t>Comments on the safety specification of the risk management plan</w:t>
            </w:r>
            <w:r>
              <w:rPr>
                <w:noProof/>
                <w:webHidden/>
              </w:rPr>
              <w:tab/>
            </w:r>
            <w:r>
              <w:rPr>
                <w:noProof/>
                <w:webHidden/>
              </w:rPr>
              <w:fldChar w:fldCharType="begin"/>
            </w:r>
            <w:r>
              <w:rPr>
                <w:noProof/>
                <w:webHidden/>
              </w:rPr>
              <w:instrText xml:space="preserve"> PAGEREF _Toc370129091 \h </w:instrText>
            </w:r>
            <w:r>
              <w:rPr>
                <w:noProof/>
                <w:webHidden/>
              </w:rPr>
            </w:r>
            <w:r>
              <w:rPr>
                <w:noProof/>
                <w:webHidden/>
              </w:rPr>
              <w:fldChar w:fldCharType="separate"/>
            </w:r>
            <w:r>
              <w:rPr>
                <w:noProof/>
                <w:webHidden/>
              </w:rPr>
              <w:t>16</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092" w:history="1">
            <w:r w:rsidRPr="00D60379">
              <w:rPr>
                <w:rStyle w:val="Hyperlink"/>
                <w:noProof/>
              </w:rPr>
              <w:t>Nonclinical summary and conclusions</w:t>
            </w:r>
            <w:r>
              <w:rPr>
                <w:noProof/>
                <w:webHidden/>
              </w:rPr>
              <w:tab/>
            </w:r>
            <w:r>
              <w:rPr>
                <w:noProof/>
                <w:webHidden/>
              </w:rPr>
              <w:fldChar w:fldCharType="begin"/>
            </w:r>
            <w:r>
              <w:rPr>
                <w:noProof/>
                <w:webHidden/>
              </w:rPr>
              <w:instrText xml:space="preserve"> PAGEREF _Toc370129092 \h </w:instrText>
            </w:r>
            <w:r>
              <w:rPr>
                <w:noProof/>
                <w:webHidden/>
              </w:rPr>
            </w:r>
            <w:r>
              <w:rPr>
                <w:noProof/>
                <w:webHidden/>
              </w:rPr>
              <w:fldChar w:fldCharType="separate"/>
            </w:r>
            <w:r>
              <w:rPr>
                <w:noProof/>
                <w:webHidden/>
              </w:rPr>
              <w:t>16</w:t>
            </w:r>
            <w:r>
              <w:rPr>
                <w:noProof/>
                <w:webHidden/>
              </w:rPr>
              <w:fldChar w:fldCharType="end"/>
            </w:r>
          </w:hyperlink>
        </w:p>
        <w:p w:rsidR="00DD59F2" w:rsidRDefault="00DD59F2">
          <w:pPr>
            <w:pStyle w:val="TOC2"/>
            <w:rPr>
              <w:rFonts w:asciiTheme="minorHAnsi" w:eastAsiaTheme="minorEastAsia" w:hAnsiTheme="minorHAnsi" w:cstheme="minorBidi"/>
              <w:b w:val="0"/>
              <w:noProof/>
              <w:sz w:val="22"/>
              <w:lang w:eastAsia="en-AU"/>
            </w:rPr>
          </w:pPr>
          <w:hyperlink w:anchor="_Toc370129093" w:history="1">
            <w:r w:rsidRPr="00D60379">
              <w:rPr>
                <w:rStyle w:val="Hyperlink"/>
                <w:noProof/>
              </w:rPr>
              <w:t>IV. Clinical findings</w:t>
            </w:r>
            <w:r>
              <w:rPr>
                <w:noProof/>
                <w:webHidden/>
              </w:rPr>
              <w:tab/>
            </w:r>
            <w:r>
              <w:rPr>
                <w:noProof/>
                <w:webHidden/>
              </w:rPr>
              <w:fldChar w:fldCharType="begin"/>
            </w:r>
            <w:r>
              <w:rPr>
                <w:noProof/>
                <w:webHidden/>
              </w:rPr>
              <w:instrText xml:space="preserve"> PAGEREF _Toc370129093 \h </w:instrText>
            </w:r>
            <w:r>
              <w:rPr>
                <w:noProof/>
                <w:webHidden/>
              </w:rPr>
            </w:r>
            <w:r>
              <w:rPr>
                <w:noProof/>
                <w:webHidden/>
              </w:rPr>
              <w:fldChar w:fldCharType="separate"/>
            </w:r>
            <w:r>
              <w:rPr>
                <w:noProof/>
                <w:webHidden/>
              </w:rPr>
              <w:t>18</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094" w:history="1">
            <w:r w:rsidRPr="00D60379">
              <w:rPr>
                <w:rStyle w:val="Hyperlink"/>
                <w:noProof/>
              </w:rPr>
              <w:t>Introduction</w:t>
            </w:r>
            <w:r>
              <w:rPr>
                <w:noProof/>
                <w:webHidden/>
              </w:rPr>
              <w:tab/>
            </w:r>
            <w:r>
              <w:rPr>
                <w:noProof/>
                <w:webHidden/>
              </w:rPr>
              <w:fldChar w:fldCharType="begin"/>
            </w:r>
            <w:r>
              <w:rPr>
                <w:noProof/>
                <w:webHidden/>
              </w:rPr>
              <w:instrText xml:space="preserve"> PAGEREF _Toc370129094 \h </w:instrText>
            </w:r>
            <w:r>
              <w:rPr>
                <w:noProof/>
                <w:webHidden/>
              </w:rPr>
            </w:r>
            <w:r>
              <w:rPr>
                <w:noProof/>
                <w:webHidden/>
              </w:rPr>
              <w:fldChar w:fldCharType="separate"/>
            </w:r>
            <w:r>
              <w:rPr>
                <w:noProof/>
                <w:webHidden/>
              </w:rPr>
              <w:t>18</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095" w:history="1">
            <w:r w:rsidRPr="00D60379">
              <w:rPr>
                <w:rStyle w:val="Hyperlink"/>
                <w:noProof/>
              </w:rPr>
              <w:t>Clinical rationale</w:t>
            </w:r>
            <w:r>
              <w:rPr>
                <w:noProof/>
                <w:webHidden/>
              </w:rPr>
              <w:tab/>
            </w:r>
            <w:r>
              <w:rPr>
                <w:noProof/>
                <w:webHidden/>
              </w:rPr>
              <w:fldChar w:fldCharType="begin"/>
            </w:r>
            <w:r>
              <w:rPr>
                <w:noProof/>
                <w:webHidden/>
              </w:rPr>
              <w:instrText xml:space="preserve"> PAGEREF _Toc370129095 \h </w:instrText>
            </w:r>
            <w:r>
              <w:rPr>
                <w:noProof/>
                <w:webHidden/>
              </w:rPr>
            </w:r>
            <w:r>
              <w:rPr>
                <w:noProof/>
                <w:webHidden/>
              </w:rPr>
              <w:fldChar w:fldCharType="separate"/>
            </w:r>
            <w:r>
              <w:rPr>
                <w:noProof/>
                <w:webHidden/>
              </w:rPr>
              <w:t>18</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096" w:history="1">
            <w:r w:rsidRPr="00D60379">
              <w:rPr>
                <w:rStyle w:val="Hyperlink"/>
                <w:noProof/>
              </w:rPr>
              <w:t>Pharmacokinetics</w:t>
            </w:r>
            <w:r>
              <w:rPr>
                <w:noProof/>
                <w:webHidden/>
              </w:rPr>
              <w:tab/>
            </w:r>
            <w:r>
              <w:rPr>
                <w:noProof/>
                <w:webHidden/>
              </w:rPr>
              <w:fldChar w:fldCharType="begin"/>
            </w:r>
            <w:r>
              <w:rPr>
                <w:noProof/>
                <w:webHidden/>
              </w:rPr>
              <w:instrText xml:space="preserve"> PAGEREF _Toc370129096 \h </w:instrText>
            </w:r>
            <w:r>
              <w:rPr>
                <w:noProof/>
                <w:webHidden/>
              </w:rPr>
            </w:r>
            <w:r>
              <w:rPr>
                <w:noProof/>
                <w:webHidden/>
              </w:rPr>
              <w:fldChar w:fldCharType="separate"/>
            </w:r>
            <w:r>
              <w:rPr>
                <w:noProof/>
                <w:webHidden/>
              </w:rPr>
              <w:t>19</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097" w:history="1">
            <w:r w:rsidRPr="00D60379">
              <w:rPr>
                <w:rStyle w:val="Hyperlink"/>
                <w:noProof/>
              </w:rPr>
              <w:t>Pharmacodynamics</w:t>
            </w:r>
            <w:r>
              <w:rPr>
                <w:noProof/>
                <w:webHidden/>
              </w:rPr>
              <w:tab/>
            </w:r>
            <w:r>
              <w:rPr>
                <w:noProof/>
                <w:webHidden/>
              </w:rPr>
              <w:fldChar w:fldCharType="begin"/>
            </w:r>
            <w:r>
              <w:rPr>
                <w:noProof/>
                <w:webHidden/>
              </w:rPr>
              <w:instrText xml:space="preserve"> PAGEREF _Toc370129097 \h </w:instrText>
            </w:r>
            <w:r>
              <w:rPr>
                <w:noProof/>
                <w:webHidden/>
              </w:rPr>
            </w:r>
            <w:r>
              <w:rPr>
                <w:noProof/>
                <w:webHidden/>
              </w:rPr>
              <w:fldChar w:fldCharType="separate"/>
            </w:r>
            <w:r>
              <w:rPr>
                <w:noProof/>
                <w:webHidden/>
              </w:rPr>
              <w:t>23</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098" w:history="1">
            <w:r w:rsidRPr="00D60379">
              <w:rPr>
                <w:rStyle w:val="Hyperlink"/>
                <w:noProof/>
              </w:rPr>
              <w:t>Efficacy</w:t>
            </w:r>
            <w:r>
              <w:rPr>
                <w:noProof/>
                <w:webHidden/>
              </w:rPr>
              <w:tab/>
            </w:r>
            <w:r>
              <w:rPr>
                <w:noProof/>
                <w:webHidden/>
              </w:rPr>
              <w:fldChar w:fldCharType="begin"/>
            </w:r>
            <w:r>
              <w:rPr>
                <w:noProof/>
                <w:webHidden/>
              </w:rPr>
              <w:instrText xml:space="preserve"> PAGEREF _Toc370129098 \h </w:instrText>
            </w:r>
            <w:r>
              <w:rPr>
                <w:noProof/>
                <w:webHidden/>
              </w:rPr>
            </w:r>
            <w:r>
              <w:rPr>
                <w:noProof/>
                <w:webHidden/>
              </w:rPr>
              <w:fldChar w:fldCharType="separate"/>
            </w:r>
            <w:r>
              <w:rPr>
                <w:noProof/>
                <w:webHidden/>
              </w:rPr>
              <w:t>24</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099" w:history="1">
            <w:r w:rsidRPr="00D60379">
              <w:rPr>
                <w:rStyle w:val="Hyperlink"/>
                <w:noProof/>
              </w:rPr>
              <w:t>Safety</w:t>
            </w:r>
            <w:r>
              <w:rPr>
                <w:noProof/>
                <w:webHidden/>
              </w:rPr>
              <w:tab/>
            </w:r>
            <w:r>
              <w:rPr>
                <w:noProof/>
                <w:webHidden/>
              </w:rPr>
              <w:fldChar w:fldCharType="begin"/>
            </w:r>
            <w:r>
              <w:rPr>
                <w:noProof/>
                <w:webHidden/>
              </w:rPr>
              <w:instrText xml:space="preserve"> PAGEREF _Toc370129099 \h </w:instrText>
            </w:r>
            <w:r>
              <w:rPr>
                <w:noProof/>
                <w:webHidden/>
              </w:rPr>
            </w:r>
            <w:r>
              <w:rPr>
                <w:noProof/>
                <w:webHidden/>
              </w:rPr>
              <w:fldChar w:fldCharType="separate"/>
            </w:r>
            <w:r>
              <w:rPr>
                <w:noProof/>
                <w:webHidden/>
              </w:rPr>
              <w:t>35</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100" w:history="1">
            <w:r w:rsidRPr="00D60379">
              <w:rPr>
                <w:rStyle w:val="Hyperlink"/>
                <w:noProof/>
              </w:rPr>
              <w:t>First round benefit-risk assessment</w:t>
            </w:r>
            <w:r>
              <w:rPr>
                <w:noProof/>
                <w:webHidden/>
              </w:rPr>
              <w:tab/>
            </w:r>
            <w:r>
              <w:rPr>
                <w:noProof/>
                <w:webHidden/>
              </w:rPr>
              <w:fldChar w:fldCharType="begin"/>
            </w:r>
            <w:r>
              <w:rPr>
                <w:noProof/>
                <w:webHidden/>
              </w:rPr>
              <w:instrText xml:space="preserve"> PAGEREF _Toc370129100 \h </w:instrText>
            </w:r>
            <w:r>
              <w:rPr>
                <w:noProof/>
                <w:webHidden/>
              </w:rPr>
            </w:r>
            <w:r>
              <w:rPr>
                <w:noProof/>
                <w:webHidden/>
              </w:rPr>
              <w:fldChar w:fldCharType="separate"/>
            </w:r>
            <w:r>
              <w:rPr>
                <w:noProof/>
                <w:webHidden/>
              </w:rPr>
              <w:t>44</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101" w:history="1">
            <w:r w:rsidRPr="00D60379">
              <w:rPr>
                <w:rStyle w:val="Hyperlink"/>
                <w:noProof/>
              </w:rPr>
              <w:t>First round recommendation regarding authorisation</w:t>
            </w:r>
            <w:r>
              <w:rPr>
                <w:noProof/>
                <w:webHidden/>
              </w:rPr>
              <w:tab/>
            </w:r>
            <w:r>
              <w:rPr>
                <w:noProof/>
                <w:webHidden/>
              </w:rPr>
              <w:fldChar w:fldCharType="begin"/>
            </w:r>
            <w:r>
              <w:rPr>
                <w:noProof/>
                <w:webHidden/>
              </w:rPr>
              <w:instrText xml:space="preserve"> PAGEREF _Toc370129101 \h </w:instrText>
            </w:r>
            <w:r>
              <w:rPr>
                <w:noProof/>
                <w:webHidden/>
              </w:rPr>
            </w:r>
            <w:r>
              <w:rPr>
                <w:noProof/>
                <w:webHidden/>
              </w:rPr>
              <w:fldChar w:fldCharType="separate"/>
            </w:r>
            <w:r>
              <w:rPr>
                <w:noProof/>
                <w:webHidden/>
              </w:rPr>
              <w:t>45</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102" w:history="1">
            <w:r w:rsidRPr="00D60379">
              <w:rPr>
                <w:rStyle w:val="Hyperlink"/>
                <w:noProof/>
              </w:rPr>
              <w:t>List of questions</w:t>
            </w:r>
            <w:r>
              <w:rPr>
                <w:noProof/>
                <w:webHidden/>
              </w:rPr>
              <w:tab/>
            </w:r>
            <w:r>
              <w:rPr>
                <w:noProof/>
                <w:webHidden/>
              </w:rPr>
              <w:fldChar w:fldCharType="begin"/>
            </w:r>
            <w:r>
              <w:rPr>
                <w:noProof/>
                <w:webHidden/>
              </w:rPr>
              <w:instrText xml:space="preserve"> PAGEREF _Toc370129102 \h </w:instrText>
            </w:r>
            <w:r>
              <w:rPr>
                <w:noProof/>
                <w:webHidden/>
              </w:rPr>
            </w:r>
            <w:r>
              <w:rPr>
                <w:noProof/>
                <w:webHidden/>
              </w:rPr>
              <w:fldChar w:fldCharType="separate"/>
            </w:r>
            <w:r>
              <w:rPr>
                <w:noProof/>
                <w:webHidden/>
              </w:rPr>
              <w:t>45</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103" w:history="1">
            <w:r w:rsidRPr="00D60379">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_Toc370129103 \h </w:instrText>
            </w:r>
            <w:r>
              <w:rPr>
                <w:noProof/>
                <w:webHidden/>
              </w:rPr>
            </w:r>
            <w:r>
              <w:rPr>
                <w:noProof/>
                <w:webHidden/>
              </w:rPr>
              <w:fldChar w:fldCharType="separate"/>
            </w:r>
            <w:r>
              <w:rPr>
                <w:noProof/>
                <w:webHidden/>
              </w:rPr>
              <w:t>45</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104" w:history="1">
            <w:r w:rsidRPr="00D60379">
              <w:rPr>
                <w:rStyle w:val="Hyperlink"/>
                <w:noProof/>
              </w:rPr>
              <w:t>Second round benefit-risk assessment</w:t>
            </w:r>
            <w:r>
              <w:rPr>
                <w:noProof/>
                <w:webHidden/>
              </w:rPr>
              <w:tab/>
            </w:r>
            <w:r>
              <w:rPr>
                <w:noProof/>
                <w:webHidden/>
              </w:rPr>
              <w:fldChar w:fldCharType="begin"/>
            </w:r>
            <w:r>
              <w:rPr>
                <w:noProof/>
                <w:webHidden/>
              </w:rPr>
              <w:instrText xml:space="preserve"> PAGEREF _Toc370129104 \h </w:instrText>
            </w:r>
            <w:r>
              <w:rPr>
                <w:noProof/>
                <w:webHidden/>
              </w:rPr>
            </w:r>
            <w:r>
              <w:rPr>
                <w:noProof/>
                <w:webHidden/>
              </w:rPr>
              <w:fldChar w:fldCharType="separate"/>
            </w:r>
            <w:r>
              <w:rPr>
                <w:noProof/>
                <w:webHidden/>
              </w:rPr>
              <w:t>50</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105" w:history="1">
            <w:r w:rsidRPr="00D60379">
              <w:rPr>
                <w:rStyle w:val="Hyperlink"/>
                <w:noProof/>
              </w:rPr>
              <w:t>Second round recommendation regarding authorisation</w:t>
            </w:r>
            <w:r>
              <w:rPr>
                <w:noProof/>
                <w:webHidden/>
              </w:rPr>
              <w:tab/>
            </w:r>
            <w:r>
              <w:rPr>
                <w:noProof/>
                <w:webHidden/>
              </w:rPr>
              <w:fldChar w:fldCharType="begin"/>
            </w:r>
            <w:r>
              <w:rPr>
                <w:noProof/>
                <w:webHidden/>
              </w:rPr>
              <w:instrText xml:space="preserve"> PAGEREF _Toc370129105 \h </w:instrText>
            </w:r>
            <w:r>
              <w:rPr>
                <w:noProof/>
                <w:webHidden/>
              </w:rPr>
            </w:r>
            <w:r>
              <w:rPr>
                <w:noProof/>
                <w:webHidden/>
              </w:rPr>
              <w:fldChar w:fldCharType="separate"/>
            </w:r>
            <w:r>
              <w:rPr>
                <w:noProof/>
                <w:webHidden/>
              </w:rPr>
              <w:t>50</w:t>
            </w:r>
            <w:r>
              <w:rPr>
                <w:noProof/>
                <w:webHidden/>
              </w:rPr>
              <w:fldChar w:fldCharType="end"/>
            </w:r>
          </w:hyperlink>
        </w:p>
        <w:p w:rsidR="00DD59F2" w:rsidRDefault="00DD59F2">
          <w:pPr>
            <w:pStyle w:val="TOC2"/>
            <w:rPr>
              <w:rFonts w:asciiTheme="minorHAnsi" w:eastAsiaTheme="minorEastAsia" w:hAnsiTheme="minorHAnsi" w:cstheme="minorBidi"/>
              <w:b w:val="0"/>
              <w:noProof/>
              <w:sz w:val="22"/>
              <w:lang w:eastAsia="en-AU"/>
            </w:rPr>
          </w:pPr>
          <w:hyperlink w:anchor="_Toc370129106" w:history="1">
            <w:r w:rsidRPr="00D60379">
              <w:rPr>
                <w:rStyle w:val="Hyperlink"/>
                <w:noProof/>
              </w:rPr>
              <w:t>V. Pharmacovigilance findings</w:t>
            </w:r>
            <w:r>
              <w:rPr>
                <w:noProof/>
                <w:webHidden/>
              </w:rPr>
              <w:tab/>
            </w:r>
            <w:r>
              <w:rPr>
                <w:noProof/>
                <w:webHidden/>
              </w:rPr>
              <w:fldChar w:fldCharType="begin"/>
            </w:r>
            <w:r>
              <w:rPr>
                <w:noProof/>
                <w:webHidden/>
              </w:rPr>
              <w:instrText xml:space="preserve"> PAGEREF _Toc370129106 \h </w:instrText>
            </w:r>
            <w:r>
              <w:rPr>
                <w:noProof/>
                <w:webHidden/>
              </w:rPr>
            </w:r>
            <w:r>
              <w:rPr>
                <w:noProof/>
                <w:webHidden/>
              </w:rPr>
              <w:fldChar w:fldCharType="separate"/>
            </w:r>
            <w:r>
              <w:rPr>
                <w:noProof/>
                <w:webHidden/>
              </w:rPr>
              <w:t>51</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107" w:history="1">
            <w:r w:rsidRPr="00D60379">
              <w:rPr>
                <w:rStyle w:val="Hyperlink"/>
                <w:noProof/>
                <w:lang w:eastAsia="en-AU"/>
              </w:rPr>
              <w:t>Risk management plan</w:t>
            </w:r>
            <w:r>
              <w:rPr>
                <w:noProof/>
                <w:webHidden/>
              </w:rPr>
              <w:tab/>
            </w:r>
            <w:r>
              <w:rPr>
                <w:noProof/>
                <w:webHidden/>
              </w:rPr>
              <w:fldChar w:fldCharType="begin"/>
            </w:r>
            <w:r>
              <w:rPr>
                <w:noProof/>
                <w:webHidden/>
              </w:rPr>
              <w:instrText xml:space="preserve"> PAGEREF _Toc370129107 \h </w:instrText>
            </w:r>
            <w:r>
              <w:rPr>
                <w:noProof/>
                <w:webHidden/>
              </w:rPr>
            </w:r>
            <w:r>
              <w:rPr>
                <w:noProof/>
                <w:webHidden/>
              </w:rPr>
              <w:fldChar w:fldCharType="separate"/>
            </w:r>
            <w:r>
              <w:rPr>
                <w:noProof/>
                <w:webHidden/>
              </w:rPr>
              <w:t>51</w:t>
            </w:r>
            <w:r>
              <w:rPr>
                <w:noProof/>
                <w:webHidden/>
              </w:rPr>
              <w:fldChar w:fldCharType="end"/>
            </w:r>
          </w:hyperlink>
        </w:p>
        <w:p w:rsidR="00DD59F2" w:rsidRDefault="00DD59F2">
          <w:pPr>
            <w:pStyle w:val="TOC2"/>
            <w:rPr>
              <w:rFonts w:asciiTheme="minorHAnsi" w:eastAsiaTheme="minorEastAsia" w:hAnsiTheme="minorHAnsi" w:cstheme="minorBidi"/>
              <w:b w:val="0"/>
              <w:noProof/>
              <w:sz w:val="22"/>
              <w:lang w:eastAsia="en-AU"/>
            </w:rPr>
          </w:pPr>
          <w:hyperlink w:anchor="_Toc370129108" w:history="1">
            <w:r w:rsidRPr="00D60379">
              <w:rPr>
                <w:rStyle w:val="Hyperlink"/>
                <w:noProof/>
              </w:rPr>
              <w:t>VI. Overall conclusion and risk/benefit assessment</w:t>
            </w:r>
            <w:r>
              <w:rPr>
                <w:noProof/>
                <w:webHidden/>
              </w:rPr>
              <w:tab/>
            </w:r>
            <w:r>
              <w:rPr>
                <w:noProof/>
                <w:webHidden/>
              </w:rPr>
              <w:fldChar w:fldCharType="begin"/>
            </w:r>
            <w:r>
              <w:rPr>
                <w:noProof/>
                <w:webHidden/>
              </w:rPr>
              <w:instrText xml:space="preserve"> PAGEREF _Toc370129108 \h </w:instrText>
            </w:r>
            <w:r>
              <w:rPr>
                <w:noProof/>
                <w:webHidden/>
              </w:rPr>
            </w:r>
            <w:r>
              <w:rPr>
                <w:noProof/>
                <w:webHidden/>
              </w:rPr>
              <w:fldChar w:fldCharType="separate"/>
            </w:r>
            <w:r>
              <w:rPr>
                <w:noProof/>
                <w:webHidden/>
              </w:rPr>
              <w:t>56</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109" w:history="1">
            <w:r w:rsidRPr="00D60379">
              <w:rPr>
                <w:rStyle w:val="Hyperlink"/>
                <w:noProof/>
              </w:rPr>
              <w:t>Introduction</w:t>
            </w:r>
            <w:r>
              <w:rPr>
                <w:noProof/>
                <w:webHidden/>
              </w:rPr>
              <w:tab/>
            </w:r>
            <w:r>
              <w:rPr>
                <w:noProof/>
                <w:webHidden/>
              </w:rPr>
              <w:fldChar w:fldCharType="begin"/>
            </w:r>
            <w:r>
              <w:rPr>
                <w:noProof/>
                <w:webHidden/>
              </w:rPr>
              <w:instrText xml:space="preserve"> PAGEREF _Toc370129109 \h </w:instrText>
            </w:r>
            <w:r>
              <w:rPr>
                <w:noProof/>
                <w:webHidden/>
              </w:rPr>
            </w:r>
            <w:r>
              <w:rPr>
                <w:noProof/>
                <w:webHidden/>
              </w:rPr>
              <w:fldChar w:fldCharType="separate"/>
            </w:r>
            <w:r>
              <w:rPr>
                <w:noProof/>
                <w:webHidden/>
              </w:rPr>
              <w:t>56</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110" w:history="1">
            <w:r w:rsidRPr="00D60379">
              <w:rPr>
                <w:rStyle w:val="Hyperlink"/>
                <w:noProof/>
              </w:rPr>
              <w:t>Quality</w:t>
            </w:r>
            <w:r>
              <w:rPr>
                <w:noProof/>
                <w:webHidden/>
              </w:rPr>
              <w:tab/>
            </w:r>
            <w:r>
              <w:rPr>
                <w:noProof/>
                <w:webHidden/>
              </w:rPr>
              <w:fldChar w:fldCharType="begin"/>
            </w:r>
            <w:r>
              <w:rPr>
                <w:noProof/>
                <w:webHidden/>
              </w:rPr>
              <w:instrText xml:space="preserve"> PAGEREF _Toc370129110 \h </w:instrText>
            </w:r>
            <w:r>
              <w:rPr>
                <w:noProof/>
                <w:webHidden/>
              </w:rPr>
            </w:r>
            <w:r>
              <w:rPr>
                <w:noProof/>
                <w:webHidden/>
              </w:rPr>
              <w:fldChar w:fldCharType="separate"/>
            </w:r>
            <w:r>
              <w:rPr>
                <w:noProof/>
                <w:webHidden/>
              </w:rPr>
              <w:t>57</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111" w:history="1">
            <w:r w:rsidRPr="00D60379">
              <w:rPr>
                <w:rStyle w:val="Hyperlink"/>
                <w:noProof/>
              </w:rPr>
              <w:t>Nonclinical</w:t>
            </w:r>
            <w:r>
              <w:rPr>
                <w:noProof/>
                <w:webHidden/>
              </w:rPr>
              <w:tab/>
            </w:r>
            <w:r>
              <w:rPr>
                <w:noProof/>
                <w:webHidden/>
              </w:rPr>
              <w:fldChar w:fldCharType="begin"/>
            </w:r>
            <w:r>
              <w:rPr>
                <w:noProof/>
                <w:webHidden/>
              </w:rPr>
              <w:instrText xml:space="preserve"> PAGEREF _Toc370129111 \h </w:instrText>
            </w:r>
            <w:r>
              <w:rPr>
                <w:noProof/>
                <w:webHidden/>
              </w:rPr>
            </w:r>
            <w:r>
              <w:rPr>
                <w:noProof/>
                <w:webHidden/>
              </w:rPr>
              <w:fldChar w:fldCharType="separate"/>
            </w:r>
            <w:r>
              <w:rPr>
                <w:noProof/>
                <w:webHidden/>
              </w:rPr>
              <w:t>57</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112" w:history="1">
            <w:r w:rsidRPr="00D60379">
              <w:rPr>
                <w:rStyle w:val="Hyperlink"/>
                <w:noProof/>
              </w:rPr>
              <w:t>Clinical</w:t>
            </w:r>
            <w:r>
              <w:rPr>
                <w:noProof/>
                <w:webHidden/>
              </w:rPr>
              <w:tab/>
            </w:r>
            <w:r>
              <w:rPr>
                <w:noProof/>
                <w:webHidden/>
              </w:rPr>
              <w:fldChar w:fldCharType="begin"/>
            </w:r>
            <w:r>
              <w:rPr>
                <w:noProof/>
                <w:webHidden/>
              </w:rPr>
              <w:instrText xml:space="preserve"> PAGEREF _Toc370129112 \h </w:instrText>
            </w:r>
            <w:r>
              <w:rPr>
                <w:noProof/>
                <w:webHidden/>
              </w:rPr>
            </w:r>
            <w:r>
              <w:rPr>
                <w:noProof/>
                <w:webHidden/>
              </w:rPr>
              <w:fldChar w:fldCharType="separate"/>
            </w:r>
            <w:r>
              <w:rPr>
                <w:noProof/>
                <w:webHidden/>
              </w:rPr>
              <w:t>57</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113" w:history="1">
            <w:r w:rsidRPr="00D60379">
              <w:rPr>
                <w:rStyle w:val="Hyperlink"/>
                <w:noProof/>
                <w:lang w:eastAsia="en-AU"/>
              </w:rPr>
              <w:t>Risk management plan</w:t>
            </w:r>
            <w:r>
              <w:rPr>
                <w:noProof/>
                <w:webHidden/>
              </w:rPr>
              <w:tab/>
            </w:r>
            <w:r>
              <w:rPr>
                <w:noProof/>
                <w:webHidden/>
              </w:rPr>
              <w:fldChar w:fldCharType="begin"/>
            </w:r>
            <w:r>
              <w:rPr>
                <w:noProof/>
                <w:webHidden/>
              </w:rPr>
              <w:instrText xml:space="preserve"> PAGEREF _Toc370129113 \h </w:instrText>
            </w:r>
            <w:r>
              <w:rPr>
                <w:noProof/>
                <w:webHidden/>
              </w:rPr>
            </w:r>
            <w:r>
              <w:rPr>
                <w:noProof/>
                <w:webHidden/>
              </w:rPr>
              <w:fldChar w:fldCharType="separate"/>
            </w:r>
            <w:r>
              <w:rPr>
                <w:noProof/>
                <w:webHidden/>
              </w:rPr>
              <w:t>67</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114" w:history="1">
            <w:r w:rsidRPr="00D60379">
              <w:rPr>
                <w:rStyle w:val="Hyperlink"/>
                <w:noProof/>
              </w:rPr>
              <w:t>Risk-benefit analysis</w:t>
            </w:r>
            <w:r>
              <w:rPr>
                <w:noProof/>
                <w:webHidden/>
              </w:rPr>
              <w:tab/>
            </w:r>
            <w:r>
              <w:rPr>
                <w:noProof/>
                <w:webHidden/>
              </w:rPr>
              <w:fldChar w:fldCharType="begin"/>
            </w:r>
            <w:r>
              <w:rPr>
                <w:noProof/>
                <w:webHidden/>
              </w:rPr>
              <w:instrText xml:space="preserve"> PAGEREF _Toc370129114 \h </w:instrText>
            </w:r>
            <w:r>
              <w:rPr>
                <w:noProof/>
                <w:webHidden/>
              </w:rPr>
            </w:r>
            <w:r>
              <w:rPr>
                <w:noProof/>
                <w:webHidden/>
              </w:rPr>
              <w:fldChar w:fldCharType="separate"/>
            </w:r>
            <w:r>
              <w:rPr>
                <w:noProof/>
                <w:webHidden/>
              </w:rPr>
              <w:t>67</w:t>
            </w:r>
            <w:r>
              <w:rPr>
                <w:noProof/>
                <w:webHidden/>
              </w:rPr>
              <w:fldChar w:fldCharType="end"/>
            </w:r>
          </w:hyperlink>
        </w:p>
        <w:p w:rsidR="00DD59F2" w:rsidRDefault="00DD59F2">
          <w:pPr>
            <w:pStyle w:val="TOC3"/>
            <w:rPr>
              <w:rFonts w:asciiTheme="minorHAnsi" w:eastAsiaTheme="minorEastAsia" w:hAnsiTheme="minorHAnsi" w:cstheme="minorBidi"/>
              <w:noProof/>
              <w:lang w:eastAsia="en-AU"/>
            </w:rPr>
          </w:pPr>
          <w:hyperlink w:anchor="_Toc370129115" w:history="1">
            <w:r w:rsidRPr="00D60379">
              <w:rPr>
                <w:rStyle w:val="Hyperlink"/>
                <w:noProof/>
              </w:rPr>
              <w:t>Outcome</w:t>
            </w:r>
            <w:r>
              <w:rPr>
                <w:noProof/>
                <w:webHidden/>
              </w:rPr>
              <w:tab/>
            </w:r>
            <w:r>
              <w:rPr>
                <w:noProof/>
                <w:webHidden/>
              </w:rPr>
              <w:fldChar w:fldCharType="begin"/>
            </w:r>
            <w:r>
              <w:rPr>
                <w:noProof/>
                <w:webHidden/>
              </w:rPr>
              <w:instrText xml:space="preserve"> PAGEREF _Toc370129115 \h </w:instrText>
            </w:r>
            <w:r>
              <w:rPr>
                <w:noProof/>
                <w:webHidden/>
              </w:rPr>
            </w:r>
            <w:r>
              <w:rPr>
                <w:noProof/>
                <w:webHidden/>
              </w:rPr>
              <w:fldChar w:fldCharType="separate"/>
            </w:r>
            <w:r>
              <w:rPr>
                <w:noProof/>
                <w:webHidden/>
              </w:rPr>
              <w:t>77</w:t>
            </w:r>
            <w:r>
              <w:rPr>
                <w:noProof/>
                <w:webHidden/>
              </w:rPr>
              <w:fldChar w:fldCharType="end"/>
            </w:r>
          </w:hyperlink>
        </w:p>
        <w:p w:rsidR="00DD59F2" w:rsidRDefault="00DD59F2">
          <w:pPr>
            <w:pStyle w:val="TOC2"/>
            <w:tabs>
              <w:tab w:val="left" w:pos="2448"/>
            </w:tabs>
            <w:rPr>
              <w:rFonts w:asciiTheme="minorHAnsi" w:eastAsiaTheme="minorEastAsia" w:hAnsiTheme="minorHAnsi" w:cstheme="minorBidi"/>
              <w:b w:val="0"/>
              <w:noProof/>
              <w:sz w:val="22"/>
              <w:lang w:eastAsia="en-AU"/>
            </w:rPr>
          </w:pPr>
          <w:hyperlink w:anchor="_Toc370129116" w:history="1">
            <w:r w:rsidRPr="00D60379">
              <w:rPr>
                <w:rStyle w:val="Hyperlink"/>
                <w:noProof/>
              </w:rPr>
              <w:t>Attachment 1.</w:t>
            </w:r>
            <w:r>
              <w:rPr>
                <w:rFonts w:asciiTheme="minorHAnsi" w:eastAsiaTheme="minorEastAsia" w:hAnsiTheme="minorHAnsi" w:cstheme="minorBidi"/>
                <w:b w:val="0"/>
                <w:noProof/>
                <w:sz w:val="22"/>
                <w:lang w:eastAsia="en-AU"/>
              </w:rPr>
              <w:tab/>
            </w:r>
            <w:r w:rsidRPr="00D60379">
              <w:rPr>
                <w:rStyle w:val="Hyperlink"/>
                <w:noProof/>
              </w:rPr>
              <w:t>Product Information</w:t>
            </w:r>
            <w:r>
              <w:rPr>
                <w:noProof/>
                <w:webHidden/>
              </w:rPr>
              <w:tab/>
            </w:r>
            <w:r>
              <w:rPr>
                <w:noProof/>
                <w:webHidden/>
              </w:rPr>
              <w:fldChar w:fldCharType="begin"/>
            </w:r>
            <w:r>
              <w:rPr>
                <w:noProof/>
                <w:webHidden/>
              </w:rPr>
              <w:instrText xml:space="preserve"> PAGEREF _Toc370129116 \h </w:instrText>
            </w:r>
            <w:r>
              <w:rPr>
                <w:noProof/>
                <w:webHidden/>
              </w:rPr>
            </w:r>
            <w:r>
              <w:rPr>
                <w:noProof/>
                <w:webHidden/>
              </w:rPr>
              <w:fldChar w:fldCharType="separate"/>
            </w:r>
            <w:r>
              <w:rPr>
                <w:noProof/>
                <w:webHidden/>
              </w:rPr>
              <w:t>77</w:t>
            </w:r>
            <w:r>
              <w:rPr>
                <w:noProof/>
                <w:webHidden/>
              </w:rPr>
              <w:fldChar w:fldCharType="end"/>
            </w:r>
          </w:hyperlink>
        </w:p>
        <w:p w:rsidR="003A7F6C" w:rsidRPr="00B811C6" w:rsidRDefault="00914A6B" w:rsidP="00B811C6">
          <w:pPr>
            <w:pStyle w:val="TOC2"/>
          </w:pPr>
          <w:r>
            <w:fldChar w:fldCharType="end"/>
          </w:r>
        </w:p>
      </w:sdtContent>
    </w:sdt>
    <w:bookmarkStart w:id="2" w:name="_Toc314842482" w:displacedByCustomXml="prev"/>
    <w:p w:rsidR="002C6766" w:rsidRDefault="002C6766">
      <w:pPr>
        <w:spacing w:before="0" w:after="200" w:line="0" w:lineRule="auto"/>
        <w:rPr>
          <w:rFonts w:ascii="Arial" w:eastAsia="Times New Roman" w:hAnsi="Arial"/>
          <w:b/>
          <w:bCs/>
          <w:sz w:val="32"/>
          <w:szCs w:val="26"/>
        </w:rPr>
      </w:pPr>
      <w:r>
        <w:br w:type="page"/>
      </w:r>
    </w:p>
    <w:p w:rsidR="008E7846" w:rsidRDefault="00F53C07" w:rsidP="00F828C8">
      <w:pPr>
        <w:pStyle w:val="Heading2"/>
      </w:pPr>
      <w:bookmarkStart w:id="3" w:name="_Toc370129074"/>
      <w:r>
        <w:t>I.</w:t>
      </w:r>
      <w:r w:rsidR="008E7846">
        <w:t xml:space="preserve"> Introduction to product submission</w:t>
      </w:r>
      <w:bookmarkEnd w:id="2"/>
      <w:bookmarkEnd w:id="0"/>
      <w:bookmarkEnd w:id="3"/>
    </w:p>
    <w:p w:rsidR="008E7846" w:rsidRDefault="008E7846" w:rsidP="008E7846">
      <w:pPr>
        <w:pStyle w:val="Heading3"/>
        <w:rPr>
          <w:lang w:eastAsia="en-AU"/>
        </w:rPr>
      </w:pPr>
      <w:bookmarkStart w:id="4" w:name="_Toc247691502"/>
      <w:bookmarkStart w:id="5" w:name="_Toc314842483"/>
      <w:bookmarkStart w:id="6" w:name="_Toc370129075"/>
      <w:r>
        <w:rPr>
          <w:lang w:eastAsia="en-AU"/>
        </w:rPr>
        <w:t>Submission details</w:t>
      </w:r>
      <w:bookmarkEnd w:id="4"/>
      <w:bookmarkEnd w:id="5"/>
      <w:bookmarkEnd w:id="6"/>
    </w:p>
    <w:tbl>
      <w:tblPr>
        <w:tblW w:w="9497" w:type="dxa"/>
        <w:tblInd w:w="108" w:type="dxa"/>
        <w:tblLook w:val="01E0"/>
      </w:tblPr>
      <w:tblGrid>
        <w:gridCol w:w="2907"/>
        <w:gridCol w:w="6590"/>
      </w:tblGrid>
      <w:tr w:rsidR="008E7846" w:rsidRPr="003D1E62" w:rsidTr="0089635C">
        <w:trPr>
          <w:trHeight w:hRule="exact" w:val="454"/>
        </w:trPr>
        <w:tc>
          <w:tcPr>
            <w:tcW w:w="2907" w:type="dxa"/>
          </w:tcPr>
          <w:p w:rsidR="008E7846" w:rsidRPr="003D1E62" w:rsidRDefault="008E7846" w:rsidP="003D1E62">
            <w:pPr>
              <w:rPr>
                <w:i/>
              </w:rPr>
            </w:pPr>
            <w:r w:rsidRPr="003D1E62">
              <w:rPr>
                <w:i/>
              </w:rPr>
              <w:t>Type of Submission</w:t>
            </w:r>
            <w:r w:rsidR="002C6766">
              <w:rPr>
                <w:i/>
              </w:rPr>
              <w:t>:</w:t>
            </w:r>
          </w:p>
        </w:tc>
        <w:tc>
          <w:tcPr>
            <w:tcW w:w="6590" w:type="dxa"/>
          </w:tcPr>
          <w:p w:rsidR="008E7846" w:rsidRPr="003D1E62" w:rsidRDefault="008E7846" w:rsidP="002C6766">
            <w:r w:rsidRPr="003D1E62">
              <w:t xml:space="preserve">New Chemical Entity </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2C6766">
            <w:r w:rsidRPr="003D1E62">
              <w:t xml:space="preserve">Approved </w:t>
            </w:r>
          </w:p>
        </w:tc>
      </w:tr>
      <w:tr w:rsidR="008E7846" w:rsidRPr="003D1E62" w:rsidTr="0089635C">
        <w:trPr>
          <w:trHeight w:hRule="exact" w:val="454"/>
        </w:trPr>
        <w:tc>
          <w:tcPr>
            <w:tcW w:w="2907" w:type="dxa"/>
          </w:tcPr>
          <w:p w:rsidR="008E7846" w:rsidRPr="003D1E62" w:rsidRDefault="008E7846" w:rsidP="003D1E62">
            <w:pPr>
              <w:rPr>
                <w:i/>
              </w:rPr>
            </w:pPr>
            <w:r w:rsidRPr="003D1E62">
              <w:rPr>
                <w:i/>
              </w:rPr>
              <w:t>Date of Decision:</w:t>
            </w:r>
          </w:p>
        </w:tc>
        <w:tc>
          <w:tcPr>
            <w:tcW w:w="6590" w:type="dxa"/>
          </w:tcPr>
          <w:p w:rsidR="008E7846" w:rsidRPr="003D1E62" w:rsidRDefault="00597004" w:rsidP="003D1E62">
            <w:r>
              <w:t>6 May 2013</w:t>
            </w:r>
          </w:p>
        </w:tc>
      </w:tr>
    </w:tbl>
    <w:p w:rsidR="008E7846" w:rsidRDefault="008E7846" w:rsidP="008E7846"/>
    <w:tbl>
      <w:tblPr>
        <w:tblW w:w="9214" w:type="dxa"/>
        <w:tblInd w:w="108" w:type="dxa"/>
        <w:tblLook w:val="01E0"/>
      </w:tblPr>
      <w:tblGrid>
        <w:gridCol w:w="2907"/>
        <w:gridCol w:w="6307"/>
      </w:tblGrid>
      <w:tr w:rsidR="008E7846" w:rsidRPr="00487162" w:rsidTr="00BF1190">
        <w:tc>
          <w:tcPr>
            <w:tcW w:w="2907" w:type="dxa"/>
          </w:tcPr>
          <w:p w:rsidR="008E7846" w:rsidRPr="00487162" w:rsidRDefault="002C6766" w:rsidP="00E45619">
            <w:pPr>
              <w:rPr>
                <w:i/>
              </w:rPr>
            </w:pPr>
            <w:r>
              <w:rPr>
                <w:i/>
              </w:rPr>
              <w:t>Active ingredient</w:t>
            </w:r>
            <w:r w:rsidR="008E7846" w:rsidRPr="00487162">
              <w:rPr>
                <w:i/>
              </w:rPr>
              <w:t xml:space="preserve">: </w:t>
            </w:r>
          </w:p>
        </w:tc>
        <w:tc>
          <w:tcPr>
            <w:tcW w:w="6307" w:type="dxa"/>
          </w:tcPr>
          <w:p w:rsidR="008E7846" w:rsidRPr="00487162" w:rsidRDefault="002C6766" w:rsidP="002C6766">
            <w:r>
              <w:t>V</w:t>
            </w:r>
            <w:r w:rsidRPr="002C6766">
              <w:t>ismodegib</w:t>
            </w:r>
          </w:p>
        </w:tc>
      </w:tr>
      <w:tr w:rsidR="008E7846" w:rsidRPr="00487162" w:rsidTr="00BF1190">
        <w:tc>
          <w:tcPr>
            <w:tcW w:w="2907" w:type="dxa"/>
          </w:tcPr>
          <w:p w:rsidR="008E7846" w:rsidRPr="00487162" w:rsidRDefault="002C6766" w:rsidP="00E45619">
            <w:pPr>
              <w:rPr>
                <w:i/>
              </w:rPr>
            </w:pPr>
            <w:r>
              <w:rPr>
                <w:i/>
              </w:rPr>
              <w:t>Product Name</w:t>
            </w:r>
            <w:r w:rsidR="008E7846" w:rsidRPr="00487162">
              <w:rPr>
                <w:i/>
              </w:rPr>
              <w:t xml:space="preserve">: </w:t>
            </w:r>
          </w:p>
        </w:tc>
        <w:tc>
          <w:tcPr>
            <w:tcW w:w="6307" w:type="dxa"/>
          </w:tcPr>
          <w:p w:rsidR="008E7846" w:rsidRPr="00487162" w:rsidRDefault="002C6766" w:rsidP="00E45619">
            <w:r>
              <w:t>Erivedge</w:t>
            </w:r>
          </w:p>
        </w:tc>
      </w:tr>
      <w:tr w:rsidR="008E7846" w:rsidRPr="00487162" w:rsidTr="00BF1190">
        <w:tc>
          <w:tcPr>
            <w:tcW w:w="2907" w:type="dxa"/>
          </w:tcPr>
          <w:p w:rsidR="008E7846" w:rsidRPr="00487162" w:rsidRDefault="008E7846" w:rsidP="00E45619">
            <w:pPr>
              <w:rPr>
                <w:i/>
              </w:rPr>
            </w:pPr>
            <w:r w:rsidRPr="00487162">
              <w:rPr>
                <w:i/>
              </w:rPr>
              <w:t>Sponsor’s Name and Address:</w:t>
            </w:r>
          </w:p>
        </w:tc>
        <w:tc>
          <w:tcPr>
            <w:tcW w:w="6307" w:type="dxa"/>
          </w:tcPr>
          <w:p w:rsidR="008E7846" w:rsidRPr="00487162" w:rsidRDefault="002C6766" w:rsidP="002C6766">
            <w:r>
              <w:t>Roche Products Pty Limited</w:t>
            </w:r>
            <w:r>
              <w:br/>
              <w:t>4–10 Inman Road</w:t>
            </w:r>
            <w:r>
              <w:br/>
              <w:t>Dee Why</w:t>
            </w:r>
            <w:r w:rsidR="003C5A8B">
              <w:t xml:space="preserve"> </w:t>
            </w:r>
            <w:r>
              <w:t>NSW</w:t>
            </w:r>
            <w:r w:rsidR="003C5A8B">
              <w:t xml:space="preserve"> </w:t>
            </w:r>
            <w:r>
              <w:t>2099</w:t>
            </w:r>
          </w:p>
        </w:tc>
      </w:tr>
      <w:tr w:rsidR="008E7846" w:rsidRPr="00487162" w:rsidTr="00BF1190">
        <w:tc>
          <w:tcPr>
            <w:tcW w:w="2907" w:type="dxa"/>
          </w:tcPr>
          <w:p w:rsidR="008E7846" w:rsidRPr="00487162" w:rsidRDefault="002C6766" w:rsidP="00E45619">
            <w:pPr>
              <w:rPr>
                <w:i/>
              </w:rPr>
            </w:pPr>
            <w:r>
              <w:rPr>
                <w:i/>
              </w:rPr>
              <w:t>Dose form</w:t>
            </w:r>
            <w:r w:rsidR="008E7846" w:rsidRPr="00487162">
              <w:rPr>
                <w:i/>
              </w:rPr>
              <w:t xml:space="preserve">: </w:t>
            </w:r>
          </w:p>
        </w:tc>
        <w:tc>
          <w:tcPr>
            <w:tcW w:w="6307" w:type="dxa"/>
          </w:tcPr>
          <w:p w:rsidR="008E7846" w:rsidRPr="00487162" w:rsidRDefault="002C6766" w:rsidP="00E45619">
            <w:r>
              <w:t>Hard capsule</w:t>
            </w:r>
          </w:p>
        </w:tc>
      </w:tr>
      <w:tr w:rsidR="008E7846" w:rsidRPr="00487162" w:rsidTr="00BF1190">
        <w:tc>
          <w:tcPr>
            <w:tcW w:w="2907" w:type="dxa"/>
          </w:tcPr>
          <w:p w:rsidR="008E7846" w:rsidRPr="00487162" w:rsidRDefault="008E7846" w:rsidP="002C6766">
            <w:pPr>
              <w:rPr>
                <w:i/>
              </w:rPr>
            </w:pPr>
            <w:r w:rsidRPr="00487162">
              <w:rPr>
                <w:i/>
              </w:rPr>
              <w:t xml:space="preserve">Strength: </w:t>
            </w:r>
          </w:p>
        </w:tc>
        <w:tc>
          <w:tcPr>
            <w:tcW w:w="6307" w:type="dxa"/>
          </w:tcPr>
          <w:p w:rsidR="008E7846" w:rsidRPr="00487162" w:rsidRDefault="002C6766" w:rsidP="00E45619">
            <w:r>
              <w:t>150 mg</w:t>
            </w:r>
          </w:p>
        </w:tc>
      </w:tr>
      <w:tr w:rsidR="008E7846" w:rsidRPr="00487162" w:rsidTr="00BF1190">
        <w:tc>
          <w:tcPr>
            <w:tcW w:w="2907" w:type="dxa"/>
          </w:tcPr>
          <w:p w:rsidR="008E7846" w:rsidRPr="00487162" w:rsidRDefault="008E7846" w:rsidP="002C6766">
            <w:pPr>
              <w:rPr>
                <w:i/>
              </w:rPr>
            </w:pPr>
            <w:r w:rsidRPr="00487162">
              <w:rPr>
                <w:i/>
              </w:rPr>
              <w:t>Container:</w:t>
            </w:r>
          </w:p>
        </w:tc>
        <w:tc>
          <w:tcPr>
            <w:tcW w:w="6307" w:type="dxa"/>
          </w:tcPr>
          <w:p w:rsidR="008E7846" w:rsidRPr="00487162" w:rsidRDefault="002C6766" w:rsidP="00E45619">
            <w:r>
              <w:t>Blister</w:t>
            </w:r>
          </w:p>
        </w:tc>
      </w:tr>
      <w:tr w:rsidR="008E7846" w:rsidRPr="00487162" w:rsidTr="00BF1190">
        <w:tc>
          <w:tcPr>
            <w:tcW w:w="2907" w:type="dxa"/>
          </w:tcPr>
          <w:p w:rsidR="008E7846" w:rsidRPr="00487162" w:rsidRDefault="007D229B" w:rsidP="002C6766">
            <w:pPr>
              <w:rPr>
                <w:i/>
              </w:rPr>
            </w:pPr>
            <w:r>
              <w:rPr>
                <w:i/>
              </w:rPr>
              <w:t>Pack size</w:t>
            </w:r>
            <w:r w:rsidR="008E7846" w:rsidRPr="00487162">
              <w:rPr>
                <w:i/>
              </w:rPr>
              <w:t>:</w:t>
            </w:r>
          </w:p>
        </w:tc>
        <w:tc>
          <w:tcPr>
            <w:tcW w:w="6307" w:type="dxa"/>
          </w:tcPr>
          <w:p w:rsidR="008E7846" w:rsidRPr="00487162" w:rsidRDefault="002C6766" w:rsidP="00E45619">
            <w:r>
              <w:t>28</w:t>
            </w:r>
          </w:p>
        </w:tc>
      </w:tr>
      <w:tr w:rsidR="008E7846" w:rsidRPr="00487162" w:rsidTr="00BF1190">
        <w:tc>
          <w:tcPr>
            <w:tcW w:w="2907" w:type="dxa"/>
          </w:tcPr>
          <w:p w:rsidR="008E7846" w:rsidRPr="00487162" w:rsidRDefault="008E7846" w:rsidP="00E45619">
            <w:pPr>
              <w:rPr>
                <w:i/>
              </w:rPr>
            </w:pPr>
            <w:r w:rsidRPr="00487162">
              <w:rPr>
                <w:i/>
              </w:rPr>
              <w:t>Approved Therapeutic use:</w:t>
            </w:r>
          </w:p>
        </w:tc>
        <w:tc>
          <w:tcPr>
            <w:tcW w:w="6307" w:type="dxa"/>
          </w:tcPr>
          <w:p w:rsidR="008E7846" w:rsidRPr="00487162" w:rsidRDefault="002C6766" w:rsidP="002C6766">
            <w:pPr>
              <w:rPr>
                <w:rFonts w:eastAsia="MS Mincho"/>
                <w:lang w:eastAsia="ja-JP"/>
              </w:rPr>
            </w:pPr>
            <w:r w:rsidRPr="002C6766">
              <w:t>Erivedge is indicated for the treatment of adult patients with metastatic basal cell carcinoma, or with locally advanced basal cell carcinoma where surgery and/or radiation therapy are not appropriate.</w:t>
            </w:r>
          </w:p>
        </w:tc>
      </w:tr>
      <w:tr w:rsidR="008E7846" w:rsidRPr="00487162" w:rsidTr="00BF1190">
        <w:tc>
          <w:tcPr>
            <w:tcW w:w="2907" w:type="dxa"/>
          </w:tcPr>
          <w:p w:rsidR="008E7846" w:rsidRPr="00487162" w:rsidRDefault="002C6766" w:rsidP="00E45619">
            <w:pPr>
              <w:rPr>
                <w:i/>
              </w:rPr>
            </w:pPr>
            <w:r>
              <w:rPr>
                <w:i/>
              </w:rPr>
              <w:t>Route</w:t>
            </w:r>
            <w:r w:rsidR="008E7846" w:rsidRPr="00487162">
              <w:rPr>
                <w:i/>
              </w:rPr>
              <w:t xml:space="preserve"> of administration:</w:t>
            </w:r>
          </w:p>
        </w:tc>
        <w:tc>
          <w:tcPr>
            <w:tcW w:w="6307" w:type="dxa"/>
          </w:tcPr>
          <w:p w:rsidR="008E7846" w:rsidRPr="00487162" w:rsidRDefault="002C6766" w:rsidP="00E45619">
            <w:r>
              <w:t>Oral</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597004" w:rsidP="00E45619">
            <w:r>
              <w:t>150 mg daily</w:t>
            </w:r>
          </w:p>
        </w:tc>
      </w:tr>
      <w:tr w:rsidR="008E7846" w:rsidRPr="00487162" w:rsidTr="00BF1190">
        <w:tc>
          <w:tcPr>
            <w:tcW w:w="2907" w:type="dxa"/>
          </w:tcPr>
          <w:p w:rsidR="008E7846" w:rsidRPr="00487162" w:rsidRDefault="008E7846" w:rsidP="002C6766">
            <w:pPr>
              <w:rPr>
                <w:i/>
              </w:rPr>
            </w:pPr>
            <w:r w:rsidRPr="00487162">
              <w:rPr>
                <w:i/>
              </w:rPr>
              <w:t>ARTG Number</w:t>
            </w:r>
            <w:r w:rsidR="002C6766">
              <w:rPr>
                <w:i/>
              </w:rPr>
              <w:t>:</w:t>
            </w:r>
          </w:p>
        </w:tc>
        <w:tc>
          <w:tcPr>
            <w:tcW w:w="6307" w:type="dxa"/>
          </w:tcPr>
          <w:p w:rsidR="008E7846" w:rsidRPr="00487162" w:rsidRDefault="002C6766" w:rsidP="00E45619">
            <w:r w:rsidRPr="002C6766">
              <w:rPr>
                <w:rFonts w:eastAsia="MS Mincho"/>
                <w:lang w:eastAsia="ja-JP"/>
              </w:rPr>
              <w:t>196234</w:t>
            </w:r>
          </w:p>
        </w:tc>
      </w:tr>
    </w:tbl>
    <w:p w:rsidR="008E7846" w:rsidRDefault="008E7846" w:rsidP="008E7846">
      <w:pPr>
        <w:pStyle w:val="Heading3"/>
      </w:pPr>
      <w:bookmarkStart w:id="7" w:name="_Toc247691503"/>
      <w:bookmarkStart w:id="8" w:name="_Toc314842484"/>
      <w:bookmarkStart w:id="9" w:name="_Toc370129076"/>
      <w:r>
        <w:t>Product background</w:t>
      </w:r>
      <w:bookmarkEnd w:id="7"/>
      <w:bookmarkEnd w:id="8"/>
      <w:bookmarkEnd w:id="9"/>
    </w:p>
    <w:p w:rsidR="00DC6A7D" w:rsidRPr="008457C4" w:rsidRDefault="008457C4" w:rsidP="00F828C8">
      <w:r w:rsidRPr="008457C4">
        <w:t xml:space="preserve">Vismodegib is a </w:t>
      </w:r>
      <w:r w:rsidR="00EC21D7">
        <w:t xml:space="preserve">first in class, </w:t>
      </w:r>
      <w:r w:rsidRPr="008457C4">
        <w:t xml:space="preserve">synthetic, small molecule (421 Dalton) inhibitor of the hedgehog </w:t>
      </w:r>
      <w:r w:rsidR="008264CC">
        <w:t>(</w:t>
      </w:r>
      <w:proofErr w:type="spellStart"/>
      <w:r w:rsidR="008264CC">
        <w:t>Hh</w:t>
      </w:r>
      <w:proofErr w:type="spellEnd"/>
      <w:r w:rsidR="008264CC">
        <w:t xml:space="preserve">) </w:t>
      </w:r>
      <w:r w:rsidRPr="008457C4">
        <w:t>signalling pathway</w:t>
      </w:r>
      <w:r w:rsidR="00EC21D7" w:rsidRPr="00EC21D7">
        <w:t xml:space="preserve"> through the Smoothened (SMO) trans-membrane protein</w:t>
      </w:r>
      <w:r>
        <w:t>.</w:t>
      </w:r>
      <w:r w:rsidRPr="008457C4">
        <w:t xml:space="preserve"> </w:t>
      </w:r>
      <w:r w:rsidR="00DC6A7D" w:rsidRPr="00EC21D7">
        <w:t xml:space="preserve">Signal transduction through SMO leads to the activation and nuclear localisation of transcription factors and an induction of </w:t>
      </w:r>
      <w:proofErr w:type="spellStart"/>
      <w:r w:rsidR="00DC6A7D">
        <w:t>Hh</w:t>
      </w:r>
      <w:proofErr w:type="spellEnd"/>
      <w:r w:rsidR="00DC6A7D" w:rsidRPr="00EC21D7">
        <w:t xml:space="preserve"> targe</w:t>
      </w:r>
      <w:r w:rsidR="00DC6A7D">
        <w:t xml:space="preserve">t genes. </w:t>
      </w:r>
      <w:r w:rsidR="00DC6A7D" w:rsidRPr="00EC21D7">
        <w:t xml:space="preserve">Many of these genes are involved in </w:t>
      </w:r>
      <w:r w:rsidR="00DC6A7D">
        <w:t xml:space="preserve">cellular </w:t>
      </w:r>
      <w:r w:rsidR="00DC6A7D" w:rsidRPr="00EC21D7">
        <w:t>proliferation,</w:t>
      </w:r>
      <w:r w:rsidR="00DC6A7D">
        <w:t xml:space="preserve"> survival and differentiation. </w:t>
      </w:r>
      <w:r w:rsidR="00DC6A7D" w:rsidRPr="00EC21D7">
        <w:t xml:space="preserve">Almost all basal cell carcinomas (BCC) are the result of alterations in the </w:t>
      </w:r>
      <w:proofErr w:type="spellStart"/>
      <w:r w:rsidR="00DC6A7D">
        <w:t>Hh</w:t>
      </w:r>
      <w:proofErr w:type="spellEnd"/>
      <w:r w:rsidR="00DC6A7D" w:rsidRPr="00EC21D7">
        <w:t xml:space="preserve"> signalling pathway resulting in aberrant activation of the pathway and uncontrolled proliferation of basal cells. </w:t>
      </w:r>
      <w:r w:rsidR="00DC6A7D">
        <w:t xml:space="preserve">By inhibiting SMO, </w:t>
      </w:r>
      <w:r w:rsidR="00DC6A7D" w:rsidRPr="00EC21D7">
        <w:t xml:space="preserve">it </w:t>
      </w:r>
      <w:r w:rsidR="00DC6A7D">
        <w:t>is expected that vismodegib will reduce</w:t>
      </w:r>
      <w:r w:rsidR="00DC6A7D" w:rsidRPr="008457C4">
        <w:t xml:space="preserve"> transcription of </w:t>
      </w:r>
      <w:proofErr w:type="spellStart"/>
      <w:r w:rsidR="00DC6A7D">
        <w:t>Hh</w:t>
      </w:r>
      <w:proofErr w:type="spellEnd"/>
      <w:r w:rsidR="00DC6A7D" w:rsidRPr="008457C4">
        <w:t xml:space="preserve"> target genes, and angiogenesis</w:t>
      </w:r>
      <w:r w:rsidR="00DC6A7D">
        <w:t>, thereby reducing the development of BCC cells</w:t>
      </w:r>
      <w:r w:rsidR="00DC6A7D" w:rsidRPr="008457C4">
        <w:t>.</w:t>
      </w:r>
    </w:p>
    <w:p w:rsidR="00EC21D7" w:rsidRDefault="00EC21D7" w:rsidP="00F828C8">
      <w:r w:rsidRPr="00EC21D7">
        <w:t xml:space="preserve">This </w:t>
      </w:r>
      <w:r>
        <w:t xml:space="preserve">AusPAR describes the application by Roche Products Pty Limited (the sponsor) to register vismodegib as oral </w:t>
      </w:r>
      <w:r w:rsidR="000622E3">
        <w:t xml:space="preserve">capsules </w:t>
      </w:r>
      <w:r>
        <w:t xml:space="preserve">(Erivedge) </w:t>
      </w:r>
      <w:r w:rsidRPr="00EC21D7">
        <w:t>for the proposed indication</w:t>
      </w:r>
      <w:r>
        <w:t>:</w:t>
      </w:r>
      <w:r w:rsidRPr="00EC21D7">
        <w:t xml:space="preserve"> </w:t>
      </w:r>
    </w:p>
    <w:p w:rsidR="00EC21D7" w:rsidRPr="00F828C8" w:rsidRDefault="00EC21D7" w:rsidP="00F828C8">
      <w:pPr>
        <w:ind w:left="720"/>
        <w:rPr>
          <w:i/>
        </w:rPr>
      </w:pPr>
      <w:r w:rsidRPr="00F828C8">
        <w:rPr>
          <w:i/>
        </w:rPr>
        <w:t>treatment of adult patients with advanced basal cell carcinoma for whom surgery is inappropriate.</w:t>
      </w:r>
      <w:r w:rsidR="00F828C8" w:rsidRPr="00F828C8">
        <w:rPr>
          <w:i/>
        </w:rPr>
        <w:t xml:space="preserve"> </w:t>
      </w:r>
    </w:p>
    <w:p w:rsidR="008E7846" w:rsidRPr="003F31A2" w:rsidRDefault="00386150" w:rsidP="00F828C8">
      <w:pPr>
        <w:pStyle w:val="Heading3"/>
      </w:pPr>
      <w:bookmarkStart w:id="10" w:name="_Toc314842485"/>
      <w:bookmarkStart w:id="11" w:name="_Toc247691504"/>
      <w:bookmarkStart w:id="12" w:name="_Toc370129077"/>
      <w:r>
        <w:t>Regulatory s</w:t>
      </w:r>
      <w:r w:rsidR="008E7846">
        <w:t>tatus</w:t>
      </w:r>
      <w:bookmarkEnd w:id="10"/>
      <w:bookmarkEnd w:id="11"/>
      <w:bookmarkEnd w:id="12"/>
    </w:p>
    <w:p w:rsidR="008E7846" w:rsidRDefault="008E7846" w:rsidP="00F828C8">
      <w:r>
        <w:t>The product rece</w:t>
      </w:r>
      <w:r w:rsidR="002C6766">
        <w:t xml:space="preserve">ived initial </w:t>
      </w:r>
      <w:r w:rsidR="006E09FD">
        <w:t>registration in the Australian Register of Therapeutic Goods (</w:t>
      </w:r>
      <w:r w:rsidR="002C6766">
        <w:t>ARTG</w:t>
      </w:r>
      <w:r w:rsidR="006E09FD">
        <w:t>)</w:t>
      </w:r>
      <w:r w:rsidR="002C6766">
        <w:t xml:space="preserve"> </w:t>
      </w:r>
      <w:r w:rsidR="0097679D">
        <w:t>o</w:t>
      </w:r>
      <w:r>
        <w:t>n</w:t>
      </w:r>
      <w:r w:rsidR="002C6766">
        <w:t xml:space="preserve"> </w:t>
      </w:r>
      <w:r w:rsidR="0097679D">
        <w:t xml:space="preserve">9 </w:t>
      </w:r>
      <w:r w:rsidR="002C6766">
        <w:t>May 2013</w:t>
      </w:r>
      <w:r w:rsidR="006E09FD">
        <w:t>.</w:t>
      </w:r>
    </w:p>
    <w:p w:rsidR="008E7846" w:rsidRDefault="008E7846" w:rsidP="00F828C8">
      <w:r w:rsidRPr="00C27667">
        <w:t>A</w:t>
      </w:r>
      <w:r w:rsidR="006E09FD">
        <w:t xml:space="preserve">t the time TGA considered this application, a </w:t>
      </w:r>
      <w:r w:rsidRPr="00C27667">
        <w:t xml:space="preserve">similar application </w:t>
      </w:r>
      <w:r w:rsidR="006E09FD">
        <w:t>had been approved in 4 counties including the USA was under evaluation in the European Union</w:t>
      </w:r>
      <w:r w:rsidR="00ED1F26">
        <w:t xml:space="preserve"> (EU)</w:t>
      </w:r>
      <w:r w:rsidR="006E09FD">
        <w:t>, Canada and Switzerland</w:t>
      </w:r>
      <w:r>
        <w:t>.</w:t>
      </w:r>
      <w:r w:rsidR="003C5A8B">
        <w:t xml:space="preserve"> </w:t>
      </w:r>
    </w:p>
    <w:p w:rsidR="008E7846" w:rsidRDefault="008E7846" w:rsidP="00F828C8">
      <w:pPr>
        <w:pStyle w:val="Heading3"/>
      </w:pPr>
      <w:bookmarkStart w:id="13" w:name="_Toc247691505"/>
      <w:bookmarkStart w:id="14" w:name="_Toc314842486"/>
      <w:bookmarkStart w:id="15" w:name="_Toc370129078"/>
      <w:r>
        <w:t>Product Information</w:t>
      </w:r>
      <w:bookmarkEnd w:id="13"/>
      <w:bookmarkEnd w:id="14"/>
      <w:bookmarkEnd w:id="15"/>
    </w:p>
    <w:p w:rsidR="008E7846" w:rsidRDefault="008E7846" w:rsidP="00F828C8">
      <w:r>
        <w:t>The approved Product Information (PI) current at the time this AusPAR was prepared can be found as Attachment 1.</w:t>
      </w:r>
      <w:bookmarkStart w:id="16" w:name="_Toc247691506"/>
      <w:bookmarkStart w:id="17" w:name="_Toc314842487"/>
    </w:p>
    <w:p w:rsidR="008E7846" w:rsidRPr="003602A9" w:rsidRDefault="008E7846" w:rsidP="00F828C8">
      <w:pPr>
        <w:pStyle w:val="Heading2"/>
      </w:pPr>
      <w:bookmarkStart w:id="18" w:name="_Toc370129079"/>
      <w:r>
        <w:t>II. Quality</w:t>
      </w:r>
      <w:bookmarkEnd w:id="1"/>
      <w:r>
        <w:t xml:space="preserve"> findings</w:t>
      </w:r>
      <w:bookmarkEnd w:id="16"/>
      <w:bookmarkEnd w:id="17"/>
      <w:bookmarkEnd w:id="18"/>
    </w:p>
    <w:p w:rsidR="008E7846" w:rsidRDefault="008E7846" w:rsidP="00F828C8">
      <w:pPr>
        <w:pStyle w:val="Heading3"/>
      </w:pPr>
      <w:bookmarkStart w:id="19" w:name="_Toc247691507"/>
      <w:bookmarkStart w:id="20" w:name="_Toc314842488"/>
      <w:bookmarkStart w:id="21" w:name="_Toc370129080"/>
      <w:r w:rsidRPr="008751DC">
        <w:t xml:space="preserve">Drug </w:t>
      </w:r>
      <w:r>
        <w:t>s</w:t>
      </w:r>
      <w:r w:rsidRPr="008751DC">
        <w:t>ubstance</w:t>
      </w:r>
      <w:r>
        <w:t xml:space="preserve"> (active ingredient)</w:t>
      </w:r>
      <w:bookmarkEnd w:id="19"/>
      <w:bookmarkEnd w:id="20"/>
      <w:bookmarkEnd w:id="21"/>
    </w:p>
    <w:p w:rsidR="00404733" w:rsidRDefault="0097679D" w:rsidP="00F828C8">
      <w:r w:rsidRPr="0097679D">
        <w:t>Vismodegib (</w:t>
      </w:r>
      <w:r w:rsidR="005070AC">
        <w:t>International Non-proprietary Name (</w:t>
      </w:r>
      <w:r w:rsidRPr="0097679D">
        <w:t>INN</w:t>
      </w:r>
      <w:r w:rsidR="005070AC">
        <w:t>)</w:t>
      </w:r>
      <w:r w:rsidRPr="0097679D">
        <w:t>) is chemically designated as 2-Chloro-</w:t>
      </w:r>
      <w:r w:rsidRPr="0097679D">
        <w:rPr>
          <w:i/>
          <w:iCs/>
        </w:rPr>
        <w:t>N</w:t>
      </w:r>
      <w:r w:rsidRPr="0097679D">
        <w:t xml:space="preserve">-(4-chloro-3-(pyridin-2-yl)phenyl)-4-(methylsulfonyl)benzamide </w:t>
      </w:r>
      <w:r w:rsidRPr="0097679D">
        <w:rPr>
          <w:lang w:val="en-US"/>
        </w:rPr>
        <w:t>(c</w:t>
      </w:r>
      <w:r>
        <w:rPr>
          <w:lang w:val="en-US"/>
        </w:rPr>
        <w:t xml:space="preserve">hemical name). </w:t>
      </w:r>
      <w:r w:rsidR="00404733" w:rsidRPr="00404733">
        <w:t xml:space="preserve">The drug is synthetic and </w:t>
      </w:r>
      <w:proofErr w:type="spellStart"/>
      <w:r w:rsidR="00404733" w:rsidRPr="00404733">
        <w:t>achiral</w:t>
      </w:r>
      <w:proofErr w:type="spellEnd"/>
      <w:r w:rsidR="00404733" w:rsidRPr="00404733">
        <w:t>. The chemical structure is shown</w:t>
      </w:r>
      <w:r w:rsidR="00404733">
        <w:t xml:space="preserve"> in Figure 1.</w:t>
      </w:r>
    </w:p>
    <w:p w:rsidR="00404733" w:rsidRPr="00404733" w:rsidRDefault="00404733" w:rsidP="00404733">
      <w:pPr>
        <w:pStyle w:val="FigureTitle"/>
      </w:pPr>
      <w:r w:rsidRPr="00404733">
        <w:t>Figure 1</w:t>
      </w:r>
      <w:r>
        <w:t xml:space="preserve">. Structure of vismodegib </w:t>
      </w:r>
    </w:p>
    <w:p w:rsidR="00404733" w:rsidRDefault="00404733" w:rsidP="00F828C8">
      <w:r w:rsidRPr="00404733">
        <w:rPr>
          <w:noProof/>
          <w:lang w:eastAsia="en-AU"/>
        </w:rPr>
        <w:drawing>
          <wp:inline distT="0" distB="0" distL="0" distR="0">
            <wp:extent cx="2476500" cy="1085850"/>
            <wp:effectExtent l="19050" t="0" r="0" b="0"/>
            <wp:docPr id="2" name="Picture 2" descr="Figure 1. Structure of vismodegib "/>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Scr36HrhT5KI96k2MxJ2HdybPAFYFacWCfd-JznV4vxT0RdcZilJJmTDNhvg"/>
                    <pic:cNvPicPr>
                      <a:picLocks noChangeAspect="1" noChangeArrowheads="1"/>
                    </pic:cNvPicPr>
                  </pic:nvPicPr>
                  <pic:blipFill>
                    <a:blip r:embed="rId13" cstate="print"/>
                    <a:srcRect/>
                    <a:stretch>
                      <a:fillRect/>
                    </a:stretch>
                  </pic:blipFill>
                  <pic:spPr bwMode="auto">
                    <a:xfrm>
                      <a:off x="0" y="0"/>
                      <a:ext cx="2476500" cy="1085850"/>
                    </a:xfrm>
                    <a:prstGeom prst="rect">
                      <a:avLst/>
                    </a:prstGeom>
                    <a:noFill/>
                    <a:ln w="9525">
                      <a:noFill/>
                      <a:miter lim="800000"/>
                      <a:headEnd/>
                      <a:tailEnd/>
                    </a:ln>
                  </pic:spPr>
                </pic:pic>
              </a:graphicData>
            </a:graphic>
          </wp:inline>
        </w:drawing>
      </w:r>
    </w:p>
    <w:p w:rsidR="008E7846" w:rsidRPr="00404733" w:rsidRDefault="0097679D" w:rsidP="00F828C8">
      <w:r w:rsidRPr="0097679D">
        <w:t xml:space="preserve">Vismodegib is a crystalline free base. The thermodynamically most stable polymorphic form observed to date (Form B) is used for drug substance. Solubility of vismodegib is pH dependent: it is markedly more soluble in acid than at neutral </w:t>
      </w:r>
      <w:proofErr w:type="spellStart"/>
      <w:r w:rsidRPr="0097679D">
        <w:t>pH.</w:t>
      </w:r>
      <w:proofErr w:type="spellEnd"/>
      <w:r w:rsidRPr="0097679D">
        <w:t xml:space="preserve"> Drug particle size was considered as a critical quality attribute and is controlled in the drug substance specification.</w:t>
      </w:r>
    </w:p>
    <w:p w:rsidR="008E7846" w:rsidRDefault="008E7846" w:rsidP="00F828C8">
      <w:pPr>
        <w:pStyle w:val="Heading3"/>
      </w:pPr>
      <w:bookmarkStart w:id="22" w:name="_Toc247691508"/>
      <w:bookmarkStart w:id="23" w:name="_Toc314842490"/>
      <w:bookmarkStart w:id="24" w:name="_Toc370129081"/>
      <w:r w:rsidRPr="008751DC">
        <w:t xml:space="preserve">Drug </w:t>
      </w:r>
      <w:r>
        <w:t>p</w:t>
      </w:r>
      <w:r w:rsidRPr="008751DC">
        <w:t>roduct</w:t>
      </w:r>
      <w:bookmarkEnd w:id="22"/>
      <w:bookmarkEnd w:id="23"/>
      <w:bookmarkEnd w:id="24"/>
    </w:p>
    <w:p w:rsidR="00404733" w:rsidRPr="00404733" w:rsidRDefault="00404733" w:rsidP="00F828C8">
      <w:r w:rsidRPr="00404733">
        <w:t xml:space="preserve">Immediate release, hard </w:t>
      </w:r>
      <w:proofErr w:type="spellStart"/>
      <w:r w:rsidRPr="00404733">
        <w:t>gelatin</w:t>
      </w:r>
      <w:proofErr w:type="spellEnd"/>
      <w:r w:rsidRPr="00404733">
        <w:t xml:space="preserve">, size 1 capsules containing a white </w:t>
      </w:r>
      <w:r w:rsidR="0097679D">
        <w:t xml:space="preserve">to off-white </w:t>
      </w:r>
      <w:r w:rsidRPr="00404733">
        <w:t>powder are proposed for registration. The capsules have grey opaque caps printed ‘VISMO’ in black and ‘Flesh opaque’ bodies printed ‘150 mg’. The capsule fill is a powder formulated with conventional excipients.</w:t>
      </w:r>
    </w:p>
    <w:p w:rsidR="00404733" w:rsidRPr="00404733" w:rsidRDefault="00404733" w:rsidP="00F828C8">
      <w:r w:rsidRPr="00404733">
        <w:t>Vismodegib was first formulated as 25 mg, 125 mg, and 270 mg dry blend capsule</w:t>
      </w:r>
      <w:r w:rsidR="00ED1F26">
        <w:t>s</w:t>
      </w:r>
      <w:r w:rsidRPr="00404733">
        <w:t xml:space="preserve"> for Phase I trials. Then 150 mg capsules, manufactured by wet granulation, were developed for Phase II clinical trials. These 150 mg capsules have been used in almost all the clinical trials, with only minor changes to the manufacturing method. The formulation used in the pivotal Phase II trial is the capsule proposed for registration.</w:t>
      </w:r>
    </w:p>
    <w:p w:rsidR="00404733" w:rsidRPr="00404733" w:rsidRDefault="00404733" w:rsidP="00F828C8">
      <w:r w:rsidRPr="00404733">
        <w:t xml:space="preserve">Batches of capsules are tested for </w:t>
      </w:r>
      <w:r w:rsidRPr="00404733">
        <w:rPr>
          <w:i/>
        </w:rPr>
        <w:t>in vitro</w:t>
      </w:r>
      <w:r w:rsidRPr="00404733">
        <w:t xml:space="preserve"> dissolution.</w:t>
      </w:r>
    </w:p>
    <w:p w:rsidR="00404733" w:rsidRPr="00404733" w:rsidRDefault="00404733" w:rsidP="00F828C8">
      <w:r w:rsidRPr="00404733">
        <w:t>The capsules show little change on storage and a 24 months shelf life, store below 30°C, is proposed.</w:t>
      </w:r>
    </w:p>
    <w:p w:rsidR="008E7846" w:rsidRDefault="008E7846" w:rsidP="00F828C8">
      <w:pPr>
        <w:pStyle w:val="Heading3"/>
      </w:pPr>
      <w:bookmarkStart w:id="25" w:name="_Toc314842491"/>
      <w:bookmarkStart w:id="26" w:name="_Toc370129082"/>
      <w:proofErr w:type="spellStart"/>
      <w:r>
        <w:t>Biopharmaceutics</w:t>
      </w:r>
      <w:bookmarkEnd w:id="25"/>
      <w:bookmarkEnd w:id="26"/>
      <w:proofErr w:type="spellEnd"/>
    </w:p>
    <w:p w:rsidR="00404733" w:rsidRPr="00404733" w:rsidRDefault="00404733" w:rsidP="00F828C8">
      <w:r w:rsidRPr="00404733">
        <w:t>Vismodegib is a compound with low solubility (relative to dose) and high permeability (</w:t>
      </w:r>
      <w:r w:rsidR="00CB384F">
        <w:t xml:space="preserve">that is, </w:t>
      </w:r>
      <w:proofErr w:type="spellStart"/>
      <w:r w:rsidRPr="00404733">
        <w:t>Biopharmaceutics</w:t>
      </w:r>
      <w:proofErr w:type="spellEnd"/>
      <w:r w:rsidRPr="00404733">
        <w:t xml:space="preserve"> Classification System ‘Class 2’). </w:t>
      </w:r>
    </w:p>
    <w:p w:rsidR="00404733" w:rsidRPr="00404733" w:rsidRDefault="00404733" w:rsidP="00F828C8">
      <w:r w:rsidRPr="00404733">
        <w:t xml:space="preserve">The solubility of vismodegib is strongly pH dependent. Thus, it is possible that the drug is only usefully dissolved (and hence absorbed) if the stomach is acidic. Roche states that there are no direct data for </w:t>
      </w:r>
      <w:proofErr w:type="spellStart"/>
      <w:r w:rsidRPr="00404733">
        <w:t>achlorhydric</w:t>
      </w:r>
      <w:proofErr w:type="spellEnd"/>
      <w:r w:rsidRPr="00404733">
        <w:t xml:space="preserve"> or </w:t>
      </w:r>
      <w:proofErr w:type="spellStart"/>
      <w:r w:rsidRPr="00404733">
        <w:t>hypochlorhydric</w:t>
      </w:r>
      <w:proofErr w:type="spellEnd"/>
      <w:r w:rsidRPr="00404733">
        <w:t xml:space="preserve"> patients. There is a related potential for antacids etc to affect bioavailability.</w:t>
      </w:r>
    </w:p>
    <w:p w:rsidR="00404733" w:rsidRPr="00404733" w:rsidRDefault="00404733" w:rsidP="00F828C8">
      <w:r w:rsidRPr="00404733">
        <w:t xml:space="preserve">Roche plans to </w:t>
      </w:r>
      <w:r w:rsidRPr="00ED1F26">
        <w:t>“</w:t>
      </w:r>
      <w:r w:rsidRPr="00F828C8">
        <w:rPr>
          <w:i/>
        </w:rPr>
        <w:t>perform a clinical study to evaluate if gastric pH-elevating agents alter the bioavailability and impact the steady-state exposure of vismodegib. Planning for this study is currently ongoing as a result of a Post-Marketing Requirement (PMR) from the U.S. Food and Drug Administration, and the final study report will be available in 2015. The Sponsor commits to providing this report to TGA according to this timeframe.</w:t>
      </w:r>
      <w:r w:rsidRPr="00ED1F26">
        <w:t>”</w:t>
      </w:r>
    </w:p>
    <w:p w:rsidR="00404733" w:rsidRPr="00404733" w:rsidRDefault="00404733" w:rsidP="00F828C8">
      <w:r w:rsidRPr="00404733">
        <w:t xml:space="preserve">The single dose </w:t>
      </w:r>
      <w:r w:rsidR="0097679D">
        <w:t xml:space="preserve">mean </w:t>
      </w:r>
      <w:r w:rsidRPr="00404733">
        <w:t>absolute bioavailability of vismodegib is about 32%. This seems relatively low for a permeable drug with slow metabolism; absorption is apparently saturable and limited solubility at physiologic pH may also affect bioavailability. The volu</w:t>
      </w:r>
      <w:r w:rsidR="00801B01">
        <w:t>me of distribution is low (16-</w:t>
      </w:r>
      <w:r w:rsidRPr="00404733">
        <w:t xml:space="preserve">27 L), with vismodegib bound to both human serum albumin </w:t>
      </w:r>
      <w:r w:rsidR="00ED1F26">
        <w:t>(HS</w:t>
      </w:r>
      <w:r w:rsidR="0097679D">
        <w:t>A</w:t>
      </w:r>
      <w:r w:rsidR="00ED1F26">
        <w:t xml:space="preserve">) </w:t>
      </w:r>
      <w:r w:rsidRPr="00404733">
        <w:t>and alpha-1-acid glycoprotein (AAG). Vismodegib concentrations are strongly correlated with AAG levels.</w:t>
      </w:r>
    </w:p>
    <w:p w:rsidR="00404733" w:rsidRPr="00404733" w:rsidRDefault="00404733" w:rsidP="00F828C8">
      <w:r w:rsidRPr="00404733">
        <w:t xml:space="preserve">Unchanged vismodegib is the dominant drug-related species in plasma. Vismodegib is slowly eliminated by </w:t>
      </w:r>
      <w:r w:rsidR="0097679D">
        <w:t xml:space="preserve">a combination of </w:t>
      </w:r>
      <w:proofErr w:type="spellStart"/>
      <w:r w:rsidR="0097679D">
        <w:t>biliary</w:t>
      </w:r>
      <w:proofErr w:type="spellEnd"/>
      <w:r w:rsidR="0097679D">
        <w:t xml:space="preserve"> </w:t>
      </w:r>
      <w:r w:rsidRPr="00404733">
        <w:t xml:space="preserve">excretion and metabolism </w:t>
      </w:r>
      <w:r w:rsidRPr="004C53DB">
        <w:rPr>
          <w:i/>
        </w:rPr>
        <w:t>via</w:t>
      </w:r>
      <w:r w:rsidRPr="00404733">
        <w:t xml:space="preserve"> several pathways. Excretion is mostly hepatic.</w:t>
      </w:r>
    </w:p>
    <w:p w:rsidR="008E7846" w:rsidRDefault="00404733" w:rsidP="00F828C8">
      <w:r w:rsidRPr="00404733">
        <w:t xml:space="preserve">After single oral doses, vismodegib shows unusual pharmacokinetic </w:t>
      </w:r>
      <w:r w:rsidR="004C53DB">
        <w:t xml:space="preserve">(PK) </w:t>
      </w:r>
      <w:r w:rsidRPr="00404733">
        <w:t>profiles, with sustained high plasma levels reflecting an unusually long elimination half-l</w:t>
      </w:r>
      <w:r w:rsidR="00ED1F26">
        <w:t xml:space="preserve">ife (about 12 days). There is </w:t>
      </w:r>
      <w:r w:rsidRPr="00404733">
        <w:t>relatively wide variation in plasma levels between subjects.</w:t>
      </w:r>
    </w:p>
    <w:p w:rsidR="00404733" w:rsidRPr="00404733" w:rsidRDefault="00404733" w:rsidP="00F828C8">
      <w:r w:rsidRPr="00404733">
        <w:t>At steady state, the a</w:t>
      </w:r>
      <w:r w:rsidR="00ED1F26">
        <w:t xml:space="preserve">pparent vismodegib half-life </w:t>
      </w:r>
      <w:r w:rsidRPr="00404733">
        <w:t xml:space="preserve">is </w:t>
      </w:r>
      <w:r w:rsidR="00ED1F26" w:rsidRPr="00404733">
        <w:t xml:space="preserve">about 4 days </w:t>
      </w:r>
      <w:r w:rsidR="00ED1F26">
        <w:t xml:space="preserve">which is </w:t>
      </w:r>
      <w:r w:rsidRPr="00404733">
        <w:t>shorter</w:t>
      </w:r>
      <w:r w:rsidR="00ED1F26">
        <w:t xml:space="preserve"> than the half life after a single dose</w:t>
      </w:r>
      <w:r w:rsidRPr="00404733">
        <w:t xml:space="preserve">. Thus there is clear accumulation on daily dosing, with steady state reached in about 7 days. The </w:t>
      </w:r>
      <w:r w:rsidR="00ED1F26">
        <w:t>PKs</w:t>
      </w:r>
      <w:r w:rsidRPr="00404733">
        <w:t xml:space="preserve"> are non-linear. The fraction of drug unbound to protein increases markedly on continuous daily dosing, with corresponding increases in clearance.</w:t>
      </w:r>
    </w:p>
    <w:p w:rsidR="00404733" w:rsidRPr="00404733" w:rsidRDefault="00404733" w:rsidP="00F828C8">
      <w:r w:rsidRPr="00404733">
        <w:t xml:space="preserve">Three bioavailability studies were considered by the </w:t>
      </w:r>
      <w:r w:rsidR="004C53DB">
        <w:t xml:space="preserve">TGA </w:t>
      </w:r>
      <w:r w:rsidRPr="00404733">
        <w:t>Pharmaceutical Chemistry Section:</w:t>
      </w:r>
    </w:p>
    <w:p w:rsidR="00404733" w:rsidRPr="00F828C8" w:rsidRDefault="00404733" w:rsidP="00F828C8">
      <w:pPr>
        <w:pStyle w:val="Heading4"/>
      </w:pPr>
      <w:r w:rsidRPr="00F828C8">
        <w:t xml:space="preserve">Study SHH4683g: </w:t>
      </w:r>
      <w:r w:rsidR="00801B01" w:rsidRPr="00F828C8">
        <w:t>Absolute bioavailability study</w:t>
      </w:r>
    </w:p>
    <w:p w:rsidR="00404733" w:rsidRPr="00404733" w:rsidRDefault="00404733" w:rsidP="00F828C8">
      <w:r w:rsidRPr="00404733">
        <w:t>This was an open</w:t>
      </w:r>
      <w:r w:rsidR="00BF6923">
        <w:t xml:space="preserve">, </w:t>
      </w:r>
      <w:r w:rsidRPr="00404733">
        <w:t xml:space="preserve">absorption, distribution, metabolism and excretion (ADME) study in 6 healthy female volunteers. Single oral doses of 150 mg vismodegib (capsule; unlabelled drug) were followed by an intravenous </w:t>
      </w:r>
      <w:r w:rsidR="004C53DB">
        <w:t xml:space="preserve">(IV) </w:t>
      </w:r>
      <w:r w:rsidRPr="00404733">
        <w:t xml:space="preserve">dose after 2 hours (bolus 10 μg of </w:t>
      </w:r>
      <w:r w:rsidRPr="00404733">
        <w:rPr>
          <w:vertAlign w:val="superscript"/>
        </w:rPr>
        <w:t>14</w:t>
      </w:r>
      <w:r w:rsidRPr="00404733">
        <w:t xml:space="preserve">C labelled drug in 2 mL solution). The </w:t>
      </w:r>
      <w:r w:rsidR="004C53DB">
        <w:t xml:space="preserve">IV </w:t>
      </w:r>
      <w:r w:rsidRPr="00404733">
        <w:t xml:space="preserve">dose was thus given at approximately </w:t>
      </w:r>
      <w:r w:rsidR="004C53DB">
        <w:t>the time to reach the maximum concentration (</w:t>
      </w:r>
      <w:proofErr w:type="spellStart"/>
      <w:r w:rsidRPr="00404733">
        <w:t>T</w:t>
      </w:r>
      <w:r w:rsidRPr="00F365ED">
        <w:rPr>
          <w:vertAlign w:val="subscript"/>
        </w:rPr>
        <w:t>max</w:t>
      </w:r>
      <w:proofErr w:type="spellEnd"/>
      <w:r w:rsidR="004C53DB">
        <w:t>)</w:t>
      </w:r>
      <w:r w:rsidRPr="00404733">
        <w:t xml:space="preserve"> following the oral doses. Drug from the two dosing routes could be quantified separately.</w:t>
      </w:r>
    </w:p>
    <w:p w:rsidR="00404733" w:rsidRPr="00404733" w:rsidRDefault="00404733" w:rsidP="00F828C8">
      <w:r w:rsidRPr="00404733">
        <w:t>The individual measurements of absolute bioavailability following oral vismodegib doses were fairly consistent (23%, 31%</w:t>
      </w:r>
      <w:r w:rsidR="00BF6923">
        <w:t>, 32%, 33%, 34%, 37%; mean 32%)</w:t>
      </w:r>
      <w:r w:rsidRPr="00404733">
        <w:t xml:space="preserve"> notwithstanding significant </w:t>
      </w:r>
      <w:proofErr w:type="spellStart"/>
      <w:r w:rsidRPr="00404733">
        <w:t>intersubject</w:t>
      </w:r>
      <w:proofErr w:type="spellEnd"/>
      <w:r w:rsidRPr="00404733">
        <w:t xml:space="preserve"> variability in </w:t>
      </w:r>
      <w:r w:rsidR="004C53DB">
        <w:t xml:space="preserve">PK </w:t>
      </w:r>
      <w:r w:rsidRPr="00404733">
        <w:t>profiles (similar to that discussed above).</w:t>
      </w:r>
    </w:p>
    <w:p w:rsidR="00404733" w:rsidRPr="00404733" w:rsidRDefault="00404733" w:rsidP="00F828C8">
      <w:pPr>
        <w:pStyle w:val="Heading4"/>
      </w:pPr>
      <w:r w:rsidRPr="00404733">
        <w:t xml:space="preserve">Study SHH4893s: </w:t>
      </w:r>
      <w:r w:rsidR="00801B01">
        <w:t>S</w:t>
      </w:r>
      <w:r w:rsidR="00801B01" w:rsidRPr="00404733">
        <w:t>tudy of the effect of food</w:t>
      </w:r>
    </w:p>
    <w:p w:rsidR="00404733" w:rsidRPr="004C53DB" w:rsidRDefault="00404733" w:rsidP="00F828C8">
      <w:r w:rsidRPr="00404733">
        <w:t xml:space="preserve">Study SHH4893s is an ongoing study of the effect of food on bioavailability. </w:t>
      </w:r>
      <w:r w:rsidRPr="004C53DB">
        <w:t>An interim analysis was reviewed.</w:t>
      </w:r>
    </w:p>
    <w:p w:rsidR="00404733" w:rsidRPr="00404733" w:rsidRDefault="00404733" w:rsidP="00F828C8">
      <w:r w:rsidRPr="00404733">
        <w:t>There have been changes in the study design during the trial. Part I of the study was a parallel group study in which patients received a si</w:t>
      </w:r>
      <w:r w:rsidR="00BF6923">
        <w:t>ngle 150 mg capsule dose</w:t>
      </w:r>
      <w:r w:rsidRPr="00404733">
        <w:t xml:space="preserve"> either fasted (n=13), or with a low fat (n=3) or a high fat meal (n=13). Meals were given 30 minutes before vismodegib capsules were administered.</w:t>
      </w:r>
    </w:p>
    <w:p w:rsidR="00404733" w:rsidRPr="00404733" w:rsidRDefault="00404733" w:rsidP="00F828C8">
      <w:r w:rsidRPr="00404733">
        <w:t xml:space="preserve">After </w:t>
      </w:r>
      <w:r w:rsidR="00BF6923">
        <w:t>a single dose</w:t>
      </w:r>
      <w:r w:rsidRPr="00404733">
        <w:t xml:space="preserve"> there is a clear increase in mean exposure if capsules are taken with food, especially a high fat meal</w:t>
      </w:r>
      <w:r w:rsidR="00B676B7">
        <w:t xml:space="preserve">. </w:t>
      </w:r>
    </w:p>
    <w:p w:rsidR="00404733" w:rsidRDefault="00BF6923" w:rsidP="00F828C8">
      <w:r>
        <w:t xml:space="preserve">The second part of the study involved </w:t>
      </w:r>
      <w:r w:rsidR="00404733" w:rsidRPr="00404733">
        <w:t>multi</w:t>
      </w:r>
      <w:r>
        <w:t xml:space="preserve">ple </w:t>
      </w:r>
      <w:r w:rsidR="00404733" w:rsidRPr="00404733">
        <w:t>dose</w:t>
      </w:r>
      <w:r>
        <w:t>s. A</w:t>
      </w:r>
      <w:r w:rsidR="00404733" w:rsidRPr="00404733">
        <w:t xml:space="preserve">fter 6 days without vismodegib, patients from different groups were reassigned to take 150 mg capsule doses daily either in a fasting state or 30 minutes after a ‘healthy breakfast’ (not-standardised; recommended menu provided to patients). Thus, this part did </w:t>
      </w:r>
      <w:r w:rsidR="00404733" w:rsidRPr="00BF6923">
        <w:t>not</w:t>
      </w:r>
      <w:r w:rsidR="00404733" w:rsidRPr="00404733">
        <w:t xml:space="preserve"> determine the effect of high fat food on bioavailability, which might have shown larger differences. Steady state </w:t>
      </w:r>
      <w:r>
        <w:t xml:space="preserve">PK were </w:t>
      </w:r>
      <w:r w:rsidR="00404733" w:rsidRPr="00404733">
        <w:t>then measured after two weeks. At steady state, there was a smaller effect of food (again increasing exposure)</w:t>
      </w:r>
      <w:r w:rsidR="00B676B7">
        <w:t xml:space="preserve">. </w:t>
      </w:r>
      <w:r w:rsidR="00404733" w:rsidRPr="00404733">
        <w:t>At this interim analysis the results are outside standard bioequivalence limits</w:t>
      </w:r>
      <w:r w:rsidR="00E12E9B">
        <w:t xml:space="preserve"> (Table 1)</w:t>
      </w:r>
      <w:r w:rsidR="00404733" w:rsidRPr="00404733">
        <w:t>:</w:t>
      </w:r>
    </w:p>
    <w:p w:rsidR="00B676B7" w:rsidRPr="00B676B7" w:rsidRDefault="00E12E9B" w:rsidP="00F828C8">
      <w:pPr>
        <w:pStyle w:val="TableTitle"/>
      </w:pPr>
      <w:r>
        <w:t>Table 1</w:t>
      </w:r>
      <w:r w:rsidR="00B676B7" w:rsidRPr="00B676B7">
        <w:t xml:space="preserve">. Vismodegib pharmacokinetics. Statistical analysis </w:t>
      </w:r>
    </w:p>
    <w:tbl>
      <w:tblPr>
        <w:tblStyle w:val="TableTGAblue"/>
        <w:tblW w:w="0" w:type="auto"/>
        <w:tblInd w:w="108" w:type="dxa"/>
        <w:tblLook w:val="04A0"/>
      </w:tblPr>
      <w:tblGrid>
        <w:gridCol w:w="1674"/>
        <w:gridCol w:w="1584"/>
        <w:gridCol w:w="1134"/>
        <w:gridCol w:w="2080"/>
      </w:tblGrid>
      <w:tr w:rsidR="00404733" w:rsidRPr="008264CC" w:rsidTr="005558F9">
        <w:trPr>
          <w:cnfStyle w:val="100000000000"/>
        </w:trPr>
        <w:tc>
          <w:tcPr>
            <w:tcW w:w="6379" w:type="dxa"/>
            <w:gridSpan w:val="4"/>
          </w:tcPr>
          <w:p w:rsidR="00404733" w:rsidRPr="008264CC" w:rsidRDefault="00404733" w:rsidP="00F828C8">
            <w:pPr>
              <w:jc w:val="center"/>
            </w:pPr>
            <w:proofErr w:type="spellStart"/>
            <w:r w:rsidRPr="008264CC">
              <w:t>Multidose</w:t>
            </w:r>
            <w:proofErr w:type="spellEnd"/>
            <w:r w:rsidRPr="008264CC">
              <w:t xml:space="preserve"> Statistical Analysis</w:t>
            </w:r>
          </w:p>
        </w:tc>
      </w:tr>
      <w:tr w:rsidR="00404733" w:rsidRPr="008264CC" w:rsidTr="005558F9">
        <w:tc>
          <w:tcPr>
            <w:tcW w:w="1674" w:type="dxa"/>
          </w:tcPr>
          <w:p w:rsidR="00404733" w:rsidRPr="008264CC" w:rsidRDefault="00404733" w:rsidP="00F828C8">
            <w:r w:rsidRPr="008264CC">
              <w:t>vismodegib</w:t>
            </w:r>
          </w:p>
        </w:tc>
        <w:tc>
          <w:tcPr>
            <w:tcW w:w="1491" w:type="dxa"/>
          </w:tcPr>
          <w:p w:rsidR="00404733" w:rsidRPr="008264CC" w:rsidRDefault="00404733" w:rsidP="00F828C8"/>
        </w:tc>
        <w:tc>
          <w:tcPr>
            <w:tcW w:w="1134" w:type="dxa"/>
          </w:tcPr>
          <w:p w:rsidR="00404733" w:rsidRPr="008264CC" w:rsidRDefault="00404733" w:rsidP="00F828C8">
            <w:r w:rsidRPr="008264CC">
              <w:t xml:space="preserve">GMR </w:t>
            </w:r>
          </w:p>
        </w:tc>
        <w:tc>
          <w:tcPr>
            <w:tcW w:w="2080" w:type="dxa"/>
          </w:tcPr>
          <w:p w:rsidR="00404733" w:rsidRPr="008264CC" w:rsidRDefault="00404733" w:rsidP="00F828C8">
            <w:r w:rsidRPr="008264CC">
              <w:t>90% CI</w:t>
            </w:r>
          </w:p>
        </w:tc>
      </w:tr>
      <w:tr w:rsidR="00404733" w:rsidRPr="008264CC" w:rsidTr="005558F9">
        <w:tc>
          <w:tcPr>
            <w:tcW w:w="1674" w:type="dxa"/>
          </w:tcPr>
          <w:p w:rsidR="00404733" w:rsidRPr="008264CC" w:rsidRDefault="00404733" w:rsidP="00F828C8">
            <w:proofErr w:type="spellStart"/>
            <w:r w:rsidRPr="008264CC">
              <w:t>C</w:t>
            </w:r>
            <w:r w:rsidRPr="008264CC">
              <w:rPr>
                <w:vertAlign w:val="subscript"/>
              </w:rPr>
              <w:t>max</w:t>
            </w:r>
            <w:proofErr w:type="spellEnd"/>
            <w:r w:rsidRPr="008264CC">
              <w:rPr>
                <w:vertAlign w:val="subscript"/>
              </w:rPr>
              <w:t xml:space="preserve"> </w:t>
            </w:r>
          </w:p>
        </w:tc>
        <w:tc>
          <w:tcPr>
            <w:tcW w:w="1491" w:type="dxa"/>
          </w:tcPr>
          <w:p w:rsidR="00404733" w:rsidRPr="008264CC" w:rsidRDefault="00404733" w:rsidP="00F828C8">
            <w:r w:rsidRPr="008264CC">
              <w:t xml:space="preserve">Fed/fasted </w:t>
            </w:r>
          </w:p>
        </w:tc>
        <w:tc>
          <w:tcPr>
            <w:tcW w:w="1134" w:type="dxa"/>
          </w:tcPr>
          <w:p w:rsidR="00404733" w:rsidRPr="008264CC" w:rsidRDefault="00404733" w:rsidP="00F828C8">
            <w:r w:rsidRPr="008264CC">
              <w:t xml:space="preserve">107% </w:t>
            </w:r>
          </w:p>
        </w:tc>
        <w:tc>
          <w:tcPr>
            <w:tcW w:w="2080" w:type="dxa"/>
          </w:tcPr>
          <w:p w:rsidR="00404733" w:rsidRPr="008264CC" w:rsidRDefault="00404733" w:rsidP="00F828C8">
            <w:r w:rsidRPr="008264CC">
              <w:t>81.9-139%</w:t>
            </w:r>
          </w:p>
        </w:tc>
      </w:tr>
      <w:tr w:rsidR="00404733" w:rsidRPr="008264CC" w:rsidTr="005558F9">
        <w:tc>
          <w:tcPr>
            <w:tcW w:w="1674" w:type="dxa"/>
          </w:tcPr>
          <w:p w:rsidR="00404733" w:rsidRPr="008264CC" w:rsidRDefault="00404733" w:rsidP="00F828C8">
            <w:r w:rsidRPr="008264CC">
              <w:t>AUC</w:t>
            </w:r>
            <w:r w:rsidRPr="008264CC">
              <w:rPr>
                <w:vertAlign w:val="subscript"/>
              </w:rPr>
              <w:t>0-24</w:t>
            </w:r>
            <w:r w:rsidR="008264CC">
              <w:rPr>
                <w:vertAlign w:val="subscript"/>
              </w:rPr>
              <w:t xml:space="preserve"> h</w:t>
            </w:r>
            <w:r w:rsidRPr="008264CC">
              <w:rPr>
                <w:vertAlign w:val="subscript"/>
              </w:rPr>
              <w:t xml:space="preserve"> </w:t>
            </w:r>
          </w:p>
        </w:tc>
        <w:tc>
          <w:tcPr>
            <w:tcW w:w="1491" w:type="dxa"/>
          </w:tcPr>
          <w:p w:rsidR="00404733" w:rsidRPr="008264CC" w:rsidRDefault="00404733" w:rsidP="00F828C8">
            <w:r w:rsidRPr="008264CC">
              <w:t xml:space="preserve">Fed/fasted </w:t>
            </w:r>
          </w:p>
        </w:tc>
        <w:tc>
          <w:tcPr>
            <w:tcW w:w="1134" w:type="dxa"/>
          </w:tcPr>
          <w:p w:rsidR="00404733" w:rsidRPr="008264CC" w:rsidRDefault="00404733" w:rsidP="00F828C8">
            <w:r w:rsidRPr="008264CC">
              <w:t xml:space="preserve">105% </w:t>
            </w:r>
          </w:p>
        </w:tc>
        <w:tc>
          <w:tcPr>
            <w:tcW w:w="2080" w:type="dxa"/>
          </w:tcPr>
          <w:p w:rsidR="00404733" w:rsidRPr="008264CC" w:rsidRDefault="00404733" w:rsidP="00F828C8">
            <w:r w:rsidRPr="008264CC">
              <w:t>80.0-137%</w:t>
            </w:r>
          </w:p>
        </w:tc>
      </w:tr>
    </w:tbl>
    <w:p w:rsidR="008264CC" w:rsidRPr="008264CC" w:rsidRDefault="008264CC" w:rsidP="00F828C8">
      <w:pPr>
        <w:pStyle w:val="TableDescription"/>
      </w:pPr>
      <w:r w:rsidRPr="008264CC">
        <w:t>GMR = geometric mean ratio</w:t>
      </w:r>
      <w:r w:rsidR="001E3569">
        <w:t xml:space="preserve">. </w:t>
      </w:r>
      <w:r w:rsidR="008F4F84">
        <w:t xml:space="preserve">CI = confidence interval. </w:t>
      </w:r>
      <w:r w:rsidR="001E3569">
        <w:t>AUC</w:t>
      </w:r>
      <w:r w:rsidR="001E3569" w:rsidRPr="001E3569">
        <w:rPr>
          <w:vertAlign w:val="subscript"/>
        </w:rPr>
        <w:t>0-24 h</w:t>
      </w:r>
      <w:r w:rsidR="001E3569">
        <w:t xml:space="preserve"> = area under the concentration-time curve from time zero to 24 h</w:t>
      </w:r>
    </w:p>
    <w:p w:rsidR="00404733" w:rsidRPr="00404733" w:rsidRDefault="00404733" w:rsidP="00F828C8">
      <w:r w:rsidRPr="00404733">
        <w:t>Roche argues that it is reasonable to direct that capsules may be taken with or without food.</w:t>
      </w:r>
      <w:r w:rsidR="00F365ED">
        <w:t xml:space="preserve"> </w:t>
      </w:r>
    </w:p>
    <w:p w:rsidR="00404733" w:rsidRPr="00404733" w:rsidRDefault="00404733" w:rsidP="00F828C8">
      <w:r w:rsidRPr="00404733">
        <w:t xml:space="preserve">In the pivotal clinical study (SHH4476g) patients were instructed to take </w:t>
      </w:r>
      <w:r w:rsidR="00BF6923">
        <w:t>vismodegib with or without food</w:t>
      </w:r>
      <w:r w:rsidRPr="00404733">
        <w:t xml:space="preserve"> at the same time each day.</w:t>
      </w:r>
    </w:p>
    <w:p w:rsidR="00404733" w:rsidRPr="00404733" w:rsidRDefault="00404733" w:rsidP="00767BB2">
      <w:pPr>
        <w:pStyle w:val="Heading4"/>
      </w:pPr>
      <w:r w:rsidRPr="00404733">
        <w:t>Study SHH3925g</w:t>
      </w:r>
    </w:p>
    <w:p w:rsidR="00BF6923" w:rsidRDefault="00404733" w:rsidP="00767BB2">
      <w:r w:rsidRPr="00404733">
        <w:t xml:space="preserve">This was a study with a complex design (including dose escalation) to assess single and multiple dose </w:t>
      </w:r>
      <w:r w:rsidR="00BF6923">
        <w:t xml:space="preserve">PK </w:t>
      </w:r>
      <w:r w:rsidRPr="00404733">
        <w:t xml:space="preserve">in patients. It included a comparison of the bioavailability of dry blend Phase I capsules (1x25 mg + 1x125 mg = 150 mg) and the proposed 150 mg capsule formulation (1x150 mg). </w:t>
      </w:r>
    </w:p>
    <w:p w:rsidR="00404733" w:rsidRPr="00404733" w:rsidRDefault="00404733" w:rsidP="00767BB2">
      <w:r w:rsidRPr="00404733">
        <w:t>This single dose comparison (parallel group) suggested that the bioavailability of the Phase I capsules may be significantly lower</w:t>
      </w:r>
      <w:r w:rsidR="00801B01">
        <w:t>.</w:t>
      </w:r>
      <w:r w:rsidR="00BF6923">
        <w:t xml:space="preserve"> </w:t>
      </w:r>
      <w:r w:rsidRPr="00404733">
        <w:t>The data are insufficient for a reliable bioequivalence conclusion, but the Phase I capsules were anyway not used significantly in clinical studies.</w:t>
      </w:r>
    </w:p>
    <w:p w:rsidR="008E7846" w:rsidRDefault="008E7846" w:rsidP="00767BB2">
      <w:pPr>
        <w:pStyle w:val="Heading3"/>
      </w:pPr>
      <w:bookmarkStart w:id="27" w:name="_Toc314842492"/>
      <w:bookmarkStart w:id="28" w:name="_Toc370129083"/>
      <w:r>
        <w:t>Advisory committee considerations</w:t>
      </w:r>
      <w:bookmarkEnd w:id="27"/>
      <w:bookmarkEnd w:id="28"/>
    </w:p>
    <w:p w:rsidR="008E7846" w:rsidRDefault="00404733" w:rsidP="00767BB2">
      <w:r w:rsidRPr="00404733">
        <w:t xml:space="preserve">The application was considered at the January 2013 meeting of the </w:t>
      </w:r>
      <w:r w:rsidR="008264CC">
        <w:t>Pharmaceutical Subcommittee (</w:t>
      </w:r>
      <w:r w:rsidRPr="00404733">
        <w:t>PSC</w:t>
      </w:r>
      <w:r w:rsidR="008264CC">
        <w:t>) of the TGA’s Advisory Committee on Prescription Medicines (ACPM)</w:t>
      </w:r>
      <w:r w:rsidRPr="00404733">
        <w:t xml:space="preserve">. </w:t>
      </w:r>
    </w:p>
    <w:p w:rsidR="00404733" w:rsidRPr="00404733" w:rsidRDefault="00404733" w:rsidP="00767BB2">
      <w:r w:rsidRPr="00404733">
        <w:t xml:space="preserve">The PSC endorsed all questions raised by the TGA in relation to the </w:t>
      </w:r>
      <w:proofErr w:type="spellStart"/>
      <w:r w:rsidRPr="00404733">
        <w:t>pharmaceutic</w:t>
      </w:r>
      <w:proofErr w:type="spellEnd"/>
      <w:r w:rsidRPr="00404733">
        <w:t xml:space="preserve"> and </w:t>
      </w:r>
      <w:proofErr w:type="spellStart"/>
      <w:r w:rsidRPr="00404733">
        <w:t>biopharmaceutic</w:t>
      </w:r>
      <w:proofErr w:type="spellEnd"/>
      <w:r w:rsidRPr="00404733">
        <w:t xml:space="preserve"> aspects of the submission. </w:t>
      </w:r>
      <w:r w:rsidR="00BF6923">
        <w:t>In particular, the PSC supported</w:t>
      </w:r>
      <w:r w:rsidRPr="00404733">
        <w:t xml:space="preserve"> the TGA’s request that the sponsor should continue long term stability studies under relevant conditions and to provide the TGA with data when available. </w:t>
      </w:r>
    </w:p>
    <w:p w:rsidR="00404733" w:rsidRPr="00404733" w:rsidRDefault="00404733" w:rsidP="00767BB2">
      <w:r w:rsidRPr="00404733">
        <w:t xml:space="preserve">The PSC </w:t>
      </w:r>
      <w:r w:rsidR="00BF6923">
        <w:t xml:space="preserve">also </w:t>
      </w:r>
      <w:r w:rsidRPr="00404733">
        <w:t xml:space="preserve">advised that the attention of the clinical delegate and the ACPM should be drawn to the impact of food on the bioavailability of </w:t>
      </w:r>
      <w:proofErr w:type="spellStart"/>
      <w:r w:rsidRPr="00404733">
        <w:t>vismodegib</w:t>
      </w:r>
      <w:proofErr w:type="spellEnd"/>
      <w:r w:rsidRPr="00404733">
        <w:t xml:space="preserve"> from this product.</w:t>
      </w:r>
      <w:r w:rsidR="00F828C8">
        <w:t xml:space="preserve"> </w:t>
      </w:r>
    </w:p>
    <w:p w:rsidR="00404733" w:rsidRPr="00404733" w:rsidRDefault="00B676B7" w:rsidP="00767BB2">
      <w:r>
        <w:t xml:space="preserve">Revisions to the draft PI were also recommended but details of these are beyond the scope of the AusPAR. </w:t>
      </w:r>
    </w:p>
    <w:p w:rsidR="008E7846" w:rsidRPr="008751DC" w:rsidRDefault="008E7846" w:rsidP="00767BB2">
      <w:pPr>
        <w:pStyle w:val="Heading3"/>
      </w:pPr>
      <w:bookmarkStart w:id="29" w:name="_Toc247691509"/>
      <w:bookmarkStart w:id="30" w:name="_Toc314842493"/>
      <w:bookmarkStart w:id="31" w:name="_Toc370129084"/>
      <w:r>
        <w:t>Quality s</w:t>
      </w:r>
      <w:r w:rsidRPr="008751DC">
        <w:t>ummary</w:t>
      </w:r>
      <w:r>
        <w:t xml:space="preserve"> and conclusions</w:t>
      </w:r>
      <w:bookmarkEnd w:id="29"/>
      <w:bookmarkEnd w:id="30"/>
      <w:bookmarkEnd w:id="31"/>
    </w:p>
    <w:p w:rsidR="008E7846" w:rsidRPr="00404733" w:rsidRDefault="00404733" w:rsidP="00767BB2">
      <w:r w:rsidRPr="00404733">
        <w:t xml:space="preserve">There are some clarifications and assurances needed from Roche, but it is anticipated that these will be received by the time of the ACPM meeting. In that case registration would be recommended with respect to chemistry and </w:t>
      </w:r>
      <w:proofErr w:type="spellStart"/>
      <w:r w:rsidRPr="00404733">
        <w:t>biopharmaceutic</w:t>
      </w:r>
      <w:proofErr w:type="spellEnd"/>
      <w:r w:rsidRPr="00404733">
        <w:t xml:space="preserve"> aspects.</w:t>
      </w:r>
    </w:p>
    <w:p w:rsidR="008E7846" w:rsidRDefault="008E7846" w:rsidP="00767BB2">
      <w:pPr>
        <w:pStyle w:val="Heading2"/>
      </w:pPr>
      <w:bookmarkStart w:id="32" w:name="_Toc196046439"/>
      <w:bookmarkStart w:id="33" w:name="_Toc247691510"/>
      <w:bookmarkStart w:id="34" w:name="_Toc314842494"/>
      <w:bookmarkStart w:id="35" w:name="_Toc370129085"/>
      <w:r>
        <w:t>III. Nonclinical</w:t>
      </w:r>
      <w:bookmarkEnd w:id="32"/>
      <w:r>
        <w:t xml:space="preserve"> findings</w:t>
      </w:r>
      <w:bookmarkEnd w:id="33"/>
      <w:bookmarkEnd w:id="34"/>
      <w:bookmarkEnd w:id="35"/>
    </w:p>
    <w:p w:rsidR="008E7846" w:rsidRDefault="008E7846" w:rsidP="00767BB2">
      <w:pPr>
        <w:pStyle w:val="Heading3"/>
      </w:pPr>
      <w:bookmarkStart w:id="36" w:name="_Toc247691511"/>
      <w:bookmarkStart w:id="37" w:name="_Toc314842495"/>
      <w:bookmarkStart w:id="38" w:name="_Toc370129086"/>
      <w:r>
        <w:t>Introduction</w:t>
      </w:r>
      <w:bookmarkEnd w:id="36"/>
      <w:bookmarkEnd w:id="37"/>
      <w:bookmarkEnd w:id="38"/>
    </w:p>
    <w:p w:rsidR="00DD49AC" w:rsidRPr="00DD49AC" w:rsidRDefault="00DD49AC" w:rsidP="00767BB2">
      <w:pPr>
        <w:pStyle w:val="Heading4"/>
        <w:rPr>
          <w:kern w:val="22"/>
        </w:rPr>
      </w:pPr>
      <w:bookmarkStart w:id="39" w:name="_Toc341712573"/>
      <w:r w:rsidRPr="00DD49AC">
        <w:rPr>
          <w:kern w:val="22"/>
        </w:rPr>
        <w:t>Overall quality of the nonclinical dossier</w:t>
      </w:r>
      <w:bookmarkEnd w:id="39"/>
    </w:p>
    <w:p w:rsidR="00DD49AC" w:rsidRPr="003C5A8B" w:rsidRDefault="00DD49AC" w:rsidP="00767BB2">
      <w:r w:rsidRPr="00DD49AC">
        <w:rPr>
          <w:kern w:val="22"/>
        </w:rPr>
        <w:t xml:space="preserve">The nonclinical studies were reasonably well presented, although there was little analysis of the clinical significance of the results or the relative exposure compared to the clinical studies. The safety-related studies were all </w:t>
      </w:r>
      <w:r w:rsidR="003C5A8B">
        <w:rPr>
          <w:kern w:val="22"/>
        </w:rPr>
        <w:t>compliant with principles of good laboratory practice (</w:t>
      </w:r>
      <w:r w:rsidRPr="00DD49AC">
        <w:rPr>
          <w:kern w:val="22"/>
        </w:rPr>
        <w:t>GLP</w:t>
      </w:r>
      <w:r w:rsidR="003C5A8B">
        <w:rPr>
          <w:kern w:val="22"/>
        </w:rPr>
        <w:t>)</w:t>
      </w:r>
      <w:r w:rsidRPr="00DD49AC">
        <w:rPr>
          <w:kern w:val="22"/>
        </w:rPr>
        <w:t>.</w:t>
      </w:r>
      <w:r w:rsidR="003C5A8B">
        <w:rPr>
          <w:kern w:val="22"/>
        </w:rPr>
        <w:t xml:space="preserve"> </w:t>
      </w:r>
      <w:r w:rsidRPr="00DD49AC">
        <w:rPr>
          <w:kern w:val="22"/>
        </w:rPr>
        <w:t>The range of safety pharmacology studies was limited but consistent with ICH</w:t>
      </w:r>
      <w:r w:rsidR="00664368">
        <w:rPr>
          <w:rStyle w:val="FootnoteReference"/>
          <w:kern w:val="22"/>
        </w:rPr>
        <w:footnoteReference w:id="1"/>
      </w:r>
      <w:r w:rsidRPr="00DD49AC">
        <w:rPr>
          <w:kern w:val="22"/>
        </w:rPr>
        <w:t xml:space="preserve"> guidelines for anticancer drugs.</w:t>
      </w:r>
      <w:r w:rsidR="003C5A8B">
        <w:rPr>
          <w:kern w:val="22"/>
        </w:rPr>
        <w:t xml:space="preserve"> </w:t>
      </w:r>
      <w:r w:rsidRPr="00DD49AC">
        <w:rPr>
          <w:kern w:val="22"/>
        </w:rPr>
        <w:t xml:space="preserve">The repeat dose studies were consistent with </w:t>
      </w:r>
      <w:r w:rsidR="00664368">
        <w:rPr>
          <w:kern w:val="22"/>
        </w:rPr>
        <w:t>the European Medicines Agency (EMA)/</w:t>
      </w:r>
      <w:r w:rsidRPr="00DD49AC">
        <w:rPr>
          <w:kern w:val="22"/>
        </w:rPr>
        <w:t xml:space="preserve">ICH </w:t>
      </w:r>
      <w:r w:rsidR="006D1673">
        <w:rPr>
          <w:kern w:val="22"/>
        </w:rPr>
        <w:t xml:space="preserve">S9 </w:t>
      </w:r>
      <w:r w:rsidR="00664368">
        <w:t>guideline</w:t>
      </w:r>
      <w:r w:rsidRPr="003C5A8B">
        <w:t xml:space="preserve"> </w:t>
      </w:r>
      <w:r w:rsidR="00664368" w:rsidRPr="00664368">
        <w:rPr>
          <w:i/>
        </w:rPr>
        <w:t>Nonclinical Evaluation for Anticancer Pharmaceuticals</w:t>
      </w:r>
      <w:r w:rsidR="00664368" w:rsidRPr="00664368">
        <w:t xml:space="preserve"> </w:t>
      </w:r>
      <w:r w:rsidRPr="00664368">
        <w:t>(</w:t>
      </w:r>
      <w:r w:rsidRPr="003C5A8B">
        <w:t>EMEA/CHMP/ICH/646107/2008) for drugs to be used in patients with advanced cancer.</w:t>
      </w:r>
      <w:r w:rsidR="003C5A8B" w:rsidRPr="003C5A8B">
        <w:t xml:space="preserve"> </w:t>
      </w:r>
    </w:p>
    <w:p w:rsidR="00DD49AC" w:rsidRPr="00DD49AC" w:rsidRDefault="00DD49AC" w:rsidP="00767BB2">
      <w:pPr>
        <w:pStyle w:val="Heading4"/>
        <w:rPr>
          <w:kern w:val="22"/>
        </w:rPr>
      </w:pPr>
      <w:bookmarkStart w:id="40" w:name="_Toc294861723"/>
      <w:bookmarkStart w:id="41" w:name="_Toc295290865"/>
      <w:bookmarkStart w:id="42" w:name="_Toc341712574"/>
      <w:r w:rsidRPr="00DD49AC">
        <w:rPr>
          <w:kern w:val="22"/>
        </w:rPr>
        <w:t>Primary pharmacology</w:t>
      </w:r>
      <w:bookmarkEnd w:id="40"/>
      <w:bookmarkEnd w:id="41"/>
      <w:bookmarkEnd w:id="42"/>
    </w:p>
    <w:p w:rsidR="00DD49AC" w:rsidRPr="00DD49AC" w:rsidRDefault="00DD49AC" w:rsidP="00767BB2">
      <w:pPr>
        <w:pStyle w:val="Heading5"/>
        <w:rPr>
          <w:kern w:val="22"/>
        </w:rPr>
      </w:pPr>
      <w:r w:rsidRPr="00DD49AC">
        <w:rPr>
          <w:kern w:val="22"/>
        </w:rPr>
        <w:t>Mechanism of action</w:t>
      </w:r>
    </w:p>
    <w:p w:rsidR="00DD49AC" w:rsidRPr="00DD49AC" w:rsidRDefault="00DD49AC" w:rsidP="00767BB2">
      <w:pPr>
        <w:rPr>
          <w:kern w:val="22"/>
        </w:rPr>
      </w:pPr>
      <w:r w:rsidRPr="00DD49AC">
        <w:rPr>
          <w:kern w:val="22"/>
        </w:rPr>
        <w:t xml:space="preserve">Vismodegib acts as an inhibitor of the </w:t>
      </w:r>
      <w:proofErr w:type="spellStart"/>
      <w:r w:rsidRPr="00DD49AC">
        <w:rPr>
          <w:kern w:val="22"/>
        </w:rPr>
        <w:t>Hh</w:t>
      </w:r>
      <w:proofErr w:type="spellEnd"/>
      <w:r w:rsidRPr="00DD49AC">
        <w:rPr>
          <w:kern w:val="22"/>
        </w:rPr>
        <w:t xml:space="preserve"> signalling pathway, which has been implicated in the development of BCC and other cancers.</w:t>
      </w:r>
      <w:r w:rsidR="003C5A8B">
        <w:rPr>
          <w:kern w:val="22"/>
        </w:rPr>
        <w:t xml:space="preserve"> </w:t>
      </w:r>
      <w:r w:rsidRPr="00DD49AC">
        <w:rPr>
          <w:kern w:val="22"/>
        </w:rPr>
        <w:t xml:space="preserve">Vismodegib is reported to bind to and inhibit SMO, a </w:t>
      </w:r>
      <w:proofErr w:type="spellStart"/>
      <w:r w:rsidRPr="00DD49AC">
        <w:rPr>
          <w:kern w:val="22"/>
        </w:rPr>
        <w:t>transmembrane</w:t>
      </w:r>
      <w:proofErr w:type="spellEnd"/>
      <w:r w:rsidRPr="00DD49AC">
        <w:rPr>
          <w:kern w:val="22"/>
        </w:rPr>
        <w:t xml:space="preserve"> protein, thus inhibiting the transmission of the </w:t>
      </w:r>
      <w:proofErr w:type="spellStart"/>
      <w:r w:rsidRPr="00DD49AC">
        <w:rPr>
          <w:kern w:val="22"/>
        </w:rPr>
        <w:t>Hh</w:t>
      </w:r>
      <w:proofErr w:type="spellEnd"/>
      <w:r w:rsidRPr="00DD49AC">
        <w:rPr>
          <w:kern w:val="22"/>
        </w:rPr>
        <w:t xml:space="preserve"> signal. </w:t>
      </w:r>
    </w:p>
    <w:p w:rsidR="00DD49AC" w:rsidRPr="00DD49AC" w:rsidRDefault="00DD49AC" w:rsidP="00767BB2">
      <w:pPr>
        <w:pStyle w:val="Heading5"/>
        <w:rPr>
          <w:kern w:val="22"/>
        </w:rPr>
      </w:pPr>
      <w:r w:rsidRPr="00DD49AC">
        <w:rPr>
          <w:kern w:val="22"/>
        </w:rPr>
        <w:t>In vitro studies</w:t>
      </w:r>
    </w:p>
    <w:p w:rsidR="00DD49AC" w:rsidRPr="00DD49AC" w:rsidRDefault="00DD49AC" w:rsidP="00767BB2">
      <w:pPr>
        <w:rPr>
          <w:kern w:val="22"/>
        </w:rPr>
      </w:pPr>
      <w:r w:rsidRPr="00DD49AC">
        <w:rPr>
          <w:i/>
          <w:kern w:val="22"/>
        </w:rPr>
        <w:t xml:space="preserve">In vitro </w:t>
      </w:r>
      <w:r w:rsidRPr="00DD49AC">
        <w:rPr>
          <w:kern w:val="22"/>
        </w:rPr>
        <w:t xml:space="preserve">studies in mouse and </w:t>
      </w:r>
      <w:r w:rsidR="00664368">
        <w:rPr>
          <w:kern w:val="22"/>
        </w:rPr>
        <w:t xml:space="preserve">human cell lines (carrying a </w:t>
      </w:r>
      <w:proofErr w:type="spellStart"/>
      <w:r w:rsidR="00664368">
        <w:rPr>
          <w:kern w:val="22"/>
        </w:rPr>
        <w:t>GLi</w:t>
      </w:r>
      <w:proofErr w:type="spellEnd"/>
      <w:r w:rsidRPr="00DD49AC">
        <w:rPr>
          <w:kern w:val="22"/>
        </w:rPr>
        <w:t xml:space="preserve">-responsive promoter driving expression of </w:t>
      </w:r>
      <w:proofErr w:type="spellStart"/>
      <w:r w:rsidRPr="00DD49AC">
        <w:rPr>
          <w:kern w:val="22"/>
        </w:rPr>
        <w:t>luciferase</w:t>
      </w:r>
      <w:proofErr w:type="spellEnd"/>
      <w:r w:rsidRPr="00DD49AC">
        <w:rPr>
          <w:kern w:val="22"/>
        </w:rPr>
        <w:t xml:space="preserve">) confirmed the ability of </w:t>
      </w:r>
      <w:proofErr w:type="spellStart"/>
      <w:r w:rsidRPr="00DD49AC">
        <w:rPr>
          <w:kern w:val="22"/>
        </w:rPr>
        <w:t>vismodegib</w:t>
      </w:r>
      <w:proofErr w:type="spellEnd"/>
      <w:r w:rsidRPr="00DD49AC">
        <w:rPr>
          <w:kern w:val="22"/>
        </w:rPr>
        <w:t xml:space="preserve"> to inhibit </w:t>
      </w:r>
      <w:proofErr w:type="spellStart"/>
      <w:r w:rsidRPr="00DD49AC">
        <w:rPr>
          <w:kern w:val="22"/>
        </w:rPr>
        <w:t>Hh</w:t>
      </w:r>
      <w:proofErr w:type="spellEnd"/>
      <w:r w:rsidRPr="00DD49AC">
        <w:rPr>
          <w:kern w:val="22"/>
        </w:rPr>
        <w:t xml:space="preserve"> signalling with </w:t>
      </w:r>
      <w:r w:rsidR="0092442C">
        <w:rPr>
          <w:kern w:val="22"/>
        </w:rPr>
        <w:t>50% maximal inhibitory concentration (</w:t>
      </w:r>
      <w:r w:rsidRPr="00DD49AC">
        <w:rPr>
          <w:kern w:val="22"/>
        </w:rPr>
        <w:t>IC</w:t>
      </w:r>
      <w:r w:rsidRPr="00DD49AC">
        <w:rPr>
          <w:kern w:val="22"/>
          <w:vertAlign w:val="subscript"/>
        </w:rPr>
        <w:t>50</w:t>
      </w:r>
      <w:r w:rsidR="0092442C">
        <w:rPr>
          <w:kern w:val="22"/>
        </w:rPr>
        <w:t xml:space="preserve">) </w:t>
      </w:r>
      <w:r w:rsidRPr="00DD49AC">
        <w:rPr>
          <w:kern w:val="22"/>
        </w:rPr>
        <w:t>values of 2.8 and 12.7nM, respectively.</w:t>
      </w:r>
      <w:r w:rsidR="003C5A8B">
        <w:rPr>
          <w:kern w:val="22"/>
        </w:rPr>
        <w:t xml:space="preserve"> </w:t>
      </w:r>
      <w:r w:rsidRPr="00DD49AC">
        <w:rPr>
          <w:kern w:val="22"/>
        </w:rPr>
        <w:t>There was no activity of vismodegib in control assays (IC</w:t>
      </w:r>
      <w:r w:rsidRPr="0092442C">
        <w:rPr>
          <w:kern w:val="22"/>
          <w:vertAlign w:val="subscript"/>
        </w:rPr>
        <w:t>50</w:t>
      </w:r>
      <w:r w:rsidRPr="00DD49AC">
        <w:rPr>
          <w:kern w:val="22"/>
        </w:rPr>
        <w:t>≥50µM).</w:t>
      </w:r>
      <w:r w:rsidR="003C5A8B">
        <w:rPr>
          <w:kern w:val="22"/>
        </w:rPr>
        <w:t xml:space="preserve"> </w:t>
      </w:r>
    </w:p>
    <w:p w:rsidR="00DD49AC" w:rsidRPr="00DD49AC" w:rsidRDefault="00DD49AC" w:rsidP="00767BB2">
      <w:pPr>
        <w:pStyle w:val="Heading5"/>
        <w:rPr>
          <w:kern w:val="22"/>
        </w:rPr>
      </w:pPr>
      <w:r w:rsidRPr="00DD49AC">
        <w:rPr>
          <w:kern w:val="22"/>
        </w:rPr>
        <w:t>In vivo studies</w:t>
      </w:r>
    </w:p>
    <w:p w:rsidR="00DD49AC" w:rsidRPr="00DD49AC" w:rsidRDefault="00DD49AC" w:rsidP="00767BB2">
      <w:pPr>
        <w:rPr>
          <w:kern w:val="22"/>
        </w:rPr>
      </w:pPr>
      <w:r w:rsidRPr="00DD49AC">
        <w:rPr>
          <w:kern w:val="22"/>
        </w:rPr>
        <w:t xml:space="preserve">Vismodegib was tested for its ability to inhibit tumour growth in an allograft tumour model in mice as well as in patient-derived cancer </w:t>
      </w:r>
      <w:proofErr w:type="spellStart"/>
      <w:r w:rsidRPr="00DD49AC">
        <w:rPr>
          <w:kern w:val="22"/>
        </w:rPr>
        <w:t>xenografts</w:t>
      </w:r>
      <w:proofErr w:type="spellEnd"/>
      <w:r w:rsidRPr="00DD49AC">
        <w:rPr>
          <w:kern w:val="22"/>
        </w:rPr>
        <w:t xml:space="preserve"> in mice.</w:t>
      </w:r>
      <w:r w:rsidR="003C5A8B">
        <w:rPr>
          <w:kern w:val="22"/>
        </w:rPr>
        <w:t xml:space="preserve"> </w:t>
      </w:r>
      <w:r w:rsidRPr="00DD49AC">
        <w:rPr>
          <w:kern w:val="22"/>
        </w:rPr>
        <w:t xml:space="preserve">Regression of a </w:t>
      </w:r>
      <w:proofErr w:type="spellStart"/>
      <w:r w:rsidRPr="00DD49AC">
        <w:rPr>
          <w:kern w:val="22"/>
        </w:rPr>
        <w:t>medulloblastoma</w:t>
      </w:r>
      <w:proofErr w:type="spellEnd"/>
      <w:r w:rsidRPr="00DD49AC">
        <w:rPr>
          <w:kern w:val="22"/>
        </w:rPr>
        <w:t xml:space="preserve"> allograph tumour in mice by day 14 was achieved by daily </w:t>
      </w:r>
      <w:r w:rsidR="0092442C">
        <w:rPr>
          <w:kern w:val="22"/>
        </w:rPr>
        <w:t>oral (</w:t>
      </w:r>
      <w:r w:rsidRPr="00DD49AC">
        <w:rPr>
          <w:kern w:val="22"/>
        </w:rPr>
        <w:t>PO</w:t>
      </w:r>
      <w:r w:rsidR="0092442C">
        <w:rPr>
          <w:kern w:val="22"/>
        </w:rPr>
        <w:t>)</w:t>
      </w:r>
      <w:r w:rsidRPr="00DD49AC">
        <w:rPr>
          <w:kern w:val="22"/>
        </w:rPr>
        <w:t xml:space="preserve"> doses of ≥25</w:t>
      </w:r>
      <w:r w:rsidR="00F534E1">
        <w:rPr>
          <w:kern w:val="22"/>
        </w:rPr>
        <w:t> </w:t>
      </w:r>
      <w:r w:rsidRPr="00DD49AC">
        <w:rPr>
          <w:kern w:val="22"/>
        </w:rPr>
        <w:t xml:space="preserve">mg/kg vismodegib, with a </w:t>
      </w:r>
      <w:r w:rsidR="0092442C">
        <w:rPr>
          <w:kern w:val="22"/>
        </w:rPr>
        <w:t>50% effective dose (</w:t>
      </w:r>
      <w:r w:rsidRPr="00DD49AC">
        <w:rPr>
          <w:kern w:val="22"/>
        </w:rPr>
        <w:t>ED</w:t>
      </w:r>
      <w:r w:rsidRPr="00DD49AC">
        <w:rPr>
          <w:kern w:val="22"/>
          <w:vertAlign w:val="subscript"/>
        </w:rPr>
        <w:t>50</w:t>
      </w:r>
      <w:r w:rsidR="0092442C">
        <w:rPr>
          <w:kern w:val="22"/>
        </w:rPr>
        <w:t xml:space="preserve">) </w:t>
      </w:r>
      <w:r w:rsidRPr="00DD49AC">
        <w:rPr>
          <w:kern w:val="22"/>
        </w:rPr>
        <w:t>of 5.8 mg/kg.</w:t>
      </w:r>
      <w:r w:rsidR="003C5A8B">
        <w:rPr>
          <w:kern w:val="22"/>
        </w:rPr>
        <w:t xml:space="preserve"> </w:t>
      </w:r>
      <w:r w:rsidRPr="00DD49AC">
        <w:rPr>
          <w:kern w:val="22"/>
        </w:rPr>
        <w:t xml:space="preserve">The anti-tumour activity of vismodegib in this allograft tumour correlated with inhibition of the </w:t>
      </w:r>
      <w:proofErr w:type="spellStart"/>
      <w:r w:rsidRPr="00DD49AC">
        <w:rPr>
          <w:kern w:val="22"/>
        </w:rPr>
        <w:t>Hh</w:t>
      </w:r>
      <w:proofErr w:type="spellEnd"/>
      <w:r w:rsidRPr="00DD49AC">
        <w:rPr>
          <w:kern w:val="22"/>
        </w:rPr>
        <w:t xml:space="preserve"> pathway (measured by expression of </w:t>
      </w:r>
      <w:r w:rsidRPr="0092442C">
        <w:rPr>
          <w:kern w:val="22"/>
        </w:rPr>
        <w:t>Gli1</w:t>
      </w:r>
      <w:r w:rsidRPr="00DD49AC">
        <w:rPr>
          <w:kern w:val="22"/>
        </w:rPr>
        <w:t xml:space="preserve"> in the tumour). Maximum repression of the </w:t>
      </w:r>
      <w:proofErr w:type="spellStart"/>
      <w:r w:rsidRPr="00DD49AC">
        <w:rPr>
          <w:kern w:val="22"/>
        </w:rPr>
        <w:t>Hh</w:t>
      </w:r>
      <w:proofErr w:type="spellEnd"/>
      <w:r w:rsidRPr="00DD49AC">
        <w:rPr>
          <w:kern w:val="22"/>
        </w:rPr>
        <w:t xml:space="preserve"> pathway was seen at total plasma concentrations &gt;1µM (approx</w:t>
      </w:r>
      <w:r w:rsidR="0092442C">
        <w:rPr>
          <w:kern w:val="22"/>
        </w:rPr>
        <w:t>imately</w:t>
      </w:r>
      <w:r w:rsidRPr="00DD49AC">
        <w:rPr>
          <w:kern w:val="22"/>
        </w:rPr>
        <w:t xml:space="preserve"> 4% steady state total plasma concentration in clinical studies).</w:t>
      </w:r>
      <w:r w:rsidR="003C5A8B">
        <w:rPr>
          <w:kern w:val="22"/>
        </w:rPr>
        <w:t xml:space="preserve"> </w:t>
      </w:r>
      <w:r w:rsidRPr="00DD49AC">
        <w:rPr>
          <w:kern w:val="22"/>
        </w:rPr>
        <w:t xml:space="preserve">Inhibition of the growth of a patient-derived colorectal cancer </w:t>
      </w:r>
      <w:proofErr w:type="spellStart"/>
      <w:r w:rsidRPr="00DD49AC">
        <w:rPr>
          <w:kern w:val="22"/>
        </w:rPr>
        <w:t>xenograft</w:t>
      </w:r>
      <w:proofErr w:type="spellEnd"/>
      <w:r w:rsidRPr="00DD49AC">
        <w:rPr>
          <w:kern w:val="22"/>
        </w:rPr>
        <w:t xml:space="preserve"> D5123 in mice correlated with inhibition of the </w:t>
      </w:r>
      <w:proofErr w:type="spellStart"/>
      <w:r w:rsidRPr="00DD49AC">
        <w:rPr>
          <w:kern w:val="22"/>
        </w:rPr>
        <w:t>Hh</w:t>
      </w:r>
      <w:proofErr w:type="spellEnd"/>
      <w:r w:rsidRPr="00DD49AC">
        <w:rPr>
          <w:kern w:val="22"/>
        </w:rPr>
        <w:t xml:space="preserve"> pathway (</w:t>
      </w:r>
      <w:r w:rsidRPr="0092442C">
        <w:rPr>
          <w:kern w:val="22"/>
        </w:rPr>
        <w:t>Gli1</w:t>
      </w:r>
      <w:r w:rsidR="0092442C">
        <w:rPr>
          <w:kern w:val="22"/>
        </w:rPr>
        <w:t xml:space="preserve"> </w:t>
      </w:r>
      <w:r w:rsidRPr="00DD49AC">
        <w:rPr>
          <w:kern w:val="22"/>
        </w:rPr>
        <w:t>suppression) in the tumour, with maximum inhibition at 69</w:t>
      </w:r>
      <w:r w:rsidR="00F534E1">
        <w:rPr>
          <w:kern w:val="22"/>
        </w:rPr>
        <w:t xml:space="preserve"> </w:t>
      </w:r>
      <w:r w:rsidRPr="00DD49AC">
        <w:rPr>
          <w:kern w:val="22"/>
        </w:rPr>
        <w:t>mg/kg, equivalent to a total plasma concentration of 19µM (approx</w:t>
      </w:r>
      <w:r w:rsidR="0092442C">
        <w:rPr>
          <w:kern w:val="22"/>
        </w:rPr>
        <w:t>imately</w:t>
      </w:r>
      <w:r w:rsidRPr="00DD49AC">
        <w:rPr>
          <w:kern w:val="22"/>
        </w:rPr>
        <w:t xml:space="preserve"> 82% </w:t>
      </w:r>
      <w:r w:rsidR="0092442C">
        <w:rPr>
          <w:kern w:val="22"/>
        </w:rPr>
        <w:t xml:space="preserve">of </w:t>
      </w:r>
      <w:r w:rsidRPr="00DD49AC">
        <w:rPr>
          <w:kern w:val="22"/>
        </w:rPr>
        <w:t>steady state total plasma conc</w:t>
      </w:r>
      <w:r w:rsidR="0092442C">
        <w:rPr>
          <w:kern w:val="22"/>
        </w:rPr>
        <w:t xml:space="preserve">entrations </w:t>
      </w:r>
      <w:r w:rsidRPr="00DD49AC">
        <w:rPr>
          <w:kern w:val="22"/>
        </w:rPr>
        <w:t xml:space="preserve">in clinical studies). Similarly, inhibition of the growth of a primary human pancreatic </w:t>
      </w:r>
      <w:proofErr w:type="spellStart"/>
      <w:r w:rsidRPr="00DD49AC">
        <w:rPr>
          <w:kern w:val="22"/>
        </w:rPr>
        <w:t>adenocarcinoma</w:t>
      </w:r>
      <w:proofErr w:type="spellEnd"/>
      <w:r w:rsidRPr="00DD49AC">
        <w:rPr>
          <w:kern w:val="22"/>
        </w:rPr>
        <w:t xml:space="preserve"> </w:t>
      </w:r>
      <w:proofErr w:type="spellStart"/>
      <w:r w:rsidRPr="00DD49AC">
        <w:rPr>
          <w:kern w:val="22"/>
        </w:rPr>
        <w:t>xenograph</w:t>
      </w:r>
      <w:proofErr w:type="spellEnd"/>
      <w:r w:rsidRPr="00DD49AC">
        <w:rPr>
          <w:kern w:val="22"/>
        </w:rPr>
        <w:t xml:space="preserve"> D5124 in mice correlated with inhibition of the </w:t>
      </w:r>
      <w:proofErr w:type="spellStart"/>
      <w:r w:rsidRPr="00DD49AC">
        <w:rPr>
          <w:kern w:val="22"/>
        </w:rPr>
        <w:t>Hh</w:t>
      </w:r>
      <w:proofErr w:type="spellEnd"/>
      <w:r w:rsidRPr="00DD49AC">
        <w:rPr>
          <w:kern w:val="22"/>
        </w:rPr>
        <w:t xml:space="preserve"> pathway (Gli1 </w:t>
      </w:r>
      <w:r w:rsidR="0092442C">
        <w:rPr>
          <w:kern w:val="22"/>
        </w:rPr>
        <w:t>messenger ribonucleic acid (</w:t>
      </w:r>
      <w:r w:rsidRPr="00DD49AC">
        <w:rPr>
          <w:kern w:val="22"/>
        </w:rPr>
        <w:t>mRNA</w:t>
      </w:r>
      <w:r w:rsidR="0092442C">
        <w:rPr>
          <w:kern w:val="22"/>
        </w:rPr>
        <w:t>)</w:t>
      </w:r>
      <w:r w:rsidRPr="00DD49AC">
        <w:rPr>
          <w:kern w:val="22"/>
        </w:rPr>
        <w:t xml:space="preserve"> suppression) in the tumour with significant inhibition at a total plasma concentration of 69</w:t>
      </w:r>
      <w:r w:rsidR="00F534E1">
        <w:rPr>
          <w:kern w:val="22"/>
        </w:rPr>
        <w:t xml:space="preserve"> </w:t>
      </w:r>
      <w:r w:rsidRPr="00DD49AC">
        <w:rPr>
          <w:kern w:val="22"/>
        </w:rPr>
        <w:t xml:space="preserve">mg/kg (equivalent to </w:t>
      </w:r>
      <w:r w:rsidR="001E3569" w:rsidRPr="00DD49AC">
        <w:rPr>
          <w:kern w:val="22"/>
        </w:rPr>
        <w:t>approx</w:t>
      </w:r>
      <w:r w:rsidR="001E3569">
        <w:rPr>
          <w:kern w:val="22"/>
        </w:rPr>
        <w:t>imately</w:t>
      </w:r>
      <w:r w:rsidRPr="00DD49AC">
        <w:rPr>
          <w:kern w:val="22"/>
        </w:rPr>
        <w:t xml:space="preserve"> 82</w:t>
      </w:r>
      <w:r w:rsidR="001E3569">
        <w:rPr>
          <w:kern w:val="22"/>
        </w:rPr>
        <w:t>% steady state total plasma con</w:t>
      </w:r>
      <w:r w:rsidR="0092442C">
        <w:rPr>
          <w:kern w:val="22"/>
        </w:rPr>
        <w:t>centrations</w:t>
      </w:r>
      <w:r w:rsidRPr="00DD49AC">
        <w:rPr>
          <w:kern w:val="22"/>
        </w:rPr>
        <w:t xml:space="preserve"> in clinical studies). </w:t>
      </w:r>
    </w:p>
    <w:p w:rsidR="00DD49AC" w:rsidRPr="00DD49AC" w:rsidRDefault="00DD49AC" w:rsidP="00767BB2">
      <w:pPr>
        <w:pStyle w:val="Heading3"/>
        <w:rPr>
          <w:kern w:val="22"/>
        </w:rPr>
      </w:pPr>
      <w:bookmarkStart w:id="43" w:name="_Toc341712575"/>
      <w:bookmarkStart w:id="44" w:name="_Toc370129087"/>
      <w:r w:rsidRPr="00DD49AC">
        <w:rPr>
          <w:kern w:val="22"/>
        </w:rPr>
        <w:t>Secondary pharmacodynamics</w:t>
      </w:r>
      <w:bookmarkEnd w:id="43"/>
      <w:bookmarkEnd w:id="44"/>
    </w:p>
    <w:p w:rsidR="00DD49AC" w:rsidRPr="00DD49AC" w:rsidRDefault="00DD49AC" w:rsidP="00767BB2">
      <w:pPr>
        <w:rPr>
          <w:b/>
          <w:kern w:val="22"/>
        </w:rPr>
      </w:pPr>
      <w:r w:rsidRPr="00DD49AC">
        <w:rPr>
          <w:kern w:val="22"/>
        </w:rPr>
        <w:t xml:space="preserve">Secondary pharmacodynamic studies evaluated whether hair follicles and skin can be used as surrogate tissues for </w:t>
      </w:r>
      <w:proofErr w:type="spellStart"/>
      <w:r w:rsidRPr="00DD49AC">
        <w:rPr>
          <w:kern w:val="22"/>
        </w:rPr>
        <w:t>Hh</w:t>
      </w:r>
      <w:proofErr w:type="spellEnd"/>
      <w:r w:rsidRPr="00DD49AC">
        <w:rPr>
          <w:kern w:val="22"/>
        </w:rPr>
        <w:t xml:space="preserve"> pathway suppression.</w:t>
      </w:r>
      <w:r w:rsidR="003C5A8B">
        <w:rPr>
          <w:kern w:val="22"/>
        </w:rPr>
        <w:t xml:space="preserve"> </w:t>
      </w:r>
      <w:r w:rsidRPr="00DD49AC">
        <w:rPr>
          <w:kern w:val="22"/>
        </w:rPr>
        <w:t>At 100</w:t>
      </w:r>
      <w:r w:rsidR="00F534E1">
        <w:rPr>
          <w:kern w:val="22"/>
        </w:rPr>
        <w:t xml:space="preserve"> </w:t>
      </w:r>
      <w:r w:rsidRPr="00DD49AC">
        <w:rPr>
          <w:kern w:val="22"/>
        </w:rPr>
        <w:t xml:space="preserve">mg/kg vismodegib </w:t>
      </w:r>
      <w:r w:rsidR="0092442C">
        <w:rPr>
          <w:kern w:val="22"/>
        </w:rPr>
        <w:t xml:space="preserve">twice daily </w:t>
      </w:r>
      <w:r w:rsidRPr="00DD49AC">
        <w:rPr>
          <w:kern w:val="22"/>
        </w:rPr>
        <w:t xml:space="preserve">for 5 total doses, </w:t>
      </w:r>
      <w:proofErr w:type="spellStart"/>
      <w:r w:rsidRPr="00DD49AC">
        <w:rPr>
          <w:kern w:val="22"/>
        </w:rPr>
        <w:t>Hh</w:t>
      </w:r>
      <w:proofErr w:type="spellEnd"/>
      <w:r w:rsidRPr="00DD49AC">
        <w:rPr>
          <w:kern w:val="22"/>
        </w:rPr>
        <w:t xml:space="preserve"> suppression (measured as </w:t>
      </w:r>
      <w:r w:rsidRPr="0092442C">
        <w:rPr>
          <w:kern w:val="22"/>
        </w:rPr>
        <w:t xml:space="preserve">Gli1 </w:t>
      </w:r>
      <w:r w:rsidRPr="00DD49AC">
        <w:rPr>
          <w:kern w:val="22"/>
        </w:rPr>
        <w:t>mRNA) was greater in skin than in hair follicles regardless of the growth phase.</w:t>
      </w:r>
    </w:p>
    <w:p w:rsidR="00DD49AC" w:rsidRPr="00DD49AC" w:rsidRDefault="00DD49AC" w:rsidP="00767BB2">
      <w:pPr>
        <w:pStyle w:val="Heading4"/>
        <w:rPr>
          <w:kern w:val="22"/>
        </w:rPr>
      </w:pPr>
      <w:bookmarkStart w:id="45" w:name="_Toc341712576"/>
      <w:r w:rsidRPr="00DD49AC">
        <w:rPr>
          <w:kern w:val="22"/>
        </w:rPr>
        <w:t>Safety pharmacology</w:t>
      </w:r>
      <w:bookmarkEnd w:id="45"/>
    </w:p>
    <w:p w:rsidR="001E3569" w:rsidRDefault="00DD49AC" w:rsidP="00767BB2">
      <w:pPr>
        <w:rPr>
          <w:kern w:val="22"/>
        </w:rPr>
      </w:pPr>
      <w:r w:rsidRPr="00DD49AC">
        <w:rPr>
          <w:i/>
          <w:kern w:val="22"/>
        </w:rPr>
        <w:t>In vitro</w:t>
      </w:r>
      <w:r w:rsidRPr="00DD49AC">
        <w:rPr>
          <w:kern w:val="22"/>
        </w:rPr>
        <w:t xml:space="preserve"> binding of vismodegib was examined against a wide range of common pharmacological receptors.</w:t>
      </w:r>
      <w:r w:rsidR="003C5A8B">
        <w:rPr>
          <w:kern w:val="22"/>
        </w:rPr>
        <w:t xml:space="preserve"> </w:t>
      </w:r>
      <w:r w:rsidRPr="00DD49AC">
        <w:rPr>
          <w:kern w:val="22"/>
        </w:rPr>
        <w:t>There was no significant binding (≥50% inhibition) at 10µM vismodegib (approx</w:t>
      </w:r>
      <w:r w:rsidR="0092442C">
        <w:rPr>
          <w:kern w:val="22"/>
        </w:rPr>
        <w:t>imately</w:t>
      </w:r>
      <w:r w:rsidRPr="00DD49AC">
        <w:rPr>
          <w:kern w:val="22"/>
        </w:rPr>
        <w:t xml:space="preserve"> 60 times the steady state unbound plasma concentration of 0.17µM in clinical studies).</w:t>
      </w:r>
      <w:r w:rsidR="003C5A8B">
        <w:rPr>
          <w:kern w:val="22"/>
        </w:rPr>
        <w:t xml:space="preserve"> </w:t>
      </w:r>
    </w:p>
    <w:p w:rsidR="001E3569" w:rsidRDefault="00DD49AC" w:rsidP="00767BB2">
      <w:pPr>
        <w:rPr>
          <w:kern w:val="22"/>
        </w:rPr>
      </w:pPr>
      <w:r w:rsidRPr="00DD49AC">
        <w:rPr>
          <w:kern w:val="22"/>
        </w:rPr>
        <w:t xml:space="preserve">Vismodegib inhibited </w:t>
      </w:r>
      <w:r w:rsidR="0092442C">
        <w:rPr>
          <w:kern w:val="22"/>
        </w:rPr>
        <w:t>human ether-a-go-go (</w:t>
      </w:r>
      <w:proofErr w:type="spellStart"/>
      <w:r w:rsidRPr="00DD49AC">
        <w:rPr>
          <w:kern w:val="22"/>
        </w:rPr>
        <w:t>hERG</w:t>
      </w:r>
      <w:proofErr w:type="spellEnd"/>
      <w:r w:rsidR="0092442C">
        <w:rPr>
          <w:kern w:val="22"/>
        </w:rPr>
        <w:t>) potassium</w:t>
      </w:r>
      <w:r w:rsidRPr="00DD49AC">
        <w:rPr>
          <w:kern w:val="22"/>
        </w:rPr>
        <w:t xml:space="preserve"> channel current in</w:t>
      </w:r>
      <w:r w:rsidR="0092442C">
        <w:rPr>
          <w:kern w:val="22"/>
        </w:rPr>
        <w:t xml:space="preserve"> human embryonic kidney cells with</w:t>
      </w:r>
      <w:r w:rsidRPr="00DD49AC">
        <w:rPr>
          <w:kern w:val="22"/>
        </w:rPr>
        <w:t xml:space="preserve"> a</w:t>
      </w:r>
      <w:r w:rsidR="0092442C">
        <w:rPr>
          <w:kern w:val="22"/>
        </w:rPr>
        <w:t xml:space="preserve"> concentration causing 50% inhibition (</w:t>
      </w:r>
      <w:r w:rsidRPr="00DD49AC">
        <w:rPr>
          <w:kern w:val="22"/>
        </w:rPr>
        <w:t>IC</w:t>
      </w:r>
      <w:r w:rsidRPr="00DD49AC">
        <w:rPr>
          <w:kern w:val="22"/>
          <w:vertAlign w:val="subscript"/>
        </w:rPr>
        <w:t>50</w:t>
      </w:r>
      <w:r w:rsidR="0092442C" w:rsidRPr="0092442C">
        <w:rPr>
          <w:kern w:val="22"/>
        </w:rPr>
        <w:t>)</w:t>
      </w:r>
      <w:r w:rsidRPr="00DD49AC">
        <w:rPr>
          <w:kern w:val="22"/>
        </w:rPr>
        <w:t xml:space="preserve"> of 37.2µM, compared with the positive control </w:t>
      </w:r>
      <w:proofErr w:type="spellStart"/>
      <w:r w:rsidRPr="00DD49AC">
        <w:rPr>
          <w:kern w:val="22"/>
        </w:rPr>
        <w:t>terfenadine</w:t>
      </w:r>
      <w:proofErr w:type="spellEnd"/>
      <w:r w:rsidRPr="00DD49AC">
        <w:rPr>
          <w:kern w:val="22"/>
        </w:rPr>
        <w:t xml:space="preserve"> at an IC</w:t>
      </w:r>
      <w:r w:rsidRPr="00DD49AC">
        <w:rPr>
          <w:kern w:val="22"/>
          <w:vertAlign w:val="subscript"/>
        </w:rPr>
        <w:t>50</w:t>
      </w:r>
      <w:r w:rsidRPr="00DD49AC">
        <w:rPr>
          <w:kern w:val="22"/>
        </w:rPr>
        <w:t xml:space="preserve"> of 60nM.</w:t>
      </w:r>
      <w:r w:rsidR="003C5A8B">
        <w:rPr>
          <w:kern w:val="22"/>
        </w:rPr>
        <w:t xml:space="preserve"> </w:t>
      </w:r>
      <w:r w:rsidRPr="00DD49AC">
        <w:rPr>
          <w:kern w:val="22"/>
        </w:rPr>
        <w:t>Based on this result, there is no potential for cardiac arrhythmia from vismodegib at clinical levels (approx</w:t>
      </w:r>
      <w:r w:rsidR="0092442C">
        <w:rPr>
          <w:kern w:val="22"/>
        </w:rPr>
        <w:t>imately</w:t>
      </w:r>
      <w:r w:rsidRPr="00DD49AC">
        <w:rPr>
          <w:kern w:val="22"/>
        </w:rPr>
        <w:t xml:space="preserve"> 200 times the steady state unbound plasma concentration of 0.17µM in clinical studies).</w:t>
      </w:r>
      <w:r w:rsidR="003C5A8B">
        <w:rPr>
          <w:kern w:val="22"/>
        </w:rPr>
        <w:t xml:space="preserve"> </w:t>
      </w:r>
    </w:p>
    <w:p w:rsidR="00DD49AC" w:rsidRPr="00DD49AC" w:rsidRDefault="00DD49AC" w:rsidP="00DD49AC">
      <w:pPr>
        <w:rPr>
          <w:kern w:val="22"/>
        </w:rPr>
      </w:pPr>
      <w:r w:rsidRPr="00DD49AC">
        <w:rPr>
          <w:kern w:val="22"/>
        </w:rPr>
        <w:t xml:space="preserve">In a dedicated safety pharmacology study in dogs, there were no treatment-related effects on cardiovascular parameters (including </w:t>
      </w:r>
      <w:r w:rsidR="0092442C">
        <w:rPr>
          <w:kern w:val="22"/>
        </w:rPr>
        <w:t>electrocardiogram (</w:t>
      </w:r>
      <w:r w:rsidRPr="00DD49AC">
        <w:rPr>
          <w:kern w:val="22"/>
        </w:rPr>
        <w:t>ECG</w:t>
      </w:r>
      <w:r w:rsidR="0092442C">
        <w:rPr>
          <w:kern w:val="22"/>
        </w:rPr>
        <w:t>)</w:t>
      </w:r>
      <w:r w:rsidRPr="00DD49AC">
        <w:rPr>
          <w:kern w:val="22"/>
        </w:rPr>
        <w:t xml:space="preserve">, </w:t>
      </w:r>
      <w:r w:rsidR="0092442C">
        <w:rPr>
          <w:kern w:val="22"/>
        </w:rPr>
        <w:t>blood pressure (</w:t>
      </w:r>
      <w:r w:rsidRPr="00DD49AC">
        <w:rPr>
          <w:kern w:val="22"/>
        </w:rPr>
        <w:t>BP</w:t>
      </w:r>
      <w:r w:rsidR="0092442C">
        <w:rPr>
          <w:kern w:val="22"/>
        </w:rPr>
        <w:t>)</w:t>
      </w:r>
      <w:r w:rsidRPr="00DD49AC">
        <w:rPr>
          <w:kern w:val="22"/>
        </w:rPr>
        <w:t xml:space="preserve">, heart rate and </w:t>
      </w:r>
      <w:proofErr w:type="spellStart"/>
      <w:r w:rsidRPr="00DD49AC">
        <w:rPr>
          <w:kern w:val="22"/>
        </w:rPr>
        <w:t>QTc</w:t>
      </w:r>
      <w:proofErr w:type="spellEnd"/>
      <w:r w:rsidRPr="00DD49AC">
        <w:rPr>
          <w:kern w:val="22"/>
        </w:rPr>
        <w:t xml:space="preserve"> </w:t>
      </w:r>
      <w:r w:rsidR="001E3569">
        <w:rPr>
          <w:kern w:val="22"/>
        </w:rPr>
        <w:t>interval</w:t>
      </w:r>
      <w:r w:rsidRPr="00DD49AC">
        <w:rPr>
          <w:kern w:val="22"/>
        </w:rPr>
        <w:t>) or on body temperature at single oral dose levels up to 2000</w:t>
      </w:r>
      <w:r w:rsidR="00F534E1">
        <w:rPr>
          <w:kern w:val="22"/>
        </w:rPr>
        <w:t xml:space="preserve"> </w:t>
      </w:r>
      <w:r w:rsidRPr="00DD49AC">
        <w:rPr>
          <w:kern w:val="22"/>
        </w:rPr>
        <w:t xml:space="preserve">mg/kg (equivalent to 3.6 times the clinical exposure based on </w:t>
      </w:r>
      <w:proofErr w:type="spellStart"/>
      <w:r w:rsidRPr="00DD49AC">
        <w:rPr>
          <w:kern w:val="22"/>
        </w:rPr>
        <w:t>C</w:t>
      </w:r>
      <w:r w:rsidRPr="00DD49AC">
        <w:rPr>
          <w:kern w:val="22"/>
          <w:vertAlign w:val="subscript"/>
        </w:rPr>
        <w:t>max</w:t>
      </w:r>
      <w:proofErr w:type="spellEnd"/>
      <w:r w:rsidRPr="00DD49AC">
        <w:rPr>
          <w:kern w:val="22"/>
        </w:rPr>
        <w:t xml:space="preserve">). In the repeat dose study in dogs, there were no treatment-related effects on ECG, blood pressure or </w:t>
      </w:r>
      <w:proofErr w:type="spellStart"/>
      <w:r w:rsidRPr="00DD49AC">
        <w:rPr>
          <w:kern w:val="22"/>
        </w:rPr>
        <w:t>QTc</w:t>
      </w:r>
      <w:proofErr w:type="spellEnd"/>
      <w:r w:rsidRPr="00DD49AC">
        <w:rPr>
          <w:kern w:val="22"/>
        </w:rPr>
        <w:t xml:space="preserve"> intervals at dose levels up to 400 mg/kg/day (equivalent to 2 times the clinical exposure based on </w:t>
      </w:r>
      <w:proofErr w:type="spellStart"/>
      <w:r w:rsidRPr="00DD49AC">
        <w:rPr>
          <w:kern w:val="22"/>
        </w:rPr>
        <w:t>C</w:t>
      </w:r>
      <w:r w:rsidRPr="00DD49AC">
        <w:rPr>
          <w:kern w:val="22"/>
          <w:vertAlign w:val="subscript"/>
        </w:rPr>
        <w:t>max</w:t>
      </w:r>
      <w:proofErr w:type="spellEnd"/>
      <w:r w:rsidRPr="00DD49AC">
        <w:rPr>
          <w:kern w:val="22"/>
        </w:rPr>
        <w:t xml:space="preserve">). </w:t>
      </w:r>
    </w:p>
    <w:p w:rsidR="00DD49AC" w:rsidRPr="00DD49AC" w:rsidRDefault="00DD49AC" w:rsidP="00767BB2">
      <w:pPr>
        <w:rPr>
          <w:kern w:val="22"/>
        </w:rPr>
      </w:pPr>
      <w:r w:rsidRPr="00DD49AC">
        <w:rPr>
          <w:kern w:val="22"/>
        </w:rPr>
        <w:t>Dedicated safety pharmacology studies to assess</w:t>
      </w:r>
      <w:r w:rsidR="0054569E">
        <w:rPr>
          <w:kern w:val="22"/>
        </w:rPr>
        <w:t xml:space="preserve"> central nervous system (</w:t>
      </w:r>
      <w:r w:rsidRPr="00DD49AC">
        <w:rPr>
          <w:kern w:val="22"/>
        </w:rPr>
        <w:t>CNS</w:t>
      </w:r>
      <w:r w:rsidR="0054569E">
        <w:rPr>
          <w:kern w:val="22"/>
        </w:rPr>
        <w:t>)</w:t>
      </w:r>
      <w:r w:rsidRPr="00DD49AC">
        <w:rPr>
          <w:kern w:val="22"/>
        </w:rPr>
        <w:t xml:space="preserve"> and respiratory functions were not performed, consistent with ICH S9 guidelines for anticancer drugs; however, CNS effects were evaluated</w:t>
      </w:r>
      <w:r w:rsidR="001E3569">
        <w:rPr>
          <w:kern w:val="22"/>
        </w:rPr>
        <w:t xml:space="preserve"> in the repeat-dose rat studies</w:t>
      </w:r>
      <w:r w:rsidRPr="00DD49AC">
        <w:rPr>
          <w:kern w:val="22"/>
        </w:rPr>
        <w:t xml:space="preserve"> and respiratory effects were evaluated in the repeat-dose dog studies. In rats, effects on the CNS (tremors, low posture and jerking) were noted at 100</w:t>
      </w:r>
      <w:r w:rsidR="00F534E1">
        <w:rPr>
          <w:kern w:val="22"/>
        </w:rPr>
        <w:t xml:space="preserve"> </w:t>
      </w:r>
      <w:r w:rsidRPr="00DD49AC">
        <w:rPr>
          <w:kern w:val="22"/>
        </w:rPr>
        <w:t>mg/kg/day (equivalent to the clinical exposure based on AUC). In dogs, there were no effects on respiration at dose levels up to 400</w:t>
      </w:r>
      <w:r w:rsidR="00F534E1">
        <w:rPr>
          <w:kern w:val="22"/>
        </w:rPr>
        <w:t xml:space="preserve"> </w:t>
      </w:r>
      <w:r w:rsidRPr="00DD49AC">
        <w:rPr>
          <w:kern w:val="22"/>
        </w:rPr>
        <w:t xml:space="preserve">mg/kg/day </w:t>
      </w:r>
      <w:r w:rsidR="00A7420D">
        <w:rPr>
          <w:kern w:val="22"/>
        </w:rPr>
        <w:t>twice daily</w:t>
      </w:r>
      <w:r w:rsidRPr="00DD49AC">
        <w:rPr>
          <w:kern w:val="22"/>
        </w:rPr>
        <w:t xml:space="preserve"> (equivalent to 2 times the clinical exposure based on </w:t>
      </w:r>
      <w:proofErr w:type="spellStart"/>
      <w:r w:rsidRPr="00DD49AC">
        <w:rPr>
          <w:kern w:val="22"/>
        </w:rPr>
        <w:t>C</w:t>
      </w:r>
      <w:r w:rsidRPr="00DD49AC">
        <w:rPr>
          <w:kern w:val="22"/>
          <w:vertAlign w:val="subscript"/>
        </w:rPr>
        <w:t>max</w:t>
      </w:r>
      <w:proofErr w:type="spellEnd"/>
      <w:r w:rsidRPr="00DD49AC">
        <w:rPr>
          <w:kern w:val="22"/>
        </w:rPr>
        <w:t xml:space="preserve">). </w:t>
      </w:r>
    </w:p>
    <w:p w:rsidR="00DD49AC" w:rsidRPr="00DD49AC" w:rsidRDefault="00DD49AC" w:rsidP="00767BB2">
      <w:pPr>
        <w:pStyle w:val="Heading4"/>
        <w:rPr>
          <w:kern w:val="22"/>
        </w:rPr>
      </w:pPr>
      <w:r w:rsidRPr="00DD49AC">
        <w:rPr>
          <w:kern w:val="22"/>
        </w:rPr>
        <w:t>Pharmacodynamic drug interactions</w:t>
      </w:r>
    </w:p>
    <w:p w:rsidR="00DD49AC" w:rsidRPr="00DD49AC" w:rsidRDefault="00DD49AC" w:rsidP="00767BB2">
      <w:pPr>
        <w:rPr>
          <w:kern w:val="22"/>
        </w:rPr>
      </w:pPr>
      <w:r w:rsidRPr="00DD49AC">
        <w:rPr>
          <w:kern w:val="22"/>
        </w:rPr>
        <w:t xml:space="preserve">Vismodegib is proposed as a monotherapy in advanced cancer patients and therefore pharmacodynamic </w:t>
      </w:r>
      <w:r w:rsidR="001E3569">
        <w:rPr>
          <w:kern w:val="22"/>
        </w:rPr>
        <w:t xml:space="preserve">(PD) </w:t>
      </w:r>
      <w:r w:rsidRPr="00DD49AC">
        <w:rPr>
          <w:kern w:val="22"/>
        </w:rPr>
        <w:t xml:space="preserve">drug interaction studies were not warranted. </w:t>
      </w:r>
    </w:p>
    <w:p w:rsidR="00DD49AC" w:rsidRPr="00DD49AC" w:rsidRDefault="00DD49AC" w:rsidP="00767BB2">
      <w:pPr>
        <w:pStyle w:val="Heading3"/>
        <w:rPr>
          <w:kern w:val="22"/>
        </w:rPr>
      </w:pPr>
      <w:bookmarkStart w:id="46" w:name="_Toc294861724"/>
      <w:bookmarkStart w:id="47" w:name="_Toc295290866"/>
      <w:bookmarkStart w:id="48" w:name="_Toc341712577"/>
      <w:bookmarkStart w:id="49" w:name="_Toc370129088"/>
      <w:r w:rsidRPr="00DD49AC">
        <w:rPr>
          <w:kern w:val="22"/>
        </w:rPr>
        <w:t>Pharmacokinetics</w:t>
      </w:r>
      <w:bookmarkEnd w:id="46"/>
      <w:bookmarkEnd w:id="47"/>
      <w:bookmarkEnd w:id="48"/>
      <w:bookmarkEnd w:id="49"/>
    </w:p>
    <w:p w:rsidR="00DD49AC" w:rsidRPr="00DD49AC" w:rsidRDefault="00DD49AC" w:rsidP="00767BB2">
      <w:pPr>
        <w:rPr>
          <w:kern w:val="22"/>
        </w:rPr>
      </w:pPr>
      <w:r w:rsidRPr="00DD49AC">
        <w:rPr>
          <w:kern w:val="22"/>
        </w:rPr>
        <w:t xml:space="preserve">Nonclinical </w:t>
      </w:r>
      <w:r w:rsidR="001E3569">
        <w:rPr>
          <w:kern w:val="22"/>
        </w:rPr>
        <w:t xml:space="preserve">PK </w:t>
      </w:r>
      <w:r w:rsidRPr="00DD49AC">
        <w:rPr>
          <w:kern w:val="22"/>
        </w:rPr>
        <w:t>studies were conducted in the mouse, rat, dog and monkey.</w:t>
      </w:r>
    </w:p>
    <w:p w:rsidR="00DD49AC" w:rsidRPr="00DD49AC" w:rsidRDefault="00DD49AC" w:rsidP="00767BB2">
      <w:pPr>
        <w:rPr>
          <w:kern w:val="22"/>
        </w:rPr>
      </w:pPr>
      <w:r w:rsidRPr="00DD49AC">
        <w:rPr>
          <w:kern w:val="22"/>
        </w:rPr>
        <w:t>Absorption following single dose oral administration was rapid in the mouse and rat (</w:t>
      </w:r>
      <w:proofErr w:type="spellStart"/>
      <w:r w:rsidRPr="00F365ED">
        <w:rPr>
          <w:kern w:val="22"/>
        </w:rPr>
        <w:t>T</w:t>
      </w:r>
      <w:r w:rsidRPr="00F365ED">
        <w:rPr>
          <w:kern w:val="22"/>
          <w:vertAlign w:val="subscript"/>
        </w:rPr>
        <w:t>max</w:t>
      </w:r>
      <w:proofErr w:type="spellEnd"/>
      <w:r w:rsidRPr="00DD49AC">
        <w:rPr>
          <w:kern w:val="22"/>
        </w:rPr>
        <w:t xml:space="preserve"> &lt;1</w:t>
      </w:r>
      <w:r w:rsidR="0092442C">
        <w:rPr>
          <w:kern w:val="22"/>
        </w:rPr>
        <w:t xml:space="preserve"> </w:t>
      </w:r>
      <w:r w:rsidRPr="00DD49AC">
        <w:rPr>
          <w:kern w:val="22"/>
        </w:rPr>
        <w:t>h), but slower in monkey (2</w:t>
      </w:r>
      <w:r w:rsidR="00AB4A99">
        <w:rPr>
          <w:kern w:val="22"/>
        </w:rPr>
        <w:t xml:space="preserve"> </w:t>
      </w:r>
      <w:r w:rsidRPr="00DD49AC">
        <w:rPr>
          <w:kern w:val="22"/>
        </w:rPr>
        <w:t>h) and dog (9</w:t>
      </w:r>
      <w:r w:rsidR="00AB4A99">
        <w:rPr>
          <w:kern w:val="22"/>
        </w:rPr>
        <w:t xml:space="preserve"> </w:t>
      </w:r>
      <w:r w:rsidRPr="00DD49AC">
        <w:rPr>
          <w:kern w:val="22"/>
        </w:rPr>
        <w:t>h).</w:t>
      </w:r>
      <w:r w:rsidR="003C5A8B">
        <w:rPr>
          <w:kern w:val="22"/>
        </w:rPr>
        <w:t xml:space="preserve"> </w:t>
      </w:r>
      <w:r w:rsidRPr="00DD49AC">
        <w:rPr>
          <w:kern w:val="22"/>
        </w:rPr>
        <w:t>Bioavailability varied with species between 13.4% in monkey to 52.9% in rat. The plasma half-life (t</w:t>
      </w:r>
      <w:r w:rsidRPr="00DD49AC">
        <w:rPr>
          <w:kern w:val="22"/>
          <w:vertAlign w:val="subscript"/>
        </w:rPr>
        <w:t>1/2</w:t>
      </w:r>
      <w:r w:rsidRPr="00DD49AC">
        <w:rPr>
          <w:kern w:val="22"/>
        </w:rPr>
        <w:t>) was rapid in mouse, rat and monkey (0.5-1.5</w:t>
      </w:r>
      <w:r w:rsidR="00AB4A99">
        <w:rPr>
          <w:kern w:val="22"/>
        </w:rPr>
        <w:t xml:space="preserve"> </w:t>
      </w:r>
      <w:r w:rsidRPr="00DD49AC">
        <w:rPr>
          <w:kern w:val="22"/>
        </w:rPr>
        <w:t>h), but slow in dog (42</w:t>
      </w:r>
      <w:r w:rsidR="00AB4A99">
        <w:rPr>
          <w:kern w:val="22"/>
        </w:rPr>
        <w:t xml:space="preserve"> </w:t>
      </w:r>
      <w:r w:rsidRPr="00DD49AC">
        <w:rPr>
          <w:kern w:val="22"/>
        </w:rPr>
        <w:t>h).</w:t>
      </w:r>
      <w:r w:rsidR="003C5A8B">
        <w:rPr>
          <w:kern w:val="22"/>
        </w:rPr>
        <w:t xml:space="preserve"> </w:t>
      </w:r>
      <w:r w:rsidRPr="00DD49AC">
        <w:rPr>
          <w:kern w:val="22"/>
        </w:rPr>
        <w:t xml:space="preserve">In repeat-dose studies in rat and dog, exposure (measured by both </w:t>
      </w:r>
      <w:proofErr w:type="spellStart"/>
      <w:r w:rsidRPr="00DD49AC">
        <w:rPr>
          <w:kern w:val="22"/>
        </w:rPr>
        <w:t>C</w:t>
      </w:r>
      <w:r w:rsidRPr="00DD49AC">
        <w:rPr>
          <w:kern w:val="22"/>
          <w:vertAlign w:val="subscript"/>
        </w:rPr>
        <w:t>max</w:t>
      </w:r>
      <w:proofErr w:type="spellEnd"/>
      <w:r w:rsidRPr="00DD49AC">
        <w:rPr>
          <w:kern w:val="22"/>
        </w:rPr>
        <w:t xml:space="preserve"> and AUC) increased with dose, but was less than dose-proportional in both species.</w:t>
      </w:r>
      <w:r w:rsidR="003C5A8B">
        <w:rPr>
          <w:kern w:val="22"/>
        </w:rPr>
        <w:t xml:space="preserve"> </w:t>
      </w:r>
      <w:r w:rsidRPr="00DD49AC">
        <w:rPr>
          <w:kern w:val="22"/>
        </w:rPr>
        <w:t xml:space="preserve">No sex-related differences were noted. </w:t>
      </w:r>
    </w:p>
    <w:p w:rsidR="001E3569" w:rsidRDefault="00DD49AC" w:rsidP="00767BB2">
      <w:pPr>
        <w:rPr>
          <w:kern w:val="22"/>
        </w:rPr>
      </w:pPr>
      <w:r w:rsidRPr="00DD49AC">
        <w:rPr>
          <w:kern w:val="22"/>
        </w:rPr>
        <w:t xml:space="preserve">Tissue distribution of </w:t>
      </w:r>
      <w:proofErr w:type="spellStart"/>
      <w:r w:rsidRPr="00DD49AC">
        <w:rPr>
          <w:kern w:val="22"/>
        </w:rPr>
        <w:t>radiolabelled</w:t>
      </w:r>
      <w:proofErr w:type="spellEnd"/>
      <w:r w:rsidRPr="00DD49AC">
        <w:rPr>
          <w:kern w:val="22"/>
        </w:rPr>
        <w:t xml:space="preserve"> </w:t>
      </w:r>
      <w:proofErr w:type="spellStart"/>
      <w:r w:rsidRPr="00DD49AC">
        <w:rPr>
          <w:kern w:val="22"/>
        </w:rPr>
        <w:t>vismodegib</w:t>
      </w:r>
      <w:proofErr w:type="spellEnd"/>
      <w:r w:rsidRPr="00DD49AC">
        <w:rPr>
          <w:kern w:val="22"/>
        </w:rPr>
        <w:t xml:space="preserve"> was widespread following oral administration in rats, declined in all tissues over the 6 day study but remained in the </w:t>
      </w:r>
      <w:proofErr w:type="spellStart"/>
      <w:r w:rsidRPr="00DD49AC">
        <w:rPr>
          <w:kern w:val="22"/>
        </w:rPr>
        <w:t>uvea</w:t>
      </w:r>
      <w:proofErr w:type="spellEnd"/>
      <w:r w:rsidRPr="00DD49AC">
        <w:rPr>
          <w:kern w:val="22"/>
        </w:rPr>
        <w:t xml:space="preserve"> of the eye, aorta, liver, </w:t>
      </w:r>
      <w:proofErr w:type="spellStart"/>
      <w:r w:rsidRPr="00DD49AC">
        <w:rPr>
          <w:kern w:val="22"/>
        </w:rPr>
        <w:t>Harderian</w:t>
      </w:r>
      <w:proofErr w:type="spellEnd"/>
      <w:r w:rsidRPr="00DD49AC">
        <w:rPr>
          <w:kern w:val="22"/>
        </w:rPr>
        <w:t xml:space="preserve"> gland, kidney cortex and adrenal gland. There was no evidence of significant accumulation over time in rats or dogs in the repeat-dose studies.</w:t>
      </w:r>
      <w:r w:rsidR="003C5A8B">
        <w:rPr>
          <w:kern w:val="22"/>
        </w:rPr>
        <w:t xml:space="preserve"> </w:t>
      </w:r>
    </w:p>
    <w:p w:rsidR="00DD49AC" w:rsidRPr="00DD49AC" w:rsidRDefault="00DD49AC" w:rsidP="00767BB2">
      <w:pPr>
        <w:rPr>
          <w:kern w:val="22"/>
        </w:rPr>
      </w:pPr>
      <w:r w:rsidRPr="00DD49AC">
        <w:rPr>
          <w:i/>
          <w:kern w:val="22"/>
        </w:rPr>
        <w:t>In vitro</w:t>
      </w:r>
      <w:r w:rsidRPr="00DD49AC">
        <w:rPr>
          <w:kern w:val="22"/>
        </w:rPr>
        <w:t xml:space="preserve"> plasma protein binding was very high (&gt;95%) in the plasma of all species, including humans (&gt;95%).</w:t>
      </w:r>
      <w:r w:rsidR="003C5A8B">
        <w:rPr>
          <w:kern w:val="22"/>
        </w:rPr>
        <w:t xml:space="preserve"> </w:t>
      </w:r>
      <w:r w:rsidRPr="00DD49AC">
        <w:rPr>
          <w:kern w:val="22"/>
        </w:rPr>
        <w:t xml:space="preserve">Binding was high to both </w:t>
      </w:r>
      <w:r w:rsidR="001E3569">
        <w:rPr>
          <w:kern w:val="22"/>
        </w:rPr>
        <w:t xml:space="preserve">HAS </w:t>
      </w:r>
      <w:r w:rsidRPr="00DD49AC">
        <w:rPr>
          <w:kern w:val="22"/>
        </w:rPr>
        <w:t>and human AAG.</w:t>
      </w:r>
      <w:r w:rsidR="003C5A8B">
        <w:rPr>
          <w:kern w:val="22"/>
        </w:rPr>
        <w:t xml:space="preserve"> </w:t>
      </w:r>
      <w:r w:rsidRPr="00DD49AC">
        <w:rPr>
          <w:kern w:val="22"/>
        </w:rPr>
        <w:t xml:space="preserve">With regard to blood-plasma partitioning, there was no evidence of differential distribution to red blood cells in any species, including humans. </w:t>
      </w:r>
    </w:p>
    <w:p w:rsidR="00DD49AC" w:rsidRPr="00DD49AC" w:rsidRDefault="00DD49AC" w:rsidP="00767BB2">
      <w:pPr>
        <w:rPr>
          <w:kern w:val="22"/>
        </w:rPr>
      </w:pPr>
      <w:r w:rsidRPr="00DD49AC">
        <w:rPr>
          <w:kern w:val="22"/>
        </w:rPr>
        <w:t xml:space="preserve">The major pathways of metabolism of vismodegib involve oxidation of the 4-chloro-3-(pyridine-2-yl)-phenyl moiety followed by </w:t>
      </w:r>
      <w:proofErr w:type="spellStart"/>
      <w:r w:rsidRPr="00DD49AC">
        <w:rPr>
          <w:kern w:val="22"/>
        </w:rPr>
        <w:t>glucuronidation</w:t>
      </w:r>
      <w:proofErr w:type="spellEnd"/>
      <w:r w:rsidRPr="00DD49AC">
        <w:rPr>
          <w:kern w:val="22"/>
        </w:rPr>
        <w:t xml:space="preserve"> or sulfation.</w:t>
      </w:r>
      <w:r w:rsidR="003C5A8B">
        <w:rPr>
          <w:kern w:val="22"/>
        </w:rPr>
        <w:t xml:space="preserve"> </w:t>
      </w:r>
      <w:r w:rsidRPr="00DD49AC">
        <w:rPr>
          <w:kern w:val="22"/>
        </w:rPr>
        <w:t xml:space="preserve">A minor metabolic pathway involves pyridine ring cleavage. Metabolism was examined </w:t>
      </w:r>
      <w:r w:rsidRPr="00DD49AC">
        <w:rPr>
          <w:i/>
          <w:kern w:val="22"/>
        </w:rPr>
        <w:t>in vitro</w:t>
      </w:r>
      <w:r w:rsidRPr="00DD49AC">
        <w:rPr>
          <w:kern w:val="22"/>
        </w:rPr>
        <w:t xml:space="preserve"> in rat, dog and human liver microsomes.</w:t>
      </w:r>
      <w:r w:rsidR="003C5A8B">
        <w:rPr>
          <w:kern w:val="22"/>
        </w:rPr>
        <w:t xml:space="preserve"> </w:t>
      </w:r>
      <w:r w:rsidRPr="00DD49AC">
        <w:rPr>
          <w:kern w:val="22"/>
        </w:rPr>
        <w:t xml:space="preserve">The two major metabolites in all species were mono-oxidation products of vismodegib. These were produced mainly by human cytochrome P450 </w:t>
      </w:r>
      <w:r w:rsidR="00AB4A99">
        <w:rPr>
          <w:kern w:val="22"/>
        </w:rPr>
        <w:t xml:space="preserve">(CYP) </w:t>
      </w:r>
      <w:r w:rsidRPr="00DD49AC">
        <w:rPr>
          <w:kern w:val="22"/>
        </w:rPr>
        <w:t xml:space="preserve">3A4 and 3A5 (M1) and </w:t>
      </w:r>
      <w:r w:rsidR="00AB4A99">
        <w:rPr>
          <w:kern w:val="22"/>
        </w:rPr>
        <w:t>CYP</w:t>
      </w:r>
      <w:r w:rsidRPr="00DD49AC">
        <w:rPr>
          <w:kern w:val="22"/>
        </w:rPr>
        <w:t>2C9 and 3A4 (M3).</w:t>
      </w:r>
      <w:r w:rsidR="003C5A8B">
        <w:rPr>
          <w:kern w:val="22"/>
        </w:rPr>
        <w:t xml:space="preserve"> </w:t>
      </w:r>
      <w:r w:rsidRPr="00DD49AC">
        <w:rPr>
          <w:kern w:val="22"/>
        </w:rPr>
        <w:t xml:space="preserve">In </w:t>
      </w:r>
      <w:proofErr w:type="spellStart"/>
      <w:r w:rsidRPr="00DD49AC">
        <w:rPr>
          <w:i/>
          <w:kern w:val="22"/>
        </w:rPr>
        <w:t>in</w:t>
      </w:r>
      <w:proofErr w:type="spellEnd"/>
      <w:r w:rsidRPr="00DD49AC">
        <w:rPr>
          <w:i/>
          <w:kern w:val="22"/>
        </w:rPr>
        <w:t xml:space="preserve"> vivo</w:t>
      </w:r>
      <w:r w:rsidRPr="00DD49AC">
        <w:rPr>
          <w:kern w:val="22"/>
        </w:rPr>
        <w:t xml:space="preserve"> studies in rat and dog, the major component in plasma was unchanged vismodegib. The faeces was the major elimination pathway of vismodegib and its metabolites in both species, while urine was a minor elimination pathway.</w:t>
      </w:r>
      <w:r w:rsidR="003C5A8B">
        <w:rPr>
          <w:kern w:val="22"/>
        </w:rPr>
        <w:t xml:space="preserve"> </w:t>
      </w:r>
      <w:r w:rsidRPr="00DD49AC">
        <w:rPr>
          <w:kern w:val="22"/>
        </w:rPr>
        <w:t xml:space="preserve">Bile </w:t>
      </w:r>
      <w:proofErr w:type="spellStart"/>
      <w:r w:rsidRPr="00DD49AC">
        <w:rPr>
          <w:kern w:val="22"/>
        </w:rPr>
        <w:t>cannulation</w:t>
      </w:r>
      <w:proofErr w:type="spellEnd"/>
      <w:r w:rsidRPr="00DD49AC">
        <w:rPr>
          <w:kern w:val="22"/>
        </w:rPr>
        <w:t xml:space="preserve"> in both rat and dog indicated that the bile was a significant route of elimination for vismodegib metabolites (36% and 21%, respectively), but not for vismodegib. Mass balance studies in rat and dog confirmed that faeces was the major excretion route. Based on total excretion in bile and urine, mean absorption was 42% in rats and 31% in dogs. </w:t>
      </w:r>
    </w:p>
    <w:p w:rsidR="00DD49AC" w:rsidRPr="00DD49AC" w:rsidRDefault="00DD49AC" w:rsidP="00767BB2">
      <w:pPr>
        <w:rPr>
          <w:kern w:val="22"/>
        </w:rPr>
      </w:pPr>
      <w:r w:rsidRPr="00DD49AC">
        <w:rPr>
          <w:kern w:val="22"/>
        </w:rPr>
        <w:t xml:space="preserve">On the basis of the submitted data, the </w:t>
      </w:r>
      <w:r w:rsidR="001E3569">
        <w:rPr>
          <w:kern w:val="22"/>
        </w:rPr>
        <w:t xml:space="preserve">PK </w:t>
      </w:r>
      <w:r w:rsidRPr="00DD49AC">
        <w:rPr>
          <w:kern w:val="22"/>
        </w:rPr>
        <w:t xml:space="preserve">of vismodegib in rats and dogs is similar to the </w:t>
      </w:r>
      <w:r w:rsidR="001E3569">
        <w:rPr>
          <w:kern w:val="22"/>
        </w:rPr>
        <w:t xml:space="preserve">PK </w:t>
      </w:r>
      <w:r w:rsidRPr="00DD49AC">
        <w:rPr>
          <w:kern w:val="22"/>
        </w:rPr>
        <w:t xml:space="preserve">in humans, with moderate absorption, high plasma protein binding, slow metabolism involving oxidation and conjugation, followed by slow elimination </w:t>
      </w:r>
      <w:r w:rsidRPr="001E3569">
        <w:rPr>
          <w:i/>
          <w:kern w:val="22"/>
        </w:rPr>
        <w:t>via</w:t>
      </w:r>
      <w:r w:rsidRPr="00DD49AC">
        <w:rPr>
          <w:kern w:val="22"/>
        </w:rPr>
        <w:t xml:space="preserve"> the bile and faeces. </w:t>
      </w:r>
    </w:p>
    <w:p w:rsidR="00DD49AC" w:rsidRPr="00DD49AC" w:rsidRDefault="00DD49AC" w:rsidP="00767BB2">
      <w:pPr>
        <w:pStyle w:val="Heading4"/>
        <w:rPr>
          <w:kern w:val="22"/>
        </w:rPr>
      </w:pPr>
      <w:bookmarkStart w:id="50" w:name="_Toc294861725"/>
      <w:r w:rsidRPr="00DD49AC">
        <w:rPr>
          <w:kern w:val="22"/>
        </w:rPr>
        <w:t>Pharmacokinetic drug interactions</w:t>
      </w:r>
      <w:bookmarkEnd w:id="50"/>
    </w:p>
    <w:p w:rsidR="00DD49AC" w:rsidRPr="00DD49AC" w:rsidRDefault="00DD49AC" w:rsidP="00767BB2">
      <w:pPr>
        <w:rPr>
          <w:kern w:val="22"/>
        </w:rPr>
      </w:pPr>
      <w:r w:rsidRPr="00DD49AC">
        <w:rPr>
          <w:kern w:val="22"/>
        </w:rPr>
        <w:t xml:space="preserve">Vismodegib </w:t>
      </w:r>
      <w:r w:rsidRPr="00DD49AC">
        <w:rPr>
          <w:i/>
          <w:kern w:val="22"/>
        </w:rPr>
        <w:t>in vitro</w:t>
      </w:r>
      <w:r w:rsidRPr="00DD49AC">
        <w:rPr>
          <w:kern w:val="22"/>
        </w:rPr>
        <w:t xml:space="preserve"> was a weak inhibitor of human liver </w:t>
      </w:r>
      <w:r w:rsidR="00AB4A99">
        <w:rPr>
          <w:kern w:val="22"/>
        </w:rPr>
        <w:t>CYP</w:t>
      </w:r>
      <w:r w:rsidRPr="00DD49AC">
        <w:rPr>
          <w:kern w:val="22"/>
        </w:rPr>
        <w:t>2C8 (</w:t>
      </w:r>
      <w:r w:rsidR="001E3569">
        <w:rPr>
          <w:kern w:val="22"/>
        </w:rPr>
        <w:t xml:space="preserve">affinity constant </w:t>
      </w:r>
      <w:proofErr w:type="spellStart"/>
      <w:r w:rsidRPr="00DD49AC">
        <w:rPr>
          <w:kern w:val="22"/>
        </w:rPr>
        <w:t>K</w:t>
      </w:r>
      <w:r w:rsidRPr="00DD49AC">
        <w:rPr>
          <w:kern w:val="22"/>
          <w:vertAlign w:val="subscript"/>
        </w:rPr>
        <w:t>i</w:t>
      </w:r>
      <w:proofErr w:type="spellEnd"/>
      <w:r w:rsidRPr="00DD49AC">
        <w:rPr>
          <w:kern w:val="22"/>
        </w:rPr>
        <w:t xml:space="preserve"> 6.0µM) and </w:t>
      </w:r>
      <w:r w:rsidR="00AB4A99">
        <w:rPr>
          <w:kern w:val="22"/>
        </w:rPr>
        <w:t>CYP</w:t>
      </w:r>
      <w:r w:rsidRPr="00DD49AC">
        <w:rPr>
          <w:kern w:val="22"/>
        </w:rPr>
        <w:t>2C9 (</w:t>
      </w:r>
      <w:proofErr w:type="spellStart"/>
      <w:r w:rsidRPr="00DD49AC">
        <w:rPr>
          <w:kern w:val="22"/>
        </w:rPr>
        <w:t>K</w:t>
      </w:r>
      <w:r w:rsidRPr="00DD49AC">
        <w:rPr>
          <w:kern w:val="22"/>
          <w:vertAlign w:val="subscript"/>
        </w:rPr>
        <w:t>i</w:t>
      </w:r>
      <w:proofErr w:type="spellEnd"/>
      <w:r w:rsidRPr="00DD49AC">
        <w:rPr>
          <w:kern w:val="22"/>
        </w:rPr>
        <w:t xml:space="preserve"> 5.4µM) (equivalent to approx</w:t>
      </w:r>
      <w:r w:rsidR="00AB4A99">
        <w:rPr>
          <w:kern w:val="22"/>
        </w:rPr>
        <w:t>imately</w:t>
      </w:r>
      <w:r w:rsidRPr="00DD49AC">
        <w:rPr>
          <w:kern w:val="22"/>
        </w:rPr>
        <w:t xml:space="preserve"> 30 times the steady state unbound plasma concentration).</w:t>
      </w:r>
      <w:r w:rsidR="003C5A8B">
        <w:rPr>
          <w:kern w:val="22"/>
        </w:rPr>
        <w:t xml:space="preserve"> </w:t>
      </w:r>
      <w:r w:rsidRPr="00DD49AC">
        <w:rPr>
          <w:kern w:val="22"/>
        </w:rPr>
        <w:t xml:space="preserve">There was no evidence of induction of </w:t>
      </w:r>
      <w:r w:rsidR="00AB4A99">
        <w:rPr>
          <w:kern w:val="22"/>
        </w:rPr>
        <w:t>CYP</w:t>
      </w:r>
      <w:r w:rsidRPr="00DD49AC">
        <w:rPr>
          <w:kern w:val="22"/>
        </w:rPr>
        <w:t>1A2, 2B6 or 3A4/5 by vismodegib in human hepatocytes over 48</w:t>
      </w:r>
      <w:r w:rsidR="00AB4A99">
        <w:rPr>
          <w:kern w:val="22"/>
        </w:rPr>
        <w:t xml:space="preserve"> </w:t>
      </w:r>
      <w:r w:rsidRPr="00DD49AC">
        <w:rPr>
          <w:kern w:val="22"/>
        </w:rPr>
        <w:t>h at concentrations up to 100µM (equivalent to &gt;500 times the steady state plasma concentration).</w:t>
      </w:r>
      <w:r w:rsidR="003C5A8B">
        <w:rPr>
          <w:kern w:val="22"/>
        </w:rPr>
        <w:t xml:space="preserve"> </w:t>
      </w:r>
      <w:r w:rsidRPr="00DD49AC">
        <w:rPr>
          <w:kern w:val="22"/>
        </w:rPr>
        <w:t xml:space="preserve">Nor was there evidence of induction of enzymes regulated by the </w:t>
      </w:r>
      <w:proofErr w:type="spellStart"/>
      <w:r w:rsidRPr="00DD49AC">
        <w:rPr>
          <w:kern w:val="22"/>
        </w:rPr>
        <w:t>pregnane</w:t>
      </w:r>
      <w:proofErr w:type="spellEnd"/>
      <w:r w:rsidRPr="00DD49AC">
        <w:rPr>
          <w:kern w:val="22"/>
        </w:rPr>
        <w:t xml:space="preserve"> X receptor (PXR), given the weak binding of vismodegib to PXR (</w:t>
      </w:r>
      <w:r w:rsidR="00AB4A99">
        <w:rPr>
          <w:kern w:val="22"/>
        </w:rPr>
        <w:t>concentration causing 50% inhibition (</w:t>
      </w:r>
      <w:r w:rsidRPr="00DD49AC">
        <w:rPr>
          <w:kern w:val="22"/>
        </w:rPr>
        <w:t>IC</w:t>
      </w:r>
      <w:r w:rsidRPr="00DD49AC">
        <w:rPr>
          <w:kern w:val="22"/>
          <w:vertAlign w:val="subscript"/>
        </w:rPr>
        <w:t>50</w:t>
      </w:r>
      <w:r w:rsidR="00AB4A99" w:rsidRPr="00AB4A99">
        <w:rPr>
          <w:kern w:val="22"/>
        </w:rPr>
        <w:t>)</w:t>
      </w:r>
      <w:r w:rsidRPr="00DD49AC">
        <w:rPr>
          <w:kern w:val="22"/>
        </w:rPr>
        <w:t xml:space="preserve"> of 83.3µM, equivalent to &gt;400 times the steady state unbound plasma concentration).</w:t>
      </w:r>
    </w:p>
    <w:p w:rsidR="00DD49AC" w:rsidRPr="00DD49AC" w:rsidRDefault="00DD49AC" w:rsidP="00767BB2">
      <w:pPr>
        <w:rPr>
          <w:kern w:val="22"/>
        </w:rPr>
      </w:pPr>
      <w:r w:rsidRPr="00DD49AC">
        <w:rPr>
          <w:kern w:val="22"/>
        </w:rPr>
        <w:t xml:space="preserve">With regard to transporters, vismodegib did not inhibit P-glycoprotein in </w:t>
      </w:r>
      <w:r w:rsidR="00FE2887">
        <w:rPr>
          <w:kern w:val="22"/>
        </w:rPr>
        <w:t xml:space="preserve">cultured kidney </w:t>
      </w:r>
      <w:r w:rsidRPr="00DD49AC">
        <w:rPr>
          <w:kern w:val="22"/>
        </w:rPr>
        <w:t xml:space="preserve">MDR1-MDCK cells, but </w:t>
      </w:r>
      <w:r w:rsidR="001E3569">
        <w:rPr>
          <w:kern w:val="22"/>
        </w:rPr>
        <w:t xml:space="preserve">it </w:t>
      </w:r>
      <w:r w:rsidRPr="00DD49AC">
        <w:rPr>
          <w:kern w:val="22"/>
        </w:rPr>
        <w:t xml:space="preserve">is a substrate for </w:t>
      </w:r>
      <w:r w:rsidR="00FE2887">
        <w:rPr>
          <w:kern w:val="22"/>
        </w:rPr>
        <w:t xml:space="preserve">the </w:t>
      </w:r>
      <w:r w:rsidRPr="00DD49AC">
        <w:rPr>
          <w:kern w:val="22"/>
        </w:rPr>
        <w:t>P-glycoprotein</w:t>
      </w:r>
      <w:r w:rsidR="00FE2887">
        <w:rPr>
          <w:kern w:val="22"/>
        </w:rPr>
        <w:t xml:space="preserve"> transporter</w:t>
      </w:r>
      <w:r w:rsidRPr="00DD49AC">
        <w:rPr>
          <w:kern w:val="22"/>
        </w:rPr>
        <w:t>, with efflux ratios (B-A/A-B)of 8.6 and 1.0, respectively, in the abs</w:t>
      </w:r>
      <w:r w:rsidR="00FE2887">
        <w:rPr>
          <w:kern w:val="22"/>
        </w:rPr>
        <w:t>ence or presence of the inhibit</w:t>
      </w:r>
      <w:r w:rsidRPr="00DD49AC">
        <w:rPr>
          <w:kern w:val="22"/>
        </w:rPr>
        <w:t>or, cyclosporin A.</w:t>
      </w:r>
      <w:r w:rsidR="003C5A8B">
        <w:rPr>
          <w:kern w:val="22"/>
        </w:rPr>
        <w:t xml:space="preserve"> </w:t>
      </w:r>
      <w:r w:rsidRPr="00DD49AC">
        <w:rPr>
          <w:kern w:val="22"/>
        </w:rPr>
        <w:t xml:space="preserve">Vismodegib is not a substrate for breast cancer resistant protein (BCRP), but inhibited the BCRP transport of </w:t>
      </w:r>
      <w:proofErr w:type="spellStart"/>
      <w:r w:rsidRPr="00DD49AC">
        <w:rPr>
          <w:kern w:val="22"/>
        </w:rPr>
        <w:t>prazosin</w:t>
      </w:r>
      <w:proofErr w:type="spellEnd"/>
      <w:r w:rsidRPr="00DD49AC">
        <w:rPr>
          <w:kern w:val="22"/>
        </w:rPr>
        <w:t xml:space="preserve"> with an IC</w:t>
      </w:r>
      <w:r w:rsidRPr="00DD49AC">
        <w:rPr>
          <w:kern w:val="22"/>
          <w:vertAlign w:val="subscript"/>
        </w:rPr>
        <w:t>50</w:t>
      </w:r>
      <w:r w:rsidRPr="00DD49AC">
        <w:rPr>
          <w:kern w:val="22"/>
        </w:rPr>
        <w:t xml:space="preserve"> of 2.4µM (</w:t>
      </w:r>
      <w:r w:rsidR="0092442C" w:rsidRPr="00DD49AC">
        <w:rPr>
          <w:kern w:val="22"/>
        </w:rPr>
        <w:t>approx</w:t>
      </w:r>
      <w:r w:rsidR="0092442C">
        <w:rPr>
          <w:kern w:val="22"/>
        </w:rPr>
        <w:t>imately</w:t>
      </w:r>
      <w:r w:rsidRPr="00DD49AC">
        <w:rPr>
          <w:kern w:val="22"/>
        </w:rPr>
        <w:t xml:space="preserve"> 14 times the steady state unbound plasma concentration).</w:t>
      </w:r>
      <w:r w:rsidR="003C5A8B">
        <w:rPr>
          <w:kern w:val="22"/>
        </w:rPr>
        <w:t xml:space="preserve"> </w:t>
      </w:r>
      <w:r w:rsidRPr="00DD49AC">
        <w:rPr>
          <w:kern w:val="22"/>
        </w:rPr>
        <w:t>Given the high plasma protein binding of vismodegib, the unbound plasma concentration is unlikely to be high enough for the potential inhibition of the</w:t>
      </w:r>
      <w:r w:rsidR="00FE2887">
        <w:rPr>
          <w:kern w:val="22"/>
        </w:rPr>
        <w:t xml:space="preserve"> CYP</w:t>
      </w:r>
      <w:r w:rsidRPr="00DD49AC">
        <w:rPr>
          <w:kern w:val="22"/>
        </w:rPr>
        <w:t xml:space="preserve">450 enzymes or the potential inhibition of BCRP transport to have clinical relevance. </w:t>
      </w:r>
    </w:p>
    <w:p w:rsidR="00DD49AC" w:rsidRPr="00DD49AC" w:rsidRDefault="003C5A8B" w:rsidP="00767BB2">
      <w:pPr>
        <w:pStyle w:val="Heading3"/>
        <w:rPr>
          <w:kern w:val="22"/>
        </w:rPr>
      </w:pPr>
      <w:bookmarkStart w:id="51" w:name="_Toc294861726"/>
      <w:bookmarkStart w:id="52" w:name="_Toc295290867"/>
      <w:bookmarkStart w:id="53" w:name="_Toc341712578"/>
      <w:bookmarkStart w:id="54" w:name="_Toc370129089"/>
      <w:r>
        <w:rPr>
          <w:kern w:val="22"/>
        </w:rPr>
        <w:t>T</w:t>
      </w:r>
      <w:r w:rsidR="00DD49AC" w:rsidRPr="00DD49AC">
        <w:rPr>
          <w:kern w:val="22"/>
        </w:rPr>
        <w:t>oxicity</w:t>
      </w:r>
      <w:bookmarkEnd w:id="51"/>
      <w:bookmarkEnd w:id="52"/>
      <w:bookmarkEnd w:id="53"/>
      <w:bookmarkEnd w:id="54"/>
    </w:p>
    <w:p w:rsidR="00DD49AC" w:rsidRPr="00DD49AC" w:rsidRDefault="00DD49AC" w:rsidP="00767BB2">
      <w:pPr>
        <w:pStyle w:val="Heading4"/>
        <w:rPr>
          <w:kern w:val="22"/>
        </w:rPr>
      </w:pPr>
      <w:bookmarkStart w:id="55" w:name="_Toc294861727"/>
      <w:r w:rsidRPr="00DD49AC">
        <w:rPr>
          <w:kern w:val="22"/>
        </w:rPr>
        <w:t>Acute toxicity</w:t>
      </w:r>
      <w:bookmarkEnd w:id="55"/>
    </w:p>
    <w:p w:rsidR="00DD49AC" w:rsidRDefault="00DD49AC" w:rsidP="00767BB2">
      <w:pPr>
        <w:rPr>
          <w:kern w:val="22"/>
        </w:rPr>
      </w:pPr>
      <w:r w:rsidRPr="00DD49AC">
        <w:rPr>
          <w:kern w:val="22"/>
        </w:rPr>
        <w:t>Vismodegib demonstrated low acute toxicity in studies conducted in rats and dogs.</w:t>
      </w:r>
      <w:r w:rsidR="003C5A8B">
        <w:rPr>
          <w:kern w:val="22"/>
        </w:rPr>
        <w:t xml:space="preserve"> </w:t>
      </w:r>
      <w:r w:rsidRPr="00DD49AC">
        <w:rPr>
          <w:kern w:val="22"/>
        </w:rPr>
        <w:t xml:space="preserve">A treatment-related increase in serum cholesterol in dogs at </w:t>
      </w:r>
      <w:r w:rsidR="0034302D">
        <w:rPr>
          <w:kern w:val="22"/>
        </w:rPr>
        <w:t xml:space="preserve">doses </w:t>
      </w:r>
      <w:r w:rsidRPr="00DD49AC">
        <w:rPr>
          <w:kern w:val="22"/>
        </w:rPr>
        <w:t>≥225</w:t>
      </w:r>
      <w:r w:rsidR="00F534E1">
        <w:rPr>
          <w:kern w:val="22"/>
        </w:rPr>
        <w:t xml:space="preserve"> </w:t>
      </w:r>
      <w:r w:rsidRPr="00DD49AC">
        <w:rPr>
          <w:kern w:val="22"/>
        </w:rPr>
        <w:t>mg/kg was the only observed toxicity. The minimum nonlethal dose in rats and dogs was 2000</w:t>
      </w:r>
      <w:r w:rsidR="00F534E1">
        <w:rPr>
          <w:kern w:val="22"/>
        </w:rPr>
        <w:t xml:space="preserve"> </w:t>
      </w:r>
      <w:r w:rsidRPr="00DD49AC">
        <w:rPr>
          <w:kern w:val="22"/>
        </w:rPr>
        <w:t>mg/kg by the oral route (</w:t>
      </w:r>
      <w:r w:rsidRPr="00DD49AC">
        <w:rPr>
          <w:kern w:val="22"/>
          <w:u w:val="single"/>
        </w:rPr>
        <w:t>&gt;</w:t>
      </w:r>
      <w:r w:rsidRPr="00DD49AC">
        <w:rPr>
          <w:kern w:val="22"/>
        </w:rPr>
        <w:t xml:space="preserve">4 times the clinical dose, based on AUC or </w:t>
      </w:r>
      <w:proofErr w:type="spellStart"/>
      <w:r w:rsidRPr="00DD49AC">
        <w:rPr>
          <w:kern w:val="22"/>
        </w:rPr>
        <w:t>C</w:t>
      </w:r>
      <w:r w:rsidRPr="00DD49AC">
        <w:rPr>
          <w:kern w:val="22"/>
          <w:vertAlign w:val="subscript"/>
        </w:rPr>
        <w:t>max</w:t>
      </w:r>
      <w:proofErr w:type="spellEnd"/>
      <w:r w:rsidRPr="00DD49AC">
        <w:rPr>
          <w:kern w:val="22"/>
        </w:rPr>
        <w:t>).</w:t>
      </w:r>
      <w:r w:rsidR="003C5A8B">
        <w:rPr>
          <w:kern w:val="22"/>
        </w:rPr>
        <w:t xml:space="preserve"> </w:t>
      </w:r>
      <w:r w:rsidRPr="00DD49AC">
        <w:rPr>
          <w:kern w:val="22"/>
        </w:rPr>
        <w:t>Vismodegib has a low order of acute toxicity by the clinical (oral) route.</w:t>
      </w:r>
    </w:p>
    <w:p w:rsidR="00DD49AC" w:rsidRPr="00DD49AC" w:rsidRDefault="00DD49AC" w:rsidP="00767BB2">
      <w:pPr>
        <w:pStyle w:val="Heading4"/>
        <w:rPr>
          <w:kern w:val="22"/>
        </w:rPr>
      </w:pPr>
      <w:bookmarkStart w:id="56" w:name="_Toc294861728"/>
      <w:r w:rsidRPr="00DD49AC">
        <w:rPr>
          <w:kern w:val="22"/>
        </w:rPr>
        <w:t>Repeat-dose toxicity</w:t>
      </w:r>
      <w:bookmarkEnd w:id="56"/>
    </w:p>
    <w:p w:rsidR="00DD49AC" w:rsidRPr="00DD49AC" w:rsidRDefault="00DD49AC" w:rsidP="00767BB2">
      <w:pPr>
        <w:rPr>
          <w:kern w:val="22"/>
        </w:rPr>
      </w:pPr>
      <w:r w:rsidRPr="00DD49AC">
        <w:rPr>
          <w:kern w:val="22"/>
        </w:rPr>
        <w:t>Repeat-dose studies up to 26 weeks were conducted in rats and dogs.</w:t>
      </w:r>
      <w:r w:rsidR="003C5A8B">
        <w:rPr>
          <w:kern w:val="22"/>
        </w:rPr>
        <w:t xml:space="preserve"> </w:t>
      </w:r>
      <w:r w:rsidRPr="00DD49AC">
        <w:rPr>
          <w:kern w:val="22"/>
        </w:rPr>
        <w:t>All studies were conducted by the oral route with dosing twice daily (6</w:t>
      </w:r>
      <w:r w:rsidR="0034302D">
        <w:rPr>
          <w:kern w:val="22"/>
        </w:rPr>
        <w:t xml:space="preserve"> </w:t>
      </w:r>
      <w:r w:rsidRPr="00DD49AC">
        <w:rPr>
          <w:kern w:val="22"/>
        </w:rPr>
        <w:t>h interval).</w:t>
      </w:r>
      <w:r w:rsidR="003C5A8B">
        <w:rPr>
          <w:kern w:val="22"/>
        </w:rPr>
        <w:t xml:space="preserve"> </w:t>
      </w:r>
      <w:r w:rsidRPr="00DD49AC">
        <w:rPr>
          <w:kern w:val="22"/>
        </w:rPr>
        <w:t xml:space="preserve">The proposed clinical route is the oral route with once daily dosing, based on sustained plasma levels in humans and an estimated terminal half-life of 12 days. </w:t>
      </w:r>
    </w:p>
    <w:p w:rsidR="00DD49AC" w:rsidRPr="00DD49AC" w:rsidRDefault="00DD49AC" w:rsidP="00767BB2">
      <w:pPr>
        <w:pStyle w:val="Heading5"/>
        <w:rPr>
          <w:kern w:val="22"/>
        </w:rPr>
      </w:pPr>
      <w:r w:rsidRPr="00DD49AC">
        <w:rPr>
          <w:kern w:val="22"/>
        </w:rPr>
        <w:t>Relative exposure</w:t>
      </w:r>
    </w:p>
    <w:p w:rsidR="00DD49AC" w:rsidRPr="00DD49AC" w:rsidRDefault="00DD49AC" w:rsidP="00767BB2">
      <w:pPr>
        <w:rPr>
          <w:kern w:val="22"/>
        </w:rPr>
      </w:pPr>
      <w:r w:rsidRPr="00DD49AC">
        <w:rPr>
          <w:kern w:val="22"/>
        </w:rPr>
        <w:t xml:space="preserve">Exposure ratios have been calculated based on </w:t>
      </w:r>
      <w:proofErr w:type="spellStart"/>
      <w:r w:rsidRPr="00DD49AC">
        <w:rPr>
          <w:kern w:val="22"/>
        </w:rPr>
        <w:t>animal:human</w:t>
      </w:r>
      <w:proofErr w:type="spellEnd"/>
      <w:r w:rsidRPr="00DD49AC">
        <w:rPr>
          <w:kern w:val="22"/>
        </w:rPr>
        <w:t xml:space="preserve"> plasma AUC</w:t>
      </w:r>
      <w:r w:rsidRPr="00DD49AC">
        <w:rPr>
          <w:kern w:val="22"/>
          <w:vertAlign w:val="subscript"/>
        </w:rPr>
        <w:t xml:space="preserve">0–24 h </w:t>
      </w:r>
      <w:r w:rsidRPr="00DD49AC">
        <w:rPr>
          <w:kern w:val="22"/>
        </w:rPr>
        <w:t xml:space="preserve">and </w:t>
      </w:r>
      <w:proofErr w:type="spellStart"/>
      <w:r w:rsidRPr="00DD49AC">
        <w:rPr>
          <w:kern w:val="22"/>
        </w:rPr>
        <w:t>C</w:t>
      </w:r>
      <w:r w:rsidRPr="00DD49AC">
        <w:rPr>
          <w:kern w:val="22"/>
          <w:vertAlign w:val="subscript"/>
        </w:rPr>
        <w:t>max</w:t>
      </w:r>
      <w:proofErr w:type="spellEnd"/>
      <w:r w:rsidRPr="00DD49AC">
        <w:rPr>
          <w:kern w:val="22"/>
        </w:rPr>
        <w:t>.</w:t>
      </w:r>
      <w:r w:rsidR="003C5A8B">
        <w:rPr>
          <w:kern w:val="22"/>
        </w:rPr>
        <w:t xml:space="preserve"> </w:t>
      </w:r>
      <w:r w:rsidRPr="00DD49AC">
        <w:rPr>
          <w:kern w:val="22"/>
        </w:rPr>
        <w:t xml:space="preserve">The relative exposure in the longer term animal studies ranged from equivalent to approximately twice as high as the clinical exposure at steady state. </w:t>
      </w:r>
    </w:p>
    <w:p w:rsidR="00DD49AC" w:rsidRPr="00DD49AC" w:rsidRDefault="00B676B7" w:rsidP="00767BB2">
      <w:pPr>
        <w:pStyle w:val="TableTitle"/>
        <w:rPr>
          <w:kern w:val="22"/>
        </w:rPr>
      </w:pPr>
      <w:r>
        <w:rPr>
          <w:kern w:val="22"/>
        </w:rPr>
        <w:t xml:space="preserve">Table </w:t>
      </w:r>
      <w:r w:rsidR="00E12E9B">
        <w:rPr>
          <w:kern w:val="22"/>
        </w:rPr>
        <w:t>2</w:t>
      </w:r>
      <w:r w:rsidR="003C5A8B">
        <w:rPr>
          <w:kern w:val="22"/>
        </w:rPr>
        <w:t xml:space="preserve">. </w:t>
      </w:r>
      <w:r w:rsidR="00DD49AC" w:rsidRPr="00DD49AC">
        <w:rPr>
          <w:kern w:val="22"/>
        </w:rPr>
        <w:t>Relative exposure in repeat-dose toxicity studies</w:t>
      </w:r>
    </w:p>
    <w:tbl>
      <w:tblPr>
        <w:tblStyle w:val="TableTGAblue"/>
        <w:tblW w:w="0" w:type="auto"/>
        <w:tblInd w:w="108" w:type="dxa"/>
        <w:tblLayout w:type="fixed"/>
        <w:tblLook w:val="01E0"/>
      </w:tblPr>
      <w:tblGrid>
        <w:gridCol w:w="1134"/>
        <w:gridCol w:w="1134"/>
        <w:gridCol w:w="1276"/>
        <w:gridCol w:w="1134"/>
        <w:gridCol w:w="992"/>
        <w:gridCol w:w="1418"/>
        <w:gridCol w:w="1417"/>
      </w:tblGrid>
      <w:tr w:rsidR="003C5A8B" w:rsidRPr="00AD1413" w:rsidTr="00F365ED">
        <w:trPr>
          <w:cnfStyle w:val="100000000000"/>
          <w:tblHeader/>
        </w:trPr>
        <w:tc>
          <w:tcPr>
            <w:tcW w:w="1134" w:type="dxa"/>
            <w:hideMark/>
          </w:tcPr>
          <w:p w:rsidR="00DD49AC" w:rsidRPr="00AD1413" w:rsidRDefault="00DD49AC" w:rsidP="00AD1413">
            <w:pPr>
              <w:pStyle w:val="Tabletext"/>
              <w:ind w:left="34" w:right="-108"/>
              <w:rPr>
                <w:kern w:val="22"/>
                <w:sz w:val="18"/>
                <w:szCs w:val="18"/>
              </w:rPr>
            </w:pPr>
            <w:r w:rsidRPr="00AD1413">
              <w:rPr>
                <w:kern w:val="22"/>
                <w:sz w:val="18"/>
                <w:szCs w:val="18"/>
              </w:rPr>
              <w:t>Species</w:t>
            </w:r>
          </w:p>
        </w:tc>
        <w:tc>
          <w:tcPr>
            <w:tcW w:w="1134" w:type="dxa"/>
            <w:hideMark/>
          </w:tcPr>
          <w:p w:rsidR="00DD49AC" w:rsidRPr="00AD1413" w:rsidRDefault="00DD49AC" w:rsidP="00AD1413">
            <w:pPr>
              <w:pStyle w:val="Tabletext"/>
              <w:ind w:left="34" w:right="0"/>
              <w:rPr>
                <w:kern w:val="22"/>
                <w:sz w:val="18"/>
                <w:szCs w:val="18"/>
              </w:rPr>
            </w:pPr>
            <w:r w:rsidRPr="00AD1413">
              <w:rPr>
                <w:kern w:val="22"/>
                <w:sz w:val="18"/>
                <w:szCs w:val="18"/>
              </w:rPr>
              <w:t>Study duration</w:t>
            </w:r>
          </w:p>
        </w:tc>
        <w:tc>
          <w:tcPr>
            <w:tcW w:w="1276" w:type="dxa"/>
            <w:hideMark/>
          </w:tcPr>
          <w:p w:rsidR="00DD49AC" w:rsidRPr="00AD1413" w:rsidRDefault="0054569E" w:rsidP="00AD1413">
            <w:pPr>
              <w:pStyle w:val="Tabletext"/>
              <w:ind w:left="34" w:right="0"/>
              <w:rPr>
                <w:kern w:val="22"/>
                <w:sz w:val="18"/>
                <w:szCs w:val="18"/>
              </w:rPr>
            </w:pPr>
            <w:r w:rsidRPr="00AD1413">
              <w:rPr>
                <w:kern w:val="22"/>
                <w:sz w:val="18"/>
                <w:szCs w:val="18"/>
              </w:rPr>
              <w:t>Dose</w:t>
            </w:r>
            <w:r w:rsidRPr="00AD1413">
              <w:rPr>
                <w:kern w:val="22"/>
                <w:sz w:val="18"/>
                <w:szCs w:val="18"/>
              </w:rPr>
              <w:br/>
            </w:r>
            <w:r w:rsidR="00DD49AC" w:rsidRPr="00AD1413">
              <w:rPr>
                <w:kern w:val="22"/>
                <w:sz w:val="18"/>
                <w:szCs w:val="18"/>
              </w:rPr>
              <w:t>mg/kg/day</w:t>
            </w:r>
          </w:p>
        </w:tc>
        <w:tc>
          <w:tcPr>
            <w:tcW w:w="1134" w:type="dxa"/>
            <w:hideMark/>
          </w:tcPr>
          <w:p w:rsidR="00DD49AC" w:rsidRPr="00AD1413" w:rsidRDefault="00DD49AC" w:rsidP="00AD1413">
            <w:pPr>
              <w:pStyle w:val="Tabletext"/>
              <w:ind w:left="34" w:right="0"/>
              <w:rPr>
                <w:kern w:val="22"/>
                <w:sz w:val="18"/>
                <w:szCs w:val="18"/>
              </w:rPr>
            </w:pPr>
            <w:r w:rsidRPr="00AD1413">
              <w:rPr>
                <w:kern w:val="22"/>
                <w:sz w:val="18"/>
                <w:szCs w:val="18"/>
              </w:rPr>
              <w:t>AUC</w:t>
            </w:r>
            <w:r w:rsidRPr="00AD1413">
              <w:rPr>
                <w:kern w:val="22"/>
                <w:sz w:val="18"/>
                <w:szCs w:val="18"/>
                <w:vertAlign w:val="subscript"/>
              </w:rPr>
              <w:t>0–24 h</w:t>
            </w:r>
            <w:r w:rsidRPr="00AD1413">
              <w:rPr>
                <w:kern w:val="22"/>
                <w:sz w:val="18"/>
                <w:szCs w:val="18"/>
              </w:rPr>
              <w:br/>
              <w:t>(</w:t>
            </w:r>
            <w:proofErr w:type="spellStart"/>
            <w:r w:rsidRPr="00AD1413">
              <w:rPr>
                <w:kern w:val="22"/>
                <w:sz w:val="18"/>
                <w:szCs w:val="18"/>
              </w:rPr>
              <w:t>ng∙h</w:t>
            </w:r>
            <w:proofErr w:type="spellEnd"/>
            <w:r w:rsidRPr="00AD1413">
              <w:rPr>
                <w:kern w:val="22"/>
                <w:sz w:val="18"/>
                <w:szCs w:val="18"/>
              </w:rPr>
              <w:t>/</w:t>
            </w:r>
            <w:proofErr w:type="spellStart"/>
            <w:r w:rsidRPr="00AD1413">
              <w:rPr>
                <w:kern w:val="22"/>
                <w:sz w:val="18"/>
                <w:szCs w:val="18"/>
              </w:rPr>
              <w:t>mL</w:t>
            </w:r>
            <w:proofErr w:type="spellEnd"/>
            <w:r w:rsidRPr="00AD1413">
              <w:rPr>
                <w:kern w:val="22"/>
                <w:sz w:val="18"/>
                <w:szCs w:val="18"/>
              </w:rPr>
              <w:t>)</w:t>
            </w:r>
          </w:p>
        </w:tc>
        <w:tc>
          <w:tcPr>
            <w:tcW w:w="992" w:type="dxa"/>
            <w:hideMark/>
          </w:tcPr>
          <w:p w:rsidR="00DD49AC" w:rsidRPr="00AD1413" w:rsidRDefault="00DD49AC" w:rsidP="00AD1413">
            <w:pPr>
              <w:pStyle w:val="Tabletext"/>
              <w:ind w:left="0" w:right="0"/>
              <w:rPr>
                <w:kern w:val="22"/>
                <w:sz w:val="18"/>
                <w:szCs w:val="18"/>
              </w:rPr>
            </w:pPr>
            <w:proofErr w:type="spellStart"/>
            <w:r w:rsidRPr="00AD1413">
              <w:rPr>
                <w:kern w:val="22"/>
                <w:sz w:val="18"/>
                <w:szCs w:val="18"/>
              </w:rPr>
              <w:t>C</w:t>
            </w:r>
            <w:r w:rsidRPr="00AD1413">
              <w:rPr>
                <w:kern w:val="22"/>
                <w:sz w:val="18"/>
                <w:szCs w:val="18"/>
                <w:vertAlign w:val="subscript"/>
              </w:rPr>
              <w:t>max</w:t>
            </w:r>
            <w:proofErr w:type="spellEnd"/>
            <w:r w:rsidRPr="00AD1413">
              <w:rPr>
                <w:kern w:val="22"/>
                <w:sz w:val="18"/>
                <w:szCs w:val="18"/>
              </w:rPr>
              <w:t xml:space="preserve"> </w:t>
            </w:r>
            <w:r w:rsidR="0034302D" w:rsidRPr="00AD1413">
              <w:rPr>
                <w:kern w:val="22"/>
                <w:sz w:val="18"/>
                <w:szCs w:val="18"/>
              </w:rPr>
              <w:br/>
            </w:r>
            <w:r w:rsidRPr="00AD1413">
              <w:rPr>
                <w:kern w:val="22"/>
                <w:sz w:val="18"/>
                <w:szCs w:val="18"/>
              </w:rPr>
              <w:t>(</w:t>
            </w:r>
            <w:proofErr w:type="spellStart"/>
            <w:r w:rsidRPr="00AD1413">
              <w:rPr>
                <w:kern w:val="22"/>
                <w:sz w:val="18"/>
                <w:szCs w:val="18"/>
              </w:rPr>
              <w:t>ng</w:t>
            </w:r>
            <w:proofErr w:type="spellEnd"/>
            <w:r w:rsidRPr="00AD1413">
              <w:rPr>
                <w:kern w:val="22"/>
                <w:sz w:val="18"/>
                <w:szCs w:val="18"/>
              </w:rPr>
              <w:t>/</w:t>
            </w:r>
            <w:proofErr w:type="spellStart"/>
            <w:r w:rsidRPr="00AD1413">
              <w:rPr>
                <w:kern w:val="22"/>
                <w:sz w:val="18"/>
                <w:szCs w:val="18"/>
              </w:rPr>
              <w:t>mL</w:t>
            </w:r>
            <w:proofErr w:type="spellEnd"/>
            <w:r w:rsidRPr="00AD1413">
              <w:rPr>
                <w:kern w:val="22"/>
                <w:sz w:val="18"/>
                <w:szCs w:val="18"/>
              </w:rPr>
              <w:t>)</w:t>
            </w:r>
          </w:p>
        </w:tc>
        <w:tc>
          <w:tcPr>
            <w:tcW w:w="1418" w:type="dxa"/>
            <w:hideMark/>
          </w:tcPr>
          <w:p w:rsidR="00DD49AC" w:rsidRPr="00AD1413" w:rsidRDefault="00DD49AC" w:rsidP="00AD1413">
            <w:pPr>
              <w:pStyle w:val="Tabletext"/>
              <w:ind w:left="34" w:right="-108"/>
              <w:rPr>
                <w:kern w:val="22"/>
                <w:sz w:val="18"/>
                <w:szCs w:val="18"/>
              </w:rPr>
            </w:pPr>
            <w:r w:rsidRPr="00AD1413">
              <w:rPr>
                <w:kern w:val="22"/>
                <w:sz w:val="18"/>
                <w:szCs w:val="18"/>
              </w:rPr>
              <w:t>Exposure ratio based on AUC</w:t>
            </w:r>
            <w:r w:rsidRPr="00AD1413">
              <w:rPr>
                <w:kern w:val="22"/>
                <w:sz w:val="18"/>
                <w:szCs w:val="18"/>
                <w:vertAlign w:val="superscript"/>
              </w:rPr>
              <w:t>#</w:t>
            </w:r>
          </w:p>
        </w:tc>
        <w:tc>
          <w:tcPr>
            <w:tcW w:w="1417" w:type="dxa"/>
            <w:hideMark/>
          </w:tcPr>
          <w:p w:rsidR="00DD49AC" w:rsidRPr="00AD1413" w:rsidRDefault="00DD49AC" w:rsidP="00AD1413">
            <w:pPr>
              <w:pStyle w:val="Tabletext"/>
              <w:ind w:left="34" w:right="0"/>
              <w:rPr>
                <w:kern w:val="22"/>
                <w:sz w:val="18"/>
                <w:szCs w:val="18"/>
              </w:rPr>
            </w:pPr>
            <w:r w:rsidRPr="00AD1413">
              <w:rPr>
                <w:kern w:val="22"/>
                <w:sz w:val="18"/>
                <w:szCs w:val="18"/>
              </w:rPr>
              <w:t xml:space="preserve">Exposure ratio based on </w:t>
            </w:r>
            <w:proofErr w:type="spellStart"/>
            <w:r w:rsidRPr="00AD1413">
              <w:rPr>
                <w:kern w:val="22"/>
                <w:sz w:val="18"/>
                <w:szCs w:val="18"/>
              </w:rPr>
              <w:t>C</w:t>
            </w:r>
            <w:r w:rsidRPr="00AD1413">
              <w:rPr>
                <w:kern w:val="22"/>
                <w:sz w:val="18"/>
                <w:szCs w:val="18"/>
                <w:vertAlign w:val="subscript"/>
              </w:rPr>
              <w:t>max</w:t>
            </w:r>
            <w:proofErr w:type="spellEnd"/>
            <w:r w:rsidRPr="00AD1413">
              <w:rPr>
                <w:kern w:val="22"/>
                <w:sz w:val="18"/>
                <w:szCs w:val="18"/>
                <w:vertAlign w:val="superscript"/>
              </w:rPr>
              <w:t>#</w:t>
            </w:r>
          </w:p>
        </w:tc>
      </w:tr>
      <w:tr w:rsidR="00DD49AC" w:rsidRPr="00AD1413" w:rsidTr="00F365ED">
        <w:trPr>
          <w:trHeight w:val="227"/>
        </w:trPr>
        <w:tc>
          <w:tcPr>
            <w:tcW w:w="1134" w:type="dxa"/>
            <w:vMerge w:val="restart"/>
            <w:hideMark/>
          </w:tcPr>
          <w:p w:rsidR="00DD49AC" w:rsidRPr="00AD1413" w:rsidRDefault="00DD49AC" w:rsidP="00AD1413">
            <w:pPr>
              <w:pStyle w:val="Tabletext"/>
              <w:ind w:left="34" w:right="-108"/>
              <w:rPr>
                <w:kern w:val="22"/>
                <w:sz w:val="18"/>
                <w:szCs w:val="18"/>
              </w:rPr>
            </w:pPr>
            <w:r w:rsidRPr="00AD1413">
              <w:rPr>
                <w:kern w:val="22"/>
                <w:sz w:val="18"/>
                <w:szCs w:val="18"/>
              </w:rPr>
              <w:t>Rat</w:t>
            </w:r>
            <w:r w:rsidRPr="00AD1413">
              <w:rPr>
                <w:kern w:val="22"/>
                <w:sz w:val="18"/>
                <w:szCs w:val="18"/>
              </w:rPr>
              <w:br/>
              <w:t>(SD)</w:t>
            </w:r>
          </w:p>
        </w:tc>
        <w:tc>
          <w:tcPr>
            <w:tcW w:w="1134" w:type="dxa"/>
            <w:vMerge w:val="restart"/>
            <w:hideMark/>
          </w:tcPr>
          <w:p w:rsidR="00DD49AC" w:rsidRPr="00AD1413" w:rsidRDefault="00DD49AC" w:rsidP="00AD1413">
            <w:pPr>
              <w:pStyle w:val="Tabletext"/>
              <w:ind w:left="34" w:right="0"/>
              <w:rPr>
                <w:kern w:val="22"/>
                <w:sz w:val="18"/>
                <w:szCs w:val="18"/>
              </w:rPr>
            </w:pPr>
            <w:r w:rsidRPr="00AD1413">
              <w:rPr>
                <w:kern w:val="22"/>
                <w:sz w:val="18"/>
                <w:szCs w:val="18"/>
              </w:rPr>
              <w:t>4 weeks</w:t>
            </w:r>
          </w:p>
        </w:tc>
        <w:tc>
          <w:tcPr>
            <w:tcW w:w="1276" w:type="dxa"/>
            <w:hideMark/>
          </w:tcPr>
          <w:p w:rsidR="00DD49AC" w:rsidRPr="00AD1413" w:rsidRDefault="00DD49AC" w:rsidP="00AD1413">
            <w:pPr>
              <w:pStyle w:val="Tabletext"/>
              <w:ind w:left="34" w:right="0"/>
              <w:rPr>
                <w:kern w:val="22"/>
                <w:sz w:val="18"/>
                <w:szCs w:val="18"/>
              </w:rPr>
            </w:pPr>
            <w:r w:rsidRPr="00AD1413">
              <w:rPr>
                <w:kern w:val="22"/>
                <w:sz w:val="18"/>
                <w:szCs w:val="18"/>
              </w:rPr>
              <w:t>50</w:t>
            </w:r>
          </w:p>
        </w:tc>
        <w:tc>
          <w:tcPr>
            <w:tcW w:w="1134" w:type="dxa"/>
            <w:hideMark/>
          </w:tcPr>
          <w:p w:rsidR="00DD49AC" w:rsidRPr="00AD1413" w:rsidRDefault="00DD49AC" w:rsidP="00AD1413">
            <w:pPr>
              <w:pStyle w:val="Tabletext"/>
              <w:ind w:left="34" w:right="0"/>
              <w:rPr>
                <w:kern w:val="22"/>
                <w:sz w:val="18"/>
                <w:szCs w:val="18"/>
              </w:rPr>
            </w:pPr>
            <w:r w:rsidRPr="00AD1413">
              <w:rPr>
                <w:kern w:val="22"/>
                <w:sz w:val="18"/>
                <w:szCs w:val="18"/>
              </w:rPr>
              <w:t>116000</w:t>
            </w:r>
          </w:p>
        </w:tc>
        <w:tc>
          <w:tcPr>
            <w:tcW w:w="992" w:type="dxa"/>
            <w:hideMark/>
          </w:tcPr>
          <w:p w:rsidR="00DD49AC" w:rsidRPr="00AD1413" w:rsidRDefault="00DD49AC" w:rsidP="00AD1413">
            <w:pPr>
              <w:pStyle w:val="Tabletext"/>
              <w:ind w:left="0"/>
              <w:rPr>
                <w:kern w:val="22"/>
                <w:sz w:val="18"/>
                <w:szCs w:val="18"/>
              </w:rPr>
            </w:pPr>
            <w:r w:rsidRPr="00AD1413">
              <w:rPr>
                <w:kern w:val="22"/>
                <w:sz w:val="18"/>
                <w:szCs w:val="18"/>
              </w:rPr>
              <w:t>14500</w:t>
            </w:r>
          </w:p>
        </w:tc>
        <w:tc>
          <w:tcPr>
            <w:tcW w:w="1418" w:type="dxa"/>
            <w:hideMark/>
          </w:tcPr>
          <w:p w:rsidR="00DD49AC" w:rsidRPr="00AD1413" w:rsidRDefault="00DD49AC" w:rsidP="00AD1413">
            <w:pPr>
              <w:pStyle w:val="Tabletext"/>
              <w:rPr>
                <w:kern w:val="22"/>
                <w:sz w:val="18"/>
                <w:szCs w:val="18"/>
              </w:rPr>
            </w:pPr>
            <w:r w:rsidRPr="00AD1413">
              <w:rPr>
                <w:kern w:val="22"/>
                <w:sz w:val="18"/>
                <w:szCs w:val="18"/>
              </w:rPr>
              <w:t>0.5</w:t>
            </w:r>
          </w:p>
        </w:tc>
        <w:tc>
          <w:tcPr>
            <w:tcW w:w="1417" w:type="dxa"/>
            <w:hideMark/>
          </w:tcPr>
          <w:p w:rsidR="00DD49AC" w:rsidRPr="00AD1413" w:rsidRDefault="00DD49AC" w:rsidP="00AD1413">
            <w:pPr>
              <w:pStyle w:val="Tabletext"/>
              <w:rPr>
                <w:kern w:val="22"/>
                <w:sz w:val="18"/>
                <w:szCs w:val="18"/>
              </w:rPr>
            </w:pPr>
            <w:r w:rsidRPr="00AD1413">
              <w:rPr>
                <w:kern w:val="22"/>
                <w:sz w:val="18"/>
                <w:szCs w:val="18"/>
              </w:rPr>
              <w:t>1.5</w:t>
            </w:r>
          </w:p>
        </w:tc>
      </w:tr>
      <w:tr w:rsidR="00DD49AC" w:rsidRPr="00AD1413" w:rsidTr="00F365ED">
        <w:trPr>
          <w:trHeight w:val="227"/>
        </w:trPr>
        <w:tc>
          <w:tcPr>
            <w:tcW w:w="1134" w:type="dxa"/>
            <w:vMerge/>
            <w:hideMark/>
          </w:tcPr>
          <w:p w:rsidR="00DD49AC" w:rsidRPr="00AD1413" w:rsidRDefault="00DD49AC" w:rsidP="00AD1413">
            <w:pPr>
              <w:pStyle w:val="Tabletext"/>
              <w:ind w:left="34" w:right="-108"/>
              <w:rPr>
                <w:kern w:val="22"/>
                <w:sz w:val="18"/>
                <w:szCs w:val="18"/>
              </w:rPr>
            </w:pPr>
          </w:p>
        </w:tc>
        <w:tc>
          <w:tcPr>
            <w:tcW w:w="1134" w:type="dxa"/>
            <w:vMerge/>
            <w:hideMark/>
          </w:tcPr>
          <w:p w:rsidR="00DD49AC" w:rsidRPr="00AD1413" w:rsidRDefault="00DD49AC" w:rsidP="00AD1413">
            <w:pPr>
              <w:pStyle w:val="Tabletext"/>
              <w:ind w:left="34" w:right="0"/>
              <w:rPr>
                <w:kern w:val="22"/>
                <w:sz w:val="18"/>
                <w:szCs w:val="18"/>
              </w:rPr>
            </w:pPr>
          </w:p>
        </w:tc>
        <w:tc>
          <w:tcPr>
            <w:tcW w:w="1276" w:type="dxa"/>
            <w:hideMark/>
          </w:tcPr>
          <w:p w:rsidR="00DD49AC" w:rsidRPr="00AD1413" w:rsidRDefault="00DD49AC" w:rsidP="00AD1413">
            <w:pPr>
              <w:pStyle w:val="Tabletext"/>
              <w:ind w:left="34" w:right="0"/>
              <w:rPr>
                <w:kern w:val="22"/>
                <w:sz w:val="18"/>
                <w:szCs w:val="18"/>
              </w:rPr>
            </w:pPr>
            <w:r w:rsidRPr="00AD1413">
              <w:rPr>
                <w:kern w:val="22"/>
                <w:sz w:val="18"/>
                <w:szCs w:val="18"/>
              </w:rPr>
              <w:t>150</w:t>
            </w:r>
          </w:p>
        </w:tc>
        <w:tc>
          <w:tcPr>
            <w:tcW w:w="1134" w:type="dxa"/>
            <w:hideMark/>
          </w:tcPr>
          <w:p w:rsidR="00DD49AC" w:rsidRPr="00AD1413" w:rsidRDefault="00DD49AC" w:rsidP="00AD1413">
            <w:pPr>
              <w:pStyle w:val="Tabletext"/>
              <w:ind w:left="34"/>
              <w:rPr>
                <w:kern w:val="22"/>
                <w:sz w:val="18"/>
                <w:szCs w:val="18"/>
              </w:rPr>
            </w:pPr>
            <w:r w:rsidRPr="00AD1413">
              <w:rPr>
                <w:kern w:val="22"/>
                <w:sz w:val="18"/>
                <w:szCs w:val="18"/>
              </w:rPr>
              <w:t>197000</w:t>
            </w:r>
          </w:p>
        </w:tc>
        <w:tc>
          <w:tcPr>
            <w:tcW w:w="992" w:type="dxa"/>
            <w:hideMark/>
          </w:tcPr>
          <w:p w:rsidR="00DD49AC" w:rsidRPr="00AD1413" w:rsidRDefault="00DD49AC" w:rsidP="00AD1413">
            <w:pPr>
              <w:pStyle w:val="Tabletext"/>
              <w:ind w:left="0"/>
              <w:rPr>
                <w:kern w:val="22"/>
                <w:sz w:val="18"/>
                <w:szCs w:val="18"/>
              </w:rPr>
            </w:pPr>
            <w:r w:rsidRPr="00AD1413">
              <w:rPr>
                <w:kern w:val="22"/>
                <w:sz w:val="18"/>
                <w:szCs w:val="18"/>
              </w:rPr>
              <w:t>18100</w:t>
            </w:r>
          </w:p>
        </w:tc>
        <w:tc>
          <w:tcPr>
            <w:tcW w:w="1418" w:type="dxa"/>
            <w:hideMark/>
          </w:tcPr>
          <w:p w:rsidR="00DD49AC" w:rsidRPr="00AD1413" w:rsidRDefault="00DD49AC" w:rsidP="00AD1413">
            <w:pPr>
              <w:pStyle w:val="Tabletext"/>
              <w:rPr>
                <w:kern w:val="22"/>
                <w:sz w:val="18"/>
                <w:szCs w:val="18"/>
              </w:rPr>
            </w:pPr>
            <w:r w:rsidRPr="00AD1413">
              <w:rPr>
                <w:kern w:val="22"/>
                <w:sz w:val="18"/>
                <w:szCs w:val="18"/>
              </w:rPr>
              <w:t>0.9</w:t>
            </w:r>
          </w:p>
        </w:tc>
        <w:tc>
          <w:tcPr>
            <w:tcW w:w="1417" w:type="dxa"/>
            <w:hideMark/>
          </w:tcPr>
          <w:p w:rsidR="00DD49AC" w:rsidRPr="00AD1413" w:rsidRDefault="00DD49AC" w:rsidP="00AD1413">
            <w:pPr>
              <w:pStyle w:val="Tabletext"/>
              <w:rPr>
                <w:kern w:val="22"/>
                <w:sz w:val="18"/>
                <w:szCs w:val="18"/>
              </w:rPr>
            </w:pPr>
            <w:r w:rsidRPr="00AD1413">
              <w:rPr>
                <w:kern w:val="22"/>
                <w:sz w:val="18"/>
                <w:szCs w:val="18"/>
              </w:rPr>
              <w:t>1.9</w:t>
            </w:r>
          </w:p>
        </w:tc>
      </w:tr>
      <w:tr w:rsidR="00DD49AC" w:rsidRPr="00AD1413" w:rsidTr="00F365ED">
        <w:trPr>
          <w:trHeight w:val="227"/>
        </w:trPr>
        <w:tc>
          <w:tcPr>
            <w:tcW w:w="1134" w:type="dxa"/>
            <w:vMerge/>
            <w:hideMark/>
          </w:tcPr>
          <w:p w:rsidR="00DD49AC" w:rsidRPr="00AD1413" w:rsidRDefault="00DD49AC" w:rsidP="00AD1413">
            <w:pPr>
              <w:pStyle w:val="Tabletext"/>
              <w:ind w:left="34" w:right="-108"/>
              <w:rPr>
                <w:kern w:val="22"/>
                <w:sz w:val="18"/>
                <w:szCs w:val="18"/>
              </w:rPr>
            </w:pPr>
          </w:p>
        </w:tc>
        <w:tc>
          <w:tcPr>
            <w:tcW w:w="1134" w:type="dxa"/>
            <w:vMerge/>
            <w:hideMark/>
          </w:tcPr>
          <w:p w:rsidR="00DD49AC" w:rsidRPr="00AD1413" w:rsidRDefault="00DD49AC" w:rsidP="00AD1413">
            <w:pPr>
              <w:pStyle w:val="Tabletext"/>
              <w:ind w:left="34" w:right="0"/>
              <w:rPr>
                <w:kern w:val="22"/>
                <w:sz w:val="18"/>
                <w:szCs w:val="18"/>
              </w:rPr>
            </w:pPr>
          </w:p>
        </w:tc>
        <w:tc>
          <w:tcPr>
            <w:tcW w:w="1276" w:type="dxa"/>
            <w:hideMark/>
          </w:tcPr>
          <w:p w:rsidR="00DD49AC" w:rsidRPr="00AD1413" w:rsidRDefault="00DD49AC" w:rsidP="00AD1413">
            <w:pPr>
              <w:pStyle w:val="Tabletext"/>
              <w:ind w:left="34" w:right="0"/>
              <w:rPr>
                <w:kern w:val="22"/>
                <w:sz w:val="18"/>
                <w:szCs w:val="18"/>
              </w:rPr>
            </w:pPr>
            <w:r w:rsidRPr="00AD1413">
              <w:rPr>
                <w:kern w:val="22"/>
                <w:sz w:val="18"/>
                <w:szCs w:val="18"/>
              </w:rPr>
              <w:t>500</w:t>
            </w:r>
          </w:p>
        </w:tc>
        <w:tc>
          <w:tcPr>
            <w:tcW w:w="1134" w:type="dxa"/>
            <w:hideMark/>
          </w:tcPr>
          <w:p w:rsidR="00DD49AC" w:rsidRPr="00AD1413" w:rsidRDefault="00DD49AC" w:rsidP="00AD1413">
            <w:pPr>
              <w:pStyle w:val="Tabletext"/>
              <w:ind w:left="34"/>
              <w:rPr>
                <w:kern w:val="22"/>
                <w:sz w:val="18"/>
                <w:szCs w:val="18"/>
              </w:rPr>
            </w:pPr>
            <w:r w:rsidRPr="00AD1413">
              <w:rPr>
                <w:kern w:val="22"/>
                <w:sz w:val="18"/>
                <w:szCs w:val="18"/>
              </w:rPr>
              <w:t>404000</w:t>
            </w:r>
          </w:p>
        </w:tc>
        <w:tc>
          <w:tcPr>
            <w:tcW w:w="992" w:type="dxa"/>
            <w:hideMark/>
          </w:tcPr>
          <w:p w:rsidR="00DD49AC" w:rsidRPr="00AD1413" w:rsidRDefault="00DD49AC" w:rsidP="00AD1413">
            <w:pPr>
              <w:pStyle w:val="Tabletext"/>
              <w:ind w:left="0"/>
              <w:rPr>
                <w:kern w:val="22"/>
                <w:sz w:val="18"/>
                <w:szCs w:val="18"/>
              </w:rPr>
            </w:pPr>
            <w:r w:rsidRPr="00AD1413">
              <w:rPr>
                <w:kern w:val="22"/>
                <w:sz w:val="18"/>
                <w:szCs w:val="18"/>
              </w:rPr>
              <w:t>36600</w:t>
            </w:r>
          </w:p>
        </w:tc>
        <w:tc>
          <w:tcPr>
            <w:tcW w:w="1418" w:type="dxa"/>
            <w:hideMark/>
          </w:tcPr>
          <w:p w:rsidR="00DD49AC" w:rsidRPr="00AD1413" w:rsidRDefault="00DD49AC" w:rsidP="00AD1413">
            <w:pPr>
              <w:pStyle w:val="Tabletext"/>
              <w:rPr>
                <w:kern w:val="22"/>
                <w:sz w:val="18"/>
                <w:szCs w:val="18"/>
              </w:rPr>
            </w:pPr>
            <w:r w:rsidRPr="00AD1413">
              <w:rPr>
                <w:kern w:val="22"/>
                <w:sz w:val="18"/>
                <w:szCs w:val="18"/>
              </w:rPr>
              <w:t>1.8</w:t>
            </w:r>
          </w:p>
        </w:tc>
        <w:tc>
          <w:tcPr>
            <w:tcW w:w="1417" w:type="dxa"/>
            <w:hideMark/>
          </w:tcPr>
          <w:p w:rsidR="00DD49AC" w:rsidRPr="00AD1413" w:rsidRDefault="00DD49AC" w:rsidP="00AD1413">
            <w:pPr>
              <w:pStyle w:val="Tabletext"/>
              <w:rPr>
                <w:kern w:val="22"/>
                <w:sz w:val="18"/>
                <w:szCs w:val="18"/>
              </w:rPr>
            </w:pPr>
            <w:r w:rsidRPr="00AD1413">
              <w:rPr>
                <w:kern w:val="22"/>
                <w:sz w:val="18"/>
                <w:szCs w:val="18"/>
              </w:rPr>
              <w:t>3.8</w:t>
            </w:r>
          </w:p>
        </w:tc>
      </w:tr>
      <w:tr w:rsidR="00DD49AC" w:rsidRPr="00AD1413" w:rsidTr="00F365ED">
        <w:trPr>
          <w:trHeight w:val="227"/>
        </w:trPr>
        <w:tc>
          <w:tcPr>
            <w:tcW w:w="1134" w:type="dxa"/>
            <w:vMerge/>
            <w:hideMark/>
          </w:tcPr>
          <w:p w:rsidR="00DD49AC" w:rsidRPr="00AD1413" w:rsidRDefault="00DD49AC" w:rsidP="00AD1413">
            <w:pPr>
              <w:pStyle w:val="Tabletext"/>
              <w:ind w:left="34" w:right="-108"/>
              <w:rPr>
                <w:kern w:val="22"/>
                <w:sz w:val="18"/>
                <w:szCs w:val="18"/>
              </w:rPr>
            </w:pPr>
          </w:p>
        </w:tc>
        <w:tc>
          <w:tcPr>
            <w:tcW w:w="1134" w:type="dxa"/>
            <w:vMerge w:val="restart"/>
            <w:hideMark/>
          </w:tcPr>
          <w:p w:rsidR="00DD49AC" w:rsidRPr="00AD1413" w:rsidRDefault="00DD49AC" w:rsidP="00AD1413">
            <w:pPr>
              <w:pStyle w:val="Tabletext"/>
              <w:ind w:left="34" w:right="0"/>
              <w:rPr>
                <w:kern w:val="22"/>
                <w:sz w:val="18"/>
                <w:szCs w:val="18"/>
              </w:rPr>
            </w:pPr>
            <w:r w:rsidRPr="00AD1413">
              <w:rPr>
                <w:kern w:val="22"/>
                <w:sz w:val="18"/>
                <w:szCs w:val="18"/>
              </w:rPr>
              <w:t>13 weeks</w:t>
            </w:r>
          </w:p>
        </w:tc>
        <w:tc>
          <w:tcPr>
            <w:tcW w:w="1276" w:type="dxa"/>
            <w:hideMark/>
          </w:tcPr>
          <w:p w:rsidR="00DD49AC" w:rsidRPr="00AD1413" w:rsidRDefault="00DD49AC" w:rsidP="00AD1413">
            <w:pPr>
              <w:pStyle w:val="Tabletext"/>
              <w:ind w:left="34" w:right="0"/>
              <w:rPr>
                <w:kern w:val="22"/>
                <w:sz w:val="18"/>
                <w:szCs w:val="18"/>
              </w:rPr>
            </w:pPr>
            <w:r w:rsidRPr="00AD1413">
              <w:rPr>
                <w:kern w:val="22"/>
                <w:sz w:val="18"/>
                <w:szCs w:val="18"/>
              </w:rPr>
              <w:t>10</w:t>
            </w:r>
          </w:p>
        </w:tc>
        <w:tc>
          <w:tcPr>
            <w:tcW w:w="1134" w:type="dxa"/>
            <w:hideMark/>
          </w:tcPr>
          <w:p w:rsidR="00DD49AC" w:rsidRPr="00AD1413" w:rsidRDefault="00DD49AC" w:rsidP="00AD1413">
            <w:pPr>
              <w:pStyle w:val="Tabletext"/>
              <w:ind w:left="34"/>
              <w:rPr>
                <w:kern w:val="22"/>
                <w:sz w:val="18"/>
                <w:szCs w:val="18"/>
              </w:rPr>
            </w:pPr>
            <w:r w:rsidRPr="00AD1413">
              <w:rPr>
                <w:kern w:val="22"/>
                <w:sz w:val="18"/>
                <w:szCs w:val="18"/>
              </w:rPr>
              <w:t>37550</w:t>
            </w:r>
          </w:p>
        </w:tc>
        <w:tc>
          <w:tcPr>
            <w:tcW w:w="992" w:type="dxa"/>
            <w:hideMark/>
          </w:tcPr>
          <w:p w:rsidR="00DD49AC" w:rsidRPr="00AD1413" w:rsidRDefault="00DD49AC" w:rsidP="00AD1413">
            <w:pPr>
              <w:pStyle w:val="Tabletext"/>
              <w:ind w:left="0"/>
              <w:rPr>
                <w:kern w:val="22"/>
                <w:sz w:val="18"/>
                <w:szCs w:val="18"/>
              </w:rPr>
            </w:pPr>
            <w:r w:rsidRPr="00AD1413">
              <w:rPr>
                <w:kern w:val="22"/>
                <w:sz w:val="18"/>
                <w:szCs w:val="18"/>
              </w:rPr>
              <w:t>3190</w:t>
            </w:r>
          </w:p>
        </w:tc>
        <w:tc>
          <w:tcPr>
            <w:tcW w:w="1418" w:type="dxa"/>
            <w:hideMark/>
          </w:tcPr>
          <w:p w:rsidR="00DD49AC" w:rsidRPr="00AD1413" w:rsidRDefault="00DD49AC" w:rsidP="00AD1413">
            <w:pPr>
              <w:pStyle w:val="Tabletext"/>
              <w:rPr>
                <w:kern w:val="22"/>
                <w:sz w:val="18"/>
                <w:szCs w:val="18"/>
              </w:rPr>
            </w:pPr>
            <w:r w:rsidRPr="00AD1413">
              <w:rPr>
                <w:kern w:val="22"/>
                <w:sz w:val="18"/>
                <w:szCs w:val="18"/>
              </w:rPr>
              <w:t>0.17</w:t>
            </w:r>
          </w:p>
        </w:tc>
        <w:tc>
          <w:tcPr>
            <w:tcW w:w="1417" w:type="dxa"/>
            <w:hideMark/>
          </w:tcPr>
          <w:p w:rsidR="00DD49AC" w:rsidRPr="00AD1413" w:rsidRDefault="00DD49AC" w:rsidP="00AD1413">
            <w:pPr>
              <w:pStyle w:val="Tabletext"/>
              <w:rPr>
                <w:kern w:val="22"/>
                <w:sz w:val="18"/>
                <w:szCs w:val="18"/>
              </w:rPr>
            </w:pPr>
            <w:r w:rsidRPr="00AD1413">
              <w:rPr>
                <w:kern w:val="22"/>
                <w:sz w:val="18"/>
                <w:szCs w:val="18"/>
              </w:rPr>
              <w:t>0.3</w:t>
            </w:r>
          </w:p>
        </w:tc>
      </w:tr>
      <w:tr w:rsidR="00DD49AC" w:rsidRPr="00AD1413" w:rsidTr="00F365ED">
        <w:trPr>
          <w:trHeight w:val="227"/>
        </w:trPr>
        <w:tc>
          <w:tcPr>
            <w:tcW w:w="1134" w:type="dxa"/>
            <w:vMerge/>
            <w:hideMark/>
          </w:tcPr>
          <w:p w:rsidR="00DD49AC" w:rsidRPr="00AD1413" w:rsidRDefault="00DD49AC" w:rsidP="00AD1413">
            <w:pPr>
              <w:pStyle w:val="Tabletext"/>
              <w:ind w:left="34" w:right="-108"/>
              <w:rPr>
                <w:kern w:val="22"/>
                <w:sz w:val="18"/>
                <w:szCs w:val="18"/>
              </w:rPr>
            </w:pPr>
          </w:p>
        </w:tc>
        <w:tc>
          <w:tcPr>
            <w:tcW w:w="1134" w:type="dxa"/>
            <w:vMerge/>
            <w:hideMark/>
          </w:tcPr>
          <w:p w:rsidR="00DD49AC" w:rsidRPr="00AD1413" w:rsidRDefault="00DD49AC" w:rsidP="00AD1413">
            <w:pPr>
              <w:pStyle w:val="Tabletext"/>
              <w:ind w:left="34" w:right="0"/>
              <w:rPr>
                <w:kern w:val="22"/>
                <w:sz w:val="18"/>
                <w:szCs w:val="18"/>
              </w:rPr>
            </w:pPr>
          </w:p>
        </w:tc>
        <w:tc>
          <w:tcPr>
            <w:tcW w:w="1276" w:type="dxa"/>
            <w:hideMark/>
          </w:tcPr>
          <w:p w:rsidR="00DD49AC" w:rsidRPr="00AD1413" w:rsidRDefault="00DD49AC" w:rsidP="00AD1413">
            <w:pPr>
              <w:pStyle w:val="Tabletext"/>
              <w:ind w:left="34" w:right="0"/>
              <w:rPr>
                <w:kern w:val="22"/>
                <w:sz w:val="18"/>
                <w:szCs w:val="18"/>
              </w:rPr>
            </w:pPr>
            <w:r w:rsidRPr="00AD1413">
              <w:rPr>
                <w:kern w:val="22"/>
                <w:sz w:val="18"/>
                <w:szCs w:val="18"/>
              </w:rPr>
              <w:t>50</w:t>
            </w:r>
          </w:p>
        </w:tc>
        <w:tc>
          <w:tcPr>
            <w:tcW w:w="1134" w:type="dxa"/>
            <w:hideMark/>
          </w:tcPr>
          <w:p w:rsidR="00DD49AC" w:rsidRPr="00AD1413" w:rsidRDefault="00DD49AC" w:rsidP="00AD1413">
            <w:pPr>
              <w:pStyle w:val="Tabletext"/>
              <w:ind w:left="34"/>
              <w:rPr>
                <w:kern w:val="22"/>
                <w:sz w:val="18"/>
                <w:szCs w:val="18"/>
              </w:rPr>
            </w:pPr>
            <w:r w:rsidRPr="00AD1413">
              <w:rPr>
                <w:kern w:val="22"/>
                <w:sz w:val="18"/>
                <w:szCs w:val="18"/>
              </w:rPr>
              <w:t>166200</w:t>
            </w:r>
          </w:p>
        </w:tc>
        <w:tc>
          <w:tcPr>
            <w:tcW w:w="992" w:type="dxa"/>
            <w:hideMark/>
          </w:tcPr>
          <w:p w:rsidR="00DD49AC" w:rsidRPr="00AD1413" w:rsidRDefault="00DD49AC" w:rsidP="00AD1413">
            <w:pPr>
              <w:pStyle w:val="Tabletext"/>
              <w:ind w:left="0"/>
              <w:rPr>
                <w:kern w:val="22"/>
                <w:sz w:val="18"/>
                <w:szCs w:val="18"/>
              </w:rPr>
            </w:pPr>
            <w:r w:rsidRPr="00AD1413">
              <w:rPr>
                <w:kern w:val="22"/>
                <w:sz w:val="18"/>
                <w:szCs w:val="18"/>
              </w:rPr>
              <w:t>12400</w:t>
            </w:r>
          </w:p>
        </w:tc>
        <w:tc>
          <w:tcPr>
            <w:tcW w:w="1418" w:type="dxa"/>
            <w:hideMark/>
          </w:tcPr>
          <w:p w:rsidR="00DD49AC" w:rsidRPr="00AD1413" w:rsidRDefault="00DD49AC" w:rsidP="00AD1413">
            <w:pPr>
              <w:pStyle w:val="Tabletext"/>
              <w:rPr>
                <w:kern w:val="22"/>
                <w:sz w:val="18"/>
                <w:szCs w:val="18"/>
              </w:rPr>
            </w:pPr>
            <w:r w:rsidRPr="00AD1413">
              <w:rPr>
                <w:kern w:val="22"/>
                <w:sz w:val="18"/>
                <w:szCs w:val="18"/>
              </w:rPr>
              <w:t>0.7</w:t>
            </w:r>
          </w:p>
        </w:tc>
        <w:tc>
          <w:tcPr>
            <w:tcW w:w="1417" w:type="dxa"/>
            <w:hideMark/>
          </w:tcPr>
          <w:p w:rsidR="00DD49AC" w:rsidRPr="00AD1413" w:rsidRDefault="00DD49AC" w:rsidP="00AD1413">
            <w:pPr>
              <w:pStyle w:val="Tabletext"/>
              <w:rPr>
                <w:kern w:val="22"/>
                <w:sz w:val="18"/>
                <w:szCs w:val="18"/>
              </w:rPr>
            </w:pPr>
            <w:r w:rsidRPr="00AD1413">
              <w:rPr>
                <w:kern w:val="22"/>
                <w:sz w:val="18"/>
                <w:szCs w:val="18"/>
              </w:rPr>
              <w:t>1.3</w:t>
            </w:r>
          </w:p>
        </w:tc>
      </w:tr>
      <w:tr w:rsidR="00DD49AC" w:rsidRPr="00AD1413" w:rsidTr="00F365ED">
        <w:trPr>
          <w:trHeight w:val="227"/>
        </w:trPr>
        <w:tc>
          <w:tcPr>
            <w:tcW w:w="1134" w:type="dxa"/>
            <w:vMerge/>
            <w:hideMark/>
          </w:tcPr>
          <w:p w:rsidR="00DD49AC" w:rsidRPr="00AD1413" w:rsidRDefault="00DD49AC" w:rsidP="00AD1413">
            <w:pPr>
              <w:pStyle w:val="Tabletext"/>
              <w:ind w:left="34" w:right="-108"/>
              <w:rPr>
                <w:kern w:val="22"/>
                <w:sz w:val="18"/>
                <w:szCs w:val="18"/>
              </w:rPr>
            </w:pPr>
          </w:p>
        </w:tc>
        <w:tc>
          <w:tcPr>
            <w:tcW w:w="1134" w:type="dxa"/>
            <w:vMerge/>
            <w:hideMark/>
          </w:tcPr>
          <w:p w:rsidR="00DD49AC" w:rsidRPr="00AD1413" w:rsidRDefault="00DD49AC" w:rsidP="00AD1413">
            <w:pPr>
              <w:pStyle w:val="Tabletext"/>
              <w:ind w:left="34" w:right="0"/>
              <w:rPr>
                <w:kern w:val="22"/>
                <w:sz w:val="18"/>
                <w:szCs w:val="18"/>
              </w:rPr>
            </w:pPr>
          </w:p>
        </w:tc>
        <w:tc>
          <w:tcPr>
            <w:tcW w:w="1276" w:type="dxa"/>
            <w:hideMark/>
          </w:tcPr>
          <w:p w:rsidR="00DD49AC" w:rsidRPr="00AD1413" w:rsidRDefault="00DD49AC" w:rsidP="00AD1413">
            <w:pPr>
              <w:pStyle w:val="Tabletext"/>
              <w:ind w:left="34" w:right="0"/>
              <w:rPr>
                <w:kern w:val="22"/>
                <w:sz w:val="18"/>
                <w:szCs w:val="18"/>
              </w:rPr>
            </w:pPr>
            <w:r w:rsidRPr="00AD1413">
              <w:rPr>
                <w:kern w:val="22"/>
                <w:sz w:val="18"/>
                <w:szCs w:val="18"/>
              </w:rPr>
              <w:t>150</w:t>
            </w:r>
          </w:p>
        </w:tc>
        <w:tc>
          <w:tcPr>
            <w:tcW w:w="1134" w:type="dxa"/>
            <w:hideMark/>
          </w:tcPr>
          <w:p w:rsidR="00DD49AC" w:rsidRPr="00AD1413" w:rsidRDefault="00DD49AC" w:rsidP="00AD1413">
            <w:pPr>
              <w:pStyle w:val="Tabletext"/>
              <w:ind w:left="34"/>
              <w:rPr>
                <w:kern w:val="22"/>
                <w:sz w:val="18"/>
                <w:szCs w:val="18"/>
              </w:rPr>
            </w:pPr>
            <w:r w:rsidRPr="00AD1413">
              <w:rPr>
                <w:kern w:val="22"/>
                <w:sz w:val="18"/>
                <w:szCs w:val="18"/>
              </w:rPr>
              <w:t>314000</w:t>
            </w:r>
          </w:p>
        </w:tc>
        <w:tc>
          <w:tcPr>
            <w:tcW w:w="992" w:type="dxa"/>
            <w:hideMark/>
          </w:tcPr>
          <w:p w:rsidR="00DD49AC" w:rsidRPr="00AD1413" w:rsidRDefault="00DD49AC" w:rsidP="00AD1413">
            <w:pPr>
              <w:pStyle w:val="Tabletext"/>
              <w:ind w:left="0"/>
              <w:rPr>
                <w:kern w:val="22"/>
                <w:sz w:val="18"/>
                <w:szCs w:val="18"/>
              </w:rPr>
            </w:pPr>
            <w:r w:rsidRPr="00AD1413">
              <w:rPr>
                <w:kern w:val="22"/>
                <w:sz w:val="18"/>
                <w:szCs w:val="18"/>
              </w:rPr>
              <w:t>19800</w:t>
            </w:r>
          </w:p>
        </w:tc>
        <w:tc>
          <w:tcPr>
            <w:tcW w:w="1418" w:type="dxa"/>
            <w:hideMark/>
          </w:tcPr>
          <w:p w:rsidR="00DD49AC" w:rsidRPr="00AD1413" w:rsidRDefault="00DD49AC" w:rsidP="00AD1413">
            <w:pPr>
              <w:pStyle w:val="Tabletext"/>
              <w:rPr>
                <w:kern w:val="22"/>
                <w:sz w:val="18"/>
                <w:szCs w:val="18"/>
              </w:rPr>
            </w:pPr>
            <w:r w:rsidRPr="00AD1413">
              <w:rPr>
                <w:kern w:val="22"/>
                <w:sz w:val="18"/>
                <w:szCs w:val="18"/>
              </w:rPr>
              <w:t>1.4</w:t>
            </w:r>
          </w:p>
        </w:tc>
        <w:tc>
          <w:tcPr>
            <w:tcW w:w="1417" w:type="dxa"/>
            <w:hideMark/>
          </w:tcPr>
          <w:p w:rsidR="00DD49AC" w:rsidRPr="00AD1413" w:rsidRDefault="00DD49AC" w:rsidP="00AD1413">
            <w:pPr>
              <w:pStyle w:val="Tabletext"/>
              <w:rPr>
                <w:kern w:val="22"/>
                <w:sz w:val="18"/>
                <w:szCs w:val="18"/>
              </w:rPr>
            </w:pPr>
            <w:r w:rsidRPr="00AD1413">
              <w:rPr>
                <w:kern w:val="22"/>
                <w:sz w:val="18"/>
                <w:szCs w:val="18"/>
              </w:rPr>
              <w:t>2.0</w:t>
            </w:r>
          </w:p>
        </w:tc>
      </w:tr>
      <w:tr w:rsidR="00DD49AC" w:rsidRPr="00AD1413" w:rsidTr="00F365ED">
        <w:trPr>
          <w:trHeight w:val="227"/>
        </w:trPr>
        <w:tc>
          <w:tcPr>
            <w:tcW w:w="1134" w:type="dxa"/>
            <w:vMerge/>
            <w:hideMark/>
          </w:tcPr>
          <w:p w:rsidR="00DD49AC" w:rsidRPr="00AD1413" w:rsidRDefault="00DD49AC" w:rsidP="00AD1413">
            <w:pPr>
              <w:pStyle w:val="Tabletext"/>
              <w:ind w:left="34" w:right="-108"/>
              <w:rPr>
                <w:kern w:val="22"/>
                <w:sz w:val="18"/>
                <w:szCs w:val="18"/>
              </w:rPr>
            </w:pPr>
          </w:p>
        </w:tc>
        <w:tc>
          <w:tcPr>
            <w:tcW w:w="1134" w:type="dxa"/>
            <w:vMerge/>
            <w:hideMark/>
          </w:tcPr>
          <w:p w:rsidR="00DD49AC" w:rsidRPr="00AD1413" w:rsidRDefault="00DD49AC" w:rsidP="00AD1413">
            <w:pPr>
              <w:pStyle w:val="Tabletext"/>
              <w:ind w:left="34" w:right="0"/>
              <w:rPr>
                <w:kern w:val="22"/>
                <w:sz w:val="18"/>
                <w:szCs w:val="18"/>
              </w:rPr>
            </w:pPr>
          </w:p>
        </w:tc>
        <w:tc>
          <w:tcPr>
            <w:tcW w:w="1276" w:type="dxa"/>
            <w:hideMark/>
          </w:tcPr>
          <w:p w:rsidR="00DD49AC" w:rsidRPr="00AD1413" w:rsidRDefault="00DD49AC" w:rsidP="00AD1413">
            <w:pPr>
              <w:pStyle w:val="Tabletext"/>
              <w:ind w:left="34" w:right="0"/>
              <w:rPr>
                <w:kern w:val="22"/>
                <w:sz w:val="18"/>
                <w:szCs w:val="18"/>
              </w:rPr>
            </w:pPr>
            <w:r w:rsidRPr="00AD1413">
              <w:rPr>
                <w:kern w:val="22"/>
                <w:sz w:val="18"/>
                <w:szCs w:val="18"/>
              </w:rPr>
              <w:t>500</w:t>
            </w:r>
          </w:p>
        </w:tc>
        <w:tc>
          <w:tcPr>
            <w:tcW w:w="1134" w:type="dxa"/>
            <w:hideMark/>
          </w:tcPr>
          <w:p w:rsidR="00DD49AC" w:rsidRPr="00AD1413" w:rsidRDefault="00DD49AC" w:rsidP="00AD1413">
            <w:pPr>
              <w:pStyle w:val="Tabletext"/>
              <w:ind w:left="34"/>
              <w:rPr>
                <w:kern w:val="22"/>
                <w:sz w:val="18"/>
                <w:szCs w:val="18"/>
              </w:rPr>
            </w:pPr>
            <w:r w:rsidRPr="00AD1413">
              <w:rPr>
                <w:kern w:val="22"/>
                <w:sz w:val="18"/>
                <w:szCs w:val="18"/>
              </w:rPr>
              <w:t>294500</w:t>
            </w:r>
          </w:p>
        </w:tc>
        <w:tc>
          <w:tcPr>
            <w:tcW w:w="992" w:type="dxa"/>
            <w:hideMark/>
          </w:tcPr>
          <w:p w:rsidR="00DD49AC" w:rsidRPr="00AD1413" w:rsidRDefault="00DD49AC" w:rsidP="00AD1413">
            <w:pPr>
              <w:pStyle w:val="Tabletext"/>
              <w:ind w:left="0"/>
              <w:rPr>
                <w:kern w:val="22"/>
                <w:sz w:val="18"/>
                <w:szCs w:val="18"/>
              </w:rPr>
            </w:pPr>
            <w:r w:rsidRPr="00AD1413">
              <w:rPr>
                <w:kern w:val="22"/>
                <w:sz w:val="18"/>
                <w:szCs w:val="18"/>
              </w:rPr>
              <w:t>25450</w:t>
            </w:r>
          </w:p>
        </w:tc>
        <w:tc>
          <w:tcPr>
            <w:tcW w:w="1418" w:type="dxa"/>
            <w:hideMark/>
          </w:tcPr>
          <w:p w:rsidR="00DD49AC" w:rsidRPr="00AD1413" w:rsidRDefault="00DD49AC" w:rsidP="00AD1413">
            <w:pPr>
              <w:pStyle w:val="Tabletext"/>
              <w:rPr>
                <w:kern w:val="22"/>
                <w:sz w:val="18"/>
                <w:szCs w:val="18"/>
              </w:rPr>
            </w:pPr>
            <w:r w:rsidRPr="00AD1413">
              <w:rPr>
                <w:kern w:val="22"/>
                <w:sz w:val="18"/>
                <w:szCs w:val="18"/>
              </w:rPr>
              <w:t>1.3</w:t>
            </w:r>
          </w:p>
        </w:tc>
        <w:tc>
          <w:tcPr>
            <w:tcW w:w="1417" w:type="dxa"/>
            <w:hideMark/>
          </w:tcPr>
          <w:p w:rsidR="00DD49AC" w:rsidRPr="00AD1413" w:rsidRDefault="00DD49AC" w:rsidP="00AD1413">
            <w:pPr>
              <w:pStyle w:val="Tabletext"/>
              <w:rPr>
                <w:kern w:val="22"/>
                <w:sz w:val="18"/>
                <w:szCs w:val="18"/>
              </w:rPr>
            </w:pPr>
            <w:r w:rsidRPr="00AD1413">
              <w:rPr>
                <w:kern w:val="22"/>
                <w:sz w:val="18"/>
                <w:szCs w:val="18"/>
              </w:rPr>
              <w:t>2.6</w:t>
            </w:r>
          </w:p>
        </w:tc>
      </w:tr>
      <w:tr w:rsidR="00DD49AC" w:rsidRPr="00AD1413" w:rsidTr="00F365ED">
        <w:trPr>
          <w:trHeight w:val="227"/>
        </w:trPr>
        <w:tc>
          <w:tcPr>
            <w:tcW w:w="1134" w:type="dxa"/>
            <w:vMerge/>
            <w:hideMark/>
          </w:tcPr>
          <w:p w:rsidR="00DD49AC" w:rsidRPr="00AD1413" w:rsidRDefault="00DD49AC" w:rsidP="00AD1413">
            <w:pPr>
              <w:pStyle w:val="Tabletext"/>
              <w:ind w:left="34" w:right="-108"/>
              <w:rPr>
                <w:kern w:val="22"/>
                <w:sz w:val="18"/>
                <w:szCs w:val="18"/>
              </w:rPr>
            </w:pPr>
          </w:p>
        </w:tc>
        <w:tc>
          <w:tcPr>
            <w:tcW w:w="1134" w:type="dxa"/>
            <w:vMerge w:val="restart"/>
            <w:hideMark/>
          </w:tcPr>
          <w:p w:rsidR="00DD49AC" w:rsidRPr="00AD1413" w:rsidRDefault="00DD49AC" w:rsidP="00AD1413">
            <w:pPr>
              <w:pStyle w:val="Tabletext"/>
              <w:ind w:left="34" w:right="0"/>
              <w:rPr>
                <w:kern w:val="22"/>
                <w:sz w:val="18"/>
                <w:szCs w:val="18"/>
              </w:rPr>
            </w:pPr>
            <w:r w:rsidRPr="00AD1413">
              <w:rPr>
                <w:kern w:val="22"/>
                <w:sz w:val="18"/>
                <w:szCs w:val="18"/>
              </w:rPr>
              <w:t>26 weeks</w:t>
            </w:r>
          </w:p>
        </w:tc>
        <w:tc>
          <w:tcPr>
            <w:tcW w:w="1276" w:type="dxa"/>
            <w:hideMark/>
          </w:tcPr>
          <w:p w:rsidR="00DD49AC" w:rsidRPr="00AD1413" w:rsidRDefault="00DD49AC" w:rsidP="00AD1413">
            <w:pPr>
              <w:pStyle w:val="Tabletext"/>
              <w:ind w:left="34" w:right="0"/>
              <w:rPr>
                <w:kern w:val="22"/>
                <w:sz w:val="18"/>
                <w:szCs w:val="18"/>
              </w:rPr>
            </w:pPr>
            <w:r w:rsidRPr="00AD1413">
              <w:rPr>
                <w:kern w:val="22"/>
                <w:sz w:val="18"/>
                <w:szCs w:val="18"/>
              </w:rPr>
              <w:t>15</w:t>
            </w:r>
          </w:p>
        </w:tc>
        <w:tc>
          <w:tcPr>
            <w:tcW w:w="1134" w:type="dxa"/>
            <w:hideMark/>
          </w:tcPr>
          <w:p w:rsidR="00DD49AC" w:rsidRPr="00AD1413" w:rsidRDefault="00DD49AC" w:rsidP="00AD1413">
            <w:pPr>
              <w:pStyle w:val="Tabletext"/>
              <w:ind w:left="34"/>
              <w:rPr>
                <w:kern w:val="22"/>
                <w:sz w:val="18"/>
                <w:szCs w:val="18"/>
              </w:rPr>
            </w:pPr>
            <w:r w:rsidRPr="00AD1413">
              <w:rPr>
                <w:kern w:val="22"/>
                <w:sz w:val="18"/>
                <w:szCs w:val="18"/>
              </w:rPr>
              <w:t>77600</w:t>
            </w:r>
          </w:p>
        </w:tc>
        <w:tc>
          <w:tcPr>
            <w:tcW w:w="992" w:type="dxa"/>
            <w:hideMark/>
          </w:tcPr>
          <w:p w:rsidR="00DD49AC" w:rsidRPr="00AD1413" w:rsidRDefault="00DD49AC" w:rsidP="00AD1413">
            <w:pPr>
              <w:pStyle w:val="Tabletext"/>
              <w:ind w:left="0"/>
              <w:rPr>
                <w:kern w:val="22"/>
                <w:sz w:val="18"/>
                <w:szCs w:val="18"/>
              </w:rPr>
            </w:pPr>
            <w:r w:rsidRPr="00AD1413">
              <w:rPr>
                <w:kern w:val="22"/>
                <w:sz w:val="18"/>
                <w:szCs w:val="18"/>
              </w:rPr>
              <w:t>6450</w:t>
            </w:r>
          </w:p>
        </w:tc>
        <w:tc>
          <w:tcPr>
            <w:tcW w:w="1418" w:type="dxa"/>
            <w:hideMark/>
          </w:tcPr>
          <w:p w:rsidR="00DD49AC" w:rsidRPr="00AD1413" w:rsidRDefault="00DD49AC" w:rsidP="00AD1413">
            <w:pPr>
              <w:pStyle w:val="Tabletext"/>
              <w:rPr>
                <w:kern w:val="22"/>
                <w:sz w:val="18"/>
                <w:szCs w:val="18"/>
              </w:rPr>
            </w:pPr>
            <w:r w:rsidRPr="00AD1413">
              <w:rPr>
                <w:kern w:val="22"/>
                <w:sz w:val="18"/>
                <w:szCs w:val="18"/>
              </w:rPr>
              <w:t>0.3</w:t>
            </w:r>
          </w:p>
        </w:tc>
        <w:tc>
          <w:tcPr>
            <w:tcW w:w="1417" w:type="dxa"/>
            <w:hideMark/>
          </w:tcPr>
          <w:p w:rsidR="00DD49AC" w:rsidRPr="00AD1413" w:rsidRDefault="00DD49AC" w:rsidP="00AD1413">
            <w:pPr>
              <w:pStyle w:val="Tabletext"/>
              <w:rPr>
                <w:kern w:val="22"/>
                <w:sz w:val="18"/>
                <w:szCs w:val="18"/>
              </w:rPr>
            </w:pPr>
            <w:r w:rsidRPr="00AD1413">
              <w:rPr>
                <w:kern w:val="22"/>
                <w:sz w:val="18"/>
                <w:szCs w:val="18"/>
              </w:rPr>
              <w:t>0.7</w:t>
            </w:r>
          </w:p>
        </w:tc>
      </w:tr>
      <w:tr w:rsidR="00DD49AC" w:rsidRPr="00AD1413" w:rsidTr="00F365ED">
        <w:trPr>
          <w:trHeight w:val="227"/>
        </w:trPr>
        <w:tc>
          <w:tcPr>
            <w:tcW w:w="1134" w:type="dxa"/>
            <w:vMerge/>
            <w:hideMark/>
          </w:tcPr>
          <w:p w:rsidR="00DD49AC" w:rsidRPr="00AD1413" w:rsidRDefault="00DD49AC" w:rsidP="00AD1413">
            <w:pPr>
              <w:pStyle w:val="Tabletext"/>
              <w:ind w:left="34" w:right="-108"/>
              <w:rPr>
                <w:kern w:val="22"/>
                <w:sz w:val="18"/>
                <w:szCs w:val="18"/>
              </w:rPr>
            </w:pPr>
          </w:p>
        </w:tc>
        <w:tc>
          <w:tcPr>
            <w:tcW w:w="1134" w:type="dxa"/>
            <w:vMerge/>
            <w:hideMark/>
          </w:tcPr>
          <w:p w:rsidR="00DD49AC" w:rsidRPr="00AD1413" w:rsidRDefault="00DD49AC" w:rsidP="00AD1413">
            <w:pPr>
              <w:pStyle w:val="Tabletext"/>
              <w:ind w:left="34" w:right="0"/>
              <w:rPr>
                <w:kern w:val="22"/>
                <w:sz w:val="18"/>
                <w:szCs w:val="18"/>
              </w:rPr>
            </w:pPr>
          </w:p>
        </w:tc>
        <w:tc>
          <w:tcPr>
            <w:tcW w:w="1276" w:type="dxa"/>
            <w:hideMark/>
          </w:tcPr>
          <w:p w:rsidR="00DD49AC" w:rsidRPr="00AD1413" w:rsidRDefault="00DD49AC" w:rsidP="00AD1413">
            <w:pPr>
              <w:pStyle w:val="Tabletext"/>
              <w:ind w:left="34" w:right="0"/>
              <w:rPr>
                <w:kern w:val="22"/>
                <w:sz w:val="18"/>
                <w:szCs w:val="18"/>
              </w:rPr>
            </w:pPr>
            <w:r w:rsidRPr="00AD1413">
              <w:rPr>
                <w:kern w:val="22"/>
                <w:sz w:val="18"/>
                <w:szCs w:val="18"/>
              </w:rPr>
              <w:t>50</w:t>
            </w:r>
          </w:p>
        </w:tc>
        <w:tc>
          <w:tcPr>
            <w:tcW w:w="1134" w:type="dxa"/>
            <w:hideMark/>
          </w:tcPr>
          <w:p w:rsidR="00DD49AC" w:rsidRPr="00AD1413" w:rsidRDefault="00DD49AC" w:rsidP="00AD1413">
            <w:pPr>
              <w:pStyle w:val="Tabletext"/>
              <w:ind w:left="34"/>
              <w:rPr>
                <w:kern w:val="22"/>
                <w:sz w:val="18"/>
                <w:szCs w:val="18"/>
              </w:rPr>
            </w:pPr>
            <w:r w:rsidRPr="00AD1413">
              <w:rPr>
                <w:kern w:val="22"/>
                <w:sz w:val="18"/>
                <w:szCs w:val="18"/>
              </w:rPr>
              <w:t>125600</w:t>
            </w:r>
          </w:p>
        </w:tc>
        <w:tc>
          <w:tcPr>
            <w:tcW w:w="992" w:type="dxa"/>
            <w:hideMark/>
          </w:tcPr>
          <w:p w:rsidR="00DD49AC" w:rsidRPr="00AD1413" w:rsidRDefault="00DD49AC" w:rsidP="00AD1413">
            <w:pPr>
              <w:pStyle w:val="Tabletext"/>
              <w:ind w:left="0"/>
              <w:rPr>
                <w:kern w:val="22"/>
                <w:sz w:val="18"/>
                <w:szCs w:val="18"/>
              </w:rPr>
            </w:pPr>
            <w:r w:rsidRPr="00AD1413">
              <w:rPr>
                <w:kern w:val="22"/>
                <w:sz w:val="18"/>
                <w:szCs w:val="18"/>
              </w:rPr>
              <w:t>8350</w:t>
            </w:r>
          </w:p>
        </w:tc>
        <w:tc>
          <w:tcPr>
            <w:tcW w:w="1418" w:type="dxa"/>
            <w:hideMark/>
          </w:tcPr>
          <w:p w:rsidR="00DD49AC" w:rsidRPr="00AD1413" w:rsidRDefault="00DD49AC" w:rsidP="00AD1413">
            <w:pPr>
              <w:pStyle w:val="Tabletext"/>
              <w:rPr>
                <w:kern w:val="22"/>
                <w:sz w:val="18"/>
                <w:szCs w:val="18"/>
              </w:rPr>
            </w:pPr>
            <w:r w:rsidRPr="00AD1413">
              <w:rPr>
                <w:kern w:val="22"/>
                <w:sz w:val="18"/>
                <w:szCs w:val="18"/>
              </w:rPr>
              <w:t>0.6</w:t>
            </w:r>
          </w:p>
        </w:tc>
        <w:tc>
          <w:tcPr>
            <w:tcW w:w="1417" w:type="dxa"/>
            <w:hideMark/>
          </w:tcPr>
          <w:p w:rsidR="00DD49AC" w:rsidRPr="00AD1413" w:rsidRDefault="00DD49AC" w:rsidP="00AD1413">
            <w:pPr>
              <w:pStyle w:val="Tabletext"/>
              <w:rPr>
                <w:kern w:val="22"/>
                <w:sz w:val="18"/>
                <w:szCs w:val="18"/>
              </w:rPr>
            </w:pPr>
            <w:r w:rsidRPr="00AD1413">
              <w:rPr>
                <w:kern w:val="22"/>
                <w:sz w:val="18"/>
                <w:szCs w:val="18"/>
              </w:rPr>
              <w:t>0.9</w:t>
            </w:r>
          </w:p>
        </w:tc>
      </w:tr>
      <w:tr w:rsidR="00DD49AC" w:rsidRPr="00AD1413" w:rsidTr="00F365ED">
        <w:trPr>
          <w:trHeight w:val="227"/>
        </w:trPr>
        <w:tc>
          <w:tcPr>
            <w:tcW w:w="1134" w:type="dxa"/>
            <w:vMerge/>
            <w:hideMark/>
          </w:tcPr>
          <w:p w:rsidR="00DD49AC" w:rsidRPr="00AD1413" w:rsidRDefault="00DD49AC" w:rsidP="00AD1413">
            <w:pPr>
              <w:pStyle w:val="Tabletext"/>
              <w:ind w:left="34" w:right="-108"/>
              <w:rPr>
                <w:kern w:val="22"/>
                <w:sz w:val="18"/>
                <w:szCs w:val="18"/>
              </w:rPr>
            </w:pPr>
          </w:p>
        </w:tc>
        <w:tc>
          <w:tcPr>
            <w:tcW w:w="1134" w:type="dxa"/>
            <w:vMerge/>
            <w:hideMark/>
          </w:tcPr>
          <w:p w:rsidR="00DD49AC" w:rsidRPr="00AD1413" w:rsidRDefault="00DD49AC" w:rsidP="00AD1413">
            <w:pPr>
              <w:pStyle w:val="Tabletext"/>
              <w:ind w:left="34" w:right="0"/>
              <w:rPr>
                <w:kern w:val="22"/>
                <w:sz w:val="18"/>
                <w:szCs w:val="18"/>
              </w:rPr>
            </w:pPr>
          </w:p>
        </w:tc>
        <w:tc>
          <w:tcPr>
            <w:tcW w:w="1276" w:type="dxa"/>
            <w:hideMark/>
          </w:tcPr>
          <w:p w:rsidR="00DD49AC" w:rsidRPr="00AD1413" w:rsidRDefault="00DD49AC" w:rsidP="00AD1413">
            <w:pPr>
              <w:pStyle w:val="Tabletext"/>
              <w:ind w:left="34" w:right="0"/>
              <w:rPr>
                <w:kern w:val="22"/>
                <w:sz w:val="18"/>
                <w:szCs w:val="18"/>
              </w:rPr>
            </w:pPr>
            <w:r w:rsidRPr="00AD1413">
              <w:rPr>
                <w:kern w:val="22"/>
                <w:sz w:val="18"/>
                <w:szCs w:val="18"/>
              </w:rPr>
              <w:t>100</w:t>
            </w:r>
          </w:p>
        </w:tc>
        <w:tc>
          <w:tcPr>
            <w:tcW w:w="1134" w:type="dxa"/>
            <w:hideMark/>
          </w:tcPr>
          <w:p w:rsidR="00DD49AC" w:rsidRPr="00AD1413" w:rsidRDefault="00DD49AC" w:rsidP="00AD1413">
            <w:pPr>
              <w:pStyle w:val="Tabletext"/>
              <w:ind w:left="34"/>
              <w:rPr>
                <w:kern w:val="22"/>
                <w:sz w:val="18"/>
                <w:szCs w:val="18"/>
              </w:rPr>
            </w:pPr>
            <w:r w:rsidRPr="00AD1413">
              <w:rPr>
                <w:kern w:val="22"/>
                <w:sz w:val="18"/>
                <w:szCs w:val="18"/>
              </w:rPr>
              <w:t>245000</w:t>
            </w:r>
          </w:p>
        </w:tc>
        <w:tc>
          <w:tcPr>
            <w:tcW w:w="992" w:type="dxa"/>
            <w:hideMark/>
          </w:tcPr>
          <w:p w:rsidR="00DD49AC" w:rsidRPr="00AD1413" w:rsidRDefault="00DD49AC" w:rsidP="00AD1413">
            <w:pPr>
              <w:pStyle w:val="Tabletext"/>
              <w:ind w:left="0"/>
              <w:rPr>
                <w:kern w:val="22"/>
                <w:sz w:val="18"/>
                <w:szCs w:val="18"/>
              </w:rPr>
            </w:pPr>
            <w:r w:rsidRPr="00AD1413">
              <w:rPr>
                <w:kern w:val="22"/>
                <w:sz w:val="18"/>
                <w:szCs w:val="18"/>
              </w:rPr>
              <w:t>21150</w:t>
            </w:r>
          </w:p>
        </w:tc>
        <w:tc>
          <w:tcPr>
            <w:tcW w:w="1418" w:type="dxa"/>
            <w:hideMark/>
          </w:tcPr>
          <w:p w:rsidR="00DD49AC" w:rsidRPr="00AD1413" w:rsidRDefault="00DD49AC" w:rsidP="00AD1413">
            <w:pPr>
              <w:pStyle w:val="Tabletext"/>
              <w:rPr>
                <w:kern w:val="22"/>
                <w:sz w:val="18"/>
                <w:szCs w:val="18"/>
              </w:rPr>
            </w:pPr>
            <w:r w:rsidRPr="00AD1413">
              <w:rPr>
                <w:kern w:val="22"/>
                <w:sz w:val="18"/>
                <w:szCs w:val="18"/>
              </w:rPr>
              <w:t>1.1</w:t>
            </w:r>
          </w:p>
        </w:tc>
        <w:tc>
          <w:tcPr>
            <w:tcW w:w="1417" w:type="dxa"/>
            <w:hideMark/>
          </w:tcPr>
          <w:p w:rsidR="00DD49AC" w:rsidRPr="00AD1413" w:rsidRDefault="00DD49AC" w:rsidP="00AD1413">
            <w:pPr>
              <w:pStyle w:val="Tabletext"/>
              <w:rPr>
                <w:kern w:val="22"/>
                <w:sz w:val="18"/>
                <w:szCs w:val="18"/>
              </w:rPr>
            </w:pPr>
            <w:r w:rsidRPr="00AD1413">
              <w:rPr>
                <w:kern w:val="22"/>
                <w:sz w:val="18"/>
                <w:szCs w:val="18"/>
              </w:rPr>
              <w:t>2.2</w:t>
            </w:r>
          </w:p>
        </w:tc>
      </w:tr>
      <w:tr w:rsidR="00DD49AC" w:rsidRPr="00AD1413" w:rsidTr="00F365ED">
        <w:trPr>
          <w:trHeight w:val="227"/>
        </w:trPr>
        <w:tc>
          <w:tcPr>
            <w:tcW w:w="1134" w:type="dxa"/>
            <w:vMerge w:val="restart"/>
            <w:hideMark/>
          </w:tcPr>
          <w:p w:rsidR="00DD49AC" w:rsidRPr="00AD1413" w:rsidRDefault="00DD49AC" w:rsidP="00AD1413">
            <w:pPr>
              <w:pStyle w:val="Tabletext"/>
              <w:ind w:left="34" w:right="-108"/>
              <w:rPr>
                <w:kern w:val="22"/>
                <w:sz w:val="18"/>
                <w:szCs w:val="18"/>
              </w:rPr>
            </w:pPr>
            <w:r w:rsidRPr="00AD1413">
              <w:rPr>
                <w:kern w:val="22"/>
                <w:sz w:val="18"/>
                <w:szCs w:val="18"/>
              </w:rPr>
              <w:t>Dog (Beagle)</w:t>
            </w:r>
          </w:p>
        </w:tc>
        <w:tc>
          <w:tcPr>
            <w:tcW w:w="1134" w:type="dxa"/>
            <w:vMerge w:val="restart"/>
            <w:hideMark/>
          </w:tcPr>
          <w:p w:rsidR="00DD49AC" w:rsidRPr="00AD1413" w:rsidRDefault="00DD49AC" w:rsidP="00AD1413">
            <w:pPr>
              <w:pStyle w:val="Tabletext"/>
              <w:ind w:left="34" w:right="0"/>
              <w:rPr>
                <w:kern w:val="22"/>
                <w:sz w:val="18"/>
                <w:szCs w:val="18"/>
              </w:rPr>
            </w:pPr>
            <w:r w:rsidRPr="00AD1413">
              <w:rPr>
                <w:kern w:val="22"/>
                <w:sz w:val="18"/>
                <w:szCs w:val="18"/>
              </w:rPr>
              <w:t>4 weeks</w:t>
            </w:r>
          </w:p>
        </w:tc>
        <w:tc>
          <w:tcPr>
            <w:tcW w:w="1276" w:type="dxa"/>
            <w:hideMark/>
          </w:tcPr>
          <w:p w:rsidR="00DD49AC" w:rsidRPr="00AD1413" w:rsidRDefault="00DD49AC" w:rsidP="00AD1413">
            <w:pPr>
              <w:pStyle w:val="Tabletext"/>
              <w:ind w:left="34" w:right="0"/>
              <w:rPr>
                <w:kern w:val="22"/>
                <w:sz w:val="18"/>
                <w:szCs w:val="18"/>
              </w:rPr>
            </w:pPr>
            <w:r w:rsidRPr="00AD1413">
              <w:rPr>
                <w:kern w:val="22"/>
                <w:sz w:val="18"/>
                <w:szCs w:val="18"/>
              </w:rPr>
              <w:t>50</w:t>
            </w:r>
          </w:p>
        </w:tc>
        <w:tc>
          <w:tcPr>
            <w:tcW w:w="1134" w:type="dxa"/>
            <w:hideMark/>
          </w:tcPr>
          <w:p w:rsidR="00DD49AC" w:rsidRPr="00AD1413" w:rsidRDefault="00DD49AC" w:rsidP="00AD1413">
            <w:pPr>
              <w:pStyle w:val="Tabletext"/>
              <w:ind w:left="34"/>
              <w:rPr>
                <w:kern w:val="22"/>
                <w:sz w:val="18"/>
                <w:szCs w:val="18"/>
              </w:rPr>
            </w:pPr>
            <w:r w:rsidRPr="00AD1413">
              <w:rPr>
                <w:kern w:val="22"/>
                <w:sz w:val="18"/>
                <w:szCs w:val="18"/>
              </w:rPr>
              <w:t>515000</w:t>
            </w:r>
          </w:p>
        </w:tc>
        <w:tc>
          <w:tcPr>
            <w:tcW w:w="992" w:type="dxa"/>
            <w:hideMark/>
          </w:tcPr>
          <w:p w:rsidR="00DD49AC" w:rsidRPr="00AD1413" w:rsidRDefault="00DD49AC" w:rsidP="00AD1413">
            <w:pPr>
              <w:pStyle w:val="Tabletext"/>
              <w:ind w:left="0"/>
              <w:rPr>
                <w:kern w:val="22"/>
                <w:sz w:val="18"/>
                <w:szCs w:val="18"/>
              </w:rPr>
            </w:pPr>
            <w:r w:rsidRPr="00AD1413">
              <w:rPr>
                <w:kern w:val="22"/>
                <w:sz w:val="18"/>
                <w:szCs w:val="18"/>
              </w:rPr>
              <w:t>8330</w:t>
            </w:r>
          </w:p>
        </w:tc>
        <w:tc>
          <w:tcPr>
            <w:tcW w:w="1418" w:type="dxa"/>
            <w:hideMark/>
          </w:tcPr>
          <w:p w:rsidR="00DD49AC" w:rsidRPr="00AD1413" w:rsidRDefault="00DD49AC" w:rsidP="00AD1413">
            <w:pPr>
              <w:pStyle w:val="Tabletext"/>
              <w:rPr>
                <w:kern w:val="22"/>
                <w:sz w:val="18"/>
                <w:szCs w:val="18"/>
              </w:rPr>
            </w:pPr>
            <w:r w:rsidRPr="00AD1413">
              <w:rPr>
                <w:kern w:val="22"/>
                <w:sz w:val="18"/>
                <w:szCs w:val="18"/>
              </w:rPr>
              <w:t>2.2</w:t>
            </w:r>
          </w:p>
        </w:tc>
        <w:tc>
          <w:tcPr>
            <w:tcW w:w="1417" w:type="dxa"/>
            <w:hideMark/>
          </w:tcPr>
          <w:p w:rsidR="00DD49AC" w:rsidRPr="00AD1413" w:rsidRDefault="00DD49AC" w:rsidP="00AD1413">
            <w:pPr>
              <w:pStyle w:val="Tabletext"/>
              <w:rPr>
                <w:kern w:val="22"/>
                <w:sz w:val="18"/>
                <w:szCs w:val="18"/>
              </w:rPr>
            </w:pPr>
            <w:r w:rsidRPr="00AD1413">
              <w:rPr>
                <w:kern w:val="22"/>
                <w:sz w:val="18"/>
                <w:szCs w:val="18"/>
              </w:rPr>
              <w:t>0.9</w:t>
            </w:r>
          </w:p>
        </w:tc>
      </w:tr>
      <w:tr w:rsidR="00DD49AC" w:rsidRPr="00AD1413" w:rsidTr="00F365ED">
        <w:trPr>
          <w:trHeight w:val="227"/>
        </w:trPr>
        <w:tc>
          <w:tcPr>
            <w:tcW w:w="1134" w:type="dxa"/>
            <w:vMerge/>
            <w:hideMark/>
          </w:tcPr>
          <w:p w:rsidR="00DD49AC" w:rsidRPr="00AD1413" w:rsidRDefault="00DD49AC" w:rsidP="00AD1413">
            <w:pPr>
              <w:pStyle w:val="Tabletext"/>
              <w:ind w:left="34" w:right="-108"/>
              <w:rPr>
                <w:kern w:val="22"/>
                <w:sz w:val="18"/>
                <w:szCs w:val="18"/>
              </w:rPr>
            </w:pPr>
          </w:p>
        </w:tc>
        <w:tc>
          <w:tcPr>
            <w:tcW w:w="1134" w:type="dxa"/>
            <w:vMerge/>
            <w:hideMark/>
          </w:tcPr>
          <w:p w:rsidR="00DD49AC" w:rsidRPr="00AD1413" w:rsidRDefault="00DD49AC" w:rsidP="00AD1413">
            <w:pPr>
              <w:pStyle w:val="Tabletext"/>
              <w:ind w:left="34" w:right="0"/>
              <w:rPr>
                <w:kern w:val="22"/>
                <w:sz w:val="18"/>
                <w:szCs w:val="18"/>
              </w:rPr>
            </w:pPr>
          </w:p>
        </w:tc>
        <w:tc>
          <w:tcPr>
            <w:tcW w:w="1276" w:type="dxa"/>
            <w:hideMark/>
          </w:tcPr>
          <w:p w:rsidR="00DD49AC" w:rsidRPr="00AD1413" w:rsidRDefault="00DD49AC" w:rsidP="00AD1413">
            <w:pPr>
              <w:pStyle w:val="Tabletext"/>
              <w:ind w:left="34" w:right="0"/>
              <w:rPr>
                <w:kern w:val="22"/>
                <w:sz w:val="18"/>
                <w:szCs w:val="18"/>
              </w:rPr>
            </w:pPr>
            <w:r w:rsidRPr="00AD1413">
              <w:rPr>
                <w:kern w:val="22"/>
                <w:sz w:val="18"/>
                <w:szCs w:val="18"/>
              </w:rPr>
              <w:t>150</w:t>
            </w:r>
          </w:p>
        </w:tc>
        <w:tc>
          <w:tcPr>
            <w:tcW w:w="1134" w:type="dxa"/>
            <w:hideMark/>
          </w:tcPr>
          <w:p w:rsidR="00DD49AC" w:rsidRPr="00AD1413" w:rsidRDefault="00DD49AC" w:rsidP="00AD1413">
            <w:pPr>
              <w:pStyle w:val="Tabletext"/>
              <w:ind w:left="34"/>
              <w:rPr>
                <w:kern w:val="22"/>
                <w:sz w:val="18"/>
                <w:szCs w:val="18"/>
              </w:rPr>
            </w:pPr>
            <w:r w:rsidRPr="00AD1413">
              <w:rPr>
                <w:kern w:val="22"/>
                <w:sz w:val="18"/>
                <w:szCs w:val="18"/>
              </w:rPr>
              <w:t>754500</w:t>
            </w:r>
          </w:p>
        </w:tc>
        <w:tc>
          <w:tcPr>
            <w:tcW w:w="992" w:type="dxa"/>
            <w:hideMark/>
          </w:tcPr>
          <w:p w:rsidR="00DD49AC" w:rsidRPr="00AD1413" w:rsidRDefault="00DD49AC" w:rsidP="00AD1413">
            <w:pPr>
              <w:pStyle w:val="Tabletext"/>
              <w:ind w:left="0"/>
              <w:rPr>
                <w:kern w:val="22"/>
                <w:sz w:val="18"/>
                <w:szCs w:val="18"/>
              </w:rPr>
            </w:pPr>
            <w:r w:rsidRPr="00AD1413">
              <w:rPr>
                <w:kern w:val="22"/>
                <w:sz w:val="18"/>
                <w:szCs w:val="18"/>
              </w:rPr>
              <w:t>17300</w:t>
            </w:r>
          </w:p>
        </w:tc>
        <w:tc>
          <w:tcPr>
            <w:tcW w:w="1418" w:type="dxa"/>
            <w:hideMark/>
          </w:tcPr>
          <w:p w:rsidR="00DD49AC" w:rsidRPr="00AD1413" w:rsidRDefault="00DD49AC" w:rsidP="00AD1413">
            <w:pPr>
              <w:pStyle w:val="Tabletext"/>
              <w:rPr>
                <w:kern w:val="22"/>
                <w:sz w:val="18"/>
                <w:szCs w:val="18"/>
              </w:rPr>
            </w:pPr>
            <w:r w:rsidRPr="00AD1413">
              <w:rPr>
                <w:kern w:val="22"/>
                <w:sz w:val="18"/>
                <w:szCs w:val="18"/>
              </w:rPr>
              <w:t>3.4</w:t>
            </w:r>
          </w:p>
        </w:tc>
        <w:tc>
          <w:tcPr>
            <w:tcW w:w="1417" w:type="dxa"/>
            <w:hideMark/>
          </w:tcPr>
          <w:p w:rsidR="00DD49AC" w:rsidRPr="00AD1413" w:rsidRDefault="00DD49AC" w:rsidP="00AD1413">
            <w:pPr>
              <w:pStyle w:val="Tabletext"/>
              <w:rPr>
                <w:kern w:val="22"/>
                <w:sz w:val="18"/>
                <w:szCs w:val="18"/>
              </w:rPr>
            </w:pPr>
            <w:r w:rsidRPr="00AD1413">
              <w:rPr>
                <w:kern w:val="22"/>
                <w:sz w:val="18"/>
                <w:szCs w:val="18"/>
              </w:rPr>
              <w:t>1.8</w:t>
            </w:r>
          </w:p>
        </w:tc>
      </w:tr>
      <w:tr w:rsidR="00DD49AC" w:rsidRPr="00AD1413" w:rsidTr="00F365ED">
        <w:trPr>
          <w:trHeight w:val="227"/>
        </w:trPr>
        <w:tc>
          <w:tcPr>
            <w:tcW w:w="1134" w:type="dxa"/>
            <w:vMerge/>
            <w:hideMark/>
          </w:tcPr>
          <w:p w:rsidR="00DD49AC" w:rsidRPr="00AD1413" w:rsidRDefault="00DD49AC" w:rsidP="00AD1413">
            <w:pPr>
              <w:pStyle w:val="Tabletext"/>
              <w:ind w:left="34" w:right="-108"/>
              <w:rPr>
                <w:kern w:val="22"/>
                <w:sz w:val="18"/>
                <w:szCs w:val="18"/>
              </w:rPr>
            </w:pPr>
          </w:p>
        </w:tc>
        <w:tc>
          <w:tcPr>
            <w:tcW w:w="1134" w:type="dxa"/>
            <w:vMerge/>
            <w:hideMark/>
          </w:tcPr>
          <w:p w:rsidR="00DD49AC" w:rsidRPr="00AD1413" w:rsidRDefault="00DD49AC" w:rsidP="00AD1413">
            <w:pPr>
              <w:pStyle w:val="Tabletext"/>
              <w:ind w:left="34" w:right="0"/>
              <w:rPr>
                <w:kern w:val="22"/>
                <w:sz w:val="18"/>
                <w:szCs w:val="18"/>
              </w:rPr>
            </w:pPr>
          </w:p>
        </w:tc>
        <w:tc>
          <w:tcPr>
            <w:tcW w:w="1276" w:type="dxa"/>
            <w:hideMark/>
          </w:tcPr>
          <w:p w:rsidR="00DD49AC" w:rsidRPr="00AD1413" w:rsidRDefault="00DD49AC" w:rsidP="00AD1413">
            <w:pPr>
              <w:pStyle w:val="Tabletext"/>
              <w:ind w:left="34" w:right="0"/>
              <w:rPr>
                <w:kern w:val="22"/>
                <w:sz w:val="18"/>
                <w:szCs w:val="18"/>
              </w:rPr>
            </w:pPr>
            <w:r w:rsidRPr="00AD1413">
              <w:rPr>
                <w:kern w:val="22"/>
                <w:sz w:val="18"/>
                <w:szCs w:val="18"/>
              </w:rPr>
              <w:t>400</w:t>
            </w:r>
          </w:p>
        </w:tc>
        <w:tc>
          <w:tcPr>
            <w:tcW w:w="1134" w:type="dxa"/>
            <w:hideMark/>
          </w:tcPr>
          <w:p w:rsidR="00DD49AC" w:rsidRPr="00AD1413" w:rsidRDefault="00DD49AC" w:rsidP="00AD1413">
            <w:pPr>
              <w:pStyle w:val="Tabletext"/>
              <w:ind w:left="34"/>
              <w:rPr>
                <w:kern w:val="22"/>
                <w:sz w:val="18"/>
                <w:szCs w:val="18"/>
              </w:rPr>
            </w:pPr>
            <w:r w:rsidRPr="00AD1413">
              <w:rPr>
                <w:kern w:val="22"/>
                <w:sz w:val="18"/>
                <w:szCs w:val="18"/>
              </w:rPr>
              <w:t>747500</w:t>
            </w:r>
          </w:p>
        </w:tc>
        <w:tc>
          <w:tcPr>
            <w:tcW w:w="992" w:type="dxa"/>
            <w:hideMark/>
          </w:tcPr>
          <w:p w:rsidR="00DD49AC" w:rsidRPr="00AD1413" w:rsidRDefault="00DD49AC" w:rsidP="00AD1413">
            <w:pPr>
              <w:pStyle w:val="Tabletext"/>
              <w:ind w:left="0"/>
              <w:rPr>
                <w:kern w:val="22"/>
                <w:sz w:val="18"/>
                <w:szCs w:val="18"/>
              </w:rPr>
            </w:pPr>
            <w:r w:rsidRPr="00AD1413">
              <w:rPr>
                <w:kern w:val="22"/>
                <w:sz w:val="18"/>
                <w:szCs w:val="18"/>
              </w:rPr>
              <w:t>19600</w:t>
            </w:r>
          </w:p>
        </w:tc>
        <w:tc>
          <w:tcPr>
            <w:tcW w:w="1418" w:type="dxa"/>
            <w:hideMark/>
          </w:tcPr>
          <w:p w:rsidR="00DD49AC" w:rsidRPr="00AD1413" w:rsidRDefault="00DD49AC" w:rsidP="00AD1413">
            <w:pPr>
              <w:pStyle w:val="Tabletext"/>
              <w:rPr>
                <w:kern w:val="22"/>
                <w:sz w:val="18"/>
                <w:szCs w:val="18"/>
              </w:rPr>
            </w:pPr>
            <w:r w:rsidRPr="00AD1413">
              <w:rPr>
                <w:kern w:val="22"/>
                <w:sz w:val="18"/>
                <w:szCs w:val="18"/>
              </w:rPr>
              <w:t>3.3</w:t>
            </w:r>
          </w:p>
        </w:tc>
        <w:tc>
          <w:tcPr>
            <w:tcW w:w="1417" w:type="dxa"/>
            <w:hideMark/>
          </w:tcPr>
          <w:p w:rsidR="00DD49AC" w:rsidRPr="00AD1413" w:rsidRDefault="00DD49AC" w:rsidP="00AD1413">
            <w:pPr>
              <w:pStyle w:val="Tabletext"/>
              <w:rPr>
                <w:kern w:val="22"/>
                <w:sz w:val="18"/>
                <w:szCs w:val="18"/>
              </w:rPr>
            </w:pPr>
            <w:r w:rsidRPr="00AD1413">
              <w:rPr>
                <w:kern w:val="22"/>
                <w:sz w:val="18"/>
                <w:szCs w:val="18"/>
              </w:rPr>
              <w:t>2.0</w:t>
            </w:r>
          </w:p>
        </w:tc>
      </w:tr>
      <w:tr w:rsidR="00DD49AC" w:rsidRPr="00AD1413" w:rsidTr="00F365ED">
        <w:trPr>
          <w:cantSplit/>
        </w:trPr>
        <w:tc>
          <w:tcPr>
            <w:tcW w:w="1134" w:type="dxa"/>
            <w:vMerge/>
            <w:hideMark/>
          </w:tcPr>
          <w:p w:rsidR="00DD49AC" w:rsidRPr="00AD1413" w:rsidRDefault="00DD49AC" w:rsidP="00AD1413">
            <w:pPr>
              <w:pStyle w:val="Tabletext"/>
              <w:ind w:left="34" w:right="-108"/>
              <w:rPr>
                <w:kern w:val="22"/>
                <w:sz w:val="18"/>
                <w:szCs w:val="18"/>
              </w:rPr>
            </w:pPr>
          </w:p>
        </w:tc>
        <w:tc>
          <w:tcPr>
            <w:tcW w:w="1134" w:type="dxa"/>
            <w:vMerge w:val="restart"/>
            <w:hideMark/>
          </w:tcPr>
          <w:p w:rsidR="00DD49AC" w:rsidRPr="00AD1413" w:rsidRDefault="00DD49AC" w:rsidP="00AD1413">
            <w:pPr>
              <w:pStyle w:val="Tabletext"/>
              <w:ind w:left="34" w:right="0"/>
              <w:rPr>
                <w:kern w:val="22"/>
                <w:sz w:val="18"/>
                <w:szCs w:val="18"/>
              </w:rPr>
            </w:pPr>
            <w:r w:rsidRPr="00AD1413">
              <w:rPr>
                <w:kern w:val="22"/>
                <w:sz w:val="18"/>
                <w:szCs w:val="18"/>
              </w:rPr>
              <w:t>13 weeks</w:t>
            </w:r>
          </w:p>
        </w:tc>
        <w:tc>
          <w:tcPr>
            <w:tcW w:w="1276" w:type="dxa"/>
            <w:hideMark/>
          </w:tcPr>
          <w:p w:rsidR="00DD49AC" w:rsidRPr="00AD1413" w:rsidRDefault="00DD49AC" w:rsidP="00AD1413">
            <w:pPr>
              <w:pStyle w:val="Tabletext"/>
              <w:ind w:left="34" w:right="0"/>
              <w:rPr>
                <w:kern w:val="22"/>
                <w:sz w:val="18"/>
                <w:szCs w:val="18"/>
              </w:rPr>
            </w:pPr>
            <w:r w:rsidRPr="00AD1413">
              <w:rPr>
                <w:kern w:val="22"/>
                <w:sz w:val="18"/>
                <w:szCs w:val="18"/>
              </w:rPr>
              <w:t>15</w:t>
            </w:r>
          </w:p>
        </w:tc>
        <w:tc>
          <w:tcPr>
            <w:tcW w:w="1134" w:type="dxa"/>
            <w:hideMark/>
          </w:tcPr>
          <w:p w:rsidR="00DD49AC" w:rsidRPr="00AD1413" w:rsidRDefault="00DD49AC" w:rsidP="00AD1413">
            <w:pPr>
              <w:pStyle w:val="Tabletext"/>
              <w:ind w:left="34"/>
              <w:rPr>
                <w:kern w:val="22"/>
                <w:sz w:val="18"/>
                <w:szCs w:val="18"/>
              </w:rPr>
            </w:pPr>
            <w:r w:rsidRPr="00AD1413">
              <w:rPr>
                <w:kern w:val="22"/>
                <w:sz w:val="18"/>
                <w:szCs w:val="18"/>
              </w:rPr>
              <w:t>344500</w:t>
            </w:r>
          </w:p>
        </w:tc>
        <w:tc>
          <w:tcPr>
            <w:tcW w:w="992" w:type="dxa"/>
            <w:hideMark/>
          </w:tcPr>
          <w:p w:rsidR="00DD49AC" w:rsidRPr="00AD1413" w:rsidRDefault="00DD49AC" w:rsidP="00AD1413">
            <w:pPr>
              <w:pStyle w:val="Tabletext"/>
              <w:ind w:left="0"/>
              <w:rPr>
                <w:kern w:val="22"/>
                <w:sz w:val="18"/>
                <w:szCs w:val="18"/>
              </w:rPr>
            </w:pPr>
            <w:r w:rsidRPr="00AD1413">
              <w:rPr>
                <w:kern w:val="22"/>
                <w:sz w:val="18"/>
                <w:szCs w:val="18"/>
              </w:rPr>
              <w:t>15950</w:t>
            </w:r>
          </w:p>
        </w:tc>
        <w:tc>
          <w:tcPr>
            <w:tcW w:w="1418" w:type="dxa"/>
            <w:hideMark/>
          </w:tcPr>
          <w:p w:rsidR="00DD49AC" w:rsidRPr="00AD1413" w:rsidRDefault="00DD49AC" w:rsidP="00AD1413">
            <w:pPr>
              <w:pStyle w:val="Tabletext"/>
              <w:rPr>
                <w:kern w:val="22"/>
                <w:sz w:val="18"/>
                <w:szCs w:val="18"/>
              </w:rPr>
            </w:pPr>
            <w:r w:rsidRPr="00AD1413">
              <w:rPr>
                <w:kern w:val="22"/>
                <w:sz w:val="18"/>
                <w:szCs w:val="18"/>
              </w:rPr>
              <w:t>1.5</w:t>
            </w:r>
          </w:p>
        </w:tc>
        <w:tc>
          <w:tcPr>
            <w:tcW w:w="1417" w:type="dxa"/>
            <w:hideMark/>
          </w:tcPr>
          <w:p w:rsidR="00DD49AC" w:rsidRPr="00AD1413" w:rsidRDefault="00DD49AC" w:rsidP="00AD1413">
            <w:pPr>
              <w:pStyle w:val="Tabletext"/>
              <w:rPr>
                <w:kern w:val="22"/>
                <w:sz w:val="18"/>
                <w:szCs w:val="18"/>
              </w:rPr>
            </w:pPr>
            <w:r w:rsidRPr="00AD1413">
              <w:rPr>
                <w:kern w:val="22"/>
                <w:sz w:val="18"/>
                <w:szCs w:val="18"/>
              </w:rPr>
              <w:t>1.6</w:t>
            </w:r>
          </w:p>
        </w:tc>
      </w:tr>
      <w:tr w:rsidR="00DD49AC" w:rsidRPr="00AD1413" w:rsidTr="00F365ED">
        <w:trPr>
          <w:cantSplit/>
        </w:trPr>
        <w:tc>
          <w:tcPr>
            <w:tcW w:w="1134" w:type="dxa"/>
            <w:vMerge/>
            <w:hideMark/>
          </w:tcPr>
          <w:p w:rsidR="00DD49AC" w:rsidRPr="00AD1413" w:rsidRDefault="00DD49AC" w:rsidP="00AD1413">
            <w:pPr>
              <w:pStyle w:val="Tabletext"/>
              <w:ind w:left="34" w:right="-108"/>
              <w:rPr>
                <w:kern w:val="22"/>
                <w:sz w:val="18"/>
                <w:szCs w:val="18"/>
              </w:rPr>
            </w:pPr>
          </w:p>
        </w:tc>
        <w:tc>
          <w:tcPr>
            <w:tcW w:w="1134" w:type="dxa"/>
            <w:vMerge/>
            <w:hideMark/>
          </w:tcPr>
          <w:p w:rsidR="00DD49AC" w:rsidRPr="00AD1413" w:rsidRDefault="00DD49AC" w:rsidP="00AD1413">
            <w:pPr>
              <w:pStyle w:val="Tabletext"/>
              <w:ind w:left="34" w:right="0"/>
              <w:rPr>
                <w:kern w:val="22"/>
                <w:sz w:val="18"/>
                <w:szCs w:val="18"/>
              </w:rPr>
            </w:pPr>
          </w:p>
        </w:tc>
        <w:tc>
          <w:tcPr>
            <w:tcW w:w="1276" w:type="dxa"/>
            <w:hideMark/>
          </w:tcPr>
          <w:p w:rsidR="00DD49AC" w:rsidRPr="00AD1413" w:rsidRDefault="00DD49AC" w:rsidP="00AD1413">
            <w:pPr>
              <w:pStyle w:val="Tabletext"/>
              <w:ind w:left="34" w:right="0"/>
              <w:rPr>
                <w:kern w:val="22"/>
                <w:sz w:val="18"/>
                <w:szCs w:val="18"/>
              </w:rPr>
            </w:pPr>
            <w:r w:rsidRPr="00AD1413">
              <w:rPr>
                <w:kern w:val="22"/>
                <w:sz w:val="18"/>
                <w:szCs w:val="18"/>
              </w:rPr>
              <w:t>50</w:t>
            </w:r>
          </w:p>
        </w:tc>
        <w:tc>
          <w:tcPr>
            <w:tcW w:w="1134" w:type="dxa"/>
            <w:hideMark/>
          </w:tcPr>
          <w:p w:rsidR="00DD49AC" w:rsidRPr="00AD1413" w:rsidRDefault="00DD49AC" w:rsidP="00AD1413">
            <w:pPr>
              <w:pStyle w:val="Tabletext"/>
              <w:ind w:left="34"/>
              <w:rPr>
                <w:kern w:val="22"/>
                <w:sz w:val="18"/>
                <w:szCs w:val="18"/>
              </w:rPr>
            </w:pPr>
            <w:r w:rsidRPr="00AD1413">
              <w:rPr>
                <w:kern w:val="22"/>
                <w:sz w:val="18"/>
                <w:szCs w:val="18"/>
              </w:rPr>
              <w:t>493000</w:t>
            </w:r>
          </w:p>
        </w:tc>
        <w:tc>
          <w:tcPr>
            <w:tcW w:w="992" w:type="dxa"/>
            <w:hideMark/>
          </w:tcPr>
          <w:p w:rsidR="00DD49AC" w:rsidRPr="00AD1413" w:rsidRDefault="00DD49AC" w:rsidP="00AD1413">
            <w:pPr>
              <w:pStyle w:val="Tabletext"/>
              <w:ind w:left="0"/>
              <w:rPr>
                <w:kern w:val="22"/>
                <w:sz w:val="18"/>
                <w:szCs w:val="18"/>
              </w:rPr>
            </w:pPr>
            <w:r w:rsidRPr="00AD1413">
              <w:rPr>
                <w:kern w:val="22"/>
                <w:sz w:val="18"/>
                <w:szCs w:val="18"/>
              </w:rPr>
              <w:t>23650</w:t>
            </w:r>
          </w:p>
        </w:tc>
        <w:tc>
          <w:tcPr>
            <w:tcW w:w="1418" w:type="dxa"/>
            <w:hideMark/>
          </w:tcPr>
          <w:p w:rsidR="00DD49AC" w:rsidRPr="00AD1413" w:rsidRDefault="00DD49AC" w:rsidP="00AD1413">
            <w:pPr>
              <w:pStyle w:val="Tabletext"/>
              <w:rPr>
                <w:kern w:val="22"/>
                <w:sz w:val="18"/>
                <w:szCs w:val="18"/>
              </w:rPr>
            </w:pPr>
            <w:r w:rsidRPr="00AD1413">
              <w:rPr>
                <w:kern w:val="22"/>
                <w:sz w:val="18"/>
                <w:szCs w:val="18"/>
              </w:rPr>
              <w:t>2.2</w:t>
            </w:r>
          </w:p>
        </w:tc>
        <w:tc>
          <w:tcPr>
            <w:tcW w:w="1417" w:type="dxa"/>
            <w:hideMark/>
          </w:tcPr>
          <w:p w:rsidR="00DD49AC" w:rsidRPr="00AD1413" w:rsidRDefault="00DD49AC" w:rsidP="00AD1413">
            <w:pPr>
              <w:pStyle w:val="Tabletext"/>
              <w:rPr>
                <w:kern w:val="22"/>
                <w:sz w:val="18"/>
                <w:szCs w:val="18"/>
              </w:rPr>
            </w:pPr>
            <w:r w:rsidRPr="00AD1413">
              <w:rPr>
                <w:kern w:val="22"/>
                <w:sz w:val="18"/>
                <w:szCs w:val="18"/>
              </w:rPr>
              <w:t>2.4</w:t>
            </w:r>
          </w:p>
        </w:tc>
      </w:tr>
      <w:tr w:rsidR="00DD49AC" w:rsidRPr="00AD1413" w:rsidTr="00F365ED">
        <w:trPr>
          <w:cantSplit/>
        </w:trPr>
        <w:tc>
          <w:tcPr>
            <w:tcW w:w="1134" w:type="dxa"/>
            <w:vMerge/>
            <w:hideMark/>
          </w:tcPr>
          <w:p w:rsidR="00DD49AC" w:rsidRPr="00AD1413" w:rsidRDefault="00DD49AC" w:rsidP="00AD1413">
            <w:pPr>
              <w:pStyle w:val="Tabletext"/>
              <w:ind w:left="34" w:right="-108"/>
              <w:rPr>
                <w:kern w:val="22"/>
                <w:sz w:val="18"/>
                <w:szCs w:val="18"/>
              </w:rPr>
            </w:pPr>
          </w:p>
        </w:tc>
        <w:tc>
          <w:tcPr>
            <w:tcW w:w="1134" w:type="dxa"/>
            <w:vMerge/>
            <w:hideMark/>
          </w:tcPr>
          <w:p w:rsidR="00DD49AC" w:rsidRPr="00AD1413" w:rsidRDefault="00DD49AC" w:rsidP="00AD1413">
            <w:pPr>
              <w:pStyle w:val="Tabletext"/>
              <w:ind w:left="34" w:right="0"/>
              <w:rPr>
                <w:kern w:val="22"/>
                <w:sz w:val="18"/>
                <w:szCs w:val="18"/>
              </w:rPr>
            </w:pPr>
          </w:p>
        </w:tc>
        <w:tc>
          <w:tcPr>
            <w:tcW w:w="1276" w:type="dxa"/>
            <w:hideMark/>
          </w:tcPr>
          <w:p w:rsidR="00DD49AC" w:rsidRPr="00AD1413" w:rsidRDefault="00DD49AC" w:rsidP="00AD1413">
            <w:pPr>
              <w:pStyle w:val="Tabletext"/>
              <w:ind w:left="34" w:right="0"/>
              <w:rPr>
                <w:kern w:val="22"/>
                <w:sz w:val="18"/>
                <w:szCs w:val="18"/>
              </w:rPr>
            </w:pPr>
            <w:r w:rsidRPr="00AD1413">
              <w:rPr>
                <w:kern w:val="22"/>
                <w:sz w:val="18"/>
                <w:szCs w:val="18"/>
              </w:rPr>
              <w:t>150</w:t>
            </w:r>
          </w:p>
        </w:tc>
        <w:tc>
          <w:tcPr>
            <w:tcW w:w="1134" w:type="dxa"/>
            <w:hideMark/>
          </w:tcPr>
          <w:p w:rsidR="00DD49AC" w:rsidRPr="00AD1413" w:rsidRDefault="00DD49AC" w:rsidP="00AD1413">
            <w:pPr>
              <w:pStyle w:val="Tabletext"/>
              <w:ind w:left="34"/>
              <w:rPr>
                <w:kern w:val="22"/>
                <w:sz w:val="18"/>
                <w:szCs w:val="18"/>
              </w:rPr>
            </w:pPr>
            <w:r w:rsidRPr="00AD1413">
              <w:rPr>
                <w:kern w:val="22"/>
                <w:sz w:val="18"/>
                <w:szCs w:val="18"/>
              </w:rPr>
              <w:t>479500</w:t>
            </w:r>
          </w:p>
        </w:tc>
        <w:tc>
          <w:tcPr>
            <w:tcW w:w="992" w:type="dxa"/>
            <w:hideMark/>
          </w:tcPr>
          <w:p w:rsidR="00DD49AC" w:rsidRPr="00AD1413" w:rsidRDefault="00DD49AC" w:rsidP="00AD1413">
            <w:pPr>
              <w:pStyle w:val="Tabletext"/>
              <w:ind w:left="0"/>
              <w:rPr>
                <w:kern w:val="22"/>
                <w:sz w:val="18"/>
                <w:szCs w:val="18"/>
              </w:rPr>
            </w:pPr>
            <w:r w:rsidRPr="00AD1413">
              <w:rPr>
                <w:kern w:val="22"/>
                <w:sz w:val="18"/>
                <w:szCs w:val="18"/>
              </w:rPr>
              <w:t>24650</w:t>
            </w:r>
          </w:p>
        </w:tc>
        <w:tc>
          <w:tcPr>
            <w:tcW w:w="1418" w:type="dxa"/>
            <w:hideMark/>
          </w:tcPr>
          <w:p w:rsidR="00DD49AC" w:rsidRPr="00AD1413" w:rsidRDefault="00DD49AC" w:rsidP="00AD1413">
            <w:pPr>
              <w:pStyle w:val="Tabletext"/>
              <w:rPr>
                <w:kern w:val="22"/>
                <w:sz w:val="18"/>
                <w:szCs w:val="18"/>
              </w:rPr>
            </w:pPr>
            <w:r w:rsidRPr="00AD1413">
              <w:rPr>
                <w:kern w:val="22"/>
                <w:sz w:val="18"/>
                <w:szCs w:val="18"/>
              </w:rPr>
              <w:t>2.1</w:t>
            </w:r>
          </w:p>
        </w:tc>
        <w:tc>
          <w:tcPr>
            <w:tcW w:w="1417" w:type="dxa"/>
            <w:hideMark/>
          </w:tcPr>
          <w:p w:rsidR="00DD49AC" w:rsidRPr="00AD1413" w:rsidRDefault="00DD49AC" w:rsidP="00AD1413">
            <w:pPr>
              <w:pStyle w:val="Tabletext"/>
              <w:rPr>
                <w:kern w:val="22"/>
                <w:sz w:val="18"/>
                <w:szCs w:val="18"/>
              </w:rPr>
            </w:pPr>
            <w:r w:rsidRPr="00AD1413">
              <w:rPr>
                <w:kern w:val="22"/>
                <w:sz w:val="18"/>
                <w:szCs w:val="18"/>
              </w:rPr>
              <w:t>2.5</w:t>
            </w:r>
          </w:p>
        </w:tc>
      </w:tr>
      <w:tr w:rsidR="00DD49AC" w:rsidRPr="00AD1413" w:rsidTr="00F365ED">
        <w:trPr>
          <w:cantSplit/>
        </w:trPr>
        <w:tc>
          <w:tcPr>
            <w:tcW w:w="1134" w:type="dxa"/>
            <w:vMerge/>
            <w:hideMark/>
          </w:tcPr>
          <w:p w:rsidR="00DD49AC" w:rsidRPr="00AD1413" w:rsidRDefault="00DD49AC" w:rsidP="00AD1413">
            <w:pPr>
              <w:pStyle w:val="Tabletext"/>
              <w:ind w:left="34" w:right="-108"/>
              <w:rPr>
                <w:kern w:val="22"/>
                <w:sz w:val="18"/>
                <w:szCs w:val="18"/>
              </w:rPr>
            </w:pPr>
          </w:p>
        </w:tc>
        <w:tc>
          <w:tcPr>
            <w:tcW w:w="1134" w:type="dxa"/>
            <w:vMerge w:val="restart"/>
            <w:hideMark/>
          </w:tcPr>
          <w:p w:rsidR="00DD49AC" w:rsidRPr="00AD1413" w:rsidRDefault="00DD49AC" w:rsidP="00AD1413">
            <w:pPr>
              <w:pStyle w:val="Tabletext"/>
              <w:ind w:left="34" w:right="0"/>
              <w:rPr>
                <w:kern w:val="22"/>
                <w:sz w:val="18"/>
                <w:szCs w:val="18"/>
              </w:rPr>
            </w:pPr>
            <w:r w:rsidRPr="00AD1413">
              <w:rPr>
                <w:kern w:val="22"/>
                <w:sz w:val="18"/>
                <w:szCs w:val="18"/>
              </w:rPr>
              <w:t>26 weeks</w:t>
            </w:r>
          </w:p>
        </w:tc>
        <w:tc>
          <w:tcPr>
            <w:tcW w:w="1276" w:type="dxa"/>
            <w:hideMark/>
          </w:tcPr>
          <w:p w:rsidR="00DD49AC" w:rsidRPr="00AD1413" w:rsidRDefault="00DD49AC" w:rsidP="00AD1413">
            <w:pPr>
              <w:pStyle w:val="Tabletext"/>
              <w:ind w:left="34" w:right="0"/>
              <w:rPr>
                <w:kern w:val="22"/>
                <w:sz w:val="18"/>
                <w:szCs w:val="18"/>
              </w:rPr>
            </w:pPr>
            <w:r w:rsidRPr="00AD1413">
              <w:rPr>
                <w:kern w:val="22"/>
                <w:sz w:val="18"/>
                <w:szCs w:val="18"/>
              </w:rPr>
              <w:t>5</w:t>
            </w:r>
          </w:p>
        </w:tc>
        <w:tc>
          <w:tcPr>
            <w:tcW w:w="1134" w:type="dxa"/>
            <w:hideMark/>
          </w:tcPr>
          <w:p w:rsidR="00DD49AC" w:rsidRPr="00AD1413" w:rsidRDefault="00DD49AC" w:rsidP="00AD1413">
            <w:pPr>
              <w:pStyle w:val="Tabletext"/>
              <w:ind w:left="34"/>
              <w:rPr>
                <w:kern w:val="22"/>
                <w:sz w:val="18"/>
                <w:szCs w:val="18"/>
              </w:rPr>
            </w:pPr>
            <w:r w:rsidRPr="00AD1413">
              <w:rPr>
                <w:kern w:val="22"/>
                <w:sz w:val="18"/>
                <w:szCs w:val="18"/>
              </w:rPr>
              <w:t>153000</w:t>
            </w:r>
          </w:p>
        </w:tc>
        <w:tc>
          <w:tcPr>
            <w:tcW w:w="992" w:type="dxa"/>
            <w:hideMark/>
          </w:tcPr>
          <w:p w:rsidR="00DD49AC" w:rsidRPr="00AD1413" w:rsidRDefault="00DD49AC" w:rsidP="00AD1413">
            <w:pPr>
              <w:pStyle w:val="Tabletext"/>
              <w:ind w:left="0"/>
              <w:rPr>
                <w:kern w:val="22"/>
                <w:sz w:val="18"/>
                <w:szCs w:val="18"/>
              </w:rPr>
            </w:pPr>
            <w:r w:rsidRPr="00AD1413">
              <w:rPr>
                <w:kern w:val="22"/>
                <w:sz w:val="18"/>
                <w:szCs w:val="18"/>
              </w:rPr>
              <w:t>7260</w:t>
            </w:r>
          </w:p>
        </w:tc>
        <w:tc>
          <w:tcPr>
            <w:tcW w:w="1418" w:type="dxa"/>
            <w:hideMark/>
          </w:tcPr>
          <w:p w:rsidR="00DD49AC" w:rsidRPr="00AD1413" w:rsidRDefault="00DD49AC" w:rsidP="00AD1413">
            <w:pPr>
              <w:pStyle w:val="Tabletext"/>
              <w:rPr>
                <w:kern w:val="22"/>
                <w:sz w:val="18"/>
                <w:szCs w:val="18"/>
              </w:rPr>
            </w:pPr>
            <w:r w:rsidRPr="00AD1413">
              <w:rPr>
                <w:kern w:val="22"/>
                <w:sz w:val="18"/>
                <w:szCs w:val="18"/>
              </w:rPr>
              <w:t>0.7</w:t>
            </w:r>
          </w:p>
        </w:tc>
        <w:tc>
          <w:tcPr>
            <w:tcW w:w="1417" w:type="dxa"/>
            <w:hideMark/>
          </w:tcPr>
          <w:p w:rsidR="00DD49AC" w:rsidRPr="00AD1413" w:rsidRDefault="00DD49AC" w:rsidP="00AD1413">
            <w:pPr>
              <w:pStyle w:val="Tabletext"/>
              <w:rPr>
                <w:kern w:val="22"/>
                <w:sz w:val="18"/>
                <w:szCs w:val="18"/>
              </w:rPr>
            </w:pPr>
            <w:r w:rsidRPr="00AD1413">
              <w:rPr>
                <w:kern w:val="22"/>
                <w:sz w:val="18"/>
                <w:szCs w:val="18"/>
              </w:rPr>
              <w:t>0.7</w:t>
            </w:r>
          </w:p>
        </w:tc>
      </w:tr>
      <w:tr w:rsidR="00DD49AC" w:rsidRPr="00AD1413" w:rsidTr="00F365ED">
        <w:trPr>
          <w:cantSplit/>
        </w:trPr>
        <w:tc>
          <w:tcPr>
            <w:tcW w:w="1134" w:type="dxa"/>
            <w:vMerge/>
            <w:hideMark/>
          </w:tcPr>
          <w:p w:rsidR="00DD49AC" w:rsidRPr="00AD1413" w:rsidRDefault="00DD49AC" w:rsidP="00AD1413">
            <w:pPr>
              <w:pStyle w:val="Tabletext"/>
              <w:ind w:left="34" w:right="-108"/>
              <w:rPr>
                <w:kern w:val="22"/>
                <w:sz w:val="18"/>
                <w:szCs w:val="18"/>
              </w:rPr>
            </w:pPr>
          </w:p>
        </w:tc>
        <w:tc>
          <w:tcPr>
            <w:tcW w:w="1134" w:type="dxa"/>
            <w:vMerge/>
            <w:hideMark/>
          </w:tcPr>
          <w:p w:rsidR="00DD49AC" w:rsidRPr="00AD1413" w:rsidRDefault="00DD49AC" w:rsidP="00AD1413">
            <w:pPr>
              <w:pStyle w:val="Tabletext"/>
              <w:ind w:left="34" w:right="0"/>
              <w:rPr>
                <w:kern w:val="22"/>
                <w:sz w:val="18"/>
                <w:szCs w:val="18"/>
              </w:rPr>
            </w:pPr>
          </w:p>
        </w:tc>
        <w:tc>
          <w:tcPr>
            <w:tcW w:w="1276" w:type="dxa"/>
            <w:hideMark/>
          </w:tcPr>
          <w:p w:rsidR="00DD49AC" w:rsidRPr="00AD1413" w:rsidRDefault="00DD49AC" w:rsidP="00AD1413">
            <w:pPr>
              <w:pStyle w:val="Tabletext"/>
              <w:ind w:left="34" w:right="0"/>
              <w:rPr>
                <w:kern w:val="22"/>
                <w:sz w:val="18"/>
                <w:szCs w:val="18"/>
              </w:rPr>
            </w:pPr>
            <w:r w:rsidRPr="00AD1413">
              <w:rPr>
                <w:kern w:val="22"/>
                <w:sz w:val="18"/>
                <w:szCs w:val="18"/>
              </w:rPr>
              <w:t>15</w:t>
            </w:r>
          </w:p>
        </w:tc>
        <w:tc>
          <w:tcPr>
            <w:tcW w:w="1134" w:type="dxa"/>
            <w:hideMark/>
          </w:tcPr>
          <w:p w:rsidR="00DD49AC" w:rsidRPr="00AD1413" w:rsidRDefault="00DD49AC" w:rsidP="00AD1413">
            <w:pPr>
              <w:pStyle w:val="Tabletext"/>
              <w:ind w:left="34"/>
              <w:rPr>
                <w:kern w:val="22"/>
                <w:sz w:val="18"/>
                <w:szCs w:val="18"/>
              </w:rPr>
            </w:pPr>
            <w:r w:rsidRPr="00AD1413">
              <w:rPr>
                <w:kern w:val="22"/>
                <w:sz w:val="18"/>
                <w:szCs w:val="18"/>
              </w:rPr>
              <w:t>258000</w:t>
            </w:r>
          </w:p>
        </w:tc>
        <w:tc>
          <w:tcPr>
            <w:tcW w:w="992" w:type="dxa"/>
            <w:hideMark/>
          </w:tcPr>
          <w:p w:rsidR="00DD49AC" w:rsidRPr="00AD1413" w:rsidRDefault="00DD49AC" w:rsidP="00AD1413">
            <w:pPr>
              <w:pStyle w:val="Tabletext"/>
              <w:ind w:left="0"/>
              <w:rPr>
                <w:kern w:val="22"/>
                <w:sz w:val="18"/>
                <w:szCs w:val="18"/>
              </w:rPr>
            </w:pPr>
            <w:r w:rsidRPr="00AD1413">
              <w:rPr>
                <w:kern w:val="22"/>
                <w:sz w:val="18"/>
                <w:szCs w:val="18"/>
              </w:rPr>
              <w:t>11700</w:t>
            </w:r>
          </w:p>
        </w:tc>
        <w:tc>
          <w:tcPr>
            <w:tcW w:w="1418" w:type="dxa"/>
            <w:hideMark/>
          </w:tcPr>
          <w:p w:rsidR="00DD49AC" w:rsidRPr="00AD1413" w:rsidRDefault="00DD49AC" w:rsidP="00AD1413">
            <w:pPr>
              <w:pStyle w:val="Tabletext"/>
              <w:rPr>
                <w:kern w:val="22"/>
                <w:sz w:val="18"/>
                <w:szCs w:val="18"/>
              </w:rPr>
            </w:pPr>
            <w:r w:rsidRPr="00AD1413">
              <w:rPr>
                <w:kern w:val="22"/>
                <w:sz w:val="18"/>
                <w:szCs w:val="18"/>
              </w:rPr>
              <w:t>1.1</w:t>
            </w:r>
          </w:p>
        </w:tc>
        <w:tc>
          <w:tcPr>
            <w:tcW w:w="1417" w:type="dxa"/>
            <w:hideMark/>
          </w:tcPr>
          <w:p w:rsidR="00DD49AC" w:rsidRPr="00AD1413" w:rsidRDefault="00DD49AC" w:rsidP="00AD1413">
            <w:pPr>
              <w:pStyle w:val="Tabletext"/>
              <w:rPr>
                <w:kern w:val="22"/>
                <w:sz w:val="18"/>
                <w:szCs w:val="18"/>
              </w:rPr>
            </w:pPr>
            <w:r w:rsidRPr="00AD1413">
              <w:rPr>
                <w:kern w:val="22"/>
                <w:sz w:val="18"/>
                <w:szCs w:val="18"/>
              </w:rPr>
              <w:t>1.2</w:t>
            </w:r>
          </w:p>
        </w:tc>
      </w:tr>
      <w:tr w:rsidR="00DD49AC" w:rsidRPr="00AD1413" w:rsidTr="00F365ED">
        <w:trPr>
          <w:cantSplit/>
        </w:trPr>
        <w:tc>
          <w:tcPr>
            <w:tcW w:w="1134" w:type="dxa"/>
            <w:vMerge/>
            <w:hideMark/>
          </w:tcPr>
          <w:p w:rsidR="00DD49AC" w:rsidRPr="00AD1413" w:rsidRDefault="00DD49AC" w:rsidP="00AD1413">
            <w:pPr>
              <w:pStyle w:val="Tabletext"/>
              <w:ind w:left="34" w:right="-108"/>
              <w:rPr>
                <w:kern w:val="22"/>
                <w:sz w:val="18"/>
                <w:szCs w:val="18"/>
              </w:rPr>
            </w:pPr>
          </w:p>
        </w:tc>
        <w:tc>
          <w:tcPr>
            <w:tcW w:w="1134" w:type="dxa"/>
            <w:vMerge/>
            <w:hideMark/>
          </w:tcPr>
          <w:p w:rsidR="00DD49AC" w:rsidRPr="00AD1413" w:rsidRDefault="00DD49AC" w:rsidP="00AD1413">
            <w:pPr>
              <w:pStyle w:val="Tabletext"/>
              <w:ind w:left="34" w:right="0"/>
              <w:rPr>
                <w:kern w:val="22"/>
                <w:sz w:val="18"/>
                <w:szCs w:val="18"/>
              </w:rPr>
            </w:pPr>
          </w:p>
        </w:tc>
        <w:tc>
          <w:tcPr>
            <w:tcW w:w="1276" w:type="dxa"/>
            <w:hideMark/>
          </w:tcPr>
          <w:p w:rsidR="00DD49AC" w:rsidRPr="00AD1413" w:rsidRDefault="00DD49AC" w:rsidP="00AD1413">
            <w:pPr>
              <w:pStyle w:val="Tabletext"/>
              <w:ind w:left="34" w:right="0"/>
              <w:rPr>
                <w:kern w:val="22"/>
                <w:sz w:val="18"/>
                <w:szCs w:val="18"/>
              </w:rPr>
            </w:pPr>
            <w:r w:rsidRPr="00AD1413">
              <w:rPr>
                <w:kern w:val="22"/>
                <w:sz w:val="18"/>
                <w:szCs w:val="18"/>
              </w:rPr>
              <w:t>50</w:t>
            </w:r>
          </w:p>
        </w:tc>
        <w:tc>
          <w:tcPr>
            <w:tcW w:w="1134" w:type="dxa"/>
            <w:hideMark/>
          </w:tcPr>
          <w:p w:rsidR="00DD49AC" w:rsidRPr="00AD1413" w:rsidRDefault="00DD49AC" w:rsidP="00AD1413">
            <w:pPr>
              <w:pStyle w:val="Tabletext"/>
              <w:ind w:left="34"/>
              <w:rPr>
                <w:kern w:val="22"/>
                <w:sz w:val="18"/>
                <w:szCs w:val="18"/>
              </w:rPr>
            </w:pPr>
            <w:r w:rsidRPr="00AD1413">
              <w:rPr>
                <w:kern w:val="22"/>
                <w:sz w:val="18"/>
                <w:szCs w:val="18"/>
              </w:rPr>
              <w:t>447000</w:t>
            </w:r>
          </w:p>
        </w:tc>
        <w:tc>
          <w:tcPr>
            <w:tcW w:w="992" w:type="dxa"/>
            <w:hideMark/>
          </w:tcPr>
          <w:p w:rsidR="00DD49AC" w:rsidRPr="00AD1413" w:rsidRDefault="00DD49AC" w:rsidP="00AD1413">
            <w:pPr>
              <w:pStyle w:val="Tabletext"/>
              <w:ind w:left="0"/>
              <w:rPr>
                <w:kern w:val="22"/>
                <w:sz w:val="18"/>
                <w:szCs w:val="18"/>
              </w:rPr>
            </w:pPr>
            <w:r w:rsidRPr="00AD1413">
              <w:rPr>
                <w:kern w:val="22"/>
                <w:sz w:val="18"/>
                <w:szCs w:val="18"/>
              </w:rPr>
              <w:t>21150</w:t>
            </w:r>
          </w:p>
        </w:tc>
        <w:tc>
          <w:tcPr>
            <w:tcW w:w="1418" w:type="dxa"/>
            <w:hideMark/>
          </w:tcPr>
          <w:p w:rsidR="00DD49AC" w:rsidRPr="00AD1413" w:rsidRDefault="00DD49AC" w:rsidP="00AD1413">
            <w:pPr>
              <w:pStyle w:val="Tabletext"/>
              <w:rPr>
                <w:kern w:val="22"/>
                <w:sz w:val="18"/>
                <w:szCs w:val="18"/>
              </w:rPr>
            </w:pPr>
            <w:r w:rsidRPr="00AD1413">
              <w:rPr>
                <w:kern w:val="22"/>
                <w:sz w:val="18"/>
                <w:szCs w:val="18"/>
              </w:rPr>
              <w:t>2.0</w:t>
            </w:r>
          </w:p>
        </w:tc>
        <w:tc>
          <w:tcPr>
            <w:tcW w:w="1417" w:type="dxa"/>
            <w:hideMark/>
          </w:tcPr>
          <w:p w:rsidR="00DD49AC" w:rsidRPr="00AD1413" w:rsidRDefault="00DD49AC" w:rsidP="00AD1413">
            <w:pPr>
              <w:pStyle w:val="Tabletext"/>
              <w:rPr>
                <w:kern w:val="22"/>
                <w:sz w:val="18"/>
                <w:szCs w:val="18"/>
              </w:rPr>
            </w:pPr>
            <w:r w:rsidRPr="00AD1413">
              <w:rPr>
                <w:kern w:val="22"/>
                <w:sz w:val="18"/>
                <w:szCs w:val="18"/>
              </w:rPr>
              <w:t>2.2</w:t>
            </w:r>
          </w:p>
        </w:tc>
      </w:tr>
    </w:tbl>
    <w:p w:rsidR="00DD49AC" w:rsidRPr="003C5A8B" w:rsidRDefault="00DD49AC" w:rsidP="00AD1413">
      <w:pPr>
        <w:pStyle w:val="TableDescription"/>
        <w:rPr>
          <w:kern w:val="22"/>
        </w:rPr>
      </w:pPr>
      <w:r w:rsidRPr="003C5A8B">
        <w:rPr>
          <w:kern w:val="22"/>
          <w:vertAlign w:val="superscript"/>
        </w:rPr>
        <w:t>#</w:t>
      </w:r>
      <w:r w:rsidRPr="003C5A8B">
        <w:rPr>
          <w:kern w:val="22"/>
        </w:rPr>
        <w:t xml:space="preserve"> = </w:t>
      </w:r>
      <w:proofErr w:type="spellStart"/>
      <w:r w:rsidRPr="003C5A8B">
        <w:rPr>
          <w:kern w:val="22"/>
        </w:rPr>
        <w:t>animal:human</w:t>
      </w:r>
      <w:proofErr w:type="spellEnd"/>
      <w:r w:rsidRPr="003C5A8B">
        <w:rPr>
          <w:kern w:val="22"/>
        </w:rPr>
        <w:t xml:space="preserve"> plasma AUC</w:t>
      </w:r>
      <w:r w:rsidRPr="003C5A8B">
        <w:rPr>
          <w:kern w:val="22"/>
          <w:vertAlign w:val="subscript"/>
        </w:rPr>
        <w:t>0–24 h</w:t>
      </w:r>
      <w:r w:rsidRPr="003C5A8B">
        <w:rPr>
          <w:kern w:val="22"/>
        </w:rPr>
        <w:t xml:space="preserve"> based on typical AUC</w:t>
      </w:r>
      <w:r w:rsidRPr="003C5A8B">
        <w:rPr>
          <w:kern w:val="22"/>
          <w:vertAlign w:val="subscript"/>
        </w:rPr>
        <w:t>0-24</w:t>
      </w:r>
      <w:r w:rsidR="0034302D">
        <w:rPr>
          <w:kern w:val="22"/>
          <w:vertAlign w:val="subscript"/>
        </w:rPr>
        <w:t xml:space="preserve"> </w:t>
      </w:r>
      <w:r w:rsidRPr="003C5A8B">
        <w:rPr>
          <w:kern w:val="22"/>
          <w:vertAlign w:val="subscript"/>
        </w:rPr>
        <w:t>h</w:t>
      </w:r>
      <w:r w:rsidRPr="003C5A8B">
        <w:rPr>
          <w:kern w:val="22"/>
        </w:rPr>
        <w:t xml:space="preserve"> of 225000ng.h/</w:t>
      </w:r>
      <w:proofErr w:type="spellStart"/>
      <w:r w:rsidRPr="003C5A8B">
        <w:rPr>
          <w:kern w:val="22"/>
        </w:rPr>
        <w:t>mL</w:t>
      </w:r>
      <w:proofErr w:type="spellEnd"/>
      <w:r w:rsidRPr="003C5A8B">
        <w:rPr>
          <w:kern w:val="22"/>
        </w:rPr>
        <w:t xml:space="preserve"> and </w:t>
      </w:r>
      <w:proofErr w:type="spellStart"/>
      <w:r w:rsidRPr="003C5A8B">
        <w:rPr>
          <w:kern w:val="22"/>
        </w:rPr>
        <w:t>C</w:t>
      </w:r>
      <w:r w:rsidRPr="003C5A8B">
        <w:rPr>
          <w:kern w:val="22"/>
          <w:vertAlign w:val="subscript"/>
        </w:rPr>
        <w:t>ss</w:t>
      </w:r>
      <w:proofErr w:type="spellEnd"/>
      <w:r w:rsidR="0034302D">
        <w:rPr>
          <w:kern w:val="22"/>
        </w:rPr>
        <w:t xml:space="preserve"> of 23.1µM (9732 </w:t>
      </w:r>
      <w:proofErr w:type="spellStart"/>
      <w:r w:rsidRPr="003C5A8B">
        <w:rPr>
          <w:kern w:val="22"/>
        </w:rPr>
        <w:t>ng</w:t>
      </w:r>
      <w:proofErr w:type="spellEnd"/>
      <w:r w:rsidRPr="003C5A8B">
        <w:rPr>
          <w:kern w:val="22"/>
        </w:rPr>
        <w:t>/</w:t>
      </w:r>
      <w:proofErr w:type="spellStart"/>
      <w:r w:rsidRPr="003C5A8B">
        <w:rPr>
          <w:kern w:val="22"/>
        </w:rPr>
        <w:t>mL</w:t>
      </w:r>
      <w:proofErr w:type="spellEnd"/>
      <w:r w:rsidRPr="003C5A8B">
        <w:rPr>
          <w:kern w:val="22"/>
        </w:rPr>
        <w:t>) (Studies nos. SHH3925g; SHH4610g and SHH4476g).</w:t>
      </w:r>
    </w:p>
    <w:p w:rsidR="00DD49AC" w:rsidRPr="00DD49AC" w:rsidRDefault="00DD49AC" w:rsidP="00AD1413">
      <w:pPr>
        <w:pStyle w:val="Heading4"/>
        <w:rPr>
          <w:kern w:val="22"/>
        </w:rPr>
      </w:pPr>
      <w:r w:rsidRPr="00DD49AC">
        <w:rPr>
          <w:kern w:val="22"/>
        </w:rPr>
        <w:t>Major toxicities</w:t>
      </w:r>
    </w:p>
    <w:p w:rsidR="00DD49AC" w:rsidRPr="00DD49AC" w:rsidRDefault="00DD49AC" w:rsidP="00AD1413">
      <w:pPr>
        <w:rPr>
          <w:kern w:val="22"/>
        </w:rPr>
      </w:pPr>
      <w:r w:rsidRPr="00DD49AC">
        <w:rPr>
          <w:kern w:val="22"/>
        </w:rPr>
        <w:t>The nonclinical toxicity associated with vismodegib included evidence of general toxicity as well as toxicity associated with the pharmacological activity of vismodegib. In the short term rat studies (&lt;4 weeks), general toxicity was seen only at the higher dose (&gt;2</w:t>
      </w:r>
      <w:r w:rsidR="00F534E1">
        <w:rPr>
          <w:kern w:val="22"/>
        </w:rPr>
        <w:t>50 </w:t>
      </w:r>
      <w:r w:rsidRPr="00DD49AC">
        <w:rPr>
          <w:kern w:val="22"/>
        </w:rPr>
        <w:t>mg/kg/day).</w:t>
      </w:r>
      <w:r w:rsidR="003C5A8B">
        <w:rPr>
          <w:kern w:val="22"/>
        </w:rPr>
        <w:t xml:space="preserve"> </w:t>
      </w:r>
      <w:r w:rsidRPr="00DD49AC">
        <w:rPr>
          <w:kern w:val="22"/>
        </w:rPr>
        <w:t>In the 4 week rat study, there was reduced bodyweight gain and signs of neurotoxicity (reduced grip strength) at ≥150</w:t>
      </w:r>
      <w:r w:rsidR="00F534E1">
        <w:rPr>
          <w:kern w:val="22"/>
        </w:rPr>
        <w:t xml:space="preserve"> </w:t>
      </w:r>
      <w:r w:rsidRPr="00DD49AC">
        <w:rPr>
          <w:kern w:val="22"/>
        </w:rPr>
        <w:t xml:space="preserve">mg/kg/day. In the longer term rat studies (13 and 26 weeks), there were neurological signs (tremors, low posture, jerking), a reduced number of corpora </w:t>
      </w:r>
      <w:proofErr w:type="spellStart"/>
      <w:r w:rsidRPr="00DD49AC">
        <w:rPr>
          <w:kern w:val="22"/>
        </w:rPr>
        <w:t>lutea</w:t>
      </w:r>
      <w:proofErr w:type="spellEnd"/>
      <w:r w:rsidRPr="00DD49AC">
        <w:rPr>
          <w:kern w:val="22"/>
        </w:rPr>
        <w:t xml:space="preserve"> in females, and a general moribund condition in both sexes at 100</w:t>
      </w:r>
      <w:r w:rsidR="00F534E1">
        <w:rPr>
          <w:kern w:val="22"/>
        </w:rPr>
        <w:t xml:space="preserve"> </w:t>
      </w:r>
      <w:r w:rsidRPr="00DD49AC">
        <w:rPr>
          <w:kern w:val="22"/>
        </w:rPr>
        <w:t>mg/kg/day (equivalent to 1-2 times the</w:t>
      </w:r>
      <w:r w:rsidR="0034302D">
        <w:rPr>
          <w:kern w:val="22"/>
        </w:rPr>
        <w:t xml:space="preserve"> clinical exposure based on AUC or </w:t>
      </w:r>
      <w:proofErr w:type="spellStart"/>
      <w:r w:rsidRPr="00DD49AC">
        <w:rPr>
          <w:kern w:val="22"/>
        </w:rPr>
        <w:t>C</w:t>
      </w:r>
      <w:r w:rsidRPr="00DD49AC">
        <w:rPr>
          <w:kern w:val="22"/>
          <w:vertAlign w:val="subscript"/>
        </w:rPr>
        <w:t>max</w:t>
      </w:r>
      <w:proofErr w:type="spellEnd"/>
      <w:r w:rsidRPr="00DD49AC">
        <w:rPr>
          <w:kern w:val="22"/>
        </w:rPr>
        <w:t>).</w:t>
      </w:r>
      <w:r w:rsidR="003C5A8B">
        <w:rPr>
          <w:kern w:val="22"/>
        </w:rPr>
        <w:t xml:space="preserve"> </w:t>
      </w:r>
      <w:r w:rsidRPr="00DD49AC">
        <w:rPr>
          <w:kern w:val="22"/>
        </w:rPr>
        <w:t>In the dog studies, reversible general toxicity (reduced bodyweight gain and increased cholesterol) was evident at ≥15</w:t>
      </w:r>
      <w:r w:rsidR="00F534E1">
        <w:rPr>
          <w:kern w:val="22"/>
        </w:rPr>
        <w:t xml:space="preserve"> </w:t>
      </w:r>
      <w:r w:rsidRPr="00DD49AC">
        <w:rPr>
          <w:kern w:val="22"/>
        </w:rPr>
        <w:t>mg/kg/day.</w:t>
      </w:r>
      <w:r w:rsidR="003C5A8B">
        <w:rPr>
          <w:kern w:val="22"/>
        </w:rPr>
        <w:t xml:space="preserve"> </w:t>
      </w:r>
      <w:r w:rsidRPr="00DD49AC">
        <w:rPr>
          <w:kern w:val="22"/>
        </w:rPr>
        <w:t xml:space="preserve">The increased incidence of degenerating sperm cells and </w:t>
      </w:r>
      <w:proofErr w:type="spellStart"/>
      <w:r w:rsidRPr="00DD49AC">
        <w:rPr>
          <w:kern w:val="22"/>
        </w:rPr>
        <w:t>hypospermia</w:t>
      </w:r>
      <w:proofErr w:type="spellEnd"/>
      <w:r w:rsidRPr="00DD49AC">
        <w:rPr>
          <w:kern w:val="22"/>
        </w:rPr>
        <w:t xml:space="preserve"> in the </w:t>
      </w:r>
      <w:proofErr w:type="spellStart"/>
      <w:r w:rsidRPr="00DD49AC">
        <w:rPr>
          <w:kern w:val="22"/>
        </w:rPr>
        <w:t>epididymides</w:t>
      </w:r>
      <w:proofErr w:type="spellEnd"/>
      <w:r w:rsidRPr="00DD49AC">
        <w:rPr>
          <w:kern w:val="22"/>
        </w:rPr>
        <w:t xml:space="preserve"> in the 4 week dog study at ≥50</w:t>
      </w:r>
      <w:r w:rsidR="00F534E1">
        <w:rPr>
          <w:kern w:val="22"/>
        </w:rPr>
        <w:t xml:space="preserve"> </w:t>
      </w:r>
      <w:r w:rsidRPr="00DD49AC">
        <w:rPr>
          <w:kern w:val="22"/>
        </w:rPr>
        <w:t xml:space="preserve">mg/kg/day (equivalent to </w:t>
      </w:r>
      <w:r w:rsidR="0092442C" w:rsidRPr="00DD49AC">
        <w:rPr>
          <w:kern w:val="22"/>
        </w:rPr>
        <w:t>approx</w:t>
      </w:r>
      <w:r w:rsidR="0092442C">
        <w:rPr>
          <w:kern w:val="22"/>
        </w:rPr>
        <w:t>imately</w:t>
      </w:r>
      <w:r w:rsidRPr="00DD49AC">
        <w:rPr>
          <w:kern w:val="22"/>
        </w:rPr>
        <w:t xml:space="preserve"> twice the</w:t>
      </w:r>
      <w:r w:rsidR="0034302D">
        <w:rPr>
          <w:kern w:val="22"/>
        </w:rPr>
        <w:t xml:space="preserve"> clinical exposure based on AUC or </w:t>
      </w:r>
      <w:proofErr w:type="spellStart"/>
      <w:r w:rsidRPr="00DD49AC">
        <w:rPr>
          <w:kern w:val="22"/>
        </w:rPr>
        <w:t>C</w:t>
      </w:r>
      <w:r w:rsidRPr="00DD49AC">
        <w:rPr>
          <w:kern w:val="22"/>
          <w:vertAlign w:val="subscript"/>
        </w:rPr>
        <w:t>max</w:t>
      </w:r>
      <w:proofErr w:type="spellEnd"/>
      <w:r w:rsidRPr="00DD49AC">
        <w:rPr>
          <w:kern w:val="22"/>
        </w:rPr>
        <w:t>) was not repeated in longer studies and may be related to the young age of the dogs in this study.</w:t>
      </w:r>
      <w:r w:rsidR="003C5A8B">
        <w:rPr>
          <w:kern w:val="22"/>
        </w:rPr>
        <w:t xml:space="preserve"> </w:t>
      </w:r>
      <w:r w:rsidRPr="00DD49AC">
        <w:rPr>
          <w:kern w:val="22"/>
        </w:rPr>
        <w:t>In the 26 week dog study, there was equivocal evidence of an increase in abnormal sperm at 50</w:t>
      </w:r>
      <w:r w:rsidR="00F534E1">
        <w:rPr>
          <w:kern w:val="22"/>
        </w:rPr>
        <w:t xml:space="preserve"> </w:t>
      </w:r>
      <w:r w:rsidRPr="00DD49AC">
        <w:rPr>
          <w:kern w:val="22"/>
        </w:rPr>
        <w:t xml:space="preserve">mg/kg/day (equivalent to </w:t>
      </w:r>
      <w:r w:rsidR="00B61BC4">
        <w:rPr>
          <w:kern w:val="22"/>
        </w:rPr>
        <w:t xml:space="preserve">twice </w:t>
      </w:r>
      <w:r w:rsidRPr="00DD49AC">
        <w:rPr>
          <w:kern w:val="22"/>
        </w:rPr>
        <w:t>the</w:t>
      </w:r>
      <w:r w:rsidR="0034302D">
        <w:rPr>
          <w:kern w:val="22"/>
        </w:rPr>
        <w:t xml:space="preserve"> clinical exposure based on AUC or </w:t>
      </w:r>
      <w:proofErr w:type="spellStart"/>
      <w:r w:rsidRPr="00DD49AC">
        <w:rPr>
          <w:kern w:val="22"/>
        </w:rPr>
        <w:t>C</w:t>
      </w:r>
      <w:r w:rsidRPr="00DD49AC">
        <w:rPr>
          <w:kern w:val="22"/>
          <w:vertAlign w:val="subscript"/>
        </w:rPr>
        <w:t>max</w:t>
      </w:r>
      <w:proofErr w:type="spellEnd"/>
      <w:r w:rsidRPr="00DD49AC">
        <w:rPr>
          <w:kern w:val="22"/>
        </w:rPr>
        <w:t xml:space="preserve">). </w:t>
      </w:r>
    </w:p>
    <w:p w:rsidR="00DD49AC" w:rsidRPr="00DD49AC" w:rsidRDefault="00DD49AC" w:rsidP="00AD1413">
      <w:pPr>
        <w:rPr>
          <w:kern w:val="22"/>
        </w:rPr>
      </w:pPr>
      <w:r w:rsidRPr="00DD49AC">
        <w:rPr>
          <w:kern w:val="22"/>
        </w:rPr>
        <w:t>Toxicity associated with the pharmacological activity of vismodegib included effects on growing teeth, skin and bones</w:t>
      </w:r>
      <w:r w:rsidR="0034302D">
        <w:rPr>
          <w:kern w:val="22"/>
        </w:rPr>
        <w:t>.</w:t>
      </w:r>
      <w:r w:rsidR="0034302D">
        <w:rPr>
          <w:rStyle w:val="FootnoteReference"/>
          <w:kern w:val="22"/>
        </w:rPr>
        <w:footnoteReference w:id="2"/>
      </w:r>
      <w:r w:rsidR="0034302D" w:rsidRPr="0034302D">
        <w:rPr>
          <w:kern w:val="22"/>
          <w:vertAlign w:val="superscript"/>
        </w:rPr>
        <w:t>,</w:t>
      </w:r>
      <w:r w:rsidR="0034302D">
        <w:rPr>
          <w:rStyle w:val="FootnoteReference"/>
          <w:kern w:val="22"/>
        </w:rPr>
        <w:t xml:space="preserve"> </w:t>
      </w:r>
      <w:r w:rsidR="0034302D">
        <w:rPr>
          <w:rStyle w:val="FootnoteReference"/>
          <w:kern w:val="22"/>
        </w:rPr>
        <w:footnoteReference w:id="3"/>
      </w:r>
      <w:r w:rsidR="0034302D" w:rsidRPr="0034302D">
        <w:rPr>
          <w:kern w:val="22"/>
          <w:vertAlign w:val="superscript"/>
        </w:rPr>
        <w:t>,</w:t>
      </w:r>
      <w:r w:rsidR="0034302D" w:rsidRPr="0034302D">
        <w:rPr>
          <w:rStyle w:val="FootnoteReference"/>
        </w:rPr>
        <w:t xml:space="preserve"> </w:t>
      </w:r>
      <w:r w:rsidR="0034302D">
        <w:rPr>
          <w:rStyle w:val="FootnoteReference"/>
          <w:kern w:val="22"/>
        </w:rPr>
        <w:footnoteReference w:id="4"/>
      </w:r>
      <w:r w:rsidR="003C5A8B">
        <w:rPr>
          <w:kern w:val="22"/>
        </w:rPr>
        <w:t xml:space="preserve"> </w:t>
      </w:r>
      <w:r w:rsidRPr="00DD49AC">
        <w:rPr>
          <w:kern w:val="22"/>
        </w:rPr>
        <w:t>In rats, an increase in missing incisors in the 4 week study was evident during the recovery period at ≥50</w:t>
      </w:r>
      <w:r w:rsidR="00F534E1">
        <w:rPr>
          <w:kern w:val="22"/>
        </w:rPr>
        <w:t xml:space="preserve"> </w:t>
      </w:r>
      <w:r w:rsidRPr="00DD49AC">
        <w:rPr>
          <w:kern w:val="22"/>
        </w:rPr>
        <w:t>mg/kg/day and was accompanied by microscopic degenerative changes in the incisor teeth. This effect was evident again in the 13 week study at 50</w:t>
      </w:r>
      <w:r w:rsidR="00F534E1">
        <w:rPr>
          <w:kern w:val="22"/>
        </w:rPr>
        <w:t xml:space="preserve"> </w:t>
      </w:r>
      <w:r w:rsidRPr="00DD49AC">
        <w:rPr>
          <w:kern w:val="22"/>
        </w:rPr>
        <w:t>mg/kg/day and in the 26 week study at 15</w:t>
      </w:r>
      <w:r w:rsidR="00F534E1">
        <w:rPr>
          <w:kern w:val="22"/>
        </w:rPr>
        <w:t xml:space="preserve"> </w:t>
      </w:r>
      <w:r w:rsidRPr="00DD49AC">
        <w:rPr>
          <w:kern w:val="22"/>
        </w:rPr>
        <w:t>mg/kg/day (equivalent to approx</w:t>
      </w:r>
      <w:r w:rsidR="00B8204A">
        <w:rPr>
          <w:kern w:val="22"/>
        </w:rPr>
        <w:t>imately</w:t>
      </w:r>
      <w:r w:rsidRPr="00DD49AC">
        <w:rPr>
          <w:kern w:val="22"/>
        </w:rPr>
        <w:t xml:space="preserve"> half the clinical expo</w:t>
      </w:r>
      <w:r w:rsidR="00B8204A">
        <w:rPr>
          <w:kern w:val="22"/>
        </w:rPr>
        <w:t xml:space="preserve">sure based on AUC or </w:t>
      </w:r>
      <w:proofErr w:type="spellStart"/>
      <w:r w:rsidRPr="00DD49AC">
        <w:rPr>
          <w:kern w:val="22"/>
        </w:rPr>
        <w:t>C</w:t>
      </w:r>
      <w:r w:rsidRPr="00DD49AC">
        <w:rPr>
          <w:kern w:val="22"/>
          <w:vertAlign w:val="subscript"/>
        </w:rPr>
        <w:t>max</w:t>
      </w:r>
      <w:proofErr w:type="spellEnd"/>
      <w:r w:rsidRPr="00DD49AC">
        <w:rPr>
          <w:kern w:val="22"/>
        </w:rPr>
        <w:t>), and was accompanied by microscopic degenerative changes which continued through the recovery period.</w:t>
      </w:r>
      <w:r w:rsidR="003C5A8B">
        <w:rPr>
          <w:kern w:val="22"/>
        </w:rPr>
        <w:t xml:space="preserve"> </w:t>
      </w:r>
      <w:r w:rsidRPr="00DD49AC">
        <w:rPr>
          <w:kern w:val="22"/>
        </w:rPr>
        <w:t xml:space="preserve">The overall </w:t>
      </w:r>
      <w:r w:rsidR="00B8204A">
        <w:rPr>
          <w:kern w:val="22"/>
        </w:rPr>
        <w:t>no observed adverse effect level (</w:t>
      </w:r>
      <w:r w:rsidRPr="00DD49AC">
        <w:rPr>
          <w:kern w:val="22"/>
        </w:rPr>
        <w:t>NOAEL</w:t>
      </w:r>
      <w:r w:rsidR="00B8204A">
        <w:rPr>
          <w:kern w:val="22"/>
        </w:rPr>
        <w:t>)</w:t>
      </w:r>
      <w:r w:rsidRPr="00DD49AC">
        <w:rPr>
          <w:kern w:val="22"/>
        </w:rPr>
        <w:t xml:space="preserve"> in rats was 10</w:t>
      </w:r>
      <w:r w:rsidR="00F534E1">
        <w:rPr>
          <w:kern w:val="22"/>
        </w:rPr>
        <w:t xml:space="preserve"> </w:t>
      </w:r>
      <w:r w:rsidRPr="00DD49AC">
        <w:rPr>
          <w:kern w:val="22"/>
        </w:rPr>
        <w:t>mg/kg/day (equivalent to a third of the</w:t>
      </w:r>
      <w:r w:rsidR="00B8204A">
        <w:rPr>
          <w:kern w:val="22"/>
        </w:rPr>
        <w:t xml:space="preserve"> clinical exposure based on AUC or </w:t>
      </w:r>
      <w:proofErr w:type="spellStart"/>
      <w:r w:rsidRPr="00DD49AC">
        <w:rPr>
          <w:kern w:val="22"/>
        </w:rPr>
        <w:t>C</w:t>
      </w:r>
      <w:r w:rsidRPr="00DD49AC">
        <w:rPr>
          <w:kern w:val="22"/>
          <w:vertAlign w:val="subscript"/>
        </w:rPr>
        <w:t>max</w:t>
      </w:r>
      <w:proofErr w:type="spellEnd"/>
      <w:r w:rsidRPr="00DD49AC">
        <w:rPr>
          <w:kern w:val="22"/>
        </w:rPr>
        <w:t xml:space="preserve">). The incidence of red skin and altered femoral </w:t>
      </w:r>
      <w:proofErr w:type="spellStart"/>
      <w:r w:rsidRPr="00DD49AC">
        <w:rPr>
          <w:kern w:val="22"/>
        </w:rPr>
        <w:t>epiphyseal</w:t>
      </w:r>
      <w:proofErr w:type="spellEnd"/>
      <w:r w:rsidRPr="00DD49AC">
        <w:rPr>
          <w:kern w:val="22"/>
        </w:rPr>
        <w:t xml:space="preserve"> plate was also increased in the 26 week rat study at ≥</w:t>
      </w:r>
      <w:r w:rsidR="00F534E1">
        <w:rPr>
          <w:kern w:val="22"/>
        </w:rPr>
        <w:t xml:space="preserve"> </w:t>
      </w:r>
      <w:r w:rsidRPr="00DD49AC">
        <w:rPr>
          <w:kern w:val="22"/>
        </w:rPr>
        <w:t xml:space="preserve">50mg/kg/day (equivalent to slightly less than the </w:t>
      </w:r>
      <w:r w:rsidR="00B8204A">
        <w:rPr>
          <w:kern w:val="22"/>
        </w:rPr>
        <w:t xml:space="preserve">clinical exposure, based on AUC or </w:t>
      </w:r>
      <w:proofErr w:type="spellStart"/>
      <w:r w:rsidRPr="00DD49AC">
        <w:rPr>
          <w:kern w:val="22"/>
        </w:rPr>
        <w:t>C</w:t>
      </w:r>
      <w:r w:rsidRPr="00DD49AC">
        <w:rPr>
          <w:kern w:val="22"/>
          <w:vertAlign w:val="subscript"/>
        </w:rPr>
        <w:t>max</w:t>
      </w:r>
      <w:proofErr w:type="spellEnd"/>
      <w:r w:rsidRPr="00DD49AC">
        <w:rPr>
          <w:kern w:val="22"/>
        </w:rPr>
        <w:t>).</w:t>
      </w:r>
      <w:r w:rsidR="003C5A8B">
        <w:rPr>
          <w:kern w:val="22"/>
        </w:rPr>
        <w:t xml:space="preserve"> </w:t>
      </w:r>
      <w:r w:rsidRPr="00DD49AC">
        <w:rPr>
          <w:kern w:val="22"/>
        </w:rPr>
        <w:t xml:space="preserve">A decrease in corpora </w:t>
      </w:r>
      <w:proofErr w:type="spellStart"/>
      <w:r w:rsidRPr="00DD49AC">
        <w:rPr>
          <w:kern w:val="22"/>
        </w:rPr>
        <w:t>lutea</w:t>
      </w:r>
      <w:proofErr w:type="spellEnd"/>
      <w:r w:rsidRPr="00DD49AC">
        <w:rPr>
          <w:kern w:val="22"/>
        </w:rPr>
        <w:t xml:space="preserve"> was also seen at 100</w:t>
      </w:r>
      <w:r w:rsidR="00F534E1">
        <w:rPr>
          <w:kern w:val="22"/>
        </w:rPr>
        <w:t xml:space="preserve"> </w:t>
      </w:r>
      <w:r w:rsidRPr="00DD49AC">
        <w:rPr>
          <w:kern w:val="22"/>
        </w:rPr>
        <w:t>mg/kg/day which may indicate an effect on ovarian activity.</w:t>
      </w:r>
      <w:r w:rsidR="003C5A8B">
        <w:rPr>
          <w:kern w:val="22"/>
        </w:rPr>
        <w:t xml:space="preserve"> </w:t>
      </w:r>
      <w:r w:rsidRPr="00DD49AC">
        <w:rPr>
          <w:kern w:val="22"/>
        </w:rPr>
        <w:t xml:space="preserve">Effects on the incisor teeth and femoral epiphyses are considered to be influenced by </w:t>
      </w:r>
      <w:proofErr w:type="spellStart"/>
      <w:r w:rsidRPr="00DD49AC">
        <w:rPr>
          <w:kern w:val="22"/>
        </w:rPr>
        <w:t>Hh</w:t>
      </w:r>
      <w:proofErr w:type="spellEnd"/>
      <w:r w:rsidRPr="00DD49AC">
        <w:rPr>
          <w:kern w:val="22"/>
        </w:rPr>
        <w:t xml:space="preserve"> inhibition.</w:t>
      </w:r>
      <w:r w:rsidR="003C5A8B">
        <w:rPr>
          <w:kern w:val="22"/>
        </w:rPr>
        <w:t xml:space="preserve"> </w:t>
      </w:r>
      <w:r w:rsidRPr="00DD49AC">
        <w:rPr>
          <w:kern w:val="22"/>
        </w:rPr>
        <w:t xml:space="preserve">Rat incisors are considered more sensitive to </w:t>
      </w:r>
      <w:proofErr w:type="spellStart"/>
      <w:r w:rsidRPr="00DD49AC">
        <w:rPr>
          <w:kern w:val="22"/>
        </w:rPr>
        <w:t>Hh</w:t>
      </w:r>
      <w:proofErr w:type="spellEnd"/>
      <w:r w:rsidRPr="00DD49AC">
        <w:rPr>
          <w:kern w:val="22"/>
        </w:rPr>
        <w:t xml:space="preserve"> inhibition than dogs or humans, and no corresponding effect was seen in dogs.</w:t>
      </w:r>
      <w:r w:rsidR="003C5A8B">
        <w:rPr>
          <w:kern w:val="22"/>
        </w:rPr>
        <w:t xml:space="preserve"> </w:t>
      </w:r>
      <w:r w:rsidRPr="00DD49AC">
        <w:rPr>
          <w:kern w:val="22"/>
        </w:rPr>
        <w:t xml:space="preserve">In the dog studies, effects of </w:t>
      </w:r>
      <w:proofErr w:type="spellStart"/>
      <w:r w:rsidRPr="00DD49AC">
        <w:rPr>
          <w:kern w:val="22"/>
        </w:rPr>
        <w:t>Hh</w:t>
      </w:r>
      <w:proofErr w:type="spellEnd"/>
      <w:r w:rsidRPr="00DD49AC">
        <w:rPr>
          <w:kern w:val="22"/>
        </w:rPr>
        <w:t xml:space="preserve"> inhibition on the hair follicle were more evident than in the rat studies, with increased alopecia, follicular hyperkeratosis and inflammation at 5</w:t>
      </w:r>
      <w:r w:rsidR="00F534E1">
        <w:rPr>
          <w:kern w:val="22"/>
        </w:rPr>
        <w:t xml:space="preserve"> </w:t>
      </w:r>
      <w:r w:rsidRPr="00DD49AC">
        <w:rPr>
          <w:kern w:val="22"/>
        </w:rPr>
        <w:t>mg/kg/day (equivalent to slightly less than the clinical dose, based o</w:t>
      </w:r>
      <w:r w:rsidR="00B8204A">
        <w:rPr>
          <w:kern w:val="22"/>
        </w:rPr>
        <w:t xml:space="preserve">n AUC or </w:t>
      </w:r>
      <w:proofErr w:type="spellStart"/>
      <w:r w:rsidRPr="00DD49AC">
        <w:rPr>
          <w:kern w:val="22"/>
        </w:rPr>
        <w:t>C</w:t>
      </w:r>
      <w:r w:rsidRPr="00DD49AC">
        <w:rPr>
          <w:kern w:val="22"/>
          <w:vertAlign w:val="subscript"/>
        </w:rPr>
        <w:t>max</w:t>
      </w:r>
      <w:proofErr w:type="spellEnd"/>
      <w:r w:rsidRPr="00DD49AC">
        <w:rPr>
          <w:kern w:val="22"/>
        </w:rPr>
        <w:t>).</w:t>
      </w:r>
      <w:r w:rsidR="003C5A8B">
        <w:rPr>
          <w:kern w:val="22"/>
        </w:rPr>
        <w:t xml:space="preserve"> </w:t>
      </w:r>
      <w:r w:rsidRPr="00DD49AC">
        <w:rPr>
          <w:kern w:val="22"/>
        </w:rPr>
        <w:t xml:space="preserve">These dose-limiting effects were considered secondary to the effects of vismodegib on the hair follicles, and no NOAEL could be established in dogs. </w:t>
      </w:r>
    </w:p>
    <w:p w:rsidR="00DD49AC" w:rsidRPr="00DD49AC" w:rsidRDefault="00DD49AC" w:rsidP="003C5A8B">
      <w:pPr>
        <w:pStyle w:val="Heading4"/>
        <w:rPr>
          <w:kern w:val="22"/>
        </w:rPr>
      </w:pPr>
      <w:bookmarkStart w:id="57" w:name="_Toc294861729"/>
      <w:r w:rsidRPr="00DD49AC">
        <w:rPr>
          <w:kern w:val="22"/>
        </w:rPr>
        <w:t>Genotoxicity</w:t>
      </w:r>
      <w:bookmarkEnd w:id="57"/>
    </w:p>
    <w:p w:rsidR="00DD49AC" w:rsidRPr="00DD49AC" w:rsidRDefault="00DD49AC" w:rsidP="00AD1413">
      <w:pPr>
        <w:rPr>
          <w:kern w:val="22"/>
        </w:rPr>
      </w:pPr>
      <w:r w:rsidRPr="00DD49AC">
        <w:rPr>
          <w:kern w:val="22"/>
        </w:rPr>
        <w:t xml:space="preserve">The </w:t>
      </w:r>
      <w:proofErr w:type="spellStart"/>
      <w:r w:rsidRPr="00DD49AC">
        <w:rPr>
          <w:kern w:val="22"/>
        </w:rPr>
        <w:t>genotoxic</w:t>
      </w:r>
      <w:proofErr w:type="spellEnd"/>
      <w:r w:rsidRPr="00DD49AC">
        <w:rPr>
          <w:kern w:val="22"/>
        </w:rPr>
        <w:t xml:space="preserve"> potential of </w:t>
      </w:r>
      <w:proofErr w:type="spellStart"/>
      <w:r w:rsidRPr="00DD49AC">
        <w:rPr>
          <w:kern w:val="22"/>
        </w:rPr>
        <w:t>vismodegib</w:t>
      </w:r>
      <w:proofErr w:type="spellEnd"/>
      <w:r w:rsidRPr="00DD49AC">
        <w:rPr>
          <w:kern w:val="22"/>
        </w:rPr>
        <w:t xml:space="preserve"> was examined in </w:t>
      </w:r>
      <w:proofErr w:type="spellStart"/>
      <w:r w:rsidRPr="00DD49AC">
        <w:rPr>
          <w:i/>
          <w:kern w:val="22"/>
        </w:rPr>
        <w:t>in</w:t>
      </w:r>
      <w:proofErr w:type="spellEnd"/>
      <w:r w:rsidRPr="00DD49AC">
        <w:rPr>
          <w:i/>
          <w:kern w:val="22"/>
        </w:rPr>
        <w:t xml:space="preserve"> vitro</w:t>
      </w:r>
      <w:r w:rsidRPr="00DD49AC">
        <w:rPr>
          <w:kern w:val="22"/>
        </w:rPr>
        <w:t xml:space="preserve"> studies in bacteria and mammalian cells and in an </w:t>
      </w:r>
      <w:r w:rsidRPr="00DD49AC">
        <w:rPr>
          <w:i/>
          <w:kern w:val="22"/>
        </w:rPr>
        <w:t>in vivo</w:t>
      </w:r>
      <w:r w:rsidRPr="00DD49AC">
        <w:rPr>
          <w:kern w:val="22"/>
        </w:rPr>
        <w:t xml:space="preserve"> study in rats.</w:t>
      </w:r>
      <w:r w:rsidR="003C5A8B">
        <w:rPr>
          <w:kern w:val="22"/>
        </w:rPr>
        <w:t xml:space="preserve"> </w:t>
      </w:r>
      <w:r w:rsidRPr="00DD49AC">
        <w:rPr>
          <w:kern w:val="22"/>
        </w:rPr>
        <w:t xml:space="preserve">In </w:t>
      </w:r>
      <w:r w:rsidRPr="00DD49AC">
        <w:rPr>
          <w:i/>
          <w:kern w:val="22"/>
        </w:rPr>
        <w:t xml:space="preserve">Salmonella </w:t>
      </w:r>
      <w:proofErr w:type="spellStart"/>
      <w:r w:rsidRPr="00DD49AC">
        <w:rPr>
          <w:i/>
          <w:kern w:val="22"/>
        </w:rPr>
        <w:t>typhimurium</w:t>
      </w:r>
      <w:proofErr w:type="spellEnd"/>
      <w:r w:rsidRPr="00DD49AC">
        <w:rPr>
          <w:kern w:val="22"/>
        </w:rPr>
        <w:t xml:space="preserve"> strains TA98, TA100, TA1535 and TA1537, and in </w:t>
      </w:r>
      <w:r w:rsidR="00B8204A" w:rsidRPr="00B8204A">
        <w:rPr>
          <w:i/>
          <w:kern w:val="22"/>
        </w:rPr>
        <w:t xml:space="preserve">Escherichia </w:t>
      </w:r>
      <w:r w:rsidRPr="00B8204A">
        <w:rPr>
          <w:i/>
          <w:kern w:val="22"/>
        </w:rPr>
        <w:t>coli</w:t>
      </w:r>
      <w:r w:rsidRPr="00DD49AC">
        <w:rPr>
          <w:kern w:val="22"/>
        </w:rPr>
        <w:t xml:space="preserve"> WP2</w:t>
      </w:r>
      <w:r w:rsidRPr="00DD49AC">
        <w:rPr>
          <w:i/>
          <w:kern w:val="22"/>
        </w:rPr>
        <w:t xml:space="preserve"> </w:t>
      </w:r>
      <w:proofErr w:type="spellStart"/>
      <w:r w:rsidRPr="00DD49AC">
        <w:rPr>
          <w:i/>
          <w:kern w:val="22"/>
        </w:rPr>
        <w:t>uvrA</w:t>
      </w:r>
      <w:proofErr w:type="spellEnd"/>
      <w:r w:rsidRPr="00DD49AC">
        <w:rPr>
          <w:kern w:val="22"/>
        </w:rPr>
        <w:t>, there was no evidence of an increased frequency of mutations at 5000µg/plate.</w:t>
      </w:r>
      <w:r w:rsidR="003C5A8B">
        <w:rPr>
          <w:kern w:val="22"/>
        </w:rPr>
        <w:t xml:space="preserve"> </w:t>
      </w:r>
      <w:r w:rsidRPr="00DD49AC">
        <w:rPr>
          <w:kern w:val="22"/>
        </w:rPr>
        <w:t xml:space="preserve">In human lymphocytes, there was no evidence of an increase in the number of cells with chromosome aberrations at 600µg/ml. In the rat micronucleus test, there was no increase in the incidence of </w:t>
      </w:r>
      <w:proofErr w:type="spellStart"/>
      <w:r w:rsidRPr="00DD49AC">
        <w:rPr>
          <w:kern w:val="22"/>
        </w:rPr>
        <w:t>micronucleated</w:t>
      </w:r>
      <w:proofErr w:type="spellEnd"/>
      <w:r w:rsidRPr="00DD49AC">
        <w:rPr>
          <w:kern w:val="22"/>
        </w:rPr>
        <w:t xml:space="preserve"> polychromatic erythrocytes at 2000</w:t>
      </w:r>
      <w:r w:rsidR="00F534E1">
        <w:rPr>
          <w:kern w:val="22"/>
        </w:rPr>
        <w:t xml:space="preserve"> </w:t>
      </w:r>
      <w:r w:rsidRPr="00DD49AC">
        <w:rPr>
          <w:kern w:val="22"/>
        </w:rPr>
        <w:t xml:space="preserve">mg/kg PO, which was &gt; 5 times the clinical exposure, based on </w:t>
      </w:r>
      <w:proofErr w:type="spellStart"/>
      <w:r w:rsidRPr="00DD49AC">
        <w:rPr>
          <w:kern w:val="22"/>
        </w:rPr>
        <w:t>C</w:t>
      </w:r>
      <w:r w:rsidRPr="00DD49AC">
        <w:rPr>
          <w:kern w:val="22"/>
          <w:vertAlign w:val="subscript"/>
        </w:rPr>
        <w:t>max</w:t>
      </w:r>
      <w:proofErr w:type="spellEnd"/>
      <w:r w:rsidRPr="00DD49AC">
        <w:rPr>
          <w:kern w:val="22"/>
        </w:rPr>
        <w:t xml:space="preserve">. The overall conclusion is that vismodegib does not have genotoxicity potential </w:t>
      </w:r>
      <w:r w:rsidRPr="00DD49AC">
        <w:rPr>
          <w:i/>
          <w:kern w:val="22"/>
        </w:rPr>
        <w:t>in vitro</w:t>
      </w:r>
      <w:r w:rsidRPr="00DD49AC">
        <w:rPr>
          <w:kern w:val="22"/>
        </w:rPr>
        <w:t xml:space="preserve"> or </w:t>
      </w:r>
      <w:r w:rsidRPr="00DD49AC">
        <w:rPr>
          <w:i/>
          <w:kern w:val="22"/>
        </w:rPr>
        <w:t>in vivo</w:t>
      </w:r>
      <w:r w:rsidRPr="00DD49AC">
        <w:rPr>
          <w:kern w:val="22"/>
        </w:rPr>
        <w:t>.</w:t>
      </w:r>
      <w:r w:rsidR="003C5A8B">
        <w:rPr>
          <w:kern w:val="22"/>
        </w:rPr>
        <w:t xml:space="preserve"> </w:t>
      </w:r>
    </w:p>
    <w:p w:rsidR="00DD49AC" w:rsidRPr="00DD49AC" w:rsidRDefault="00DD49AC" w:rsidP="00AD1413">
      <w:pPr>
        <w:pStyle w:val="Heading4"/>
        <w:rPr>
          <w:kern w:val="22"/>
        </w:rPr>
      </w:pPr>
      <w:bookmarkStart w:id="58" w:name="_Toc294861730"/>
      <w:r w:rsidRPr="00DD49AC">
        <w:rPr>
          <w:kern w:val="22"/>
        </w:rPr>
        <w:t>Carcinogenicity</w:t>
      </w:r>
      <w:bookmarkEnd w:id="58"/>
    </w:p>
    <w:p w:rsidR="00DD49AC" w:rsidRPr="00DD49AC" w:rsidRDefault="00DD49AC" w:rsidP="00AD1413">
      <w:pPr>
        <w:rPr>
          <w:kern w:val="22"/>
        </w:rPr>
      </w:pPr>
      <w:r w:rsidRPr="00DD49AC">
        <w:rPr>
          <w:kern w:val="22"/>
        </w:rPr>
        <w:t>Carcinogenicity studies were not conducted.</w:t>
      </w:r>
      <w:r w:rsidR="003C5A8B">
        <w:rPr>
          <w:kern w:val="22"/>
        </w:rPr>
        <w:t xml:space="preserve"> </w:t>
      </w:r>
      <w:r w:rsidRPr="00DD49AC">
        <w:rPr>
          <w:kern w:val="22"/>
        </w:rPr>
        <w:t>This is in accordance with ICH S9 (EMEA/CHMP/ICH/646107/2008) guidelines as vismodegib is intended to treat advanced patients with advanced cancer.</w:t>
      </w:r>
      <w:r w:rsidR="003C5A8B">
        <w:rPr>
          <w:kern w:val="22"/>
        </w:rPr>
        <w:t xml:space="preserve"> </w:t>
      </w:r>
      <w:r w:rsidRPr="00DD49AC">
        <w:rPr>
          <w:kern w:val="22"/>
        </w:rPr>
        <w:t xml:space="preserve">The US FDA has requested carcinogenicity studies as a post-marketing commitment. </w:t>
      </w:r>
    </w:p>
    <w:p w:rsidR="00DD49AC" w:rsidRPr="00DD49AC" w:rsidRDefault="006D1673" w:rsidP="00AD1413">
      <w:pPr>
        <w:rPr>
          <w:kern w:val="22"/>
        </w:rPr>
      </w:pPr>
      <w:r>
        <w:rPr>
          <w:kern w:val="22"/>
        </w:rPr>
        <w:t xml:space="preserve">In the 26 </w:t>
      </w:r>
      <w:r w:rsidR="00DD49AC" w:rsidRPr="00DD49AC">
        <w:rPr>
          <w:kern w:val="22"/>
        </w:rPr>
        <w:t xml:space="preserve">week rat study, a </w:t>
      </w:r>
      <w:proofErr w:type="spellStart"/>
      <w:r w:rsidR="00DD49AC" w:rsidRPr="00DD49AC">
        <w:rPr>
          <w:kern w:val="22"/>
        </w:rPr>
        <w:t>pilomatricoma</w:t>
      </w:r>
      <w:proofErr w:type="spellEnd"/>
      <w:r w:rsidR="00DD49AC" w:rsidRPr="00DD49AC">
        <w:rPr>
          <w:kern w:val="22"/>
        </w:rPr>
        <w:t xml:space="preserve"> (believed to originate within the hair follicle matrix) was found in the skin of </w:t>
      </w:r>
      <w:r w:rsidR="00B61BC4">
        <w:rPr>
          <w:kern w:val="22"/>
        </w:rPr>
        <w:t xml:space="preserve">1 </w:t>
      </w:r>
      <w:r w:rsidR="00DD49AC" w:rsidRPr="00DD49AC">
        <w:rPr>
          <w:kern w:val="22"/>
        </w:rPr>
        <w:t xml:space="preserve">male and </w:t>
      </w:r>
      <w:r w:rsidR="00B61BC4">
        <w:rPr>
          <w:kern w:val="22"/>
        </w:rPr>
        <w:t xml:space="preserve">1 </w:t>
      </w:r>
      <w:r w:rsidR="00DD49AC" w:rsidRPr="00DD49AC">
        <w:rPr>
          <w:kern w:val="22"/>
        </w:rPr>
        <w:t>female rat after the recovery period at 100</w:t>
      </w:r>
      <w:r w:rsidR="00B61BC4">
        <w:rPr>
          <w:kern w:val="22"/>
        </w:rPr>
        <w:t> </w:t>
      </w:r>
      <w:r w:rsidR="00DD49AC" w:rsidRPr="00DD49AC">
        <w:rPr>
          <w:kern w:val="22"/>
        </w:rPr>
        <w:t>mg/kg/day (equivalent to 1-2 times the</w:t>
      </w:r>
      <w:r w:rsidR="00B8204A">
        <w:rPr>
          <w:kern w:val="22"/>
        </w:rPr>
        <w:t xml:space="preserve"> clinical exposure based on AUC or </w:t>
      </w:r>
      <w:proofErr w:type="spellStart"/>
      <w:r w:rsidR="00DD49AC" w:rsidRPr="00DD49AC">
        <w:rPr>
          <w:kern w:val="22"/>
        </w:rPr>
        <w:t>C</w:t>
      </w:r>
      <w:r w:rsidR="00DD49AC" w:rsidRPr="00DD49AC">
        <w:rPr>
          <w:kern w:val="22"/>
          <w:vertAlign w:val="subscript"/>
        </w:rPr>
        <w:t>max</w:t>
      </w:r>
      <w:proofErr w:type="spellEnd"/>
      <w:r w:rsidR="00DD49AC" w:rsidRPr="00DD49AC">
        <w:rPr>
          <w:kern w:val="22"/>
        </w:rPr>
        <w:t>).</w:t>
      </w:r>
      <w:r w:rsidR="003C5A8B">
        <w:rPr>
          <w:kern w:val="22"/>
        </w:rPr>
        <w:t xml:space="preserve"> </w:t>
      </w:r>
      <w:r w:rsidR="00DD49AC" w:rsidRPr="00DD49AC">
        <w:rPr>
          <w:kern w:val="22"/>
        </w:rPr>
        <w:t xml:space="preserve">An increase in follicular cysts was also noted at this dose level and the </w:t>
      </w:r>
      <w:proofErr w:type="spellStart"/>
      <w:r w:rsidR="00DD49AC" w:rsidRPr="00DD49AC">
        <w:rPr>
          <w:kern w:val="22"/>
        </w:rPr>
        <w:t>pilomatricoma</w:t>
      </w:r>
      <w:proofErr w:type="spellEnd"/>
      <w:r w:rsidR="00DD49AC" w:rsidRPr="00DD49AC">
        <w:rPr>
          <w:kern w:val="22"/>
        </w:rPr>
        <w:t xml:space="preserve"> may be related to pharmacologically mediated disruption of the hair follicle morphogenesis.</w:t>
      </w:r>
      <w:r w:rsidR="003C5A8B">
        <w:rPr>
          <w:kern w:val="22"/>
        </w:rPr>
        <w:t xml:space="preserve"> </w:t>
      </w:r>
      <w:r w:rsidR="00DD49AC" w:rsidRPr="00DD49AC">
        <w:rPr>
          <w:kern w:val="22"/>
        </w:rPr>
        <w:t xml:space="preserve">In humans, </w:t>
      </w:r>
      <w:proofErr w:type="spellStart"/>
      <w:r w:rsidR="00DD49AC" w:rsidRPr="00DD49AC">
        <w:rPr>
          <w:kern w:val="22"/>
        </w:rPr>
        <w:t>pilomatricomas</w:t>
      </w:r>
      <w:proofErr w:type="spellEnd"/>
      <w:r w:rsidR="00DD49AC" w:rsidRPr="00DD49AC">
        <w:rPr>
          <w:kern w:val="22"/>
        </w:rPr>
        <w:t xml:space="preserve"> are almost exclusively benign and readily excisable</w:t>
      </w:r>
      <w:r w:rsidR="00B8204A">
        <w:rPr>
          <w:kern w:val="22"/>
        </w:rPr>
        <w:t>.</w:t>
      </w:r>
      <w:r w:rsidR="00B8204A">
        <w:rPr>
          <w:rStyle w:val="FootnoteReference"/>
          <w:kern w:val="22"/>
        </w:rPr>
        <w:footnoteReference w:id="5"/>
      </w:r>
      <w:r w:rsidR="003C5A8B">
        <w:rPr>
          <w:kern w:val="22"/>
        </w:rPr>
        <w:t xml:space="preserve"> </w:t>
      </w:r>
      <w:r w:rsidR="00DD49AC" w:rsidRPr="00DD49AC">
        <w:rPr>
          <w:kern w:val="22"/>
        </w:rPr>
        <w:t xml:space="preserve">While an increased incidence of </w:t>
      </w:r>
      <w:proofErr w:type="spellStart"/>
      <w:r w:rsidR="00DD49AC" w:rsidRPr="00DD49AC">
        <w:rPr>
          <w:kern w:val="22"/>
        </w:rPr>
        <w:t>pilomatricomas</w:t>
      </w:r>
      <w:proofErr w:type="spellEnd"/>
      <w:r w:rsidR="00DD49AC" w:rsidRPr="00DD49AC">
        <w:rPr>
          <w:kern w:val="22"/>
        </w:rPr>
        <w:t xml:space="preserve"> is possible following vismodegib treatment, it would be clinically manageable. </w:t>
      </w:r>
    </w:p>
    <w:p w:rsidR="00DD49AC" w:rsidRPr="00DD49AC" w:rsidRDefault="00DD49AC" w:rsidP="00AD1413">
      <w:pPr>
        <w:pStyle w:val="Heading4"/>
        <w:rPr>
          <w:kern w:val="22"/>
        </w:rPr>
      </w:pPr>
      <w:r w:rsidRPr="00DD49AC">
        <w:rPr>
          <w:kern w:val="22"/>
        </w:rPr>
        <w:t>Reproductive toxicity</w:t>
      </w:r>
    </w:p>
    <w:p w:rsidR="00DD49AC" w:rsidRPr="00DD49AC" w:rsidRDefault="00DD49AC" w:rsidP="00AD1413">
      <w:pPr>
        <w:rPr>
          <w:kern w:val="22"/>
        </w:rPr>
      </w:pPr>
      <w:r w:rsidRPr="00DD49AC">
        <w:rPr>
          <w:kern w:val="22"/>
        </w:rPr>
        <w:t>Very limited assessment of reproductive toxicity was performed with vismodegib.</w:t>
      </w:r>
      <w:r w:rsidR="003C5A8B">
        <w:rPr>
          <w:kern w:val="22"/>
        </w:rPr>
        <w:t xml:space="preserve"> </w:t>
      </w:r>
      <w:r w:rsidRPr="00DD49AC">
        <w:rPr>
          <w:kern w:val="22"/>
        </w:rPr>
        <w:t>This is consistent with ICH S9 guidelines as vismodegib is intended to treat patients with advanced cancer.</w:t>
      </w:r>
      <w:r w:rsidR="003C5A8B">
        <w:rPr>
          <w:kern w:val="22"/>
        </w:rPr>
        <w:t xml:space="preserve"> </w:t>
      </w:r>
      <w:r w:rsidRPr="00DD49AC">
        <w:rPr>
          <w:kern w:val="22"/>
        </w:rPr>
        <w:t>There was integration of aspects of reproductive toxicity into the repeat dose studies in rat and dog (see below). There were no studies on placental transfer or examination of excretion into milk. Fertility studies were not performed; however, there is some evidence of effects on fertility in repeat-dose studies in rats and dogs.</w:t>
      </w:r>
      <w:r w:rsidR="003C5A8B">
        <w:rPr>
          <w:kern w:val="22"/>
        </w:rPr>
        <w:t xml:space="preserve"> </w:t>
      </w:r>
    </w:p>
    <w:p w:rsidR="00DD49AC" w:rsidRPr="00DD49AC" w:rsidRDefault="00DD49AC" w:rsidP="00AD1413">
      <w:pPr>
        <w:rPr>
          <w:kern w:val="22"/>
        </w:rPr>
      </w:pPr>
      <w:r w:rsidRPr="00DD49AC">
        <w:rPr>
          <w:kern w:val="22"/>
        </w:rPr>
        <w:t xml:space="preserve">Based on the well characterised </w:t>
      </w:r>
      <w:proofErr w:type="spellStart"/>
      <w:r w:rsidRPr="00DD49AC">
        <w:rPr>
          <w:kern w:val="22"/>
        </w:rPr>
        <w:t>teratogenic</w:t>
      </w:r>
      <w:proofErr w:type="spellEnd"/>
      <w:r w:rsidRPr="00DD49AC">
        <w:rPr>
          <w:kern w:val="22"/>
        </w:rPr>
        <w:t xml:space="preserve"> potential of </w:t>
      </w:r>
      <w:proofErr w:type="spellStart"/>
      <w:r w:rsidR="008264CC">
        <w:rPr>
          <w:kern w:val="22"/>
        </w:rPr>
        <w:t>Hh</w:t>
      </w:r>
      <w:proofErr w:type="spellEnd"/>
      <w:r w:rsidRPr="00DD49AC">
        <w:rPr>
          <w:kern w:val="22"/>
        </w:rPr>
        <w:t xml:space="preserve"> pathway inhibitors</w:t>
      </w:r>
      <w:r w:rsidR="008D2130">
        <w:rPr>
          <w:rStyle w:val="FootnoteReference"/>
          <w:kern w:val="22"/>
        </w:rPr>
        <w:footnoteReference w:id="6"/>
      </w:r>
      <w:r w:rsidR="008D2130" w:rsidRPr="008D2130">
        <w:rPr>
          <w:kern w:val="22"/>
          <w:vertAlign w:val="superscript"/>
        </w:rPr>
        <w:t>,</w:t>
      </w:r>
      <w:r w:rsidR="008D2130">
        <w:rPr>
          <w:kern w:val="22"/>
          <w:vertAlign w:val="superscript"/>
        </w:rPr>
        <w:t> </w:t>
      </w:r>
      <w:r w:rsidR="008D2130">
        <w:rPr>
          <w:rStyle w:val="FootnoteReference"/>
          <w:kern w:val="22"/>
        </w:rPr>
        <w:footnoteReference w:id="7"/>
      </w:r>
      <w:r w:rsidR="00B61BC4">
        <w:rPr>
          <w:kern w:val="22"/>
        </w:rPr>
        <w:t xml:space="preserve">, a confirmatory study only </w:t>
      </w:r>
      <w:r w:rsidRPr="00DD49AC">
        <w:rPr>
          <w:kern w:val="22"/>
        </w:rPr>
        <w:t xml:space="preserve">on </w:t>
      </w:r>
      <w:proofErr w:type="spellStart"/>
      <w:r w:rsidRPr="00DD49AC">
        <w:rPr>
          <w:kern w:val="22"/>
        </w:rPr>
        <w:t>embryofetal</w:t>
      </w:r>
      <w:proofErr w:type="spellEnd"/>
      <w:r w:rsidRPr="00DD49AC">
        <w:rPr>
          <w:kern w:val="22"/>
        </w:rPr>
        <w:t xml:space="preserve"> development in rats was performed. No study in a second species was performed.</w:t>
      </w:r>
      <w:r w:rsidR="003C5A8B">
        <w:rPr>
          <w:kern w:val="22"/>
        </w:rPr>
        <w:t xml:space="preserve"> </w:t>
      </w:r>
      <w:r w:rsidRPr="00DD49AC">
        <w:rPr>
          <w:kern w:val="22"/>
        </w:rPr>
        <w:t>Similarly, in accordance with ICH S9 guidelines, dedicated studies on pre- and post-natal development were not performed. However, evidence of effects on post-natal development of teeth and bones was seen in the repeat-dose studies in rats.</w:t>
      </w:r>
      <w:r w:rsidR="003C5A8B">
        <w:rPr>
          <w:kern w:val="22"/>
        </w:rPr>
        <w:t xml:space="preserve"> </w:t>
      </w:r>
    </w:p>
    <w:p w:rsidR="00DD49AC" w:rsidRPr="00DD49AC" w:rsidRDefault="00DD49AC" w:rsidP="00AD1413">
      <w:pPr>
        <w:pStyle w:val="Heading5"/>
        <w:rPr>
          <w:kern w:val="22"/>
        </w:rPr>
      </w:pPr>
      <w:r w:rsidRPr="00DD49AC">
        <w:rPr>
          <w:kern w:val="22"/>
        </w:rPr>
        <w:t>Relative exposure</w:t>
      </w:r>
    </w:p>
    <w:p w:rsidR="00DD49AC" w:rsidRPr="00DD49AC" w:rsidRDefault="00DD49AC" w:rsidP="00AD1413">
      <w:pPr>
        <w:rPr>
          <w:kern w:val="22"/>
        </w:rPr>
      </w:pPr>
      <w:r w:rsidRPr="00DD49AC">
        <w:rPr>
          <w:kern w:val="22"/>
        </w:rPr>
        <w:t xml:space="preserve">Exposure ratios have been calculated based on </w:t>
      </w:r>
      <w:proofErr w:type="spellStart"/>
      <w:r w:rsidRPr="00DD49AC">
        <w:rPr>
          <w:kern w:val="22"/>
        </w:rPr>
        <w:t>animal:human</w:t>
      </w:r>
      <w:proofErr w:type="spellEnd"/>
      <w:r w:rsidRPr="00DD49AC">
        <w:rPr>
          <w:kern w:val="22"/>
        </w:rPr>
        <w:t xml:space="preserve"> plasma AUC</w:t>
      </w:r>
      <w:r w:rsidRPr="00DD49AC">
        <w:rPr>
          <w:kern w:val="22"/>
          <w:vertAlign w:val="subscript"/>
        </w:rPr>
        <w:t xml:space="preserve">0–24 h </w:t>
      </w:r>
      <w:r w:rsidRPr="00DD49AC">
        <w:rPr>
          <w:kern w:val="22"/>
        </w:rPr>
        <w:t xml:space="preserve">and </w:t>
      </w:r>
      <w:proofErr w:type="spellStart"/>
      <w:r w:rsidRPr="00DD49AC">
        <w:rPr>
          <w:kern w:val="22"/>
        </w:rPr>
        <w:t>C</w:t>
      </w:r>
      <w:r w:rsidRPr="00DD49AC">
        <w:rPr>
          <w:kern w:val="22"/>
          <w:vertAlign w:val="subscript"/>
        </w:rPr>
        <w:t>max</w:t>
      </w:r>
      <w:proofErr w:type="spellEnd"/>
      <w:r w:rsidRPr="00DD49AC">
        <w:rPr>
          <w:kern w:val="22"/>
        </w:rPr>
        <w:t>.</w:t>
      </w:r>
      <w:r w:rsidR="00404733">
        <w:rPr>
          <w:kern w:val="22"/>
        </w:rPr>
        <w:t xml:space="preserve"> </w:t>
      </w:r>
      <w:r w:rsidRPr="00DD49AC">
        <w:rPr>
          <w:kern w:val="22"/>
        </w:rPr>
        <w:t xml:space="preserve">The relative exposure in the </w:t>
      </w:r>
      <w:proofErr w:type="spellStart"/>
      <w:r w:rsidRPr="00DD49AC">
        <w:rPr>
          <w:kern w:val="22"/>
        </w:rPr>
        <w:t>embryofetal</w:t>
      </w:r>
      <w:proofErr w:type="spellEnd"/>
      <w:r w:rsidRPr="00DD49AC">
        <w:rPr>
          <w:kern w:val="22"/>
        </w:rPr>
        <w:t xml:space="preserve"> toxicity study ranged from less than to approximately 5-8 times higher than the clinical exposure at steady state. </w:t>
      </w:r>
    </w:p>
    <w:p w:rsidR="00DD49AC" w:rsidRPr="00DD49AC" w:rsidRDefault="003C5A8B" w:rsidP="00AD1413">
      <w:pPr>
        <w:pStyle w:val="TableTitle"/>
        <w:rPr>
          <w:kern w:val="22"/>
        </w:rPr>
      </w:pPr>
      <w:r>
        <w:rPr>
          <w:kern w:val="22"/>
        </w:rPr>
        <w:t xml:space="preserve">Table </w:t>
      </w:r>
      <w:r w:rsidR="00E12E9B">
        <w:rPr>
          <w:kern w:val="22"/>
        </w:rPr>
        <w:t>3</w:t>
      </w:r>
      <w:r>
        <w:rPr>
          <w:kern w:val="22"/>
        </w:rPr>
        <w:t xml:space="preserve">. </w:t>
      </w:r>
      <w:r w:rsidR="00DD49AC" w:rsidRPr="00DD49AC">
        <w:rPr>
          <w:kern w:val="22"/>
        </w:rPr>
        <w:t xml:space="preserve">Relative exposure in an </w:t>
      </w:r>
      <w:proofErr w:type="spellStart"/>
      <w:r w:rsidR="00DD49AC" w:rsidRPr="00DD49AC">
        <w:rPr>
          <w:kern w:val="22"/>
        </w:rPr>
        <w:t>embryofetal</w:t>
      </w:r>
      <w:proofErr w:type="spellEnd"/>
      <w:r w:rsidR="00DD49AC" w:rsidRPr="00DD49AC">
        <w:rPr>
          <w:kern w:val="22"/>
        </w:rPr>
        <w:t xml:space="preserve"> development study in rats</w:t>
      </w:r>
    </w:p>
    <w:tbl>
      <w:tblPr>
        <w:tblStyle w:val="TableTGAblue"/>
        <w:tblW w:w="8222" w:type="dxa"/>
        <w:tblInd w:w="108" w:type="dxa"/>
        <w:tblLayout w:type="fixed"/>
        <w:tblLook w:val="01E0"/>
      </w:tblPr>
      <w:tblGrid>
        <w:gridCol w:w="993"/>
        <w:gridCol w:w="1417"/>
        <w:gridCol w:w="1048"/>
        <w:gridCol w:w="1191"/>
        <w:gridCol w:w="1191"/>
        <w:gridCol w:w="1191"/>
        <w:gridCol w:w="1191"/>
      </w:tblGrid>
      <w:tr w:rsidR="00DD49AC" w:rsidRPr="00AD1413" w:rsidTr="00B61BC4">
        <w:trPr>
          <w:cnfStyle w:val="100000000000"/>
          <w:cantSplit/>
          <w:tblHeader/>
        </w:trPr>
        <w:tc>
          <w:tcPr>
            <w:tcW w:w="993" w:type="dxa"/>
            <w:hideMark/>
          </w:tcPr>
          <w:p w:rsidR="00DD49AC" w:rsidRPr="00AD1413" w:rsidRDefault="00DD49AC" w:rsidP="00AD1413">
            <w:pPr>
              <w:ind w:left="34" w:right="0"/>
              <w:rPr>
                <w:kern w:val="22"/>
                <w:sz w:val="18"/>
                <w:szCs w:val="18"/>
              </w:rPr>
            </w:pPr>
            <w:r w:rsidRPr="00AD1413">
              <w:rPr>
                <w:kern w:val="22"/>
                <w:sz w:val="18"/>
                <w:szCs w:val="18"/>
              </w:rPr>
              <w:t>Species</w:t>
            </w:r>
          </w:p>
        </w:tc>
        <w:tc>
          <w:tcPr>
            <w:tcW w:w="1417" w:type="dxa"/>
            <w:hideMark/>
          </w:tcPr>
          <w:p w:rsidR="00DD49AC" w:rsidRPr="00AD1413" w:rsidRDefault="00DD49AC" w:rsidP="00AD1413">
            <w:pPr>
              <w:ind w:left="0" w:right="34"/>
              <w:rPr>
                <w:kern w:val="22"/>
                <w:sz w:val="18"/>
                <w:szCs w:val="18"/>
              </w:rPr>
            </w:pPr>
            <w:r w:rsidRPr="00AD1413">
              <w:rPr>
                <w:kern w:val="22"/>
                <w:sz w:val="18"/>
                <w:szCs w:val="18"/>
              </w:rPr>
              <w:t>Study</w:t>
            </w:r>
          </w:p>
        </w:tc>
        <w:tc>
          <w:tcPr>
            <w:tcW w:w="1048" w:type="dxa"/>
            <w:hideMark/>
          </w:tcPr>
          <w:p w:rsidR="00DD49AC" w:rsidRPr="00AD1413" w:rsidRDefault="00D10A17" w:rsidP="00AD1413">
            <w:pPr>
              <w:ind w:left="34" w:right="0"/>
              <w:rPr>
                <w:kern w:val="22"/>
                <w:sz w:val="18"/>
                <w:szCs w:val="18"/>
              </w:rPr>
            </w:pPr>
            <w:r w:rsidRPr="00AD1413">
              <w:rPr>
                <w:kern w:val="22"/>
                <w:sz w:val="18"/>
                <w:szCs w:val="18"/>
              </w:rPr>
              <w:t>Dose</w:t>
            </w:r>
            <w:r w:rsidRPr="00AD1413">
              <w:rPr>
                <w:kern w:val="22"/>
                <w:sz w:val="18"/>
                <w:szCs w:val="18"/>
              </w:rPr>
              <w:br/>
              <w:t>mg/kg/d</w:t>
            </w:r>
          </w:p>
        </w:tc>
        <w:tc>
          <w:tcPr>
            <w:tcW w:w="1191" w:type="dxa"/>
            <w:hideMark/>
          </w:tcPr>
          <w:p w:rsidR="00DD49AC" w:rsidRPr="00AD1413" w:rsidRDefault="00DD49AC" w:rsidP="00AD1413">
            <w:pPr>
              <w:ind w:left="0" w:right="0"/>
              <w:rPr>
                <w:kern w:val="22"/>
                <w:sz w:val="18"/>
                <w:szCs w:val="18"/>
              </w:rPr>
            </w:pPr>
            <w:r w:rsidRPr="00AD1413">
              <w:rPr>
                <w:kern w:val="22"/>
                <w:sz w:val="18"/>
                <w:szCs w:val="18"/>
              </w:rPr>
              <w:t>AUC</w:t>
            </w:r>
            <w:r w:rsidRPr="00AD1413">
              <w:rPr>
                <w:kern w:val="22"/>
                <w:sz w:val="18"/>
                <w:szCs w:val="18"/>
                <w:vertAlign w:val="subscript"/>
              </w:rPr>
              <w:t>0–24 h</w:t>
            </w:r>
            <w:r w:rsidRPr="00AD1413">
              <w:rPr>
                <w:kern w:val="22"/>
                <w:sz w:val="18"/>
                <w:szCs w:val="18"/>
              </w:rPr>
              <w:br/>
              <w:t>(</w:t>
            </w:r>
            <w:proofErr w:type="spellStart"/>
            <w:r w:rsidRPr="00AD1413">
              <w:rPr>
                <w:kern w:val="22"/>
                <w:sz w:val="18"/>
                <w:szCs w:val="18"/>
              </w:rPr>
              <w:t>ng∙h</w:t>
            </w:r>
            <w:proofErr w:type="spellEnd"/>
            <w:r w:rsidRPr="00AD1413">
              <w:rPr>
                <w:kern w:val="22"/>
                <w:sz w:val="18"/>
                <w:szCs w:val="18"/>
              </w:rPr>
              <w:t>/</w:t>
            </w:r>
            <w:proofErr w:type="spellStart"/>
            <w:r w:rsidRPr="00AD1413">
              <w:rPr>
                <w:kern w:val="22"/>
                <w:sz w:val="18"/>
                <w:szCs w:val="18"/>
              </w:rPr>
              <w:t>mL</w:t>
            </w:r>
            <w:proofErr w:type="spellEnd"/>
            <w:r w:rsidRPr="00AD1413">
              <w:rPr>
                <w:kern w:val="22"/>
                <w:sz w:val="18"/>
                <w:szCs w:val="18"/>
              </w:rPr>
              <w:t>)</w:t>
            </w:r>
          </w:p>
        </w:tc>
        <w:tc>
          <w:tcPr>
            <w:tcW w:w="1191" w:type="dxa"/>
            <w:hideMark/>
          </w:tcPr>
          <w:p w:rsidR="00DD49AC" w:rsidRPr="00AD1413" w:rsidRDefault="00DD49AC" w:rsidP="00AD1413">
            <w:pPr>
              <w:ind w:left="63" w:right="0"/>
              <w:rPr>
                <w:kern w:val="22"/>
                <w:sz w:val="18"/>
                <w:szCs w:val="18"/>
              </w:rPr>
            </w:pPr>
            <w:proofErr w:type="spellStart"/>
            <w:r w:rsidRPr="00AD1413">
              <w:rPr>
                <w:kern w:val="22"/>
                <w:sz w:val="18"/>
                <w:szCs w:val="18"/>
              </w:rPr>
              <w:t>C</w:t>
            </w:r>
            <w:r w:rsidRPr="00AD1413">
              <w:rPr>
                <w:kern w:val="22"/>
                <w:sz w:val="18"/>
                <w:szCs w:val="18"/>
                <w:vertAlign w:val="subscript"/>
              </w:rPr>
              <w:t>max</w:t>
            </w:r>
            <w:proofErr w:type="spellEnd"/>
            <w:r w:rsidRPr="00AD1413">
              <w:rPr>
                <w:kern w:val="22"/>
                <w:sz w:val="18"/>
                <w:szCs w:val="18"/>
                <w:vertAlign w:val="subscript"/>
              </w:rPr>
              <w:t xml:space="preserve"> </w:t>
            </w:r>
            <w:r w:rsidR="008D2130" w:rsidRPr="00AD1413">
              <w:rPr>
                <w:kern w:val="22"/>
                <w:sz w:val="18"/>
                <w:szCs w:val="18"/>
                <w:vertAlign w:val="subscript"/>
              </w:rPr>
              <w:br/>
            </w:r>
            <w:r w:rsidRPr="00AD1413">
              <w:rPr>
                <w:kern w:val="22"/>
                <w:sz w:val="18"/>
                <w:szCs w:val="18"/>
              </w:rPr>
              <w:t>(</w:t>
            </w:r>
            <w:proofErr w:type="spellStart"/>
            <w:r w:rsidRPr="00AD1413">
              <w:rPr>
                <w:kern w:val="22"/>
                <w:sz w:val="18"/>
                <w:szCs w:val="18"/>
              </w:rPr>
              <w:t>ng</w:t>
            </w:r>
            <w:proofErr w:type="spellEnd"/>
            <w:r w:rsidRPr="00AD1413">
              <w:rPr>
                <w:kern w:val="22"/>
                <w:sz w:val="18"/>
                <w:szCs w:val="18"/>
              </w:rPr>
              <w:t>/</w:t>
            </w:r>
            <w:proofErr w:type="spellStart"/>
            <w:r w:rsidRPr="00AD1413">
              <w:rPr>
                <w:kern w:val="22"/>
                <w:sz w:val="18"/>
                <w:szCs w:val="18"/>
              </w:rPr>
              <w:t>mL</w:t>
            </w:r>
            <w:proofErr w:type="spellEnd"/>
            <w:r w:rsidRPr="00AD1413">
              <w:rPr>
                <w:kern w:val="22"/>
                <w:sz w:val="18"/>
                <w:szCs w:val="18"/>
              </w:rPr>
              <w:t>)</w:t>
            </w:r>
          </w:p>
        </w:tc>
        <w:tc>
          <w:tcPr>
            <w:tcW w:w="1191" w:type="dxa"/>
            <w:hideMark/>
          </w:tcPr>
          <w:p w:rsidR="00DD49AC" w:rsidRPr="00AD1413" w:rsidRDefault="00DD49AC" w:rsidP="00AD1413">
            <w:pPr>
              <w:ind w:left="6" w:right="-23"/>
              <w:rPr>
                <w:kern w:val="22"/>
                <w:sz w:val="18"/>
                <w:szCs w:val="18"/>
              </w:rPr>
            </w:pPr>
            <w:r w:rsidRPr="00AD1413">
              <w:rPr>
                <w:kern w:val="22"/>
                <w:sz w:val="18"/>
                <w:szCs w:val="18"/>
              </w:rPr>
              <w:t xml:space="preserve">Exposure </w:t>
            </w:r>
            <w:r w:rsidR="00B61BC4" w:rsidRPr="00AD1413">
              <w:rPr>
                <w:kern w:val="22"/>
                <w:sz w:val="18"/>
                <w:szCs w:val="18"/>
              </w:rPr>
              <w:t xml:space="preserve">ratio </w:t>
            </w:r>
            <w:r w:rsidRPr="00AD1413">
              <w:rPr>
                <w:kern w:val="22"/>
                <w:sz w:val="18"/>
                <w:szCs w:val="18"/>
              </w:rPr>
              <w:t>based on AUC</w:t>
            </w:r>
            <w:r w:rsidRPr="00AD1413">
              <w:rPr>
                <w:kern w:val="22"/>
                <w:sz w:val="18"/>
                <w:szCs w:val="18"/>
                <w:vertAlign w:val="superscript"/>
              </w:rPr>
              <w:t>#</w:t>
            </w:r>
          </w:p>
        </w:tc>
        <w:tc>
          <w:tcPr>
            <w:tcW w:w="1191" w:type="dxa"/>
            <w:hideMark/>
          </w:tcPr>
          <w:p w:rsidR="00DD49AC" w:rsidRPr="00AD1413" w:rsidRDefault="00DD49AC" w:rsidP="00AD1413">
            <w:pPr>
              <w:ind w:left="0" w:right="0"/>
              <w:rPr>
                <w:kern w:val="22"/>
                <w:sz w:val="18"/>
                <w:szCs w:val="18"/>
              </w:rPr>
            </w:pPr>
            <w:r w:rsidRPr="00AD1413">
              <w:rPr>
                <w:kern w:val="22"/>
                <w:sz w:val="18"/>
                <w:szCs w:val="18"/>
              </w:rPr>
              <w:t xml:space="preserve">Exposure </w:t>
            </w:r>
            <w:r w:rsidR="00B61BC4" w:rsidRPr="00AD1413">
              <w:rPr>
                <w:kern w:val="22"/>
                <w:sz w:val="18"/>
                <w:szCs w:val="18"/>
              </w:rPr>
              <w:t xml:space="preserve">ratio </w:t>
            </w:r>
            <w:r w:rsidRPr="00AD1413">
              <w:rPr>
                <w:kern w:val="22"/>
                <w:sz w:val="18"/>
                <w:szCs w:val="18"/>
              </w:rPr>
              <w:t xml:space="preserve">based on </w:t>
            </w:r>
            <w:proofErr w:type="spellStart"/>
            <w:r w:rsidRPr="00AD1413">
              <w:rPr>
                <w:kern w:val="22"/>
                <w:sz w:val="18"/>
                <w:szCs w:val="18"/>
              </w:rPr>
              <w:t>C</w:t>
            </w:r>
            <w:r w:rsidRPr="00AD1413">
              <w:rPr>
                <w:kern w:val="22"/>
                <w:sz w:val="18"/>
                <w:szCs w:val="18"/>
                <w:vertAlign w:val="subscript"/>
              </w:rPr>
              <w:t>max</w:t>
            </w:r>
            <w:proofErr w:type="spellEnd"/>
            <w:r w:rsidRPr="00AD1413">
              <w:rPr>
                <w:kern w:val="22"/>
                <w:sz w:val="18"/>
                <w:szCs w:val="18"/>
              </w:rPr>
              <w:t>#</w:t>
            </w:r>
          </w:p>
        </w:tc>
      </w:tr>
      <w:tr w:rsidR="00DD49AC" w:rsidRPr="00AD1413" w:rsidTr="00B61BC4">
        <w:trPr>
          <w:trHeight w:val="227"/>
        </w:trPr>
        <w:tc>
          <w:tcPr>
            <w:tcW w:w="993" w:type="dxa"/>
            <w:vMerge w:val="restart"/>
            <w:hideMark/>
          </w:tcPr>
          <w:p w:rsidR="00DD49AC" w:rsidRPr="00AD1413" w:rsidRDefault="00DD49AC" w:rsidP="00AD1413">
            <w:pPr>
              <w:ind w:left="34" w:right="0"/>
              <w:rPr>
                <w:kern w:val="22"/>
                <w:sz w:val="18"/>
                <w:szCs w:val="18"/>
              </w:rPr>
            </w:pPr>
            <w:r w:rsidRPr="00AD1413">
              <w:rPr>
                <w:b/>
                <w:kern w:val="22"/>
                <w:sz w:val="18"/>
                <w:szCs w:val="18"/>
              </w:rPr>
              <w:t>Rat</w:t>
            </w:r>
            <w:r w:rsidRPr="00AD1413">
              <w:rPr>
                <w:kern w:val="22"/>
                <w:sz w:val="18"/>
                <w:szCs w:val="18"/>
              </w:rPr>
              <w:br/>
              <w:t>(Wistar)</w:t>
            </w:r>
          </w:p>
        </w:tc>
        <w:tc>
          <w:tcPr>
            <w:tcW w:w="1417" w:type="dxa"/>
            <w:vMerge w:val="restart"/>
            <w:hideMark/>
          </w:tcPr>
          <w:p w:rsidR="00DD49AC" w:rsidRPr="00AD1413" w:rsidRDefault="00DD49AC" w:rsidP="00AD1413">
            <w:pPr>
              <w:ind w:left="0" w:right="34"/>
              <w:rPr>
                <w:kern w:val="22"/>
                <w:sz w:val="18"/>
                <w:szCs w:val="18"/>
              </w:rPr>
            </w:pPr>
            <w:proofErr w:type="spellStart"/>
            <w:r w:rsidRPr="00AD1413">
              <w:rPr>
                <w:kern w:val="22"/>
                <w:sz w:val="18"/>
                <w:szCs w:val="18"/>
              </w:rPr>
              <w:t>Embryofetal</w:t>
            </w:r>
            <w:proofErr w:type="spellEnd"/>
            <w:r w:rsidRPr="00AD1413">
              <w:rPr>
                <w:kern w:val="22"/>
                <w:sz w:val="18"/>
                <w:szCs w:val="18"/>
              </w:rPr>
              <w:t xml:space="preserve"> development</w:t>
            </w:r>
          </w:p>
          <w:p w:rsidR="00DD49AC" w:rsidRPr="00AD1413" w:rsidRDefault="00DD49AC" w:rsidP="00AD1413">
            <w:pPr>
              <w:ind w:left="0" w:right="34"/>
              <w:rPr>
                <w:kern w:val="22"/>
                <w:sz w:val="18"/>
                <w:szCs w:val="18"/>
              </w:rPr>
            </w:pPr>
            <w:r w:rsidRPr="00AD1413">
              <w:rPr>
                <w:kern w:val="22"/>
                <w:sz w:val="18"/>
                <w:szCs w:val="18"/>
              </w:rPr>
              <w:t>GD1</w:t>
            </w:r>
          </w:p>
        </w:tc>
        <w:tc>
          <w:tcPr>
            <w:tcW w:w="1048" w:type="dxa"/>
            <w:hideMark/>
          </w:tcPr>
          <w:p w:rsidR="00DD49AC" w:rsidRPr="00AD1413" w:rsidRDefault="00DD49AC" w:rsidP="00AD1413">
            <w:pPr>
              <w:ind w:left="34" w:right="0"/>
              <w:rPr>
                <w:kern w:val="22"/>
                <w:sz w:val="18"/>
                <w:szCs w:val="18"/>
              </w:rPr>
            </w:pPr>
            <w:r w:rsidRPr="00AD1413">
              <w:rPr>
                <w:kern w:val="22"/>
                <w:sz w:val="18"/>
                <w:szCs w:val="18"/>
              </w:rPr>
              <w:t>10</w:t>
            </w:r>
          </w:p>
        </w:tc>
        <w:tc>
          <w:tcPr>
            <w:tcW w:w="1191" w:type="dxa"/>
            <w:hideMark/>
          </w:tcPr>
          <w:p w:rsidR="00DD49AC" w:rsidRPr="00AD1413" w:rsidRDefault="00DD49AC" w:rsidP="00AD1413">
            <w:pPr>
              <w:ind w:left="0" w:right="0"/>
              <w:rPr>
                <w:kern w:val="22"/>
                <w:sz w:val="18"/>
                <w:szCs w:val="18"/>
              </w:rPr>
            </w:pPr>
            <w:r w:rsidRPr="00AD1413">
              <w:rPr>
                <w:kern w:val="22"/>
                <w:sz w:val="18"/>
                <w:szCs w:val="18"/>
              </w:rPr>
              <w:t>63600</w:t>
            </w:r>
          </w:p>
        </w:tc>
        <w:tc>
          <w:tcPr>
            <w:tcW w:w="1191" w:type="dxa"/>
            <w:hideMark/>
          </w:tcPr>
          <w:p w:rsidR="00DD49AC" w:rsidRPr="00AD1413" w:rsidRDefault="00DD49AC" w:rsidP="00AD1413">
            <w:pPr>
              <w:ind w:left="63" w:right="0"/>
              <w:rPr>
                <w:kern w:val="22"/>
                <w:sz w:val="18"/>
                <w:szCs w:val="18"/>
              </w:rPr>
            </w:pPr>
            <w:r w:rsidRPr="00AD1413">
              <w:rPr>
                <w:kern w:val="22"/>
                <w:sz w:val="18"/>
                <w:szCs w:val="18"/>
              </w:rPr>
              <w:t>6510</w:t>
            </w:r>
          </w:p>
        </w:tc>
        <w:tc>
          <w:tcPr>
            <w:tcW w:w="1191" w:type="dxa"/>
            <w:hideMark/>
          </w:tcPr>
          <w:p w:rsidR="00DD49AC" w:rsidRPr="00AD1413" w:rsidRDefault="00DD49AC" w:rsidP="00AD1413">
            <w:pPr>
              <w:ind w:left="6" w:right="-23"/>
              <w:rPr>
                <w:kern w:val="22"/>
                <w:sz w:val="18"/>
                <w:szCs w:val="18"/>
              </w:rPr>
            </w:pPr>
            <w:r w:rsidRPr="00AD1413">
              <w:rPr>
                <w:kern w:val="22"/>
                <w:sz w:val="18"/>
                <w:szCs w:val="18"/>
              </w:rPr>
              <w:t>0.2</w:t>
            </w:r>
          </w:p>
        </w:tc>
        <w:tc>
          <w:tcPr>
            <w:tcW w:w="1191" w:type="dxa"/>
            <w:hideMark/>
          </w:tcPr>
          <w:p w:rsidR="00DD49AC" w:rsidRPr="00AD1413" w:rsidRDefault="00DD49AC" w:rsidP="00AD1413">
            <w:pPr>
              <w:ind w:left="0" w:right="0"/>
              <w:rPr>
                <w:kern w:val="22"/>
                <w:sz w:val="18"/>
                <w:szCs w:val="18"/>
              </w:rPr>
            </w:pPr>
            <w:r w:rsidRPr="00AD1413">
              <w:rPr>
                <w:kern w:val="22"/>
                <w:sz w:val="18"/>
                <w:szCs w:val="18"/>
              </w:rPr>
              <w:t>0.7</w:t>
            </w:r>
          </w:p>
        </w:tc>
      </w:tr>
      <w:tr w:rsidR="00DD49AC" w:rsidRPr="00AD1413" w:rsidTr="00B61BC4">
        <w:trPr>
          <w:trHeight w:val="227"/>
        </w:trPr>
        <w:tc>
          <w:tcPr>
            <w:tcW w:w="993" w:type="dxa"/>
            <w:vMerge/>
            <w:hideMark/>
          </w:tcPr>
          <w:p w:rsidR="00DD49AC" w:rsidRPr="00AD1413" w:rsidRDefault="00DD49AC" w:rsidP="00AD1413">
            <w:pPr>
              <w:ind w:left="34" w:right="0"/>
              <w:rPr>
                <w:kern w:val="22"/>
                <w:sz w:val="18"/>
                <w:szCs w:val="18"/>
              </w:rPr>
            </w:pPr>
          </w:p>
        </w:tc>
        <w:tc>
          <w:tcPr>
            <w:tcW w:w="1417" w:type="dxa"/>
            <w:vMerge/>
            <w:hideMark/>
          </w:tcPr>
          <w:p w:rsidR="00DD49AC" w:rsidRPr="00AD1413" w:rsidRDefault="00DD49AC" w:rsidP="00AD1413">
            <w:pPr>
              <w:ind w:left="0" w:right="34"/>
              <w:rPr>
                <w:kern w:val="22"/>
                <w:sz w:val="18"/>
                <w:szCs w:val="18"/>
              </w:rPr>
            </w:pPr>
          </w:p>
        </w:tc>
        <w:tc>
          <w:tcPr>
            <w:tcW w:w="1048" w:type="dxa"/>
            <w:hideMark/>
          </w:tcPr>
          <w:p w:rsidR="00DD49AC" w:rsidRPr="00AD1413" w:rsidRDefault="00DD49AC" w:rsidP="00AD1413">
            <w:pPr>
              <w:ind w:left="34" w:right="0"/>
              <w:rPr>
                <w:kern w:val="22"/>
                <w:sz w:val="18"/>
                <w:szCs w:val="18"/>
              </w:rPr>
            </w:pPr>
            <w:r w:rsidRPr="00AD1413">
              <w:rPr>
                <w:kern w:val="22"/>
                <w:sz w:val="18"/>
                <w:szCs w:val="18"/>
              </w:rPr>
              <w:t>60</w:t>
            </w:r>
          </w:p>
        </w:tc>
        <w:tc>
          <w:tcPr>
            <w:tcW w:w="1191" w:type="dxa"/>
            <w:hideMark/>
          </w:tcPr>
          <w:p w:rsidR="00DD49AC" w:rsidRPr="00AD1413" w:rsidRDefault="00DD49AC" w:rsidP="00AD1413">
            <w:pPr>
              <w:ind w:left="0" w:right="0"/>
              <w:rPr>
                <w:kern w:val="22"/>
                <w:sz w:val="18"/>
                <w:szCs w:val="18"/>
              </w:rPr>
            </w:pPr>
            <w:r w:rsidRPr="00AD1413">
              <w:rPr>
                <w:kern w:val="22"/>
                <w:sz w:val="18"/>
                <w:szCs w:val="18"/>
              </w:rPr>
              <w:t>250000</w:t>
            </w:r>
          </w:p>
        </w:tc>
        <w:tc>
          <w:tcPr>
            <w:tcW w:w="1191" w:type="dxa"/>
            <w:hideMark/>
          </w:tcPr>
          <w:p w:rsidR="00DD49AC" w:rsidRPr="00AD1413" w:rsidRDefault="00DD49AC" w:rsidP="00AD1413">
            <w:pPr>
              <w:ind w:left="63" w:right="0"/>
              <w:rPr>
                <w:kern w:val="22"/>
                <w:sz w:val="18"/>
                <w:szCs w:val="18"/>
              </w:rPr>
            </w:pPr>
            <w:r w:rsidRPr="00AD1413">
              <w:rPr>
                <w:kern w:val="22"/>
                <w:sz w:val="18"/>
                <w:szCs w:val="18"/>
              </w:rPr>
              <w:t>17400</w:t>
            </w:r>
          </w:p>
        </w:tc>
        <w:tc>
          <w:tcPr>
            <w:tcW w:w="1191" w:type="dxa"/>
            <w:hideMark/>
          </w:tcPr>
          <w:p w:rsidR="00DD49AC" w:rsidRPr="00AD1413" w:rsidRDefault="00DD49AC" w:rsidP="00AD1413">
            <w:pPr>
              <w:ind w:left="6" w:right="-23"/>
              <w:rPr>
                <w:kern w:val="22"/>
                <w:sz w:val="18"/>
                <w:szCs w:val="18"/>
              </w:rPr>
            </w:pPr>
            <w:r w:rsidRPr="00AD1413">
              <w:rPr>
                <w:kern w:val="22"/>
                <w:sz w:val="18"/>
                <w:szCs w:val="18"/>
              </w:rPr>
              <w:t>1.1</w:t>
            </w:r>
          </w:p>
        </w:tc>
        <w:tc>
          <w:tcPr>
            <w:tcW w:w="1191" w:type="dxa"/>
            <w:hideMark/>
          </w:tcPr>
          <w:p w:rsidR="00DD49AC" w:rsidRPr="00AD1413" w:rsidRDefault="00DD49AC" w:rsidP="00AD1413">
            <w:pPr>
              <w:ind w:left="0" w:right="0"/>
              <w:rPr>
                <w:kern w:val="22"/>
                <w:sz w:val="18"/>
                <w:szCs w:val="18"/>
              </w:rPr>
            </w:pPr>
            <w:r w:rsidRPr="00AD1413">
              <w:rPr>
                <w:kern w:val="22"/>
                <w:sz w:val="18"/>
                <w:szCs w:val="18"/>
              </w:rPr>
              <w:t>1.8</w:t>
            </w:r>
          </w:p>
        </w:tc>
      </w:tr>
      <w:tr w:rsidR="00DD49AC" w:rsidRPr="00AD1413" w:rsidTr="00B61BC4">
        <w:trPr>
          <w:trHeight w:val="227"/>
        </w:trPr>
        <w:tc>
          <w:tcPr>
            <w:tcW w:w="993" w:type="dxa"/>
            <w:vMerge/>
            <w:hideMark/>
          </w:tcPr>
          <w:p w:rsidR="00DD49AC" w:rsidRPr="00AD1413" w:rsidRDefault="00DD49AC" w:rsidP="00AD1413">
            <w:pPr>
              <w:ind w:left="34" w:right="0"/>
              <w:rPr>
                <w:kern w:val="22"/>
                <w:sz w:val="18"/>
                <w:szCs w:val="18"/>
              </w:rPr>
            </w:pPr>
          </w:p>
        </w:tc>
        <w:tc>
          <w:tcPr>
            <w:tcW w:w="1417" w:type="dxa"/>
            <w:vMerge/>
            <w:hideMark/>
          </w:tcPr>
          <w:p w:rsidR="00DD49AC" w:rsidRPr="00AD1413" w:rsidRDefault="00DD49AC" w:rsidP="00AD1413">
            <w:pPr>
              <w:ind w:left="0" w:right="34"/>
              <w:rPr>
                <w:kern w:val="22"/>
                <w:sz w:val="18"/>
                <w:szCs w:val="18"/>
              </w:rPr>
            </w:pPr>
          </w:p>
        </w:tc>
        <w:tc>
          <w:tcPr>
            <w:tcW w:w="1048" w:type="dxa"/>
            <w:hideMark/>
          </w:tcPr>
          <w:p w:rsidR="00DD49AC" w:rsidRPr="00AD1413" w:rsidRDefault="00DD49AC" w:rsidP="00AD1413">
            <w:pPr>
              <w:ind w:left="34" w:right="0"/>
              <w:rPr>
                <w:kern w:val="22"/>
                <w:sz w:val="18"/>
                <w:szCs w:val="18"/>
              </w:rPr>
            </w:pPr>
            <w:r w:rsidRPr="00AD1413">
              <w:rPr>
                <w:kern w:val="22"/>
                <w:sz w:val="18"/>
                <w:szCs w:val="18"/>
              </w:rPr>
              <w:t>300</w:t>
            </w:r>
          </w:p>
        </w:tc>
        <w:tc>
          <w:tcPr>
            <w:tcW w:w="1191" w:type="dxa"/>
            <w:hideMark/>
          </w:tcPr>
          <w:p w:rsidR="00DD49AC" w:rsidRPr="00AD1413" w:rsidRDefault="00DD49AC" w:rsidP="00AD1413">
            <w:pPr>
              <w:ind w:left="0" w:right="0"/>
              <w:rPr>
                <w:kern w:val="22"/>
                <w:sz w:val="18"/>
                <w:szCs w:val="18"/>
              </w:rPr>
            </w:pPr>
            <w:r w:rsidRPr="00AD1413">
              <w:rPr>
                <w:kern w:val="22"/>
                <w:sz w:val="18"/>
                <w:szCs w:val="18"/>
              </w:rPr>
              <w:t>506000</w:t>
            </w:r>
          </w:p>
        </w:tc>
        <w:tc>
          <w:tcPr>
            <w:tcW w:w="1191" w:type="dxa"/>
            <w:hideMark/>
          </w:tcPr>
          <w:p w:rsidR="00DD49AC" w:rsidRPr="00AD1413" w:rsidRDefault="00DD49AC" w:rsidP="00AD1413">
            <w:pPr>
              <w:ind w:left="63" w:right="0"/>
              <w:rPr>
                <w:kern w:val="22"/>
                <w:sz w:val="18"/>
                <w:szCs w:val="18"/>
              </w:rPr>
            </w:pPr>
            <w:r w:rsidRPr="00AD1413">
              <w:rPr>
                <w:kern w:val="22"/>
                <w:sz w:val="18"/>
                <w:szCs w:val="18"/>
              </w:rPr>
              <w:t>36700</w:t>
            </w:r>
          </w:p>
        </w:tc>
        <w:tc>
          <w:tcPr>
            <w:tcW w:w="1191" w:type="dxa"/>
            <w:hideMark/>
          </w:tcPr>
          <w:p w:rsidR="00DD49AC" w:rsidRPr="00AD1413" w:rsidRDefault="00DD49AC" w:rsidP="00AD1413">
            <w:pPr>
              <w:ind w:left="6" w:right="-23"/>
              <w:rPr>
                <w:kern w:val="22"/>
                <w:sz w:val="18"/>
                <w:szCs w:val="18"/>
              </w:rPr>
            </w:pPr>
            <w:r w:rsidRPr="00AD1413">
              <w:rPr>
                <w:kern w:val="22"/>
                <w:sz w:val="18"/>
                <w:szCs w:val="18"/>
              </w:rPr>
              <w:t>2.5</w:t>
            </w:r>
          </w:p>
        </w:tc>
        <w:tc>
          <w:tcPr>
            <w:tcW w:w="1191" w:type="dxa"/>
            <w:hideMark/>
          </w:tcPr>
          <w:p w:rsidR="00DD49AC" w:rsidRPr="00AD1413" w:rsidRDefault="00DD49AC" w:rsidP="00AD1413">
            <w:pPr>
              <w:ind w:left="0" w:right="0"/>
              <w:rPr>
                <w:kern w:val="22"/>
                <w:sz w:val="18"/>
                <w:szCs w:val="18"/>
              </w:rPr>
            </w:pPr>
            <w:r w:rsidRPr="00AD1413">
              <w:rPr>
                <w:kern w:val="22"/>
                <w:sz w:val="18"/>
                <w:szCs w:val="18"/>
              </w:rPr>
              <w:t>3.8</w:t>
            </w:r>
          </w:p>
        </w:tc>
      </w:tr>
      <w:tr w:rsidR="00DD49AC" w:rsidRPr="00AD1413" w:rsidTr="00B61BC4">
        <w:trPr>
          <w:cantSplit/>
          <w:trHeight w:val="227"/>
        </w:trPr>
        <w:tc>
          <w:tcPr>
            <w:tcW w:w="993" w:type="dxa"/>
            <w:vMerge/>
            <w:hideMark/>
          </w:tcPr>
          <w:p w:rsidR="00DD49AC" w:rsidRPr="00AD1413" w:rsidRDefault="00DD49AC" w:rsidP="00AD1413">
            <w:pPr>
              <w:ind w:left="34" w:right="0"/>
              <w:rPr>
                <w:kern w:val="22"/>
                <w:sz w:val="18"/>
                <w:szCs w:val="18"/>
              </w:rPr>
            </w:pPr>
          </w:p>
        </w:tc>
        <w:tc>
          <w:tcPr>
            <w:tcW w:w="1417" w:type="dxa"/>
            <w:vMerge w:val="restart"/>
            <w:hideMark/>
          </w:tcPr>
          <w:p w:rsidR="00DD49AC" w:rsidRPr="00AD1413" w:rsidRDefault="00DD49AC" w:rsidP="00AD1413">
            <w:pPr>
              <w:ind w:left="0" w:right="34"/>
              <w:rPr>
                <w:kern w:val="22"/>
                <w:sz w:val="18"/>
                <w:szCs w:val="18"/>
              </w:rPr>
            </w:pPr>
            <w:proofErr w:type="spellStart"/>
            <w:r w:rsidRPr="00AD1413">
              <w:rPr>
                <w:kern w:val="22"/>
                <w:sz w:val="18"/>
                <w:szCs w:val="18"/>
              </w:rPr>
              <w:t>Embryofetal</w:t>
            </w:r>
            <w:proofErr w:type="spellEnd"/>
            <w:r w:rsidRPr="00AD1413">
              <w:rPr>
                <w:kern w:val="22"/>
                <w:sz w:val="18"/>
                <w:szCs w:val="18"/>
              </w:rPr>
              <w:t xml:space="preserve"> development</w:t>
            </w:r>
          </w:p>
          <w:p w:rsidR="00DD49AC" w:rsidRPr="00AD1413" w:rsidRDefault="00DD49AC" w:rsidP="00AD1413">
            <w:pPr>
              <w:ind w:left="0" w:right="34"/>
              <w:rPr>
                <w:kern w:val="22"/>
                <w:sz w:val="18"/>
                <w:szCs w:val="18"/>
              </w:rPr>
            </w:pPr>
            <w:r w:rsidRPr="00AD1413">
              <w:rPr>
                <w:kern w:val="22"/>
                <w:sz w:val="18"/>
                <w:szCs w:val="18"/>
              </w:rPr>
              <w:t>GD10</w:t>
            </w:r>
          </w:p>
        </w:tc>
        <w:tc>
          <w:tcPr>
            <w:tcW w:w="1048" w:type="dxa"/>
            <w:hideMark/>
          </w:tcPr>
          <w:p w:rsidR="00DD49AC" w:rsidRPr="00AD1413" w:rsidRDefault="00DD49AC" w:rsidP="00AD1413">
            <w:pPr>
              <w:ind w:left="34" w:right="0"/>
              <w:rPr>
                <w:kern w:val="22"/>
                <w:sz w:val="18"/>
                <w:szCs w:val="18"/>
              </w:rPr>
            </w:pPr>
            <w:r w:rsidRPr="00AD1413">
              <w:rPr>
                <w:kern w:val="22"/>
                <w:sz w:val="18"/>
                <w:szCs w:val="18"/>
              </w:rPr>
              <w:t>10</w:t>
            </w:r>
          </w:p>
        </w:tc>
        <w:tc>
          <w:tcPr>
            <w:tcW w:w="1191" w:type="dxa"/>
            <w:hideMark/>
          </w:tcPr>
          <w:p w:rsidR="00DD49AC" w:rsidRPr="00AD1413" w:rsidRDefault="00DD49AC" w:rsidP="00AD1413">
            <w:pPr>
              <w:ind w:left="0" w:right="0"/>
              <w:rPr>
                <w:kern w:val="22"/>
                <w:sz w:val="18"/>
                <w:szCs w:val="18"/>
              </w:rPr>
            </w:pPr>
            <w:r w:rsidRPr="00AD1413">
              <w:rPr>
                <w:kern w:val="22"/>
                <w:sz w:val="18"/>
                <w:szCs w:val="18"/>
              </w:rPr>
              <w:t>50500</w:t>
            </w:r>
          </w:p>
        </w:tc>
        <w:tc>
          <w:tcPr>
            <w:tcW w:w="1191" w:type="dxa"/>
            <w:hideMark/>
          </w:tcPr>
          <w:p w:rsidR="00DD49AC" w:rsidRPr="00AD1413" w:rsidRDefault="00DD49AC" w:rsidP="00AD1413">
            <w:pPr>
              <w:ind w:left="63" w:right="0"/>
              <w:rPr>
                <w:kern w:val="22"/>
                <w:sz w:val="18"/>
                <w:szCs w:val="18"/>
              </w:rPr>
            </w:pPr>
            <w:r w:rsidRPr="00AD1413">
              <w:rPr>
                <w:kern w:val="22"/>
                <w:sz w:val="18"/>
                <w:szCs w:val="18"/>
              </w:rPr>
              <w:t>7220</w:t>
            </w:r>
          </w:p>
        </w:tc>
        <w:tc>
          <w:tcPr>
            <w:tcW w:w="1191" w:type="dxa"/>
            <w:hideMark/>
          </w:tcPr>
          <w:p w:rsidR="00DD49AC" w:rsidRPr="00AD1413" w:rsidRDefault="00DD49AC" w:rsidP="00AD1413">
            <w:pPr>
              <w:ind w:left="6" w:right="-23"/>
              <w:rPr>
                <w:kern w:val="22"/>
                <w:sz w:val="18"/>
                <w:szCs w:val="18"/>
              </w:rPr>
            </w:pPr>
            <w:r w:rsidRPr="00AD1413">
              <w:rPr>
                <w:kern w:val="22"/>
                <w:sz w:val="18"/>
                <w:szCs w:val="18"/>
              </w:rPr>
              <w:t>0.2</w:t>
            </w:r>
          </w:p>
        </w:tc>
        <w:tc>
          <w:tcPr>
            <w:tcW w:w="1191" w:type="dxa"/>
            <w:hideMark/>
          </w:tcPr>
          <w:p w:rsidR="00DD49AC" w:rsidRPr="00AD1413" w:rsidRDefault="00DD49AC" w:rsidP="00AD1413">
            <w:pPr>
              <w:ind w:left="0" w:right="0"/>
              <w:rPr>
                <w:kern w:val="22"/>
                <w:sz w:val="18"/>
                <w:szCs w:val="18"/>
              </w:rPr>
            </w:pPr>
            <w:r w:rsidRPr="00AD1413">
              <w:rPr>
                <w:kern w:val="22"/>
                <w:sz w:val="18"/>
                <w:szCs w:val="18"/>
              </w:rPr>
              <w:t>0.7</w:t>
            </w:r>
          </w:p>
        </w:tc>
      </w:tr>
      <w:tr w:rsidR="00DD49AC" w:rsidRPr="00AD1413" w:rsidTr="00B61BC4">
        <w:trPr>
          <w:cantSplit/>
          <w:trHeight w:val="227"/>
        </w:trPr>
        <w:tc>
          <w:tcPr>
            <w:tcW w:w="993" w:type="dxa"/>
            <w:vMerge/>
            <w:hideMark/>
          </w:tcPr>
          <w:p w:rsidR="00DD49AC" w:rsidRPr="00AD1413" w:rsidRDefault="00DD49AC" w:rsidP="00AD1413">
            <w:pPr>
              <w:ind w:left="34" w:right="0"/>
              <w:rPr>
                <w:kern w:val="22"/>
                <w:sz w:val="18"/>
                <w:szCs w:val="18"/>
              </w:rPr>
            </w:pPr>
          </w:p>
        </w:tc>
        <w:tc>
          <w:tcPr>
            <w:tcW w:w="1417" w:type="dxa"/>
            <w:vMerge/>
            <w:hideMark/>
          </w:tcPr>
          <w:p w:rsidR="00DD49AC" w:rsidRPr="00AD1413" w:rsidRDefault="00DD49AC" w:rsidP="00AD1413">
            <w:pPr>
              <w:ind w:left="0" w:right="34"/>
              <w:rPr>
                <w:kern w:val="22"/>
                <w:sz w:val="18"/>
                <w:szCs w:val="18"/>
              </w:rPr>
            </w:pPr>
          </w:p>
        </w:tc>
        <w:tc>
          <w:tcPr>
            <w:tcW w:w="1048" w:type="dxa"/>
            <w:hideMark/>
          </w:tcPr>
          <w:p w:rsidR="00DD49AC" w:rsidRPr="00AD1413" w:rsidRDefault="00DD49AC" w:rsidP="00AD1413">
            <w:pPr>
              <w:ind w:left="34" w:right="0"/>
              <w:rPr>
                <w:kern w:val="22"/>
                <w:sz w:val="18"/>
                <w:szCs w:val="18"/>
              </w:rPr>
            </w:pPr>
            <w:r w:rsidRPr="00AD1413">
              <w:rPr>
                <w:kern w:val="22"/>
                <w:sz w:val="18"/>
                <w:szCs w:val="18"/>
              </w:rPr>
              <w:t>60</w:t>
            </w:r>
          </w:p>
        </w:tc>
        <w:tc>
          <w:tcPr>
            <w:tcW w:w="1191" w:type="dxa"/>
            <w:hideMark/>
          </w:tcPr>
          <w:p w:rsidR="00DD49AC" w:rsidRPr="00AD1413" w:rsidRDefault="00DD49AC" w:rsidP="00AD1413">
            <w:pPr>
              <w:ind w:left="0" w:right="0"/>
              <w:rPr>
                <w:kern w:val="22"/>
                <w:sz w:val="18"/>
                <w:szCs w:val="18"/>
              </w:rPr>
            </w:pPr>
            <w:r w:rsidRPr="00AD1413">
              <w:rPr>
                <w:kern w:val="22"/>
                <w:sz w:val="18"/>
                <w:szCs w:val="18"/>
              </w:rPr>
              <w:t>620000</w:t>
            </w:r>
          </w:p>
        </w:tc>
        <w:tc>
          <w:tcPr>
            <w:tcW w:w="1191" w:type="dxa"/>
            <w:hideMark/>
          </w:tcPr>
          <w:p w:rsidR="00DD49AC" w:rsidRPr="00AD1413" w:rsidRDefault="00DD49AC" w:rsidP="00AD1413">
            <w:pPr>
              <w:ind w:left="63" w:right="0"/>
              <w:rPr>
                <w:kern w:val="22"/>
                <w:sz w:val="18"/>
                <w:szCs w:val="18"/>
              </w:rPr>
            </w:pPr>
            <w:r w:rsidRPr="00AD1413">
              <w:rPr>
                <w:kern w:val="22"/>
                <w:sz w:val="18"/>
                <w:szCs w:val="18"/>
              </w:rPr>
              <w:t>50200</w:t>
            </w:r>
          </w:p>
        </w:tc>
        <w:tc>
          <w:tcPr>
            <w:tcW w:w="1191" w:type="dxa"/>
            <w:hideMark/>
          </w:tcPr>
          <w:p w:rsidR="00DD49AC" w:rsidRPr="00AD1413" w:rsidRDefault="00DD49AC" w:rsidP="00AD1413">
            <w:pPr>
              <w:ind w:left="6" w:right="-23"/>
              <w:rPr>
                <w:kern w:val="22"/>
                <w:sz w:val="18"/>
                <w:szCs w:val="18"/>
              </w:rPr>
            </w:pPr>
            <w:r w:rsidRPr="00AD1413">
              <w:rPr>
                <w:kern w:val="22"/>
                <w:sz w:val="18"/>
                <w:szCs w:val="18"/>
              </w:rPr>
              <w:t>2.8</w:t>
            </w:r>
          </w:p>
        </w:tc>
        <w:tc>
          <w:tcPr>
            <w:tcW w:w="1191" w:type="dxa"/>
            <w:hideMark/>
          </w:tcPr>
          <w:p w:rsidR="00DD49AC" w:rsidRPr="00AD1413" w:rsidRDefault="00DD49AC" w:rsidP="00AD1413">
            <w:pPr>
              <w:ind w:left="0" w:right="0"/>
              <w:rPr>
                <w:kern w:val="22"/>
                <w:sz w:val="18"/>
                <w:szCs w:val="18"/>
              </w:rPr>
            </w:pPr>
            <w:r w:rsidRPr="00AD1413">
              <w:rPr>
                <w:kern w:val="22"/>
                <w:sz w:val="18"/>
                <w:szCs w:val="18"/>
              </w:rPr>
              <w:t>5.2</w:t>
            </w:r>
          </w:p>
        </w:tc>
      </w:tr>
      <w:tr w:rsidR="00DD49AC" w:rsidRPr="00AD1413" w:rsidTr="00B61BC4">
        <w:trPr>
          <w:trHeight w:val="227"/>
        </w:trPr>
        <w:tc>
          <w:tcPr>
            <w:tcW w:w="993" w:type="dxa"/>
            <w:vMerge/>
            <w:hideMark/>
          </w:tcPr>
          <w:p w:rsidR="00DD49AC" w:rsidRPr="00AD1413" w:rsidRDefault="00DD49AC" w:rsidP="00AD1413">
            <w:pPr>
              <w:ind w:left="34" w:right="0"/>
              <w:rPr>
                <w:kern w:val="22"/>
                <w:sz w:val="18"/>
                <w:szCs w:val="18"/>
              </w:rPr>
            </w:pPr>
          </w:p>
        </w:tc>
        <w:tc>
          <w:tcPr>
            <w:tcW w:w="1417" w:type="dxa"/>
            <w:vMerge/>
            <w:hideMark/>
          </w:tcPr>
          <w:p w:rsidR="00DD49AC" w:rsidRPr="00AD1413" w:rsidRDefault="00DD49AC" w:rsidP="00AD1413">
            <w:pPr>
              <w:ind w:left="0" w:right="34"/>
              <w:rPr>
                <w:kern w:val="22"/>
                <w:sz w:val="18"/>
                <w:szCs w:val="18"/>
              </w:rPr>
            </w:pPr>
          </w:p>
        </w:tc>
        <w:tc>
          <w:tcPr>
            <w:tcW w:w="1048" w:type="dxa"/>
            <w:hideMark/>
          </w:tcPr>
          <w:p w:rsidR="00DD49AC" w:rsidRPr="00AD1413" w:rsidRDefault="00DD49AC" w:rsidP="00AD1413">
            <w:pPr>
              <w:ind w:left="34" w:right="0"/>
              <w:rPr>
                <w:kern w:val="22"/>
                <w:sz w:val="18"/>
                <w:szCs w:val="18"/>
              </w:rPr>
            </w:pPr>
            <w:r w:rsidRPr="00AD1413">
              <w:rPr>
                <w:kern w:val="22"/>
                <w:sz w:val="18"/>
                <w:szCs w:val="18"/>
              </w:rPr>
              <w:t>300</w:t>
            </w:r>
          </w:p>
        </w:tc>
        <w:tc>
          <w:tcPr>
            <w:tcW w:w="1191" w:type="dxa"/>
            <w:hideMark/>
          </w:tcPr>
          <w:p w:rsidR="00DD49AC" w:rsidRPr="00AD1413" w:rsidRDefault="00DD49AC" w:rsidP="00AD1413">
            <w:pPr>
              <w:ind w:left="0" w:right="0"/>
              <w:rPr>
                <w:kern w:val="22"/>
                <w:sz w:val="18"/>
                <w:szCs w:val="18"/>
              </w:rPr>
            </w:pPr>
            <w:r w:rsidRPr="00AD1413">
              <w:rPr>
                <w:kern w:val="22"/>
                <w:sz w:val="18"/>
                <w:szCs w:val="18"/>
              </w:rPr>
              <w:t>1030000</w:t>
            </w:r>
          </w:p>
        </w:tc>
        <w:tc>
          <w:tcPr>
            <w:tcW w:w="1191" w:type="dxa"/>
            <w:hideMark/>
          </w:tcPr>
          <w:p w:rsidR="00DD49AC" w:rsidRPr="00AD1413" w:rsidRDefault="00DD49AC" w:rsidP="00AD1413">
            <w:pPr>
              <w:ind w:left="63" w:right="0"/>
              <w:rPr>
                <w:kern w:val="22"/>
                <w:sz w:val="18"/>
                <w:szCs w:val="18"/>
              </w:rPr>
            </w:pPr>
            <w:r w:rsidRPr="00AD1413">
              <w:rPr>
                <w:kern w:val="22"/>
                <w:sz w:val="18"/>
                <w:szCs w:val="18"/>
              </w:rPr>
              <w:t>75400</w:t>
            </w:r>
          </w:p>
        </w:tc>
        <w:tc>
          <w:tcPr>
            <w:tcW w:w="1191" w:type="dxa"/>
            <w:hideMark/>
          </w:tcPr>
          <w:p w:rsidR="00DD49AC" w:rsidRPr="00AD1413" w:rsidRDefault="00DD49AC" w:rsidP="00AD1413">
            <w:pPr>
              <w:ind w:left="6" w:right="-23"/>
              <w:rPr>
                <w:kern w:val="22"/>
                <w:sz w:val="18"/>
                <w:szCs w:val="18"/>
              </w:rPr>
            </w:pPr>
            <w:r w:rsidRPr="00AD1413">
              <w:rPr>
                <w:kern w:val="22"/>
                <w:sz w:val="18"/>
                <w:szCs w:val="18"/>
              </w:rPr>
              <w:t>4.6</w:t>
            </w:r>
          </w:p>
        </w:tc>
        <w:tc>
          <w:tcPr>
            <w:tcW w:w="1191" w:type="dxa"/>
            <w:hideMark/>
          </w:tcPr>
          <w:p w:rsidR="00DD49AC" w:rsidRPr="00AD1413" w:rsidRDefault="00DD49AC" w:rsidP="00AD1413">
            <w:pPr>
              <w:ind w:left="0" w:right="0"/>
              <w:rPr>
                <w:kern w:val="22"/>
                <w:sz w:val="18"/>
                <w:szCs w:val="18"/>
              </w:rPr>
            </w:pPr>
            <w:r w:rsidRPr="00AD1413">
              <w:rPr>
                <w:kern w:val="22"/>
                <w:sz w:val="18"/>
                <w:szCs w:val="18"/>
              </w:rPr>
              <w:t>7.8</w:t>
            </w:r>
          </w:p>
        </w:tc>
      </w:tr>
    </w:tbl>
    <w:p w:rsidR="00DD49AC" w:rsidRDefault="00DD49AC" w:rsidP="00AD1413">
      <w:pPr>
        <w:pStyle w:val="TableDescription"/>
        <w:rPr>
          <w:kern w:val="22"/>
        </w:rPr>
      </w:pPr>
      <w:r w:rsidRPr="003C5A8B">
        <w:rPr>
          <w:kern w:val="22"/>
          <w:vertAlign w:val="superscript"/>
        </w:rPr>
        <w:t>#</w:t>
      </w:r>
      <w:r w:rsidRPr="003C5A8B">
        <w:rPr>
          <w:kern w:val="22"/>
        </w:rPr>
        <w:t xml:space="preserve"> = </w:t>
      </w:r>
      <w:proofErr w:type="spellStart"/>
      <w:r w:rsidRPr="003C5A8B">
        <w:rPr>
          <w:kern w:val="22"/>
        </w:rPr>
        <w:t>animal:human</w:t>
      </w:r>
      <w:proofErr w:type="spellEnd"/>
      <w:r w:rsidRPr="003C5A8B">
        <w:rPr>
          <w:kern w:val="22"/>
        </w:rPr>
        <w:t xml:space="preserve"> plasma AUC</w:t>
      </w:r>
      <w:r w:rsidRPr="003C5A8B">
        <w:rPr>
          <w:kern w:val="22"/>
          <w:vertAlign w:val="subscript"/>
        </w:rPr>
        <w:t>0–24 h</w:t>
      </w:r>
      <w:r w:rsidRPr="003C5A8B">
        <w:rPr>
          <w:kern w:val="22"/>
        </w:rPr>
        <w:t xml:space="preserve"> based on typical AUC</w:t>
      </w:r>
      <w:r w:rsidRPr="003C5A8B">
        <w:rPr>
          <w:kern w:val="22"/>
          <w:vertAlign w:val="subscript"/>
        </w:rPr>
        <w:t>0-24h</w:t>
      </w:r>
      <w:r w:rsidRPr="003C5A8B">
        <w:rPr>
          <w:kern w:val="22"/>
        </w:rPr>
        <w:t xml:space="preserve"> of 225000ng.h/</w:t>
      </w:r>
      <w:proofErr w:type="spellStart"/>
      <w:r w:rsidRPr="003C5A8B">
        <w:rPr>
          <w:kern w:val="22"/>
        </w:rPr>
        <w:t>mL</w:t>
      </w:r>
      <w:proofErr w:type="spellEnd"/>
      <w:r w:rsidRPr="003C5A8B">
        <w:rPr>
          <w:kern w:val="22"/>
        </w:rPr>
        <w:t xml:space="preserve"> and </w:t>
      </w:r>
      <w:proofErr w:type="spellStart"/>
      <w:r w:rsidRPr="003C5A8B">
        <w:rPr>
          <w:kern w:val="22"/>
        </w:rPr>
        <w:t>C</w:t>
      </w:r>
      <w:r w:rsidRPr="003C5A8B">
        <w:rPr>
          <w:kern w:val="22"/>
          <w:vertAlign w:val="subscript"/>
        </w:rPr>
        <w:t>ss</w:t>
      </w:r>
      <w:proofErr w:type="spellEnd"/>
      <w:r w:rsidRPr="003C5A8B">
        <w:rPr>
          <w:kern w:val="22"/>
        </w:rPr>
        <w:t xml:space="preserve"> of 23.1µM (Study nos. SHH3925g; SHH4610g and SHH4476g).</w:t>
      </w:r>
      <w:r w:rsidR="008D2130">
        <w:rPr>
          <w:kern w:val="22"/>
        </w:rPr>
        <w:t xml:space="preserve"> GD = gestation day.</w:t>
      </w:r>
    </w:p>
    <w:p w:rsidR="00DD49AC" w:rsidRPr="00DD49AC" w:rsidRDefault="00DD49AC" w:rsidP="00610A1E">
      <w:pPr>
        <w:rPr>
          <w:kern w:val="22"/>
        </w:rPr>
      </w:pPr>
      <w:r w:rsidRPr="00DD49AC">
        <w:rPr>
          <w:kern w:val="22"/>
        </w:rPr>
        <w:t xml:space="preserve">In the </w:t>
      </w:r>
      <w:proofErr w:type="spellStart"/>
      <w:r w:rsidRPr="00DD49AC">
        <w:rPr>
          <w:kern w:val="22"/>
        </w:rPr>
        <w:t>embryofetal</w:t>
      </w:r>
      <w:proofErr w:type="spellEnd"/>
      <w:r w:rsidRPr="00DD49AC">
        <w:rPr>
          <w:kern w:val="22"/>
        </w:rPr>
        <w:t xml:space="preserve"> development study in rats, the results were consistent with the well characterised </w:t>
      </w:r>
      <w:proofErr w:type="spellStart"/>
      <w:r w:rsidRPr="00DD49AC">
        <w:rPr>
          <w:kern w:val="22"/>
        </w:rPr>
        <w:t>teratogenic</w:t>
      </w:r>
      <w:proofErr w:type="spellEnd"/>
      <w:r w:rsidRPr="00DD49AC">
        <w:rPr>
          <w:kern w:val="22"/>
        </w:rPr>
        <w:t xml:space="preserve"> potential of </w:t>
      </w:r>
      <w:proofErr w:type="spellStart"/>
      <w:r w:rsidR="008264CC">
        <w:rPr>
          <w:kern w:val="22"/>
        </w:rPr>
        <w:t>Hh</w:t>
      </w:r>
      <w:proofErr w:type="spellEnd"/>
      <w:r w:rsidRPr="00DD49AC">
        <w:rPr>
          <w:kern w:val="22"/>
        </w:rPr>
        <w:t xml:space="preserve"> pathway inhibitors.</w:t>
      </w:r>
      <w:r w:rsidR="003C5A8B">
        <w:rPr>
          <w:kern w:val="22"/>
        </w:rPr>
        <w:t xml:space="preserve"> </w:t>
      </w:r>
      <w:r w:rsidRPr="00DD49AC">
        <w:rPr>
          <w:kern w:val="22"/>
        </w:rPr>
        <w:t xml:space="preserve">Reproductive toxicity was evident with early </w:t>
      </w:r>
      <w:proofErr w:type="spellStart"/>
      <w:r w:rsidR="008D2130">
        <w:rPr>
          <w:kern w:val="22"/>
        </w:rPr>
        <w:t>resorption</w:t>
      </w:r>
      <w:proofErr w:type="spellEnd"/>
      <w:r w:rsidR="008D2130">
        <w:rPr>
          <w:kern w:val="22"/>
        </w:rPr>
        <w:t xml:space="preserve"> of all </w:t>
      </w:r>
      <w:proofErr w:type="spellStart"/>
      <w:r w:rsidR="008D2130">
        <w:rPr>
          <w:kern w:val="22"/>
        </w:rPr>
        <w:t>fetuses</w:t>
      </w:r>
      <w:proofErr w:type="spellEnd"/>
      <w:r w:rsidR="008D2130">
        <w:rPr>
          <w:kern w:val="22"/>
        </w:rPr>
        <w:t xml:space="preserve"> at 60</w:t>
      </w:r>
      <w:r w:rsidR="00F534E1">
        <w:rPr>
          <w:kern w:val="22"/>
        </w:rPr>
        <w:t xml:space="preserve"> </w:t>
      </w:r>
      <w:r w:rsidRPr="00DD49AC">
        <w:rPr>
          <w:kern w:val="22"/>
        </w:rPr>
        <w:t>mg/kg/day and above (approx</w:t>
      </w:r>
      <w:r w:rsidR="008D2130">
        <w:rPr>
          <w:kern w:val="22"/>
        </w:rPr>
        <w:t>imately</w:t>
      </w:r>
      <w:r w:rsidRPr="00DD49AC">
        <w:rPr>
          <w:kern w:val="22"/>
        </w:rPr>
        <w:t xml:space="preserve"> 3 times the clinical exposure based on AUC); however, some evidence of reproductive toxicity was also evident at 10</w:t>
      </w:r>
      <w:r w:rsidR="00F534E1">
        <w:rPr>
          <w:kern w:val="22"/>
        </w:rPr>
        <w:t xml:space="preserve"> </w:t>
      </w:r>
      <w:r w:rsidRPr="00DD49AC">
        <w:rPr>
          <w:kern w:val="22"/>
        </w:rPr>
        <w:t xml:space="preserve">mg/kg/day (reduced implantation sites and </w:t>
      </w:r>
      <w:proofErr w:type="spellStart"/>
      <w:r w:rsidRPr="00DD49AC">
        <w:rPr>
          <w:kern w:val="22"/>
        </w:rPr>
        <w:t>fetuses</w:t>
      </w:r>
      <w:proofErr w:type="spellEnd"/>
      <w:r w:rsidRPr="00DD49AC">
        <w:rPr>
          <w:kern w:val="22"/>
        </w:rPr>
        <w:t>).</w:t>
      </w:r>
      <w:r w:rsidR="003C5A8B">
        <w:rPr>
          <w:kern w:val="22"/>
        </w:rPr>
        <w:t xml:space="preserve"> </w:t>
      </w:r>
      <w:r w:rsidRPr="00DD49AC">
        <w:rPr>
          <w:kern w:val="22"/>
        </w:rPr>
        <w:t>Skeletal mal</w:t>
      </w:r>
      <w:r w:rsidR="008D2130">
        <w:rPr>
          <w:kern w:val="22"/>
        </w:rPr>
        <w:t>formations were increased at 10</w:t>
      </w:r>
      <w:r w:rsidR="00F534E1">
        <w:rPr>
          <w:kern w:val="22"/>
        </w:rPr>
        <w:t xml:space="preserve"> </w:t>
      </w:r>
      <w:r w:rsidRPr="00DD49AC">
        <w:rPr>
          <w:kern w:val="22"/>
        </w:rPr>
        <w:t xml:space="preserve">mg/kg, particularly absent or fused digits of the </w:t>
      </w:r>
      <w:proofErr w:type="spellStart"/>
      <w:r w:rsidRPr="00DD49AC">
        <w:rPr>
          <w:kern w:val="22"/>
        </w:rPr>
        <w:t>hindlimbs</w:t>
      </w:r>
      <w:proofErr w:type="spellEnd"/>
      <w:r w:rsidRPr="00DD49AC">
        <w:rPr>
          <w:kern w:val="22"/>
        </w:rPr>
        <w:t>.</w:t>
      </w:r>
      <w:r w:rsidR="003C5A8B">
        <w:rPr>
          <w:kern w:val="22"/>
        </w:rPr>
        <w:t xml:space="preserve"> </w:t>
      </w:r>
      <w:r w:rsidRPr="00DD49AC">
        <w:rPr>
          <w:kern w:val="22"/>
        </w:rPr>
        <w:t>Other less common skeletal malformations in this species were also found (open perineum, craniofacial malformations).</w:t>
      </w:r>
      <w:r w:rsidR="003C5A8B">
        <w:rPr>
          <w:kern w:val="22"/>
        </w:rPr>
        <w:t xml:space="preserve"> </w:t>
      </w:r>
      <w:r w:rsidRPr="00DD49AC">
        <w:rPr>
          <w:kern w:val="22"/>
        </w:rPr>
        <w:t>The study author considered all of these malformations to be treatment-related based on similar findings and mechanistic plausibility reported in published studies.</w:t>
      </w:r>
      <w:r w:rsidR="003C5A8B">
        <w:rPr>
          <w:kern w:val="22"/>
        </w:rPr>
        <w:t xml:space="preserve"> </w:t>
      </w:r>
      <w:r w:rsidRPr="00DD49AC">
        <w:rPr>
          <w:kern w:val="22"/>
        </w:rPr>
        <w:t>There was also an</w:t>
      </w:r>
      <w:r w:rsidR="003C5A8B">
        <w:rPr>
          <w:kern w:val="22"/>
        </w:rPr>
        <w:t xml:space="preserve"> </w:t>
      </w:r>
      <w:r w:rsidRPr="00DD49AC">
        <w:rPr>
          <w:kern w:val="22"/>
        </w:rPr>
        <w:t xml:space="preserve">increase in incomplete or non-ossified bones (including the </w:t>
      </w:r>
      <w:proofErr w:type="spellStart"/>
      <w:r w:rsidRPr="00DD49AC">
        <w:rPr>
          <w:kern w:val="22"/>
        </w:rPr>
        <w:t>centra</w:t>
      </w:r>
      <w:proofErr w:type="spellEnd"/>
      <w:r w:rsidRPr="00DD49AC">
        <w:rPr>
          <w:kern w:val="22"/>
        </w:rPr>
        <w:t xml:space="preserve"> of cervical vertebrae, sternum and phalanges).</w:t>
      </w:r>
      <w:r w:rsidR="003C5A8B">
        <w:rPr>
          <w:kern w:val="22"/>
        </w:rPr>
        <w:t xml:space="preserve"> </w:t>
      </w:r>
      <w:r w:rsidRPr="00DD49AC">
        <w:rPr>
          <w:kern w:val="22"/>
        </w:rPr>
        <w:t>Visceral malformations in the kidney were also observed</w:t>
      </w:r>
      <w:r w:rsidR="0054569E">
        <w:rPr>
          <w:kern w:val="22"/>
        </w:rPr>
        <w:t xml:space="preserve"> </w:t>
      </w:r>
      <w:r w:rsidRPr="00DD49AC">
        <w:rPr>
          <w:kern w:val="22"/>
        </w:rPr>
        <w:t xml:space="preserve">(including dilated renal pelvis and dilated </w:t>
      </w:r>
      <w:proofErr w:type="spellStart"/>
      <w:r w:rsidRPr="00DD49AC">
        <w:rPr>
          <w:kern w:val="22"/>
        </w:rPr>
        <w:t>ureter</w:t>
      </w:r>
      <w:proofErr w:type="spellEnd"/>
      <w:r w:rsidRPr="00DD49AC">
        <w:rPr>
          <w:kern w:val="22"/>
        </w:rPr>
        <w:t>).</w:t>
      </w:r>
      <w:r w:rsidR="003C5A8B">
        <w:rPr>
          <w:kern w:val="22"/>
        </w:rPr>
        <w:t xml:space="preserve"> </w:t>
      </w:r>
      <w:r w:rsidR="008D2130">
        <w:rPr>
          <w:kern w:val="22"/>
        </w:rPr>
        <w:t>A dose of 10</w:t>
      </w:r>
      <w:r w:rsidR="00F534E1">
        <w:rPr>
          <w:kern w:val="22"/>
        </w:rPr>
        <w:t xml:space="preserve"> </w:t>
      </w:r>
      <w:r w:rsidRPr="00DD49AC">
        <w:rPr>
          <w:kern w:val="22"/>
        </w:rPr>
        <w:t>mg/kg is approx</w:t>
      </w:r>
      <w:r w:rsidR="008D2130">
        <w:rPr>
          <w:kern w:val="22"/>
        </w:rPr>
        <w:t>imately</w:t>
      </w:r>
      <w:r w:rsidRPr="00DD49AC">
        <w:rPr>
          <w:kern w:val="22"/>
        </w:rPr>
        <w:t xml:space="preserve"> 0.2-1 times the</w:t>
      </w:r>
      <w:r w:rsidR="008D2130">
        <w:rPr>
          <w:kern w:val="22"/>
        </w:rPr>
        <w:t xml:space="preserve"> clinical exposure based on AUC or </w:t>
      </w:r>
      <w:proofErr w:type="spellStart"/>
      <w:r w:rsidRPr="00DD49AC">
        <w:rPr>
          <w:kern w:val="22"/>
        </w:rPr>
        <w:t>C</w:t>
      </w:r>
      <w:r w:rsidRPr="00DD49AC">
        <w:rPr>
          <w:kern w:val="22"/>
          <w:vertAlign w:val="subscript"/>
        </w:rPr>
        <w:t>max</w:t>
      </w:r>
      <w:proofErr w:type="spellEnd"/>
      <w:r w:rsidRPr="00DD49AC">
        <w:rPr>
          <w:kern w:val="22"/>
          <w:vertAlign w:val="subscript"/>
        </w:rPr>
        <w:t>.</w:t>
      </w:r>
    </w:p>
    <w:p w:rsidR="00DD49AC" w:rsidRPr="00DD49AC" w:rsidRDefault="00DD49AC" w:rsidP="00610A1E">
      <w:pPr>
        <w:pStyle w:val="Heading5"/>
        <w:rPr>
          <w:kern w:val="22"/>
        </w:rPr>
      </w:pPr>
      <w:r w:rsidRPr="00DD49AC">
        <w:rPr>
          <w:kern w:val="22"/>
        </w:rPr>
        <w:t>Pregnancy classification</w:t>
      </w:r>
    </w:p>
    <w:p w:rsidR="00DD49AC" w:rsidRPr="00DD49AC" w:rsidRDefault="00DD49AC" w:rsidP="00610A1E">
      <w:pPr>
        <w:rPr>
          <w:kern w:val="22"/>
        </w:rPr>
      </w:pPr>
      <w:r w:rsidRPr="00DD49AC">
        <w:rPr>
          <w:kern w:val="22"/>
        </w:rPr>
        <w:t xml:space="preserve">The nonclinical data indicates that treatment with vismodegib at the proposed levels of exposure leads to a high probability of </w:t>
      </w:r>
      <w:proofErr w:type="spellStart"/>
      <w:r w:rsidRPr="00DD49AC">
        <w:rPr>
          <w:kern w:val="22"/>
        </w:rPr>
        <w:t>embryotoxicity</w:t>
      </w:r>
      <w:proofErr w:type="spellEnd"/>
      <w:r w:rsidRPr="00DD49AC">
        <w:rPr>
          <w:kern w:val="22"/>
        </w:rPr>
        <w:t xml:space="preserve"> during early pregnancy and a high probability of malformations in surviving </w:t>
      </w:r>
      <w:proofErr w:type="spellStart"/>
      <w:r w:rsidRPr="00DD49AC">
        <w:rPr>
          <w:kern w:val="22"/>
        </w:rPr>
        <w:t>fetuses</w:t>
      </w:r>
      <w:proofErr w:type="spellEnd"/>
      <w:r w:rsidRPr="00DD49AC">
        <w:rPr>
          <w:kern w:val="22"/>
        </w:rPr>
        <w:t xml:space="preserve">. Based on this data and </w:t>
      </w:r>
      <w:proofErr w:type="spellStart"/>
      <w:r w:rsidRPr="00DD49AC">
        <w:rPr>
          <w:kern w:val="22"/>
        </w:rPr>
        <w:t>teratogenic</w:t>
      </w:r>
      <w:proofErr w:type="spellEnd"/>
      <w:r w:rsidRPr="00DD49AC">
        <w:rPr>
          <w:kern w:val="22"/>
        </w:rPr>
        <w:t xml:space="preserve"> potential of </w:t>
      </w:r>
      <w:proofErr w:type="spellStart"/>
      <w:r w:rsidR="008264CC">
        <w:rPr>
          <w:kern w:val="22"/>
        </w:rPr>
        <w:t>Hh</w:t>
      </w:r>
      <w:proofErr w:type="spellEnd"/>
      <w:r w:rsidRPr="00DD49AC">
        <w:rPr>
          <w:kern w:val="22"/>
        </w:rPr>
        <w:t xml:space="preserve"> pathway inhibitors, there may be a case for placing vismodegib in Pregnancy Category X.</w:t>
      </w:r>
      <w:r w:rsidR="0054569E">
        <w:rPr>
          <w:rStyle w:val="FootnoteReference"/>
          <w:kern w:val="22"/>
        </w:rPr>
        <w:footnoteReference w:id="8"/>
      </w:r>
      <w:r w:rsidRPr="00DD49AC">
        <w:rPr>
          <w:kern w:val="22"/>
        </w:rPr>
        <w:t xml:space="preserve"> However, in the absence of human data and considering the proposed indication (advanced cancer), Pregnancy Category D</w:t>
      </w:r>
      <w:r w:rsidR="0054569E">
        <w:rPr>
          <w:rStyle w:val="FootnoteReference"/>
          <w:kern w:val="22"/>
        </w:rPr>
        <w:footnoteReference w:id="9"/>
      </w:r>
      <w:r w:rsidRPr="00DD49AC">
        <w:rPr>
          <w:kern w:val="22"/>
        </w:rPr>
        <w:t xml:space="preserve"> is considered appropriate. A clear warning in the PI on potential </w:t>
      </w:r>
      <w:proofErr w:type="spellStart"/>
      <w:r w:rsidRPr="00DD49AC">
        <w:rPr>
          <w:kern w:val="22"/>
        </w:rPr>
        <w:t>teratogenicity</w:t>
      </w:r>
      <w:proofErr w:type="spellEnd"/>
      <w:r w:rsidRPr="00DD49AC">
        <w:rPr>
          <w:kern w:val="22"/>
        </w:rPr>
        <w:t xml:space="preserve"> would be necessary. </w:t>
      </w:r>
    </w:p>
    <w:p w:rsidR="00DD49AC" w:rsidRPr="00DD49AC" w:rsidRDefault="00DD49AC" w:rsidP="00610A1E">
      <w:pPr>
        <w:pStyle w:val="Heading4"/>
        <w:rPr>
          <w:kern w:val="22"/>
        </w:rPr>
      </w:pPr>
      <w:r w:rsidRPr="00DD49AC">
        <w:rPr>
          <w:kern w:val="22"/>
        </w:rPr>
        <w:t xml:space="preserve">Local tolerance </w:t>
      </w:r>
    </w:p>
    <w:p w:rsidR="00DD49AC" w:rsidRPr="00DD49AC" w:rsidRDefault="00DD49AC" w:rsidP="00610A1E">
      <w:pPr>
        <w:rPr>
          <w:kern w:val="22"/>
        </w:rPr>
      </w:pPr>
      <w:r w:rsidRPr="00DD49AC">
        <w:rPr>
          <w:kern w:val="22"/>
        </w:rPr>
        <w:t xml:space="preserve">Not studies of local tolerance were performed, based on the intended oral route of administration. </w:t>
      </w:r>
    </w:p>
    <w:p w:rsidR="00DD49AC" w:rsidRPr="00DD49AC" w:rsidRDefault="00DD49AC" w:rsidP="00610A1E">
      <w:pPr>
        <w:pStyle w:val="Heading3"/>
        <w:rPr>
          <w:kern w:val="22"/>
        </w:rPr>
      </w:pPr>
      <w:bookmarkStart w:id="59" w:name="_Toc370129090"/>
      <w:r w:rsidRPr="00DD49AC">
        <w:rPr>
          <w:kern w:val="22"/>
        </w:rPr>
        <w:t>Paediatric use</w:t>
      </w:r>
      <w:bookmarkEnd w:id="59"/>
    </w:p>
    <w:p w:rsidR="00DD49AC" w:rsidRPr="00DD49AC" w:rsidRDefault="00DD49AC" w:rsidP="00610A1E">
      <w:pPr>
        <w:rPr>
          <w:kern w:val="22"/>
        </w:rPr>
      </w:pPr>
      <w:r w:rsidRPr="00DD49AC">
        <w:rPr>
          <w:kern w:val="22"/>
        </w:rPr>
        <w:t>Vismodegib is not proposed for paediatric use and no specific studies in juvenile animals were submitted.</w:t>
      </w:r>
    </w:p>
    <w:p w:rsidR="00DD49AC" w:rsidRPr="00DD49AC" w:rsidRDefault="00610A1E" w:rsidP="00610A1E">
      <w:pPr>
        <w:pStyle w:val="Heading3"/>
        <w:rPr>
          <w:kern w:val="22"/>
        </w:rPr>
      </w:pPr>
      <w:bookmarkStart w:id="60" w:name="_Toc295290868"/>
      <w:bookmarkStart w:id="61" w:name="_Toc341712579"/>
      <w:bookmarkStart w:id="62" w:name="_Toc370129091"/>
      <w:r>
        <w:rPr>
          <w:kern w:val="22"/>
        </w:rPr>
        <w:t>Comments on the s</w:t>
      </w:r>
      <w:r w:rsidR="00DD49AC" w:rsidRPr="00DD49AC">
        <w:rPr>
          <w:kern w:val="22"/>
        </w:rPr>
        <w:t xml:space="preserve">afety </w:t>
      </w:r>
      <w:r>
        <w:rPr>
          <w:kern w:val="22"/>
        </w:rPr>
        <w:t>s</w:t>
      </w:r>
      <w:r w:rsidR="00DD49AC" w:rsidRPr="00DD49AC">
        <w:rPr>
          <w:kern w:val="22"/>
        </w:rPr>
        <w:t xml:space="preserve">pecification of the </w:t>
      </w:r>
      <w:r>
        <w:rPr>
          <w:kern w:val="22"/>
        </w:rPr>
        <w:t>r</w:t>
      </w:r>
      <w:r w:rsidR="00DD49AC" w:rsidRPr="00DD49AC">
        <w:rPr>
          <w:kern w:val="22"/>
        </w:rPr>
        <w:t xml:space="preserve">isk </w:t>
      </w:r>
      <w:r>
        <w:rPr>
          <w:kern w:val="22"/>
        </w:rPr>
        <w:t>m</w:t>
      </w:r>
      <w:r w:rsidR="00DD49AC" w:rsidRPr="00DD49AC">
        <w:rPr>
          <w:kern w:val="22"/>
        </w:rPr>
        <w:t xml:space="preserve">anagement </w:t>
      </w:r>
      <w:r>
        <w:rPr>
          <w:kern w:val="22"/>
        </w:rPr>
        <w:t>p</w:t>
      </w:r>
      <w:r w:rsidR="00DD49AC" w:rsidRPr="00DD49AC">
        <w:rPr>
          <w:kern w:val="22"/>
        </w:rPr>
        <w:t>lan</w:t>
      </w:r>
      <w:bookmarkEnd w:id="60"/>
      <w:bookmarkEnd w:id="61"/>
      <w:bookmarkEnd w:id="62"/>
    </w:p>
    <w:p w:rsidR="00DD49AC" w:rsidRPr="00DD49AC" w:rsidRDefault="00DD49AC" w:rsidP="00610A1E">
      <w:pPr>
        <w:rPr>
          <w:kern w:val="22"/>
        </w:rPr>
      </w:pPr>
      <w:r w:rsidRPr="00DD49AC">
        <w:rPr>
          <w:kern w:val="22"/>
        </w:rPr>
        <w:t>Results and conclusions drawn from the nonclinical program for vismodegib detailed in the sponsor’s draft Risk Management Plan (</w:t>
      </w:r>
      <w:r w:rsidR="0054569E">
        <w:rPr>
          <w:kern w:val="22"/>
        </w:rPr>
        <w:t>RMP</w:t>
      </w:r>
      <w:r w:rsidRPr="00DD49AC">
        <w:rPr>
          <w:kern w:val="22"/>
        </w:rPr>
        <w:t>) are in general</w:t>
      </w:r>
      <w:r w:rsidR="0054569E">
        <w:rPr>
          <w:kern w:val="22"/>
        </w:rPr>
        <w:t xml:space="preserve"> concordance with those of the n</w:t>
      </w:r>
      <w:r w:rsidRPr="00DD49AC">
        <w:rPr>
          <w:kern w:val="22"/>
        </w:rPr>
        <w:t xml:space="preserve">onclinical </w:t>
      </w:r>
      <w:r w:rsidR="0054569E">
        <w:rPr>
          <w:kern w:val="22"/>
        </w:rPr>
        <w:t>e</w:t>
      </w:r>
      <w:r w:rsidRPr="00DD49AC">
        <w:rPr>
          <w:kern w:val="22"/>
        </w:rPr>
        <w:t>valuator, except for the following:</w:t>
      </w:r>
    </w:p>
    <w:p w:rsidR="008E7846" w:rsidRPr="00B020A0" w:rsidRDefault="00DD49AC" w:rsidP="00610A1E">
      <w:pPr>
        <w:rPr>
          <w:kern w:val="22"/>
        </w:rPr>
      </w:pPr>
      <w:r w:rsidRPr="00DD49AC">
        <w:rPr>
          <w:kern w:val="22"/>
        </w:rPr>
        <w:t xml:space="preserve">In the section on carcinogenicity, the paragraph under the column “Relevance to Human Usage” could be expanded to include the statement: “In humans, </w:t>
      </w:r>
      <w:proofErr w:type="spellStart"/>
      <w:r w:rsidRPr="00DD49AC">
        <w:rPr>
          <w:kern w:val="22"/>
        </w:rPr>
        <w:t>pilomatricomas</w:t>
      </w:r>
      <w:proofErr w:type="spellEnd"/>
      <w:r w:rsidRPr="00DD49AC">
        <w:rPr>
          <w:kern w:val="22"/>
        </w:rPr>
        <w:t xml:space="preserve"> are almost exclusively benign and readily excisable.”</w:t>
      </w:r>
      <w:r w:rsidR="003C5A8B">
        <w:rPr>
          <w:kern w:val="22"/>
        </w:rPr>
        <w:t xml:space="preserve"> </w:t>
      </w:r>
      <w:r w:rsidRPr="00DD49AC">
        <w:rPr>
          <w:kern w:val="22"/>
        </w:rPr>
        <w:t xml:space="preserve">The reference (Julian </w:t>
      </w:r>
      <w:r w:rsidRPr="0054569E">
        <w:rPr>
          <w:i/>
          <w:kern w:val="22"/>
        </w:rPr>
        <w:t>et al</w:t>
      </w:r>
      <w:r w:rsidRPr="00DD49AC">
        <w:rPr>
          <w:kern w:val="22"/>
        </w:rPr>
        <w:t>, 1998) could be included in the 3</w:t>
      </w:r>
      <w:r w:rsidRPr="00DD49AC">
        <w:rPr>
          <w:kern w:val="22"/>
          <w:vertAlign w:val="superscript"/>
        </w:rPr>
        <w:t>rd</w:t>
      </w:r>
      <w:r w:rsidRPr="00DD49AC">
        <w:rPr>
          <w:kern w:val="22"/>
        </w:rPr>
        <w:t xml:space="preserve"> column. </w:t>
      </w:r>
    </w:p>
    <w:p w:rsidR="008E7846" w:rsidRDefault="008E7846" w:rsidP="00610A1E">
      <w:pPr>
        <w:pStyle w:val="Heading3"/>
      </w:pPr>
      <w:bookmarkStart w:id="63" w:name="_Toc247691515"/>
      <w:bookmarkStart w:id="64" w:name="_Toc314842499"/>
      <w:bookmarkStart w:id="65" w:name="_Toc370129092"/>
      <w:r>
        <w:t>Nonclinical summary and conclusions</w:t>
      </w:r>
      <w:bookmarkEnd w:id="63"/>
      <w:bookmarkEnd w:id="64"/>
      <w:bookmarkEnd w:id="65"/>
    </w:p>
    <w:p w:rsidR="00DD49AC" w:rsidRPr="003C5A8B" w:rsidRDefault="0064028F" w:rsidP="00610A1E">
      <w:pPr>
        <w:pStyle w:val="ListBullet"/>
      </w:pPr>
      <w:r>
        <w:t>There was adequate data in M</w:t>
      </w:r>
      <w:r w:rsidR="00DD49AC" w:rsidRPr="003C5A8B">
        <w:t xml:space="preserve">odule 4 to analyse and assess the nonclinical pharmacological, </w:t>
      </w:r>
      <w:r w:rsidR="006D1673">
        <w:t xml:space="preserve">PK </w:t>
      </w:r>
      <w:r w:rsidR="00DD49AC" w:rsidRPr="003C5A8B">
        <w:t xml:space="preserve">and toxicological properties of </w:t>
      </w:r>
      <w:proofErr w:type="spellStart"/>
      <w:r w:rsidR="00DD49AC" w:rsidRPr="003C5A8B">
        <w:t>vismodegib</w:t>
      </w:r>
      <w:proofErr w:type="spellEnd"/>
      <w:r w:rsidR="00DD49AC" w:rsidRPr="003C5A8B">
        <w:t xml:space="preserve"> in relation to its proposed clinical use.</w:t>
      </w:r>
      <w:r w:rsidR="00F828C8">
        <w:t xml:space="preserve"> </w:t>
      </w:r>
    </w:p>
    <w:p w:rsidR="00DD49AC" w:rsidRPr="003C5A8B" w:rsidRDefault="00DD49AC" w:rsidP="00610A1E">
      <w:pPr>
        <w:pStyle w:val="ListBullet"/>
      </w:pPr>
      <w:r w:rsidRPr="003C5A8B">
        <w:t xml:space="preserve">The primary pharmacology studies confirm the activity of vismodegib as an inhibitor of the </w:t>
      </w:r>
      <w:proofErr w:type="spellStart"/>
      <w:r w:rsidRPr="003C5A8B">
        <w:t>Hh</w:t>
      </w:r>
      <w:proofErr w:type="spellEnd"/>
      <w:r w:rsidRPr="003C5A8B">
        <w:t xml:space="preserve"> signalling pathway, both </w:t>
      </w:r>
      <w:r w:rsidRPr="0054569E">
        <w:rPr>
          <w:i/>
        </w:rPr>
        <w:t>in vitro</w:t>
      </w:r>
      <w:r w:rsidRPr="003C5A8B">
        <w:t xml:space="preserve"> and </w:t>
      </w:r>
      <w:r w:rsidRPr="0054569E">
        <w:rPr>
          <w:i/>
        </w:rPr>
        <w:t>in vivo</w:t>
      </w:r>
      <w:r w:rsidRPr="003C5A8B">
        <w:t xml:space="preserve"> at exposures well below the clinical exposure. Its activity against tumours </w:t>
      </w:r>
      <w:r w:rsidRPr="0054569E">
        <w:rPr>
          <w:i/>
        </w:rPr>
        <w:t>in vivo</w:t>
      </w:r>
      <w:r w:rsidRPr="003C5A8B">
        <w:t xml:space="preserve"> was demonstrated in an allograft tumour model in mice as well as in patient-derived cancer </w:t>
      </w:r>
      <w:proofErr w:type="spellStart"/>
      <w:r w:rsidRPr="003C5A8B">
        <w:t>xenografts</w:t>
      </w:r>
      <w:proofErr w:type="spellEnd"/>
      <w:r w:rsidRPr="003C5A8B">
        <w:t xml:space="preserve"> in mice at exposure levels equivalent to the clinical exposure. </w:t>
      </w:r>
    </w:p>
    <w:p w:rsidR="00DD49AC" w:rsidRPr="0092442C" w:rsidRDefault="00DD49AC" w:rsidP="00610A1E">
      <w:pPr>
        <w:pStyle w:val="ListBullet"/>
      </w:pPr>
      <w:r w:rsidRPr="003C5A8B">
        <w:t xml:space="preserve">A secondary </w:t>
      </w:r>
      <w:r w:rsidR="006D1673">
        <w:t>PD</w:t>
      </w:r>
      <w:r w:rsidRPr="003C5A8B">
        <w:t xml:space="preserve"> study in mice confirmed secondary effects of inhibition of the </w:t>
      </w:r>
      <w:proofErr w:type="spellStart"/>
      <w:r w:rsidRPr="003C5A8B">
        <w:t>Hh</w:t>
      </w:r>
      <w:proofErr w:type="spellEnd"/>
      <w:r w:rsidRPr="003C5A8B">
        <w:t xml:space="preserve"> pathway in the skin and hair follicles.</w:t>
      </w:r>
      <w:r w:rsidR="003C5A8B" w:rsidRPr="003C5A8B">
        <w:t xml:space="preserve"> </w:t>
      </w:r>
      <w:r w:rsidRPr="003C5A8B">
        <w:t xml:space="preserve">The safety pharmacology studies directly assessed only potential cardiovascular effects (ECG, blood pressure and </w:t>
      </w:r>
      <w:proofErr w:type="spellStart"/>
      <w:r w:rsidRPr="003C5A8B">
        <w:t>QTc</w:t>
      </w:r>
      <w:proofErr w:type="spellEnd"/>
      <w:r w:rsidRPr="003C5A8B">
        <w:t xml:space="preserve"> prolongation) and body temperature, and no adverse effects were observed at 2-3 times the clinical exposure. The </w:t>
      </w:r>
      <w:proofErr w:type="spellStart"/>
      <w:r w:rsidRPr="003C5A8B">
        <w:t>hERG</w:t>
      </w:r>
      <w:proofErr w:type="spellEnd"/>
      <w:r w:rsidRPr="003C5A8B">
        <w:t xml:space="preserve"> potassium channel current was inhibited by vismodegib but only at exposure levels well in excess of the unbound plasma concentration. </w:t>
      </w:r>
      <w:r w:rsidR="0054569E">
        <w:t xml:space="preserve">Central nervous system </w:t>
      </w:r>
      <w:r w:rsidRPr="003C5A8B">
        <w:t xml:space="preserve">and respiratory parameters were examined in </w:t>
      </w:r>
      <w:r w:rsidRPr="0092442C">
        <w:t>repeat dose studies.</w:t>
      </w:r>
      <w:r w:rsidR="003C5A8B" w:rsidRPr="0092442C">
        <w:t xml:space="preserve"> </w:t>
      </w:r>
      <w:r w:rsidRPr="0092442C">
        <w:t>A potential for CNS effects (tremors, low posture and jerking) was noted in rats at a dose level equivalent to the clinical exposure.</w:t>
      </w:r>
      <w:r w:rsidR="003C5A8B" w:rsidRPr="0092442C">
        <w:t xml:space="preserve"> </w:t>
      </w:r>
      <w:r w:rsidRPr="0092442C">
        <w:t>No CNS or respiratory effects were noted in dogs.</w:t>
      </w:r>
      <w:r w:rsidR="00F828C8">
        <w:t xml:space="preserve"> </w:t>
      </w:r>
    </w:p>
    <w:p w:rsidR="00DD49AC" w:rsidRPr="003C5A8B" w:rsidRDefault="00DD49AC" w:rsidP="00610A1E">
      <w:pPr>
        <w:pStyle w:val="ListBullet"/>
      </w:pPr>
      <w:r w:rsidRPr="003C5A8B">
        <w:t xml:space="preserve">The </w:t>
      </w:r>
      <w:r w:rsidR="00A7420D">
        <w:t xml:space="preserve">PK </w:t>
      </w:r>
      <w:r w:rsidRPr="003C5A8B">
        <w:t xml:space="preserve">studies demonstrated mean absorption was 42% in rats and 31% in dogs. High </w:t>
      </w:r>
      <w:r w:rsidRPr="0092442C">
        <w:rPr>
          <w:i/>
        </w:rPr>
        <w:t>in vitro</w:t>
      </w:r>
      <w:r w:rsidRPr="003C5A8B">
        <w:t xml:space="preserve"> plasma protein binding was observed in all species, including humans. Tissue distribution in rats was very wide. In </w:t>
      </w:r>
      <w:proofErr w:type="spellStart"/>
      <w:r w:rsidRPr="0092442C">
        <w:rPr>
          <w:i/>
        </w:rPr>
        <w:t>in</w:t>
      </w:r>
      <w:proofErr w:type="spellEnd"/>
      <w:r w:rsidRPr="0092442C">
        <w:rPr>
          <w:i/>
        </w:rPr>
        <w:t xml:space="preserve"> vitro</w:t>
      </w:r>
      <w:r w:rsidRPr="003C5A8B">
        <w:t xml:space="preserve"> studies, metabolism was similar in rats, dogs and humans, with two major mono-oxidation products, and no human-specific metabolites. Excretion was largely </w:t>
      </w:r>
      <w:r w:rsidRPr="00A7420D">
        <w:rPr>
          <w:i/>
        </w:rPr>
        <w:t>via</w:t>
      </w:r>
      <w:r w:rsidRPr="003C5A8B">
        <w:t xml:space="preserve"> the bile and</w:t>
      </w:r>
      <w:r w:rsidRPr="00DD49AC">
        <w:t xml:space="preserve"> </w:t>
      </w:r>
      <w:r w:rsidRPr="003C5A8B">
        <w:t>faeces. Vismodegib was a weak inhibitor of CYP2C8 and CYP2C9, and an inhibitor of BCRP transport, but given the high plasma protein binding, the unbound concentration of vismodegib is unlikely to be high enough for these inhibitions to be of clinical relevance.</w:t>
      </w:r>
      <w:r w:rsidR="003C5A8B">
        <w:t xml:space="preserve"> </w:t>
      </w:r>
      <w:r w:rsidRPr="003C5A8B">
        <w:t xml:space="preserve">There was no evidence of induction of </w:t>
      </w:r>
      <w:r w:rsidR="0092442C">
        <w:t>CYP</w:t>
      </w:r>
      <w:r w:rsidRPr="003C5A8B">
        <w:t>1A2, 2B6 or 3A/5 by vismodegib.</w:t>
      </w:r>
      <w:r w:rsidR="003C5A8B">
        <w:t xml:space="preserve"> </w:t>
      </w:r>
      <w:r w:rsidRPr="003C5A8B">
        <w:t xml:space="preserve">Vismodegib is a weak binder to the </w:t>
      </w:r>
      <w:proofErr w:type="spellStart"/>
      <w:r w:rsidRPr="003C5A8B">
        <w:t>pregnane</w:t>
      </w:r>
      <w:proofErr w:type="spellEnd"/>
      <w:r w:rsidRPr="003C5A8B">
        <w:t xml:space="preserve"> X receptor. </w:t>
      </w:r>
    </w:p>
    <w:p w:rsidR="00DD49AC" w:rsidRPr="003C5A8B" w:rsidRDefault="00DD49AC" w:rsidP="00610A1E">
      <w:pPr>
        <w:pStyle w:val="ListBullet"/>
      </w:pPr>
      <w:r w:rsidRPr="003C5A8B">
        <w:t>In the repeat dose studies, there was evidence of general toxicity as well as toxicity associated with the pharmacological activity of vismodegib.</w:t>
      </w:r>
      <w:r w:rsidR="003C5A8B">
        <w:t xml:space="preserve"> </w:t>
      </w:r>
      <w:r w:rsidRPr="003C5A8B">
        <w:t>Moribund condition, reduced bodyweight and neurological signs were evident in rats at exposures similar to the clinical exposure.</w:t>
      </w:r>
      <w:r w:rsidR="003C5A8B">
        <w:t xml:space="preserve"> </w:t>
      </w:r>
      <w:r w:rsidRPr="003C5A8B">
        <w:t>Toxicity associated with the pharmacological activity of vismodegib was evident in teeth, skin and bones.</w:t>
      </w:r>
      <w:r w:rsidR="003C5A8B">
        <w:t xml:space="preserve"> </w:t>
      </w:r>
      <w:r w:rsidRPr="003C5A8B">
        <w:t xml:space="preserve">The effect on incisor teeth in rats was seen at exposure below the clinical exposure, although rat incisors are considered more sensitive to </w:t>
      </w:r>
      <w:proofErr w:type="spellStart"/>
      <w:r w:rsidRPr="003C5A8B">
        <w:t>Hh</w:t>
      </w:r>
      <w:proofErr w:type="spellEnd"/>
      <w:r w:rsidRPr="003C5A8B">
        <w:t xml:space="preserve"> inhibition than dogs or humans.</w:t>
      </w:r>
      <w:r w:rsidR="003C5A8B">
        <w:t xml:space="preserve"> </w:t>
      </w:r>
      <w:r w:rsidRPr="003C5A8B">
        <w:t xml:space="preserve">The effect on the femoral </w:t>
      </w:r>
      <w:proofErr w:type="spellStart"/>
      <w:r w:rsidRPr="003C5A8B">
        <w:t>epiphyseal</w:t>
      </w:r>
      <w:proofErr w:type="spellEnd"/>
      <w:r w:rsidRPr="003C5A8B">
        <w:t xml:space="preserve"> plate in rats was at exposures below the clinical exposure. The effects on the hair follicle in dogs (alopecia and follicular hyperkeratosis and inflammation) were seen at exposures less than the clinical exposure.</w:t>
      </w:r>
      <w:r w:rsidR="00F828C8">
        <w:t xml:space="preserve"> </w:t>
      </w:r>
    </w:p>
    <w:p w:rsidR="00DD49AC" w:rsidRPr="003C5A8B" w:rsidRDefault="00DD49AC" w:rsidP="00610A1E">
      <w:pPr>
        <w:pStyle w:val="ListBullet"/>
      </w:pPr>
      <w:r w:rsidRPr="003C5A8B">
        <w:t xml:space="preserve">The genotoxicity data was adequate and produced negative results in </w:t>
      </w:r>
      <w:proofErr w:type="spellStart"/>
      <w:r w:rsidRPr="008A60D4">
        <w:rPr>
          <w:i/>
        </w:rPr>
        <w:t>in</w:t>
      </w:r>
      <w:proofErr w:type="spellEnd"/>
      <w:r w:rsidRPr="008A60D4">
        <w:rPr>
          <w:i/>
        </w:rPr>
        <w:t xml:space="preserve"> vitro</w:t>
      </w:r>
      <w:r w:rsidRPr="003C5A8B">
        <w:t xml:space="preserve"> and </w:t>
      </w:r>
      <w:r w:rsidRPr="008A60D4">
        <w:rPr>
          <w:i/>
        </w:rPr>
        <w:t>in vivo</w:t>
      </w:r>
      <w:r w:rsidRPr="003C5A8B">
        <w:t xml:space="preserve"> studies.</w:t>
      </w:r>
      <w:r w:rsidR="003C5A8B" w:rsidRPr="003C5A8B">
        <w:t xml:space="preserve"> </w:t>
      </w:r>
      <w:r w:rsidRPr="003C5A8B">
        <w:t xml:space="preserve">No carcinogenicity studies were performed, consistent with the ICH guidelines for an anti-cancer drug. The presence of </w:t>
      </w:r>
      <w:proofErr w:type="spellStart"/>
      <w:r w:rsidRPr="003C5A8B">
        <w:t>pilomatricoma</w:t>
      </w:r>
      <w:proofErr w:type="spellEnd"/>
      <w:r w:rsidRPr="003C5A8B">
        <w:t xml:space="preserve"> in rats may be related to pharmacologically-mediated disruption of the hair follicle morphogenesis.</w:t>
      </w:r>
      <w:r w:rsidR="003C5A8B" w:rsidRPr="003C5A8B">
        <w:t xml:space="preserve"> </w:t>
      </w:r>
      <w:r w:rsidRPr="003C5A8B">
        <w:t xml:space="preserve">Although this tumour occurs at exposures similar to the clinical exposure, </w:t>
      </w:r>
      <w:proofErr w:type="spellStart"/>
      <w:r w:rsidRPr="003C5A8B">
        <w:t>pilomatricomas</w:t>
      </w:r>
      <w:proofErr w:type="spellEnd"/>
      <w:r w:rsidRPr="003C5A8B">
        <w:t xml:space="preserve"> are almost exclusively benign and readily excisable. </w:t>
      </w:r>
    </w:p>
    <w:p w:rsidR="00DD49AC" w:rsidRPr="003C5A8B" w:rsidRDefault="00DD49AC" w:rsidP="00610A1E">
      <w:pPr>
        <w:pStyle w:val="ListBullet"/>
      </w:pPr>
      <w:r w:rsidRPr="003C5A8B">
        <w:t xml:space="preserve">The limited reproductive toxicity studies (consistent with ICH guidelines for a drug for the treatment of advanced cancer) confirmed the </w:t>
      </w:r>
      <w:proofErr w:type="spellStart"/>
      <w:r w:rsidRPr="003C5A8B">
        <w:t>teratogenic</w:t>
      </w:r>
      <w:proofErr w:type="spellEnd"/>
      <w:r w:rsidRPr="003C5A8B">
        <w:t xml:space="preserve"> potential of </w:t>
      </w:r>
      <w:proofErr w:type="spellStart"/>
      <w:r w:rsidR="008264CC">
        <w:t>Hh</w:t>
      </w:r>
      <w:proofErr w:type="spellEnd"/>
      <w:r w:rsidRPr="003C5A8B">
        <w:t xml:space="preserve"> pathway inhibitors. </w:t>
      </w:r>
      <w:proofErr w:type="spellStart"/>
      <w:r w:rsidRPr="003C5A8B">
        <w:t>Vismodegib</w:t>
      </w:r>
      <w:proofErr w:type="spellEnd"/>
      <w:r w:rsidRPr="003C5A8B">
        <w:t xml:space="preserve"> displayed significant </w:t>
      </w:r>
      <w:proofErr w:type="spellStart"/>
      <w:r w:rsidRPr="003C5A8B">
        <w:t>embryofetal</w:t>
      </w:r>
      <w:proofErr w:type="spellEnd"/>
      <w:r w:rsidRPr="003C5A8B">
        <w:t xml:space="preserve"> toxicity and </w:t>
      </w:r>
      <w:proofErr w:type="spellStart"/>
      <w:r w:rsidRPr="003C5A8B">
        <w:t>teratogenicity</w:t>
      </w:r>
      <w:proofErr w:type="spellEnd"/>
      <w:r w:rsidRPr="003C5A8B">
        <w:t xml:space="preserve"> at exposures lower than the clinical exposure.</w:t>
      </w:r>
      <w:r w:rsidR="003C5A8B" w:rsidRPr="003C5A8B">
        <w:t xml:space="preserve"> </w:t>
      </w:r>
      <w:r w:rsidRPr="003C5A8B">
        <w:t xml:space="preserve">Based on animal data and </w:t>
      </w:r>
      <w:proofErr w:type="spellStart"/>
      <w:r w:rsidRPr="003C5A8B">
        <w:t>teratogenicity</w:t>
      </w:r>
      <w:proofErr w:type="spellEnd"/>
      <w:r w:rsidRPr="003C5A8B">
        <w:t xml:space="preserve"> of other </w:t>
      </w:r>
      <w:proofErr w:type="spellStart"/>
      <w:r w:rsidR="008264CC">
        <w:t>Hh</w:t>
      </w:r>
      <w:proofErr w:type="spellEnd"/>
      <w:r w:rsidRPr="003C5A8B">
        <w:t xml:space="preserve"> pathway inhibitors, there may be a case for placing vismodegib in Pregnancy Category X. However, in the absence of human data and considering the proposed indication (advanced cancer), Pregnancy Category D is considered appropriate. A clear warning in the PI on potential </w:t>
      </w:r>
      <w:proofErr w:type="spellStart"/>
      <w:r w:rsidRPr="003C5A8B">
        <w:t>teratogenicity</w:t>
      </w:r>
      <w:proofErr w:type="spellEnd"/>
      <w:r w:rsidRPr="003C5A8B">
        <w:t xml:space="preserve"> would be necessary. </w:t>
      </w:r>
    </w:p>
    <w:p w:rsidR="00DD49AC" w:rsidRPr="00DD49AC" w:rsidRDefault="00DD49AC" w:rsidP="00610A1E">
      <w:pPr>
        <w:pStyle w:val="Heading4"/>
      </w:pPr>
      <w:bookmarkStart w:id="66" w:name="_Toc341712570"/>
      <w:bookmarkStart w:id="67" w:name="_Toc294861479"/>
      <w:bookmarkStart w:id="68" w:name="_Toc295290862"/>
      <w:r w:rsidRPr="00DD49AC">
        <w:t>C</w:t>
      </w:r>
      <w:r w:rsidR="003C5A8B" w:rsidRPr="00DD49AC">
        <w:t>onclusions</w:t>
      </w:r>
      <w:bookmarkEnd w:id="66"/>
      <w:bookmarkEnd w:id="67"/>
      <w:bookmarkEnd w:id="68"/>
    </w:p>
    <w:p w:rsidR="00DD49AC" w:rsidRPr="00610A1E" w:rsidRDefault="00DD49AC" w:rsidP="00610A1E">
      <w:pPr>
        <w:pStyle w:val="ListBullet"/>
      </w:pPr>
      <w:r w:rsidRPr="00610A1E">
        <w:t xml:space="preserve">There were no major deficiencies in the nonclinical data on </w:t>
      </w:r>
      <w:proofErr w:type="spellStart"/>
      <w:r w:rsidRPr="00610A1E">
        <w:t>vismodegib</w:t>
      </w:r>
      <w:proofErr w:type="spellEnd"/>
      <w:r w:rsidRPr="00610A1E">
        <w:t xml:space="preserve">. </w:t>
      </w:r>
    </w:p>
    <w:p w:rsidR="00DD49AC" w:rsidRPr="00610A1E" w:rsidRDefault="00DD49AC" w:rsidP="00610A1E">
      <w:pPr>
        <w:pStyle w:val="ListBullet"/>
      </w:pPr>
      <w:r w:rsidRPr="00610A1E">
        <w:t xml:space="preserve">The primary pharmacology data confirm the inhibition of the </w:t>
      </w:r>
      <w:proofErr w:type="spellStart"/>
      <w:r w:rsidR="008264CC" w:rsidRPr="00610A1E">
        <w:t>Hh</w:t>
      </w:r>
      <w:proofErr w:type="spellEnd"/>
      <w:r w:rsidRPr="00610A1E">
        <w:t xml:space="preserve"> signalling pathway by </w:t>
      </w:r>
      <w:proofErr w:type="spellStart"/>
      <w:r w:rsidRPr="00610A1E">
        <w:t>vismodegib</w:t>
      </w:r>
      <w:proofErr w:type="spellEnd"/>
      <w:r w:rsidRPr="00610A1E">
        <w:t xml:space="preserve"> as well as its ability to reduce tumour growth in animals at clinically relevant exposures. </w:t>
      </w:r>
    </w:p>
    <w:p w:rsidR="00DD49AC" w:rsidRPr="00610A1E" w:rsidRDefault="00DD49AC" w:rsidP="00610A1E">
      <w:pPr>
        <w:pStyle w:val="ListBullet"/>
      </w:pPr>
      <w:r w:rsidRPr="00610A1E">
        <w:t xml:space="preserve">The safety pharmacology data did not demonstrate any potentially adverse cardiovascular effects in dogs at clinically relevant exposures. </w:t>
      </w:r>
    </w:p>
    <w:p w:rsidR="00DD49AC" w:rsidRPr="00610A1E" w:rsidRDefault="00DD49AC" w:rsidP="00610A1E">
      <w:pPr>
        <w:pStyle w:val="ListBullet"/>
      </w:pPr>
      <w:r w:rsidRPr="00610A1E">
        <w:t xml:space="preserve">There was no evidence of potential </w:t>
      </w:r>
      <w:r w:rsidR="00A7420D" w:rsidRPr="00610A1E">
        <w:t xml:space="preserve">PK </w:t>
      </w:r>
      <w:r w:rsidRPr="00610A1E">
        <w:t xml:space="preserve">drug interactions at clinically relevant exposures. </w:t>
      </w:r>
    </w:p>
    <w:p w:rsidR="00DD49AC" w:rsidRPr="00610A1E" w:rsidRDefault="00DD49AC" w:rsidP="00610A1E">
      <w:pPr>
        <w:pStyle w:val="ListBullet"/>
      </w:pPr>
      <w:r w:rsidRPr="00610A1E">
        <w:t>The repeat dose studies in rats indicate a potential for CNS effects at clinically relevant exposures.</w:t>
      </w:r>
      <w:r w:rsidR="003C5A8B" w:rsidRPr="00610A1E">
        <w:t xml:space="preserve"> </w:t>
      </w:r>
      <w:r w:rsidRPr="00610A1E">
        <w:t xml:space="preserve">The pharmacologically-mediated effect on incisor teeth in rats is clinically relevant for paediatric patients although these effects were not noted in dogs and may indicate that rats are more sensitive to this effect than other species. The pharmacologically-mediated effect on bone in rats is also considered clinically relevant for paediatric patients. In dogs, the pharmacologically-mediated effects on hair follicles leading to alopecia are considered clinically relevant. </w:t>
      </w:r>
    </w:p>
    <w:p w:rsidR="00DD49AC" w:rsidRPr="00610A1E" w:rsidRDefault="00DD49AC" w:rsidP="00610A1E">
      <w:pPr>
        <w:pStyle w:val="ListBullet"/>
      </w:pPr>
      <w:r w:rsidRPr="00610A1E">
        <w:t xml:space="preserve">There is no evidence that </w:t>
      </w:r>
      <w:proofErr w:type="spellStart"/>
      <w:r w:rsidRPr="00610A1E">
        <w:t>vismodegib</w:t>
      </w:r>
      <w:proofErr w:type="spellEnd"/>
      <w:r w:rsidRPr="00610A1E">
        <w:t xml:space="preserve"> has </w:t>
      </w:r>
      <w:proofErr w:type="spellStart"/>
      <w:r w:rsidRPr="00610A1E">
        <w:t>genotoxic</w:t>
      </w:r>
      <w:proofErr w:type="spellEnd"/>
      <w:r w:rsidRPr="00610A1E">
        <w:t xml:space="preserve"> potential. The </w:t>
      </w:r>
      <w:proofErr w:type="spellStart"/>
      <w:r w:rsidRPr="00610A1E">
        <w:t>pilomatricomas</w:t>
      </w:r>
      <w:proofErr w:type="spellEnd"/>
      <w:r w:rsidRPr="00610A1E">
        <w:t xml:space="preserve"> observed in rats may be relevant to clinical exposure; however, their presence in humans would not present a significant additional risk and is clinically manageable.</w:t>
      </w:r>
      <w:r w:rsidR="003C5A8B" w:rsidRPr="00610A1E">
        <w:t xml:space="preserve"> </w:t>
      </w:r>
    </w:p>
    <w:p w:rsidR="00DD49AC" w:rsidRPr="00610A1E" w:rsidRDefault="00DD49AC" w:rsidP="00610A1E">
      <w:pPr>
        <w:pStyle w:val="ListBullet"/>
      </w:pPr>
      <w:r w:rsidRPr="00610A1E">
        <w:t xml:space="preserve">The reproductive toxicity studies indicate a significant risk of </w:t>
      </w:r>
      <w:proofErr w:type="spellStart"/>
      <w:r w:rsidRPr="00610A1E">
        <w:t>embryofetal</w:t>
      </w:r>
      <w:proofErr w:type="spellEnd"/>
      <w:r w:rsidRPr="00610A1E">
        <w:t xml:space="preserve"> toxicity and </w:t>
      </w:r>
      <w:proofErr w:type="spellStart"/>
      <w:r w:rsidRPr="00610A1E">
        <w:t>teratogenicity</w:t>
      </w:r>
      <w:proofErr w:type="spellEnd"/>
      <w:r w:rsidRPr="00610A1E">
        <w:t xml:space="preserve"> associated with the use of </w:t>
      </w:r>
      <w:proofErr w:type="spellStart"/>
      <w:r w:rsidRPr="00610A1E">
        <w:t>vismodegib</w:t>
      </w:r>
      <w:proofErr w:type="spellEnd"/>
      <w:r w:rsidRPr="00610A1E">
        <w:t xml:space="preserve">. Pregnancy Category D is recommended and a clear warning on potential </w:t>
      </w:r>
      <w:proofErr w:type="spellStart"/>
      <w:r w:rsidRPr="00610A1E">
        <w:t>teratogenicity</w:t>
      </w:r>
      <w:proofErr w:type="spellEnd"/>
      <w:r w:rsidRPr="00610A1E">
        <w:t xml:space="preserve"> should be included in the PI. </w:t>
      </w:r>
    </w:p>
    <w:p w:rsidR="00DD49AC" w:rsidRPr="00DD49AC" w:rsidRDefault="003C5A8B" w:rsidP="00610A1E">
      <w:pPr>
        <w:pStyle w:val="Heading4"/>
      </w:pPr>
      <w:bookmarkStart w:id="69" w:name="_Toc341712571"/>
      <w:r>
        <w:t>R</w:t>
      </w:r>
      <w:r w:rsidRPr="00DD49AC">
        <w:t>ecommendation</w:t>
      </w:r>
      <w:bookmarkEnd w:id="69"/>
      <w:r w:rsidRPr="00DD49AC">
        <w:t>s</w:t>
      </w:r>
    </w:p>
    <w:p w:rsidR="00DD49AC" w:rsidRPr="004F5D0D" w:rsidRDefault="00DD49AC" w:rsidP="00610A1E">
      <w:r w:rsidRPr="004F5D0D">
        <w:t xml:space="preserve">Based on the nonclinical data provided for vismodegib and evaluated in this report, there are no nonclinical objections to the approval of vismodegib. </w:t>
      </w:r>
    </w:p>
    <w:p w:rsidR="008E7846" w:rsidRPr="004F5D0D" w:rsidRDefault="00DD49AC" w:rsidP="00610A1E">
      <w:r w:rsidRPr="004F5D0D">
        <w:t xml:space="preserve">The sponsor should be requested to include an appropriate warning statement on potential </w:t>
      </w:r>
      <w:proofErr w:type="spellStart"/>
      <w:r w:rsidRPr="004F5D0D">
        <w:t>teratogenicity</w:t>
      </w:r>
      <w:proofErr w:type="spellEnd"/>
      <w:r w:rsidRPr="004F5D0D">
        <w:t xml:space="preserve"> in the PI.</w:t>
      </w:r>
      <w:r w:rsidR="0010220B" w:rsidRPr="004F5D0D">
        <w:rPr>
          <w:vertAlign w:val="superscript"/>
        </w:rPr>
        <w:footnoteReference w:id="10"/>
      </w:r>
      <w:r w:rsidRPr="004F5D0D">
        <w:t xml:space="preserve"> </w:t>
      </w:r>
    </w:p>
    <w:p w:rsidR="008E7846" w:rsidRPr="00254787" w:rsidRDefault="008E7846" w:rsidP="00610A1E">
      <w:pPr>
        <w:pStyle w:val="Heading2"/>
      </w:pPr>
      <w:bookmarkStart w:id="70" w:name="_Toc196046462"/>
      <w:bookmarkStart w:id="71" w:name="_Toc247691516"/>
      <w:bookmarkStart w:id="72" w:name="_Toc314842500"/>
      <w:bookmarkStart w:id="73" w:name="_Toc163441353"/>
      <w:bookmarkStart w:id="74" w:name="_Toc163441348"/>
      <w:bookmarkStart w:id="75" w:name="_Toc370129093"/>
      <w:r>
        <w:t xml:space="preserve">IV. </w:t>
      </w:r>
      <w:r w:rsidRPr="00254787">
        <w:t>Clinical</w:t>
      </w:r>
      <w:bookmarkEnd w:id="70"/>
      <w:r>
        <w:t xml:space="preserve"> </w:t>
      </w:r>
      <w:r w:rsidR="003A7F6C">
        <w:t>f</w:t>
      </w:r>
      <w:r>
        <w:t>indings</w:t>
      </w:r>
      <w:bookmarkEnd w:id="71"/>
      <w:bookmarkEnd w:id="72"/>
      <w:bookmarkEnd w:id="75"/>
    </w:p>
    <w:p w:rsidR="008E7846" w:rsidRDefault="008E7846" w:rsidP="00610A1E">
      <w:pPr>
        <w:pStyle w:val="Heading3"/>
      </w:pPr>
      <w:bookmarkStart w:id="76" w:name="_Toc196046463"/>
      <w:bookmarkStart w:id="77" w:name="_Toc247691517"/>
      <w:bookmarkStart w:id="78" w:name="_Toc314842501"/>
      <w:bookmarkStart w:id="79" w:name="_Toc370129094"/>
      <w:r w:rsidRPr="00254787">
        <w:t>Introduction</w:t>
      </w:r>
      <w:bookmarkEnd w:id="76"/>
      <w:bookmarkEnd w:id="77"/>
      <w:bookmarkEnd w:id="78"/>
      <w:bookmarkEnd w:id="79"/>
    </w:p>
    <w:p w:rsidR="00362572" w:rsidRDefault="00A97CF5" w:rsidP="00610A1E">
      <w:r w:rsidRPr="00A97CF5">
        <w:t xml:space="preserve">Vismodegib is a low molecular weight, orally available inhibitor of the </w:t>
      </w:r>
      <w:proofErr w:type="spellStart"/>
      <w:r w:rsidR="008264CC">
        <w:t>Hh</w:t>
      </w:r>
      <w:proofErr w:type="spellEnd"/>
      <w:r w:rsidRPr="00A97CF5">
        <w:t xml:space="preserve"> pathway signalling through the SMO trans-membrane protein. Signal transduction through SMO leads to the activation and nuclear localisation of transcription factors and an induction of </w:t>
      </w:r>
      <w:proofErr w:type="spellStart"/>
      <w:r w:rsidR="008264CC">
        <w:t>Hh</w:t>
      </w:r>
      <w:proofErr w:type="spellEnd"/>
      <w:r w:rsidRPr="00A97CF5">
        <w:t xml:space="preserve"> targe</w:t>
      </w:r>
      <w:r>
        <w:t xml:space="preserve">t genes. </w:t>
      </w:r>
      <w:r w:rsidRPr="00A97CF5">
        <w:t>Many of these genes are involved in</w:t>
      </w:r>
      <w:r w:rsidR="003A02D4">
        <w:t xml:space="preserve"> cell</w:t>
      </w:r>
      <w:r w:rsidRPr="00A97CF5">
        <w:t xml:space="preserve"> proliferation,</w:t>
      </w:r>
      <w:r>
        <w:t xml:space="preserve"> survival and differentiation. </w:t>
      </w:r>
      <w:r w:rsidRPr="00A97CF5">
        <w:t xml:space="preserve">Vismodegib binds to and inhibits SMO thereby preventing </w:t>
      </w:r>
      <w:proofErr w:type="spellStart"/>
      <w:r w:rsidR="008264CC">
        <w:t>Hh</w:t>
      </w:r>
      <w:proofErr w:type="spellEnd"/>
      <w:r>
        <w:t xml:space="preserve"> signalling transduction. </w:t>
      </w:r>
      <w:r w:rsidRPr="00A97CF5">
        <w:t xml:space="preserve">Almost all basal cell carcinomas (BCC) are the result of alterations in the </w:t>
      </w:r>
      <w:proofErr w:type="spellStart"/>
      <w:r w:rsidR="008264CC">
        <w:t>Hh</w:t>
      </w:r>
      <w:proofErr w:type="spellEnd"/>
      <w:r w:rsidRPr="00A97CF5">
        <w:t xml:space="preserve"> signalling pathway, resulting in aberrant activation of the pathway and uncontrolled proliferation of basal cells. As vismodegib targets the SMO protein, a key component of </w:t>
      </w:r>
      <w:proofErr w:type="spellStart"/>
      <w:r w:rsidR="008264CC">
        <w:t>Hh</w:t>
      </w:r>
      <w:proofErr w:type="spellEnd"/>
      <w:r w:rsidRPr="00A97CF5">
        <w:t xml:space="preserve"> signalling, it acts as an inhibitor of </w:t>
      </w:r>
      <w:proofErr w:type="spellStart"/>
      <w:r w:rsidR="008264CC">
        <w:t>Hh</w:t>
      </w:r>
      <w:proofErr w:type="spellEnd"/>
      <w:r w:rsidRPr="00A97CF5">
        <w:t xml:space="preserve"> signalling and subsequent inhibition of the basal cell carcinoma cells.</w:t>
      </w:r>
      <w:r w:rsidR="00362572" w:rsidRPr="00362572">
        <w:t xml:space="preserve"> </w:t>
      </w:r>
    </w:p>
    <w:p w:rsidR="00362572" w:rsidRPr="00A97CF5" w:rsidRDefault="00362572" w:rsidP="00610A1E">
      <w:r w:rsidRPr="00A97CF5">
        <w:t xml:space="preserve">This application </w:t>
      </w:r>
      <w:r>
        <w:t xml:space="preserve">is </w:t>
      </w:r>
      <w:r w:rsidRPr="00A97CF5">
        <w:t xml:space="preserve">for approval for marketing of vismodegib (VIS), an inhibitor of </w:t>
      </w:r>
      <w:proofErr w:type="spellStart"/>
      <w:r>
        <w:t>Hh</w:t>
      </w:r>
      <w:proofErr w:type="spellEnd"/>
      <w:r w:rsidRPr="00A97CF5">
        <w:t xml:space="preserve"> signalling, for the proposed indication </w:t>
      </w:r>
      <w:r w:rsidRPr="00A97CF5">
        <w:rPr>
          <w:i/>
        </w:rPr>
        <w:t>for the treatment of adult patients with advanced basal cell carcinoma for whom surgery is inappropriate</w:t>
      </w:r>
      <w:r w:rsidRPr="00A97CF5">
        <w:t>.</w:t>
      </w:r>
      <w:r w:rsidR="00F828C8">
        <w:t xml:space="preserve"> </w:t>
      </w:r>
    </w:p>
    <w:p w:rsidR="00A97CF5" w:rsidRPr="00A97CF5" w:rsidRDefault="00A97CF5" w:rsidP="00610A1E">
      <w:pPr>
        <w:pStyle w:val="Heading3"/>
      </w:pPr>
      <w:bookmarkStart w:id="80" w:name="_Toc363557263"/>
      <w:bookmarkStart w:id="81" w:name="_Toc370129095"/>
      <w:r w:rsidRPr="00A97CF5">
        <w:t>Clinical rationale</w:t>
      </w:r>
      <w:bookmarkEnd w:id="80"/>
      <w:bookmarkEnd w:id="81"/>
    </w:p>
    <w:p w:rsidR="00A97CF5" w:rsidRPr="00F365ED" w:rsidRDefault="00A97CF5" w:rsidP="00610A1E">
      <w:r w:rsidRPr="00F365ED">
        <w:t xml:space="preserve">Basal cell carcinoma is a common skin malignancy generally treated by various surgical methods, photodynamic therapy and other topical treatments. The development of locally advanced </w:t>
      </w:r>
      <w:r w:rsidR="00362572" w:rsidRPr="00F365ED">
        <w:t xml:space="preserve">BCC </w:t>
      </w:r>
      <w:r w:rsidRPr="00F365ED">
        <w:t xml:space="preserve">and even more rarely metastatic </w:t>
      </w:r>
      <w:r w:rsidR="00362572" w:rsidRPr="00F365ED">
        <w:t xml:space="preserve">BCC </w:t>
      </w:r>
      <w:r w:rsidRPr="00F365ED">
        <w:t>are unusual circumstances. Nevertheless when such situations arise treatment is limited and in the locally advanced situation when surgery is no longer either possible or indicated</w:t>
      </w:r>
      <w:r w:rsidR="00362572" w:rsidRPr="00F365ED">
        <w:t>,</w:t>
      </w:r>
      <w:r w:rsidRPr="00F365ED">
        <w:t xml:space="preserve"> treatment methods are generally considered to be inadequate. Similarly, when the disease becomes metastatic there are no published data to indicate treatments of clear cut efficacy. At the present time there are no established treatments of efficacy for either locally advanced or metastatic BCC. The development of vismodegib represents a new and potentially worthwhile approach to the management of this condition.</w:t>
      </w:r>
      <w:r w:rsidR="00F828C8">
        <w:t xml:space="preserve"> </w:t>
      </w:r>
    </w:p>
    <w:p w:rsidR="00A97CF5" w:rsidRPr="00A97CF5" w:rsidRDefault="00A97CF5" w:rsidP="00610A1E">
      <w:r>
        <w:t>M</w:t>
      </w:r>
      <w:r w:rsidRPr="00A97CF5">
        <w:t xml:space="preserve">olecular and genetic studies have shown that almost all sporadic human BCCs have alteration in the </w:t>
      </w:r>
      <w:proofErr w:type="spellStart"/>
      <w:r w:rsidR="008264CC">
        <w:t>Hh</w:t>
      </w:r>
      <w:proofErr w:type="spellEnd"/>
      <w:r w:rsidRPr="00A97CF5">
        <w:t xml:space="preserve"> signalling pathway, resulting in aberrant activation of the pathway and uncontrolled</w:t>
      </w:r>
      <w:r>
        <w:t xml:space="preserve"> proliferation of basal cells. </w:t>
      </w:r>
      <w:r w:rsidRPr="00A97CF5">
        <w:t xml:space="preserve">These data suggest that blocking of the </w:t>
      </w:r>
      <w:proofErr w:type="spellStart"/>
      <w:r w:rsidR="008264CC">
        <w:t>Hh</w:t>
      </w:r>
      <w:proofErr w:type="spellEnd"/>
      <w:r w:rsidRPr="00A97CF5">
        <w:t xml:space="preserve"> signalling pathway by targeting </w:t>
      </w:r>
      <w:proofErr w:type="spellStart"/>
      <w:r w:rsidR="008264CC">
        <w:t>Hh</w:t>
      </w:r>
      <w:proofErr w:type="spellEnd"/>
      <w:r w:rsidRPr="00A97CF5">
        <w:t xml:space="preserve"> dependent activity of the trans-membrane protein SMO can provide a therapeutic </w:t>
      </w:r>
      <w:r>
        <w:t xml:space="preserve">benefit for patients with BCC. </w:t>
      </w:r>
      <w:r w:rsidRPr="00A97CF5">
        <w:t xml:space="preserve">Animal studies have shown that orally delivered vismodegib has anti-tumour activity in the variety of primary human tumour </w:t>
      </w:r>
      <w:proofErr w:type="spellStart"/>
      <w:r w:rsidRPr="00A97CF5">
        <w:t>xenografts</w:t>
      </w:r>
      <w:proofErr w:type="spellEnd"/>
      <w:r w:rsidRPr="00A97CF5">
        <w:t xml:space="preserve"> and tumour cell lines in </w:t>
      </w:r>
      <w:proofErr w:type="spellStart"/>
      <w:r w:rsidRPr="00A97CF5">
        <w:t>xenograft</w:t>
      </w:r>
      <w:proofErr w:type="spellEnd"/>
      <w:r w:rsidRPr="00A97CF5">
        <w:t xml:space="preserve"> models.</w:t>
      </w:r>
    </w:p>
    <w:p w:rsidR="00A97CF5" w:rsidRPr="00A97CF5" w:rsidRDefault="00A97CF5" w:rsidP="00610A1E">
      <w:pPr>
        <w:pStyle w:val="Heading4"/>
      </w:pPr>
      <w:bookmarkStart w:id="82" w:name="_Toc363557265"/>
      <w:r w:rsidRPr="00A97CF5">
        <w:t>Scope of the clinical dossier</w:t>
      </w:r>
      <w:bookmarkEnd w:id="82"/>
    </w:p>
    <w:p w:rsidR="00A97CF5" w:rsidRPr="00A97CF5" w:rsidRDefault="00A97CF5" w:rsidP="00610A1E">
      <w:r w:rsidRPr="00A97CF5">
        <w:t>Module 1 contains</w:t>
      </w:r>
      <w:r w:rsidR="00362572">
        <w:t xml:space="preserve"> the</w:t>
      </w:r>
      <w:r w:rsidRPr="00A97CF5">
        <w:t xml:space="preserve"> appropriate application form, draft Australian </w:t>
      </w:r>
      <w:r w:rsidR="00362572">
        <w:t xml:space="preserve">PI </w:t>
      </w:r>
      <w:r w:rsidRPr="00A97CF5">
        <w:t xml:space="preserve">and </w:t>
      </w:r>
      <w:r w:rsidR="00362572">
        <w:t>C</w:t>
      </w:r>
      <w:r w:rsidRPr="00A97CF5">
        <w:t xml:space="preserve">onsumer </w:t>
      </w:r>
      <w:r w:rsidR="00362572">
        <w:t>M</w:t>
      </w:r>
      <w:r w:rsidRPr="00A97CF5">
        <w:t xml:space="preserve">edicine </w:t>
      </w:r>
      <w:r w:rsidR="00362572">
        <w:t>I</w:t>
      </w:r>
      <w:r w:rsidRPr="00A97CF5">
        <w:t>nformation</w:t>
      </w:r>
      <w:r w:rsidR="00362572">
        <w:t xml:space="preserve"> (CMI)</w:t>
      </w:r>
      <w:r w:rsidRPr="00A97CF5">
        <w:t xml:space="preserve">, FDA approved product label and </w:t>
      </w:r>
      <w:r w:rsidR="003A02D4">
        <w:t xml:space="preserve">proposed </w:t>
      </w:r>
      <w:r w:rsidRPr="00A97CF5">
        <w:t>European summary of product characteristics</w:t>
      </w:r>
      <w:r w:rsidR="00362572">
        <w:t xml:space="preserve"> (EU </w:t>
      </w:r>
      <w:proofErr w:type="spellStart"/>
      <w:r w:rsidR="00362572">
        <w:t>SmPC</w:t>
      </w:r>
      <w:proofErr w:type="spellEnd"/>
      <w:r w:rsidR="00362572">
        <w:t>)</w:t>
      </w:r>
      <w:r w:rsidR="00CA5551">
        <w:t xml:space="preserve">. </w:t>
      </w:r>
    </w:p>
    <w:p w:rsidR="00A97CF5" w:rsidRPr="00A97CF5" w:rsidRDefault="00A97CF5" w:rsidP="00610A1E">
      <w:r w:rsidRPr="00A97CF5">
        <w:t>Module 2 contains appropriate clinical overview</w:t>
      </w:r>
      <w:r w:rsidR="00362572">
        <w:t>s together with summaries</w:t>
      </w:r>
      <w:r w:rsidRPr="00A97CF5">
        <w:t xml:space="preserve"> of clinical efficacy and clinical safety </w:t>
      </w:r>
      <w:r w:rsidR="00362572">
        <w:t xml:space="preserve">and </w:t>
      </w:r>
      <w:r w:rsidRPr="00A97CF5">
        <w:t>literature references.</w:t>
      </w:r>
      <w:r w:rsidR="00FA374D">
        <w:t xml:space="preserve"> </w:t>
      </w:r>
    </w:p>
    <w:p w:rsidR="00A97CF5" w:rsidRDefault="00A97CF5" w:rsidP="00610A1E">
      <w:r w:rsidRPr="00A97CF5">
        <w:t xml:space="preserve">Module 5 </w:t>
      </w:r>
      <w:r w:rsidR="00845984">
        <w:t>included</w:t>
      </w:r>
      <w:r>
        <w:t>:</w:t>
      </w:r>
    </w:p>
    <w:p w:rsidR="00A97CF5" w:rsidRPr="00610A1E" w:rsidRDefault="00A97CF5" w:rsidP="00610A1E">
      <w:pPr>
        <w:pStyle w:val="ListBullet"/>
      </w:pPr>
      <w:r w:rsidRPr="00610A1E">
        <w:t>10 pharmacokinetics/</w:t>
      </w:r>
      <w:proofErr w:type="spellStart"/>
      <w:r w:rsidRPr="00610A1E">
        <w:t>pharmacodynamics</w:t>
      </w:r>
      <w:proofErr w:type="spellEnd"/>
      <w:r w:rsidRPr="00610A1E">
        <w:t xml:space="preserve"> studies; </w:t>
      </w:r>
    </w:p>
    <w:p w:rsidR="00A97CF5" w:rsidRPr="00610A1E" w:rsidRDefault="00A97CF5" w:rsidP="00610A1E">
      <w:pPr>
        <w:pStyle w:val="ListBullet"/>
      </w:pPr>
      <w:r w:rsidRPr="00610A1E">
        <w:t>2 efficacy studies</w:t>
      </w:r>
    </w:p>
    <w:p w:rsidR="00A97CF5" w:rsidRPr="00610A1E" w:rsidRDefault="00A97CF5" w:rsidP="00610A1E">
      <w:pPr>
        <w:pStyle w:val="ListBullet"/>
      </w:pPr>
      <w:r w:rsidRPr="00610A1E">
        <w:t xml:space="preserve">safety data from a total of nine company-sponsored clinical studies and 14 studies which were </w:t>
      </w:r>
      <w:r w:rsidR="00362572" w:rsidRPr="00610A1E">
        <w:t>sponsored by the National Cancer Institute Cancer Therapy Evaluation Program (</w:t>
      </w:r>
      <w:r w:rsidRPr="00610A1E">
        <w:t>NCI CTEP</w:t>
      </w:r>
      <w:r w:rsidR="00362572" w:rsidRPr="00610A1E">
        <w:t>)</w:t>
      </w:r>
      <w:r w:rsidRPr="00610A1E">
        <w:t xml:space="preserve"> conducted in the United States and other institutions</w:t>
      </w:r>
      <w:r w:rsidR="00362572" w:rsidRPr="00610A1E">
        <w:t>.</w:t>
      </w:r>
      <w:r w:rsidRPr="00610A1E">
        <w:t xml:space="preserve"> </w:t>
      </w:r>
    </w:p>
    <w:p w:rsidR="00A97CF5" w:rsidRPr="00A97CF5" w:rsidRDefault="00A97CF5" w:rsidP="00610A1E">
      <w:r w:rsidRPr="00A97CF5">
        <w:t>Also included are two pooled studies, one a popul</w:t>
      </w:r>
      <w:r w:rsidR="000A4711">
        <w:t>ation PK analysis of vismodegib</w:t>
      </w:r>
      <w:r w:rsidRPr="00A97CF5">
        <w:t xml:space="preserve"> </w:t>
      </w:r>
      <w:r>
        <w:t xml:space="preserve">and the </w:t>
      </w:r>
      <w:r w:rsidRPr="00A97CF5">
        <w:t xml:space="preserve">second </w:t>
      </w:r>
      <w:r>
        <w:t xml:space="preserve">a </w:t>
      </w:r>
      <w:r w:rsidRPr="00A97CF5">
        <w:t xml:space="preserve">pooled study </w:t>
      </w:r>
      <w:r>
        <w:t xml:space="preserve">involving </w:t>
      </w:r>
      <w:r w:rsidRPr="00A97CF5">
        <w:t>an exposure</w:t>
      </w:r>
      <w:r>
        <w:t>-</w:t>
      </w:r>
      <w:r w:rsidRPr="00A97CF5">
        <w:t>response analysis of vismodegib in cancer patients</w:t>
      </w:r>
      <w:r w:rsidR="00845984">
        <w:t xml:space="preserve">. </w:t>
      </w:r>
    </w:p>
    <w:p w:rsidR="00A97CF5" w:rsidRPr="00A97CF5" w:rsidRDefault="00A97CF5" w:rsidP="00610A1E">
      <w:r w:rsidRPr="00A97CF5">
        <w:t>For all studies full clinical reports together with relevant summaries and ta</w:t>
      </w:r>
      <w:r w:rsidR="00845984">
        <w:t xml:space="preserve">bular summaries were provided. </w:t>
      </w:r>
      <w:r w:rsidRPr="00A97CF5">
        <w:t xml:space="preserve">The data </w:t>
      </w:r>
      <w:r w:rsidR="00845984">
        <w:t xml:space="preserve">were </w:t>
      </w:r>
      <w:r w:rsidRPr="00A97CF5">
        <w:t>adequate for full evaluation.</w:t>
      </w:r>
      <w:r w:rsidR="00FA374D">
        <w:t xml:space="preserve"> </w:t>
      </w:r>
    </w:p>
    <w:p w:rsidR="00A97CF5" w:rsidRPr="00A97CF5" w:rsidRDefault="00A97CF5" w:rsidP="00610A1E">
      <w:pPr>
        <w:pStyle w:val="Heading4"/>
      </w:pPr>
      <w:bookmarkStart w:id="83" w:name="_Toc363557266"/>
      <w:r w:rsidRPr="00A97CF5">
        <w:t>Paediatric data</w:t>
      </w:r>
      <w:bookmarkEnd w:id="83"/>
    </w:p>
    <w:p w:rsidR="00A97CF5" w:rsidRPr="00A97CF5" w:rsidRDefault="00A97CF5" w:rsidP="00610A1E">
      <w:r w:rsidRPr="00A97CF5">
        <w:t xml:space="preserve">This submission did not include paediatric data. </w:t>
      </w:r>
    </w:p>
    <w:p w:rsidR="00A97CF5" w:rsidRPr="00A97CF5" w:rsidRDefault="00A97CF5" w:rsidP="00610A1E">
      <w:pPr>
        <w:pStyle w:val="Heading4"/>
      </w:pPr>
      <w:bookmarkStart w:id="84" w:name="_Toc363557267"/>
      <w:r w:rsidRPr="00A97CF5">
        <w:t>Good clinical practice</w:t>
      </w:r>
      <w:bookmarkEnd w:id="84"/>
    </w:p>
    <w:p w:rsidR="008E7846" w:rsidRPr="00297B1D" w:rsidRDefault="00A97CF5" w:rsidP="00610A1E">
      <w:r w:rsidRPr="00A97CF5">
        <w:t>All aspects of good clinical practice were observed.</w:t>
      </w:r>
    </w:p>
    <w:p w:rsidR="008E7846" w:rsidRPr="00254787" w:rsidRDefault="008E7846" w:rsidP="00610A1E">
      <w:pPr>
        <w:pStyle w:val="Heading3"/>
      </w:pPr>
      <w:bookmarkStart w:id="85" w:name="_Toc196046464"/>
      <w:bookmarkStart w:id="86" w:name="_Toc247691518"/>
      <w:bookmarkStart w:id="87" w:name="_Toc314842502"/>
      <w:bookmarkStart w:id="88" w:name="_Toc370129096"/>
      <w:r w:rsidRPr="00254787">
        <w:t>Pharmacokinetics</w:t>
      </w:r>
      <w:bookmarkEnd w:id="73"/>
      <w:bookmarkEnd w:id="85"/>
      <w:bookmarkEnd w:id="86"/>
      <w:bookmarkEnd w:id="87"/>
      <w:bookmarkEnd w:id="88"/>
      <w:r w:rsidR="00DE6714">
        <w:t xml:space="preserve"> </w:t>
      </w:r>
    </w:p>
    <w:p w:rsidR="008E7846" w:rsidRDefault="00A97CF5" w:rsidP="00610A1E">
      <w:pPr>
        <w:pStyle w:val="Heading4"/>
      </w:pPr>
      <w:r>
        <w:t>Studies providing pharmacokinetics data</w:t>
      </w:r>
    </w:p>
    <w:p w:rsidR="00A46931" w:rsidRDefault="00A97CF5" w:rsidP="00610A1E">
      <w:r>
        <w:t xml:space="preserve">Module 5 contained </w:t>
      </w:r>
      <w:r w:rsidRPr="00A97CF5">
        <w:t>a total of 10 clinical</w:t>
      </w:r>
      <w:r w:rsidR="00DE6714">
        <w:t xml:space="preserve"> </w:t>
      </w:r>
      <w:r w:rsidRPr="00A97CF5">
        <w:t>studies</w:t>
      </w:r>
      <w:r w:rsidR="006556F3">
        <w:t xml:space="preserve"> providing PK data</w:t>
      </w:r>
      <w:r w:rsidR="00A46931">
        <w:t>, as summarised in table</w:t>
      </w:r>
      <w:r w:rsidR="00C21C0E">
        <w:t xml:space="preserve"> 4.</w:t>
      </w:r>
    </w:p>
    <w:p w:rsidR="00C21C0E" w:rsidRPr="00C21C0E" w:rsidRDefault="00C21C0E" w:rsidP="00610A1E">
      <w:r w:rsidRPr="00C21C0E">
        <w:t xml:space="preserve">In addition, the dossier included an interim report of an ongoing, Phase </w:t>
      </w:r>
      <w:proofErr w:type="spellStart"/>
      <w:r w:rsidRPr="00C21C0E">
        <w:t>Ib</w:t>
      </w:r>
      <w:proofErr w:type="spellEnd"/>
      <w:r w:rsidRPr="00C21C0E">
        <w:t xml:space="preserve">, open label, PK drug interaction study (Study SHH4593g) of </w:t>
      </w:r>
      <w:proofErr w:type="spellStart"/>
      <w:r w:rsidRPr="00C21C0E">
        <w:t>vismodegib</w:t>
      </w:r>
      <w:proofErr w:type="spellEnd"/>
      <w:r w:rsidRPr="00C21C0E">
        <w:t xml:space="preserve"> with </w:t>
      </w:r>
      <w:proofErr w:type="spellStart"/>
      <w:r w:rsidRPr="00C21C0E">
        <w:t>rosiglitazone</w:t>
      </w:r>
      <w:proofErr w:type="spellEnd"/>
      <w:r w:rsidRPr="00C21C0E">
        <w:t xml:space="preserve"> and oral combined contraceptives in patients with locally advanced or metastatic solid tumours that are refractory to standard therapy or for whom no standard therapy exists.</w:t>
      </w:r>
    </w:p>
    <w:p w:rsidR="00C21C0E" w:rsidRPr="00C21C0E" w:rsidRDefault="00C21C0E" w:rsidP="00610A1E">
      <w:r w:rsidRPr="00C21C0E">
        <w:t>A population PK analysis was also conducted on combined PK data in 225 subjects from five clinical studies: Phase I studies SHH3925g (in cancer patients including BCC, n=68), SHH4610g (cancer patients, n=63), SHH4433g (in healthy subjects, n=3) and SHH4683 (healthy subjects, n=18), and the Phase II Study SHH4476g (BCC patients n</w:t>
      </w:r>
      <w:r>
        <w:t xml:space="preserve">=73). </w:t>
      </w:r>
    </w:p>
    <w:p w:rsidR="00A46931" w:rsidRDefault="00A46931" w:rsidP="00610A1E">
      <w:pPr>
        <w:pStyle w:val="TableTitle"/>
      </w:pPr>
      <w:r w:rsidRPr="00A46931">
        <w:t xml:space="preserve">Table </w:t>
      </w:r>
      <w:r w:rsidR="000A623E">
        <w:t>4</w:t>
      </w:r>
      <w:r w:rsidRPr="00A46931">
        <w:t xml:space="preserve">. Overview of vismodegib </w:t>
      </w:r>
      <w:r w:rsidR="006556F3">
        <w:t xml:space="preserve">studies providing PK data </w:t>
      </w:r>
    </w:p>
    <w:p w:rsidR="00D8681D" w:rsidRDefault="00D8681D" w:rsidP="00610A1E">
      <w:r>
        <w:rPr>
          <w:noProof/>
          <w:lang w:eastAsia="en-AU"/>
        </w:rPr>
        <w:drawing>
          <wp:inline distT="0" distB="0" distL="0" distR="0">
            <wp:extent cx="5398077" cy="5866033"/>
            <wp:effectExtent l="19050" t="0" r="0" b="0"/>
            <wp:docPr id="16" name="Picture 2" descr="Table 4. Overview of vismodegib studies providing PK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b="727"/>
                    <a:stretch>
                      <a:fillRect/>
                    </a:stretch>
                  </pic:blipFill>
                  <pic:spPr bwMode="auto">
                    <a:xfrm>
                      <a:off x="0" y="0"/>
                      <a:ext cx="5398077" cy="5866033"/>
                    </a:xfrm>
                    <a:prstGeom prst="rect">
                      <a:avLst/>
                    </a:prstGeom>
                    <a:noFill/>
                    <a:ln w="9525">
                      <a:noFill/>
                      <a:miter lim="800000"/>
                      <a:headEnd/>
                      <a:tailEnd/>
                    </a:ln>
                  </pic:spPr>
                </pic:pic>
              </a:graphicData>
            </a:graphic>
          </wp:inline>
        </w:drawing>
      </w:r>
    </w:p>
    <w:p w:rsidR="00D8681D" w:rsidRPr="00D8681D" w:rsidRDefault="00D8681D" w:rsidP="00610A1E">
      <w:pPr>
        <w:pStyle w:val="TableDescription"/>
      </w:pPr>
      <w:r w:rsidRPr="00D8681D">
        <w:t xml:space="preserve">BCC = basal cell carcinoma; CRC = colorectal cancer; CSF = cerebrospinal fluid; CTEP = Cancer Therapy Evaluation Program; FOLFORI = </w:t>
      </w:r>
      <w:proofErr w:type="spellStart"/>
      <w:r w:rsidRPr="00D8681D">
        <w:t>irinotecan</w:t>
      </w:r>
      <w:proofErr w:type="spellEnd"/>
      <w:r w:rsidRPr="00D8681D">
        <w:t xml:space="preserve">, </w:t>
      </w:r>
      <w:proofErr w:type="spellStart"/>
      <w:r w:rsidRPr="00D8681D">
        <w:t>leucovorin</w:t>
      </w:r>
      <w:proofErr w:type="spellEnd"/>
      <w:r w:rsidRPr="00D8681D">
        <w:t xml:space="preserve"> and </w:t>
      </w:r>
      <w:proofErr w:type="spellStart"/>
      <w:r w:rsidRPr="00D8681D">
        <w:t>infusional</w:t>
      </w:r>
      <w:proofErr w:type="spellEnd"/>
      <w:r w:rsidRPr="00D8681D">
        <w:t xml:space="preserve"> 5-fluorouracil (5-FU); FOLFOX = </w:t>
      </w:r>
      <w:proofErr w:type="spellStart"/>
      <w:r w:rsidRPr="00D8681D">
        <w:t>oxaliplatin</w:t>
      </w:r>
      <w:proofErr w:type="spellEnd"/>
      <w:r w:rsidRPr="00D8681D">
        <w:t xml:space="preserve">, </w:t>
      </w:r>
      <w:proofErr w:type="spellStart"/>
      <w:r w:rsidRPr="00D8681D">
        <w:t>leucovorin</w:t>
      </w:r>
      <w:proofErr w:type="spellEnd"/>
      <w:r w:rsidRPr="00D8681D">
        <w:t xml:space="preserve"> and </w:t>
      </w:r>
      <w:proofErr w:type="spellStart"/>
      <w:r w:rsidRPr="00D8681D">
        <w:t>infusional</w:t>
      </w:r>
      <w:proofErr w:type="spellEnd"/>
      <w:r w:rsidRPr="00D8681D">
        <w:t xml:space="preserve"> 5-FU; QD = once daily; TIW = three times</w:t>
      </w:r>
      <w:r>
        <w:t xml:space="preserve"> a week; QW = once a week; IV = </w:t>
      </w:r>
      <w:r w:rsidRPr="00D8681D">
        <w:t>intravenous; PO = by mouth.</w:t>
      </w:r>
    </w:p>
    <w:bookmarkEnd w:id="74"/>
    <w:p w:rsidR="00A46931" w:rsidRDefault="006556F3" w:rsidP="00610A1E">
      <w:pPr>
        <w:pStyle w:val="Heading4"/>
      </w:pPr>
      <w:r>
        <w:t>Evaluator’s summary and conclusions on</w:t>
      </w:r>
      <w:r w:rsidR="00B938F4">
        <w:t xml:space="preserve"> pharmacokinetics</w:t>
      </w:r>
      <w:r>
        <w:t xml:space="preserve"> </w:t>
      </w:r>
    </w:p>
    <w:p w:rsidR="006556F3" w:rsidRPr="006556F3" w:rsidRDefault="006556F3" w:rsidP="00610A1E">
      <w:r w:rsidRPr="006556F3">
        <w:t xml:space="preserve">The data from the studies </w:t>
      </w:r>
      <w:r w:rsidR="0002535E">
        <w:t xml:space="preserve">(see Table </w:t>
      </w:r>
      <w:r w:rsidR="000A623E">
        <w:t xml:space="preserve">4 </w:t>
      </w:r>
      <w:r w:rsidRPr="006556F3">
        <w:t>above</w:t>
      </w:r>
      <w:r w:rsidR="0002535E">
        <w:t>)</w:t>
      </w:r>
      <w:r w:rsidRPr="006556F3">
        <w:t xml:space="preserve"> indicate that after </w:t>
      </w:r>
      <w:r w:rsidR="00F35BC3">
        <w:t xml:space="preserve">a </w:t>
      </w:r>
      <w:r w:rsidRPr="006556F3">
        <w:t xml:space="preserve">single oral </w:t>
      </w:r>
      <w:r w:rsidR="0002535E">
        <w:t xml:space="preserve">dose </w:t>
      </w:r>
      <w:r w:rsidRPr="006556F3">
        <w:t xml:space="preserve">vismodegib exhibits a unique PK profile with sustained plasma concentrations and a long terminal half-life. </w:t>
      </w:r>
      <w:r w:rsidR="0002535E">
        <w:t>Parallel concentration-</w:t>
      </w:r>
      <w:r w:rsidRPr="006556F3">
        <w:t>time profiles were observed in the terminal elimination phase following oral and IV dosing</w:t>
      </w:r>
      <w:r w:rsidR="00F35BC3">
        <w:t>,</w:t>
      </w:r>
      <w:r w:rsidRPr="006556F3">
        <w:t xml:space="preserve"> indicative of elimination rate-</w:t>
      </w:r>
      <w:r w:rsidR="00187C68">
        <w:t xml:space="preserve">limited </w:t>
      </w:r>
      <w:r w:rsidR="00F35BC3">
        <w:t>PK</w:t>
      </w:r>
      <w:r w:rsidR="00187C68">
        <w:t xml:space="preserve">. </w:t>
      </w:r>
      <w:r w:rsidR="00F35BC3">
        <w:t>N</w:t>
      </w:r>
      <w:r w:rsidRPr="006556F3">
        <w:t xml:space="preserve">on-linear </w:t>
      </w:r>
      <w:r w:rsidR="00F35BC3">
        <w:t xml:space="preserve">PK of vismodegib were also </w:t>
      </w:r>
      <w:r w:rsidRPr="006556F3">
        <w:t>evidenced by dose</w:t>
      </w:r>
      <w:r w:rsidR="00CA5551">
        <w:t>- and concentration-</w:t>
      </w:r>
      <w:r w:rsidRPr="006556F3">
        <w:t xml:space="preserve">dependent changes in PK parameters </w:t>
      </w:r>
      <w:r w:rsidR="00F35BC3">
        <w:t xml:space="preserve">with </w:t>
      </w:r>
      <w:r w:rsidRPr="006556F3">
        <w:t>continuous daily dosing.</w:t>
      </w:r>
      <w:r w:rsidR="00F828C8">
        <w:t xml:space="preserve"> </w:t>
      </w:r>
    </w:p>
    <w:p w:rsidR="006556F3" w:rsidRPr="006556F3" w:rsidRDefault="006556F3" w:rsidP="00610A1E">
      <w:r w:rsidRPr="006556F3">
        <w:t>Vismodegib concentrations after a single oral dose increase with dose escalation from 150</w:t>
      </w:r>
      <w:r w:rsidR="00187C68">
        <w:t> </w:t>
      </w:r>
      <w:r w:rsidRPr="006556F3">
        <w:t>mg to 270 mg, however at 540 mg the mean total of unbound plasma vismodegib concentrations were similar to that observed at 270 mg suggesting saturable absorption. The estimated terminal elimination half-life of vismodegib is 12 days after a single dose.</w:t>
      </w:r>
      <w:r w:rsidR="00FA374D">
        <w:t xml:space="preserve"> </w:t>
      </w:r>
    </w:p>
    <w:p w:rsidR="00C06B62" w:rsidRPr="00C06B62" w:rsidRDefault="00F35BC3" w:rsidP="00610A1E">
      <w:r>
        <w:t xml:space="preserve">After continuous once </w:t>
      </w:r>
      <w:r w:rsidR="006556F3" w:rsidRPr="006556F3">
        <w:t>daily dosing</w:t>
      </w:r>
      <w:r>
        <w:t>,</w:t>
      </w:r>
      <w:r w:rsidR="006556F3" w:rsidRPr="006556F3">
        <w:t xml:space="preserve"> similar steady state levels (total and unbound) of vismodegib were observed ac</w:t>
      </w:r>
      <w:r w:rsidR="00187C68">
        <w:t>ross all three dosing cohorts</w:t>
      </w:r>
      <w:r>
        <w:t xml:space="preserve"> (150, 270 and 540 mg)</w:t>
      </w:r>
      <w:r w:rsidR="00187C68">
        <w:t xml:space="preserve">. </w:t>
      </w:r>
      <w:r w:rsidR="00C06B62" w:rsidRPr="00C06B62">
        <w:t>The plasma concentration-time curve for vismodegib in canc</w:t>
      </w:r>
      <w:r w:rsidR="00C3779E">
        <w:t>er patients is shown in Figure 2</w:t>
      </w:r>
      <w:r w:rsidR="00C06B62" w:rsidRPr="00C06B62">
        <w:t>.</w:t>
      </w:r>
    </w:p>
    <w:p w:rsidR="00641B04" w:rsidRPr="00C06B62" w:rsidRDefault="00C3779E" w:rsidP="00610A1E">
      <w:pPr>
        <w:pStyle w:val="FigureTitle"/>
      </w:pPr>
      <w:r>
        <w:t>Figure 2</w:t>
      </w:r>
      <w:r w:rsidR="00641B04" w:rsidRPr="00C06B62">
        <w:t>. Mean (</w:t>
      </w:r>
      <w:r w:rsidR="00641B04" w:rsidRPr="00C06B62">
        <w:sym w:font="Symbol" w:char="F0B1"/>
      </w:r>
      <w:r w:rsidR="00641B04" w:rsidRPr="00C06B62">
        <w:t xml:space="preserve"> SD) plasma concentrations of vismodegib (Total [A] and Unbound [B] versus time after daily oral dosing</w:t>
      </w:r>
      <w:r w:rsidR="00D10A17">
        <w:t>.</w:t>
      </w:r>
      <w:r w:rsidR="00641B04" w:rsidRPr="00C06B62">
        <w:t xml:space="preserve"> Study SHH3925g. </w:t>
      </w:r>
    </w:p>
    <w:p w:rsidR="00C06B62" w:rsidRPr="00C06B62" w:rsidRDefault="00C06B62" w:rsidP="00610A1E">
      <w:r w:rsidRPr="00C06B62">
        <w:rPr>
          <w:noProof/>
          <w:lang w:eastAsia="en-AU"/>
        </w:rPr>
        <w:drawing>
          <wp:inline distT="0" distB="0" distL="0" distR="0">
            <wp:extent cx="3558608" cy="4630616"/>
            <wp:effectExtent l="19050" t="0" r="3742" b="0"/>
            <wp:docPr id="19" name="Picture 38" descr="Figure 2. Mean (± standard deviation (SD)) plasma concentrations of vismodegib (Total [A] and Unbound [B] versus time after daily oral dosing with 150 mg, 270 mg or 540 mg in Study SHH3925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srcRect l="2404" t="7040" b="8400"/>
                    <a:stretch>
                      <a:fillRect/>
                    </a:stretch>
                  </pic:blipFill>
                  <pic:spPr bwMode="auto">
                    <a:xfrm>
                      <a:off x="0" y="0"/>
                      <a:ext cx="3556796" cy="4628258"/>
                    </a:xfrm>
                    <a:prstGeom prst="rect">
                      <a:avLst/>
                    </a:prstGeom>
                    <a:noFill/>
                    <a:ln w="9525">
                      <a:noFill/>
                      <a:miter lim="800000"/>
                      <a:headEnd/>
                      <a:tailEnd/>
                    </a:ln>
                  </pic:spPr>
                </pic:pic>
              </a:graphicData>
            </a:graphic>
          </wp:inline>
        </w:drawing>
      </w:r>
    </w:p>
    <w:p w:rsidR="00187C68" w:rsidRDefault="006556F3" w:rsidP="00610A1E">
      <w:r w:rsidRPr="006556F3">
        <w:t xml:space="preserve">Following IV administration of vismodegib at oral steady state, vismodegib </w:t>
      </w:r>
      <w:r w:rsidR="00F35BC3">
        <w:t>clearance (CL) and volume of distribution at steady state (</w:t>
      </w:r>
      <w:proofErr w:type="spellStart"/>
      <w:r w:rsidR="00187C68">
        <w:t>Vss</w:t>
      </w:r>
      <w:proofErr w:type="spellEnd"/>
      <w:r w:rsidR="00F35BC3">
        <w:t>)</w:t>
      </w:r>
      <w:r w:rsidR="00187C68">
        <w:t xml:space="preserve"> both increased &gt;50%</w:t>
      </w:r>
      <w:r w:rsidR="00F35BC3">
        <w:t xml:space="preserve"> compared with after a single dose</w:t>
      </w:r>
      <w:r w:rsidR="00187C68">
        <w:t xml:space="preserve">. </w:t>
      </w:r>
      <w:r w:rsidRPr="006556F3">
        <w:t xml:space="preserve">The increase in CL and </w:t>
      </w:r>
      <w:proofErr w:type="spellStart"/>
      <w:r w:rsidRPr="006556F3">
        <w:t>Vss</w:t>
      </w:r>
      <w:proofErr w:type="spellEnd"/>
      <w:r w:rsidRPr="006556F3">
        <w:t xml:space="preserve"> can be explained by the observed increase (approximately three-fold) in fraction of unbound vismodegib after daily dos</w:t>
      </w:r>
      <w:r w:rsidR="00187C68">
        <w:t xml:space="preserve">ing relative to a single dose. </w:t>
      </w:r>
      <w:r w:rsidRPr="006556F3">
        <w:t xml:space="preserve">Under continuous dosing conditions the apparent half-life of vismodegib at steady state is shorter </w:t>
      </w:r>
      <w:r w:rsidR="00F35BC3">
        <w:t xml:space="preserve">at 4 days </w:t>
      </w:r>
      <w:r w:rsidRPr="006556F3">
        <w:t xml:space="preserve">than after a single dose </w:t>
      </w:r>
      <w:r w:rsidR="00F35BC3">
        <w:t xml:space="preserve">(12 days) </w:t>
      </w:r>
      <w:r w:rsidRPr="006556F3">
        <w:t>and steady state drug concentrations are obtained earlier and are lower than expected.</w:t>
      </w:r>
      <w:r w:rsidR="00F828C8">
        <w:t xml:space="preserve"> </w:t>
      </w:r>
    </w:p>
    <w:p w:rsidR="00B938F4" w:rsidRDefault="006556F3" w:rsidP="00610A1E">
      <w:r w:rsidRPr="006556F3">
        <w:t>Total vismodegib concentrations and AAG levels were strongly correlated, showing parallel fluctuations of AAG and total drug over time with consistently low unbound drug levels (&lt;1%) regard</w:t>
      </w:r>
      <w:r w:rsidR="00974BFD">
        <w:t xml:space="preserve">less of dose or concentration. </w:t>
      </w:r>
      <w:r w:rsidRPr="006556F3">
        <w:t>Collectively these findings demonstrate that the PK profile of vismodegib can be explained by its saturable absorption, slow metabolic elimination properties and high</w:t>
      </w:r>
      <w:r w:rsidR="00F35BC3">
        <w:t>,</w:t>
      </w:r>
      <w:r w:rsidRPr="006556F3">
        <w:t xml:space="preserve"> saturable binding </w:t>
      </w:r>
      <w:r w:rsidR="00F35BC3">
        <w:t xml:space="preserve">to AAG. </w:t>
      </w:r>
    </w:p>
    <w:p w:rsidR="006556F3" w:rsidRPr="006556F3" w:rsidRDefault="006556F3" w:rsidP="00610A1E">
      <w:r w:rsidRPr="006556F3">
        <w:t xml:space="preserve">A population PK analysis was conducted on combined PK data in 225 subjects from five clinical studies. Because of the non-linear </w:t>
      </w:r>
      <w:r w:rsidR="00F35BC3">
        <w:t xml:space="preserve">PK </w:t>
      </w:r>
      <w:r w:rsidRPr="006556F3">
        <w:t>of vismodegib and the importance of AAG binding both total and unbound plasma concentrations of vismodegib were analysed simultaneously where available.</w:t>
      </w:r>
      <w:r w:rsidR="00F828C8">
        <w:t xml:space="preserve"> </w:t>
      </w:r>
    </w:p>
    <w:p w:rsidR="006556F3" w:rsidRPr="006556F3" w:rsidRDefault="006556F3" w:rsidP="00610A1E">
      <w:r w:rsidRPr="006556F3">
        <w:t xml:space="preserve">The </w:t>
      </w:r>
      <w:r w:rsidR="00F35BC3">
        <w:t xml:space="preserve">PK </w:t>
      </w:r>
      <w:r w:rsidRPr="006556F3">
        <w:t>of vismodegib at the clinical dose range can be adequately described by a one-compartment model with first order absorption, first order elimination of unbound drug and saturable binding to AAG with fast equilibrium.</w:t>
      </w:r>
      <w:r w:rsidR="00F828C8">
        <w:t xml:space="preserve"> </w:t>
      </w:r>
    </w:p>
    <w:p w:rsidR="006556F3" w:rsidRPr="006556F3" w:rsidRDefault="00CA5551" w:rsidP="00610A1E">
      <w:r>
        <w:t>A</w:t>
      </w:r>
      <w:r w:rsidRPr="00CA5551">
        <w:t xml:space="preserve">lpha-1-acid glycoprotein </w:t>
      </w:r>
      <w:r w:rsidR="006556F3" w:rsidRPr="006556F3">
        <w:t xml:space="preserve">concentrations were the most important factor influencing steady state plasma concentrations of </w:t>
      </w:r>
      <w:r w:rsidR="004816FD">
        <w:t xml:space="preserve">total or unbound </w:t>
      </w:r>
      <w:r w:rsidR="001D4FDC">
        <w:t>vismodegib</w:t>
      </w:r>
      <w:r w:rsidR="006556F3" w:rsidRPr="006556F3">
        <w:t xml:space="preserve">. </w:t>
      </w:r>
      <w:r>
        <w:t>A</w:t>
      </w:r>
      <w:r w:rsidRPr="00CA5551">
        <w:t xml:space="preserve">lpha-1-acid glycoprotein </w:t>
      </w:r>
      <w:r w:rsidR="006556F3" w:rsidRPr="006556F3">
        <w:t>was also the most influential factor for steady state concentration of unbound vismodegib</w:t>
      </w:r>
      <w:r w:rsidR="00F35BC3">
        <w:t xml:space="preserve">. </w:t>
      </w:r>
      <w:r w:rsidR="006556F3" w:rsidRPr="006556F3">
        <w:t>None of the other baseline co-variants evaluated showed clinically relevant impact on steady state concentrations</w:t>
      </w:r>
      <w:r w:rsidR="000C605D">
        <w:t xml:space="preserve"> of total or unbound </w:t>
      </w:r>
      <w:proofErr w:type="spellStart"/>
      <w:r w:rsidR="000C605D">
        <w:t>vismodegib</w:t>
      </w:r>
      <w:proofErr w:type="spellEnd"/>
      <w:r w:rsidR="006556F3" w:rsidRPr="006556F3">
        <w:t>.</w:t>
      </w:r>
      <w:r w:rsidR="00F828C8">
        <w:t xml:space="preserve"> </w:t>
      </w:r>
    </w:p>
    <w:p w:rsidR="00021EFE" w:rsidRDefault="00021EFE" w:rsidP="00610A1E">
      <w:r w:rsidRPr="006556F3">
        <w:t>In the population PK analysis</w:t>
      </w:r>
      <w:r w:rsidRPr="00021EFE">
        <w:t xml:space="preserve"> </w:t>
      </w:r>
      <w:r>
        <w:t>a</w:t>
      </w:r>
      <w:r w:rsidRPr="00021EFE">
        <w:t>ge and body weight were</w:t>
      </w:r>
      <w:r>
        <w:t xml:space="preserve"> </w:t>
      </w:r>
      <w:r w:rsidRPr="00021EFE">
        <w:t>identified as statistically significant covariates for the vismodegib disposition</w:t>
      </w:r>
      <w:r>
        <w:t xml:space="preserve"> parameters </w:t>
      </w:r>
      <w:r w:rsidR="005C7158">
        <w:t>CL (</w:t>
      </w:r>
      <w:r w:rsidRPr="00021EFE">
        <w:t>unbound</w:t>
      </w:r>
      <w:r w:rsidR="005C7158">
        <w:t xml:space="preserve"> drug)</w:t>
      </w:r>
      <w:r w:rsidRPr="00021EFE">
        <w:t xml:space="preserve"> and apparent volume of distribution</w:t>
      </w:r>
      <w:r w:rsidR="005C7158">
        <w:t xml:space="preserve"> of the central compartment (</w:t>
      </w:r>
      <w:proofErr w:type="spellStart"/>
      <w:r w:rsidR="005C7158">
        <w:t>V</w:t>
      </w:r>
      <w:r w:rsidR="005C7158" w:rsidRPr="005C7158">
        <w:rPr>
          <w:vertAlign w:val="subscript"/>
        </w:rPr>
        <w:t>c</w:t>
      </w:r>
      <w:proofErr w:type="spellEnd"/>
      <w:r w:rsidR="005C7158">
        <w:t>)</w:t>
      </w:r>
      <w:r w:rsidRPr="00021EFE">
        <w:t>, respectively, but</w:t>
      </w:r>
      <w:r>
        <w:t xml:space="preserve"> </w:t>
      </w:r>
      <w:r w:rsidRPr="00021EFE">
        <w:t>sensitivity analysis suggested that neither of these effects had a clinically</w:t>
      </w:r>
      <w:r>
        <w:t xml:space="preserve"> </w:t>
      </w:r>
      <w:r w:rsidRPr="00021EFE">
        <w:t>significant impact on vis</w:t>
      </w:r>
      <w:r w:rsidR="00CA5551">
        <w:t xml:space="preserve">modegib concentration at steady </w:t>
      </w:r>
      <w:r w:rsidRPr="00021EFE">
        <w:t xml:space="preserve">state. </w:t>
      </w:r>
    </w:p>
    <w:p w:rsidR="006556F3" w:rsidRPr="006556F3" w:rsidRDefault="00021EFE" w:rsidP="00610A1E">
      <w:r w:rsidRPr="00021EFE">
        <w:t>Cancer patients</w:t>
      </w:r>
      <w:r>
        <w:t xml:space="preserve"> </w:t>
      </w:r>
      <w:r w:rsidRPr="00021EFE">
        <w:t>showed slower drug absorption (lower first-order absorption rate constant [ka])</w:t>
      </w:r>
      <w:r>
        <w:t xml:space="preserve"> </w:t>
      </w:r>
      <w:r w:rsidRPr="00021EFE">
        <w:t>than did healthy volunteers, but with no significant impact on vismodegib</w:t>
      </w:r>
      <w:r>
        <w:t xml:space="preserve"> </w:t>
      </w:r>
      <w:r w:rsidR="00CA5551">
        <w:t xml:space="preserve">exposure at steady </w:t>
      </w:r>
      <w:r w:rsidRPr="00021EFE">
        <w:t>state.</w:t>
      </w:r>
      <w:r>
        <w:t xml:space="preserve"> </w:t>
      </w:r>
      <w:r w:rsidR="006556F3" w:rsidRPr="006556F3">
        <w:t>The vis</w:t>
      </w:r>
      <w:r w:rsidR="005C7158">
        <w:t xml:space="preserve">modegib </w:t>
      </w:r>
      <w:r w:rsidR="006556F3" w:rsidRPr="006556F3">
        <w:t xml:space="preserve">CL </w:t>
      </w:r>
      <w:r w:rsidR="005C7158">
        <w:t>(</w:t>
      </w:r>
      <w:r w:rsidR="006556F3" w:rsidRPr="006556F3">
        <w:t>unbound</w:t>
      </w:r>
      <w:r w:rsidR="005C7158">
        <w:t xml:space="preserve"> drug), </w:t>
      </w:r>
      <w:proofErr w:type="spellStart"/>
      <w:r w:rsidR="006556F3" w:rsidRPr="006556F3">
        <w:t>V</w:t>
      </w:r>
      <w:r w:rsidR="006556F3" w:rsidRPr="006556F3">
        <w:rPr>
          <w:vertAlign w:val="subscript"/>
        </w:rPr>
        <w:t>c</w:t>
      </w:r>
      <w:proofErr w:type="spellEnd"/>
      <w:r w:rsidR="005C7158" w:rsidRPr="005C7158">
        <w:t>,</w:t>
      </w:r>
      <w:r w:rsidR="006556F3" w:rsidRPr="006556F3">
        <w:t xml:space="preserve"> and </w:t>
      </w:r>
      <w:r w:rsidR="005C7158" w:rsidRPr="005C7158">
        <w:t xml:space="preserve">dissociation constant </w:t>
      </w:r>
      <w:r w:rsidR="005C7158">
        <w:t xml:space="preserve">for </w:t>
      </w:r>
      <w:r w:rsidR="004816FD">
        <w:t>vismodegib</w:t>
      </w:r>
      <w:r w:rsidR="005C7158" w:rsidRPr="005C7158">
        <w:t>-AAG binding (KD</w:t>
      </w:r>
      <w:r w:rsidR="005C7158" w:rsidRPr="005C7158">
        <w:rPr>
          <w:vertAlign w:val="subscript"/>
        </w:rPr>
        <w:t>AAG</w:t>
      </w:r>
      <w:r w:rsidR="006556F3" w:rsidRPr="006556F3">
        <w:t>) did not differ among different subject populations (healthy v</w:t>
      </w:r>
      <w:r w:rsidR="005C7158">
        <w:t xml:space="preserve">ersus </w:t>
      </w:r>
      <w:r w:rsidR="006556F3" w:rsidRPr="006556F3">
        <w:t xml:space="preserve">patients, BCC </w:t>
      </w:r>
      <w:r w:rsidR="005C7158">
        <w:t xml:space="preserve">versus </w:t>
      </w:r>
      <w:r w:rsidR="006556F3" w:rsidRPr="006556F3">
        <w:t xml:space="preserve">non-BCC, locally advanced </w:t>
      </w:r>
      <w:r w:rsidR="005C7158">
        <w:t xml:space="preserve">versus metastatic BCC). </w:t>
      </w:r>
      <w:r w:rsidR="006556F3" w:rsidRPr="006556F3">
        <w:t xml:space="preserve">The slow absorption in patients may be due to multiple factors such as slower gastrointestinal transit, higher gastrointestinal pH and co-medications affecting </w:t>
      </w:r>
      <w:r w:rsidR="005C7158" w:rsidRPr="005C7158">
        <w:t xml:space="preserve">gastrointestinal </w:t>
      </w:r>
      <w:r w:rsidR="006556F3" w:rsidRPr="006556F3">
        <w:t xml:space="preserve">conditions which in turn may affect vismodegib solubility and absorption </w:t>
      </w:r>
      <w:r w:rsidR="006556F3" w:rsidRPr="005C7158">
        <w:rPr>
          <w:i/>
        </w:rPr>
        <w:t>in vivo</w:t>
      </w:r>
      <w:r w:rsidR="006556F3" w:rsidRPr="006556F3">
        <w:t>.</w:t>
      </w:r>
      <w:r w:rsidR="00FA374D">
        <w:t xml:space="preserve"> </w:t>
      </w:r>
    </w:p>
    <w:p w:rsidR="005C7158" w:rsidRDefault="006556F3" w:rsidP="00610A1E">
      <w:r w:rsidRPr="006556F3">
        <w:t xml:space="preserve">Estimation of population PK parameters suggested an apparent vismodegib half-life of 4 days at steady state </w:t>
      </w:r>
      <w:r w:rsidR="005C7158">
        <w:t xml:space="preserve">in </w:t>
      </w:r>
      <w:r w:rsidRPr="006556F3">
        <w:t xml:space="preserve">a typical patient (60 year old with bodyweight of 75 kg and AAG of 30 µM). Modelling and simulations suggested that a time to steady state is approximately seven days in a typical population with continuing daily dosing of 150 mg vismodegib. Moderate inter-subject variability was estimated for vismodegib disposition parameters in the population PK analysis (approximately 50% for CL </w:t>
      </w:r>
      <w:r w:rsidR="005C7158">
        <w:t>(</w:t>
      </w:r>
      <w:r w:rsidRPr="006556F3">
        <w:t xml:space="preserve">unbound </w:t>
      </w:r>
      <w:r w:rsidR="005C7158">
        <w:t xml:space="preserve">drug) </w:t>
      </w:r>
      <w:r w:rsidRPr="006556F3">
        <w:t xml:space="preserve">and </w:t>
      </w:r>
      <w:proofErr w:type="spellStart"/>
      <w:r w:rsidRPr="006556F3">
        <w:t>V</w:t>
      </w:r>
      <w:r w:rsidRPr="006556F3">
        <w:rPr>
          <w:vertAlign w:val="subscript"/>
        </w:rPr>
        <w:t>c</w:t>
      </w:r>
      <w:proofErr w:type="spellEnd"/>
      <w:r w:rsidR="005C7158">
        <w:t>,</w:t>
      </w:r>
      <w:r w:rsidRPr="006556F3">
        <w:t xml:space="preserve"> 20% for KD</w:t>
      </w:r>
      <w:r w:rsidRPr="006556F3">
        <w:rPr>
          <w:vertAlign w:val="subscript"/>
        </w:rPr>
        <w:t>AAG</w:t>
      </w:r>
      <w:r w:rsidRPr="006556F3">
        <w:t xml:space="preserve">). </w:t>
      </w:r>
    </w:p>
    <w:p w:rsidR="006556F3" w:rsidRDefault="006556F3" w:rsidP="00610A1E">
      <w:r w:rsidRPr="006556F3">
        <w:t>Intra-subject variability estimates were 27% and 42% for total and unbound plasma concentratio</w:t>
      </w:r>
      <w:r w:rsidR="005C7158">
        <w:t xml:space="preserve">ns of vismodegib respectively. </w:t>
      </w:r>
      <w:r w:rsidRPr="006556F3">
        <w:t>The greater intra-subject variability of unbound concentration was consistent with the potential greater assay variability associated with separation of unbound drug pri</w:t>
      </w:r>
      <w:r w:rsidR="005C7158">
        <w:t xml:space="preserve">or to measurement. </w:t>
      </w:r>
      <w:r w:rsidR="00CA5551">
        <w:t>No difference in</w:t>
      </w:r>
      <w:r w:rsidRPr="006556F3">
        <w:t xml:space="preserve"> PK variability between cancer patients and healthy subjects was identified i</w:t>
      </w:r>
      <w:r w:rsidR="005C7158">
        <w:t xml:space="preserve">n the population PK analysis. </w:t>
      </w:r>
    </w:p>
    <w:p w:rsidR="00974BFD" w:rsidRDefault="004816FD" w:rsidP="00610A1E">
      <w:r>
        <w:t>Overall, v</w:t>
      </w:r>
      <w:r w:rsidR="00B618F6" w:rsidRPr="00B618F6">
        <w:t>ismodegib exhibits non-linear PK as evidenced by dose and concentration depen</w:t>
      </w:r>
      <w:r w:rsidR="00562FD2">
        <w:t xml:space="preserve">dent changes in PK parameters. </w:t>
      </w:r>
      <w:r w:rsidR="00B618F6" w:rsidRPr="00B618F6">
        <w:t xml:space="preserve">Absorption is saturable and CL and </w:t>
      </w:r>
      <w:proofErr w:type="spellStart"/>
      <w:r w:rsidR="00B618F6" w:rsidRPr="00B618F6">
        <w:t>V</w:t>
      </w:r>
      <w:r w:rsidR="00B618F6" w:rsidRPr="00B618F6">
        <w:rPr>
          <w:vertAlign w:val="subscript"/>
        </w:rPr>
        <w:t>ss</w:t>
      </w:r>
      <w:proofErr w:type="spellEnd"/>
      <w:r w:rsidR="00B618F6" w:rsidRPr="00CA5551">
        <w:t xml:space="preserve"> </w:t>
      </w:r>
      <w:r w:rsidR="00B618F6" w:rsidRPr="00B618F6">
        <w:t>increase after repeated daily dosing due to changes in the fraction unbound</w:t>
      </w:r>
      <w:r w:rsidR="005C7158">
        <w:t>,</w:t>
      </w:r>
      <w:r w:rsidR="00B618F6" w:rsidRPr="00B618F6">
        <w:t xml:space="preserve"> which is dependent on</w:t>
      </w:r>
      <w:r w:rsidR="005C7158">
        <w:t xml:space="preserve"> the degree of AAG saturation. </w:t>
      </w:r>
      <w:r w:rsidR="00B618F6" w:rsidRPr="00B618F6">
        <w:t>As a result of these PK properties</w:t>
      </w:r>
      <w:r w:rsidR="00562FD2">
        <w:t>,</w:t>
      </w:r>
      <w:r w:rsidR="00B618F6" w:rsidRPr="00B618F6">
        <w:t xml:space="preserve"> daily dosing of vismodegib does not result in excessive drug accumulation as predicted for a drug with a single dose half-life of 12 days.</w:t>
      </w:r>
      <w:r w:rsidR="00F828C8">
        <w:t xml:space="preserve"> </w:t>
      </w:r>
    </w:p>
    <w:p w:rsidR="00974BFD" w:rsidRDefault="00B618F6" w:rsidP="00610A1E">
      <w:r w:rsidRPr="00B618F6">
        <w:t>An optimal dose of vismodegib (150</w:t>
      </w:r>
      <w:r w:rsidR="00F534E1">
        <w:t xml:space="preserve"> </w:t>
      </w:r>
      <w:r w:rsidRPr="00B618F6">
        <w:t xml:space="preserve">mg) was identified based on multiple factors including saturable absorption </w:t>
      </w:r>
      <w:r w:rsidR="00562FD2">
        <w:t xml:space="preserve">at </w:t>
      </w:r>
      <w:r w:rsidRPr="00B618F6">
        <w:t>daily doses &gt;150</w:t>
      </w:r>
      <w:r w:rsidR="00F534E1">
        <w:t xml:space="preserve"> </w:t>
      </w:r>
      <w:r w:rsidRPr="00B618F6">
        <w:t xml:space="preserve">mg </w:t>
      </w:r>
      <w:r w:rsidR="00562FD2">
        <w:t xml:space="preserve">and </w:t>
      </w:r>
      <w:r w:rsidRPr="00B618F6">
        <w:t>non-linear protein binding with dosing sc</w:t>
      </w:r>
      <w:r w:rsidR="005C7158">
        <w:t xml:space="preserve">hedules alternate to </w:t>
      </w:r>
      <w:r w:rsidR="00562FD2">
        <w:t>once daily</w:t>
      </w:r>
      <w:r w:rsidR="005C7158">
        <w:t xml:space="preserve">. </w:t>
      </w:r>
      <w:r w:rsidRPr="00B618F6">
        <w:t xml:space="preserve">Because of </w:t>
      </w:r>
      <w:r w:rsidR="00562FD2">
        <w:t xml:space="preserve">the </w:t>
      </w:r>
      <w:r w:rsidRPr="00B618F6">
        <w:t xml:space="preserve">slow elimination of vismodegib </w:t>
      </w:r>
      <w:r w:rsidRPr="005C7158">
        <w:rPr>
          <w:i/>
        </w:rPr>
        <w:t>via</w:t>
      </w:r>
      <w:r w:rsidRPr="00B618F6">
        <w:t xml:space="preserve"> multiple elimination pathways</w:t>
      </w:r>
      <w:r w:rsidR="00562FD2">
        <w:t>,</w:t>
      </w:r>
      <w:r w:rsidRPr="00B618F6">
        <w:t xml:space="preserve"> including metabolism by several CYPs and excretion of unchanged drug</w:t>
      </w:r>
      <w:r w:rsidR="00562FD2">
        <w:t>,</w:t>
      </w:r>
      <w:r w:rsidRPr="00B618F6">
        <w:t xml:space="preserve"> interactions in which vismodegib is affected </w:t>
      </w:r>
      <w:r w:rsidR="00562FD2">
        <w:t xml:space="preserve">are </w:t>
      </w:r>
      <w:r w:rsidRPr="00B618F6">
        <w:t>unlikely.</w:t>
      </w:r>
      <w:r w:rsidR="00F828C8">
        <w:t xml:space="preserve"> </w:t>
      </w:r>
    </w:p>
    <w:p w:rsidR="00974BFD" w:rsidRDefault="00B618F6" w:rsidP="00610A1E">
      <w:r w:rsidRPr="00B618F6">
        <w:t xml:space="preserve">The similar steady state vismodegib concentrations obtained in patients receiving CYP inhibitors and inducers support the </w:t>
      </w:r>
      <w:r w:rsidR="00562FD2">
        <w:t xml:space="preserve">lack of </w:t>
      </w:r>
      <w:r w:rsidRPr="00B618F6">
        <w:t xml:space="preserve">effect of such agents on vismodegib </w:t>
      </w:r>
      <w:r w:rsidR="00562FD2">
        <w:t>PK</w:t>
      </w:r>
      <w:r w:rsidRPr="00B618F6">
        <w:t xml:space="preserve">. Similarly data from studies presented indicates that the potential for vismodegib to affect the </w:t>
      </w:r>
      <w:r w:rsidR="00562FD2">
        <w:t xml:space="preserve">PK </w:t>
      </w:r>
      <w:r w:rsidRPr="00B618F6">
        <w:t>of other drugs is minimal.</w:t>
      </w:r>
      <w:r w:rsidR="00F828C8">
        <w:t xml:space="preserve"> </w:t>
      </w:r>
    </w:p>
    <w:p w:rsidR="00B618F6" w:rsidRPr="006556F3" w:rsidRDefault="00B618F6" w:rsidP="00610A1E">
      <w:r w:rsidRPr="00B618F6">
        <w:t>Population PK analysis suggested that vismodegib PK is highly dependent on AAG concentration whereas no other intrinsic factors were shown to significantly impact vismodegib exposure.</w:t>
      </w:r>
    </w:p>
    <w:p w:rsidR="000C605D" w:rsidRPr="000C605D" w:rsidRDefault="000C605D" w:rsidP="00610A1E">
      <w:pPr>
        <w:pStyle w:val="Heading3"/>
      </w:pPr>
      <w:bookmarkStart w:id="89" w:name="_Toc370129097"/>
      <w:proofErr w:type="spellStart"/>
      <w:r w:rsidRPr="000C605D">
        <w:t>Pharmaco</w:t>
      </w:r>
      <w:r>
        <w:t>dynamics</w:t>
      </w:r>
      <w:bookmarkEnd w:id="89"/>
      <w:proofErr w:type="spellEnd"/>
    </w:p>
    <w:p w:rsidR="000C605D" w:rsidRPr="000C605D" w:rsidRDefault="000C605D" w:rsidP="00FA374D">
      <w:pPr>
        <w:pStyle w:val="Heading4"/>
      </w:pPr>
      <w:r w:rsidRPr="000C605D">
        <w:t>St</w:t>
      </w:r>
      <w:r>
        <w:t>udies providing pharmacodynamic</w:t>
      </w:r>
      <w:r w:rsidRPr="000C605D">
        <w:t xml:space="preserve"> data</w:t>
      </w:r>
    </w:p>
    <w:p w:rsidR="000C605D" w:rsidRDefault="000C605D" w:rsidP="00FA374D">
      <w:r w:rsidRPr="000C605D">
        <w:t xml:space="preserve">Several </w:t>
      </w:r>
      <w:r>
        <w:t>e</w:t>
      </w:r>
      <w:r w:rsidRPr="000C605D">
        <w:t>xposure-response relationship</w:t>
      </w:r>
      <w:r>
        <w:t xml:space="preserve"> studies were conducted as follows:</w:t>
      </w:r>
    </w:p>
    <w:p w:rsidR="000C605D" w:rsidRPr="000C605D" w:rsidRDefault="000C605D" w:rsidP="00FA374D">
      <w:pPr>
        <w:pStyle w:val="Heading5"/>
      </w:pPr>
      <w:r w:rsidRPr="000C605D">
        <w:t xml:space="preserve">Exposure-response relationship for biomarker response </w:t>
      </w:r>
    </w:p>
    <w:p w:rsidR="000C605D" w:rsidRPr="000C605D" w:rsidRDefault="00631596" w:rsidP="00FA374D">
      <w:r>
        <w:t>Biomarker GLi</w:t>
      </w:r>
      <w:r w:rsidR="000C605D" w:rsidRPr="000C605D">
        <w:t xml:space="preserve">1 expression from hair follicle cells from pulled hair and skin punch biopsies </w:t>
      </w:r>
      <w:r w:rsidR="003D2867">
        <w:t xml:space="preserve">was determined </w:t>
      </w:r>
      <w:r w:rsidR="000C605D" w:rsidRPr="000C605D">
        <w:t xml:space="preserve">prior to vismodegib dosing </w:t>
      </w:r>
      <w:r w:rsidR="003D2867">
        <w:t xml:space="preserve">in </w:t>
      </w:r>
      <w:r w:rsidR="003D2867" w:rsidRPr="000C605D">
        <w:t xml:space="preserve">the </w:t>
      </w:r>
      <w:r w:rsidR="003D2867">
        <w:t>S</w:t>
      </w:r>
      <w:r w:rsidR="003D2867" w:rsidRPr="000C605D">
        <w:t xml:space="preserve">tage II cohort with advanced BCC </w:t>
      </w:r>
      <w:r w:rsidR="000C605D" w:rsidRPr="000C605D">
        <w:t xml:space="preserve">in </w:t>
      </w:r>
      <w:r w:rsidR="000C605D">
        <w:t>S</w:t>
      </w:r>
      <w:r w:rsidR="000C605D" w:rsidRPr="000C605D">
        <w:t xml:space="preserve">tudy SHH3925g. </w:t>
      </w:r>
    </w:p>
    <w:p w:rsidR="000C605D" w:rsidRPr="000C605D" w:rsidRDefault="00631596" w:rsidP="00FA374D">
      <w:r>
        <w:t>No relationship between GLi</w:t>
      </w:r>
      <w:r w:rsidR="000C605D" w:rsidRPr="000C605D">
        <w:t>1 biomarker expression and total plasma concentration of vismodegib was observed. A slight tr</w:t>
      </w:r>
      <w:r>
        <w:t>end suggesting a decrease in GLi</w:t>
      </w:r>
      <w:r w:rsidR="000C605D" w:rsidRPr="000C605D">
        <w:t xml:space="preserve">1 expression with increasing unbound plasma concentrations of vismodegib was observed, however this effect was deemed to be inconclusive and insignificant with linear regression </w:t>
      </w:r>
      <w:r w:rsidR="003D2867">
        <w:t>(</w:t>
      </w:r>
      <w:r w:rsidR="000C605D" w:rsidRPr="000C605D">
        <w:t>P value for slope = 0.081</w:t>
      </w:r>
      <w:r w:rsidR="003D2867">
        <w:t>)</w:t>
      </w:r>
      <w:r w:rsidR="000C605D" w:rsidRPr="000C605D">
        <w:t xml:space="preserve"> because of the limited number of data points.</w:t>
      </w:r>
      <w:r w:rsidR="00FA374D">
        <w:t xml:space="preserve"> </w:t>
      </w:r>
    </w:p>
    <w:p w:rsidR="000C605D" w:rsidRPr="000C605D" w:rsidRDefault="000C605D" w:rsidP="00FA374D">
      <w:pPr>
        <w:pStyle w:val="Heading5"/>
      </w:pPr>
      <w:r w:rsidRPr="000C605D">
        <w:t>Exposure-response relationship for clinical efficacy</w:t>
      </w:r>
    </w:p>
    <w:p w:rsidR="000C605D" w:rsidRPr="000C605D" w:rsidRDefault="000C605D" w:rsidP="00FA374D">
      <w:r w:rsidRPr="000C605D">
        <w:t xml:space="preserve">The </w:t>
      </w:r>
      <w:r w:rsidR="008F5C40">
        <w:t>exposure</w:t>
      </w:r>
      <w:r w:rsidRPr="000C605D">
        <w:t>-</w:t>
      </w:r>
      <w:r w:rsidR="008F5C40">
        <w:t xml:space="preserve">response </w:t>
      </w:r>
      <w:r w:rsidRPr="000C605D">
        <w:t xml:space="preserve">relationship for efficacy was explored </w:t>
      </w:r>
      <w:r w:rsidR="003D2867">
        <w:t>from data from the Phase II S</w:t>
      </w:r>
      <w:r w:rsidRPr="000C605D">
        <w:t xml:space="preserve">tudy SHH4476g </w:t>
      </w:r>
      <w:r w:rsidR="003D2867">
        <w:t xml:space="preserve">in </w:t>
      </w:r>
      <w:r w:rsidRPr="000C605D">
        <w:t>patients who were adm</w:t>
      </w:r>
      <w:r w:rsidR="008F5C40">
        <w:t xml:space="preserve">inistered </w:t>
      </w:r>
      <w:r w:rsidR="003D2867">
        <w:t xml:space="preserve">vismodegib </w:t>
      </w:r>
      <w:r w:rsidR="008F5C40">
        <w:t>150 mg daily (</w:t>
      </w:r>
      <w:r w:rsidR="008F4F84">
        <w:t>n</w:t>
      </w:r>
      <w:r w:rsidR="008F5C40">
        <w:t xml:space="preserve">=77). </w:t>
      </w:r>
      <w:r w:rsidRPr="000C605D">
        <w:t xml:space="preserve">No </w:t>
      </w:r>
      <w:r w:rsidR="008F5C40" w:rsidRPr="008F5C40">
        <w:t xml:space="preserve">exposure-response </w:t>
      </w:r>
      <w:r w:rsidRPr="000C605D">
        <w:t xml:space="preserve">relationship </w:t>
      </w:r>
      <w:r w:rsidR="003D2867">
        <w:t xml:space="preserve">was observed </w:t>
      </w:r>
      <w:r w:rsidRPr="000C605D">
        <w:t xml:space="preserve">for tumour response (complete response, partial response, stable disease, or progressive disease) or type of clinical responder (responder or non-responder) </w:t>
      </w:r>
      <w:r w:rsidR="003D2867">
        <w:t xml:space="preserve">and </w:t>
      </w:r>
      <w:r w:rsidRPr="000C605D">
        <w:t>steady-state total plasm</w:t>
      </w:r>
      <w:r w:rsidR="008F5C40">
        <w:t xml:space="preserve">a concentration of vismodegib. </w:t>
      </w:r>
      <w:r w:rsidRPr="000C605D">
        <w:t xml:space="preserve">Additionally no </w:t>
      </w:r>
      <w:r w:rsidR="008F5C40" w:rsidRPr="008F5C40">
        <w:t xml:space="preserve">exposure-response </w:t>
      </w:r>
      <w:r w:rsidRPr="000C605D">
        <w:t xml:space="preserve">relationship </w:t>
      </w:r>
      <w:r w:rsidR="003D2867">
        <w:t xml:space="preserve">was observed </w:t>
      </w:r>
      <w:r w:rsidRPr="000C605D">
        <w:t xml:space="preserve">for tumour response or type of clinical responder </w:t>
      </w:r>
      <w:r w:rsidR="003D2867">
        <w:t xml:space="preserve">for the </w:t>
      </w:r>
      <w:r w:rsidRPr="000C605D">
        <w:t>locally advance</w:t>
      </w:r>
      <w:r w:rsidR="008F5C40">
        <w:t xml:space="preserve">d </w:t>
      </w:r>
      <w:r w:rsidR="003D2867">
        <w:t xml:space="preserve">or </w:t>
      </w:r>
      <w:r w:rsidR="008F5C40">
        <w:t xml:space="preserve">metastatic BCC patients. </w:t>
      </w:r>
      <w:r w:rsidRPr="000C605D">
        <w:t xml:space="preserve">The lack of an </w:t>
      </w:r>
      <w:r w:rsidR="008F5C40" w:rsidRPr="008F5C40">
        <w:t xml:space="preserve">exposure-response </w:t>
      </w:r>
      <w:r w:rsidRPr="000C605D">
        <w:t>relationship for efficacy suggested that additional benefit would not be expected with h</w:t>
      </w:r>
      <w:r w:rsidR="003D2867">
        <w:t xml:space="preserve">igher exposure of vismodegib. </w:t>
      </w:r>
    </w:p>
    <w:p w:rsidR="000C605D" w:rsidRPr="000C605D" w:rsidRDefault="000C605D" w:rsidP="00FA374D">
      <w:pPr>
        <w:pStyle w:val="Heading5"/>
      </w:pPr>
      <w:r w:rsidRPr="000C605D">
        <w:t>Exposure-response rela</w:t>
      </w:r>
      <w:r w:rsidR="008F5C40">
        <w:t>tionship for clinical safety</w:t>
      </w:r>
    </w:p>
    <w:p w:rsidR="000C605D" w:rsidRPr="000C605D" w:rsidRDefault="000C605D" w:rsidP="00FA374D">
      <w:r w:rsidRPr="000C605D">
        <w:t xml:space="preserve">The most frequently observed adverse events </w:t>
      </w:r>
      <w:r w:rsidR="008F5C40">
        <w:t xml:space="preserve">(AEs) </w:t>
      </w:r>
      <w:r w:rsidRPr="000C605D">
        <w:t xml:space="preserve">of weight loss, alopecia, </w:t>
      </w:r>
      <w:proofErr w:type="spellStart"/>
      <w:r w:rsidRPr="000C605D">
        <w:t>dysgeusia</w:t>
      </w:r>
      <w:proofErr w:type="spellEnd"/>
      <w:r w:rsidRPr="000C605D">
        <w:t xml:space="preserve">, fatigue, muscle spasms and nausea were used to examine </w:t>
      </w:r>
      <w:r w:rsidR="008F5C40" w:rsidRPr="008F5C40">
        <w:t xml:space="preserve">exposure-response </w:t>
      </w:r>
      <w:r w:rsidRPr="000C605D">
        <w:t>re</w:t>
      </w:r>
      <w:r w:rsidR="008F5C40">
        <w:t xml:space="preserve">lationships related to safety. </w:t>
      </w:r>
      <w:r w:rsidR="00A1754D">
        <w:t>C</w:t>
      </w:r>
      <w:r w:rsidRPr="000C605D">
        <w:t xml:space="preserve">ombined data from the </w:t>
      </w:r>
      <w:r w:rsidR="00A1754D">
        <w:t>P</w:t>
      </w:r>
      <w:r w:rsidRPr="000C605D">
        <w:t xml:space="preserve">hase I </w:t>
      </w:r>
      <w:r w:rsidR="00A1754D">
        <w:t>S</w:t>
      </w:r>
      <w:r w:rsidRPr="000C605D">
        <w:t>tudy SHH3925g (</w:t>
      </w:r>
      <w:r w:rsidR="008F4F84">
        <w:t>n</w:t>
      </w:r>
      <w:r w:rsidRPr="000C605D">
        <w:t xml:space="preserve">=61) and the </w:t>
      </w:r>
      <w:r w:rsidR="00A1754D">
        <w:t>P</w:t>
      </w:r>
      <w:r w:rsidRPr="000C605D">
        <w:t xml:space="preserve">hase II </w:t>
      </w:r>
      <w:r w:rsidR="00A1754D">
        <w:t>S</w:t>
      </w:r>
      <w:r w:rsidRPr="000C605D">
        <w:t>tudy SHH4476g (</w:t>
      </w:r>
      <w:r w:rsidR="008F4F84">
        <w:t>n</w:t>
      </w:r>
      <w:r w:rsidRPr="000C605D">
        <w:t>=78)</w:t>
      </w:r>
      <w:r w:rsidR="00A1754D">
        <w:t xml:space="preserve"> were used</w:t>
      </w:r>
      <w:r w:rsidRPr="000C605D">
        <w:t>.</w:t>
      </w:r>
      <w:r w:rsidR="00F828C8">
        <w:t xml:space="preserve"> </w:t>
      </w:r>
    </w:p>
    <w:p w:rsidR="000C605D" w:rsidRPr="000C605D" w:rsidRDefault="000C605D" w:rsidP="00FA374D">
      <w:r w:rsidRPr="000C605D">
        <w:t xml:space="preserve">No meaningful </w:t>
      </w:r>
      <w:r w:rsidR="008F5C40" w:rsidRPr="008F5C40">
        <w:t xml:space="preserve">exposure-response </w:t>
      </w:r>
      <w:r w:rsidRPr="000C605D">
        <w:t xml:space="preserve">relationship was observed for any of the </w:t>
      </w:r>
      <w:r w:rsidR="008F5C40">
        <w:t xml:space="preserve">AEs and </w:t>
      </w:r>
      <w:r w:rsidRPr="000C605D">
        <w:t xml:space="preserve">total or unbound vismodegib plasma concentration. Vismodegib exposure was also not significantly different between the </w:t>
      </w:r>
      <w:r w:rsidR="00A1754D">
        <w:t xml:space="preserve">severity </w:t>
      </w:r>
      <w:r w:rsidRPr="000C605D">
        <w:t xml:space="preserve">grades of these </w:t>
      </w:r>
      <w:r w:rsidR="008F5C40">
        <w:t>AEs</w:t>
      </w:r>
      <w:r w:rsidRPr="000C605D">
        <w:t>. Additionally</w:t>
      </w:r>
      <w:r w:rsidR="00A1754D">
        <w:t>,</w:t>
      </w:r>
      <w:r w:rsidRPr="000C605D">
        <w:t xml:space="preserve"> results were similar between tumour type (locally advanced </w:t>
      </w:r>
      <w:r w:rsidR="00A1754D">
        <w:t xml:space="preserve">or </w:t>
      </w:r>
      <w:r w:rsidRPr="000C605D">
        <w:t xml:space="preserve">metastatic BCC) </w:t>
      </w:r>
      <w:r w:rsidR="00A1754D">
        <w:t>and S</w:t>
      </w:r>
      <w:r w:rsidRPr="000C605D">
        <w:t xml:space="preserve">tudy (SHH3925g </w:t>
      </w:r>
      <w:r w:rsidR="00A1754D">
        <w:t xml:space="preserve">or </w:t>
      </w:r>
      <w:r w:rsidRPr="000C605D">
        <w:t>SHH4476g).</w:t>
      </w:r>
      <w:r w:rsidR="00F828C8">
        <w:t xml:space="preserve"> </w:t>
      </w:r>
    </w:p>
    <w:p w:rsidR="000C605D" w:rsidRPr="000C605D" w:rsidRDefault="000C605D" w:rsidP="00FA374D">
      <w:r w:rsidRPr="000C605D">
        <w:t xml:space="preserve">While a trend was observed for an increased probability of nausea with increasing total plasma vismodegib concentration and the relationship could be described by the </w:t>
      </w:r>
      <w:proofErr w:type="spellStart"/>
      <w:r w:rsidRPr="000C605D">
        <w:t>sigmoidal</w:t>
      </w:r>
      <w:proofErr w:type="spellEnd"/>
      <w:r w:rsidRPr="000C605D">
        <w:t xml:space="preserve"> </w:t>
      </w:r>
      <w:proofErr w:type="spellStart"/>
      <w:r w:rsidRPr="000C605D">
        <w:t>E</w:t>
      </w:r>
      <w:r w:rsidRPr="000C605D">
        <w:rPr>
          <w:vertAlign w:val="subscript"/>
        </w:rPr>
        <w:t>max</w:t>
      </w:r>
      <w:proofErr w:type="spellEnd"/>
      <w:r w:rsidRPr="000C605D">
        <w:t xml:space="preserve"> model with a large hill co-efficient, this observation was not considered to be clinically meaningful primarily because of the small sample size and the limited data within the low plasma</w:t>
      </w:r>
      <w:r w:rsidR="008F5C40">
        <w:t xml:space="preserve"> concentration range. </w:t>
      </w:r>
      <w:r w:rsidRPr="000C605D">
        <w:t>Vismodegib exposure was also not significantly different</w:t>
      </w:r>
      <w:r w:rsidR="008F5C40">
        <w:t xml:space="preserve"> between the grades of nausea. </w:t>
      </w:r>
      <w:r w:rsidRPr="000C605D">
        <w:t xml:space="preserve">No clear trend was observed between the probability of nausea and unbound vismodegib plasma concentration based on limited data from </w:t>
      </w:r>
      <w:r w:rsidR="00A1754D">
        <w:t>S</w:t>
      </w:r>
      <w:r w:rsidRPr="000C605D">
        <w:t>tudy SHH3925g.</w:t>
      </w:r>
      <w:r w:rsidR="00FA374D">
        <w:t xml:space="preserve"> </w:t>
      </w:r>
    </w:p>
    <w:p w:rsidR="000C605D" w:rsidRPr="000C605D" w:rsidRDefault="000C605D" w:rsidP="00FA374D">
      <w:r w:rsidRPr="000C605D">
        <w:t>Most events were mild and occurred after weeks of</w:t>
      </w:r>
      <w:r w:rsidR="008F5C40">
        <w:t xml:space="preserve"> vismodegib continuous dosing. </w:t>
      </w:r>
      <w:r w:rsidRPr="000C605D">
        <w:t>There were no ap</w:t>
      </w:r>
      <w:r w:rsidR="00A1754D">
        <w:t>preciable differences in time to</w:t>
      </w:r>
      <w:r w:rsidRPr="000C605D">
        <w:t xml:space="preserve"> onset when comparing first to worst reported </w:t>
      </w:r>
      <w:r w:rsidR="00AD2AF6">
        <w:t>AE</w:t>
      </w:r>
      <w:r w:rsidRPr="000C605D">
        <w:t xml:space="preserve">. </w:t>
      </w:r>
    </w:p>
    <w:p w:rsidR="000C605D" w:rsidRPr="000C605D" w:rsidRDefault="000C605D" w:rsidP="00FA374D">
      <w:pPr>
        <w:pStyle w:val="Heading5"/>
      </w:pPr>
      <w:r w:rsidRPr="000C605D">
        <w:t>Ex</w:t>
      </w:r>
      <w:r w:rsidR="00A1754D">
        <w:t>posure-</w:t>
      </w:r>
      <w:r w:rsidRPr="000C605D">
        <w:t xml:space="preserve">response relationship for </w:t>
      </w:r>
      <w:proofErr w:type="spellStart"/>
      <w:r w:rsidRPr="000C605D">
        <w:t>QTc</w:t>
      </w:r>
      <w:proofErr w:type="spellEnd"/>
      <w:r w:rsidR="00F828C8">
        <w:t xml:space="preserve"> </w:t>
      </w:r>
    </w:p>
    <w:p w:rsidR="000C605D" w:rsidRPr="000C605D" w:rsidRDefault="000C605D" w:rsidP="00FA374D">
      <w:r w:rsidRPr="000C605D">
        <w:t xml:space="preserve">The </w:t>
      </w:r>
      <w:r w:rsidR="008F5C40" w:rsidRPr="008F5C40">
        <w:t>exposure-response</w:t>
      </w:r>
      <w:r w:rsidRPr="000C605D">
        <w:t xml:space="preserve"> relationship for </w:t>
      </w:r>
      <w:proofErr w:type="spellStart"/>
      <w:r w:rsidRPr="000C605D">
        <w:t>QTc</w:t>
      </w:r>
      <w:proofErr w:type="spellEnd"/>
      <w:r w:rsidRPr="000C605D">
        <w:t xml:space="preserve"> </w:t>
      </w:r>
      <w:r w:rsidR="00A1754D">
        <w:t xml:space="preserve">interval </w:t>
      </w:r>
      <w:r w:rsidRPr="000C605D">
        <w:t>was assessed in two clinical studies SHH3925g, a Phase I study in cancer patients and SHH4871g</w:t>
      </w:r>
      <w:r w:rsidR="000C4441">
        <w:t>,</w:t>
      </w:r>
      <w:r w:rsidRPr="000C605D">
        <w:t xml:space="preserve"> a dedicated </w:t>
      </w:r>
      <w:proofErr w:type="spellStart"/>
      <w:r w:rsidRPr="000C605D">
        <w:t>QTc</w:t>
      </w:r>
      <w:proofErr w:type="spellEnd"/>
      <w:r w:rsidRPr="000C605D">
        <w:t xml:space="preserve"> study in healthy volunteers.</w:t>
      </w:r>
      <w:r w:rsidR="00FA374D">
        <w:t xml:space="preserve"> </w:t>
      </w:r>
    </w:p>
    <w:p w:rsidR="000C605D" w:rsidRPr="000C605D" w:rsidRDefault="000C605D" w:rsidP="00FA374D">
      <w:r w:rsidRPr="000C605D">
        <w:t xml:space="preserve">Based on exploratory analysis from </w:t>
      </w:r>
      <w:r w:rsidR="00A1754D">
        <w:t>S</w:t>
      </w:r>
      <w:r w:rsidRPr="000C605D">
        <w:t xml:space="preserve">tudy SHH3925g there appeared to be no trend between plasma concentrations of vismodegib and effect on the </w:t>
      </w:r>
      <w:proofErr w:type="spellStart"/>
      <w:r w:rsidRPr="000C605D">
        <w:t>QTc</w:t>
      </w:r>
      <w:proofErr w:type="spellEnd"/>
      <w:r w:rsidRPr="000C605D">
        <w:t xml:space="preserve"> interval within the concentration range observed in this </w:t>
      </w:r>
      <w:r w:rsidR="00E932C6">
        <w:t xml:space="preserve">study. </w:t>
      </w:r>
      <w:r w:rsidRPr="000C605D">
        <w:t xml:space="preserve">Data from </w:t>
      </w:r>
      <w:r w:rsidR="000C4441">
        <w:t>S</w:t>
      </w:r>
      <w:r w:rsidRPr="000C605D">
        <w:t xml:space="preserve">tudy SHH4871g were used to explore the relationship between total vismodegib plasma concentrations and </w:t>
      </w:r>
      <w:proofErr w:type="spellStart"/>
      <w:r w:rsidRPr="000C605D">
        <w:t>QTcF</w:t>
      </w:r>
      <w:proofErr w:type="spellEnd"/>
      <w:r w:rsidRPr="000C605D">
        <w:t xml:space="preserve">. These results, together with extensive graphical exploratory data analyses, suggest no evidence of an effect of vismodegib plasma concentration on </w:t>
      </w:r>
      <w:proofErr w:type="spellStart"/>
      <w:r w:rsidRPr="000C605D">
        <w:t>QTcF</w:t>
      </w:r>
      <w:proofErr w:type="spellEnd"/>
      <w:r w:rsidRPr="000C605D">
        <w:t xml:space="preserve"> interval. </w:t>
      </w:r>
    </w:p>
    <w:p w:rsidR="000C605D" w:rsidRPr="000C605D" w:rsidRDefault="000C605D" w:rsidP="00FA374D">
      <w:pPr>
        <w:pStyle w:val="Heading4"/>
      </w:pPr>
      <w:r w:rsidRPr="000C605D">
        <w:t xml:space="preserve">Conclusions </w:t>
      </w:r>
    </w:p>
    <w:p w:rsidR="000C605D" w:rsidRPr="000C605D" w:rsidRDefault="000C605D" w:rsidP="00FA374D">
      <w:r w:rsidRPr="000C605D">
        <w:t xml:space="preserve">No </w:t>
      </w:r>
      <w:r w:rsidR="008F5C40" w:rsidRPr="008F5C40">
        <w:t xml:space="preserve">exposure-response </w:t>
      </w:r>
      <w:r w:rsidRPr="000C605D">
        <w:t>relationship was observed for tumour response or type of clinical responder in BCC pati</w:t>
      </w:r>
      <w:r w:rsidR="008F5C40">
        <w:t xml:space="preserve">ents. </w:t>
      </w:r>
      <w:r w:rsidRPr="000C605D">
        <w:t>No clinically relevant exposure response relationship was observed in t</w:t>
      </w:r>
      <w:r w:rsidR="008F5C40">
        <w:t xml:space="preserve">he most common </w:t>
      </w:r>
      <w:r w:rsidR="00AD2AF6">
        <w:t>AEs</w:t>
      </w:r>
      <w:r w:rsidR="008F5C40">
        <w:t xml:space="preserve">. </w:t>
      </w:r>
      <w:r w:rsidRPr="000C605D">
        <w:t>Furthermore there</w:t>
      </w:r>
      <w:r w:rsidR="00A1754D">
        <w:t xml:space="preserve"> was no evidence of an effect of</w:t>
      </w:r>
      <w:r w:rsidRPr="000C605D">
        <w:t xml:space="preserve"> vismodegib plasma concentration</w:t>
      </w:r>
      <w:r w:rsidR="008F5C40">
        <w:t xml:space="preserve"> on </w:t>
      </w:r>
      <w:proofErr w:type="spellStart"/>
      <w:r w:rsidR="008F5C40">
        <w:t>QTc</w:t>
      </w:r>
      <w:proofErr w:type="spellEnd"/>
      <w:r w:rsidR="008F5C40">
        <w:t xml:space="preserve"> interval prolongation.</w:t>
      </w:r>
      <w:r w:rsidRPr="000C605D">
        <w:t xml:space="preserve"> </w:t>
      </w:r>
    </w:p>
    <w:p w:rsidR="008E7846" w:rsidRPr="00254787" w:rsidRDefault="008E7846" w:rsidP="00FA374D">
      <w:pPr>
        <w:pStyle w:val="Heading3"/>
      </w:pPr>
      <w:bookmarkStart w:id="90" w:name="_Toc163441372"/>
      <w:bookmarkStart w:id="91" w:name="_Toc196046485"/>
      <w:bookmarkStart w:id="92" w:name="_Toc247691521"/>
      <w:bookmarkStart w:id="93" w:name="_Toc314842504"/>
      <w:bookmarkStart w:id="94" w:name="_Toc370129098"/>
      <w:r w:rsidRPr="00254787">
        <w:t>Efficacy</w:t>
      </w:r>
      <w:bookmarkEnd w:id="90"/>
      <w:bookmarkEnd w:id="91"/>
      <w:bookmarkEnd w:id="92"/>
      <w:bookmarkEnd w:id="93"/>
      <w:bookmarkEnd w:id="94"/>
    </w:p>
    <w:p w:rsidR="003A52BA" w:rsidRDefault="003A52BA" w:rsidP="00FA374D">
      <w:bookmarkStart w:id="95" w:name="_Toc184439992"/>
      <w:bookmarkStart w:id="96" w:name="_Toc184440279"/>
      <w:bookmarkStart w:id="97" w:name="_Toc184444657"/>
      <w:bookmarkStart w:id="98" w:name="_Toc196046487"/>
      <w:r>
        <w:t>T</w:t>
      </w:r>
      <w:r w:rsidR="00C33C85" w:rsidRPr="00C33C85">
        <w:t xml:space="preserve">wo studies </w:t>
      </w:r>
      <w:r w:rsidR="00D33DBC">
        <w:t>were provided</w:t>
      </w:r>
      <w:r>
        <w:t>:</w:t>
      </w:r>
    </w:p>
    <w:p w:rsidR="003A52BA" w:rsidRDefault="00C33C85" w:rsidP="00FA374D">
      <w:pPr>
        <w:pStyle w:val="ListBullet"/>
      </w:pPr>
      <w:r w:rsidRPr="00C33C85">
        <w:t xml:space="preserve">The pivotal </w:t>
      </w:r>
      <w:r w:rsidR="00D33DBC">
        <w:t>S</w:t>
      </w:r>
      <w:r w:rsidRPr="00C33C85">
        <w:t xml:space="preserve">tudy </w:t>
      </w:r>
      <w:r w:rsidR="003A52BA">
        <w:t>SHH4476g:</w:t>
      </w:r>
      <w:r w:rsidRPr="00C33C85">
        <w:t xml:space="preserve"> </w:t>
      </w:r>
      <w:r w:rsidR="003A52BA">
        <w:t>A</w:t>
      </w:r>
      <w:r w:rsidRPr="00C33C85">
        <w:t xml:space="preserve"> Phase II, international</w:t>
      </w:r>
      <w:r w:rsidR="003A52BA">
        <w:t>,</w:t>
      </w:r>
      <w:r w:rsidRPr="00C33C85">
        <w:t xml:space="preserve"> multicentre, open-label, single-arm, two-cohort study of single agent vismodegib</w:t>
      </w:r>
      <w:r w:rsidR="003A52BA">
        <w:t xml:space="preserve"> </w:t>
      </w:r>
    </w:p>
    <w:p w:rsidR="00C33C85" w:rsidRPr="00C33C85" w:rsidRDefault="003A52BA" w:rsidP="00FA374D">
      <w:pPr>
        <w:pStyle w:val="ListBullet"/>
      </w:pPr>
      <w:r>
        <w:t>S</w:t>
      </w:r>
      <w:r w:rsidR="00C33C85" w:rsidRPr="00C33C85">
        <w:t xml:space="preserve">upportive </w:t>
      </w:r>
      <w:r>
        <w:t>S</w:t>
      </w:r>
      <w:r w:rsidR="00C33C85" w:rsidRPr="00C33C85">
        <w:t>tudy SHH3925g</w:t>
      </w:r>
      <w:r>
        <w:t>:</w:t>
      </w:r>
      <w:r w:rsidR="00C33C85" w:rsidRPr="00C33C85">
        <w:t xml:space="preserve"> </w:t>
      </w:r>
      <w:r>
        <w:t xml:space="preserve">A </w:t>
      </w:r>
      <w:r w:rsidR="00C33C85" w:rsidRPr="00C33C85">
        <w:t>Phase I, multicentre, open-label, 3+3 design, two-stage stud</w:t>
      </w:r>
      <w:r>
        <w:t xml:space="preserve">y of single agent vismodegib </w:t>
      </w:r>
    </w:p>
    <w:p w:rsidR="00C33C85" w:rsidRPr="00C33C85" w:rsidRDefault="00C33C85" w:rsidP="00FA374D">
      <w:pPr>
        <w:pStyle w:val="Heading4"/>
      </w:pPr>
      <w:r w:rsidRPr="00C33C85">
        <w:t xml:space="preserve">Study SHH4476g </w:t>
      </w:r>
    </w:p>
    <w:p w:rsidR="003A52BA" w:rsidRDefault="00C33C85" w:rsidP="00FA374D">
      <w:r w:rsidRPr="00C33C85">
        <w:t>Study SHH4476g was a pivotal</w:t>
      </w:r>
      <w:r w:rsidR="003A52BA">
        <w:t>,</w:t>
      </w:r>
      <w:r w:rsidRPr="00C33C85">
        <w:t xml:space="preserve"> </w:t>
      </w:r>
      <w:r w:rsidR="00D33DBC">
        <w:t xml:space="preserve">Phase II, </w:t>
      </w:r>
      <w:r w:rsidRPr="00C33C85">
        <w:t>single-arm</w:t>
      </w:r>
      <w:r w:rsidR="003A52BA">
        <w:t>,</w:t>
      </w:r>
      <w:r w:rsidRPr="00C33C85">
        <w:t xml:space="preserve"> two-cohort</w:t>
      </w:r>
      <w:r w:rsidR="003A52BA">
        <w:t>,</w:t>
      </w:r>
      <w:r w:rsidRPr="00C33C85">
        <w:t xml:space="preserve"> multicentre study evaluating the efficacy and safety of vismodegib in patients with metast</w:t>
      </w:r>
      <w:r w:rsidR="003A52BA">
        <w:t xml:space="preserve">atic and locally advanced BCC. </w:t>
      </w:r>
    </w:p>
    <w:p w:rsidR="003A52BA" w:rsidRDefault="003A52BA" w:rsidP="00FA374D">
      <w:pPr>
        <w:pStyle w:val="Heading5"/>
      </w:pPr>
      <w:r>
        <w:t>Study design</w:t>
      </w:r>
    </w:p>
    <w:p w:rsidR="00C33C85" w:rsidRPr="00C33C85" w:rsidRDefault="00841841" w:rsidP="00FA374D">
      <w:r>
        <w:t>According to the sponsor, a</w:t>
      </w:r>
      <w:r w:rsidR="00C33C85" w:rsidRPr="00C33C85">
        <w:t xml:space="preserve"> single-arm trial design was chosen for the pivotal confirmatory study with overall response rate </w:t>
      </w:r>
      <w:r w:rsidR="003A52BA">
        <w:t xml:space="preserve">(ORR) </w:t>
      </w:r>
      <w:r w:rsidR="00C33C85" w:rsidRPr="00C33C85">
        <w:t>as the primary endpoint because a standard of care comparator for advanced BCC is not available and responses to placebo i</w:t>
      </w:r>
      <w:r>
        <w:t xml:space="preserve">n advanced BCC are unexpected. </w:t>
      </w:r>
      <w:r w:rsidR="00C33C85" w:rsidRPr="00C33C85">
        <w:t>There were no data suggesting the possibility of spontaneous responses in advanced BCC in the literature, and a long BCC history was observed in patie</w:t>
      </w:r>
      <w:r>
        <w:t>nts enrolled in the supportive S</w:t>
      </w:r>
      <w:r w:rsidR="00C33C85" w:rsidRPr="00C33C85">
        <w:t>tudy SHH3925g</w:t>
      </w:r>
      <w:r w:rsidR="003A52BA">
        <w:t xml:space="preserve"> (described below). </w:t>
      </w:r>
      <w:r w:rsidR="00C33C85" w:rsidRPr="00C33C85">
        <w:t>In addition a placebo control was considered inappropriate because it was likely there would be a high rate of study drop out prior to meeting progression criteria since efficacy was already observed in the proof of concept cohort of advanc</w:t>
      </w:r>
      <w:r w:rsidR="0085093E">
        <w:t>ed BCC patients in the earlier P</w:t>
      </w:r>
      <w:r w:rsidR="00C33C85" w:rsidRPr="00C33C85">
        <w:t xml:space="preserve">hase I </w:t>
      </w:r>
      <w:r>
        <w:t>S</w:t>
      </w:r>
      <w:r w:rsidR="00C33C85" w:rsidRPr="00C33C85">
        <w:t xml:space="preserve">tudy SHH3925g. Therefore a single-arm study with an </w:t>
      </w:r>
      <w:r w:rsidR="007D70C0">
        <w:t>ORR</w:t>
      </w:r>
      <w:r w:rsidR="00C33C85" w:rsidRPr="00C33C85">
        <w:t xml:space="preserve"> as primary endpoint was considered an appropriate design for the pivotal study. </w:t>
      </w:r>
    </w:p>
    <w:p w:rsidR="00C33C85" w:rsidRPr="00C33C85" w:rsidRDefault="00C33C85" w:rsidP="00FA374D">
      <w:pPr>
        <w:pStyle w:val="Heading4"/>
      </w:pPr>
      <w:r w:rsidRPr="00C33C85">
        <w:t>Comment</w:t>
      </w:r>
    </w:p>
    <w:p w:rsidR="00C33C85" w:rsidRPr="00C33C85" w:rsidRDefault="00C33C85" w:rsidP="00FA374D">
      <w:r w:rsidRPr="00C33C85">
        <w:t>While th</w:t>
      </w:r>
      <w:r w:rsidR="003A52BA">
        <w:t xml:space="preserve">e clinical </w:t>
      </w:r>
      <w:r w:rsidRPr="00C33C85">
        <w:t>evaluator ha</w:t>
      </w:r>
      <w:r w:rsidR="003A52BA">
        <w:t>d</w:t>
      </w:r>
      <w:r w:rsidRPr="00C33C85">
        <w:t xml:space="preserve"> some doubts regarding the validity of the decision </w:t>
      </w:r>
      <w:r w:rsidR="003A52BA">
        <w:t xml:space="preserve">to conduct </w:t>
      </w:r>
      <w:r w:rsidRPr="00C33C85">
        <w:t xml:space="preserve">a single-arm study, it is recognised that </w:t>
      </w:r>
      <w:r w:rsidR="003A52BA">
        <w:t xml:space="preserve">there were some </w:t>
      </w:r>
      <w:r w:rsidRPr="00C33C85">
        <w:t xml:space="preserve">data </w:t>
      </w:r>
      <w:r w:rsidR="003A52BA">
        <w:t xml:space="preserve">on </w:t>
      </w:r>
      <w:r w:rsidRPr="00C33C85">
        <w:t xml:space="preserve">efficacy for vismodegib from the earlier </w:t>
      </w:r>
      <w:r w:rsidR="003A52BA">
        <w:t>P</w:t>
      </w:r>
      <w:r w:rsidRPr="00C33C85">
        <w:t xml:space="preserve">hase I study </w:t>
      </w:r>
      <w:r w:rsidR="003A52BA">
        <w:t xml:space="preserve">and </w:t>
      </w:r>
      <w:r w:rsidRPr="00C33C85">
        <w:t>there would have been difficulty in recruiting pati</w:t>
      </w:r>
      <w:r w:rsidR="003A52BA">
        <w:t xml:space="preserve">ents to a randomised study. </w:t>
      </w:r>
      <w:r w:rsidRPr="00C33C85">
        <w:t>Furthermore</w:t>
      </w:r>
      <w:r w:rsidR="003A52BA">
        <w:t>,</w:t>
      </w:r>
      <w:r w:rsidRPr="00C33C85">
        <w:t xml:space="preserve"> as advanced stage BCC is very uncommon</w:t>
      </w:r>
      <w:r w:rsidR="003A52BA">
        <w:t>,</w:t>
      </w:r>
      <w:r w:rsidRPr="00C33C85">
        <w:t xml:space="preserve"> the potential to conduct a worthwhile randomised trial would hav</w:t>
      </w:r>
      <w:r w:rsidR="003A52BA">
        <w:t xml:space="preserve">e had significant limitations. </w:t>
      </w:r>
      <w:r w:rsidRPr="00C33C85">
        <w:t>Accordingly</w:t>
      </w:r>
      <w:r w:rsidR="003A52BA">
        <w:t>,</w:t>
      </w:r>
      <w:r w:rsidRPr="00C33C85">
        <w:t xml:space="preserve"> analysing the study on the basis of a </w:t>
      </w:r>
      <w:r w:rsidR="003A52BA">
        <w:t>P</w:t>
      </w:r>
      <w:r w:rsidRPr="00C33C85">
        <w:t>hase II approach appears to be reasonable.</w:t>
      </w:r>
      <w:r w:rsidR="00F828C8">
        <w:t xml:space="preserve"> </w:t>
      </w:r>
    </w:p>
    <w:p w:rsidR="00C33C85" w:rsidRPr="00C33C85" w:rsidRDefault="00C33C85" w:rsidP="00FA374D">
      <w:pPr>
        <w:pStyle w:val="Heading5"/>
      </w:pPr>
      <w:r w:rsidRPr="00C33C85">
        <w:t>Objectives</w:t>
      </w:r>
    </w:p>
    <w:p w:rsidR="00C33C85" w:rsidRPr="00C33C85" w:rsidRDefault="00C33C85" w:rsidP="00FA374D">
      <w:r w:rsidRPr="00C33C85">
        <w:t xml:space="preserve">The primary objective of the study was to estimate the clinical benefit of vismodegib given as therapy for patients with metastatic or locally advanced BCC as measured by </w:t>
      </w:r>
      <w:r w:rsidR="003A52BA">
        <w:t xml:space="preserve">ORR </w:t>
      </w:r>
      <w:r w:rsidRPr="00C33C85">
        <w:t xml:space="preserve">assessed by an independent review </w:t>
      </w:r>
      <w:r w:rsidR="003A52BA">
        <w:t xml:space="preserve">facility (IRF). </w:t>
      </w:r>
    </w:p>
    <w:p w:rsidR="00C33C85" w:rsidRDefault="00C33C85" w:rsidP="00FA374D">
      <w:r w:rsidRPr="00C33C85">
        <w:t xml:space="preserve">The secondary efficacy objectives were to estimate the </w:t>
      </w:r>
      <w:r w:rsidR="003A52BA">
        <w:t xml:space="preserve">ORR </w:t>
      </w:r>
      <w:r w:rsidR="00841841">
        <w:t xml:space="preserve">per </w:t>
      </w:r>
      <w:r w:rsidRPr="00C33C85">
        <w:t xml:space="preserve">investigator assessment, duration of response and progression free survival </w:t>
      </w:r>
      <w:r w:rsidR="003A52BA">
        <w:t xml:space="preserve">(PFS) </w:t>
      </w:r>
      <w:r w:rsidRPr="00C33C85">
        <w:t>per IRF and investigator assessment, and overall survival</w:t>
      </w:r>
      <w:r w:rsidR="003A52BA">
        <w:t xml:space="preserve"> (OS)</w:t>
      </w:r>
      <w:r w:rsidRPr="00C33C85">
        <w:t xml:space="preserve">, as well as to assess patient reported outcomes using a short form 36 point </w:t>
      </w:r>
      <w:r w:rsidR="003A52BA">
        <w:t xml:space="preserve">(SF-36) </w:t>
      </w:r>
      <w:r w:rsidRPr="00C33C85">
        <w:t xml:space="preserve">health survey and to assess histopathological response (defined as all target lesions that were found to be absent of residual BCC post-baseline as assessed by the independent pathological review). </w:t>
      </w:r>
      <w:r w:rsidR="003A52BA">
        <w:t>O</w:t>
      </w:r>
      <w:r w:rsidRPr="00C33C85">
        <w:t xml:space="preserve">ther secondary objectives were assessment of safety, tolerability and PK of </w:t>
      </w:r>
      <w:proofErr w:type="spellStart"/>
      <w:r w:rsidRPr="00C33C85">
        <w:t>vismodegib</w:t>
      </w:r>
      <w:proofErr w:type="spellEnd"/>
      <w:r w:rsidRPr="00C33C85">
        <w:t>.</w:t>
      </w:r>
      <w:r w:rsidR="00FA374D">
        <w:t xml:space="preserve"> </w:t>
      </w:r>
    </w:p>
    <w:p w:rsidR="0085093E" w:rsidRDefault="0085093E" w:rsidP="00FA374D">
      <w:pPr>
        <w:pStyle w:val="Heading5"/>
      </w:pPr>
      <w:r>
        <w:t>Treatment</w:t>
      </w:r>
    </w:p>
    <w:p w:rsidR="0085093E" w:rsidRPr="0085093E" w:rsidRDefault="0085093E" w:rsidP="00FA374D">
      <w:r w:rsidRPr="0085093E">
        <w:t xml:space="preserve">All patients </w:t>
      </w:r>
      <w:r w:rsidR="00841841">
        <w:t>received oral vismodegib at 150</w:t>
      </w:r>
      <w:r w:rsidR="00F534E1">
        <w:t xml:space="preserve"> </w:t>
      </w:r>
      <w:r w:rsidRPr="0085093E">
        <w:t>mg per day until evidence of progression, intolerable toxicities most probably attributable to vismodegib, or withdrawal from the study. No specific concomitant medications were prohibited but concomitant medications were used with care and the risk-benefit profile of each patient was taken into consideration. No dose modifications or reductions in study drug were allowed per protocol. However treatment interruption of up to four weeks was allowed for evaluation of intolerable toxicities or if the patient had trouble swallowing</w:t>
      </w:r>
      <w:r w:rsidR="00841841">
        <w:t>,</w:t>
      </w:r>
      <w:r w:rsidRPr="0085093E">
        <w:t xml:space="preserve"> or for up to eight weeks for planned surgical procedure.</w:t>
      </w:r>
      <w:r w:rsidR="00FA374D">
        <w:t xml:space="preserve"> </w:t>
      </w:r>
    </w:p>
    <w:p w:rsidR="0085093E" w:rsidRPr="0085093E" w:rsidRDefault="0085093E" w:rsidP="00FA374D">
      <w:r w:rsidRPr="0085093E">
        <w:t xml:space="preserve">Patients who discontinued from the study were followed for survival approximately every three months until death, loss to follow up, or study termination. Patients who discontinued from treatment for a reason other than disease progression or who did not withdraw from the study were to continue all study assessments. </w:t>
      </w:r>
    </w:p>
    <w:p w:rsidR="00C33C85" w:rsidRPr="00C33C85" w:rsidRDefault="00C33C85" w:rsidP="00FA374D">
      <w:pPr>
        <w:pStyle w:val="Heading5"/>
      </w:pPr>
      <w:r w:rsidRPr="00C33C85">
        <w:t>Study population</w:t>
      </w:r>
    </w:p>
    <w:p w:rsidR="00C33C85" w:rsidRPr="00C33C85" w:rsidRDefault="00C33C85" w:rsidP="00FA374D">
      <w:r w:rsidRPr="00C33C85">
        <w:t xml:space="preserve">The study population consisted of patients aged at least 18 years with a </w:t>
      </w:r>
      <w:proofErr w:type="spellStart"/>
      <w:r w:rsidRPr="00C33C85">
        <w:t>histologically</w:t>
      </w:r>
      <w:proofErr w:type="spellEnd"/>
      <w:r w:rsidRPr="00C33C85">
        <w:t xml:space="preserve"> confirmed diagnosis of metas</w:t>
      </w:r>
      <w:r w:rsidR="003A52BA">
        <w:t xml:space="preserve">tatic or locally advanced BCC. </w:t>
      </w:r>
      <w:r w:rsidRPr="00C33C85">
        <w:t>Patients with an Eastern Cooperative Oncology Group performance status (ECOG PS</w:t>
      </w:r>
      <w:r w:rsidR="00841841">
        <w:t xml:space="preserve">) of 0, 1 or 2 were eligible. </w:t>
      </w:r>
    </w:p>
    <w:p w:rsidR="00C33C85" w:rsidRPr="00C33C85" w:rsidRDefault="00C33C85" w:rsidP="00FA374D">
      <w:r w:rsidRPr="00C33C85">
        <w:t xml:space="preserve">Patients with metastatic BCC were required to have histological confirmation by a local pathologist of distant BCC metastasis and at least one target lesion measured </w:t>
      </w:r>
      <w:proofErr w:type="spellStart"/>
      <w:r w:rsidRPr="00C33C85">
        <w:t>radiographically</w:t>
      </w:r>
      <w:proofErr w:type="spellEnd"/>
      <w:r w:rsidRPr="00C33C85">
        <w:t xml:space="preserve"> by </w:t>
      </w:r>
      <w:r w:rsidR="00841841" w:rsidRPr="00841841">
        <w:t xml:space="preserve">Response Evaluation Criteria in Solid </w:t>
      </w:r>
      <w:proofErr w:type="spellStart"/>
      <w:r w:rsidR="00841841" w:rsidRPr="00841841">
        <w:t>Tumors</w:t>
      </w:r>
      <w:proofErr w:type="spellEnd"/>
      <w:r w:rsidR="00841841" w:rsidRPr="00841841">
        <w:t xml:space="preserve"> </w:t>
      </w:r>
      <w:r w:rsidR="00841841">
        <w:t>(</w:t>
      </w:r>
      <w:r w:rsidRPr="00C33C85">
        <w:t>RECIST</w:t>
      </w:r>
      <w:r w:rsidR="00841841">
        <w:t xml:space="preserve"> </w:t>
      </w:r>
      <w:r w:rsidR="00841841" w:rsidRPr="00841841">
        <w:t>Version 1.0</w:t>
      </w:r>
      <w:r w:rsidR="00841841">
        <w:t>)</w:t>
      </w:r>
      <w:r w:rsidRPr="00C33C85">
        <w:t>.</w:t>
      </w:r>
      <w:r w:rsidR="00F828C8">
        <w:t xml:space="preserve"> </w:t>
      </w:r>
    </w:p>
    <w:p w:rsidR="00C33C85" w:rsidRPr="00C33C85" w:rsidRDefault="00C33C85" w:rsidP="00FA374D">
      <w:r w:rsidRPr="00C33C85">
        <w:t xml:space="preserve">Patients with locally advanced BCC were required to have a </w:t>
      </w:r>
      <w:proofErr w:type="spellStart"/>
      <w:r w:rsidRPr="00C33C85">
        <w:t>histologically</w:t>
      </w:r>
      <w:proofErr w:type="spellEnd"/>
      <w:r w:rsidRPr="00C33C85">
        <w:t xml:space="preserve"> confirmed (by a local pathologist) lesion at least 10 mm in the longest diameter that was considered inoperable or had a medical contraindication to surgery.</w:t>
      </w:r>
      <w:r w:rsidR="00FA374D">
        <w:t xml:space="preserve"> </w:t>
      </w:r>
    </w:p>
    <w:p w:rsidR="00C33C85" w:rsidRPr="00C33C85" w:rsidRDefault="00C33C85" w:rsidP="00FA374D">
      <w:r w:rsidRPr="00C33C85">
        <w:t>For patients with locally advanced BCC, radiotherapy should have been previously administered for the locally advanced BCC unless radiotherapy was cont</w:t>
      </w:r>
      <w:r w:rsidR="00F90526">
        <w:t xml:space="preserve">raindicated or inappropriate. </w:t>
      </w:r>
      <w:r w:rsidRPr="00C33C85">
        <w:t>Acceptable contraindications to surgery included:</w:t>
      </w:r>
    </w:p>
    <w:p w:rsidR="00C33C85" w:rsidRPr="00C33C85" w:rsidRDefault="00C33C85" w:rsidP="00FA374D">
      <w:pPr>
        <w:pStyle w:val="ListBullet"/>
      </w:pPr>
      <w:r w:rsidRPr="00C33C85">
        <w:t>Lesion that recurred in the same location after two or more surgical procedures and curative resection was deemed unlikely.</w:t>
      </w:r>
      <w:r w:rsidR="00F828C8">
        <w:t xml:space="preserve"> </w:t>
      </w:r>
    </w:p>
    <w:p w:rsidR="00C33C85" w:rsidRPr="00C33C85" w:rsidRDefault="00C33C85" w:rsidP="00FA374D">
      <w:pPr>
        <w:pStyle w:val="ListBullet"/>
      </w:pPr>
      <w:r w:rsidRPr="00C33C85">
        <w:t>Expectation of substantial morbidity and/or deformity from surgery (</w:t>
      </w:r>
      <w:r w:rsidR="00F90526">
        <w:t xml:space="preserve">for example, </w:t>
      </w:r>
      <w:r w:rsidRPr="00C33C85">
        <w:t>removal of all or part of a fac</w:t>
      </w:r>
      <w:r w:rsidR="00F90526">
        <w:t>ial structure such as nose, ear or</w:t>
      </w:r>
      <w:r w:rsidRPr="00C33C85">
        <w:t xml:space="preserve"> eye; or requirement for limb amputation).</w:t>
      </w:r>
      <w:r w:rsidR="00F828C8">
        <w:t xml:space="preserve"> </w:t>
      </w:r>
    </w:p>
    <w:p w:rsidR="00F90526" w:rsidRPr="00F90526" w:rsidRDefault="00F90526" w:rsidP="00FA374D">
      <w:r w:rsidRPr="00F90526">
        <w:t>A total of 104 patients, 33 with metastatic BCC and 71 with locally advanced BCC, were enrolled from 31 international sites in Australia, Belgium, Fr</w:t>
      </w:r>
      <w:r>
        <w:t xml:space="preserve">ance, Germany, UK and the USA. </w:t>
      </w:r>
      <w:r w:rsidRPr="00F90526">
        <w:t>All enrolled patients received at</w:t>
      </w:r>
      <w:r>
        <w:t xml:space="preserve"> least one dose of vismodegib. </w:t>
      </w:r>
      <w:r w:rsidRPr="00F90526">
        <w:t>Approximately half the patients had discontinued from study drug treatment as of the initial 26</w:t>
      </w:r>
      <w:r w:rsidRPr="00F90526">
        <w:rPr>
          <w:vertAlign w:val="superscript"/>
        </w:rPr>
        <w:t>th</w:t>
      </w:r>
      <w:r w:rsidRPr="00F90526">
        <w:t xml:space="preserve"> November 2010 cut-off date.</w:t>
      </w:r>
      <w:r w:rsidR="00F828C8">
        <w:t xml:space="preserve"> </w:t>
      </w:r>
    </w:p>
    <w:p w:rsidR="00F90526" w:rsidRDefault="00F90526" w:rsidP="00FA374D">
      <w:r w:rsidRPr="00F90526">
        <w:t xml:space="preserve">Among the 33 efficacy-evaluable patients with metastatic BCC, the median age was 62.0 years (range: 38–92 years), 72.7% were male, and the median weight was 74.80 kg (range: 54.2–122.0 kg). The ECOG PS was mostly 0–1 (1 patient had an ECOG PS of 2). Most patients with metastatic BCC (97.0%) had received prior surgery, 57.6% had received prior radiotherapy, and 30.3% had received prior systemic therapy. The majority of patients with metastatic BCC (60.6%) had three or more target lesions. The most frequent sites of screening target lesions in patients with metastatic BCC were the lung (in 22 patients, 66.7%) and lymph nodes (7 patients, 21.2%). </w:t>
      </w:r>
    </w:p>
    <w:p w:rsidR="00F90526" w:rsidRPr="00F90526" w:rsidRDefault="00F90526" w:rsidP="00FA374D">
      <w:r w:rsidRPr="00F90526">
        <w:t xml:space="preserve">Among enrolled patients with locally advanced </w:t>
      </w:r>
      <w:r w:rsidR="00841841">
        <w:t>disease, 63 of 71 were efficacy-</w:t>
      </w:r>
      <w:r w:rsidRPr="00F90526">
        <w:t>evaluable having received at least one dose of vismodegib and showing the presence of a BCC in the baseline biopsy as confirmed b</w:t>
      </w:r>
      <w:r>
        <w:t xml:space="preserve">y the independent pathologist. </w:t>
      </w:r>
      <w:r w:rsidRPr="00F90526">
        <w:t xml:space="preserve">Eight patients </w:t>
      </w:r>
      <w:r w:rsidR="00841841">
        <w:t>were excluded from the efficacy-</w:t>
      </w:r>
      <w:r w:rsidRPr="00F90526">
        <w:t>evaluable population since BCC was not confirmed on an independent re</w:t>
      </w:r>
      <w:r>
        <w:t xml:space="preserve">view of their baseline biopsy. </w:t>
      </w:r>
      <w:r w:rsidRPr="00F90526">
        <w:t xml:space="preserve">The median age for the 63 efficacy-evaluable patients with locally advanced BCC was 62 years and 55.6% were male. The ECOG </w:t>
      </w:r>
      <w:r w:rsidR="005F466E">
        <w:t xml:space="preserve">PS </w:t>
      </w:r>
      <w:r w:rsidRPr="00F90526">
        <w:t>was mostly 0-1 with two patients havi</w:t>
      </w:r>
      <w:r w:rsidR="0085093E">
        <w:t xml:space="preserve">ng ECOG </w:t>
      </w:r>
      <w:r w:rsidR="005F466E">
        <w:t xml:space="preserve">PS </w:t>
      </w:r>
      <w:r w:rsidR="0085093E">
        <w:t>of 2. Some</w:t>
      </w:r>
      <w:r w:rsidRPr="00F90526">
        <w:t xml:space="preserve"> 88.9% of patients had prior surgery, 27% prior radiotherapy and 11.1% prior systemic therapy. Patients with locally advanced BCC had fewer target lesions than those with systemic BCC: three or more target lesions </w:t>
      </w:r>
      <w:r w:rsidR="00841841">
        <w:t xml:space="preserve">were </w:t>
      </w:r>
      <w:r w:rsidRPr="00F90526">
        <w:t>reported in only 17% of patients and the most frequent sites in the locally advanced BCC group were scalp in 18 patients and forehead in 15 patients.</w:t>
      </w:r>
      <w:r w:rsidR="00FA374D">
        <w:t xml:space="preserve"> </w:t>
      </w:r>
    </w:p>
    <w:p w:rsidR="00F90526" w:rsidRPr="00C33C85" w:rsidRDefault="00F90526" w:rsidP="00FA374D">
      <w:r w:rsidRPr="00F90526">
        <w:t>Median time from diagnosis of any B</w:t>
      </w:r>
      <w:r w:rsidR="00841841">
        <w:t>CC to enrolment in the efficacy-</w:t>
      </w:r>
      <w:r w:rsidRPr="00F90526">
        <w:t>evaluable population was approximately five years in the metastatic BCC cohort and 14 years in the locally advanced BCC cohort.</w:t>
      </w:r>
      <w:r w:rsidR="00F828C8">
        <w:t xml:space="preserve"> </w:t>
      </w:r>
    </w:p>
    <w:p w:rsidR="00C33C85" w:rsidRPr="00C33C85" w:rsidRDefault="00C33C85" w:rsidP="00FA374D">
      <w:pPr>
        <w:pStyle w:val="Heading5"/>
      </w:pPr>
      <w:r w:rsidRPr="00C33C85">
        <w:t>Response assessments</w:t>
      </w:r>
    </w:p>
    <w:p w:rsidR="00C33C85" w:rsidRPr="00C33C85" w:rsidRDefault="00C33C85" w:rsidP="00FA374D">
      <w:r w:rsidRPr="00C33C85">
        <w:t>Res</w:t>
      </w:r>
      <w:r w:rsidR="0085093E">
        <w:t>ponse</w:t>
      </w:r>
      <w:r w:rsidRPr="00C33C85">
        <w:t xml:space="preserve"> assessments were undertaken during treatment every eight weeks and at study completion or termination visit as appropriate. For both cohorts, patients assessed as having an objective response (defined as complete or partial response) underwent confirmatory tumour assessments at least four weeks after the initial documentation of the objective response.</w:t>
      </w:r>
      <w:r w:rsidR="00FA374D">
        <w:t xml:space="preserve"> </w:t>
      </w:r>
    </w:p>
    <w:p w:rsidR="00C33C85" w:rsidRPr="00C33C85" w:rsidRDefault="00C33C85" w:rsidP="00FA374D">
      <w:r w:rsidRPr="00C33C85">
        <w:t>For patients enrolled in the metastatic BCC cohort</w:t>
      </w:r>
      <w:r w:rsidR="00F90526">
        <w:t>,</w:t>
      </w:r>
      <w:r w:rsidRPr="00C33C85">
        <w:t xml:space="preserve"> response assessments were evaluated according to </w:t>
      </w:r>
      <w:r w:rsidR="0085093E">
        <w:t>RECIST, v</w:t>
      </w:r>
      <w:r w:rsidR="00841841">
        <w:t xml:space="preserve">ersion </w:t>
      </w:r>
      <w:r w:rsidR="0085093E">
        <w:t xml:space="preserve">1.0. </w:t>
      </w:r>
      <w:r w:rsidRPr="00C33C85">
        <w:t>Radiographic images were reviewed by an IRF.</w:t>
      </w:r>
      <w:r w:rsidR="00FA374D">
        <w:t xml:space="preserve"> </w:t>
      </w:r>
    </w:p>
    <w:p w:rsidR="00C33C85" w:rsidRDefault="00C33C85" w:rsidP="00FA374D">
      <w:r w:rsidRPr="00C33C85">
        <w:t>There was no precedent for the objective measurement of efficacy in patie</w:t>
      </w:r>
      <w:r w:rsidR="00F90526">
        <w:t xml:space="preserve">nts with locally advanced BCC. </w:t>
      </w:r>
      <w:r w:rsidRPr="00C33C85">
        <w:t>Therefore on the basis of key evidence of clinical benefit reported by patients and inv</w:t>
      </w:r>
      <w:r w:rsidR="00841841">
        <w:t>estigators in the Phase I S</w:t>
      </w:r>
      <w:r w:rsidR="0085093E">
        <w:t>tudy</w:t>
      </w:r>
      <w:r w:rsidRPr="00C33C85">
        <w:t xml:space="preserve"> SHH3925g and after consultation with the US FDA, a composite endpoint was developed for those patients in the pivotal trial to</w:t>
      </w:r>
      <w:r w:rsidR="00F90526">
        <w:t xml:space="preserve"> measure the clinical benefit. </w:t>
      </w:r>
      <w:r w:rsidRPr="00C33C85">
        <w:t xml:space="preserve">The response criteria developed </w:t>
      </w:r>
      <w:r w:rsidR="00F90526">
        <w:t xml:space="preserve">are </w:t>
      </w:r>
      <w:r w:rsidRPr="00C33C85">
        <w:t xml:space="preserve">presented in </w:t>
      </w:r>
      <w:r w:rsidR="00F90526">
        <w:t xml:space="preserve">Table </w:t>
      </w:r>
      <w:r w:rsidR="000A623E">
        <w:t>5</w:t>
      </w:r>
      <w:r w:rsidR="00F90526">
        <w:t>.</w:t>
      </w:r>
    </w:p>
    <w:p w:rsidR="00F90526" w:rsidRDefault="000A623E" w:rsidP="00FA374D">
      <w:pPr>
        <w:pStyle w:val="TableTitle"/>
      </w:pPr>
      <w:r>
        <w:t>Table 5</w:t>
      </w:r>
      <w:r w:rsidR="00F90526">
        <w:t>. Response criteria for patients with locally advanced BCC in Study SHH4476g</w:t>
      </w:r>
    </w:p>
    <w:p w:rsidR="00D6120F" w:rsidRDefault="00F90526" w:rsidP="00FA374D">
      <w:r w:rsidRPr="00F90526">
        <w:rPr>
          <w:noProof/>
          <w:lang w:eastAsia="en-AU"/>
        </w:rPr>
        <w:drawing>
          <wp:inline distT="0" distB="0" distL="0" distR="0">
            <wp:extent cx="4748893" cy="3537857"/>
            <wp:effectExtent l="19050" t="0" r="0" b="0"/>
            <wp:docPr id="11" name="Picture 55" descr="Table 5. Response criteria for patients with locally advanced BCC in Study SHH447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srcRect l="2451" t="10886" r="10310" b="4430"/>
                    <a:stretch>
                      <a:fillRect/>
                    </a:stretch>
                  </pic:blipFill>
                  <pic:spPr bwMode="auto">
                    <a:xfrm>
                      <a:off x="0" y="0"/>
                      <a:ext cx="4748893" cy="3537857"/>
                    </a:xfrm>
                    <a:prstGeom prst="rect">
                      <a:avLst/>
                    </a:prstGeom>
                    <a:noFill/>
                    <a:ln w="9525">
                      <a:noFill/>
                      <a:miter lim="800000"/>
                      <a:headEnd/>
                      <a:tailEnd/>
                    </a:ln>
                  </pic:spPr>
                </pic:pic>
              </a:graphicData>
            </a:graphic>
          </wp:inline>
        </w:drawing>
      </w:r>
    </w:p>
    <w:p w:rsidR="00C33C85" w:rsidRPr="00C33C85" w:rsidRDefault="00D6120F" w:rsidP="00FA374D">
      <w:r>
        <w:t>T</w:t>
      </w:r>
      <w:r w:rsidR="00C33C85" w:rsidRPr="00C33C85">
        <w:t>he composite endpoint for the study incorporated external tumour dimensions, ulceration for those patients whose tumours were ulcerated at baseline, and RECIST for patients with radio</w:t>
      </w:r>
      <w:r w:rsidR="00F90526">
        <w:t>graphic</w:t>
      </w:r>
      <w:r w:rsidR="008D6D8D">
        <w:t xml:space="preserve"> </w:t>
      </w:r>
      <w:r w:rsidR="00F90526">
        <w:t>measurable disease.</w:t>
      </w:r>
      <w:r w:rsidR="00C33C85" w:rsidRPr="00C33C85">
        <w:t xml:space="preserve"> The sponsor considered that in those locally advanced BCC patients </w:t>
      </w:r>
      <w:r>
        <w:t xml:space="preserve">with </w:t>
      </w:r>
      <w:r w:rsidR="00C33C85" w:rsidRPr="00C33C85">
        <w:t xml:space="preserve">externally visible and disfiguring disease, tumour shrinkage measured by response rate and durable response are valid and direct measures of clinical benefit. </w:t>
      </w:r>
    </w:p>
    <w:p w:rsidR="00C33C85" w:rsidRPr="00C33C85" w:rsidRDefault="00C33C85" w:rsidP="00FA374D">
      <w:r w:rsidRPr="00C33C85">
        <w:t>The histology of tumour biopsies obtained at baseline and at 24 weeks or at the investigator</w:t>
      </w:r>
      <w:r w:rsidR="005F2A59">
        <w:t>’</w:t>
      </w:r>
      <w:r w:rsidRPr="00C33C85">
        <w:t>s assessment of best clinical response if occurring prior to 24 weeks was also</w:t>
      </w:r>
      <w:r w:rsidR="00F90526">
        <w:t xml:space="preserve"> used to characterise response.</w:t>
      </w:r>
      <w:r w:rsidRPr="00C33C85">
        <w:t xml:space="preserve"> For patients who experienced response by the composite endpoint </w:t>
      </w:r>
      <w:r w:rsidR="00D6120F">
        <w:t xml:space="preserve">and </w:t>
      </w:r>
      <w:r w:rsidRPr="00C33C85">
        <w:t>who underwent a post-baseline biopsy of their tumour site, the histology evaluation was used to differentiate partial response (residual BCC present on sampling biopsy) from complete response (no residual diseas</w:t>
      </w:r>
      <w:r w:rsidR="005F2A59">
        <w:t xml:space="preserve">e present on sampling biopsy). </w:t>
      </w:r>
      <w:r w:rsidRPr="00C33C85">
        <w:t>Patients who did not meet the criteria for response or progressive disease were consi</w:t>
      </w:r>
      <w:r w:rsidR="00D6120F">
        <w:t xml:space="preserve">dered to have stable disease. </w:t>
      </w:r>
    </w:p>
    <w:p w:rsidR="00C33C85" w:rsidRPr="00C33C85" w:rsidRDefault="00C33C85" w:rsidP="00FA374D">
      <w:r w:rsidRPr="00C33C85">
        <w:t>Standardised digital photographs, tumour biopsies and radiographic images for patients with RECIST measurable disease were reviewed by three independent review committees.</w:t>
      </w:r>
      <w:r w:rsidR="00FA374D">
        <w:t xml:space="preserve"> </w:t>
      </w:r>
    </w:p>
    <w:p w:rsidR="00C33C85" w:rsidRPr="00C33C85" w:rsidRDefault="00C33C85" w:rsidP="00FA374D">
      <w:pPr>
        <w:pStyle w:val="Heading5"/>
      </w:pPr>
      <w:r w:rsidRPr="00C33C85">
        <w:t>Statistical methods</w:t>
      </w:r>
      <w:r w:rsidR="00F828C8">
        <w:t xml:space="preserve"> </w:t>
      </w:r>
    </w:p>
    <w:p w:rsidR="00C33C85" w:rsidRPr="00C33C85" w:rsidRDefault="00C33C85" w:rsidP="00FA374D">
      <w:r w:rsidRPr="00C33C85">
        <w:t>The primary analysis population for efficacy in the study was comprised of all treated patients for whom an independent pathologist’s interpretation of archival tissue or baseline assessment was consistent with BCC (the efficacy-evaluable population).</w:t>
      </w:r>
      <w:r w:rsidR="00FA374D">
        <w:t xml:space="preserve"> </w:t>
      </w:r>
    </w:p>
    <w:p w:rsidR="00C33C85" w:rsidRPr="00C33C85" w:rsidRDefault="00C33C85" w:rsidP="00FA374D">
      <w:r w:rsidRPr="00C33C85">
        <w:t>The primary efficacy endpoint of IRF-determined objective response was the proportion of responders whose response to findings were complete or partial response determined on two consecutive assessments at least four weeks apart. Patients without baseline or post-baseline tumour assessment were considered non-responders.</w:t>
      </w:r>
      <w:r w:rsidR="00FA374D">
        <w:t xml:space="preserve"> </w:t>
      </w:r>
    </w:p>
    <w:p w:rsidR="00C33C85" w:rsidRPr="00C33C85" w:rsidRDefault="00C33C85" w:rsidP="00FA374D">
      <w:r w:rsidRPr="00C33C85">
        <w:t>The magnitude of the objective response was formally tested in two parallel analyses using one</w:t>
      </w:r>
      <w:r w:rsidR="00FA374D">
        <w:t>-</w:t>
      </w:r>
      <w:r w:rsidRPr="00C33C85">
        <w:t xml:space="preserve">sided exact binominal tests in </w:t>
      </w:r>
      <w:r w:rsidR="00D6120F">
        <w:t xml:space="preserve">both the </w:t>
      </w:r>
      <w:r w:rsidRPr="00C33C85">
        <w:t xml:space="preserve">metastatic and </w:t>
      </w:r>
      <w:r w:rsidR="00D6120F">
        <w:t xml:space="preserve">the locally advanced BCC cohorts. </w:t>
      </w:r>
    </w:p>
    <w:p w:rsidR="00C33C85" w:rsidRPr="00C33C85" w:rsidRDefault="00D6120F" w:rsidP="00FA374D">
      <w:r>
        <w:t>Response rates of &gt;10% for</w:t>
      </w:r>
      <w:r w:rsidR="00C33C85" w:rsidRPr="00C33C85">
        <w:t xml:space="preserve"> metastatic disease and &gt;20% for locally advanced disease represent clinically meaningful benefits for patients with advanced BCC as no therapeutic options exist for these patients and spontaneous response had not been reported in this disease. </w:t>
      </w:r>
    </w:p>
    <w:p w:rsidR="00C33C85" w:rsidRPr="00C33C85" w:rsidRDefault="00C33C85" w:rsidP="00FA374D">
      <w:r w:rsidRPr="00C33C85">
        <w:t xml:space="preserve">Secondary efficacy endpoints included the assessment of duration of objective response and </w:t>
      </w:r>
      <w:r w:rsidR="00725C60">
        <w:t xml:space="preserve">PFS </w:t>
      </w:r>
      <w:r w:rsidRPr="00C33C85">
        <w:t xml:space="preserve">per the IRF and investigator assessment, and </w:t>
      </w:r>
      <w:r w:rsidR="007D70C0">
        <w:t>ORR</w:t>
      </w:r>
      <w:r w:rsidRPr="00C33C85">
        <w:t xml:space="preserve"> per investigator assessment. </w:t>
      </w:r>
      <w:r w:rsidR="00D6120F">
        <w:t>Overall survival, changes from D</w:t>
      </w:r>
      <w:r w:rsidRPr="00C33C85">
        <w:t>ay one in patient reported symptoms, and the histological absence of residual BCC in patients with locally advanced</w:t>
      </w:r>
      <w:r w:rsidR="00D6120F">
        <w:t xml:space="preserve"> BCC were also assessed. </w:t>
      </w:r>
    </w:p>
    <w:p w:rsidR="00C33C85" w:rsidRPr="00C33C85" w:rsidRDefault="00C92CE4" w:rsidP="00FA374D">
      <w:pPr>
        <w:pStyle w:val="Heading5"/>
      </w:pPr>
      <w:r>
        <w:t>Summary of r</w:t>
      </w:r>
      <w:r w:rsidR="00C33C85" w:rsidRPr="00C33C85">
        <w:t>esults</w:t>
      </w:r>
    </w:p>
    <w:p w:rsidR="00C33C85" w:rsidRPr="00C33C85" w:rsidRDefault="00C33C85" w:rsidP="00FA374D">
      <w:r w:rsidRPr="00C33C85">
        <w:t xml:space="preserve">In the pivotal study </w:t>
      </w:r>
      <w:r w:rsidR="003A02D4">
        <w:t>49</w:t>
      </w:r>
      <w:r w:rsidRPr="00C33C85">
        <w:t xml:space="preserve"> patients or </w:t>
      </w:r>
      <w:r w:rsidR="003A02D4">
        <w:t>47</w:t>
      </w:r>
      <w:r w:rsidRPr="00C33C85">
        <w:t>% had discontinued treatment as of the clinical cut-off date 26</w:t>
      </w:r>
      <w:r w:rsidRPr="00C33C85">
        <w:rPr>
          <w:vertAlign w:val="superscript"/>
        </w:rPr>
        <w:t>th</w:t>
      </w:r>
      <w:r w:rsidRPr="00C33C85">
        <w:t xml:space="preserve"> November 2010. The most common reason for treatment discontinuation in the metastatic BCC cohort was diseas</w:t>
      </w:r>
      <w:r w:rsidR="001F0E8F">
        <w:t xml:space="preserve">e progression in six patients. </w:t>
      </w:r>
      <w:r w:rsidRPr="00C33C85">
        <w:t xml:space="preserve">In contrast the most common reason for treatment discontinuation in the locally advanced </w:t>
      </w:r>
      <w:r w:rsidR="005F2A59">
        <w:t xml:space="preserve">BCC cohort was patient decision, </w:t>
      </w:r>
      <w:r w:rsidRPr="00C33C85">
        <w:t>account</w:t>
      </w:r>
      <w:r w:rsidR="005F2A59">
        <w:t>ing</w:t>
      </w:r>
      <w:r w:rsidRPr="00C33C85">
        <w:t xml:space="preserve"> for 18/39 treatment discontinuations</w:t>
      </w:r>
      <w:r w:rsidR="005F2A59">
        <w:t>,</w:t>
      </w:r>
      <w:r w:rsidRPr="00C33C85">
        <w:t xml:space="preserve"> followed by </w:t>
      </w:r>
      <w:r w:rsidR="00AD2AF6">
        <w:t>AE</w:t>
      </w:r>
      <w:r w:rsidRPr="00C33C85">
        <w:t xml:space="preserve">s reported in 11 patients (Table </w:t>
      </w:r>
      <w:r w:rsidR="000A623E">
        <w:t>6</w:t>
      </w:r>
      <w:r w:rsidRPr="00C33C85">
        <w:t xml:space="preserve"> below). </w:t>
      </w:r>
    </w:p>
    <w:p w:rsidR="00C33C85" w:rsidRPr="00C33C85" w:rsidRDefault="000A623E" w:rsidP="00FA374D">
      <w:pPr>
        <w:pStyle w:val="TableTitle"/>
      </w:pPr>
      <w:r>
        <w:t>Table 6</w:t>
      </w:r>
      <w:r w:rsidR="00C33C85" w:rsidRPr="00C33C85">
        <w:t>. Patient Disposition and Reasons for Treatment Discontinuation: Treated Patients with Advanced BCC in Studies SHH4476g and SHH3925g</w:t>
      </w:r>
    </w:p>
    <w:p w:rsidR="00C33C85" w:rsidRPr="00C33C85" w:rsidRDefault="00C33C85" w:rsidP="00FA374D">
      <w:r w:rsidRPr="00C33C85">
        <w:rPr>
          <w:noProof/>
          <w:lang w:eastAsia="en-AU"/>
        </w:rPr>
        <w:drawing>
          <wp:inline distT="0" distB="0" distL="0" distR="0">
            <wp:extent cx="5223428" cy="3468411"/>
            <wp:effectExtent l="19050" t="0" r="0" b="0"/>
            <wp:docPr id="38" name="Picture 5" descr="Table 6. Patient Disposition and Reasons for Treatment Discontinuation: Treated Patients with Advanced BCC in Studies SHH4476g and SHH392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225686" cy="3469911"/>
                    </a:xfrm>
                    <a:prstGeom prst="rect">
                      <a:avLst/>
                    </a:prstGeom>
                    <a:noFill/>
                    <a:ln w="9525">
                      <a:noFill/>
                      <a:miter lim="800000"/>
                      <a:headEnd/>
                      <a:tailEnd/>
                    </a:ln>
                  </pic:spPr>
                </pic:pic>
              </a:graphicData>
            </a:graphic>
          </wp:inline>
        </w:drawing>
      </w:r>
    </w:p>
    <w:p w:rsidR="00C33C85" w:rsidRPr="00C33C85" w:rsidRDefault="00C33C85" w:rsidP="00FA374D">
      <w:r w:rsidRPr="00C33C85">
        <w:t xml:space="preserve">A summary of the </w:t>
      </w:r>
      <w:r w:rsidR="00C92CE4">
        <w:t xml:space="preserve">key </w:t>
      </w:r>
      <w:r w:rsidRPr="00C33C85">
        <w:t xml:space="preserve">results is shown in Table </w:t>
      </w:r>
      <w:r w:rsidR="000A623E">
        <w:t>7</w:t>
      </w:r>
      <w:r w:rsidRPr="00C33C85">
        <w:t>.</w:t>
      </w:r>
    </w:p>
    <w:p w:rsidR="00C33C85" w:rsidRPr="00C33C85" w:rsidRDefault="000A623E" w:rsidP="00FA374D">
      <w:pPr>
        <w:pStyle w:val="TableTitle"/>
      </w:pPr>
      <w:r>
        <w:t>Table 7</w:t>
      </w:r>
      <w:r w:rsidR="00C33C85" w:rsidRPr="00C33C85">
        <w:t xml:space="preserve">. Primary and </w:t>
      </w:r>
      <w:r w:rsidR="00C92CE4">
        <w:t>k</w:t>
      </w:r>
      <w:r w:rsidR="00C33C85" w:rsidRPr="00C33C85">
        <w:t xml:space="preserve">ey </w:t>
      </w:r>
      <w:r w:rsidR="00C92CE4">
        <w:t>s</w:t>
      </w:r>
      <w:r w:rsidR="00C33C85" w:rsidRPr="00C33C85">
        <w:t xml:space="preserve">econdary </w:t>
      </w:r>
      <w:r w:rsidR="00C92CE4">
        <w:t>e</w:t>
      </w:r>
      <w:r w:rsidR="00C33C85" w:rsidRPr="00C33C85">
        <w:t xml:space="preserve">fficacy </w:t>
      </w:r>
      <w:r w:rsidR="00C92CE4">
        <w:t>e</w:t>
      </w:r>
      <w:r w:rsidR="00C33C85" w:rsidRPr="00C33C85">
        <w:t xml:space="preserve">ndpoint </w:t>
      </w:r>
      <w:r w:rsidR="00C92CE4">
        <w:t>r</w:t>
      </w:r>
      <w:r w:rsidR="00C33C85" w:rsidRPr="00C33C85">
        <w:t>esults in Study SHH4476g: Efficacy-</w:t>
      </w:r>
      <w:r w:rsidR="00C92CE4">
        <w:t>e</w:t>
      </w:r>
      <w:r w:rsidR="00C33C85" w:rsidRPr="00C33C85">
        <w:t xml:space="preserve">valuable </w:t>
      </w:r>
      <w:r w:rsidR="00C92CE4">
        <w:t>p</w:t>
      </w:r>
      <w:r w:rsidR="00C33C85" w:rsidRPr="00C33C85">
        <w:t>opulation</w:t>
      </w:r>
    </w:p>
    <w:p w:rsidR="00C33C85" w:rsidRPr="00C33C85" w:rsidRDefault="00C33C85" w:rsidP="00FA374D">
      <w:r w:rsidRPr="00C33C85">
        <w:rPr>
          <w:noProof/>
          <w:lang w:eastAsia="en-AU"/>
        </w:rPr>
        <w:drawing>
          <wp:inline distT="0" distB="0" distL="0" distR="0">
            <wp:extent cx="4843535" cy="6084276"/>
            <wp:effectExtent l="19050" t="0" r="0" b="0"/>
            <wp:docPr id="39" name="Picture 14" descr="Table 7. Primary and key secondary efficacy endpoint results in Study SHH4476g: Efficacy-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l="716" t="1068"/>
                    <a:stretch>
                      <a:fillRect/>
                    </a:stretch>
                  </pic:blipFill>
                  <pic:spPr bwMode="auto">
                    <a:xfrm>
                      <a:off x="0" y="0"/>
                      <a:ext cx="4845783" cy="6087100"/>
                    </a:xfrm>
                    <a:prstGeom prst="rect">
                      <a:avLst/>
                    </a:prstGeom>
                    <a:noFill/>
                    <a:ln w="9525">
                      <a:noFill/>
                      <a:miter lim="800000"/>
                      <a:headEnd/>
                      <a:tailEnd/>
                    </a:ln>
                  </pic:spPr>
                </pic:pic>
              </a:graphicData>
            </a:graphic>
          </wp:inline>
        </w:drawing>
      </w:r>
    </w:p>
    <w:p w:rsidR="00C33C85" w:rsidRPr="00C33C85" w:rsidRDefault="00C33C85" w:rsidP="00FA374D">
      <w:r w:rsidRPr="00C33C85">
        <w:t>In relation to responses, the efficacy evaluable population included 96 patients, 33 with metastatic disease and 63 with locally advanced BCC.</w:t>
      </w:r>
      <w:r w:rsidR="00FA374D">
        <w:t xml:space="preserve"> </w:t>
      </w:r>
    </w:p>
    <w:p w:rsidR="00C33C85" w:rsidRPr="00C33C85" w:rsidRDefault="00C33C85" w:rsidP="00FA374D">
      <w:r w:rsidRPr="00C33C85">
        <w:t xml:space="preserve">Confirmation of single agent activity of vismodegib was demonstrated by the primary study endpoint of </w:t>
      </w:r>
      <w:r w:rsidR="007D70C0">
        <w:t>ORR</w:t>
      </w:r>
      <w:r w:rsidR="00120D15">
        <w:t xml:space="preserve"> as assessed by the IRF:</w:t>
      </w:r>
      <w:r w:rsidRPr="00C33C85">
        <w:t xml:space="preserve"> 30.3% </w:t>
      </w:r>
      <w:r w:rsidR="00120D15">
        <w:t>(</w:t>
      </w:r>
      <w:r w:rsidRPr="00C33C85">
        <w:t xml:space="preserve">95% </w:t>
      </w:r>
      <w:r w:rsidR="00120D15">
        <w:t>confidence interval (</w:t>
      </w:r>
      <w:r w:rsidRPr="00C33C85">
        <w:t>CI</w:t>
      </w:r>
      <w:r w:rsidR="00120D15">
        <w:t>)</w:t>
      </w:r>
      <w:r w:rsidRPr="00C33C85">
        <w:t xml:space="preserve"> 15.6-48.2%</w:t>
      </w:r>
      <w:r w:rsidR="00120D15">
        <w:t>)</w:t>
      </w:r>
      <w:r w:rsidRPr="00C33C85">
        <w:t xml:space="preserve"> in patients with metastatic BCC and 42.9% </w:t>
      </w:r>
      <w:r w:rsidR="00120D15">
        <w:t>(</w:t>
      </w:r>
      <w:r w:rsidRPr="00C33C85">
        <w:t>95% CI 30.5-56%</w:t>
      </w:r>
      <w:r w:rsidR="00120D15">
        <w:t>)</w:t>
      </w:r>
      <w:r w:rsidRPr="00C33C85">
        <w:t xml:space="preserve"> in patients with locally advanced BCC responded.</w:t>
      </w:r>
      <w:r w:rsidR="00120D15">
        <w:t xml:space="preserve"> </w:t>
      </w:r>
      <w:r w:rsidRPr="00C33C85">
        <w:t xml:space="preserve">These </w:t>
      </w:r>
      <w:r w:rsidR="007D70C0">
        <w:t>ORR</w:t>
      </w:r>
      <w:r w:rsidRPr="00C33C85">
        <w:t>s were significantly higher than the protocol specified minimal clini</w:t>
      </w:r>
      <w:r w:rsidR="00120D15">
        <w:t>cal benefit thresholds of 10% (p</w:t>
      </w:r>
      <w:r w:rsidRPr="00C33C85">
        <w:t>=0.0011) and 20% (</w:t>
      </w:r>
      <w:r w:rsidR="00120D15">
        <w:t>p</w:t>
      </w:r>
      <w:r w:rsidRPr="00C33C85">
        <w:t xml:space="preserve">&lt;0.0001) respectively, with </w:t>
      </w:r>
      <w:r w:rsidR="00120D15">
        <w:t>p</w:t>
      </w:r>
      <w:r w:rsidRPr="00C33C85">
        <w:t xml:space="preserve"> values based on a one-sided binominal test.</w:t>
      </w:r>
      <w:r w:rsidR="00FA374D">
        <w:t xml:space="preserve"> </w:t>
      </w:r>
    </w:p>
    <w:p w:rsidR="00C33C85" w:rsidRPr="00C33C85" w:rsidRDefault="00C33C85" w:rsidP="00FA374D">
      <w:r w:rsidRPr="00C33C85">
        <w:t>In the metastatic BCC cohort no patient had a complete response</w:t>
      </w:r>
      <w:r w:rsidR="00120D15">
        <w:t xml:space="preserve"> while 10 had partial responses.</w:t>
      </w:r>
      <w:r w:rsidRPr="00C33C85">
        <w:t xml:space="preserve"> </w:t>
      </w:r>
      <w:r w:rsidR="00120D15">
        <w:t>F</w:t>
      </w:r>
      <w:r w:rsidRPr="00C33C85">
        <w:t>or the locally advanced cohort a total of 27 patients had a confirmed response, 13 of which were complete as confirmed by biopsy</w:t>
      </w:r>
      <w:r w:rsidR="00120D15">
        <w:t>,</w:t>
      </w:r>
      <w:r w:rsidRPr="00C33C85">
        <w:t xml:space="preserve"> and 14 had a partial response.</w:t>
      </w:r>
      <w:r w:rsidR="00FA374D">
        <w:t xml:space="preserve"> </w:t>
      </w:r>
    </w:p>
    <w:p w:rsidR="00C33C85" w:rsidRPr="00C33C85" w:rsidRDefault="00C33C85" w:rsidP="00FA374D">
      <w:r w:rsidRPr="00C33C85">
        <w:t>Overall responses as determined by the investigator were 45.5% for patients with metastatic BCC and 60.3% for patients with locally advanced BCC.</w:t>
      </w:r>
      <w:r w:rsidR="00FA374D">
        <w:t xml:space="preserve"> </w:t>
      </w:r>
    </w:p>
    <w:p w:rsidR="00C33C85" w:rsidRPr="00C33C85" w:rsidRDefault="00C33C85" w:rsidP="00FA374D">
      <w:r w:rsidRPr="00C33C85">
        <w:t xml:space="preserve">In relation to duration of response the median </w:t>
      </w:r>
      <w:r w:rsidR="00120D15">
        <w:t>IRF-</w:t>
      </w:r>
      <w:r w:rsidRPr="00C33C85">
        <w:t>determined duration of response in each cohort was 7.6 months</w:t>
      </w:r>
      <w:r w:rsidR="00120D15">
        <w:t>, while the median investigator-</w:t>
      </w:r>
      <w:r w:rsidRPr="00C33C85">
        <w:t>determined duration of response was 12.9 months in the metastatic BCC patients and 7.6 months in the locally advanced BCC cohort.</w:t>
      </w:r>
      <w:r w:rsidR="00F828C8">
        <w:t xml:space="preserve"> </w:t>
      </w:r>
    </w:p>
    <w:p w:rsidR="00C33C85" w:rsidRPr="00C33C85" w:rsidRDefault="00C33C85" w:rsidP="00FA374D">
      <w:r w:rsidRPr="00C33C85">
        <w:t xml:space="preserve">Progression free survival as assessed by the </w:t>
      </w:r>
      <w:r w:rsidR="001863BF">
        <w:t xml:space="preserve">IRF </w:t>
      </w:r>
      <w:r w:rsidRPr="00C33C85">
        <w:t>revealed the same results for both metastatic and locally advanced BCC cohorts</w:t>
      </w:r>
      <w:r w:rsidR="00120D15">
        <w:t xml:space="preserve">, with a median of 9.5 months. </w:t>
      </w:r>
      <w:r w:rsidRPr="00C33C85">
        <w:t xml:space="preserve">The investigator assessed median </w:t>
      </w:r>
      <w:r w:rsidR="00725C60">
        <w:t xml:space="preserve">PFS </w:t>
      </w:r>
      <w:r w:rsidR="005F2A59" w:rsidRPr="00C33C85">
        <w:t xml:space="preserve">was 9.2 months </w:t>
      </w:r>
      <w:r w:rsidRPr="00C33C85">
        <w:t xml:space="preserve">for the metastatic BCC cohort </w:t>
      </w:r>
      <w:r w:rsidR="005F2A59">
        <w:t xml:space="preserve">and </w:t>
      </w:r>
      <w:r w:rsidR="005F2A59" w:rsidRPr="00C33C85">
        <w:t xml:space="preserve">11.3 months </w:t>
      </w:r>
      <w:r w:rsidRPr="00C33C85">
        <w:t>for the locally advanced BCC cohort.</w:t>
      </w:r>
      <w:r w:rsidR="00FA374D">
        <w:t xml:space="preserve"> </w:t>
      </w:r>
    </w:p>
    <w:p w:rsidR="00C33C85" w:rsidRDefault="00C33C85" w:rsidP="00FA374D">
      <w:r w:rsidRPr="00C33C85">
        <w:t>As of the cut-off date of the 26</w:t>
      </w:r>
      <w:r w:rsidRPr="00C33C85">
        <w:rPr>
          <w:vertAlign w:val="superscript"/>
        </w:rPr>
        <w:t>th</w:t>
      </w:r>
      <w:r w:rsidRPr="00C33C85">
        <w:t xml:space="preserve"> November 2010, 13 efficacy</w:t>
      </w:r>
      <w:r w:rsidR="005F2A59">
        <w:t>-</w:t>
      </w:r>
      <w:r w:rsidRPr="00C33C85">
        <w:t xml:space="preserve">evaluable patients had died, </w:t>
      </w:r>
      <w:r w:rsidR="00120D15">
        <w:t>7</w:t>
      </w:r>
      <w:r w:rsidRPr="00C33C85">
        <w:t xml:space="preserve"> in the metastatic cohort and </w:t>
      </w:r>
      <w:r w:rsidR="00120D15">
        <w:t xml:space="preserve">6 </w:t>
      </w:r>
      <w:r w:rsidRPr="00C33C85">
        <w:t>i</w:t>
      </w:r>
      <w:r w:rsidR="00120D15">
        <w:t xml:space="preserve">n the locally advanced cohort. </w:t>
      </w:r>
      <w:r w:rsidRPr="00C33C85">
        <w:t>Overall survival data was immature</w:t>
      </w:r>
      <w:r w:rsidR="005F2A59">
        <w:t>,</w:t>
      </w:r>
      <w:r w:rsidRPr="00C33C85">
        <w:t xml:space="preserve"> with a median </w:t>
      </w:r>
      <w:r w:rsidR="00725C60">
        <w:t>OS</w:t>
      </w:r>
      <w:r w:rsidRPr="00C33C85">
        <w:t xml:space="preserve"> </w:t>
      </w:r>
      <w:r w:rsidR="00120D15">
        <w:t xml:space="preserve">not reached for either cohort. </w:t>
      </w:r>
      <w:r w:rsidRPr="00C33C85">
        <w:t>The one year survival rate was 75.5% for the metastatic cohort with survival times ranging from 0.9</w:t>
      </w:r>
      <w:r w:rsidR="00FA374D">
        <w:t>-</w:t>
      </w:r>
      <w:r w:rsidRPr="00C33C85">
        <w:t xml:space="preserve">16.4 months, while the one year survival rate for the locally advanced BCC cohort was 91.6% with survival times ranging from 2.4-19.7 months. </w:t>
      </w:r>
    </w:p>
    <w:p w:rsidR="00C33C85" w:rsidRPr="00C33C85" w:rsidRDefault="00C33C85" w:rsidP="00FA374D">
      <w:r w:rsidRPr="00C33C85">
        <w:t>An updated analysis to the 26</w:t>
      </w:r>
      <w:r w:rsidRPr="00C33C85">
        <w:rPr>
          <w:vertAlign w:val="superscript"/>
        </w:rPr>
        <w:t>th</w:t>
      </w:r>
      <w:r w:rsidR="005F2A59">
        <w:t xml:space="preserve"> May 2011 provided</w:t>
      </w:r>
      <w:r w:rsidRPr="00C33C85">
        <w:t xml:space="preserve"> further data with regards to response r</w:t>
      </w:r>
      <w:r w:rsidR="008D1388">
        <w:t xml:space="preserve">ates and duration of response. </w:t>
      </w:r>
      <w:r w:rsidRPr="00C33C85">
        <w:t>Approximately two-thirds of the patients in both cohorts had discontinued from the study by the 26</w:t>
      </w:r>
      <w:r w:rsidRPr="00C33C85">
        <w:rPr>
          <w:vertAlign w:val="superscript"/>
        </w:rPr>
        <w:t>th</w:t>
      </w:r>
      <w:r w:rsidR="008D1388">
        <w:t xml:space="preserve"> May 2011. </w:t>
      </w:r>
      <w:r w:rsidRPr="00C33C85">
        <w:t>The results were as determined b</w:t>
      </w:r>
      <w:r w:rsidR="008D1388">
        <w:t xml:space="preserve">y the investigator assessment. </w:t>
      </w:r>
      <w:r w:rsidRPr="00C33C85">
        <w:t xml:space="preserve">Objective response rates remained essentially unchanged with </w:t>
      </w:r>
      <w:r w:rsidR="007D70C0">
        <w:t>ORR</w:t>
      </w:r>
      <w:r w:rsidRPr="00C33C85">
        <w:t xml:space="preserve"> of 48.5% for metastatic BCC and 6</w:t>
      </w:r>
      <w:r w:rsidR="008D1388">
        <w:t xml:space="preserve">0.3% for locally advanced BCC. </w:t>
      </w:r>
      <w:r w:rsidRPr="00C33C85">
        <w:t>The median duration of objective response was also unchanged at 12.9 months for metastatic BCC and not estimable for locally advanced BCC</w:t>
      </w:r>
      <w:r w:rsidRPr="00C33C85">
        <w:rPr>
          <w:b/>
        </w:rPr>
        <w:t xml:space="preserve">. </w:t>
      </w:r>
      <w:r w:rsidRPr="00C33C85">
        <w:t>The overall median duration of response per investigator</w:t>
      </w:r>
      <w:r w:rsidRPr="00C33C85">
        <w:rPr>
          <w:b/>
        </w:rPr>
        <w:t xml:space="preserve"> </w:t>
      </w:r>
      <w:r w:rsidRPr="00C33C85">
        <w:t>assessment for all patients had an increase to 9.6 months and the primary analysis to 14.8 months as of the update.</w:t>
      </w:r>
      <w:r w:rsidR="00FA374D">
        <w:t xml:space="preserve"> </w:t>
      </w:r>
    </w:p>
    <w:p w:rsidR="00C33C85" w:rsidRDefault="00C33C85" w:rsidP="00FA374D">
      <w:r w:rsidRPr="00C33C85">
        <w:t xml:space="preserve">Median </w:t>
      </w:r>
      <w:r w:rsidR="00725C60">
        <w:t xml:space="preserve">PFS </w:t>
      </w:r>
      <w:r w:rsidRPr="00C33C85">
        <w:t>was 9.3 months for patients with metastatic BCC and 12.9 months</w:t>
      </w:r>
      <w:r w:rsidR="008D1388">
        <w:t xml:space="preserve"> for locally advanced disease. </w:t>
      </w:r>
      <w:r w:rsidRPr="00C33C85">
        <w:t>The median duration of follow up among</w:t>
      </w:r>
      <w:r w:rsidR="008D1388">
        <w:t xml:space="preserve"> all patients was 14.8 months. </w:t>
      </w:r>
      <w:r w:rsidRPr="00C33C85">
        <w:t>As of the 26</w:t>
      </w:r>
      <w:r w:rsidRPr="00C33C85">
        <w:rPr>
          <w:vertAlign w:val="superscript"/>
        </w:rPr>
        <w:t>th</w:t>
      </w:r>
      <w:r w:rsidRPr="00C33C85">
        <w:t xml:space="preserve"> May 2011 the </w:t>
      </w:r>
      <w:r w:rsidR="00725C60">
        <w:t>OS</w:t>
      </w:r>
      <w:r w:rsidRPr="00C33C85">
        <w:t xml:space="preserve"> data was still relatively immature with a median </w:t>
      </w:r>
      <w:r w:rsidR="00725C60">
        <w:t>OS</w:t>
      </w:r>
      <w:r w:rsidR="008D1388">
        <w:t xml:space="preserve"> not reached in either cohort. </w:t>
      </w:r>
      <w:r w:rsidRPr="00C33C85">
        <w:t>For one year survival rates were 77.3% for the metastatic BCC cohort and 93.1% for the locally advanced BCC cohort</w:t>
      </w:r>
      <w:r w:rsidR="005F2A59">
        <w:t>,</w:t>
      </w:r>
      <w:r w:rsidRPr="00C33C85">
        <w:t xml:space="preserve"> which was slightly higher than the rates reported for the primary analysis. </w:t>
      </w:r>
    </w:p>
    <w:p w:rsidR="008D1388" w:rsidRPr="00C33C85" w:rsidRDefault="008D1388" w:rsidP="00FA374D">
      <w:pPr>
        <w:pStyle w:val="Heading6"/>
      </w:pPr>
      <w:r>
        <w:t>Overall tumour shrinkage</w:t>
      </w:r>
    </w:p>
    <w:p w:rsidR="00DD59F2" w:rsidRDefault="00C33C85" w:rsidP="00FA374D">
      <w:r w:rsidRPr="00C33C85">
        <w:t xml:space="preserve">In an assessment of the overall extent of tumour shrinkage from the </w:t>
      </w:r>
      <w:r w:rsidR="008D1388">
        <w:t>IRF</w:t>
      </w:r>
      <w:r w:rsidRPr="00C33C85">
        <w:t xml:space="preserve"> reviews, a “waterfall plot” was determined for both the metastatic and locally advanced disease cohorts (Figure </w:t>
      </w:r>
      <w:r w:rsidR="00C3779E">
        <w:t>3</w:t>
      </w:r>
      <w:r w:rsidRPr="00C33C85">
        <w:t xml:space="preserve"> and Figure </w:t>
      </w:r>
      <w:r w:rsidR="00C3779E">
        <w:t>4</w:t>
      </w:r>
      <w:r w:rsidR="005F2A59">
        <w:t>, respectively</w:t>
      </w:r>
      <w:r w:rsidRPr="00C33C85">
        <w:t>). It is worth noting t</w:t>
      </w:r>
      <w:r w:rsidR="008D1388">
        <w:t>hat these determinations of per</w:t>
      </w:r>
      <w:r w:rsidRPr="00C33C85">
        <w:t>cent shrinkage of target lesions were according to photographic or radiographic assessments. For the locally advanced disease patients</w:t>
      </w:r>
      <w:r w:rsidR="005F2A59">
        <w:t>,</w:t>
      </w:r>
      <w:r w:rsidRPr="00C33C85">
        <w:t xml:space="preserve"> complete responses were confirmed by biopsy.</w:t>
      </w:r>
    </w:p>
    <w:p w:rsidR="00DD59F2" w:rsidRDefault="00DD59F2">
      <w:pPr>
        <w:spacing w:before="0" w:after="200" w:line="0" w:lineRule="auto"/>
      </w:pPr>
      <w:r>
        <w:br w:type="page"/>
      </w:r>
    </w:p>
    <w:p w:rsidR="00C33C85" w:rsidRPr="00C33C85" w:rsidRDefault="00C3779E" w:rsidP="00FA374D">
      <w:pPr>
        <w:pStyle w:val="FigureTitle"/>
      </w:pPr>
      <w:r>
        <w:t>Figure 3</w:t>
      </w:r>
      <w:r w:rsidR="008D1388">
        <w:t>. Maximum p</w:t>
      </w:r>
      <w:r w:rsidR="00C33C85" w:rsidRPr="00C33C85">
        <w:t xml:space="preserve">ercent </w:t>
      </w:r>
      <w:r w:rsidR="008D1388">
        <w:t>t</w:t>
      </w:r>
      <w:r w:rsidR="00C33C85" w:rsidRPr="00C33C85">
        <w:t xml:space="preserve">umor </w:t>
      </w:r>
      <w:r w:rsidR="008D1388">
        <w:t>s</w:t>
      </w:r>
      <w:r w:rsidR="00C33C85" w:rsidRPr="00C33C85">
        <w:t xml:space="preserve">hrinkage in </w:t>
      </w:r>
      <w:r w:rsidR="008D1388">
        <w:t>s</w:t>
      </w:r>
      <w:r w:rsidR="00C33C85" w:rsidRPr="00C33C85">
        <w:t xml:space="preserve">um of </w:t>
      </w:r>
      <w:r w:rsidR="008D1388">
        <w:t>l</w:t>
      </w:r>
      <w:r w:rsidR="00C33C85" w:rsidRPr="00C33C85">
        <w:t xml:space="preserve">ongest </w:t>
      </w:r>
      <w:r w:rsidR="008D1388">
        <w:t>d</w:t>
      </w:r>
      <w:r w:rsidR="00C33C85" w:rsidRPr="00C33C85">
        <w:t xml:space="preserve">imensions from </w:t>
      </w:r>
      <w:r w:rsidR="008D1388">
        <w:t>b</w:t>
      </w:r>
      <w:r w:rsidR="00C33C85" w:rsidRPr="00C33C85">
        <w:t xml:space="preserve">aseline by IRF Assessment: Metastatic BCC </w:t>
      </w:r>
      <w:r w:rsidR="008D1388">
        <w:t>c</w:t>
      </w:r>
      <w:r w:rsidR="00C33C85" w:rsidRPr="00C33C85">
        <w:t>ohort</w:t>
      </w:r>
    </w:p>
    <w:p w:rsidR="00C33C85" w:rsidRPr="00C33C85" w:rsidRDefault="00C33C85" w:rsidP="00FA374D">
      <w:r w:rsidRPr="00C33C85">
        <w:rPr>
          <w:noProof/>
          <w:lang w:eastAsia="en-AU"/>
        </w:rPr>
        <w:drawing>
          <wp:inline distT="0" distB="0" distL="0" distR="0">
            <wp:extent cx="3802380" cy="2667000"/>
            <wp:effectExtent l="19050" t="0" r="7620" b="0"/>
            <wp:docPr id="40" name="Picture 17" descr="Figure 3. Maximum percent tumor shrinkage in sum of longest dimensions from baseline by IRF Assessment: Metastatic BCC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3802380" cy="2667000"/>
                    </a:xfrm>
                    <a:prstGeom prst="rect">
                      <a:avLst/>
                    </a:prstGeom>
                    <a:noFill/>
                    <a:ln w="9525">
                      <a:noFill/>
                      <a:miter lim="800000"/>
                      <a:headEnd/>
                      <a:tailEnd/>
                    </a:ln>
                  </pic:spPr>
                </pic:pic>
              </a:graphicData>
            </a:graphic>
          </wp:inline>
        </w:drawing>
      </w:r>
    </w:p>
    <w:p w:rsidR="00C33C85" w:rsidRPr="001F0E8F" w:rsidRDefault="00C33C85" w:rsidP="006043C4">
      <w:pPr>
        <w:pStyle w:val="FigureDescription"/>
      </w:pPr>
      <w:r w:rsidRPr="001F0E8F">
        <w:t xml:space="preserve">BCC = basal cell carcinoma; CR = complete response; PD = progressive disease; PR = partial response; SD = stable disease; SLD = sum of the longest dimension (of target lesion[s]). Note: Of the 33 patients in the metastatic BCC cohort, 3 patients had a best percent change in SLD of 0; these represent the gap in the figure. Three patients did not have measurements, and 1 patient was </w:t>
      </w:r>
      <w:proofErr w:type="spellStart"/>
      <w:r w:rsidRPr="001F0E8F">
        <w:t>unevaluable</w:t>
      </w:r>
      <w:proofErr w:type="spellEnd"/>
      <w:r w:rsidRPr="001F0E8F">
        <w:t xml:space="preserve"> for assessment of best confirmed response; these 4 patients were excluded from the analysis.</w:t>
      </w:r>
    </w:p>
    <w:p w:rsidR="00C33C85" w:rsidRPr="00C33C85" w:rsidRDefault="00C3779E" w:rsidP="006043C4">
      <w:pPr>
        <w:pStyle w:val="FigureTitle"/>
      </w:pPr>
      <w:r>
        <w:t>Figure 4</w:t>
      </w:r>
      <w:r w:rsidR="008D1388">
        <w:t>. Maximum p</w:t>
      </w:r>
      <w:r w:rsidR="00C33C85" w:rsidRPr="00C33C85">
        <w:t xml:space="preserve">ercent </w:t>
      </w:r>
      <w:r w:rsidR="008D1388">
        <w:t>t</w:t>
      </w:r>
      <w:r w:rsidR="00C33C85" w:rsidRPr="00C33C85">
        <w:t xml:space="preserve">umor </w:t>
      </w:r>
      <w:r w:rsidR="008D1388">
        <w:t>s</w:t>
      </w:r>
      <w:r w:rsidR="00C33C85" w:rsidRPr="00C33C85">
        <w:t xml:space="preserve">hrinkage in </w:t>
      </w:r>
      <w:r w:rsidR="008D1388">
        <w:t>s</w:t>
      </w:r>
      <w:r w:rsidR="00C33C85" w:rsidRPr="00C33C85">
        <w:t xml:space="preserve">um of </w:t>
      </w:r>
      <w:r w:rsidR="008D1388">
        <w:t>l</w:t>
      </w:r>
      <w:r w:rsidR="00C33C85" w:rsidRPr="00C33C85">
        <w:t xml:space="preserve">ongest </w:t>
      </w:r>
      <w:r w:rsidR="008D1388">
        <w:t>d</w:t>
      </w:r>
      <w:r w:rsidR="00C33C85" w:rsidRPr="00C33C85">
        <w:t xml:space="preserve">imensions from </w:t>
      </w:r>
      <w:r w:rsidR="008D1388">
        <w:t>b</w:t>
      </w:r>
      <w:r w:rsidR="00C33C85" w:rsidRPr="00C33C85">
        <w:t xml:space="preserve">aseline by IRF </w:t>
      </w:r>
      <w:r w:rsidR="008D1388">
        <w:t>a</w:t>
      </w:r>
      <w:r w:rsidR="00C33C85" w:rsidRPr="00C33C85">
        <w:t>ssessment: Locally Advanced BCC Cohort</w:t>
      </w:r>
    </w:p>
    <w:p w:rsidR="00C33C85" w:rsidRPr="00C33C85" w:rsidRDefault="00C33C85" w:rsidP="006043C4">
      <w:r w:rsidRPr="00C33C85">
        <w:rPr>
          <w:noProof/>
          <w:lang w:eastAsia="en-AU"/>
        </w:rPr>
        <w:drawing>
          <wp:inline distT="0" distB="0" distL="0" distR="0">
            <wp:extent cx="4290060" cy="3040380"/>
            <wp:effectExtent l="19050" t="0" r="0" b="0"/>
            <wp:docPr id="41" name="Picture 20" descr="Figure 4. Maximum percent tumor shrinkage in sum of longest dimensions from baseline by IRF assessment: Locally Advanced BCC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4290060" cy="3040380"/>
                    </a:xfrm>
                    <a:prstGeom prst="rect">
                      <a:avLst/>
                    </a:prstGeom>
                    <a:noFill/>
                    <a:ln w="9525">
                      <a:noFill/>
                      <a:miter lim="800000"/>
                      <a:headEnd/>
                      <a:tailEnd/>
                    </a:ln>
                  </pic:spPr>
                </pic:pic>
              </a:graphicData>
            </a:graphic>
          </wp:inline>
        </w:drawing>
      </w:r>
    </w:p>
    <w:p w:rsidR="00C33C85" w:rsidRPr="001F0E8F" w:rsidRDefault="00C33C85" w:rsidP="006043C4">
      <w:pPr>
        <w:pStyle w:val="FigureDescription"/>
      </w:pPr>
      <w:r w:rsidRPr="001F0E8F">
        <w:t>BCC = basal cell carcinoma; IRF = independent review facility; PD = progressive disease; R = response; SD = stable disease; SLD = sum of the longest dimension (of target lesion[s]). Note: Four patients did not have lesion measurements and were not included in the plot.</w:t>
      </w:r>
    </w:p>
    <w:p w:rsidR="00C33C85" w:rsidRPr="00C33C85" w:rsidRDefault="00C33C85" w:rsidP="006043C4">
      <w:pPr>
        <w:pStyle w:val="Heading6"/>
      </w:pPr>
      <w:r w:rsidRPr="00C33C85">
        <w:t xml:space="preserve">Patients reported outcomes </w:t>
      </w:r>
    </w:p>
    <w:p w:rsidR="00C33C85" w:rsidRPr="00C33C85" w:rsidRDefault="00C33C85" w:rsidP="006043C4">
      <w:r w:rsidRPr="00C33C85">
        <w:t xml:space="preserve">In a patient reported outcomes analysis changes from baseline in </w:t>
      </w:r>
      <w:r w:rsidR="004804CD">
        <w:t>the SF-36 results varied by subscale and component scores</w:t>
      </w:r>
      <w:r w:rsidR="00E41D94">
        <w:t xml:space="preserve"> and were small</w:t>
      </w:r>
      <w:r w:rsidR="004804CD">
        <w:t xml:space="preserve">. </w:t>
      </w:r>
      <w:r w:rsidRPr="00C33C85">
        <w:t>Mean changes from baseline in mental and physical components scores were approximately two points</w:t>
      </w:r>
      <w:r w:rsidR="00E41D94">
        <w:t>,</w:t>
      </w:r>
      <w:r w:rsidRPr="00C33C85">
        <w:t xml:space="preserve"> indicating that patient quality of life on treatment w</w:t>
      </w:r>
      <w:r w:rsidR="004804CD">
        <w:t>as maintained through week 24.</w:t>
      </w:r>
      <w:r w:rsidR="00F828C8">
        <w:t xml:space="preserve"> </w:t>
      </w:r>
    </w:p>
    <w:p w:rsidR="00C33C85" w:rsidRPr="00C33C85" w:rsidRDefault="00D45D7C" w:rsidP="006043C4">
      <w:r>
        <w:t>I</w:t>
      </w:r>
      <w:r w:rsidR="00C33C85" w:rsidRPr="00C33C85">
        <w:t>n 7</w:t>
      </w:r>
      <w:r>
        <w:t xml:space="preserve"> of </w:t>
      </w:r>
      <w:r w:rsidR="00C33C85" w:rsidRPr="00C33C85">
        <w:t xml:space="preserve">8 patients who </w:t>
      </w:r>
      <w:r w:rsidR="00E41D94">
        <w:t>were excluded from the efficacy-</w:t>
      </w:r>
      <w:r w:rsidR="00C33C85" w:rsidRPr="00C33C85">
        <w:t>evaluable population because of a lack of confirmed BCC on screening biopsy, archival tissues submitted from target lesions was interpreted by the independent pathologist</w:t>
      </w:r>
      <w:r>
        <w:t xml:space="preserve"> as being consistent with BCC. </w:t>
      </w:r>
      <w:r w:rsidR="00C33C85" w:rsidRPr="00C33C85">
        <w:t>A sensitivity analysis of</w:t>
      </w:r>
      <w:r>
        <w:t xml:space="preserve"> the 70 patients in this tissue-</w:t>
      </w:r>
      <w:r w:rsidR="00C33C85" w:rsidRPr="00C33C85">
        <w:t xml:space="preserve">confirmed population </w:t>
      </w:r>
      <w:r>
        <w:t xml:space="preserve">(these 7 </w:t>
      </w:r>
      <w:r w:rsidR="00C33C85" w:rsidRPr="00C33C85">
        <w:t xml:space="preserve">patients plus the 63 with </w:t>
      </w:r>
      <w:proofErr w:type="spellStart"/>
      <w:r w:rsidR="00C33C85" w:rsidRPr="00C33C85">
        <w:t>histologically</w:t>
      </w:r>
      <w:proofErr w:type="spellEnd"/>
      <w:r w:rsidR="00C33C85" w:rsidRPr="00C33C85">
        <w:t xml:space="preserve"> confirmed BCC at baseline</w:t>
      </w:r>
      <w:r>
        <w:t>)</w:t>
      </w:r>
      <w:r w:rsidR="00C33C85" w:rsidRPr="00C33C85">
        <w:t xml:space="preserve"> yielded an </w:t>
      </w:r>
      <w:r>
        <w:t>IRF-</w:t>
      </w:r>
      <w:r w:rsidR="00C33C85" w:rsidRPr="00C33C85">
        <w:t xml:space="preserve">assessed response rate of 44% or 31 </w:t>
      </w:r>
      <w:r>
        <w:t>of 70 patients (95% CI, 32.4%</w:t>
      </w:r>
      <w:r w:rsidR="00C33C85" w:rsidRPr="00C33C85">
        <w:t>-56.7%).</w:t>
      </w:r>
      <w:r w:rsidR="00FA374D">
        <w:t xml:space="preserve"> </w:t>
      </w:r>
    </w:p>
    <w:p w:rsidR="00C33C85" w:rsidRPr="00C33C85" w:rsidRDefault="00C33C85" w:rsidP="006043C4">
      <w:pPr>
        <w:pStyle w:val="Heading6"/>
      </w:pPr>
      <w:r w:rsidRPr="00C33C85">
        <w:t>E</w:t>
      </w:r>
      <w:r w:rsidR="008F4F84">
        <w:t>fficacy in patient sub-groups</w:t>
      </w:r>
    </w:p>
    <w:p w:rsidR="00C33C85" w:rsidRPr="00C33C85" w:rsidRDefault="00C33C85" w:rsidP="006043C4">
      <w:r w:rsidRPr="00C33C85">
        <w:t xml:space="preserve">Sub-group analyses of </w:t>
      </w:r>
      <w:r w:rsidR="007D70C0">
        <w:t>ORR</w:t>
      </w:r>
      <w:r w:rsidRPr="00C33C85">
        <w:t>s per IRF and per investigator</w:t>
      </w:r>
      <w:r w:rsidR="00E41D94">
        <w:t xml:space="preserve"> among patients in the efficacy-</w:t>
      </w:r>
      <w:r w:rsidRPr="00C33C85">
        <w:t>evaluable population and in the all-treated population were performed according to a number of baseline an</w:t>
      </w:r>
      <w:r w:rsidR="00606C62">
        <w:t xml:space="preserve">d demographic characteristics. </w:t>
      </w:r>
      <w:r w:rsidRPr="00C33C85">
        <w:t>The results indicated that the benefits observed in the sub-groups were consistent wit</w:t>
      </w:r>
      <w:r w:rsidR="00E41D94">
        <w:t xml:space="preserve">h those in the overall </w:t>
      </w:r>
      <w:proofErr w:type="spellStart"/>
      <w:r w:rsidR="00E41D94">
        <w:t>efficacy</w:t>
      </w:r>
      <w:r w:rsidR="00E41D94">
        <w:noBreakHyphen/>
      </w:r>
      <w:r w:rsidRPr="00C33C85">
        <w:t>evaluable</w:t>
      </w:r>
      <w:proofErr w:type="spellEnd"/>
      <w:r w:rsidRPr="00C33C85">
        <w:t xml:space="preserve"> study population.</w:t>
      </w:r>
      <w:r w:rsidR="00FA374D">
        <w:t xml:space="preserve"> </w:t>
      </w:r>
    </w:p>
    <w:p w:rsidR="00C33C85" w:rsidRPr="00C33C85" w:rsidRDefault="00C33C85" w:rsidP="006043C4">
      <w:r w:rsidRPr="00C33C85">
        <w:t xml:space="preserve">Hedgehog signalling results </w:t>
      </w:r>
      <w:r w:rsidR="00E41D94">
        <w:t xml:space="preserve">in the expression of </w:t>
      </w:r>
      <w:r w:rsidR="001C67D1">
        <w:t xml:space="preserve">the </w:t>
      </w:r>
      <w:proofErr w:type="spellStart"/>
      <w:r w:rsidR="001C67D1">
        <w:t>transmembrane</w:t>
      </w:r>
      <w:proofErr w:type="spellEnd"/>
      <w:r w:rsidR="001C67D1">
        <w:t xml:space="preserve"> </w:t>
      </w:r>
      <w:r w:rsidR="00E41D94">
        <w:t>proteins GLi</w:t>
      </w:r>
      <w:r w:rsidRPr="00C33C85">
        <w:t>1 and PTCH2</w:t>
      </w:r>
      <w:r w:rsidR="00606C62">
        <w:t>.</w:t>
      </w:r>
      <w:r w:rsidRPr="00C33C85">
        <w:t xml:space="preserve"> </w:t>
      </w:r>
      <w:r w:rsidR="00606C62">
        <w:t>A</w:t>
      </w:r>
      <w:r w:rsidRPr="00C33C85">
        <w:t xml:space="preserve">nalysis of </w:t>
      </w:r>
      <w:r w:rsidR="007D70C0">
        <w:t>ORR</w:t>
      </w:r>
      <w:r w:rsidRPr="00C33C85">
        <w:t xml:space="preserve">, duration of response and </w:t>
      </w:r>
      <w:r w:rsidR="00725C60">
        <w:t>PFS</w:t>
      </w:r>
      <w:r w:rsidRPr="00C33C85">
        <w:t xml:space="preserve"> based on relative expression of GL</w:t>
      </w:r>
      <w:r w:rsidR="00E41D94">
        <w:t>i1 and PTCH2 in efficacy-</w:t>
      </w:r>
      <w:r w:rsidRPr="00C33C85">
        <w:t>evaluable patient</w:t>
      </w:r>
      <w:r w:rsidR="00606C62">
        <w:t xml:space="preserve">s were summarised by </w:t>
      </w:r>
      <w:proofErr w:type="spellStart"/>
      <w:r w:rsidR="00606C62">
        <w:t>tertiles</w:t>
      </w:r>
      <w:proofErr w:type="spellEnd"/>
      <w:r w:rsidR="00606C62">
        <w:t xml:space="preserve">. </w:t>
      </w:r>
      <w:r w:rsidRPr="00C33C85">
        <w:t xml:space="preserve">Responses were observed in all </w:t>
      </w:r>
      <w:proofErr w:type="spellStart"/>
      <w:r w:rsidRPr="00C33C85">
        <w:t>tertiles</w:t>
      </w:r>
      <w:proofErr w:type="spellEnd"/>
      <w:r w:rsidRPr="00C33C85">
        <w:t xml:space="preserve"> and no consistent pattern of response rate was noted when comparing investigator or IRF response rates across </w:t>
      </w:r>
      <w:proofErr w:type="spellStart"/>
      <w:r w:rsidRPr="00C33C85">
        <w:t>tertile</w:t>
      </w:r>
      <w:r w:rsidR="00606C62">
        <w:t>s</w:t>
      </w:r>
      <w:proofErr w:type="spellEnd"/>
      <w:r w:rsidR="00606C62">
        <w:t xml:space="preserve">. </w:t>
      </w:r>
      <w:r w:rsidRPr="00C33C85">
        <w:t>Some of these sub-groups contained v</w:t>
      </w:r>
      <w:r w:rsidR="00606C62">
        <w:t xml:space="preserve">ery small numbers of patients. </w:t>
      </w:r>
      <w:r w:rsidRPr="00C33C85">
        <w:t xml:space="preserve">There was no evidence to suggest an association between response rates, duration of response or </w:t>
      </w:r>
      <w:r w:rsidR="00725C60">
        <w:t xml:space="preserve">PFS </w:t>
      </w:r>
      <w:r w:rsidRPr="00C33C85">
        <w:t>with GL</w:t>
      </w:r>
      <w:r w:rsidR="00E41D94">
        <w:t>i</w:t>
      </w:r>
      <w:r w:rsidRPr="00C33C85">
        <w:t>1 and PTCH2 levels regardless of whether the response assessments were determined by the IRF or by investigators.</w:t>
      </w:r>
      <w:r w:rsidR="00FA374D">
        <w:t xml:space="preserve"> </w:t>
      </w:r>
    </w:p>
    <w:p w:rsidR="00C33C85" w:rsidRPr="00C33C85" w:rsidRDefault="00C33C85" w:rsidP="006043C4">
      <w:pPr>
        <w:pStyle w:val="Heading4"/>
      </w:pPr>
      <w:r w:rsidRPr="00C33C85">
        <w:t xml:space="preserve">Study SHH3925g </w:t>
      </w:r>
    </w:p>
    <w:p w:rsidR="00E26786" w:rsidRDefault="00E26786" w:rsidP="006043C4">
      <w:pPr>
        <w:pStyle w:val="Heading5"/>
      </w:pPr>
      <w:r>
        <w:t>Study design and treatments</w:t>
      </w:r>
    </w:p>
    <w:p w:rsidR="00C33C85" w:rsidRPr="00C33C85" w:rsidRDefault="00D6120F" w:rsidP="006043C4">
      <w:r>
        <w:t>A</w:t>
      </w:r>
      <w:r w:rsidR="00C33C85" w:rsidRPr="00C33C85">
        <w:t xml:space="preserve"> single supportive study was provided in this submission </w:t>
      </w:r>
      <w:r>
        <w:t>(S</w:t>
      </w:r>
      <w:r w:rsidR="00C33C85" w:rsidRPr="00C33C85">
        <w:t>tudy SHH3925g</w:t>
      </w:r>
      <w:r>
        <w:t>)</w:t>
      </w:r>
      <w:r w:rsidR="00C33C85" w:rsidRPr="00C33C85">
        <w:t xml:space="preserve"> which was an open-label</w:t>
      </w:r>
      <w:r>
        <w:t>,</w:t>
      </w:r>
      <w:r w:rsidR="00C33C85" w:rsidRPr="00C33C85">
        <w:t xml:space="preserve"> multicentre</w:t>
      </w:r>
      <w:r w:rsidR="00E87F22">
        <w:t>,</w:t>
      </w:r>
      <w:r w:rsidR="00C33C85" w:rsidRPr="00C33C85">
        <w:t xml:space="preserve"> Phase I study using a 3+3 design to evaluate the safety and tolerability of escalating doses of vismodegib administered orally on a once daily schedule for 28 days to patients with advanced solid malignancies that were refractory to standard therapy or for which no standard therapy existed.</w:t>
      </w:r>
      <w:r w:rsidR="00FA374D">
        <w:t xml:space="preserve"> </w:t>
      </w:r>
    </w:p>
    <w:p w:rsidR="00C33C85" w:rsidRPr="00C33C85" w:rsidRDefault="00C33C85" w:rsidP="006043C4">
      <w:r w:rsidRPr="00C33C85">
        <w:t xml:space="preserve">The primary objectives of this study were evaluation of safety, the estimation of maximum tolerated dose, the characterisation of </w:t>
      </w:r>
      <w:r w:rsidR="00E87F22">
        <w:t xml:space="preserve">PK </w:t>
      </w:r>
      <w:r w:rsidRPr="00C33C85">
        <w:t>and the determ</w:t>
      </w:r>
      <w:r w:rsidR="00E26786">
        <w:t xml:space="preserve">ination of a recommended dose. </w:t>
      </w:r>
      <w:r w:rsidRPr="00C33C85">
        <w:t>The</w:t>
      </w:r>
      <w:r w:rsidR="00E26786">
        <w:t xml:space="preserve"> </w:t>
      </w:r>
      <w:r w:rsidRPr="00C33C85">
        <w:t xml:space="preserve">secondary efficacy objective </w:t>
      </w:r>
      <w:r w:rsidR="00E26786">
        <w:t xml:space="preserve">was </w:t>
      </w:r>
      <w:r w:rsidRPr="00C33C85">
        <w:t>to make a preliminary assessment of tumour response in patients with advanced solid tumours and advanced BCC receiving vismodegib as a single agent.</w:t>
      </w:r>
      <w:r w:rsidR="00FA374D">
        <w:t xml:space="preserve"> </w:t>
      </w:r>
    </w:p>
    <w:p w:rsidR="00C33C85" w:rsidRPr="00C33C85" w:rsidRDefault="00C33C85" w:rsidP="006043C4">
      <w:r w:rsidRPr="00C33C85">
        <w:t>Enrolment into the</w:t>
      </w:r>
      <w:r w:rsidR="00E26786">
        <w:t xml:space="preserve"> study occurred in two stages. </w:t>
      </w:r>
      <w:r w:rsidRPr="00C33C85">
        <w:t xml:space="preserve">Stage </w:t>
      </w:r>
      <w:r w:rsidR="00E26786">
        <w:t>1</w:t>
      </w:r>
      <w:r w:rsidR="00E87F22">
        <w:t xml:space="preserve"> was</w:t>
      </w:r>
      <w:r w:rsidRPr="00C33C85">
        <w:t xml:space="preserve"> a dose escalation stage with a goal of estimating the maximum tolerated dose</w:t>
      </w:r>
      <w:r w:rsidR="00E87F22">
        <w:t>. P</w:t>
      </w:r>
      <w:r w:rsidRPr="00C33C85">
        <w:t>atients received a single oral dose of vismodegib on Day 1 followed by daily administration of the</w:t>
      </w:r>
      <w:r w:rsidR="00E26786">
        <w:t xml:space="preserve"> same dose beginning on Day 8. </w:t>
      </w:r>
      <w:r w:rsidRPr="00C33C85">
        <w:t xml:space="preserve">Seven patients received 150 mg vismodegib daily, </w:t>
      </w:r>
      <w:r w:rsidR="00E87F22">
        <w:t xml:space="preserve">9 </w:t>
      </w:r>
      <w:r w:rsidRPr="00C33C85">
        <w:t>received 270 mg daily a</w:t>
      </w:r>
      <w:r w:rsidR="00E26786">
        <w:t xml:space="preserve">nd </w:t>
      </w:r>
      <w:r w:rsidR="00E87F22">
        <w:t xml:space="preserve">4 </w:t>
      </w:r>
      <w:r w:rsidR="00E26786">
        <w:t xml:space="preserve">received 540 mg daily. </w:t>
      </w:r>
      <w:r w:rsidRPr="00C33C85">
        <w:t xml:space="preserve">In </w:t>
      </w:r>
      <w:r w:rsidR="00E26786">
        <w:t>S</w:t>
      </w:r>
      <w:r w:rsidRPr="00C33C85">
        <w:t>tage 1, if a patient did not experience a dose limiting toxicity and had no signs or symptoms of disease progression upon completion of the first 35 days after the initiation of study drug, the patient could continue treatment at h</w:t>
      </w:r>
      <w:r w:rsidR="00E26786">
        <w:t xml:space="preserve">is or her assigned dose level. </w:t>
      </w:r>
      <w:r w:rsidRPr="00C33C85">
        <w:t>Three patients with advanced BCC were enrolled in Stage 1</w:t>
      </w:r>
      <w:r w:rsidR="00E26786">
        <w:t>:</w:t>
      </w:r>
      <w:r w:rsidRPr="00C33C85">
        <w:t xml:space="preserve"> one received 150 mg vismodegib daily, another 270 mg dail</w:t>
      </w:r>
      <w:r w:rsidR="00E26786">
        <w:t xml:space="preserve">y and the third 540 mg daily. </w:t>
      </w:r>
    </w:p>
    <w:p w:rsidR="00C33C85" w:rsidRPr="00C33C85" w:rsidRDefault="00C33C85" w:rsidP="006043C4">
      <w:r w:rsidRPr="00C33C85">
        <w:t xml:space="preserve">Stage 2 of the study included an expansion cohort of 12 patients with solid tumours, none of whom had advanced BCC, who began continuous daily dosing at 150 mg vismodegib on Day 1 in order to assess the safety profile and </w:t>
      </w:r>
      <w:r w:rsidR="00E26786">
        <w:t xml:space="preserve">PK </w:t>
      </w:r>
      <w:r w:rsidRPr="00C33C85">
        <w:t xml:space="preserve">and </w:t>
      </w:r>
      <w:r w:rsidR="00E26786">
        <w:t xml:space="preserve">PD </w:t>
      </w:r>
      <w:r w:rsidRPr="00C33C85">
        <w:t>of vismodegib. After a protocol amendment two additional cohorts were added: 1: a cohort of 16 patients (including 10 with advanced BCC) to investigate the PK properties of a new vismodegib f</w:t>
      </w:r>
      <w:r w:rsidR="00E26786">
        <w:t>ormulation at</w:t>
      </w:r>
      <w:r w:rsidRPr="00C33C85">
        <w:t xml:space="preserve"> 150 mg daily; and 2: a cohort of 20 patients with advanced BCC treated at either 150 mg or 270 mg daily to evaluate the safety and efficacy based on encouraging responses observe</w:t>
      </w:r>
      <w:r w:rsidR="00E26786">
        <w:t xml:space="preserve">d in the </w:t>
      </w:r>
      <w:r w:rsidR="00E87F22">
        <w:t xml:space="preserve">2 </w:t>
      </w:r>
      <w:r w:rsidR="00E26786">
        <w:t xml:space="preserve">patients in Stage 1 with advanced BCC. </w:t>
      </w:r>
      <w:r w:rsidRPr="00C33C85">
        <w:t>Patients in Stage 2 were treated until disease progression, recurrence, intolerable sid</w:t>
      </w:r>
      <w:r w:rsidR="00E26786">
        <w:t xml:space="preserve">e effects or study withdrawal. </w:t>
      </w:r>
      <w:r w:rsidRPr="00C33C85">
        <w:t xml:space="preserve">Patients with dose limiting toxicities, other intolerable side effects, disease progression, or who did not benefit from treatment as determined by </w:t>
      </w:r>
      <w:r w:rsidR="00E26786">
        <w:t>the investigator</w:t>
      </w:r>
      <w:r w:rsidRPr="00C33C85">
        <w:t xml:space="preserve"> were</w:t>
      </w:r>
      <w:r w:rsidR="00E26786">
        <w:t xml:space="preserve"> discontinued from treatment.</w:t>
      </w:r>
      <w:r w:rsidR="00F828C8">
        <w:t xml:space="preserve"> </w:t>
      </w:r>
    </w:p>
    <w:p w:rsidR="00C33C85" w:rsidRDefault="00C33C85" w:rsidP="006043C4">
      <w:r w:rsidRPr="00C33C85">
        <w:t>Patients in all cohorts received one daily oral dose of vismodegib a</w:t>
      </w:r>
      <w:r w:rsidR="00E87F22">
        <w:t xml:space="preserve">t their assigned dose levels. </w:t>
      </w:r>
    </w:p>
    <w:p w:rsidR="00E26786" w:rsidRPr="00C33C85" w:rsidRDefault="00E26786" w:rsidP="00E26786">
      <w:pPr>
        <w:pStyle w:val="Heading5"/>
      </w:pPr>
      <w:r>
        <w:t>Study population</w:t>
      </w:r>
    </w:p>
    <w:p w:rsidR="00C33C85" w:rsidRPr="00C33C85" w:rsidRDefault="00C33C85" w:rsidP="006043C4">
      <w:r w:rsidRPr="00C33C85">
        <w:t xml:space="preserve">The study population consisted of patients aged at least 18 years with </w:t>
      </w:r>
      <w:proofErr w:type="spellStart"/>
      <w:r w:rsidRPr="00C33C85">
        <w:t>histologically</w:t>
      </w:r>
      <w:proofErr w:type="spellEnd"/>
      <w:r w:rsidRPr="00C33C85">
        <w:t xml:space="preserve"> documented, incurable, loca</w:t>
      </w:r>
      <w:r w:rsidR="00DC1FDF">
        <w:t>lly advanced or metastatic solid</w:t>
      </w:r>
      <w:r w:rsidRPr="00C33C85">
        <w:t xml:space="preserve"> malignancy that had progressed after fi</w:t>
      </w:r>
      <w:r w:rsidR="00E26786">
        <w:t xml:space="preserve">rst and second line therapies. </w:t>
      </w:r>
      <w:r w:rsidRPr="00C33C85">
        <w:t xml:space="preserve">For inclusion in the Stage 2 BCC cohort histopathological documentation of BCC from metastatic or locally </w:t>
      </w:r>
      <w:r w:rsidR="00E26786">
        <w:t xml:space="preserve">advanced lesions was required. </w:t>
      </w:r>
      <w:r w:rsidRPr="00C33C85">
        <w:t>Disease had to have been evaluable by examination or imaging f</w:t>
      </w:r>
      <w:r w:rsidR="00E26786">
        <w:t xml:space="preserve">or patients with advanced BCC. </w:t>
      </w:r>
      <w:r w:rsidRPr="00C33C85">
        <w:t xml:space="preserve">Patients with an ECOG </w:t>
      </w:r>
      <w:r w:rsidR="00DC1FDF">
        <w:t xml:space="preserve">PS </w:t>
      </w:r>
      <w:r w:rsidR="00E26786">
        <w:t xml:space="preserve">of 0, 1 or 2 were eligible. Eligible </w:t>
      </w:r>
      <w:r w:rsidRPr="00C33C85">
        <w:t xml:space="preserve">patients </w:t>
      </w:r>
      <w:r w:rsidR="00E26786">
        <w:t xml:space="preserve">could not have </w:t>
      </w:r>
      <w:r w:rsidRPr="00C33C85">
        <w:t xml:space="preserve">received chemotherapy, investigational agents, radiation therapy or major surgical procedure for at least three weeks prior to study entry and </w:t>
      </w:r>
      <w:r w:rsidR="00E26786">
        <w:t xml:space="preserve">had to </w:t>
      </w:r>
      <w:r w:rsidRPr="00C33C85">
        <w:t>have recovered to pre-treatment baseline or stabilisation of all treatment related toxicities.</w:t>
      </w:r>
      <w:r w:rsidR="00FA374D">
        <w:t xml:space="preserve"> </w:t>
      </w:r>
    </w:p>
    <w:p w:rsidR="00C33C85" w:rsidRPr="00C33C85" w:rsidRDefault="00C33C85" w:rsidP="006043C4">
      <w:r w:rsidRPr="00C33C85">
        <w:t>The remainder of the data presented in relation to this study are limited to enrolled patients with advanced BCC.</w:t>
      </w:r>
      <w:r w:rsidR="00FA374D">
        <w:t xml:space="preserve"> </w:t>
      </w:r>
    </w:p>
    <w:p w:rsidR="00C33C85" w:rsidRPr="00C33C85" w:rsidRDefault="00C33C85" w:rsidP="006043C4">
      <w:pPr>
        <w:pStyle w:val="Heading5"/>
      </w:pPr>
      <w:r w:rsidRPr="00C33C85">
        <w:t xml:space="preserve">Response assessments </w:t>
      </w:r>
    </w:p>
    <w:p w:rsidR="00C33C85" w:rsidRPr="00C33C85" w:rsidRDefault="00C33C85" w:rsidP="006043C4">
      <w:r w:rsidRPr="00C33C85">
        <w:t xml:space="preserve">In the absence of clinically overt tumour progression, tumour response was objectively assessed upon the completion of eight weeks of dosing and </w:t>
      </w:r>
      <w:r w:rsidR="00091B6E">
        <w:t xml:space="preserve">nearly eight weeks thereafter. </w:t>
      </w:r>
      <w:r w:rsidRPr="00C33C85">
        <w:t>A complete or partial objective response was determined from two consecutive assessme</w:t>
      </w:r>
      <w:r w:rsidR="00C92CE4">
        <w:t xml:space="preserve">nts at least four weeks apart. </w:t>
      </w:r>
      <w:r w:rsidRPr="00C33C85">
        <w:t xml:space="preserve">Patients with disease that was measurable by RECIST who did not experience intolerable side effects or who had a complete or partial response after eight weeks could proceed with dosing of vismodegib </w:t>
      </w:r>
      <w:r w:rsidR="00C92CE4">
        <w:t xml:space="preserve">at their assigned dose level. </w:t>
      </w:r>
    </w:p>
    <w:p w:rsidR="00C33C85" w:rsidRPr="00C33C85" w:rsidRDefault="00C33C85" w:rsidP="006043C4">
      <w:r w:rsidRPr="00C33C85">
        <w:t>Patients with disease that was evaluable but not measurable by RECIST had to have had stabilisation or improvement of their evaluable lesions and/or symptoms in order to proceed beyond th</w:t>
      </w:r>
      <w:r w:rsidR="00C92CE4">
        <w:t xml:space="preserve">e first eight weeks of dosing. </w:t>
      </w:r>
      <w:r w:rsidRPr="00C33C85">
        <w:t>Vismodegib administration was discontinued for patients who at any time in the course of this study experienced a dose limiting toxicity or other intolerable side effects, disease progression</w:t>
      </w:r>
      <w:r w:rsidR="00DC1FDF">
        <w:t>,</w:t>
      </w:r>
      <w:r w:rsidRPr="00C33C85">
        <w:t xml:space="preserve"> or who in their opinion or the opinion of the investigator were not benefiting from </w:t>
      </w:r>
      <w:proofErr w:type="spellStart"/>
      <w:r w:rsidRPr="00C33C85">
        <w:t>vismodegib</w:t>
      </w:r>
      <w:proofErr w:type="spellEnd"/>
      <w:r w:rsidRPr="00C33C85">
        <w:t>.</w:t>
      </w:r>
      <w:r w:rsidR="00FA374D">
        <w:t xml:space="preserve"> </w:t>
      </w:r>
    </w:p>
    <w:p w:rsidR="00C33C85" w:rsidRPr="00C33C85" w:rsidRDefault="00C33C85" w:rsidP="006043C4">
      <w:r w:rsidRPr="00C33C85">
        <w:t>All patients were monitored for safety and disease pro</w:t>
      </w:r>
      <w:r w:rsidR="00C92CE4">
        <w:t xml:space="preserve">gression throughout the study. </w:t>
      </w:r>
      <w:r w:rsidRPr="00C33C85">
        <w:t>Patients were seen weekly for the first six weeks then every two weeks until week 26 then monthly while the patient was still receiving study treatment</w:t>
      </w:r>
      <w:r w:rsidR="00DC1FDF">
        <w:t>,</w:t>
      </w:r>
      <w:r w:rsidRPr="00C33C85">
        <w:t xml:space="preserve"> and then weekly for four weeks up to the last of </w:t>
      </w:r>
      <w:proofErr w:type="spellStart"/>
      <w:r w:rsidRPr="00C33C85">
        <w:t>vismodegib</w:t>
      </w:r>
      <w:proofErr w:type="spellEnd"/>
      <w:r w:rsidRPr="00C33C85">
        <w:t xml:space="preserve"> dose.</w:t>
      </w:r>
      <w:r w:rsidR="00FA374D">
        <w:t xml:space="preserve"> </w:t>
      </w:r>
    </w:p>
    <w:p w:rsidR="00C33C85" w:rsidRPr="00C33C85" w:rsidRDefault="00C33C85" w:rsidP="00C92CE4">
      <w:pPr>
        <w:pStyle w:val="Heading5"/>
      </w:pPr>
      <w:r w:rsidRPr="00C33C85">
        <w:t>Statistical methods</w:t>
      </w:r>
      <w:r w:rsidR="00F828C8">
        <w:t xml:space="preserve"> </w:t>
      </w:r>
    </w:p>
    <w:p w:rsidR="00C92CE4" w:rsidRDefault="00DC1FDF" w:rsidP="006043C4">
      <w:r>
        <w:t>Efficacy-</w:t>
      </w:r>
      <w:r w:rsidR="00C33C85" w:rsidRPr="00C33C85">
        <w:t>evaluable patients in the study comprised those with measurable disease at baseline who had received at least one dose of vismodegib and who either had a post-baseline tumour assessment or who had progresse</w:t>
      </w:r>
      <w:r w:rsidR="00C92CE4">
        <w:t xml:space="preserve">d after any tumour assessment. </w:t>
      </w:r>
      <w:r w:rsidR="00C33C85" w:rsidRPr="00C33C85">
        <w:t xml:space="preserve">Anti-tumour activity of vismodegib was assessed to investigate or assess objective response, duration of objective response and </w:t>
      </w:r>
      <w:r w:rsidR="00725C60">
        <w:t>PFS</w:t>
      </w:r>
      <w:r w:rsidR="00C33C85" w:rsidRPr="00C33C85">
        <w:t xml:space="preserve">. Objective response was defined as a complete or partial response determined with two consecutive assessments at least four weeks apart. </w:t>
      </w:r>
    </w:p>
    <w:p w:rsidR="00C33C85" w:rsidRPr="00C33C85" w:rsidRDefault="00C33C85" w:rsidP="006043C4">
      <w:r w:rsidRPr="00C33C85">
        <w:t xml:space="preserve">Patients with advanced BCC in the Phase 1 Study SHH3925g were not </w:t>
      </w:r>
      <w:r w:rsidR="00C92CE4">
        <w:t>prospectively categoris</w:t>
      </w:r>
      <w:r w:rsidRPr="00C33C85">
        <w:t>ed as having locally advanced or metastatic disease. Therefore, in a non-pre</w:t>
      </w:r>
      <w:r w:rsidR="00DC1FDF">
        <w:t>-</w:t>
      </w:r>
      <w:r w:rsidRPr="00C33C85">
        <w:t>planned analysis, patients with advanced BC</w:t>
      </w:r>
      <w:r w:rsidR="00C92CE4">
        <w:t>C were retrospectively categoris</w:t>
      </w:r>
      <w:r w:rsidRPr="00C33C85">
        <w:t xml:space="preserve">ed as having metastatic or locally advanced BCC based on a medical review of enrolment documents, in order to facilitate comparison of these data with those from the pivotal </w:t>
      </w:r>
      <w:r w:rsidR="00C92CE4">
        <w:t>S</w:t>
      </w:r>
      <w:r w:rsidRPr="00C33C85">
        <w:t xml:space="preserve">tudy SHH4476g. </w:t>
      </w:r>
      <w:r w:rsidR="00C92CE4">
        <w:t>Overall response rates, duration of response</w:t>
      </w:r>
      <w:r w:rsidRPr="00C33C85">
        <w:t xml:space="preserve"> and PFS for these two disease states are presented separately</w:t>
      </w:r>
      <w:r w:rsidR="00DC1FDF">
        <w:t xml:space="preserve"> below</w:t>
      </w:r>
      <w:r w:rsidRPr="00C33C85">
        <w:t>.</w:t>
      </w:r>
    </w:p>
    <w:p w:rsidR="00C33C85" w:rsidRPr="00C33C85" w:rsidRDefault="0004639A" w:rsidP="006043C4">
      <w:pPr>
        <w:pStyle w:val="Heading5"/>
      </w:pPr>
      <w:r>
        <w:t>Summary of r</w:t>
      </w:r>
      <w:r w:rsidR="00C33C85" w:rsidRPr="00C33C85">
        <w:t xml:space="preserve">esults </w:t>
      </w:r>
    </w:p>
    <w:p w:rsidR="00C33C85" w:rsidRPr="00C33C85" w:rsidRDefault="00C33C85" w:rsidP="006043C4">
      <w:r w:rsidRPr="00C33C85">
        <w:t>A total of 68 patients from three study sites in the US were enrolled in the study</w:t>
      </w:r>
      <w:r w:rsidR="00DC1FDF">
        <w:t>,</w:t>
      </w:r>
      <w:r w:rsidRPr="00C33C85">
        <w:t xml:space="preserve"> including 33 patients with advanced BCC. </w:t>
      </w:r>
      <w:r w:rsidR="004043F1">
        <w:t>In the sub</w:t>
      </w:r>
      <w:r w:rsidRPr="00C33C85">
        <w:t xml:space="preserve">set of patients with advanced BCC, 17 received 150 mg vismodegib daily, 15 received 270 mg daily </w:t>
      </w:r>
      <w:r w:rsidR="004043F1">
        <w:t xml:space="preserve">and one received 540 mg daily. </w:t>
      </w:r>
      <w:r w:rsidRPr="00C33C85">
        <w:t xml:space="preserve">No dose limiting toxicity effects were observed and no maximum tolerated dose was established. </w:t>
      </w:r>
    </w:p>
    <w:p w:rsidR="00C33C85" w:rsidRPr="00C33C85" w:rsidRDefault="00C33C85" w:rsidP="006043C4">
      <w:r w:rsidRPr="00C33C85">
        <w:t>Of the 33 patients with advanced BCC, 18 were characterised as having metastatic BCC a</w:t>
      </w:r>
      <w:r w:rsidR="004043F1">
        <w:t xml:space="preserve">nd 15 as locally advanced BCC. </w:t>
      </w:r>
      <w:r w:rsidRPr="00C33C85">
        <w:t>Of the 33 patients with advanced BCC, 24% were women</w:t>
      </w:r>
      <w:r w:rsidR="004043F1">
        <w:t>,</w:t>
      </w:r>
      <w:r w:rsidRPr="00C33C85">
        <w:t xml:space="preserve"> median age </w:t>
      </w:r>
      <w:r w:rsidR="004043F1">
        <w:t xml:space="preserve">was </w:t>
      </w:r>
      <w:r w:rsidRPr="00C33C85">
        <w:t>53 years</w:t>
      </w:r>
      <w:r w:rsidR="004043F1">
        <w:t>,</w:t>
      </w:r>
      <w:r w:rsidRPr="00C33C85">
        <w:t xml:space="preserve"> 42.4% </w:t>
      </w:r>
      <w:r w:rsidR="004043F1">
        <w:t xml:space="preserve">had </w:t>
      </w:r>
      <w:r w:rsidRPr="00C33C85">
        <w:t xml:space="preserve">an ECOG </w:t>
      </w:r>
      <w:r w:rsidR="00DC1FDF">
        <w:t xml:space="preserve">PS of </w:t>
      </w:r>
      <w:r w:rsidRPr="00C33C85">
        <w:t xml:space="preserve">0 and 57.6% </w:t>
      </w:r>
      <w:r w:rsidR="004043F1">
        <w:t xml:space="preserve">had </w:t>
      </w:r>
      <w:r w:rsidRPr="00C33C85">
        <w:t xml:space="preserve">ECOG </w:t>
      </w:r>
      <w:r w:rsidR="00DC1FDF">
        <w:t xml:space="preserve">PS </w:t>
      </w:r>
      <w:r w:rsidRPr="00C33C85">
        <w:t xml:space="preserve">of 1. </w:t>
      </w:r>
      <w:r w:rsidR="004043F1">
        <w:t>Some</w:t>
      </w:r>
      <w:r w:rsidRPr="00C33C85">
        <w:t xml:space="preserve"> 97% had received prior surgery, 57.6% </w:t>
      </w:r>
      <w:r w:rsidR="004043F1">
        <w:t xml:space="preserve">had </w:t>
      </w:r>
      <w:r w:rsidRPr="00C33C85">
        <w:t xml:space="preserve">prior radiotherapy and 45.5% </w:t>
      </w:r>
      <w:r w:rsidR="004043F1">
        <w:t xml:space="preserve">had </w:t>
      </w:r>
      <w:r w:rsidRPr="00C33C85">
        <w:t xml:space="preserve">prior systemic therapy. </w:t>
      </w:r>
    </w:p>
    <w:p w:rsidR="007D6C53" w:rsidRDefault="00C33C85" w:rsidP="006043C4">
      <w:r w:rsidRPr="00C33C85">
        <w:t>In relation to responses, safety was the primary endpoint for the study</w:t>
      </w:r>
      <w:r w:rsidR="007D6C53">
        <w:t>,</w:t>
      </w:r>
      <w:r w:rsidRPr="00C33C85">
        <w:t xml:space="preserve"> and investigator assessment </w:t>
      </w:r>
      <w:r w:rsidR="00DC1FDF">
        <w:t xml:space="preserve">of </w:t>
      </w:r>
      <w:r w:rsidRPr="00C33C85">
        <w:t>response was the secondary endpoint</w:t>
      </w:r>
      <w:r w:rsidR="004B5DE9">
        <w:t xml:space="preserve">. </w:t>
      </w:r>
    </w:p>
    <w:p w:rsidR="00C33C85" w:rsidRPr="00C33C85" w:rsidRDefault="00C33C85" w:rsidP="006043C4">
      <w:r w:rsidRPr="00C33C85">
        <w:t xml:space="preserve">The </w:t>
      </w:r>
      <w:r w:rsidR="007D70C0">
        <w:t>ORR</w:t>
      </w:r>
      <w:r w:rsidRPr="00C33C85">
        <w:t xml:space="preserve"> (complete and partial responses) in the effi</w:t>
      </w:r>
      <w:r w:rsidR="00DC1FDF">
        <w:t>cacy-</w:t>
      </w:r>
      <w:r w:rsidRPr="00C33C85">
        <w:t>evaluable patients with advanced BC</w:t>
      </w:r>
      <w:r w:rsidR="004B5DE9">
        <w:t xml:space="preserve">C was 18/33 patients or 54.5%. </w:t>
      </w:r>
      <w:r w:rsidRPr="00C33C85">
        <w:t>The mean duration of objective response from th</w:t>
      </w:r>
      <w:r w:rsidR="004B5DE9">
        <w:t xml:space="preserve">ese responders was 9.2 months. </w:t>
      </w:r>
      <w:r w:rsidRPr="00C33C85">
        <w:t>11/33 patients with advanced BCC experienced stable disease as t</w:t>
      </w:r>
      <w:r w:rsidR="004043F1">
        <w:t xml:space="preserve">he best response in the study. </w:t>
      </w:r>
      <w:r w:rsidRPr="00C33C85">
        <w:t xml:space="preserve">The median </w:t>
      </w:r>
      <w:r w:rsidR="00725C60">
        <w:t xml:space="preserve">PFS </w:t>
      </w:r>
      <w:r w:rsidRPr="00C33C85">
        <w:t>among all patients with advanced BCC was 11.4 months.</w:t>
      </w:r>
      <w:r w:rsidR="00FA374D">
        <w:t xml:space="preserve"> </w:t>
      </w:r>
    </w:p>
    <w:p w:rsidR="00C33C85" w:rsidRPr="00C33C85" w:rsidRDefault="00C33C85" w:rsidP="006043C4">
      <w:r w:rsidRPr="00C33C85">
        <w:t>Review of the response data according to the post-hoc breakdown of patients into those with metastatic BCC and those with locally advanced BCC indicated that of the 18 patients with metastatic BCC, the objective response rate was 55.6% while for the 15 patients with locally advanced BCC the obje</w:t>
      </w:r>
      <w:r w:rsidR="004B5DE9">
        <w:t xml:space="preserve">ctive response rate was 53.3%. </w:t>
      </w:r>
      <w:r w:rsidRPr="00C33C85">
        <w:t xml:space="preserve">The median duration of response for patients with metastatic BCC was 9.2 months and not evaluable for the locally advanced patients, while </w:t>
      </w:r>
      <w:r w:rsidR="00725C60">
        <w:t xml:space="preserve">PFS </w:t>
      </w:r>
      <w:r w:rsidRPr="00C33C85">
        <w:t>for the patients with metastatic BCC was 10.8 months and 15.1 months for patients with locally advanced BCC.</w:t>
      </w:r>
      <w:r w:rsidR="00FA374D">
        <w:t xml:space="preserve"> </w:t>
      </w:r>
    </w:p>
    <w:p w:rsidR="00C33C85" w:rsidRPr="00C33C85" w:rsidRDefault="00BE2C44" w:rsidP="006043C4">
      <w:pPr>
        <w:pStyle w:val="Heading4"/>
      </w:pPr>
      <w:r>
        <w:t xml:space="preserve">Evaluator’s overall conclusions on efficacy </w:t>
      </w:r>
    </w:p>
    <w:p w:rsidR="004B5DE9" w:rsidRDefault="004B5DE9" w:rsidP="006043C4">
      <w:r>
        <w:t>The data from the pivotal P</w:t>
      </w:r>
      <w:r w:rsidR="00C33C85" w:rsidRPr="00C33C85">
        <w:t>ha</w:t>
      </w:r>
      <w:r w:rsidR="007D6C53">
        <w:t xml:space="preserve">se II study together with that </w:t>
      </w:r>
      <w:r w:rsidR="00C33C85" w:rsidRPr="00C33C85">
        <w:t>f</w:t>
      </w:r>
      <w:r w:rsidR="007D6C53">
        <w:t>rom</w:t>
      </w:r>
      <w:r w:rsidR="00C33C85" w:rsidRPr="00C33C85">
        <w:t xml:space="preserve"> the supportive study clearly indicates a definite response rate for vismodegib in patients wit</w:t>
      </w:r>
      <w:r>
        <w:t xml:space="preserve">h advanced and metastatic BCC. </w:t>
      </w:r>
      <w:r w:rsidR="00C33C85" w:rsidRPr="00C33C85">
        <w:t>The degree of responses observed in the pivotal study exceeds that anticipated from statistical pre-analysis. There is no meaningful alternative systemic treatment a</w:t>
      </w:r>
      <w:r>
        <w:t>vailable for advanced stage BCC;</w:t>
      </w:r>
      <w:r w:rsidR="007D6C53">
        <w:t xml:space="preserve"> therefore</w:t>
      </w:r>
      <w:r w:rsidR="00C33C85" w:rsidRPr="00C33C85">
        <w:t xml:space="preserve"> </w:t>
      </w:r>
      <w:r>
        <w:t xml:space="preserve">vismodegib </w:t>
      </w:r>
      <w:r w:rsidR="00C33C85" w:rsidRPr="00C33C85">
        <w:t>represents a new agent with clinically meaningful potential to improve clinical outcomes.</w:t>
      </w:r>
      <w:r w:rsidR="00F828C8">
        <w:t xml:space="preserve"> </w:t>
      </w:r>
    </w:p>
    <w:p w:rsidR="004B5DE9" w:rsidRDefault="00C33C85" w:rsidP="004B46C1">
      <w:r w:rsidRPr="00C33C85">
        <w:t xml:space="preserve">Recognising the shortcomings of the studies being only </w:t>
      </w:r>
      <w:r w:rsidR="004B5DE9">
        <w:t>P</w:t>
      </w:r>
      <w:r w:rsidRPr="00C33C85">
        <w:t xml:space="preserve">hase II in nature </w:t>
      </w:r>
      <w:r w:rsidR="007D6C53">
        <w:t xml:space="preserve">and </w:t>
      </w:r>
      <w:r w:rsidRPr="00C33C85">
        <w:t xml:space="preserve">without appropriate objective comparators, there is a definite requirement for very clear-cut evidence of </w:t>
      </w:r>
      <w:r w:rsidR="004B5DE9">
        <w:t xml:space="preserve">responsiveness to be obtained. </w:t>
      </w:r>
      <w:r w:rsidRPr="00C33C85">
        <w:t>In the pivotal study a response rate of 30.3% for patients with metastatic BCC and 42.9% for those with locally advanced BCC is</w:t>
      </w:r>
      <w:r w:rsidR="007D6C53">
        <w:t>,</w:t>
      </w:r>
      <w:r w:rsidRPr="00C33C85">
        <w:t xml:space="preserve"> in </w:t>
      </w:r>
      <w:r w:rsidR="007D6C53">
        <w:t xml:space="preserve">the </w:t>
      </w:r>
      <w:r w:rsidRPr="00C33C85">
        <w:t>reviewer</w:t>
      </w:r>
      <w:r w:rsidR="004B5DE9">
        <w:t>’s opinion</w:t>
      </w:r>
      <w:r w:rsidR="007D6C53">
        <w:t>,</w:t>
      </w:r>
      <w:r w:rsidR="004B5DE9">
        <w:t xml:space="preserve"> supportive of that. </w:t>
      </w:r>
      <w:r w:rsidRPr="00C33C85">
        <w:t xml:space="preserve">The duration of response and duration of </w:t>
      </w:r>
      <w:r w:rsidR="00725C60">
        <w:t xml:space="preserve">PFS </w:t>
      </w:r>
      <w:r w:rsidRPr="00C33C85">
        <w:t xml:space="preserve">are also supportive of a worthwhile clinical </w:t>
      </w:r>
      <w:r w:rsidR="004B5DE9">
        <w:t xml:space="preserve">benefit. </w:t>
      </w:r>
    </w:p>
    <w:p w:rsidR="008E7846" w:rsidRDefault="00C33C85" w:rsidP="006043C4">
      <w:r w:rsidRPr="00C33C85">
        <w:t>In the absence of a randomised trial to confirm these data it would seem appropriate to consider the need for a further Phase II trial to consolidate the findings from the present studies.</w:t>
      </w:r>
      <w:r w:rsidR="00FA374D">
        <w:t xml:space="preserve"> </w:t>
      </w:r>
    </w:p>
    <w:p w:rsidR="008E7846" w:rsidRPr="002E238E" w:rsidRDefault="008E7846" w:rsidP="004B46C1">
      <w:pPr>
        <w:pStyle w:val="Heading3"/>
      </w:pPr>
      <w:bookmarkStart w:id="99" w:name="_Toc163441378"/>
      <w:bookmarkStart w:id="100" w:name="_Toc196046495"/>
      <w:bookmarkStart w:id="101" w:name="_Toc247691522"/>
      <w:bookmarkStart w:id="102" w:name="_Toc314842505"/>
      <w:bookmarkStart w:id="103" w:name="_Toc370129099"/>
      <w:bookmarkEnd w:id="95"/>
      <w:bookmarkEnd w:id="96"/>
      <w:bookmarkEnd w:id="97"/>
      <w:bookmarkEnd w:id="98"/>
      <w:r w:rsidRPr="002E238E">
        <w:t>Safety</w:t>
      </w:r>
      <w:bookmarkEnd w:id="99"/>
      <w:bookmarkEnd w:id="100"/>
      <w:bookmarkEnd w:id="101"/>
      <w:bookmarkEnd w:id="102"/>
      <w:bookmarkEnd w:id="103"/>
    </w:p>
    <w:p w:rsidR="00C33C85" w:rsidRPr="00C33C85" w:rsidRDefault="00C33C85" w:rsidP="00602A05">
      <w:pPr>
        <w:pStyle w:val="Heading4"/>
      </w:pPr>
      <w:bookmarkStart w:id="104" w:name="_Toc184440288"/>
      <w:bookmarkStart w:id="105" w:name="_Toc184444666"/>
      <w:bookmarkStart w:id="106" w:name="_Toc196046496"/>
      <w:r w:rsidRPr="00C33C85">
        <w:t xml:space="preserve">Studies providing evaluable safety data </w:t>
      </w:r>
    </w:p>
    <w:p w:rsidR="00A97CF5" w:rsidRPr="00A97CF5" w:rsidRDefault="00A97CF5" w:rsidP="004B46C1">
      <w:r w:rsidRPr="00A97CF5">
        <w:t xml:space="preserve">Safety </w:t>
      </w:r>
      <w:r w:rsidR="00CD6DBE">
        <w:t xml:space="preserve">data from </w:t>
      </w:r>
      <w:r w:rsidRPr="00A97CF5">
        <w:t xml:space="preserve">a total of </w:t>
      </w:r>
      <w:r w:rsidR="00F63305">
        <w:t xml:space="preserve">9 </w:t>
      </w:r>
      <w:r w:rsidRPr="00A97CF5">
        <w:t>company-sponsored c</w:t>
      </w:r>
      <w:r w:rsidR="00CD6DBE">
        <w:t xml:space="preserve">linical studies are submitted. </w:t>
      </w:r>
      <w:r w:rsidRPr="00A97CF5">
        <w:t xml:space="preserve">These include studies involving advanced BCC patients from </w:t>
      </w:r>
      <w:r w:rsidR="00CD6DBE">
        <w:t>S</w:t>
      </w:r>
      <w:r w:rsidRPr="00A97CF5">
        <w:t>tudies SHH4476g, SHH3925g and SHH4610g which were pooled and analysed in an integrated manner. The remaining six studies provide supportive safety information.</w:t>
      </w:r>
      <w:r w:rsidR="00F828C8">
        <w:t xml:space="preserve"> </w:t>
      </w:r>
    </w:p>
    <w:p w:rsidR="00A97CF5" w:rsidRPr="00A97CF5" w:rsidRDefault="00A97CF5" w:rsidP="004B46C1">
      <w:r w:rsidRPr="00A97CF5">
        <w:t>A further 14 studies</w:t>
      </w:r>
      <w:r w:rsidR="00F63305">
        <w:t>,</w:t>
      </w:r>
      <w:r w:rsidRPr="00A97CF5">
        <w:t xml:space="preserve"> which were NCI CTEP</w:t>
      </w:r>
      <w:r w:rsidR="00CD6DBE">
        <w:t>-</w:t>
      </w:r>
      <w:r w:rsidRPr="00A97CF5">
        <w:t>sponsored studies conducted in the United States and other institutions</w:t>
      </w:r>
      <w:r w:rsidR="00F63305">
        <w:t>,</w:t>
      </w:r>
      <w:r w:rsidRPr="00A97CF5">
        <w:t xml:space="preserve"> are also included in the safety analyses for supportive data.</w:t>
      </w:r>
      <w:r w:rsidR="00F828C8">
        <w:t xml:space="preserve"> </w:t>
      </w:r>
    </w:p>
    <w:p w:rsidR="00C33C85" w:rsidRPr="00C33C85" w:rsidRDefault="00CD6DBE" w:rsidP="00C33C85">
      <w:pPr>
        <w:autoSpaceDE w:val="0"/>
        <w:autoSpaceDN w:val="0"/>
        <w:adjustRightInd w:val="0"/>
      </w:pPr>
      <w:r>
        <w:t xml:space="preserve">An overview of the studies providing data is </w:t>
      </w:r>
      <w:r w:rsidR="000A151D">
        <w:t xml:space="preserve">shown </w:t>
      </w:r>
      <w:r>
        <w:t xml:space="preserve">in Figure </w:t>
      </w:r>
      <w:r w:rsidR="00C3779E">
        <w:t>5</w:t>
      </w:r>
      <w:r>
        <w:t xml:space="preserve">. </w:t>
      </w:r>
    </w:p>
    <w:p w:rsidR="00C33C85" w:rsidRPr="00C33C85" w:rsidRDefault="00C3779E" w:rsidP="004B46C1">
      <w:pPr>
        <w:pStyle w:val="FigureTitle"/>
      </w:pPr>
      <w:r>
        <w:t>Figure 5. Vismodegib-t</w:t>
      </w:r>
      <w:r w:rsidR="00C33C85" w:rsidRPr="00C33C85">
        <w:t xml:space="preserve">reated </w:t>
      </w:r>
      <w:r>
        <w:t>p</w:t>
      </w:r>
      <w:r w:rsidR="00C33C85" w:rsidRPr="00C33C85">
        <w:t xml:space="preserve">atients in </w:t>
      </w:r>
      <w:r>
        <w:t>s</w:t>
      </w:r>
      <w:r w:rsidR="00C33C85" w:rsidRPr="00C33C85">
        <w:t xml:space="preserve">tudies </w:t>
      </w:r>
      <w:r>
        <w:t>c</w:t>
      </w:r>
      <w:r w:rsidR="00C33C85" w:rsidRPr="00C33C85">
        <w:t>ontributing to Summary of Clinical Safety</w:t>
      </w:r>
    </w:p>
    <w:p w:rsidR="00C33C85" w:rsidRPr="00C33C85" w:rsidRDefault="00C33C85" w:rsidP="004B46C1">
      <w:r w:rsidRPr="00C33C85">
        <w:rPr>
          <w:noProof/>
          <w:lang w:eastAsia="en-AU"/>
        </w:rPr>
        <w:drawing>
          <wp:inline distT="0" distB="0" distL="0" distR="0">
            <wp:extent cx="5093848" cy="5297893"/>
            <wp:effectExtent l="19050" t="0" r="0" b="0"/>
            <wp:docPr id="66" name="Picture 2" descr="Figure 5. Vismodegib-treated patients in studies contributing to Summary of Clinical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095249" cy="5299351"/>
                    </a:xfrm>
                    <a:prstGeom prst="rect">
                      <a:avLst/>
                    </a:prstGeom>
                    <a:noFill/>
                    <a:ln w="9525">
                      <a:noFill/>
                      <a:miter lim="800000"/>
                      <a:headEnd/>
                      <a:tailEnd/>
                    </a:ln>
                  </pic:spPr>
                </pic:pic>
              </a:graphicData>
            </a:graphic>
          </wp:inline>
        </w:drawing>
      </w:r>
    </w:p>
    <w:p w:rsidR="00F246E5" w:rsidRPr="00F246E5" w:rsidRDefault="000A151D" w:rsidP="004B46C1">
      <w:r w:rsidRPr="000A151D">
        <w:t>The safety data base for this evaluation involves all patients who received at least one dose of study drug. As of April 1</w:t>
      </w:r>
      <w:r w:rsidRPr="000A151D">
        <w:rPr>
          <w:vertAlign w:val="superscript"/>
        </w:rPr>
        <w:t>st</w:t>
      </w:r>
      <w:r w:rsidRPr="000A151D">
        <w:t xml:space="preserve"> 2011 more than 750 patients were exposed to vismodegib, of who more than 450 were in the sponsor’s clinical studies and more than 300 were in NCI CTEP-</w:t>
      </w:r>
      <w:r w:rsidR="00F246E5">
        <w:t xml:space="preserve">sponsored studies. </w:t>
      </w:r>
      <w:r w:rsidR="00F246E5" w:rsidRPr="00F246E5">
        <w:t>The patients on the 14 ongoing studies from the NCI are not included in this evaluation.</w:t>
      </w:r>
      <w:r w:rsidR="00FA374D">
        <w:t xml:space="preserve"> </w:t>
      </w:r>
    </w:p>
    <w:p w:rsidR="000A151D" w:rsidRDefault="000A151D" w:rsidP="004B46C1">
      <w:r w:rsidRPr="000A151D">
        <w:t>Overall, a total of 138 advanced BCC patients from the pivotal S</w:t>
      </w:r>
      <w:r w:rsidR="00F246E5">
        <w:t>tudy SHH4476g (</w:t>
      </w:r>
      <w:r w:rsidR="008F4F84">
        <w:t>n</w:t>
      </w:r>
      <w:r w:rsidRPr="000A151D">
        <w:t>=104), supportive S</w:t>
      </w:r>
      <w:r w:rsidR="00F246E5">
        <w:t>tudy SHH3925g (</w:t>
      </w:r>
      <w:r w:rsidR="008F4F84">
        <w:t>n</w:t>
      </w:r>
      <w:r w:rsidRPr="000A151D">
        <w:t>=</w:t>
      </w:r>
      <w:r w:rsidR="00F246E5">
        <w:t>33) and study SHH4610g (</w:t>
      </w:r>
      <w:r w:rsidR="008F4F84">
        <w:t>n</w:t>
      </w:r>
      <w:r w:rsidRPr="000A151D">
        <w:t xml:space="preserve">=1) were pooled to provide a more complete characterisation of safety profile. This pooled safety data population was further pooled with 52 single agent vismodegib-treated patients with ovarian cancer from Study SHH4489. </w:t>
      </w:r>
    </w:p>
    <w:p w:rsidR="00C33C85" w:rsidRPr="00C33C85" w:rsidRDefault="00C33C85" w:rsidP="004B46C1">
      <w:r w:rsidRPr="00C33C85">
        <w:t>Relevant studies contributing safety information, other than the pivotal Phase II and supportive Phase I studies discussed</w:t>
      </w:r>
      <w:r w:rsidR="00F1222E">
        <w:t xml:space="preserve"> above</w:t>
      </w:r>
      <w:r w:rsidRPr="00C33C85">
        <w:t xml:space="preserve"> include the following:</w:t>
      </w:r>
    </w:p>
    <w:p w:rsidR="00C33C85" w:rsidRPr="00C33C85" w:rsidRDefault="000A151D" w:rsidP="004B46C1">
      <w:pPr>
        <w:pStyle w:val="ListBullet"/>
      </w:pPr>
      <w:r>
        <w:t xml:space="preserve">Phase </w:t>
      </w:r>
      <w:proofErr w:type="spellStart"/>
      <w:r>
        <w:t>Ib</w:t>
      </w:r>
      <w:proofErr w:type="spellEnd"/>
      <w:r w:rsidR="00C33C85" w:rsidRPr="00C33C85">
        <w:t xml:space="preserve"> study SHH4610g</w:t>
      </w:r>
      <w:r w:rsidR="00F1222E">
        <w:t xml:space="preserve">: a </w:t>
      </w:r>
      <w:r w:rsidR="00C33C85" w:rsidRPr="00C33C85">
        <w:t>multicentre</w:t>
      </w:r>
      <w:r w:rsidR="00F1222E">
        <w:t>,</w:t>
      </w:r>
      <w:r w:rsidR="00C33C85" w:rsidRPr="00C33C85">
        <w:t xml:space="preserve"> two-stage</w:t>
      </w:r>
      <w:r w:rsidR="00F1222E">
        <w:t>,</w:t>
      </w:r>
      <w:r w:rsidR="00C33C85" w:rsidRPr="00C33C85">
        <w:t xml:space="preserve"> open label study designed </w:t>
      </w:r>
      <w:r w:rsidR="00F1222E">
        <w:t>to describe</w:t>
      </w:r>
      <w:r w:rsidR="00C33C85" w:rsidRPr="00C33C85">
        <w:t xml:space="preserve"> the </w:t>
      </w:r>
      <w:r w:rsidR="00F1222E">
        <w:t xml:space="preserve">PK </w:t>
      </w:r>
      <w:r w:rsidR="00C33C85" w:rsidRPr="00C33C85">
        <w:t>of once daily, three times weekly and once weekly dosing of</w:t>
      </w:r>
      <w:r>
        <w:t xml:space="preserve"> 150 mg vismodegib in 63 safety-</w:t>
      </w:r>
      <w:r w:rsidR="00C33C85" w:rsidRPr="00C33C85">
        <w:t xml:space="preserve">evaluable patients with advanced solid tumours. Only one patient with advanced BCC was enrolled in this study. </w:t>
      </w:r>
    </w:p>
    <w:p w:rsidR="00C33C85" w:rsidRPr="00C33C85" w:rsidRDefault="00F1222E" w:rsidP="004B46C1">
      <w:pPr>
        <w:pStyle w:val="ListBullet"/>
      </w:pPr>
      <w:r>
        <w:t>E</w:t>
      </w:r>
      <w:r w:rsidR="00C33C85" w:rsidRPr="00C33C85">
        <w:t xml:space="preserve">xtension </w:t>
      </w:r>
      <w:r>
        <w:t>S</w:t>
      </w:r>
      <w:r w:rsidR="00C33C85" w:rsidRPr="00C33C85">
        <w:t>tudy SHH4437g: a multicentre</w:t>
      </w:r>
      <w:r>
        <w:t>,</w:t>
      </w:r>
      <w:r w:rsidR="00C33C85" w:rsidRPr="00C33C85">
        <w:t xml:space="preserve"> open label</w:t>
      </w:r>
      <w:r>
        <w:t>,</w:t>
      </w:r>
      <w:r w:rsidR="00C33C85" w:rsidRPr="00C33C85">
        <w:t xml:space="preserve"> extension study for patients who received vismodegib in a company sponsored Phase I or Phase II cancer study and </w:t>
      </w:r>
      <w:r>
        <w:t xml:space="preserve">who </w:t>
      </w:r>
      <w:r w:rsidR="00C33C85" w:rsidRPr="00C33C85">
        <w:t>did not show evidence of disease progression at the completion of the parent study or at the time of the paren</w:t>
      </w:r>
      <w:r>
        <w:t xml:space="preserve">t study closure. </w:t>
      </w:r>
      <w:r w:rsidR="00C33C85" w:rsidRPr="00C33C85">
        <w:t>As of the 26</w:t>
      </w:r>
      <w:r w:rsidR="00C33C85" w:rsidRPr="00C33C85">
        <w:rPr>
          <w:vertAlign w:val="superscript"/>
        </w:rPr>
        <w:t>th</w:t>
      </w:r>
      <w:r w:rsidR="00C33C85" w:rsidRPr="00C33C85">
        <w:t xml:space="preserve"> November 2010, 15 patients were enrolled, 13 of whom were advanced BCC patients previously enrolled in </w:t>
      </w:r>
      <w:r>
        <w:t>P</w:t>
      </w:r>
      <w:r w:rsidR="000A151D">
        <w:t>hase I S</w:t>
      </w:r>
      <w:r w:rsidR="00C33C85" w:rsidRPr="00C33C85">
        <w:t xml:space="preserve">tudy SHH3925g or in the </w:t>
      </w:r>
      <w:r>
        <w:t>P</w:t>
      </w:r>
      <w:r w:rsidR="00C33C85" w:rsidRPr="00C33C85">
        <w:t xml:space="preserve">hase I dose continuing </w:t>
      </w:r>
      <w:r>
        <w:t>S</w:t>
      </w:r>
      <w:r w:rsidR="00C33C85" w:rsidRPr="00C33C85">
        <w:t>tudy SHH4610</w:t>
      </w:r>
      <w:r w:rsidR="000A151D">
        <w:t>g</w:t>
      </w:r>
      <w:r w:rsidR="00C33C85" w:rsidRPr="00C33C85">
        <w:t xml:space="preserve">. Each patient continued to receive the same dose and the same schedule from the parent study, </w:t>
      </w:r>
      <w:r>
        <w:t>that is, 150 or 30</w:t>
      </w:r>
      <w:r w:rsidR="00C33C85" w:rsidRPr="00C33C85">
        <w:t>0</w:t>
      </w:r>
      <w:r>
        <w:t xml:space="preserve"> </w:t>
      </w:r>
      <w:r w:rsidR="00C33C85" w:rsidRPr="00C33C85">
        <w:t xml:space="preserve">mg of </w:t>
      </w:r>
      <w:proofErr w:type="spellStart"/>
      <w:r w:rsidR="00C33C85" w:rsidRPr="00C33C85">
        <w:t>vismodegib</w:t>
      </w:r>
      <w:proofErr w:type="spellEnd"/>
      <w:r w:rsidR="00C33C85" w:rsidRPr="00C33C85">
        <w:t xml:space="preserve"> every day.</w:t>
      </w:r>
      <w:r w:rsidR="00FA374D">
        <w:t xml:space="preserve"> </w:t>
      </w:r>
    </w:p>
    <w:p w:rsidR="00C33C85" w:rsidRPr="00C33C85" w:rsidRDefault="00C33C85" w:rsidP="004B46C1">
      <w:pPr>
        <w:pStyle w:val="ListBullet"/>
      </w:pPr>
      <w:r w:rsidRPr="00C33C85">
        <w:t xml:space="preserve">Phase II </w:t>
      </w:r>
      <w:r w:rsidR="000A151D">
        <w:t>S</w:t>
      </w:r>
      <w:r w:rsidRPr="00C33C85">
        <w:t>tudy SHH4489g: a randomised</w:t>
      </w:r>
      <w:r w:rsidR="00F1222E">
        <w:t>,</w:t>
      </w:r>
      <w:r w:rsidRPr="00C33C85">
        <w:t xml:space="preserve"> placebo controlled</w:t>
      </w:r>
      <w:r w:rsidR="00F1222E">
        <w:t>,</w:t>
      </w:r>
      <w:r w:rsidRPr="00C33C85">
        <w:t xml:space="preserve"> double-blind</w:t>
      </w:r>
      <w:r w:rsidR="00F1222E">
        <w:t>,</w:t>
      </w:r>
      <w:r w:rsidRPr="00C33C85">
        <w:t xml:space="preserve"> multicentre trial of single agent vismodegib in patients with ovarian cancer in secon</w:t>
      </w:r>
      <w:r w:rsidR="00F1222E">
        <w:t xml:space="preserve">d or third complete remission. </w:t>
      </w:r>
      <w:r w:rsidRPr="00C33C85">
        <w:t>A total of 104 patients were enrolled into the study, of who 52 received single agent vismodegib 150 mg and the remaining 52 received placebo.</w:t>
      </w:r>
      <w:r w:rsidR="00FA374D">
        <w:t xml:space="preserve"> </w:t>
      </w:r>
    </w:p>
    <w:p w:rsidR="00C33C85" w:rsidRPr="00C33C85" w:rsidRDefault="00C33C85" w:rsidP="004B46C1">
      <w:pPr>
        <w:pStyle w:val="ListBullet"/>
      </w:pPr>
      <w:r w:rsidRPr="00C33C85">
        <w:t xml:space="preserve">Phase II </w:t>
      </w:r>
      <w:r w:rsidR="00F1222E">
        <w:t>S</w:t>
      </w:r>
      <w:r w:rsidRPr="00C33C85">
        <w:t xml:space="preserve">tudy SHH4429g: </w:t>
      </w:r>
      <w:r w:rsidR="00F1222E">
        <w:t>a</w:t>
      </w:r>
      <w:r w:rsidRPr="00C33C85">
        <w:t xml:space="preserve"> company sponsored</w:t>
      </w:r>
      <w:r w:rsidR="00F1222E">
        <w:t xml:space="preserve">, </w:t>
      </w:r>
      <w:r w:rsidRPr="00C33C85">
        <w:t>randomised</w:t>
      </w:r>
      <w:r w:rsidR="00F1222E">
        <w:t>,</w:t>
      </w:r>
      <w:r w:rsidRPr="00C33C85">
        <w:t xml:space="preserve"> double-blind</w:t>
      </w:r>
      <w:r w:rsidR="00F1222E">
        <w:t>,</w:t>
      </w:r>
      <w:r w:rsidRPr="00C33C85">
        <w:t xml:space="preserve"> placebo control study of vismodegib with concurrent chemotherapy and bevacizumab as first line therapy for patients with</w:t>
      </w:r>
      <w:r w:rsidR="00F1222E">
        <w:t xml:space="preserve"> metastatic colorectal cancer</w:t>
      </w:r>
      <w:r w:rsidR="000A151D">
        <w:t xml:space="preserve"> (CRC)</w:t>
      </w:r>
      <w:r w:rsidR="00F1222E">
        <w:t xml:space="preserve">. </w:t>
      </w:r>
      <w:r w:rsidRPr="00C33C85">
        <w:t>The primary objective of the study was to make an assessment of whether adding vismodegib to the standard of care, (</w:t>
      </w:r>
      <w:r w:rsidR="00F1222E">
        <w:t xml:space="preserve">that is, </w:t>
      </w:r>
      <w:r w:rsidRPr="00C33C85">
        <w:t>FOLFOX plus bevacizumab or FOLFIRI plus bevacizumab</w:t>
      </w:r>
      <w:r w:rsidR="00C3336B">
        <w:rPr>
          <w:rStyle w:val="FootnoteReference"/>
        </w:rPr>
        <w:footnoteReference w:id="11"/>
      </w:r>
      <w:r w:rsidRPr="00C33C85">
        <w:t>) increased anti-tumor efficacy as measured by PFS when compared to standard of care chemotherapy alone in patients with previously untreated metastatic colorectal c</w:t>
      </w:r>
      <w:r w:rsidR="00F1222E">
        <w:t xml:space="preserve">ancer. </w:t>
      </w:r>
      <w:r w:rsidRPr="00C33C85">
        <w:t>A total of 199 patients were enrolled</w:t>
      </w:r>
      <w:r w:rsidR="00F1222E">
        <w:t>, of who</w:t>
      </w:r>
      <w:r w:rsidRPr="00C33C85">
        <w:t xml:space="preserve"> a total of 196 received at least one dose of vismodegib (</w:t>
      </w:r>
      <w:r w:rsidR="008F4F84">
        <w:t>n=98) or placebo (n</w:t>
      </w:r>
      <w:r w:rsidRPr="00C33C85">
        <w:t>=98) plus standard chemotherapy.</w:t>
      </w:r>
      <w:r w:rsidR="00F828C8">
        <w:t xml:space="preserve"> </w:t>
      </w:r>
    </w:p>
    <w:p w:rsidR="00C33C85" w:rsidRPr="00C33C85" w:rsidRDefault="00C33C85" w:rsidP="00C33C85">
      <w:pPr>
        <w:autoSpaceDE w:val="0"/>
        <w:autoSpaceDN w:val="0"/>
        <w:adjustRightInd w:val="0"/>
      </w:pPr>
      <w:r w:rsidRPr="00C33C85">
        <w:t xml:space="preserve">Safety assessments consisted of </w:t>
      </w:r>
      <w:r w:rsidR="00AD2AF6">
        <w:t>AE</w:t>
      </w:r>
      <w:r w:rsidRPr="00C33C85">
        <w:t>s, serious adverse events</w:t>
      </w:r>
      <w:r w:rsidR="00AD2AF6">
        <w:t xml:space="preserve"> (SAEs)</w:t>
      </w:r>
      <w:r w:rsidRPr="00C33C85">
        <w:t>, haematology and clinical chemistry variables, vital signs and o</w:t>
      </w:r>
      <w:r w:rsidR="00602A05">
        <w:t xml:space="preserve">ther protocol specified tests. </w:t>
      </w:r>
      <w:r w:rsidRPr="00C33C85">
        <w:t xml:space="preserve">All </w:t>
      </w:r>
      <w:r w:rsidR="00AD2AF6">
        <w:t xml:space="preserve">AEs </w:t>
      </w:r>
      <w:r w:rsidRPr="00C33C85">
        <w:t>were graded according to NCI criteria.</w:t>
      </w:r>
      <w:r w:rsidR="00FA374D">
        <w:t xml:space="preserve"> </w:t>
      </w:r>
    </w:p>
    <w:p w:rsidR="00C33C85" w:rsidRPr="00C33C85" w:rsidRDefault="00C33C85" w:rsidP="004B46C1">
      <w:pPr>
        <w:pStyle w:val="Heading4"/>
      </w:pPr>
      <w:r w:rsidRPr="00C33C85">
        <w:t>Drug exposure</w:t>
      </w:r>
    </w:p>
    <w:p w:rsidR="00C33C85" w:rsidRPr="00C33C85" w:rsidRDefault="00C33C85" w:rsidP="004B46C1">
      <w:r w:rsidRPr="00C33C85">
        <w:t xml:space="preserve">In the BCC pooled safety population the median duration of follow up across all studies was 10.4 months with </w:t>
      </w:r>
      <w:r w:rsidR="00602A05">
        <w:t xml:space="preserve">a range of 0.9 to 35.8 months. </w:t>
      </w:r>
      <w:r w:rsidRPr="00C33C85">
        <w:t>The median cumulative dose of vismodegib received by patients</w:t>
      </w:r>
      <w:r w:rsidR="00F246E5">
        <w:t xml:space="preserve"> in this population was 44 g. </w:t>
      </w:r>
    </w:p>
    <w:p w:rsidR="00C33C85" w:rsidRPr="00C33C85" w:rsidRDefault="00C33C85" w:rsidP="004B46C1">
      <w:r w:rsidRPr="00C33C85">
        <w:t xml:space="preserve">With the expanded pool safety population the median duration of safety follow up for patients was 11.2 months and the median cumulative dose of vismodegib was 41.3 g. </w:t>
      </w:r>
    </w:p>
    <w:p w:rsidR="00C33C85" w:rsidRPr="00C33C85" w:rsidRDefault="00C33C85" w:rsidP="004B46C1">
      <w:r w:rsidRPr="00C33C85">
        <w:t>For the pivotal study the median duration of exposure to vismodegib was approximately 10 months in both the metastatic and locally advanced BCC cohorts</w:t>
      </w:r>
      <w:r w:rsidR="00F246E5">
        <w:t>,</w:t>
      </w:r>
      <w:r w:rsidRPr="00C33C85">
        <w:t xml:space="preserve"> with 53 pat</w:t>
      </w:r>
      <w:r w:rsidR="00602A05">
        <w:t xml:space="preserve">ients discontinuing treatment. </w:t>
      </w:r>
      <w:r w:rsidRPr="00C33C85">
        <w:t xml:space="preserve">The reasons for discontinuation included patient decision in 20 patients or 19.2%, </w:t>
      </w:r>
      <w:r w:rsidR="00AD2AF6">
        <w:t xml:space="preserve">AEs </w:t>
      </w:r>
      <w:r w:rsidR="00F246E5">
        <w:t xml:space="preserve">in </w:t>
      </w:r>
      <w:r w:rsidRPr="00C33C85">
        <w:t xml:space="preserve">11.5% </w:t>
      </w:r>
      <w:r w:rsidR="00602A05">
        <w:t xml:space="preserve">and disease progression </w:t>
      </w:r>
      <w:r w:rsidR="00F246E5">
        <w:t xml:space="preserve">in </w:t>
      </w:r>
      <w:r w:rsidR="00602A05">
        <w:t xml:space="preserve">10.6%. </w:t>
      </w:r>
      <w:r w:rsidRPr="00C33C85">
        <w:t>The median cumulative dose of vismodegib was 43.2 g with a range of 2.9–84.6 g and median dose intensity was 98.4%. Demographic and disease baseline characteristics for all patients in the pooled safet</w:t>
      </w:r>
      <w:r w:rsidR="000A623E">
        <w:t xml:space="preserve">y population </w:t>
      </w:r>
      <w:r w:rsidR="00F246E5">
        <w:t xml:space="preserve">are shown </w:t>
      </w:r>
      <w:r w:rsidR="000A623E">
        <w:t>in Table 8</w:t>
      </w:r>
      <w:r w:rsidRPr="00C33C85">
        <w:t>.</w:t>
      </w:r>
    </w:p>
    <w:p w:rsidR="00C33C85" w:rsidRPr="00C33C85" w:rsidRDefault="000A623E" w:rsidP="004B46C1">
      <w:pPr>
        <w:pStyle w:val="TableTitle"/>
      </w:pPr>
      <w:r>
        <w:t>Table 8</w:t>
      </w:r>
      <w:r w:rsidR="00C33C85" w:rsidRPr="00C33C85">
        <w:t xml:space="preserve">. Demographic and </w:t>
      </w:r>
      <w:r w:rsidR="00602A05">
        <w:t>d</w:t>
      </w:r>
      <w:r w:rsidR="00C33C85" w:rsidRPr="00C33C85">
        <w:t xml:space="preserve">isease </w:t>
      </w:r>
      <w:r w:rsidR="00602A05">
        <w:t>b</w:t>
      </w:r>
      <w:r w:rsidR="00C33C85" w:rsidRPr="00C33C85">
        <w:t xml:space="preserve">aseline </w:t>
      </w:r>
      <w:r w:rsidR="00602A05">
        <w:t>c</w:t>
      </w:r>
      <w:r w:rsidR="00C33C85" w:rsidRPr="00C33C85">
        <w:t xml:space="preserve">haracteristics: Enrolled </w:t>
      </w:r>
      <w:r w:rsidR="00602A05">
        <w:t>p</w:t>
      </w:r>
      <w:r w:rsidR="00C33C85" w:rsidRPr="00C33C85">
        <w:t xml:space="preserve">atients in </w:t>
      </w:r>
      <w:r w:rsidR="00C3336B">
        <w:t xml:space="preserve">the </w:t>
      </w:r>
      <w:r w:rsidR="00C33C85" w:rsidRPr="00C33C85">
        <w:t>Pooled Safety Population</w:t>
      </w:r>
    </w:p>
    <w:p w:rsidR="00C33C85" w:rsidRPr="00C33C85" w:rsidRDefault="00C33C85" w:rsidP="004B46C1">
      <w:r w:rsidRPr="00C33C85">
        <w:rPr>
          <w:noProof/>
          <w:lang w:eastAsia="en-AU"/>
        </w:rPr>
        <w:drawing>
          <wp:inline distT="0" distB="0" distL="0" distR="0">
            <wp:extent cx="3442350" cy="4561114"/>
            <wp:effectExtent l="19050" t="0" r="5700" b="0"/>
            <wp:docPr id="67" name="Picture 3" descr="Table 8. Demographic and disease baseline characteristics: Enrolled patients in the Poo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440924" cy="4559224"/>
                    </a:xfrm>
                    <a:prstGeom prst="rect">
                      <a:avLst/>
                    </a:prstGeom>
                    <a:noFill/>
                    <a:ln w="9525">
                      <a:noFill/>
                      <a:miter lim="800000"/>
                      <a:headEnd/>
                      <a:tailEnd/>
                    </a:ln>
                  </pic:spPr>
                </pic:pic>
              </a:graphicData>
            </a:graphic>
          </wp:inline>
        </w:drawing>
      </w:r>
    </w:p>
    <w:p w:rsidR="00C33C85" w:rsidRPr="00C33C85" w:rsidRDefault="00C33C85" w:rsidP="004B46C1">
      <w:pPr>
        <w:pStyle w:val="Heading4"/>
      </w:pPr>
      <w:r w:rsidRPr="00C33C85">
        <w:t>Adverse events</w:t>
      </w:r>
      <w:r w:rsidR="00F828C8">
        <w:t xml:space="preserve"> </w:t>
      </w:r>
    </w:p>
    <w:p w:rsidR="00C33C85" w:rsidRPr="00C33C85" w:rsidRDefault="00C33C85" w:rsidP="004B46C1">
      <w:r w:rsidRPr="00C33C85">
        <w:t xml:space="preserve">An overview of </w:t>
      </w:r>
      <w:r w:rsidR="00AD2AF6">
        <w:t>treatment emergent adverse events (TEAE</w:t>
      </w:r>
      <w:r w:rsidRPr="00C33C85">
        <w:t>s</w:t>
      </w:r>
      <w:r w:rsidR="00AD2AF6">
        <w:t>)</w:t>
      </w:r>
      <w:r w:rsidRPr="00C33C85">
        <w:t xml:space="preserve"> across studies is </w:t>
      </w:r>
      <w:r w:rsidR="00602A05">
        <w:t>shown</w:t>
      </w:r>
      <w:r w:rsidRPr="00C33C85">
        <w:t xml:space="preserve"> in Table </w:t>
      </w:r>
      <w:r w:rsidR="000A623E">
        <w:t>9</w:t>
      </w:r>
      <w:r w:rsidRPr="00C33C85">
        <w:t>.</w:t>
      </w:r>
      <w:r w:rsidR="00F828C8">
        <w:t xml:space="preserve"> </w:t>
      </w:r>
    </w:p>
    <w:p w:rsidR="00C33C85" w:rsidRPr="00C33C85" w:rsidRDefault="000A623E" w:rsidP="004B46C1">
      <w:pPr>
        <w:pStyle w:val="TableTitle"/>
      </w:pPr>
      <w:r>
        <w:t>Table 9</w:t>
      </w:r>
      <w:r w:rsidR="00C33C85" w:rsidRPr="00C33C85">
        <w:t xml:space="preserve">. Treatment-Emergent Adverse Events across </w:t>
      </w:r>
      <w:r w:rsidR="00C3336B">
        <w:t>s</w:t>
      </w:r>
      <w:r w:rsidR="00C33C85" w:rsidRPr="00C33C85">
        <w:t xml:space="preserve">tudies in </w:t>
      </w:r>
      <w:r w:rsidR="00C3336B">
        <w:t>v</w:t>
      </w:r>
      <w:r w:rsidR="00C33C85" w:rsidRPr="00C33C85">
        <w:t>ismodegib-</w:t>
      </w:r>
      <w:r w:rsidR="00C3336B">
        <w:t>t</w:t>
      </w:r>
      <w:r w:rsidR="00C33C85" w:rsidRPr="00C33C85">
        <w:t xml:space="preserve">reated </w:t>
      </w:r>
      <w:r w:rsidR="00C3336B">
        <w:t>p</w:t>
      </w:r>
      <w:r w:rsidR="00C33C85" w:rsidRPr="00C33C85">
        <w:t>atients</w:t>
      </w:r>
    </w:p>
    <w:p w:rsidR="00F246E5" w:rsidRDefault="00C33C85" w:rsidP="004B46C1">
      <w:r w:rsidRPr="00C33C85">
        <w:rPr>
          <w:noProof/>
          <w:lang w:eastAsia="en-AU"/>
        </w:rPr>
        <w:drawing>
          <wp:inline distT="0" distB="0" distL="0" distR="0">
            <wp:extent cx="4679587" cy="2007312"/>
            <wp:effectExtent l="19050" t="0" r="6713" b="0"/>
            <wp:docPr id="68" name="Picture 4" descr="Table 9. Treatment-Emergent Adverse Events across studies in vismodegib-treat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681491" cy="2008129"/>
                    </a:xfrm>
                    <a:prstGeom prst="rect">
                      <a:avLst/>
                    </a:prstGeom>
                    <a:noFill/>
                    <a:ln w="9525">
                      <a:noFill/>
                      <a:miter lim="800000"/>
                      <a:headEnd/>
                      <a:tailEnd/>
                    </a:ln>
                  </pic:spPr>
                </pic:pic>
              </a:graphicData>
            </a:graphic>
          </wp:inline>
        </w:drawing>
      </w:r>
    </w:p>
    <w:p w:rsidR="00C33C85" w:rsidRPr="00C33C85" w:rsidRDefault="00C33C85" w:rsidP="004B46C1">
      <w:r w:rsidRPr="00C33C85">
        <w:t>All but two patients experienc</w:t>
      </w:r>
      <w:r w:rsidR="00602A05">
        <w:t xml:space="preserve">ed at least one </w:t>
      </w:r>
      <w:r w:rsidR="00AD2AF6">
        <w:t>AE</w:t>
      </w:r>
      <w:r w:rsidR="00602A05">
        <w:t xml:space="preserve">. </w:t>
      </w:r>
      <w:r w:rsidRPr="00C33C85">
        <w:t xml:space="preserve">Patients who experience </w:t>
      </w:r>
      <w:r w:rsidR="00AD2AF6">
        <w:t>SAE</w:t>
      </w:r>
      <w:r w:rsidRPr="00C33C85">
        <w:t>s were reported in similar percentages in th</w:t>
      </w:r>
      <w:r w:rsidR="00602A05">
        <w:t>e pivotal Study SHH4476g and supportive S</w:t>
      </w:r>
      <w:r w:rsidRPr="00C33C85">
        <w:t xml:space="preserve">tudy SSH3925g and this is reflected in the percentage of patients reporting </w:t>
      </w:r>
      <w:r w:rsidR="00AD2AF6">
        <w:t>SAE</w:t>
      </w:r>
      <w:r w:rsidRPr="00C33C85">
        <w:t xml:space="preserve">s in the pooled safety population </w:t>
      </w:r>
      <w:r w:rsidR="00602A05">
        <w:t>(</w:t>
      </w:r>
      <w:r w:rsidRPr="00C33C85">
        <w:t>26.1%</w:t>
      </w:r>
      <w:r w:rsidR="00602A05">
        <w:t xml:space="preserve">). </w:t>
      </w:r>
      <w:r w:rsidRPr="00C33C85">
        <w:t xml:space="preserve">Similar proportions of at least </w:t>
      </w:r>
      <w:r w:rsidR="00602A05">
        <w:t>G</w:t>
      </w:r>
      <w:r w:rsidRPr="00C33C85">
        <w:t xml:space="preserve">rade III </w:t>
      </w:r>
      <w:r w:rsidR="00AD2AF6">
        <w:t>AE</w:t>
      </w:r>
      <w:r w:rsidRPr="00C33C85">
        <w:t xml:space="preserve">s </w:t>
      </w:r>
      <w:r w:rsidR="00602A05">
        <w:t xml:space="preserve">were </w:t>
      </w:r>
      <w:r w:rsidRPr="00C33C85">
        <w:t xml:space="preserve">reported in the pivotal study and supportive </w:t>
      </w:r>
      <w:r w:rsidR="00602A05">
        <w:t>S</w:t>
      </w:r>
      <w:r w:rsidRPr="00C33C85">
        <w:t>tudy SHH3925g.</w:t>
      </w:r>
      <w:r w:rsidR="00FA374D">
        <w:t xml:space="preserve"> </w:t>
      </w:r>
    </w:p>
    <w:p w:rsidR="00C33C85" w:rsidRPr="00C33C85" w:rsidRDefault="00C33C85" w:rsidP="004B46C1">
      <w:r w:rsidRPr="00C33C85">
        <w:t xml:space="preserve">Treatment emergent </w:t>
      </w:r>
      <w:r w:rsidR="00AD2AF6">
        <w:t>AE</w:t>
      </w:r>
      <w:r w:rsidRPr="00C33C85">
        <w:t>s of any grade were reported in all o</w:t>
      </w:r>
      <w:r w:rsidR="00602A05">
        <w:t xml:space="preserve">f the 138 pooled BCC patients. </w:t>
      </w:r>
      <w:r w:rsidRPr="00C33C85">
        <w:t>Most patients</w:t>
      </w:r>
      <w:r w:rsidR="00602A05">
        <w:t xml:space="preserve"> (</w:t>
      </w:r>
      <w:r w:rsidR="008F4F84">
        <w:t>n</w:t>
      </w:r>
      <w:r w:rsidRPr="00C33C85">
        <w:t>=76, 55%</w:t>
      </w:r>
      <w:r w:rsidR="00602A05">
        <w:t>)</w:t>
      </w:r>
      <w:r w:rsidRPr="00C33C85">
        <w:t xml:space="preserve"> only experienced </w:t>
      </w:r>
      <w:r w:rsidR="00AD2AF6">
        <w:t>AE</w:t>
      </w:r>
      <w:r w:rsidRPr="00C33C85">
        <w:t xml:space="preserve">s of </w:t>
      </w:r>
      <w:r w:rsidR="00602A05">
        <w:t>Grade I</w:t>
      </w:r>
      <w:r w:rsidRPr="00C33C85">
        <w:t>-II se</w:t>
      </w:r>
      <w:r w:rsidR="00602A05">
        <w:t xml:space="preserve">verity. </w:t>
      </w:r>
      <w:r w:rsidRPr="00C33C85">
        <w:t xml:space="preserve">The most common </w:t>
      </w:r>
      <w:r w:rsidR="00AD2AF6">
        <w:t>TEAE</w:t>
      </w:r>
      <w:r w:rsidR="00602A05">
        <w:t>s, occurring</w:t>
      </w:r>
      <w:r w:rsidRPr="00C33C85">
        <w:t xml:space="preserve"> in at least 30% of patients</w:t>
      </w:r>
      <w:r w:rsidR="00602A05">
        <w:t xml:space="preserve">, were </w:t>
      </w:r>
      <w:r w:rsidRPr="00C33C85">
        <w:t xml:space="preserve">muscle spasms, alopecia, </w:t>
      </w:r>
      <w:proofErr w:type="spellStart"/>
      <w:r w:rsidRPr="00C33C85">
        <w:t>dysgeusia</w:t>
      </w:r>
      <w:proofErr w:type="spellEnd"/>
      <w:r w:rsidRPr="00C33C85">
        <w:t>, decreas</w:t>
      </w:r>
      <w:r w:rsidR="00602A05">
        <w:t xml:space="preserve">ed weight, fatigue and nausea. </w:t>
      </w:r>
      <w:r w:rsidRPr="00C33C85">
        <w:t>It is noteworthy that among women of childbearing potential (</w:t>
      </w:r>
      <w:r w:rsidR="008F4F84">
        <w:t>n</w:t>
      </w:r>
      <w:r w:rsidRPr="00C33C85">
        <w:t>=10) amenorrhea wa</w:t>
      </w:r>
      <w:r w:rsidR="00602A05">
        <w:t>s observed in three patients.</w:t>
      </w:r>
      <w:r w:rsidR="00F828C8">
        <w:t xml:space="preserve"> </w:t>
      </w:r>
    </w:p>
    <w:p w:rsidR="00C33C85" w:rsidRPr="00C33C85" w:rsidRDefault="00C33C85" w:rsidP="004B46C1">
      <w:r w:rsidRPr="00C33C85">
        <w:t xml:space="preserve">The most common </w:t>
      </w:r>
      <w:r w:rsidR="00AD2AF6">
        <w:t>TEAE</w:t>
      </w:r>
      <w:r w:rsidR="00602A05">
        <w:t>s of at least G</w:t>
      </w:r>
      <w:r w:rsidRPr="00C33C85">
        <w:t xml:space="preserve">rade III level were decreased weight </w:t>
      </w:r>
      <w:r w:rsidR="00602A05">
        <w:t>(</w:t>
      </w:r>
      <w:r w:rsidRPr="00C33C85">
        <w:t>7.2%</w:t>
      </w:r>
      <w:r w:rsidR="00602A05">
        <w:t>)</w:t>
      </w:r>
      <w:r w:rsidRPr="00C33C85">
        <w:t xml:space="preserve">, fatigue </w:t>
      </w:r>
      <w:r w:rsidR="00602A05">
        <w:t>(</w:t>
      </w:r>
      <w:r w:rsidRPr="00C33C85">
        <w:t>5.8%</w:t>
      </w:r>
      <w:r w:rsidR="00602A05">
        <w:t>)</w:t>
      </w:r>
      <w:r w:rsidRPr="00C33C85">
        <w:t xml:space="preserve"> and muscle spasms </w:t>
      </w:r>
      <w:r w:rsidR="00602A05">
        <w:t>(</w:t>
      </w:r>
      <w:r w:rsidRPr="00C33C85">
        <w:t>3.5%</w:t>
      </w:r>
      <w:r w:rsidR="00602A05">
        <w:t>)</w:t>
      </w:r>
      <w:r w:rsidR="00F246E5">
        <w:t xml:space="preserve">. </w:t>
      </w:r>
    </w:p>
    <w:p w:rsidR="00C33C85" w:rsidRPr="00C33C85" w:rsidRDefault="00C33C85" w:rsidP="004B46C1">
      <w:r w:rsidRPr="00C33C85">
        <w:t xml:space="preserve">The spectrum of </w:t>
      </w:r>
      <w:r w:rsidR="00AD2AF6">
        <w:t>TEAE</w:t>
      </w:r>
      <w:r w:rsidRPr="00C33C85">
        <w:t>s and the frequency were similar in the expanded pool safety population a</w:t>
      </w:r>
      <w:r w:rsidR="00602A05">
        <w:t xml:space="preserve">nd </w:t>
      </w:r>
      <w:r w:rsidRPr="00C33C85">
        <w:t xml:space="preserve">the pooled safety population. The most common </w:t>
      </w:r>
      <w:r w:rsidR="00AD2AF6">
        <w:t>TEAE</w:t>
      </w:r>
      <w:r w:rsidRPr="00C33C85">
        <w:t xml:space="preserve">s of at least </w:t>
      </w:r>
      <w:r w:rsidR="00602A05">
        <w:t>G</w:t>
      </w:r>
      <w:r w:rsidRPr="00C33C85">
        <w:t xml:space="preserve">rade III level were decreased weight </w:t>
      </w:r>
      <w:r w:rsidR="00602A05">
        <w:t>(</w:t>
      </w:r>
      <w:r w:rsidRPr="00C33C85">
        <w:t>5.3%</w:t>
      </w:r>
      <w:r w:rsidR="00602A05">
        <w:t>)</w:t>
      </w:r>
      <w:r w:rsidRPr="00C33C85">
        <w:t xml:space="preserve">, fatigue </w:t>
      </w:r>
      <w:r w:rsidR="00602A05">
        <w:t>(</w:t>
      </w:r>
      <w:r w:rsidRPr="00C33C85">
        <w:t>4.7%</w:t>
      </w:r>
      <w:r w:rsidR="00602A05">
        <w:t>)</w:t>
      </w:r>
      <w:r w:rsidRPr="00C33C85">
        <w:t xml:space="preserve"> and muscle spasms </w:t>
      </w:r>
      <w:r w:rsidR="00602A05">
        <w:t>(</w:t>
      </w:r>
      <w:r w:rsidRPr="00C33C85">
        <w:t>4.2%</w:t>
      </w:r>
      <w:r w:rsidR="00602A05">
        <w:t>)</w:t>
      </w:r>
      <w:r w:rsidR="00E87432">
        <w:t xml:space="preserve"> in the expanded safety population</w:t>
      </w:r>
      <w:r w:rsidRPr="00C33C85">
        <w:t>.</w:t>
      </w:r>
      <w:r w:rsidR="00FA374D">
        <w:t xml:space="preserve"> </w:t>
      </w:r>
    </w:p>
    <w:p w:rsidR="00C33C85" w:rsidRPr="00C33C85" w:rsidRDefault="00C33C85" w:rsidP="004B46C1">
      <w:r w:rsidRPr="00C33C85">
        <w:t xml:space="preserve">For treatment emergent </w:t>
      </w:r>
      <w:r w:rsidR="00AD2AF6">
        <w:t>AE</w:t>
      </w:r>
      <w:r w:rsidRPr="00C33C85">
        <w:t>s of any grade occurring in at least 10% of all t</w:t>
      </w:r>
      <w:r w:rsidR="00E87432">
        <w:t>reated patients in the pivotal P</w:t>
      </w:r>
      <w:r w:rsidRPr="00C33C85">
        <w:t xml:space="preserve">hase II </w:t>
      </w:r>
      <w:r w:rsidR="00E87432">
        <w:t>S</w:t>
      </w:r>
      <w:r w:rsidRPr="00C33C85">
        <w:t xml:space="preserve">tudy, </w:t>
      </w:r>
      <w:r w:rsidR="00C70A6B">
        <w:t>aga</w:t>
      </w:r>
      <w:r w:rsidR="00062E5F">
        <w:t>in the</w:t>
      </w:r>
      <w:r w:rsidRPr="00C33C85">
        <w:t xml:space="preserve"> most frequently involved muscle spasms, alopecia, </w:t>
      </w:r>
      <w:proofErr w:type="spellStart"/>
      <w:r w:rsidRPr="00C33C85">
        <w:t>dysgeusia</w:t>
      </w:r>
      <w:proofErr w:type="spellEnd"/>
      <w:r w:rsidRPr="00C33C85">
        <w:t>,</w:t>
      </w:r>
      <w:r w:rsidR="00C70A6B">
        <w:t xml:space="preserve"> decreased weight and fatigue. </w:t>
      </w:r>
      <w:proofErr w:type="spellStart"/>
      <w:r w:rsidRPr="00C33C85">
        <w:t>Dysgeusia</w:t>
      </w:r>
      <w:proofErr w:type="spellEnd"/>
      <w:r w:rsidRPr="00C33C85">
        <w:t xml:space="preserve">, fatigue and cough were reported more frequently in metastatic BCC patients but the remainder </w:t>
      </w:r>
      <w:r w:rsidR="00C70A6B">
        <w:t xml:space="preserve">of TEAEs </w:t>
      </w:r>
      <w:r w:rsidRPr="00C33C85">
        <w:t>are approximately equivalent for both the metastati</w:t>
      </w:r>
      <w:r w:rsidR="00C70A6B">
        <w:t xml:space="preserve">c and advanced disease groups. </w:t>
      </w:r>
      <w:proofErr w:type="spellStart"/>
      <w:r w:rsidRPr="00C33C85">
        <w:t>Squamous</w:t>
      </w:r>
      <w:proofErr w:type="spellEnd"/>
      <w:r w:rsidRPr="00C33C85">
        <w:t xml:space="preserve"> cell carcinomas were reported in 12 patients with advanced BCC and among women of childbearing potential, amenorrhea</w:t>
      </w:r>
      <w:r w:rsidR="00C70A6B">
        <w:t xml:space="preserve"> was observed in two patients. </w:t>
      </w:r>
      <w:r w:rsidRPr="00C33C85">
        <w:t>More than half of the treated patients</w:t>
      </w:r>
      <w:r w:rsidR="00C70A6B">
        <w:t xml:space="preserve"> (</w:t>
      </w:r>
      <w:r w:rsidRPr="00C33C85">
        <w:t>57%</w:t>
      </w:r>
      <w:r w:rsidR="00C70A6B">
        <w:t>)</w:t>
      </w:r>
      <w:r w:rsidRPr="00C33C85">
        <w:t xml:space="preserve"> experienced </w:t>
      </w:r>
      <w:r w:rsidR="00AD2AF6">
        <w:t>TEAE</w:t>
      </w:r>
      <w:r w:rsidR="00C70A6B">
        <w:t xml:space="preserve">s with the highest reported </w:t>
      </w:r>
      <w:r w:rsidR="00612DD0">
        <w:t>severity of G</w:t>
      </w:r>
      <w:r w:rsidR="00C70A6B">
        <w:t xml:space="preserve">rade I or II. At least </w:t>
      </w:r>
      <w:r w:rsidR="00612DD0">
        <w:t>G</w:t>
      </w:r>
      <w:r w:rsidRPr="00C33C85">
        <w:t xml:space="preserve">rade III </w:t>
      </w:r>
      <w:r w:rsidR="00AD2AF6">
        <w:t>TEAE</w:t>
      </w:r>
      <w:r w:rsidRPr="00C33C85">
        <w:t xml:space="preserve">s were reported in </w:t>
      </w:r>
      <w:r w:rsidR="00C70A6B">
        <w:t xml:space="preserve">42% of all patients. </w:t>
      </w:r>
      <w:r w:rsidRPr="00C33C85">
        <w:t xml:space="preserve">The most common of these were decreased weight </w:t>
      </w:r>
      <w:r w:rsidR="00C70A6B">
        <w:t>(</w:t>
      </w:r>
      <w:r w:rsidRPr="00C33C85">
        <w:t>4.8%</w:t>
      </w:r>
      <w:r w:rsidR="00C70A6B">
        <w:t>)</w:t>
      </w:r>
      <w:r w:rsidRPr="00C33C85">
        <w:t xml:space="preserve">, fatigue </w:t>
      </w:r>
      <w:r w:rsidR="00C70A6B">
        <w:t>(</w:t>
      </w:r>
      <w:r w:rsidRPr="00C33C85">
        <w:t>3.8%</w:t>
      </w:r>
      <w:r w:rsidR="00C70A6B">
        <w:t>)</w:t>
      </w:r>
      <w:r w:rsidRPr="00C33C85">
        <w:t xml:space="preserve">, muscle spasms </w:t>
      </w:r>
      <w:r w:rsidR="00C70A6B">
        <w:t>(</w:t>
      </w:r>
      <w:r w:rsidRPr="00C33C85">
        <w:t>3.8%</w:t>
      </w:r>
      <w:r w:rsidR="00C70A6B">
        <w:t>)</w:t>
      </w:r>
      <w:r w:rsidRPr="00C33C85">
        <w:t xml:space="preserve">, death of unknown cause </w:t>
      </w:r>
      <w:r w:rsidR="00C70A6B">
        <w:t>(</w:t>
      </w:r>
      <w:r w:rsidRPr="00C33C85">
        <w:t>2.9%</w:t>
      </w:r>
      <w:r w:rsidR="00C70A6B">
        <w:t>)</w:t>
      </w:r>
      <w:r w:rsidRPr="00C33C85">
        <w:t xml:space="preserve"> and decreased appetite </w:t>
      </w:r>
      <w:r w:rsidR="00C70A6B">
        <w:t>(</w:t>
      </w:r>
      <w:r w:rsidRPr="00C33C85">
        <w:t>2.9%</w:t>
      </w:r>
      <w:r w:rsidR="00C70A6B">
        <w:t>)</w:t>
      </w:r>
      <w:r w:rsidRPr="00C33C85">
        <w:t>.</w:t>
      </w:r>
      <w:r w:rsidR="00F828C8">
        <w:t xml:space="preserve"> </w:t>
      </w:r>
    </w:p>
    <w:p w:rsidR="00C33C85" w:rsidRPr="00C33C85" w:rsidRDefault="00C70A6B" w:rsidP="004B46C1">
      <w:r>
        <w:t>Almost all patients (</w:t>
      </w:r>
      <w:r w:rsidR="00C33C85" w:rsidRPr="00C33C85">
        <w:t>94%</w:t>
      </w:r>
      <w:r>
        <w:t>)</w:t>
      </w:r>
      <w:r w:rsidR="00C33C85" w:rsidRPr="00C33C85">
        <w:t xml:space="preserve"> reported having at least one </w:t>
      </w:r>
      <w:r w:rsidR="00AD2AF6">
        <w:t>TEAE</w:t>
      </w:r>
      <w:r w:rsidR="00C33C85" w:rsidRPr="00C33C85">
        <w:t xml:space="preserve"> that was assessed by the investig</w:t>
      </w:r>
      <w:r>
        <w:t xml:space="preserve">ator as related to study drug. </w:t>
      </w:r>
      <w:r w:rsidR="00C33C85" w:rsidRPr="00C33C85">
        <w:t xml:space="preserve">Study drug related events reported most frequently included muscle spasms </w:t>
      </w:r>
      <w:r>
        <w:t>(</w:t>
      </w:r>
      <w:r w:rsidR="00C33C85" w:rsidRPr="00C33C85">
        <w:t>65%</w:t>
      </w:r>
      <w:r>
        <w:t>)</w:t>
      </w:r>
      <w:r w:rsidR="00C33C85" w:rsidRPr="00C33C85">
        <w:t xml:space="preserve">, alopecia </w:t>
      </w:r>
      <w:r>
        <w:t>(</w:t>
      </w:r>
      <w:r w:rsidR="00C33C85" w:rsidRPr="00C33C85">
        <w:t>61%</w:t>
      </w:r>
      <w:r>
        <w:t>)</w:t>
      </w:r>
      <w:r w:rsidR="00C33C85" w:rsidRPr="00C33C85">
        <w:t xml:space="preserve">, </w:t>
      </w:r>
      <w:proofErr w:type="spellStart"/>
      <w:r w:rsidR="00C33C85" w:rsidRPr="00C33C85">
        <w:t>dysgeusia</w:t>
      </w:r>
      <w:proofErr w:type="spellEnd"/>
      <w:r w:rsidR="00C33C85" w:rsidRPr="00C33C85">
        <w:t xml:space="preserve"> </w:t>
      </w:r>
      <w:r>
        <w:t>(</w:t>
      </w:r>
      <w:r w:rsidR="00C33C85" w:rsidRPr="00C33C85">
        <w:t>49%</w:t>
      </w:r>
      <w:r>
        <w:t>)</w:t>
      </w:r>
      <w:r w:rsidR="00C33C85" w:rsidRPr="00C33C85">
        <w:t xml:space="preserve">, decreased weight </w:t>
      </w:r>
      <w:r>
        <w:t>(</w:t>
      </w:r>
      <w:r w:rsidR="00C33C85" w:rsidRPr="00C33C85">
        <w:t>38%</w:t>
      </w:r>
      <w:r>
        <w:t>)</w:t>
      </w:r>
      <w:r w:rsidR="00C33C85" w:rsidRPr="00C33C85">
        <w:t xml:space="preserve"> and fatigue </w:t>
      </w:r>
      <w:r>
        <w:t>(</w:t>
      </w:r>
      <w:r w:rsidR="00C33C85" w:rsidRPr="00C33C85">
        <w:t>26%</w:t>
      </w:r>
      <w:r>
        <w:t xml:space="preserve">). Some </w:t>
      </w:r>
      <w:r w:rsidR="00C33C85" w:rsidRPr="00C33C85">
        <w:t xml:space="preserve">21% of patients had study drug related </w:t>
      </w:r>
      <w:r>
        <w:t xml:space="preserve">events of </w:t>
      </w:r>
      <w:r w:rsidR="00C33C85" w:rsidRPr="00C33C85">
        <w:t xml:space="preserve">at least </w:t>
      </w:r>
      <w:r>
        <w:t>G</w:t>
      </w:r>
      <w:r w:rsidR="00C33C85" w:rsidRPr="00C33C85">
        <w:t xml:space="preserve">rade III </w:t>
      </w:r>
      <w:r>
        <w:t xml:space="preserve">severity. </w:t>
      </w:r>
      <w:r w:rsidR="00C33C85" w:rsidRPr="00C33C85">
        <w:t xml:space="preserve">Three of these were deaths of unknown cause, one </w:t>
      </w:r>
      <w:r>
        <w:t xml:space="preserve">in a </w:t>
      </w:r>
      <w:r w:rsidR="00C33C85" w:rsidRPr="00C33C85">
        <w:t xml:space="preserve">patient with metastatic BCC and the other two </w:t>
      </w:r>
      <w:r>
        <w:t xml:space="preserve">in patients with </w:t>
      </w:r>
      <w:r w:rsidR="00C33C85" w:rsidRPr="00C33C85">
        <w:t>locally advanced BCC.</w:t>
      </w:r>
      <w:r w:rsidR="00F828C8">
        <w:t xml:space="preserve"> </w:t>
      </w:r>
    </w:p>
    <w:p w:rsidR="00C33C85" w:rsidRPr="00C33C85" w:rsidRDefault="00C33C85" w:rsidP="004B46C1">
      <w:r w:rsidRPr="00C33C85">
        <w:t>Data from the supportive clinical studies were essentially similar to that seen from the pivotal trial. It is of</w:t>
      </w:r>
      <w:r w:rsidR="00C70A6B">
        <w:t xml:space="preserve"> note that in the supportive S</w:t>
      </w:r>
      <w:r w:rsidRPr="00C33C85">
        <w:t xml:space="preserve">tudy SHH3925g the most frequent </w:t>
      </w:r>
      <w:r w:rsidR="00C70A6B">
        <w:t>G</w:t>
      </w:r>
      <w:r w:rsidRPr="00C33C85">
        <w:t xml:space="preserve">rade III </w:t>
      </w:r>
      <w:r w:rsidR="00AD2AF6">
        <w:t xml:space="preserve">AE </w:t>
      </w:r>
      <w:r w:rsidRPr="00C33C85">
        <w:t>was hyponatremia</w:t>
      </w:r>
      <w:r w:rsidR="00612DD0">
        <w:t>,</w:t>
      </w:r>
      <w:r w:rsidRPr="00C33C85">
        <w:t xml:space="preserve"> </w:t>
      </w:r>
      <w:r w:rsidR="00612DD0">
        <w:t>e</w:t>
      </w:r>
      <w:r w:rsidRPr="00C33C85">
        <w:t xml:space="preserve">ffecting seven patients overall and three with BCC, followed by abdominal pain involving five patients overall but no patients with BCC. </w:t>
      </w:r>
    </w:p>
    <w:p w:rsidR="00C33C85" w:rsidRPr="00C33C85" w:rsidRDefault="0002457E" w:rsidP="004B46C1">
      <w:r>
        <w:t>In S</w:t>
      </w:r>
      <w:r w:rsidR="00C33C85" w:rsidRPr="00C33C85">
        <w:t>tudy SHH4429g involving patients with metastatic colorectal carcinoma also receiving either FOLFOX or FOLFIRI and bevacizumab with or without vismodegib</w:t>
      </w:r>
      <w:r>
        <w:t>,</w:t>
      </w:r>
      <w:r w:rsidR="00C33C85" w:rsidRPr="00C33C85">
        <w:t xml:space="preserve"> patients on the vismodegib treatment arm experienced </w:t>
      </w:r>
      <w:r w:rsidR="00AD2AF6">
        <w:t xml:space="preserve">AEs </w:t>
      </w:r>
      <w:r w:rsidR="00C33C85" w:rsidRPr="00C33C85">
        <w:t>which particularly emphasi</w:t>
      </w:r>
      <w:r>
        <w:t xml:space="preserve">sed the chemotherapy received. </w:t>
      </w:r>
      <w:r w:rsidR="00C33C85" w:rsidRPr="00C33C85">
        <w:t xml:space="preserve">It was of note that four patients experienced </w:t>
      </w:r>
      <w:r>
        <w:t>G</w:t>
      </w:r>
      <w:r w:rsidR="00C33C85" w:rsidRPr="00C33C85">
        <w:t xml:space="preserve">rade V </w:t>
      </w:r>
      <w:r w:rsidR="00AD2AF6">
        <w:t>AEs</w:t>
      </w:r>
      <w:r w:rsidR="00C33C85" w:rsidRPr="00C33C85">
        <w:t>, three of which occurred in patients rec</w:t>
      </w:r>
      <w:r>
        <w:t xml:space="preserve">eiving FOLFOX and one FOLFIRI. </w:t>
      </w:r>
      <w:r w:rsidR="00C33C85" w:rsidRPr="00C33C85">
        <w:t xml:space="preserve">None of these were attributed to </w:t>
      </w:r>
      <w:proofErr w:type="spellStart"/>
      <w:r w:rsidR="00C33C85" w:rsidRPr="00C33C85">
        <w:t>vismodegib</w:t>
      </w:r>
      <w:proofErr w:type="spellEnd"/>
      <w:r w:rsidR="00C33C85" w:rsidRPr="00C33C85">
        <w:t xml:space="preserve"> treatment.</w:t>
      </w:r>
      <w:r w:rsidR="00FA374D">
        <w:t xml:space="preserve"> </w:t>
      </w:r>
    </w:p>
    <w:p w:rsidR="00C33C85" w:rsidRPr="00C33C85" w:rsidRDefault="000543D3" w:rsidP="004B46C1">
      <w:pPr>
        <w:pStyle w:val="Heading4"/>
      </w:pPr>
      <w:r>
        <w:t xml:space="preserve">Deaths </w:t>
      </w:r>
    </w:p>
    <w:p w:rsidR="00C33C85" w:rsidRPr="00C33C85" w:rsidRDefault="00C33C85" w:rsidP="00C33C85">
      <w:pPr>
        <w:autoSpaceDE w:val="0"/>
        <w:autoSpaceDN w:val="0"/>
        <w:adjustRightInd w:val="0"/>
      </w:pPr>
      <w:r w:rsidRPr="00C33C85">
        <w:t>In the pooled safety population deaths from any cause that occurred within 30 days of the last dose of vismodegib in (</w:t>
      </w:r>
      <w:r w:rsidR="008F4F84">
        <w:t>n</w:t>
      </w:r>
      <w:r w:rsidRPr="00C33C85">
        <w:t>=7) and death that occurred &gt;30 days post treatment (</w:t>
      </w:r>
      <w:r w:rsidR="008F4F84">
        <w:t>n</w:t>
      </w:r>
      <w:r w:rsidRPr="00C33C85">
        <w:t xml:space="preserve">=10) are summarised in Table </w:t>
      </w:r>
      <w:r w:rsidR="000A623E">
        <w:t>10</w:t>
      </w:r>
      <w:r w:rsidRPr="00C33C85">
        <w:t>. All were assessed by the investigato</w:t>
      </w:r>
      <w:r w:rsidR="00757756">
        <w:t xml:space="preserve">rs as not related to vismodegib. </w:t>
      </w:r>
      <w:r w:rsidRPr="00C33C85">
        <w:t>Preliminary safety analyses did not reveal a definite pattern of events</w:t>
      </w:r>
      <w:r w:rsidR="00757756">
        <w:t>.</w:t>
      </w:r>
      <w:r w:rsidRPr="00C33C85">
        <w:t xml:space="preserve"> </w:t>
      </w:r>
      <w:r w:rsidR="00757756">
        <w:t>I</w:t>
      </w:r>
      <w:r w:rsidRPr="00C33C85">
        <w:t>n all cases co-morbid conditions and pre-existing risk factors were present and the events did not suggest a relationship to vismod</w:t>
      </w:r>
      <w:r w:rsidR="00C3336B">
        <w:t xml:space="preserve">egib. </w:t>
      </w:r>
    </w:p>
    <w:p w:rsidR="00C33C85" w:rsidRPr="00C33C85" w:rsidRDefault="000A623E" w:rsidP="004B46C1">
      <w:pPr>
        <w:pStyle w:val="TableTitle"/>
      </w:pPr>
      <w:r>
        <w:t>Table 10</w:t>
      </w:r>
      <w:r w:rsidR="00C33C85" w:rsidRPr="00C33C85">
        <w:t>. On-stud</w:t>
      </w:r>
      <w:r w:rsidR="00757756">
        <w:t>y deaths and causes of deaths: p</w:t>
      </w:r>
      <w:r w:rsidR="00C33C85" w:rsidRPr="00C33C85">
        <w:t>ooled safety population</w:t>
      </w:r>
    </w:p>
    <w:p w:rsidR="00C33C85" w:rsidRPr="00C33C85" w:rsidRDefault="00C33C85" w:rsidP="004B46C1">
      <w:r w:rsidRPr="00C33C85">
        <w:rPr>
          <w:noProof/>
          <w:lang w:eastAsia="en-AU"/>
        </w:rPr>
        <w:drawing>
          <wp:inline distT="0" distB="0" distL="0" distR="0">
            <wp:extent cx="4154533" cy="2730861"/>
            <wp:effectExtent l="19050" t="0" r="0" b="0"/>
            <wp:docPr id="69" name="Picture 5" descr="Table 10. On-study deaths and causes of deaths: poo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4154533" cy="2730861"/>
                    </a:xfrm>
                    <a:prstGeom prst="rect">
                      <a:avLst/>
                    </a:prstGeom>
                    <a:noFill/>
                    <a:ln w="9525">
                      <a:noFill/>
                      <a:miter lim="800000"/>
                      <a:headEnd/>
                      <a:tailEnd/>
                    </a:ln>
                  </pic:spPr>
                </pic:pic>
              </a:graphicData>
            </a:graphic>
          </wp:inline>
        </w:drawing>
      </w:r>
    </w:p>
    <w:p w:rsidR="00C33C85" w:rsidRPr="00C33C85" w:rsidRDefault="00C33C85" w:rsidP="004B46C1">
      <w:r w:rsidRPr="00C33C85">
        <w:t>Eight pati</w:t>
      </w:r>
      <w:r w:rsidR="00757756">
        <w:t xml:space="preserve">ents died from </w:t>
      </w:r>
      <w:r w:rsidR="00AD2AF6">
        <w:t>AEs</w:t>
      </w:r>
      <w:r w:rsidR="00757756">
        <w:t xml:space="preserve">. </w:t>
      </w:r>
      <w:r w:rsidRPr="00C33C85">
        <w:t>These are not considered a</w:t>
      </w:r>
      <w:r w:rsidR="00757756">
        <w:t xml:space="preserve">ttributable to </w:t>
      </w:r>
      <w:proofErr w:type="spellStart"/>
      <w:r w:rsidR="00757756">
        <w:t>vismodegib</w:t>
      </w:r>
      <w:proofErr w:type="spellEnd"/>
      <w:r w:rsidR="00757756">
        <w:t>.</w:t>
      </w:r>
      <w:r w:rsidR="00F828C8">
        <w:t xml:space="preserve"> </w:t>
      </w:r>
    </w:p>
    <w:p w:rsidR="00C33C85" w:rsidRPr="00C33C85" w:rsidRDefault="00757756" w:rsidP="004B46C1">
      <w:r>
        <w:t>In the pivotal P</w:t>
      </w:r>
      <w:r w:rsidR="00C3336B">
        <w:t>hase II study</w:t>
      </w:r>
      <w:r w:rsidR="00C33C85" w:rsidRPr="00C33C85">
        <w:t xml:space="preserve"> seven metastatic BCC patients (21%) had died </w:t>
      </w:r>
      <w:r w:rsidRPr="00C33C85">
        <w:t xml:space="preserve">with progressive disease </w:t>
      </w:r>
      <w:r w:rsidR="00C33C85" w:rsidRPr="00C33C85">
        <w:t>by the time of the data cut-off date</w:t>
      </w:r>
      <w:r>
        <w:t xml:space="preserve">. </w:t>
      </w:r>
      <w:r w:rsidR="00C33C85" w:rsidRPr="00C33C85">
        <w:t xml:space="preserve">In the locally advanced BCC cohort nine patients had died as of the data cut-off date, </w:t>
      </w:r>
      <w:r w:rsidR="00C3336B">
        <w:t xml:space="preserve">and </w:t>
      </w:r>
      <w:r w:rsidR="00C33C85" w:rsidRPr="00C33C85">
        <w:t xml:space="preserve">again there was no definite pattern of events and all patients had significant pre-existing risk factors </w:t>
      </w:r>
      <w:r>
        <w:t xml:space="preserve">or co-morbidities at baseline. </w:t>
      </w:r>
      <w:r w:rsidR="00C33C85" w:rsidRPr="00C33C85">
        <w:t xml:space="preserve">None of the deaths were assessed by the investigators as related to </w:t>
      </w:r>
      <w:proofErr w:type="spellStart"/>
      <w:r w:rsidR="00C33C85" w:rsidRPr="00C33C85">
        <w:t>vismodegib</w:t>
      </w:r>
      <w:proofErr w:type="spellEnd"/>
      <w:r w:rsidR="00C33C85" w:rsidRPr="00C33C85">
        <w:t>.</w:t>
      </w:r>
      <w:r w:rsidR="00FA374D">
        <w:t xml:space="preserve"> </w:t>
      </w:r>
    </w:p>
    <w:p w:rsidR="00C33C85" w:rsidRPr="00C33C85" w:rsidRDefault="00C33C85" w:rsidP="004B46C1">
      <w:r w:rsidRPr="00C33C85">
        <w:t xml:space="preserve">In the supportive studies there was no deaths considered related to </w:t>
      </w:r>
      <w:proofErr w:type="spellStart"/>
      <w:r w:rsidRPr="00C33C85">
        <w:t>vismodegib</w:t>
      </w:r>
      <w:proofErr w:type="spellEnd"/>
      <w:r w:rsidRPr="00C33C85">
        <w:t>.</w:t>
      </w:r>
      <w:r w:rsidR="00F828C8">
        <w:t xml:space="preserve"> </w:t>
      </w:r>
    </w:p>
    <w:p w:rsidR="00C33C85" w:rsidRPr="00C33C85" w:rsidRDefault="00C33C85" w:rsidP="004B46C1">
      <w:r w:rsidRPr="00C33C85">
        <w:t>It</w:t>
      </w:r>
      <w:r w:rsidR="00757756">
        <w:t xml:space="preserve"> is of note that in S</w:t>
      </w:r>
      <w:r w:rsidRPr="00C33C85">
        <w:t xml:space="preserve">tudy SHH4429g in metastatic </w:t>
      </w:r>
      <w:r w:rsidR="00C3336B">
        <w:t>CRC</w:t>
      </w:r>
      <w:r w:rsidRPr="00C33C85">
        <w:t>, thre</w:t>
      </w:r>
      <w:r w:rsidR="00C3336B">
        <w:t>e deaths occurred in vismodegib-</w:t>
      </w:r>
      <w:r w:rsidRPr="00C33C85">
        <w:t xml:space="preserve">treated patients </w:t>
      </w:r>
      <w:r w:rsidR="00C3336B">
        <w:t xml:space="preserve">and were </w:t>
      </w:r>
      <w:r w:rsidRPr="00C33C85">
        <w:t xml:space="preserve">attributed to dehydration, pneumonia and sudden death but none were considered directly related to </w:t>
      </w:r>
      <w:proofErr w:type="spellStart"/>
      <w:r w:rsidRPr="00C33C85">
        <w:t>vismodegib</w:t>
      </w:r>
      <w:proofErr w:type="spellEnd"/>
      <w:r w:rsidRPr="00C33C85">
        <w:t>.</w:t>
      </w:r>
      <w:r w:rsidR="00FA374D">
        <w:t xml:space="preserve"> </w:t>
      </w:r>
    </w:p>
    <w:p w:rsidR="00C33C85" w:rsidRPr="00C33C85" w:rsidRDefault="00C33C85" w:rsidP="004B46C1">
      <w:pPr>
        <w:pStyle w:val="Heading4"/>
      </w:pPr>
      <w:r w:rsidRPr="00C33C85">
        <w:t>Serious adverse events</w:t>
      </w:r>
    </w:p>
    <w:p w:rsidR="00C33C85" w:rsidRPr="00C33C85" w:rsidRDefault="00C33C85" w:rsidP="004B46C1">
      <w:r w:rsidRPr="00C33C85">
        <w:t xml:space="preserve">In the pooled safety population a total of 36 patients or 26.1% experienced a </w:t>
      </w:r>
      <w:r w:rsidR="00AD2AF6">
        <w:t>SAE</w:t>
      </w:r>
      <w:r w:rsidRPr="00C33C85">
        <w:t>. Ele</w:t>
      </w:r>
      <w:r w:rsidR="00757756">
        <w:t>ven patients or 8% experienced G</w:t>
      </w:r>
      <w:r w:rsidRPr="00C33C85">
        <w:t>r</w:t>
      </w:r>
      <w:r w:rsidR="00757756">
        <w:t xml:space="preserve">ade IV </w:t>
      </w:r>
      <w:r w:rsidR="00AD2AF6">
        <w:t>SAEs</w:t>
      </w:r>
      <w:r w:rsidR="00757756">
        <w:t xml:space="preserve">. </w:t>
      </w:r>
      <w:r w:rsidRPr="00C33C85">
        <w:t>In the expanded</w:t>
      </w:r>
      <w:r w:rsidR="00C3336B">
        <w:t>,</w:t>
      </w:r>
      <w:r w:rsidRPr="00C33C85">
        <w:t xml:space="preserve"> pooled safety population an additional six patients experienced ei</w:t>
      </w:r>
      <w:r w:rsidR="00757756">
        <w:t xml:space="preserve">ght </w:t>
      </w:r>
      <w:r w:rsidR="00AD2AF6">
        <w:t>SAE</w:t>
      </w:r>
      <w:r w:rsidR="00757756">
        <w:t>s.</w:t>
      </w:r>
      <w:r w:rsidR="00F828C8">
        <w:t xml:space="preserve"> </w:t>
      </w:r>
    </w:p>
    <w:p w:rsidR="00C33C85" w:rsidRPr="00C33C85" w:rsidRDefault="00C33C85" w:rsidP="004B46C1">
      <w:r w:rsidRPr="00C33C85">
        <w:t xml:space="preserve">In the pivotal study </w:t>
      </w:r>
      <w:r w:rsidR="00AD2AF6">
        <w:t>SAE</w:t>
      </w:r>
      <w:r w:rsidRPr="00C33C85">
        <w:t xml:space="preserve">s were reported in 26 patients </w:t>
      </w:r>
      <w:r w:rsidR="00757756">
        <w:t>(</w:t>
      </w:r>
      <w:r w:rsidRPr="00C33C85">
        <w:t>25%</w:t>
      </w:r>
      <w:r w:rsidR="00757756">
        <w:t>),</w:t>
      </w:r>
      <w:r w:rsidRPr="00C33C85">
        <w:t xml:space="preserve"> with seven events in the metastatic BCC patients and 19 in the locally advanced BCC patients. Serious </w:t>
      </w:r>
      <w:r w:rsidR="00AD2AF6">
        <w:t>AE</w:t>
      </w:r>
      <w:r w:rsidRPr="00C33C85">
        <w:t xml:space="preserve">s considered by the investigator as related to vismodegib were reported in four patients, including </w:t>
      </w:r>
      <w:proofErr w:type="spellStart"/>
      <w:r w:rsidRPr="00C33C85">
        <w:t>cholestasis</w:t>
      </w:r>
      <w:proofErr w:type="spellEnd"/>
      <w:r w:rsidRPr="00C33C85">
        <w:t xml:space="preserve"> in one locally advanced BCC patient, two episodes of pulmonary embolism in one locally advanced BCC patient, syncope and dehydration in one metastatic BCC patient</w:t>
      </w:r>
      <w:r w:rsidR="00C3336B">
        <w:t>,</w:t>
      </w:r>
      <w:r w:rsidRPr="00C33C85">
        <w:t xml:space="preserve"> and cardiac failure and pneumonia in one locally advanced BCC patient.</w:t>
      </w:r>
      <w:r w:rsidR="00FA374D">
        <w:t xml:space="preserve"> </w:t>
      </w:r>
    </w:p>
    <w:p w:rsidR="00C33C85" w:rsidRPr="00C33C85" w:rsidRDefault="00C33C85" w:rsidP="004B46C1">
      <w:r w:rsidRPr="00C33C85">
        <w:t xml:space="preserve">In the supportive clinical studies a variety of </w:t>
      </w:r>
      <w:r w:rsidR="00AD2AF6">
        <w:t>SAE</w:t>
      </w:r>
      <w:r w:rsidRPr="00C33C85">
        <w:t xml:space="preserve">s were reported, </w:t>
      </w:r>
      <w:r w:rsidR="00C3336B" w:rsidRPr="00C33C85">
        <w:t xml:space="preserve">hyponatremia in two patients </w:t>
      </w:r>
      <w:r w:rsidR="00C3336B">
        <w:t xml:space="preserve">being </w:t>
      </w:r>
      <w:r w:rsidRPr="00C33C85">
        <w:t xml:space="preserve">among the more notable. Other notable </w:t>
      </w:r>
      <w:r w:rsidR="00AD2AF6">
        <w:t>SAE</w:t>
      </w:r>
      <w:r w:rsidRPr="00C33C85">
        <w:t>s included intestinal ob</w:t>
      </w:r>
      <w:r w:rsidR="00757756">
        <w:t>struction in three patients in S</w:t>
      </w:r>
      <w:r w:rsidRPr="00C33C85">
        <w:t>tudy SHH4610</w:t>
      </w:r>
      <w:r w:rsidR="00757756">
        <w:t>g</w:t>
      </w:r>
      <w:r w:rsidRPr="00C33C85">
        <w:t>, and elevation of hepatic enzymes considered related to st</w:t>
      </w:r>
      <w:r w:rsidR="00757756">
        <w:t xml:space="preserve">udy drug in </w:t>
      </w:r>
      <w:r w:rsidR="00C3336B">
        <w:t xml:space="preserve">one patient in </w:t>
      </w:r>
      <w:r w:rsidR="00757756">
        <w:t xml:space="preserve">the ovarian cancer Study SHH4489. </w:t>
      </w:r>
      <w:r w:rsidRPr="00C33C85">
        <w:t xml:space="preserve">In the study of </w:t>
      </w:r>
      <w:r w:rsidR="00C3336B">
        <w:t xml:space="preserve">CRC </w:t>
      </w:r>
      <w:r w:rsidR="00757756">
        <w:t>(S</w:t>
      </w:r>
      <w:r w:rsidRPr="00C33C85">
        <w:t>tudy SHH4429</w:t>
      </w:r>
      <w:r w:rsidR="00757756">
        <w:t>g)</w:t>
      </w:r>
      <w:r w:rsidRPr="00C33C85">
        <w:t xml:space="preserve">, dehydration was the only </w:t>
      </w:r>
      <w:r w:rsidR="00AD2AF6">
        <w:t xml:space="preserve">SAE </w:t>
      </w:r>
      <w:r w:rsidRPr="00C33C85">
        <w:t xml:space="preserve">that was reported to have occurred at an incidence ≥ 5% higher </w:t>
      </w:r>
      <w:r w:rsidR="00E069D1">
        <w:t xml:space="preserve">in </w:t>
      </w:r>
      <w:r w:rsidRPr="00C33C85">
        <w:t xml:space="preserve">vismodegib-treated patients </w:t>
      </w:r>
      <w:r w:rsidR="00E069D1">
        <w:t xml:space="preserve">than in </w:t>
      </w:r>
      <w:r w:rsidRPr="00C33C85">
        <w:t xml:space="preserve">the placebo-treated </w:t>
      </w:r>
      <w:r w:rsidR="00757756">
        <w:t>patients</w:t>
      </w:r>
      <w:r w:rsidRPr="00C33C85">
        <w:t xml:space="preserve"> (8.2% v</w:t>
      </w:r>
      <w:r w:rsidR="00757756">
        <w:t>ersus</w:t>
      </w:r>
      <w:r w:rsidRPr="00C33C85">
        <w:t xml:space="preserve"> 2.0%). </w:t>
      </w:r>
    </w:p>
    <w:p w:rsidR="00C33C85" w:rsidRPr="00C33C85" w:rsidRDefault="00C33C85" w:rsidP="004B46C1">
      <w:pPr>
        <w:pStyle w:val="Heading4"/>
      </w:pPr>
      <w:r w:rsidRPr="00C33C85">
        <w:t xml:space="preserve">Treatment emergent adverse events leading to discontinuation of study drug </w:t>
      </w:r>
    </w:p>
    <w:p w:rsidR="00C33C85" w:rsidRPr="00C33C85" w:rsidRDefault="00C33C85" w:rsidP="004B46C1">
      <w:r w:rsidRPr="00C33C85">
        <w:t xml:space="preserve">In the pooled safety population a total of 15 patients (11%) discontinued vismodegib treatment as a result of a </w:t>
      </w:r>
      <w:r w:rsidR="00AD2AF6">
        <w:t>TEAE</w:t>
      </w:r>
      <w:r w:rsidRPr="00C33C85">
        <w:t xml:space="preserve">. Muscle spasms account for vismodegib discontinuation in two patients. No other single </w:t>
      </w:r>
      <w:r w:rsidR="009D48F4">
        <w:t xml:space="preserve">AE </w:t>
      </w:r>
      <w:r w:rsidRPr="00C33C85">
        <w:t xml:space="preserve">accounted for more than one study treatment discontinuation. Adverse events considered by the investigator to be related to vismodegib treatment occurred in </w:t>
      </w:r>
      <w:r w:rsidR="009D48F4">
        <w:t xml:space="preserve">5 </w:t>
      </w:r>
      <w:r w:rsidRPr="00C33C85">
        <w:t>of the 15</w:t>
      </w:r>
      <w:r w:rsidR="00757756">
        <w:t xml:space="preserve"> patients, 3 of which </w:t>
      </w:r>
      <w:r w:rsidR="009D48F4">
        <w:t xml:space="preserve">were </w:t>
      </w:r>
      <w:r w:rsidR="00757756">
        <w:t xml:space="preserve">Grade V, 2 </w:t>
      </w:r>
      <w:r w:rsidR="009D48F4">
        <w:t xml:space="preserve">were </w:t>
      </w:r>
      <w:r w:rsidR="00757756">
        <w:t>G</w:t>
      </w:r>
      <w:r w:rsidRPr="00C33C85">
        <w:t xml:space="preserve">rade IV and </w:t>
      </w:r>
      <w:r w:rsidR="00757756">
        <w:t xml:space="preserve">8 </w:t>
      </w:r>
      <w:r w:rsidR="009D48F4">
        <w:t xml:space="preserve">were </w:t>
      </w:r>
      <w:r w:rsidR="00757756">
        <w:t>G</w:t>
      </w:r>
      <w:r w:rsidRPr="00C33C85">
        <w:t>rade III</w:t>
      </w:r>
      <w:r w:rsidR="009D48F4">
        <w:t xml:space="preserve"> events</w:t>
      </w:r>
      <w:r w:rsidRPr="00C33C85">
        <w:t xml:space="preserve">. </w:t>
      </w:r>
    </w:p>
    <w:p w:rsidR="00C33C85" w:rsidRPr="00C33C85" w:rsidRDefault="00C33C85" w:rsidP="004B46C1">
      <w:r w:rsidRPr="00C33C85">
        <w:t xml:space="preserve">In the expanded pooled safety population, 21 patients </w:t>
      </w:r>
      <w:r w:rsidR="00757756">
        <w:t>(</w:t>
      </w:r>
      <w:r w:rsidRPr="00C33C85">
        <w:t>11.1%</w:t>
      </w:r>
      <w:r w:rsidR="00757756">
        <w:t>)</w:t>
      </w:r>
      <w:r w:rsidRPr="00C33C85">
        <w:t xml:space="preserve"> discontinued vismodegib treatment as a result of </w:t>
      </w:r>
      <w:r w:rsidR="00AD2AF6">
        <w:t>TEAEs</w:t>
      </w:r>
      <w:r w:rsidR="00757756">
        <w:t xml:space="preserve">. </w:t>
      </w:r>
      <w:r w:rsidRPr="00C33C85">
        <w:t xml:space="preserve">Muscle spasms accounted for discontinuation in four and </w:t>
      </w:r>
      <w:proofErr w:type="spellStart"/>
      <w:r w:rsidRPr="00C33C85">
        <w:t>dysgeusia</w:t>
      </w:r>
      <w:proofErr w:type="spellEnd"/>
      <w:r w:rsidRPr="00C33C85">
        <w:t xml:space="preserve"> accounted for discontinuation in three patients.</w:t>
      </w:r>
      <w:r w:rsidR="00FA374D">
        <w:t xml:space="preserve"> </w:t>
      </w:r>
    </w:p>
    <w:p w:rsidR="00C33C85" w:rsidRPr="00C33C85" w:rsidRDefault="00C33C85" w:rsidP="004B46C1">
      <w:r w:rsidRPr="00C33C85">
        <w:t xml:space="preserve">In the pivotal study 13 patients or 12.5% had </w:t>
      </w:r>
      <w:r w:rsidR="00AD2AF6">
        <w:t xml:space="preserve">TEAEs </w:t>
      </w:r>
      <w:r w:rsidRPr="00C33C85">
        <w:t>leading to discontinuation of vismodegib</w:t>
      </w:r>
      <w:r w:rsidR="009D48F4">
        <w:t>,</w:t>
      </w:r>
      <w:r w:rsidRPr="00C33C85">
        <w:t xml:space="preserve"> of which muscle spasms were reported in two patients.</w:t>
      </w:r>
      <w:r w:rsidR="00FA374D">
        <w:t xml:space="preserve"> </w:t>
      </w:r>
    </w:p>
    <w:p w:rsidR="00C33C85" w:rsidRPr="00C33C85" w:rsidRDefault="00C33C85" w:rsidP="004B46C1">
      <w:r w:rsidRPr="00C33C85">
        <w:t xml:space="preserve">In the ovarian cancer </w:t>
      </w:r>
      <w:r w:rsidR="00AD62F5">
        <w:t>S</w:t>
      </w:r>
      <w:r w:rsidRPr="00C33C85">
        <w:t>tudy SHH4489</w:t>
      </w:r>
      <w:r w:rsidR="00AD62F5">
        <w:t>g</w:t>
      </w:r>
      <w:r w:rsidRPr="00C33C85">
        <w:t xml:space="preserve">, six patients had </w:t>
      </w:r>
      <w:r w:rsidR="00AD2AF6">
        <w:t xml:space="preserve">AEs </w:t>
      </w:r>
      <w:r w:rsidRPr="00C33C85">
        <w:t xml:space="preserve">leading to study drug discontinuation, three of which were </w:t>
      </w:r>
      <w:r w:rsidR="00AD62F5">
        <w:t>G</w:t>
      </w:r>
      <w:r w:rsidRPr="00C33C85">
        <w:t xml:space="preserve">rade III events of increased hepatic enzymes, mucosal inflammation and muscle spasms, while one patient discontinued for </w:t>
      </w:r>
      <w:r w:rsidR="00AD62F5">
        <w:t>G</w:t>
      </w:r>
      <w:r w:rsidRPr="00C33C85">
        <w:t>rade II diarrhoea.</w:t>
      </w:r>
      <w:r w:rsidR="00FA374D">
        <w:t xml:space="preserve"> </w:t>
      </w:r>
    </w:p>
    <w:p w:rsidR="00C33C85" w:rsidRPr="00C33C85" w:rsidRDefault="00C33C85" w:rsidP="004B46C1">
      <w:r w:rsidRPr="00C33C85">
        <w:t xml:space="preserve">It is noted that in the metastatic </w:t>
      </w:r>
      <w:r w:rsidR="004E6628">
        <w:t xml:space="preserve">CRC </w:t>
      </w:r>
      <w:r w:rsidRPr="00C33C85">
        <w:t>study (SHH4429g), a greater percentage of vismodegib patients (33.7%) than placebo patients (23.5%) discontinued non-investigational drug treatment</w:t>
      </w:r>
      <w:r w:rsidR="00AD62F5">
        <w:t xml:space="preserve"> (that is, </w:t>
      </w:r>
      <w:r w:rsidRPr="00C33C85">
        <w:t>chemotherapy, bevacizumab or both</w:t>
      </w:r>
      <w:r w:rsidR="00AD62F5">
        <w:t xml:space="preserve">) because of an </w:t>
      </w:r>
      <w:r w:rsidR="00AD2AF6">
        <w:t>AE</w:t>
      </w:r>
      <w:r w:rsidR="00AD62F5">
        <w:t xml:space="preserve">. </w:t>
      </w:r>
      <w:r w:rsidRPr="00C33C85">
        <w:t xml:space="preserve">The most commonly reported </w:t>
      </w:r>
      <w:r w:rsidR="00AD2AF6">
        <w:t xml:space="preserve">AEs </w:t>
      </w:r>
      <w:r w:rsidRPr="00C33C85">
        <w:t xml:space="preserve">that led to the discontinuation of non-investigational drug treatment were peripheral neuropathy </w:t>
      </w:r>
      <w:r w:rsidR="00AD62F5">
        <w:t>(</w:t>
      </w:r>
      <w:r w:rsidRPr="00C33C85">
        <w:t>5% for placebo, 3.1% for vismodegib</w:t>
      </w:r>
      <w:r w:rsidR="00AD62F5">
        <w:t>)</w:t>
      </w:r>
      <w:r w:rsidRPr="00C33C85">
        <w:t xml:space="preserve">, fatigue </w:t>
      </w:r>
      <w:r w:rsidR="00AD62F5">
        <w:t>(</w:t>
      </w:r>
      <w:r w:rsidRPr="00C33C85">
        <w:t>2% for placebo</w:t>
      </w:r>
      <w:r w:rsidR="00AD62F5">
        <w:t>,</w:t>
      </w:r>
      <w:r w:rsidRPr="00C33C85">
        <w:t xml:space="preserve"> 5.1% for vismodegib</w:t>
      </w:r>
      <w:r w:rsidR="00AD62F5">
        <w:t>)</w:t>
      </w:r>
      <w:r w:rsidRPr="00C33C85">
        <w:t xml:space="preserve">, neutropenia </w:t>
      </w:r>
      <w:r w:rsidR="00AD62F5">
        <w:t>(</w:t>
      </w:r>
      <w:r w:rsidRPr="00C33C85">
        <w:t>0 for placebo</w:t>
      </w:r>
      <w:r w:rsidR="00AD62F5">
        <w:t>,</w:t>
      </w:r>
      <w:r w:rsidRPr="00C33C85">
        <w:t xml:space="preserve"> 5.1% for vismodegib</w:t>
      </w:r>
      <w:r w:rsidR="00AD62F5">
        <w:t>)</w:t>
      </w:r>
      <w:r w:rsidRPr="00C33C85">
        <w:t xml:space="preserve"> and diarrhoea </w:t>
      </w:r>
      <w:r w:rsidR="00AD62F5">
        <w:t>(</w:t>
      </w:r>
      <w:r w:rsidRPr="00C33C85">
        <w:t>1% for placebo</w:t>
      </w:r>
      <w:r w:rsidR="00AD62F5">
        <w:t>,</w:t>
      </w:r>
      <w:r w:rsidRPr="00C33C85">
        <w:t xml:space="preserve"> 3.1% for </w:t>
      </w:r>
      <w:proofErr w:type="spellStart"/>
      <w:r w:rsidRPr="00C33C85">
        <w:t>vismodegib</w:t>
      </w:r>
      <w:proofErr w:type="spellEnd"/>
      <w:r w:rsidR="00AD62F5">
        <w:t>)</w:t>
      </w:r>
      <w:r w:rsidRPr="00C33C85">
        <w:t>.</w:t>
      </w:r>
      <w:r w:rsidR="00FA374D">
        <w:t xml:space="preserve"> </w:t>
      </w:r>
    </w:p>
    <w:p w:rsidR="00C33C85" w:rsidRPr="00C33C85" w:rsidRDefault="00C33C85" w:rsidP="004B46C1">
      <w:pPr>
        <w:pStyle w:val="Heading4"/>
      </w:pPr>
      <w:r w:rsidRPr="00C33C85">
        <w:t xml:space="preserve">Adverse events by </w:t>
      </w:r>
      <w:r w:rsidR="00363CD3">
        <w:t>s</w:t>
      </w:r>
      <w:r w:rsidR="004E6628">
        <w:t xml:space="preserve">ystem </w:t>
      </w:r>
      <w:r w:rsidR="00363CD3">
        <w:t>o</w:t>
      </w:r>
      <w:r w:rsidRPr="00C33C85">
        <w:t xml:space="preserve">rgan </w:t>
      </w:r>
      <w:r w:rsidR="00363CD3">
        <w:t>c</w:t>
      </w:r>
      <w:r w:rsidR="004E6628">
        <w:t>lass</w:t>
      </w:r>
    </w:p>
    <w:p w:rsidR="00AE02B1" w:rsidRDefault="00C33C85" w:rsidP="004B46C1">
      <w:r w:rsidRPr="00C33C85">
        <w:t xml:space="preserve">In the pooled safety population the most common </w:t>
      </w:r>
      <w:r w:rsidR="00AD2AF6">
        <w:t xml:space="preserve">AEs </w:t>
      </w:r>
      <w:r w:rsidR="00584889">
        <w:t xml:space="preserve">(that is, </w:t>
      </w:r>
      <w:r w:rsidR="004E6628">
        <w:t xml:space="preserve">AEs </w:t>
      </w:r>
      <w:r w:rsidRPr="00C33C85">
        <w:t>with &gt;30% incidence</w:t>
      </w:r>
      <w:r w:rsidR="00584889">
        <w:t>)</w:t>
      </w:r>
      <w:r w:rsidRPr="00C33C85">
        <w:t xml:space="preserve"> are summarised </w:t>
      </w:r>
      <w:r w:rsidR="00B065D3">
        <w:t xml:space="preserve">by </w:t>
      </w:r>
      <w:proofErr w:type="spellStart"/>
      <w:r w:rsidR="00B065D3">
        <w:t>MedDRA</w:t>
      </w:r>
      <w:proofErr w:type="spellEnd"/>
      <w:r w:rsidR="00B065D3">
        <w:t xml:space="preserve"> system organ class </w:t>
      </w:r>
      <w:r w:rsidR="004E6628">
        <w:t>(</w:t>
      </w:r>
      <w:r w:rsidR="005E6707">
        <w:t xml:space="preserve">Table </w:t>
      </w:r>
      <w:r w:rsidR="000A623E">
        <w:t>11</w:t>
      </w:r>
      <w:r w:rsidR="005E6707">
        <w:t xml:space="preserve">, below) </w:t>
      </w:r>
      <w:r w:rsidR="00B065D3">
        <w:t>and preferred term.</w:t>
      </w:r>
      <w:r w:rsidRPr="00C33C85">
        <w:t xml:space="preserve"> </w:t>
      </w:r>
      <w:r w:rsidR="00AE02B1">
        <w:t xml:space="preserve">The most common </w:t>
      </w:r>
      <w:r w:rsidR="00AD2AF6">
        <w:t>AE</w:t>
      </w:r>
      <w:r w:rsidR="00AE02B1">
        <w:t xml:space="preserve">s by </w:t>
      </w:r>
      <w:proofErr w:type="spellStart"/>
      <w:r w:rsidR="00AE02B1">
        <w:t>MedDRA</w:t>
      </w:r>
      <w:proofErr w:type="spellEnd"/>
      <w:r w:rsidR="00AE02B1">
        <w:t xml:space="preserve"> SOC were</w:t>
      </w:r>
      <w:r w:rsidR="004E6628">
        <w:t>:</w:t>
      </w:r>
      <w:r w:rsidR="00AE02B1">
        <w:t xml:space="preserve"> </w:t>
      </w:r>
      <w:r w:rsidR="004E6628">
        <w:t>nervous system disorders (79.7%,</w:t>
      </w:r>
      <w:r w:rsidR="00AE02B1">
        <w:t xml:space="preserve"> primarily </w:t>
      </w:r>
      <w:proofErr w:type="spellStart"/>
      <w:r w:rsidR="00AE02B1">
        <w:t>dysgeusia</w:t>
      </w:r>
      <w:proofErr w:type="spellEnd"/>
      <w:r w:rsidR="00AE02B1">
        <w:t xml:space="preserve"> at 55.1%), skin an</w:t>
      </w:r>
      <w:r w:rsidR="004E6628">
        <w:t>d subcutaneous disorders (79.0%,</w:t>
      </w:r>
      <w:r w:rsidR="00AE02B1">
        <w:t xml:space="preserve"> primarily alopecia at 63.8%; </w:t>
      </w:r>
      <w:proofErr w:type="spellStart"/>
      <w:r w:rsidR="00AE02B1">
        <w:t>squamous</w:t>
      </w:r>
      <w:proofErr w:type="spellEnd"/>
      <w:r w:rsidR="00AE02B1">
        <w:t xml:space="preserve"> cell carcinoma at 8.7%), musculoskeletal and connective tissue disorders (78.3%</w:t>
      </w:r>
      <w:r w:rsidR="004E6628">
        <w:t>,</w:t>
      </w:r>
      <w:r w:rsidR="00AE02B1">
        <w:t xml:space="preserve"> primarily muscle spasms at 71.7%), gastrointestinal disorders (74.6%</w:t>
      </w:r>
      <w:r w:rsidR="004E6628">
        <w:t>,</w:t>
      </w:r>
      <w:r w:rsidR="00AE02B1">
        <w:t xml:space="preserve"> primarily nausea at 30.4% and diarrh</w:t>
      </w:r>
      <w:r w:rsidR="004E6628">
        <w:t>o</w:t>
      </w:r>
      <w:r w:rsidR="00AE02B1">
        <w:t>ea at 29.0%), general disorders and administration site conditions (57.2%</w:t>
      </w:r>
      <w:r w:rsidR="004E6628">
        <w:t>,</w:t>
      </w:r>
      <w:r w:rsidR="00AE02B1">
        <w:t xml:space="preserve"> primarily fatigue at 39.9%), infections and infestations (56.5%</w:t>
      </w:r>
      <w:r w:rsidR="004E6628">
        <w:t>,</w:t>
      </w:r>
      <w:r w:rsidR="00AE02B1">
        <w:t xml:space="preserve"> primarily upper respiratory tract infection at 10.1%), investigations (50.7%</w:t>
      </w:r>
      <w:r w:rsidR="004E6628">
        <w:t>,</w:t>
      </w:r>
      <w:r w:rsidR="00AE02B1">
        <w:t xml:space="preserve"> primarily weight decreased at 44.9%), respiratory, thoracic, and </w:t>
      </w:r>
      <w:proofErr w:type="spellStart"/>
      <w:r w:rsidR="00AE02B1">
        <w:t>mediastinal</w:t>
      </w:r>
      <w:proofErr w:type="spellEnd"/>
      <w:r w:rsidR="00AE02B1">
        <w:t xml:space="preserve"> disorders (43.5%</w:t>
      </w:r>
      <w:r w:rsidR="004E6628">
        <w:t>,</w:t>
      </w:r>
      <w:r w:rsidR="00AE02B1">
        <w:t xml:space="preserve"> primarily cough at 18.8%), and metabolism</w:t>
      </w:r>
      <w:r w:rsidR="004E6628">
        <w:t xml:space="preserve"> and nutrition disorders (36.2%,</w:t>
      </w:r>
      <w:r w:rsidR="00AE02B1">
        <w:t xml:space="preserve"> primarily decreased appetite at 25.4%)</w:t>
      </w:r>
      <w:r w:rsidR="005E6707">
        <w:t xml:space="preserve">. </w:t>
      </w:r>
    </w:p>
    <w:p w:rsidR="005E6707" w:rsidRPr="005E6707" w:rsidRDefault="005E6707" w:rsidP="004B46C1">
      <w:pPr>
        <w:pStyle w:val="TableTitle"/>
      </w:pPr>
      <w:r w:rsidRPr="005E6707">
        <w:t xml:space="preserve">Table </w:t>
      </w:r>
      <w:r w:rsidR="000A623E">
        <w:t>11</w:t>
      </w:r>
      <w:r w:rsidRPr="005E6707">
        <w:t>. Treatment-Emergent Adverse Events by System Organ Class:</w:t>
      </w:r>
      <w:r>
        <w:t xml:space="preserve"> </w:t>
      </w:r>
      <w:r w:rsidRPr="005E6707">
        <w:t>Pooled Safety Population</w:t>
      </w:r>
    </w:p>
    <w:p w:rsidR="005E6707" w:rsidRDefault="005E6707" w:rsidP="00363CD3">
      <w:r>
        <w:rPr>
          <w:noProof/>
          <w:lang w:eastAsia="en-AU"/>
        </w:rPr>
        <w:drawing>
          <wp:inline distT="0" distB="0" distL="0" distR="0">
            <wp:extent cx="4963160" cy="6294120"/>
            <wp:effectExtent l="19050" t="0" r="8890" b="0"/>
            <wp:docPr id="3" name="Picture 2" descr="Table 11. Treatment-Emergent Adverse Events by System Organ Class: Poo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963160" cy="6294120"/>
                    </a:xfrm>
                    <a:prstGeom prst="rect">
                      <a:avLst/>
                    </a:prstGeom>
                    <a:noFill/>
                    <a:ln w="9525">
                      <a:noFill/>
                      <a:miter lim="800000"/>
                      <a:headEnd/>
                      <a:tailEnd/>
                    </a:ln>
                  </pic:spPr>
                </pic:pic>
              </a:graphicData>
            </a:graphic>
          </wp:inline>
        </w:drawing>
      </w:r>
    </w:p>
    <w:p w:rsidR="00C33C85" w:rsidRPr="00C33C85" w:rsidRDefault="00C33C85" w:rsidP="00363CD3">
      <w:r w:rsidRPr="00C33C85">
        <w:t xml:space="preserve">The most common </w:t>
      </w:r>
      <w:r w:rsidR="004E6628">
        <w:t xml:space="preserve">≥ </w:t>
      </w:r>
      <w:r w:rsidR="00AE02B1">
        <w:t>G</w:t>
      </w:r>
      <w:r w:rsidRPr="00C33C85">
        <w:t xml:space="preserve">rade III </w:t>
      </w:r>
      <w:r w:rsidR="00AD2AF6">
        <w:t>AE</w:t>
      </w:r>
      <w:r w:rsidRPr="00C33C85">
        <w:t xml:space="preserve">s were fatigue at 5.8%, decreased weight </w:t>
      </w:r>
      <w:r w:rsidR="00AE02B1">
        <w:t>(</w:t>
      </w:r>
      <w:r w:rsidRPr="00C33C85">
        <w:t>7.2%</w:t>
      </w:r>
      <w:r w:rsidR="00AE02B1">
        <w:t>)</w:t>
      </w:r>
      <w:r w:rsidRPr="00C33C85">
        <w:t xml:space="preserve">, pneumonia </w:t>
      </w:r>
      <w:r w:rsidR="00AE02B1">
        <w:t>(</w:t>
      </w:r>
      <w:r w:rsidRPr="00C33C85">
        <w:t>2.2%</w:t>
      </w:r>
      <w:r w:rsidR="00AE02B1">
        <w:t>)</w:t>
      </w:r>
      <w:r w:rsidRPr="00C33C85">
        <w:t xml:space="preserve">, hyponatremia </w:t>
      </w:r>
      <w:r w:rsidR="00AE02B1">
        <w:t>(</w:t>
      </w:r>
      <w:r w:rsidRPr="00C33C85">
        <w:t>2.9%</w:t>
      </w:r>
      <w:r w:rsidR="00AE02B1">
        <w:t>)</w:t>
      </w:r>
      <w:r w:rsidRPr="00C33C85">
        <w:t xml:space="preserve"> and decreased appetite </w:t>
      </w:r>
      <w:r w:rsidR="00AE02B1">
        <w:t>(</w:t>
      </w:r>
      <w:r w:rsidRPr="00C33C85">
        <w:t>2.2%</w:t>
      </w:r>
      <w:r w:rsidR="00AE02B1">
        <w:t>)</w:t>
      </w:r>
      <w:r w:rsidRPr="00C33C85">
        <w:t xml:space="preserve">, muscle spasm </w:t>
      </w:r>
      <w:r w:rsidR="00AE02B1">
        <w:t>(</w:t>
      </w:r>
      <w:r w:rsidRPr="00C33C85">
        <w:t>3.6%</w:t>
      </w:r>
      <w:r w:rsidR="00AE02B1">
        <w:t>)</w:t>
      </w:r>
      <w:r w:rsidRPr="00C33C85">
        <w:t xml:space="preserve">, </w:t>
      </w:r>
      <w:proofErr w:type="spellStart"/>
      <w:r w:rsidRPr="00C33C85">
        <w:t>squamous</w:t>
      </w:r>
      <w:proofErr w:type="spellEnd"/>
      <w:r w:rsidRPr="00C33C85">
        <w:t xml:space="preserve"> carcinoma and pancreatic </w:t>
      </w:r>
      <w:proofErr w:type="spellStart"/>
      <w:r w:rsidRPr="00C33C85">
        <w:t>adenocarcinoma</w:t>
      </w:r>
      <w:proofErr w:type="spellEnd"/>
      <w:r w:rsidRPr="00C33C85">
        <w:t xml:space="preserve"> at 1.4%</w:t>
      </w:r>
      <w:r w:rsidR="00AE02B1">
        <w:t xml:space="preserve"> each</w:t>
      </w:r>
      <w:r w:rsidRPr="00C33C85">
        <w:t xml:space="preserve">, </w:t>
      </w:r>
      <w:r w:rsidR="00AE02B1">
        <w:t xml:space="preserve">and </w:t>
      </w:r>
      <w:r w:rsidRPr="00C33C85">
        <w:t xml:space="preserve">gastrointestinal haemorrhage </w:t>
      </w:r>
      <w:r w:rsidR="00AE02B1">
        <w:t>(</w:t>
      </w:r>
      <w:r w:rsidRPr="00C33C85">
        <w:t>1.4%</w:t>
      </w:r>
      <w:r w:rsidR="00AE02B1">
        <w:t xml:space="preserve">). </w:t>
      </w:r>
      <w:r w:rsidRPr="00C33C85">
        <w:t xml:space="preserve">In the expanded pool safety population the spectrum of </w:t>
      </w:r>
      <w:r w:rsidR="00AD2AF6">
        <w:t>TEAE</w:t>
      </w:r>
      <w:r w:rsidRPr="00C33C85">
        <w:t xml:space="preserve">s were similar. </w:t>
      </w:r>
    </w:p>
    <w:p w:rsidR="00C33C85" w:rsidRPr="00C33C85" w:rsidRDefault="00C33C85" w:rsidP="00363CD3">
      <w:pPr>
        <w:pStyle w:val="Heading4"/>
      </w:pPr>
      <w:r w:rsidRPr="00C33C85">
        <w:t>Clinical laboratory ev</w:t>
      </w:r>
      <w:r w:rsidR="004E6628">
        <w:t xml:space="preserve">aluations </w:t>
      </w:r>
    </w:p>
    <w:p w:rsidR="00C33C85" w:rsidRPr="00C33C85" w:rsidRDefault="00C33C85" w:rsidP="00363CD3">
      <w:r w:rsidRPr="00C33C85">
        <w:t>In the pooled safety population available laboratory data were assessed by shifts</w:t>
      </w:r>
      <w:r w:rsidR="005E6707">
        <w:t xml:space="preserve"> in baseline </w:t>
      </w:r>
      <w:r w:rsidRPr="00C33C85">
        <w:t xml:space="preserve">to worst post-baseline grade for sodium, potassium and magnesium as well as alkaline </w:t>
      </w:r>
      <w:proofErr w:type="spellStart"/>
      <w:r w:rsidRPr="00C33C85">
        <w:t>phostaphase</w:t>
      </w:r>
      <w:proofErr w:type="spellEnd"/>
      <w:r w:rsidRPr="00C33C85">
        <w:t xml:space="preserve">, </w:t>
      </w:r>
      <w:proofErr w:type="spellStart"/>
      <w:r w:rsidR="00362551">
        <w:t>aspartate</w:t>
      </w:r>
      <w:proofErr w:type="spellEnd"/>
      <w:r w:rsidR="00362551">
        <w:t xml:space="preserve"> </w:t>
      </w:r>
      <w:proofErr w:type="spellStart"/>
      <w:r w:rsidR="00362551">
        <w:t>transaminase</w:t>
      </w:r>
      <w:proofErr w:type="spellEnd"/>
      <w:r w:rsidR="00362551">
        <w:t xml:space="preserve"> (</w:t>
      </w:r>
      <w:r w:rsidRPr="00C33C85">
        <w:t>AST</w:t>
      </w:r>
      <w:r w:rsidR="00362551">
        <w:t>)</w:t>
      </w:r>
      <w:r w:rsidRPr="00C33C85">
        <w:t xml:space="preserve">, </w:t>
      </w:r>
      <w:proofErr w:type="spellStart"/>
      <w:r w:rsidR="00362551" w:rsidRPr="00362551">
        <w:t>a</w:t>
      </w:r>
      <w:r w:rsidR="00362551">
        <w:t>lanine</w:t>
      </w:r>
      <w:proofErr w:type="spellEnd"/>
      <w:r w:rsidR="00362551">
        <w:t xml:space="preserve"> </w:t>
      </w:r>
      <w:proofErr w:type="spellStart"/>
      <w:r w:rsidR="00362551" w:rsidRPr="00362551">
        <w:t>transaminase</w:t>
      </w:r>
      <w:proofErr w:type="spellEnd"/>
      <w:r w:rsidR="00362551" w:rsidRPr="00362551">
        <w:t xml:space="preserve"> </w:t>
      </w:r>
      <w:r w:rsidR="00362551">
        <w:t>(</w:t>
      </w:r>
      <w:r w:rsidRPr="00C33C85">
        <w:t>ALT</w:t>
      </w:r>
      <w:r w:rsidR="00362551">
        <w:t>)</w:t>
      </w:r>
      <w:r w:rsidRPr="00C33C85">
        <w:t xml:space="preserve">, </w:t>
      </w:r>
      <w:proofErr w:type="spellStart"/>
      <w:r w:rsidRPr="00C33C85">
        <w:t>bilirub</w:t>
      </w:r>
      <w:r w:rsidR="005E6707">
        <w:t>in</w:t>
      </w:r>
      <w:proofErr w:type="spellEnd"/>
      <w:r w:rsidR="005E6707">
        <w:t xml:space="preserve">, </w:t>
      </w:r>
      <w:r w:rsidR="00362551">
        <w:t>blood urea nitrogen (</w:t>
      </w:r>
      <w:r w:rsidR="005E6707">
        <w:t>BUN</w:t>
      </w:r>
      <w:r w:rsidR="00362551">
        <w:t>)</w:t>
      </w:r>
      <w:r w:rsidR="005E6707">
        <w:t xml:space="preserve"> and creatinine levels. </w:t>
      </w:r>
      <w:r w:rsidRPr="00C33C85">
        <w:t xml:space="preserve">The majority of laboratory abnormalities were </w:t>
      </w:r>
      <w:r w:rsidR="005E6707">
        <w:t xml:space="preserve">Grade I. </w:t>
      </w:r>
      <w:r w:rsidRPr="00C33C85">
        <w:t xml:space="preserve">Laboratory abnormalities that changed to </w:t>
      </w:r>
      <w:r w:rsidR="005E6707">
        <w:t>G</w:t>
      </w:r>
      <w:r w:rsidRPr="00C33C85">
        <w:t xml:space="preserve">rade II or higher were low sodium in </w:t>
      </w:r>
      <w:r w:rsidR="001C66AA">
        <w:t xml:space="preserve">6 </w:t>
      </w:r>
      <w:r w:rsidR="00362551">
        <w:t xml:space="preserve">cases </w:t>
      </w:r>
      <w:r w:rsidRPr="00C33C85">
        <w:t xml:space="preserve">and potassium in </w:t>
      </w:r>
      <w:r w:rsidR="001C66AA">
        <w:t>2</w:t>
      </w:r>
      <w:r w:rsidR="00362551">
        <w:t>,</w:t>
      </w:r>
      <w:r w:rsidRPr="00C33C85">
        <w:t xml:space="preserve"> as well as high alkaline phosphatase in </w:t>
      </w:r>
      <w:r w:rsidR="001C66AA">
        <w:t>5</w:t>
      </w:r>
      <w:r w:rsidRPr="00C33C85">
        <w:t xml:space="preserve">, AST in </w:t>
      </w:r>
      <w:r w:rsidR="001C66AA">
        <w:t>4</w:t>
      </w:r>
      <w:r w:rsidRPr="00C33C85">
        <w:t xml:space="preserve">, ALT in </w:t>
      </w:r>
      <w:r w:rsidR="001C66AA">
        <w:t>6</w:t>
      </w:r>
      <w:r w:rsidRPr="00C33C85">
        <w:t xml:space="preserve">, bilirubin in </w:t>
      </w:r>
      <w:r w:rsidR="001C66AA">
        <w:t>2</w:t>
      </w:r>
      <w:r w:rsidRPr="00C33C85">
        <w:t>, BUN i</w:t>
      </w:r>
      <w:r w:rsidR="005E6707">
        <w:t xml:space="preserve">n </w:t>
      </w:r>
      <w:r w:rsidR="001C66AA">
        <w:t xml:space="preserve">9 </w:t>
      </w:r>
      <w:r w:rsidR="005E6707">
        <w:t xml:space="preserve">and creatinine in </w:t>
      </w:r>
      <w:r w:rsidR="001C66AA">
        <w:t>5</w:t>
      </w:r>
      <w:r w:rsidR="005E6707">
        <w:t xml:space="preserve">. </w:t>
      </w:r>
      <w:r w:rsidRPr="00C33C85">
        <w:t xml:space="preserve">Post-baseline changes in laboratory parameters of </w:t>
      </w:r>
      <w:r w:rsidR="005E6707">
        <w:t>G</w:t>
      </w:r>
      <w:r w:rsidRPr="00C33C85">
        <w:t xml:space="preserve">rade III </w:t>
      </w:r>
      <w:r w:rsidR="005E6707">
        <w:t xml:space="preserve">severity </w:t>
      </w:r>
      <w:r w:rsidRPr="00C33C85">
        <w:t>were uncommon</w:t>
      </w:r>
      <w:r w:rsidR="005E6707">
        <w:t>,</w:t>
      </w:r>
      <w:r w:rsidRPr="00C33C85">
        <w:t xml:space="preserve"> occurring in &lt;5% of patients for each l</w:t>
      </w:r>
      <w:r w:rsidR="005E6707">
        <w:t xml:space="preserve">aboratory parameter evaluated. </w:t>
      </w:r>
      <w:r w:rsidRPr="00C33C85">
        <w:t xml:space="preserve">There were no </w:t>
      </w:r>
      <w:r w:rsidR="005E6707">
        <w:t>G</w:t>
      </w:r>
      <w:r w:rsidRPr="00C33C85">
        <w:t>rade</w:t>
      </w:r>
      <w:r w:rsidR="005E6707">
        <w:t xml:space="preserve"> IV laboratory abnormalities.</w:t>
      </w:r>
      <w:r w:rsidR="00F828C8">
        <w:t xml:space="preserve"> </w:t>
      </w:r>
    </w:p>
    <w:p w:rsidR="00C33C85" w:rsidRPr="00C33C85" w:rsidRDefault="00C33C85" w:rsidP="00363CD3">
      <w:r w:rsidRPr="00C33C85">
        <w:t xml:space="preserve">In the expanded pooled safety population the incidence of patients with abnormalities in each individual laboratory parameter </w:t>
      </w:r>
      <w:r w:rsidR="001C66AA">
        <w:t xml:space="preserve">was </w:t>
      </w:r>
      <w:r w:rsidRPr="00C33C85">
        <w:t>similar to that observed in</w:t>
      </w:r>
      <w:r w:rsidR="005E6707">
        <w:t xml:space="preserve"> the pooled safety population. </w:t>
      </w:r>
      <w:r w:rsidRPr="00C33C85">
        <w:t xml:space="preserve">The only changes of </w:t>
      </w:r>
      <w:r w:rsidR="005E6707">
        <w:t>G</w:t>
      </w:r>
      <w:r w:rsidRPr="00C33C85">
        <w:t xml:space="preserve">rade II or higher were </w:t>
      </w:r>
      <w:r w:rsidR="001C66AA">
        <w:t xml:space="preserve">for </w:t>
      </w:r>
      <w:r w:rsidRPr="00C33C85">
        <w:t xml:space="preserve">low sodium in </w:t>
      </w:r>
      <w:r w:rsidR="001C66AA">
        <w:t>8</w:t>
      </w:r>
      <w:r w:rsidRPr="00C33C85">
        <w:t xml:space="preserve">, potassium in </w:t>
      </w:r>
      <w:r w:rsidR="001C66AA">
        <w:t>2</w:t>
      </w:r>
      <w:r w:rsidRPr="00C33C85">
        <w:t xml:space="preserve">, magnesium in one as well as high alkaline phosphatase in </w:t>
      </w:r>
      <w:r w:rsidR="001C66AA">
        <w:t>7</w:t>
      </w:r>
      <w:r w:rsidRPr="00C33C85">
        <w:t xml:space="preserve">, AST in </w:t>
      </w:r>
      <w:r w:rsidR="001C66AA">
        <w:t>8</w:t>
      </w:r>
      <w:r w:rsidRPr="00C33C85">
        <w:t xml:space="preserve">, ALT in </w:t>
      </w:r>
      <w:r w:rsidR="001C66AA">
        <w:t>11</w:t>
      </w:r>
      <w:r w:rsidRPr="00C33C85">
        <w:t xml:space="preserve">, bilirubin in </w:t>
      </w:r>
      <w:r w:rsidR="001C66AA">
        <w:t>2</w:t>
      </w:r>
      <w:r w:rsidRPr="00C33C85">
        <w:t>, BUN</w:t>
      </w:r>
      <w:r w:rsidR="005E6707">
        <w:t xml:space="preserve"> in 16 and creatinine in </w:t>
      </w:r>
      <w:r w:rsidR="001C66AA">
        <w:t>5</w:t>
      </w:r>
      <w:r w:rsidR="005E6707">
        <w:t xml:space="preserve">. </w:t>
      </w:r>
      <w:r w:rsidRPr="00C33C85">
        <w:t>Similar to the pooled safety population</w:t>
      </w:r>
      <w:r w:rsidR="005E6707">
        <w:t>,</w:t>
      </w:r>
      <w:r w:rsidRPr="00C33C85">
        <w:t xml:space="preserve"> few patients had laboratory abnormalities of </w:t>
      </w:r>
      <w:r w:rsidR="005E6707">
        <w:t>G</w:t>
      </w:r>
      <w:r w:rsidRPr="00C33C85">
        <w:t>rade III level.</w:t>
      </w:r>
      <w:r w:rsidR="00F828C8">
        <w:t xml:space="preserve"> </w:t>
      </w:r>
    </w:p>
    <w:p w:rsidR="00C33C85" w:rsidRPr="00C33C85" w:rsidRDefault="00C33C85" w:rsidP="00363CD3">
      <w:r w:rsidRPr="00C33C85">
        <w:t>In the individual studies there was no pattern of clinically significant changes for any of the specific haematological</w:t>
      </w:r>
      <w:r w:rsidR="00634430">
        <w:t>,</w:t>
      </w:r>
      <w:r w:rsidRPr="00C33C85">
        <w:t xml:space="preserve"> chemistry or urinary analysis parameters separate from that already indicated </w:t>
      </w:r>
      <w:r w:rsidR="001C66AA">
        <w:t xml:space="preserve">above for </w:t>
      </w:r>
      <w:r w:rsidRPr="00C33C85">
        <w:t>the pooled safety and expanded pool safety population</w:t>
      </w:r>
      <w:r w:rsidR="001C66AA">
        <w:t>s</w:t>
      </w:r>
      <w:r w:rsidRPr="00C33C85">
        <w:t>.</w:t>
      </w:r>
      <w:r w:rsidR="00FA374D">
        <w:t xml:space="preserve"> </w:t>
      </w:r>
    </w:p>
    <w:p w:rsidR="00C33C85" w:rsidRPr="00C33C85" w:rsidRDefault="00C33C85" w:rsidP="00363CD3">
      <w:pPr>
        <w:pStyle w:val="Heading4"/>
      </w:pPr>
      <w:r w:rsidRPr="00C33C85">
        <w:t xml:space="preserve">Vital signs, typical findings, and other observations </w:t>
      </w:r>
    </w:p>
    <w:p w:rsidR="00C33C85" w:rsidRPr="00C33C85" w:rsidRDefault="00C33C85" w:rsidP="00363CD3">
      <w:r w:rsidRPr="00C33C85">
        <w:t>In the pooled safety population and the expanded pooled safety p</w:t>
      </w:r>
      <w:r w:rsidR="001C66AA">
        <w:t>opulation no salient vital sign</w:t>
      </w:r>
      <w:r w:rsidRPr="00C33C85">
        <w:t xml:space="preserve"> abnormalities were reported and no major changes in ECO</w:t>
      </w:r>
      <w:r w:rsidR="00327F33">
        <w:t xml:space="preserve">G </w:t>
      </w:r>
      <w:r w:rsidR="001C66AA">
        <w:t xml:space="preserve">PS were </w:t>
      </w:r>
      <w:r w:rsidR="00327F33">
        <w:t xml:space="preserve">reported. </w:t>
      </w:r>
      <w:r w:rsidRPr="00C33C85">
        <w:t>The only significant observation was that of decreased weight oc</w:t>
      </w:r>
      <w:r w:rsidR="00327F33">
        <w:t>curring in 44.9% of patients.</w:t>
      </w:r>
      <w:r w:rsidR="00F828C8">
        <w:t xml:space="preserve"> </w:t>
      </w:r>
    </w:p>
    <w:p w:rsidR="00C33C85" w:rsidRPr="00C33C85" w:rsidRDefault="00C33C85" w:rsidP="00363CD3">
      <w:pPr>
        <w:pStyle w:val="Heading4"/>
      </w:pPr>
      <w:r w:rsidRPr="00C33C85">
        <w:t>Safety in relation to age</w:t>
      </w:r>
    </w:p>
    <w:p w:rsidR="00C33C85" w:rsidRPr="00C33C85" w:rsidRDefault="00C33C85" w:rsidP="00363CD3">
      <w:r w:rsidRPr="00C33C85">
        <w:t>The majority (60.9%) of patients in thes</w:t>
      </w:r>
      <w:r w:rsidR="00327F33">
        <w:t xml:space="preserve">e studies were &lt;65 years old. </w:t>
      </w:r>
      <w:r w:rsidRPr="00C33C85">
        <w:t>Among the pooled safety population of patients there was a &gt;10% higher incidence of muscle spasms, alopecia, diarrhoea, cough and muscular/skeletal chest pain in patients &lt;65 year</w:t>
      </w:r>
      <w:r w:rsidR="00327F33">
        <w:t xml:space="preserve">s compared to those &gt;65 years. </w:t>
      </w:r>
      <w:r w:rsidRPr="00C33C85">
        <w:t>There was</w:t>
      </w:r>
      <w:r w:rsidR="001C66AA">
        <w:t>,</w:t>
      </w:r>
      <w:r w:rsidRPr="00C33C85">
        <w:t xml:space="preserve"> however</w:t>
      </w:r>
      <w:r w:rsidR="001C66AA">
        <w:t>,</w:t>
      </w:r>
      <w:r w:rsidRPr="00C33C85">
        <w:t xml:space="preserve"> a &gt;10% higher incidence of decreased appetite among patients aged &gt;65 year</w:t>
      </w:r>
      <w:r w:rsidR="00327F33">
        <w:t xml:space="preserve">s compared to those &lt;65 years. </w:t>
      </w:r>
      <w:r w:rsidRPr="00C33C85">
        <w:t xml:space="preserve">A larger percentage </w:t>
      </w:r>
      <w:r w:rsidR="00327F33">
        <w:t>(</w:t>
      </w:r>
      <w:r w:rsidRPr="00C33C85">
        <w:t>51.9%</w:t>
      </w:r>
      <w:r w:rsidR="00327F33">
        <w:t>)</w:t>
      </w:r>
      <w:r w:rsidRPr="00C33C85">
        <w:t xml:space="preserve"> of patients aged &gt;65 years experienced </w:t>
      </w:r>
      <w:r w:rsidR="00327F33">
        <w:t>G</w:t>
      </w:r>
      <w:r w:rsidRPr="00C33C85">
        <w:t xml:space="preserve">rade III or greater </w:t>
      </w:r>
      <w:r w:rsidR="00AD2AF6">
        <w:t>AE</w:t>
      </w:r>
      <w:r w:rsidRPr="00C33C85">
        <w:t>s compared with patients aged &lt;65 years</w:t>
      </w:r>
      <w:r w:rsidR="00327F33">
        <w:t xml:space="preserve"> (</w:t>
      </w:r>
      <w:r w:rsidRPr="00C33C85">
        <w:t>39.3%</w:t>
      </w:r>
      <w:r w:rsidR="00327F33">
        <w:t xml:space="preserve">). </w:t>
      </w:r>
      <w:r w:rsidRPr="00C33C85">
        <w:t xml:space="preserve">Among the most frequent </w:t>
      </w:r>
      <w:r w:rsidR="001C66AA">
        <w:t xml:space="preserve">≥ </w:t>
      </w:r>
      <w:r w:rsidR="00327F33">
        <w:t>G</w:t>
      </w:r>
      <w:r w:rsidRPr="00C33C85">
        <w:t xml:space="preserve">rade III </w:t>
      </w:r>
      <w:r w:rsidR="00AD2AF6">
        <w:t>AE</w:t>
      </w:r>
      <w:r w:rsidRPr="00C33C85">
        <w:t xml:space="preserve">s were decreased weight </w:t>
      </w:r>
      <w:r w:rsidR="00327F33">
        <w:t>(</w:t>
      </w:r>
      <w:r w:rsidRPr="00C33C85">
        <w:t>6% in patients &lt;65 years</w:t>
      </w:r>
      <w:r w:rsidR="00327F33">
        <w:t>,</w:t>
      </w:r>
      <w:r w:rsidRPr="00C33C85">
        <w:t xml:space="preserve"> 9.3% in those &gt;65 years</w:t>
      </w:r>
      <w:r w:rsidR="00327F33">
        <w:t>)</w:t>
      </w:r>
      <w:r w:rsidRPr="00C33C85">
        <w:t xml:space="preserve"> and fatigue </w:t>
      </w:r>
      <w:r w:rsidR="00327F33">
        <w:t>(</w:t>
      </w:r>
      <w:r w:rsidRPr="00C33C85">
        <w:t>2.4% for those &lt;65 years and 11.1% for those &gt;65 years</w:t>
      </w:r>
      <w:r w:rsidR="00327F33">
        <w:t>)</w:t>
      </w:r>
      <w:r w:rsidRPr="00C33C85">
        <w:t>.</w:t>
      </w:r>
      <w:r w:rsidR="00FA374D">
        <w:t xml:space="preserve"> </w:t>
      </w:r>
    </w:p>
    <w:p w:rsidR="00C33C85" w:rsidRPr="00C33C85" w:rsidRDefault="00C33C85" w:rsidP="00363CD3">
      <w:pPr>
        <w:pStyle w:val="Heading4"/>
      </w:pPr>
      <w:r w:rsidRPr="00C33C85">
        <w:t xml:space="preserve">Safety in relation to sex </w:t>
      </w:r>
    </w:p>
    <w:p w:rsidR="00C33C85" w:rsidRPr="00C33C85" w:rsidRDefault="00C33C85" w:rsidP="00363CD3">
      <w:r w:rsidRPr="00C33C85">
        <w:t xml:space="preserve">The majority </w:t>
      </w:r>
      <w:r w:rsidR="00C229D3">
        <w:t>(</w:t>
      </w:r>
      <w:r w:rsidRPr="00C33C85">
        <w:t>64.5%</w:t>
      </w:r>
      <w:r w:rsidR="00C229D3">
        <w:t>)</w:t>
      </w:r>
      <w:r w:rsidRPr="00C33C85">
        <w:t xml:space="preserve"> of patien</w:t>
      </w:r>
      <w:r w:rsidR="00C229D3">
        <w:t xml:space="preserve">ts in these studies were male. </w:t>
      </w:r>
      <w:r w:rsidRPr="00C33C85">
        <w:t>In patients in the pooled safety population there was a higher incidence of nausea, diarrhoea, decreased appetite, vomiting and pain in extremity amon</w:t>
      </w:r>
      <w:r w:rsidR="00C229D3">
        <w:t xml:space="preserve">g females compared with males. </w:t>
      </w:r>
      <w:r w:rsidRPr="00C33C85">
        <w:t>There was a &gt;10% higher incidence of constipation and flatulence amon</w:t>
      </w:r>
      <w:r w:rsidR="00C229D3">
        <w:t xml:space="preserve">g males compared with females. </w:t>
      </w:r>
      <w:r w:rsidRPr="00C33C85">
        <w:t xml:space="preserve">Amenorrhea was noted in </w:t>
      </w:r>
      <w:r w:rsidR="001C66AA">
        <w:t xml:space="preserve">3 </w:t>
      </w:r>
      <w:r w:rsidRPr="00C33C85">
        <w:t xml:space="preserve">patients among women of </w:t>
      </w:r>
      <w:r w:rsidR="00C229D3">
        <w:t>childbearing potential (</w:t>
      </w:r>
      <w:r w:rsidR="008F4F84">
        <w:t>n</w:t>
      </w:r>
      <w:r w:rsidR="00C229D3">
        <w:t xml:space="preserve">=10). </w:t>
      </w:r>
      <w:r w:rsidRPr="00C33C85">
        <w:t>More female patients</w:t>
      </w:r>
      <w:r w:rsidR="00C229D3">
        <w:t xml:space="preserve"> (</w:t>
      </w:r>
      <w:r w:rsidRPr="00C33C85">
        <w:t>49%</w:t>
      </w:r>
      <w:r w:rsidR="00C229D3">
        <w:t>)</w:t>
      </w:r>
      <w:r w:rsidRPr="00C33C85">
        <w:t xml:space="preserve"> compared with male patients</w:t>
      </w:r>
      <w:r w:rsidR="00C229D3">
        <w:t xml:space="preserve"> (</w:t>
      </w:r>
      <w:r w:rsidRPr="00C33C85">
        <w:t>41.6%</w:t>
      </w:r>
      <w:r w:rsidR="00C229D3">
        <w:t xml:space="preserve">) experienced at least Grade III </w:t>
      </w:r>
      <w:r w:rsidR="00AD2AF6">
        <w:t>AE</w:t>
      </w:r>
      <w:r w:rsidR="00C229D3">
        <w:t xml:space="preserve">s. </w:t>
      </w:r>
      <w:r w:rsidRPr="00C33C85">
        <w:t xml:space="preserve">Among the most frequent </w:t>
      </w:r>
      <w:r w:rsidR="001C66AA">
        <w:t xml:space="preserve">≥ </w:t>
      </w:r>
      <w:r w:rsidR="00C229D3">
        <w:t>G</w:t>
      </w:r>
      <w:r w:rsidRPr="00C33C85">
        <w:t xml:space="preserve">rade III </w:t>
      </w:r>
      <w:r w:rsidR="00861424">
        <w:t xml:space="preserve">AEs </w:t>
      </w:r>
      <w:r w:rsidRPr="00C33C85">
        <w:t>were decreased weight</w:t>
      </w:r>
      <w:r w:rsidR="00C229D3">
        <w:t>,</w:t>
      </w:r>
      <w:r w:rsidRPr="00C33C85">
        <w:t xml:space="preserve"> observed in </w:t>
      </w:r>
      <w:r w:rsidR="001C66AA">
        <w:t>2</w:t>
      </w:r>
      <w:r w:rsidRPr="00C33C85">
        <w:t xml:space="preserve"> female patients and </w:t>
      </w:r>
      <w:r w:rsidR="001C66AA">
        <w:t xml:space="preserve">8 </w:t>
      </w:r>
      <w:r w:rsidRPr="00C33C85">
        <w:t>male patients</w:t>
      </w:r>
      <w:r w:rsidR="00C229D3">
        <w:t>,</w:t>
      </w:r>
      <w:r w:rsidRPr="00C33C85">
        <w:t xml:space="preserve"> and fatigue</w:t>
      </w:r>
      <w:r w:rsidR="00C229D3">
        <w:t>,</w:t>
      </w:r>
      <w:r w:rsidRPr="00C33C85">
        <w:t xml:space="preserve"> observed in </w:t>
      </w:r>
      <w:r w:rsidR="001C66AA">
        <w:t xml:space="preserve">3 </w:t>
      </w:r>
      <w:r w:rsidRPr="00C33C85">
        <w:t xml:space="preserve">female patients and </w:t>
      </w:r>
      <w:r w:rsidR="001C66AA">
        <w:t xml:space="preserve">5 </w:t>
      </w:r>
      <w:r w:rsidRPr="00C33C85">
        <w:t>male patients.</w:t>
      </w:r>
      <w:r w:rsidR="00FA374D">
        <w:t xml:space="preserve"> </w:t>
      </w:r>
    </w:p>
    <w:p w:rsidR="00C33C85" w:rsidRPr="00C229D3" w:rsidRDefault="00C33C85" w:rsidP="00363CD3">
      <w:pPr>
        <w:pStyle w:val="Heading4"/>
      </w:pPr>
      <w:r w:rsidRPr="00C229D3">
        <w:t>Safety update</w:t>
      </w:r>
      <w:r w:rsidR="00F828C8">
        <w:t xml:space="preserve"> </w:t>
      </w:r>
    </w:p>
    <w:p w:rsidR="00C33C85" w:rsidRPr="00C33C85" w:rsidRDefault="00C33C85" w:rsidP="00363CD3">
      <w:r w:rsidRPr="00C33C85">
        <w:t>An up</w:t>
      </w:r>
      <w:r w:rsidR="00C229D3">
        <w:t>date of safety for the pivotal S</w:t>
      </w:r>
      <w:r w:rsidRPr="00C33C85">
        <w:t>tudy SHH4476g with a clinical cut-off date of the 26</w:t>
      </w:r>
      <w:r w:rsidRPr="00C33C85">
        <w:rPr>
          <w:vertAlign w:val="superscript"/>
        </w:rPr>
        <w:t>th</w:t>
      </w:r>
      <w:r w:rsidRPr="00C33C85">
        <w:t xml:space="preserve"> May 2011 is provided, thereby giving six months additional safety data.</w:t>
      </w:r>
      <w:r w:rsidR="00FA374D">
        <w:t xml:space="preserve"> </w:t>
      </w:r>
    </w:p>
    <w:p w:rsidR="00C33C85" w:rsidRPr="00C33C85" w:rsidRDefault="00C33C85" w:rsidP="00363CD3">
      <w:r w:rsidRPr="00C33C85">
        <w:t>As of the data cut-off date</w:t>
      </w:r>
      <w:r w:rsidR="00C229D3">
        <w:t xml:space="preserve"> of </w:t>
      </w:r>
      <w:r w:rsidRPr="00C33C85">
        <w:t>26</w:t>
      </w:r>
      <w:r w:rsidRPr="00C33C85">
        <w:rPr>
          <w:vertAlign w:val="superscript"/>
        </w:rPr>
        <w:t>th</w:t>
      </w:r>
      <w:r w:rsidRPr="00C33C85">
        <w:t xml:space="preserve"> May 2011</w:t>
      </w:r>
      <w:r w:rsidR="00C229D3">
        <w:t>,</w:t>
      </w:r>
      <w:r w:rsidRPr="00C33C85">
        <w:t xml:space="preserve"> of the 104 patients originally enrolled, 37 patients </w:t>
      </w:r>
      <w:r w:rsidR="00C229D3">
        <w:t>(</w:t>
      </w:r>
      <w:r w:rsidRPr="00C33C85">
        <w:t>35.6%</w:t>
      </w:r>
      <w:r w:rsidR="00C229D3">
        <w:t>)</w:t>
      </w:r>
      <w:r w:rsidRPr="00C33C85">
        <w:t xml:space="preserve"> were still in the study period undergoing protocol specified assessments and 45 patients </w:t>
      </w:r>
      <w:r w:rsidR="00C229D3">
        <w:t>(</w:t>
      </w:r>
      <w:r w:rsidRPr="00C33C85">
        <w:t>43.3%</w:t>
      </w:r>
      <w:r w:rsidR="00C229D3">
        <w:t>)</w:t>
      </w:r>
      <w:r w:rsidRPr="00C33C85">
        <w:t xml:space="preserve"> h</w:t>
      </w:r>
      <w:r w:rsidR="00C229D3">
        <w:t xml:space="preserve">ad entered survival follow up. </w:t>
      </w:r>
      <w:r w:rsidRPr="00C33C85">
        <w:t xml:space="preserve">An additional </w:t>
      </w:r>
      <w:r w:rsidR="001C66AA">
        <w:t>8</w:t>
      </w:r>
      <w:r w:rsidRPr="00C33C85">
        <w:t xml:space="preserve"> patients had discontinued therapy because of disease progression and an additional </w:t>
      </w:r>
      <w:r w:rsidR="001C66AA">
        <w:t>4</w:t>
      </w:r>
      <w:r w:rsidRPr="00C33C85">
        <w:t xml:space="preserve"> patients, one in the metastatic BCC cohort and </w:t>
      </w:r>
      <w:r w:rsidR="001C66AA">
        <w:t>3</w:t>
      </w:r>
      <w:r w:rsidRPr="00C33C85">
        <w:t xml:space="preserve"> in the locally advanced cohort</w:t>
      </w:r>
      <w:r w:rsidR="00C229D3">
        <w:t>,</w:t>
      </w:r>
      <w:r w:rsidRPr="00C33C85">
        <w:t xml:space="preserve"> discontinued study </w:t>
      </w:r>
      <w:r w:rsidR="00C229D3">
        <w:t xml:space="preserve">drug because of </w:t>
      </w:r>
      <w:r w:rsidR="00861424">
        <w:t>AE</w:t>
      </w:r>
      <w:r w:rsidR="001C66AA">
        <w:t>s</w:t>
      </w:r>
      <w:r w:rsidR="00C229D3">
        <w:t xml:space="preserve">. </w:t>
      </w:r>
      <w:r w:rsidRPr="00C33C85">
        <w:t xml:space="preserve">These </w:t>
      </w:r>
      <w:r w:rsidR="00861424">
        <w:t>AE</w:t>
      </w:r>
      <w:r w:rsidRPr="00C33C85">
        <w:t>s included weight decrease, muscle spasms,</w:t>
      </w:r>
      <w:r w:rsidR="00C229D3">
        <w:t xml:space="preserve"> </w:t>
      </w:r>
      <w:proofErr w:type="spellStart"/>
      <w:r w:rsidR="00C229D3">
        <w:t>osteomyelitis</w:t>
      </w:r>
      <w:proofErr w:type="spellEnd"/>
      <w:r w:rsidR="00C229D3">
        <w:t xml:space="preserve"> and depression. </w:t>
      </w:r>
      <w:r w:rsidRPr="00C33C85">
        <w:t xml:space="preserve">An additional </w:t>
      </w:r>
      <w:r w:rsidR="001C66AA">
        <w:t>2</w:t>
      </w:r>
      <w:r w:rsidRPr="00C33C85">
        <w:t xml:space="preserve"> patients decided to discontinue tre</w:t>
      </w:r>
      <w:r w:rsidR="00C229D3">
        <w:t>atment, one in each cohort.</w:t>
      </w:r>
      <w:r w:rsidR="00FA374D">
        <w:t xml:space="preserve"> </w:t>
      </w:r>
    </w:p>
    <w:p w:rsidR="00C33C85" w:rsidRPr="00C33C85" w:rsidRDefault="009D7EF0" w:rsidP="00363CD3">
      <w:r>
        <w:t>Other r</w:t>
      </w:r>
      <w:r w:rsidR="00C33C85" w:rsidRPr="00C33C85">
        <w:t xml:space="preserve">elevant results </w:t>
      </w:r>
      <w:r>
        <w:t xml:space="preserve">from the safety update </w:t>
      </w:r>
      <w:r w:rsidR="00C33C85" w:rsidRPr="00C33C85">
        <w:t>included:</w:t>
      </w:r>
    </w:p>
    <w:p w:rsidR="00C33C85" w:rsidRPr="00363CD3" w:rsidRDefault="001C66AA" w:rsidP="00363CD3">
      <w:pPr>
        <w:pStyle w:val="ListBullet"/>
      </w:pPr>
      <w:r w:rsidRPr="00363CD3">
        <w:t>T</w:t>
      </w:r>
      <w:r w:rsidR="00C33C85" w:rsidRPr="00363CD3">
        <w:t xml:space="preserve">he median </w:t>
      </w:r>
      <w:proofErr w:type="spellStart"/>
      <w:r w:rsidR="00C33C85" w:rsidRPr="00363CD3">
        <w:t>vismodegib</w:t>
      </w:r>
      <w:proofErr w:type="spellEnd"/>
      <w:r w:rsidR="00C33C85" w:rsidRPr="00363CD3">
        <w:t xml:space="preserve"> dosing intensity was similar between the two reporting periods</w:t>
      </w:r>
      <w:r w:rsidR="000365A6" w:rsidRPr="00363CD3">
        <w:t xml:space="preserve"> (</w:t>
      </w:r>
      <w:r w:rsidR="00C33C85" w:rsidRPr="00363CD3">
        <w:t>98.4% for the initial data cut-off and 98.6% for the update</w:t>
      </w:r>
      <w:r w:rsidR="000365A6" w:rsidRPr="00363CD3">
        <w:t xml:space="preserve">). </w:t>
      </w:r>
      <w:r w:rsidR="00C33C85" w:rsidRPr="00363CD3">
        <w:t>The median time on study treatment increased from 9.8 months to 12.9 months.</w:t>
      </w:r>
      <w:r w:rsidR="00FA374D" w:rsidRPr="00363CD3">
        <w:t xml:space="preserve"> </w:t>
      </w:r>
    </w:p>
    <w:p w:rsidR="00C33C85" w:rsidRPr="00363CD3" w:rsidRDefault="00C33C85" w:rsidP="00363CD3">
      <w:pPr>
        <w:pStyle w:val="ListBullet"/>
      </w:pPr>
      <w:r w:rsidRPr="00363CD3">
        <w:t xml:space="preserve">The </w:t>
      </w:r>
      <w:r w:rsidR="00861424" w:rsidRPr="00363CD3">
        <w:t xml:space="preserve">AE </w:t>
      </w:r>
      <w:r w:rsidRPr="00363CD3">
        <w:t>profile</w:t>
      </w:r>
      <w:r w:rsidR="000365A6" w:rsidRPr="00363CD3">
        <w:t>s</w:t>
      </w:r>
      <w:r w:rsidRPr="00363CD3">
        <w:t xml:space="preserve"> for the safety update were consistent between the two reporting periods</w:t>
      </w:r>
      <w:r w:rsidR="000365A6" w:rsidRPr="00363CD3">
        <w:t>,</w:t>
      </w:r>
      <w:r w:rsidRPr="00363CD3">
        <w:t xml:space="preserve"> with most frequently reported </w:t>
      </w:r>
      <w:r w:rsidR="00861424" w:rsidRPr="00363CD3">
        <w:t>AE</w:t>
      </w:r>
      <w:r w:rsidRPr="00363CD3">
        <w:t xml:space="preserve">s still being muscle spasms </w:t>
      </w:r>
      <w:r w:rsidR="000365A6" w:rsidRPr="00363CD3">
        <w:t>(</w:t>
      </w:r>
      <w:r w:rsidRPr="00363CD3">
        <w:t>70%</w:t>
      </w:r>
      <w:r w:rsidR="000365A6" w:rsidRPr="00363CD3">
        <w:t>)</w:t>
      </w:r>
      <w:r w:rsidRPr="00363CD3">
        <w:t xml:space="preserve">, alopecia </w:t>
      </w:r>
      <w:r w:rsidR="000365A6" w:rsidRPr="00363CD3">
        <w:t>(</w:t>
      </w:r>
      <w:r w:rsidRPr="00363CD3">
        <w:t>64%</w:t>
      </w:r>
      <w:r w:rsidR="000365A6" w:rsidRPr="00363CD3">
        <w:t>)</w:t>
      </w:r>
      <w:r w:rsidRPr="00363CD3">
        <w:t xml:space="preserve">, </w:t>
      </w:r>
      <w:proofErr w:type="spellStart"/>
      <w:r w:rsidRPr="00363CD3">
        <w:t>dysgeusia</w:t>
      </w:r>
      <w:proofErr w:type="spellEnd"/>
      <w:r w:rsidRPr="00363CD3">
        <w:t xml:space="preserve"> </w:t>
      </w:r>
      <w:r w:rsidR="000365A6" w:rsidRPr="00363CD3">
        <w:t>(</w:t>
      </w:r>
      <w:r w:rsidRPr="00363CD3">
        <w:t>53%</w:t>
      </w:r>
      <w:r w:rsidR="000365A6" w:rsidRPr="00363CD3">
        <w:t>)</w:t>
      </w:r>
      <w:r w:rsidRPr="00363CD3">
        <w:t xml:space="preserve">, decreased weight </w:t>
      </w:r>
      <w:r w:rsidR="000365A6" w:rsidRPr="00363CD3">
        <w:t>(</w:t>
      </w:r>
      <w:r w:rsidRPr="00363CD3">
        <w:t>50%</w:t>
      </w:r>
      <w:r w:rsidR="000365A6" w:rsidRPr="00363CD3">
        <w:t>)</w:t>
      </w:r>
      <w:r w:rsidRPr="00363CD3">
        <w:t xml:space="preserve">, fatigue </w:t>
      </w:r>
      <w:r w:rsidR="000365A6" w:rsidRPr="00363CD3">
        <w:t>(</w:t>
      </w:r>
      <w:r w:rsidRPr="00363CD3">
        <w:t>39%</w:t>
      </w:r>
      <w:r w:rsidR="000365A6" w:rsidRPr="00363CD3">
        <w:t>)</w:t>
      </w:r>
      <w:r w:rsidRPr="00363CD3">
        <w:t xml:space="preserve">, nausea </w:t>
      </w:r>
      <w:r w:rsidR="000365A6" w:rsidRPr="00363CD3">
        <w:t>(</w:t>
      </w:r>
      <w:r w:rsidRPr="00363CD3">
        <w:t>33%</w:t>
      </w:r>
      <w:r w:rsidR="000365A6" w:rsidRPr="00363CD3">
        <w:t>)</w:t>
      </w:r>
      <w:r w:rsidRPr="00363CD3">
        <w:t xml:space="preserve"> and amenorrhea </w:t>
      </w:r>
      <w:r w:rsidR="000365A6" w:rsidRPr="00363CD3">
        <w:t>(</w:t>
      </w:r>
      <w:r w:rsidRPr="00363CD3">
        <w:t>33%</w:t>
      </w:r>
      <w:r w:rsidR="000365A6" w:rsidRPr="00363CD3">
        <w:t>)</w:t>
      </w:r>
      <w:r w:rsidRPr="00363CD3">
        <w:t>.</w:t>
      </w:r>
      <w:r w:rsidR="00FA374D" w:rsidRPr="00363CD3">
        <w:t xml:space="preserve"> </w:t>
      </w:r>
    </w:p>
    <w:p w:rsidR="00C33C85" w:rsidRPr="00363CD3" w:rsidRDefault="00C33C85" w:rsidP="00363CD3">
      <w:pPr>
        <w:pStyle w:val="ListBullet"/>
      </w:pPr>
      <w:r w:rsidRPr="00363CD3">
        <w:t xml:space="preserve">The </w:t>
      </w:r>
      <w:r w:rsidR="000365A6" w:rsidRPr="00363CD3">
        <w:t>G</w:t>
      </w:r>
      <w:r w:rsidRPr="00363CD3">
        <w:t xml:space="preserve">rade III-V </w:t>
      </w:r>
      <w:r w:rsidR="00861424" w:rsidRPr="00363CD3">
        <w:t xml:space="preserve">AE </w:t>
      </w:r>
      <w:r w:rsidRPr="00363CD3">
        <w:t>profile for the update was consistent</w:t>
      </w:r>
      <w:r w:rsidR="000F5F52" w:rsidRPr="00363CD3">
        <w:t>,</w:t>
      </w:r>
      <w:r w:rsidRPr="00363CD3">
        <w:t xml:space="preserve"> with 50 patients </w:t>
      </w:r>
      <w:r w:rsidR="000365A6" w:rsidRPr="00363CD3">
        <w:t>(</w:t>
      </w:r>
      <w:r w:rsidRPr="00363CD3">
        <w:t>48.1%</w:t>
      </w:r>
      <w:r w:rsidR="000365A6" w:rsidRPr="00363CD3">
        <w:t>)</w:t>
      </w:r>
      <w:r w:rsidRPr="00363CD3">
        <w:t xml:space="preserve"> reporting </w:t>
      </w:r>
      <w:r w:rsidR="000365A6" w:rsidRPr="00363CD3">
        <w:t xml:space="preserve">Grade </w:t>
      </w:r>
      <w:r w:rsidRPr="00363CD3">
        <w:t xml:space="preserve">III-V </w:t>
      </w:r>
      <w:r w:rsidR="00861424" w:rsidRPr="00363CD3">
        <w:t>AE</w:t>
      </w:r>
      <w:r w:rsidRPr="00363CD3">
        <w:t xml:space="preserve">s compared to </w:t>
      </w:r>
      <w:r w:rsidR="000365A6" w:rsidRPr="00363CD3">
        <w:t xml:space="preserve">44 patients (42.3%) reporting these in </w:t>
      </w:r>
      <w:r w:rsidRPr="00363CD3">
        <w:t>the initial data cut-off</w:t>
      </w:r>
      <w:r w:rsidR="000365A6" w:rsidRPr="00363CD3">
        <w:t xml:space="preserve">. </w:t>
      </w:r>
      <w:r w:rsidRPr="00363CD3">
        <w:t xml:space="preserve">The most common </w:t>
      </w:r>
      <w:r w:rsidR="000365A6" w:rsidRPr="00363CD3">
        <w:t>G</w:t>
      </w:r>
      <w:r w:rsidRPr="00363CD3">
        <w:t xml:space="preserve">rade III-V </w:t>
      </w:r>
      <w:r w:rsidR="00861424" w:rsidRPr="00363CD3">
        <w:t>AE</w:t>
      </w:r>
      <w:r w:rsidRPr="00363CD3">
        <w:t xml:space="preserve">s included decreased weight and muscle spasms </w:t>
      </w:r>
      <w:r w:rsidR="000365A6" w:rsidRPr="00363CD3">
        <w:t>(</w:t>
      </w:r>
      <w:r w:rsidRPr="00363CD3">
        <w:t>each 5.8%</w:t>
      </w:r>
      <w:r w:rsidR="000365A6" w:rsidRPr="00363CD3">
        <w:t>)</w:t>
      </w:r>
      <w:r w:rsidRPr="00363CD3">
        <w:t xml:space="preserve"> and fatigue </w:t>
      </w:r>
      <w:r w:rsidR="000365A6" w:rsidRPr="00363CD3">
        <w:t>(</w:t>
      </w:r>
      <w:r w:rsidRPr="00363CD3">
        <w:t>4.8%</w:t>
      </w:r>
      <w:r w:rsidR="000365A6" w:rsidRPr="00363CD3">
        <w:t>)</w:t>
      </w:r>
      <w:r w:rsidRPr="00363CD3">
        <w:t>.</w:t>
      </w:r>
      <w:r w:rsidR="000365A6" w:rsidRPr="00363CD3">
        <w:t xml:space="preserve"> There were no additional G</w:t>
      </w:r>
      <w:r w:rsidRPr="00363CD3">
        <w:t xml:space="preserve">rade V </w:t>
      </w:r>
      <w:r w:rsidR="00861424" w:rsidRPr="00363CD3">
        <w:t>AE</w:t>
      </w:r>
      <w:r w:rsidRPr="00363CD3">
        <w:t xml:space="preserve">s reported in the update. New </w:t>
      </w:r>
      <w:r w:rsidR="000365A6" w:rsidRPr="00363CD3">
        <w:t>G</w:t>
      </w:r>
      <w:r w:rsidRPr="00363CD3">
        <w:t xml:space="preserve">rade III-IV </w:t>
      </w:r>
      <w:r w:rsidR="00861424" w:rsidRPr="00363CD3">
        <w:t>AE</w:t>
      </w:r>
      <w:r w:rsidRPr="00363CD3">
        <w:t>s occurring in two or more patients included weight decrease, muscle spasms and syncope.</w:t>
      </w:r>
      <w:r w:rsidR="00FA374D" w:rsidRPr="00363CD3">
        <w:t xml:space="preserve"> </w:t>
      </w:r>
    </w:p>
    <w:p w:rsidR="00C33C85" w:rsidRPr="00363CD3" w:rsidRDefault="00C33C85" w:rsidP="00363CD3">
      <w:pPr>
        <w:pStyle w:val="ListBullet"/>
      </w:pPr>
      <w:r w:rsidRPr="00363CD3">
        <w:t>Five additional deaths had occurred</w:t>
      </w:r>
      <w:r w:rsidR="000365A6" w:rsidRPr="00363CD3">
        <w:t>,</w:t>
      </w:r>
      <w:r w:rsidRPr="00363CD3">
        <w:t xml:space="preserve"> all due to disease progre</w:t>
      </w:r>
      <w:r w:rsidR="000365A6" w:rsidRPr="00363CD3">
        <w:t xml:space="preserve">ssion and one due to melanoma. </w:t>
      </w:r>
      <w:r w:rsidRPr="00363CD3">
        <w:t xml:space="preserve">Nine patients experienced 15 new </w:t>
      </w:r>
      <w:r w:rsidR="000F5F52" w:rsidRPr="00363CD3">
        <w:t>S</w:t>
      </w:r>
      <w:r w:rsidR="00861424" w:rsidRPr="00363CD3">
        <w:t>AE</w:t>
      </w:r>
      <w:r w:rsidRPr="00363CD3">
        <w:t xml:space="preserve">s, six of which were considered related to </w:t>
      </w:r>
      <w:proofErr w:type="spellStart"/>
      <w:r w:rsidRPr="00363CD3">
        <w:t>vismodegib</w:t>
      </w:r>
      <w:proofErr w:type="spellEnd"/>
      <w:r w:rsidRPr="00363CD3">
        <w:t xml:space="preserve"> in four patients</w:t>
      </w:r>
      <w:r w:rsidR="000365A6" w:rsidRPr="00363CD3">
        <w:t>. These included</w:t>
      </w:r>
      <w:r w:rsidRPr="00363CD3">
        <w:t xml:space="preserve"> one p</w:t>
      </w:r>
      <w:r w:rsidR="000365A6" w:rsidRPr="00363CD3">
        <w:t>atient with asthenia, pneumonia and</w:t>
      </w:r>
      <w:r w:rsidRPr="00363CD3">
        <w:t xml:space="preserve"> syncope, another with </w:t>
      </w:r>
      <w:proofErr w:type="spellStart"/>
      <w:r w:rsidRPr="00363CD3">
        <w:t>osteomyelitis</w:t>
      </w:r>
      <w:proofErr w:type="spellEnd"/>
      <w:r w:rsidR="000365A6" w:rsidRPr="00363CD3">
        <w:t>,</w:t>
      </w:r>
      <w:r w:rsidRPr="00363CD3">
        <w:t xml:space="preserve"> another </w:t>
      </w:r>
      <w:r w:rsidR="000365A6" w:rsidRPr="00363CD3">
        <w:t xml:space="preserve">with </w:t>
      </w:r>
      <w:r w:rsidRPr="00363CD3">
        <w:t xml:space="preserve">syncope and another </w:t>
      </w:r>
      <w:r w:rsidR="000365A6" w:rsidRPr="00363CD3">
        <w:t xml:space="preserve">with cerebral haemorrhage. </w:t>
      </w:r>
      <w:r w:rsidRPr="00363CD3">
        <w:t xml:space="preserve">The </w:t>
      </w:r>
      <w:r w:rsidR="00861424" w:rsidRPr="00363CD3">
        <w:t>SAE</w:t>
      </w:r>
      <w:r w:rsidRPr="00363CD3">
        <w:t>s were generally consistent with the previous data cut-off.</w:t>
      </w:r>
      <w:r w:rsidR="00FA374D" w:rsidRPr="00363CD3">
        <w:t xml:space="preserve"> </w:t>
      </w:r>
    </w:p>
    <w:p w:rsidR="00C33C85" w:rsidRPr="00363CD3" w:rsidRDefault="00C33C85" w:rsidP="00363CD3">
      <w:pPr>
        <w:pStyle w:val="ListBullet"/>
      </w:pPr>
      <w:r w:rsidRPr="00363CD3">
        <w:t xml:space="preserve">For the update, </w:t>
      </w:r>
      <w:r w:rsidR="000F5F52" w:rsidRPr="00363CD3">
        <w:t>4</w:t>
      </w:r>
      <w:r w:rsidRPr="00363CD3">
        <w:t xml:space="preserve"> new </w:t>
      </w:r>
      <w:r w:rsidR="00861424" w:rsidRPr="00363CD3">
        <w:t>AE</w:t>
      </w:r>
      <w:r w:rsidRPr="00363CD3">
        <w:t>s had led to treatment discontinuation</w:t>
      </w:r>
      <w:r w:rsidR="000365A6" w:rsidRPr="00363CD3">
        <w:t>,</w:t>
      </w:r>
      <w:r w:rsidRPr="00363CD3">
        <w:t xml:space="preserve"> including decreased weight, muscle spasms,</w:t>
      </w:r>
      <w:r w:rsidR="000365A6" w:rsidRPr="00363CD3">
        <w:t xml:space="preserve"> depression and </w:t>
      </w:r>
      <w:proofErr w:type="spellStart"/>
      <w:r w:rsidR="000365A6" w:rsidRPr="00363CD3">
        <w:t>osteomyelitis</w:t>
      </w:r>
      <w:proofErr w:type="spellEnd"/>
      <w:r w:rsidR="000365A6" w:rsidRPr="00363CD3">
        <w:t xml:space="preserve">. </w:t>
      </w:r>
      <w:r w:rsidRPr="00363CD3">
        <w:t xml:space="preserve">Three of these were in the locally advanced cohort and one in the metastatic cohort. </w:t>
      </w:r>
    </w:p>
    <w:p w:rsidR="00C33C85" w:rsidRPr="00C33C85" w:rsidRDefault="00C33C85" w:rsidP="00363CD3">
      <w:r w:rsidRPr="00C33C85">
        <w:t>Overall the safety update did not pr</w:t>
      </w:r>
      <w:r w:rsidR="000365A6">
        <w:t xml:space="preserve">ovide any new safety signals. </w:t>
      </w:r>
    </w:p>
    <w:p w:rsidR="00C33C85" w:rsidRPr="00C33C85" w:rsidRDefault="0085040C" w:rsidP="00363CD3">
      <w:pPr>
        <w:pStyle w:val="Heading4"/>
      </w:pPr>
      <w:r>
        <w:t xml:space="preserve">Evaluator’s overall </w:t>
      </w:r>
      <w:r w:rsidR="00C33C85" w:rsidRPr="00C33C85">
        <w:t xml:space="preserve">conclusions </w:t>
      </w:r>
      <w:r>
        <w:t>on safety</w:t>
      </w:r>
      <w:r w:rsidR="00C33C85" w:rsidRPr="00C33C85">
        <w:t xml:space="preserve"> </w:t>
      </w:r>
    </w:p>
    <w:p w:rsidR="00C33C85" w:rsidRPr="00C33C85" w:rsidRDefault="00C33C85" w:rsidP="00363CD3">
      <w:r w:rsidRPr="00C33C85">
        <w:t>The data presented in this analysis generally indicates th</w:t>
      </w:r>
      <w:r w:rsidR="00B83361">
        <w:t xml:space="preserve">at </w:t>
      </w:r>
      <w:r w:rsidRPr="00C33C85">
        <w:t>vismodegib is well tolerated</w:t>
      </w:r>
      <w:r w:rsidR="000F5F52">
        <w:t>,</w:t>
      </w:r>
      <w:r w:rsidRPr="00C33C85">
        <w:t xml:space="preserve"> with </w:t>
      </w:r>
      <w:r w:rsidR="000F5F52">
        <w:t xml:space="preserve">a </w:t>
      </w:r>
      <w:r w:rsidRPr="00C33C85">
        <w:t>dose intensity median of 98% indicating that patients did not r</w:t>
      </w:r>
      <w:r w:rsidR="00B83361">
        <w:t xml:space="preserve">equire treatment interruption. </w:t>
      </w:r>
      <w:r w:rsidRPr="00C33C85">
        <w:t xml:space="preserve">Among the </w:t>
      </w:r>
      <w:r w:rsidR="00861424">
        <w:t>AE</w:t>
      </w:r>
      <w:r w:rsidRPr="00C33C85">
        <w:t xml:space="preserve">s experienced, 55% experienced only </w:t>
      </w:r>
      <w:r w:rsidR="00B83361">
        <w:t>G</w:t>
      </w:r>
      <w:r w:rsidRPr="00C33C85">
        <w:t xml:space="preserve">rade I or II </w:t>
      </w:r>
      <w:r w:rsidR="00861424">
        <w:t>TEAEs</w:t>
      </w:r>
      <w:r w:rsidR="000F5F52">
        <w:t xml:space="preserve">, the </w:t>
      </w:r>
      <w:r w:rsidRPr="00C33C85">
        <w:t xml:space="preserve">most common being muscle spasms, alopecia, </w:t>
      </w:r>
      <w:proofErr w:type="spellStart"/>
      <w:r w:rsidRPr="00C33C85">
        <w:t>dysgeusia</w:t>
      </w:r>
      <w:proofErr w:type="spellEnd"/>
      <w:r w:rsidRPr="00C33C85">
        <w:t>, we</w:t>
      </w:r>
      <w:r w:rsidR="00B83361">
        <w:t xml:space="preserve">ight loss, fatigue and nausea. </w:t>
      </w:r>
      <w:r w:rsidRPr="00C33C85">
        <w:t>It is noteworthy that in women of childbearing potential amenorrhea wa</w:t>
      </w:r>
      <w:r w:rsidR="00B83361">
        <w:t xml:space="preserve">s observed in 30% of patients. </w:t>
      </w:r>
      <w:r w:rsidRPr="00C33C85">
        <w:t xml:space="preserve">All individual </w:t>
      </w:r>
      <w:r w:rsidR="00861424">
        <w:t>AE</w:t>
      </w:r>
      <w:r w:rsidRPr="00C33C85">
        <w:t xml:space="preserve">s of </w:t>
      </w:r>
      <w:r w:rsidR="000F5F52">
        <w:t xml:space="preserve">≥ </w:t>
      </w:r>
      <w:r w:rsidR="00B83361">
        <w:t>G</w:t>
      </w:r>
      <w:r w:rsidRPr="00C33C85">
        <w:t xml:space="preserve">rade III </w:t>
      </w:r>
      <w:r w:rsidR="000F5F52">
        <w:t xml:space="preserve">severity </w:t>
      </w:r>
      <w:r w:rsidRPr="00C33C85">
        <w:t>occurred in &lt;10% of patients.</w:t>
      </w:r>
      <w:r w:rsidR="00FA374D">
        <w:t xml:space="preserve"> </w:t>
      </w:r>
    </w:p>
    <w:p w:rsidR="00C33C85" w:rsidRPr="00C33C85" w:rsidRDefault="00C33C85" w:rsidP="00363CD3">
      <w:r w:rsidRPr="00C33C85">
        <w:t xml:space="preserve">A total of 26.1% of patients in the pooled safety population experienced a treatment emergent </w:t>
      </w:r>
      <w:r w:rsidR="00861424">
        <w:t>SAE</w:t>
      </w:r>
      <w:r w:rsidR="000F5F52">
        <w:t>,</w:t>
      </w:r>
      <w:r w:rsidR="00861424">
        <w:t xml:space="preserve"> </w:t>
      </w:r>
      <w:r w:rsidRPr="00C33C85">
        <w:t xml:space="preserve">including death in </w:t>
      </w:r>
      <w:r w:rsidR="000F5F52">
        <w:t>3 patients</w:t>
      </w:r>
      <w:r w:rsidRPr="00C33C85">
        <w:t xml:space="preserve">, pneumonia in </w:t>
      </w:r>
      <w:r w:rsidR="000F5F52">
        <w:t>3</w:t>
      </w:r>
      <w:r w:rsidRPr="00C33C85">
        <w:t xml:space="preserve">, cardiac failure in </w:t>
      </w:r>
      <w:r w:rsidR="000F5F52">
        <w:t>2</w:t>
      </w:r>
      <w:r w:rsidRPr="00C33C85">
        <w:t xml:space="preserve">, gastrointestinal haemorrhage in </w:t>
      </w:r>
      <w:r w:rsidR="000F5F52">
        <w:t>2</w:t>
      </w:r>
      <w:r w:rsidRPr="00C33C85">
        <w:t xml:space="preserve">, pulmonary embolism </w:t>
      </w:r>
      <w:r w:rsidR="000F5F52">
        <w:t xml:space="preserve">(PE) </w:t>
      </w:r>
      <w:r w:rsidRPr="00C33C85">
        <w:t xml:space="preserve">in </w:t>
      </w:r>
      <w:r w:rsidR="000F5F52">
        <w:t>2</w:t>
      </w:r>
      <w:r w:rsidRPr="00C33C85">
        <w:t xml:space="preserve">, deep vein thrombosis </w:t>
      </w:r>
      <w:r w:rsidR="000F5F52">
        <w:t xml:space="preserve">(DVT) </w:t>
      </w:r>
      <w:r w:rsidRPr="00C33C85">
        <w:t xml:space="preserve">in </w:t>
      </w:r>
      <w:r w:rsidR="000F5F52">
        <w:t xml:space="preserve">2 </w:t>
      </w:r>
      <w:r w:rsidRPr="00C33C85">
        <w:t xml:space="preserve">and haemorrhage in two. Among the total of 17 deaths which occurred, eight were attributed to </w:t>
      </w:r>
      <w:r w:rsidR="00861424">
        <w:t>TEAEs</w:t>
      </w:r>
      <w:r w:rsidR="00B83361">
        <w:t xml:space="preserve">. </w:t>
      </w:r>
      <w:r w:rsidRPr="00C33C85">
        <w:t>The analysis of these deaths indicates that all the patients had significant co-morbidities and pre-existing risk factors.</w:t>
      </w:r>
      <w:r w:rsidR="00FA374D">
        <w:t xml:space="preserve"> </w:t>
      </w:r>
    </w:p>
    <w:p w:rsidR="008E7846" w:rsidRDefault="00C33C85" w:rsidP="00363CD3">
      <w:r w:rsidRPr="00C33C85">
        <w:t>It is appropriate therefore to conclude that vismodegib has an acceptable safety profile which can generally be managed by relevant preventive or interventional medication and occa</w:t>
      </w:r>
      <w:r w:rsidR="00D21EB2">
        <w:t xml:space="preserve">sional treatment interruption. </w:t>
      </w:r>
      <w:r w:rsidRPr="00C33C85">
        <w:t>It is worth noting that in the study in patients with metastatic colorectal cancer where vismodegib was administered in combination with chemotherapy</w:t>
      </w:r>
      <w:r w:rsidR="000F5F52">
        <w:t>,</w:t>
      </w:r>
      <w:r w:rsidRPr="00C33C85">
        <w:t xml:space="preserve"> the incidence of neutropenia was somewhat higher than that</w:t>
      </w:r>
      <w:r w:rsidR="00D21EB2">
        <w:t xml:space="preserve"> observed in those on placebo. </w:t>
      </w:r>
      <w:r w:rsidRPr="00C33C85">
        <w:t>While there is no definite dat</w:t>
      </w:r>
      <w:r w:rsidR="00D21EB2">
        <w:t>a to indicate drug interaction e</w:t>
      </w:r>
      <w:r w:rsidRPr="00C33C85">
        <w:t>ffects</w:t>
      </w:r>
      <w:r w:rsidR="000F5F52">
        <w:t>,</w:t>
      </w:r>
      <w:r w:rsidRPr="00C33C85">
        <w:t xml:space="preserve"> it would be appropriate in the future to assess potential for vismodegib to influence chemotherapy induced </w:t>
      </w:r>
      <w:proofErr w:type="spellStart"/>
      <w:r w:rsidRPr="00C33C85">
        <w:t>myelosuppression</w:t>
      </w:r>
      <w:proofErr w:type="spellEnd"/>
      <w:r w:rsidRPr="00C33C85">
        <w:t xml:space="preserve">. </w:t>
      </w:r>
      <w:bookmarkStart w:id="107" w:name="_Toc163441387"/>
      <w:bookmarkEnd w:id="104"/>
      <w:bookmarkEnd w:id="105"/>
      <w:bookmarkEnd w:id="106"/>
    </w:p>
    <w:p w:rsidR="00C33C85" w:rsidRDefault="00C33C85" w:rsidP="00363CD3">
      <w:pPr>
        <w:pStyle w:val="Heading3"/>
        <w:rPr>
          <w:rFonts w:eastAsia="Cambria"/>
        </w:rPr>
      </w:pPr>
      <w:bookmarkStart w:id="108" w:name="_Toc363557273"/>
      <w:bookmarkStart w:id="109" w:name="_Toc196046504"/>
      <w:bookmarkStart w:id="110" w:name="_Toc163441390"/>
      <w:bookmarkStart w:id="111" w:name="_Toc370129100"/>
      <w:bookmarkEnd w:id="107"/>
      <w:r w:rsidRPr="00C33C85">
        <w:rPr>
          <w:rFonts w:eastAsia="Cambria"/>
        </w:rPr>
        <w:t>First round benefit-risk assessment</w:t>
      </w:r>
      <w:bookmarkEnd w:id="108"/>
      <w:bookmarkEnd w:id="111"/>
    </w:p>
    <w:p w:rsidR="0085040C" w:rsidRPr="0085040C" w:rsidRDefault="0085040C" w:rsidP="00363CD3">
      <w:pPr>
        <w:pStyle w:val="Heading4"/>
      </w:pPr>
      <w:r>
        <w:t>First round assessment of benefits</w:t>
      </w:r>
    </w:p>
    <w:p w:rsidR="00C33C85" w:rsidRPr="00C33C85" w:rsidRDefault="00C33C85" w:rsidP="00363CD3">
      <w:r w:rsidRPr="00C33C85">
        <w:t>Treatment options available for patients with advanced stage BCC</w:t>
      </w:r>
      <w:r w:rsidR="00C411C4">
        <w:t>,</w:t>
      </w:r>
      <w:r w:rsidRPr="00C33C85">
        <w:t xml:space="preserve"> either locally advan</w:t>
      </w:r>
      <w:r w:rsidR="00D21EB2">
        <w:t>ced or metastatic</w:t>
      </w:r>
      <w:r w:rsidR="00C411C4">
        <w:t>,</w:t>
      </w:r>
      <w:r w:rsidR="00D21EB2">
        <w:t xml:space="preserve"> are limited. </w:t>
      </w:r>
      <w:r w:rsidRPr="00C33C85">
        <w:t>Once surgery and radiotherapy have either failed or are inappropriate</w:t>
      </w:r>
      <w:r w:rsidR="00C411C4">
        <w:t>,</w:t>
      </w:r>
      <w:r w:rsidRPr="00C33C85">
        <w:t xml:space="preserve"> then available systemic therapies have not demonstrated worthwhile outcomes</w:t>
      </w:r>
      <w:r w:rsidR="00D21EB2">
        <w:t xml:space="preserve">. </w:t>
      </w:r>
      <w:r w:rsidRPr="00C33C85">
        <w:t>Accordingly</w:t>
      </w:r>
      <w:r w:rsidR="00D21EB2">
        <w:t>, the</w:t>
      </w:r>
      <w:r w:rsidRPr="00C33C85">
        <w:t xml:space="preserve"> introduction of a new agent with significant potential for clinical benefit is welcome.</w:t>
      </w:r>
      <w:r w:rsidR="00FA374D">
        <w:t xml:space="preserve"> </w:t>
      </w:r>
    </w:p>
    <w:p w:rsidR="00D21EB2" w:rsidRDefault="0085040C" w:rsidP="00363CD3">
      <w:r>
        <w:t>V</w:t>
      </w:r>
      <w:r w:rsidR="00C33C85" w:rsidRPr="00C33C85">
        <w:t>ismodegib represents a first in-class</w:t>
      </w:r>
      <w:r w:rsidR="00D21EB2">
        <w:t>,</w:t>
      </w:r>
      <w:r w:rsidR="00C33C85" w:rsidRPr="00C33C85">
        <w:t xml:space="preserve"> small molecule inhibitor of the </w:t>
      </w:r>
      <w:proofErr w:type="spellStart"/>
      <w:r w:rsidR="008264CC">
        <w:t>Hh</w:t>
      </w:r>
      <w:proofErr w:type="spellEnd"/>
      <w:r w:rsidR="00C33C85" w:rsidRPr="00C33C85">
        <w:t xml:space="preserve"> signalling pathway which binds to and inhibits the trans-membrane prot</w:t>
      </w:r>
      <w:r w:rsidR="00D21EB2">
        <w:t xml:space="preserve">ein SMO. </w:t>
      </w:r>
      <w:r w:rsidR="00C33C85" w:rsidRPr="00C33C85">
        <w:t>The data presented in this submission</w:t>
      </w:r>
      <w:r w:rsidR="00D21EB2">
        <w:t>,</w:t>
      </w:r>
      <w:r w:rsidR="00C33C85" w:rsidRPr="00C33C85">
        <w:t xml:space="preserve"> in particular that related to the pivotal trial</w:t>
      </w:r>
      <w:r w:rsidR="00D21EB2">
        <w:t>,</w:t>
      </w:r>
      <w:r w:rsidR="00C33C85" w:rsidRPr="00C33C85">
        <w:t xml:space="preserve"> clearly indicates that in terms of disease response for patients with advanced BCC th</w:t>
      </w:r>
      <w:r w:rsidR="00D21EB2">
        <w:t xml:space="preserve">e benefit is apparent. </w:t>
      </w:r>
      <w:r w:rsidR="00C33C85" w:rsidRPr="00C33C85">
        <w:t xml:space="preserve">This is determined by a 30% response rate in patients with metastatic disease and a 43% response rate in patients </w:t>
      </w:r>
      <w:r w:rsidR="00D21EB2">
        <w:t xml:space="preserve">with locally advanced disease. </w:t>
      </w:r>
      <w:r w:rsidR="00C33C85" w:rsidRPr="00C33C85">
        <w:t xml:space="preserve">Perhaps most pertinent was that of the 27 patients who demonstrated response with locally advanced disease, 13 of these proved to be </w:t>
      </w:r>
      <w:r w:rsidR="00D21EB2">
        <w:t xml:space="preserve">in </w:t>
      </w:r>
      <w:r w:rsidR="00C33C85" w:rsidRPr="00C33C85">
        <w:t>complete remissions</w:t>
      </w:r>
      <w:r w:rsidR="00C411C4">
        <w:t>,</w:t>
      </w:r>
      <w:r w:rsidR="00C33C85" w:rsidRPr="00C33C85">
        <w:t xml:space="preserve"> as defined by biopsy confirmation of n</w:t>
      </w:r>
      <w:r w:rsidR="00D21EB2">
        <w:t xml:space="preserve">o evidence of residual tumour. </w:t>
      </w:r>
    </w:p>
    <w:p w:rsidR="00C33C85" w:rsidRPr="00C33C85" w:rsidRDefault="00C33C85" w:rsidP="00363CD3">
      <w:r w:rsidRPr="00C33C85">
        <w:t xml:space="preserve">Durations of response are also encouraging being in excess of </w:t>
      </w:r>
      <w:r w:rsidR="00C411C4">
        <w:t>9</w:t>
      </w:r>
      <w:r w:rsidRPr="00C33C85">
        <w:t xml:space="preserve"> months for both metastatic disease and locally advanced disease. It is also noteworthy that vismodegib can be administered orally at 150</w:t>
      </w:r>
      <w:r w:rsidR="00D21EB2">
        <w:t xml:space="preserve"> </w:t>
      </w:r>
      <w:r w:rsidRPr="00C33C85">
        <w:t>mg per day and evidence does not support a benefit from higher doses.</w:t>
      </w:r>
      <w:r w:rsidR="00FA374D">
        <w:t xml:space="preserve"> </w:t>
      </w:r>
    </w:p>
    <w:p w:rsidR="00C33C85" w:rsidRPr="00C33C85" w:rsidRDefault="00D21EB2" w:rsidP="00363CD3">
      <w:r>
        <w:t>I</w:t>
      </w:r>
      <w:r w:rsidR="00C33C85" w:rsidRPr="00C33C85">
        <w:t>t is recognised that the size of the pivotal trial</w:t>
      </w:r>
      <w:r>
        <w:t>,</w:t>
      </w:r>
      <w:r w:rsidR="00C33C85" w:rsidRPr="00C33C85">
        <w:t xml:space="preserve"> namely 104 patients</w:t>
      </w:r>
      <w:r>
        <w:t>,</w:t>
      </w:r>
      <w:r w:rsidR="00C33C85" w:rsidRPr="00C33C85">
        <w:t xml:space="preserve"> together with supporting data from a further 33 patients does not represent a large cohort for full determination of the </w:t>
      </w:r>
      <w:r>
        <w:t xml:space="preserve">potential benefit of vismodegib. </w:t>
      </w:r>
      <w:r w:rsidR="00C33C85" w:rsidRPr="00C33C85">
        <w:t>Taking into account the relatively uncommon nature of the disease and the inherent difficulties of undertaking a randomised trial</w:t>
      </w:r>
      <w:r w:rsidR="00C411C4">
        <w:t>,</w:t>
      </w:r>
      <w:r w:rsidR="00C33C85" w:rsidRPr="00C33C85">
        <w:t xml:space="preserve"> as well as </w:t>
      </w:r>
      <w:r w:rsidR="00C411C4">
        <w:t>the demonstration of</w:t>
      </w:r>
      <w:r w:rsidR="00C33C85" w:rsidRPr="00C33C85">
        <w:t xml:space="preserve"> a clearly clinically meaningful response rate and in particular evidence of biopsy </w:t>
      </w:r>
      <w:r>
        <w:t>proven complete remissions, the clinical</w:t>
      </w:r>
      <w:r w:rsidR="00C33C85" w:rsidRPr="00C33C85">
        <w:t xml:space="preserve"> evaluator considers that there is adequate evidence to support worthwhile benefit for vismodegib in the treatment of advanced stage BCC in circumstance where no such benefits were</w:t>
      </w:r>
      <w:r>
        <w:t xml:space="preserve"> previously available. </w:t>
      </w:r>
    </w:p>
    <w:p w:rsidR="00C33C85" w:rsidRPr="00C33C85" w:rsidRDefault="00C33C85" w:rsidP="00363CD3">
      <w:pPr>
        <w:pStyle w:val="Heading4"/>
      </w:pPr>
      <w:r w:rsidRPr="00C33C85">
        <w:t>First round assessment of risks</w:t>
      </w:r>
    </w:p>
    <w:p w:rsidR="00C33C85" w:rsidRPr="00C33C85" w:rsidRDefault="00C33C85" w:rsidP="00363CD3">
      <w:r w:rsidRPr="00C33C85">
        <w:t>As of May 2011 more than 450 patients and healthy volunteers have received vismod</w:t>
      </w:r>
      <w:r w:rsidR="00463EA9">
        <w:t>egib in sponsor’s clinical studies</w:t>
      </w:r>
      <w:r w:rsidRPr="00C33C85">
        <w:t xml:space="preserve"> and more than 300 patients hav</w:t>
      </w:r>
      <w:r w:rsidR="00463EA9">
        <w:t xml:space="preserve">e been treated in NCI studies. </w:t>
      </w:r>
      <w:r w:rsidRPr="00C33C85">
        <w:t xml:space="preserve">The safety profile demonstrated from these data indicates that commonly occurring </w:t>
      </w:r>
      <w:r w:rsidR="00861424">
        <w:t>AE</w:t>
      </w:r>
      <w:r w:rsidRPr="00C33C85">
        <w:t xml:space="preserve">s include spasms, </w:t>
      </w:r>
      <w:proofErr w:type="spellStart"/>
      <w:r w:rsidRPr="00C33C85">
        <w:t>dysgeusia</w:t>
      </w:r>
      <w:proofErr w:type="spellEnd"/>
      <w:r w:rsidRPr="00C33C85">
        <w:t>, nausea, weight loss, loss of appetite, fatigue, diarrho</w:t>
      </w:r>
      <w:r w:rsidR="00463EA9">
        <w:t xml:space="preserve">ea, constipation and alopecia. </w:t>
      </w:r>
      <w:r w:rsidRPr="00C33C85">
        <w:t xml:space="preserve">These </w:t>
      </w:r>
      <w:r w:rsidR="00861424">
        <w:t xml:space="preserve">AEs </w:t>
      </w:r>
      <w:r w:rsidRPr="00C33C85">
        <w:t>are mild to moderate in the majority of incidences and are generally managed well by either appropriate medication or tempo</w:t>
      </w:r>
      <w:r w:rsidR="00463EA9">
        <w:t xml:space="preserve">rary interruption of vismodegib. The </w:t>
      </w:r>
      <w:r w:rsidRPr="00C33C85">
        <w:t xml:space="preserve">occurrence of amenorrhea in women of childbearing potential </w:t>
      </w:r>
      <w:r w:rsidR="00463EA9">
        <w:t xml:space="preserve">is noteworthy and </w:t>
      </w:r>
      <w:r w:rsidRPr="00C33C85">
        <w:t>needs to be kept in mind.</w:t>
      </w:r>
      <w:r w:rsidR="00FA374D">
        <w:t xml:space="preserve"> </w:t>
      </w:r>
    </w:p>
    <w:p w:rsidR="00C33C85" w:rsidRPr="00C33C85" w:rsidRDefault="00C33C85" w:rsidP="00363CD3">
      <w:r w:rsidRPr="00C33C85">
        <w:t xml:space="preserve">More severe </w:t>
      </w:r>
      <w:r w:rsidR="00861424">
        <w:t xml:space="preserve">AEs </w:t>
      </w:r>
      <w:r w:rsidRPr="00C33C85">
        <w:t xml:space="preserve">were demonstrated in &lt;30% of patients and generally affected those </w:t>
      </w:r>
      <w:r w:rsidR="00463EA9">
        <w:t xml:space="preserve">which had been outlined above. </w:t>
      </w:r>
      <w:r w:rsidRPr="00C33C85">
        <w:t>The proportion of patients requiring treatment interruption</w:t>
      </w:r>
      <w:r w:rsidR="00463EA9">
        <w:t xml:space="preserve"> was generally relatively low. </w:t>
      </w:r>
      <w:r w:rsidRPr="00C33C85">
        <w:t xml:space="preserve">There were no deaths that could be clearly related to vismodegib </w:t>
      </w:r>
      <w:r w:rsidR="00463EA9">
        <w:t xml:space="preserve">as the principal determinant. </w:t>
      </w:r>
    </w:p>
    <w:p w:rsidR="00C33C85" w:rsidRPr="00C33C85" w:rsidRDefault="00C33C85" w:rsidP="00363CD3">
      <w:r w:rsidRPr="00C33C85">
        <w:t>Accordingly</w:t>
      </w:r>
      <w:r w:rsidR="00463EA9">
        <w:t>,</w:t>
      </w:r>
      <w:r w:rsidRPr="00C33C85">
        <w:t xml:space="preserve"> it would appear that the risk profile for vismodegib is acceptable and generally manageable given the circumstances of relatively long term administration.</w:t>
      </w:r>
      <w:r w:rsidR="00FA374D">
        <w:t xml:space="preserve"> </w:t>
      </w:r>
    </w:p>
    <w:p w:rsidR="00C33C85" w:rsidRPr="00C33C85" w:rsidRDefault="00C33C85" w:rsidP="00363CD3">
      <w:pPr>
        <w:pStyle w:val="Heading4"/>
      </w:pPr>
      <w:r w:rsidRPr="00C33C85">
        <w:t>Fi</w:t>
      </w:r>
      <w:r w:rsidR="00C411C4">
        <w:t>rst round assessment of benefit-</w:t>
      </w:r>
      <w:r w:rsidRPr="00C33C85">
        <w:t xml:space="preserve">risk balance </w:t>
      </w:r>
    </w:p>
    <w:p w:rsidR="00C33C85" w:rsidRPr="00C33C85" w:rsidRDefault="00C33C85" w:rsidP="00363CD3">
      <w:r w:rsidRPr="00C33C85">
        <w:t>As discussed above the data from the pivotal stud</w:t>
      </w:r>
      <w:r w:rsidR="00463EA9">
        <w:t>y together with the supporting P</w:t>
      </w:r>
      <w:r w:rsidRPr="00C33C85">
        <w:t>hase I trial has indicated a level of response for patients with advan</w:t>
      </w:r>
      <w:r w:rsidR="00463EA9">
        <w:t xml:space="preserve">ced stage BCC approaching 50%. </w:t>
      </w:r>
      <w:r w:rsidRPr="00C33C85">
        <w:t>Most pertinently the patients with locally advanced disease who achieved complete response have these proven on biopsy</w:t>
      </w:r>
      <w:r w:rsidR="00463EA9">
        <w:t>,</w:t>
      </w:r>
      <w:r w:rsidRPr="00C33C85">
        <w:t xml:space="preserve"> indicative of a very major regression </w:t>
      </w:r>
      <w:r w:rsidR="00463EA9">
        <w:t xml:space="preserve">of disease in these instances. </w:t>
      </w:r>
      <w:r w:rsidRPr="00C33C85">
        <w:t>The available evidence in regards to duration of response is reasonable in the context of a r</w:t>
      </w:r>
      <w:r w:rsidR="00463EA9">
        <w:t xml:space="preserve">esponse duration of &gt;9 months. </w:t>
      </w:r>
      <w:r w:rsidRPr="00C33C85">
        <w:t>Further data with regards to the durability of response and potential for subsequent operation in patients with locally advanced disease who respond to a major extent but not complete remission would be worthwhile.</w:t>
      </w:r>
      <w:r w:rsidR="00FA374D">
        <w:t xml:space="preserve"> </w:t>
      </w:r>
    </w:p>
    <w:p w:rsidR="00C33C85" w:rsidRPr="00C33C85" w:rsidRDefault="00C33C85" w:rsidP="00363CD3">
      <w:r w:rsidRPr="00C33C85">
        <w:t xml:space="preserve">The risk profile for vismodegib as determined from the submitted studies is generally manageable and not commonly associated with severe </w:t>
      </w:r>
      <w:r w:rsidR="00861424">
        <w:t xml:space="preserve">AEs </w:t>
      </w:r>
      <w:r w:rsidRPr="00C33C85">
        <w:t>r</w:t>
      </w:r>
      <w:r w:rsidR="00463EA9">
        <w:t xml:space="preserve">equiring treatment withdrawal. </w:t>
      </w:r>
      <w:r w:rsidRPr="00C33C85">
        <w:t xml:space="preserve">The majority of </w:t>
      </w:r>
      <w:r w:rsidR="00861424">
        <w:t xml:space="preserve">AEs </w:t>
      </w:r>
      <w:r w:rsidRPr="00C33C85">
        <w:t>encountered were managed by either temporary interruption of treatment or a relevant therapeutic intervention.</w:t>
      </w:r>
      <w:r w:rsidR="00FA374D">
        <w:t xml:space="preserve"> </w:t>
      </w:r>
    </w:p>
    <w:p w:rsidR="00C33C85" w:rsidRDefault="00C33C85" w:rsidP="00363CD3">
      <w:r w:rsidRPr="00C33C85">
        <w:t>Taking these aspects into account</w:t>
      </w:r>
      <w:r w:rsidR="00463EA9">
        <w:t xml:space="preserve"> and</w:t>
      </w:r>
      <w:r w:rsidRPr="00C33C85">
        <w:t xml:space="preserve"> despite the limited extent of data available</w:t>
      </w:r>
      <w:r w:rsidR="00463EA9">
        <w:t xml:space="preserve">, the clinical </w:t>
      </w:r>
      <w:r w:rsidRPr="00C33C85">
        <w:t>evalu</w:t>
      </w:r>
      <w:r w:rsidR="00C411C4">
        <w:t>ator considers that the benefit-</w:t>
      </w:r>
      <w:r w:rsidRPr="00C33C85">
        <w:t xml:space="preserve">risk profile favours the value of vismodegib as an agent of efficacy for the treatment of advanced stage BCCs which has not been available previously. </w:t>
      </w:r>
    </w:p>
    <w:p w:rsidR="00C33C85" w:rsidRPr="00C33C85" w:rsidRDefault="00C33C85" w:rsidP="00363CD3">
      <w:pPr>
        <w:pStyle w:val="Heading3"/>
      </w:pPr>
      <w:bookmarkStart w:id="112" w:name="_Toc363557274"/>
      <w:bookmarkStart w:id="113" w:name="_Toc370129101"/>
      <w:r w:rsidRPr="00C33C85">
        <w:t>First round recommendation regarding authorisation</w:t>
      </w:r>
      <w:bookmarkEnd w:id="112"/>
      <w:bookmarkEnd w:id="113"/>
    </w:p>
    <w:p w:rsidR="00F4121A" w:rsidRDefault="00C33C85" w:rsidP="00363CD3">
      <w:r w:rsidRPr="00C33C85">
        <w:t xml:space="preserve">This </w:t>
      </w:r>
      <w:r w:rsidR="00F4121A">
        <w:t>clinical evaluator</w:t>
      </w:r>
      <w:r w:rsidRPr="00C33C85">
        <w:t xml:space="preserve"> is cognisant </w:t>
      </w:r>
      <w:r w:rsidR="00F4121A">
        <w:t>of the general requirement for P</w:t>
      </w:r>
      <w:r w:rsidRPr="00C33C85">
        <w:t>hase III</w:t>
      </w:r>
      <w:r w:rsidR="00F4121A">
        <w:t>,</w:t>
      </w:r>
      <w:r w:rsidRPr="00C33C85">
        <w:t xml:space="preserve"> randomised trials to act as pivotal determination of potential efficacy for new agents in the treatm</w:t>
      </w:r>
      <w:r w:rsidR="00F4121A">
        <w:t xml:space="preserve">ent of major diseases. </w:t>
      </w:r>
      <w:r w:rsidRPr="00C33C85">
        <w:t>Nevertheless in this instance</w:t>
      </w:r>
      <w:r w:rsidR="005B3EF9">
        <w:t>,</w:t>
      </w:r>
      <w:r w:rsidRPr="00C33C85">
        <w:t xml:space="preserve"> advance stage BCC is a relatively uncommon disease but still carries with it major morb</w:t>
      </w:r>
      <w:r w:rsidR="00F4121A">
        <w:t xml:space="preserve">idity and potential mortality. </w:t>
      </w:r>
      <w:r w:rsidRPr="00C33C85">
        <w:t>Previous systemic therapeutic interventions ha</w:t>
      </w:r>
      <w:r w:rsidR="00F4121A">
        <w:t xml:space="preserve">ve generally been ineffective. </w:t>
      </w:r>
      <w:r w:rsidRPr="00C33C85">
        <w:t>The results from the</w:t>
      </w:r>
      <w:r w:rsidR="00F4121A">
        <w:t xml:space="preserve"> </w:t>
      </w:r>
      <w:r w:rsidRPr="00C33C85">
        <w:t>studies provided in this submission re</w:t>
      </w:r>
      <w:r w:rsidR="00F4121A">
        <w:t>garding</w:t>
      </w:r>
      <w:r w:rsidRPr="00C33C85">
        <w:t xml:space="preserve"> the role of vismodegib </w:t>
      </w:r>
      <w:r w:rsidR="00F4121A">
        <w:t xml:space="preserve">suggest it is </w:t>
      </w:r>
      <w:r w:rsidRPr="00C33C85">
        <w:t>an agent of effi</w:t>
      </w:r>
      <w:r w:rsidR="00F4121A">
        <w:t xml:space="preserve">cacy not previously available. </w:t>
      </w:r>
    </w:p>
    <w:p w:rsidR="00C33C85" w:rsidRDefault="00C33C85" w:rsidP="00363CD3">
      <w:r w:rsidRPr="00C33C85">
        <w:t>Notwithstanding the need for further studies to act as confirmation of the level of benefit and particularly the potential for durable benefit and possible operative intervention in those with incomplete but major response</w:t>
      </w:r>
      <w:r w:rsidR="00F4121A">
        <w:t xml:space="preserve">, the evaluator </w:t>
      </w:r>
      <w:r w:rsidRPr="00C33C85">
        <w:t>considers it appropriate to recommend approval for vismodegib in the proposed indication for the treatment of adult patients with advanced BCC for whom surgery is inappropriate.</w:t>
      </w:r>
      <w:r w:rsidR="00F828C8">
        <w:t xml:space="preserve"> </w:t>
      </w:r>
    </w:p>
    <w:p w:rsidR="00C33C85" w:rsidRPr="00C33C85" w:rsidRDefault="00C33C85" w:rsidP="00363CD3">
      <w:pPr>
        <w:pStyle w:val="Heading3"/>
      </w:pPr>
      <w:bookmarkStart w:id="114" w:name="_Toc255919423"/>
      <w:bookmarkStart w:id="115" w:name="_Toc241374329"/>
      <w:bookmarkStart w:id="116" w:name="_Toc270320087"/>
      <w:bookmarkStart w:id="117" w:name="_Toc314842506"/>
      <w:bookmarkStart w:id="118" w:name="_Toc370129102"/>
      <w:r w:rsidRPr="00C33C85">
        <w:t>List of questions</w:t>
      </w:r>
      <w:bookmarkEnd w:id="114"/>
      <w:bookmarkEnd w:id="115"/>
      <w:bookmarkEnd w:id="116"/>
      <w:bookmarkEnd w:id="117"/>
      <w:bookmarkEnd w:id="118"/>
    </w:p>
    <w:p w:rsidR="00C33C85" w:rsidRPr="00C33C85" w:rsidRDefault="00C33C85" w:rsidP="00363CD3">
      <w:pPr>
        <w:pStyle w:val="Numberbullet0"/>
      </w:pPr>
      <w:r w:rsidRPr="00C33C85">
        <w:t>Please provide information about ongoing or planned studies f</w:t>
      </w:r>
      <w:r w:rsidR="00F4121A">
        <w:t>or confirmation of benefits of v</w:t>
      </w:r>
      <w:r w:rsidRPr="00C33C85">
        <w:t xml:space="preserve">ismodegib, in particular determination of durability of responses and possible influence on </w:t>
      </w:r>
      <w:r w:rsidR="00725C60">
        <w:t>OS</w:t>
      </w:r>
      <w:r w:rsidR="00F4121A">
        <w:t xml:space="preserve">. </w:t>
      </w:r>
      <w:r w:rsidRPr="00C33C85">
        <w:t xml:space="preserve">This </w:t>
      </w:r>
      <w:r w:rsidR="00F4121A">
        <w:t xml:space="preserve">may require randomised trials. </w:t>
      </w:r>
      <w:r w:rsidRPr="00C33C85">
        <w:t>Data about potential for operation s</w:t>
      </w:r>
      <w:r w:rsidR="00F4121A">
        <w:t>ubsequent to major response to v</w:t>
      </w:r>
      <w:r w:rsidRPr="00C33C85">
        <w:t>ismodegib in patients with locally advanced BCC are also of importance.</w:t>
      </w:r>
    </w:p>
    <w:p w:rsidR="00C33C85" w:rsidRPr="00C33C85" w:rsidRDefault="00C33C85" w:rsidP="00363CD3">
      <w:pPr>
        <w:pStyle w:val="Numberbullet0"/>
      </w:pPr>
      <w:r w:rsidRPr="00C33C85">
        <w:t>Please provide data about the influence of hepatic and/or renal dysfu</w:t>
      </w:r>
      <w:r w:rsidR="00F4121A">
        <w:t>nction on v</w:t>
      </w:r>
      <w:r w:rsidRPr="00C33C85">
        <w:t>ismodegib administration.</w:t>
      </w:r>
    </w:p>
    <w:p w:rsidR="00C33C85" w:rsidRPr="00C33C85" w:rsidRDefault="00C33C85" w:rsidP="00363CD3">
      <w:pPr>
        <w:pStyle w:val="Heading3"/>
      </w:pPr>
      <w:bookmarkStart w:id="119" w:name="_Toc363557280"/>
      <w:bookmarkStart w:id="120" w:name="_Toc370129103"/>
      <w:r w:rsidRPr="00C33C85">
        <w:t>Second round evaluation of clinical data submitted in response to questions</w:t>
      </w:r>
      <w:bookmarkEnd w:id="119"/>
      <w:bookmarkEnd w:id="120"/>
    </w:p>
    <w:p w:rsidR="00C33C85" w:rsidRPr="00C33C85" w:rsidRDefault="00C33C85" w:rsidP="00363CD3">
      <w:r w:rsidRPr="00C33C85">
        <w:t xml:space="preserve">The </w:t>
      </w:r>
      <w:r w:rsidR="00F4121A">
        <w:t xml:space="preserve">sponsor’s response to </w:t>
      </w:r>
      <w:r w:rsidR="005B3EF9">
        <w:t xml:space="preserve">the </w:t>
      </w:r>
      <w:r w:rsidR="00F4121A">
        <w:t xml:space="preserve">TGA request for further information includes </w:t>
      </w:r>
      <w:r w:rsidRPr="00C33C85">
        <w:t>update</w:t>
      </w:r>
      <w:r w:rsidR="00F4121A">
        <w:t>s</w:t>
      </w:r>
      <w:r w:rsidRPr="00C33C85">
        <w:t xml:space="preserve"> for the pivotal </w:t>
      </w:r>
      <w:r w:rsidR="005B3EF9">
        <w:t>Study SHH4476g</w:t>
      </w:r>
      <w:r w:rsidR="00F4121A">
        <w:t>.</w:t>
      </w:r>
      <w:r w:rsidRPr="00C33C85">
        <w:t xml:space="preserve"> </w:t>
      </w:r>
      <w:r w:rsidR="00F4121A">
        <w:t>T</w:t>
      </w:r>
      <w:r w:rsidRPr="00C33C85">
        <w:t xml:space="preserve">hese included both investigator assessed and </w:t>
      </w:r>
      <w:r w:rsidR="001863BF">
        <w:t xml:space="preserve">IRF </w:t>
      </w:r>
      <w:r w:rsidRPr="00C33C85">
        <w:t>assessed efficacy results for a further year of follow up to the 28</w:t>
      </w:r>
      <w:r w:rsidRPr="00C33C85">
        <w:rPr>
          <w:vertAlign w:val="superscript"/>
        </w:rPr>
        <w:t>th</w:t>
      </w:r>
      <w:r w:rsidRPr="00C33C85">
        <w:t xml:space="preserve"> November 2011</w:t>
      </w:r>
      <w:r w:rsidR="005B3EF9">
        <w:t>,</w:t>
      </w:r>
      <w:r w:rsidRPr="00C33C85">
        <w:t xml:space="preserve"> including proportions of response, durations of response and also durations</w:t>
      </w:r>
      <w:r w:rsidR="00F4121A">
        <w:t xml:space="preserve"> of </w:t>
      </w:r>
      <w:r w:rsidR="00725C60">
        <w:t>PFS</w:t>
      </w:r>
      <w:r w:rsidR="00F4121A">
        <w:t xml:space="preserve">. </w:t>
      </w:r>
      <w:r w:rsidRPr="00C33C85">
        <w:t xml:space="preserve">Also included in the latter is a comparison of </w:t>
      </w:r>
      <w:r w:rsidR="00725C60">
        <w:t xml:space="preserve">PFS </w:t>
      </w:r>
      <w:r w:rsidRPr="00C33C85">
        <w:t xml:space="preserve">and </w:t>
      </w:r>
      <w:r w:rsidR="00725C60">
        <w:t>OS</w:t>
      </w:r>
      <w:r w:rsidRPr="00C33C85">
        <w:t xml:space="preserve"> between responders and non-responders in the pivotal study.</w:t>
      </w:r>
      <w:r w:rsidR="00F828C8">
        <w:t xml:space="preserve"> </w:t>
      </w:r>
    </w:p>
    <w:p w:rsidR="00C33C85" w:rsidRPr="00C33C85" w:rsidRDefault="00C33C85" w:rsidP="00363CD3">
      <w:r w:rsidRPr="00C33C85">
        <w:t xml:space="preserve">Also provided </w:t>
      </w:r>
      <w:r w:rsidR="00F4121A">
        <w:t xml:space="preserve">is a comparison of </w:t>
      </w:r>
      <w:r w:rsidRPr="00C33C85">
        <w:t xml:space="preserve">survival in distant metastatic BCC patients </w:t>
      </w:r>
      <w:r w:rsidR="00F4121A">
        <w:t xml:space="preserve">from the </w:t>
      </w:r>
      <w:r w:rsidRPr="00C33C85">
        <w:t xml:space="preserve">literature </w:t>
      </w:r>
      <w:r w:rsidR="00F4121A">
        <w:t xml:space="preserve">compared with </w:t>
      </w:r>
      <w:r w:rsidR="005B3EF9">
        <w:t xml:space="preserve">survival in </w:t>
      </w:r>
      <w:r w:rsidR="00F4121A" w:rsidRPr="00C33C85">
        <w:t>patients with distant metastatic BCC</w:t>
      </w:r>
      <w:r w:rsidR="00F4121A">
        <w:t xml:space="preserve"> from the </w:t>
      </w:r>
      <w:proofErr w:type="spellStart"/>
      <w:r w:rsidRPr="00C33C85">
        <w:t>vismodegib</w:t>
      </w:r>
      <w:proofErr w:type="spellEnd"/>
      <w:r w:rsidRPr="00C33C85">
        <w:t xml:space="preserve"> studies.</w:t>
      </w:r>
      <w:r w:rsidR="00F828C8">
        <w:t xml:space="preserve"> </w:t>
      </w:r>
    </w:p>
    <w:p w:rsidR="00C33C85" w:rsidRPr="003801D4" w:rsidRDefault="00C33C85" w:rsidP="00363CD3">
      <w:pPr>
        <w:pStyle w:val="Heading4"/>
      </w:pPr>
      <w:r w:rsidRPr="003801D4">
        <w:t>P</w:t>
      </w:r>
      <w:r w:rsidR="003801D4" w:rsidRPr="003801D4">
        <w:t>harmacokinetics</w:t>
      </w:r>
    </w:p>
    <w:p w:rsidR="00C33C85" w:rsidRPr="00C33C85" w:rsidRDefault="00C33C85" w:rsidP="00363CD3">
      <w:r w:rsidRPr="00C33C85">
        <w:t xml:space="preserve">In response to a question about </w:t>
      </w:r>
      <w:r w:rsidR="003801D4">
        <w:t xml:space="preserve">data on </w:t>
      </w:r>
      <w:r w:rsidRPr="00C33C85">
        <w:t>the influence of hepatic and/or renal dysfunction o</w:t>
      </w:r>
      <w:r w:rsidR="003801D4">
        <w:t>n</w:t>
      </w:r>
      <w:r w:rsidRPr="00C33C85">
        <w:t xml:space="preserve"> vismodegib administration, the following have been provided by the sponsor.</w:t>
      </w:r>
      <w:r w:rsidR="00F828C8">
        <w:t xml:space="preserve"> </w:t>
      </w:r>
    </w:p>
    <w:p w:rsidR="00C33C85" w:rsidRPr="00C33C85" w:rsidRDefault="00C33C85" w:rsidP="00363CD3">
      <w:r w:rsidRPr="00C33C85">
        <w:t xml:space="preserve">The sponsor indicated that there is an ongoing study to specifically characterise the </w:t>
      </w:r>
      <w:r w:rsidR="003801D4">
        <w:t xml:space="preserve">PK </w:t>
      </w:r>
      <w:r w:rsidRPr="00C33C85">
        <w:t>of vismodegib in patients with hepatic and renal impairment</w:t>
      </w:r>
      <w:r w:rsidR="003801D4">
        <w:t xml:space="preserve"> (S</w:t>
      </w:r>
      <w:r w:rsidRPr="00C33C85">
        <w:t>tudy GP27839</w:t>
      </w:r>
      <w:r w:rsidR="003801D4">
        <w:t xml:space="preserve">). </w:t>
      </w:r>
      <w:r w:rsidRPr="00C33C85">
        <w:t xml:space="preserve">This study is being conducted in the USA and to date there have been 10 patients with data available </w:t>
      </w:r>
      <w:r w:rsidR="003801D4">
        <w:t xml:space="preserve">on the </w:t>
      </w:r>
      <w:r w:rsidRPr="00C33C85">
        <w:t xml:space="preserve">influence of hepatic impairment on </w:t>
      </w:r>
      <w:r w:rsidR="003801D4">
        <w:t>PK</w:t>
      </w:r>
      <w:r w:rsidRPr="00C33C85">
        <w:t>.</w:t>
      </w:r>
    </w:p>
    <w:p w:rsidR="00C33C85" w:rsidRPr="00C33C85" w:rsidRDefault="00C33C85" w:rsidP="00363CD3">
      <w:r w:rsidRPr="00C33C85">
        <w:t xml:space="preserve">It is noted that vismodegib is mainly eliminated by the hepatic route and considering that vismodegib binds to plasma proteins synthesised by the liver, patients with severe hepatic impairment could have altered </w:t>
      </w:r>
      <w:proofErr w:type="spellStart"/>
      <w:r w:rsidRPr="00C33C85">
        <w:t>vismodegib</w:t>
      </w:r>
      <w:proofErr w:type="spellEnd"/>
      <w:r w:rsidRPr="00C33C85">
        <w:t xml:space="preserve"> exposure.</w:t>
      </w:r>
      <w:r w:rsidR="00F828C8">
        <w:t xml:space="preserve"> </w:t>
      </w:r>
    </w:p>
    <w:p w:rsidR="00C33C85" w:rsidRPr="00C33C85" w:rsidRDefault="005B3EF9" w:rsidP="00363CD3">
      <w:r>
        <w:t>In S</w:t>
      </w:r>
      <w:r w:rsidR="00C33C85" w:rsidRPr="00C33C85">
        <w:t>tudy GP27839 patients with varying degrees of impairment were treated with 150</w:t>
      </w:r>
      <w:r>
        <w:t xml:space="preserve"> </w:t>
      </w:r>
      <w:r w:rsidR="00C33C85" w:rsidRPr="00C33C85">
        <w:t>mg of vismodegib per day for eight days.</w:t>
      </w:r>
      <w:r>
        <w:t xml:space="preserve"> </w:t>
      </w:r>
      <w:r w:rsidR="00C33C85" w:rsidRPr="00C33C85">
        <w:t>Init</w:t>
      </w:r>
      <w:r>
        <w:t>ial steady state PK results on D</w:t>
      </w:r>
      <w:r w:rsidR="00C33C85" w:rsidRPr="00C33C85">
        <w:t>ay 8 are available from 10 patients</w:t>
      </w:r>
      <w:r w:rsidR="003801D4">
        <w:t>,</w:t>
      </w:r>
      <w:r w:rsidR="00C33C85" w:rsidRPr="00C33C85">
        <w:t xml:space="preserve"> which include </w:t>
      </w:r>
      <w:r>
        <w:t xml:space="preserve">3 </w:t>
      </w:r>
      <w:r w:rsidR="00C33C85" w:rsidRPr="00C33C85">
        <w:t xml:space="preserve">patients with normal hepatic function, </w:t>
      </w:r>
      <w:r>
        <w:t xml:space="preserve">5 </w:t>
      </w:r>
      <w:r w:rsidR="00C33C85" w:rsidRPr="00C33C85">
        <w:t>patients with mild hepatic impairment, one patient with moderate hepatic impairment and one patient w</w:t>
      </w:r>
      <w:r w:rsidR="003801D4">
        <w:t xml:space="preserve">ith severe hepatic impairment. </w:t>
      </w:r>
    </w:p>
    <w:p w:rsidR="00C33C85" w:rsidRPr="00C33C85" w:rsidRDefault="003801D4" w:rsidP="00363CD3">
      <w:r>
        <w:t>The concentration-</w:t>
      </w:r>
      <w:r w:rsidR="00C33C85" w:rsidRPr="00C33C85">
        <w:t xml:space="preserve">time profiles suggest that the total and unbound plasma concentration of vismodegib in patients with varying degrees of hepatic function were similar. </w:t>
      </w:r>
      <w:r w:rsidR="005B3EF9">
        <w:t>A s</w:t>
      </w:r>
      <w:r w:rsidR="00C33C85" w:rsidRPr="00C33C85">
        <w:t>ummary of non-compartmental analysis preliminary results suggest</w:t>
      </w:r>
      <w:r w:rsidR="005B3EF9">
        <w:t>s</w:t>
      </w:r>
      <w:r w:rsidR="00C33C85" w:rsidRPr="00C33C85">
        <w:t xml:space="preserve"> that total and unbound vismodegib concentrations were similar regardless of hepatic function. In addition the total and unbound plasma concentrations of vismodegib in each of these patients were consistent with the predicted range of concentrations from the population PK analysis.</w:t>
      </w:r>
      <w:r w:rsidR="00F828C8">
        <w:t xml:space="preserve"> </w:t>
      </w:r>
    </w:p>
    <w:p w:rsidR="00C33C85" w:rsidRPr="00C33C85" w:rsidRDefault="00C33C85" w:rsidP="00363CD3">
      <w:r w:rsidRPr="00C33C85">
        <w:t>In relation to renal elimination</w:t>
      </w:r>
      <w:r w:rsidR="003801D4">
        <w:t>,</w:t>
      </w:r>
      <w:r w:rsidRPr="00C33C85">
        <w:t xml:space="preserve"> this appears to be a minor route for vismodegib as earlier studies have shown that only 4% of the administered dose was recovered in urine from subjec</w:t>
      </w:r>
      <w:r w:rsidR="003801D4">
        <w:t xml:space="preserve">ts with normal renal function. </w:t>
      </w:r>
      <w:r w:rsidRPr="00C33C85">
        <w:t>At this stage therefore it is not expected that severe renal impairment would have clinically relevant impact on the exposure of vismodegib</w:t>
      </w:r>
      <w:r w:rsidR="005B3EF9">
        <w:t xml:space="preserve">. </w:t>
      </w:r>
      <w:r w:rsidR="003801D4">
        <w:t>In S</w:t>
      </w:r>
      <w:r w:rsidRPr="00C33C85">
        <w:t>tudy GP278</w:t>
      </w:r>
      <w:r w:rsidR="003A02D4">
        <w:t>3</w:t>
      </w:r>
      <w:r w:rsidRPr="00C33C85">
        <w:t>9 to date no patients have been enrolled with severe renal impairment</w:t>
      </w:r>
      <w:r w:rsidR="003801D4">
        <w:t>,</w:t>
      </w:r>
      <w:r w:rsidRPr="00C33C85">
        <w:t xml:space="preserve"> defined as </w:t>
      </w:r>
      <w:proofErr w:type="spellStart"/>
      <w:r w:rsidRPr="00C33C85">
        <w:t>glomerular</w:t>
      </w:r>
      <w:proofErr w:type="spellEnd"/>
      <w:r w:rsidRPr="00C33C85">
        <w:t xml:space="preserve"> filtration rate of &lt;20 </w:t>
      </w:r>
      <w:proofErr w:type="spellStart"/>
      <w:r w:rsidRPr="00C33C85">
        <w:t>mL</w:t>
      </w:r>
      <w:proofErr w:type="spellEnd"/>
      <w:r w:rsidRPr="00C33C85">
        <w:t>/min.</w:t>
      </w:r>
      <w:r w:rsidR="00F828C8">
        <w:t xml:space="preserve"> </w:t>
      </w:r>
    </w:p>
    <w:p w:rsidR="00C33C85" w:rsidRPr="003801D4" w:rsidRDefault="003801D4" w:rsidP="00363CD3">
      <w:pPr>
        <w:pStyle w:val="Heading4"/>
      </w:pPr>
      <w:r w:rsidRPr="003801D4">
        <w:t>Evaluator comment</w:t>
      </w:r>
    </w:p>
    <w:p w:rsidR="00C33C85" w:rsidRPr="00C33C85" w:rsidRDefault="00C33C85" w:rsidP="00363CD3">
      <w:r w:rsidRPr="00C33C85">
        <w:t xml:space="preserve">The data provided in this limited preliminary evaluation suggest there is no influence </w:t>
      </w:r>
      <w:r w:rsidR="003801D4" w:rsidRPr="00C33C85">
        <w:t xml:space="preserve">of clinical significance </w:t>
      </w:r>
      <w:r w:rsidRPr="00C33C85">
        <w:t xml:space="preserve">of impaired hepatic function on vismodegib </w:t>
      </w:r>
      <w:r w:rsidR="003801D4">
        <w:t xml:space="preserve">PK. </w:t>
      </w:r>
      <w:r w:rsidRPr="00C33C85">
        <w:t>Full results of this study will be awaited.</w:t>
      </w:r>
      <w:r w:rsidR="00F828C8">
        <w:t xml:space="preserve"> </w:t>
      </w:r>
    </w:p>
    <w:p w:rsidR="00C33C85" w:rsidRPr="003801D4" w:rsidRDefault="003801D4" w:rsidP="00363CD3">
      <w:pPr>
        <w:pStyle w:val="Heading4"/>
      </w:pPr>
      <w:r w:rsidRPr="003801D4">
        <w:t>Clinical efficacy</w:t>
      </w:r>
    </w:p>
    <w:p w:rsidR="00C33C85" w:rsidRPr="00C33C85" w:rsidRDefault="00C33C85" w:rsidP="00363CD3">
      <w:r w:rsidRPr="00C33C85">
        <w:t>Update</w:t>
      </w:r>
      <w:r w:rsidR="003801D4">
        <w:t xml:space="preserve">d data on </w:t>
      </w:r>
      <w:r w:rsidRPr="00C33C85">
        <w:t xml:space="preserve">durability of responses and </w:t>
      </w:r>
      <w:r w:rsidR="003801D4">
        <w:t>on</w:t>
      </w:r>
      <w:r w:rsidRPr="00C33C85">
        <w:t xml:space="preserve"> </w:t>
      </w:r>
      <w:r w:rsidR="00725C60">
        <w:t xml:space="preserve">PFS </w:t>
      </w:r>
      <w:r w:rsidRPr="00C33C85">
        <w:t xml:space="preserve">and </w:t>
      </w:r>
      <w:r w:rsidR="00725C60">
        <w:t>OS</w:t>
      </w:r>
      <w:r w:rsidRPr="00C33C85">
        <w:t xml:space="preserve"> from pivotal </w:t>
      </w:r>
      <w:r w:rsidR="003801D4">
        <w:t>S</w:t>
      </w:r>
      <w:r w:rsidRPr="00C33C85">
        <w:t xml:space="preserve">tudy </w:t>
      </w:r>
      <w:r w:rsidR="003801D4">
        <w:t>SHH</w:t>
      </w:r>
      <w:r w:rsidRPr="00C33C85">
        <w:t>4476</w:t>
      </w:r>
      <w:r w:rsidR="003801D4">
        <w:t>g are provided</w:t>
      </w:r>
      <w:r w:rsidR="005B3EF9">
        <w:t xml:space="preserve"> </w:t>
      </w:r>
      <w:r w:rsidR="00DF3693">
        <w:t>i</w:t>
      </w:r>
      <w:r w:rsidRPr="00C33C85">
        <w:t xml:space="preserve">n response to a </w:t>
      </w:r>
      <w:r w:rsidR="005B3EF9">
        <w:t xml:space="preserve">TGA </w:t>
      </w:r>
      <w:r w:rsidRPr="00C33C85">
        <w:t xml:space="preserve">question </w:t>
      </w:r>
      <w:r w:rsidR="00DF3693">
        <w:t xml:space="preserve">on </w:t>
      </w:r>
      <w:r w:rsidRPr="00C33C85">
        <w:t>issues concerning ongoing or planning studies for confirmation of benefits of vismodegib</w:t>
      </w:r>
      <w:r w:rsidR="005B3EF9">
        <w:t>,</w:t>
      </w:r>
      <w:r w:rsidRPr="00C33C85">
        <w:t xml:space="preserve"> in particular the determination and durability of response and possible influence on </w:t>
      </w:r>
      <w:r w:rsidR="00725C60">
        <w:t>OS</w:t>
      </w:r>
      <w:r w:rsidRPr="00C33C85">
        <w:t>.</w:t>
      </w:r>
      <w:r w:rsidR="00F828C8">
        <w:t xml:space="preserve"> </w:t>
      </w:r>
    </w:p>
    <w:p w:rsidR="00C33C85" w:rsidRPr="00C33C85" w:rsidRDefault="00C33C85" w:rsidP="00363CD3">
      <w:r w:rsidRPr="00C33C85">
        <w:t xml:space="preserve">The sponsor has acknowledged that the </w:t>
      </w:r>
      <w:r w:rsidR="007D70C0">
        <w:t>ORR</w:t>
      </w:r>
      <w:r w:rsidRPr="00C33C85">
        <w:t xml:space="preserve"> is a novel composite endpoint. They have undertaken an independent review of clinical benefit by clinical experts which</w:t>
      </w:r>
      <w:r w:rsidR="00DF3693">
        <w:t xml:space="preserve"> involve three European </w:t>
      </w:r>
      <w:proofErr w:type="spellStart"/>
      <w:r w:rsidR="00DF3693">
        <w:t>dermato</w:t>
      </w:r>
      <w:proofErr w:type="spellEnd"/>
      <w:r w:rsidR="005B3EF9">
        <w:t>-</w:t>
      </w:r>
      <w:r w:rsidR="00DF3693">
        <w:t xml:space="preserve">oncologists. </w:t>
      </w:r>
      <w:r w:rsidRPr="00C33C85">
        <w:t xml:space="preserve">Every </w:t>
      </w:r>
      <w:r w:rsidR="003A02D4">
        <w:t xml:space="preserve">locally advanced </w:t>
      </w:r>
      <w:r w:rsidRPr="00C33C85">
        <w:t xml:space="preserve">patient in the pivotal study </w:t>
      </w:r>
      <w:r w:rsidR="005B3EF9">
        <w:t>is</w:t>
      </w:r>
      <w:r w:rsidRPr="00C33C85">
        <w:t xml:space="preserve"> reviewed by this panel</w:t>
      </w:r>
      <w:r w:rsidR="005B3EF9">
        <w:t>,</w:t>
      </w:r>
      <w:r w:rsidRPr="00C33C85">
        <w:t xml:space="preserve"> both individually and together.</w:t>
      </w:r>
      <w:r w:rsidR="00F828C8">
        <w:t xml:space="preserve"> </w:t>
      </w:r>
    </w:p>
    <w:p w:rsidR="00C33C85" w:rsidRPr="00C33C85" w:rsidRDefault="00DF3693" w:rsidP="00363CD3">
      <w:r>
        <w:t xml:space="preserve">From </w:t>
      </w:r>
      <w:r w:rsidR="00C33C85" w:rsidRPr="00C33C85">
        <w:t>this assessment</w:t>
      </w:r>
      <w:r>
        <w:t>,</w:t>
      </w:r>
      <w:r w:rsidR="00C33C85" w:rsidRPr="00C33C85">
        <w:t xml:space="preserve"> 71</w:t>
      </w:r>
      <w:r w:rsidR="005B3EF9">
        <w:t>.4% or 45 of 63 of the efficacy-</w:t>
      </w:r>
      <w:r w:rsidR="00C33C85" w:rsidRPr="00C33C85">
        <w:t xml:space="preserve">evaluable patients </w:t>
      </w:r>
      <w:r w:rsidR="003A02D4">
        <w:t xml:space="preserve">with locally advanced BCC </w:t>
      </w:r>
      <w:r w:rsidR="00C33C85" w:rsidRPr="00C33C85">
        <w:t>from the pivotal study were judged to have severe disease at baseline</w:t>
      </w:r>
      <w:r w:rsidR="005B3EF9">
        <w:t>,</w:t>
      </w:r>
      <w:r w:rsidR="00C33C85" w:rsidRPr="00C33C85">
        <w:t xml:space="preserve"> while 58.7% had very severe</w:t>
      </w:r>
      <w:r w:rsidR="005B3EF9">
        <w:t xml:space="preserve"> disease and </w:t>
      </w:r>
      <w:r w:rsidR="00C33C85" w:rsidRPr="00C33C85">
        <w:t xml:space="preserve">12.7% </w:t>
      </w:r>
      <w:r w:rsidR="005B3EF9">
        <w:t xml:space="preserve">had </w:t>
      </w:r>
      <w:r w:rsidR="00C33C85" w:rsidRPr="00C33C85">
        <w:t>moderately severe</w:t>
      </w:r>
      <w:r w:rsidR="005B3EF9">
        <w:t xml:space="preserve"> disease</w:t>
      </w:r>
      <w:r w:rsidR="00C33C85" w:rsidRPr="00C33C85">
        <w:t xml:space="preserve">. It was noted that 76.2% </w:t>
      </w:r>
      <w:r w:rsidR="005B3EF9">
        <w:t>(48 of 63 of the efficacy-</w:t>
      </w:r>
      <w:r w:rsidR="00C33C85" w:rsidRPr="00C33C85">
        <w:t>evaluable patients</w:t>
      </w:r>
      <w:r w:rsidR="005B3EF9">
        <w:t>)</w:t>
      </w:r>
      <w:r w:rsidR="00C33C85" w:rsidRPr="00C33C85">
        <w:t xml:space="preserve"> experienced clinical benefit</w:t>
      </w:r>
      <w:r>
        <w:t>:</w:t>
      </w:r>
      <w:r w:rsidR="00C33C85" w:rsidRPr="00C33C85">
        <w:t xml:space="preserve"> significant clinical benefits in 65.1%, </w:t>
      </w:r>
      <w:r>
        <w:t xml:space="preserve">and </w:t>
      </w:r>
      <w:r w:rsidR="00C33C85" w:rsidRPr="00C33C85">
        <w:t xml:space="preserve">some clinical benefit </w:t>
      </w:r>
      <w:r>
        <w:t xml:space="preserve">in </w:t>
      </w:r>
      <w:r w:rsidR="00C33C85" w:rsidRPr="00C33C85">
        <w:t>11.1%.</w:t>
      </w:r>
      <w:r w:rsidR="00F828C8">
        <w:t xml:space="preserve"> </w:t>
      </w:r>
    </w:p>
    <w:p w:rsidR="00C33C85" w:rsidRPr="00363CD3" w:rsidRDefault="005459F8" w:rsidP="00363CD3">
      <w:pPr>
        <w:pStyle w:val="Heading4"/>
      </w:pPr>
      <w:r w:rsidRPr="00363CD3">
        <w:t>Comment</w:t>
      </w:r>
    </w:p>
    <w:p w:rsidR="00C33C85" w:rsidRPr="00C33C85" w:rsidRDefault="00DF3693" w:rsidP="00363CD3">
      <w:r>
        <w:t>T</w:t>
      </w:r>
      <w:r w:rsidR="00C33C85" w:rsidRPr="00C33C85">
        <w:t>his data is of interest in confirming evidence of efficacy of vismodegib b</w:t>
      </w:r>
      <w:r>
        <w:t xml:space="preserve">y an independent review group. </w:t>
      </w:r>
      <w:r w:rsidR="00C33C85" w:rsidRPr="00C33C85">
        <w:t xml:space="preserve">Problems still remain in terms of lack of definition of clinical benefit and in particular </w:t>
      </w:r>
      <w:r w:rsidR="005B3EF9">
        <w:t>‘</w:t>
      </w:r>
      <w:r w:rsidR="00C33C85" w:rsidRPr="00C33C85">
        <w:t>significant clinical benefit</w:t>
      </w:r>
      <w:r w:rsidR="005B3EF9">
        <w:t>’</w:t>
      </w:r>
      <w:r w:rsidR="00C33C85" w:rsidRPr="00C33C85">
        <w:t xml:space="preserve"> </w:t>
      </w:r>
      <w:r>
        <w:t xml:space="preserve">versus </w:t>
      </w:r>
      <w:r w:rsidR="005B3EF9">
        <w:t>‘</w:t>
      </w:r>
      <w:r>
        <w:t>some clinical benefit</w:t>
      </w:r>
      <w:r w:rsidR="005B3EF9">
        <w:t>’</w:t>
      </w:r>
      <w:r>
        <w:t xml:space="preserve">. </w:t>
      </w:r>
      <w:r w:rsidR="00C33C85" w:rsidRPr="00C33C85">
        <w:t xml:space="preserve">Nevertheless </w:t>
      </w:r>
      <w:r>
        <w:t xml:space="preserve">the </w:t>
      </w:r>
      <w:r w:rsidR="00C33C85" w:rsidRPr="00C33C85">
        <w:t xml:space="preserve">evaluator acknowledges the fact that this is confirmatory in relation to the initial presented response data from the pivotal vismodegib trial. </w:t>
      </w:r>
    </w:p>
    <w:p w:rsidR="00C33C85" w:rsidRPr="00C33C85" w:rsidRDefault="00C33C85" w:rsidP="00363CD3">
      <w:r w:rsidRPr="00C33C85">
        <w:t>In an effort to provide longer follow up data a 12 month update beyond the original cut-off date of the 26</w:t>
      </w:r>
      <w:r w:rsidRPr="00C33C85">
        <w:rPr>
          <w:vertAlign w:val="superscript"/>
        </w:rPr>
        <w:t>th</w:t>
      </w:r>
      <w:r w:rsidRPr="00C33C85">
        <w:t xml:space="preserve"> November 2010 is provided which assesses objective response rate, duration of response, </w:t>
      </w:r>
      <w:r w:rsidR="00725C60">
        <w:t xml:space="preserve">PFS </w:t>
      </w:r>
      <w:r w:rsidRPr="00C33C85">
        <w:t xml:space="preserve">and </w:t>
      </w:r>
      <w:r w:rsidR="00725C60">
        <w:t>OS</w:t>
      </w:r>
      <w:r w:rsidRPr="00C33C85">
        <w:t xml:space="preserve"> as of the data cut-off date of 28</w:t>
      </w:r>
      <w:r w:rsidRPr="00C33C85">
        <w:rPr>
          <w:vertAlign w:val="superscript"/>
        </w:rPr>
        <w:t>th</w:t>
      </w:r>
      <w:r w:rsidRPr="00C33C85">
        <w:t xml:space="preserve"> November 2011, thereby giving a total minimum potential follow up time of 21 months for all patients.</w:t>
      </w:r>
    </w:p>
    <w:p w:rsidR="00C33C85" w:rsidRPr="00C33C85" w:rsidRDefault="00C33C85" w:rsidP="00363CD3">
      <w:r w:rsidRPr="00C33C85">
        <w:t>It is noted that as of 28</w:t>
      </w:r>
      <w:r w:rsidRPr="00C33C85">
        <w:rPr>
          <w:vertAlign w:val="superscript"/>
        </w:rPr>
        <w:t>th</w:t>
      </w:r>
      <w:r w:rsidRPr="00C33C85">
        <w:t xml:space="preserve"> November 2011, 75 patients or 72.1% had disco</w:t>
      </w:r>
      <w:r w:rsidR="00DF3693">
        <w:t xml:space="preserve">ntinued from the study. </w:t>
      </w:r>
      <w:r w:rsidR="005B3EF9">
        <w:t>The m</w:t>
      </w:r>
      <w:r w:rsidR="00DF3693">
        <w:t>ost common reason for discontinuation was d</w:t>
      </w:r>
      <w:r w:rsidRPr="00C33C85">
        <w:t xml:space="preserve">isease progression for the metastatic BCC cohort </w:t>
      </w:r>
      <w:r w:rsidR="00DF3693" w:rsidRPr="00C33C85">
        <w:t xml:space="preserve">(53.8%) </w:t>
      </w:r>
      <w:r w:rsidRPr="00C33C85">
        <w:t>while in the locally advanced BCC cohort patient decision was the most common reason for treat</w:t>
      </w:r>
      <w:r w:rsidR="00DF3693">
        <w:t xml:space="preserve">ment discontinuation (in 40.8%). </w:t>
      </w:r>
      <w:r w:rsidRPr="00C33C85">
        <w:t>As of the 28</w:t>
      </w:r>
      <w:r w:rsidRPr="00C33C85">
        <w:rPr>
          <w:vertAlign w:val="superscript"/>
        </w:rPr>
        <w:t>th</w:t>
      </w:r>
      <w:r w:rsidRPr="00C33C85">
        <w:t xml:space="preserve"> November 2011, 29 patients or 27.9% were </w:t>
      </w:r>
      <w:r w:rsidR="00DF3693">
        <w:t xml:space="preserve">still on vismodegib treatment. </w:t>
      </w:r>
      <w:r w:rsidRPr="00C33C85">
        <w:t>The median duration of exposure to vismodegib was 12.9 months for all patents, 13.3 months for patients with metastatic BCC and 12.7 months for patients in th</w:t>
      </w:r>
      <w:r w:rsidR="00DF3693">
        <w:t xml:space="preserve">e locally advanced BCC cohort. </w:t>
      </w:r>
      <w:r w:rsidRPr="00C33C85">
        <w:t>Median dose intensities were 98.9% in the metastatic BCC cohort and 97.4% in the locally advanced BCC cohort.</w:t>
      </w:r>
      <w:r w:rsidR="00F828C8">
        <w:t xml:space="preserve"> </w:t>
      </w:r>
    </w:p>
    <w:p w:rsidR="00DF3693" w:rsidRDefault="00DF3693" w:rsidP="00363CD3">
      <w:r>
        <w:t xml:space="preserve">Table </w:t>
      </w:r>
      <w:r w:rsidR="000A623E">
        <w:t>12</w:t>
      </w:r>
      <w:r w:rsidR="00C33C85" w:rsidRPr="00C33C85">
        <w:t xml:space="preserve"> presents the investigator assessed response rates and duration of response to 28</w:t>
      </w:r>
      <w:r w:rsidR="00C33C85" w:rsidRPr="00C33C85">
        <w:rPr>
          <w:vertAlign w:val="superscript"/>
        </w:rPr>
        <w:t>t</w:t>
      </w:r>
      <w:r w:rsidR="00256C5D">
        <w:rPr>
          <w:vertAlign w:val="superscript"/>
        </w:rPr>
        <w:t>h</w:t>
      </w:r>
      <w:r w:rsidR="00C33C85" w:rsidRPr="00C33C85">
        <w:t xml:space="preserve"> November 2011 compared to 26</w:t>
      </w:r>
      <w:r w:rsidR="00C33C85" w:rsidRPr="00C33C85">
        <w:rPr>
          <w:vertAlign w:val="superscript"/>
        </w:rPr>
        <w:t>th</w:t>
      </w:r>
      <w:r>
        <w:t xml:space="preserve"> November 2010. </w:t>
      </w:r>
    </w:p>
    <w:p w:rsidR="00DF3693" w:rsidRPr="00DF3693" w:rsidRDefault="000A623E" w:rsidP="00363CD3">
      <w:pPr>
        <w:pStyle w:val="TableTitle"/>
      </w:pPr>
      <w:r>
        <w:t xml:space="preserve">Table 12. </w:t>
      </w:r>
      <w:r w:rsidR="00DF3693">
        <w:t xml:space="preserve">Study SHH4476g. Summary of </w:t>
      </w:r>
      <w:r w:rsidR="00DF3693" w:rsidRPr="00DF3693">
        <w:t xml:space="preserve">investigator assessed </w:t>
      </w:r>
      <w:r w:rsidR="00DF3693">
        <w:t xml:space="preserve">efficacy results and survival results as at </w:t>
      </w:r>
      <w:r w:rsidR="00DF3693" w:rsidRPr="00DF3693">
        <w:t>2</w:t>
      </w:r>
      <w:r w:rsidR="00DF3693">
        <w:t>6</w:t>
      </w:r>
      <w:r w:rsidR="00DF3693" w:rsidRPr="00DF3693">
        <w:rPr>
          <w:vertAlign w:val="superscript"/>
        </w:rPr>
        <w:t>th</w:t>
      </w:r>
      <w:r w:rsidR="00642364">
        <w:t xml:space="preserve"> November 2010 and </w:t>
      </w:r>
      <w:r w:rsidR="00DF3693" w:rsidRPr="00DF3693">
        <w:t>2</w:t>
      </w:r>
      <w:r w:rsidR="00642364">
        <w:t>8</w:t>
      </w:r>
      <w:r w:rsidR="00DF3693" w:rsidRPr="00DF3693">
        <w:rPr>
          <w:vertAlign w:val="superscript"/>
        </w:rPr>
        <w:t>th</w:t>
      </w:r>
      <w:r w:rsidR="00642364">
        <w:t xml:space="preserve"> November 2011 data </w:t>
      </w:r>
      <w:proofErr w:type="spellStart"/>
      <w:r w:rsidR="00642364">
        <w:t>cutoff</w:t>
      </w:r>
      <w:proofErr w:type="spellEnd"/>
      <w:r w:rsidR="00642364">
        <w:t xml:space="preserve"> dates (efficacy-evaluable patients)</w:t>
      </w:r>
      <w:r w:rsidR="00DF3693" w:rsidRPr="00DF3693">
        <w:t xml:space="preserve">. </w:t>
      </w:r>
    </w:p>
    <w:p w:rsidR="00DF3693" w:rsidRDefault="00DF3693" w:rsidP="00363CD3">
      <w:r>
        <w:rPr>
          <w:noProof/>
          <w:lang w:eastAsia="en-AU"/>
        </w:rPr>
        <w:drawing>
          <wp:inline distT="0" distB="0" distL="0" distR="0">
            <wp:extent cx="4909580" cy="2502877"/>
            <wp:effectExtent l="19050" t="0" r="5320" b="0"/>
            <wp:docPr id="17" name="Picture 17" descr="Table 12. Study SHH4476g. Summary of investigator assessed efficacy results and survival results as at 26th November 2010 and 28th November 2011 data cutoff dates (efficacy-evaluable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4908381" cy="2502266"/>
                    </a:xfrm>
                    <a:prstGeom prst="rect">
                      <a:avLst/>
                    </a:prstGeom>
                    <a:noFill/>
                    <a:ln w="9525">
                      <a:noFill/>
                      <a:miter lim="800000"/>
                      <a:headEnd/>
                      <a:tailEnd/>
                    </a:ln>
                  </pic:spPr>
                </pic:pic>
              </a:graphicData>
            </a:graphic>
          </wp:inline>
        </w:drawing>
      </w:r>
    </w:p>
    <w:p w:rsidR="00C33C85" w:rsidRPr="00C33C85" w:rsidRDefault="00C33C85" w:rsidP="00363CD3">
      <w:r w:rsidRPr="00C33C85">
        <w:t xml:space="preserve">As indicated </w:t>
      </w:r>
      <w:r w:rsidR="00642364">
        <w:t>above</w:t>
      </w:r>
      <w:r w:rsidR="00256C5D">
        <w:t>,</w:t>
      </w:r>
      <w:r w:rsidR="00642364">
        <w:t xml:space="preserve"> </w:t>
      </w:r>
      <w:r w:rsidRPr="00C33C85">
        <w:t xml:space="preserve">one further patient was classified as </w:t>
      </w:r>
      <w:r w:rsidR="00256C5D">
        <w:t xml:space="preserve">having </w:t>
      </w:r>
      <w:r w:rsidRPr="00C33C85">
        <w:t>partial response in the update from the metastatic BCC cohort and the median duration of response in the metastatic BCC cohort was 14.7 months and not evaluable in th</w:t>
      </w:r>
      <w:r w:rsidR="00642364">
        <w:t xml:space="preserve">e locally advanced BCC cohort. </w:t>
      </w:r>
      <w:r w:rsidRPr="00C33C85">
        <w:t xml:space="preserve">For a total of 96 </w:t>
      </w:r>
      <w:r w:rsidR="003A02D4">
        <w:t xml:space="preserve">efficacy-evaluable </w:t>
      </w:r>
      <w:r w:rsidRPr="00C33C85">
        <w:t>patients</w:t>
      </w:r>
      <w:r w:rsidR="00256C5D">
        <w:t>,</w:t>
      </w:r>
      <w:r w:rsidRPr="00C33C85">
        <w:t xml:space="preserve"> the median duration of response was 16.1 months compared to 9.5 months for the 2010 cut-off date.</w:t>
      </w:r>
    </w:p>
    <w:p w:rsidR="00C33C85" w:rsidRPr="00C33C85" w:rsidRDefault="00C33C85" w:rsidP="00363CD3">
      <w:r w:rsidRPr="00C33C85">
        <w:t xml:space="preserve">In relation to </w:t>
      </w:r>
      <w:r w:rsidR="00725C60">
        <w:t>PFS</w:t>
      </w:r>
      <w:r w:rsidR="00256C5D">
        <w:t xml:space="preserve">, for both the </w:t>
      </w:r>
      <w:r w:rsidRPr="00C33C85">
        <w:t xml:space="preserve">November 2010 data cut-off and the November 2011 data cut-off </w:t>
      </w:r>
      <w:r w:rsidR="0028177D">
        <w:t xml:space="preserve">there are </w:t>
      </w:r>
      <w:r w:rsidRPr="00C33C85">
        <w:t xml:space="preserve">increments in </w:t>
      </w:r>
      <w:r w:rsidR="00725C60">
        <w:t xml:space="preserve">PFS </w:t>
      </w:r>
      <w:r w:rsidRPr="00C33C85">
        <w:t>data for both the metastatic BCC cohort and the locally advanced BCC cohort</w:t>
      </w:r>
      <w:r w:rsidR="00256C5D">
        <w:t>. T</w:t>
      </w:r>
      <w:r w:rsidRPr="00C33C85">
        <w:t xml:space="preserve">he median </w:t>
      </w:r>
      <w:r w:rsidR="00725C60">
        <w:t xml:space="preserve">PFS </w:t>
      </w:r>
      <w:r w:rsidRPr="00C33C85">
        <w:t xml:space="preserve">for the total patients </w:t>
      </w:r>
      <w:r w:rsidR="00256C5D">
        <w:t xml:space="preserve">is </w:t>
      </w:r>
      <w:r w:rsidRPr="00C33C85">
        <w:t xml:space="preserve">11.1 months for the 2010 data cut-off </w:t>
      </w:r>
      <w:r w:rsidR="0028177D">
        <w:t xml:space="preserve">versus </w:t>
      </w:r>
      <w:r w:rsidRPr="00C33C85">
        <w:t>12.8</w:t>
      </w:r>
      <w:r w:rsidR="0028177D">
        <w:t xml:space="preserve"> months for 2011 data cut-off. </w:t>
      </w:r>
      <w:r w:rsidRPr="00C33C85">
        <w:t xml:space="preserve">Little worthwhile information is provided for the </w:t>
      </w:r>
      <w:r w:rsidR="00725C60">
        <w:t>OS</w:t>
      </w:r>
      <w:r w:rsidRPr="00C33C85">
        <w:t xml:space="preserve"> estimates. It is noted that one year survival rates also improved to some extent over</w:t>
      </w:r>
      <w:r w:rsidR="0028177D">
        <w:t xml:space="preserve"> the one year extra follow up. </w:t>
      </w:r>
    </w:p>
    <w:p w:rsidR="00C33C85" w:rsidRPr="00C33C85" w:rsidRDefault="00C33C85" w:rsidP="00363CD3">
      <w:r w:rsidRPr="00C33C85">
        <w:t xml:space="preserve">In an effort to provide further evidence in relation to objective response rates, duration of response and </w:t>
      </w:r>
      <w:r w:rsidR="00725C60">
        <w:t>PFS</w:t>
      </w:r>
      <w:r w:rsidRPr="00C33C85">
        <w:t>, the reviews by the IRF have been updated to the 28</w:t>
      </w:r>
      <w:r w:rsidRPr="00C33C85">
        <w:rPr>
          <w:vertAlign w:val="superscript"/>
        </w:rPr>
        <w:t>th</w:t>
      </w:r>
      <w:r w:rsidR="0028177D">
        <w:t xml:space="preserve"> November 2011. </w:t>
      </w:r>
      <w:r w:rsidRPr="00C33C85">
        <w:t xml:space="preserve">The results </w:t>
      </w:r>
      <w:r w:rsidR="0028177D">
        <w:t>essentially support</w:t>
      </w:r>
      <w:r w:rsidRPr="00C33C85">
        <w:t xml:space="preserve"> the data provided as per the investigator assessment.</w:t>
      </w:r>
      <w:r w:rsidR="00F828C8">
        <w:t xml:space="preserve"> </w:t>
      </w:r>
    </w:p>
    <w:p w:rsidR="00C33C85" w:rsidRPr="00C33C85" w:rsidRDefault="00C33C85" w:rsidP="00363CD3">
      <w:r w:rsidRPr="00C33C85">
        <w:t xml:space="preserve">In a further effort to provide some meaningful information in relation to </w:t>
      </w:r>
      <w:r w:rsidR="00725C60">
        <w:t xml:space="preserve">PFS </w:t>
      </w:r>
      <w:r w:rsidRPr="00C33C85">
        <w:t xml:space="preserve">and </w:t>
      </w:r>
      <w:r w:rsidR="00725C60">
        <w:t>OS</w:t>
      </w:r>
      <w:r w:rsidRPr="00C33C85">
        <w:t xml:space="preserve"> from the pivotal study, a</w:t>
      </w:r>
      <w:r w:rsidR="00256C5D">
        <w:t>n evaluation and</w:t>
      </w:r>
      <w:r w:rsidRPr="00C33C85">
        <w:t xml:space="preserve"> comparison between these two endpoints for responders v</w:t>
      </w:r>
      <w:r w:rsidR="0028177D">
        <w:t>ersus</w:t>
      </w:r>
      <w:r w:rsidRPr="00C33C85">
        <w:t xml:space="preserve"> non-responders has</w:t>
      </w:r>
      <w:r w:rsidR="0028177D">
        <w:t xml:space="preserve"> been provided by the sponsor. </w:t>
      </w:r>
      <w:r w:rsidRPr="00C33C85">
        <w:t>These data are</w:t>
      </w:r>
      <w:r w:rsidR="0028177D">
        <w:t xml:space="preserve"> as per the IRF evaluation. </w:t>
      </w:r>
      <w:r w:rsidRPr="00C33C85">
        <w:t xml:space="preserve">As might be expected they clearly show a longer </w:t>
      </w:r>
      <w:r w:rsidR="00725C60">
        <w:t xml:space="preserve">PFS </w:t>
      </w:r>
      <w:r w:rsidRPr="00C33C85">
        <w:t xml:space="preserve">and </w:t>
      </w:r>
      <w:r w:rsidR="00725C60">
        <w:t>OS</w:t>
      </w:r>
      <w:r w:rsidRPr="00C33C85">
        <w:t xml:space="preserve"> for responding patients v</w:t>
      </w:r>
      <w:r w:rsidR="0028177D">
        <w:t xml:space="preserve">ersus </w:t>
      </w:r>
      <w:r w:rsidRPr="00C33C85">
        <w:t>non-responding</w:t>
      </w:r>
      <w:r w:rsidR="0028177D">
        <w:t xml:space="preserve"> patients. </w:t>
      </w:r>
      <w:r w:rsidRPr="00C33C85">
        <w:t>While the sponsors claim this is further evidence of therapeutic benefit in relation to vismodegib as acknowledged, other factors</w:t>
      </w:r>
      <w:r w:rsidR="00256C5D">
        <w:t>,</w:t>
      </w:r>
      <w:r w:rsidRPr="00C33C85">
        <w:t xml:space="preserve"> including variations in baseline parameters</w:t>
      </w:r>
      <w:r w:rsidR="00256C5D">
        <w:t>,</w:t>
      </w:r>
      <w:r w:rsidRPr="00C33C85">
        <w:t xml:space="preserve"> could influence this and in particular the natural biological behaviour of the malignancy has potential influence</w:t>
      </w:r>
      <w:r w:rsidR="0028177D">
        <w:t xml:space="preserve"> on this aspect of assessment. </w:t>
      </w:r>
    </w:p>
    <w:p w:rsidR="00C33C85" w:rsidRDefault="00C33C85" w:rsidP="00363CD3">
      <w:r w:rsidRPr="00C33C85">
        <w:t>Also undertaken by the sponsor was a comparison of survival in distant metastatic BCC patients for patients who had received vismodegib v</w:t>
      </w:r>
      <w:r w:rsidR="0028177D">
        <w:t xml:space="preserve">ersus </w:t>
      </w:r>
      <w:r w:rsidRPr="00C33C85">
        <w:t xml:space="preserve">those from </w:t>
      </w:r>
      <w:r w:rsidR="0028177D">
        <w:t xml:space="preserve">a </w:t>
      </w:r>
      <w:r w:rsidRPr="00C33C85">
        <w:t xml:space="preserve">literature review. It is noteworthy that the literature review effectively involves evaluation of multiple case reports which immediately brings into </w:t>
      </w:r>
      <w:r w:rsidR="0028177D">
        <w:t xml:space="preserve">question the validity of this. </w:t>
      </w:r>
      <w:r w:rsidRPr="00C33C85">
        <w:t>Nevertheless</w:t>
      </w:r>
      <w:r w:rsidR="00256C5D">
        <w:t>,</w:t>
      </w:r>
      <w:r w:rsidRPr="00C33C85">
        <w:t xml:space="preserve"> as indicated by the sponsor 50 patients were reported to have disease that had metastasised to a distant organ and 50 had disease confined </w:t>
      </w:r>
      <w:r w:rsidR="0028177D">
        <w:t xml:space="preserve">to a local site or lymph node. </w:t>
      </w:r>
      <w:r w:rsidRPr="00C33C85">
        <w:t xml:space="preserve">Clearly there were marked differences in median one year </w:t>
      </w:r>
      <w:r w:rsidR="00725C60">
        <w:t>OS</w:t>
      </w:r>
      <w:r w:rsidR="0028177D">
        <w:t xml:space="preserve"> between these two groups. </w:t>
      </w:r>
      <w:r w:rsidRPr="00C33C85">
        <w:t xml:space="preserve">Comparing this data is a population of vismodegib treated patients with metastatic BCC who were included in the pooled safety population from </w:t>
      </w:r>
      <w:r w:rsidR="00256C5D">
        <w:t>S</w:t>
      </w:r>
      <w:r w:rsidRPr="00C33C85">
        <w:t xml:space="preserve">tudies </w:t>
      </w:r>
      <w:r w:rsidR="0028177D">
        <w:t>SHH3925g</w:t>
      </w:r>
      <w:r w:rsidRPr="00C33C85">
        <w:t xml:space="preserve">, </w:t>
      </w:r>
      <w:r w:rsidR="0028177D">
        <w:t>SHH4437g</w:t>
      </w:r>
      <w:r w:rsidRPr="00C33C85">
        <w:t xml:space="preserve">, </w:t>
      </w:r>
      <w:r w:rsidR="0028177D">
        <w:t>SHH4610g</w:t>
      </w:r>
      <w:r w:rsidRPr="00C33C85">
        <w:t xml:space="preserve"> and </w:t>
      </w:r>
      <w:r w:rsidR="0028177D">
        <w:t>SHH</w:t>
      </w:r>
      <w:r w:rsidRPr="00C33C85">
        <w:t>447</w:t>
      </w:r>
      <w:r w:rsidR="00C3779E">
        <w:t xml:space="preserve">6g which involved 45 patients. </w:t>
      </w:r>
      <w:r w:rsidRPr="00C33C85">
        <w:t xml:space="preserve">Table </w:t>
      </w:r>
      <w:r w:rsidR="000A623E">
        <w:t>13</w:t>
      </w:r>
      <w:r w:rsidR="0028177D">
        <w:t xml:space="preserve"> </w:t>
      </w:r>
      <w:r w:rsidRPr="00C33C85">
        <w:t>presents the baseline characteristics and survival data for patients with metastat</w:t>
      </w:r>
      <w:r w:rsidR="0028177D">
        <w:t>ic BCC that had metastasis</w:t>
      </w:r>
      <w:r w:rsidRPr="00C33C85">
        <w:t>ed to distant organs.</w:t>
      </w:r>
      <w:r w:rsidR="00F828C8">
        <w:t xml:space="preserve"> </w:t>
      </w:r>
    </w:p>
    <w:p w:rsidR="0028177D" w:rsidRDefault="000A623E" w:rsidP="00363CD3">
      <w:pPr>
        <w:pStyle w:val="TableTitle"/>
      </w:pPr>
      <w:r>
        <w:t>Table 13</w:t>
      </w:r>
      <w:r w:rsidR="0028177D">
        <w:t>. B</w:t>
      </w:r>
      <w:r w:rsidR="0028177D" w:rsidRPr="0028177D">
        <w:t xml:space="preserve">aseline characteristics and survival data for patients with </w:t>
      </w:r>
      <w:r w:rsidR="0028177D">
        <w:t xml:space="preserve">distant </w:t>
      </w:r>
      <w:r w:rsidR="0028177D" w:rsidRPr="0028177D">
        <w:t xml:space="preserve">metastatic BCC </w:t>
      </w:r>
      <w:r w:rsidR="0028177D">
        <w:t xml:space="preserve">from the literature and from studies with vismodegib </w:t>
      </w:r>
    </w:p>
    <w:p w:rsidR="0028177D" w:rsidRPr="00C33C85" w:rsidRDefault="0028177D" w:rsidP="00363CD3">
      <w:r>
        <w:rPr>
          <w:noProof/>
          <w:lang w:eastAsia="en-AU"/>
        </w:rPr>
        <w:drawing>
          <wp:inline distT="0" distB="0" distL="0" distR="0">
            <wp:extent cx="4083240" cy="4241812"/>
            <wp:effectExtent l="19050" t="0" r="0" b="0"/>
            <wp:docPr id="20" name="Picture 20" descr="Table 13. Baseline characteristics and survival data for patients with distant metastatic BCC from the literature and from studies with vismodegi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4084281" cy="4242894"/>
                    </a:xfrm>
                    <a:prstGeom prst="rect">
                      <a:avLst/>
                    </a:prstGeom>
                    <a:noFill/>
                    <a:ln w="9525">
                      <a:noFill/>
                      <a:miter lim="800000"/>
                      <a:headEnd/>
                      <a:tailEnd/>
                    </a:ln>
                  </pic:spPr>
                </pic:pic>
              </a:graphicData>
            </a:graphic>
          </wp:inline>
        </w:drawing>
      </w:r>
    </w:p>
    <w:p w:rsidR="00C33C85" w:rsidRPr="00C33C85" w:rsidRDefault="00C33C85" w:rsidP="00363CD3">
      <w:r w:rsidRPr="00C33C85">
        <w:t>Differences in percentage one year survival illustrated indicate that for those patients on the studies with vismodegib</w:t>
      </w:r>
      <w:r w:rsidR="00A779E2">
        <w:t>,</w:t>
      </w:r>
      <w:r w:rsidRPr="00C33C85">
        <w:t xml:space="preserve"> fr</w:t>
      </w:r>
      <w:r w:rsidR="0028177D">
        <w:t>om the first dose of vismodegib</w:t>
      </w:r>
      <w:r w:rsidRPr="00C33C85">
        <w:t>, the one year survival was 84.2% whereas from diagnosis of metastatic BCC the one year survival was 100%</w:t>
      </w:r>
      <w:r w:rsidR="00A779E2">
        <w:t xml:space="preserve">. This </w:t>
      </w:r>
      <w:r w:rsidRPr="00C33C85">
        <w:t xml:space="preserve">compares to </w:t>
      </w:r>
      <w:r w:rsidR="00A779E2">
        <w:t xml:space="preserve">a survival rate from diagnosis of </w:t>
      </w:r>
      <w:r w:rsidRPr="00C33C85">
        <w:t>58.6% for the literature review patients.</w:t>
      </w:r>
      <w:r w:rsidR="00F828C8">
        <w:t xml:space="preserve"> </w:t>
      </w:r>
    </w:p>
    <w:p w:rsidR="00C33C85" w:rsidRPr="00C33C85" w:rsidRDefault="00C33C85" w:rsidP="00363CD3">
      <w:r w:rsidRPr="00C33C85">
        <w:t>This data suffers from the difficulties associated with summating multiple case reports and probably has relatively little to offer in terms of further validating the evidence of efficacy for vismodegib in patients with metastatic BCC.</w:t>
      </w:r>
      <w:r w:rsidR="00F828C8">
        <w:t xml:space="preserve"> </w:t>
      </w:r>
    </w:p>
    <w:p w:rsidR="00C33C85" w:rsidRPr="00C33C85" w:rsidRDefault="00C33C85" w:rsidP="00363CD3">
      <w:r w:rsidRPr="00C33C85">
        <w:t>In relation to the proposal that a randomised trial would be optimal in ultimately determi</w:t>
      </w:r>
      <w:r w:rsidR="0028177D">
        <w:t>ning the efficacy of vismodegib</w:t>
      </w:r>
      <w:r w:rsidRPr="00C33C85">
        <w:t>, the sponsor ha</w:t>
      </w:r>
      <w:r w:rsidR="00A779E2">
        <w:t xml:space="preserve">s </w:t>
      </w:r>
      <w:r w:rsidRPr="00C33C85">
        <w:t xml:space="preserve">replied with an indication that they consider </w:t>
      </w:r>
      <w:r w:rsidR="00A779E2">
        <w:t xml:space="preserve">there are </w:t>
      </w:r>
      <w:r w:rsidRPr="00C33C85">
        <w:t>considerable difficulties in potentially organi</w:t>
      </w:r>
      <w:r w:rsidR="00BF1EFC">
        <w:t xml:space="preserve">sing and running such a study. </w:t>
      </w:r>
      <w:r w:rsidRPr="00C33C85">
        <w:t>This revolves around difficulties with a double blind trial in circumstances where skin lesions are readily viewed by both patient</w:t>
      </w:r>
      <w:r w:rsidR="00BF1EFC">
        <w:t xml:space="preserve">s and medical staff. </w:t>
      </w:r>
      <w:r w:rsidRPr="00C33C85">
        <w:t xml:space="preserve">Also the </w:t>
      </w:r>
      <w:r w:rsidR="00861424">
        <w:t xml:space="preserve">AEs </w:t>
      </w:r>
      <w:r w:rsidRPr="00C33C85">
        <w:t>associated with vismodegib would be very likely to clearly indicate those patients who are actually receiving vismodegib in a placebo controlled study.</w:t>
      </w:r>
      <w:r w:rsidR="00F828C8">
        <w:t xml:space="preserve"> </w:t>
      </w:r>
    </w:p>
    <w:p w:rsidR="00C33C85" w:rsidRPr="00C33C85" w:rsidRDefault="00C33C85" w:rsidP="00363CD3">
      <w:r w:rsidRPr="00C33C85">
        <w:t xml:space="preserve">Probably the most pertinent argument </w:t>
      </w:r>
      <w:r w:rsidR="00EF1A8F">
        <w:t xml:space="preserve">is the view </w:t>
      </w:r>
      <w:r w:rsidRPr="00C33C85">
        <w:t xml:space="preserve">that BCC in locally advanced disease is readily apparent and therefore specific changes in the tumours in terms of size, ulceration </w:t>
      </w:r>
      <w:r w:rsidR="00BF1EFC">
        <w:t xml:space="preserve">and such characteristics </w:t>
      </w:r>
      <w:r w:rsidRPr="00C33C85">
        <w:t>can be c</w:t>
      </w:r>
      <w:r w:rsidR="00BF1EFC">
        <w:t xml:space="preserve">learly indicative of response. </w:t>
      </w:r>
      <w:r w:rsidRPr="00C33C85">
        <w:t>This is appropriate in circumstances where all aspects of the disease are apparent on the skin</w:t>
      </w:r>
      <w:r w:rsidR="00EF1A8F">
        <w:t>,</w:t>
      </w:r>
      <w:r w:rsidRPr="00C33C85">
        <w:t xml:space="preserve"> but </w:t>
      </w:r>
      <w:r w:rsidR="00EF1A8F">
        <w:t xml:space="preserve">this </w:t>
      </w:r>
      <w:r w:rsidRPr="00C33C85">
        <w:t>do</w:t>
      </w:r>
      <w:r w:rsidR="00EF1A8F">
        <w:t>es</w:t>
      </w:r>
      <w:r w:rsidRPr="00C33C85">
        <w:t xml:space="preserve"> not take into account the evaluation of circumstances with metastatic BCC where potentially lymph nodes and other organs such as lungs and liver may</w:t>
      </w:r>
      <w:r w:rsidR="00BF1EFC">
        <w:t xml:space="preserve"> </w:t>
      </w:r>
      <w:r w:rsidRPr="00C33C85">
        <w:t xml:space="preserve">be affected. Nevertheless taking into account the concerns the sponsor has raised together with the fact that the updated information on the pivotal </w:t>
      </w:r>
      <w:r w:rsidR="00F54C3F">
        <w:t>S</w:t>
      </w:r>
      <w:r w:rsidRPr="00C33C85">
        <w:t xml:space="preserve">tudy </w:t>
      </w:r>
      <w:r w:rsidR="00BF1EFC">
        <w:t>SHH4476g</w:t>
      </w:r>
      <w:r w:rsidRPr="00C33C85">
        <w:t xml:space="preserve"> reinforce the indication of definite benefit</w:t>
      </w:r>
      <w:r w:rsidR="00BF1EFC">
        <w:t xml:space="preserve">, the </w:t>
      </w:r>
      <w:r w:rsidRPr="00C33C85">
        <w:t>evaluator feels it is reasonable not to press too strongly regarding the requirement for a randomised study.</w:t>
      </w:r>
      <w:r w:rsidR="00F828C8">
        <w:t xml:space="preserve"> </w:t>
      </w:r>
    </w:p>
    <w:p w:rsidR="00C33C85" w:rsidRPr="00C33C85" w:rsidRDefault="00C33C85" w:rsidP="00363CD3">
      <w:r w:rsidRPr="00C33C85">
        <w:t>In relation to the issue regarding evidence that vismodegib influences potential for greater surgical resection af</w:t>
      </w:r>
      <w:r w:rsidR="00F54C3F">
        <w:t>ter major response, the sponsor</w:t>
      </w:r>
      <w:r w:rsidRPr="00C33C85">
        <w:t xml:space="preserve"> acknowledge the importance of determining whether vismodegib may have clinical value as a pre-operative treatment and are in the </w:t>
      </w:r>
      <w:r w:rsidR="00BF1EFC">
        <w:t>process of undertaking a pilot Study SHH4812g</w:t>
      </w:r>
      <w:r w:rsidRPr="00C33C85">
        <w:t xml:space="preserve"> evaluating the ability of vismodegib to produce complete histological clearance and safety in patients with newly diagnosed operable nodular BCC</w:t>
      </w:r>
      <w:r w:rsidR="00BF1EFC">
        <w:t xml:space="preserve">. </w:t>
      </w:r>
      <w:r w:rsidRPr="00C33C85">
        <w:t>It is understood the results from cohort 1 of this study are presently being assessed to determine the poten</w:t>
      </w:r>
      <w:r w:rsidR="00BF1EFC">
        <w:t xml:space="preserve">tial for further evaluation of </w:t>
      </w:r>
      <w:r w:rsidRPr="00C33C85">
        <w:t>vismodegib in a preoperative setting.</w:t>
      </w:r>
      <w:r w:rsidR="00F828C8">
        <w:t xml:space="preserve"> </w:t>
      </w:r>
    </w:p>
    <w:p w:rsidR="00C33C85" w:rsidRPr="005459F8" w:rsidRDefault="00BF1EFC" w:rsidP="00363CD3">
      <w:pPr>
        <w:pStyle w:val="Heading4"/>
      </w:pPr>
      <w:r>
        <w:t>Evaluator c</w:t>
      </w:r>
      <w:r w:rsidR="005459F8" w:rsidRPr="005459F8">
        <w:t>omment</w:t>
      </w:r>
    </w:p>
    <w:p w:rsidR="00C33C85" w:rsidRDefault="00C33C85" w:rsidP="00363CD3">
      <w:r w:rsidRPr="00C33C85">
        <w:t xml:space="preserve">The data presented in this section essentially provides useful information regarding updated results </w:t>
      </w:r>
      <w:r w:rsidR="00F54C3F">
        <w:t xml:space="preserve">of </w:t>
      </w:r>
      <w:r w:rsidRPr="00C33C85">
        <w:t>response rate and duration of response for the previ</w:t>
      </w:r>
      <w:r w:rsidR="005459F8">
        <w:t xml:space="preserve">ously evaluated pivotal study. </w:t>
      </w:r>
      <w:r w:rsidRPr="00C33C85">
        <w:t xml:space="preserve">Also provided is new information regarding </w:t>
      </w:r>
      <w:r w:rsidR="00725C60">
        <w:t>PFS</w:t>
      </w:r>
      <w:r w:rsidR="00F54C3F">
        <w:t>,</w:t>
      </w:r>
      <w:r w:rsidR="00725C60">
        <w:t xml:space="preserve"> </w:t>
      </w:r>
      <w:r w:rsidRPr="00C33C85">
        <w:t xml:space="preserve">which is of some benefit. The attempt to further assess </w:t>
      </w:r>
      <w:r w:rsidR="00725C60">
        <w:t xml:space="preserve">PFS </w:t>
      </w:r>
      <w:r w:rsidRPr="00C33C85">
        <w:t xml:space="preserve">and </w:t>
      </w:r>
      <w:r w:rsidR="00725C60">
        <w:t>OS</w:t>
      </w:r>
      <w:r w:rsidRPr="00C33C85">
        <w:t xml:space="preserve"> by evaluating comparisons between responders and non-res</w:t>
      </w:r>
      <w:r w:rsidR="005459F8">
        <w:t xml:space="preserve">ponders in the pivotal study has relatively little to offer. </w:t>
      </w:r>
      <w:r w:rsidRPr="00C33C85">
        <w:t xml:space="preserve">The remaining aspects </w:t>
      </w:r>
      <w:r w:rsidR="00F54C3F">
        <w:t>regarding</w:t>
      </w:r>
      <w:r w:rsidRPr="00C33C85">
        <w:t xml:space="preserve"> a randomised study and preoperative assessment of vismodegib have been addressed and seem reasonable. </w:t>
      </w:r>
    </w:p>
    <w:p w:rsidR="00C33C85" w:rsidRPr="00C33C85" w:rsidRDefault="00C33C85" w:rsidP="00363CD3">
      <w:pPr>
        <w:pStyle w:val="Heading3"/>
      </w:pPr>
      <w:bookmarkStart w:id="121" w:name="_Toc363557281"/>
      <w:bookmarkStart w:id="122" w:name="_Toc370129104"/>
      <w:r w:rsidRPr="00C33C85">
        <w:t>Second round benefit-risk assessment</w:t>
      </w:r>
      <w:bookmarkEnd w:id="121"/>
      <w:bookmarkEnd w:id="122"/>
    </w:p>
    <w:p w:rsidR="00C33C85" w:rsidRPr="00C33C85" w:rsidRDefault="00C33C85" w:rsidP="00363CD3">
      <w:pPr>
        <w:pStyle w:val="Heading4"/>
      </w:pPr>
      <w:r w:rsidRPr="00C33C85">
        <w:t>Second round assessment of benefits</w:t>
      </w:r>
    </w:p>
    <w:p w:rsidR="00C33C85" w:rsidRPr="00C33C85" w:rsidRDefault="00C33C85" w:rsidP="00363CD3">
      <w:r w:rsidRPr="00C33C85">
        <w:t xml:space="preserve">The data presented in response </w:t>
      </w:r>
      <w:r w:rsidR="00F54C3F">
        <w:t>to the</w:t>
      </w:r>
      <w:r w:rsidR="00C221D3">
        <w:t xml:space="preserve"> TGA request for further information </w:t>
      </w:r>
      <w:r w:rsidRPr="00C33C85">
        <w:t xml:space="preserve">provides a further 12 months of follow up in the pivotal </w:t>
      </w:r>
      <w:r w:rsidR="00C221D3">
        <w:t>S</w:t>
      </w:r>
      <w:r w:rsidRPr="00C33C85">
        <w:t xml:space="preserve">tudy </w:t>
      </w:r>
      <w:r w:rsidR="00C221D3">
        <w:t>SHH4476g</w:t>
      </w:r>
      <w:r w:rsidR="00F54C3F">
        <w:t>,</w:t>
      </w:r>
      <w:r w:rsidRPr="00C33C85">
        <w:t xml:space="preserve"> indicating ongoing durability of response and main</w:t>
      </w:r>
      <w:r w:rsidR="00C221D3">
        <w:t xml:space="preserve">tenance of levels of response. </w:t>
      </w:r>
      <w:r w:rsidRPr="00C33C85">
        <w:t>There is also data to support the duration of response evidence w</w:t>
      </w:r>
      <w:r w:rsidR="00C221D3">
        <w:t xml:space="preserve">ith </w:t>
      </w:r>
      <w:r w:rsidR="00725C60">
        <w:t>PFS</w:t>
      </w:r>
      <w:r w:rsidR="00C221D3">
        <w:t xml:space="preserve">. </w:t>
      </w:r>
      <w:r w:rsidRPr="00C33C85">
        <w:t>Up to this time no useful information has been provided in reference</w:t>
      </w:r>
      <w:r w:rsidR="00C221D3">
        <w:t xml:space="preserve"> to </w:t>
      </w:r>
      <w:r w:rsidR="00725C60">
        <w:t>OS</w:t>
      </w:r>
      <w:r w:rsidR="00C221D3">
        <w:t xml:space="preserve">. </w:t>
      </w:r>
      <w:r w:rsidRPr="00C33C85">
        <w:t>Comparison between responders and non-responders in the pivotal study re</w:t>
      </w:r>
      <w:r w:rsidR="00C221D3">
        <w:t>garding</w:t>
      </w:r>
      <w:r w:rsidRPr="00C33C85">
        <w:t xml:space="preserve"> </w:t>
      </w:r>
      <w:r w:rsidR="00725C60">
        <w:t xml:space="preserve">PFS </w:t>
      </w:r>
      <w:r w:rsidRPr="00C33C85">
        <w:t xml:space="preserve">and </w:t>
      </w:r>
      <w:r w:rsidR="00725C60">
        <w:t>OS</w:t>
      </w:r>
      <w:r w:rsidRPr="00C33C85">
        <w:t xml:space="preserve"> are of </w:t>
      </w:r>
      <w:r w:rsidR="00C221D3">
        <w:t>limited value</w:t>
      </w:r>
      <w:r w:rsidR="00796542">
        <w:t>,</w:t>
      </w:r>
      <w:r w:rsidR="00C221D3">
        <w:t xml:space="preserve"> as stated above. </w:t>
      </w:r>
      <w:r w:rsidRPr="00C33C85">
        <w:t>There is an effort to compare the results from vismodegib studies with literature reviews in</w:t>
      </w:r>
      <w:r w:rsidR="00C221D3">
        <w:t xml:space="preserve">volving multiple case reports. </w:t>
      </w:r>
      <w:r w:rsidRPr="00C33C85">
        <w:t xml:space="preserve">This is of very limited benefit and does not really add to the indication of </w:t>
      </w:r>
      <w:proofErr w:type="spellStart"/>
      <w:r w:rsidRPr="00C33C85">
        <w:t>vism</w:t>
      </w:r>
      <w:r w:rsidR="00C4500F">
        <w:t>odegib</w:t>
      </w:r>
      <w:r w:rsidRPr="00C33C85">
        <w:t>’s</w:t>
      </w:r>
      <w:proofErr w:type="spellEnd"/>
      <w:r w:rsidRPr="00C33C85">
        <w:t xml:space="preserve"> efficacy.</w:t>
      </w:r>
      <w:r w:rsidR="00F828C8">
        <w:t xml:space="preserve"> </w:t>
      </w:r>
    </w:p>
    <w:p w:rsidR="00C33C85" w:rsidRPr="00C33C85" w:rsidRDefault="00C33C85" w:rsidP="00363CD3">
      <w:r w:rsidRPr="00C33C85">
        <w:t>Nevertheless</w:t>
      </w:r>
      <w:r w:rsidR="00796542">
        <w:t>,</w:t>
      </w:r>
      <w:r w:rsidRPr="00C33C85">
        <w:t xml:space="preserve"> the data still provides sufficient support that vismodegib represents an advance in treatment for those patients with metastatic BCC or locally advanced BCC.</w:t>
      </w:r>
    </w:p>
    <w:p w:rsidR="00C33C85" w:rsidRPr="00C33C85" w:rsidRDefault="00C33C85" w:rsidP="00363CD3">
      <w:pPr>
        <w:pStyle w:val="Heading4"/>
      </w:pPr>
      <w:r w:rsidRPr="00C33C85">
        <w:t>Second round assessment of risks:</w:t>
      </w:r>
    </w:p>
    <w:p w:rsidR="00C33C85" w:rsidRPr="00C33C85" w:rsidRDefault="00C33C85" w:rsidP="00363CD3">
      <w:r w:rsidRPr="00C33C85">
        <w:t>There are no new data provided in relation to risks.</w:t>
      </w:r>
      <w:r w:rsidR="00F828C8">
        <w:t xml:space="preserve"> </w:t>
      </w:r>
    </w:p>
    <w:p w:rsidR="00C33C85" w:rsidRPr="00C33C85" w:rsidRDefault="00C33C85" w:rsidP="00363CD3">
      <w:pPr>
        <w:pStyle w:val="Heading4"/>
      </w:pPr>
      <w:r w:rsidRPr="00C33C85">
        <w:t>Sec</w:t>
      </w:r>
      <w:r w:rsidR="00796542">
        <w:t>ond round assessment of benefit-</w:t>
      </w:r>
      <w:r w:rsidRPr="00C33C85">
        <w:t>risk balance</w:t>
      </w:r>
    </w:p>
    <w:p w:rsidR="00C33C85" w:rsidRPr="00B25A0E" w:rsidRDefault="00C33C85" w:rsidP="00363CD3">
      <w:r w:rsidRPr="00C33C85">
        <w:t xml:space="preserve">The balance remains favourable in terms of appropriate evidence of benefit in the context of manageable </w:t>
      </w:r>
      <w:r w:rsidR="00861424">
        <w:t>AEs</w:t>
      </w:r>
      <w:r w:rsidR="00B25A0E">
        <w:t>,</w:t>
      </w:r>
      <w:r w:rsidR="00861424">
        <w:t xml:space="preserve"> </w:t>
      </w:r>
      <w:r w:rsidRPr="00C33C85">
        <w:t xml:space="preserve">as provided from the data from the pivotal study and the earlier </w:t>
      </w:r>
      <w:r w:rsidR="00C4500F">
        <w:t>P</w:t>
      </w:r>
      <w:r w:rsidRPr="00C33C85">
        <w:t xml:space="preserve">hase I </w:t>
      </w:r>
      <w:r w:rsidR="00C4500F">
        <w:t>S</w:t>
      </w:r>
      <w:r w:rsidRPr="00C33C85">
        <w:t xml:space="preserve">tudy </w:t>
      </w:r>
      <w:r w:rsidR="00C4500F">
        <w:t xml:space="preserve">SHH3925g. </w:t>
      </w:r>
      <w:r w:rsidRPr="00C33C85">
        <w:t>Accordingly</w:t>
      </w:r>
      <w:r w:rsidR="00B25A0E">
        <w:t>,</w:t>
      </w:r>
      <w:r w:rsidRPr="00C33C85">
        <w:t xml:space="preserve"> </w:t>
      </w:r>
      <w:r w:rsidR="00C221D3">
        <w:t xml:space="preserve">the evaluator </w:t>
      </w:r>
      <w:r w:rsidRPr="00C33C85">
        <w:t xml:space="preserve">remains supportive of the appropriateness of vismodegib for the proposed </w:t>
      </w:r>
      <w:r w:rsidRPr="00B25A0E">
        <w:t xml:space="preserve">indication for the treatment of adult patients with advanced </w:t>
      </w:r>
      <w:r w:rsidR="00B25A0E">
        <w:t xml:space="preserve">BCC </w:t>
      </w:r>
      <w:r w:rsidRPr="00B25A0E">
        <w:t>for whom surgery is inappropriate.</w:t>
      </w:r>
    </w:p>
    <w:p w:rsidR="00C33C85" w:rsidRPr="00C33C85" w:rsidRDefault="00C33C85" w:rsidP="00363CD3">
      <w:pPr>
        <w:pStyle w:val="Heading3"/>
      </w:pPr>
      <w:bookmarkStart w:id="123" w:name="_Toc363557282"/>
      <w:bookmarkStart w:id="124" w:name="_Toc370129105"/>
      <w:r w:rsidRPr="00C33C85">
        <w:t>Second round recommendation regarding authorisation</w:t>
      </w:r>
      <w:bookmarkEnd w:id="123"/>
      <w:bookmarkEnd w:id="124"/>
    </w:p>
    <w:p w:rsidR="008E7846" w:rsidRDefault="00C33C85" w:rsidP="00363CD3">
      <w:r w:rsidRPr="00C33C85">
        <w:t xml:space="preserve">This evaluator continues to support the application for vismodegib in </w:t>
      </w:r>
      <w:r w:rsidRPr="00B25A0E">
        <w:rPr>
          <w:i/>
        </w:rPr>
        <w:t xml:space="preserve">the treatment of adult patients with advanced </w:t>
      </w:r>
      <w:r w:rsidR="00B25A0E" w:rsidRPr="00B25A0E">
        <w:rPr>
          <w:i/>
        </w:rPr>
        <w:t xml:space="preserve">BCC </w:t>
      </w:r>
      <w:r w:rsidRPr="00B25A0E">
        <w:rPr>
          <w:i/>
        </w:rPr>
        <w:t xml:space="preserve">for </w:t>
      </w:r>
      <w:r w:rsidR="00C4500F" w:rsidRPr="00B25A0E">
        <w:rPr>
          <w:i/>
        </w:rPr>
        <w:t>whom surgery is inappropriate</w:t>
      </w:r>
      <w:r w:rsidR="00C4500F">
        <w:t xml:space="preserve">. </w:t>
      </w:r>
      <w:r w:rsidRPr="00C33C85">
        <w:t xml:space="preserve">Evidence is still essentially in favour of the beneficial effects of vismodegib in the context of an unusual malignancy </w:t>
      </w:r>
      <w:r w:rsidR="00B25A0E">
        <w:t xml:space="preserve">for which there is </w:t>
      </w:r>
      <w:r w:rsidRPr="00C33C85">
        <w:t>otherwise little in the way of worthwhile treatments available in the setting proposed.</w:t>
      </w:r>
    </w:p>
    <w:p w:rsidR="008E7846" w:rsidRPr="00E41208" w:rsidRDefault="008E7846" w:rsidP="00363CD3">
      <w:pPr>
        <w:pStyle w:val="Heading2"/>
      </w:pPr>
      <w:bookmarkStart w:id="125" w:name="_Toc247691524"/>
      <w:bookmarkStart w:id="126" w:name="_Toc314842508"/>
      <w:bookmarkStart w:id="127" w:name="_Toc370129106"/>
      <w:r w:rsidRPr="00E41208">
        <w:t xml:space="preserve">V. Pharmacovigilance </w:t>
      </w:r>
      <w:r>
        <w:t>f</w:t>
      </w:r>
      <w:r w:rsidRPr="00E41208">
        <w:t>indings</w:t>
      </w:r>
      <w:bookmarkEnd w:id="125"/>
      <w:bookmarkEnd w:id="126"/>
      <w:bookmarkEnd w:id="127"/>
    </w:p>
    <w:p w:rsidR="008E7846" w:rsidRDefault="00386150" w:rsidP="00363CD3">
      <w:pPr>
        <w:pStyle w:val="Heading3"/>
        <w:rPr>
          <w:lang w:eastAsia="en-AU"/>
        </w:rPr>
      </w:pPr>
      <w:bookmarkStart w:id="128" w:name="_Toc247691526"/>
      <w:bookmarkStart w:id="129" w:name="_Toc314842509"/>
      <w:bookmarkStart w:id="130" w:name="_Toc370129107"/>
      <w:r>
        <w:rPr>
          <w:lang w:eastAsia="en-AU"/>
        </w:rPr>
        <w:t>Risk m</w:t>
      </w:r>
      <w:r w:rsidR="008E7846">
        <w:rPr>
          <w:lang w:eastAsia="en-AU"/>
        </w:rPr>
        <w:t xml:space="preserve">anagement </w:t>
      </w:r>
      <w:r>
        <w:rPr>
          <w:lang w:eastAsia="en-AU"/>
        </w:rPr>
        <w:t>p</w:t>
      </w:r>
      <w:r w:rsidR="008E7846">
        <w:rPr>
          <w:lang w:eastAsia="en-AU"/>
        </w:rPr>
        <w:t>lan</w:t>
      </w:r>
      <w:bookmarkEnd w:id="128"/>
      <w:bookmarkEnd w:id="129"/>
      <w:bookmarkEnd w:id="130"/>
    </w:p>
    <w:p w:rsidR="008E7846" w:rsidRDefault="008E7846" w:rsidP="00363CD3">
      <w:r w:rsidRPr="00B7231F">
        <w:t xml:space="preserve">The sponsor submitted a Risk Management Plan </w:t>
      </w:r>
      <w:r w:rsidR="00B7231F" w:rsidRPr="00B7231F">
        <w:t>(Version: 1.0, dated 31 January 2012</w:t>
      </w:r>
      <w:r w:rsidR="00B7231F">
        <w:t>, with Australia Specific Annex (</w:t>
      </w:r>
      <w:r w:rsidR="00B7231F" w:rsidRPr="00B7231F">
        <w:t>ASA</w:t>
      </w:r>
      <w:r w:rsidR="00B7231F">
        <w:t>)</w:t>
      </w:r>
      <w:r w:rsidR="00B7231F" w:rsidRPr="00B7231F">
        <w:t xml:space="preserve"> Version: 1.0, dated April 2012) </w:t>
      </w:r>
      <w:r w:rsidRPr="00B7231F">
        <w:t>which was reviewed by the TGA’s Office of Product Review (OPR).</w:t>
      </w:r>
      <w:r w:rsidR="00B7231F">
        <w:t xml:space="preserve"> A summar</w:t>
      </w:r>
      <w:r w:rsidR="000A623E">
        <w:t>y of the RMP is shown in Table 14</w:t>
      </w:r>
      <w:r w:rsidR="00B7231F">
        <w:t>.</w:t>
      </w:r>
    </w:p>
    <w:p w:rsidR="00B7231F" w:rsidRPr="00B7231F" w:rsidRDefault="00B7231F" w:rsidP="00363CD3">
      <w:pPr>
        <w:pStyle w:val="TableTitle"/>
      </w:pPr>
      <w:r>
        <w:t xml:space="preserve">Table </w:t>
      </w:r>
      <w:r w:rsidR="000A623E">
        <w:t>14</w:t>
      </w:r>
      <w:r>
        <w:t>. S</w:t>
      </w:r>
      <w:r w:rsidRPr="00B7231F">
        <w:t>ummary of the RMP.</w:t>
      </w:r>
    </w:p>
    <w:p w:rsidR="00B7231F" w:rsidRDefault="00B7231F" w:rsidP="00363CD3">
      <w:pPr>
        <w:rPr>
          <w:lang w:eastAsia="en-AU"/>
        </w:rPr>
      </w:pPr>
      <w:r>
        <w:rPr>
          <w:noProof/>
          <w:lang w:eastAsia="en-AU"/>
        </w:rPr>
        <w:drawing>
          <wp:inline distT="0" distB="0" distL="0" distR="0">
            <wp:extent cx="4555523" cy="7266215"/>
            <wp:effectExtent l="19050" t="0" r="0" b="0"/>
            <wp:docPr id="15" name="Picture 15" descr="Table 14. Summary of the R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4555523" cy="7266215"/>
                    </a:xfrm>
                    <a:prstGeom prst="rect">
                      <a:avLst/>
                    </a:prstGeom>
                    <a:noFill/>
                    <a:ln w="9525">
                      <a:noFill/>
                      <a:miter lim="800000"/>
                      <a:headEnd/>
                      <a:tailEnd/>
                    </a:ln>
                  </pic:spPr>
                </pic:pic>
              </a:graphicData>
            </a:graphic>
          </wp:inline>
        </w:drawing>
      </w:r>
    </w:p>
    <w:p w:rsidR="008E7846" w:rsidRDefault="003A7F6C" w:rsidP="00363CD3">
      <w:pPr>
        <w:pStyle w:val="Heading4"/>
        <w:rPr>
          <w:lang w:eastAsia="en-AU"/>
        </w:rPr>
      </w:pPr>
      <w:r>
        <w:rPr>
          <w:lang w:eastAsia="en-AU"/>
        </w:rPr>
        <w:t>Safety s</w:t>
      </w:r>
      <w:r w:rsidR="008E7846">
        <w:rPr>
          <w:lang w:eastAsia="en-AU"/>
        </w:rPr>
        <w:t>pecification</w:t>
      </w:r>
    </w:p>
    <w:p w:rsidR="00B7231F" w:rsidRPr="00B7231F" w:rsidRDefault="00B7231F" w:rsidP="00B7231F">
      <w:pPr>
        <w:rPr>
          <w:lang w:eastAsia="en-AU"/>
        </w:rPr>
      </w:pPr>
      <w:r w:rsidRPr="00B7231F">
        <w:rPr>
          <w:lang w:eastAsia="en-AU"/>
        </w:rPr>
        <w:t>Subje</w:t>
      </w:r>
      <w:r>
        <w:rPr>
          <w:lang w:eastAsia="en-AU"/>
        </w:rPr>
        <w:t>ct to the evaluation of the non</w:t>
      </w:r>
      <w:r w:rsidRPr="00B7231F">
        <w:rPr>
          <w:lang w:eastAsia="en-AU"/>
        </w:rPr>
        <w:t>clinical aspects of the Safety Specification (SS) by the Toxicology area of the</w:t>
      </w:r>
      <w:r w:rsidR="0064028F">
        <w:rPr>
          <w:lang w:eastAsia="en-AU"/>
        </w:rPr>
        <w:t xml:space="preserve"> Office of Scientific Evaluation (</w:t>
      </w:r>
      <w:r w:rsidRPr="00B7231F">
        <w:rPr>
          <w:lang w:eastAsia="en-AU"/>
        </w:rPr>
        <w:t>OSE</w:t>
      </w:r>
      <w:r w:rsidR="0064028F">
        <w:rPr>
          <w:lang w:eastAsia="en-AU"/>
        </w:rPr>
        <w:t>)</w:t>
      </w:r>
      <w:r w:rsidRPr="00B7231F">
        <w:rPr>
          <w:lang w:eastAsia="en-AU"/>
        </w:rPr>
        <w:t xml:space="preserve"> and the clinical aspects of the SS by the </w:t>
      </w:r>
      <w:r w:rsidR="0064028F">
        <w:rPr>
          <w:lang w:eastAsia="en-AU"/>
        </w:rPr>
        <w:t>Office of Medicines Authorisation (</w:t>
      </w:r>
      <w:r w:rsidRPr="00B7231F">
        <w:rPr>
          <w:lang w:eastAsia="en-AU"/>
        </w:rPr>
        <w:t>OMA</w:t>
      </w:r>
      <w:r w:rsidR="0064028F">
        <w:rPr>
          <w:lang w:eastAsia="en-AU"/>
        </w:rPr>
        <w:t>)</w:t>
      </w:r>
      <w:r w:rsidRPr="00B7231F">
        <w:rPr>
          <w:lang w:eastAsia="en-AU"/>
        </w:rPr>
        <w:t>, the summary of the Ongoing Safety Concerns as specified by the sponsor is as follows:</w:t>
      </w:r>
    </w:p>
    <w:p w:rsidR="00B7231F" w:rsidRPr="00B7231F" w:rsidRDefault="00B7231F" w:rsidP="00087950">
      <w:pPr>
        <w:pStyle w:val="TableTitle"/>
        <w:rPr>
          <w:lang w:eastAsia="en-AU"/>
        </w:rPr>
      </w:pPr>
      <w:r>
        <w:rPr>
          <w:lang w:eastAsia="en-AU"/>
        </w:rPr>
        <w:t xml:space="preserve">Table </w:t>
      </w:r>
      <w:r w:rsidR="000A623E">
        <w:rPr>
          <w:lang w:eastAsia="en-AU"/>
        </w:rPr>
        <w:t>15</w:t>
      </w:r>
      <w:r>
        <w:rPr>
          <w:lang w:eastAsia="en-AU"/>
        </w:rPr>
        <w:t>. S</w:t>
      </w:r>
      <w:r w:rsidRPr="00B7231F">
        <w:rPr>
          <w:lang w:eastAsia="en-AU"/>
        </w:rPr>
        <w:t>ummary of the Ongoing Safety Concerns</w:t>
      </w:r>
    </w:p>
    <w:p w:rsidR="00B7231F" w:rsidRPr="00B7231F" w:rsidRDefault="00B7231F" w:rsidP="00087950">
      <w:pPr>
        <w:rPr>
          <w:lang w:eastAsia="en-AU"/>
        </w:rPr>
      </w:pPr>
      <w:r w:rsidRPr="00B7231F">
        <w:rPr>
          <w:noProof/>
          <w:lang w:eastAsia="en-AU"/>
        </w:rPr>
        <w:drawing>
          <wp:inline distT="0" distB="0" distL="0" distR="0">
            <wp:extent cx="5242560" cy="617220"/>
            <wp:effectExtent l="19050" t="0" r="0" b="0"/>
            <wp:docPr id="10" name="Picture 55" descr="Table 15. Summary of the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srcRect/>
                    <a:stretch>
                      <a:fillRect/>
                    </a:stretch>
                  </pic:blipFill>
                  <pic:spPr bwMode="auto">
                    <a:xfrm>
                      <a:off x="0" y="0"/>
                      <a:ext cx="5242560" cy="617220"/>
                    </a:xfrm>
                    <a:prstGeom prst="rect">
                      <a:avLst/>
                    </a:prstGeom>
                    <a:noFill/>
                    <a:ln w="9525">
                      <a:noFill/>
                      <a:miter lim="800000"/>
                      <a:headEnd/>
                      <a:tailEnd/>
                    </a:ln>
                  </pic:spPr>
                </pic:pic>
              </a:graphicData>
            </a:graphic>
          </wp:inline>
        </w:drawing>
      </w:r>
    </w:p>
    <w:p w:rsidR="00B7231F" w:rsidRPr="00B7231F" w:rsidRDefault="00B7231F" w:rsidP="00087950">
      <w:pPr>
        <w:pStyle w:val="Heading5"/>
        <w:rPr>
          <w:lang w:eastAsia="en-AU"/>
        </w:rPr>
      </w:pPr>
      <w:r w:rsidRPr="00B7231F">
        <w:rPr>
          <w:lang w:eastAsia="en-AU"/>
        </w:rPr>
        <w:t>OPR reviewer comment:</w:t>
      </w:r>
    </w:p>
    <w:p w:rsidR="00B7231F" w:rsidRPr="00B7231F" w:rsidRDefault="00B7231F" w:rsidP="00087950">
      <w:pPr>
        <w:rPr>
          <w:lang w:eastAsia="en-AU"/>
        </w:rPr>
      </w:pPr>
      <w:r w:rsidRPr="00B7231F">
        <w:rPr>
          <w:lang w:eastAsia="en-AU"/>
        </w:rPr>
        <w:t>Notwithsta</w:t>
      </w:r>
      <w:r w:rsidR="004F5B1E">
        <w:rPr>
          <w:lang w:eastAsia="en-AU"/>
        </w:rPr>
        <w:t>nding the evaluation of the non</w:t>
      </w:r>
      <w:r w:rsidRPr="00B7231F">
        <w:rPr>
          <w:lang w:eastAsia="en-AU"/>
        </w:rPr>
        <w:t>clinical and clinical aspects of the SS, it is recommended that the sponsor include the important missing information: ‘Use in the Paediatric population’</w:t>
      </w:r>
      <w:r>
        <w:rPr>
          <w:lang w:eastAsia="en-AU"/>
        </w:rPr>
        <w:t xml:space="preserve"> as an ongoing safety concern. </w:t>
      </w:r>
      <w:r w:rsidRPr="00B7231F">
        <w:rPr>
          <w:lang w:eastAsia="en-AU"/>
        </w:rPr>
        <w:t>Consequently the Core RMP and ASA will need to be amended accordingly when these documents are next updated.</w:t>
      </w:r>
    </w:p>
    <w:p w:rsidR="008E7846" w:rsidRDefault="008E7846" w:rsidP="00087950">
      <w:pPr>
        <w:pStyle w:val="Heading4"/>
        <w:rPr>
          <w:lang w:eastAsia="en-AU"/>
        </w:rPr>
      </w:pPr>
      <w:r>
        <w:rPr>
          <w:lang w:eastAsia="en-AU"/>
        </w:rPr>
        <w:t xml:space="preserve">Pharmacovigilance </w:t>
      </w:r>
      <w:r w:rsidR="003A7F6C">
        <w:rPr>
          <w:lang w:eastAsia="en-AU"/>
        </w:rPr>
        <w:t>p</w:t>
      </w:r>
      <w:r>
        <w:rPr>
          <w:lang w:eastAsia="en-AU"/>
        </w:rPr>
        <w:t>lan</w:t>
      </w:r>
    </w:p>
    <w:p w:rsidR="00B7231F" w:rsidRPr="00B7231F" w:rsidRDefault="00B7231F" w:rsidP="00087950">
      <w:pPr>
        <w:rPr>
          <w:lang w:eastAsia="en-AU"/>
        </w:rPr>
      </w:pPr>
      <w:r w:rsidRPr="00B7231F">
        <w:rPr>
          <w:lang w:eastAsia="en-AU"/>
        </w:rPr>
        <w:t xml:space="preserve">The sponsor states that routine pharmacovigilance activities, consistent with the activities outlined in </w:t>
      </w:r>
      <w:r w:rsidRPr="00B7231F">
        <w:rPr>
          <w:i/>
          <w:lang w:eastAsia="en-AU"/>
        </w:rPr>
        <w:t>3.1.2 Routine pharmacovigilance practices, Note for Guidance on Planning Pharmacovigilance Activities</w:t>
      </w:r>
      <w:r w:rsidRPr="00B7231F">
        <w:rPr>
          <w:bCs/>
          <w:i/>
          <w:lang w:eastAsia="en-AU"/>
        </w:rPr>
        <w:t xml:space="preserve"> </w:t>
      </w:r>
      <w:r w:rsidRPr="00B7231F">
        <w:rPr>
          <w:i/>
          <w:lang w:eastAsia="en-AU"/>
        </w:rPr>
        <w:t>(CPMP/ICH/5716/03),</w:t>
      </w:r>
      <w:r w:rsidRPr="00B7231F">
        <w:rPr>
          <w:lang w:eastAsia="en-AU"/>
        </w:rPr>
        <w:t xml:space="preserve"> are proposed to monitor all the specified ongoing safety concerns. </w:t>
      </w:r>
    </w:p>
    <w:p w:rsidR="00B7231F" w:rsidRDefault="00B7231F" w:rsidP="00087950">
      <w:pPr>
        <w:rPr>
          <w:lang w:eastAsia="en-AU"/>
        </w:rPr>
      </w:pPr>
      <w:r w:rsidRPr="00B7231F">
        <w:rPr>
          <w:lang w:eastAsia="en-AU"/>
        </w:rPr>
        <w:t>An additional pharmacovigilance activity, in the form of a Pregnancy Pharmacovigilance Plan, is proposed to further monitor the important identified risk: ‘</w:t>
      </w:r>
      <w:proofErr w:type="spellStart"/>
      <w:r w:rsidRPr="00B7231F">
        <w:rPr>
          <w:lang w:eastAsia="en-AU"/>
        </w:rPr>
        <w:t>Teratogenicity</w:t>
      </w:r>
      <w:proofErr w:type="spellEnd"/>
      <w:r w:rsidRPr="00B7231F">
        <w:rPr>
          <w:lang w:eastAsia="en-AU"/>
        </w:rPr>
        <w:t>’.</w:t>
      </w:r>
      <w:r w:rsidR="00F828C8">
        <w:rPr>
          <w:lang w:eastAsia="en-AU"/>
        </w:rPr>
        <w:t xml:space="preserve"> </w:t>
      </w:r>
    </w:p>
    <w:p w:rsidR="004F5B1E" w:rsidRDefault="00B7231F" w:rsidP="00087950">
      <w:pPr>
        <w:rPr>
          <w:lang w:eastAsia="en-AU"/>
        </w:rPr>
      </w:pPr>
      <w:r w:rsidRPr="00B7231F">
        <w:rPr>
          <w:lang w:eastAsia="en-AU"/>
        </w:rPr>
        <w:t>Furthermore</w:t>
      </w:r>
      <w:r w:rsidR="004F5B1E">
        <w:rPr>
          <w:lang w:eastAsia="en-AU"/>
        </w:rPr>
        <w:t>, an additional</w:t>
      </w:r>
      <w:r w:rsidRPr="00B7231F">
        <w:rPr>
          <w:lang w:eastAsia="en-AU"/>
        </w:rPr>
        <w:t xml:space="preserve"> </w:t>
      </w:r>
      <w:r w:rsidR="004F5B1E">
        <w:rPr>
          <w:lang w:eastAsia="en-AU"/>
        </w:rPr>
        <w:t>study (</w:t>
      </w:r>
      <w:r w:rsidRPr="00B7231F">
        <w:rPr>
          <w:lang w:eastAsia="en-AU"/>
        </w:rPr>
        <w:t>Study GP27839</w:t>
      </w:r>
      <w:r w:rsidR="004F5B1E">
        <w:rPr>
          <w:lang w:eastAsia="en-AU"/>
        </w:rPr>
        <w:t>)</w:t>
      </w:r>
      <w:r w:rsidRPr="00B7231F">
        <w:rPr>
          <w:lang w:eastAsia="en-AU"/>
        </w:rPr>
        <w:t xml:space="preserve"> is ongoing</w:t>
      </w:r>
      <w:r w:rsidR="004F5B1E">
        <w:rPr>
          <w:lang w:eastAsia="en-AU"/>
        </w:rPr>
        <w:t xml:space="preserve"> </w:t>
      </w:r>
      <w:r w:rsidR="004F5B1E" w:rsidRPr="004F5B1E">
        <w:rPr>
          <w:lang w:eastAsia="en-AU"/>
        </w:rPr>
        <w:t>to characterise the important missing information: ‘Specific studies in hepatic impairment and renal impairment’</w:t>
      </w:r>
      <w:r w:rsidR="004F5B1E">
        <w:rPr>
          <w:lang w:eastAsia="en-AU"/>
        </w:rPr>
        <w:t xml:space="preserve">. </w:t>
      </w:r>
    </w:p>
    <w:p w:rsidR="00B7231F" w:rsidRPr="00E178E8" w:rsidRDefault="00B7231F" w:rsidP="00087950">
      <w:pPr>
        <w:rPr>
          <w:lang w:eastAsia="en-AU"/>
        </w:rPr>
      </w:pPr>
      <w:r w:rsidRPr="00B7231F">
        <w:rPr>
          <w:lang w:eastAsia="en-AU"/>
        </w:rPr>
        <w:t>In addition</w:t>
      </w:r>
      <w:r>
        <w:rPr>
          <w:lang w:eastAsia="en-AU"/>
        </w:rPr>
        <w:t xml:space="preserve">, the </w:t>
      </w:r>
      <w:r w:rsidR="00E178E8" w:rsidRPr="00E178E8">
        <w:rPr>
          <w:lang w:eastAsia="en-AU"/>
        </w:rPr>
        <w:t xml:space="preserve">‘Overview of Study Protocols for the Pharmacovigilance Plan’ and ‘Outstanding Actions to be Completed, Including Milestones’ of the Core </w:t>
      </w:r>
      <w:r>
        <w:rPr>
          <w:lang w:eastAsia="en-AU"/>
        </w:rPr>
        <w:t xml:space="preserve">RMP </w:t>
      </w:r>
      <w:r w:rsidRPr="00B7231F">
        <w:rPr>
          <w:lang w:eastAsia="en-AU"/>
        </w:rPr>
        <w:t>refer</w:t>
      </w:r>
      <w:r>
        <w:rPr>
          <w:lang w:eastAsia="en-AU"/>
        </w:rPr>
        <w:t>s</w:t>
      </w:r>
      <w:r w:rsidRPr="00B7231F">
        <w:rPr>
          <w:lang w:eastAsia="en-AU"/>
        </w:rPr>
        <w:t xml:space="preserve"> to the ongoing international Study MO25616: </w:t>
      </w:r>
      <w:r w:rsidRPr="00E178E8">
        <w:rPr>
          <w:lang w:eastAsia="en-AU"/>
        </w:rPr>
        <w:t>A single arm, open-label, non-comparative, multicentre, phase II study of vismodegib in patients with locally advanced BCC or metastatic BCC who are otherwise without satisfactory treatment options.</w:t>
      </w:r>
      <w:r w:rsidR="00F828C8">
        <w:rPr>
          <w:lang w:eastAsia="en-AU"/>
        </w:rPr>
        <w:t xml:space="preserve"> </w:t>
      </w:r>
    </w:p>
    <w:p w:rsidR="008E7846" w:rsidRDefault="008E7846" w:rsidP="00087950">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B7231F" w:rsidRPr="00B7231F" w:rsidRDefault="00B7231F" w:rsidP="00087950">
      <w:pPr>
        <w:rPr>
          <w:lang w:eastAsia="en-AU"/>
        </w:rPr>
      </w:pPr>
      <w:bookmarkStart w:id="131" w:name="_Toc247691527"/>
      <w:r w:rsidRPr="00B7231F">
        <w:rPr>
          <w:lang w:eastAsia="en-AU"/>
        </w:rPr>
        <w:t>The sponsor has provided justification and concluded that routine risk minimisation activities are required for all the spec</w:t>
      </w:r>
      <w:r w:rsidR="00787ECB">
        <w:rPr>
          <w:lang w:eastAsia="en-AU"/>
        </w:rPr>
        <w:t xml:space="preserve">ified ongoing safety concerns. </w:t>
      </w:r>
      <w:r w:rsidRPr="00B7231F">
        <w:rPr>
          <w:lang w:eastAsia="en-AU"/>
        </w:rPr>
        <w:t>Additional risk minimisation activities are also required for the important identified risk: ‘</w:t>
      </w:r>
      <w:proofErr w:type="spellStart"/>
      <w:r w:rsidRPr="00B7231F">
        <w:rPr>
          <w:lang w:eastAsia="en-AU"/>
        </w:rPr>
        <w:t>Teratogenicity</w:t>
      </w:r>
      <w:proofErr w:type="spellEnd"/>
      <w:r w:rsidRPr="00B7231F">
        <w:rPr>
          <w:lang w:eastAsia="en-AU"/>
        </w:rPr>
        <w:t>’.</w:t>
      </w:r>
    </w:p>
    <w:p w:rsidR="00B7231F" w:rsidRPr="00B7231F" w:rsidRDefault="00B7231F" w:rsidP="00087950">
      <w:pPr>
        <w:pStyle w:val="Heading5"/>
        <w:rPr>
          <w:lang w:eastAsia="en-AU"/>
        </w:rPr>
      </w:pPr>
      <w:r w:rsidRPr="00B7231F">
        <w:rPr>
          <w:lang w:eastAsia="en-AU"/>
        </w:rPr>
        <w:t>OPR reviewer comment:</w:t>
      </w:r>
      <w:r w:rsidR="00F828C8">
        <w:rPr>
          <w:lang w:eastAsia="en-AU"/>
        </w:rPr>
        <w:t xml:space="preserve"> </w:t>
      </w:r>
    </w:p>
    <w:p w:rsidR="0064028F" w:rsidRDefault="00B7231F" w:rsidP="00087950">
      <w:pPr>
        <w:rPr>
          <w:lang w:eastAsia="en-AU"/>
        </w:rPr>
      </w:pPr>
      <w:r w:rsidRPr="00B7231F">
        <w:rPr>
          <w:lang w:eastAsia="en-AU"/>
        </w:rPr>
        <w:t xml:space="preserve">Routine risk minimisation activities will comprise labelling, including </w:t>
      </w:r>
      <w:r w:rsidR="00E178E8">
        <w:rPr>
          <w:lang w:eastAsia="en-AU"/>
        </w:rPr>
        <w:t xml:space="preserve">PK </w:t>
      </w:r>
      <w:r w:rsidRPr="00B7231F">
        <w:rPr>
          <w:lang w:eastAsia="en-AU"/>
        </w:rPr>
        <w:t>information, cont</w:t>
      </w:r>
      <w:r w:rsidR="0064028F">
        <w:rPr>
          <w:lang w:eastAsia="en-AU"/>
        </w:rPr>
        <w:t>raindications, special warning and</w:t>
      </w:r>
      <w:r w:rsidRPr="00B7231F">
        <w:rPr>
          <w:lang w:eastAsia="en-AU"/>
        </w:rPr>
        <w:t xml:space="preserve"> precaution statements and/or instructions for use for all the specified ongoing safety concerns. Furthermore additional risk minimisation activities are also proposed for the important identified risk: ‘</w:t>
      </w:r>
      <w:proofErr w:type="spellStart"/>
      <w:r w:rsidRPr="00B7231F">
        <w:rPr>
          <w:lang w:eastAsia="en-AU"/>
        </w:rPr>
        <w:t>Teratogenicity</w:t>
      </w:r>
      <w:proofErr w:type="spellEnd"/>
      <w:r w:rsidRPr="00B7231F">
        <w:rPr>
          <w:lang w:eastAsia="en-AU"/>
        </w:rPr>
        <w:t>’ in the form of a ‘Communication Plan’.</w:t>
      </w:r>
      <w:r w:rsidR="00F828C8">
        <w:rPr>
          <w:lang w:eastAsia="en-AU"/>
        </w:rPr>
        <w:t xml:space="preserve"> </w:t>
      </w:r>
    </w:p>
    <w:p w:rsidR="008E7846" w:rsidRDefault="0064028F" w:rsidP="00087950">
      <w:pPr>
        <w:rPr>
          <w:lang w:eastAsia="en-AU"/>
        </w:rPr>
      </w:pPr>
      <w:r w:rsidRPr="00B7231F">
        <w:rPr>
          <w:lang w:eastAsia="en-AU"/>
        </w:rPr>
        <w:t>There is no objection to the sponsor implementing routine risk minimisation activities for all the specified ongoing safety concerns and additional risk minimisation activities to mitigate the important ident</w:t>
      </w:r>
      <w:r>
        <w:rPr>
          <w:lang w:eastAsia="en-AU"/>
        </w:rPr>
        <w:t>ified risk: ‘</w:t>
      </w:r>
      <w:proofErr w:type="spellStart"/>
      <w:r>
        <w:rPr>
          <w:lang w:eastAsia="en-AU"/>
        </w:rPr>
        <w:t>Teratogenicity</w:t>
      </w:r>
      <w:proofErr w:type="spellEnd"/>
      <w:r>
        <w:rPr>
          <w:lang w:eastAsia="en-AU"/>
        </w:rPr>
        <w:t xml:space="preserve">’. </w:t>
      </w:r>
      <w:r w:rsidRPr="00B7231F">
        <w:rPr>
          <w:lang w:eastAsia="en-AU"/>
        </w:rPr>
        <w:t>Nevertheless the non-clinical and clinical aspects of the SS remain subject to the evaluation by the Toxicology area of the OSE and by the OMA</w:t>
      </w:r>
      <w:r w:rsidR="00E178E8">
        <w:rPr>
          <w:lang w:eastAsia="en-AU"/>
        </w:rPr>
        <w:t>,</w:t>
      </w:r>
      <w:r w:rsidRPr="00B7231F">
        <w:rPr>
          <w:lang w:eastAsia="en-AU"/>
        </w:rPr>
        <w:t xml:space="preserve"> respectively.</w:t>
      </w:r>
    </w:p>
    <w:p w:rsidR="008E7846" w:rsidRDefault="008E7846" w:rsidP="00087950">
      <w:pPr>
        <w:pStyle w:val="Heading4"/>
        <w:rPr>
          <w:lang w:eastAsia="en-AU"/>
        </w:rPr>
      </w:pPr>
      <w:r>
        <w:rPr>
          <w:lang w:eastAsia="en-AU"/>
        </w:rPr>
        <w:t xml:space="preserve">Summary of </w:t>
      </w:r>
      <w:r w:rsidR="003A7F6C">
        <w:rPr>
          <w:lang w:eastAsia="en-AU"/>
        </w:rPr>
        <w:t>r</w:t>
      </w:r>
      <w:r>
        <w:rPr>
          <w:lang w:eastAsia="en-AU"/>
        </w:rPr>
        <w:t>ecommendations</w:t>
      </w:r>
    </w:p>
    <w:p w:rsidR="00B7231F" w:rsidRPr="00B7231F" w:rsidRDefault="00B7231F" w:rsidP="00087950">
      <w:pPr>
        <w:rPr>
          <w:lang w:eastAsia="en-AU"/>
        </w:rPr>
      </w:pPr>
      <w:r w:rsidRPr="00B7231F">
        <w:rPr>
          <w:lang w:eastAsia="en-AU"/>
        </w:rPr>
        <w:t xml:space="preserve">The OPR provides these recommendations in the context that the submitted AU-RMP is supportive to the application; the implementation of a RMP satisfactory to the TGA is imposed as a condition of registration; the submitted Core RMP is applicable without modification in Australia unless so qualified; and the draft </w:t>
      </w:r>
      <w:r w:rsidR="002D4451">
        <w:rPr>
          <w:lang w:eastAsia="en-AU"/>
        </w:rPr>
        <w:t xml:space="preserve">PI </w:t>
      </w:r>
      <w:r w:rsidRPr="00B7231F">
        <w:rPr>
          <w:lang w:eastAsia="en-AU"/>
        </w:rPr>
        <w:t xml:space="preserve">and </w:t>
      </w:r>
      <w:r w:rsidR="002D4451">
        <w:rPr>
          <w:lang w:eastAsia="en-AU"/>
        </w:rPr>
        <w:t xml:space="preserve">CMI </w:t>
      </w:r>
      <w:r w:rsidRPr="00B7231F">
        <w:rPr>
          <w:lang w:eastAsia="en-AU"/>
        </w:rPr>
        <w:t xml:space="preserve">documents </w:t>
      </w:r>
      <w:r w:rsidR="00E178E8">
        <w:rPr>
          <w:lang w:eastAsia="en-AU"/>
        </w:rPr>
        <w:t xml:space="preserve">are </w:t>
      </w:r>
      <w:r w:rsidR="002D4451">
        <w:rPr>
          <w:lang w:eastAsia="en-AU"/>
        </w:rPr>
        <w:t xml:space="preserve">not </w:t>
      </w:r>
      <w:r w:rsidRPr="00B7231F">
        <w:rPr>
          <w:lang w:eastAsia="en-AU"/>
        </w:rPr>
        <w:t>revised until the Delegates Overview has been received</w:t>
      </w:r>
      <w:r w:rsidR="008D6D8D">
        <w:rPr>
          <w:lang w:eastAsia="en-AU"/>
        </w:rPr>
        <w:t>.</w:t>
      </w:r>
    </w:p>
    <w:p w:rsidR="00B7231F" w:rsidRPr="00B7231F" w:rsidRDefault="00B7231F" w:rsidP="00087950">
      <w:pPr>
        <w:rPr>
          <w:lang w:eastAsia="en-AU"/>
        </w:rPr>
      </w:pPr>
      <w:r w:rsidRPr="00B7231F">
        <w:rPr>
          <w:lang w:eastAsia="en-AU"/>
        </w:rPr>
        <w:t xml:space="preserve">Safety considerations may be raised by the nonclinical and clinical evaluators </w:t>
      </w:r>
      <w:r w:rsidR="0064028F">
        <w:rPr>
          <w:lang w:eastAsia="en-AU"/>
        </w:rPr>
        <w:t xml:space="preserve">during the evaluation phase. </w:t>
      </w:r>
      <w:r w:rsidRPr="00B7231F">
        <w:rPr>
          <w:lang w:eastAsia="en-AU"/>
        </w:rPr>
        <w:t>It is important to ensure that the information provided in response to these include</w:t>
      </w:r>
      <w:r w:rsidR="0064028F">
        <w:rPr>
          <w:lang w:eastAsia="en-AU"/>
        </w:rPr>
        <w:t>s</w:t>
      </w:r>
      <w:r w:rsidRPr="00B7231F">
        <w:rPr>
          <w:lang w:eastAsia="en-AU"/>
        </w:rPr>
        <w:t xml:space="preserve"> a consideration of the relevance for the </w:t>
      </w:r>
      <w:r w:rsidR="0064028F">
        <w:rPr>
          <w:lang w:eastAsia="en-AU"/>
        </w:rPr>
        <w:t>RMP</w:t>
      </w:r>
      <w:r w:rsidRPr="00B7231F">
        <w:rPr>
          <w:lang w:eastAsia="en-AU"/>
        </w:rPr>
        <w:t xml:space="preserve">, and any specific information needed to </w:t>
      </w:r>
      <w:r w:rsidR="0064028F">
        <w:rPr>
          <w:lang w:eastAsia="en-AU"/>
        </w:rPr>
        <w:t xml:space="preserve">address this issue in the RMP. </w:t>
      </w:r>
      <w:r w:rsidRPr="00B7231F">
        <w:rPr>
          <w:bCs/>
          <w:lang w:eastAsia="en-AU"/>
        </w:rPr>
        <w:t>For any safety considerations so raised, the sponsor should provide information that is relevant and necessary to address the issue in the RMP.</w:t>
      </w:r>
    </w:p>
    <w:p w:rsidR="00B7231F" w:rsidRPr="00B7231F" w:rsidRDefault="00B7231F" w:rsidP="00087950">
      <w:pPr>
        <w:pStyle w:val="ListBullet"/>
        <w:rPr>
          <w:lang w:eastAsia="en-AU"/>
        </w:rPr>
      </w:pPr>
      <w:r w:rsidRPr="00B7231F">
        <w:rPr>
          <w:lang w:eastAsia="en-AU"/>
        </w:rPr>
        <w:t>Notwithsta</w:t>
      </w:r>
      <w:r w:rsidR="0064028F">
        <w:rPr>
          <w:lang w:eastAsia="en-AU"/>
        </w:rPr>
        <w:t>nding the evaluation of the non</w:t>
      </w:r>
      <w:r w:rsidRPr="00B7231F">
        <w:rPr>
          <w:lang w:eastAsia="en-AU"/>
        </w:rPr>
        <w:t>clinical and clinical aspects of the S</w:t>
      </w:r>
      <w:r w:rsidR="0064028F">
        <w:rPr>
          <w:lang w:eastAsia="en-AU"/>
        </w:rPr>
        <w:t>S</w:t>
      </w:r>
      <w:r w:rsidRPr="00B7231F">
        <w:rPr>
          <w:lang w:eastAsia="en-AU"/>
        </w:rPr>
        <w:t>, it is recommended that the sponsor include the important missing information: ‘Use in the Paediatric population’</w:t>
      </w:r>
      <w:r w:rsidR="0064028F">
        <w:rPr>
          <w:lang w:eastAsia="en-AU"/>
        </w:rPr>
        <w:t xml:space="preserve"> as an ongoing safety concern. </w:t>
      </w:r>
      <w:r w:rsidRPr="00B7231F">
        <w:rPr>
          <w:lang w:eastAsia="en-AU"/>
        </w:rPr>
        <w:t>Consequently the Core RMP and ASA will need to be amended accordingly when these documents are next updated.</w:t>
      </w:r>
    </w:p>
    <w:p w:rsidR="00E178E8" w:rsidRPr="00B7231F" w:rsidRDefault="00E178E8" w:rsidP="00087950">
      <w:pPr>
        <w:pStyle w:val="ListBullet"/>
        <w:rPr>
          <w:lang w:eastAsia="en-AU"/>
        </w:rPr>
      </w:pPr>
      <w:r w:rsidRPr="00B7231F">
        <w:rPr>
          <w:lang w:eastAsia="en-AU"/>
        </w:rPr>
        <w:t>In principle there is no objection to the sponsor implementing additional pharmacovigilance activities to further monitor the spec</w:t>
      </w:r>
      <w:r>
        <w:rPr>
          <w:lang w:eastAsia="en-AU"/>
        </w:rPr>
        <w:t xml:space="preserve">ified ongoing safety concerns. </w:t>
      </w:r>
      <w:r w:rsidRPr="00B7231F">
        <w:rPr>
          <w:lang w:eastAsia="en-AU"/>
        </w:rPr>
        <w:t xml:space="preserve">However, the ongoing studies are not considered to be part of the planned clinical studies </w:t>
      </w:r>
      <w:r>
        <w:rPr>
          <w:lang w:eastAsia="en-AU"/>
        </w:rPr>
        <w:t xml:space="preserve">in the pharmacovigilance plan. </w:t>
      </w:r>
      <w:r w:rsidRPr="00B7231F">
        <w:rPr>
          <w:lang w:eastAsia="en-AU"/>
        </w:rPr>
        <w:t>Therefore the related study pro</w:t>
      </w:r>
      <w:r>
        <w:rPr>
          <w:lang w:eastAsia="en-AU"/>
        </w:rPr>
        <w:t xml:space="preserve">tocols have not been reviewed. </w:t>
      </w:r>
      <w:r w:rsidRPr="00B7231F">
        <w:rPr>
          <w:lang w:eastAsia="en-AU"/>
        </w:rPr>
        <w:t>Nevertheless an update on the progress</w:t>
      </w:r>
      <w:r>
        <w:rPr>
          <w:lang w:eastAsia="en-AU"/>
        </w:rPr>
        <w:t xml:space="preserve">, </w:t>
      </w:r>
      <w:r w:rsidRPr="00B7231F">
        <w:rPr>
          <w:lang w:eastAsia="en-AU"/>
        </w:rPr>
        <w:t>results</w:t>
      </w:r>
      <w:r>
        <w:rPr>
          <w:lang w:eastAsia="en-AU"/>
        </w:rPr>
        <w:t xml:space="preserve"> and </w:t>
      </w:r>
      <w:r w:rsidRPr="00B7231F">
        <w:rPr>
          <w:lang w:eastAsia="en-AU"/>
        </w:rPr>
        <w:t xml:space="preserve">analysis of this study, as outlined in the Core RMP, will be expected in future </w:t>
      </w:r>
      <w:r>
        <w:rPr>
          <w:lang w:eastAsia="en-AU"/>
        </w:rPr>
        <w:t>periodic safety update reports (</w:t>
      </w:r>
      <w:r w:rsidRPr="00B7231F">
        <w:rPr>
          <w:lang w:eastAsia="en-AU"/>
        </w:rPr>
        <w:t>PSURs</w:t>
      </w:r>
      <w:r>
        <w:rPr>
          <w:lang w:eastAsia="en-AU"/>
        </w:rPr>
        <w:t>)</w:t>
      </w:r>
      <w:r w:rsidRPr="00B7231F">
        <w:rPr>
          <w:lang w:eastAsia="en-AU"/>
        </w:rPr>
        <w:t>.</w:t>
      </w:r>
    </w:p>
    <w:p w:rsidR="00B7231F" w:rsidRPr="00B7231F" w:rsidRDefault="00B7231F" w:rsidP="00087950">
      <w:pPr>
        <w:pStyle w:val="ListBullet"/>
        <w:rPr>
          <w:lang w:eastAsia="en-AU"/>
        </w:rPr>
      </w:pPr>
      <w:r w:rsidRPr="00B7231F">
        <w:rPr>
          <w:lang w:eastAsia="en-AU"/>
        </w:rPr>
        <w:t xml:space="preserve">The sponsor should state if there are any material differences between the Pharmacovigilance Plan (PP) of the Core RMP, as adopted in Australia, compared to the PP of the updated EU-RMP submitted with the similar </w:t>
      </w:r>
      <w:r w:rsidR="002D4451">
        <w:rPr>
          <w:lang w:eastAsia="en-AU"/>
        </w:rPr>
        <w:t xml:space="preserve">application in the EU. </w:t>
      </w:r>
      <w:r w:rsidRPr="00B7231F">
        <w:rPr>
          <w:lang w:eastAsia="en-AU"/>
        </w:rPr>
        <w:t>The sponsor should justify why any such material differences have not been adopted in Australia.</w:t>
      </w:r>
    </w:p>
    <w:p w:rsidR="00B7231F" w:rsidRPr="00B7231F" w:rsidRDefault="00B7231F" w:rsidP="00087950">
      <w:pPr>
        <w:pStyle w:val="ListBullet"/>
        <w:rPr>
          <w:lang w:eastAsia="en-AU"/>
        </w:rPr>
      </w:pPr>
      <w:r w:rsidRPr="00B7231F">
        <w:rPr>
          <w:lang w:eastAsia="en-AU"/>
        </w:rPr>
        <w:t xml:space="preserve">When the US FDA approved a similar application on 30 January 2012, part of the </w:t>
      </w:r>
      <w:proofErr w:type="spellStart"/>
      <w:r w:rsidRPr="00B7231F">
        <w:rPr>
          <w:lang w:eastAsia="en-AU"/>
        </w:rPr>
        <w:t>Postmarketing</w:t>
      </w:r>
      <w:proofErr w:type="spellEnd"/>
      <w:r w:rsidRPr="00B7231F">
        <w:rPr>
          <w:lang w:eastAsia="en-AU"/>
        </w:rPr>
        <w:t xml:space="preserve"> Requirements was the commitment to conduct two rodent carcinogenicity studies, a drug-drug interaction clinical trial to evaluate if gastric pH elevating agents alter the bioavailability of vismodegib</w:t>
      </w:r>
      <w:r w:rsidR="00E178E8">
        <w:rPr>
          <w:lang w:eastAsia="en-AU"/>
        </w:rPr>
        <w:t>,</w:t>
      </w:r>
      <w:r w:rsidRPr="00B7231F">
        <w:rPr>
          <w:lang w:eastAsia="en-AU"/>
        </w:rPr>
        <w:t xml:space="preserve"> and the submission of a final report for the ongoing drug interact</w:t>
      </w:r>
      <w:r w:rsidR="0064028F">
        <w:rPr>
          <w:lang w:eastAsia="en-AU"/>
        </w:rPr>
        <w:t>i</w:t>
      </w:r>
      <w:r w:rsidR="00E178E8">
        <w:rPr>
          <w:lang w:eastAsia="en-AU"/>
        </w:rPr>
        <w:t>on trial (p</w:t>
      </w:r>
      <w:r w:rsidR="0064028F">
        <w:rPr>
          <w:lang w:eastAsia="en-AU"/>
        </w:rPr>
        <w:t xml:space="preserve">rotocol SHH4593g). </w:t>
      </w:r>
      <w:r w:rsidRPr="00B7231F">
        <w:rPr>
          <w:lang w:eastAsia="en-AU"/>
        </w:rPr>
        <w:t>The sponsor should provide an assurance that the results of these studies will be incorporated into the RMP when available.</w:t>
      </w:r>
    </w:p>
    <w:p w:rsidR="00B7231F" w:rsidRPr="00B7231F" w:rsidRDefault="00B7231F" w:rsidP="00087950">
      <w:pPr>
        <w:pStyle w:val="ListBullet"/>
        <w:rPr>
          <w:lang w:eastAsia="en-AU"/>
        </w:rPr>
      </w:pPr>
      <w:r w:rsidRPr="00B7231F">
        <w:rPr>
          <w:lang w:eastAsia="en-AU"/>
        </w:rPr>
        <w:t>There is no objection to the sponsor implementing routine risk minimisation activities for all the specified ongoing safety concerns and additional risk minimisation activities to mitigate the important identified risk: ‘</w:t>
      </w:r>
      <w:proofErr w:type="spellStart"/>
      <w:r w:rsidRPr="00B7231F">
        <w:rPr>
          <w:lang w:eastAsia="en-AU"/>
        </w:rPr>
        <w:t>Teratogenicity</w:t>
      </w:r>
      <w:proofErr w:type="spellEnd"/>
      <w:r w:rsidRPr="00B7231F">
        <w:rPr>
          <w:lang w:eastAsia="en-AU"/>
        </w:rPr>
        <w:t>’.</w:t>
      </w:r>
      <w:r w:rsidR="00FA374D">
        <w:rPr>
          <w:lang w:eastAsia="en-AU"/>
        </w:rPr>
        <w:t xml:space="preserve"> </w:t>
      </w:r>
    </w:p>
    <w:p w:rsidR="00B7231F" w:rsidRPr="00B7231F" w:rsidRDefault="00B7231F" w:rsidP="00087950">
      <w:pPr>
        <w:pStyle w:val="ListBullet"/>
        <w:numPr>
          <w:ilvl w:val="0"/>
          <w:numId w:val="0"/>
        </w:numPr>
        <w:ind w:left="360"/>
        <w:rPr>
          <w:lang w:eastAsia="en-AU"/>
        </w:rPr>
      </w:pPr>
      <w:r w:rsidRPr="00B7231F">
        <w:rPr>
          <w:lang w:eastAsia="en-AU"/>
        </w:rPr>
        <w:t xml:space="preserve">As agreed the sponsor should now provide copies of the Australian </w:t>
      </w:r>
      <w:r w:rsidR="0064028F">
        <w:rPr>
          <w:lang w:eastAsia="en-AU"/>
        </w:rPr>
        <w:t>Health Care Professional (</w:t>
      </w:r>
      <w:r w:rsidRPr="00B7231F">
        <w:rPr>
          <w:lang w:eastAsia="en-AU"/>
        </w:rPr>
        <w:t>HCP</w:t>
      </w:r>
      <w:r w:rsidR="0064028F">
        <w:rPr>
          <w:lang w:eastAsia="en-AU"/>
        </w:rPr>
        <w:t>)</w:t>
      </w:r>
      <w:r w:rsidRPr="00B7231F">
        <w:rPr>
          <w:lang w:eastAsia="en-AU"/>
        </w:rPr>
        <w:t xml:space="preserve"> and Patient educational material. If available the sponsor should also provide corresponding results of user testing and final materials validation or advise when such information will be submitted to the TGA (presumably prior to launch).</w:t>
      </w:r>
    </w:p>
    <w:p w:rsidR="00B7231F" w:rsidRPr="00B7231F" w:rsidRDefault="00B7231F" w:rsidP="00087950">
      <w:pPr>
        <w:pStyle w:val="ListBullet"/>
        <w:numPr>
          <w:ilvl w:val="0"/>
          <w:numId w:val="0"/>
        </w:numPr>
        <w:ind w:left="360"/>
        <w:rPr>
          <w:lang w:eastAsia="en-AU"/>
        </w:rPr>
      </w:pPr>
      <w:r w:rsidRPr="00B7231F">
        <w:rPr>
          <w:lang w:eastAsia="en-AU"/>
        </w:rPr>
        <w:t>In regard to the criteria to be used to verify the success of the Australian Communication Plan, the sponsor should definitively state whether Australian prescriber, pharmacy and patient survey data will also be submitted periodically to the TGA, as well as the primary indicator being the number of reported preg</w:t>
      </w:r>
      <w:r w:rsidR="002D4451">
        <w:rPr>
          <w:lang w:eastAsia="en-AU"/>
        </w:rPr>
        <w:t xml:space="preserve">nancies in the PSUR. </w:t>
      </w:r>
      <w:r w:rsidRPr="00B7231F">
        <w:rPr>
          <w:lang w:eastAsia="en-AU"/>
        </w:rPr>
        <w:t>If not, compelling justification should be provided as the reporting of such pregnancies is unlikely to be sufficient in measuring the effectiveness of this proposed additional risk minimisation activity due to under-reporting, not to mention the information gained from such reporting may be incomplete.</w:t>
      </w:r>
    </w:p>
    <w:p w:rsidR="00B7231F" w:rsidRPr="00B7231F" w:rsidRDefault="00B7231F" w:rsidP="00087950">
      <w:pPr>
        <w:pStyle w:val="ListBullet"/>
        <w:rPr>
          <w:lang w:eastAsia="en-AU"/>
        </w:rPr>
      </w:pPr>
      <w:r w:rsidRPr="00B7231F">
        <w:rPr>
          <w:lang w:eastAsia="en-AU"/>
        </w:rPr>
        <w:t xml:space="preserve">The sponsor should state if there are any material differences between the Risk Minimisation Plan of the Core RMP, as adopted in Australia, compared to the Risk Minimisation Plan of the updated EU-RMP submitted with the </w:t>
      </w:r>
      <w:r w:rsidR="002D4451">
        <w:rPr>
          <w:lang w:eastAsia="en-AU"/>
        </w:rPr>
        <w:t xml:space="preserve">similar application in the EU. </w:t>
      </w:r>
      <w:r w:rsidRPr="00B7231F">
        <w:rPr>
          <w:lang w:eastAsia="en-AU"/>
        </w:rPr>
        <w:t>The sponsor should justify why any such material differences have not been adopted in Australia.</w:t>
      </w:r>
    </w:p>
    <w:p w:rsidR="00B7231F" w:rsidRPr="00B7231F" w:rsidRDefault="00B7231F" w:rsidP="00087950">
      <w:pPr>
        <w:pStyle w:val="ListBullet"/>
        <w:rPr>
          <w:lang w:eastAsia="en-AU"/>
        </w:rPr>
      </w:pPr>
      <w:r w:rsidRPr="00B7231F">
        <w:rPr>
          <w:lang w:eastAsia="en-AU"/>
        </w:rPr>
        <w:t xml:space="preserve">In regard to the proposed routine risk minimisation activities, it is recommended to the Delegate that the draft </w:t>
      </w:r>
      <w:r w:rsidR="002858DC">
        <w:rPr>
          <w:lang w:eastAsia="en-AU"/>
        </w:rPr>
        <w:t xml:space="preserve">PI </w:t>
      </w:r>
      <w:r w:rsidRPr="00B7231F">
        <w:rPr>
          <w:lang w:eastAsia="en-AU"/>
        </w:rPr>
        <w:t>document</w:t>
      </w:r>
      <w:r w:rsidR="002858DC">
        <w:rPr>
          <w:rStyle w:val="FootnoteReference"/>
          <w:lang w:eastAsia="en-AU"/>
        </w:rPr>
        <w:footnoteReference w:id="12"/>
      </w:r>
      <w:r w:rsidRPr="00B7231F">
        <w:rPr>
          <w:lang w:eastAsia="en-AU"/>
        </w:rPr>
        <w:t xml:space="preserve"> be revised as follows:</w:t>
      </w:r>
    </w:p>
    <w:p w:rsidR="00B7231F" w:rsidRPr="00A42836" w:rsidRDefault="00B7231F" w:rsidP="00087950">
      <w:pPr>
        <w:pStyle w:val="ListBullet2"/>
      </w:pPr>
      <w:r w:rsidRPr="00A42836">
        <w:t>For the important identified risk: ‘</w:t>
      </w:r>
      <w:proofErr w:type="spellStart"/>
      <w:r w:rsidRPr="00A42836">
        <w:t>Teratogenicity</w:t>
      </w:r>
      <w:proofErr w:type="spellEnd"/>
      <w:r w:rsidRPr="00A42836">
        <w:t>’, the currently approved US monog</w:t>
      </w:r>
      <w:r w:rsidR="002858DC" w:rsidRPr="00A42836">
        <w:t>raph contains a boxed warning.</w:t>
      </w:r>
      <w:r w:rsidR="00664368" w:rsidRPr="00A42836">
        <w:rPr>
          <w:vertAlign w:val="superscript"/>
        </w:rPr>
        <w:footnoteReference w:id="13"/>
      </w:r>
      <w:r w:rsidR="002858DC" w:rsidRPr="00A42836">
        <w:t xml:space="preserve"> </w:t>
      </w:r>
      <w:r w:rsidRPr="00A42836">
        <w:t>No such boxed warning is p</w:t>
      </w:r>
      <w:r w:rsidR="002858DC" w:rsidRPr="00A42836">
        <w:t xml:space="preserve">roposed for the Australian PI. </w:t>
      </w:r>
      <w:r w:rsidRPr="00A42836">
        <w:t>The sponsor should provide justification for such an omission.</w:t>
      </w:r>
    </w:p>
    <w:p w:rsidR="002D4451" w:rsidRPr="002D4451" w:rsidRDefault="00A42836" w:rsidP="00087950">
      <w:pPr>
        <w:rPr>
          <w:lang w:eastAsia="en-AU"/>
        </w:rPr>
      </w:pPr>
      <w:r>
        <w:rPr>
          <w:lang w:eastAsia="en-AU"/>
        </w:rPr>
        <w:t xml:space="preserve">In </w:t>
      </w:r>
      <w:r w:rsidR="002D4451">
        <w:rPr>
          <w:lang w:eastAsia="en-AU"/>
        </w:rPr>
        <w:t xml:space="preserve">response to the RMP evaluation report, the sponsor </w:t>
      </w:r>
      <w:r>
        <w:rPr>
          <w:lang w:eastAsia="en-AU"/>
        </w:rPr>
        <w:t xml:space="preserve">adequately </w:t>
      </w:r>
      <w:r w:rsidR="002D4451" w:rsidRPr="002D4451">
        <w:rPr>
          <w:lang w:eastAsia="en-AU"/>
        </w:rPr>
        <w:t xml:space="preserve">addressed all OPR recommendations except for the </w:t>
      </w:r>
      <w:r>
        <w:rPr>
          <w:lang w:eastAsia="en-AU"/>
        </w:rPr>
        <w:t xml:space="preserve">risk minimisation activities in relation to the </w:t>
      </w:r>
      <w:r w:rsidRPr="00A42836">
        <w:rPr>
          <w:lang w:eastAsia="en-AU"/>
        </w:rPr>
        <w:t>important identified risk: ‘</w:t>
      </w:r>
      <w:proofErr w:type="spellStart"/>
      <w:r w:rsidRPr="00A42836">
        <w:rPr>
          <w:lang w:eastAsia="en-AU"/>
        </w:rPr>
        <w:t>Teratogenicity</w:t>
      </w:r>
      <w:proofErr w:type="spellEnd"/>
      <w:r w:rsidRPr="00A42836">
        <w:rPr>
          <w:lang w:eastAsia="en-AU"/>
        </w:rPr>
        <w:t>’</w:t>
      </w:r>
      <w:r>
        <w:rPr>
          <w:lang w:eastAsia="en-AU"/>
        </w:rPr>
        <w:t xml:space="preserve">, </w:t>
      </w:r>
      <w:r w:rsidR="00237441">
        <w:rPr>
          <w:lang w:eastAsia="en-AU"/>
        </w:rPr>
        <w:t xml:space="preserve">which was drawn to the attention of the Delegate </w:t>
      </w:r>
      <w:r>
        <w:rPr>
          <w:lang w:eastAsia="en-AU"/>
        </w:rPr>
        <w:t>as follows</w:t>
      </w:r>
      <w:r w:rsidR="002D4451" w:rsidRPr="002D4451">
        <w:rPr>
          <w:lang w:eastAsia="en-AU"/>
        </w:rPr>
        <w:t>:</w:t>
      </w:r>
    </w:p>
    <w:p w:rsidR="00A42836" w:rsidRPr="00A42836" w:rsidRDefault="002D4451" w:rsidP="00087950">
      <w:pPr>
        <w:rPr>
          <w:i/>
          <w:iCs/>
          <w:lang w:eastAsia="en-AU"/>
        </w:rPr>
      </w:pPr>
      <w:r w:rsidRPr="002D4451">
        <w:rPr>
          <w:lang w:eastAsia="en-AU"/>
        </w:rPr>
        <w:t>Additional risk minimisation activities are proposed for the important identified risk: ‘</w:t>
      </w:r>
      <w:proofErr w:type="spellStart"/>
      <w:r w:rsidRPr="002D4451">
        <w:rPr>
          <w:lang w:eastAsia="en-AU"/>
        </w:rPr>
        <w:t>Teratogenicity</w:t>
      </w:r>
      <w:proofErr w:type="spellEnd"/>
      <w:r w:rsidRPr="002D4451">
        <w:rPr>
          <w:lang w:eastAsia="en-AU"/>
        </w:rPr>
        <w:t>’ in the form of a</w:t>
      </w:r>
      <w:r w:rsidR="00A42836">
        <w:rPr>
          <w:lang w:eastAsia="en-AU"/>
        </w:rPr>
        <w:t xml:space="preserve"> ‘Communication Plan’. </w:t>
      </w:r>
      <w:r w:rsidRPr="002D4451">
        <w:rPr>
          <w:lang w:eastAsia="en-AU"/>
        </w:rPr>
        <w:t>The ASA states that following approval but prior to launch, Australian-specific educational materials for HCPs and patients will be mailed to the target prescribers (specialist dermatologists and medical oncologists) and pharmacists (pharm</w:t>
      </w:r>
      <w:r w:rsidR="00A42836">
        <w:rPr>
          <w:lang w:eastAsia="en-AU"/>
        </w:rPr>
        <w:t xml:space="preserve">acists in teaching hospitals). </w:t>
      </w:r>
      <w:r w:rsidRPr="002D4451">
        <w:rPr>
          <w:lang w:eastAsia="en-AU"/>
        </w:rPr>
        <w:t>Additional copies will be made available on request and at a Roche he</w:t>
      </w:r>
      <w:r w:rsidR="00A42836">
        <w:rPr>
          <w:lang w:eastAsia="en-AU"/>
        </w:rPr>
        <w:t xml:space="preserve">althcare professional website. </w:t>
      </w:r>
      <w:r w:rsidRPr="002D4451">
        <w:rPr>
          <w:lang w:eastAsia="en-AU"/>
        </w:rPr>
        <w:t>Patients should receive the patient educational material fr</w:t>
      </w:r>
      <w:r w:rsidR="00A42836">
        <w:rPr>
          <w:lang w:eastAsia="en-AU"/>
        </w:rPr>
        <w:t xml:space="preserve">om their doctor or pharmacist. </w:t>
      </w:r>
      <w:r w:rsidRPr="002D4451">
        <w:rPr>
          <w:lang w:eastAsia="en-AU"/>
        </w:rPr>
        <w:t xml:space="preserve">However, the </w:t>
      </w:r>
      <w:r w:rsidR="00A42836">
        <w:rPr>
          <w:lang w:eastAsia="en-AU"/>
        </w:rPr>
        <w:t>TGA Advisory Committee on the Safety of Medicines (</w:t>
      </w:r>
      <w:r w:rsidRPr="002D4451">
        <w:rPr>
          <w:lang w:eastAsia="en-AU"/>
        </w:rPr>
        <w:t>ACSOM</w:t>
      </w:r>
      <w:r w:rsidR="00A42836">
        <w:rPr>
          <w:lang w:eastAsia="en-AU"/>
        </w:rPr>
        <w:t>)</w:t>
      </w:r>
      <w:r w:rsidRPr="002D4451">
        <w:rPr>
          <w:lang w:eastAsia="en-AU"/>
        </w:rPr>
        <w:t xml:space="preserve"> questioned the proposed distribution of this information, advising that if vismodegib prescribing is unrestricted, then it is not adequate to only send the letter to d</w:t>
      </w:r>
      <w:r w:rsidR="00A42836">
        <w:rPr>
          <w:lang w:eastAsia="en-AU"/>
        </w:rPr>
        <w:t xml:space="preserve">ermatologists and oncologists. </w:t>
      </w:r>
      <w:r w:rsidRPr="002D4451">
        <w:rPr>
          <w:lang w:eastAsia="en-AU"/>
        </w:rPr>
        <w:t>Rather it shou</w:t>
      </w:r>
      <w:r w:rsidR="00A42836">
        <w:rPr>
          <w:lang w:eastAsia="en-AU"/>
        </w:rPr>
        <w:t xml:space="preserve">ld be sent to all prescribers. </w:t>
      </w:r>
      <w:r w:rsidRPr="002D4451">
        <w:rPr>
          <w:lang w:eastAsia="en-AU"/>
        </w:rPr>
        <w:t>Alternatively the sponsor should consider restricting prescribing this medicine to only specialist dermatolo</w:t>
      </w:r>
      <w:r w:rsidR="00A42836">
        <w:rPr>
          <w:lang w:eastAsia="en-AU"/>
        </w:rPr>
        <w:t xml:space="preserve">gists and medical oncologists. </w:t>
      </w:r>
    </w:p>
    <w:p w:rsidR="002D4451" w:rsidRPr="002D4451" w:rsidRDefault="002D4451" w:rsidP="00087950">
      <w:pPr>
        <w:rPr>
          <w:i/>
          <w:iCs/>
          <w:lang w:eastAsia="en-AU"/>
        </w:rPr>
      </w:pPr>
      <w:r w:rsidRPr="002D4451">
        <w:rPr>
          <w:lang w:eastAsia="en-AU"/>
        </w:rPr>
        <w:t>The sponsor should address this matter to the TGA’s satisfaction preferably before this application is approved.</w:t>
      </w:r>
    </w:p>
    <w:p w:rsidR="00A42836" w:rsidRPr="00A42836" w:rsidRDefault="002D4451" w:rsidP="00087950">
      <w:pPr>
        <w:rPr>
          <w:i/>
          <w:iCs/>
          <w:lang w:eastAsia="en-AU"/>
        </w:rPr>
      </w:pPr>
      <w:r w:rsidRPr="002D4451">
        <w:rPr>
          <w:lang w:eastAsia="en-AU"/>
        </w:rPr>
        <w:t>For the important identified risk: ‘</w:t>
      </w:r>
      <w:proofErr w:type="spellStart"/>
      <w:r w:rsidRPr="002D4451">
        <w:rPr>
          <w:lang w:eastAsia="en-AU"/>
        </w:rPr>
        <w:t>Teratogenicity</w:t>
      </w:r>
      <w:proofErr w:type="spellEnd"/>
      <w:r w:rsidRPr="002D4451">
        <w:rPr>
          <w:lang w:eastAsia="en-AU"/>
        </w:rPr>
        <w:t>’, the currently approved US monog</w:t>
      </w:r>
      <w:r w:rsidR="00A42836">
        <w:rPr>
          <w:lang w:eastAsia="en-AU"/>
        </w:rPr>
        <w:t xml:space="preserve">raph contains a boxed warning. </w:t>
      </w:r>
      <w:r w:rsidRPr="002D4451">
        <w:rPr>
          <w:lang w:eastAsia="en-AU"/>
        </w:rPr>
        <w:t>No such boxed warning is p</w:t>
      </w:r>
      <w:r w:rsidR="00A42836">
        <w:rPr>
          <w:lang w:eastAsia="en-AU"/>
        </w:rPr>
        <w:t xml:space="preserve">roposed for the Australian PI. </w:t>
      </w:r>
      <w:r w:rsidRPr="002D4451">
        <w:rPr>
          <w:lang w:eastAsia="en-AU"/>
        </w:rPr>
        <w:t>The sponsor was requested to provide justi</w:t>
      </w:r>
      <w:r w:rsidR="00A42836">
        <w:rPr>
          <w:lang w:eastAsia="en-AU"/>
        </w:rPr>
        <w:t xml:space="preserve">fication for such an omission. </w:t>
      </w:r>
      <w:r w:rsidR="00237441">
        <w:rPr>
          <w:lang w:eastAsia="en-AU"/>
        </w:rPr>
        <w:t>The c</w:t>
      </w:r>
      <w:r w:rsidRPr="002D4451">
        <w:rPr>
          <w:lang w:eastAsia="en-AU"/>
        </w:rPr>
        <w:t xml:space="preserve">linical </w:t>
      </w:r>
      <w:r w:rsidR="00237441">
        <w:rPr>
          <w:lang w:eastAsia="en-AU"/>
        </w:rPr>
        <w:t>e</w:t>
      </w:r>
      <w:r w:rsidRPr="002D4451">
        <w:rPr>
          <w:lang w:eastAsia="en-AU"/>
        </w:rPr>
        <w:t>valuator</w:t>
      </w:r>
      <w:r w:rsidR="00237441">
        <w:rPr>
          <w:lang w:eastAsia="en-AU"/>
        </w:rPr>
        <w:t xml:space="preserve"> assessed the sponsor’s justification as follows</w:t>
      </w:r>
      <w:r w:rsidRPr="002D4451">
        <w:rPr>
          <w:lang w:eastAsia="en-AU"/>
        </w:rPr>
        <w:t xml:space="preserve">: </w:t>
      </w:r>
      <w:r w:rsidRPr="002D4451">
        <w:rPr>
          <w:i/>
          <w:lang w:eastAsia="en-AU"/>
        </w:rPr>
        <w:t>“</w:t>
      </w:r>
      <w:r w:rsidR="00237441">
        <w:rPr>
          <w:i/>
          <w:lang w:eastAsia="en-AU"/>
        </w:rPr>
        <w:t xml:space="preserve">[The sponsor’s] </w:t>
      </w:r>
      <w:r w:rsidRPr="002D4451">
        <w:rPr>
          <w:i/>
          <w:lang w:eastAsia="en-AU"/>
        </w:rPr>
        <w:t xml:space="preserve">provided justification for not providing a boxed warning in relation to the identified risk of </w:t>
      </w:r>
      <w:proofErr w:type="spellStart"/>
      <w:r w:rsidRPr="002D4451">
        <w:rPr>
          <w:i/>
          <w:lang w:eastAsia="en-AU"/>
        </w:rPr>
        <w:t>teratogenicity</w:t>
      </w:r>
      <w:proofErr w:type="spellEnd"/>
      <w:r w:rsidRPr="002D4451">
        <w:rPr>
          <w:i/>
          <w:lang w:eastAsia="en-AU"/>
        </w:rPr>
        <w:t xml:space="preserve"> in that this is not a common practice for Australian </w:t>
      </w:r>
      <w:r w:rsidR="00237441">
        <w:rPr>
          <w:i/>
          <w:lang w:eastAsia="en-AU"/>
        </w:rPr>
        <w:t xml:space="preserve">PI </w:t>
      </w:r>
      <w:r w:rsidRPr="002D4451">
        <w:rPr>
          <w:i/>
          <w:lang w:eastAsia="en-AU"/>
        </w:rPr>
        <w:t xml:space="preserve">and the current warnings within the “use in pregnancy” section of the </w:t>
      </w:r>
      <w:r w:rsidR="00237441">
        <w:rPr>
          <w:i/>
          <w:lang w:eastAsia="en-AU"/>
        </w:rPr>
        <w:t xml:space="preserve">PI </w:t>
      </w:r>
      <w:r w:rsidRPr="002D4451">
        <w:rPr>
          <w:i/>
          <w:lang w:eastAsia="en-AU"/>
        </w:rPr>
        <w:t>is comprehensive an</w:t>
      </w:r>
      <w:r w:rsidR="00A42836">
        <w:rPr>
          <w:i/>
          <w:lang w:eastAsia="en-AU"/>
        </w:rPr>
        <w:t xml:space="preserve">d clearly indicates the risks. </w:t>
      </w:r>
      <w:r w:rsidRPr="002D4451">
        <w:rPr>
          <w:i/>
          <w:lang w:eastAsia="en-AU"/>
        </w:rPr>
        <w:t>This evaluator considers the explanation reasonable but nevertheless does still feel that consideration for a box warning would be appropriate.”</w:t>
      </w:r>
      <w:r w:rsidR="00F828C8">
        <w:rPr>
          <w:lang w:eastAsia="en-AU"/>
        </w:rPr>
        <w:t xml:space="preserve"> </w:t>
      </w:r>
    </w:p>
    <w:p w:rsidR="002D4451" w:rsidRPr="002D4451" w:rsidRDefault="002D4451" w:rsidP="00087950">
      <w:pPr>
        <w:rPr>
          <w:i/>
          <w:iCs/>
          <w:lang w:eastAsia="en-AU"/>
        </w:rPr>
      </w:pPr>
      <w:r w:rsidRPr="002D4451">
        <w:rPr>
          <w:lang w:eastAsia="en-AU"/>
        </w:rPr>
        <w:t>In addition</w:t>
      </w:r>
      <w:r w:rsidR="00237441">
        <w:rPr>
          <w:lang w:eastAsia="en-AU"/>
        </w:rPr>
        <w:t>,</w:t>
      </w:r>
      <w:r w:rsidRPr="002D4451">
        <w:rPr>
          <w:lang w:eastAsia="en-AU"/>
        </w:rPr>
        <w:t xml:space="preserve"> the ACSOM advised that consideration should be given to revising the pre</w:t>
      </w:r>
      <w:r w:rsidR="00A42836">
        <w:rPr>
          <w:lang w:eastAsia="en-AU"/>
        </w:rPr>
        <w:t xml:space="preserve">gnancy category to Category X. </w:t>
      </w:r>
      <w:r w:rsidRPr="002D4451">
        <w:rPr>
          <w:lang w:eastAsia="en-AU"/>
        </w:rPr>
        <w:t xml:space="preserve">At the doses used there are clearly demonstrated life limiting effects and </w:t>
      </w:r>
      <w:proofErr w:type="spellStart"/>
      <w:r w:rsidRPr="002D4451">
        <w:rPr>
          <w:lang w:eastAsia="en-AU"/>
        </w:rPr>
        <w:t>embryofetal</w:t>
      </w:r>
      <w:proofErr w:type="spellEnd"/>
      <w:r w:rsidRPr="002D4451">
        <w:rPr>
          <w:lang w:eastAsia="en-AU"/>
        </w:rPr>
        <w:t xml:space="preserve"> deaths and therefore it was the committee’s view that vismodegib should not be used during pregnancy or when there </w:t>
      </w:r>
      <w:r w:rsidR="00A42836">
        <w:rPr>
          <w:lang w:eastAsia="en-AU"/>
        </w:rPr>
        <w:t xml:space="preserve">is a possibility of pregnancy. </w:t>
      </w:r>
      <w:r w:rsidRPr="002D4451">
        <w:rPr>
          <w:lang w:eastAsia="en-AU"/>
        </w:rPr>
        <w:t>Related wording in the proposed Australian PI and CMI would n</w:t>
      </w:r>
      <w:r w:rsidR="00A42836">
        <w:rPr>
          <w:lang w:eastAsia="en-AU"/>
        </w:rPr>
        <w:t xml:space="preserve">eed to be amended accordingly. </w:t>
      </w:r>
      <w:r w:rsidRPr="002D4451">
        <w:rPr>
          <w:lang w:eastAsia="en-AU"/>
        </w:rPr>
        <w:t>Consequently it is recommended to the Delegate that consideration be given to contraindicating the use of this medicine in pregnancy or at least a boxed warning for the important identified risk: ‘</w:t>
      </w:r>
      <w:proofErr w:type="spellStart"/>
      <w:r w:rsidRPr="002D4451">
        <w:rPr>
          <w:lang w:eastAsia="en-AU"/>
        </w:rPr>
        <w:t>Teratogenicity</w:t>
      </w:r>
      <w:proofErr w:type="spellEnd"/>
      <w:r w:rsidRPr="002D4451">
        <w:rPr>
          <w:lang w:eastAsia="en-AU"/>
        </w:rPr>
        <w:t>’ be applied as a routi</w:t>
      </w:r>
      <w:r w:rsidR="00A42836">
        <w:rPr>
          <w:lang w:eastAsia="en-AU"/>
        </w:rPr>
        <w:t xml:space="preserve">ne risk minimisation activity. </w:t>
      </w:r>
    </w:p>
    <w:p w:rsidR="00A42836" w:rsidRPr="00A42836" w:rsidRDefault="00237441" w:rsidP="00087950">
      <w:pPr>
        <w:rPr>
          <w:lang w:eastAsia="en-AU"/>
        </w:rPr>
      </w:pPr>
      <w:r>
        <w:rPr>
          <w:lang w:eastAsia="en-AU"/>
        </w:rPr>
        <w:t>In addition to the above, the RMP evaluator recommended to the Delegate that i</w:t>
      </w:r>
      <w:r w:rsidR="00A42836" w:rsidRPr="00A42836">
        <w:rPr>
          <w:lang w:eastAsia="en-AU"/>
        </w:rPr>
        <w:t xml:space="preserve">f this application is approved the following specific conditions of registration should be applied: </w:t>
      </w:r>
    </w:p>
    <w:p w:rsidR="00A42836" w:rsidRPr="00A42836" w:rsidRDefault="00A42836" w:rsidP="00087950">
      <w:pPr>
        <w:pStyle w:val="ListBullet"/>
        <w:rPr>
          <w:lang w:eastAsia="en-AU"/>
        </w:rPr>
      </w:pPr>
      <w:r w:rsidRPr="00A42836">
        <w:rPr>
          <w:lang w:eastAsia="en-AU"/>
        </w:rPr>
        <w:t>The Core Risk Management Plan Version: 1.0, dated 31 January 2012, with an Australian Specific Annex (ASA) identified as Version: 1.0, dated April 2012, to be revised as specified in the sponsor’s correspondence dated 22 November 2012, must be implemented.</w:t>
      </w:r>
    </w:p>
    <w:p w:rsidR="008E7846" w:rsidRPr="00792A32" w:rsidRDefault="008E7846" w:rsidP="00087950">
      <w:pPr>
        <w:pStyle w:val="Heading2"/>
      </w:pPr>
      <w:bookmarkStart w:id="132" w:name="_Toc314842510"/>
      <w:bookmarkStart w:id="133" w:name="_Toc370129108"/>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9"/>
      <w:bookmarkEnd w:id="131"/>
      <w:bookmarkEnd w:id="132"/>
      <w:bookmarkEnd w:id="133"/>
    </w:p>
    <w:p w:rsidR="008E7846" w:rsidRDefault="008E7846" w:rsidP="00087950">
      <w:bookmarkStart w:id="134" w:name="_Toc247691528"/>
      <w:r>
        <w:t xml:space="preserve">The submission was summarised in the following </w:t>
      </w:r>
      <w:r w:rsidRPr="00EF5C48">
        <w:t xml:space="preserve">Delegate’s </w:t>
      </w:r>
      <w:r w:rsidR="0093047E">
        <w:t>O</w:t>
      </w:r>
      <w:r>
        <w:t>verview</w:t>
      </w:r>
      <w:r w:rsidRPr="00EF5C48">
        <w:t xml:space="preserve"> and recommendation</w:t>
      </w:r>
      <w:r>
        <w:t>s:</w:t>
      </w:r>
    </w:p>
    <w:p w:rsidR="00D7441D" w:rsidRDefault="00D7441D" w:rsidP="00087950">
      <w:pPr>
        <w:pStyle w:val="Heading3"/>
      </w:pPr>
      <w:bookmarkStart w:id="135" w:name="_Toc370129109"/>
      <w:r>
        <w:t>Introduction</w:t>
      </w:r>
      <w:bookmarkEnd w:id="135"/>
    </w:p>
    <w:p w:rsidR="001E5D9F" w:rsidRPr="001E5D9F" w:rsidRDefault="001E5D9F" w:rsidP="00087950">
      <w:pPr>
        <w:pStyle w:val="Heading4"/>
      </w:pPr>
      <w:r w:rsidRPr="001E5D9F">
        <w:t>Targets and mechanism of action</w:t>
      </w:r>
    </w:p>
    <w:p w:rsidR="001E5D9F" w:rsidRPr="001D687A" w:rsidRDefault="001E5D9F" w:rsidP="00087950">
      <w:r w:rsidRPr="001D687A">
        <w:t xml:space="preserve">Vismodegib is a synthetic, small molecule (421 Dalton) orally administered inhibitor of the </w:t>
      </w:r>
      <w:proofErr w:type="spellStart"/>
      <w:r w:rsidR="008264CC">
        <w:t>Hh</w:t>
      </w:r>
      <w:proofErr w:type="spellEnd"/>
      <w:r w:rsidRPr="001D687A">
        <w:t xml:space="preserve"> signalling pathway</w:t>
      </w:r>
      <w:r w:rsidR="0093047E">
        <w:t>.</w:t>
      </w:r>
      <w:r w:rsidRPr="001D687A">
        <w:t xml:space="preserve"> </w:t>
      </w:r>
      <w:r w:rsidR="0093047E">
        <w:t>I</w:t>
      </w:r>
      <w:r w:rsidRPr="001D687A">
        <w:t>t is a ‘first-in-class’ agent and its chemical structure does not closely resemble th</w:t>
      </w:r>
      <w:r w:rsidR="001D687A">
        <w:t xml:space="preserve">at of any registered medicine. </w:t>
      </w:r>
      <w:r w:rsidRPr="001D687A">
        <w:t xml:space="preserve">It binds to and inhibits the trans-membrane protein Smoothened (SMO), which is a key component of the </w:t>
      </w:r>
      <w:proofErr w:type="spellStart"/>
      <w:r w:rsidR="008264CC">
        <w:t>Hh</w:t>
      </w:r>
      <w:proofErr w:type="spellEnd"/>
      <w:r w:rsidRPr="001D687A">
        <w:t xml:space="preserve"> signalling pathway</w:t>
      </w:r>
      <w:r w:rsidR="001D687A">
        <w:t>.</w:t>
      </w:r>
      <w:r w:rsidRPr="001D687A">
        <w:rPr>
          <w:vertAlign w:val="superscript"/>
        </w:rPr>
        <w:footnoteReference w:id="14"/>
      </w:r>
      <w:r w:rsidRPr="001D687A">
        <w:t xml:space="preserve"> The expected result of this inhibition is reduced transcription of </w:t>
      </w:r>
      <w:proofErr w:type="spellStart"/>
      <w:r w:rsidR="008264CC">
        <w:t>Hh</w:t>
      </w:r>
      <w:proofErr w:type="spellEnd"/>
      <w:r w:rsidRPr="001D687A">
        <w:t xml:space="preserve"> target genes, which have been implicated in </w:t>
      </w:r>
      <w:r w:rsidR="001D687A">
        <w:t xml:space="preserve">processes such as </w:t>
      </w:r>
      <w:r w:rsidRPr="001D687A">
        <w:t>cel</w:t>
      </w:r>
      <w:r w:rsidR="001D687A">
        <w:t>l proliferation, anti-apoptosis and</w:t>
      </w:r>
      <w:r w:rsidRPr="001D687A">
        <w:t xml:space="preserve"> angiogenesis.</w:t>
      </w:r>
    </w:p>
    <w:p w:rsidR="001E5D9F" w:rsidRPr="001E5D9F" w:rsidRDefault="001E5D9F" w:rsidP="00087950">
      <w:pPr>
        <w:pStyle w:val="Heading4"/>
      </w:pPr>
      <w:r w:rsidRPr="001E5D9F">
        <w:t xml:space="preserve">Basal cell carcinoma </w:t>
      </w:r>
    </w:p>
    <w:p w:rsidR="001E5D9F" w:rsidRPr="001E5D9F" w:rsidRDefault="001E5D9F" w:rsidP="00087950">
      <w:r w:rsidRPr="001E5D9F">
        <w:t>B</w:t>
      </w:r>
      <w:r w:rsidR="001C67D1">
        <w:t xml:space="preserve">asal cell carcinomas </w:t>
      </w:r>
      <w:r w:rsidRPr="001E5D9F">
        <w:t>are treated with surgery, photodynamic therapy and other topical treatments (</w:t>
      </w:r>
      <w:r w:rsidR="0093047E">
        <w:t>such as 5-FU and</w:t>
      </w:r>
      <w:r w:rsidR="001D687A">
        <w:t xml:space="preserve"> </w:t>
      </w:r>
      <w:proofErr w:type="spellStart"/>
      <w:r w:rsidR="001D687A">
        <w:t>imiquimod</w:t>
      </w:r>
      <w:proofErr w:type="spellEnd"/>
      <w:r w:rsidR="001D687A">
        <w:t xml:space="preserve">). </w:t>
      </w:r>
      <w:r w:rsidRPr="001E5D9F">
        <w:t xml:space="preserve">Locally advanced </w:t>
      </w:r>
      <w:r w:rsidR="001D687A">
        <w:t>or metastatic BCC are very rare</w:t>
      </w:r>
      <w:r w:rsidRPr="001E5D9F">
        <w:t xml:space="preserve"> and are seen in patients presenting late or in patients with recurrent, aggressive BCC.</w:t>
      </w:r>
    </w:p>
    <w:p w:rsidR="001E5D9F" w:rsidRPr="001E5D9F" w:rsidRDefault="001E5D9F" w:rsidP="00087950">
      <w:r w:rsidRPr="001E5D9F">
        <w:t xml:space="preserve">Almost all sporadic BCCs are the result of enhancement of the </w:t>
      </w:r>
      <w:proofErr w:type="spellStart"/>
      <w:r w:rsidR="008264CC">
        <w:t>Hh</w:t>
      </w:r>
      <w:proofErr w:type="spellEnd"/>
      <w:r w:rsidRPr="001E5D9F">
        <w:t xml:space="preserve"> signalling pathway, with 90% having alterations in at least </w:t>
      </w:r>
      <w:r w:rsidR="0093047E">
        <w:t>one</w:t>
      </w:r>
      <w:r w:rsidRPr="001E5D9F">
        <w:t xml:space="preserve"> allele of PTCH1 and 10% havin</w:t>
      </w:r>
      <w:r w:rsidR="001D687A">
        <w:t xml:space="preserve">g activating mutations in SMO. </w:t>
      </w:r>
      <w:r w:rsidRPr="001E5D9F">
        <w:t>These alterations result in constitutive activation of the pathway and lead to uncontrolled proliferation of basal cells.</w:t>
      </w:r>
    </w:p>
    <w:p w:rsidR="001E5D9F" w:rsidRPr="001E5D9F" w:rsidRDefault="001E5D9F" w:rsidP="00087950">
      <w:r w:rsidRPr="001E5D9F">
        <w:t xml:space="preserve">Patients with the </w:t>
      </w:r>
      <w:proofErr w:type="spellStart"/>
      <w:r w:rsidRPr="001E5D9F">
        <w:t>autosomal</w:t>
      </w:r>
      <w:proofErr w:type="spellEnd"/>
      <w:r w:rsidRPr="001E5D9F">
        <w:t xml:space="preserve"> dominant </w:t>
      </w:r>
      <w:proofErr w:type="spellStart"/>
      <w:r w:rsidRPr="001E5D9F">
        <w:t>Gorlin’s</w:t>
      </w:r>
      <w:proofErr w:type="spellEnd"/>
      <w:r w:rsidRPr="001E5D9F">
        <w:t xml:space="preserve"> Syndrome (basal cell nevus syndrome; birth inciden</w:t>
      </w:r>
      <w:r w:rsidR="001D687A">
        <w:t xml:space="preserve">ce of 1:19000) have many BCCs. </w:t>
      </w:r>
      <w:r w:rsidRPr="001E5D9F">
        <w:t xml:space="preserve">These patients have inherited a defective copy of PTCH1 (there are many detected variants), resulting in constitutive activity of the </w:t>
      </w:r>
      <w:proofErr w:type="spellStart"/>
      <w:r w:rsidR="008264CC">
        <w:t>Hh</w:t>
      </w:r>
      <w:proofErr w:type="spellEnd"/>
      <w:r w:rsidRPr="001E5D9F">
        <w:t xml:space="preserve"> pathway as is seen with sporadic BCCs.</w:t>
      </w:r>
    </w:p>
    <w:p w:rsidR="001E5D9F" w:rsidRDefault="001D687A" w:rsidP="00087950">
      <w:r>
        <w:t>In other tumour settings</w:t>
      </w:r>
      <w:r w:rsidR="001E5D9F" w:rsidRPr="001E5D9F">
        <w:t xml:space="preserve"> </w:t>
      </w:r>
      <w:r>
        <w:t xml:space="preserve">(for example, </w:t>
      </w:r>
      <w:r w:rsidR="001E5D9F" w:rsidRPr="001E5D9F">
        <w:t>colorectal cancer</w:t>
      </w:r>
      <w:r>
        <w:t>)</w:t>
      </w:r>
      <w:r w:rsidR="001E5D9F" w:rsidRPr="001E5D9F">
        <w:t xml:space="preserve">, aberrant expression by the tumour cell of </w:t>
      </w:r>
      <w:proofErr w:type="spellStart"/>
      <w:r w:rsidR="00D22C59">
        <w:t>Hh</w:t>
      </w:r>
      <w:proofErr w:type="spellEnd"/>
      <w:r w:rsidR="001E5D9F" w:rsidRPr="001E5D9F">
        <w:t xml:space="preserve"> </w:t>
      </w:r>
      <w:proofErr w:type="spellStart"/>
      <w:r w:rsidR="001E5D9F" w:rsidRPr="001E5D9F">
        <w:t>ligands</w:t>
      </w:r>
      <w:proofErr w:type="spellEnd"/>
      <w:r w:rsidR="001E5D9F" w:rsidRPr="001E5D9F">
        <w:t xml:space="preserve"> may support tumour growth </w:t>
      </w:r>
      <w:r w:rsidR="001E5D9F" w:rsidRPr="001D687A">
        <w:rPr>
          <w:i/>
        </w:rPr>
        <w:t>via</w:t>
      </w:r>
      <w:r w:rsidR="001E5D9F" w:rsidRPr="001E5D9F">
        <w:t xml:space="preserve"> </w:t>
      </w:r>
      <w:proofErr w:type="spellStart"/>
      <w:r w:rsidR="001E5D9F" w:rsidRPr="001E5D9F">
        <w:t>paracrine</w:t>
      </w:r>
      <w:proofErr w:type="spellEnd"/>
      <w:r w:rsidR="001E5D9F" w:rsidRPr="001E5D9F">
        <w:t xml:space="preserve"> signalling from </w:t>
      </w:r>
      <w:proofErr w:type="spellStart"/>
      <w:r w:rsidR="001E5D9F" w:rsidRPr="001E5D9F">
        <w:t>stromal</w:t>
      </w:r>
      <w:proofErr w:type="spellEnd"/>
      <w:r w:rsidR="001E5D9F" w:rsidRPr="001E5D9F">
        <w:t xml:space="preserve"> cells.</w:t>
      </w:r>
    </w:p>
    <w:p w:rsidR="00502081" w:rsidRPr="001E5D9F" w:rsidRDefault="00502081" w:rsidP="00087950">
      <w:pPr>
        <w:pStyle w:val="Heading4"/>
      </w:pPr>
      <w:r>
        <w:t>Application</w:t>
      </w:r>
    </w:p>
    <w:p w:rsidR="001E5D9F" w:rsidRPr="001E5D9F" w:rsidRDefault="001E5D9F" w:rsidP="00087950">
      <w:r w:rsidRPr="001E5D9F">
        <w:t xml:space="preserve">The sponsor </w:t>
      </w:r>
      <w:r w:rsidR="001C67D1">
        <w:t xml:space="preserve">of the current application proposes </w:t>
      </w:r>
      <w:r w:rsidRPr="001E5D9F">
        <w:t>to register vismodegib (E</w:t>
      </w:r>
      <w:r w:rsidR="001C67D1" w:rsidRPr="001E5D9F">
        <w:t>rivedge</w:t>
      </w:r>
      <w:r w:rsidRPr="001E5D9F">
        <w:t>) 150 mg capsules for the following indication:</w:t>
      </w:r>
    </w:p>
    <w:p w:rsidR="001E5D9F" w:rsidRPr="00087950" w:rsidRDefault="001E5D9F" w:rsidP="00087950">
      <w:pPr>
        <w:ind w:left="720"/>
        <w:rPr>
          <w:i/>
        </w:rPr>
      </w:pPr>
      <w:r w:rsidRPr="00087950">
        <w:rPr>
          <w:i/>
        </w:rPr>
        <w:t>Treatment of adult patients with advanced basal cell carcinoma for whom surgery is inappropriate.</w:t>
      </w:r>
    </w:p>
    <w:p w:rsidR="001E5D9F" w:rsidRPr="001E5D9F" w:rsidRDefault="001E5D9F" w:rsidP="00087950">
      <w:r w:rsidRPr="001E5D9F">
        <w:t>There are no agents currently approved for that use in Australia.</w:t>
      </w:r>
    </w:p>
    <w:p w:rsidR="001E5D9F" w:rsidRPr="001E5D9F" w:rsidRDefault="00502081" w:rsidP="00087950">
      <w:r>
        <w:t xml:space="preserve">A </w:t>
      </w:r>
      <w:r w:rsidR="001E5D9F" w:rsidRPr="001E5D9F">
        <w:t xml:space="preserve">pre-submission meeting between the TGA and the sponsor </w:t>
      </w:r>
      <w:r>
        <w:t>was conducted before this application was submitted</w:t>
      </w:r>
      <w:r w:rsidR="004629D2">
        <w:t xml:space="preserve">. The sponsor’s minutes of the meeting </w:t>
      </w:r>
      <w:r w:rsidR="001E5D9F" w:rsidRPr="001E5D9F">
        <w:t xml:space="preserve">note that </w:t>
      </w:r>
      <w:r w:rsidR="001E5D9F" w:rsidRPr="004629D2">
        <w:rPr>
          <w:i/>
        </w:rPr>
        <w:t>“it is considered appropriate to file based on the Phase II data”</w:t>
      </w:r>
      <w:r w:rsidR="004629D2">
        <w:t xml:space="preserve">. </w:t>
      </w:r>
      <w:r w:rsidR="001E5D9F" w:rsidRPr="001E5D9F">
        <w:t xml:space="preserve">This can in no way be taken </w:t>
      </w:r>
      <w:r w:rsidR="004629D2">
        <w:t>as an assurance that the Phase II</w:t>
      </w:r>
      <w:r w:rsidR="001E5D9F" w:rsidRPr="001E5D9F">
        <w:t xml:space="preserve"> data are sufficient to allow registration; this question is examined afresh in this </w:t>
      </w:r>
      <w:r w:rsidR="004629D2">
        <w:t>O</w:t>
      </w:r>
      <w:r w:rsidR="001E5D9F" w:rsidRPr="001E5D9F">
        <w:t>verview.</w:t>
      </w:r>
    </w:p>
    <w:p w:rsidR="001E5D9F" w:rsidRPr="001E5D9F" w:rsidRDefault="001E5D9F" w:rsidP="00087950">
      <w:pPr>
        <w:pStyle w:val="Heading5"/>
      </w:pPr>
      <w:r w:rsidRPr="001E5D9F">
        <w:t>TGA guidelines</w:t>
      </w:r>
      <w:r w:rsidR="004629D2">
        <w:t xml:space="preserve"> of relevance</w:t>
      </w:r>
    </w:p>
    <w:p w:rsidR="001E5D9F" w:rsidRPr="001E5D9F" w:rsidRDefault="001E5D9F" w:rsidP="00087950">
      <w:r w:rsidRPr="001E5D9F">
        <w:t xml:space="preserve">The TGA has adopted the EU </w:t>
      </w:r>
      <w:r w:rsidRPr="001D687A">
        <w:rPr>
          <w:i/>
        </w:rPr>
        <w:t>Guideline on the Evaluation of Anticancer Medicinal Products in Man</w:t>
      </w:r>
      <w:r w:rsidRPr="001E5D9F">
        <w:t xml:space="preserve"> (EMEA/EWP/205/95 Rev 3 </w:t>
      </w:r>
      <w:proofErr w:type="spellStart"/>
      <w:r w:rsidRPr="001E5D9F">
        <w:t>Corr</w:t>
      </w:r>
      <w:proofErr w:type="spellEnd"/>
      <w:r w:rsidRPr="001E5D9F">
        <w:t>) and appendices.</w:t>
      </w:r>
    </w:p>
    <w:p w:rsidR="008E7846" w:rsidRDefault="008E7846" w:rsidP="00087950">
      <w:pPr>
        <w:pStyle w:val="Heading3"/>
      </w:pPr>
      <w:bookmarkStart w:id="136" w:name="_Toc314842511"/>
      <w:bookmarkStart w:id="137" w:name="_Toc370129110"/>
      <w:r>
        <w:t>Quality</w:t>
      </w:r>
      <w:bookmarkEnd w:id="134"/>
      <w:bookmarkEnd w:id="136"/>
      <w:bookmarkEnd w:id="137"/>
    </w:p>
    <w:p w:rsidR="001E5D9F" w:rsidRPr="001E5D9F" w:rsidRDefault="001E5D9F" w:rsidP="00087950">
      <w:r w:rsidRPr="001E5D9F">
        <w:t>The Module 3 Summary for ACPM notes that no dosage adjustment is recommended in the PI (</w:t>
      </w:r>
      <w:r w:rsidR="004629D2">
        <w:t xml:space="preserve">for example to take into account </w:t>
      </w:r>
      <w:r w:rsidRPr="001E5D9F">
        <w:t xml:space="preserve">food), and such adjustment would be difficult given the </w:t>
      </w:r>
      <w:r w:rsidR="004629D2">
        <w:t>single strength</w:t>
      </w:r>
      <w:r w:rsidR="001D687A">
        <w:t xml:space="preserve"> dosage form. </w:t>
      </w:r>
      <w:r w:rsidRPr="001E5D9F">
        <w:t xml:space="preserve">It is also noted that solubility is strongly pH dependent (high solubility at low pH). There are no direct data about bioavailability in </w:t>
      </w:r>
      <w:proofErr w:type="spellStart"/>
      <w:r w:rsidR="001D687A" w:rsidRPr="001D687A">
        <w:t>hypochlorhydric</w:t>
      </w:r>
      <w:proofErr w:type="spellEnd"/>
      <w:r w:rsidR="001D687A" w:rsidRPr="001D687A">
        <w:t xml:space="preserve"> </w:t>
      </w:r>
      <w:r w:rsidR="001D687A">
        <w:t xml:space="preserve">or </w:t>
      </w:r>
      <w:proofErr w:type="spellStart"/>
      <w:r w:rsidR="001D687A">
        <w:t>achlorhydric</w:t>
      </w:r>
      <w:proofErr w:type="spellEnd"/>
      <w:r w:rsidR="001D687A">
        <w:t xml:space="preserve"> patients. </w:t>
      </w:r>
      <w:r w:rsidRPr="001E5D9F">
        <w:t>The sponsor mentions the possibility of a clinical study in this area. Food effect (Study SHH4893s) is discussed; at steady state the impact of food does not seem substantial. Also, in the pivotal study, vismodegib was taken with or without food.</w:t>
      </w:r>
    </w:p>
    <w:p w:rsidR="00E45619" w:rsidRDefault="001E5D9F" w:rsidP="00087950">
      <w:r w:rsidRPr="001E5D9F">
        <w:t xml:space="preserve">There were no objections to registration on Module 3 (chemistry, </w:t>
      </w:r>
      <w:proofErr w:type="spellStart"/>
      <w:r w:rsidRPr="001E5D9F">
        <w:t>biopharmaceutic</w:t>
      </w:r>
      <w:proofErr w:type="spellEnd"/>
      <w:r w:rsidRPr="001E5D9F">
        <w:t>) grounds.</w:t>
      </w:r>
    </w:p>
    <w:p w:rsidR="008E7846" w:rsidRDefault="008E7846" w:rsidP="00087950">
      <w:pPr>
        <w:pStyle w:val="Heading3"/>
      </w:pPr>
      <w:bookmarkStart w:id="138" w:name="_Toc314842512"/>
      <w:bookmarkStart w:id="139" w:name="_Toc370129111"/>
      <w:r>
        <w:t>Nonclinical</w:t>
      </w:r>
      <w:bookmarkEnd w:id="138"/>
      <w:bookmarkEnd w:id="139"/>
    </w:p>
    <w:p w:rsidR="008E7846" w:rsidRDefault="001E5D9F" w:rsidP="00087950">
      <w:r w:rsidRPr="001E5D9F">
        <w:t>There were no objections to registration on non-clinical grounds.</w:t>
      </w:r>
    </w:p>
    <w:p w:rsidR="008E7846" w:rsidRDefault="008E7846" w:rsidP="00087950">
      <w:pPr>
        <w:pStyle w:val="Heading3"/>
      </w:pPr>
      <w:bookmarkStart w:id="140" w:name="_Toc247691530"/>
      <w:bookmarkStart w:id="141" w:name="_Toc314842513"/>
      <w:bookmarkStart w:id="142" w:name="_Toc370129112"/>
      <w:r>
        <w:t>Clinical</w:t>
      </w:r>
      <w:bookmarkEnd w:id="140"/>
      <w:bookmarkEnd w:id="141"/>
      <w:bookmarkEnd w:id="142"/>
    </w:p>
    <w:p w:rsidR="001E5D9F" w:rsidRPr="001E5D9F" w:rsidRDefault="001E5D9F" w:rsidP="00087950">
      <w:r w:rsidRPr="001E5D9F">
        <w:t>The following data were provided for evaluation:</w:t>
      </w:r>
    </w:p>
    <w:p w:rsidR="001E5D9F" w:rsidRPr="001D687A" w:rsidRDefault="001E5D9F" w:rsidP="00087950">
      <w:pPr>
        <w:pStyle w:val="ListBullet"/>
      </w:pPr>
      <w:r w:rsidRPr="001D687A">
        <w:t>10 clinical pharmacology studies, a population PK analysis (Study 11-2188) and an exposure–response analysis (Study 11-2187)</w:t>
      </w:r>
    </w:p>
    <w:p w:rsidR="001E5D9F" w:rsidRPr="001D687A" w:rsidRDefault="001E5D9F" w:rsidP="00087950">
      <w:pPr>
        <w:pStyle w:val="ListBullet"/>
      </w:pPr>
      <w:r w:rsidRPr="001D687A">
        <w:t>Study SHH4476g</w:t>
      </w:r>
      <w:r w:rsidR="001D687A">
        <w:t>,</w:t>
      </w:r>
      <w:r w:rsidRPr="001D687A">
        <w:t xml:space="preserve"> the pivotal study</w:t>
      </w:r>
      <w:r w:rsidR="001D687A">
        <w:t xml:space="preserve">, is </w:t>
      </w:r>
      <w:r w:rsidRPr="001D687A">
        <w:t xml:space="preserve">a Phase </w:t>
      </w:r>
      <w:r w:rsidR="001D687A">
        <w:t>II</w:t>
      </w:r>
      <w:r w:rsidRPr="001D687A">
        <w:t>, single-arm, open-label study in 104 patients with advanced BCC (locally advanced in 71; metastatic in 33)</w:t>
      </w:r>
      <w:r w:rsidR="001D687A">
        <w:t>.</w:t>
      </w:r>
      <w:r w:rsidRPr="001D687A">
        <w:rPr>
          <w:vertAlign w:val="superscript"/>
        </w:rPr>
        <w:footnoteReference w:id="15"/>
      </w:r>
      <w:r w:rsidRPr="001D687A">
        <w:t xml:space="preserve"> Analyses were presented based on three distinct clinical data cut-offs (an original then two updates).</w:t>
      </w:r>
    </w:p>
    <w:p w:rsidR="001E5D9F" w:rsidRPr="001D687A" w:rsidRDefault="001E5D9F" w:rsidP="00087950">
      <w:pPr>
        <w:pStyle w:val="ListBullet"/>
      </w:pPr>
      <w:r w:rsidRPr="001D687A">
        <w:t>Study SHH3925g</w:t>
      </w:r>
      <w:r w:rsidR="001D687A">
        <w:t>,</w:t>
      </w:r>
      <w:r w:rsidRPr="001D687A">
        <w:t xml:space="preserve"> a supportive study</w:t>
      </w:r>
      <w:r w:rsidR="001D687A">
        <w:t>, is</w:t>
      </w:r>
      <w:r w:rsidRPr="001D687A">
        <w:t xml:space="preserve"> a Phase </w:t>
      </w:r>
      <w:r w:rsidR="001D687A">
        <w:t>I</w:t>
      </w:r>
      <w:r w:rsidRPr="001D687A">
        <w:t>, open-label study of 68 patients with locally advanced or metastatic solid tumours refractory to standard therapy, including 33 patients with advanced BCC.</w:t>
      </w:r>
    </w:p>
    <w:p w:rsidR="001E5D9F" w:rsidRPr="001D687A" w:rsidRDefault="001E5D9F" w:rsidP="00087950">
      <w:pPr>
        <w:pStyle w:val="ListBullet"/>
      </w:pPr>
      <w:r w:rsidRPr="001D687A">
        <w:t>Nine st</w:t>
      </w:r>
      <w:r w:rsidR="00845984">
        <w:t xml:space="preserve">udies contributed safety data. </w:t>
      </w:r>
      <w:r w:rsidRPr="001D687A">
        <w:t>Six of these we</w:t>
      </w:r>
      <w:r w:rsidR="00BA5EC2">
        <w:t>re in cancer patients (pivotal S</w:t>
      </w:r>
      <w:r w:rsidRPr="001D687A">
        <w:t xml:space="preserve">tudy SHH4476g; supportive </w:t>
      </w:r>
      <w:r w:rsidR="00BA5EC2">
        <w:t>S</w:t>
      </w:r>
      <w:r w:rsidRPr="001D687A">
        <w:t xml:space="preserve">tudy SHH3925g; </w:t>
      </w:r>
      <w:r w:rsidR="00BA5EC2">
        <w:t>S</w:t>
      </w:r>
      <w:r w:rsidRPr="001D687A">
        <w:t xml:space="preserve">tudy SHH4610g that enrolled patients with solid tumours including one advanced BCC patient; </w:t>
      </w:r>
      <w:r w:rsidR="00BA5EC2">
        <w:t>S</w:t>
      </w:r>
      <w:r w:rsidRPr="001D687A">
        <w:t xml:space="preserve">tudy SHH4489g in ovarian cancer; </w:t>
      </w:r>
      <w:r w:rsidR="00BA5EC2">
        <w:t>S</w:t>
      </w:r>
      <w:r w:rsidRPr="001D687A">
        <w:t xml:space="preserve">tudy SHH4429g in metastatic colorectal cancer; </w:t>
      </w:r>
      <w:r w:rsidR="00BA5EC2">
        <w:t xml:space="preserve">and </w:t>
      </w:r>
      <w:r w:rsidRPr="001D687A">
        <w:t xml:space="preserve">extension </w:t>
      </w:r>
      <w:r w:rsidR="00BA5EC2">
        <w:t xml:space="preserve">Study SHH4437g). </w:t>
      </w:r>
      <w:r w:rsidRPr="001D687A">
        <w:t xml:space="preserve">Three studies </w:t>
      </w:r>
      <w:r w:rsidR="00BA5EC2">
        <w:t xml:space="preserve">were PK studies counted above. </w:t>
      </w:r>
      <w:r w:rsidRPr="001D687A">
        <w:t xml:space="preserve">Notably, </w:t>
      </w:r>
      <w:r w:rsidR="00BA5EC2">
        <w:t>S</w:t>
      </w:r>
      <w:r w:rsidRPr="001D687A">
        <w:t>tudies SHH4489g (ovarian ca</w:t>
      </w:r>
      <w:r w:rsidR="00BA5EC2">
        <w:t>ncer</w:t>
      </w:r>
      <w:r w:rsidRPr="001D687A">
        <w:t xml:space="preserve">) and SHH4429g (metastatic </w:t>
      </w:r>
      <w:r w:rsidR="0047765A">
        <w:t>CRC</w:t>
      </w:r>
      <w:r w:rsidRPr="001D687A">
        <w:t>) were randomised, placebo-controlled studies.</w:t>
      </w:r>
    </w:p>
    <w:p w:rsidR="001E5D9F" w:rsidRPr="001D687A" w:rsidRDefault="001E5D9F" w:rsidP="00087950">
      <w:pPr>
        <w:pStyle w:val="ListBullet"/>
      </w:pPr>
      <w:r w:rsidRPr="001D687A">
        <w:t>A further 14 studies sponsored by the N</w:t>
      </w:r>
      <w:r w:rsidR="0047765A">
        <w:t>CI CTPE</w:t>
      </w:r>
      <w:r w:rsidRPr="00BA5EC2">
        <w:rPr>
          <w:vertAlign w:val="superscript"/>
        </w:rPr>
        <w:footnoteReference w:id="16"/>
      </w:r>
      <w:r w:rsidRPr="001D687A">
        <w:t xml:space="preserve"> contributed to the safety profiling, but were not prominent in the clinical evaluation.</w:t>
      </w:r>
    </w:p>
    <w:p w:rsidR="001E5D9F" w:rsidRPr="001E5D9F" w:rsidRDefault="001E5D9F" w:rsidP="00087950">
      <w:pPr>
        <w:pStyle w:val="Heading4"/>
      </w:pPr>
      <w:r w:rsidRPr="001E5D9F">
        <w:t xml:space="preserve">Pharmacokinetics </w:t>
      </w:r>
    </w:p>
    <w:p w:rsidR="00C21C0E" w:rsidRDefault="00BA5EC2" w:rsidP="00087950">
      <w:pPr>
        <w:pStyle w:val="ListBullet"/>
      </w:pPr>
      <w:r>
        <w:t xml:space="preserve">Vismodegib </w:t>
      </w:r>
      <w:r w:rsidR="001E5D9F" w:rsidRPr="001E5D9F">
        <w:t xml:space="preserve">PK </w:t>
      </w:r>
      <w:r>
        <w:t xml:space="preserve">are </w:t>
      </w:r>
      <w:r w:rsidR="001E5D9F" w:rsidRPr="00BA5EC2">
        <w:t>non-linear.</w:t>
      </w:r>
    </w:p>
    <w:p w:rsidR="001E5D9F" w:rsidRPr="00BA5EC2" w:rsidRDefault="001E5D9F" w:rsidP="00087950">
      <w:pPr>
        <w:pStyle w:val="ListBullet"/>
      </w:pPr>
      <w:r w:rsidRPr="00BA5EC2">
        <w:t>In single dose studies in healthy subjects (SHH4433; SHH4683g) absorption was slow, with peaks at 1-4 h</w:t>
      </w:r>
      <w:r w:rsidR="0047765A">
        <w:t xml:space="preserve"> </w:t>
      </w:r>
      <w:r w:rsidRPr="00BA5EC2">
        <w:t>then 24-48 h</w:t>
      </w:r>
      <w:r w:rsidR="00BA5EC2">
        <w:t>.</w:t>
      </w:r>
      <w:r w:rsidRPr="00BA5EC2">
        <w:rPr>
          <w:vertAlign w:val="superscript"/>
        </w:rPr>
        <w:footnoteReference w:id="17"/>
      </w:r>
      <w:r w:rsidRPr="00BA5EC2">
        <w:t xml:space="preserve"> In addition, there are sustained plasma levels after a single dose, with a long terminal half-life of </w:t>
      </w:r>
      <w:r w:rsidR="00BA5EC2">
        <w:t xml:space="preserve">approximately </w:t>
      </w:r>
      <w:r w:rsidRPr="00BA5EC2">
        <w:t>12 days.</w:t>
      </w:r>
    </w:p>
    <w:p w:rsidR="001E5D9F" w:rsidRPr="00BA5EC2" w:rsidRDefault="001E5D9F" w:rsidP="00087950">
      <w:pPr>
        <w:pStyle w:val="ListBullet"/>
      </w:pPr>
      <w:r w:rsidRPr="00BA5EC2">
        <w:t>In Study SHH4683g (healthy volunteers), absolute bioavailability was determined to be 31.8%, with low variability.</w:t>
      </w:r>
    </w:p>
    <w:p w:rsidR="001E5D9F" w:rsidRPr="00BA5EC2" w:rsidRDefault="001E5D9F" w:rsidP="00087950">
      <w:pPr>
        <w:pStyle w:val="ListBullet"/>
      </w:pPr>
      <w:r w:rsidRPr="00BA5EC2">
        <w:t>In Study SHH4683g, steady state concentrations were seen within 7 days of starting daily 150 mg dosing (faster than expected giv</w:t>
      </w:r>
      <w:r w:rsidR="00BA5EC2">
        <w:t xml:space="preserve">en the single dose half-life). </w:t>
      </w:r>
      <w:r w:rsidRPr="00BA5EC2">
        <w:t>Time to steady state was 7-14 days in cancer patients.</w:t>
      </w:r>
    </w:p>
    <w:p w:rsidR="001E5D9F" w:rsidRPr="00BA5EC2" w:rsidRDefault="001E5D9F" w:rsidP="00087950">
      <w:pPr>
        <w:pStyle w:val="ListBullet"/>
      </w:pPr>
      <w:r w:rsidRPr="00BA5EC2">
        <w:t>As noted above, terminal half-life is 12 days after a single dose, but the apparent half-life at steady state is shorter, at around 4 days for a typical patient.</w:t>
      </w:r>
    </w:p>
    <w:p w:rsidR="001E5D9F" w:rsidRPr="00BA5EC2" w:rsidRDefault="001E5D9F" w:rsidP="00087950">
      <w:pPr>
        <w:pStyle w:val="ListBullet"/>
      </w:pPr>
      <w:r w:rsidRPr="00BA5EC2">
        <w:t>With multiple doses, clearance and steady state volume of distribution increased relative to results after a single dose, indicating concentration-dependent changes in PK</w:t>
      </w:r>
      <w:r w:rsidR="00BA5EC2">
        <w:t xml:space="preserve">. Plasma exposure was </w:t>
      </w:r>
      <w:r w:rsidRPr="00BA5EC2">
        <w:t xml:space="preserve">only </w:t>
      </w:r>
      <w:r w:rsidR="00BA5EC2">
        <w:t xml:space="preserve">approximately </w:t>
      </w:r>
      <w:r w:rsidR="0047765A">
        <w:t xml:space="preserve">3 </w:t>
      </w:r>
      <w:r w:rsidRPr="00BA5EC2">
        <w:t>fold higher at steady state than after a single dose.</w:t>
      </w:r>
    </w:p>
    <w:p w:rsidR="001E5D9F" w:rsidRPr="00BA5EC2" w:rsidRDefault="001E5D9F" w:rsidP="00087950">
      <w:pPr>
        <w:pStyle w:val="ListBullet"/>
      </w:pPr>
      <w:r w:rsidRPr="00BA5EC2">
        <w:t>In cancer patients, similar steady state levels (for both total and unbound vismodegib) were seen across 150 mg, 270 mg and 540 mg arms, indicating non-linearity with regard to dose</w:t>
      </w:r>
      <w:r w:rsidR="00BA5EC2">
        <w:t xml:space="preserve">. </w:t>
      </w:r>
      <w:r w:rsidRPr="00BA5EC2">
        <w:t>The sponsor attributed this to saturable absorption.</w:t>
      </w:r>
    </w:p>
    <w:p w:rsidR="001E5D9F" w:rsidRPr="00BA5EC2" w:rsidRDefault="001E5D9F" w:rsidP="00087950">
      <w:pPr>
        <w:pStyle w:val="ListBullet"/>
      </w:pPr>
      <w:r w:rsidRPr="00BA5EC2">
        <w:t>Vismodegib PK is influenced by systemic levels of AAG</w:t>
      </w:r>
      <w:r w:rsidR="00BA5EC2">
        <w:t xml:space="preserve">. </w:t>
      </w:r>
      <w:r w:rsidRPr="00BA5EC2">
        <w:t>There is a strong correlation between total vismodegib plasma concentration and AAG level (</w:t>
      </w:r>
      <w:r w:rsidR="0047765A">
        <w:t xml:space="preserve">correlation coefficient </w:t>
      </w:r>
      <w:r w:rsidRPr="00BA5EC2">
        <w:t>r</w:t>
      </w:r>
      <w:r w:rsidRPr="00BA5EC2">
        <w:rPr>
          <w:vertAlign w:val="superscript"/>
        </w:rPr>
        <w:t>2</w:t>
      </w:r>
      <w:r w:rsidRPr="00BA5EC2">
        <w:t xml:space="preserve"> = 0.73</w:t>
      </w:r>
      <w:r w:rsidR="00BA5EC2">
        <w:t>)</w:t>
      </w:r>
      <w:r w:rsidRPr="00BA5EC2">
        <w:t>. There was no such correlation for unbo</w:t>
      </w:r>
      <w:r w:rsidR="00BA5EC2">
        <w:t xml:space="preserve">und vismodegib levels and AAG. </w:t>
      </w:r>
      <w:r w:rsidRPr="00BA5EC2">
        <w:t>Binding to AAG is high affinity and is saturable at clinically relevant levels; the sponsor states that this explains the concentr</w:t>
      </w:r>
      <w:r w:rsidR="00BA5EC2">
        <w:t xml:space="preserve">ation-dependent changes in PK. </w:t>
      </w:r>
      <w:r w:rsidRPr="00BA5EC2">
        <w:t>Vismodegib also binds to albumin.</w:t>
      </w:r>
    </w:p>
    <w:p w:rsidR="001E5D9F" w:rsidRPr="00BA5EC2" w:rsidRDefault="001E5D9F" w:rsidP="00087950">
      <w:pPr>
        <w:pStyle w:val="ListBullet"/>
      </w:pPr>
      <w:r w:rsidRPr="00BA5EC2">
        <w:t xml:space="preserve">Elimination is </w:t>
      </w:r>
      <w:r w:rsidR="0047765A">
        <w:t>I</w:t>
      </w:r>
      <w:r w:rsidRPr="00BA5EC2">
        <w:t xml:space="preserve"> metabolism</w:t>
      </w:r>
      <w:r w:rsidR="00BA5EC2">
        <w:t xml:space="preserve"> and excretion of parent drug. </w:t>
      </w:r>
      <w:r w:rsidRPr="00BA5EC2">
        <w:t xml:space="preserve">Nonclinical studies found a role in metabolism of vismodegib </w:t>
      </w:r>
      <w:r w:rsidR="00BA5EC2">
        <w:t xml:space="preserve">for CYP3A4, CYP3A5 and CYP2C9. </w:t>
      </w:r>
      <w:r w:rsidRPr="00BA5EC2">
        <w:t xml:space="preserve">After oral administration of </w:t>
      </w:r>
      <w:proofErr w:type="spellStart"/>
      <w:r w:rsidRPr="00BA5EC2">
        <w:t>radiolabelled</w:t>
      </w:r>
      <w:proofErr w:type="spellEnd"/>
      <w:r w:rsidRPr="00BA5EC2">
        <w:t xml:space="preserve"> drug, 82% of the rad</w:t>
      </w:r>
      <w:r w:rsidR="0047765A">
        <w:t>iolabel was recovered in faeces and</w:t>
      </w:r>
      <w:r w:rsidRPr="00BA5EC2">
        <w:t xml:space="preserve"> 4.4% in urine.</w:t>
      </w:r>
    </w:p>
    <w:p w:rsidR="001E5D9F" w:rsidRPr="00BA5EC2" w:rsidRDefault="001E5D9F" w:rsidP="00087950">
      <w:pPr>
        <w:pStyle w:val="ListBullet"/>
      </w:pPr>
      <w:r w:rsidRPr="00BA5EC2">
        <w:t xml:space="preserve">Drug interactions were studied </w:t>
      </w:r>
      <w:r w:rsidR="0047765A">
        <w:t xml:space="preserve">in SHH4429g and SHH4593g. </w:t>
      </w:r>
      <w:r w:rsidRPr="00BA5EC2">
        <w:t xml:space="preserve">Bevacizumab trough concentrations were higher in the presence of vismodegib. There was no indication of drug interactions mediated </w:t>
      </w:r>
      <w:r w:rsidRPr="0047765A">
        <w:rPr>
          <w:i/>
        </w:rPr>
        <w:t>via</w:t>
      </w:r>
      <w:r w:rsidRPr="00BA5EC2">
        <w:t xml:space="preserve"> the CYP450 enzyme system. The nonclinical evaluator also considered clinically relevant interactions with CYP450 and BRCP transport to be unlikely.</w:t>
      </w:r>
    </w:p>
    <w:p w:rsidR="001E5D9F" w:rsidRPr="00BA5EC2" w:rsidRDefault="001E5D9F" w:rsidP="00087950">
      <w:pPr>
        <w:pStyle w:val="ListBullet"/>
      </w:pPr>
      <w:r w:rsidRPr="00BA5EC2">
        <w:t>Population PK analysis was based predominantly on</w:t>
      </w:r>
      <w:r w:rsidR="00BA5EC2" w:rsidRPr="00BA5EC2">
        <w:t xml:space="preserve"> the study of cancer patients. </w:t>
      </w:r>
      <w:r w:rsidRPr="00BA5EC2">
        <w:t>The most important factor influencing steady state plasma concentrat</w:t>
      </w:r>
      <w:r w:rsidR="00BA5EC2" w:rsidRPr="00BA5EC2">
        <w:t xml:space="preserve">ion was found to be AAG level. </w:t>
      </w:r>
      <w:r w:rsidRPr="00BA5EC2">
        <w:t>No other baseline co-variates had a clinically relevant impact on steady state total or unbound vismodegib levels.</w:t>
      </w:r>
    </w:p>
    <w:p w:rsidR="001E5D9F" w:rsidRPr="00BA5EC2" w:rsidRDefault="001E5D9F" w:rsidP="00BA5EC2">
      <w:r w:rsidRPr="00BA5EC2">
        <w:t>There is an ongoing study to characterise PK in patients with hepatic or renal impairment. The one patient tested so far who had severe hepatic impairment had distinctly lower total vismodegib levels</w:t>
      </w:r>
      <w:r w:rsidR="00BA5EC2">
        <w:t>.</w:t>
      </w:r>
      <w:r w:rsidRPr="00BA5EC2">
        <w:t xml:space="preserve"> </w:t>
      </w:r>
      <w:r w:rsidR="00BA5EC2">
        <w:t xml:space="preserve">It is noted that </w:t>
      </w:r>
      <w:r w:rsidRPr="00BA5EC2">
        <w:t>AA</w:t>
      </w:r>
      <w:r w:rsidR="00BA5EC2">
        <w:t xml:space="preserve">G is synthesised in the liver. </w:t>
      </w:r>
      <w:r w:rsidRPr="00BA5EC2">
        <w:t>In that patient, unbound vismodegib levels were essentially the same as in patients with no impairment. This suggests that hepatic impairment might lead to apparent chan</w:t>
      </w:r>
      <w:r w:rsidR="0047765A">
        <w:t>ges in total levels</w:t>
      </w:r>
      <w:r w:rsidRPr="00BA5EC2">
        <w:t xml:space="preserve"> but does not alter clearance of un</w:t>
      </w:r>
      <w:r w:rsidR="00BA5EC2">
        <w:t xml:space="preserve">bound vismodegib dramatically. </w:t>
      </w:r>
      <w:r w:rsidRPr="00BA5EC2">
        <w:t>Data f</w:t>
      </w:r>
      <w:r w:rsidR="00BA5EC2">
        <w:t>rom more patients are required.</w:t>
      </w:r>
      <w:r w:rsidRPr="00BA5EC2">
        <w:t xml:space="preserve"> No patients tested so far have had severe renal impairment.</w:t>
      </w:r>
    </w:p>
    <w:p w:rsidR="001E5D9F" w:rsidRPr="00BA5EC2" w:rsidRDefault="001E5D9F" w:rsidP="00087950">
      <w:r w:rsidRPr="00BA5EC2">
        <w:t>The formulation proposed for marketing is that used in</w:t>
      </w:r>
      <w:r w:rsidR="00E247D3">
        <w:t xml:space="preserve"> the pivotal study. </w:t>
      </w:r>
      <w:r w:rsidRPr="00BA5EC2">
        <w:t>Earlier studies used other formulations.</w:t>
      </w:r>
    </w:p>
    <w:p w:rsidR="001E5D9F" w:rsidRPr="00BA5EC2" w:rsidRDefault="00BA5EC2" w:rsidP="00087950">
      <w:pPr>
        <w:pStyle w:val="Heading4"/>
      </w:pPr>
      <w:r>
        <w:t xml:space="preserve">Pharmacodynamics </w:t>
      </w:r>
    </w:p>
    <w:p w:rsidR="001E5D9F" w:rsidRPr="001E5D9F" w:rsidRDefault="001E5D9F" w:rsidP="00087950">
      <w:r w:rsidRPr="001E5D9F">
        <w:t>There was a dedicated QT</w:t>
      </w:r>
      <w:r w:rsidR="00BA5EC2">
        <w:t xml:space="preserve"> prolongation study, SHH4871g. </w:t>
      </w:r>
      <w:r w:rsidRPr="001E5D9F">
        <w:t xml:space="preserve">No clear-cut relationship between exposure and </w:t>
      </w:r>
      <w:proofErr w:type="spellStart"/>
      <w:r w:rsidRPr="001E5D9F">
        <w:t>QTc</w:t>
      </w:r>
      <w:proofErr w:type="spellEnd"/>
      <w:r w:rsidRPr="001E5D9F">
        <w:t xml:space="preserve"> prolongation was uncovered.</w:t>
      </w:r>
    </w:p>
    <w:p w:rsidR="001E5D9F" w:rsidRPr="00BA5EC2" w:rsidRDefault="00E247D3" w:rsidP="00087950">
      <w:r>
        <w:t>The biomarker GLi</w:t>
      </w:r>
      <w:r w:rsidR="001E5D9F" w:rsidRPr="00BA5EC2">
        <w:t xml:space="preserve">1 (from a </w:t>
      </w:r>
      <w:proofErr w:type="spellStart"/>
      <w:r w:rsidR="00D22C59">
        <w:t>Hh</w:t>
      </w:r>
      <w:proofErr w:type="spellEnd"/>
      <w:r w:rsidR="001E5D9F" w:rsidRPr="00BA5EC2">
        <w:t xml:space="preserve"> path</w:t>
      </w:r>
      <w:r w:rsidR="00BA5EC2" w:rsidRPr="00BA5EC2">
        <w:t xml:space="preserve">way target gene) was assessed. </w:t>
      </w:r>
      <w:r>
        <w:t>Expression of GLi</w:t>
      </w:r>
      <w:r w:rsidR="001E5D9F" w:rsidRPr="00BA5EC2">
        <w:t>1 m</w:t>
      </w:r>
      <w:r w:rsidR="005B2476">
        <w:t xml:space="preserve">RNA was examined pre- and post-dosing. </w:t>
      </w:r>
      <w:r>
        <w:t>Use of GLi</w:t>
      </w:r>
      <w:r w:rsidR="001E5D9F" w:rsidRPr="00BA5EC2">
        <w:t>1 as a biomarker of efficacy or safety endpoints was not validated.</w:t>
      </w:r>
    </w:p>
    <w:p w:rsidR="001E5D9F" w:rsidRPr="00BA5EC2" w:rsidRDefault="001E5D9F" w:rsidP="00087950">
      <w:r w:rsidRPr="00BA5EC2">
        <w:t>The relationship between exposure and efficacy was examined; no relationship was found.</w:t>
      </w:r>
    </w:p>
    <w:p w:rsidR="001E5D9F" w:rsidRPr="00BA5EC2" w:rsidRDefault="001E5D9F" w:rsidP="00087950">
      <w:r w:rsidRPr="00BA5EC2">
        <w:t>The relationships between exposure and various characteristic</w:t>
      </w:r>
      <w:r w:rsidR="005B2476">
        <w:t xml:space="preserve"> </w:t>
      </w:r>
      <w:r w:rsidR="00861424">
        <w:t>AE</w:t>
      </w:r>
      <w:r w:rsidR="005B2476">
        <w:t xml:space="preserve">s were examined. </w:t>
      </w:r>
      <w:r w:rsidRPr="00BA5EC2">
        <w:t>No clear-cut relationship was uncovered.</w:t>
      </w:r>
    </w:p>
    <w:p w:rsidR="001E5D9F" w:rsidRPr="005B2476" w:rsidRDefault="001E5D9F" w:rsidP="00087950">
      <w:pPr>
        <w:pStyle w:val="Heading4"/>
      </w:pPr>
      <w:r w:rsidRPr="005B2476">
        <w:t>Efficacy</w:t>
      </w:r>
    </w:p>
    <w:p w:rsidR="001E5D9F" w:rsidRPr="005B2476" w:rsidRDefault="005B2476" w:rsidP="00087950">
      <w:pPr>
        <w:pStyle w:val="Heading5"/>
      </w:pPr>
      <w:r>
        <w:t>Choice of Phase II</w:t>
      </w:r>
      <w:r w:rsidR="001E5D9F" w:rsidRPr="005B2476">
        <w:t xml:space="preserve"> dose</w:t>
      </w:r>
    </w:p>
    <w:p w:rsidR="001E5D9F" w:rsidRPr="005B2476" w:rsidRDefault="001E5D9F" w:rsidP="00087950">
      <w:r w:rsidRPr="005B2476">
        <w:t>In Study SHH3925g, increasing daily dose from 150 mg to 270 mg to 540 mg did not result in high</w:t>
      </w:r>
      <w:r w:rsidR="005B2476">
        <w:t xml:space="preserve">er steady state plasma levels. </w:t>
      </w:r>
      <w:r w:rsidRPr="005B2476">
        <w:t>Also, no exposure-effica</w:t>
      </w:r>
      <w:r w:rsidR="005B2476">
        <w:t xml:space="preserve">cy relationship was uncovered. </w:t>
      </w:r>
      <w:r w:rsidRPr="005B2476">
        <w:t>The sponsor justified the absence of assessment of lower doses, noting there were no dose-limiting or other maj</w:t>
      </w:r>
      <w:r w:rsidR="005B2476">
        <w:t xml:space="preserve">or toxicities at 150 mg daily. </w:t>
      </w:r>
      <w:r w:rsidRPr="005B2476">
        <w:t>Simulation suggested that below 150 mg, unbound concentrations would fall disproportionately more, possibly to levels where pathway suppression might be reduced.</w:t>
      </w:r>
    </w:p>
    <w:p w:rsidR="001E5D9F" w:rsidRPr="005B2476" w:rsidRDefault="001E5D9F" w:rsidP="00087950">
      <w:pPr>
        <w:pStyle w:val="Heading5"/>
      </w:pPr>
      <w:r w:rsidRPr="005B2476">
        <w:t>Study SHH4476g (pivotal)</w:t>
      </w:r>
    </w:p>
    <w:p w:rsidR="001E5D9F" w:rsidRPr="001E5D9F" w:rsidRDefault="005B2476" w:rsidP="00087950">
      <w:r>
        <w:t>This was a Phase II</w:t>
      </w:r>
      <w:r w:rsidR="001E5D9F" w:rsidRPr="001E5D9F">
        <w:t>, single-arm, open-label study of vismodegib in adults with metastatic or locally advanced BCC.</w:t>
      </w:r>
    </w:p>
    <w:p w:rsidR="001E5D9F" w:rsidRPr="001E5D9F" w:rsidRDefault="001E5D9F" w:rsidP="00087950">
      <w:r w:rsidRPr="001E5D9F">
        <w:t>Locally advanced could mean inoperable BCC or BCC in a subject with a contraindication to surgery</w:t>
      </w:r>
      <w:r w:rsidR="005B2476">
        <w:t>. P</w:t>
      </w:r>
      <w:r w:rsidRPr="001E5D9F">
        <w:t>atients with contraindications to surgery included the following:</w:t>
      </w:r>
    </w:p>
    <w:p w:rsidR="001E5D9F" w:rsidRPr="005B2476" w:rsidRDefault="001E5D9F" w:rsidP="005B2476">
      <w:pPr>
        <w:pStyle w:val="ListBullet"/>
      </w:pPr>
      <w:r w:rsidRPr="005B2476">
        <w:t>BCC patients who had a lesion that had recurred in the same location after two or more surgical procedures and for whom curative resection was deemed unlikely;</w:t>
      </w:r>
    </w:p>
    <w:p w:rsidR="001E5D9F" w:rsidRPr="005B2476" w:rsidRDefault="001E5D9F" w:rsidP="005B2476">
      <w:pPr>
        <w:pStyle w:val="ListBullet"/>
      </w:pPr>
      <w:r w:rsidRPr="005B2476">
        <w:t>BCC patients who would suffer substantial morbidity and/</w:t>
      </w:r>
      <w:r w:rsidR="005B2476">
        <w:t>or deformity from surgery (for example,</w:t>
      </w:r>
      <w:r w:rsidRPr="005B2476">
        <w:t xml:space="preserve"> removal of all or part of a facial structure, such as nose, ear, eyelid, eye; or requirement for limb amputation).</w:t>
      </w:r>
    </w:p>
    <w:p w:rsidR="001E5D9F" w:rsidRPr="001E5D9F" w:rsidRDefault="001E5D9F" w:rsidP="00087950">
      <w:r w:rsidRPr="001E5D9F">
        <w:t>Patients received 150 mg per day until disease progression, intolerable toxicity or study withdrawal.</w:t>
      </w:r>
    </w:p>
    <w:p w:rsidR="001E5D9F" w:rsidRPr="001E5D9F" w:rsidRDefault="001E5D9F" w:rsidP="00087950">
      <w:r w:rsidRPr="001E5D9F">
        <w:t>Data based on three cli</w:t>
      </w:r>
      <w:r w:rsidR="005B2476">
        <w:t>nical cut-offs were presented. For the clinical evaluation, e</w:t>
      </w:r>
      <w:r w:rsidRPr="001E5D9F">
        <w:t>mphasis was given to the initial cut-off of 26</w:t>
      </w:r>
      <w:r w:rsidRPr="001E5D9F">
        <w:rPr>
          <w:vertAlign w:val="superscript"/>
        </w:rPr>
        <w:t>th</w:t>
      </w:r>
      <w:r w:rsidRPr="001E5D9F">
        <w:t xml:space="preserve"> November 2010; there was also reference to a subsequent cut-off of 26</w:t>
      </w:r>
      <w:r w:rsidRPr="001E5D9F">
        <w:rPr>
          <w:vertAlign w:val="superscript"/>
        </w:rPr>
        <w:t>th</w:t>
      </w:r>
      <w:r w:rsidR="005B2476">
        <w:t xml:space="preserve"> May 2011. T</w:t>
      </w:r>
      <w:r w:rsidRPr="001E5D9F">
        <w:t xml:space="preserve">here </w:t>
      </w:r>
      <w:r w:rsidR="005B2476">
        <w:t xml:space="preserve">are also </w:t>
      </w:r>
      <w:r w:rsidRPr="001E5D9F">
        <w:t>results using a cut-off of 28</w:t>
      </w:r>
      <w:r w:rsidRPr="001E5D9F">
        <w:rPr>
          <w:vertAlign w:val="superscript"/>
        </w:rPr>
        <w:t>th</w:t>
      </w:r>
      <w:r w:rsidRPr="001E5D9F">
        <w:t xml:space="preserve"> November 2011.</w:t>
      </w:r>
    </w:p>
    <w:p w:rsidR="001E5D9F" w:rsidRPr="001E5D9F" w:rsidRDefault="00EB2D5D" w:rsidP="00087950">
      <w:r>
        <w:t xml:space="preserve">Overall response rate </w:t>
      </w:r>
      <w:r w:rsidR="001E5D9F" w:rsidRPr="001E5D9F">
        <w:t>determined on two consecutive ass</w:t>
      </w:r>
      <w:r w:rsidR="005B2476">
        <w:t>essments at least 4 weeks apart</w:t>
      </w:r>
      <w:r w:rsidR="001E5D9F" w:rsidRPr="001E5D9F">
        <w:t xml:space="preserve"> and assessed by an IRF was the primary endpoint.</w:t>
      </w:r>
    </w:p>
    <w:p w:rsidR="001E5D9F" w:rsidRPr="001E5D9F" w:rsidRDefault="001E5D9F" w:rsidP="00087950">
      <w:pPr>
        <w:pStyle w:val="ListBullet"/>
      </w:pPr>
      <w:r w:rsidRPr="001E5D9F">
        <w:t>For patients with metastases, RECIST criteria were used.</w:t>
      </w:r>
    </w:p>
    <w:p w:rsidR="001E5D9F" w:rsidRPr="001E5D9F" w:rsidRDefault="001E5D9F" w:rsidP="00087950">
      <w:pPr>
        <w:pStyle w:val="ListBullet"/>
      </w:pPr>
      <w:r w:rsidRPr="001E5D9F">
        <w:t>For patients with locally advanced disease, a novel composite endpoint was developed, apparently in or after consultation with the US FDA</w:t>
      </w:r>
      <w:r w:rsidR="005F466E">
        <w:t xml:space="preserve">. </w:t>
      </w:r>
      <w:r w:rsidRPr="001E5D9F">
        <w:t>The composite endpoint does not in itself distinguish complete from partial responses; for this, the histology evaluation was used.</w:t>
      </w:r>
    </w:p>
    <w:p w:rsidR="001E5D9F" w:rsidRPr="001E5D9F" w:rsidRDefault="001E5D9F" w:rsidP="00087950">
      <w:r w:rsidRPr="001E5D9F">
        <w:t>Concordance between IRF and investigator-based results was modest, especially for those with locally advanced disease (60%), where a composite e</w:t>
      </w:r>
      <w:r w:rsidR="00EB2D5D">
        <w:t xml:space="preserve">ndpoint was used. </w:t>
      </w:r>
      <w:r w:rsidRPr="001E5D9F">
        <w:t>Given the open-label design, IRF results are emphasised here.</w:t>
      </w:r>
    </w:p>
    <w:p w:rsidR="001E5D9F" w:rsidRPr="001E5D9F" w:rsidRDefault="001E5D9F" w:rsidP="00087950">
      <w:r w:rsidRPr="001E5D9F">
        <w:t>Progression</w:t>
      </w:r>
      <w:r w:rsidR="00725C60">
        <w:t xml:space="preserve"> </w:t>
      </w:r>
      <w:r w:rsidRPr="001E5D9F">
        <w:t>free survival was a secondary endpoint, as was OS.</w:t>
      </w:r>
    </w:p>
    <w:p w:rsidR="001E5D9F" w:rsidRPr="001E5D9F" w:rsidRDefault="001E5D9F" w:rsidP="00087950">
      <w:r w:rsidRPr="001E5D9F">
        <w:t>104 patients were enrolled, including 33 with metastatic BCC and 71 with locally advanc</w:t>
      </w:r>
      <w:r w:rsidR="00395AD3">
        <w:t xml:space="preserve">ed BCC. </w:t>
      </w:r>
      <w:r w:rsidRPr="001E5D9F">
        <w:t>A</w:t>
      </w:r>
      <w:r w:rsidR="00395AD3">
        <w:t xml:space="preserve">ll ‘metastatic’ patients and 63 of </w:t>
      </w:r>
      <w:r w:rsidRPr="001E5D9F">
        <w:t>71 ‘locally advanced’ patients were evaluable for efficacy; 8 locally advanced patients had no confirmed BCC on baseline biopsy assessment.</w:t>
      </w:r>
    </w:p>
    <w:p w:rsidR="001E5D9F" w:rsidRPr="001E5D9F" w:rsidRDefault="001E5D9F" w:rsidP="00087950">
      <w:r w:rsidRPr="001E5D9F">
        <w:t xml:space="preserve">Median age was 62 years (range 21-101 years); 61.5% were male; and except in 3/104 cases, ECOG </w:t>
      </w:r>
      <w:r w:rsidR="005F466E">
        <w:t xml:space="preserve">PS </w:t>
      </w:r>
      <w:r w:rsidRPr="001E5D9F">
        <w:t>was 0-1. About half of subjects had 1 lesion</w:t>
      </w:r>
      <w:r w:rsidR="00395AD3">
        <w:t xml:space="preserve">. </w:t>
      </w:r>
      <w:r w:rsidRPr="001E5D9F">
        <w:t>Median time from first BCC diagnosis to enrolment was 5 years for the metastatic cohort and 14 years for the locally advanced cohort.</w:t>
      </w:r>
      <w:r w:rsidR="00395AD3">
        <w:t xml:space="preserve"> </w:t>
      </w:r>
      <w:r w:rsidRPr="001E5D9F">
        <w:t xml:space="preserve">According to the published report of this study by </w:t>
      </w:r>
      <w:proofErr w:type="spellStart"/>
      <w:r w:rsidRPr="001E5D9F">
        <w:t>Sekulic</w:t>
      </w:r>
      <w:proofErr w:type="spellEnd"/>
      <w:r w:rsidRPr="001E5D9F">
        <w:t xml:space="preserve"> </w:t>
      </w:r>
      <w:r w:rsidRPr="00395AD3">
        <w:rPr>
          <w:i/>
        </w:rPr>
        <w:t>et al</w:t>
      </w:r>
      <w:r w:rsidRPr="001E5D9F">
        <w:t>, among those with locally advanced disease and included in the efficacy analysis, 24/63 had BCC considered inoperable, while in 39/63 surgery was inappropriate (16 had multiple recurrences; 32 had the prospect of surgery-related morbidity or deformity; some fell into both camps)</w:t>
      </w:r>
      <w:r w:rsidR="00395AD3">
        <w:t>.</w:t>
      </w:r>
      <w:r w:rsidRPr="001E5D9F">
        <w:rPr>
          <w:vertAlign w:val="superscript"/>
        </w:rPr>
        <w:footnoteReference w:id="18"/>
      </w:r>
      <w:r w:rsidRPr="001E5D9F">
        <w:t xml:space="preserve"> 22 patients in this study had </w:t>
      </w:r>
      <w:proofErr w:type="spellStart"/>
      <w:r w:rsidRPr="001E5D9F">
        <w:t>Gorlin’s</w:t>
      </w:r>
      <w:proofErr w:type="spellEnd"/>
      <w:r w:rsidRPr="001E5D9F">
        <w:t xml:space="preserve"> Syndrome.</w:t>
      </w:r>
    </w:p>
    <w:p w:rsidR="001E5D9F" w:rsidRPr="001E5D9F" w:rsidRDefault="001E5D9F" w:rsidP="00087950">
      <w:r w:rsidRPr="001E5D9F">
        <w:t xml:space="preserve">For patients with locally advanced disease, radiotherapy should have been previously given unless this was contraindicated or otherwise inappropriate (in fact, only 13/63 </w:t>
      </w:r>
      <w:r w:rsidR="00395AD3">
        <w:t xml:space="preserve">patients had prior radiation). </w:t>
      </w:r>
      <w:r w:rsidRPr="001E5D9F">
        <w:t>11.1% of locally advanced patients had received prior systemic therapy (v</w:t>
      </w:r>
      <w:r w:rsidR="00395AD3">
        <w:t>ersus</w:t>
      </w:r>
      <w:r w:rsidRPr="001E5D9F">
        <w:t xml:space="preserve"> </w:t>
      </w:r>
      <w:r w:rsidR="00395AD3">
        <w:t xml:space="preserve">30.3% of metastatic patients). </w:t>
      </w:r>
      <w:r w:rsidRPr="001E5D9F">
        <w:t xml:space="preserve">Details of prior chemotherapy were not well presented, </w:t>
      </w:r>
      <w:r w:rsidR="00395AD3">
        <w:t xml:space="preserve">for example, </w:t>
      </w:r>
      <w:r w:rsidRPr="001E5D9F">
        <w:t>in the metastatic cohort, 9/33 had received “no</w:t>
      </w:r>
      <w:r w:rsidR="00395AD3">
        <w:t xml:space="preserve">n-anthracycline” chemotherapy. </w:t>
      </w:r>
      <w:r w:rsidRPr="001E5D9F">
        <w:t xml:space="preserve">It would have been useful to know how many had received </w:t>
      </w:r>
      <w:proofErr w:type="spellStart"/>
      <w:r w:rsidRPr="001E5D9F">
        <w:t>cisplatin</w:t>
      </w:r>
      <w:proofErr w:type="spellEnd"/>
      <w:r w:rsidRPr="001E5D9F">
        <w:t xml:space="preserve"> or other platinum compounds, and time to progression on those compounds.</w:t>
      </w:r>
    </w:p>
    <w:p w:rsidR="001E5D9F" w:rsidRPr="00395AD3" w:rsidRDefault="001E5D9F" w:rsidP="001E5D9F">
      <w:r w:rsidRPr="001E5D9F">
        <w:t>Using the cut-off of 26</w:t>
      </w:r>
      <w:r w:rsidRPr="001E5D9F">
        <w:rPr>
          <w:vertAlign w:val="superscript"/>
        </w:rPr>
        <w:t>th</w:t>
      </w:r>
      <w:r w:rsidRPr="001E5D9F">
        <w:t xml:space="preserve"> November 2010, 51/104 patients remained on treatment but 53/1</w:t>
      </w:r>
      <w:r w:rsidR="00395AD3">
        <w:t xml:space="preserve">04 had discontinued treatment. </w:t>
      </w:r>
      <w:r w:rsidRPr="001E5D9F">
        <w:t>Discontinuation</w:t>
      </w:r>
      <w:r w:rsidR="00395AD3">
        <w:t xml:space="preserve"> </w:t>
      </w:r>
      <w:r w:rsidRPr="00395AD3">
        <w:t>was commonly a decision of the patient (20/104; data were not collected concerning the underlying reason) but was due to AEs in 12/104, disease progression in 11/104</w:t>
      </w:r>
      <w:r w:rsidR="005F466E">
        <w:t>,</w:t>
      </w:r>
      <w:r w:rsidRPr="00395AD3">
        <w:t xml:space="preserve"> and death in 3 cases.</w:t>
      </w:r>
    </w:p>
    <w:p w:rsidR="001E5D9F" w:rsidRDefault="001E5D9F" w:rsidP="00087950">
      <w:r w:rsidRPr="001E5D9F">
        <w:t xml:space="preserve">A summary of efficacy results is tabulated in </w:t>
      </w:r>
      <w:r w:rsidR="00CC05F8">
        <w:t xml:space="preserve">Table </w:t>
      </w:r>
      <w:r w:rsidR="000A623E">
        <w:t>16</w:t>
      </w:r>
      <w:r w:rsidR="00CC05F8">
        <w:t xml:space="preserve"> and described below. </w:t>
      </w:r>
    </w:p>
    <w:p w:rsidR="006B4975" w:rsidRDefault="000A623E" w:rsidP="00087950">
      <w:pPr>
        <w:pStyle w:val="TableTitle"/>
      </w:pPr>
      <w:r>
        <w:t>Table 16</w:t>
      </w:r>
      <w:r w:rsidR="00CC05F8">
        <w:t xml:space="preserve">. </w:t>
      </w:r>
      <w:r w:rsidR="006B4975" w:rsidRPr="006B4975">
        <w:t xml:space="preserve">Efficacy results for Study SHH4476g </w:t>
      </w:r>
    </w:p>
    <w:p w:rsidR="006B4975" w:rsidRPr="001E5D9F" w:rsidRDefault="006B4975" w:rsidP="00087950">
      <w:r w:rsidRPr="006B4975">
        <w:rPr>
          <w:noProof/>
          <w:lang w:eastAsia="en-AU"/>
        </w:rPr>
        <w:drawing>
          <wp:inline distT="0" distB="0" distL="0" distR="0">
            <wp:extent cx="4022745" cy="4658360"/>
            <wp:effectExtent l="19050" t="0" r="0" b="0"/>
            <wp:docPr id="7" name="Picture 1" descr="Table 16. Efficacy results for Study SHH4476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024412" cy="4660291"/>
                    </a:xfrm>
                    <a:prstGeom prst="rect">
                      <a:avLst/>
                    </a:prstGeom>
                    <a:noFill/>
                    <a:ln w="9525">
                      <a:noFill/>
                      <a:miter lim="800000"/>
                      <a:headEnd/>
                      <a:tailEnd/>
                    </a:ln>
                  </pic:spPr>
                </pic:pic>
              </a:graphicData>
            </a:graphic>
          </wp:inline>
        </w:drawing>
      </w:r>
    </w:p>
    <w:p w:rsidR="001E5D9F" w:rsidRPr="008C51A1" w:rsidRDefault="001E5D9F" w:rsidP="008C51A1">
      <w:r w:rsidRPr="00FA0E0D">
        <w:rPr>
          <w:i/>
        </w:rPr>
        <w:t>Objective response.</w:t>
      </w:r>
      <w:r w:rsidR="004D0159">
        <w:t xml:space="preserve"> </w:t>
      </w:r>
      <w:r w:rsidRPr="008C51A1">
        <w:t>In 10/33 metastatic patients (30.3%) and in 27/63 locally advanced patients (42.9%), there was an objective response</w:t>
      </w:r>
      <w:r w:rsidR="004D0159">
        <w:t xml:space="preserve">. </w:t>
      </w:r>
      <w:r w:rsidRPr="008C51A1">
        <w:t>This response was partial for 10/10 metastatic patients and for 14</w:t>
      </w:r>
      <w:r w:rsidR="004D0159">
        <w:t xml:space="preserve">/27 locally advanced patients. </w:t>
      </w:r>
      <w:r w:rsidRPr="008C51A1">
        <w:t>Disease was often ‘stable’ (but BCC may evolve slowly).</w:t>
      </w:r>
    </w:p>
    <w:p w:rsidR="001E5D9F" w:rsidRPr="008C51A1" w:rsidRDefault="001E5D9F" w:rsidP="00087950">
      <w:r w:rsidRPr="008C51A1">
        <w:t xml:space="preserve">Subgroup analysis suggested a lower objective response rate in those ≥65 </w:t>
      </w:r>
      <w:r w:rsidR="004D0159">
        <w:t xml:space="preserve">years </w:t>
      </w:r>
      <w:r w:rsidRPr="008C51A1">
        <w:t xml:space="preserve">(27% </w:t>
      </w:r>
      <w:r w:rsidR="004D0159">
        <w:t xml:space="preserve">versus </w:t>
      </w:r>
      <w:r w:rsidRPr="008C51A1">
        <w:t>48%); there was also regional variation (results were better in the US than elsewhere</w:t>
      </w:r>
      <w:r w:rsidR="004D0159">
        <w:t xml:space="preserve">). </w:t>
      </w:r>
      <w:r w:rsidRPr="008C51A1">
        <w:t>Also, in metastatic patients, there were no objective responses in the 13 patients with 1-2 target lesions at baseline, while 10/20 with 3 or more target lesions at baseline responded.</w:t>
      </w:r>
      <w:r w:rsidR="00F828C8">
        <w:t xml:space="preserve"> </w:t>
      </w:r>
    </w:p>
    <w:p w:rsidR="001E5D9F" w:rsidRPr="008C51A1" w:rsidRDefault="001E5D9F" w:rsidP="00087950">
      <w:r w:rsidRPr="00FA0E0D">
        <w:rPr>
          <w:i/>
        </w:rPr>
        <w:t>Duration of objective response</w:t>
      </w:r>
      <w:r w:rsidR="00ED0A75" w:rsidRPr="00FA0E0D">
        <w:rPr>
          <w:i/>
        </w:rPr>
        <w:t>.</w:t>
      </w:r>
      <w:r w:rsidR="00ED0A75">
        <w:t xml:space="preserve"> </w:t>
      </w:r>
      <w:r w:rsidRPr="008C51A1">
        <w:t>In 10/33 metastatic patients with an objective response, 3 had disease progression or died and the median durati</w:t>
      </w:r>
      <w:r w:rsidR="00ED0A75">
        <w:t xml:space="preserve">on of response was 7.6 months. </w:t>
      </w:r>
      <w:r w:rsidRPr="008C51A1">
        <w:t xml:space="preserve">In the 27/63 locally advanced patients, 13 had disease progression or died and the median duration of </w:t>
      </w:r>
      <w:r w:rsidR="00ED0A75">
        <w:t xml:space="preserve">response was again 7.6 months. </w:t>
      </w:r>
      <w:r w:rsidRPr="008C51A1">
        <w:t>These figures use independent (IRF) assessments.</w:t>
      </w:r>
    </w:p>
    <w:p w:rsidR="001E5D9F" w:rsidRPr="008C51A1" w:rsidRDefault="001E5D9F" w:rsidP="008C51A1">
      <w:r w:rsidRPr="00FA0E0D">
        <w:rPr>
          <w:i/>
        </w:rPr>
        <w:t>Progression</w:t>
      </w:r>
      <w:r w:rsidR="00725C60" w:rsidRPr="00FA0E0D">
        <w:rPr>
          <w:i/>
        </w:rPr>
        <w:t xml:space="preserve"> </w:t>
      </w:r>
      <w:r w:rsidRPr="00FA0E0D">
        <w:rPr>
          <w:i/>
        </w:rPr>
        <w:t xml:space="preserve">free survival. </w:t>
      </w:r>
      <w:r w:rsidRPr="008C51A1">
        <w:t>The median PFS was 9.5 months for both metastatic and locally advanced patients, as determined by the IRF.</w:t>
      </w:r>
    </w:p>
    <w:p w:rsidR="001E5D9F" w:rsidRPr="008C51A1" w:rsidRDefault="001E5D9F" w:rsidP="00087950">
      <w:r w:rsidRPr="00FA0E0D">
        <w:rPr>
          <w:i/>
        </w:rPr>
        <w:t>Overall survival.</w:t>
      </w:r>
      <w:r w:rsidR="00ED0A75">
        <w:t xml:space="preserve"> </w:t>
      </w:r>
      <w:r w:rsidRPr="008C51A1">
        <w:t>Median OS was not calculable in either group, however 7/33 metastatic patients and 6/63 locally advanced patients had</w:t>
      </w:r>
      <w:r w:rsidR="00ED0A75">
        <w:t xml:space="preserve"> died by the clinical cut-off. </w:t>
      </w:r>
      <w:r w:rsidRPr="008C51A1">
        <w:t>One year survival was 75.5% for metastatic patients and 91.6% for locally advanced patients.</w:t>
      </w:r>
    </w:p>
    <w:p w:rsidR="001E5D9F" w:rsidRPr="008C51A1" w:rsidRDefault="001E5D9F" w:rsidP="00087950">
      <w:r w:rsidRPr="00FA0E0D">
        <w:rPr>
          <w:i/>
        </w:rPr>
        <w:t>First efficacy update (26</w:t>
      </w:r>
      <w:r w:rsidRPr="00FA0E0D">
        <w:rPr>
          <w:i/>
          <w:vertAlign w:val="superscript"/>
        </w:rPr>
        <w:t>th</w:t>
      </w:r>
      <w:r w:rsidR="00ED0A75" w:rsidRPr="00FA0E0D">
        <w:rPr>
          <w:i/>
        </w:rPr>
        <w:t xml:space="preserve"> </w:t>
      </w:r>
      <w:r w:rsidRPr="00FA0E0D">
        <w:rPr>
          <w:i/>
        </w:rPr>
        <w:t>May 2011)</w:t>
      </w:r>
      <w:r w:rsidR="00ED0A75" w:rsidRPr="00FA0E0D">
        <w:rPr>
          <w:i/>
        </w:rPr>
        <w:t>.</w:t>
      </w:r>
      <w:r w:rsidR="00ED0A75">
        <w:t xml:space="preserve"> </w:t>
      </w:r>
      <w:r w:rsidRPr="008C51A1">
        <w:t>The sponsor provided results using a cut-off of 26</w:t>
      </w:r>
      <w:r w:rsidRPr="00ED0A75">
        <w:rPr>
          <w:vertAlign w:val="superscript"/>
        </w:rPr>
        <w:t>th</w:t>
      </w:r>
      <w:r w:rsidR="00ED0A75">
        <w:t xml:space="preserve"> </w:t>
      </w:r>
      <w:r w:rsidRPr="008C51A1">
        <w:t>May 2011</w:t>
      </w:r>
      <w:r w:rsidR="00ED0A75">
        <w:t xml:space="preserve">. </w:t>
      </w:r>
      <w:r w:rsidRPr="008C51A1">
        <w:t>These were investigator-determined and were not very different from investigator-determined resul</w:t>
      </w:r>
      <w:r w:rsidR="00ED0A75">
        <w:t xml:space="preserve">ts using the original cut-off. </w:t>
      </w:r>
      <w:r w:rsidRPr="008C51A1">
        <w:t>In locally advanced BCC, there was a modest rise in median PFS, to 12.9 months (from 11.3 months).</w:t>
      </w:r>
    </w:p>
    <w:p w:rsidR="001E5D9F" w:rsidRPr="008C51A1" w:rsidRDefault="001E5D9F" w:rsidP="00087950">
      <w:r w:rsidRPr="00FA0E0D">
        <w:rPr>
          <w:i/>
        </w:rPr>
        <w:t>Second efficacy update (28</w:t>
      </w:r>
      <w:r w:rsidRPr="00FA0E0D">
        <w:rPr>
          <w:i/>
          <w:vertAlign w:val="superscript"/>
        </w:rPr>
        <w:t>th</w:t>
      </w:r>
      <w:r w:rsidR="00ED0A75" w:rsidRPr="00FA0E0D">
        <w:rPr>
          <w:i/>
        </w:rPr>
        <w:t xml:space="preserve"> </w:t>
      </w:r>
      <w:r w:rsidRPr="00FA0E0D">
        <w:rPr>
          <w:i/>
        </w:rPr>
        <w:t>November 2011)</w:t>
      </w:r>
      <w:r w:rsidR="00ED0A75" w:rsidRPr="00FA0E0D">
        <w:rPr>
          <w:i/>
        </w:rPr>
        <w:t>.</w:t>
      </w:r>
      <w:r w:rsidR="00ED0A75">
        <w:t xml:space="preserve"> </w:t>
      </w:r>
      <w:r w:rsidRPr="008C51A1">
        <w:t xml:space="preserve">These are the most up-to-date results. There was a minimum follow-up </w:t>
      </w:r>
      <w:r w:rsidR="00ED0A75">
        <w:t xml:space="preserve">of 21 months for all patients. </w:t>
      </w:r>
      <w:r w:rsidRPr="008C51A1">
        <w:t>At this stage, 72.1% of patients had discontinued, while 27.9% were still being treated with</w:t>
      </w:r>
      <w:r w:rsidR="00ED0A75">
        <w:t xml:space="preserve"> vismodegib. </w:t>
      </w:r>
      <w:r w:rsidRPr="008C51A1">
        <w:t>Median duratio</w:t>
      </w:r>
      <w:r w:rsidR="00ED0A75">
        <w:t xml:space="preserve">n of exposure was 12.9 months. Results for </w:t>
      </w:r>
      <w:r w:rsidRPr="008C51A1">
        <w:t xml:space="preserve">IRF-based responses </w:t>
      </w:r>
      <w:r w:rsidR="00ED0A75">
        <w:t xml:space="preserve">were broadly unchanged. </w:t>
      </w:r>
      <w:r w:rsidRPr="008C51A1">
        <w:t xml:space="preserve">Investigator-assessed outcomes are more favourable than independent assessments, </w:t>
      </w:r>
      <w:r w:rsidR="00ED0A75">
        <w:t xml:space="preserve">for example, </w:t>
      </w:r>
      <w:r w:rsidRPr="008C51A1">
        <w:t>median duration of response was 16.1 months based on investigator results.</w:t>
      </w:r>
    </w:p>
    <w:p w:rsidR="001E5D9F" w:rsidRPr="008C51A1" w:rsidRDefault="001E5D9F" w:rsidP="00087950">
      <w:r w:rsidRPr="00FA0E0D">
        <w:rPr>
          <w:i/>
        </w:rPr>
        <w:t>Patient-reported outcomes.</w:t>
      </w:r>
      <w:r w:rsidR="00ED0A75">
        <w:t xml:space="preserve"> </w:t>
      </w:r>
      <w:r w:rsidRPr="008C51A1">
        <w:t>SF-36 is a questionnaire profiling fun</w:t>
      </w:r>
      <w:r w:rsidR="00ED0A75">
        <w:t xml:space="preserve">ctional health and well-being. </w:t>
      </w:r>
      <w:r w:rsidRPr="008C51A1">
        <w:t>Changes from base</w:t>
      </w:r>
      <w:r w:rsidR="00ED0A75">
        <w:t xml:space="preserve">line over 24 weeks were small. </w:t>
      </w:r>
      <w:r w:rsidRPr="008C51A1">
        <w:t>This is somewhat out of step with the finding that patient’s decision was a prominent reason for study drug discontinuation.</w:t>
      </w:r>
    </w:p>
    <w:p w:rsidR="001E5D9F" w:rsidRPr="001E5D9F" w:rsidRDefault="001E5D9F" w:rsidP="00087950">
      <w:pPr>
        <w:pStyle w:val="Heading5"/>
      </w:pPr>
      <w:r w:rsidRPr="001E5D9F">
        <w:t>Study SHH3925g (supportive)</w:t>
      </w:r>
    </w:p>
    <w:p w:rsidR="001E5D9F" w:rsidRPr="00ED0A75" w:rsidRDefault="00ED0A75" w:rsidP="00087950">
      <w:r w:rsidRPr="00ED0A75">
        <w:t>This was a Phase I</w:t>
      </w:r>
      <w:r w:rsidR="001E5D9F" w:rsidRPr="00ED0A75">
        <w:t>, open-label study of daily vismodegib in patients with advanced solid malignancies refractory to standard therapy (or for whose tumours n</w:t>
      </w:r>
      <w:r w:rsidRPr="00ED0A75">
        <w:t xml:space="preserve">o standard therapies existed). </w:t>
      </w:r>
      <w:r w:rsidR="001E5D9F" w:rsidRPr="00ED0A75">
        <w:t>Vismodegib was given as a</w:t>
      </w:r>
      <w:r w:rsidRPr="00ED0A75">
        <w:t xml:space="preserve"> 150, 270 or 540 mg daily dose.</w:t>
      </w:r>
      <w:r w:rsidR="001E5D9F" w:rsidRPr="00ED0A75">
        <w:t xml:space="preserve"> Primary objectives were related to safety and PK.</w:t>
      </w:r>
    </w:p>
    <w:p w:rsidR="001E5D9F" w:rsidRPr="00ED0A75" w:rsidRDefault="001E5D9F" w:rsidP="00476166">
      <w:r w:rsidRPr="00ED0A75">
        <w:t>68 patients were enrolled; 33 of the</w:t>
      </w:r>
      <w:r w:rsidR="00FA0E0D">
        <w:t>se had advanced BCC (median age</w:t>
      </w:r>
      <w:r w:rsidRPr="00ED0A75">
        <w:t xml:space="preserve"> 53 y</w:t>
      </w:r>
      <w:r w:rsidR="00ED0A75">
        <w:t>ears</w:t>
      </w:r>
      <w:r w:rsidRPr="00ED0A75">
        <w:t>; 24% were female)</w:t>
      </w:r>
      <w:r w:rsidR="00ED0A75">
        <w:t xml:space="preserve">. </w:t>
      </w:r>
      <w:r w:rsidRPr="00ED0A75">
        <w:t>Of a</w:t>
      </w:r>
      <w:r w:rsidR="00FA0E0D">
        <w:t xml:space="preserve">dvanced </w:t>
      </w:r>
      <w:r w:rsidRPr="00ED0A75">
        <w:t>BCC patients, 17/33 received 150 mg daily (including 7/17 given an early formulation, 1</w:t>
      </w:r>
      <w:r w:rsidR="00ED0A75">
        <w:t xml:space="preserve">0/17 given a new formulation). </w:t>
      </w:r>
      <w:r w:rsidRPr="00ED0A75">
        <w:t>In the 33 BCC patients, median number of days on study was 314 (range 36-810).</w:t>
      </w:r>
    </w:p>
    <w:p w:rsidR="001E5D9F" w:rsidRPr="00ED0A75" w:rsidRDefault="001E5D9F" w:rsidP="00476166">
      <w:r w:rsidRPr="00ED0A75">
        <w:t>Tumour assessment was every 8 weeks; anti-tumour activity was determined by investigators according to RECIST, although some radiology results were reviewed independently.</w:t>
      </w:r>
    </w:p>
    <w:p w:rsidR="001E5D9F" w:rsidRDefault="001E5D9F" w:rsidP="00476166">
      <w:r w:rsidRPr="001E5D9F">
        <w:t xml:space="preserve">Overall response rate was 18/33 for BCC patients (55%), with a median duration in these 18 responders of 9.2 months (see Table </w:t>
      </w:r>
      <w:r w:rsidR="000A623E">
        <w:t xml:space="preserve">17 </w:t>
      </w:r>
      <w:r w:rsidRPr="001E5D9F">
        <w:t>below). Median PFS for</w:t>
      </w:r>
      <w:r w:rsidR="00ED0A75">
        <w:t xml:space="preserve"> BCC patients was 11.4 months. </w:t>
      </w:r>
      <w:r w:rsidRPr="001E5D9F">
        <w:t>These outcomes are similar to those in Study SHH4476g.</w:t>
      </w:r>
    </w:p>
    <w:p w:rsidR="00ED0A75" w:rsidRPr="001E5D9F" w:rsidRDefault="000A623E" w:rsidP="00476166">
      <w:pPr>
        <w:pStyle w:val="TableTitle"/>
      </w:pPr>
      <w:r>
        <w:t>Table 17</w:t>
      </w:r>
      <w:r w:rsidR="00ED0A75">
        <w:t>. Best overall response for patients with basal cell carcinoma</w:t>
      </w:r>
    </w:p>
    <w:p w:rsidR="001E5D9F" w:rsidRPr="001E5D9F" w:rsidRDefault="001E5D9F" w:rsidP="00476166">
      <w:r w:rsidRPr="001E5D9F">
        <w:rPr>
          <w:noProof/>
          <w:lang w:eastAsia="en-AU"/>
        </w:rPr>
        <w:drawing>
          <wp:inline distT="0" distB="0" distL="0" distR="0">
            <wp:extent cx="4252740" cy="1494670"/>
            <wp:effectExtent l="19050" t="0" r="0" b="0"/>
            <wp:docPr id="1" name="Picture 0" descr="Table 17. Best overall response for patients with basal cell carci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1" cstate="print"/>
                    <a:srcRect t="11710" b="6557"/>
                    <a:stretch>
                      <a:fillRect/>
                    </a:stretch>
                  </pic:blipFill>
                  <pic:spPr>
                    <a:xfrm>
                      <a:off x="0" y="0"/>
                      <a:ext cx="4255180" cy="1495527"/>
                    </a:xfrm>
                    <a:prstGeom prst="rect">
                      <a:avLst/>
                    </a:prstGeom>
                  </pic:spPr>
                </pic:pic>
              </a:graphicData>
            </a:graphic>
          </wp:inline>
        </w:drawing>
      </w:r>
    </w:p>
    <w:p w:rsidR="001E5D9F" w:rsidRPr="001E5D9F" w:rsidRDefault="00FA0E0D" w:rsidP="00476166">
      <w:pPr>
        <w:pStyle w:val="Heading5"/>
      </w:pPr>
      <w:r>
        <w:t xml:space="preserve">Study in basal </w:t>
      </w:r>
      <w:r w:rsidR="001E5D9F" w:rsidRPr="001E5D9F">
        <w:t>cell nevus syndrome</w:t>
      </w:r>
    </w:p>
    <w:p w:rsidR="001E5D9F" w:rsidRPr="001E5D9F" w:rsidRDefault="001E5D9F" w:rsidP="00476166">
      <w:r w:rsidRPr="001E5D9F">
        <w:t xml:space="preserve">Tang </w:t>
      </w:r>
      <w:r w:rsidRPr="00ED0A75">
        <w:rPr>
          <w:i/>
        </w:rPr>
        <w:t>et al</w:t>
      </w:r>
      <w:r w:rsidRPr="001E5D9F">
        <w:t xml:space="preserve"> </w:t>
      </w:r>
      <w:r w:rsidR="0076436F">
        <w:t>2012</w:t>
      </w:r>
      <w:r w:rsidR="00FA0E0D" w:rsidRPr="001E5D9F">
        <w:rPr>
          <w:vertAlign w:val="superscript"/>
        </w:rPr>
        <w:footnoteReference w:id="19"/>
      </w:r>
      <w:r w:rsidR="00FA0E0D" w:rsidRPr="001E5D9F">
        <w:t xml:space="preserve"> </w:t>
      </w:r>
      <w:r w:rsidRPr="001E5D9F">
        <w:t xml:space="preserve">conducted a 2:1 randomised, double-blind, placebo-controlled study in 42 patients with </w:t>
      </w:r>
      <w:proofErr w:type="spellStart"/>
      <w:r w:rsidRPr="001E5D9F">
        <w:t>Gorlin’s</w:t>
      </w:r>
      <w:proofErr w:type="spellEnd"/>
      <w:r w:rsidRPr="001E5D9F">
        <w:t xml:space="preserve"> Syndrome</w:t>
      </w:r>
      <w:r w:rsidR="00ED0A75">
        <w:t>.</w:t>
      </w:r>
      <w:r w:rsidRPr="001E5D9F">
        <w:t xml:space="preserve"> Vismode</w:t>
      </w:r>
      <w:r w:rsidR="00ED0A75">
        <w:t>gib dose was 150 mg once daily.</w:t>
      </w:r>
      <w:r w:rsidRPr="001E5D9F">
        <w:t xml:space="preserve"> The primary endpoint was reduction in the incidence of new BCCs eligible for surgical resection after 3 months.</w:t>
      </w:r>
    </w:p>
    <w:p w:rsidR="001E5D9F" w:rsidRPr="00ED0A75" w:rsidRDefault="001E5D9F" w:rsidP="00476166">
      <w:r w:rsidRPr="001E5D9F">
        <w:t>In 41 patients followed for a mean of 8 months (range 1-15 months), the mean per-patient rate of new, surgically eligible BCCs</w:t>
      </w:r>
      <w:r w:rsidR="00ED0A75">
        <w:t xml:space="preserve"> was 2 per year for vismodegib and </w:t>
      </w:r>
      <w:r w:rsidRPr="001E5D9F">
        <w:t>29 pe</w:t>
      </w:r>
      <w:r w:rsidR="00ED0A75">
        <w:t xml:space="preserve">r year for placebo (p&lt;0.0001). </w:t>
      </w:r>
      <w:r w:rsidRPr="001E5D9F">
        <w:t xml:space="preserve">Existing BCCs regressed in those given vismodegib (percentage change from baseline in sum of longest diameters was -65% for </w:t>
      </w:r>
      <w:r w:rsidR="00ED0A75">
        <w:t xml:space="preserve">vismodegib and -11% for placebo). </w:t>
      </w:r>
      <w:r w:rsidRPr="001E5D9F">
        <w:t>Vismodegib patients had fe</w:t>
      </w:r>
      <w:r w:rsidR="00ED0A75">
        <w:t xml:space="preserve">wer surgeries for BCC removal. </w:t>
      </w:r>
      <w:r w:rsidRPr="001E5D9F">
        <w:t xml:space="preserve">The study authors </w:t>
      </w:r>
      <w:r w:rsidRPr="00ED0A75">
        <w:t>reported that “</w:t>
      </w:r>
      <w:proofErr w:type="spellStart"/>
      <w:r w:rsidRPr="00ED0A75">
        <w:t>palmar</w:t>
      </w:r>
      <w:proofErr w:type="spellEnd"/>
      <w:r w:rsidRPr="00ED0A75">
        <w:t xml:space="preserve"> and plantar pits, which are </w:t>
      </w:r>
      <w:proofErr w:type="spellStart"/>
      <w:r w:rsidRPr="00ED0A75">
        <w:t>pathognomonic</w:t>
      </w:r>
      <w:proofErr w:type="spellEnd"/>
      <w:r w:rsidRPr="00ED0A75">
        <w:t xml:space="preserve"> signs of the basal cell nevus syndrome, also disappeared during vismodegib therapy, </w:t>
      </w:r>
      <w:r w:rsidR="00ED0A75" w:rsidRPr="00ED0A75">
        <w:t xml:space="preserve">often within the first month”. </w:t>
      </w:r>
      <w:r w:rsidRPr="00ED0A75">
        <w:t>In patients who stopped vismodegib and had &gt;3 months follow-up, some disease manifestations returned to baseline levels (most surgically eligible BCCs re-grew).</w:t>
      </w:r>
    </w:p>
    <w:p w:rsidR="001E5D9F" w:rsidRPr="001E5D9F" w:rsidRDefault="001E5D9F" w:rsidP="00476166">
      <w:pPr>
        <w:pStyle w:val="Heading5"/>
      </w:pPr>
      <w:r w:rsidRPr="001E5D9F">
        <w:t>Comparison with historical results</w:t>
      </w:r>
    </w:p>
    <w:p w:rsidR="001E5D9F" w:rsidRPr="00ED0A75" w:rsidRDefault="001E5D9F" w:rsidP="00476166">
      <w:r w:rsidRPr="00ED0A75">
        <w:t>The clinical evaluator comments on the sponsor’s comparison of survival in distant metastatic BCC patients for patients given vismodegib v</w:t>
      </w:r>
      <w:r w:rsidR="00ED0A75">
        <w:t xml:space="preserve">ersus </w:t>
      </w:r>
      <w:r w:rsidRPr="00ED0A75">
        <w:t xml:space="preserve">historical controls, noting “this data suffers from the difficulties associated with summating multiple case reports and really probably has relatively little to offer in terms of further validating the evidence of efficacy for Vismodegib in </w:t>
      </w:r>
      <w:r w:rsidR="00ED0A75">
        <w:t xml:space="preserve">patients with metastatic BCC”. </w:t>
      </w:r>
      <w:r w:rsidRPr="00ED0A75">
        <w:t xml:space="preserve">Patients with distant metastases do worse than those with metastatic disease restricted </w:t>
      </w:r>
      <w:r w:rsidR="00ED0A75">
        <w:t xml:space="preserve">to a lymph node or local site. </w:t>
      </w:r>
      <w:r w:rsidRPr="00ED0A75">
        <w:t>The sponsor stated that of 52 patients with metastatic BCC in the pooled safety population, 45 had distant metastases.</w:t>
      </w:r>
    </w:p>
    <w:p w:rsidR="001E5D9F" w:rsidRPr="001E5D9F" w:rsidRDefault="001E5D9F" w:rsidP="00476166">
      <w:pPr>
        <w:pStyle w:val="Heading5"/>
      </w:pPr>
      <w:r w:rsidRPr="001E5D9F">
        <w:t>Efficacy in other populations</w:t>
      </w:r>
    </w:p>
    <w:p w:rsidR="001E5D9F" w:rsidRPr="001E5D9F" w:rsidRDefault="001E5D9F" w:rsidP="00476166">
      <w:r w:rsidRPr="001E5D9F">
        <w:t>Vismodegib was apparently inefficacious in the randomi</w:t>
      </w:r>
      <w:r w:rsidR="0076436F">
        <w:t>sed, placebo-controlled add-on S</w:t>
      </w:r>
      <w:r w:rsidRPr="001E5D9F">
        <w:t>tudy SHH4429g in metastatic colorectal cancer (the Clinical Study Report stated a hazard ratio for PFS of 1.25 [90% CI 0.89-1.76] in favour of placebo).</w:t>
      </w:r>
    </w:p>
    <w:p w:rsidR="001E5D9F" w:rsidRPr="001E5D9F" w:rsidRDefault="001E5D9F" w:rsidP="00476166">
      <w:r w:rsidRPr="001E5D9F">
        <w:t>In the randomised, pl</w:t>
      </w:r>
      <w:r w:rsidR="0076436F">
        <w:t>acebo-controlled ‘maintenance’ S</w:t>
      </w:r>
      <w:r w:rsidRPr="001E5D9F">
        <w:t xml:space="preserve">tudy SHH4489g in ovarian cancer patients in a second or third complete remission, vismodegib was again apparently not able to improve PFS (the </w:t>
      </w:r>
      <w:r w:rsidR="0076436F">
        <w:t xml:space="preserve">clinical study report </w:t>
      </w:r>
      <w:r w:rsidRPr="001E5D9F">
        <w:t>stated a hazard ratio for PFS of 0.79 [95% CI, 0.46-1.35] in favour of placebo).</w:t>
      </w:r>
    </w:p>
    <w:p w:rsidR="001E5D9F" w:rsidRPr="001E5D9F" w:rsidRDefault="001E5D9F" w:rsidP="00476166">
      <w:r w:rsidRPr="001E5D9F">
        <w:t>These findings have no direct relevance to efficacy in the a</w:t>
      </w:r>
      <w:r w:rsidR="008F4F84">
        <w:t xml:space="preserve">dvanced </w:t>
      </w:r>
      <w:r w:rsidRPr="001E5D9F">
        <w:t xml:space="preserve">BCC population, especially since the </w:t>
      </w:r>
      <w:proofErr w:type="spellStart"/>
      <w:r w:rsidR="00D22C59">
        <w:t>Hh</w:t>
      </w:r>
      <w:proofErr w:type="spellEnd"/>
      <w:r w:rsidRPr="001E5D9F">
        <w:t xml:space="preserve"> pathway is likely to have a different role in these tumours, however it is worth reporting the findings given the randomised, double-blind study designs used.</w:t>
      </w:r>
    </w:p>
    <w:p w:rsidR="001E5D9F" w:rsidRPr="001E5D9F" w:rsidRDefault="001E5D9F" w:rsidP="00476166">
      <w:pPr>
        <w:pStyle w:val="Heading4"/>
      </w:pPr>
      <w:r w:rsidRPr="001E5D9F">
        <w:t>Safety</w:t>
      </w:r>
    </w:p>
    <w:p w:rsidR="001E5D9F" w:rsidRPr="001E5D9F" w:rsidRDefault="001E5D9F" w:rsidP="00476166">
      <w:pPr>
        <w:pStyle w:val="Heading5"/>
      </w:pPr>
      <w:r w:rsidRPr="001E5D9F">
        <w:t>Exposure</w:t>
      </w:r>
    </w:p>
    <w:p w:rsidR="001E5D9F" w:rsidRDefault="001E5D9F" w:rsidP="00476166">
      <w:r w:rsidRPr="001E5D9F">
        <w:t xml:space="preserve">The </w:t>
      </w:r>
      <w:r w:rsidR="008F4F84">
        <w:t>c</w:t>
      </w:r>
      <w:r w:rsidRPr="001E5D9F">
        <w:t xml:space="preserve">linical </w:t>
      </w:r>
      <w:r w:rsidR="008F4F84">
        <w:t>e</w:t>
      </w:r>
      <w:r w:rsidRPr="001E5D9F">
        <w:t>valuator reports that as of 1</w:t>
      </w:r>
      <w:r w:rsidRPr="001E5D9F">
        <w:rPr>
          <w:vertAlign w:val="superscript"/>
        </w:rPr>
        <w:t>st</w:t>
      </w:r>
      <w:r w:rsidRPr="001E5D9F">
        <w:t xml:space="preserve"> April 2011, &gt;750 patients ha</w:t>
      </w:r>
      <w:r w:rsidR="0076436F">
        <w:t xml:space="preserve">ve been exposed to vismodegib. </w:t>
      </w:r>
      <w:r w:rsidRPr="001E5D9F">
        <w:t>The sponsor has pooled safety data from various studies, including studies of patients with tumours other than advanced BCC</w:t>
      </w:r>
      <w:r w:rsidR="0076436F">
        <w:t xml:space="preserve">. </w:t>
      </w:r>
      <w:r w:rsidRPr="001E5D9F">
        <w:t>In the a</w:t>
      </w:r>
      <w:r w:rsidR="008F4F84">
        <w:t xml:space="preserve">dvanced </w:t>
      </w:r>
      <w:r w:rsidRPr="001E5D9F">
        <w:t>BCC safety pool (n=138), median duration of follow-up was 10.4 months, range 0.9-35.8 months</w:t>
      </w:r>
      <w:r w:rsidR="0076436F">
        <w:t xml:space="preserve">. </w:t>
      </w:r>
      <w:r w:rsidRPr="001E5D9F">
        <w:t>The overall profile of AEs in relevant datasets is as follows:</w:t>
      </w:r>
    </w:p>
    <w:p w:rsidR="0076436F" w:rsidRPr="001E5D9F" w:rsidRDefault="0076436F" w:rsidP="00476166">
      <w:pPr>
        <w:pStyle w:val="TableTitle"/>
      </w:pPr>
      <w:r>
        <w:t xml:space="preserve">Table </w:t>
      </w:r>
      <w:r w:rsidR="000A623E">
        <w:t>18</w:t>
      </w:r>
      <w:r>
        <w:t xml:space="preserve">. Vismodegib adverse events </w:t>
      </w:r>
      <w:r w:rsidRPr="0076436F">
        <w:t xml:space="preserve">overall profile </w:t>
      </w:r>
    </w:p>
    <w:p w:rsidR="001E5D9F" w:rsidRPr="001E5D9F" w:rsidRDefault="001E5D9F" w:rsidP="00476166">
      <w:r w:rsidRPr="001E5D9F">
        <w:rPr>
          <w:noProof/>
          <w:lang w:eastAsia="en-AU"/>
        </w:rPr>
        <w:drawing>
          <wp:inline distT="0" distB="0" distL="0" distR="0">
            <wp:extent cx="4205360" cy="2015555"/>
            <wp:effectExtent l="19050" t="0" r="4690" b="0"/>
            <wp:docPr id="5" name="Picture 2" descr="Table 18. Vismodegib adverse events overall pro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2" cstate="print"/>
                    <a:stretch>
                      <a:fillRect/>
                    </a:stretch>
                  </pic:blipFill>
                  <pic:spPr>
                    <a:xfrm>
                      <a:off x="0" y="0"/>
                      <a:ext cx="4205010" cy="2015387"/>
                    </a:xfrm>
                    <a:prstGeom prst="rect">
                      <a:avLst/>
                    </a:prstGeom>
                  </pic:spPr>
                </pic:pic>
              </a:graphicData>
            </a:graphic>
          </wp:inline>
        </w:drawing>
      </w:r>
    </w:p>
    <w:p w:rsidR="001E5D9F" w:rsidRPr="001E5D9F" w:rsidRDefault="001E5D9F" w:rsidP="00476166">
      <w:r w:rsidRPr="001E5D9F">
        <w:t>In the pooled a</w:t>
      </w:r>
      <w:r w:rsidR="008F4F84">
        <w:t xml:space="preserve">dvanced </w:t>
      </w:r>
      <w:r w:rsidRPr="001E5D9F">
        <w:t>BCC safety population, commoner</w:t>
      </w:r>
      <w:r w:rsidR="0076436F">
        <w:t>,</w:t>
      </w:r>
      <w:r w:rsidRPr="001E5D9F">
        <w:t xml:space="preserve"> severe AEs and their frequencies were</w:t>
      </w:r>
      <w:r w:rsidR="0076436F">
        <w:t>:</w:t>
      </w:r>
      <w:r w:rsidRPr="001E5D9F">
        <w:t xml:space="preserve"> decreased weight (7.2%), fatigue (5.8%), muscle spasms (3</w:t>
      </w:r>
      <w:r w:rsidR="008F4F84">
        <w:t>.5%) and hyponatr</w:t>
      </w:r>
      <w:r w:rsidR="0076436F">
        <w:t xml:space="preserve">emia (2.9%). </w:t>
      </w:r>
      <w:r w:rsidRPr="001E5D9F">
        <w:t xml:space="preserve">Selected other severe AEs included cardiac failure, </w:t>
      </w:r>
      <w:proofErr w:type="spellStart"/>
      <w:r w:rsidRPr="001E5D9F">
        <w:t>keratitis</w:t>
      </w:r>
      <w:proofErr w:type="spellEnd"/>
      <w:r w:rsidRPr="001E5D9F">
        <w:t xml:space="preserve"> and </w:t>
      </w:r>
      <w:r w:rsidR="008F4F84">
        <w:t xml:space="preserve">DVT </w:t>
      </w:r>
      <w:r w:rsidR="0076436F">
        <w:t>(</w:t>
      </w:r>
      <w:r w:rsidRPr="001E5D9F">
        <w:t>all n=2; 1.4%).</w:t>
      </w:r>
    </w:p>
    <w:p w:rsidR="001E5D9F" w:rsidRPr="001E5D9F" w:rsidRDefault="001E5D9F" w:rsidP="00476166">
      <w:pPr>
        <w:pStyle w:val="Heading5"/>
      </w:pPr>
      <w:r w:rsidRPr="001E5D9F">
        <w:t>AEs in randomised, placebo-controlled studies</w:t>
      </w:r>
    </w:p>
    <w:p w:rsidR="001E5D9F" w:rsidRPr="001E5D9F" w:rsidRDefault="001E5D9F" w:rsidP="00476166">
      <w:r w:rsidRPr="001E5D9F">
        <w:t xml:space="preserve">Although these studies were in less relevant patient populations, the randomisation process at least allows dissection of </w:t>
      </w:r>
      <w:proofErr w:type="spellStart"/>
      <w:r w:rsidRPr="001E5D9F">
        <w:t>vis</w:t>
      </w:r>
      <w:r w:rsidR="0076436F">
        <w:t>modegib’s</w:t>
      </w:r>
      <w:proofErr w:type="spellEnd"/>
      <w:r w:rsidR="0076436F">
        <w:t xml:space="preserve"> contribution to AEs. </w:t>
      </w:r>
      <w:r w:rsidRPr="001E5D9F">
        <w:t>Imbalance in exposure to other chemotherapy (in SHH4429g) may confo</w:t>
      </w:r>
      <w:r w:rsidR="0076436F">
        <w:t>und interpretation to a degree.</w:t>
      </w:r>
      <w:r w:rsidRPr="001E5D9F">
        <w:t xml:space="preserve"> Full study details are not evaluated here.</w:t>
      </w:r>
    </w:p>
    <w:p w:rsidR="007208E5" w:rsidRDefault="001E5D9F" w:rsidP="00476166">
      <w:r w:rsidRPr="001E5D9F">
        <w:t>In SHH4429g (metastatic CRC; n=98 per arm), median duration of vism</w:t>
      </w:r>
      <w:r w:rsidR="007208E5">
        <w:t xml:space="preserve">odegib treatment was 6 months. </w:t>
      </w:r>
      <w:r w:rsidRPr="001E5D9F">
        <w:t xml:space="preserve">Notable disparities in AE frequency were seen for decreased weight (35.7% for vismodegib; 13.3% for placebo), decreased appetite (50% </w:t>
      </w:r>
      <w:r w:rsidR="007208E5">
        <w:t>versus</w:t>
      </w:r>
      <w:r w:rsidRPr="001E5D9F">
        <w:t xml:space="preserve"> 24.5%), dehydration (24.5% </w:t>
      </w:r>
      <w:r w:rsidR="007208E5">
        <w:t>versus</w:t>
      </w:r>
      <w:r w:rsidRPr="001E5D9F">
        <w:t xml:space="preserve"> 9.2%), muscle spasms (16.3% </w:t>
      </w:r>
      <w:r w:rsidR="007208E5">
        <w:t>versus</w:t>
      </w:r>
      <w:r w:rsidRPr="001E5D9F">
        <w:t xml:space="preserve"> 2.0%) </w:t>
      </w:r>
      <w:r w:rsidR="007208E5">
        <w:t xml:space="preserve">and </w:t>
      </w:r>
      <w:proofErr w:type="spellStart"/>
      <w:r w:rsidR="007208E5">
        <w:t>dysgeusia</w:t>
      </w:r>
      <w:proofErr w:type="spellEnd"/>
      <w:r w:rsidR="007208E5">
        <w:t xml:space="preserve"> (41.8% versus 9.2%). </w:t>
      </w:r>
    </w:p>
    <w:p w:rsidR="001E5D9F" w:rsidRPr="001E5D9F" w:rsidRDefault="001E5D9F" w:rsidP="00476166">
      <w:r w:rsidRPr="001E5D9F">
        <w:t xml:space="preserve">In relation to severe AEs, mucosal inflammation was more common in the vismodegib arm (6.1% </w:t>
      </w:r>
      <w:r w:rsidR="007208E5">
        <w:t>versus</w:t>
      </w:r>
      <w:r w:rsidRPr="001E5D9F">
        <w:t xml:space="preserve"> 1.0%), along with weight loss (10.2% </w:t>
      </w:r>
      <w:r w:rsidR="007208E5">
        <w:t>versus</w:t>
      </w:r>
      <w:r w:rsidRPr="001E5D9F">
        <w:t xml:space="preserve"> 1.0%), decreased appetite (8.2% </w:t>
      </w:r>
      <w:r w:rsidR="007208E5">
        <w:t>versus</w:t>
      </w:r>
      <w:r w:rsidRPr="001E5D9F">
        <w:t xml:space="preserve"> 1.0%), dehydration (12.2% </w:t>
      </w:r>
      <w:r w:rsidR="007208E5">
        <w:t>versus</w:t>
      </w:r>
      <w:r w:rsidRPr="001E5D9F">
        <w:t xml:space="preserve"> 2.0%) and peripheral sens</w:t>
      </w:r>
      <w:r w:rsidR="007208E5">
        <w:t xml:space="preserve">ory neuropathy (8.2% versus 1.0%). </w:t>
      </w:r>
      <w:r w:rsidRPr="001E5D9F">
        <w:t>Serious AEs were likewise often commoner (</w:t>
      </w:r>
      <w:r w:rsidR="007208E5">
        <w:t xml:space="preserve">for example, </w:t>
      </w:r>
      <w:r w:rsidRPr="001E5D9F">
        <w:t xml:space="preserve">dehydration, 9.2% </w:t>
      </w:r>
      <w:r w:rsidR="007208E5">
        <w:t>versus</w:t>
      </w:r>
      <w:r w:rsidRPr="001E5D9F">
        <w:t xml:space="preserve"> 2.0%; </w:t>
      </w:r>
      <w:r w:rsidR="007208E5">
        <w:t xml:space="preserve">pulmonary embolism </w:t>
      </w:r>
      <w:r w:rsidRPr="001E5D9F">
        <w:t>7.</w:t>
      </w:r>
      <w:r w:rsidR="007208E5">
        <w:t xml:space="preserve">1% versus 4.1%; DVT 4.1% versus 1.0%). </w:t>
      </w:r>
      <w:r w:rsidRPr="001E5D9F">
        <w:t xml:space="preserve">Also, discontinuations for fatigue were seen in 5.1% </w:t>
      </w:r>
      <w:r w:rsidR="007208E5">
        <w:t>versus</w:t>
      </w:r>
      <w:r w:rsidRPr="001E5D9F">
        <w:t xml:space="preserve"> 2.0%; for neutropenia in 5.1% </w:t>
      </w:r>
      <w:r w:rsidR="007208E5">
        <w:t>versus</w:t>
      </w:r>
      <w:r w:rsidRPr="001E5D9F">
        <w:t xml:space="preserve"> 0%; and diarrhoea in 3.1% </w:t>
      </w:r>
      <w:r w:rsidR="007208E5">
        <w:t>versus</w:t>
      </w:r>
      <w:r w:rsidRPr="001E5D9F">
        <w:t xml:space="preserve"> 1.0%.</w:t>
      </w:r>
    </w:p>
    <w:p w:rsidR="001E5D9F" w:rsidRPr="001E5D9F" w:rsidRDefault="001E5D9F" w:rsidP="00476166">
      <w:r w:rsidRPr="001E5D9F">
        <w:t>In SHH4489g (maintenance treatment in 2</w:t>
      </w:r>
      <w:r w:rsidRPr="001E5D9F">
        <w:rPr>
          <w:vertAlign w:val="superscript"/>
        </w:rPr>
        <w:t>nd</w:t>
      </w:r>
      <w:r w:rsidRPr="001E5D9F">
        <w:t xml:space="preserve"> or 3</w:t>
      </w:r>
      <w:r w:rsidRPr="001E5D9F">
        <w:rPr>
          <w:vertAlign w:val="superscript"/>
        </w:rPr>
        <w:t>rd</w:t>
      </w:r>
      <w:r w:rsidRPr="001E5D9F">
        <w:t xml:space="preserve"> remission from ovarian cancer; n=52 per arm), median durati</w:t>
      </w:r>
      <w:r w:rsidR="007208E5">
        <w:t xml:space="preserve">on of vismodegib treatment was approximately 5.5 months. </w:t>
      </w:r>
      <w:r w:rsidRPr="001E5D9F">
        <w:t xml:space="preserve">There were stark differences in incidence of some AEs, </w:t>
      </w:r>
      <w:r w:rsidR="00D3024F">
        <w:t xml:space="preserve">for example, </w:t>
      </w:r>
      <w:r w:rsidRPr="001E5D9F">
        <w:t xml:space="preserve">muscle spasms (67.3% for vismodegib; 1.9% in the placebo arm), </w:t>
      </w:r>
      <w:proofErr w:type="spellStart"/>
      <w:r w:rsidRPr="001E5D9F">
        <w:t>dysgeusia</w:t>
      </w:r>
      <w:proofErr w:type="spellEnd"/>
      <w:r w:rsidRPr="001E5D9F">
        <w:t xml:space="preserve"> (67.3% </w:t>
      </w:r>
      <w:r w:rsidR="007208E5">
        <w:t>versus</w:t>
      </w:r>
      <w:r w:rsidRPr="001E5D9F">
        <w:t xml:space="preserve"> 17.3%; </w:t>
      </w:r>
      <w:proofErr w:type="spellStart"/>
      <w:r w:rsidRPr="001E5D9F">
        <w:t>ageusia</w:t>
      </w:r>
      <w:proofErr w:type="spellEnd"/>
      <w:r w:rsidRPr="001E5D9F">
        <w:t xml:space="preserve"> in 7.7% </w:t>
      </w:r>
      <w:r w:rsidR="007208E5">
        <w:t>versus</w:t>
      </w:r>
      <w:r w:rsidR="00D3024F">
        <w:t xml:space="preserve"> 1.9%) and</w:t>
      </w:r>
      <w:r w:rsidRPr="001E5D9F">
        <w:t xml:space="preserve"> alopecia (53.8% </w:t>
      </w:r>
      <w:r w:rsidR="007208E5">
        <w:t>versus</w:t>
      </w:r>
      <w:r w:rsidR="00D3024F">
        <w:t xml:space="preserve"> 7.7%). </w:t>
      </w:r>
      <w:r w:rsidRPr="001E5D9F">
        <w:t>These differences</w:t>
      </w:r>
      <w:r w:rsidR="00D3024F">
        <w:t xml:space="preserve"> carried across to severe AEs. </w:t>
      </w:r>
      <w:r w:rsidRPr="001E5D9F">
        <w:t>Notable were multiple reports of severe abdominal pain, L</w:t>
      </w:r>
      <w:r w:rsidR="00D3024F">
        <w:t xml:space="preserve">FT elevation and muscle spasm. </w:t>
      </w:r>
      <w:r w:rsidRPr="001E5D9F">
        <w:t>Serious AEs were commoner in the vismodegib arm, although no patterns emerged.</w:t>
      </w:r>
    </w:p>
    <w:p w:rsidR="001E5D9F" w:rsidRDefault="001E5D9F" w:rsidP="00476166">
      <w:r w:rsidRPr="001E5D9F">
        <w:t xml:space="preserve">In the more relevant randomised study of </w:t>
      </w:r>
      <w:proofErr w:type="spellStart"/>
      <w:r w:rsidRPr="001E5D9F">
        <w:t>Gorlin’s</w:t>
      </w:r>
      <w:proofErr w:type="spellEnd"/>
      <w:r w:rsidRPr="001E5D9F">
        <w:t xml:space="preserve"> Syndrome by Tang </w:t>
      </w:r>
      <w:r w:rsidRPr="00D3024F">
        <w:rPr>
          <w:i/>
        </w:rPr>
        <w:t>et al</w:t>
      </w:r>
      <w:r w:rsidRPr="001E5D9F">
        <w:t xml:space="preserve">, </w:t>
      </w:r>
      <w:r w:rsidR="008F4F84">
        <w:t xml:space="preserve">2012 </w:t>
      </w:r>
      <w:r w:rsidRPr="001E5D9F">
        <w:t>AEs were not as well character</w:t>
      </w:r>
      <w:r w:rsidR="00D3024F">
        <w:t xml:space="preserve">ised. </w:t>
      </w:r>
      <w:r w:rsidR="009107A8">
        <w:t xml:space="preserve">Results from </w:t>
      </w:r>
      <w:r w:rsidR="00D3024F">
        <w:t xml:space="preserve">publication </w:t>
      </w:r>
      <w:r w:rsidR="009107A8">
        <w:t xml:space="preserve">are shown in Table </w:t>
      </w:r>
      <w:r w:rsidR="00C3779E">
        <w:t>19</w:t>
      </w:r>
      <w:r w:rsidR="009107A8">
        <w:t xml:space="preserve"> and Table </w:t>
      </w:r>
      <w:r w:rsidR="00C3779E">
        <w:t>20</w:t>
      </w:r>
      <w:r w:rsidR="00D3024F">
        <w:t xml:space="preserve">: </w:t>
      </w:r>
    </w:p>
    <w:p w:rsidR="001E5D9F" w:rsidRDefault="00D3024F" w:rsidP="00476166">
      <w:pPr>
        <w:pStyle w:val="TableTitle"/>
      </w:pPr>
      <w:r>
        <w:t xml:space="preserve">Table </w:t>
      </w:r>
      <w:r w:rsidR="000A623E">
        <w:t>19</w:t>
      </w:r>
      <w:r>
        <w:t xml:space="preserve">. </w:t>
      </w:r>
      <w:r w:rsidR="001E5D9F" w:rsidRPr="001E5D9F">
        <w:t xml:space="preserve">AEs in the study of </w:t>
      </w:r>
      <w:proofErr w:type="spellStart"/>
      <w:r w:rsidR="001E5D9F" w:rsidRPr="001E5D9F">
        <w:t>Gorlin’s</w:t>
      </w:r>
      <w:proofErr w:type="spellEnd"/>
      <w:r w:rsidR="001E5D9F" w:rsidRPr="001E5D9F">
        <w:t xml:space="preserve"> Syndrome by Tang </w:t>
      </w:r>
      <w:r w:rsidR="001E5D9F" w:rsidRPr="00913BB7">
        <w:rPr>
          <w:i/>
        </w:rPr>
        <w:t>et al</w:t>
      </w:r>
      <w:r>
        <w:t xml:space="preserve">. </w:t>
      </w:r>
      <w:r w:rsidR="00913BB7">
        <w:t xml:space="preserve">2012. </w:t>
      </w:r>
      <w:r w:rsidR="001E5D9F">
        <w:t xml:space="preserve">Grade </w:t>
      </w:r>
      <w:r w:rsidR="000C4441">
        <w:t>I</w:t>
      </w:r>
      <w:r w:rsidR="001E5D9F">
        <w:t>-</w:t>
      </w:r>
      <w:r w:rsidR="000C4441">
        <w:t>II</w:t>
      </w:r>
    </w:p>
    <w:p w:rsidR="001E5D9F" w:rsidRDefault="001E5D9F" w:rsidP="00476166">
      <w:r w:rsidRPr="001E5D9F">
        <w:rPr>
          <w:noProof/>
          <w:lang w:eastAsia="en-AU"/>
        </w:rPr>
        <w:drawing>
          <wp:inline distT="0" distB="0" distL="0" distR="0">
            <wp:extent cx="4134668" cy="4127500"/>
            <wp:effectExtent l="19050" t="0" r="0" b="0"/>
            <wp:docPr id="6" name="Picture 4" descr="Table 19. AEs in the randomised study of Gorlin’s Syndrome by Tang et al. Grade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3" cstate="print"/>
                    <a:srcRect t="457"/>
                    <a:stretch>
                      <a:fillRect/>
                    </a:stretch>
                  </pic:blipFill>
                  <pic:spPr>
                    <a:xfrm>
                      <a:off x="0" y="0"/>
                      <a:ext cx="4134486" cy="4127318"/>
                    </a:xfrm>
                    <a:prstGeom prst="rect">
                      <a:avLst/>
                    </a:prstGeom>
                  </pic:spPr>
                </pic:pic>
              </a:graphicData>
            </a:graphic>
          </wp:inline>
        </w:drawing>
      </w:r>
    </w:p>
    <w:p w:rsidR="001E5D9F" w:rsidRPr="00D3024F" w:rsidRDefault="00D3024F" w:rsidP="00476166">
      <w:pPr>
        <w:pStyle w:val="TableTitle"/>
      </w:pPr>
      <w:r w:rsidRPr="00D3024F">
        <w:t xml:space="preserve">Table </w:t>
      </w:r>
      <w:r w:rsidR="000A623E">
        <w:t>20</w:t>
      </w:r>
      <w:r w:rsidRPr="00D3024F">
        <w:t xml:space="preserve">. </w:t>
      </w:r>
      <w:r w:rsidR="001E5D9F" w:rsidRPr="00D3024F">
        <w:t xml:space="preserve">AEs in the study of </w:t>
      </w:r>
      <w:proofErr w:type="spellStart"/>
      <w:r w:rsidR="001E5D9F" w:rsidRPr="00D3024F">
        <w:t>Gorlin’s</w:t>
      </w:r>
      <w:proofErr w:type="spellEnd"/>
      <w:r w:rsidR="001E5D9F" w:rsidRPr="00D3024F">
        <w:t xml:space="preserve"> Syndrome by Tang </w:t>
      </w:r>
      <w:r w:rsidR="001E5D9F" w:rsidRPr="00913BB7">
        <w:rPr>
          <w:i/>
        </w:rPr>
        <w:t>et al</w:t>
      </w:r>
      <w:r w:rsidR="000C4441">
        <w:t xml:space="preserve">. </w:t>
      </w:r>
      <w:r w:rsidR="00913BB7">
        <w:t xml:space="preserve">2012. </w:t>
      </w:r>
      <w:r w:rsidR="000C4441">
        <w:t>Grade III</w:t>
      </w:r>
      <w:r w:rsidRPr="00D3024F">
        <w:t>-</w:t>
      </w:r>
      <w:r w:rsidR="000C4441">
        <w:t>IV</w:t>
      </w:r>
    </w:p>
    <w:p w:rsidR="006B4975" w:rsidRDefault="006B4975" w:rsidP="00476166">
      <w:r>
        <w:rPr>
          <w:noProof/>
          <w:lang w:eastAsia="en-AU"/>
        </w:rPr>
        <w:drawing>
          <wp:inline distT="0" distB="0" distL="0" distR="0">
            <wp:extent cx="4061534" cy="3670069"/>
            <wp:effectExtent l="19050" t="0" r="0" b="0"/>
            <wp:docPr id="8" name="Picture 2" descr="Table 20. AEs in the randomised study of Gorlin’s Syndrome by Tang et al. Grade III-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4067426" cy="3675393"/>
                    </a:xfrm>
                    <a:prstGeom prst="rect">
                      <a:avLst/>
                    </a:prstGeom>
                    <a:noFill/>
                    <a:ln w="9525">
                      <a:noFill/>
                      <a:miter lim="800000"/>
                      <a:headEnd/>
                      <a:tailEnd/>
                    </a:ln>
                  </pic:spPr>
                </pic:pic>
              </a:graphicData>
            </a:graphic>
          </wp:inline>
        </w:drawing>
      </w:r>
    </w:p>
    <w:p w:rsidR="001E5D9F" w:rsidRPr="001E5D9F" w:rsidRDefault="001E5D9F" w:rsidP="00476166">
      <w:r w:rsidRPr="001E5D9F">
        <w:t>Overall, 14/26 vismodegib patients discontinued due to AEs (as of 31</w:t>
      </w:r>
      <w:r w:rsidRPr="001E5D9F">
        <w:rPr>
          <w:vertAlign w:val="superscript"/>
        </w:rPr>
        <w:t>st</w:t>
      </w:r>
      <w:r w:rsidR="00D3024F">
        <w:t xml:space="preserve"> January 2012). </w:t>
      </w:r>
      <w:r w:rsidR="00B50900">
        <w:t>One</w:t>
      </w:r>
      <w:r w:rsidRPr="001E5D9F">
        <w:t xml:space="preserve"> of 5 eligible patients was able to cont</w:t>
      </w:r>
      <w:r w:rsidR="00D3024F">
        <w:t xml:space="preserve">inue vismodegib for 18 months. </w:t>
      </w:r>
      <w:r w:rsidRPr="001E5D9F">
        <w:t xml:space="preserve">Tang </w:t>
      </w:r>
      <w:r w:rsidRPr="00D3024F">
        <w:rPr>
          <w:i/>
        </w:rPr>
        <w:t>et al</w:t>
      </w:r>
      <w:r w:rsidR="00D3024F">
        <w:rPr>
          <w:i/>
        </w:rPr>
        <w:t>.</w:t>
      </w:r>
      <w:r w:rsidRPr="001E5D9F">
        <w:t xml:space="preserve"> stated that when </w:t>
      </w:r>
      <w:proofErr w:type="spellStart"/>
      <w:r w:rsidRPr="001E5D9F">
        <w:t>vismodegib</w:t>
      </w:r>
      <w:proofErr w:type="spellEnd"/>
      <w:r w:rsidRPr="001E5D9F">
        <w:t xml:space="preserve"> was withdrawn, </w:t>
      </w:r>
      <w:proofErr w:type="spellStart"/>
      <w:r w:rsidRPr="001E5D9F">
        <w:t>dysgeusia</w:t>
      </w:r>
      <w:proofErr w:type="spellEnd"/>
      <w:r w:rsidRPr="001E5D9F">
        <w:t xml:space="preserve"> and muscle cramps ceased within 1 month, and scalp and body hair started to regrow within 3 months.</w:t>
      </w:r>
    </w:p>
    <w:p w:rsidR="001E5D9F" w:rsidRPr="001E5D9F" w:rsidRDefault="001E5D9F" w:rsidP="00476166">
      <w:pPr>
        <w:pStyle w:val="Heading5"/>
      </w:pPr>
      <w:r w:rsidRPr="001E5D9F">
        <w:t>Deaths</w:t>
      </w:r>
    </w:p>
    <w:p w:rsidR="001E5D9F" w:rsidRPr="001E5D9F" w:rsidRDefault="001E5D9F" w:rsidP="00476166">
      <w:r w:rsidRPr="001E5D9F">
        <w:t>In the a</w:t>
      </w:r>
      <w:r w:rsidR="00B50900">
        <w:t xml:space="preserve">dvanced </w:t>
      </w:r>
      <w:r w:rsidRPr="001E5D9F">
        <w:t>BCC cohort, 17/138 s</w:t>
      </w:r>
      <w:r w:rsidR="00D3024F">
        <w:t xml:space="preserve">ubjects died on-study (12.3%). </w:t>
      </w:r>
      <w:r w:rsidRPr="001E5D9F">
        <w:t>Death was due to progressive disease in 7 su</w:t>
      </w:r>
      <w:r w:rsidR="00D3024F">
        <w:t xml:space="preserve">bjects, and AEs in 8 subjects. </w:t>
      </w:r>
      <w:r w:rsidRPr="001E5D9F">
        <w:t xml:space="preserve">None of </w:t>
      </w:r>
      <w:r w:rsidR="000C4441">
        <w:t>these Grade V</w:t>
      </w:r>
      <w:r w:rsidRPr="001E5D9F">
        <w:t xml:space="preserve"> AEs was attributed to vismodegib. However, one fatal AE was </w:t>
      </w:r>
      <w:proofErr w:type="spellStart"/>
      <w:r w:rsidRPr="001E5D9F">
        <w:t>hypovolaemic</w:t>
      </w:r>
      <w:proofErr w:type="spellEnd"/>
      <w:r w:rsidRPr="001E5D9F">
        <w:t xml:space="preserve"> shock</w:t>
      </w:r>
      <w:r w:rsidR="00D3024F">
        <w:t xml:space="preserve">. </w:t>
      </w:r>
      <w:r w:rsidRPr="001E5D9F">
        <w:t>Several other deaths had an unknown cause.</w:t>
      </w:r>
    </w:p>
    <w:p w:rsidR="001E5D9F" w:rsidRPr="001E5D9F" w:rsidRDefault="001E5D9F" w:rsidP="00476166">
      <w:pPr>
        <w:pStyle w:val="Heading5"/>
      </w:pPr>
      <w:r w:rsidRPr="001E5D9F">
        <w:t>Serious AEs</w:t>
      </w:r>
    </w:p>
    <w:p w:rsidR="001E5D9F" w:rsidRPr="001E5D9F" w:rsidRDefault="001E5D9F" w:rsidP="00476166">
      <w:r w:rsidRPr="001E5D9F">
        <w:t xml:space="preserve">Vismodegib-related serious AEs in the pivotal study were </w:t>
      </w:r>
      <w:proofErr w:type="spellStart"/>
      <w:r w:rsidRPr="001E5D9F">
        <w:t>cholestasis</w:t>
      </w:r>
      <w:proofErr w:type="spellEnd"/>
      <w:r w:rsidRPr="001E5D9F">
        <w:t>, pulmonary embolism, syncope plus dehydration, and cardiac failure p</w:t>
      </w:r>
      <w:r w:rsidR="00D3024F">
        <w:t xml:space="preserve">lus pneumonia. </w:t>
      </w:r>
      <w:r w:rsidRPr="001E5D9F">
        <w:t>In a safety update (cut-off 26</w:t>
      </w:r>
      <w:r w:rsidRPr="001E5D9F">
        <w:rPr>
          <w:vertAlign w:val="superscript"/>
        </w:rPr>
        <w:t>th</w:t>
      </w:r>
      <w:r w:rsidRPr="001E5D9F">
        <w:t xml:space="preserve"> May 2011), a further two subjects reported serious AEs involving syncope; </w:t>
      </w:r>
      <w:proofErr w:type="spellStart"/>
      <w:r w:rsidRPr="001E5D9F">
        <w:t>osteomyelitis</w:t>
      </w:r>
      <w:proofErr w:type="spellEnd"/>
      <w:r w:rsidRPr="001E5D9F">
        <w:t xml:space="preserve"> and cerebral h</w:t>
      </w:r>
      <w:r w:rsidR="00D3024F">
        <w:t xml:space="preserve">aemorrhage were also reported. </w:t>
      </w:r>
      <w:r w:rsidRPr="001E5D9F">
        <w:t>In supportive studies, prominen</w:t>
      </w:r>
      <w:r w:rsidR="00913BB7">
        <w:t>t serious AEs included hyponatr</w:t>
      </w:r>
      <w:r w:rsidRPr="001E5D9F">
        <w:t>emia, intestinal obstruction and elevated hepatic enzymes.</w:t>
      </w:r>
    </w:p>
    <w:p w:rsidR="001E5D9F" w:rsidRPr="001E5D9F" w:rsidRDefault="001E5D9F" w:rsidP="00476166">
      <w:r w:rsidRPr="001E5D9F">
        <w:t xml:space="preserve">One case of pancreatic cancer was thought to have developed </w:t>
      </w:r>
      <w:r w:rsidRPr="001E5D9F">
        <w:rPr>
          <w:i/>
        </w:rPr>
        <w:t>de novo</w:t>
      </w:r>
      <w:r w:rsidRPr="001E5D9F">
        <w:t xml:space="preserve"> during vismodegib treatment and was thought dru</w:t>
      </w:r>
      <w:r w:rsidR="00D3024F">
        <w:t xml:space="preserve">g-related by the investigator. </w:t>
      </w:r>
      <w:r w:rsidRPr="001E5D9F">
        <w:t>A second case was considered to have been present at baseline, based on retrospective review of baseline scans.</w:t>
      </w:r>
    </w:p>
    <w:p w:rsidR="001E5D9F" w:rsidRPr="001E5D9F" w:rsidRDefault="001E5D9F" w:rsidP="00476166">
      <w:r w:rsidRPr="001E5D9F">
        <w:t xml:space="preserve">Emergent cases of </w:t>
      </w:r>
      <w:proofErr w:type="spellStart"/>
      <w:r w:rsidRPr="001E5D9F">
        <w:t>squamous</w:t>
      </w:r>
      <w:proofErr w:type="spellEnd"/>
      <w:r w:rsidRPr="001E5D9F">
        <w:t xml:space="preserve"> cell carcinoma appear attributable to existing risk factors (</w:t>
      </w:r>
      <w:r w:rsidR="00D3024F">
        <w:t>such as</w:t>
      </w:r>
      <w:r w:rsidRPr="001E5D9F">
        <w:t xml:space="preserve"> sun exposure) in SHH4476g; no cases were observed in the ovarian cancer study.</w:t>
      </w:r>
    </w:p>
    <w:p w:rsidR="001E5D9F" w:rsidRPr="001E5D9F" w:rsidRDefault="001E5D9F" w:rsidP="00476166">
      <w:pPr>
        <w:pStyle w:val="Heading5"/>
      </w:pPr>
      <w:r w:rsidRPr="001E5D9F">
        <w:t xml:space="preserve">Taste loss and </w:t>
      </w:r>
      <w:proofErr w:type="spellStart"/>
      <w:r w:rsidRPr="001E5D9F">
        <w:t>dysgeusia</w:t>
      </w:r>
      <w:proofErr w:type="spellEnd"/>
    </w:p>
    <w:p w:rsidR="001E5D9F" w:rsidRPr="00D3024F" w:rsidRDefault="001E5D9F" w:rsidP="00476166">
      <w:r w:rsidRPr="00D3024F">
        <w:t xml:space="preserve">The </w:t>
      </w:r>
      <w:proofErr w:type="spellStart"/>
      <w:r w:rsidR="00D22C59">
        <w:t>Hh</w:t>
      </w:r>
      <w:proofErr w:type="spellEnd"/>
      <w:r w:rsidRPr="00D3024F">
        <w:t xml:space="preserve"> pathway i</w:t>
      </w:r>
      <w:r w:rsidR="00D3024F" w:rsidRPr="00D3024F">
        <w:t xml:space="preserve">s important in taste papillae. </w:t>
      </w:r>
      <w:r w:rsidRPr="00D3024F">
        <w:t xml:space="preserve">In rats, vismodegib exposure led to a </w:t>
      </w:r>
      <w:r w:rsidR="00D3024F" w:rsidRPr="00D3024F">
        <w:t xml:space="preserve">decrease in taste bud numbers. </w:t>
      </w:r>
      <w:r w:rsidRPr="00D3024F">
        <w:t xml:space="preserve">In the pivotal clinical study, 53/104 patients were reported to have </w:t>
      </w:r>
      <w:proofErr w:type="spellStart"/>
      <w:r w:rsidRPr="00D3024F">
        <w:t>dysgeusia</w:t>
      </w:r>
      <w:proofErr w:type="spellEnd"/>
      <w:r w:rsidRPr="00D3024F">
        <w:t xml:space="preserve">, 29 with a </w:t>
      </w:r>
      <w:r w:rsidR="000C4441">
        <w:t>Grade I</w:t>
      </w:r>
      <w:r w:rsidRPr="00D3024F">
        <w:t xml:space="preserve"> AE (altered taste) and 24 with </w:t>
      </w:r>
      <w:r w:rsidR="000C4441">
        <w:t>Grade II</w:t>
      </w:r>
      <w:r w:rsidRPr="00D3024F">
        <w:t xml:space="preserve"> (altered taste with diet change, or noxious / unplea</w:t>
      </w:r>
      <w:r w:rsidR="00D3024F">
        <w:t xml:space="preserve">sant taste, or loss of taste). </w:t>
      </w:r>
      <w:r w:rsidRPr="00D3024F">
        <w:t xml:space="preserve">Two patients had </w:t>
      </w:r>
      <w:proofErr w:type="spellStart"/>
      <w:r w:rsidRPr="00D3024F">
        <w:t>hypogeusia</w:t>
      </w:r>
      <w:proofErr w:type="spellEnd"/>
      <w:r w:rsidRPr="00D3024F">
        <w:t xml:space="preserve"> (decreased taste) followed by </w:t>
      </w:r>
      <w:proofErr w:type="spellStart"/>
      <w:r w:rsidRPr="00D3024F">
        <w:t>dysgeusia</w:t>
      </w:r>
      <w:proofErr w:type="spellEnd"/>
      <w:r w:rsidRPr="00D3024F">
        <w:t xml:space="preserve">, another 9 had only </w:t>
      </w:r>
      <w:proofErr w:type="spellStart"/>
      <w:r w:rsidRPr="00D3024F">
        <w:t>hypogeusia</w:t>
      </w:r>
      <w:proofErr w:type="spellEnd"/>
      <w:r w:rsidRPr="00D3024F">
        <w:t xml:space="preserve"> and another 12 had only </w:t>
      </w:r>
      <w:proofErr w:type="spellStart"/>
      <w:r w:rsidRPr="00D3024F">
        <w:t>ageusia</w:t>
      </w:r>
      <w:proofErr w:type="spellEnd"/>
      <w:r w:rsidRPr="00D3024F">
        <w:t xml:space="preserve"> (loss of taste)</w:t>
      </w:r>
      <w:r w:rsidR="00D3024F">
        <w:t>.</w:t>
      </w:r>
      <w:r w:rsidRPr="00D3024F">
        <w:rPr>
          <w:vertAlign w:val="superscript"/>
        </w:rPr>
        <w:footnoteReference w:id="20"/>
      </w:r>
      <w:r w:rsidRPr="00D3024F">
        <w:t xml:space="preserve"> This suggests that 74/104 reported</w:t>
      </w:r>
      <w:r w:rsidR="00D3024F">
        <w:t xml:space="preserve"> some taste disturbance. </w:t>
      </w:r>
      <w:r w:rsidRPr="00D3024F">
        <w:t>One investigator considered that the appreciable impact of vismodegib on taste and enjoyment of eating contributed prominently to the marked weight loss seen in patients</w:t>
      </w:r>
      <w:r w:rsidR="00D3024F">
        <w:t>.</w:t>
      </w:r>
      <w:r w:rsidRPr="00D3024F">
        <w:rPr>
          <w:vertAlign w:val="superscript"/>
        </w:rPr>
        <w:footnoteReference w:id="21"/>
      </w:r>
    </w:p>
    <w:p w:rsidR="001E5D9F" w:rsidRPr="001E5D9F" w:rsidRDefault="00D3024F" w:rsidP="00476166">
      <w:pPr>
        <w:pStyle w:val="Heading5"/>
      </w:pPr>
      <w:r>
        <w:t>Muscle cramps and</w:t>
      </w:r>
      <w:r w:rsidR="001E5D9F" w:rsidRPr="001E5D9F">
        <w:t xml:space="preserve"> spasms</w:t>
      </w:r>
    </w:p>
    <w:p w:rsidR="001E5D9F" w:rsidRPr="001E5D9F" w:rsidRDefault="001E5D9F" w:rsidP="00476166">
      <w:r w:rsidRPr="001E5D9F">
        <w:t>In pivotal a</w:t>
      </w:r>
      <w:r w:rsidR="00B50900">
        <w:t xml:space="preserve">dvanced </w:t>
      </w:r>
      <w:r w:rsidRPr="001E5D9F">
        <w:t xml:space="preserve">BCC </w:t>
      </w:r>
      <w:r w:rsidR="00D3024F">
        <w:t>S</w:t>
      </w:r>
      <w:r w:rsidRPr="001E5D9F">
        <w:t>tudy SHH4476g, 68% of pa</w:t>
      </w:r>
      <w:r w:rsidR="00D3024F">
        <w:t xml:space="preserve">tients reported muscle spasms. </w:t>
      </w:r>
      <w:r w:rsidRPr="001E5D9F">
        <w:t>In the a</w:t>
      </w:r>
      <w:r w:rsidR="00B50900">
        <w:t xml:space="preserve">dvanced </w:t>
      </w:r>
      <w:r w:rsidRPr="001E5D9F">
        <w:t>BCC pool, 71.7% reported muscle spasms and 3</w:t>
      </w:r>
      <w:r w:rsidR="00D3024F">
        <w:t xml:space="preserve">.6% (5/138) had severe spasms. </w:t>
      </w:r>
      <w:r w:rsidRPr="001E5D9F">
        <w:t xml:space="preserve">In the randomised study in ovarian cancer, 1.9% of placebo subjects </w:t>
      </w:r>
      <w:r w:rsidR="007208E5">
        <w:t>versus</w:t>
      </w:r>
      <w:r w:rsidRPr="001E5D9F">
        <w:t xml:space="preserve"> 67.3% of vismodegib subjects reported muscle spasms (0 </w:t>
      </w:r>
      <w:r w:rsidR="007208E5">
        <w:t>versus</w:t>
      </w:r>
      <w:r w:rsidR="00D3024F">
        <w:t xml:space="preserve"> 5.8% were severe). </w:t>
      </w:r>
      <w:r w:rsidRPr="001E5D9F">
        <w:t>In 4/190 subjects in the pooled a</w:t>
      </w:r>
      <w:r w:rsidR="00B50900">
        <w:t xml:space="preserve">dvanced </w:t>
      </w:r>
      <w:r w:rsidRPr="001E5D9F">
        <w:t>BCC and ovarian cancer cohort, muscle spasms resulted in study drug discontinuation.</w:t>
      </w:r>
    </w:p>
    <w:p w:rsidR="001E5D9F" w:rsidRPr="001E5D9F" w:rsidRDefault="001E5D9F" w:rsidP="00476166">
      <w:r w:rsidRPr="001E5D9F">
        <w:t xml:space="preserve">There was no attempt to gauge whether </w:t>
      </w:r>
      <w:r w:rsidR="00CD46E8">
        <w:t xml:space="preserve">enzymes such as </w:t>
      </w:r>
      <w:proofErr w:type="spellStart"/>
      <w:r w:rsidR="00CD46E8">
        <w:t>creatine</w:t>
      </w:r>
      <w:proofErr w:type="spellEnd"/>
      <w:r w:rsidR="00CD46E8">
        <w:t xml:space="preserve"> </w:t>
      </w:r>
      <w:proofErr w:type="spellStart"/>
      <w:r w:rsidR="00CD46E8">
        <w:t>kinase</w:t>
      </w:r>
      <w:proofErr w:type="spellEnd"/>
      <w:r w:rsidRPr="001E5D9F">
        <w:t>-MM</w:t>
      </w:r>
      <w:r w:rsidR="00CD46E8">
        <w:t xml:space="preserve"> </w:t>
      </w:r>
      <w:r w:rsidRPr="001E5D9F">
        <w:t>were el</w:t>
      </w:r>
      <w:r w:rsidR="00CD46E8">
        <w:t xml:space="preserve">evated with use of vismodegib. </w:t>
      </w:r>
      <w:proofErr w:type="spellStart"/>
      <w:r w:rsidRPr="001E5D9F">
        <w:t>Sekulic</w:t>
      </w:r>
      <w:proofErr w:type="spellEnd"/>
      <w:r w:rsidRPr="001E5D9F">
        <w:t xml:space="preserve"> </w:t>
      </w:r>
      <w:r w:rsidRPr="00CD46E8">
        <w:rPr>
          <w:i/>
        </w:rPr>
        <w:t>et al</w:t>
      </w:r>
      <w:r w:rsidR="00CD46E8">
        <w:rPr>
          <w:i/>
        </w:rPr>
        <w:t>.</w:t>
      </w:r>
      <w:r w:rsidRPr="001E5D9F">
        <w:t xml:space="preserve"> report that, to their knowledge, </w:t>
      </w:r>
      <w:proofErr w:type="spellStart"/>
      <w:r w:rsidRPr="001E5D9F">
        <w:t>myositis</w:t>
      </w:r>
      <w:proofErr w:type="spellEnd"/>
      <w:r w:rsidRPr="001E5D9F">
        <w:t xml:space="preserve"> has not been reported</w:t>
      </w:r>
      <w:r w:rsidR="00CD46E8">
        <w:t>.</w:t>
      </w:r>
      <w:r w:rsidRPr="001E5D9F">
        <w:rPr>
          <w:vertAlign w:val="superscript"/>
        </w:rPr>
        <w:footnoteReference w:id="22"/>
      </w:r>
      <w:r w:rsidRPr="001E5D9F">
        <w:t xml:space="preserve"> Muscle damage biom</w:t>
      </w:r>
      <w:r w:rsidR="00B50900">
        <w:t xml:space="preserve">arkers were not well assessed. </w:t>
      </w:r>
      <w:r w:rsidRPr="001E5D9F">
        <w:t>It is not even clear if the ‘muscle spasm’ is due to muscle pathology; ‘neurologic’ effects in rat toxicity studies included ataxia, twitch</w:t>
      </w:r>
      <w:r w:rsidR="00CD46E8">
        <w:t xml:space="preserve">ing and limb and body tremors. </w:t>
      </w:r>
      <w:r w:rsidRPr="001E5D9F">
        <w:t>On the other hand, vismodegib may alter electrolyte balance, predisposing to muscle cramps</w:t>
      </w:r>
      <w:r w:rsidR="00C14651">
        <w:t xml:space="preserve">; it is noted that </w:t>
      </w:r>
      <w:r w:rsidRPr="001E5D9F">
        <w:t xml:space="preserve">the drug appears to be associated </w:t>
      </w:r>
      <w:r w:rsidR="00913BB7">
        <w:t>with hyponatr</w:t>
      </w:r>
      <w:r w:rsidRPr="001E5D9F">
        <w:t>emia.</w:t>
      </w:r>
    </w:p>
    <w:p w:rsidR="001E5D9F" w:rsidRPr="00C14651" w:rsidRDefault="001E5D9F" w:rsidP="00476166">
      <w:r w:rsidRPr="00C14651">
        <w:t>Although ‘muscle spasm’ was by far the most common preferred term, in the pooled a</w:t>
      </w:r>
      <w:r w:rsidR="00B50900">
        <w:t xml:space="preserve">dvanced </w:t>
      </w:r>
      <w:r w:rsidRPr="00C14651">
        <w:t>BCC safety population myalgia was reported in 8/138, muscular weakness in 4/138 (</w:t>
      </w:r>
      <w:r w:rsidR="000C4441">
        <w:t>Grade III</w:t>
      </w:r>
      <w:r w:rsidRPr="00C14651">
        <w:t xml:space="preserve"> in one patient), </w:t>
      </w:r>
      <w:proofErr w:type="spellStart"/>
      <w:r w:rsidRPr="00C14651">
        <w:t>trismus</w:t>
      </w:r>
      <w:proofErr w:type="spellEnd"/>
      <w:r w:rsidRPr="00C14651">
        <w:t xml:space="preserve"> in 3/138 (</w:t>
      </w:r>
      <w:r w:rsidR="000C4441">
        <w:t>G</w:t>
      </w:r>
      <w:r w:rsidRPr="00C14651">
        <w:t xml:space="preserve">rade </w:t>
      </w:r>
      <w:r w:rsidR="000C4441">
        <w:t>III</w:t>
      </w:r>
      <w:r w:rsidRPr="00C14651">
        <w:t xml:space="preserve"> in one patient) </w:t>
      </w:r>
      <w:r w:rsidR="00C14651" w:rsidRPr="00C14651">
        <w:t xml:space="preserve">and muscle twitching in 2/138. </w:t>
      </w:r>
      <w:r w:rsidRPr="00C14651">
        <w:t>Peripheral neuropathy was reported</w:t>
      </w:r>
      <w:r w:rsidR="00C14651" w:rsidRPr="00C14651">
        <w:t xml:space="preserve"> in 5/138 and tremor in 4/138. </w:t>
      </w:r>
      <w:r w:rsidRPr="00C14651">
        <w:t>As noted, severe sensory neuropathy was seen much more commonly in vismodegib patients in the randomised m</w:t>
      </w:r>
      <w:r w:rsidR="00C14651">
        <w:t xml:space="preserve">etastatic colorectal cancer </w:t>
      </w:r>
      <w:r w:rsidRPr="00C14651">
        <w:t>study.</w:t>
      </w:r>
    </w:p>
    <w:p w:rsidR="001E5D9F" w:rsidRPr="001E5D9F" w:rsidRDefault="001E5D9F" w:rsidP="00476166">
      <w:pPr>
        <w:pStyle w:val="Heading5"/>
      </w:pPr>
      <w:r w:rsidRPr="001E5D9F">
        <w:t>Amenorrhoea</w:t>
      </w:r>
    </w:p>
    <w:p w:rsidR="001E5D9F" w:rsidRPr="001E5D9F" w:rsidRDefault="001E5D9F" w:rsidP="00476166">
      <w:r w:rsidRPr="001E5D9F">
        <w:t>Among 10 women of childbearing potential, amenorrhoea was observed in 3.</w:t>
      </w:r>
    </w:p>
    <w:p w:rsidR="00ED5325" w:rsidRPr="00ED5325" w:rsidRDefault="00ED5325" w:rsidP="00476166">
      <w:pPr>
        <w:pStyle w:val="Heading4"/>
      </w:pPr>
      <w:r w:rsidRPr="00ED5325">
        <w:t>Clinical evaluator’s recommendation</w:t>
      </w:r>
    </w:p>
    <w:p w:rsidR="00ED5325" w:rsidRPr="001E5D9F" w:rsidRDefault="002D75B7" w:rsidP="00476166">
      <w:r>
        <w:t>The c</w:t>
      </w:r>
      <w:r w:rsidR="001E5D9F" w:rsidRPr="001E5D9F">
        <w:t xml:space="preserve">linical </w:t>
      </w:r>
      <w:r>
        <w:t>e</w:t>
      </w:r>
      <w:r w:rsidR="001E5D9F" w:rsidRPr="001E5D9F">
        <w:t>valuator has recommended approval.</w:t>
      </w:r>
    </w:p>
    <w:p w:rsidR="008E7846" w:rsidRPr="00476166" w:rsidRDefault="00386150" w:rsidP="00476166">
      <w:pPr>
        <w:pStyle w:val="Heading3"/>
        <w:rPr>
          <w:lang w:eastAsia="en-AU"/>
        </w:rPr>
      </w:pPr>
      <w:bookmarkStart w:id="143" w:name="_Toc314842514"/>
      <w:bookmarkStart w:id="144" w:name="_Toc370129113"/>
      <w:r w:rsidRPr="00476166">
        <w:rPr>
          <w:lang w:eastAsia="en-AU"/>
        </w:rPr>
        <w:t>Risk m</w:t>
      </w:r>
      <w:r w:rsidR="008E7846" w:rsidRPr="00476166">
        <w:rPr>
          <w:lang w:eastAsia="en-AU"/>
        </w:rPr>
        <w:t xml:space="preserve">anagement </w:t>
      </w:r>
      <w:r w:rsidRPr="00476166">
        <w:rPr>
          <w:lang w:eastAsia="en-AU"/>
        </w:rPr>
        <w:t>p</w:t>
      </w:r>
      <w:r w:rsidR="008E7846" w:rsidRPr="00476166">
        <w:rPr>
          <w:lang w:eastAsia="en-AU"/>
        </w:rPr>
        <w:t>lan</w:t>
      </w:r>
      <w:bookmarkEnd w:id="143"/>
      <w:bookmarkEnd w:id="144"/>
    </w:p>
    <w:p w:rsidR="00EF638E" w:rsidRDefault="00B61328" w:rsidP="00476166">
      <w:r>
        <w:t>The ACSOM and the RMP e</w:t>
      </w:r>
      <w:r w:rsidR="001E5D9F" w:rsidRPr="001E5D9F">
        <w:t>valuator expressed concern about some elements of the proposed Communication Plan,</w:t>
      </w:r>
      <w:r w:rsidR="00EF638E">
        <w:t xml:space="preserve"> for example, the </w:t>
      </w:r>
      <w:r w:rsidR="001E5D9F" w:rsidRPr="001E5D9F">
        <w:t xml:space="preserve">extent of distribution (the sponsor proposes distribution to dermatologists and oncologists, as </w:t>
      </w:r>
      <w:r>
        <w:t>well as hospital pharmacists)</w:t>
      </w:r>
      <w:r w:rsidR="00EF638E">
        <w:t xml:space="preserve"> </w:t>
      </w:r>
      <w:r>
        <w:t>(s</w:t>
      </w:r>
      <w:r w:rsidR="001E5D9F" w:rsidRPr="001E5D9F">
        <w:t xml:space="preserve">ee </w:t>
      </w:r>
      <w:r>
        <w:t xml:space="preserve">section V. </w:t>
      </w:r>
      <w:r w:rsidRPr="00B61328">
        <w:rPr>
          <w:i/>
        </w:rPr>
        <w:t>Pharmacovigilance findings</w:t>
      </w:r>
      <w:r>
        <w:t xml:space="preserve">, above, and </w:t>
      </w:r>
      <w:r w:rsidR="001E5D9F" w:rsidRPr="001E5D9F">
        <w:t xml:space="preserve">also discussion of </w:t>
      </w:r>
      <w:r w:rsidR="001E5D9F" w:rsidRPr="00EF638E">
        <w:rPr>
          <w:i/>
        </w:rPr>
        <w:t>‘</w:t>
      </w:r>
      <w:proofErr w:type="spellStart"/>
      <w:r w:rsidR="001E5D9F" w:rsidRPr="00EF638E">
        <w:rPr>
          <w:i/>
        </w:rPr>
        <w:t>Teratogenicity</w:t>
      </w:r>
      <w:proofErr w:type="spellEnd"/>
      <w:r w:rsidR="001E5D9F" w:rsidRPr="00EF638E">
        <w:rPr>
          <w:i/>
        </w:rPr>
        <w:t>’</w:t>
      </w:r>
      <w:r w:rsidR="001E5D9F" w:rsidRPr="001E5D9F">
        <w:t xml:space="preserve"> below</w:t>
      </w:r>
      <w:r>
        <w:t>)</w:t>
      </w:r>
      <w:r w:rsidR="001E5D9F" w:rsidRPr="001E5D9F">
        <w:t>.</w:t>
      </w:r>
      <w:r w:rsidR="00B50900">
        <w:t xml:space="preserve"> </w:t>
      </w:r>
      <w:r w:rsidR="001E5D9F" w:rsidRPr="001E5D9F">
        <w:t>Otherwise, the RMP proposed by the sponsor was considered generally acceptable by the TGA’s OPR.</w:t>
      </w:r>
      <w:r w:rsidR="00F828C8">
        <w:t xml:space="preserve"> </w:t>
      </w:r>
    </w:p>
    <w:p w:rsidR="001E5D9F" w:rsidRPr="001E5D9F" w:rsidRDefault="001E5D9F" w:rsidP="00476166">
      <w:r w:rsidRPr="001E5D9F">
        <w:t xml:space="preserve">If the application is approved, </w:t>
      </w:r>
      <w:r w:rsidR="00EF638E">
        <w:t xml:space="preserve">the RMP evaluator has recommended </w:t>
      </w:r>
      <w:r w:rsidRPr="001E5D9F">
        <w:t>the following condition of registration:</w:t>
      </w:r>
    </w:p>
    <w:p w:rsidR="008E7846" w:rsidRDefault="001E5D9F" w:rsidP="00476166">
      <w:pPr>
        <w:pStyle w:val="ListBullet"/>
      </w:pPr>
      <w:r w:rsidRPr="001E5D9F">
        <w:t>The Core Risk Management Plan Version: 1.0, dated 31 January 2012, with an Australian Specific Annex (ASA) identified as Version: 1.0, dated April 2012, to be revised as specified in the sponsor’s correspondence dated 22 November 2012, and subsequently as approved by the TGA’s Office of Product Review, must be implemented</w:t>
      </w:r>
      <w:r>
        <w:t>.</w:t>
      </w:r>
    </w:p>
    <w:p w:rsidR="008E7846" w:rsidRDefault="00AA0ED0" w:rsidP="00476166">
      <w:pPr>
        <w:pStyle w:val="Heading3"/>
      </w:pPr>
      <w:bookmarkStart w:id="145" w:name="_Toc247691531"/>
      <w:bookmarkStart w:id="146" w:name="_Toc314842515"/>
      <w:bookmarkStart w:id="147" w:name="_Toc196046505"/>
      <w:bookmarkStart w:id="148" w:name="_Toc196046949"/>
      <w:bookmarkStart w:id="149" w:name="_Toc370129114"/>
      <w:r>
        <w:t>Risk-benefit a</w:t>
      </w:r>
      <w:r w:rsidR="008E7846">
        <w:t>nalysis</w:t>
      </w:r>
      <w:bookmarkEnd w:id="145"/>
      <w:bookmarkEnd w:id="146"/>
      <w:bookmarkEnd w:id="149"/>
    </w:p>
    <w:p w:rsidR="008E7846" w:rsidRDefault="008E7846" w:rsidP="00476166">
      <w:pPr>
        <w:pStyle w:val="Heading4"/>
      </w:pPr>
      <w:r>
        <w:t xml:space="preserve">Delegate </w:t>
      </w:r>
      <w:r w:rsidR="00ED3CAD">
        <w:t>c</w:t>
      </w:r>
      <w:r>
        <w:t>onsiderations</w:t>
      </w:r>
    </w:p>
    <w:p w:rsidR="00EF638E" w:rsidRDefault="001E5D9F" w:rsidP="00476166">
      <w:pPr>
        <w:pStyle w:val="Heading5"/>
      </w:pPr>
      <w:r w:rsidRPr="00EF638E">
        <w:t>Justification of ORR as primary endpoint in pivotal study</w:t>
      </w:r>
    </w:p>
    <w:p w:rsidR="001E5D9F" w:rsidRPr="00EF638E" w:rsidRDefault="00EF638E" w:rsidP="00476166">
      <w:r>
        <w:t>T</w:t>
      </w:r>
      <w:r w:rsidR="001E5D9F" w:rsidRPr="00EF638E">
        <w:t>he sponsor</w:t>
      </w:r>
      <w:r>
        <w:t>’s</w:t>
      </w:r>
      <w:r w:rsidR="001E5D9F" w:rsidRPr="00EF638E">
        <w:t xml:space="preserve"> </w:t>
      </w:r>
      <w:r>
        <w:t>c</w:t>
      </w:r>
      <w:r w:rsidR="001E5D9F" w:rsidRPr="00EF638E">
        <w:t xml:space="preserve">linical </w:t>
      </w:r>
      <w:r>
        <w:t>o</w:t>
      </w:r>
      <w:r w:rsidR="001E5D9F" w:rsidRPr="00EF638E">
        <w:t xml:space="preserve">verview </w:t>
      </w:r>
      <w:r>
        <w:t xml:space="preserve">included the </w:t>
      </w:r>
      <w:r w:rsidR="001E5D9F" w:rsidRPr="00EF638E">
        <w:t>feedback from liaison with EU regulatory authorities that:</w:t>
      </w:r>
    </w:p>
    <w:p w:rsidR="001E5D9F" w:rsidRPr="00EF638E" w:rsidRDefault="001E5D9F" w:rsidP="00476166">
      <w:pPr>
        <w:pStyle w:val="ListBullet"/>
      </w:pPr>
      <w:r w:rsidRPr="00EF638E">
        <w:t>The primary endpoint of IRF-assessed objective response supported by durability of response may measure clinical benefit in this patient population.</w:t>
      </w:r>
    </w:p>
    <w:p w:rsidR="001E5D9F" w:rsidRPr="00EF638E" w:rsidRDefault="001E5D9F" w:rsidP="00476166">
      <w:r w:rsidRPr="00EF638E">
        <w:t>The sponsor</w:t>
      </w:r>
      <w:r w:rsidR="00EF638E">
        <w:t>,</w:t>
      </w:r>
      <w:r w:rsidRPr="00EF638E">
        <w:t xml:space="preserve"> </w:t>
      </w:r>
      <w:r w:rsidR="00EF638E">
        <w:t xml:space="preserve">in the clinical overview, </w:t>
      </w:r>
      <w:r w:rsidRPr="00EF638E">
        <w:t>provided a reasonable justification for the construction of the composite ORR endpoint and for it</w:t>
      </w:r>
      <w:r w:rsidR="00EF638E">
        <w:t xml:space="preserve">s use as the primary endpoint. </w:t>
      </w:r>
      <w:r w:rsidRPr="00EF638E">
        <w:t>The sponsor did agree that for metastatic disease, OS is the gold-standard endpoint; some OS data were presented but their interpretation is limited by the uncontrolled study design employed.</w:t>
      </w:r>
    </w:p>
    <w:p w:rsidR="00E21AB7" w:rsidRDefault="001E5D9F" w:rsidP="00476166">
      <w:pPr>
        <w:pStyle w:val="Heading5"/>
      </w:pPr>
      <w:r w:rsidRPr="00EF638E">
        <w:t xml:space="preserve">Choice of single-arm pivotal study </w:t>
      </w:r>
      <w:r w:rsidRPr="00E21AB7">
        <w:t xml:space="preserve">design </w:t>
      </w:r>
    </w:p>
    <w:p w:rsidR="001E5D9F" w:rsidRPr="00E21AB7" w:rsidRDefault="001E5D9F" w:rsidP="00E21AB7">
      <w:r w:rsidRPr="00E21AB7">
        <w:t xml:space="preserve">(see </w:t>
      </w:r>
      <w:r w:rsidR="00E21AB7">
        <w:t xml:space="preserve">also </w:t>
      </w:r>
      <w:r w:rsidRPr="00E21AB7">
        <w:rPr>
          <w:i/>
        </w:rPr>
        <w:t>A</w:t>
      </w:r>
      <w:r w:rsidR="00B61328" w:rsidRPr="00E21AB7">
        <w:rPr>
          <w:i/>
        </w:rPr>
        <w:t xml:space="preserve">ppendix </w:t>
      </w:r>
      <w:r w:rsidR="00E21AB7" w:rsidRPr="00E21AB7">
        <w:rPr>
          <w:i/>
        </w:rPr>
        <w:t xml:space="preserve">to the Delegate’s Overview: </w:t>
      </w:r>
      <w:r w:rsidRPr="00E21AB7">
        <w:rPr>
          <w:i/>
        </w:rPr>
        <w:t>expanded discussion</w:t>
      </w:r>
      <w:r w:rsidR="00E21AB7" w:rsidRPr="00E21AB7">
        <w:rPr>
          <w:i/>
        </w:rPr>
        <w:t xml:space="preserve"> of a single-arm study design, </w:t>
      </w:r>
      <w:r w:rsidR="00E21AB7">
        <w:t xml:space="preserve">below). </w:t>
      </w:r>
    </w:p>
    <w:p w:rsidR="001E5D9F" w:rsidRPr="00EF638E" w:rsidRDefault="001E5D9F" w:rsidP="00476166">
      <w:r w:rsidRPr="00EF638E">
        <w:t xml:space="preserve">The TGA-adopted EU </w:t>
      </w:r>
      <w:r w:rsidR="00600768" w:rsidRPr="00600768">
        <w:rPr>
          <w:i/>
        </w:rPr>
        <w:t>Guideline on the Evaluation of Anticancer Medicinal Products in Man</w:t>
      </w:r>
      <w:r w:rsidR="00600768" w:rsidRPr="00600768">
        <w:t xml:space="preserve"> (EMEA/EWP/205/95 Rev 3 </w:t>
      </w:r>
      <w:proofErr w:type="spellStart"/>
      <w:r w:rsidR="00600768" w:rsidRPr="00600768">
        <w:t>Corr</w:t>
      </w:r>
      <w:proofErr w:type="spellEnd"/>
      <w:r w:rsidR="00600768" w:rsidRPr="00600768">
        <w:t xml:space="preserve">) </w:t>
      </w:r>
      <w:r w:rsidRPr="00EF638E">
        <w:t>concerning evaluation of anti-cancer agents recommend the use of a randomised, controlled stu</w:t>
      </w:r>
      <w:r w:rsidR="00EF638E">
        <w:t xml:space="preserve">dy design for pivotal studies. </w:t>
      </w:r>
      <w:r w:rsidRPr="00EF638E">
        <w:t>The sponsor has argued that no appropriate active comparator is available.</w:t>
      </w:r>
    </w:p>
    <w:p w:rsidR="001E5D9F" w:rsidRPr="001E5D9F" w:rsidRDefault="001E5D9F" w:rsidP="00476166">
      <w:r w:rsidRPr="00EF638E">
        <w:t xml:space="preserve">Literature suggests that </w:t>
      </w:r>
      <w:proofErr w:type="spellStart"/>
      <w:r w:rsidRPr="00EF638E">
        <w:t>cisplatin</w:t>
      </w:r>
      <w:proofErr w:type="spellEnd"/>
      <w:r w:rsidRPr="00EF638E">
        <w:t>-containing regimens might be an appropriate active control, for metastatic BCC and perhaps even</w:t>
      </w:r>
      <w:r w:rsidR="00EF638E">
        <w:t xml:space="preserve"> for locally advanced disease. </w:t>
      </w:r>
      <w:r w:rsidRPr="00EF638E">
        <w:t>Local</w:t>
      </w:r>
      <w:r w:rsidRPr="001E5D9F">
        <w:t xml:space="preserve"> g</w:t>
      </w:r>
      <w:r w:rsidR="00EF638E">
        <w:t>uidelines (2008)</w:t>
      </w:r>
      <w:r w:rsidR="00B61328">
        <w:rPr>
          <w:rStyle w:val="FootnoteReference"/>
        </w:rPr>
        <w:footnoteReference w:id="23"/>
      </w:r>
      <w:r w:rsidR="00EF638E">
        <w:t xml:space="preserve"> support this. </w:t>
      </w:r>
      <w:r w:rsidRPr="001E5D9F">
        <w:t>The sponsor considers such regimens unestablished, unproven and toxic.</w:t>
      </w:r>
    </w:p>
    <w:p w:rsidR="001E5D9F" w:rsidRPr="001E5D9F" w:rsidRDefault="001E5D9F" w:rsidP="00476166">
      <w:r w:rsidRPr="001E5D9F">
        <w:t>The sponsor’s position is that objective response is a sound pri</w:t>
      </w:r>
      <w:r w:rsidR="00EF638E">
        <w:t xml:space="preserve">mary endpoint in advanced BCC. </w:t>
      </w:r>
      <w:proofErr w:type="spellStart"/>
      <w:r w:rsidRPr="001E5D9F">
        <w:t>Cisplatin</w:t>
      </w:r>
      <w:proofErr w:type="spellEnd"/>
      <w:r w:rsidRPr="001E5D9F">
        <w:t>-based regimens, while on face value delivering good ORRs in the sparse literature on the topic, are not supported by randomised studies and are therefore not “best available, evidence-based” regimens (</w:t>
      </w:r>
      <w:r w:rsidR="00600768" w:rsidRPr="00600768">
        <w:rPr>
          <w:i/>
        </w:rPr>
        <w:t>Guideline on the Evaluation of Anticancer Medicinal Products in Man</w:t>
      </w:r>
      <w:r w:rsidR="00600768" w:rsidRPr="00600768">
        <w:t xml:space="preserve"> (EMEA/EWP/205/95 Rev 3 </w:t>
      </w:r>
      <w:proofErr w:type="spellStart"/>
      <w:r w:rsidR="00600768" w:rsidRPr="00600768">
        <w:t>Corr</w:t>
      </w:r>
      <w:proofErr w:type="spellEnd"/>
      <w:r w:rsidR="00600768" w:rsidRPr="00600768">
        <w:t xml:space="preserve">) </w:t>
      </w:r>
      <w:r w:rsidRPr="001E5D9F">
        <w:t>page 18/23).</w:t>
      </w:r>
    </w:p>
    <w:p w:rsidR="001E5D9F" w:rsidRDefault="001E5D9F" w:rsidP="00476166">
      <w:r w:rsidRPr="001E5D9F">
        <w:t>The guidelines state that in the absence of “best available, evidence-based” regimens, “a regimen used in clinical practice with a well-documented and benign safety profile is acceptable” or that “investigator’s best choice among a few selected regimens with these characteristics (may include [best supportive care]) is acceptable”.</w:t>
      </w:r>
      <w:r w:rsidR="00600768">
        <w:t xml:space="preserve"> </w:t>
      </w:r>
    </w:p>
    <w:p w:rsidR="001E5D9F" w:rsidRPr="001E5D9F" w:rsidRDefault="00600768" w:rsidP="00476166">
      <w:pPr>
        <w:rPr>
          <w:b/>
        </w:rPr>
      </w:pPr>
      <w:r>
        <w:t xml:space="preserve">The Delegate proposed to seek the advice of the ACPM </w:t>
      </w:r>
      <w:r w:rsidR="001E5D9F" w:rsidRPr="00600768">
        <w:t xml:space="preserve">about whether vismodegib should be compared with </w:t>
      </w:r>
      <w:proofErr w:type="spellStart"/>
      <w:r w:rsidR="001E5D9F" w:rsidRPr="00600768">
        <w:t>cispl</w:t>
      </w:r>
      <w:r w:rsidR="005C75AC" w:rsidRPr="00600768">
        <w:t>atin</w:t>
      </w:r>
      <w:proofErr w:type="spellEnd"/>
      <w:r w:rsidR="005C75AC" w:rsidRPr="00600768">
        <w:t>-based regimens in a Phase III</w:t>
      </w:r>
      <w:r w:rsidR="001E5D9F" w:rsidRPr="00600768">
        <w:t xml:space="preserve"> study</w:t>
      </w:r>
      <w:r w:rsidR="006C195E">
        <w:t xml:space="preserve"> (see </w:t>
      </w:r>
      <w:r w:rsidR="00E21AB7">
        <w:t xml:space="preserve">also </w:t>
      </w:r>
      <w:r w:rsidR="00E21AB7">
        <w:rPr>
          <w:i/>
        </w:rPr>
        <w:t>Appendix to the Del</w:t>
      </w:r>
      <w:r w:rsidR="006C195E" w:rsidRPr="00E21AB7">
        <w:rPr>
          <w:i/>
        </w:rPr>
        <w:t>egate’s overview: Expanded discussion of single-arm study design</w:t>
      </w:r>
      <w:r w:rsidR="00E21AB7">
        <w:rPr>
          <w:i/>
        </w:rPr>
        <w:t xml:space="preserve">, </w:t>
      </w:r>
      <w:r w:rsidR="00E21AB7" w:rsidRPr="00E21AB7">
        <w:t>and</w:t>
      </w:r>
      <w:r w:rsidR="00E21AB7">
        <w:rPr>
          <w:i/>
        </w:rPr>
        <w:t xml:space="preserve"> </w:t>
      </w:r>
      <w:r w:rsidR="00E21AB7">
        <w:t xml:space="preserve">questions 1 and 2 under </w:t>
      </w:r>
      <w:r w:rsidR="00E21AB7" w:rsidRPr="00E21AB7">
        <w:rPr>
          <w:i/>
        </w:rPr>
        <w:t>Request for ACPM advice</w:t>
      </w:r>
      <w:r w:rsidR="00E21AB7">
        <w:t xml:space="preserve">, </w:t>
      </w:r>
      <w:r w:rsidR="00E21AB7" w:rsidRPr="00E21AB7">
        <w:t>below</w:t>
      </w:r>
      <w:r w:rsidR="006C195E">
        <w:t>)</w:t>
      </w:r>
      <w:r w:rsidR="001E5D9F" w:rsidRPr="006C195E">
        <w:t>.</w:t>
      </w:r>
      <w:r w:rsidR="00F828C8">
        <w:t xml:space="preserve"> </w:t>
      </w:r>
    </w:p>
    <w:p w:rsidR="001E5D9F" w:rsidRPr="001E5D9F" w:rsidRDefault="00F700DF" w:rsidP="00476166">
      <w:pPr>
        <w:pStyle w:val="Heading5"/>
      </w:pPr>
      <w:r>
        <w:t>Rebound and</w:t>
      </w:r>
      <w:r w:rsidR="001E5D9F" w:rsidRPr="001E5D9F">
        <w:t xml:space="preserve"> </w:t>
      </w:r>
      <w:r>
        <w:t>r</w:t>
      </w:r>
      <w:r w:rsidR="001E5D9F" w:rsidRPr="001E5D9F">
        <w:t>esistance</w:t>
      </w:r>
    </w:p>
    <w:p w:rsidR="001E5D9F" w:rsidRPr="001E5D9F" w:rsidRDefault="001E5D9F" w:rsidP="00476166">
      <w:r w:rsidRPr="001E5D9F">
        <w:t>It has been questioned whether vismodegib truly clears BCCs or whether instead it leaves clones of resistant cells with the potential for recurrence or rebound</w:t>
      </w:r>
      <w:r w:rsidR="005C75AC">
        <w:t>.</w:t>
      </w:r>
      <w:r w:rsidRPr="001E5D9F">
        <w:rPr>
          <w:vertAlign w:val="superscript"/>
        </w:rPr>
        <w:footnoteReference w:id="24"/>
      </w:r>
      <w:r w:rsidRPr="001E5D9F">
        <w:t xml:space="preserve"> In this regard, Tang </w:t>
      </w:r>
      <w:r w:rsidRPr="005C75AC">
        <w:rPr>
          <w:i/>
        </w:rPr>
        <w:t>et al</w:t>
      </w:r>
      <w:r w:rsidRPr="001E5D9F">
        <w:t xml:space="preserve"> </w:t>
      </w:r>
      <w:r w:rsidR="005C75AC">
        <w:t xml:space="preserve">2012 </w:t>
      </w:r>
      <w:r w:rsidRPr="001E5D9F">
        <w:t xml:space="preserve">noted that specific BCCs recurred after vismodegib </w:t>
      </w:r>
      <w:r w:rsidR="005C75AC">
        <w:t>discontinuation. According to the sponsor’s documents, t</w:t>
      </w:r>
      <w:r w:rsidRPr="001E5D9F">
        <w:t>he EU evaluators asked for information about durability of response for patients with demonstrated t</w:t>
      </w:r>
      <w:r w:rsidR="00600768">
        <w:t>umour responses in the pivotal S</w:t>
      </w:r>
      <w:r w:rsidRPr="001E5D9F">
        <w:t>tudy SHH4476g who discontinued the study for reasons other than disease progression (</w:t>
      </w:r>
      <w:r w:rsidR="005C75AC">
        <w:t xml:space="preserve">for example, </w:t>
      </w:r>
      <w:r w:rsidRPr="001E5D9F">
        <w:t xml:space="preserve">8/18 locally advanced patients who discontinued due to patient decision had an ongoing tumour response at the time of discontinuation; all 18 patients </w:t>
      </w:r>
      <w:r w:rsidR="00600768">
        <w:t xml:space="preserve">also </w:t>
      </w:r>
      <w:r w:rsidRPr="001E5D9F">
        <w:t xml:space="preserve">had </w:t>
      </w:r>
      <w:r w:rsidR="005C75AC">
        <w:t xml:space="preserve">ongoing AEs at the time). Data were not collected. </w:t>
      </w:r>
      <w:r w:rsidRPr="001E5D9F">
        <w:t>There may need to be information in the PI about this issue.</w:t>
      </w:r>
    </w:p>
    <w:p w:rsidR="001E5D9F" w:rsidRPr="001E5D9F" w:rsidRDefault="001E5D9F" w:rsidP="00476166">
      <w:r w:rsidRPr="001E5D9F">
        <w:t xml:space="preserve">A mutation in SMO (D473H) has been identified in a patient with </w:t>
      </w:r>
      <w:proofErr w:type="spellStart"/>
      <w:r w:rsidRPr="001E5D9F">
        <w:t>medulloblastoma</w:t>
      </w:r>
      <w:proofErr w:type="spellEnd"/>
      <w:r w:rsidRPr="001E5D9F">
        <w:t xml:space="preserve"> in Study SHH3925g who re</w:t>
      </w:r>
      <w:r w:rsidR="005C75AC">
        <w:t xml:space="preserve">lapsed after initial response. </w:t>
      </w:r>
      <w:r w:rsidRPr="001E5D9F">
        <w:t>The mutation alters the ability</w:t>
      </w:r>
      <w:r w:rsidR="005C75AC">
        <w:t xml:space="preserve"> of vismodegib to inhibit SMO. </w:t>
      </w:r>
      <w:r w:rsidRPr="001E5D9F">
        <w:t>This has been an isolated finding, but data are exploratory in this regard.</w:t>
      </w:r>
    </w:p>
    <w:p w:rsidR="001E5D9F" w:rsidRPr="001E5D9F" w:rsidRDefault="00476166" w:rsidP="00476166">
      <w:pPr>
        <w:pStyle w:val="Heading5"/>
      </w:pPr>
      <w:proofErr w:type="spellStart"/>
      <w:r>
        <w:t>Gorlin’s</w:t>
      </w:r>
      <w:proofErr w:type="spellEnd"/>
      <w:r>
        <w:t xml:space="preserve"> s</w:t>
      </w:r>
      <w:r w:rsidR="001E5D9F" w:rsidRPr="001E5D9F">
        <w:t>yndrome</w:t>
      </w:r>
    </w:p>
    <w:p w:rsidR="001E5D9F" w:rsidRPr="001E5D9F" w:rsidRDefault="001E5D9F" w:rsidP="00476166">
      <w:r w:rsidRPr="001E5D9F">
        <w:t>The sponsor states:</w:t>
      </w:r>
      <w:r w:rsidR="005C75AC">
        <w:t xml:space="preserve"> “</w:t>
      </w:r>
      <w:r w:rsidRPr="001E5D9F">
        <w:t xml:space="preserve">The molecular nature of BCCs in patients with sporadic and </w:t>
      </w:r>
      <w:proofErr w:type="spellStart"/>
      <w:r w:rsidRPr="001E5D9F">
        <w:t>Gorlin</w:t>
      </w:r>
      <w:proofErr w:type="spellEnd"/>
      <w:r w:rsidRPr="001E5D9F">
        <w:t xml:space="preserve">-associated BCC is generally accepted to be similar ... and consequently the addition of these patients to the database </w:t>
      </w:r>
      <w:r w:rsidR="00CE03B0">
        <w:t>does not prevent the characteris</w:t>
      </w:r>
      <w:r w:rsidRPr="001E5D9F">
        <w:t>ation of the risk benefit of vismodegib for the intended indication.</w:t>
      </w:r>
      <w:r w:rsidR="005C75AC">
        <w:t>”</w:t>
      </w:r>
    </w:p>
    <w:p w:rsidR="001E5D9F" w:rsidRPr="001E5D9F" w:rsidRDefault="001E5D9F" w:rsidP="00476166">
      <w:r w:rsidRPr="001E5D9F">
        <w:t xml:space="preserve">In post-hoc analysis, ORR (IRF) in </w:t>
      </w:r>
      <w:proofErr w:type="spellStart"/>
      <w:r w:rsidRPr="001E5D9F">
        <w:t>Gorlin’s</w:t>
      </w:r>
      <w:proofErr w:type="spellEnd"/>
      <w:r w:rsidRPr="001E5D9F">
        <w:t xml:space="preserve"> Syndrome patients </w:t>
      </w:r>
      <w:r w:rsidR="00976688">
        <w:t xml:space="preserve">in SHH4476g was 66.7% (14/21). </w:t>
      </w:r>
      <w:r w:rsidRPr="001E5D9F">
        <w:t>All these patients had locally advanced BCC rather tha</w:t>
      </w:r>
      <w:r w:rsidR="005C75AC">
        <w:t xml:space="preserve">n metastatic disease. </w:t>
      </w:r>
      <w:r w:rsidRPr="001E5D9F">
        <w:t xml:space="preserve">In those with locally advanced disease with no recorded </w:t>
      </w:r>
      <w:proofErr w:type="spellStart"/>
      <w:r w:rsidRPr="001E5D9F">
        <w:t>Gorlin’s</w:t>
      </w:r>
      <w:proofErr w:type="spellEnd"/>
      <w:r w:rsidRPr="001E5D9F">
        <w:t xml:space="preserve"> Syndrome, ORR was 31% (13/42).</w:t>
      </w:r>
    </w:p>
    <w:p w:rsidR="001E5D9F" w:rsidRPr="001E5D9F" w:rsidRDefault="001E5D9F" w:rsidP="00476166">
      <w:r w:rsidRPr="001E5D9F">
        <w:t xml:space="preserve">The controlled study by Tang </w:t>
      </w:r>
      <w:r w:rsidRPr="005C75AC">
        <w:rPr>
          <w:i/>
        </w:rPr>
        <w:t>et al</w:t>
      </w:r>
      <w:r w:rsidRPr="001E5D9F">
        <w:t xml:space="preserve"> </w:t>
      </w:r>
      <w:r w:rsidR="00600768">
        <w:t xml:space="preserve">2012 </w:t>
      </w:r>
      <w:r w:rsidRPr="001E5D9F">
        <w:t>does provide useful information about the anti-tumour efficacy of vismodegib in this setting, though key study endpoints were syndrome-specific.</w:t>
      </w:r>
    </w:p>
    <w:p w:rsidR="001E5D9F" w:rsidRPr="001E5D9F" w:rsidRDefault="001E5D9F" w:rsidP="00476166">
      <w:r w:rsidRPr="001E5D9F">
        <w:t xml:space="preserve">In summary, efficacy appears better in </w:t>
      </w:r>
      <w:proofErr w:type="spellStart"/>
      <w:r w:rsidRPr="001E5D9F">
        <w:t>Gorlin’s</w:t>
      </w:r>
      <w:proofErr w:type="spellEnd"/>
      <w:r w:rsidRPr="001E5D9F">
        <w:t xml:space="preserve"> Syndrome than in sporadic disease, howeve</w:t>
      </w:r>
      <w:r w:rsidR="005C75AC">
        <w:t xml:space="preserve">r this is a post-hoc analysis. </w:t>
      </w:r>
      <w:r w:rsidRPr="001E5D9F">
        <w:t>In the pivotal study, roughly 20% of subjects had the syndrome, a large over-representation for patients with BCC but probably less s</w:t>
      </w:r>
      <w:r w:rsidR="005C75AC">
        <w:t xml:space="preserve">o for those with advanced BCC. </w:t>
      </w:r>
      <w:r w:rsidRPr="001E5D9F">
        <w:t xml:space="preserve">The risk is that apparent better efficacy in </w:t>
      </w:r>
      <w:proofErr w:type="spellStart"/>
      <w:r w:rsidRPr="001E5D9F">
        <w:t>Gorlin’s</w:t>
      </w:r>
      <w:proofErr w:type="spellEnd"/>
      <w:r w:rsidRPr="001E5D9F">
        <w:t xml:space="preserve"> Syndrome unrealistically inflates efficacy results that will usually be applied to those with sporadic disease.</w:t>
      </w:r>
    </w:p>
    <w:p w:rsidR="001E5D9F" w:rsidRPr="001E5D9F" w:rsidRDefault="001E5D9F" w:rsidP="00476166">
      <w:pPr>
        <w:pStyle w:val="Heading5"/>
      </w:pPr>
      <w:r w:rsidRPr="001E5D9F">
        <w:t>Efficacy in BCCs driven by activating SMO mutations</w:t>
      </w:r>
    </w:p>
    <w:p w:rsidR="001E5D9F" w:rsidRPr="001E5D9F" w:rsidRDefault="001E5D9F" w:rsidP="00476166">
      <w:r w:rsidRPr="001E5D9F">
        <w:t>A small proportion of sporadic BCCs are apparently driven by activating SMO mutations rather than PTCH1 mutations, and efficacy of vismodegib was not broke</w:t>
      </w:r>
      <w:r w:rsidR="005C75AC">
        <w:t xml:space="preserve">n down by this classification. </w:t>
      </w:r>
      <w:r w:rsidRPr="001E5D9F">
        <w:t xml:space="preserve">Perhaps, some such activating mutations might also interfere with the </w:t>
      </w:r>
      <w:r w:rsidR="005C75AC">
        <w:t xml:space="preserve">drug’s ability to inhibit SMO. </w:t>
      </w:r>
      <w:r w:rsidRPr="001E5D9F">
        <w:t>On balance, given that only a fraction of sporadic BCCs are driven by this path, the indication should not be tailored towards subgroups of BCC based on tumour genetics (without specific data on the subject).</w:t>
      </w:r>
    </w:p>
    <w:p w:rsidR="001E5D9F" w:rsidRPr="001E5D9F" w:rsidRDefault="001E5D9F" w:rsidP="00476166">
      <w:pPr>
        <w:pStyle w:val="Heading5"/>
      </w:pPr>
      <w:r w:rsidRPr="001E5D9F">
        <w:t>Effects on fertility</w:t>
      </w:r>
    </w:p>
    <w:p w:rsidR="001E5D9F" w:rsidRPr="005C75AC" w:rsidRDefault="001E5D9F" w:rsidP="00476166">
      <w:r w:rsidRPr="001E5D9F">
        <w:t>Animal studies suggest male and female fertility</w:t>
      </w:r>
      <w:r w:rsidR="005C75AC">
        <w:t xml:space="preserve"> is compromised by vismodegib. </w:t>
      </w:r>
      <w:r w:rsidRPr="001E5D9F">
        <w:t xml:space="preserve">Incidence of amenorrhoea was 3/10 in the at-risk human population (women of childbearing potential; these were </w:t>
      </w:r>
      <w:r w:rsidR="005C75AC">
        <w:t xml:space="preserve">in the </w:t>
      </w:r>
      <w:r w:rsidR="00600768">
        <w:t xml:space="preserve">advanced </w:t>
      </w:r>
      <w:r w:rsidR="005C75AC">
        <w:t>BCC cohort).</w:t>
      </w:r>
      <w:r w:rsidRPr="001E5D9F">
        <w:t xml:space="preserve"> It is unclear if this is reversible, but the decrease in number of corpora </w:t>
      </w:r>
      <w:proofErr w:type="spellStart"/>
      <w:r w:rsidRPr="001E5D9F">
        <w:t>lutea</w:t>
      </w:r>
      <w:proofErr w:type="spellEnd"/>
      <w:r w:rsidRPr="001E5D9F">
        <w:t xml:space="preserve"> observed in female rats given vismodegi</w:t>
      </w:r>
      <w:r w:rsidR="005C75AC">
        <w:t xml:space="preserve">b for 26 weeks (at an exposure approximately </w:t>
      </w:r>
      <w:r w:rsidR="00600768">
        <w:t xml:space="preserve">1.1 </w:t>
      </w:r>
      <w:r w:rsidRPr="001E5D9F">
        <w:t xml:space="preserve">fold the estimated steady state exposure in humans) </w:t>
      </w:r>
      <w:r w:rsidRPr="005C75AC">
        <w:t>was not reversed by the end of an 8 week recovery period.</w:t>
      </w:r>
    </w:p>
    <w:p w:rsidR="001E5D9F" w:rsidRPr="001E5D9F" w:rsidRDefault="001E5D9F" w:rsidP="00476166">
      <w:pPr>
        <w:pStyle w:val="Heading5"/>
      </w:pPr>
      <w:proofErr w:type="spellStart"/>
      <w:r w:rsidRPr="001E5D9F">
        <w:t>Teratogenicity</w:t>
      </w:r>
      <w:proofErr w:type="spellEnd"/>
    </w:p>
    <w:p w:rsidR="001E5D9F" w:rsidRPr="005C75AC" w:rsidRDefault="005C75AC" w:rsidP="00476166">
      <w:r w:rsidRPr="005C75AC">
        <w:t>The non</w:t>
      </w:r>
      <w:r w:rsidR="001E5D9F" w:rsidRPr="005C75AC">
        <w:t xml:space="preserve">clinical evaluator noted that limited reproductive toxicity studies confirmed the </w:t>
      </w:r>
      <w:proofErr w:type="spellStart"/>
      <w:r w:rsidR="001E5D9F" w:rsidRPr="005C75AC">
        <w:t>teratogenic</w:t>
      </w:r>
      <w:proofErr w:type="spellEnd"/>
      <w:r w:rsidR="001E5D9F" w:rsidRPr="005C75AC">
        <w:t xml:space="preserve"> potential o</w:t>
      </w:r>
      <w:r>
        <w:t xml:space="preserve">f </w:t>
      </w:r>
      <w:proofErr w:type="spellStart"/>
      <w:r w:rsidR="00D22C59">
        <w:t>Hh</w:t>
      </w:r>
      <w:proofErr w:type="spellEnd"/>
      <w:r>
        <w:t xml:space="preserve"> pathway inhibitors. </w:t>
      </w:r>
      <w:r w:rsidR="006C195E">
        <w:t>Pregnancy C</w:t>
      </w:r>
      <w:r w:rsidR="001E5D9F" w:rsidRPr="005C75AC">
        <w:t>ategory D</w:t>
      </w:r>
      <w:r w:rsidR="006C195E">
        <w:rPr>
          <w:rStyle w:val="FootnoteReference"/>
        </w:rPr>
        <w:footnoteReference w:id="25"/>
      </w:r>
      <w:r w:rsidR="001E5D9F" w:rsidRPr="005C75AC">
        <w:t xml:space="preserve"> was considered appropriate, along with a clear warning about </w:t>
      </w:r>
      <w:proofErr w:type="spellStart"/>
      <w:r w:rsidR="001E5D9F" w:rsidRPr="005C75AC">
        <w:t>teratogenicity</w:t>
      </w:r>
      <w:proofErr w:type="spellEnd"/>
      <w:r w:rsidR="001E5D9F" w:rsidRPr="005C75AC">
        <w:t xml:space="preserve"> in the P</w:t>
      </w:r>
      <w:r>
        <w:t xml:space="preserve">I. </w:t>
      </w:r>
      <w:r w:rsidR="001E5D9F" w:rsidRPr="005C75AC">
        <w:t>The RMP Evaluator notes that ACSOM has advised consideration of Category X</w:t>
      </w:r>
      <w:r w:rsidR="006C195E">
        <w:rPr>
          <w:rStyle w:val="FootnoteReference"/>
        </w:rPr>
        <w:footnoteReference w:id="26"/>
      </w:r>
      <w:r w:rsidR="001E5D9F" w:rsidRPr="005C75AC">
        <w:t xml:space="preserve"> and imposition of a contraindication for use in pregnancy</w:t>
      </w:r>
      <w:r>
        <w:t xml:space="preserve">, or at least a boxed warning. </w:t>
      </w:r>
      <w:r w:rsidR="001E5D9F" w:rsidRPr="005C75AC">
        <w:t xml:space="preserve">The </w:t>
      </w:r>
      <w:r w:rsidR="00600768">
        <w:t>ACSOM discussions state</w:t>
      </w:r>
      <w:r w:rsidR="001E5D9F" w:rsidRPr="005C75AC">
        <w:t xml:space="preserve"> in part:</w:t>
      </w:r>
      <w:r w:rsidR="006C195E">
        <w:t xml:space="preserve"> </w:t>
      </w:r>
      <w:r>
        <w:t>“</w:t>
      </w:r>
      <w:r w:rsidR="001E5D9F" w:rsidRPr="005C75AC">
        <w:t xml:space="preserve">At the doses used there are clearly demonstrated life limiting effects and </w:t>
      </w:r>
      <w:proofErr w:type="spellStart"/>
      <w:r w:rsidR="001E5D9F" w:rsidRPr="005C75AC">
        <w:t>embryofetal</w:t>
      </w:r>
      <w:proofErr w:type="spellEnd"/>
      <w:r w:rsidR="001E5D9F" w:rsidRPr="005C75AC">
        <w:t xml:space="preserve"> deaths and therefore it was the committee’s view that vismodegib should not be used during pregnancy or when there is a possibility of pregnancy.</w:t>
      </w:r>
      <w:r>
        <w:t>”</w:t>
      </w:r>
    </w:p>
    <w:p w:rsidR="001E5D9F" w:rsidRPr="001E5D9F" w:rsidRDefault="001E5D9F" w:rsidP="00476166">
      <w:r w:rsidRPr="001E5D9F">
        <w:t>On the basis of “very limited assessment o</w:t>
      </w:r>
      <w:r w:rsidR="005C75AC">
        <w:t>f reproductive toxicity” in non</w:t>
      </w:r>
      <w:r w:rsidRPr="001E5D9F">
        <w:t>clinical studies (</w:t>
      </w:r>
      <w:r w:rsidRPr="006C195E">
        <w:rPr>
          <w:i/>
        </w:rPr>
        <w:t>albeit</w:t>
      </w:r>
      <w:r w:rsidRPr="001E5D9F">
        <w:t xml:space="preserve"> this being consistent with guidelines for drugs used to treat patients with advanced cancer), a</w:t>
      </w:r>
      <w:r w:rsidR="005C75AC">
        <w:t xml:space="preserve">nd also on the basis on the nonclinical data provided, the Delegate </w:t>
      </w:r>
      <w:r w:rsidRPr="001E5D9F">
        <w:t>propose</w:t>
      </w:r>
      <w:r w:rsidR="005C75AC">
        <w:t>d</w:t>
      </w:r>
      <w:r w:rsidRPr="001E5D9F">
        <w:t xml:space="preserve"> a</w:t>
      </w:r>
      <w:r w:rsidR="005C75AC">
        <w:t xml:space="preserve">ssignment of Category X. </w:t>
      </w:r>
      <w:r w:rsidRPr="001E5D9F">
        <w:t xml:space="preserve">Of note, the sponsor has conducted an interaction study with oral contraceptives; systemic exposure to </w:t>
      </w:r>
      <w:proofErr w:type="spellStart"/>
      <w:r w:rsidRPr="001E5D9F">
        <w:t>ethinyloestradiol</w:t>
      </w:r>
      <w:proofErr w:type="spellEnd"/>
      <w:r w:rsidRPr="001E5D9F">
        <w:t xml:space="preserve"> and </w:t>
      </w:r>
      <w:proofErr w:type="spellStart"/>
      <w:r w:rsidRPr="001E5D9F">
        <w:t>norethisterone</w:t>
      </w:r>
      <w:proofErr w:type="spellEnd"/>
      <w:r w:rsidRPr="001E5D9F">
        <w:t xml:space="preserve"> is apparently not altered with concomitant vismodegib use.</w:t>
      </w:r>
    </w:p>
    <w:p w:rsidR="001E5D9F" w:rsidRPr="001E5D9F" w:rsidRDefault="005C75AC" w:rsidP="00476166">
      <w:r>
        <w:t xml:space="preserve">The Delegate </w:t>
      </w:r>
      <w:r w:rsidR="006C195E">
        <w:t>proposed</w:t>
      </w:r>
      <w:r w:rsidR="001E5D9F" w:rsidRPr="001E5D9F">
        <w:t xml:space="preserve"> Pregnancy Category X and contraindication in pregnancy</w:t>
      </w:r>
      <w:r>
        <w:t xml:space="preserve"> and therefore saw no </w:t>
      </w:r>
      <w:r w:rsidR="001E5D9F" w:rsidRPr="001E5D9F">
        <w:t>need for a box</w:t>
      </w:r>
      <w:r>
        <w:t>ed</w:t>
      </w:r>
      <w:r w:rsidR="001E5D9F" w:rsidRPr="001E5D9F">
        <w:t xml:space="preserve"> warning</w:t>
      </w:r>
      <w:r>
        <w:t>;</w:t>
      </w:r>
      <w:r w:rsidR="001E5D9F" w:rsidRPr="001E5D9F">
        <w:t xml:space="preserve"> however </w:t>
      </w:r>
      <w:r>
        <w:t xml:space="preserve">the </w:t>
      </w:r>
      <w:r w:rsidR="001E5D9F" w:rsidRPr="001E5D9F">
        <w:t xml:space="preserve">ACPM’s advice </w:t>
      </w:r>
      <w:r>
        <w:t xml:space="preserve">would be </w:t>
      </w:r>
      <w:r w:rsidR="001E5D9F" w:rsidRPr="001E5D9F">
        <w:t xml:space="preserve">sought on </w:t>
      </w:r>
      <w:r>
        <w:t xml:space="preserve">this </w:t>
      </w:r>
      <w:r w:rsidR="001E5D9F" w:rsidRPr="001E5D9F">
        <w:t>point.</w:t>
      </w:r>
    </w:p>
    <w:p w:rsidR="001E5D9F" w:rsidRPr="001E5D9F" w:rsidRDefault="006C195E" w:rsidP="00476166">
      <w:pPr>
        <w:pStyle w:val="Heading5"/>
      </w:pPr>
      <w:r>
        <w:t>A</w:t>
      </w:r>
      <w:r w:rsidRPr="006C195E">
        <w:t>lpha-1-acid glycoprotein</w:t>
      </w:r>
    </w:p>
    <w:p w:rsidR="001E5D9F" w:rsidRPr="001E5D9F" w:rsidRDefault="001E5D9F" w:rsidP="00476166">
      <w:r w:rsidRPr="001E5D9F">
        <w:t>AAG is an acute-phase protein; levels vary with di</w:t>
      </w:r>
      <w:r w:rsidR="00D53747">
        <w:t xml:space="preserve">sease and physiological state. </w:t>
      </w:r>
      <w:r w:rsidRPr="001E5D9F">
        <w:t>Variation in AAG level may result in variation in total plasma vismodegib levels but unbound drug levels are generally</w:t>
      </w:r>
      <w:r w:rsidR="00D53747">
        <w:t xml:space="preserve"> buffered from such variation. </w:t>
      </w:r>
      <w:r w:rsidRPr="001E5D9F">
        <w:t>There are</w:t>
      </w:r>
      <w:r w:rsidR="00D53747">
        <w:t xml:space="preserve"> no data to support this view. </w:t>
      </w:r>
      <w:r w:rsidRPr="001E5D9F">
        <w:t>Impact of varying AAG levels in particular disease states was not well-characterised.</w:t>
      </w:r>
    </w:p>
    <w:p w:rsidR="001E5D9F" w:rsidRPr="001E5D9F" w:rsidRDefault="001E5D9F" w:rsidP="00476166">
      <w:pPr>
        <w:pStyle w:val="Heading5"/>
      </w:pPr>
      <w:r w:rsidRPr="001E5D9F">
        <w:t>Indication</w:t>
      </w:r>
    </w:p>
    <w:p w:rsidR="006E09FD" w:rsidRDefault="001E5D9F" w:rsidP="00476166">
      <w:pPr>
        <w:rPr>
          <w:i/>
        </w:rPr>
      </w:pPr>
      <w:r w:rsidRPr="001E5D9F">
        <w:t xml:space="preserve">The </w:t>
      </w:r>
      <w:r w:rsidR="006D76C6">
        <w:t xml:space="preserve">proposed </w:t>
      </w:r>
      <w:r w:rsidRPr="001E5D9F">
        <w:t>indication does not refe</w:t>
      </w:r>
      <w:r w:rsidR="006D76C6">
        <w:t xml:space="preserve">r to radiation therapy status. </w:t>
      </w:r>
      <w:r w:rsidRPr="001E5D9F">
        <w:t>In the US, in patients with locally advanced disease, in the subset of patients who are not candidates for surgery, there is also a restriction to those patients who are also</w:t>
      </w:r>
      <w:r w:rsidR="006D76C6">
        <w:t xml:space="preserve"> not candidates for radiation. </w:t>
      </w:r>
      <w:r w:rsidR="006E09FD" w:rsidRPr="006E09FD">
        <w:t xml:space="preserve">The approved indication in the US is </w:t>
      </w:r>
      <w:r w:rsidR="006E09FD" w:rsidRPr="006E09FD">
        <w:rPr>
          <w:i/>
        </w:rPr>
        <w:t>“Erivedge (vismodegib) capsule is a hedgehog pathway inhibitor indicated for the treatment of adults with metastatic basal cell carcinoma, or with locally advanced basal cell carcinoma that has recurred following surgery or who are not candidates for surgery, and who are not candidates for radiation.”</w:t>
      </w:r>
    </w:p>
    <w:p w:rsidR="001E5D9F" w:rsidRPr="006E09FD" w:rsidRDefault="001E5D9F" w:rsidP="00476166">
      <w:r w:rsidRPr="001E5D9F">
        <w:t>In Australia, according to local guidelines</w:t>
      </w:r>
      <w:r w:rsidRPr="001E5D9F">
        <w:rPr>
          <w:vertAlign w:val="superscript"/>
        </w:rPr>
        <w:footnoteReference w:id="27"/>
      </w:r>
      <w:r w:rsidRPr="001E5D9F">
        <w:t>, radiotherapy has a role:</w:t>
      </w:r>
      <w:r w:rsidR="006E09FD">
        <w:t xml:space="preserve"> </w:t>
      </w:r>
      <w:r w:rsidRPr="006E09FD">
        <w:t>“Radiotherapy should be reserved for the small minority of primary BCCs ... that present peculiar problems for conventional surgery and for cases of persistent, recurrent or advanced BCCs ... where surgery can be complemented by radiotherapy to improve control rates.”</w:t>
      </w:r>
    </w:p>
    <w:p w:rsidR="001E5D9F" w:rsidRPr="006E09FD" w:rsidRDefault="001E5D9F" w:rsidP="00476166">
      <w:r w:rsidRPr="006E09FD">
        <w:t>In the pivotal study, for patients with locally advanced disease, radiotherapy should have been previously given unless this was contraindicated or otherwise inappropriate.</w:t>
      </w:r>
      <w:r w:rsidR="006D76C6" w:rsidRPr="006E09FD">
        <w:t xml:space="preserve"> </w:t>
      </w:r>
      <w:r w:rsidRPr="006E09FD">
        <w:t>Therefore, based on pivotal study conduct, it may be preferable to further limit the indication as per the US situation.</w:t>
      </w:r>
      <w:r w:rsidR="006E09FD" w:rsidRPr="006E09FD">
        <w:t xml:space="preserve"> </w:t>
      </w:r>
    </w:p>
    <w:p w:rsidR="001E5D9F" w:rsidRPr="001E5D9F" w:rsidRDefault="001E5D9F" w:rsidP="00476166">
      <w:pPr>
        <w:pStyle w:val="Heading4"/>
      </w:pPr>
      <w:r w:rsidRPr="001E5D9F">
        <w:t>Overall risk-benefit</w:t>
      </w:r>
    </w:p>
    <w:p w:rsidR="001E5D9F" w:rsidRPr="001E5D9F" w:rsidRDefault="001E5D9F" w:rsidP="00476166">
      <w:r w:rsidRPr="001E5D9F">
        <w:t xml:space="preserve">Risk-benefit </w:t>
      </w:r>
      <w:r w:rsidRPr="001E5D9F">
        <w:rPr>
          <w:i/>
        </w:rPr>
        <w:t>in the context of advanced BCC</w:t>
      </w:r>
      <w:r w:rsidRPr="001E5D9F">
        <w:t xml:space="preserve"> appears favourable for vismodegib, given its promising efficacy and AE profile (although some AEs appear debilitating and may lead to treatment discontinuation; others, such as dehydration, could easily produce complications of their own).</w:t>
      </w:r>
    </w:p>
    <w:p w:rsidR="008E7846" w:rsidRDefault="001E5D9F" w:rsidP="00476166">
      <w:r w:rsidRPr="001E5D9F">
        <w:t xml:space="preserve">Risk-benefit </w:t>
      </w:r>
      <w:r w:rsidRPr="001E5D9F">
        <w:rPr>
          <w:i/>
        </w:rPr>
        <w:t>relative to current treatment options</w:t>
      </w:r>
      <w:r w:rsidRPr="001E5D9F">
        <w:t xml:space="preserve"> </w:t>
      </w:r>
      <w:r w:rsidRPr="001E5D9F">
        <w:rPr>
          <w:i/>
        </w:rPr>
        <w:t>for advanced BCC</w:t>
      </w:r>
      <w:r w:rsidRPr="001E5D9F">
        <w:t xml:space="preserve"> is not well</w:t>
      </w:r>
      <w:r w:rsidR="006D76C6">
        <w:t xml:space="preserve"> characterised for vismodegib. </w:t>
      </w:r>
      <w:r w:rsidRPr="001E5D9F">
        <w:t>This may be acceptable where there are no “best available, evidence-based” regimens or where there are no regimens used in practice with a well-documented and benign safety profile.</w:t>
      </w:r>
      <w:r w:rsidR="00F828C8">
        <w:t xml:space="preserve"> </w:t>
      </w:r>
    </w:p>
    <w:p w:rsidR="00ED5325" w:rsidRPr="00ED5325" w:rsidRDefault="00DC3F4A" w:rsidP="00DC3F4A">
      <w:pPr>
        <w:pStyle w:val="Heading4"/>
      </w:pPr>
      <w:r>
        <w:t>Proposed a</w:t>
      </w:r>
      <w:r w:rsidR="00ED5325" w:rsidRPr="00ED5325">
        <w:t>ction</w:t>
      </w:r>
    </w:p>
    <w:p w:rsidR="001E5D9F" w:rsidRDefault="001E5D9F" w:rsidP="00DC3F4A">
      <w:r w:rsidRPr="001E5D9F">
        <w:t>Vismodegib appears to have a positive risk-benefit balance in advanced BCC patients, but it has not be</w:t>
      </w:r>
      <w:r w:rsidR="006C195E">
        <w:t>en compared with other regimens</w:t>
      </w:r>
      <w:r w:rsidRPr="001E5D9F">
        <w:t xml:space="preserve"> which may have an </w:t>
      </w:r>
      <w:r w:rsidR="006D76C6">
        <w:t xml:space="preserve">even greater clinical benefit. </w:t>
      </w:r>
      <w:r w:rsidRPr="001E5D9F">
        <w:t>Approval hinges on whether the single-arm pivotal study design can be accepted.</w:t>
      </w:r>
      <w:r w:rsidR="006D76C6">
        <w:t xml:space="preserve"> Implementation of the RMP as described above would be imposed as a condition of registration.</w:t>
      </w:r>
    </w:p>
    <w:p w:rsidR="00ED5325" w:rsidRPr="00ED5325" w:rsidRDefault="00ED5325" w:rsidP="00DC3F4A">
      <w:pPr>
        <w:pStyle w:val="Heading4"/>
      </w:pPr>
      <w:r w:rsidRPr="00ED5325">
        <w:t>Request for ACPM advice</w:t>
      </w:r>
    </w:p>
    <w:p w:rsidR="00ED5325" w:rsidRPr="00ED5325" w:rsidRDefault="00ED5325" w:rsidP="00DC3F4A">
      <w:r w:rsidRPr="00ED5325">
        <w:t xml:space="preserve">The Delegate proposed to seek general advice on this application from the ACPM, and </w:t>
      </w:r>
      <w:r w:rsidR="006C195E">
        <w:t xml:space="preserve">also </w:t>
      </w:r>
      <w:r w:rsidRPr="00ED5325">
        <w:t>requested advice and comment specifically with regards to the following questions:</w:t>
      </w:r>
    </w:p>
    <w:p w:rsidR="001E5D9F" w:rsidRPr="006D76C6" w:rsidRDefault="001E5D9F" w:rsidP="00DC3F4A">
      <w:pPr>
        <w:pStyle w:val="Numberbullet0"/>
        <w:numPr>
          <w:ilvl w:val="0"/>
          <w:numId w:val="47"/>
        </w:numPr>
      </w:pPr>
      <w:r w:rsidRPr="006D76C6">
        <w:t xml:space="preserve">Within the patient population being discussed, can </w:t>
      </w:r>
      <w:proofErr w:type="spellStart"/>
      <w:r w:rsidRPr="006D76C6">
        <w:t>cisplatin</w:t>
      </w:r>
      <w:proofErr w:type="spellEnd"/>
      <w:r w:rsidRPr="006D76C6">
        <w:t>-based chemotherapy be regarded as:</w:t>
      </w:r>
    </w:p>
    <w:p w:rsidR="001E5D9F" w:rsidRPr="00DC3F4A" w:rsidRDefault="001E5D9F" w:rsidP="00DC3F4A">
      <w:pPr>
        <w:pStyle w:val="ListBullet2"/>
      </w:pPr>
      <w:r w:rsidRPr="00DC3F4A">
        <w:t>widely used?</w:t>
      </w:r>
    </w:p>
    <w:p w:rsidR="001E5D9F" w:rsidRPr="00DC3F4A" w:rsidRDefault="001E5D9F" w:rsidP="00DC3F4A">
      <w:pPr>
        <w:pStyle w:val="ListBullet2"/>
      </w:pPr>
      <w:r w:rsidRPr="00DC3F4A">
        <w:t>having a f</w:t>
      </w:r>
      <w:r w:rsidR="006D76C6" w:rsidRPr="00DC3F4A">
        <w:t xml:space="preserve">avourable benefit-risk </w:t>
      </w:r>
      <w:proofErr w:type="spellStart"/>
      <w:r w:rsidR="006D76C6" w:rsidRPr="00DC3F4A">
        <w:t>balance,</w:t>
      </w:r>
      <w:r w:rsidRPr="00DC3F4A">
        <w:t>that</w:t>
      </w:r>
      <w:proofErr w:type="spellEnd"/>
      <w:r w:rsidRPr="00DC3F4A">
        <w:t xml:space="preserve"> is evidence-based (with particular reference to randomised studies)?</w:t>
      </w:r>
    </w:p>
    <w:p w:rsidR="001E5D9F" w:rsidRPr="00DC3F4A" w:rsidRDefault="001E5D9F" w:rsidP="00DC3F4A">
      <w:pPr>
        <w:pStyle w:val="ListBullet2"/>
      </w:pPr>
      <w:r w:rsidRPr="00DC3F4A">
        <w:t>having a well-documented and benign safety profile?</w:t>
      </w:r>
    </w:p>
    <w:p w:rsidR="001E5D9F" w:rsidRPr="00DC3F4A" w:rsidRDefault="001E5D9F" w:rsidP="00DC3F4A">
      <w:pPr>
        <w:pStyle w:val="ListBullet2"/>
      </w:pPr>
      <w:r w:rsidRPr="00DC3F4A">
        <w:t>(Advice on the above points will help decide whether the sponsor has addressed relevant TGA-adopted EU guidelines satisfactorily.)</w:t>
      </w:r>
    </w:p>
    <w:p w:rsidR="001E5D9F" w:rsidRPr="00DC3F4A" w:rsidRDefault="001E5D9F" w:rsidP="00DC3F4A">
      <w:pPr>
        <w:pStyle w:val="Numberbullet0"/>
      </w:pPr>
      <w:r w:rsidRPr="00DC3F4A">
        <w:t>Is it reasonable in the context of this very rare condition (advanced or metastatic BCC) to have a single-arm pivotal study?</w:t>
      </w:r>
    </w:p>
    <w:p w:rsidR="001E5D9F" w:rsidRPr="00DC3F4A" w:rsidRDefault="001E5D9F" w:rsidP="00DC3F4A">
      <w:pPr>
        <w:pStyle w:val="Numberbullet0"/>
      </w:pPr>
      <w:r w:rsidRPr="00DC3F4A">
        <w:t xml:space="preserve">Is possible better efficacy in </w:t>
      </w:r>
      <w:proofErr w:type="spellStart"/>
      <w:r w:rsidRPr="00DC3F4A">
        <w:t>Gorlin’s</w:t>
      </w:r>
      <w:proofErr w:type="spellEnd"/>
      <w:r w:rsidRPr="00DC3F4A">
        <w:t xml:space="preserve"> Syndrome (within the pivotal study) a particular concern (and if so, how should this be managed)?</w:t>
      </w:r>
    </w:p>
    <w:p w:rsidR="001E5D9F" w:rsidRPr="00DC3F4A" w:rsidRDefault="001E5D9F" w:rsidP="00DC3F4A">
      <w:pPr>
        <w:pStyle w:val="Numberbullet0"/>
      </w:pPr>
      <w:r w:rsidRPr="00DC3F4A">
        <w:t>Should the indication be further restricted to exclude patients who have not yet trialled radiotherapy for locally advanced disease, as per the US indication?</w:t>
      </w:r>
    </w:p>
    <w:p w:rsidR="001E5D9F" w:rsidRPr="00DC3F4A" w:rsidRDefault="001E5D9F" w:rsidP="00DC3F4A">
      <w:pPr>
        <w:pStyle w:val="Numberbullet0"/>
      </w:pPr>
      <w:r w:rsidRPr="00DC3F4A">
        <w:t xml:space="preserve">Should </w:t>
      </w:r>
      <w:proofErr w:type="spellStart"/>
      <w:r w:rsidRPr="00DC3F4A">
        <w:t>vismodegib</w:t>
      </w:r>
      <w:proofErr w:type="spellEnd"/>
      <w:r w:rsidRPr="00DC3F4A">
        <w:t xml:space="preserve"> be assigned</w:t>
      </w:r>
      <w:r w:rsidR="006D76C6" w:rsidRPr="00DC3F4A">
        <w:t xml:space="preserve"> to Pregnancy Category D or X? </w:t>
      </w:r>
      <w:r w:rsidRPr="00DC3F4A">
        <w:t xml:space="preserve">Should there be a black-box warning about </w:t>
      </w:r>
      <w:proofErr w:type="spellStart"/>
      <w:r w:rsidRPr="00DC3F4A">
        <w:t>teratogenicity</w:t>
      </w:r>
      <w:proofErr w:type="spellEnd"/>
      <w:r w:rsidRPr="00DC3F4A">
        <w:t>?</w:t>
      </w:r>
    </w:p>
    <w:p w:rsidR="001E5D9F" w:rsidRPr="00DC3F4A" w:rsidRDefault="001E5D9F" w:rsidP="00DC3F4A">
      <w:pPr>
        <w:pStyle w:val="Numberbullet0"/>
      </w:pPr>
      <w:r w:rsidRPr="00DC3F4A">
        <w:t>Please advise about any other issues that the Committee considers important in characterising the efficacy and safety of this product.</w:t>
      </w:r>
    </w:p>
    <w:p w:rsidR="00ED5325" w:rsidRDefault="001E5D9F" w:rsidP="00DC3F4A">
      <w:r w:rsidRPr="006D76C6">
        <w:t>If the application is approved, the P</w:t>
      </w:r>
      <w:r w:rsidR="006C195E">
        <w:t xml:space="preserve">I </w:t>
      </w:r>
      <w:r w:rsidRPr="006D76C6">
        <w:t xml:space="preserve">would need to be changed </w:t>
      </w:r>
      <w:r w:rsidR="006C195E">
        <w:t>as described</w:t>
      </w:r>
      <w:r w:rsidRPr="006D76C6">
        <w:t>.</w:t>
      </w:r>
      <w:r w:rsidR="006C195E">
        <w:rPr>
          <w:rStyle w:val="FootnoteReference"/>
        </w:rPr>
        <w:footnoteReference w:id="28"/>
      </w:r>
    </w:p>
    <w:p w:rsidR="006C195E" w:rsidRDefault="006C195E" w:rsidP="004B76A2">
      <w:pPr>
        <w:pStyle w:val="Heading4"/>
      </w:pPr>
      <w:r>
        <w:t>Appendix to the Delegates’ Overview. E</w:t>
      </w:r>
      <w:r w:rsidRPr="006C195E">
        <w:t>xpanded discussion of single-arm study design</w:t>
      </w:r>
    </w:p>
    <w:p w:rsidR="00CF20E0" w:rsidRPr="00CF20E0" w:rsidRDefault="00CF20E0" w:rsidP="004B76A2">
      <w:r>
        <w:t>The Delegate drew the ACPM’s attention to the following points regarding the use of a single arm study as the pivotal study.</w:t>
      </w:r>
    </w:p>
    <w:p w:rsidR="006C195E" w:rsidRPr="006C195E" w:rsidRDefault="006C195E" w:rsidP="004B76A2">
      <w:pPr>
        <w:numPr>
          <w:ilvl w:val="0"/>
          <w:numId w:val="46"/>
        </w:numPr>
        <w:ind w:left="426" w:hanging="426"/>
      </w:pPr>
      <w:r w:rsidRPr="006C195E">
        <w:rPr>
          <w:b/>
        </w:rPr>
        <w:t>TGA-adopted EU Guidelines.</w:t>
      </w:r>
      <w:r w:rsidR="00CF20E0">
        <w:t xml:space="preserve"> </w:t>
      </w:r>
      <w:r w:rsidRPr="006C195E">
        <w:t xml:space="preserve">The </w:t>
      </w:r>
      <w:r w:rsidR="00CF20E0" w:rsidRPr="00CF20E0">
        <w:rPr>
          <w:i/>
        </w:rPr>
        <w:t>Guideline on the Evaluation of Anticancer Medicinal Products in Man</w:t>
      </w:r>
      <w:r w:rsidR="00CF20E0" w:rsidRPr="00CF20E0">
        <w:t xml:space="preserve"> (EMEA/EWP/205/95 Rev 3 </w:t>
      </w:r>
      <w:proofErr w:type="spellStart"/>
      <w:r w:rsidR="00CF20E0" w:rsidRPr="00CF20E0">
        <w:t>Corr</w:t>
      </w:r>
      <w:proofErr w:type="spellEnd"/>
      <w:r w:rsidR="00CF20E0" w:rsidRPr="00CF20E0">
        <w:t xml:space="preserve">) </w:t>
      </w:r>
      <w:r w:rsidR="00CF20E0">
        <w:t>note that Phase III</w:t>
      </w:r>
      <w:r w:rsidRPr="006C195E">
        <w:t xml:space="preserve"> trials should establish a favourable benefit-risk relationship (page 22/23) and that these trials should be randomised and referenc</w:t>
      </w:r>
      <w:r w:rsidR="00CF20E0">
        <w:t xml:space="preserve">e-controlled (pages 15-16/23). </w:t>
      </w:r>
      <w:r w:rsidRPr="006C195E">
        <w:t>The reference regimen is usually defined by disease, sta</w:t>
      </w:r>
      <w:r w:rsidR="00CF20E0">
        <w:t xml:space="preserve">ge and prior lines of therapy. </w:t>
      </w:r>
      <w:r w:rsidRPr="006C195E">
        <w:rPr>
          <w:i/>
        </w:rPr>
        <w:t>Section III.1.4 (pages 17-18) sets out requirements with regard to reference therapy.</w:t>
      </w:r>
      <w:r w:rsidR="00CF20E0">
        <w:t xml:space="preserve"> </w:t>
      </w:r>
      <w:r w:rsidRPr="006C195E">
        <w:t>Caveats are noted for studies in small populations / very r</w:t>
      </w:r>
      <w:r w:rsidR="00CF20E0">
        <w:t xml:space="preserve">are tumour types (page 21/23). </w:t>
      </w:r>
      <w:r w:rsidRPr="006C195E">
        <w:t>The very restricted scope of historical controls is summarised on page 21/23.</w:t>
      </w:r>
    </w:p>
    <w:p w:rsidR="006C195E" w:rsidRPr="006C195E" w:rsidRDefault="006C195E" w:rsidP="00A6501E">
      <w:pPr>
        <w:numPr>
          <w:ilvl w:val="0"/>
          <w:numId w:val="46"/>
        </w:numPr>
        <w:ind w:left="426" w:hanging="426"/>
      </w:pPr>
      <w:r w:rsidRPr="006C195E">
        <w:rPr>
          <w:b/>
        </w:rPr>
        <w:t>Sponsor’s argument.</w:t>
      </w:r>
      <w:r w:rsidR="00CF20E0">
        <w:t xml:space="preserve"> </w:t>
      </w:r>
      <w:r w:rsidRPr="006C195E">
        <w:t>The single-arm design for the pivotal study was justified with two arguments: that a standard of care comparator for advanced BCC was not available; and that a placebo arm was unfeasible.</w:t>
      </w:r>
      <w:r w:rsidR="00CF20E0">
        <w:t xml:space="preserve"> </w:t>
      </w:r>
      <w:r w:rsidR="008301BD">
        <w:t xml:space="preserve">[The Delegate </w:t>
      </w:r>
      <w:r w:rsidRPr="006C195E">
        <w:t>agreed that a placebo arm is not appropriate.</w:t>
      </w:r>
      <w:r w:rsidR="008301BD">
        <w:t>]</w:t>
      </w:r>
    </w:p>
    <w:p w:rsidR="00CF20E0" w:rsidRDefault="00CF20E0" w:rsidP="00A6501E">
      <w:pPr>
        <w:ind w:left="426"/>
      </w:pPr>
      <w:r>
        <w:t xml:space="preserve">In the sponsor’s clinical overview, it was noted that </w:t>
      </w:r>
      <w:r w:rsidR="006C195E" w:rsidRPr="006C195E">
        <w:t>feedback from liaison with EU regulatory authorities was that:</w:t>
      </w:r>
      <w:r>
        <w:t xml:space="preserve"> </w:t>
      </w:r>
    </w:p>
    <w:p w:rsidR="006C195E" w:rsidRPr="006C195E" w:rsidRDefault="00CF20E0" w:rsidP="00A6501E">
      <w:pPr>
        <w:ind w:left="720"/>
      </w:pPr>
      <w:r>
        <w:t>“</w:t>
      </w:r>
      <w:r w:rsidR="006C195E" w:rsidRPr="006C195E">
        <w:t>It was acknowledged that there is no suitable treatment in the advanced BCC disease setting to serve as an adequate comparator in a clinical trial; therefore, the single-arm design of the proposed pivotal Phase II trial may be considered acceptable, but would need to be justified.</w:t>
      </w:r>
      <w:r>
        <w:t>”</w:t>
      </w:r>
    </w:p>
    <w:p w:rsidR="006C195E" w:rsidRPr="006C195E" w:rsidRDefault="006C195E" w:rsidP="00A6501E">
      <w:pPr>
        <w:ind w:left="720"/>
      </w:pPr>
      <w:r w:rsidRPr="006C195E">
        <w:t>The sponsor nominated particular response rates indicative of clinical benefit:</w:t>
      </w:r>
    </w:p>
    <w:p w:rsidR="006C195E" w:rsidRPr="006C195E" w:rsidRDefault="006C195E" w:rsidP="00A6501E">
      <w:pPr>
        <w:ind w:left="360"/>
      </w:pPr>
      <w:r w:rsidRPr="006C195E">
        <w:t>Response rates significantly greater than 10% for metastatic disease and greater than 20% for locally advanced disease represent clinically meaningful benefits for patients with advanced BCC, as no therapeutic options exist for these patients and spontaneous responses have not been reported in this disease.</w:t>
      </w:r>
    </w:p>
    <w:p w:rsidR="006C195E" w:rsidRPr="006C195E" w:rsidRDefault="006C195E" w:rsidP="00A6501E">
      <w:pPr>
        <w:ind w:left="360"/>
      </w:pPr>
      <w:r w:rsidRPr="006C195E">
        <w:t>With regard to lack of a reasonable active compara</w:t>
      </w:r>
      <w:r w:rsidR="00CF20E0">
        <w:t>tor, the sponsor states in the c</w:t>
      </w:r>
      <w:r w:rsidRPr="006C195E">
        <w:t xml:space="preserve">linical </w:t>
      </w:r>
      <w:r w:rsidR="00CF20E0">
        <w:t>o</w:t>
      </w:r>
      <w:r w:rsidRPr="006C195E">
        <w:t>verview:</w:t>
      </w:r>
    </w:p>
    <w:p w:rsidR="006C195E" w:rsidRPr="006C195E" w:rsidRDefault="006C195E" w:rsidP="00A6501E">
      <w:pPr>
        <w:ind w:left="720"/>
      </w:pPr>
      <w:r w:rsidRPr="006C195E">
        <w:t>Based on a literature review of the last 30 years ... it was reported that less than a quarter of the patients had been treated with chemotherapy; platinum chemotherapy was most commonly used in these patients. Thus, there is no well-accepted treatment that could serve as a comparator.</w:t>
      </w:r>
    </w:p>
    <w:p w:rsidR="006C195E" w:rsidRPr="006C195E" w:rsidRDefault="006C195E" w:rsidP="00A6501E">
      <w:pPr>
        <w:ind w:left="720"/>
      </w:pPr>
      <w:r w:rsidRPr="006C195E">
        <w:t>And also:</w:t>
      </w:r>
    </w:p>
    <w:p w:rsidR="006C195E" w:rsidRPr="006C195E" w:rsidRDefault="006C195E" w:rsidP="00CF20E0">
      <w:pPr>
        <w:ind w:left="720"/>
      </w:pPr>
      <w:r w:rsidRPr="006C195E">
        <w:t>Alternative unproven platinum-based chemotherapy, for which there is case-report series data, represents far more risk to patients than vismodegib because of the substantial toxicity burden associated with those treatments and the lack of efficacy data for any of the options currently used today in this patient population in need of active treatment options.</w:t>
      </w:r>
    </w:p>
    <w:p w:rsidR="006C195E" w:rsidRPr="006C195E" w:rsidRDefault="006C195E" w:rsidP="00A6501E">
      <w:pPr>
        <w:ind w:left="360"/>
      </w:pPr>
      <w:r w:rsidRPr="006C195E">
        <w:t>The sponsor has noted difficulties in organising a randomised study, but the obstacles discussed pertain more to whether the study can be open-label or bl</w:t>
      </w:r>
      <w:r w:rsidR="00CF20E0">
        <w:t xml:space="preserve">inded. </w:t>
      </w:r>
      <w:r w:rsidRPr="006C195E">
        <w:t>Even an open-label, randomised, controlled study would offer major advantages over a single arm study, if the comparator was relevant.</w:t>
      </w:r>
    </w:p>
    <w:p w:rsidR="006C195E" w:rsidRPr="006C195E" w:rsidRDefault="006C195E" w:rsidP="00A6501E">
      <w:pPr>
        <w:ind w:left="360"/>
      </w:pPr>
      <w:r w:rsidRPr="006C195E">
        <w:t>The sponsor also claimed that the rarity of metastatic BCC would make a randomised comparative study unfeasible.</w:t>
      </w:r>
    </w:p>
    <w:p w:rsidR="006C195E" w:rsidRPr="006C195E" w:rsidRDefault="006C195E" w:rsidP="00A6501E">
      <w:pPr>
        <w:ind w:left="360"/>
      </w:pPr>
      <w:r w:rsidRPr="006C195E">
        <w:t>The sponsor emphasised that investigators were impressed by results in a</w:t>
      </w:r>
      <w:r w:rsidR="00CF20E0">
        <w:t xml:space="preserve">dvanced </w:t>
      </w:r>
      <w:r w:rsidRPr="006C195E">
        <w:t xml:space="preserve">BCC patients in the Phase </w:t>
      </w:r>
      <w:r w:rsidR="00CF20E0">
        <w:t>I</w:t>
      </w:r>
      <w:r w:rsidRPr="006C195E">
        <w:t xml:space="preserve"> </w:t>
      </w:r>
      <w:r w:rsidR="00CF20E0">
        <w:t>S</w:t>
      </w:r>
      <w:r w:rsidRPr="006C195E">
        <w:t>tudy SHH3925g.</w:t>
      </w:r>
    </w:p>
    <w:p w:rsidR="006C195E" w:rsidRPr="006C195E" w:rsidRDefault="006C195E" w:rsidP="00A6501E">
      <w:pPr>
        <w:numPr>
          <w:ilvl w:val="0"/>
          <w:numId w:val="46"/>
        </w:numPr>
        <w:ind w:left="426" w:hanging="426"/>
      </w:pPr>
      <w:r w:rsidRPr="006C195E">
        <w:rPr>
          <w:b/>
        </w:rPr>
        <w:t>Clinical evaluator.</w:t>
      </w:r>
      <w:r w:rsidR="00CF20E0">
        <w:t xml:space="preserve"> </w:t>
      </w:r>
      <w:r w:rsidRPr="006C195E">
        <w:t>The clinical evaluator states there is no meaningful alternative systemic treatment available for advanced BCC.</w:t>
      </w:r>
    </w:p>
    <w:p w:rsidR="006C195E" w:rsidRPr="006C195E" w:rsidRDefault="006C195E" w:rsidP="00A6501E">
      <w:pPr>
        <w:numPr>
          <w:ilvl w:val="0"/>
          <w:numId w:val="46"/>
        </w:numPr>
        <w:ind w:left="426" w:hanging="426"/>
      </w:pPr>
      <w:r w:rsidRPr="006C195E">
        <w:rPr>
          <w:b/>
        </w:rPr>
        <w:t>Clinical guidelines.</w:t>
      </w:r>
    </w:p>
    <w:p w:rsidR="006C195E" w:rsidRPr="006C195E" w:rsidRDefault="006C195E" w:rsidP="00A6501E">
      <w:proofErr w:type="spellStart"/>
      <w:r w:rsidRPr="006C195E">
        <w:rPr>
          <w:u w:val="single"/>
        </w:rPr>
        <w:t>EviQ</w:t>
      </w:r>
      <w:proofErr w:type="spellEnd"/>
      <w:r w:rsidR="003009C0">
        <w:rPr>
          <w:rStyle w:val="FootnoteReference"/>
          <w:u w:val="single"/>
        </w:rPr>
        <w:footnoteReference w:id="29"/>
      </w:r>
      <w:r w:rsidRPr="006C195E">
        <w:t xml:space="preserve"> (NSW Cancer Institute) does not cover non-melanoma skin cancer.</w:t>
      </w:r>
    </w:p>
    <w:p w:rsidR="006C195E" w:rsidRPr="003009C0" w:rsidRDefault="003009C0" w:rsidP="00A6501E">
      <w:r w:rsidRPr="003009C0">
        <w:t>The National Comprehensive Cancer Network (</w:t>
      </w:r>
      <w:r w:rsidR="006C195E" w:rsidRPr="003009C0">
        <w:t>NCCN</w:t>
      </w:r>
      <w:r w:rsidRPr="003009C0">
        <w:t>)</w:t>
      </w:r>
      <w:r w:rsidR="006C195E" w:rsidRPr="003009C0">
        <w:t xml:space="preserve"> Guidelines </w:t>
      </w:r>
      <w:r w:rsidRPr="003009C0">
        <w:t>(</w:t>
      </w:r>
      <w:r w:rsidR="006C195E" w:rsidRPr="003009C0">
        <w:t>USA) note that</w:t>
      </w:r>
      <w:r>
        <w:t>:</w:t>
      </w:r>
      <w:r w:rsidR="006C195E" w:rsidRPr="003009C0">
        <w:t xml:space="preserve"> in high-risk BCC with positive margins and residual disease after radiotherapy, or in the case of regional or distant metastases, “combination chemotherapy with </w:t>
      </w:r>
      <w:proofErr w:type="spellStart"/>
      <w:r w:rsidR="006C195E" w:rsidRPr="003009C0">
        <w:t>cisplatin</w:t>
      </w:r>
      <w:proofErr w:type="spellEnd"/>
      <w:r w:rsidR="006C195E" w:rsidRPr="003009C0">
        <w:t xml:space="preserve">- or </w:t>
      </w:r>
      <w:proofErr w:type="spellStart"/>
      <w:r w:rsidR="006C195E" w:rsidRPr="003009C0">
        <w:t>carboplatin</w:t>
      </w:r>
      <w:proofErr w:type="spellEnd"/>
      <w:r w:rsidR="006C195E" w:rsidRPr="003009C0">
        <w:t>-based doublets has produced responses”.</w:t>
      </w:r>
    </w:p>
    <w:p w:rsidR="006C195E" w:rsidRPr="006C195E" w:rsidRDefault="006C195E" w:rsidP="00A6501E">
      <w:r w:rsidRPr="006C195E">
        <w:t xml:space="preserve">The Cancer Council of Australia has produced </w:t>
      </w:r>
      <w:r w:rsidRPr="003009C0">
        <w:t>a local clinical guideline</w:t>
      </w:r>
      <w:r w:rsidRPr="003009C0">
        <w:rPr>
          <w:vertAlign w:val="superscript"/>
        </w:rPr>
        <w:footnoteReference w:id="30"/>
      </w:r>
      <w:r w:rsidRPr="003009C0">
        <w:t xml:space="preserve"> that does mention</w:t>
      </w:r>
      <w:r w:rsidRPr="006C195E">
        <w:t xml:space="preserve"> alternatives, as follows:</w:t>
      </w:r>
    </w:p>
    <w:p w:rsidR="006C195E" w:rsidRPr="003009C0" w:rsidRDefault="006C195E" w:rsidP="00A6501E">
      <w:pPr>
        <w:pStyle w:val="Heading4"/>
        <w:ind w:left="360"/>
      </w:pPr>
      <w:r w:rsidRPr="003009C0">
        <w:t>12.1 Basal cell carcinoma</w:t>
      </w:r>
    </w:p>
    <w:p w:rsidR="006C195E" w:rsidRPr="003009C0" w:rsidRDefault="006C195E" w:rsidP="00A6501E">
      <w:pPr>
        <w:pStyle w:val="Heading5"/>
        <w:ind w:left="360"/>
      </w:pPr>
      <w:r w:rsidRPr="003009C0">
        <w:t>12.1.1 Distant metastases</w:t>
      </w:r>
    </w:p>
    <w:p w:rsidR="006C195E" w:rsidRPr="006C195E" w:rsidRDefault="006C195E" w:rsidP="00A6501E">
      <w:pPr>
        <w:ind w:left="360"/>
      </w:pPr>
      <w:r w:rsidRPr="006C195E">
        <w:t>Metastatic disease from basal cell carcinoma (BCC) is a rare even</w:t>
      </w:r>
      <w:r w:rsidR="003009C0">
        <w:t xml:space="preserve">t ranging from 0.0028 to 0.1%. </w:t>
      </w:r>
      <w:r w:rsidRPr="006C195E">
        <w:t>Lung and</w:t>
      </w:r>
      <w:r w:rsidR="003009C0">
        <w:t xml:space="preserve"> bone are the commonest sites. </w:t>
      </w:r>
      <w:r w:rsidRPr="006C195E">
        <w:t xml:space="preserve">Reported experience, often only case reports or small series, indicates that </w:t>
      </w:r>
      <w:proofErr w:type="spellStart"/>
      <w:r w:rsidRPr="006C195E">
        <w:t>cisplatin</w:t>
      </w:r>
      <w:proofErr w:type="spellEnd"/>
      <w:r w:rsidRPr="006C195E">
        <w:t xml:space="preserve">-based regimens appear to be the most effective, most recently combining </w:t>
      </w:r>
      <w:proofErr w:type="spellStart"/>
      <w:r w:rsidRPr="006C195E">
        <w:t>cisplatin</w:t>
      </w:r>
      <w:proofErr w:type="spellEnd"/>
      <w:r w:rsidRPr="006C195E">
        <w:t xml:space="preserve"> o</w:t>
      </w:r>
      <w:r w:rsidR="003009C0">
        <w:t xml:space="preserve">r </w:t>
      </w:r>
      <w:proofErr w:type="spellStart"/>
      <w:r w:rsidR="003009C0">
        <w:t>carboplatin</w:t>
      </w:r>
      <w:proofErr w:type="spellEnd"/>
      <w:r w:rsidR="003009C0">
        <w:t xml:space="preserve"> with </w:t>
      </w:r>
      <w:proofErr w:type="spellStart"/>
      <w:r w:rsidR="003009C0">
        <w:t>paclitaxel</w:t>
      </w:r>
      <w:proofErr w:type="spellEnd"/>
      <w:r w:rsidR="003009C0">
        <w:t xml:space="preserve">. </w:t>
      </w:r>
      <w:r w:rsidRPr="006C195E">
        <w:t>Response rates of up to 83% have been reported with a median duration among responders of 24 months.</w:t>
      </w:r>
      <w:r w:rsidR="00F828C8">
        <w:t xml:space="preserve"> </w:t>
      </w:r>
      <w:r w:rsidRPr="006C195E">
        <w:t>Radiotherapy may be useful in palliation of distant metastases.</w:t>
      </w:r>
    </w:p>
    <w:p w:rsidR="006C195E" w:rsidRPr="003009C0" w:rsidRDefault="006C195E" w:rsidP="00A6501E">
      <w:pPr>
        <w:pStyle w:val="Heading5"/>
        <w:ind w:left="360"/>
      </w:pPr>
      <w:r w:rsidRPr="003009C0">
        <w:t>12.1.2 Chemotherapy</w:t>
      </w:r>
    </w:p>
    <w:p w:rsidR="006C195E" w:rsidRPr="006C195E" w:rsidRDefault="006C195E" w:rsidP="00A6501E">
      <w:pPr>
        <w:ind w:left="360"/>
      </w:pPr>
      <w:r w:rsidRPr="003009C0">
        <w:t xml:space="preserve">Systemic Treatment: </w:t>
      </w:r>
      <w:r w:rsidRPr="006C195E">
        <w:t xml:space="preserve">Systemic chemotherapy is </w:t>
      </w:r>
      <w:r w:rsidRPr="003009C0">
        <w:t xml:space="preserve">rarely </w:t>
      </w:r>
      <w:r w:rsidRPr="006C195E">
        <w:t>used in metastatic BCC or</w:t>
      </w:r>
      <w:r w:rsidR="003009C0">
        <w:t xml:space="preserve"> for locally advanced disease. </w:t>
      </w:r>
      <w:r w:rsidRPr="006C195E">
        <w:t>Most regimens inc</w:t>
      </w:r>
      <w:r w:rsidR="003009C0">
        <w:t xml:space="preserve">lude </w:t>
      </w:r>
      <w:proofErr w:type="spellStart"/>
      <w:r w:rsidR="003009C0">
        <w:t>cisplatin</w:t>
      </w:r>
      <w:proofErr w:type="spellEnd"/>
      <w:r w:rsidR="003009C0">
        <w:t xml:space="preserve"> or </w:t>
      </w:r>
      <w:proofErr w:type="spellStart"/>
      <w:r w:rsidR="003009C0">
        <w:t>carboplatin</w:t>
      </w:r>
      <w:proofErr w:type="spellEnd"/>
      <w:r w:rsidR="003009C0">
        <w:t xml:space="preserve">. </w:t>
      </w:r>
      <w:r w:rsidRPr="006C195E">
        <w:t>Complete response rates of up to 37% have been reported in small groups of patients and control of symptoms is achieved.</w:t>
      </w:r>
    </w:p>
    <w:p w:rsidR="006C195E" w:rsidRPr="003009C0" w:rsidRDefault="006C195E" w:rsidP="00A6501E">
      <w:pPr>
        <w:pStyle w:val="Heading4"/>
        <w:ind w:left="360"/>
      </w:pPr>
      <w:r w:rsidRPr="003009C0">
        <w:t>Key point</w:t>
      </w:r>
    </w:p>
    <w:p w:rsidR="006C195E" w:rsidRPr="006C195E" w:rsidRDefault="006C195E" w:rsidP="00A6501E">
      <w:pPr>
        <w:ind w:left="360"/>
      </w:pPr>
      <w:r w:rsidRPr="006C195E">
        <w:t>Chemotherapy achieves responses in metastatic basal cell carcinoma and can be used to control symptoms.</w:t>
      </w:r>
    </w:p>
    <w:p w:rsidR="006C195E" w:rsidRPr="006C195E" w:rsidRDefault="006C195E" w:rsidP="00A6501E">
      <w:pPr>
        <w:numPr>
          <w:ilvl w:val="0"/>
          <w:numId w:val="46"/>
        </w:numPr>
        <w:ind w:left="426" w:hanging="426"/>
        <w:rPr>
          <w:b/>
        </w:rPr>
      </w:pPr>
      <w:r w:rsidRPr="006C195E">
        <w:rPr>
          <w:b/>
        </w:rPr>
        <w:t>Literature</w:t>
      </w:r>
    </w:p>
    <w:p w:rsidR="006C195E" w:rsidRPr="006C195E" w:rsidRDefault="006C195E" w:rsidP="00A6501E">
      <w:r w:rsidRPr="006C195E">
        <w:t>The NCCN guidance refers to:</w:t>
      </w:r>
    </w:p>
    <w:p w:rsidR="006C195E" w:rsidRPr="006C195E" w:rsidRDefault="006C195E" w:rsidP="00380556">
      <w:pPr>
        <w:pStyle w:val="ListBullet"/>
      </w:pPr>
      <w:proofErr w:type="spellStart"/>
      <w:r w:rsidRPr="006C195E">
        <w:t>Carneiro</w:t>
      </w:r>
      <w:proofErr w:type="spellEnd"/>
      <w:r w:rsidRPr="006C195E">
        <w:t xml:space="preserve"> BA </w:t>
      </w:r>
      <w:r w:rsidRPr="00F4008D">
        <w:rPr>
          <w:i/>
        </w:rPr>
        <w:t>et al</w:t>
      </w:r>
      <w:r w:rsidR="003009C0">
        <w:t xml:space="preserve">. </w:t>
      </w:r>
      <w:r w:rsidRPr="006C195E">
        <w:t>Metastatic basal cell carcinoma: complete response to chemotherapy and ass</w:t>
      </w:r>
      <w:r w:rsidR="003009C0">
        <w:t xml:space="preserve">ociated pure red cell </w:t>
      </w:r>
      <w:proofErr w:type="spellStart"/>
      <w:r w:rsidR="003009C0">
        <w:t>aplasia</w:t>
      </w:r>
      <w:proofErr w:type="spellEnd"/>
      <w:r w:rsidR="003009C0">
        <w:t xml:space="preserve">. </w:t>
      </w:r>
      <w:r w:rsidRPr="003009C0">
        <w:rPr>
          <w:i/>
        </w:rPr>
        <w:t>Cancer Invest</w:t>
      </w:r>
      <w:r w:rsidR="003009C0">
        <w:t xml:space="preserve"> 2006;</w:t>
      </w:r>
      <w:r w:rsidRPr="006C195E">
        <w:t>24:396-400.</w:t>
      </w:r>
    </w:p>
    <w:p w:rsidR="006C195E" w:rsidRPr="006C195E" w:rsidRDefault="006C195E" w:rsidP="00380556">
      <w:pPr>
        <w:pStyle w:val="ListBullet"/>
        <w:numPr>
          <w:ilvl w:val="0"/>
          <w:numId w:val="0"/>
        </w:numPr>
        <w:ind w:left="360"/>
      </w:pPr>
      <w:r w:rsidRPr="003009C0">
        <w:t>These authors mention that of 12 patients identified upon review of literature who had metastatic BCC treated with platinum-containing regimens, 5/12 had a complete response</w:t>
      </w:r>
      <w:r w:rsidRPr="006C195E">
        <w:t xml:space="preserve"> lasting from 3-18 months, and 4 had a partial response. </w:t>
      </w:r>
      <w:proofErr w:type="spellStart"/>
      <w:r w:rsidRPr="006C195E">
        <w:t>Cisplatin</w:t>
      </w:r>
      <w:proofErr w:type="spellEnd"/>
      <w:r w:rsidRPr="006C195E">
        <w:t xml:space="preserve"> was used alone in 5 patients, but otherwise in combination with various agents.</w:t>
      </w:r>
    </w:p>
    <w:p w:rsidR="006C195E" w:rsidRPr="003009C0" w:rsidRDefault="006C195E" w:rsidP="00380556">
      <w:pPr>
        <w:pStyle w:val="ListBullet"/>
        <w:numPr>
          <w:ilvl w:val="0"/>
          <w:numId w:val="0"/>
        </w:numPr>
        <w:ind w:left="360"/>
      </w:pPr>
      <w:r w:rsidRPr="003009C0">
        <w:t>It is also stated that systemic chemotherapy has been effective for locally advanced BCC: “Among 16 cases of locally advanced BCC treated with chemotherapy, 75% had objective response a</w:t>
      </w:r>
      <w:r w:rsidR="003009C0">
        <w:t xml:space="preserve">nd 50% had complete response”. </w:t>
      </w:r>
      <w:r w:rsidRPr="003009C0">
        <w:t xml:space="preserve">Most of these patients were treated with </w:t>
      </w:r>
      <w:proofErr w:type="spellStart"/>
      <w:r w:rsidRPr="003009C0">
        <w:t>cisplatin</w:t>
      </w:r>
      <w:proofErr w:type="spellEnd"/>
      <w:r w:rsidRPr="003009C0">
        <w:t xml:space="preserve"> plus other anticancer agents.</w:t>
      </w:r>
    </w:p>
    <w:p w:rsidR="006C195E" w:rsidRPr="003009C0" w:rsidRDefault="006C195E" w:rsidP="00380556">
      <w:pPr>
        <w:pStyle w:val="ListBullet"/>
        <w:numPr>
          <w:ilvl w:val="0"/>
          <w:numId w:val="0"/>
        </w:numPr>
        <w:ind w:left="360"/>
      </w:pPr>
      <w:r w:rsidRPr="003009C0">
        <w:t>The authors conclude that “</w:t>
      </w:r>
      <w:proofErr w:type="spellStart"/>
      <w:r w:rsidRPr="003009C0">
        <w:t>cisplatin</w:t>
      </w:r>
      <w:proofErr w:type="spellEnd"/>
      <w:r w:rsidRPr="003009C0">
        <w:t xml:space="preserve"> clearly emerges as the most efficacious drug for either locally advanced or metastatic BCC and it should be part of any chemotherapy regimen”.</w:t>
      </w:r>
    </w:p>
    <w:p w:rsidR="006C195E" w:rsidRPr="006C195E" w:rsidRDefault="006C195E" w:rsidP="00380556">
      <w:pPr>
        <w:pStyle w:val="ListBullet"/>
      </w:pPr>
      <w:proofErr w:type="spellStart"/>
      <w:r w:rsidRPr="006C195E">
        <w:t>Jefford</w:t>
      </w:r>
      <w:proofErr w:type="spellEnd"/>
      <w:r w:rsidRPr="006C195E">
        <w:t xml:space="preserve"> M </w:t>
      </w:r>
      <w:r w:rsidRPr="003009C0">
        <w:rPr>
          <w:i/>
        </w:rPr>
        <w:t>et al</w:t>
      </w:r>
      <w:r w:rsidRPr="006C195E">
        <w:t>.</w:t>
      </w:r>
      <w:r w:rsidR="00F828C8">
        <w:t xml:space="preserve"> </w:t>
      </w:r>
      <w:r w:rsidRPr="006C195E">
        <w:t xml:space="preserve">Metastatic basal cell carcinoma: rapid symptomatic response to </w:t>
      </w:r>
      <w:proofErr w:type="spellStart"/>
      <w:r w:rsidRPr="006C195E">
        <w:rPr>
          <w:u w:val="single"/>
        </w:rPr>
        <w:t>cisplatin</w:t>
      </w:r>
      <w:proofErr w:type="spellEnd"/>
      <w:r w:rsidRPr="006C195E">
        <w:rPr>
          <w:u w:val="single"/>
        </w:rPr>
        <w:t xml:space="preserve"> and </w:t>
      </w:r>
      <w:proofErr w:type="spellStart"/>
      <w:r w:rsidRPr="006C195E">
        <w:rPr>
          <w:u w:val="single"/>
        </w:rPr>
        <w:t>paclitaxel</w:t>
      </w:r>
      <w:proofErr w:type="spellEnd"/>
      <w:r w:rsidRPr="006C195E">
        <w:t xml:space="preserve">. </w:t>
      </w:r>
      <w:r w:rsidRPr="003009C0">
        <w:rPr>
          <w:i/>
        </w:rPr>
        <w:t>ANZ J Surg</w:t>
      </w:r>
      <w:r w:rsidR="003009C0">
        <w:t xml:space="preserve"> 2004;</w:t>
      </w:r>
      <w:r w:rsidRPr="006C195E">
        <w:t>74:704-705.</w:t>
      </w:r>
    </w:p>
    <w:p w:rsidR="006C195E" w:rsidRPr="006C195E" w:rsidRDefault="003009C0" w:rsidP="00380556">
      <w:pPr>
        <w:pStyle w:val="ListBullet"/>
      </w:pPr>
      <w:proofErr w:type="spellStart"/>
      <w:r>
        <w:t>Ganti</w:t>
      </w:r>
      <w:proofErr w:type="spellEnd"/>
      <w:r>
        <w:t xml:space="preserve"> AK and </w:t>
      </w:r>
      <w:proofErr w:type="spellStart"/>
      <w:r>
        <w:t>Kessinger</w:t>
      </w:r>
      <w:proofErr w:type="spellEnd"/>
      <w:r>
        <w:t xml:space="preserve"> A. </w:t>
      </w:r>
      <w:r w:rsidR="006C195E" w:rsidRPr="006C195E">
        <w:t>Systematic therapy for disseminated basal cell carcinoma: An uncommon man</w:t>
      </w:r>
      <w:r>
        <w:t xml:space="preserve">ifestation of a common cancer. </w:t>
      </w:r>
      <w:r w:rsidR="006C195E" w:rsidRPr="003009C0">
        <w:rPr>
          <w:i/>
        </w:rPr>
        <w:t>Cancer Treat Rev</w:t>
      </w:r>
      <w:r w:rsidR="006C195E" w:rsidRPr="006C195E">
        <w:t xml:space="preserve"> 2011</w:t>
      </w:r>
      <w:r>
        <w:t>;37:440-443</w:t>
      </w:r>
      <w:r w:rsidR="006C195E" w:rsidRPr="006C195E">
        <w:t>.</w:t>
      </w:r>
    </w:p>
    <w:p w:rsidR="006C195E" w:rsidRPr="006C195E" w:rsidRDefault="006C195E" w:rsidP="00380556">
      <w:pPr>
        <w:pStyle w:val="ListBullet"/>
        <w:numPr>
          <w:ilvl w:val="0"/>
          <w:numId w:val="0"/>
        </w:numPr>
        <w:ind w:left="360"/>
      </w:pPr>
      <w:r w:rsidRPr="006C195E">
        <w:t xml:space="preserve">This recent paper mentions that if only regional nodes are involved in metastatic disease, potentially curative local therapy, </w:t>
      </w:r>
      <w:r w:rsidR="003009C0">
        <w:t xml:space="preserve">for example, </w:t>
      </w:r>
      <w:r w:rsidRPr="006C195E">
        <w:t>surgery and / or radiation, is often an optio</w:t>
      </w:r>
      <w:r w:rsidR="003009C0">
        <w:t xml:space="preserve">n and the prognosis is better. </w:t>
      </w:r>
      <w:r w:rsidRPr="006C195E">
        <w:t xml:space="preserve">(Consistent with </w:t>
      </w:r>
      <w:proofErr w:type="spellStart"/>
      <w:r w:rsidRPr="006C195E">
        <w:t>McCusker</w:t>
      </w:r>
      <w:proofErr w:type="spellEnd"/>
      <w:r w:rsidRPr="006C195E">
        <w:t xml:space="preserve"> </w:t>
      </w:r>
      <w:r w:rsidRPr="003009C0">
        <w:rPr>
          <w:i/>
        </w:rPr>
        <w:t>et al</w:t>
      </w:r>
      <w:r w:rsidRPr="006C195E">
        <w:t>, 2012</w:t>
      </w:r>
      <w:r w:rsidR="008301BD">
        <w:rPr>
          <w:rStyle w:val="FootnoteReference"/>
        </w:rPr>
        <w:footnoteReference w:id="31"/>
      </w:r>
      <w:r w:rsidRPr="006C195E">
        <w:t>.)</w:t>
      </w:r>
    </w:p>
    <w:p w:rsidR="006C195E" w:rsidRPr="006C195E" w:rsidRDefault="006C195E" w:rsidP="00380556">
      <w:pPr>
        <w:pStyle w:val="ListBullet"/>
        <w:numPr>
          <w:ilvl w:val="0"/>
          <w:numId w:val="0"/>
        </w:numPr>
        <w:ind w:left="360"/>
      </w:pPr>
      <w:r w:rsidRPr="006C195E">
        <w:t xml:space="preserve">The paper discusses a review by </w:t>
      </w:r>
      <w:proofErr w:type="spellStart"/>
      <w:r w:rsidRPr="006C195E">
        <w:t>Moeholt</w:t>
      </w:r>
      <w:proofErr w:type="spellEnd"/>
      <w:r w:rsidRPr="006C195E">
        <w:t xml:space="preserve"> et al (1996</w:t>
      </w:r>
      <w:r w:rsidR="00F4008D">
        <w:rPr>
          <w:rStyle w:val="FootnoteReference"/>
        </w:rPr>
        <w:footnoteReference w:id="32"/>
      </w:r>
      <w:r w:rsidRPr="006C195E">
        <w:t xml:space="preserve">) of 53 case </w:t>
      </w:r>
      <w:r w:rsidR="008301BD">
        <w:t xml:space="preserve">reports (of disseminated BCC). </w:t>
      </w:r>
      <w:r w:rsidRPr="006C195E">
        <w:t>There was a response rate of 83% with platinum-based regimens, with 17 complete responses (37%) an</w:t>
      </w:r>
      <w:r w:rsidR="008301BD">
        <w:t xml:space="preserve">d 21 partial remissions (46%). </w:t>
      </w:r>
      <w:r w:rsidRPr="006C195E">
        <w:t>Median time</w:t>
      </w:r>
      <w:r w:rsidR="008301BD">
        <w:t xml:space="preserve"> to progression was 24 months. </w:t>
      </w:r>
      <w:r w:rsidRPr="006C195E">
        <w:t>“Based on these data, platinum based chemotherapy emerged as the standard of care in this population”.</w:t>
      </w:r>
    </w:p>
    <w:p w:rsidR="006C195E" w:rsidRPr="006C195E" w:rsidRDefault="006C195E" w:rsidP="00380556">
      <w:r w:rsidRPr="006C195E">
        <w:t>Also of note is the following older publication:</w:t>
      </w:r>
    </w:p>
    <w:p w:rsidR="006C195E" w:rsidRPr="006C195E" w:rsidRDefault="006C195E" w:rsidP="00380556">
      <w:pPr>
        <w:pStyle w:val="ListBullet"/>
      </w:pPr>
      <w:r w:rsidRPr="006C195E">
        <w:t>Pfeiffer P</w:t>
      </w:r>
      <w:r w:rsidRPr="006C195E">
        <w:rPr>
          <w:i/>
        </w:rPr>
        <w:t xml:space="preserve">, </w:t>
      </w:r>
      <w:r w:rsidRPr="006C195E">
        <w:t>Hansen O</w:t>
      </w:r>
      <w:r w:rsidRPr="006C195E">
        <w:rPr>
          <w:i/>
        </w:rPr>
        <w:t xml:space="preserve">, </w:t>
      </w:r>
      <w:r w:rsidRPr="006C195E">
        <w:t>Rose C.</w:t>
      </w:r>
      <w:r w:rsidRPr="006C195E">
        <w:rPr>
          <w:i/>
        </w:rPr>
        <w:t xml:space="preserve"> </w:t>
      </w:r>
      <w:r w:rsidRPr="006C195E">
        <w:t>Systemic cytotoxic therapy of basal cell carcinoma. A review of the literature.</w:t>
      </w:r>
      <w:r w:rsidRPr="006C195E">
        <w:rPr>
          <w:i/>
        </w:rPr>
        <w:t xml:space="preserve"> Eur J Cancer </w:t>
      </w:r>
      <w:r w:rsidRPr="006C195E">
        <w:t>1990</w:t>
      </w:r>
      <w:r w:rsidRPr="006C195E">
        <w:rPr>
          <w:i/>
        </w:rPr>
        <w:t xml:space="preserve">; </w:t>
      </w:r>
      <w:r w:rsidRPr="006C195E">
        <w:rPr>
          <w:b/>
          <w:bCs/>
        </w:rPr>
        <w:t>26</w:t>
      </w:r>
      <w:r w:rsidRPr="006C195E">
        <w:rPr>
          <w:i/>
        </w:rPr>
        <w:t xml:space="preserve">: </w:t>
      </w:r>
      <w:r w:rsidRPr="006C195E">
        <w:t>73.</w:t>
      </w:r>
    </w:p>
    <w:p w:rsidR="006C195E" w:rsidRPr="006C195E" w:rsidRDefault="006C195E" w:rsidP="00380556">
      <w:pPr>
        <w:pStyle w:val="ListBullet"/>
        <w:numPr>
          <w:ilvl w:val="0"/>
          <w:numId w:val="0"/>
        </w:numPr>
        <w:ind w:left="360"/>
      </w:pPr>
      <w:r w:rsidRPr="006C195E">
        <w:t xml:space="preserve">In their literature review, the authors distinguish poor outcomes in patients who did not receive </w:t>
      </w:r>
      <w:proofErr w:type="spellStart"/>
      <w:r w:rsidRPr="006C195E">
        <w:t>cis</w:t>
      </w:r>
      <w:proofErr w:type="spellEnd"/>
      <w:r w:rsidRPr="006C195E">
        <w:t xml:space="preserve">-platinum (only one partial response in 28 cases) from better outcomes in those who did receive </w:t>
      </w:r>
      <w:proofErr w:type="spellStart"/>
      <w:r w:rsidRPr="006C195E">
        <w:t>cis</w:t>
      </w:r>
      <w:proofErr w:type="spellEnd"/>
      <w:r w:rsidRPr="006C195E">
        <w:t>-platinum-containing regimens (17/22 evaluable patients ‘responded’ and in 10/22 there was ‘complet</w:t>
      </w:r>
      <w:r w:rsidR="008301BD">
        <w:t>e disappearance of the tumour’.</w:t>
      </w:r>
      <w:r w:rsidRPr="006C195E">
        <w:t xml:space="preserve"> “These patients survived for a median time of more than 22 months (range 4+ to 51+ month”.</w:t>
      </w:r>
    </w:p>
    <w:p w:rsidR="006C195E" w:rsidRPr="006C195E" w:rsidRDefault="006C195E" w:rsidP="00380556">
      <w:r w:rsidRPr="006C195E">
        <w:t>Overall, there is no indication in the literature of evidence for a ‘standard of care’ generated from r</w:t>
      </w:r>
      <w:r w:rsidR="008301BD">
        <w:t xml:space="preserve">andomised, controlled studies. </w:t>
      </w:r>
      <w:r w:rsidRPr="006C195E">
        <w:t xml:space="preserve">There is a suggestion that a </w:t>
      </w:r>
      <w:proofErr w:type="spellStart"/>
      <w:r w:rsidRPr="006C195E">
        <w:t>cisplatin</w:t>
      </w:r>
      <w:proofErr w:type="spellEnd"/>
      <w:r w:rsidRPr="006C195E">
        <w:t xml:space="preserve"> regimen could be considered to have a favourable benefit-risk relationship, but this is not on the basis of Phase 3, controlled studies.</w:t>
      </w:r>
    </w:p>
    <w:p w:rsidR="008E7846" w:rsidRDefault="00380556" w:rsidP="00380556">
      <w:pPr>
        <w:pStyle w:val="Heading4"/>
      </w:pPr>
      <w:r>
        <w:t>Response from s</w:t>
      </w:r>
      <w:r w:rsidR="008E7846">
        <w:t>ponsor</w:t>
      </w:r>
    </w:p>
    <w:p w:rsidR="00B16095" w:rsidRPr="00B16095" w:rsidRDefault="00B16095" w:rsidP="00380556">
      <w:pPr>
        <w:pStyle w:val="Heading5"/>
      </w:pPr>
      <w:r w:rsidRPr="00B16095">
        <w:t>Comm</w:t>
      </w:r>
      <w:r w:rsidR="007F2286">
        <w:t>ent on the Delegate’s proposed a</w:t>
      </w:r>
      <w:r w:rsidRPr="00B16095">
        <w:t>ction:</w:t>
      </w:r>
    </w:p>
    <w:p w:rsidR="00B16095" w:rsidRPr="00B16095" w:rsidRDefault="00444238" w:rsidP="00380556">
      <w:r>
        <w:t>The s</w:t>
      </w:r>
      <w:r w:rsidR="00B16095" w:rsidRPr="00B16095">
        <w:t>ponsor agrees with the Delegate’s conclusion that Erivedge (vismodegib) has a positive risk-benefit balance in the treatment of adult patients with advanced BCC for whom surgery is inappropriate.</w:t>
      </w:r>
    </w:p>
    <w:p w:rsidR="00B16095" w:rsidRPr="00B16095" w:rsidRDefault="00444238" w:rsidP="00380556">
      <w:r>
        <w:t>The s</w:t>
      </w:r>
      <w:r w:rsidR="00B16095" w:rsidRPr="00B16095">
        <w:t>ponsor believes the design of the pivotal Phase II study (SHH4476g) was appropriate based on current clinical practice, the patient population and the promising efficacy results seen in the earlier Phase I study (SHH3925g). In respect to the questions the Deleg</w:t>
      </w:r>
      <w:r>
        <w:t>ate has posed to the ACPM, the s</w:t>
      </w:r>
      <w:r w:rsidR="00B16095" w:rsidRPr="00B16095">
        <w:t>ponsor provides the following comments.</w:t>
      </w:r>
    </w:p>
    <w:p w:rsidR="00B16095" w:rsidRPr="00B16095" w:rsidRDefault="00B16095" w:rsidP="00380556">
      <w:pPr>
        <w:pStyle w:val="Heading5"/>
      </w:pPr>
      <w:r w:rsidRPr="00B16095">
        <w:t xml:space="preserve">The use of </w:t>
      </w:r>
      <w:proofErr w:type="spellStart"/>
      <w:r w:rsidRPr="00B16095">
        <w:t>cisplatin</w:t>
      </w:r>
      <w:proofErr w:type="spellEnd"/>
      <w:r w:rsidRPr="00B16095">
        <w:t xml:space="preserve"> in the proposed advanced BCC patient population</w:t>
      </w:r>
    </w:p>
    <w:p w:rsidR="00B16095" w:rsidRPr="00B16095" w:rsidRDefault="00B16095" w:rsidP="00380556">
      <w:r w:rsidRPr="00B16095">
        <w:t xml:space="preserve">As noted by the Delegate, there is no indication in the literature of evidence for a “standard of care” generated from clinical studies. Platinum chemotherapy was not a treatment commonly used for patients with advanced BCC which was reflected in the treatment history of the patients enrolled on </w:t>
      </w:r>
      <w:r w:rsidR="00444238">
        <w:t>S</w:t>
      </w:r>
      <w:r w:rsidRPr="00B16095">
        <w:t>tudy SHH4476g. Approximately 10% of the efficacy evaluable patients received prior platinum-based chemotherapy, and they were predominantly patients with metastatic BCC.</w:t>
      </w:r>
    </w:p>
    <w:p w:rsidR="00B16095" w:rsidRPr="00B16095" w:rsidRDefault="00B16095" w:rsidP="00380556">
      <w:r w:rsidRPr="00B16095">
        <w:t>A recent comprehensive retrospective review of case stud</w:t>
      </w:r>
      <w:r w:rsidR="00444238">
        <w:t>ies in the literature from 1981</w:t>
      </w:r>
      <w:r w:rsidR="00444238">
        <w:noBreakHyphen/>
      </w:r>
      <w:r w:rsidRPr="00B16095">
        <w:t>2011 (</w:t>
      </w:r>
      <w:proofErr w:type="spellStart"/>
      <w:r w:rsidRPr="00B16095">
        <w:t>McCusker</w:t>
      </w:r>
      <w:proofErr w:type="spellEnd"/>
      <w:r w:rsidRPr="00B16095">
        <w:t xml:space="preserve"> </w:t>
      </w:r>
      <w:r w:rsidRPr="00F4008D">
        <w:rPr>
          <w:i/>
        </w:rPr>
        <w:t>et al</w:t>
      </w:r>
      <w:r w:rsidRPr="00B16095">
        <w:t>, 2012</w:t>
      </w:r>
      <w:r>
        <w:rPr>
          <w:rStyle w:val="FootnoteReference"/>
        </w:rPr>
        <w:footnoteReference w:id="33"/>
      </w:r>
      <w:r w:rsidRPr="00B16095">
        <w:t>) suggests that a small proportion of patients with metastatic BCC (16 of 100) were treated with platinum-based chemotherapy. For locally advan</w:t>
      </w:r>
      <w:r w:rsidR="00444238">
        <w:t>ced BCC patients as defined by S</w:t>
      </w:r>
      <w:r w:rsidRPr="00B16095">
        <w:t>tudy SHH4476g, there have been no prospective or retrospective studies. Recent publications (2009 to 2012) of patients who could have been eligible for entry into the locally advanced cohort on study had limited treatment information and indicated that treatments received were primarily surgery, and radiation was used as an adjuvant therapy after surgery (</w:t>
      </w:r>
      <w:proofErr w:type="spellStart"/>
      <w:r w:rsidRPr="00B16095">
        <w:t>Schwipper</w:t>
      </w:r>
      <w:proofErr w:type="spellEnd"/>
      <w:r w:rsidRPr="00B16095">
        <w:t xml:space="preserve"> </w:t>
      </w:r>
      <w:r w:rsidRPr="00444238">
        <w:rPr>
          <w:i/>
        </w:rPr>
        <w:t>et al</w:t>
      </w:r>
      <w:r w:rsidRPr="00B16095">
        <w:t>.</w:t>
      </w:r>
      <w:r w:rsidR="00444238">
        <w:t>,</w:t>
      </w:r>
      <w:r w:rsidRPr="00B16095">
        <w:t xml:space="preserve"> 2011</w:t>
      </w:r>
      <w:r>
        <w:rPr>
          <w:rStyle w:val="FootnoteReference"/>
        </w:rPr>
        <w:footnoteReference w:id="34"/>
      </w:r>
      <w:r w:rsidRPr="00B16095">
        <w:t xml:space="preserve">, </w:t>
      </w:r>
      <w:proofErr w:type="spellStart"/>
      <w:r w:rsidRPr="00B16095">
        <w:t>Soysal</w:t>
      </w:r>
      <w:proofErr w:type="spellEnd"/>
      <w:r w:rsidRPr="00B16095">
        <w:t xml:space="preserve"> </w:t>
      </w:r>
      <w:r w:rsidRPr="00444238">
        <w:rPr>
          <w:i/>
        </w:rPr>
        <w:t>et al</w:t>
      </w:r>
      <w:r w:rsidRPr="00B16095">
        <w:t>.</w:t>
      </w:r>
      <w:r w:rsidR="00444238">
        <w:t>,</w:t>
      </w:r>
      <w:r w:rsidRPr="00B16095">
        <w:t xml:space="preserve"> 2010</w:t>
      </w:r>
      <w:r>
        <w:rPr>
          <w:rStyle w:val="FootnoteReference"/>
        </w:rPr>
        <w:footnoteReference w:id="35"/>
      </w:r>
      <w:r w:rsidRPr="00B16095">
        <w:t xml:space="preserve">, </w:t>
      </w:r>
      <w:proofErr w:type="spellStart"/>
      <w:r w:rsidRPr="00B16095">
        <w:t>Luliano</w:t>
      </w:r>
      <w:proofErr w:type="spellEnd"/>
      <w:r w:rsidRPr="00B16095">
        <w:t xml:space="preserve"> </w:t>
      </w:r>
      <w:r w:rsidRPr="00444238">
        <w:rPr>
          <w:i/>
        </w:rPr>
        <w:t>et al</w:t>
      </w:r>
      <w:r w:rsidRPr="00B16095">
        <w:t>.</w:t>
      </w:r>
      <w:r w:rsidR="00444238">
        <w:t>,</w:t>
      </w:r>
      <w:r w:rsidRPr="00B16095">
        <w:t xml:space="preserve"> 2012</w:t>
      </w:r>
      <w:r>
        <w:rPr>
          <w:rStyle w:val="FootnoteReference"/>
        </w:rPr>
        <w:footnoteReference w:id="36"/>
      </w:r>
      <w:r w:rsidRPr="00B16095">
        <w:t>). Taken together, these studies further underscore the lack of well-accepted non-surgical/non-radiation treatment in patients with advanced BCC.</w:t>
      </w:r>
    </w:p>
    <w:p w:rsidR="00B16095" w:rsidRPr="00B16095" w:rsidRDefault="00444238" w:rsidP="00380556">
      <w:r>
        <w:t>As discussed in the sponsor’s c</w:t>
      </w:r>
      <w:r w:rsidR="00B16095" w:rsidRPr="00B16095">
        <w:t xml:space="preserve">linical </w:t>
      </w:r>
      <w:r>
        <w:t>o</w:t>
      </w:r>
      <w:r w:rsidR="00B16095" w:rsidRPr="00B16095">
        <w:t>verview, treatment with platinum therapy in metastatic patients has been reported anecdotally. A review of articles cited by the NCCN and the Cancer Council of Australia clinical practice guidelines</w:t>
      </w:r>
      <w:r w:rsidR="009B4D0B">
        <w:rPr>
          <w:rStyle w:val="FootnoteReference"/>
        </w:rPr>
        <w:footnoteReference w:id="37"/>
      </w:r>
      <w:r w:rsidR="00B16095" w:rsidRPr="00B16095">
        <w:t xml:space="preserve"> suggests that evidence supporting the guidance recommendations </w:t>
      </w:r>
      <w:r w:rsidR="008D6D8D">
        <w:t>is</w:t>
      </w:r>
      <w:r w:rsidR="00B16095" w:rsidRPr="00B16095">
        <w:t xml:space="preserve"> primarily case reports or case series of limi</w:t>
      </w:r>
      <w:r w:rsidR="000A623E">
        <w:t xml:space="preserve">ted patient numbers (see Table </w:t>
      </w:r>
      <w:r w:rsidR="00C3779E">
        <w:t>21</w:t>
      </w:r>
      <w:r>
        <w:t xml:space="preserve"> below</w:t>
      </w:r>
      <w:r w:rsidR="00B16095" w:rsidRPr="00B16095">
        <w:t>). Due to the anecdotal nature of these reports which is associated with differences in patient population</w:t>
      </w:r>
      <w:r>
        <w:t xml:space="preserve"> and response criteria, the s</w:t>
      </w:r>
      <w:r w:rsidR="00B16095" w:rsidRPr="00B16095">
        <w:t xml:space="preserve">ponsor is unable to appropriately provide an assessment of expected response to treatment with platinum-based chemotherapy by RECIST version 1.0. </w:t>
      </w:r>
      <w:proofErr w:type="spellStart"/>
      <w:r w:rsidR="00B16095" w:rsidRPr="00B16095">
        <w:t>McCusker</w:t>
      </w:r>
      <w:proofErr w:type="spellEnd"/>
      <w:r w:rsidR="00B16095" w:rsidRPr="00B16095">
        <w:t xml:space="preserve"> </w:t>
      </w:r>
      <w:r w:rsidR="00B16095" w:rsidRPr="00444238">
        <w:rPr>
          <w:i/>
        </w:rPr>
        <w:t>et al</w:t>
      </w:r>
      <w:r>
        <w:rPr>
          <w:i/>
        </w:rPr>
        <w:t>.,</w:t>
      </w:r>
      <w:r w:rsidR="00B16095" w:rsidRPr="00B16095">
        <w:t xml:space="preserve"> 2012 report a median survival of 24 months based on Kaplan-Meier methods in metastatic BCC patients with distant metastasis. </w:t>
      </w:r>
    </w:p>
    <w:p w:rsidR="00B16095" w:rsidRPr="00B16095" w:rsidRDefault="00C3779E" w:rsidP="00380556">
      <w:pPr>
        <w:pStyle w:val="TableTitle"/>
      </w:pPr>
      <w:r>
        <w:t>Table 21</w:t>
      </w:r>
      <w:r w:rsidR="00444238">
        <w:t>. Clinical p</w:t>
      </w:r>
      <w:r w:rsidR="00B16095" w:rsidRPr="00B16095">
        <w:t xml:space="preserve">ractice </w:t>
      </w:r>
      <w:r w:rsidR="00444238">
        <w:t>g</w:t>
      </w:r>
      <w:r w:rsidR="00B16095" w:rsidRPr="00B16095">
        <w:t xml:space="preserve">uidelines </w:t>
      </w:r>
      <w:r w:rsidR="00444238">
        <w:t>p</w:t>
      </w:r>
      <w:r w:rsidR="00B16095" w:rsidRPr="00B16095">
        <w:t xml:space="preserve">ublished in the English </w:t>
      </w:r>
      <w:r w:rsidR="00444238">
        <w:t>l</w:t>
      </w:r>
      <w:r w:rsidR="00B16095" w:rsidRPr="00B16095">
        <w:t xml:space="preserve">iterature </w:t>
      </w:r>
      <w:r w:rsidR="00444238">
        <w:t>r</w:t>
      </w:r>
      <w:r w:rsidR="00B16095" w:rsidRPr="00B16095">
        <w:t xml:space="preserve">egarding </w:t>
      </w:r>
      <w:r w:rsidR="00444238">
        <w:t>t</w:t>
      </w:r>
      <w:r w:rsidR="00B16095" w:rsidRPr="00B16095">
        <w:t>reatment of BCC</w:t>
      </w:r>
      <w:r w:rsidR="007F2286">
        <w:rPr>
          <w:rStyle w:val="FootnoteReference"/>
        </w:rPr>
        <w:footnoteReference w:id="38"/>
      </w:r>
      <w:r w:rsidR="00B16095" w:rsidRPr="00B16095">
        <w:t xml:space="preserve"> </w:t>
      </w:r>
    </w:p>
    <w:p w:rsidR="00B16095" w:rsidRPr="00B16095" w:rsidRDefault="00B16095" w:rsidP="00380556">
      <w:r w:rsidRPr="00B16095">
        <w:rPr>
          <w:noProof/>
          <w:lang w:eastAsia="en-AU"/>
        </w:rPr>
        <w:drawing>
          <wp:inline distT="0" distB="0" distL="0" distR="0">
            <wp:extent cx="4678483" cy="3009836"/>
            <wp:effectExtent l="19050" t="0" r="7817" b="0"/>
            <wp:docPr id="4" name="Picture 1" descr="Table 21. Clinical practice guidelines published in the English literature regarding treatment of B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4680492" cy="3011128"/>
                    </a:xfrm>
                    <a:prstGeom prst="rect">
                      <a:avLst/>
                    </a:prstGeom>
                    <a:noFill/>
                    <a:ln w="9525">
                      <a:noFill/>
                      <a:miter lim="800000"/>
                      <a:headEnd/>
                      <a:tailEnd/>
                    </a:ln>
                  </pic:spPr>
                </pic:pic>
              </a:graphicData>
            </a:graphic>
          </wp:inline>
        </w:drawing>
      </w:r>
    </w:p>
    <w:p w:rsidR="00B16095" w:rsidRPr="00B16095" w:rsidRDefault="00B16095" w:rsidP="00B16095">
      <w:r w:rsidRPr="00B16095">
        <w:t>In conclusion, there are no well-accepted non-surgical/non-radiation treatment options for patients with advanced BCC. Platinum therapy has been associated with the significant toxicities that are well described i</w:t>
      </w:r>
      <w:r w:rsidR="007F2286">
        <w:t>n the literature. Based on the s</w:t>
      </w:r>
      <w:r w:rsidRPr="00B16095">
        <w:t>ponsor’s investigations, platinum-based chemotherapy in advanced BCC is not commonly used, and the data does not support a favourable benefit-risk of platinum-based regimens in advanced BCC.</w:t>
      </w:r>
    </w:p>
    <w:p w:rsidR="00B16095" w:rsidRPr="00B16095" w:rsidRDefault="00B16095" w:rsidP="00380556">
      <w:pPr>
        <w:pStyle w:val="Heading5"/>
      </w:pPr>
      <w:r w:rsidRPr="00B16095">
        <w:t>The single-arm pivotal study (SHH4476g) supports approval of vismodegib for this very rare condition (advanced BCC)</w:t>
      </w:r>
    </w:p>
    <w:p w:rsidR="00B16095" w:rsidRPr="00B16095" w:rsidRDefault="007F2286" w:rsidP="00380556">
      <w:r>
        <w:t>The s</w:t>
      </w:r>
      <w:r w:rsidR="00B16095" w:rsidRPr="00B16095">
        <w:t>ponsor considers the pivotal study design to be appropriate based on the rarity of the disease, lack of a standard of care (i.e. absence of clinical studies demonstrating efficacy), and magnitude of anti-t</w:t>
      </w:r>
      <w:r>
        <w:t>umour activity demonstrated in P</w:t>
      </w:r>
      <w:r w:rsidR="00B16095" w:rsidRPr="00B16095">
        <w:t>hase I (SHH3925g).</w:t>
      </w:r>
    </w:p>
    <w:p w:rsidR="00B16095" w:rsidRPr="00B16095" w:rsidRDefault="00B16095" w:rsidP="00380556">
      <w:r w:rsidRPr="00B16095">
        <w:t xml:space="preserve">Locally advanced BCC patients have visible skin lesions directly affecting their wellbeing. Effects include infections due to ulcerated lesions, the need for intensive wound care, threats to vital organs such as the eye and ear, extensive morbidity and/or substantial degradation in </w:t>
      </w:r>
      <w:proofErr w:type="spellStart"/>
      <w:r w:rsidRPr="00B16095">
        <w:t>cosmesis</w:t>
      </w:r>
      <w:proofErr w:type="spellEnd"/>
      <w:r w:rsidRPr="00B16095">
        <w:t>. It was observed in SHH3925g that vismodegib treatment resolved ulceration and dramatically shrank lesions in many patients and these effects would not be expected spontaneously (</w:t>
      </w:r>
      <w:r w:rsidR="007F2286">
        <w:t xml:space="preserve">that is, </w:t>
      </w:r>
      <w:r w:rsidRPr="00B16095">
        <w:t xml:space="preserve">without an effective treatment). The discussions with investigators indicated that the durable responses were directly meaningful to patients and they were reluctant to randomise patients onto treatment with best supportive care. Metastatic BCC is an exceedingly rare and devastating disease without an established treatment. Tumour responses in metastatic BCC reflect a broader anti-tumour effect that can be seen in patients on this study and the durability of the response and anti-tumour effect may lead to an increase in </w:t>
      </w:r>
      <w:r w:rsidR="00725C60">
        <w:t xml:space="preserve">PFS </w:t>
      </w:r>
      <w:r w:rsidRPr="00B16095">
        <w:t xml:space="preserve">and </w:t>
      </w:r>
      <w:r w:rsidR="00725C60">
        <w:t>OS</w:t>
      </w:r>
      <w:r w:rsidRPr="00B16095">
        <w:t xml:space="preserve">. Vismodegib which has demonstrated </w:t>
      </w:r>
      <w:proofErr w:type="spellStart"/>
      <w:r w:rsidRPr="00B16095">
        <w:t>antitumour</w:t>
      </w:r>
      <w:proofErr w:type="spellEnd"/>
      <w:r w:rsidRPr="00B16095">
        <w:t xml:space="preserve"> activity and a well-tolerated safety profile offers physicians and patients an important treatment option.</w:t>
      </w:r>
    </w:p>
    <w:p w:rsidR="00B16095" w:rsidRPr="00B16095" w:rsidRDefault="005A74CB" w:rsidP="00380556">
      <w:pPr>
        <w:pStyle w:val="Heading5"/>
      </w:pPr>
      <w:r>
        <w:t xml:space="preserve">The contribution of </w:t>
      </w:r>
      <w:proofErr w:type="spellStart"/>
      <w:r>
        <w:t>Gorlin</w:t>
      </w:r>
      <w:proofErr w:type="spellEnd"/>
      <w:r>
        <w:t xml:space="preserve"> S</w:t>
      </w:r>
      <w:r w:rsidR="00B16095" w:rsidRPr="00B16095">
        <w:t>yndrome patients to the overall response rates in the pivotal study (SHH4476g)</w:t>
      </w:r>
    </w:p>
    <w:p w:rsidR="00B16095" w:rsidRPr="00B16095" w:rsidRDefault="00B16095" w:rsidP="00380556">
      <w:r w:rsidRPr="00B16095">
        <w:t xml:space="preserve">In </w:t>
      </w:r>
      <w:r w:rsidR="007D70C0">
        <w:t xml:space="preserve">the </w:t>
      </w:r>
      <w:r w:rsidRPr="00B16095">
        <w:t xml:space="preserve">Overview, the Delegate notes the post-hoc analysis from SHH4476g: in </w:t>
      </w:r>
      <w:proofErr w:type="spellStart"/>
      <w:r w:rsidRPr="00B16095">
        <w:t>Gorlin</w:t>
      </w:r>
      <w:proofErr w:type="spellEnd"/>
      <w:r w:rsidRPr="00B16095">
        <w:t xml:space="preserve"> syndrome patients ORR was 66.7% (14/2</w:t>
      </w:r>
      <w:r w:rsidR="005A74CB">
        <w:t>1)</w:t>
      </w:r>
      <w:r w:rsidRPr="00B16095">
        <w:t xml:space="preserve"> and in patients with no medical history of </w:t>
      </w:r>
      <w:proofErr w:type="spellStart"/>
      <w:r w:rsidRPr="00B16095">
        <w:t>Gorlin</w:t>
      </w:r>
      <w:proofErr w:type="spellEnd"/>
      <w:r w:rsidRPr="00B16095">
        <w:t xml:space="preserve"> syndrome ORR was 31% (13/42).</w:t>
      </w:r>
    </w:p>
    <w:p w:rsidR="00B16095" w:rsidRPr="00B16095" w:rsidRDefault="00B16095" w:rsidP="00380556">
      <w:r w:rsidRPr="00B16095">
        <w:t>Due to the small sample size the results should be interpreted with caution. When examining several endpoints and baseline factors (</w:t>
      </w:r>
      <w:r w:rsidR="005A74CB">
        <w:t xml:space="preserve">that is, </w:t>
      </w:r>
      <w:r w:rsidRPr="00B16095">
        <w:t>multiple testing) in a post hoc analysis differences will be expected to occur in some subsets by chance.</w:t>
      </w:r>
    </w:p>
    <w:p w:rsidR="00B16095" w:rsidRPr="00B16095" w:rsidRDefault="00B16095" w:rsidP="00380556">
      <w:r w:rsidRPr="00B16095">
        <w:t xml:space="preserve">There is consistent evidence from the literature and clinical studies with vismodegib that aberrant activation of </w:t>
      </w:r>
      <w:proofErr w:type="spellStart"/>
      <w:r w:rsidRPr="00B16095">
        <w:t>Hh</w:t>
      </w:r>
      <w:proofErr w:type="spellEnd"/>
      <w:r w:rsidRPr="00B16095">
        <w:t xml:space="preserve"> </w:t>
      </w:r>
      <w:r w:rsidR="005A74CB" w:rsidRPr="00B16095">
        <w:t>signalling</w:t>
      </w:r>
      <w:r w:rsidRPr="00B16095">
        <w:t xml:space="preserve"> due to </w:t>
      </w:r>
      <w:proofErr w:type="spellStart"/>
      <w:r w:rsidRPr="00B16095">
        <w:t>germline</w:t>
      </w:r>
      <w:proofErr w:type="spellEnd"/>
      <w:r w:rsidRPr="00B16095">
        <w:t xml:space="preserve"> or somatic genetic alterations occurs similarly in both </w:t>
      </w:r>
      <w:proofErr w:type="spellStart"/>
      <w:r w:rsidRPr="00B16095">
        <w:t>Gorlin</w:t>
      </w:r>
      <w:proofErr w:type="spellEnd"/>
      <w:r w:rsidRPr="00B16095">
        <w:t xml:space="preserve">-associated and sporadic BCC. The expression of the </w:t>
      </w:r>
      <w:proofErr w:type="spellStart"/>
      <w:r w:rsidRPr="00B16095">
        <w:t>Hh</w:t>
      </w:r>
      <w:proofErr w:type="spellEnd"/>
      <w:r w:rsidRPr="00B16095">
        <w:t xml:space="preserve"> pathway target gene and </w:t>
      </w:r>
      <w:proofErr w:type="spellStart"/>
      <w:r w:rsidRPr="00B16095">
        <w:t>effector</w:t>
      </w:r>
      <w:proofErr w:type="spellEnd"/>
      <w:r w:rsidRPr="00B16095">
        <w:t xml:space="preserve"> of </w:t>
      </w:r>
      <w:proofErr w:type="spellStart"/>
      <w:r w:rsidRPr="00B16095">
        <w:t>Hh</w:t>
      </w:r>
      <w:proofErr w:type="spellEnd"/>
      <w:r w:rsidRPr="00B16095">
        <w:t xml:space="preserve"> </w:t>
      </w:r>
      <w:r w:rsidR="005A74CB" w:rsidRPr="00B16095">
        <w:t>signalling</w:t>
      </w:r>
      <w:r w:rsidRPr="00B16095">
        <w:t xml:space="preserve">, Gli1, was further evaluated in tissue specimens from patients with a medical history of </w:t>
      </w:r>
      <w:proofErr w:type="spellStart"/>
      <w:r w:rsidRPr="00B16095">
        <w:t>Gorlin</w:t>
      </w:r>
      <w:proofErr w:type="spellEnd"/>
      <w:r w:rsidRPr="00B16095">
        <w:t xml:space="preserve"> syndrome and patients with no medical history of </w:t>
      </w:r>
      <w:proofErr w:type="spellStart"/>
      <w:r w:rsidRPr="00B16095">
        <w:t>Gorlin</w:t>
      </w:r>
      <w:proofErr w:type="spellEnd"/>
      <w:r w:rsidRPr="00B16095">
        <w:t xml:space="preserve"> syndrome, who were treated with vismodegib in SHH3925g. Gli1 levels in BCC tissue were comparable between these two groups, suggesting that there is no obvious difference in the degree of </w:t>
      </w:r>
      <w:proofErr w:type="spellStart"/>
      <w:r w:rsidRPr="00B16095">
        <w:t>Hh</w:t>
      </w:r>
      <w:proofErr w:type="spellEnd"/>
      <w:r w:rsidRPr="00B16095">
        <w:t xml:space="preserve"> pathway activation between patients with or without a reported past medical history of </w:t>
      </w:r>
      <w:proofErr w:type="spellStart"/>
      <w:r w:rsidRPr="00B16095">
        <w:t>Gorlin</w:t>
      </w:r>
      <w:proofErr w:type="spellEnd"/>
      <w:r w:rsidRPr="00B16095">
        <w:t xml:space="preserve"> syndrome.</w:t>
      </w:r>
    </w:p>
    <w:p w:rsidR="00B16095" w:rsidRPr="00B16095" w:rsidRDefault="00B16095" w:rsidP="00380556">
      <w:r w:rsidRPr="00B16095">
        <w:t xml:space="preserve">Durable and meaningful responses were observed among </w:t>
      </w:r>
      <w:proofErr w:type="spellStart"/>
      <w:r w:rsidRPr="00B16095">
        <w:t>Gorlin</w:t>
      </w:r>
      <w:proofErr w:type="spellEnd"/>
      <w:r w:rsidRPr="00B16095">
        <w:t xml:space="preserve"> and non-</w:t>
      </w:r>
      <w:proofErr w:type="spellStart"/>
      <w:r w:rsidRPr="00B16095">
        <w:t>Gorlin</w:t>
      </w:r>
      <w:proofErr w:type="spellEnd"/>
      <w:r w:rsidRPr="00B16095">
        <w:t xml:space="preserve"> patients. Fo</w:t>
      </w:r>
      <w:r w:rsidR="005A74CB">
        <w:t>r reasons described above, the s</w:t>
      </w:r>
      <w:r w:rsidRPr="00B16095">
        <w:t>ponsor does not consider the numerical difference in response rate a concern requiring specific management.</w:t>
      </w:r>
    </w:p>
    <w:p w:rsidR="00B16095" w:rsidRPr="00B16095" w:rsidRDefault="00B16095" w:rsidP="00380556">
      <w:pPr>
        <w:pStyle w:val="Heading5"/>
      </w:pPr>
      <w:r w:rsidRPr="00B16095">
        <w:t xml:space="preserve">Risk of </w:t>
      </w:r>
      <w:proofErr w:type="spellStart"/>
      <w:r w:rsidRPr="00B16095">
        <w:t>teratogenicity</w:t>
      </w:r>
      <w:proofErr w:type="spellEnd"/>
    </w:p>
    <w:p w:rsidR="00B16095" w:rsidRPr="00B16095" w:rsidRDefault="005A74CB" w:rsidP="00380556">
      <w:r>
        <w:t>The s</w:t>
      </w:r>
      <w:r w:rsidR="00B16095" w:rsidRPr="00B16095">
        <w:t>ponsor agrees with the recommendation of the Delegate that the pregnancy category for vismodegib should be changed</w:t>
      </w:r>
      <w:r w:rsidR="007C410C">
        <w:t xml:space="preserve"> from D to X. In addition, the s</w:t>
      </w:r>
      <w:r w:rsidR="00B16095" w:rsidRPr="00B16095">
        <w:t>ponsor agrees with the Delegate’s recommendation to add contraindications for “pregnant women” and “women of child-bearing potential, unless two reliable methods of contraception are being used during treatment and for seven months after the last dose.” Taking these change</w:t>
      </w:r>
      <w:r w:rsidR="007C410C">
        <w:t>s into account, the s</w:t>
      </w:r>
      <w:r w:rsidR="00B16095" w:rsidRPr="00B16095">
        <w:t xml:space="preserve">ponsor agrees with the Delegate that a boxed warning for </w:t>
      </w:r>
      <w:proofErr w:type="spellStart"/>
      <w:r w:rsidR="00B16095" w:rsidRPr="00B16095">
        <w:t>teratogenicity</w:t>
      </w:r>
      <w:proofErr w:type="spellEnd"/>
      <w:r w:rsidR="00B16095" w:rsidRPr="00B16095">
        <w:t xml:space="preserve"> is not required.</w:t>
      </w:r>
    </w:p>
    <w:p w:rsidR="00B16095" w:rsidRPr="00B16095" w:rsidRDefault="007C410C" w:rsidP="00380556">
      <w:r>
        <w:t>The s</w:t>
      </w:r>
      <w:r w:rsidR="00B16095" w:rsidRPr="00B16095">
        <w:t xml:space="preserve">ponsor wishes to clarify its plans with respect to the additional risk minimisation activities for the potential risk of </w:t>
      </w:r>
      <w:proofErr w:type="spellStart"/>
      <w:r w:rsidR="00B16095" w:rsidRPr="00B16095">
        <w:t>terat</w:t>
      </w:r>
      <w:r>
        <w:t>ogenicity</w:t>
      </w:r>
      <w:proofErr w:type="spellEnd"/>
      <w:r>
        <w:t>. The s</w:t>
      </w:r>
      <w:r w:rsidR="00B16095" w:rsidRPr="00B16095">
        <w:t xml:space="preserve">ponsor wishes to address the concern of ACSOM and the RMP evaluator, and highlighted by the Delegate, by agreeing to expand the proposed audience for the </w:t>
      </w:r>
      <w:proofErr w:type="spellStart"/>
      <w:r w:rsidR="00B16095" w:rsidRPr="00B16095">
        <w:t>mailout</w:t>
      </w:r>
      <w:proofErr w:type="spellEnd"/>
      <w:r w:rsidR="00B16095" w:rsidRPr="00B16095">
        <w:t xml:space="preserve"> of the healthcare professional and patient educational material after registration. As such, the </w:t>
      </w:r>
      <w:proofErr w:type="spellStart"/>
      <w:r w:rsidR="00B16095" w:rsidRPr="00B16095">
        <w:t>mailout</w:t>
      </w:r>
      <w:proofErr w:type="spellEnd"/>
      <w:r w:rsidR="00B16095" w:rsidRPr="00B16095">
        <w:t xml:space="preserve"> will be directed to all specialists who are likely to be involved in the treatment of patients with advanced BCC: medical oncologists, radiation oncologists, dermatologists, head and neck surgeons and pharmacists in public and private hospitals to supplement the groups originally proposed. As the distribution of the educational materials will be w</w:t>
      </w:r>
      <w:r>
        <w:t>idened to all prescribers, the s</w:t>
      </w:r>
      <w:r w:rsidR="00B16095" w:rsidRPr="00B16095">
        <w:t>ponsor does not feel it necessary to formally restrict prescribing.</w:t>
      </w:r>
    </w:p>
    <w:p w:rsidR="00B16095" w:rsidRPr="00B16095" w:rsidRDefault="00B16095" w:rsidP="00380556">
      <w:r w:rsidRPr="00B16095">
        <w:t>In terms of the assessment of the effectiveness of</w:t>
      </w:r>
      <w:r w:rsidR="007C410C">
        <w:t xml:space="preserve"> the educational material, the s</w:t>
      </w:r>
      <w:r w:rsidRPr="00B16095">
        <w:t xml:space="preserve">ponsor intends to perform the actions as outlined </w:t>
      </w:r>
      <w:r w:rsidR="007C410C">
        <w:t xml:space="preserve">previously to the TGA in correspondence of </w:t>
      </w:r>
      <w:r w:rsidRPr="00B16095">
        <w:t>22 November 2012. In summary;</w:t>
      </w:r>
    </w:p>
    <w:p w:rsidR="00B16095" w:rsidRPr="00380556" w:rsidRDefault="00B16095" w:rsidP="00380556">
      <w:pPr>
        <w:pStyle w:val="ListBullet"/>
      </w:pPr>
      <w:r w:rsidRPr="00380556">
        <w:t>User testing of the patient educational material to evaluate its quality and usefulness will performed in 2013 after product launch</w:t>
      </w:r>
    </w:p>
    <w:p w:rsidR="00B16095" w:rsidRPr="00380556" w:rsidRDefault="00B16095" w:rsidP="00380556">
      <w:pPr>
        <w:pStyle w:val="ListBullet"/>
      </w:pPr>
      <w:r w:rsidRPr="00380556">
        <w:t>Relevant feedback from the results of this testing will be used to amend the patient educational materials</w:t>
      </w:r>
    </w:p>
    <w:p w:rsidR="007C410C" w:rsidRDefault="007C410C" w:rsidP="00380556">
      <w:pPr>
        <w:pStyle w:val="Heading5"/>
      </w:pPr>
      <w:r>
        <w:t>Revisions to product literature</w:t>
      </w:r>
    </w:p>
    <w:p w:rsidR="008E7846" w:rsidRDefault="007C410C" w:rsidP="00380556">
      <w:r>
        <w:t>Details of these are beyond the scope of the AusPAR.</w:t>
      </w:r>
    </w:p>
    <w:p w:rsidR="008E7846" w:rsidRDefault="00380556" w:rsidP="00380556">
      <w:pPr>
        <w:pStyle w:val="Heading4"/>
      </w:pPr>
      <w:r>
        <w:t>Advisory c</w:t>
      </w:r>
      <w:r w:rsidR="008E7846">
        <w:t xml:space="preserve">ommittee </w:t>
      </w:r>
      <w:r>
        <w:t>c</w:t>
      </w:r>
      <w:r w:rsidR="008E7846">
        <w:t>onsiderations</w:t>
      </w:r>
    </w:p>
    <w:p w:rsidR="008E7846" w:rsidRDefault="008E7846" w:rsidP="00380556">
      <w:r>
        <w:t>The Advisory Committee on Prescription Medicines (</w:t>
      </w:r>
      <w:r w:rsidRPr="001C5DFC">
        <w:t>AC</w:t>
      </w:r>
      <w:r>
        <w:t>PM)</w:t>
      </w:r>
      <w:r w:rsidR="005C7942">
        <w:t>,</w:t>
      </w:r>
      <w:r>
        <w:t xml:space="preserve"> having considered the </w:t>
      </w:r>
      <w:r w:rsidR="007C410C">
        <w:t>evaluations and the Delegate’s O</w:t>
      </w:r>
      <w:r>
        <w:t>verview,</w:t>
      </w:r>
      <w:r w:rsidRPr="001C5DFC">
        <w:t xml:space="preserve"> </w:t>
      </w:r>
      <w:r>
        <w:t>as well as the sponsor’s response to these documents, advised the following:</w:t>
      </w:r>
    </w:p>
    <w:p w:rsidR="005C7942" w:rsidRPr="005C7942" w:rsidRDefault="005C7942" w:rsidP="00380556">
      <w:r w:rsidRPr="005C7942">
        <w:t xml:space="preserve">The ACPM, taking into account the submitted evidence of efficacy, safety and quality, agreed with the </w:t>
      </w:r>
      <w:r>
        <w:t>D</w:t>
      </w:r>
      <w:r w:rsidRPr="005C7942">
        <w:t xml:space="preserve">elegate and considered this product to have an overall positive </w:t>
      </w:r>
      <w:proofErr w:type="spellStart"/>
      <w:r w:rsidRPr="005C7942">
        <w:t>benefit</w:t>
      </w:r>
      <w:r w:rsidRPr="005C7942">
        <w:noBreakHyphen/>
        <w:t>risk</w:t>
      </w:r>
      <w:proofErr w:type="spellEnd"/>
      <w:r w:rsidRPr="005C7942">
        <w:t xml:space="preserve"> profile for the indication as proposed by the sponsor.</w:t>
      </w:r>
    </w:p>
    <w:p w:rsidR="005C7942" w:rsidRPr="005C7942" w:rsidRDefault="005C7942" w:rsidP="00380556">
      <w:pPr>
        <w:pStyle w:val="Heading5"/>
        <w:rPr>
          <w:rFonts w:eastAsia="MS Mincho"/>
        </w:rPr>
      </w:pPr>
      <w:r w:rsidRPr="005C7942">
        <w:rPr>
          <w:rFonts w:eastAsia="MS Mincho"/>
        </w:rPr>
        <w:t xml:space="preserve">Proposed PI/CMI amendments: </w:t>
      </w:r>
    </w:p>
    <w:p w:rsidR="005C7942" w:rsidRPr="005C7942" w:rsidRDefault="005C7942" w:rsidP="00380556">
      <w:r>
        <w:t>The ACPM agreed with the D</w:t>
      </w:r>
      <w:r w:rsidRPr="005C7942">
        <w:t xml:space="preserve">elegate to the proposed amendments to the PI and CMI and specifically advised on the inclusion of the following: </w:t>
      </w:r>
    </w:p>
    <w:p w:rsidR="005C7942" w:rsidRPr="005C7942" w:rsidRDefault="007C410C" w:rsidP="00380556">
      <w:pPr>
        <w:pStyle w:val="ListBullet"/>
      </w:pPr>
      <w:r>
        <w:t>Pregnancy C</w:t>
      </w:r>
      <w:r w:rsidR="005C7942" w:rsidRPr="005C7942">
        <w:t>ategory X, with suitable warnings, should be applied.</w:t>
      </w:r>
    </w:p>
    <w:p w:rsidR="005C7942" w:rsidRPr="005C7942" w:rsidRDefault="005C7942" w:rsidP="00380556">
      <w:r w:rsidRPr="005C7942">
        <w:t xml:space="preserve">The ACPM advised that the implementation by the sponsor of the recommendations outlined above to the satisfaction of the TGA, in addition to the evidence of efficacy and safety provided would support the safe and effective use of this product. </w:t>
      </w:r>
    </w:p>
    <w:p w:rsidR="008E7846" w:rsidRPr="002E238E" w:rsidRDefault="008E7846" w:rsidP="00380556">
      <w:pPr>
        <w:pStyle w:val="Heading3"/>
      </w:pPr>
      <w:bookmarkStart w:id="150" w:name="_Toc247691532"/>
      <w:bookmarkStart w:id="151" w:name="_Toc314842516"/>
      <w:bookmarkStart w:id="152" w:name="_Toc370129115"/>
      <w:bookmarkEnd w:id="110"/>
      <w:bookmarkEnd w:id="147"/>
      <w:bookmarkEnd w:id="148"/>
      <w:r>
        <w:t>Outcome</w:t>
      </w:r>
      <w:bookmarkEnd w:id="150"/>
      <w:bookmarkEnd w:id="151"/>
      <w:bookmarkEnd w:id="152"/>
    </w:p>
    <w:p w:rsidR="008E7846" w:rsidRDefault="008E7846" w:rsidP="00C80137">
      <w:r>
        <w:t xml:space="preserve">Based on a review of quality, safety and efficacy, TGA approved the registration of </w:t>
      </w:r>
      <w:r w:rsidR="00B81172">
        <w:t>Erivedge hard capsule containing 150 mg v</w:t>
      </w:r>
      <w:r w:rsidR="00B81172" w:rsidRPr="00B81172">
        <w:t>ismodegib</w:t>
      </w:r>
      <w:r>
        <w:t>, indicated for:</w:t>
      </w:r>
    </w:p>
    <w:p w:rsidR="008E7846" w:rsidRPr="00380556" w:rsidRDefault="00B81172" w:rsidP="00380556">
      <w:pPr>
        <w:ind w:left="720"/>
        <w:rPr>
          <w:i/>
        </w:rPr>
      </w:pPr>
      <w:r w:rsidRPr="00380556">
        <w:rPr>
          <w:i/>
        </w:rPr>
        <w:t>the treatment of adult patients with metastatic basal cell carcinoma, or with locally advanced basal cell carcinoma where surgery and/or radiation therapy are not appropriate.</w:t>
      </w:r>
    </w:p>
    <w:p w:rsidR="00597004" w:rsidRPr="00597004" w:rsidRDefault="00597004" w:rsidP="00380556">
      <w:pPr>
        <w:pStyle w:val="Heading5"/>
      </w:pPr>
      <w:r>
        <w:t>Specific conditions applying to this therapeutic good</w:t>
      </w:r>
    </w:p>
    <w:p w:rsidR="00597004" w:rsidRPr="00597004" w:rsidRDefault="00597004" w:rsidP="00380556">
      <w:r w:rsidRPr="00597004">
        <w:t>The implementation in Australia of the Core Risk Management Plan Version: 1.0, dated</w:t>
      </w:r>
      <w:r>
        <w:t xml:space="preserve"> </w:t>
      </w:r>
      <w:r w:rsidR="00B81172">
        <w:t>31 J</w:t>
      </w:r>
      <w:r w:rsidRPr="00597004">
        <w:t>anuary 2012, with an Australia Specific Annex (</w:t>
      </w:r>
      <w:proofErr w:type="spellStart"/>
      <w:r w:rsidRPr="00597004">
        <w:t>AsA</w:t>
      </w:r>
      <w:proofErr w:type="spellEnd"/>
      <w:r w:rsidRPr="00597004">
        <w:t>) identified as Version:1.0,</w:t>
      </w:r>
      <w:r>
        <w:t xml:space="preserve"> </w:t>
      </w:r>
      <w:r w:rsidRPr="00597004">
        <w:t>dated April2012, to be revised as specified in the sponsor's correspondence dated 22</w:t>
      </w:r>
      <w:r>
        <w:t xml:space="preserve"> </w:t>
      </w:r>
      <w:r w:rsidRPr="00597004">
        <w:t>November 2012, and subsequently as approved by the TGA's Office of Product Review</w:t>
      </w:r>
      <w:r>
        <w:t>.</w:t>
      </w:r>
    </w:p>
    <w:p w:rsidR="008E7846" w:rsidRDefault="008E7846" w:rsidP="00380556">
      <w:pPr>
        <w:pStyle w:val="Heading2"/>
      </w:pPr>
      <w:bookmarkStart w:id="153" w:name="_Toc247691533"/>
      <w:bookmarkStart w:id="154" w:name="_Toc314842517"/>
      <w:bookmarkStart w:id="155" w:name="_Toc370129116"/>
      <w:r>
        <w:t>Attachment 1.</w:t>
      </w:r>
      <w:r>
        <w:tab/>
        <w:t xml:space="preserve">Product </w:t>
      </w:r>
      <w:r w:rsidR="00AA0ED0">
        <w:t>I</w:t>
      </w:r>
      <w:r>
        <w:t>nformation</w:t>
      </w:r>
      <w:bookmarkEnd w:id="153"/>
      <w:bookmarkEnd w:id="154"/>
      <w:bookmarkEnd w:id="155"/>
    </w:p>
    <w:p w:rsidR="00C80137" w:rsidRDefault="00C80137" w:rsidP="00380556">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36" w:history="1">
        <w:r w:rsidR="00722B57" w:rsidRPr="00625A6E">
          <w:rPr>
            <w:rStyle w:val="Hyperlink"/>
          </w:rPr>
          <w:t>http://www.tga.gov.au/hp/information-medicines-pi.htm</w:t>
        </w:r>
      </w:hyperlink>
      <w:hyperlink w:history="1"/>
      <w:r w:rsidR="008F6943">
        <w:rPr>
          <w:color w:val="000000"/>
          <w:lang w:eastAsia="en-AU"/>
        </w:rPr>
        <w:t>&gt;.</w:t>
      </w:r>
    </w:p>
    <w:p w:rsidR="00291957" w:rsidRDefault="00291957" w:rsidP="00291957">
      <w:pPr>
        <w:rPr>
          <w:lang w:eastAsia="ja-JP"/>
        </w:rPr>
      </w:pPr>
    </w:p>
    <w:p w:rsidR="00C80137" w:rsidRPr="001D043B" w:rsidRDefault="00C80137" w:rsidP="003A7F6C">
      <w:pPr>
        <w:pStyle w:val="TableTitle"/>
        <w:sectPr w:rsidR="00C80137" w:rsidRPr="001D043B" w:rsidSect="00B61BC4">
          <w:headerReference w:type="even" r:id="rId37"/>
          <w:headerReference w:type="default" r:id="rId38"/>
          <w:footerReference w:type="default" r:id="rId39"/>
          <w:headerReference w:type="first" r:id="rId40"/>
          <w:footerReference w:type="first" r:id="rId41"/>
          <w:pgSz w:w="11906" w:h="16838" w:code="9"/>
          <w:pgMar w:top="1418"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42"/>
      <w:headerReference w:type="default" r:id="rId43"/>
      <w:footerReference w:type="default" r:id="rId44"/>
      <w:headerReference w:type="first" r:id="rId45"/>
      <w:footerReference w:type="first" r:id="rId46"/>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501E" w:rsidRDefault="00A6501E" w:rsidP="00C40A36">
      <w:pPr>
        <w:spacing w:after="0"/>
      </w:pPr>
      <w:r>
        <w:separator/>
      </w:r>
    </w:p>
  </w:endnote>
  <w:endnote w:type="continuationSeparator" w:id="0">
    <w:p w:rsidR="00A6501E" w:rsidRDefault="00A6501E"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A6501E" w:rsidRPr="00487162" w:rsidTr="0053625B">
      <w:trPr>
        <w:trHeight w:val="269"/>
      </w:trPr>
      <w:tc>
        <w:tcPr>
          <w:tcW w:w="7938" w:type="dxa"/>
          <w:tcMar>
            <w:top w:w="142" w:type="dxa"/>
            <w:bottom w:w="0" w:type="dxa"/>
          </w:tcMar>
        </w:tcPr>
        <w:p w:rsidR="00A6501E" w:rsidRPr="00487162" w:rsidRDefault="00A6501E" w:rsidP="00C21C0E">
          <w:pPr>
            <w:pStyle w:val="Footer"/>
          </w:pPr>
          <w:r w:rsidRPr="00487162">
            <w:t xml:space="preserve">AusPAR </w:t>
          </w:r>
          <w:r>
            <w:t xml:space="preserve">Erivedge; </w:t>
          </w:r>
          <w:r w:rsidRPr="002C6766">
            <w:t>vismodegib</w:t>
          </w:r>
          <w:r>
            <w:t xml:space="preserve">; Roche Products Pty Limited; </w:t>
          </w:r>
          <w:r w:rsidRPr="00487162">
            <w:t>PM-20</w:t>
          </w:r>
          <w:r>
            <w:t>12</w:t>
          </w:r>
          <w:r w:rsidRPr="00487162">
            <w:t>-</w:t>
          </w:r>
          <w:r>
            <w:t>00329</w:t>
          </w:r>
          <w:r w:rsidRPr="00487162">
            <w:t>-</w:t>
          </w:r>
          <w:r>
            <w:t>3</w:t>
          </w:r>
          <w:r w:rsidRPr="00487162">
            <w:t>-</w:t>
          </w:r>
          <w:r>
            <w:t>4</w:t>
          </w:r>
          <w:r>
            <w:br/>
          </w:r>
          <w:r w:rsidRPr="00487162">
            <w:t>Date of Finalisation</w:t>
          </w:r>
          <w:r>
            <w:t>: September 2013.</w:t>
          </w:r>
        </w:p>
      </w:tc>
      <w:tc>
        <w:tcPr>
          <w:tcW w:w="923" w:type="dxa"/>
          <w:tcMar>
            <w:top w:w="142" w:type="dxa"/>
            <w:bottom w:w="0" w:type="dxa"/>
          </w:tcMar>
        </w:tcPr>
        <w:p w:rsidR="00A6501E" w:rsidRPr="00487162" w:rsidRDefault="00A6501E" w:rsidP="00D855D4">
          <w:pPr>
            <w:pStyle w:val="Footer"/>
            <w:jc w:val="right"/>
          </w:pPr>
          <w:r w:rsidRPr="00487162">
            <w:t xml:space="preserve">Page </w:t>
          </w:r>
          <w:r>
            <w:t>2</w:t>
          </w:r>
          <w:r w:rsidRPr="00487162">
            <w:t xml:space="preserve"> of </w:t>
          </w:r>
          <w:fldSimple w:instr=" NUMPAGES  \* Arabic ">
            <w:r w:rsidR="00DD59F2">
              <w:rPr>
                <w:noProof/>
              </w:rPr>
              <w:t>78</w:t>
            </w:r>
          </w:fldSimple>
        </w:p>
      </w:tc>
    </w:tr>
  </w:tbl>
  <w:p w:rsidR="00A6501E" w:rsidRDefault="00A6501E"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6946"/>
      <w:gridCol w:w="1915"/>
    </w:tblGrid>
    <w:tr w:rsidR="00A6501E" w:rsidRPr="00487162" w:rsidTr="002C6766">
      <w:trPr>
        <w:trHeight w:val="269"/>
      </w:trPr>
      <w:tc>
        <w:tcPr>
          <w:tcW w:w="6946" w:type="dxa"/>
          <w:tcMar>
            <w:top w:w="142" w:type="dxa"/>
            <w:bottom w:w="0" w:type="dxa"/>
          </w:tcMar>
        </w:tcPr>
        <w:p w:rsidR="00A6501E" w:rsidRPr="00487162" w:rsidRDefault="00A6501E" w:rsidP="002C6766">
          <w:pPr>
            <w:pStyle w:val="Footer"/>
          </w:pPr>
          <w:r w:rsidRPr="00C21C0E">
            <w:t>AusPAR Erivedge; vismodegib; Roche Products Pty Limited; PM-2012-00329-3-4</w:t>
          </w:r>
          <w:r w:rsidRPr="00C21C0E">
            <w:br/>
            <w:t>Date of Finalisation: September 2013.</w:t>
          </w:r>
        </w:p>
      </w:tc>
      <w:tc>
        <w:tcPr>
          <w:tcW w:w="1915" w:type="dxa"/>
          <w:tcMar>
            <w:top w:w="142" w:type="dxa"/>
            <w:bottom w:w="0" w:type="dxa"/>
          </w:tcMar>
        </w:tcPr>
        <w:p w:rsidR="00A6501E" w:rsidRPr="00487162" w:rsidRDefault="00A6501E" w:rsidP="00E45619">
          <w:pPr>
            <w:pStyle w:val="Footer"/>
            <w:jc w:val="right"/>
          </w:pPr>
          <w:r w:rsidRPr="00487162">
            <w:t xml:space="preserve">Page </w:t>
          </w:r>
          <w:fldSimple w:instr="PAGE">
            <w:r w:rsidR="00DD59F2">
              <w:rPr>
                <w:noProof/>
              </w:rPr>
              <w:t>4</w:t>
            </w:r>
          </w:fldSimple>
          <w:r w:rsidRPr="00487162">
            <w:t xml:space="preserve"> of </w:t>
          </w:r>
          <w:fldSimple w:instr=" NUMPAGES  \* Arabic ">
            <w:r w:rsidR="00DD59F2">
              <w:rPr>
                <w:noProof/>
              </w:rPr>
              <w:t>78</w:t>
            </w:r>
          </w:fldSimple>
        </w:p>
      </w:tc>
    </w:tr>
  </w:tbl>
  <w:p w:rsidR="00A6501E" w:rsidRDefault="00A6501E"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A6501E" w:rsidRPr="00487162" w:rsidTr="00E45619">
      <w:trPr>
        <w:trHeight w:val="269"/>
      </w:trPr>
      <w:tc>
        <w:tcPr>
          <w:tcW w:w="4519" w:type="dxa"/>
          <w:tcBorders>
            <w:top w:val="single" w:sz="4" w:space="0" w:color="auto"/>
          </w:tcBorders>
          <w:tcMar>
            <w:top w:w="142" w:type="dxa"/>
            <w:bottom w:w="0" w:type="dxa"/>
          </w:tcMar>
        </w:tcPr>
        <w:p w:rsidR="00A6501E" w:rsidRPr="00487162" w:rsidRDefault="00A6501E" w:rsidP="00FE1DEE">
          <w:pPr>
            <w:pStyle w:val="Footer"/>
          </w:pPr>
          <w:r w:rsidRPr="00487162">
            <w:t>Document title, Part #, Section # - Section title</w:t>
          </w:r>
        </w:p>
        <w:p w:rsidR="00A6501E" w:rsidRPr="00487162" w:rsidRDefault="00A6501E" w:rsidP="00FE1DEE">
          <w:pPr>
            <w:pStyle w:val="Footer"/>
          </w:pPr>
          <w:r w:rsidRPr="00487162">
            <w:t>V1.0 October 2010</w:t>
          </w:r>
        </w:p>
      </w:tc>
      <w:tc>
        <w:tcPr>
          <w:tcW w:w="4342" w:type="dxa"/>
          <w:tcBorders>
            <w:top w:val="single" w:sz="4" w:space="0" w:color="auto"/>
          </w:tcBorders>
          <w:tcMar>
            <w:top w:w="142" w:type="dxa"/>
            <w:bottom w:w="0" w:type="dxa"/>
          </w:tcMar>
        </w:tcPr>
        <w:p w:rsidR="00A6501E" w:rsidRPr="00487162" w:rsidRDefault="00A6501E"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A6501E" w:rsidRDefault="00A6501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A6501E" w:rsidRPr="00487162" w:rsidTr="00E45619">
              <w:trPr>
                <w:trHeight w:hRule="exact" w:val="704"/>
              </w:trPr>
              <w:tc>
                <w:tcPr>
                  <w:tcW w:w="9175" w:type="dxa"/>
                </w:tcPr>
                <w:p w:rsidR="00A6501E" w:rsidRPr="00487162" w:rsidRDefault="00A6501E" w:rsidP="008E7846">
                  <w:pPr>
                    <w:pStyle w:val="TGASignoff"/>
                  </w:pPr>
                  <w:r w:rsidRPr="00487162">
                    <w:t>Therapeutic Goods Administration</w:t>
                  </w:r>
                </w:p>
              </w:tc>
            </w:tr>
            <w:tr w:rsidR="00A6501E" w:rsidRPr="00487162" w:rsidTr="00E45619">
              <w:trPr>
                <w:trHeight w:val="1221"/>
              </w:trPr>
              <w:tc>
                <w:tcPr>
                  <w:tcW w:w="9175" w:type="dxa"/>
                  <w:tcMar>
                    <w:top w:w="28" w:type="dxa"/>
                  </w:tcMar>
                </w:tcPr>
                <w:p w:rsidR="00A6501E" w:rsidRPr="00487162" w:rsidRDefault="00A6501E" w:rsidP="00E45619">
                  <w:pPr>
                    <w:pStyle w:val="Address"/>
                  </w:pPr>
                  <w:r w:rsidRPr="00487162">
                    <w:t>PO Box 100 Woden ACT 2606 Australia</w:t>
                  </w:r>
                </w:p>
                <w:p w:rsidR="00A6501E" w:rsidRPr="00487162" w:rsidRDefault="00A6501E"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A6501E" w:rsidRPr="004C239D" w:rsidRDefault="00A6501E" w:rsidP="004C239D">
                  <w:pPr>
                    <w:pStyle w:val="Address"/>
                    <w:spacing w:line="260" w:lineRule="atLeast"/>
                    <w:rPr>
                      <w:b/>
                      <w:color w:val="0000FF"/>
                      <w:u w:val="single"/>
                    </w:rPr>
                  </w:pPr>
                  <w:hyperlink r:id="rId2" w:history="1">
                    <w:r w:rsidRPr="00607888">
                      <w:rPr>
                        <w:rStyle w:val="Hyperlink"/>
                        <w:b/>
                      </w:rPr>
                      <w:t>http://www.tga.gov.au</w:t>
                    </w:r>
                  </w:hyperlink>
                </w:p>
              </w:tc>
            </w:tr>
          </w:tbl>
          <w:p w:rsidR="00A6501E" w:rsidRDefault="00A6501E"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A6501E" w:rsidTr="0010601F">
      <w:trPr>
        <w:trHeight w:val="108"/>
      </w:trPr>
      <w:tc>
        <w:tcPr>
          <w:tcW w:w="8875" w:type="dxa"/>
          <w:gridSpan w:val="2"/>
          <w:tcBorders>
            <w:bottom w:val="single" w:sz="4" w:space="0" w:color="auto"/>
          </w:tcBorders>
          <w:tcMar>
            <w:right w:w="284" w:type="dxa"/>
          </w:tcMar>
        </w:tcPr>
        <w:p w:rsidR="00A6501E" w:rsidRDefault="00A6501E" w:rsidP="006E08B3">
          <w:pPr>
            <w:pStyle w:val="Heading3"/>
          </w:pPr>
          <w:r>
            <w:t>Copyright</w:t>
          </w:r>
        </w:p>
        <w:p w:rsidR="00A6501E" w:rsidRDefault="00A6501E" w:rsidP="006E08B3">
          <w:r>
            <w:rPr>
              <w:rFonts w:cs="Arial"/>
            </w:rPr>
            <w:t>©</w:t>
          </w:r>
          <w:r>
            <w:t xml:space="preserve"> Commonwealth of Australia [add year]</w:t>
          </w:r>
        </w:p>
        <w:p w:rsidR="00A6501E" w:rsidRDefault="00A6501E" w:rsidP="006E08B3"/>
        <w:p w:rsidR="00A6501E" w:rsidRDefault="00A6501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6501E" w:rsidRDefault="00A6501E" w:rsidP="006E08B3"/>
        <w:p w:rsidR="00A6501E" w:rsidRDefault="00A6501E" w:rsidP="006E08B3">
          <w:pPr>
            <w:pStyle w:val="Heading3"/>
          </w:pPr>
          <w:r>
            <w:t>Confidentiality</w:t>
          </w:r>
        </w:p>
        <w:p w:rsidR="00A6501E" w:rsidRDefault="00A6501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6501E" w:rsidRDefault="00A6501E" w:rsidP="006E08B3"/>
        <w:p w:rsidR="00A6501E" w:rsidRDefault="00A6501E" w:rsidP="006E08B3">
          <w:r>
            <w:t>For submission made by individuals, all personal details, other than your name, will be removed from your submission before it is published on the TGA’s Internet site.</w:t>
          </w:r>
        </w:p>
        <w:p w:rsidR="00A6501E" w:rsidRDefault="00A6501E" w:rsidP="006E08B3"/>
        <w:p w:rsidR="00A6501E" w:rsidRDefault="00A6501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6501E" w:rsidTr="0010601F">
      <w:trPr>
        <w:trHeight w:val="417"/>
      </w:trPr>
      <w:tc>
        <w:tcPr>
          <w:tcW w:w="4519" w:type="dxa"/>
          <w:tcBorders>
            <w:top w:val="single" w:sz="4" w:space="0" w:color="auto"/>
          </w:tcBorders>
          <w:tcMar>
            <w:top w:w="142" w:type="dxa"/>
            <w:bottom w:w="0" w:type="dxa"/>
          </w:tcMar>
        </w:tcPr>
        <w:p w:rsidR="00A6501E" w:rsidRDefault="00A6501E" w:rsidP="006E08B3">
          <w:r>
            <w:t>Document title, Part #, Section # - Section title</w:t>
          </w:r>
        </w:p>
        <w:p w:rsidR="00A6501E" w:rsidRDefault="00A6501E" w:rsidP="006E08B3">
          <w:r>
            <w:t>V1.0 October 2010</w:t>
          </w:r>
        </w:p>
      </w:tc>
      <w:tc>
        <w:tcPr>
          <w:tcW w:w="4356" w:type="dxa"/>
          <w:tcBorders>
            <w:top w:val="single" w:sz="4" w:space="0" w:color="auto"/>
          </w:tcBorders>
          <w:tcMar>
            <w:top w:w="142" w:type="dxa"/>
            <w:bottom w:w="0" w:type="dxa"/>
          </w:tcMar>
        </w:tcPr>
        <w:p w:rsidR="00A6501E" w:rsidRDefault="00A6501E"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A6501E" w:rsidRDefault="00A6501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501E" w:rsidRDefault="00A6501E" w:rsidP="00C40A36">
      <w:pPr>
        <w:spacing w:after="0"/>
      </w:pPr>
      <w:r>
        <w:separator/>
      </w:r>
    </w:p>
  </w:footnote>
  <w:footnote w:type="continuationSeparator" w:id="0">
    <w:p w:rsidR="00A6501E" w:rsidRDefault="00A6501E" w:rsidP="00C40A36">
      <w:pPr>
        <w:spacing w:after="0"/>
      </w:pPr>
      <w:r>
        <w:continuationSeparator/>
      </w:r>
    </w:p>
  </w:footnote>
  <w:footnote w:id="1">
    <w:p w:rsidR="00A6501E" w:rsidRPr="00664368" w:rsidRDefault="00A6501E" w:rsidP="00B61BC4">
      <w:pPr>
        <w:keepNext/>
        <w:spacing w:before="0" w:after="0" w:line="240" w:lineRule="auto"/>
        <w:rPr>
          <w:sz w:val="18"/>
          <w:szCs w:val="18"/>
        </w:rPr>
      </w:pPr>
      <w:r w:rsidRPr="00664368">
        <w:rPr>
          <w:sz w:val="18"/>
          <w:szCs w:val="18"/>
          <w:vertAlign w:val="superscript"/>
        </w:rPr>
        <w:footnoteRef/>
      </w:r>
      <w:r w:rsidRPr="00664368">
        <w:rPr>
          <w:sz w:val="18"/>
          <w:szCs w:val="18"/>
        </w:rPr>
        <w:t xml:space="preserve"> </w:t>
      </w:r>
      <w:r>
        <w:rPr>
          <w:sz w:val="18"/>
          <w:szCs w:val="18"/>
        </w:rPr>
        <w:t xml:space="preserve">ICH: </w:t>
      </w:r>
      <w:r w:rsidRPr="00664368">
        <w:rPr>
          <w:sz w:val="18"/>
          <w:szCs w:val="18"/>
        </w:rPr>
        <w:t>International Conference on Harmonisation of Technical Requirements for Registration of Pharmaceuticals for Human Use</w:t>
      </w:r>
      <w:r>
        <w:rPr>
          <w:sz w:val="18"/>
          <w:szCs w:val="18"/>
        </w:rPr>
        <w:t>.</w:t>
      </w:r>
    </w:p>
  </w:footnote>
  <w:footnote w:id="2">
    <w:p w:rsidR="00A6501E" w:rsidRPr="0034302D" w:rsidRDefault="00A6501E">
      <w:pPr>
        <w:pStyle w:val="FootnoteText"/>
        <w:rPr>
          <w:rFonts w:ascii="Cambria" w:hAnsi="Cambria"/>
          <w:sz w:val="18"/>
          <w:szCs w:val="18"/>
        </w:rPr>
      </w:pPr>
      <w:r w:rsidRPr="0034302D">
        <w:rPr>
          <w:rStyle w:val="FootnoteReference"/>
          <w:rFonts w:ascii="Cambria" w:hAnsi="Cambria"/>
          <w:sz w:val="18"/>
          <w:szCs w:val="18"/>
        </w:rPr>
        <w:footnoteRef/>
      </w:r>
      <w:r w:rsidRPr="0034302D">
        <w:rPr>
          <w:rFonts w:ascii="Cambria" w:hAnsi="Cambria"/>
          <w:sz w:val="18"/>
          <w:szCs w:val="18"/>
        </w:rPr>
        <w:t xml:space="preserve"> </w:t>
      </w:r>
      <w:proofErr w:type="spellStart"/>
      <w:r w:rsidRPr="0034302D">
        <w:rPr>
          <w:rFonts w:ascii="Cambria" w:hAnsi="Cambria"/>
          <w:sz w:val="18"/>
          <w:szCs w:val="18"/>
        </w:rPr>
        <w:t>Dassule</w:t>
      </w:r>
      <w:proofErr w:type="spellEnd"/>
      <w:r w:rsidRPr="0034302D">
        <w:rPr>
          <w:rFonts w:ascii="Cambria" w:hAnsi="Cambria"/>
          <w:sz w:val="18"/>
          <w:szCs w:val="18"/>
        </w:rPr>
        <w:t xml:space="preserve"> HR, Lewis P, </w:t>
      </w:r>
      <w:proofErr w:type="spellStart"/>
      <w:r w:rsidRPr="0034302D">
        <w:rPr>
          <w:rFonts w:ascii="Cambria" w:hAnsi="Cambria"/>
          <w:sz w:val="18"/>
          <w:szCs w:val="18"/>
        </w:rPr>
        <w:t>Bei</w:t>
      </w:r>
      <w:proofErr w:type="spellEnd"/>
      <w:r w:rsidRPr="0034302D">
        <w:rPr>
          <w:rFonts w:ascii="Cambria" w:hAnsi="Cambria"/>
          <w:sz w:val="18"/>
          <w:szCs w:val="18"/>
        </w:rPr>
        <w:t xml:space="preserve"> M, </w:t>
      </w:r>
      <w:r w:rsidRPr="0034302D">
        <w:rPr>
          <w:rFonts w:ascii="Cambria" w:hAnsi="Cambria"/>
          <w:i/>
          <w:sz w:val="18"/>
          <w:szCs w:val="18"/>
        </w:rPr>
        <w:t>et al</w:t>
      </w:r>
      <w:r w:rsidRPr="0034302D">
        <w:rPr>
          <w:rFonts w:ascii="Cambria" w:hAnsi="Cambria"/>
          <w:sz w:val="18"/>
          <w:szCs w:val="18"/>
        </w:rPr>
        <w:t xml:space="preserve">. Sonic hedgehog regulates growth and </w:t>
      </w:r>
      <w:proofErr w:type="spellStart"/>
      <w:r w:rsidRPr="0034302D">
        <w:rPr>
          <w:rFonts w:ascii="Cambria" w:hAnsi="Cambria"/>
          <w:sz w:val="18"/>
          <w:szCs w:val="18"/>
        </w:rPr>
        <w:t>orphogenesis</w:t>
      </w:r>
      <w:proofErr w:type="spellEnd"/>
      <w:r w:rsidRPr="0034302D">
        <w:rPr>
          <w:rFonts w:ascii="Cambria" w:hAnsi="Cambria"/>
          <w:sz w:val="18"/>
          <w:szCs w:val="18"/>
        </w:rPr>
        <w:t xml:space="preserve"> of the tooth. </w:t>
      </w:r>
      <w:r w:rsidRPr="0034302D">
        <w:rPr>
          <w:rFonts w:ascii="Cambria" w:hAnsi="Cambria"/>
          <w:i/>
          <w:sz w:val="18"/>
          <w:szCs w:val="18"/>
        </w:rPr>
        <w:t>Development</w:t>
      </w:r>
      <w:r w:rsidRPr="0034302D">
        <w:rPr>
          <w:rFonts w:ascii="Cambria" w:hAnsi="Cambria"/>
          <w:sz w:val="18"/>
          <w:szCs w:val="18"/>
        </w:rPr>
        <w:t xml:space="preserve"> </w:t>
      </w:r>
      <w:r>
        <w:rPr>
          <w:rFonts w:ascii="Cambria" w:hAnsi="Cambria"/>
          <w:sz w:val="18"/>
          <w:szCs w:val="18"/>
        </w:rPr>
        <w:t>2000;</w:t>
      </w:r>
      <w:r w:rsidRPr="0034302D">
        <w:rPr>
          <w:rFonts w:ascii="Cambria" w:hAnsi="Cambria"/>
          <w:sz w:val="18"/>
          <w:szCs w:val="18"/>
        </w:rPr>
        <w:t>127:4775-4785</w:t>
      </w:r>
      <w:r>
        <w:rPr>
          <w:rFonts w:ascii="Cambria" w:hAnsi="Cambria"/>
          <w:sz w:val="18"/>
          <w:szCs w:val="18"/>
        </w:rPr>
        <w:t>.</w:t>
      </w:r>
    </w:p>
  </w:footnote>
  <w:footnote w:id="3">
    <w:p w:rsidR="00A6501E" w:rsidRPr="0034302D" w:rsidRDefault="00A6501E">
      <w:pPr>
        <w:pStyle w:val="FootnoteText"/>
        <w:rPr>
          <w:rFonts w:ascii="Cambria" w:hAnsi="Cambria"/>
          <w:sz w:val="18"/>
          <w:szCs w:val="18"/>
        </w:rPr>
      </w:pPr>
      <w:r w:rsidRPr="0034302D">
        <w:rPr>
          <w:rStyle w:val="FootnoteReference"/>
          <w:rFonts w:ascii="Cambria" w:hAnsi="Cambria"/>
          <w:sz w:val="18"/>
          <w:szCs w:val="18"/>
        </w:rPr>
        <w:footnoteRef/>
      </w:r>
      <w:r w:rsidRPr="0034302D">
        <w:rPr>
          <w:rFonts w:ascii="Cambria" w:hAnsi="Cambria"/>
          <w:sz w:val="18"/>
          <w:szCs w:val="18"/>
        </w:rPr>
        <w:t xml:space="preserve"> Kimura H, Ng JM, Curran T. Transient inhibition of the Hedgehog pathway in young mice causes permanent defects in bone structure. </w:t>
      </w:r>
      <w:r w:rsidRPr="0034302D">
        <w:rPr>
          <w:rFonts w:ascii="Cambria" w:hAnsi="Cambria"/>
          <w:i/>
          <w:sz w:val="18"/>
          <w:szCs w:val="18"/>
        </w:rPr>
        <w:t>Cancer Cell</w:t>
      </w:r>
      <w:r w:rsidRPr="0034302D">
        <w:rPr>
          <w:rFonts w:ascii="Cambria" w:hAnsi="Cambria"/>
          <w:sz w:val="18"/>
          <w:szCs w:val="18"/>
        </w:rPr>
        <w:t xml:space="preserve"> </w:t>
      </w:r>
      <w:r>
        <w:rPr>
          <w:rFonts w:ascii="Cambria" w:hAnsi="Cambria"/>
          <w:sz w:val="18"/>
          <w:szCs w:val="18"/>
        </w:rPr>
        <w:t>2008;</w:t>
      </w:r>
      <w:r w:rsidRPr="0034302D">
        <w:rPr>
          <w:rFonts w:ascii="Cambria" w:hAnsi="Cambria"/>
          <w:sz w:val="18"/>
          <w:szCs w:val="18"/>
        </w:rPr>
        <w:t>13:249-260</w:t>
      </w:r>
      <w:r>
        <w:rPr>
          <w:rFonts w:ascii="Cambria" w:hAnsi="Cambria"/>
          <w:sz w:val="18"/>
          <w:szCs w:val="18"/>
        </w:rPr>
        <w:t>.</w:t>
      </w:r>
    </w:p>
  </w:footnote>
  <w:footnote w:id="4">
    <w:p w:rsidR="00A6501E" w:rsidRPr="0034302D" w:rsidRDefault="00A6501E" w:rsidP="0034302D">
      <w:pPr>
        <w:pStyle w:val="FootnoteText"/>
        <w:rPr>
          <w:rFonts w:ascii="Cambria" w:hAnsi="Cambria"/>
          <w:sz w:val="18"/>
          <w:szCs w:val="18"/>
        </w:rPr>
      </w:pPr>
      <w:r w:rsidRPr="0034302D">
        <w:rPr>
          <w:rStyle w:val="FootnoteReference"/>
          <w:rFonts w:ascii="Cambria" w:hAnsi="Cambria"/>
          <w:sz w:val="18"/>
          <w:szCs w:val="18"/>
        </w:rPr>
        <w:footnoteRef/>
      </w:r>
      <w:r w:rsidRPr="0034302D">
        <w:rPr>
          <w:rFonts w:ascii="Cambria" w:hAnsi="Cambria"/>
          <w:sz w:val="18"/>
          <w:szCs w:val="18"/>
        </w:rPr>
        <w:t xml:space="preserve"> St-Jacques B, </w:t>
      </w:r>
      <w:proofErr w:type="spellStart"/>
      <w:r w:rsidRPr="0034302D">
        <w:rPr>
          <w:rFonts w:ascii="Cambria" w:hAnsi="Cambria"/>
          <w:sz w:val="18"/>
          <w:szCs w:val="18"/>
        </w:rPr>
        <w:t>Hammerschmidt</w:t>
      </w:r>
      <w:proofErr w:type="spellEnd"/>
      <w:r w:rsidRPr="0034302D">
        <w:rPr>
          <w:rFonts w:ascii="Cambria" w:hAnsi="Cambria"/>
          <w:sz w:val="18"/>
          <w:szCs w:val="18"/>
        </w:rPr>
        <w:t xml:space="preserve"> M, McMahon AP. Indian hedgehog </w:t>
      </w:r>
      <w:proofErr w:type="spellStart"/>
      <w:r w:rsidRPr="0034302D">
        <w:rPr>
          <w:rFonts w:ascii="Cambria" w:hAnsi="Cambria"/>
          <w:sz w:val="18"/>
          <w:szCs w:val="18"/>
        </w:rPr>
        <w:t>signaling</w:t>
      </w:r>
      <w:proofErr w:type="spellEnd"/>
      <w:r w:rsidRPr="0034302D">
        <w:rPr>
          <w:rFonts w:ascii="Cambria" w:hAnsi="Cambria"/>
          <w:sz w:val="18"/>
          <w:szCs w:val="18"/>
        </w:rPr>
        <w:t xml:space="preserve"> regulates</w:t>
      </w:r>
      <w:r>
        <w:rPr>
          <w:rFonts w:ascii="Cambria" w:hAnsi="Cambria"/>
          <w:sz w:val="18"/>
          <w:szCs w:val="18"/>
        </w:rPr>
        <w:t xml:space="preserve"> </w:t>
      </w:r>
      <w:r w:rsidRPr="0034302D">
        <w:rPr>
          <w:rFonts w:ascii="Cambria" w:hAnsi="Cambria"/>
          <w:sz w:val="18"/>
          <w:szCs w:val="18"/>
        </w:rPr>
        <w:t xml:space="preserve">proliferation and differentiation of </w:t>
      </w:r>
      <w:proofErr w:type="spellStart"/>
      <w:r w:rsidRPr="0034302D">
        <w:rPr>
          <w:rFonts w:ascii="Cambria" w:hAnsi="Cambria"/>
          <w:sz w:val="18"/>
          <w:szCs w:val="18"/>
        </w:rPr>
        <w:t>chondrocytes</w:t>
      </w:r>
      <w:proofErr w:type="spellEnd"/>
      <w:r w:rsidRPr="0034302D">
        <w:rPr>
          <w:rFonts w:ascii="Cambria" w:hAnsi="Cambria"/>
          <w:sz w:val="18"/>
          <w:szCs w:val="18"/>
        </w:rPr>
        <w:t xml:space="preserve"> and is essential for bone formation. </w:t>
      </w:r>
      <w:r w:rsidRPr="0034302D">
        <w:rPr>
          <w:rFonts w:ascii="Cambria" w:hAnsi="Cambria"/>
          <w:i/>
          <w:sz w:val="18"/>
          <w:szCs w:val="18"/>
        </w:rPr>
        <w:t>Genes Dev</w:t>
      </w:r>
      <w:r w:rsidRPr="0034302D">
        <w:rPr>
          <w:rFonts w:ascii="Cambria" w:hAnsi="Cambria"/>
          <w:sz w:val="18"/>
          <w:szCs w:val="18"/>
        </w:rPr>
        <w:t xml:space="preserve"> </w:t>
      </w:r>
      <w:r>
        <w:rPr>
          <w:rFonts w:ascii="Cambria" w:hAnsi="Cambria"/>
          <w:sz w:val="18"/>
          <w:szCs w:val="18"/>
        </w:rPr>
        <w:t>1999;</w:t>
      </w:r>
      <w:r w:rsidRPr="0034302D">
        <w:rPr>
          <w:rFonts w:ascii="Cambria" w:hAnsi="Cambria"/>
          <w:sz w:val="18"/>
          <w:szCs w:val="18"/>
        </w:rPr>
        <w:t>13:2072-</w:t>
      </w:r>
      <w:r>
        <w:rPr>
          <w:rFonts w:ascii="Cambria" w:hAnsi="Cambria"/>
          <w:sz w:val="18"/>
          <w:szCs w:val="18"/>
        </w:rPr>
        <w:t>20</w:t>
      </w:r>
      <w:r w:rsidRPr="0034302D">
        <w:rPr>
          <w:rFonts w:ascii="Cambria" w:hAnsi="Cambria"/>
          <w:sz w:val="18"/>
          <w:szCs w:val="18"/>
        </w:rPr>
        <w:t>86</w:t>
      </w:r>
      <w:r>
        <w:rPr>
          <w:rFonts w:ascii="Cambria" w:hAnsi="Cambria"/>
          <w:sz w:val="18"/>
          <w:szCs w:val="18"/>
        </w:rPr>
        <w:t>.</w:t>
      </w:r>
    </w:p>
  </w:footnote>
  <w:footnote w:id="5">
    <w:p w:rsidR="00A6501E" w:rsidRPr="00B8204A" w:rsidRDefault="00A6501E">
      <w:pPr>
        <w:pStyle w:val="FootnoteText"/>
        <w:rPr>
          <w:rFonts w:ascii="Cambria" w:hAnsi="Cambria"/>
          <w:sz w:val="18"/>
          <w:szCs w:val="18"/>
        </w:rPr>
      </w:pPr>
      <w:r w:rsidRPr="00B8204A">
        <w:rPr>
          <w:rStyle w:val="FootnoteReference"/>
          <w:rFonts w:ascii="Cambria" w:hAnsi="Cambria"/>
          <w:sz w:val="18"/>
          <w:szCs w:val="18"/>
        </w:rPr>
        <w:footnoteRef/>
      </w:r>
      <w:r w:rsidRPr="00B8204A">
        <w:rPr>
          <w:rFonts w:ascii="Cambria" w:hAnsi="Cambria"/>
          <w:sz w:val="18"/>
          <w:szCs w:val="18"/>
        </w:rPr>
        <w:t xml:space="preserve"> </w:t>
      </w:r>
      <w:r>
        <w:rPr>
          <w:rFonts w:ascii="Cambria" w:hAnsi="Cambria"/>
          <w:sz w:val="18"/>
          <w:szCs w:val="18"/>
        </w:rPr>
        <w:t xml:space="preserve">Julian CG, </w:t>
      </w:r>
      <w:r w:rsidRPr="00B8204A">
        <w:rPr>
          <w:rFonts w:ascii="Cambria" w:hAnsi="Cambria"/>
          <w:sz w:val="18"/>
          <w:szCs w:val="18"/>
        </w:rPr>
        <w:t>Bowers PW</w:t>
      </w:r>
      <w:r>
        <w:rPr>
          <w:rFonts w:ascii="Cambria" w:hAnsi="Cambria"/>
          <w:sz w:val="18"/>
          <w:szCs w:val="18"/>
        </w:rPr>
        <w:t>.</w:t>
      </w:r>
      <w:r w:rsidRPr="00B8204A">
        <w:rPr>
          <w:rFonts w:ascii="Cambria" w:hAnsi="Cambria"/>
          <w:sz w:val="18"/>
          <w:szCs w:val="18"/>
        </w:rPr>
        <w:t xml:space="preserve"> A clinical review of 209 </w:t>
      </w:r>
      <w:proofErr w:type="spellStart"/>
      <w:r w:rsidRPr="00B8204A">
        <w:rPr>
          <w:rFonts w:ascii="Cambria" w:hAnsi="Cambria"/>
          <w:sz w:val="18"/>
          <w:szCs w:val="18"/>
        </w:rPr>
        <w:t>pilomatricomas</w:t>
      </w:r>
      <w:proofErr w:type="spellEnd"/>
      <w:r w:rsidRPr="00B8204A">
        <w:rPr>
          <w:rFonts w:ascii="Cambria" w:hAnsi="Cambria"/>
          <w:sz w:val="18"/>
          <w:szCs w:val="18"/>
        </w:rPr>
        <w:t xml:space="preserve">. </w:t>
      </w:r>
      <w:r w:rsidRPr="00B8204A">
        <w:rPr>
          <w:rFonts w:ascii="Cambria" w:hAnsi="Cambria"/>
          <w:i/>
          <w:sz w:val="18"/>
          <w:szCs w:val="18"/>
        </w:rPr>
        <w:t xml:space="preserve">J Am. Acad. </w:t>
      </w:r>
      <w:proofErr w:type="spellStart"/>
      <w:r w:rsidRPr="00B8204A">
        <w:rPr>
          <w:rFonts w:ascii="Cambria" w:hAnsi="Cambria"/>
          <w:i/>
          <w:sz w:val="18"/>
          <w:szCs w:val="18"/>
        </w:rPr>
        <w:t>Dermatol</w:t>
      </w:r>
      <w:proofErr w:type="spellEnd"/>
      <w:r w:rsidRPr="00B8204A">
        <w:rPr>
          <w:rFonts w:ascii="Cambria" w:hAnsi="Cambria"/>
          <w:sz w:val="18"/>
          <w:szCs w:val="18"/>
        </w:rPr>
        <w:t xml:space="preserve">. </w:t>
      </w:r>
      <w:r>
        <w:rPr>
          <w:rFonts w:ascii="Cambria" w:hAnsi="Cambria"/>
          <w:sz w:val="18"/>
          <w:szCs w:val="18"/>
        </w:rPr>
        <w:t>1998;</w:t>
      </w:r>
      <w:r w:rsidRPr="00B8204A">
        <w:rPr>
          <w:rFonts w:ascii="Cambria" w:hAnsi="Cambria"/>
          <w:sz w:val="18"/>
          <w:szCs w:val="18"/>
        </w:rPr>
        <w:t>39</w:t>
      </w:r>
      <w:r>
        <w:rPr>
          <w:rFonts w:ascii="Cambria" w:hAnsi="Cambria"/>
          <w:sz w:val="18"/>
          <w:szCs w:val="18"/>
        </w:rPr>
        <w:t>:</w:t>
      </w:r>
      <w:r w:rsidRPr="00B8204A">
        <w:rPr>
          <w:rFonts w:ascii="Cambria" w:hAnsi="Cambria"/>
          <w:sz w:val="18"/>
          <w:szCs w:val="18"/>
        </w:rPr>
        <w:t>191-195.</w:t>
      </w:r>
    </w:p>
  </w:footnote>
  <w:footnote w:id="6">
    <w:p w:rsidR="00A6501E" w:rsidRPr="008D2130" w:rsidRDefault="00A6501E" w:rsidP="008D2130">
      <w:pPr>
        <w:pStyle w:val="FootnoteText"/>
        <w:rPr>
          <w:rFonts w:ascii="Cambria" w:hAnsi="Cambria"/>
          <w:sz w:val="18"/>
          <w:szCs w:val="18"/>
        </w:rPr>
      </w:pPr>
      <w:r w:rsidRPr="008D2130">
        <w:rPr>
          <w:rStyle w:val="FootnoteReference"/>
          <w:rFonts w:ascii="Cambria" w:hAnsi="Cambria"/>
          <w:sz w:val="18"/>
          <w:szCs w:val="18"/>
        </w:rPr>
        <w:footnoteRef/>
      </w:r>
      <w:r w:rsidRPr="008D2130">
        <w:rPr>
          <w:rFonts w:ascii="Cambria" w:hAnsi="Cambria"/>
          <w:sz w:val="18"/>
          <w:szCs w:val="18"/>
        </w:rPr>
        <w:t xml:space="preserve"> Li</w:t>
      </w:r>
      <w:r>
        <w:rPr>
          <w:rFonts w:ascii="Cambria" w:hAnsi="Cambria"/>
          <w:sz w:val="18"/>
          <w:szCs w:val="18"/>
        </w:rPr>
        <w:t xml:space="preserve">pinski RJ, </w:t>
      </w:r>
      <w:proofErr w:type="spellStart"/>
      <w:r>
        <w:rPr>
          <w:rFonts w:ascii="Cambria" w:hAnsi="Cambria"/>
          <w:sz w:val="18"/>
          <w:szCs w:val="18"/>
        </w:rPr>
        <w:t>Hutson</w:t>
      </w:r>
      <w:proofErr w:type="spellEnd"/>
      <w:r>
        <w:rPr>
          <w:rFonts w:ascii="Cambria" w:hAnsi="Cambria"/>
          <w:sz w:val="18"/>
          <w:szCs w:val="18"/>
        </w:rPr>
        <w:t xml:space="preserve"> PR, </w:t>
      </w:r>
      <w:proofErr w:type="spellStart"/>
      <w:r>
        <w:rPr>
          <w:rFonts w:ascii="Cambria" w:hAnsi="Cambria"/>
          <w:sz w:val="18"/>
          <w:szCs w:val="18"/>
        </w:rPr>
        <w:t>Hannam</w:t>
      </w:r>
      <w:proofErr w:type="spellEnd"/>
      <w:r>
        <w:rPr>
          <w:rFonts w:ascii="Cambria" w:hAnsi="Cambria"/>
          <w:sz w:val="18"/>
          <w:szCs w:val="18"/>
        </w:rPr>
        <w:t xml:space="preserve"> PW</w:t>
      </w:r>
      <w:r w:rsidRPr="008D2130">
        <w:rPr>
          <w:rFonts w:ascii="Cambria" w:hAnsi="Cambria"/>
          <w:sz w:val="18"/>
          <w:szCs w:val="18"/>
        </w:rPr>
        <w:t xml:space="preserve"> </w:t>
      </w:r>
      <w:r w:rsidRPr="008D2130">
        <w:rPr>
          <w:rFonts w:ascii="Cambria" w:hAnsi="Cambria"/>
          <w:i/>
          <w:sz w:val="18"/>
          <w:szCs w:val="18"/>
        </w:rPr>
        <w:t>et al</w:t>
      </w:r>
      <w:r w:rsidRPr="008D2130">
        <w:rPr>
          <w:rFonts w:ascii="Cambria" w:hAnsi="Cambria"/>
          <w:sz w:val="18"/>
          <w:szCs w:val="18"/>
        </w:rPr>
        <w:t xml:space="preserve">. Dose- and route-dependent </w:t>
      </w:r>
      <w:proofErr w:type="spellStart"/>
      <w:r w:rsidRPr="008D2130">
        <w:rPr>
          <w:rFonts w:ascii="Cambria" w:hAnsi="Cambria"/>
          <w:sz w:val="18"/>
          <w:szCs w:val="18"/>
        </w:rPr>
        <w:t>teratogenicity</w:t>
      </w:r>
      <w:proofErr w:type="spellEnd"/>
      <w:r w:rsidRPr="008D2130">
        <w:rPr>
          <w:rFonts w:ascii="Cambria" w:hAnsi="Cambria"/>
          <w:sz w:val="18"/>
          <w:szCs w:val="18"/>
        </w:rPr>
        <w:t>, toxicity, and pharmacokinetic profiles of the hedgehog signa</w:t>
      </w:r>
      <w:r>
        <w:rPr>
          <w:rFonts w:ascii="Cambria" w:hAnsi="Cambria"/>
          <w:sz w:val="18"/>
          <w:szCs w:val="18"/>
        </w:rPr>
        <w:t>l</w:t>
      </w:r>
      <w:r w:rsidRPr="008D2130">
        <w:rPr>
          <w:rFonts w:ascii="Cambria" w:hAnsi="Cambria"/>
          <w:sz w:val="18"/>
          <w:szCs w:val="18"/>
        </w:rPr>
        <w:t xml:space="preserve">ling antagonist </w:t>
      </w:r>
      <w:proofErr w:type="spellStart"/>
      <w:r w:rsidRPr="008D2130">
        <w:rPr>
          <w:rFonts w:ascii="Cambria" w:hAnsi="Cambria"/>
          <w:sz w:val="18"/>
          <w:szCs w:val="18"/>
        </w:rPr>
        <w:t>cyclopamine</w:t>
      </w:r>
      <w:proofErr w:type="spellEnd"/>
      <w:r w:rsidRPr="008D2130">
        <w:rPr>
          <w:rFonts w:ascii="Cambria" w:hAnsi="Cambria"/>
          <w:sz w:val="18"/>
          <w:szCs w:val="18"/>
        </w:rPr>
        <w:t xml:space="preserve"> in the mouse. </w:t>
      </w:r>
      <w:proofErr w:type="spellStart"/>
      <w:r w:rsidRPr="008D2130">
        <w:rPr>
          <w:rFonts w:ascii="Cambria" w:hAnsi="Cambria"/>
          <w:i/>
          <w:sz w:val="18"/>
          <w:szCs w:val="18"/>
        </w:rPr>
        <w:t>Toxicol</w:t>
      </w:r>
      <w:proofErr w:type="spellEnd"/>
      <w:r w:rsidRPr="008D2130">
        <w:rPr>
          <w:rFonts w:ascii="Cambria" w:hAnsi="Cambria"/>
          <w:i/>
          <w:sz w:val="18"/>
          <w:szCs w:val="18"/>
        </w:rPr>
        <w:t xml:space="preserve"> </w:t>
      </w:r>
      <w:proofErr w:type="spellStart"/>
      <w:r w:rsidRPr="008D2130">
        <w:rPr>
          <w:rFonts w:ascii="Cambria" w:hAnsi="Cambria"/>
          <w:i/>
          <w:sz w:val="18"/>
          <w:szCs w:val="18"/>
        </w:rPr>
        <w:t>Sci</w:t>
      </w:r>
      <w:proofErr w:type="spellEnd"/>
      <w:r w:rsidRPr="008D2130">
        <w:rPr>
          <w:rFonts w:ascii="Cambria" w:hAnsi="Cambria"/>
          <w:sz w:val="18"/>
          <w:szCs w:val="18"/>
        </w:rPr>
        <w:t xml:space="preserve"> </w:t>
      </w:r>
      <w:r>
        <w:rPr>
          <w:rFonts w:ascii="Cambria" w:hAnsi="Cambria"/>
          <w:sz w:val="18"/>
          <w:szCs w:val="18"/>
        </w:rPr>
        <w:t>2008;</w:t>
      </w:r>
      <w:r w:rsidRPr="008D2130">
        <w:rPr>
          <w:rFonts w:ascii="Cambria" w:hAnsi="Cambria"/>
          <w:sz w:val="18"/>
          <w:szCs w:val="18"/>
        </w:rPr>
        <w:t>104:189−</w:t>
      </w:r>
      <w:r>
        <w:rPr>
          <w:rFonts w:ascii="Cambria" w:hAnsi="Cambria"/>
          <w:sz w:val="18"/>
          <w:szCs w:val="18"/>
        </w:rPr>
        <w:t>1</w:t>
      </w:r>
      <w:r w:rsidRPr="008D2130">
        <w:rPr>
          <w:rFonts w:ascii="Cambria" w:hAnsi="Cambria"/>
          <w:sz w:val="18"/>
          <w:szCs w:val="18"/>
        </w:rPr>
        <w:t>97</w:t>
      </w:r>
      <w:r>
        <w:rPr>
          <w:rFonts w:ascii="Cambria" w:hAnsi="Cambria"/>
          <w:sz w:val="18"/>
          <w:szCs w:val="18"/>
        </w:rPr>
        <w:t>.</w:t>
      </w:r>
    </w:p>
  </w:footnote>
  <w:footnote w:id="7">
    <w:p w:rsidR="00A6501E" w:rsidRPr="008D2130" w:rsidRDefault="00A6501E" w:rsidP="008D2130">
      <w:pPr>
        <w:pStyle w:val="FootnoteText"/>
        <w:rPr>
          <w:rFonts w:ascii="Cambria" w:hAnsi="Cambria"/>
          <w:sz w:val="18"/>
          <w:szCs w:val="18"/>
        </w:rPr>
      </w:pPr>
      <w:r w:rsidRPr="008D2130">
        <w:rPr>
          <w:rStyle w:val="FootnoteReference"/>
          <w:rFonts w:ascii="Cambria" w:hAnsi="Cambria"/>
          <w:sz w:val="18"/>
          <w:szCs w:val="18"/>
        </w:rPr>
        <w:footnoteRef/>
      </w:r>
      <w:r w:rsidRPr="008D2130">
        <w:rPr>
          <w:rFonts w:ascii="Cambria" w:hAnsi="Cambria"/>
          <w:sz w:val="18"/>
          <w:szCs w:val="18"/>
        </w:rPr>
        <w:t xml:space="preserve"> Lipinski RJ, Song C, </w:t>
      </w:r>
      <w:proofErr w:type="spellStart"/>
      <w:r w:rsidRPr="008D2130">
        <w:rPr>
          <w:rFonts w:ascii="Cambria" w:hAnsi="Cambria"/>
          <w:sz w:val="18"/>
          <w:szCs w:val="18"/>
        </w:rPr>
        <w:t>Sulik</w:t>
      </w:r>
      <w:proofErr w:type="spellEnd"/>
      <w:r w:rsidRPr="008D2130">
        <w:rPr>
          <w:rFonts w:ascii="Cambria" w:hAnsi="Cambria"/>
          <w:sz w:val="18"/>
          <w:szCs w:val="18"/>
        </w:rPr>
        <w:t xml:space="preserve"> KK </w:t>
      </w:r>
      <w:r w:rsidRPr="008D2130">
        <w:rPr>
          <w:rFonts w:ascii="Cambria" w:hAnsi="Cambria"/>
          <w:i/>
          <w:sz w:val="18"/>
          <w:szCs w:val="18"/>
        </w:rPr>
        <w:t>et al</w:t>
      </w:r>
      <w:r w:rsidRPr="008D2130">
        <w:rPr>
          <w:rFonts w:ascii="Cambria" w:hAnsi="Cambria"/>
          <w:sz w:val="18"/>
          <w:szCs w:val="18"/>
        </w:rPr>
        <w:t xml:space="preserve">. Cleft lip and palate results from Hedgehog signalling antagonism in the mouse: Phenotypic characterization and clinical implications. </w:t>
      </w:r>
      <w:r w:rsidRPr="008D2130">
        <w:rPr>
          <w:rFonts w:ascii="Cambria" w:hAnsi="Cambria"/>
          <w:i/>
          <w:sz w:val="18"/>
          <w:szCs w:val="18"/>
        </w:rPr>
        <w:t>Birth Defects Res</w:t>
      </w:r>
      <w:r>
        <w:rPr>
          <w:rFonts w:ascii="Cambria" w:hAnsi="Cambria"/>
          <w:i/>
          <w:sz w:val="18"/>
          <w:szCs w:val="18"/>
        </w:rPr>
        <w:t>.</w:t>
      </w:r>
      <w:r w:rsidRPr="008D2130">
        <w:rPr>
          <w:rFonts w:ascii="Cambria" w:hAnsi="Cambria"/>
          <w:i/>
          <w:sz w:val="18"/>
          <w:szCs w:val="18"/>
        </w:rPr>
        <w:t xml:space="preserve"> A </w:t>
      </w:r>
      <w:proofErr w:type="spellStart"/>
      <w:r w:rsidRPr="008D2130">
        <w:rPr>
          <w:rFonts w:ascii="Cambria" w:hAnsi="Cambria"/>
          <w:i/>
          <w:sz w:val="18"/>
          <w:szCs w:val="18"/>
        </w:rPr>
        <w:t>Clin</w:t>
      </w:r>
      <w:proofErr w:type="spellEnd"/>
      <w:r w:rsidRPr="008D2130">
        <w:rPr>
          <w:rFonts w:ascii="Cambria" w:hAnsi="Cambria"/>
          <w:i/>
          <w:sz w:val="18"/>
          <w:szCs w:val="18"/>
        </w:rPr>
        <w:t xml:space="preserve"> Mol </w:t>
      </w:r>
      <w:proofErr w:type="spellStart"/>
      <w:r w:rsidRPr="008D2130">
        <w:rPr>
          <w:rFonts w:ascii="Cambria" w:hAnsi="Cambria"/>
          <w:i/>
          <w:sz w:val="18"/>
          <w:szCs w:val="18"/>
        </w:rPr>
        <w:t>Teratol</w:t>
      </w:r>
      <w:proofErr w:type="spellEnd"/>
      <w:r w:rsidRPr="008D2130">
        <w:rPr>
          <w:rFonts w:ascii="Cambria" w:hAnsi="Cambria"/>
          <w:sz w:val="18"/>
          <w:szCs w:val="18"/>
        </w:rPr>
        <w:t xml:space="preserve"> </w:t>
      </w:r>
      <w:r>
        <w:rPr>
          <w:rFonts w:ascii="Cambria" w:hAnsi="Cambria"/>
          <w:sz w:val="18"/>
          <w:szCs w:val="18"/>
        </w:rPr>
        <w:t>2010;</w:t>
      </w:r>
      <w:r w:rsidRPr="008D2130">
        <w:rPr>
          <w:rFonts w:ascii="Cambria" w:hAnsi="Cambria"/>
          <w:sz w:val="18"/>
          <w:szCs w:val="18"/>
        </w:rPr>
        <w:t>88</w:t>
      </w:r>
      <w:r>
        <w:rPr>
          <w:rFonts w:ascii="Cambria" w:hAnsi="Cambria"/>
          <w:sz w:val="18"/>
          <w:szCs w:val="18"/>
        </w:rPr>
        <w:t>:</w:t>
      </w:r>
      <w:r w:rsidRPr="008D2130">
        <w:rPr>
          <w:rFonts w:ascii="Cambria" w:hAnsi="Cambria"/>
          <w:sz w:val="18"/>
          <w:szCs w:val="18"/>
        </w:rPr>
        <w:t>232</w:t>
      </w:r>
      <w:r>
        <w:rPr>
          <w:rFonts w:ascii="Cambria" w:hAnsi="Cambria"/>
          <w:sz w:val="18"/>
          <w:szCs w:val="18"/>
        </w:rPr>
        <w:noBreakHyphen/>
      </w:r>
      <w:r w:rsidRPr="008D2130">
        <w:rPr>
          <w:rFonts w:ascii="Cambria" w:hAnsi="Cambria"/>
          <w:sz w:val="18"/>
          <w:szCs w:val="18"/>
        </w:rPr>
        <w:t>40</w:t>
      </w:r>
      <w:r>
        <w:rPr>
          <w:rFonts w:ascii="Cambria" w:hAnsi="Cambria"/>
          <w:sz w:val="18"/>
          <w:szCs w:val="18"/>
        </w:rPr>
        <w:t>.</w:t>
      </w:r>
    </w:p>
  </w:footnote>
  <w:footnote w:id="8">
    <w:p w:rsidR="00A6501E" w:rsidRPr="0054569E" w:rsidRDefault="00A6501E">
      <w:pPr>
        <w:pStyle w:val="FootnoteText"/>
        <w:rPr>
          <w:rFonts w:ascii="Cambria" w:hAnsi="Cambria"/>
          <w:sz w:val="18"/>
          <w:szCs w:val="18"/>
        </w:rPr>
      </w:pPr>
      <w:r w:rsidRPr="0054569E">
        <w:rPr>
          <w:rStyle w:val="FootnoteReference"/>
          <w:rFonts w:ascii="Cambria" w:hAnsi="Cambria"/>
          <w:sz w:val="18"/>
          <w:szCs w:val="18"/>
        </w:rPr>
        <w:footnoteRef/>
      </w:r>
      <w:r w:rsidRPr="0054569E">
        <w:rPr>
          <w:rFonts w:ascii="Cambria" w:hAnsi="Cambria"/>
          <w:sz w:val="18"/>
          <w:szCs w:val="18"/>
        </w:rPr>
        <w:t xml:space="preserve"> Category X: </w:t>
      </w:r>
      <w:r w:rsidRPr="006D1673">
        <w:rPr>
          <w:rFonts w:ascii="Cambria" w:hAnsi="Cambria"/>
          <w:i/>
          <w:sz w:val="18"/>
          <w:szCs w:val="18"/>
        </w:rPr>
        <w:t>Drugs which have such a high risk of causing permanent damage to the fetus that they should not be used in pregnancy or when there is a possibility of pregnancy.</w:t>
      </w:r>
    </w:p>
  </w:footnote>
  <w:footnote w:id="9">
    <w:p w:rsidR="00A6501E" w:rsidRPr="0054569E" w:rsidRDefault="00A6501E">
      <w:pPr>
        <w:pStyle w:val="FootnoteText"/>
        <w:rPr>
          <w:rFonts w:ascii="Cambria" w:hAnsi="Cambria"/>
          <w:sz w:val="18"/>
          <w:szCs w:val="18"/>
        </w:rPr>
      </w:pPr>
      <w:r w:rsidRPr="0054569E">
        <w:rPr>
          <w:rStyle w:val="FootnoteReference"/>
          <w:rFonts w:ascii="Cambria" w:hAnsi="Cambria"/>
          <w:sz w:val="18"/>
          <w:szCs w:val="18"/>
        </w:rPr>
        <w:footnoteRef/>
      </w:r>
      <w:r w:rsidRPr="0054569E">
        <w:rPr>
          <w:rFonts w:ascii="Cambria" w:hAnsi="Cambria"/>
          <w:sz w:val="18"/>
          <w:szCs w:val="18"/>
        </w:rPr>
        <w:t xml:space="preserve"> Category D: </w:t>
      </w:r>
      <w:r w:rsidRPr="006D1673">
        <w:rPr>
          <w:rFonts w:ascii="Cambria" w:hAnsi="Cambria"/>
          <w:i/>
          <w:sz w:val="18"/>
          <w:szCs w:val="18"/>
        </w:rPr>
        <w:t xml:space="preserve">Drugs which have caused, are suspected to have caused or may be expected to cause, an increased incidence of human </w:t>
      </w:r>
      <w:proofErr w:type="spellStart"/>
      <w:r w:rsidRPr="006D1673">
        <w:rPr>
          <w:rFonts w:ascii="Cambria" w:hAnsi="Cambria"/>
          <w:i/>
          <w:sz w:val="18"/>
          <w:szCs w:val="18"/>
        </w:rPr>
        <w:t>fetal</w:t>
      </w:r>
      <w:proofErr w:type="spellEnd"/>
      <w:r w:rsidRPr="006D1673">
        <w:rPr>
          <w:rFonts w:ascii="Cambria" w:hAnsi="Cambria"/>
          <w:i/>
          <w:sz w:val="18"/>
          <w:szCs w:val="18"/>
        </w:rPr>
        <w:t xml:space="preserve"> malformations or irreversible damage. These drugs may also have adverse pharmacological effects. Accompanying texts should be consulted for further details.</w:t>
      </w:r>
    </w:p>
  </w:footnote>
  <w:footnote w:id="10">
    <w:p w:rsidR="00A6501E" w:rsidRPr="0010220B" w:rsidRDefault="00A6501E" w:rsidP="00D10A17">
      <w:pPr>
        <w:pStyle w:val="FootnoteText"/>
        <w:rPr>
          <w:rFonts w:ascii="Cambria" w:hAnsi="Cambria"/>
          <w:sz w:val="18"/>
          <w:szCs w:val="18"/>
        </w:rPr>
      </w:pPr>
      <w:r w:rsidRPr="0010220B">
        <w:rPr>
          <w:rStyle w:val="FootnoteReference"/>
          <w:rFonts w:ascii="Cambria" w:hAnsi="Cambria"/>
          <w:sz w:val="18"/>
          <w:szCs w:val="18"/>
        </w:rPr>
        <w:footnoteRef/>
      </w:r>
      <w:r w:rsidRPr="0010220B">
        <w:rPr>
          <w:rFonts w:ascii="Cambria" w:hAnsi="Cambria"/>
          <w:sz w:val="18"/>
          <w:szCs w:val="18"/>
        </w:rPr>
        <w:t xml:space="preserve"> </w:t>
      </w:r>
      <w:r>
        <w:rPr>
          <w:rFonts w:ascii="Cambria" w:hAnsi="Cambria"/>
          <w:sz w:val="18"/>
          <w:szCs w:val="18"/>
        </w:rPr>
        <w:t xml:space="preserve">The nonclinical evaluator also made other recommendations concerning </w:t>
      </w:r>
      <w:r w:rsidRPr="0010220B">
        <w:rPr>
          <w:rFonts w:ascii="Cambria" w:hAnsi="Cambria"/>
          <w:sz w:val="18"/>
          <w:szCs w:val="18"/>
        </w:rPr>
        <w:t>revisions to the nonclinical statements in the PI</w:t>
      </w:r>
      <w:r>
        <w:rPr>
          <w:rFonts w:ascii="Cambria" w:hAnsi="Cambria"/>
          <w:sz w:val="18"/>
          <w:szCs w:val="18"/>
        </w:rPr>
        <w:t xml:space="preserve"> but details of these</w:t>
      </w:r>
      <w:r w:rsidRPr="0010220B">
        <w:rPr>
          <w:rFonts w:ascii="Cambria" w:hAnsi="Cambria"/>
          <w:sz w:val="18"/>
          <w:szCs w:val="18"/>
        </w:rPr>
        <w:t xml:space="preserve"> are beyond the scope of the AusPAR.</w:t>
      </w:r>
    </w:p>
  </w:footnote>
  <w:footnote w:id="11">
    <w:p w:rsidR="00A6501E" w:rsidRPr="00C3336B" w:rsidRDefault="00A6501E">
      <w:pPr>
        <w:pStyle w:val="FootnoteText"/>
        <w:rPr>
          <w:rFonts w:ascii="Cambria" w:hAnsi="Cambria"/>
          <w:sz w:val="18"/>
          <w:szCs w:val="18"/>
        </w:rPr>
      </w:pPr>
      <w:r w:rsidRPr="00C3336B">
        <w:rPr>
          <w:rStyle w:val="FootnoteReference"/>
          <w:rFonts w:ascii="Cambria" w:hAnsi="Cambria"/>
          <w:sz w:val="18"/>
          <w:szCs w:val="18"/>
        </w:rPr>
        <w:footnoteRef/>
      </w:r>
      <w:r w:rsidRPr="00C3336B">
        <w:rPr>
          <w:rFonts w:ascii="Cambria" w:hAnsi="Cambria"/>
          <w:sz w:val="18"/>
          <w:szCs w:val="18"/>
        </w:rPr>
        <w:t xml:space="preserve"> FOLFORI = </w:t>
      </w:r>
      <w:proofErr w:type="spellStart"/>
      <w:r w:rsidRPr="00C3336B">
        <w:rPr>
          <w:rFonts w:ascii="Cambria" w:hAnsi="Cambria"/>
          <w:sz w:val="18"/>
          <w:szCs w:val="18"/>
        </w:rPr>
        <w:t>irinotecan</w:t>
      </w:r>
      <w:proofErr w:type="spellEnd"/>
      <w:r w:rsidRPr="00C3336B">
        <w:rPr>
          <w:rFonts w:ascii="Cambria" w:hAnsi="Cambria"/>
          <w:sz w:val="18"/>
          <w:szCs w:val="18"/>
        </w:rPr>
        <w:t xml:space="preserve">, </w:t>
      </w:r>
      <w:proofErr w:type="spellStart"/>
      <w:r w:rsidRPr="00C3336B">
        <w:rPr>
          <w:rFonts w:ascii="Cambria" w:hAnsi="Cambria"/>
          <w:sz w:val="18"/>
          <w:szCs w:val="18"/>
        </w:rPr>
        <w:t>leucovorin</w:t>
      </w:r>
      <w:proofErr w:type="spellEnd"/>
      <w:r w:rsidRPr="00C3336B">
        <w:rPr>
          <w:rFonts w:ascii="Cambria" w:hAnsi="Cambria"/>
          <w:sz w:val="18"/>
          <w:szCs w:val="18"/>
        </w:rPr>
        <w:t xml:space="preserve"> and </w:t>
      </w:r>
      <w:proofErr w:type="spellStart"/>
      <w:r w:rsidRPr="00C3336B">
        <w:rPr>
          <w:rFonts w:ascii="Cambria" w:hAnsi="Cambria"/>
          <w:sz w:val="18"/>
          <w:szCs w:val="18"/>
        </w:rPr>
        <w:t>infusional</w:t>
      </w:r>
      <w:proofErr w:type="spellEnd"/>
      <w:r w:rsidRPr="00C3336B">
        <w:rPr>
          <w:rFonts w:ascii="Cambria" w:hAnsi="Cambria"/>
          <w:sz w:val="18"/>
          <w:szCs w:val="18"/>
        </w:rPr>
        <w:t xml:space="preserve"> 5-fluorouracil (5-FU); FOLFOX = </w:t>
      </w:r>
      <w:proofErr w:type="spellStart"/>
      <w:r w:rsidRPr="00C3336B">
        <w:rPr>
          <w:rFonts w:ascii="Cambria" w:hAnsi="Cambria"/>
          <w:sz w:val="18"/>
          <w:szCs w:val="18"/>
        </w:rPr>
        <w:t>oxaliplatin</w:t>
      </w:r>
      <w:proofErr w:type="spellEnd"/>
      <w:r w:rsidRPr="00C3336B">
        <w:rPr>
          <w:rFonts w:ascii="Cambria" w:hAnsi="Cambria"/>
          <w:sz w:val="18"/>
          <w:szCs w:val="18"/>
        </w:rPr>
        <w:t xml:space="preserve">, </w:t>
      </w:r>
      <w:proofErr w:type="spellStart"/>
      <w:r w:rsidRPr="00C3336B">
        <w:rPr>
          <w:rFonts w:ascii="Cambria" w:hAnsi="Cambria"/>
          <w:sz w:val="18"/>
          <w:szCs w:val="18"/>
        </w:rPr>
        <w:t>leucovorin</w:t>
      </w:r>
      <w:proofErr w:type="spellEnd"/>
      <w:r w:rsidRPr="00C3336B">
        <w:rPr>
          <w:rFonts w:ascii="Cambria" w:hAnsi="Cambria"/>
          <w:sz w:val="18"/>
          <w:szCs w:val="18"/>
        </w:rPr>
        <w:t xml:space="preserve"> and </w:t>
      </w:r>
      <w:proofErr w:type="spellStart"/>
      <w:r w:rsidRPr="00C3336B">
        <w:rPr>
          <w:rFonts w:ascii="Cambria" w:hAnsi="Cambria"/>
          <w:sz w:val="18"/>
          <w:szCs w:val="18"/>
        </w:rPr>
        <w:t>infusional</w:t>
      </w:r>
      <w:proofErr w:type="spellEnd"/>
      <w:r w:rsidRPr="00C3336B">
        <w:rPr>
          <w:rFonts w:ascii="Cambria" w:hAnsi="Cambria"/>
          <w:sz w:val="18"/>
          <w:szCs w:val="18"/>
        </w:rPr>
        <w:t xml:space="preserve"> 5-FU</w:t>
      </w:r>
      <w:r>
        <w:rPr>
          <w:rFonts w:ascii="Cambria" w:hAnsi="Cambria"/>
          <w:sz w:val="18"/>
          <w:szCs w:val="18"/>
        </w:rPr>
        <w:t>.</w:t>
      </w:r>
    </w:p>
  </w:footnote>
  <w:footnote w:id="12">
    <w:p w:rsidR="00A6501E" w:rsidRPr="00664368" w:rsidRDefault="00A6501E">
      <w:pPr>
        <w:pStyle w:val="FootnoteText"/>
        <w:rPr>
          <w:rFonts w:ascii="Cambria" w:hAnsi="Cambria"/>
          <w:sz w:val="18"/>
          <w:szCs w:val="18"/>
        </w:rPr>
      </w:pPr>
      <w:r w:rsidRPr="00664368">
        <w:rPr>
          <w:rStyle w:val="FootnoteReference"/>
          <w:rFonts w:ascii="Cambria" w:hAnsi="Cambria"/>
          <w:sz w:val="18"/>
          <w:szCs w:val="18"/>
        </w:rPr>
        <w:footnoteRef/>
      </w:r>
      <w:r w:rsidRPr="00664368">
        <w:rPr>
          <w:rFonts w:ascii="Cambria" w:hAnsi="Cambria"/>
          <w:sz w:val="18"/>
          <w:szCs w:val="18"/>
        </w:rPr>
        <w:t xml:space="preserve"> Other recommended revisions to the PI and comments on the CMI are not included in this document as they are generally beyond the scope of the </w:t>
      </w:r>
      <w:proofErr w:type="spellStart"/>
      <w:r w:rsidRPr="00664368">
        <w:rPr>
          <w:rFonts w:ascii="Cambria" w:hAnsi="Cambria"/>
          <w:sz w:val="18"/>
          <w:szCs w:val="18"/>
        </w:rPr>
        <w:t>AusPAR</w:t>
      </w:r>
      <w:proofErr w:type="spellEnd"/>
      <w:r w:rsidRPr="00664368">
        <w:rPr>
          <w:rFonts w:ascii="Cambria" w:hAnsi="Cambria"/>
          <w:sz w:val="18"/>
          <w:szCs w:val="18"/>
        </w:rPr>
        <w:t>.</w:t>
      </w:r>
    </w:p>
  </w:footnote>
  <w:footnote w:id="13">
    <w:p w:rsidR="00A6501E" w:rsidRPr="00664368" w:rsidRDefault="00A6501E">
      <w:pPr>
        <w:pStyle w:val="FootnoteText"/>
        <w:rPr>
          <w:rFonts w:ascii="Cambria" w:hAnsi="Cambria"/>
          <w:sz w:val="18"/>
          <w:szCs w:val="18"/>
        </w:rPr>
      </w:pPr>
      <w:r w:rsidRPr="00664368">
        <w:rPr>
          <w:rStyle w:val="FootnoteReference"/>
          <w:rFonts w:ascii="Cambria" w:hAnsi="Cambria"/>
          <w:sz w:val="18"/>
          <w:szCs w:val="18"/>
        </w:rPr>
        <w:footnoteRef/>
      </w:r>
      <w:r w:rsidRPr="00664368">
        <w:rPr>
          <w:rFonts w:ascii="Cambria" w:hAnsi="Cambria"/>
          <w:sz w:val="18"/>
          <w:szCs w:val="18"/>
        </w:rPr>
        <w:t xml:space="preserve"> A boxed warning is a succinct warning statement printed at the start of the approved PI, designed to alert prescribers to an important safety issue with a medicine. The warning is highlighted by a bold black surround or “box”.</w:t>
      </w:r>
    </w:p>
  </w:footnote>
  <w:footnote w:id="14">
    <w:p w:rsidR="00A6501E" w:rsidRPr="001D687A" w:rsidRDefault="00A6501E" w:rsidP="001D687A">
      <w:pPr>
        <w:spacing w:before="0" w:after="0" w:line="240" w:lineRule="auto"/>
        <w:rPr>
          <w:sz w:val="18"/>
          <w:szCs w:val="18"/>
        </w:rPr>
      </w:pPr>
      <w:r w:rsidRPr="001D687A">
        <w:rPr>
          <w:rStyle w:val="FootnoteReference"/>
          <w:sz w:val="18"/>
          <w:szCs w:val="18"/>
        </w:rPr>
        <w:footnoteRef/>
      </w:r>
      <w:r w:rsidRPr="001D687A">
        <w:rPr>
          <w:sz w:val="18"/>
          <w:szCs w:val="18"/>
        </w:rPr>
        <w:t xml:space="preserve"> In brief, secreted </w:t>
      </w:r>
      <w:proofErr w:type="spellStart"/>
      <w:r w:rsidRPr="001D687A">
        <w:rPr>
          <w:sz w:val="18"/>
          <w:szCs w:val="18"/>
        </w:rPr>
        <w:t>ligands</w:t>
      </w:r>
      <w:proofErr w:type="spellEnd"/>
      <w:r w:rsidRPr="001D687A">
        <w:rPr>
          <w:sz w:val="18"/>
          <w:szCs w:val="18"/>
        </w:rPr>
        <w:t xml:space="preserve"> including Sonic hedgehog bind to a cell-surface receptor, PTCH1. This binding relieves an inhibitory effect of PTCH1 on SMO, a GPCR-like protein. De-repression of SMO triggers a cascade culminating in activation of GLI2 and GLI3, leading to transcription of hedgehog target genes.</w:t>
      </w:r>
      <w:r>
        <w:rPr>
          <w:sz w:val="18"/>
          <w:szCs w:val="18"/>
        </w:rPr>
        <w:t xml:space="preserve"> T</w:t>
      </w:r>
      <w:r w:rsidRPr="001D687A">
        <w:rPr>
          <w:sz w:val="18"/>
          <w:szCs w:val="18"/>
        </w:rPr>
        <w:t>hese genes include GLI1 (so expression of GLI1 is used as a measure of hedgehog pathway activity) and PTCH1.</w:t>
      </w:r>
    </w:p>
  </w:footnote>
  <w:footnote w:id="15">
    <w:p w:rsidR="00A6501E" w:rsidRPr="00BA5EC2" w:rsidRDefault="00A6501E" w:rsidP="00BA5EC2">
      <w:pPr>
        <w:pStyle w:val="FootnoteText"/>
        <w:rPr>
          <w:rFonts w:ascii="Cambria" w:hAnsi="Cambria"/>
          <w:sz w:val="18"/>
          <w:szCs w:val="18"/>
        </w:rPr>
      </w:pPr>
      <w:r w:rsidRPr="00BA5EC2">
        <w:rPr>
          <w:rStyle w:val="FootnoteReference"/>
          <w:rFonts w:ascii="Cambria" w:hAnsi="Cambria"/>
          <w:sz w:val="18"/>
          <w:szCs w:val="18"/>
        </w:rPr>
        <w:footnoteRef/>
      </w:r>
      <w:r w:rsidRPr="00BA5EC2">
        <w:rPr>
          <w:rFonts w:ascii="Cambria" w:hAnsi="Cambria"/>
          <w:sz w:val="18"/>
          <w:szCs w:val="18"/>
        </w:rPr>
        <w:t xml:space="preserve"> Published as </w:t>
      </w:r>
      <w:proofErr w:type="spellStart"/>
      <w:r w:rsidRPr="00BA5EC2">
        <w:rPr>
          <w:rFonts w:ascii="Cambria" w:hAnsi="Cambria"/>
          <w:sz w:val="18"/>
          <w:szCs w:val="18"/>
        </w:rPr>
        <w:t>Sekulic</w:t>
      </w:r>
      <w:proofErr w:type="spellEnd"/>
      <w:r w:rsidRPr="00BA5EC2">
        <w:rPr>
          <w:rFonts w:ascii="Cambria" w:hAnsi="Cambria"/>
          <w:sz w:val="18"/>
          <w:szCs w:val="18"/>
        </w:rPr>
        <w:t xml:space="preserve"> A </w:t>
      </w:r>
      <w:r w:rsidRPr="0047765A">
        <w:rPr>
          <w:rFonts w:ascii="Cambria" w:hAnsi="Cambria"/>
          <w:i/>
          <w:sz w:val="18"/>
          <w:szCs w:val="18"/>
        </w:rPr>
        <w:t>et al</w:t>
      </w:r>
      <w:r>
        <w:rPr>
          <w:rFonts w:ascii="Cambria" w:hAnsi="Cambria"/>
          <w:sz w:val="18"/>
          <w:szCs w:val="18"/>
        </w:rPr>
        <w:t xml:space="preserve">. </w:t>
      </w:r>
      <w:r w:rsidRPr="00BA5EC2">
        <w:rPr>
          <w:rFonts w:ascii="Cambria" w:hAnsi="Cambria"/>
          <w:sz w:val="18"/>
          <w:szCs w:val="18"/>
        </w:rPr>
        <w:t xml:space="preserve">Efficacy and Safety of Vismodegib in </w:t>
      </w:r>
      <w:r>
        <w:rPr>
          <w:rFonts w:ascii="Cambria" w:hAnsi="Cambria"/>
          <w:sz w:val="18"/>
          <w:szCs w:val="18"/>
        </w:rPr>
        <w:t xml:space="preserve">Advanced Basal-Cell Carcinoma. </w:t>
      </w:r>
      <w:r w:rsidRPr="0047765A">
        <w:rPr>
          <w:rFonts w:ascii="Cambria" w:hAnsi="Cambria"/>
          <w:i/>
          <w:sz w:val="18"/>
          <w:szCs w:val="18"/>
        </w:rPr>
        <w:t>NEJM</w:t>
      </w:r>
      <w:r w:rsidRPr="00BA5EC2">
        <w:rPr>
          <w:rFonts w:ascii="Cambria" w:hAnsi="Cambria"/>
          <w:sz w:val="18"/>
          <w:szCs w:val="18"/>
        </w:rPr>
        <w:t xml:space="preserve"> </w:t>
      </w:r>
      <w:r>
        <w:rPr>
          <w:rFonts w:ascii="Cambria" w:hAnsi="Cambria"/>
          <w:sz w:val="18"/>
          <w:szCs w:val="18"/>
        </w:rPr>
        <w:t>2012:366;</w:t>
      </w:r>
      <w:r w:rsidRPr="00BA5EC2">
        <w:rPr>
          <w:rFonts w:ascii="Cambria" w:hAnsi="Cambria"/>
          <w:sz w:val="18"/>
          <w:szCs w:val="18"/>
        </w:rPr>
        <w:t>2171-2179.  See also the accompanying editorial by Lear (</w:t>
      </w:r>
      <w:r w:rsidRPr="0047765A">
        <w:rPr>
          <w:rFonts w:ascii="Cambria" w:hAnsi="Cambria"/>
          <w:i/>
          <w:sz w:val="18"/>
          <w:szCs w:val="18"/>
        </w:rPr>
        <w:t>NEJM</w:t>
      </w:r>
      <w:r w:rsidRPr="00BA5EC2">
        <w:rPr>
          <w:rFonts w:ascii="Cambria" w:hAnsi="Cambria"/>
          <w:sz w:val="18"/>
          <w:szCs w:val="18"/>
        </w:rPr>
        <w:t xml:space="preserve"> </w:t>
      </w:r>
      <w:r>
        <w:rPr>
          <w:rFonts w:ascii="Cambria" w:hAnsi="Cambria"/>
          <w:sz w:val="18"/>
          <w:szCs w:val="18"/>
        </w:rPr>
        <w:t>2012:</w:t>
      </w:r>
      <w:r w:rsidRPr="00BA5EC2">
        <w:rPr>
          <w:rFonts w:ascii="Cambria" w:hAnsi="Cambria"/>
          <w:sz w:val="18"/>
          <w:szCs w:val="18"/>
        </w:rPr>
        <w:t xml:space="preserve">366; 2225-2234) and correspondence (“Vismodegib in Advanced basal-Cell Carcinoma”, </w:t>
      </w:r>
      <w:r w:rsidRPr="0047765A">
        <w:rPr>
          <w:rFonts w:ascii="Cambria" w:hAnsi="Cambria"/>
          <w:i/>
          <w:sz w:val="18"/>
          <w:szCs w:val="18"/>
        </w:rPr>
        <w:t>NEJM</w:t>
      </w:r>
      <w:r w:rsidRPr="00BA5EC2">
        <w:rPr>
          <w:rFonts w:ascii="Cambria" w:hAnsi="Cambria"/>
          <w:sz w:val="18"/>
          <w:szCs w:val="18"/>
        </w:rPr>
        <w:t xml:space="preserve"> </w:t>
      </w:r>
      <w:r>
        <w:rPr>
          <w:rFonts w:ascii="Cambria" w:hAnsi="Cambria"/>
          <w:sz w:val="18"/>
          <w:szCs w:val="18"/>
        </w:rPr>
        <w:t>2012:367;</w:t>
      </w:r>
      <w:r w:rsidRPr="00BA5EC2">
        <w:rPr>
          <w:rFonts w:ascii="Cambria" w:hAnsi="Cambria"/>
          <w:sz w:val="18"/>
          <w:szCs w:val="18"/>
        </w:rPr>
        <w:t>969-970).</w:t>
      </w:r>
    </w:p>
  </w:footnote>
  <w:footnote w:id="16">
    <w:p w:rsidR="00A6501E" w:rsidRPr="00BA5EC2" w:rsidRDefault="00A6501E" w:rsidP="00BA5EC2">
      <w:pPr>
        <w:pStyle w:val="FootnoteText"/>
        <w:rPr>
          <w:rFonts w:ascii="Cambria" w:hAnsi="Cambria"/>
          <w:sz w:val="18"/>
          <w:szCs w:val="18"/>
        </w:rPr>
      </w:pPr>
      <w:r w:rsidRPr="00BA5EC2">
        <w:rPr>
          <w:rStyle w:val="FootnoteReference"/>
          <w:rFonts w:ascii="Cambria" w:hAnsi="Cambria"/>
          <w:sz w:val="18"/>
          <w:szCs w:val="18"/>
        </w:rPr>
        <w:footnoteRef/>
      </w:r>
      <w:r w:rsidRPr="00BA5EC2">
        <w:rPr>
          <w:rFonts w:ascii="Cambria" w:hAnsi="Cambria"/>
          <w:sz w:val="18"/>
          <w:szCs w:val="18"/>
        </w:rPr>
        <w:t xml:space="preserve"> </w:t>
      </w:r>
      <w:hyperlink r:id="rId1" w:history="1">
        <w:r w:rsidRPr="00721ADD">
          <w:rPr>
            <w:rStyle w:val="Hyperlink"/>
            <w:rFonts w:ascii="Cambria" w:hAnsi="Cambria"/>
            <w:sz w:val="18"/>
            <w:szCs w:val="18"/>
          </w:rPr>
          <w:t>http://ctep.cancer.gov/</w:t>
        </w:r>
      </w:hyperlink>
      <w:r>
        <w:rPr>
          <w:rFonts w:ascii="Cambria" w:hAnsi="Cambria"/>
          <w:sz w:val="18"/>
          <w:szCs w:val="18"/>
        </w:rPr>
        <w:t xml:space="preserve"> </w:t>
      </w:r>
    </w:p>
  </w:footnote>
  <w:footnote w:id="17">
    <w:p w:rsidR="00A6501E" w:rsidRPr="00BA5EC2" w:rsidRDefault="00A6501E" w:rsidP="00BA5EC2">
      <w:pPr>
        <w:tabs>
          <w:tab w:val="left" w:pos="567"/>
          <w:tab w:val="right" w:pos="7088"/>
        </w:tabs>
        <w:spacing w:before="0" w:after="0" w:line="240" w:lineRule="auto"/>
        <w:rPr>
          <w:sz w:val="18"/>
          <w:szCs w:val="18"/>
        </w:rPr>
      </w:pPr>
      <w:r w:rsidRPr="00BA5EC2">
        <w:rPr>
          <w:rStyle w:val="FootnoteReference"/>
          <w:sz w:val="18"/>
          <w:szCs w:val="18"/>
        </w:rPr>
        <w:footnoteRef/>
      </w:r>
      <w:r w:rsidRPr="00BA5EC2">
        <w:rPr>
          <w:sz w:val="18"/>
          <w:szCs w:val="18"/>
        </w:rPr>
        <w:t xml:space="preserve">Vismodegib has solubilities of </w:t>
      </w:r>
      <w:r>
        <w:rPr>
          <w:sz w:val="18"/>
          <w:szCs w:val="18"/>
        </w:rPr>
        <w:t xml:space="preserve">about </w:t>
      </w:r>
      <w:r w:rsidRPr="00BA5EC2">
        <w:rPr>
          <w:sz w:val="18"/>
          <w:szCs w:val="18"/>
        </w:rPr>
        <w:t>1.24 mg/mL in simulated gastric fluid and 0.8 μg/mL in simul</w:t>
      </w:r>
      <w:r>
        <w:rPr>
          <w:sz w:val="18"/>
          <w:szCs w:val="18"/>
        </w:rPr>
        <w:t xml:space="preserve">ated intestinal fluid at 37°C. </w:t>
      </w:r>
      <w:r w:rsidRPr="00BA5EC2">
        <w:rPr>
          <w:sz w:val="18"/>
          <w:szCs w:val="18"/>
        </w:rPr>
        <w:t xml:space="preserve">Solubility appears greater with lower pH, raising the prospect of slower absorption with </w:t>
      </w:r>
      <w:proofErr w:type="spellStart"/>
      <w:r w:rsidRPr="00BA5EC2">
        <w:rPr>
          <w:sz w:val="18"/>
          <w:szCs w:val="18"/>
        </w:rPr>
        <w:t>hypochlorhydria</w:t>
      </w:r>
      <w:proofErr w:type="spellEnd"/>
      <w:r w:rsidRPr="00BA5EC2">
        <w:rPr>
          <w:sz w:val="18"/>
          <w:szCs w:val="18"/>
        </w:rPr>
        <w:t>, because of incomplete solub</w:t>
      </w:r>
      <w:r>
        <w:rPr>
          <w:sz w:val="18"/>
          <w:szCs w:val="18"/>
        </w:rPr>
        <w:t xml:space="preserve">ilisation of capsule contents. </w:t>
      </w:r>
      <w:r w:rsidRPr="00BA5EC2">
        <w:rPr>
          <w:sz w:val="18"/>
          <w:szCs w:val="18"/>
        </w:rPr>
        <w:t>A trial involving gastric pH elevating agents is due for completion in February 2015.</w:t>
      </w:r>
    </w:p>
  </w:footnote>
  <w:footnote w:id="18">
    <w:p w:rsidR="00A6501E" w:rsidRPr="00CC05F8" w:rsidRDefault="00A6501E" w:rsidP="00CC05F8">
      <w:pPr>
        <w:pStyle w:val="FootnoteText"/>
        <w:rPr>
          <w:rFonts w:ascii="Cambria" w:hAnsi="Cambria"/>
          <w:sz w:val="18"/>
          <w:szCs w:val="18"/>
        </w:rPr>
      </w:pPr>
      <w:r w:rsidRPr="00CC05F8">
        <w:rPr>
          <w:rStyle w:val="FootnoteReference"/>
          <w:rFonts w:ascii="Cambria" w:hAnsi="Cambria"/>
          <w:sz w:val="18"/>
          <w:szCs w:val="18"/>
        </w:rPr>
        <w:footnoteRef/>
      </w:r>
      <w:r w:rsidRPr="00CC05F8">
        <w:rPr>
          <w:rFonts w:ascii="Cambria" w:hAnsi="Cambria"/>
          <w:sz w:val="18"/>
          <w:szCs w:val="18"/>
        </w:rPr>
        <w:t xml:space="preserve"> </w:t>
      </w:r>
      <w:proofErr w:type="spellStart"/>
      <w:r w:rsidRPr="00CC05F8">
        <w:rPr>
          <w:rFonts w:ascii="Cambria" w:hAnsi="Cambria"/>
          <w:sz w:val="18"/>
          <w:szCs w:val="18"/>
        </w:rPr>
        <w:t>Sekulic</w:t>
      </w:r>
      <w:proofErr w:type="spellEnd"/>
      <w:r w:rsidRPr="00CC05F8">
        <w:rPr>
          <w:rFonts w:ascii="Cambria" w:hAnsi="Cambria"/>
          <w:sz w:val="18"/>
          <w:szCs w:val="18"/>
        </w:rPr>
        <w:t xml:space="preserve"> </w:t>
      </w:r>
      <w:r>
        <w:rPr>
          <w:rFonts w:ascii="Cambria" w:hAnsi="Cambria"/>
          <w:sz w:val="18"/>
          <w:szCs w:val="18"/>
        </w:rPr>
        <w:t xml:space="preserve">A </w:t>
      </w:r>
      <w:r w:rsidRPr="00EF638E">
        <w:rPr>
          <w:rFonts w:ascii="Cambria" w:hAnsi="Cambria"/>
          <w:i/>
          <w:sz w:val="18"/>
          <w:szCs w:val="18"/>
        </w:rPr>
        <w:t>et al</w:t>
      </w:r>
      <w:r>
        <w:rPr>
          <w:rFonts w:ascii="Cambria" w:hAnsi="Cambria"/>
          <w:sz w:val="18"/>
          <w:szCs w:val="18"/>
        </w:rPr>
        <w:t xml:space="preserve">. </w:t>
      </w:r>
      <w:r w:rsidRPr="00CC05F8">
        <w:rPr>
          <w:rFonts w:ascii="Cambria" w:hAnsi="Cambria"/>
          <w:sz w:val="18"/>
          <w:szCs w:val="18"/>
        </w:rPr>
        <w:t xml:space="preserve">Efficacy and safety of vismodegib in advanced basal-cell </w:t>
      </w:r>
      <w:r>
        <w:rPr>
          <w:rFonts w:ascii="Cambria" w:hAnsi="Cambria"/>
          <w:sz w:val="18"/>
          <w:szCs w:val="18"/>
        </w:rPr>
        <w:t xml:space="preserve">carcinoma. </w:t>
      </w:r>
      <w:r w:rsidRPr="00EF638E">
        <w:rPr>
          <w:rFonts w:ascii="Cambria" w:hAnsi="Cambria"/>
          <w:i/>
          <w:sz w:val="18"/>
          <w:szCs w:val="18"/>
        </w:rPr>
        <w:t>NEJM</w:t>
      </w:r>
      <w:r w:rsidRPr="00CC05F8">
        <w:rPr>
          <w:rFonts w:ascii="Cambria" w:hAnsi="Cambria"/>
          <w:sz w:val="18"/>
          <w:szCs w:val="18"/>
        </w:rPr>
        <w:t xml:space="preserve"> </w:t>
      </w:r>
      <w:r>
        <w:rPr>
          <w:rFonts w:ascii="Cambria" w:hAnsi="Cambria"/>
          <w:sz w:val="18"/>
          <w:szCs w:val="18"/>
        </w:rPr>
        <w:t>2012:366;</w:t>
      </w:r>
      <w:r w:rsidRPr="00CC05F8">
        <w:rPr>
          <w:rFonts w:ascii="Cambria" w:hAnsi="Cambria"/>
          <w:sz w:val="18"/>
          <w:szCs w:val="18"/>
        </w:rPr>
        <w:t>2171</w:t>
      </w:r>
      <w:r>
        <w:rPr>
          <w:rFonts w:ascii="Cambria" w:hAnsi="Cambria"/>
          <w:sz w:val="18"/>
          <w:szCs w:val="18"/>
        </w:rPr>
        <w:noBreakHyphen/>
      </w:r>
      <w:r w:rsidRPr="00CC05F8">
        <w:rPr>
          <w:rFonts w:ascii="Cambria" w:hAnsi="Cambria"/>
          <w:sz w:val="18"/>
          <w:szCs w:val="18"/>
        </w:rPr>
        <w:t>2179</w:t>
      </w:r>
    </w:p>
  </w:footnote>
  <w:footnote w:id="19">
    <w:p w:rsidR="00A6501E" w:rsidRPr="00ED0A75" w:rsidRDefault="00A6501E" w:rsidP="00FA0E0D">
      <w:pPr>
        <w:pStyle w:val="FootnoteText"/>
        <w:spacing w:after="120"/>
        <w:rPr>
          <w:rFonts w:ascii="Cambria" w:hAnsi="Cambria"/>
          <w:sz w:val="18"/>
          <w:szCs w:val="18"/>
        </w:rPr>
      </w:pPr>
      <w:r w:rsidRPr="00ED0A75">
        <w:rPr>
          <w:rStyle w:val="FootnoteReference"/>
          <w:rFonts w:ascii="Cambria" w:hAnsi="Cambria"/>
          <w:sz w:val="18"/>
          <w:szCs w:val="18"/>
        </w:rPr>
        <w:footnoteRef/>
      </w:r>
      <w:r w:rsidRPr="00ED0A75">
        <w:rPr>
          <w:rFonts w:ascii="Cambria" w:hAnsi="Cambria"/>
          <w:sz w:val="18"/>
          <w:szCs w:val="18"/>
        </w:rPr>
        <w:t xml:space="preserve"> Tang JY </w:t>
      </w:r>
      <w:r w:rsidRPr="00ED0A75">
        <w:rPr>
          <w:rFonts w:ascii="Cambria" w:hAnsi="Cambria"/>
          <w:i/>
          <w:sz w:val="18"/>
          <w:szCs w:val="18"/>
        </w:rPr>
        <w:t>et al</w:t>
      </w:r>
      <w:r w:rsidRPr="00ED0A75">
        <w:rPr>
          <w:rFonts w:ascii="Cambria" w:hAnsi="Cambria"/>
          <w:sz w:val="18"/>
          <w:szCs w:val="18"/>
        </w:rPr>
        <w:t xml:space="preserve">. Inhibiting the Hedgehog Pathway in Patients with </w:t>
      </w:r>
      <w:r>
        <w:rPr>
          <w:rFonts w:ascii="Cambria" w:hAnsi="Cambria"/>
          <w:sz w:val="18"/>
          <w:szCs w:val="18"/>
        </w:rPr>
        <w:t xml:space="preserve">the Basal-Cell Nevus Syndrome. </w:t>
      </w:r>
      <w:r w:rsidRPr="00ED0A75">
        <w:rPr>
          <w:rFonts w:ascii="Cambria" w:hAnsi="Cambria"/>
          <w:i/>
          <w:sz w:val="18"/>
          <w:szCs w:val="18"/>
        </w:rPr>
        <w:t>NEJM</w:t>
      </w:r>
      <w:r w:rsidRPr="00ED0A75">
        <w:rPr>
          <w:rFonts w:ascii="Cambria" w:hAnsi="Cambria"/>
          <w:sz w:val="18"/>
          <w:szCs w:val="18"/>
        </w:rPr>
        <w:t xml:space="preserve"> </w:t>
      </w:r>
      <w:r>
        <w:rPr>
          <w:rFonts w:ascii="Cambria" w:hAnsi="Cambria"/>
          <w:sz w:val="18"/>
          <w:szCs w:val="18"/>
        </w:rPr>
        <w:t>2012;</w:t>
      </w:r>
      <w:r w:rsidRPr="00ED0A75">
        <w:rPr>
          <w:rFonts w:ascii="Cambria" w:hAnsi="Cambria"/>
          <w:sz w:val="18"/>
          <w:szCs w:val="18"/>
        </w:rPr>
        <w:t>366</w:t>
      </w:r>
      <w:r>
        <w:rPr>
          <w:rFonts w:ascii="Cambria" w:hAnsi="Cambria"/>
          <w:sz w:val="18"/>
          <w:szCs w:val="18"/>
        </w:rPr>
        <w:t>:</w:t>
      </w:r>
      <w:r w:rsidRPr="00ED0A75">
        <w:rPr>
          <w:rFonts w:ascii="Cambria" w:hAnsi="Cambria"/>
          <w:sz w:val="18"/>
          <w:szCs w:val="18"/>
        </w:rPr>
        <w:t xml:space="preserve">2180-2188.  </w:t>
      </w:r>
      <w:r>
        <w:rPr>
          <w:rFonts w:ascii="Cambria" w:hAnsi="Cambria"/>
          <w:sz w:val="18"/>
          <w:szCs w:val="18"/>
        </w:rPr>
        <w:t>[</w:t>
      </w:r>
      <w:r w:rsidRPr="00ED0A75">
        <w:rPr>
          <w:rFonts w:ascii="Cambria" w:hAnsi="Cambria"/>
          <w:sz w:val="18"/>
          <w:szCs w:val="18"/>
        </w:rPr>
        <w:t>Results were of a planned second interim analysis, after the data safety monitoring board had recommended ending placebo treatment.</w:t>
      </w:r>
      <w:r>
        <w:rPr>
          <w:rFonts w:ascii="Cambria" w:hAnsi="Cambria"/>
          <w:sz w:val="18"/>
          <w:szCs w:val="18"/>
        </w:rPr>
        <w:t>]</w:t>
      </w:r>
    </w:p>
  </w:footnote>
  <w:footnote w:id="20">
    <w:p w:rsidR="00A6501E" w:rsidRPr="0007769C" w:rsidRDefault="00A6501E" w:rsidP="0007769C">
      <w:pPr>
        <w:spacing w:before="0" w:after="0" w:line="240" w:lineRule="auto"/>
        <w:rPr>
          <w:sz w:val="18"/>
          <w:szCs w:val="18"/>
        </w:rPr>
      </w:pPr>
      <w:r w:rsidRPr="00EF638E">
        <w:rPr>
          <w:sz w:val="18"/>
          <w:szCs w:val="18"/>
          <w:vertAlign w:val="superscript"/>
        </w:rPr>
        <w:footnoteRef/>
      </w:r>
      <w:r w:rsidRPr="0007769C">
        <w:rPr>
          <w:sz w:val="18"/>
          <w:szCs w:val="18"/>
        </w:rPr>
        <w:t xml:space="preserve"> </w:t>
      </w:r>
      <w:proofErr w:type="spellStart"/>
      <w:r w:rsidRPr="0007769C">
        <w:rPr>
          <w:sz w:val="18"/>
          <w:szCs w:val="18"/>
        </w:rPr>
        <w:t>Sekulic</w:t>
      </w:r>
      <w:proofErr w:type="spellEnd"/>
      <w:r w:rsidRPr="0007769C">
        <w:rPr>
          <w:sz w:val="18"/>
          <w:szCs w:val="18"/>
        </w:rPr>
        <w:t xml:space="preserve"> </w:t>
      </w:r>
      <w:r w:rsidRPr="00EF638E">
        <w:rPr>
          <w:i/>
          <w:sz w:val="18"/>
          <w:szCs w:val="18"/>
        </w:rPr>
        <w:t>et al</w:t>
      </w:r>
      <w:r w:rsidRPr="0007769C">
        <w:rPr>
          <w:sz w:val="18"/>
          <w:szCs w:val="18"/>
        </w:rPr>
        <w:t xml:space="preserve">.  Correspondence.  Vismodegib in Advanced Basal-Cell Carcinoma. </w:t>
      </w:r>
      <w:r w:rsidRPr="0007769C">
        <w:rPr>
          <w:i/>
          <w:sz w:val="18"/>
          <w:szCs w:val="18"/>
        </w:rPr>
        <w:t>NEJM</w:t>
      </w:r>
      <w:r w:rsidRPr="0007769C">
        <w:rPr>
          <w:sz w:val="18"/>
          <w:szCs w:val="18"/>
        </w:rPr>
        <w:t xml:space="preserve"> 2012: 367; </w:t>
      </w:r>
      <w:r>
        <w:rPr>
          <w:sz w:val="18"/>
          <w:szCs w:val="18"/>
        </w:rPr>
        <w:t>969-</w:t>
      </w:r>
      <w:r w:rsidRPr="0007769C">
        <w:rPr>
          <w:sz w:val="18"/>
          <w:szCs w:val="18"/>
        </w:rPr>
        <w:t>97</w:t>
      </w:r>
      <w:r>
        <w:rPr>
          <w:sz w:val="18"/>
          <w:szCs w:val="18"/>
        </w:rPr>
        <w:t>1</w:t>
      </w:r>
      <w:r w:rsidRPr="0007769C">
        <w:rPr>
          <w:sz w:val="18"/>
          <w:szCs w:val="18"/>
        </w:rPr>
        <w:t>.</w:t>
      </w:r>
    </w:p>
  </w:footnote>
  <w:footnote w:id="21">
    <w:p w:rsidR="00A6501E" w:rsidRPr="0007769C" w:rsidRDefault="00A6501E" w:rsidP="0007769C">
      <w:pPr>
        <w:spacing w:before="0" w:after="0" w:line="240" w:lineRule="auto"/>
        <w:rPr>
          <w:sz w:val="18"/>
          <w:szCs w:val="18"/>
        </w:rPr>
      </w:pPr>
      <w:r w:rsidRPr="00EF638E">
        <w:rPr>
          <w:sz w:val="18"/>
          <w:szCs w:val="18"/>
          <w:vertAlign w:val="superscript"/>
        </w:rPr>
        <w:footnoteRef/>
      </w:r>
      <w:r w:rsidRPr="0007769C">
        <w:rPr>
          <w:sz w:val="18"/>
          <w:szCs w:val="18"/>
        </w:rPr>
        <w:t xml:space="preserve"> Epstein </w:t>
      </w:r>
      <w:r w:rsidRPr="00EF638E">
        <w:rPr>
          <w:i/>
          <w:sz w:val="18"/>
          <w:szCs w:val="18"/>
        </w:rPr>
        <w:t>et al</w:t>
      </w:r>
      <w:r w:rsidRPr="0007769C">
        <w:rPr>
          <w:sz w:val="18"/>
          <w:szCs w:val="18"/>
        </w:rPr>
        <w:t>.  Correspondence</w:t>
      </w:r>
      <w:r>
        <w:rPr>
          <w:sz w:val="18"/>
          <w:szCs w:val="18"/>
        </w:rPr>
        <w:t>.</w:t>
      </w:r>
      <w:r w:rsidRPr="0007769C">
        <w:rPr>
          <w:sz w:val="18"/>
          <w:szCs w:val="18"/>
        </w:rPr>
        <w:t xml:space="preserve"> Vismodegib in Advanced Basal-Cell Carcinoma. </w:t>
      </w:r>
      <w:r w:rsidRPr="0007769C">
        <w:rPr>
          <w:i/>
          <w:sz w:val="18"/>
          <w:szCs w:val="18"/>
        </w:rPr>
        <w:t>NEJM</w:t>
      </w:r>
      <w:r w:rsidRPr="0007769C">
        <w:rPr>
          <w:sz w:val="18"/>
          <w:szCs w:val="18"/>
        </w:rPr>
        <w:t xml:space="preserve"> 2012: 367; 969-971.</w:t>
      </w:r>
    </w:p>
  </w:footnote>
  <w:footnote w:id="22">
    <w:p w:rsidR="00A6501E" w:rsidRPr="0007769C" w:rsidRDefault="00A6501E" w:rsidP="0007769C">
      <w:pPr>
        <w:spacing w:before="0" w:after="0" w:line="240" w:lineRule="auto"/>
        <w:rPr>
          <w:sz w:val="18"/>
          <w:szCs w:val="18"/>
        </w:rPr>
      </w:pPr>
      <w:r w:rsidRPr="00EF638E">
        <w:rPr>
          <w:sz w:val="18"/>
          <w:szCs w:val="18"/>
          <w:vertAlign w:val="superscript"/>
        </w:rPr>
        <w:footnoteRef/>
      </w:r>
      <w:r w:rsidRPr="0007769C">
        <w:rPr>
          <w:sz w:val="18"/>
          <w:szCs w:val="18"/>
        </w:rPr>
        <w:t xml:space="preserve"> </w:t>
      </w:r>
      <w:proofErr w:type="spellStart"/>
      <w:r w:rsidRPr="0007769C">
        <w:rPr>
          <w:sz w:val="18"/>
          <w:szCs w:val="18"/>
        </w:rPr>
        <w:t>Sekulic</w:t>
      </w:r>
      <w:proofErr w:type="spellEnd"/>
      <w:r w:rsidRPr="0007769C">
        <w:rPr>
          <w:sz w:val="18"/>
          <w:szCs w:val="18"/>
        </w:rPr>
        <w:t xml:space="preserve"> </w:t>
      </w:r>
      <w:r w:rsidRPr="00EF638E">
        <w:rPr>
          <w:i/>
          <w:sz w:val="18"/>
          <w:szCs w:val="18"/>
        </w:rPr>
        <w:t>et al</w:t>
      </w:r>
      <w:r>
        <w:rPr>
          <w:sz w:val="18"/>
          <w:szCs w:val="18"/>
        </w:rPr>
        <w:t>.  Correspondence.</w:t>
      </w:r>
      <w:r w:rsidRPr="0007769C">
        <w:rPr>
          <w:sz w:val="18"/>
          <w:szCs w:val="18"/>
        </w:rPr>
        <w:t xml:space="preserve"> Vismodegib in Advanced Basal-Cell Carcinoma. </w:t>
      </w:r>
      <w:r w:rsidRPr="0007769C">
        <w:rPr>
          <w:i/>
          <w:sz w:val="18"/>
          <w:szCs w:val="18"/>
        </w:rPr>
        <w:t>NEJM</w:t>
      </w:r>
      <w:r w:rsidRPr="0007769C">
        <w:rPr>
          <w:sz w:val="18"/>
          <w:szCs w:val="18"/>
        </w:rPr>
        <w:t xml:space="preserve"> 2012: 367; 969-971.</w:t>
      </w:r>
    </w:p>
  </w:footnote>
  <w:footnote w:id="23">
    <w:p w:rsidR="00A6501E" w:rsidRPr="00B61328" w:rsidRDefault="00A6501E" w:rsidP="00B61328">
      <w:pPr>
        <w:pStyle w:val="FootnoteText"/>
        <w:rPr>
          <w:rFonts w:ascii="Cambria" w:hAnsi="Cambria"/>
          <w:sz w:val="18"/>
          <w:szCs w:val="18"/>
        </w:rPr>
      </w:pPr>
      <w:r w:rsidRPr="00B61328">
        <w:rPr>
          <w:rStyle w:val="FootnoteReference"/>
          <w:rFonts w:ascii="Cambria" w:hAnsi="Cambria"/>
          <w:sz w:val="18"/>
          <w:szCs w:val="18"/>
        </w:rPr>
        <w:footnoteRef/>
      </w:r>
      <w:r w:rsidRPr="00B61328">
        <w:rPr>
          <w:rFonts w:ascii="Cambria" w:hAnsi="Cambria"/>
          <w:sz w:val="18"/>
          <w:szCs w:val="18"/>
        </w:rPr>
        <w:t xml:space="preserve"> Basal cell carcinoma, </w:t>
      </w:r>
      <w:proofErr w:type="spellStart"/>
      <w:r w:rsidRPr="00B61328">
        <w:rPr>
          <w:rFonts w:ascii="Cambria" w:hAnsi="Cambria"/>
          <w:sz w:val="18"/>
          <w:szCs w:val="18"/>
        </w:rPr>
        <w:t>squamous</w:t>
      </w:r>
      <w:proofErr w:type="spellEnd"/>
      <w:r w:rsidRPr="00B61328">
        <w:rPr>
          <w:rFonts w:ascii="Cambria" w:hAnsi="Cambria"/>
          <w:sz w:val="18"/>
          <w:szCs w:val="18"/>
        </w:rPr>
        <w:t xml:space="preserve"> cell car</w:t>
      </w:r>
      <w:r>
        <w:rPr>
          <w:rFonts w:ascii="Cambria" w:hAnsi="Cambria"/>
          <w:sz w:val="18"/>
          <w:szCs w:val="18"/>
        </w:rPr>
        <w:t>cinoma (and related lesions) -</w:t>
      </w:r>
      <w:r w:rsidRPr="00B61328">
        <w:rPr>
          <w:rFonts w:ascii="Cambria" w:hAnsi="Cambria"/>
          <w:sz w:val="18"/>
          <w:szCs w:val="18"/>
        </w:rPr>
        <w:t xml:space="preserve"> </w:t>
      </w:r>
      <w:r>
        <w:rPr>
          <w:rFonts w:ascii="Cambria" w:hAnsi="Cambria"/>
          <w:sz w:val="18"/>
          <w:szCs w:val="18"/>
        </w:rPr>
        <w:t>a</w:t>
      </w:r>
      <w:r w:rsidRPr="00B61328">
        <w:rPr>
          <w:rFonts w:ascii="Cambria" w:hAnsi="Cambria"/>
          <w:sz w:val="18"/>
          <w:szCs w:val="18"/>
        </w:rPr>
        <w:t xml:space="preserve"> guide to clinical management in Australia. Cancer Council Australia and Australian Cancer Network, Sydney. 2008.  </w:t>
      </w:r>
    </w:p>
  </w:footnote>
  <w:footnote w:id="24">
    <w:p w:rsidR="00A6501E" w:rsidRPr="00F700DF" w:rsidRDefault="00A6501E" w:rsidP="005C75AC">
      <w:pPr>
        <w:pStyle w:val="FootnoteText"/>
        <w:rPr>
          <w:rFonts w:ascii="Cambria" w:hAnsi="Cambria"/>
          <w:sz w:val="18"/>
          <w:szCs w:val="18"/>
        </w:rPr>
      </w:pPr>
      <w:r w:rsidRPr="00F700DF">
        <w:rPr>
          <w:rStyle w:val="FootnoteReference"/>
          <w:rFonts w:ascii="Cambria" w:hAnsi="Cambria"/>
          <w:sz w:val="18"/>
          <w:szCs w:val="18"/>
        </w:rPr>
        <w:footnoteRef/>
      </w:r>
      <w:r>
        <w:rPr>
          <w:rFonts w:ascii="Cambria" w:hAnsi="Cambria"/>
          <w:sz w:val="18"/>
          <w:szCs w:val="18"/>
        </w:rPr>
        <w:t xml:space="preserve"> Lear JT. </w:t>
      </w:r>
      <w:r w:rsidRPr="00F700DF">
        <w:rPr>
          <w:rFonts w:ascii="Cambria" w:hAnsi="Cambria"/>
          <w:sz w:val="18"/>
          <w:szCs w:val="18"/>
        </w:rPr>
        <w:t>Oral Hedgehog-Pathway Inhibi</w:t>
      </w:r>
      <w:r>
        <w:rPr>
          <w:rFonts w:ascii="Cambria" w:hAnsi="Cambria"/>
          <w:sz w:val="18"/>
          <w:szCs w:val="18"/>
        </w:rPr>
        <w:t xml:space="preserve">tors for Basal-Cell Carcinoma. </w:t>
      </w:r>
      <w:r w:rsidRPr="005C75AC">
        <w:rPr>
          <w:rFonts w:ascii="Cambria" w:hAnsi="Cambria"/>
          <w:i/>
          <w:sz w:val="18"/>
          <w:szCs w:val="18"/>
        </w:rPr>
        <w:t>NEJM</w:t>
      </w:r>
      <w:r w:rsidRPr="00F700DF">
        <w:rPr>
          <w:rFonts w:ascii="Cambria" w:hAnsi="Cambria"/>
          <w:sz w:val="18"/>
          <w:szCs w:val="18"/>
        </w:rPr>
        <w:t xml:space="preserve"> </w:t>
      </w:r>
      <w:r>
        <w:rPr>
          <w:rFonts w:ascii="Cambria" w:hAnsi="Cambria"/>
          <w:sz w:val="18"/>
          <w:szCs w:val="18"/>
        </w:rPr>
        <w:t>2012:</w:t>
      </w:r>
      <w:r w:rsidRPr="00F700DF">
        <w:rPr>
          <w:rFonts w:ascii="Cambria" w:hAnsi="Cambria"/>
          <w:sz w:val="18"/>
          <w:szCs w:val="18"/>
        </w:rPr>
        <w:t>366</w:t>
      </w:r>
      <w:r>
        <w:rPr>
          <w:rFonts w:ascii="Cambria" w:hAnsi="Cambria"/>
          <w:sz w:val="18"/>
          <w:szCs w:val="18"/>
        </w:rPr>
        <w:t>:</w:t>
      </w:r>
      <w:r w:rsidRPr="00F700DF">
        <w:rPr>
          <w:rFonts w:ascii="Cambria" w:hAnsi="Cambria"/>
          <w:sz w:val="18"/>
          <w:szCs w:val="18"/>
        </w:rPr>
        <w:t>2225-2226.</w:t>
      </w:r>
    </w:p>
  </w:footnote>
  <w:footnote w:id="25">
    <w:p w:rsidR="00A6501E" w:rsidRPr="006C195E" w:rsidRDefault="00A6501E">
      <w:pPr>
        <w:pStyle w:val="FootnoteText"/>
        <w:rPr>
          <w:rFonts w:ascii="Cambria" w:hAnsi="Cambria"/>
          <w:i/>
          <w:sz w:val="18"/>
          <w:szCs w:val="18"/>
        </w:rPr>
      </w:pPr>
      <w:r w:rsidRPr="006C195E">
        <w:rPr>
          <w:rStyle w:val="FootnoteReference"/>
          <w:rFonts w:ascii="Cambria" w:hAnsi="Cambria"/>
          <w:sz w:val="18"/>
          <w:szCs w:val="18"/>
        </w:rPr>
        <w:footnoteRef/>
      </w:r>
      <w:r w:rsidRPr="006C195E">
        <w:rPr>
          <w:rFonts w:ascii="Cambria" w:hAnsi="Cambria"/>
          <w:sz w:val="18"/>
          <w:szCs w:val="18"/>
        </w:rPr>
        <w:t xml:space="preserve"> Category D: </w:t>
      </w:r>
      <w:r w:rsidRPr="006C195E">
        <w:rPr>
          <w:rFonts w:ascii="Cambria" w:hAnsi="Cambria"/>
          <w:i/>
          <w:sz w:val="18"/>
          <w:szCs w:val="18"/>
        </w:rPr>
        <w:t xml:space="preserve">Drugs which have caused, are suspected to have caused or may be expected to cause, an increased incidence of human </w:t>
      </w:r>
      <w:proofErr w:type="spellStart"/>
      <w:r w:rsidRPr="006C195E">
        <w:rPr>
          <w:rFonts w:ascii="Cambria" w:hAnsi="Cambria"/>
          <w:i/>
          <w:sz w:val="18"/>
          <w:szCs w:val="18"/>
        </w:rPr>
        <w:t>fetal</w:t>
      </w:r>
      <w:proofErr w:type="spellEnd"/>
      <w:r w:rsidRPr="006C195E">
        <w:rPr>
          <w:rFonts w:ascii="Cambria" w:hAnsi="Cambria"/>
          <w:i/>
          <w:sz w:val="18"/>
          <w:szCs w:val="18"/>
        </w:rPr>
        <w:t xml:space="preserve"> malformations or irreversible damage. These drugs may also have adverse pharmacological effects. Accompanying texts should be consulted for further details.</w:t>
      </w:r>
    </w:p>
  </w:footnote>
  <w:footnote w:id="26">
    <w:p w:rsidR="00A6501E" w:rsidRPr="006C195E" w:rsidRDefault="00A6501E">
      <w:pPr>
        <w:pStyle w:val="FootnoteText"/>
        <w:rPr>
          <w:rFonts w:ascii="Cambria" w:hAnsi="Cambria"/>
          <w:sz w:val="18"/>
          <w:szCs w:val="18"/>
        </w:rPr>
      </w:pPr>
      <w:r w:rsidRPr="006C195E">
        <w:rPr>
          <w:rStyle w:val="FootnoteReference"/>
          <w:rFonts w:ascii="Cambria" w:hAnsi="Cambria"/>
          <w:sz w:val="18"/>
          <w:szCs w:val="18"/>
        </w:rPr>
        <w:footnoteRef/>
      </w:r>
      <w:r w:rsidRPr="006C195E">
        <w:rPr>
          <w:rFonts w:ascii="Cambria" w:hAnsi="Cambria"/>
          <w:sz w:val="18"/>
          <w:szCs w:val="18"/>
        </w:rPr>
        <w:t xml:space="preserve"> Category X: </w:t>
      </w:r>
      <w:r w:rsidRPr="006C195E">
        <w:rPr>
          <w:rFonts w:ascii="Cambria" w:hAnsi="Cambria"/>
          <w:i/>
          <w:sz w:val="18"/>
          <w:szCs w:val="18"/>
        </w:rPr>
        <w:t>Drugs which have such a high risk of causing permanent damage to the fetus that they should not be used in pregnancy or when there is a possibility of pregnancy.</w:t>
      </w:r>
    </w:p>
  </w:footnote>
  <w:footnote w:id="27">
    <w:p w:rsidR="00A6501E" w:rsidRPr="006D76C6" w:rsidRDefault="00A6501E" w:rsidP="006D76C6">
      <w:pPr>
        <w:autoSpaceDE w:val="0"/>
        <w:autoSpaceDN w:val="0"/>
        <w:adjustRightInd w:val="0"/>
        <w:spacing w:before="0" w:after="0" w:line="240" w:lineRule="auto"/>
        <w:rPr>
          <w:sz w:val="18"/>
          <w:szCs w:val="18"/>
        </w:rPr>
      </w:pPr>
      <w:r w:rsidRPr="006D76C6">
        <w:rPr>
          <w:rStyle w:val="FootnoteReference"/>
          <w:sz w:val="18"/>
          <w:szCs w:val="18"/>
        </w:rPr>
        <w:footnoteRef/>
      </w:r>
      <w:r w:rsidRPr="006D76C6">
        <w:rPr>
          <w:sz w:val="18"/>
          <w:szCs w:val="18"/>
        </w:rPr>
        <w:t xml:space="preserve"> </w:t>
      </w:r>
      <w:r w:rsidRPr="006D76C6">
        <w:rPr>
          <w:rFonts w:eastAsiaTheme="minorHAnsi"/>
          <w:sz w:val="18"/>
          <w:szCs w:val="18"/>
        </w:rPr>
        <w:t xml:space="preserve">Basal cell carcinoma, </w:t>
      </w:r>
      <w:proofErr w:type="spellStart"/>
      <w:r w:rsidRPr="006D76C6">
        <w:rPr>
          <w:rFonts w:eastAsiaTheme="minorHAnsi"/>
          <w:sz w:val="18"/>
          <w:szCs w:val="18"/>
        </w:rPr>
        <w:t>squamous</w:t>
      </w:r>
      <w:proofErr w:type="spellEnd"/>
      <w:r w:rsidRPr="006D76C6">
        <w:rPr>
          <w:rFonts w:eastAsiaTheme="minorHAnsi"/>
          <w:sz w:val="18"/>
          <w:szCs w:val="18"/>
        </w:rPr>
        <w:t xml:space="preserve"> cell carcinoma (and related lesions)</w:t>
      </w:r>
      <w:r w:rsidRPr="006D76C6">
        <w:rPr>
          <w:rFonts w:eastAsiaTheme="minorHAnsi" w:cs="TimesNewRoman"/>
          <w:sz w:val="18"/>
          <w:szCs w:val="18"/>
        </w:rPr>
        <w:t xml:space="preserve">. </w:t>
      </w:r>
      <w:r w:rsidRPr="006D76C6">
        <w:rPr>
          <w:rFonts w:eastAsiaTheme="minorHAnsi"/>
          <w:sz w:val="18"/>
          <w:szCs w:val="18"/>
        </w:rPr>
        <w:t>A guide to clinical management in Australia. Cancer Council Australia and Australian</w:t>
      </w:r>
      <w:r>
        <w:rPr>
          <w:rFonts w:eastAsiaTheme="minorHAnsi"/>
          <w:sz w:val="18"/>
          <w:szCs w:val="18"/>
        </w:rPr>
        <w:t xml:space="preserve"> Cancer Network, Sydney. 2008. </w:t>
      </w:r>
      <w:r w:rsidRPr="006D76C6">
        <w:rPr>
          <w:rFonts w:eastAsiaTheme="minorHAnsi"/>
          <w:sz w:val="18"/>
          <w:szCs w:val="18"/>
        </w:rPr>
        <w:t>See also page xvii of guideline.</w:t>
      </w:r>
    </w:p>
  </w:footnote>
  <w:footnote w:id="28">
    <w:p w:rsidR="00A6501E" w:rsidRPr="006C195E" w:rsidRDefault="00A6501E">
      <w:pPr>
        <w:pStyle w:val="FootnoteText"/>
        <w:rPr>
          <w:rFonts w:ascii="Cambria" w:hAnsi="Cambria"/>
          <w:sz w:val="18"/>
          <w:szCs w:val="18"/>
        </w:rPr>
      </w:pPr>
      <w:r w:rsidRPr="006C195E">
        <w:rPr>
          <w:rStyle w:val="FootnoteReference"/>
          <w:rFonts w:ascii="Cambria" w:hAnsi="Cambria"/>
          <w:sz w:val="18"/>
          <w:szCs w:val="18"/>
        </w:rPr>
        <w:footnoteRef/>
      </w:r>
      <w:r w:rsidRPr="006C195E">
        <w:rPr>
          <w:rFonts w:ascii="Cambria" w:hAnsi="Cambria"/>
          <w:sz w:val="18"/>
          <w:szCs w:val="18"/>
        </w:rPr>
        <w:t xml:space="preserve"> Details of the proposed revisions to product literature (PI and CMI) are beyond the scope of the AusPAR.</w:t>
      </w:r>
    </w:p>
  </w:footnote>
  <w:footnote w:id="29">
    <w:p w:rsidR="00A6501E" w:rsidRPr="003009C0" w:rsidRDefault="00A6501E" w:rsidP="003009C0">
      <w:pPr>
        <w:pStyle w:val="FootnoteText"/>
        <w:rPr>
          <w:rFonts w:ascii="Cambria" w:hAnsi="Cambria"/>
          <w:sz w:val="18"/>
          <w:szCs w:val="18"/>
        </w:rPr>
      </w:pPr>
      <w:r w:rsidRPr="003009C0">
        <w:rPr>
          <w:rStyle w:val="FootnoteReference"/>
          <w:rFonts w:ascii="Cambria" w:hAnsi="Cambria"/>
          <w:sz w:val="18"/>
          <w:szCs w:val="18"/>
        </w:rPr>
        <w:footnoteRef/>
      </w:r>
      <w:r w:rsidRPr="003009C0">
        <w:rPr>
          <w:rFonts w:ascii="Cambria" w:hAnsi="Cambria"/>
          <w:sz w:val="18"/>
          <w:szCs w:val="18"/>
        </w:rPr>
        <w:t xml:space="preserve"> </w:t>
      </w:r>
      <w:hyperlink r:id="rId2" w:history="1">
        <w:r w:rsidRPr="003009C0">
          <w:rPr>
            <w:rStyle w:val="Hyperlink"/>
            <w:rFonts w:ascii="Cambria" w:hAnsi="Cambria"/>
            <w:sz w:val="18"/>
            <w:szCs w:val="18"/>
          </w:rPr>
          <w:t>https://www.eviq.org.au/</w:t>
        </w:r>
      </w:hyperlink>
      <w:r w:rsidRPr="003009C0">
        <w:rPr>
          <w:rFonts w:ascii="Cambria" w:hAnsi="Cambria"/>
          <w:sz w:val="18"/>
          <w:szCs w:val="18"/>
        </w:rPr>
        <w:t xml:space="preserve"> </w:t>
      </w:r>
      <w:proofErr w:type="spellStart"/>
      <w:r w:rsidRPr="003009C0">
        <w:rPr>
          <w:rFonts w:ascii="Cambria" w:hAnsi="Cambria"/>
          <w:sz w:val="18"/>
          <w:szCs w:val="18"/>
        </w:rPr>
        <w:t>eviQ</w:t>
      </w:r>
      <w:proofErr w:type="spellEnd"/>
      <w:r w:rsidRPr="003009C0">
        <w:rPr>
          <w:rFonts w:ascii="Cambria" w:hAnsi="Cambria"/>
          <w:sz w:val="18"/>
          <w:szCs w:val="18"/>
        </w:rPr>
        <w:t xml:space="preserve"> Cancer Treatments Online </w:t>
      </w:r>
      <w:proofErr w:type="spellStart"/>
      <w:r w:rsidRPr="003009C0">
        <w:rPr>
          <w:rFonts w:ascii="Cambria" w:hAnsi="Cambria"/>
          <w:sz w:val="18"/>
          <w:szCs w:val="18"/>
        </w:rPr>
        <w:t>sits</w:t>
      </w:r>
      <w:proofErr w:type="spellEnd"/>
      <w:r w:rsidRPr="003009C0">
        <w:rPr>
          <w:rFonts w:ascii="Cambria" w:hAnsi="Cambria"/>
          <w:sz w:val="18"/>
          <w:szCs w:val="18"/>
        </w:rPr>
        <w:t xml:space="preserve"> within the Cancer Services and Information Division at the Cancer Institute NSW.</w:t>
      </w:r>
    </w:p>
  </w:footnote>
  <w:footnote w:id="30">
    <w:p w:rsidR="00A6501E" w:rsidRPr="003009C0" w:rsidRDefault="00A6501E" w:rsidP="003009C0">
      <w:pPr>
        <w:autoSpaceDE w:val="0"/>
        <w:autoSpaceDN w:val="0"/>
        <w:adjustRightInd w:val="0"/>
        <w:spacing w:before="0" w:after="0" w:line="240" w:lineRule="auto"/>
        <w:rPr>
          <w:rFonts w:eastAsiaTheme="minorHAnsi"/>
          <w:sz w:val="18"/>
          <w:szCs w:val="18"/>
        </w:rPr>
      </w:pPr>
      <w:r w:rsidRPr="003009C0">
        <w:rPr>
          <w:rStyle w:val="FootnoteReference"/>
          <w:sz w:val="18"/>
          <w:szCs w:val="18"/>
        </w:rPr>
        <w:footnoteRef/>
      </w:r>
      <w:r w:rsidRPr="003009C0">
        <w:rPr>
          <w:sz w:val="18"/>
          <w:szCs w:val="18"/>
        </w:rPr>
        <w:t xml:space="preserve"> </w:t>
      </w:r>
      <w:r w:rsidRPr="003009C0">
        <w:rPr>
          <w:rFonts w:eastAsiaTheme="minorHAnsi"/>
          <w:sz w:val="18"/>
          <w:szCs w:val="18"/>
        </w:rPr>
        <w:t xml:space="preserve">Basal cell carcinoma, </w:t>
      </w:r>
      <w:proofErr w:type="spellStart"/>
      <w:r w:rsidRPr="003009C0">
        <w:rPr>
          <w:rFonts w:eastAsiaTheme="minorHAnsi"/>
          <w:sz w:val="18"/>
          <w:szCs w:val="18"/>
        </w:rPr>
        <w:t>squamous</w:t>
      </w:r>
      <w:proofErr w:type="spellEnd"/>
      <w:r w:rsidRPr="003009C0">
        <w:rPr>
          <w:rFonts w:eastAsiaTheme="minorHAnsi"/>
          <w:sz w:val="18"/>
          <w:szCs w:val="18"/>
        </w:rPr>
        <w:t xml:space="preserve"> cell carcinoma (and related lesions)</w:t>
      </w:r>
      <w:r w:rsidRPr="003009C0">
        <w:rPr>
          <w:rFonts w:eastAsiaTheme="minorHAnsi" w:cs="TimesNewRoman"/>
          <w:sz w:val="18"/>
          <w:szCs w:val="18"/>
        </w:rPr>
        <w:t xml:space="preserve">. </w:t>
      </w:r>
      <w:r w:rsidRPr="003009C0">
        <w:rPr>
          <w:rFonts w:eastAsiaTheme="minorHAnsi"/>
          <w:sz w:val="18"/>
          <w:szCs w:val="18"/>
        </w:rPr>
        <w:t>A guide to clinical management in Australia. Cancer Council Australia and Australian Cancer Network, Sydney. 2008</w:t>
      </w:r>
    </w:p>
  </w:footnote>
  <w:footnote w:id="31">
    <w:p w:rsidR="00A6501E" w:rsidRPr="008301BD" w:rsidRDefault="00A6501E">
      <w:pPr>
        <w:pStyle w:val="FootnoteText"/>
        <w:rPr>
          <w:rFonts w:ascii="Cambria" w:hAnsi="Cambria"/>
          <w:sz w:val="18"/>
          <w:szCs w:val="18"/>
        </w:rPr>
      </w:pPr>
      <w:r w:rsidRPr="008301BD">
        <w:rPr>
          <w:rStyle w:val="FootnoteReference"/>
          <w:rFonts w:ascii="Cambria" w:hAnsi="Cambria"/>
          <w:sz w:val="18"/>
          <w:szCs w:val="18"/>
        </w:rPr>
        <w:footnoteRef/>
      </w:r>
      <w:r w:rsidRPr="008301BD">
        <w:rPr>
          <w:rFonts w:ascii="Cambria" w:hAnsi="Cambria"/>
          <w:sz w:val="18"/>
          <w:szCs w:val="18"/>
        </w:rPr>
        <w:t xml:space="preserve"> </w:t>
      </w:r>
      <w:proofErr w:type="spellStart"/>
      <w:r>
        <w:rPr>
          <w:rFonts w:ascii="Cambria" w:hAnsi="Cambria"/>
          <w:sz w:val="18"/>
          <w:szCs w:val="18"/>
        </w:rPr>
        <w:t>McCusker</w:t>
      </w:r>
      <w:proofErr w:type="spellEnd"/>
      <w:r>
        <w:rPr>
          <w:rFonts w:ascii="Cambria" w:hAnsi="Cambria"/>
          <w:sz w:val="18"/>
          <w:szCs w:val="18"/>
        </w:rPr>
        <w:t xml:space="preserve"> M</w:t>
      </w:r>
      <w:r w:rsidRPr="008301BD">
        <w:rPr>
          <w:rFonts w:ascii="Cambria" w:hAnsi="Cambria"/>
          <w:sz w:val="18"/>
          <w:szCs w:val="18"/>
        </w:rPr>
        <w:t xml:space="preserve"> </w:t>
      </w:r>
      <w:r w:rsidRPr="008301BD">
        <w:rPr>
          <w:rFonts w:ascii="Cambria" w:hAnsi="Cambria"/>
          <w:i/>
          <w:sz w:val="18"/>
          <w:szCs w:val="18"/>
        </w:rPr>
        <w:t>et al</w:t>
      </w:r>
      <w:r w:rsidRPr="008301BD">
        <w:rPr>
          <w:rFonts w:ascii="Cambria" w:hAnsi="Cambria"/>
          <w:sz w:val="18"/>
          <w:szCs w:val="18"/>
        </w:rPr>
        <w:t xml:space="preserve">. Metastatic basal cell carcinoma: differences in survival by site of spread. ASCO Annual Meeting 1-5 June 2012; poster 8585. </w:t>
      </w:r>
    </w:p>
  </w:footnote>
  <w:footnote w:id="32">
    <w:p w:rsidR="00A6501E" w:rsidRPr="008301BD" w:rsidRDefault="00A6501E" w:rsidP="00F4008D">
      <w:pPr>
        <w:pStyle w:val="FootnoteText"/>
        <w:rPr>
          <w:rFonts w:ascii="Cambria" w:hAnsi="Cambria"/>
          <w:sz w:val="18"/>
          <w:szCs w:val="18"/>
        </w:rPr>
      </w:pPr>
      <w:r w:rsidRPr="008301BD">
        <w:rPr>
          <w:rStyle w:val="FootnoteReference"/>
          <w:rFonts w:ascii="Cambria" w:hAnsi="Cambria"/>
          <w:sz w:val="18"/>
          <w:szCs w:val="18"/>
        </w:rPr>
        <w:footnoteRef/>
      </w:r>
      <w:r w:rsidRPr="008301BD">
        <w:rPr>
          <w:rFonts w:ascii="Cambria" w:hAnsi="Cambria"/>
          <w:sz w:val="18"/>
          <w:szCs w:val="18"/>
        </w:rPr>
        <w:t xml:space="preserve"> </w:t>
      </w:r>
      <w:proofErr w:type="spellStart"/>
      <w:r w:rsidRPr="008301BD">
        <w:rPr>
          <w:rFonts w:ascii="Cambria" w:hAnsi="Cambria"/>
          <w:sz w:val="18"/>
          <w:szCs w:val="18"/>
        </w:rPr>
        <w:t>Moeholt</w:t>
      </w:r>
      <w:proofErr w:type="spellEnd"/>
      <w:r w:rsidRPr="008301BD">
        <w:rPr>
          <w:rFonts w:ascii="Cambria" w:hAnsi="Cambria"/>
          <w:sz w:val="18"/>
          <w:szCs w:val="18"/>
        </w:rPr>
        <w:t xml:space="preserve"> K. </w:t>
      </w:r>
      <w:r w:rsidRPr="008301BD">
        <w:rPr>
          <w:rFonts w:ascii="Cambria" w:hAnsi="Cambria"/>
          <w:i/>
          <w:sz w:val="18"/>
          <w:szCs w:val="18"/>
        </w:rPr>
        <w:t>et al</w:t>
      </w:r>
      <w:r w:rsidRPr="008301BD">
        <w:rPr>
          <w:rFonts w:ascii="Cambria" w:hAnsi="Cambria"/>
          <w:sz w:val="18"/>
          <w:szCs w:val="18"/>
        </w:rPr>
        <w:t xml:space="preserve">. Platinum-based cytotoxic therapy in basal cell carcinoma--a review of the literature. </w:t>
      </w:r>
      <w:proofErr w:type="spellStart"/>
      <w:r w:rsidRPr="008301BD">
        <w:rPr>
          <w:rFonts w:ascii="Cambria" w:hAnsi="Cambria"/>
          <w:i/>
          <w:sz w:val="18"/>
          <w:szCs w:val="18"/>
        </w:rPr>
        <w:t>Acta</w:t>
      </w:r>
      <w:proofErr w:type="spellEnd"/>
      <w:r w:rsidRPr="008301BD">
        <w:rPr>
          <w:rFonts w:ascii="Cambria" w:hAnsi="Cambria"/>
          <w:i/>
          <w:sz w:val="18"/>
          <w:szCs w:val="18"/>
        </w:rPr>
        <w:t xml:space="preserve"> </w:t>
      </w:r>
      <w:proofErr w:type="spellStart"/>
      <w:r w:rsidRPr="008301BD">
        <w:rPr>
          <w:rFonts w:ascii="Cambria" w:hAnsi="Cambria"/>
          <w:i/>
          <w:sz w:val="18"/>
          <w:szCs w:val="18"/>
        </w:rPr>
        <w:t>Oncol</w:t>
      </w:r>
      <w:proofErr w:type="spellEnd"/>
      <w:r w:rsidRPr="008301BD">
        <w:rPr>
          <w:rFonts w:ascii="Cambria" w:hAnsi="Cambria"/>
          <w:sz w:val="18"/>
          <w:szCs w:val="18"/>
        </w:rPr>
        <w:t>. 1996;35(6):677-82.</w:t>
      </w:r>
    </w:p>
  </w:footnote>
  <w:footnote w:id="33">
    <w:p w:rsidR="00A6501E" w:rsidRPr="0012649D" w:rsidRDefault="00A6501E" w:rsidP="00444238">
      <w:pPr>
        <w:pStyle w:val="FootnoteText"/>
        <w:rPr>
          <w:rFonts w:ascii="Cambria" w:hAnsi="Cambria"/>
          <w:sz w:val="18"/>
          <w:szCs w:val="18"/>
        </w:rPr>
      </w:pPr>
      <w:r w:rsidRPr="0012649D">
        <w:rPr>
          <w:rStyle w:val="FootnoteReference"/>
          <w:rFonts w:ascii="Cambria" w:hAnsi="Cambria"/>
          <w:sz w:val="18"/>
          <w:szCs w:val="18"/>
        </w:rPr>
        <w:footnoteRef/>
      </w:r>
      <w:r w:rsidRPr="0012649D">
        <w:rPr>
          <w:rFonts w:ascii="Cambria" w:hAnsi="Cambria"/>
          <w:sz w:val="18"/>
          <w:szCs w:val="18"/>
        </w:rPr>
        <w:t xml:space="preserve"> </w:t>
      </w:r>
      <w:proofErr w:type="spellStart"/>
      <w:r w:rsidRPr="0012649D">
        <w:rPr>
          <w:rFonts w:ascii="Cambria" w:hAnsi="Cambria"/>
          <w:sz w:val="18"/>
          <w:szCs w:val="18"/>
        </w:rPr>
        <w:t>McCusker</w:t>
      </w:r>
      <w:proofErr w:type="spellEnd"/>
      <w:r w:rsidRPr="0012649D">
        <w:rPr>
          <w:rFonts w:ascii="Cambria" w:hAnsi="Cambria"/>
          <w:sz w:val="18"/>
          <w:szCs w:val="18"/>
        </w:rPr>
        <w:t xml:space="preserve"> M. </w:t>
      </w:r>
      <w:r w:rsidRPr="00444238">
        <w:rPr>
          <w:rFonts w:ascii="Cambria" w:hAnsi="Cambria"/>
          <w:i/>
          <w:sz w:val="18"/>
          <w:szCs w:val="18"/>
        </w:rPr>
        <w:t>et al</w:t>
      </w:r>
      <w:r w:rsidRPr="0012649D">
        <w:rPr>
          <w:rFonts w:ascii="Cambria" w:hAnsi="Cambria"/>
          <w:sz w:val="18"/>
          <w:szCs w:val="18"/>
        </w:rPr>
        <w:t xml:space="preserve">. Metastatic basal cell carcinoma: differences in survival by site of spread. </w:t>
      </w:r>
      <w:r w:rsidRPr="00444238">
        <w:rPr>
          <w:rFonts w:ascii="Cambria" w:hAnsi="Cambria"/>
          <w:i/>
          <w:sz w:val="18"/>
          <w:szCs w:val="18"/>
        </w:rPr>
        <w:t>ASCO Annual Meeting</w:t>
      </w:r>
      <w:r w:rsidRPr="0012649D">
        <w:rPr>
          <w:rFonts w:ascii="Cambria" w:hAnsi="Cambria"/>
          <w:sz w:val="18"/>
          <w:szCs w:val="18"/>
        </w:rPr>
        <w:t xml:space="preserve"> 1-5 June 2012; poster 8585. </w:t>
      </w:r>
    </w:p>
  </w:footnote>
  <w:footnote w:id="34">
    <w:p w:rsidR="00A6501E" w:rsidRPr="0012649D" w:rsidRDefault="00A6501E" w:rsidP="00444238">
      <w:pPr>
        <w:pStyle w:val="FootnoteText"/>
        <w:rPr>
          <w:rFonts w:ascii="Cambria" w:hAnsi="Cambria"/>
          <w:sz w:val="18"/>
          <w:szCs w:val="18"/>
        </w:rPr>
      </w:pPr>
      <w:r w:rsidRPr="0012649D">
        <w:rPr>
          <w:rStyle w:val="FootnoteReference"/>
          <w:rFonts w:ascii="Cambria" w:hAnsi="Cambria"/>
          <w:sz w:val="18"/>
          <w:szCs w:val="18"/>
        </w:rPr>
        <w:footnoteRef/>
      </w:r>
      <w:r w:rsidRPr="0012649D">
        <w:rPr>
          <w:rFonts w:ascii="Cambria" w:hAnsi="Cambria"/>
          <w:sz w:val="18"/>
          <w:szCs w:val="18"/>
        </w:rPr>
        <w:t xml:space="preserve"> </w:t>
      </w:r>
      <w:proofErr w:type="spellStart"/>
      <w:r w:rsidRPr="0012649D">
        <w:rPr>
          <w:rFonts w:ascii="Cambria" w:hAnsi="Cambria"/>
          <w:sz w:val="18"/>
          <w:szCs w:val="18"/>
        </w:rPr>
        <w:t>Schwipper</w:t>
      </w:r>
      <w:proofErr w:type="spellEnd"/>
      <w:r w:rsidRPr="0012649D">
        <w:rPr>
          <w:rFonts w:ascii="Cambria" w:hAnsi="Cambria"/>
          <w:sz w:val="18"/>
          <w:szCs w:val="18"/>
        </w:rPr>
        <w:t xml:space="preserve"> V. Invasive basal cell carcinoma of the head and neck (</w:t>
      </w:r>
      <w:proofErr w:type="spellStart"/>
      <w:r w:rsidRPr="0012649D">
        <w:rPr>
          <w:rFonts w:ascii="Cambria" w:hAnsi="Cambria"/>
          <w:sz w:val="18"/>
          <w:szCs w:val="18"/>
        </w:rPr>
        <w:t>basalioma</w:t>
      </w:r>
      <w:proofErr w:type="spellEnd"/>
      <w:r w:rsidRPr="0012649D">
        <w:rPr>
          <w:rFonts w:ascii="Cambria" w:hAnsi="Cambria"/>
          <w:sz w:val="18"/>
          <w:szCs w:val="18"/>
        </w:rPr>
        <w:t xml:space="preserve"> </w:t>
      </w:r>
      <w:proofErr w:type="spellStart"/>
      <w:r w:rsidRPr="0012649D">
        <w:rPr>
          <w:rFonts w:ascii="Cambria" w:hAnsi="Cambria"/>
          <w:sz w:val="18"/>
          <w:szCs w:val="18"/>
        </w:rPr>
        <w:t>terebrans</w:t>
      </w:r>
      <w:proofErr w:type="spellEnd"/>
      <w:r w:rsidRPr="0012649D">
        <w:rPr>
          <w:rFonts w:ascii="Cambria" w:hAnsi="Cambria"/>
          <w:sz w:val="18"/>
          <w:szCs w:val="18"/>
        </w:rPr>
        <w:t xml:space="preserve">). </w:t>
      </w:r>
      <w:r w:rsidRPr="00444238">
        <w:rPr>
          <w:rFonts w:ascii="Cambria" w:hAnsi="Cambria"/>
          <w:i/>
          <w:sz w:val="18"/>
          <w:szCs w:val="18"/>
        </w:rPr>
        <w:t xml:space="preserve">Facial </w:t>
      </w:r>
      <w:proofErr w:type="spellStart"/>
      <w:r w:rsidRPr="00444238">
        <w:rPr>
          <w:rFonts w:ascii="Cambria" w:hAnsi="Cambria"/>
          <w:i/>
          <w:sz w:val="18"/>
          <w:szCs w:val="18"/>
        </w:rPr>
        <w:t>Plast</w:t>
      </w:r>
      <w:proofErr w:type="spellEnd"/>
      <w:r w:rsidRPr="00444238">
        <w:rPr>
          <w:rFonts w:ascii="Cambria" w:hAnsi="Cambria"/>
          <w:i/>
          <w:sz w:val="18"/>
          <w:szCs w:val="18"/>
        </w:rPr>
        <w:t xml:space="preserve"> Surg</w:t>
      </w:r>
      <w:r>
        <w:rPr>
          <w:rFonts w:ascii="Cambria" w:hAnsi="Cambria"/>
          <w:sz w:val="18"/>
          <w:szCs w:val="18"/>
        </w:rPr>
        <w:t xml:space="preserve"> 2011</w:t>
      </w:r>
      <w:r w:rsidRPr="0012649D">
        <w:rPr>
          <w:rFonts w:ascii="Cambria" w:hAnsi="Cambria"/>
          <w:sz w:val="18"/>
          <w:szCs w:val="18"/>
        </w:rPr>
        <w:t>;258-</w:t>
      </w:r>
      <w:r>
        <w:rPr>
          <w:rFonts w:ascii="Cambria" w:hAnsi="Cambria"/>
          <w:sz w:val="18"/>
          <w:szCs w:val="18"/>
        </w:rPr>
        <w:t>2</w:t>
      </w:r>
      <w:r w:rsidRPr="0012649D">
        <w:rPr>
          <w:rFonts w:ascii="Cambria" w:hAnsi="Cambria"/>
          <w:sz w:val="18"/>
          <w:szCs w:val="18"/>
        </w:rPr>
        <w:t xml:space="preserve">65. </w:t>
      </w:r>
      <w:proofErr w:type="spellStart"/>
      <w:r w:rsidRPr="0012649D">
        <w:rPr>
          <w:rFonts w:ascii="Cambria" w:hAnsi="Cambria"/>
          <w:sz w:val="18"/>
          <w:szCs w:val="18"/>
        </w:rPr>
        <w:t>Epub</w:t>
      </w:r>
      <w:proofErr w:type="spellEnd"/>
      <w:r w:rsidRPr="0012649D">
        <w:rPr>
          <w:rFonts w:ascii="Cambria" w:hAnsi="Cambria"/>
          <w:sz w:val="18"/>
          <w:szCs w:val="18"/>
        </w:rPr>
        <w:t xml:space="preserve"> 2011 May 12.</w:t>
      </w:r>
    </w:p>
  </w:footnote>
  <w:footnote w:id="35">
    <w:p w:rsidR="00A6501E" w:rsidRPr="0012649D" w:rsidRDefault="00A6501E" w:rsidP="00444238">
      <w:pPr>
        <w:pStyle w:val="FootnoteText"/>
        <w:rPr>
          <w:rFonts w:ascii="Cambria" w:hAnsi="Cambria"/>
          <w:sz w:val="18"/>
          <w:szCs w:val="18"/>
        </w:rPr>
      </w:pPr>
      <w:r w:rsidRPr="0012649D">
        <w:rPr>
          <w:rStyle w:val="FootnoteReference"/>
          <w:rFonts w:ascii="Cambria" w:hAnsi="Cambria"/>
          <w:sz w:val="18"/>
          <w:szCs w:val="18"/>
        </w:rPr>
        <w:footnoteRef/>
      </w:r>
      <w:r w:rsidRPr="0012649D">
        <w:rPr>
          <w:rFonts w:ascii="Cambria" w:hAnsi="Cambria"/>
          <w:sz w:val="18"/>
          <w:szCs w:val="18"/>
        </w:rPr>
        <w:t xml:space="preserve"> </w:t>
      </w:r>
      <w:proofErr w:type="spellStart"/>
      <w:r w:rsidRPr="0012649D">
        <w:rPr>
          <w:rFonts w:ascii="Cambria" w:hAnsi="Cambria"/>
          <w:sz w:val="18"/>
          <w:szCs w:val="18"/>
        </w:rPr>
        <w:t>Soysa</w:t>
      </w:r>
      <w:r>
        <w:rPr>
          <w:rFonts w:ascii="Cambria" w:hAnsi="Cambria"/>
          <w:sz w:val="18"/>
          <w:szCs w:val="18"/>
        </w:rPr>
        <w:t>l</w:t>
      </w:r>
      <w:proofErr w:type="spellEnd"/>
      <w:r>
        <w:rPr>
          <w:rFonts w:ascii="Cambria" w:hAnsi="Cambria"/>
          <w:sz w:val="18"/>
          <w:szCs w:val="18"/>
        </w:rPr>
        <w:t xml:space="preserve"> HG. Orbital </w:t>
      </w:r>
      <w:proofErr w:type="spellStart"/>
      <w:r>
        <w:rPr>
          <w:rFonts w:ascii="Cambria" w:hAnsi="Cambria"/>
          <w:sz w:val="18"/>
          <w:szCs w:val="18"/>
        </w:rPr>
        <w:t>exenteration</w:t>
      </w:r>
      <w:proofErr w:type="spellEnd"/>
      <w:r>
        <w:rPr>
          <w:rFonts w:ascii="Cambria" w:hAnsi="Cambria"/>
          <w:sz w:val="18"/>
          <w:szCs w:val="18"/>
        </w:rPr>
        <w:t>: a 1</w:t>
      </w:r>
      <w:r w:rsidRPr="0012649D">
        <w:rPr>
          <w:rFonts w:ascii="Cambria" w:hAnsi="Cambria"/>
          <w:sz w:val="18"/>
          <w:szCs w:val="18"/>
        </w:rPr>
        <w:t xml:space="preserve">0-year experience of a general oncology hospital. </w:t>
      </w:r>
      <w:r w:rsidRPr="00444238">
        <w:rPr>
          <w:rFonts w:ascii="Cambria" w:hAnsi="Cambria"/>
          <w:i/>
          <w:sz w:val="18"/>
          <w:szCs w:val="18"/>
        </w:rPr>
        <w:t>Orbit</w:t>
      </w:r>
      <w:r>
        <w:rPr>
          <w:rFonts w:ascii="Cambria" w:hAnsi="Cambria"/>
          <w:sz w:val="18"/>
          <w:szCs w:val="18"/>
        </w:rPr>
        <w:t xml:space="preserve"> 201</w:t>
      </w:r>
      <w:r w:rsidRPr="0012649D">
        <w:rPr>
          <w:rFonts w:ascii="Cambria" w:hAnsi="Cambria"/>
          <w:sz w:val="18"/>
          <w:szCs w:val="18"/>
        </w:rPr>
        <w:t>0;29:136-140.</w:t>
      </w:r>
    </w:p>
  </w:footnote>
  <w:footnote w:id="36">
    <w:p w:rsidR="00A6501E" w:rsidRPr="0012649D" w:rsidRDefault="00A6501E" w:rsidP="00444238">
      <w:pPr>
        <w:pStyle w:val="FootnoteText"/>
        <w:rPr>
          <w:rFonts w:ascii="Cambria" w:hAnsi="Cambria"/>
          <w:sz w:val="18"/>
          <w:szCs w:val="18"/>
        </w:rPr>
      </w:pPr>
      <w:r w:rsidRPr="0012649D">
        <w:rPr>
          <w:rStyle w:val="FootnoteReference"/>
          <w:rFonts w:ascii="Cambria" w:hAnsi="Cambria"/>
          <w:sz w:val="18"/>
          <w:szCs w:val="18"/>
        </w:rPr>
        <w:footnoteRef/>
      </w:r>
      <w:r w:rsidRPr="0012649D">
        <w:rPr>
          <w:rFonts w:ascii="Cambria" w:hAnsi="Cambria"/>
          <w:sz w:val="18"/>
          <w:szCs w:val="18"/>
        </w:rPr>
        <w:t xml:space="preserve"> </w:t>
      </w:r>
      <w:proofErr w:type="spellStart"/>
      <w:r w:rsidRPr="0012649D">
        <w:rPr>
          <w:rFonts w:ascii="Cambria" w:hAnsi="Cambria"/>
          <w:sz w:val="18"/>
          <w:szCs w:val="18"/>
        </w:rPr>
        <w:t>Luliano</w:t>
      </w:r>
      <w:proofErr w:type="spellEnd"/>
      <w:r w:rsidRPr="0012649D">
        <w:rPr>
          <w:rFonts w:ascii="Cambria" w:hAnsi="Cambria"/>
          <w:sz w:val="18"/>
          <w:szCs w:val="18"/>
        </w:rPr>
        <w:t xml:space="preserve"> A. </w:t>
      </w:r>
      <w:r w:rsidRPr="007F2286">
        <w:rPr>
          <w:rFonts w:ascii="Cambria" w:hAnsi="Cambria"/>
          <w:i/>
          <w:sz w:val="18"/>
          <w:szCs w:val="18"/>
        </w:rPr>
        <w:t>et al</w:t>
      </w:r>
      <w:r w:rsidRPr="0012649D">
        <w:rPr>
          <w:rFonts w:ascii="Cambria" w:hAnsi="Cambria"/>
          <w:sz w:val="18"/>
          <w:szCs w:val="18"/>
        </w:rPr>
        <w:t xml:space="preserve">. Risk factors for orbital </w:t>
      </w:r>
      <w:proofErr w:type="spellStart"/>
      <w:r w:rsidRPr="0012649D">
        <w:rPr>
          <w:rFonts w:ascii="Cambria" w:hAnsi="Cambria"/>
          <w:sz w:val="18"/>
          <w:szCs w:val="18"/>
        </w:rPr>
        <w:t>exenteration</w:t>
      </w:r>
      <w:proofErr w:type="spellEnd"/>
      <w:r w:rsidRPr="0012649D">
        <w:rPr>
          <w:rFonts w:ascii="Cambria" w:hAnsi="Cambria"/>
          <w:sz w:val="18"/>
          <w:szCs w:val="18"/>
        </w:rPr>
        <w:t xml:space="preserve"> in </w:t>
      </w:r>
      <w:proofErr w:type="spellStart"/>
      <w:r w:rsidRPr="0012649D">
        <w:rPr>
          <w:rFonts w:ascii="Cambria" w:hAnsi="Cambria"/>
          <w:sz w:val="18"/>
          <w:szCs w:val="18"/>
        </w:rPr>
        <w:t>periocular</w:t>
      </w:r>
      <w:proofErr w:type="spellEnd"/>
      <w:r w:rsidRPr="0012649D">
        <w:rPr>
          <w:rFonts w:ascii="Cambria" w:hAnsi="Cambria"/>
          <w:sz w:val="18"/>
          <w:szCs w:val="18"/>
        </w:rPr>
        <w:t xml:space="preserve"> </w:t>
      </w:r>
      <w:r>
        <w:rPr>
          <w:rFonts w:ascii="Cambria" w:hAnsi="Cambria"/>
          <w:sz w:val="18"/>
          <w:szCs w:val="18"/>
        </w:rPr>
        <w:t>b</w:t>
      </w:r>
      <w:r w:rsidRPr="0012649D">
        <w:rPr>
          <w:rFonts w:ascii="Cambria" w:hAnsi="Cambria"/>
          <w:sz w:val="18"/>
          <w:szCs w:val="18"/>
        </w:rPr>
        <w:t xml:space="preserve">asal cell carcinoma. </w:t>
      </w:r>
      <w:r w:rsidRPr="007F2286">
        <w:rPr>
          <w:rFonts w:ascii="Cambria" w:hAnsi="Cambria"/>
          <w:i/>
          <w:sz w:val="18"/>
          <w:szCs w:val="18"/>
        </w:rPr>
        <w:t xml:space="preserve">Am J </w:t>
      </w:r>
      <w:proofErr w:type="spellStart"/>
      <w:r w:rsidRPr="007F2286">
        <w:rPr>
          <w:rFonts w:ascii="Cambria" w:hAnsi="Cambria"/>
          <w:i/>
          <w:sz w:val="18"/>
          <w:szCs w:val="18"/>
        </w:rPr>
        <w:t>Ophthalmol</w:t>
      </w:r>
      <w:proofErr w:type="spellEnd"/>
      <w:r w:rsidRPr="0012649D">
        <w:rPr>
          <w:rFonts w:ascii="Cambria" w:hAnsi="Cambria"/>
          <w:sz w:val="18"/>
          <w:szCs w:val="18"/>
        </w:rPr>
        <w:t xml:space="preserve"> 2012;153:238-241.</w:t>
      </w:r>
    </w:p>
  </w:footnote>
  <w:footnote w:id="37">
    <w:p w:rsidR="00A6501E" w:rsidRPr="0012649D" w:rsidRDefault="00A6501E" w:rsidP="00444238">
      <w:pPr>
        <w:pStyle w:val="FootnoteText"/>
        <w:rPr>
          <w:rFonts w:ascii="Cambria" w:hAnsi="Cambria"/>
          <w:sz w:val="18"/>
          <w:szCs w:val="18"/>
        </w:rPr>
      </w:pPr>
      <w:r w:rsidRPr="0012649D">
        <w:rPr>
          <w:rStyle w:val="FootnoteReference"/>
          <w:rFonts w:ascii="Cambria" w:hAnsi="Cambria"/>
          <w:sz w:val="18"/>
          <w:szCs w:val="18"/>
        </w:rPr>
        <w:footnoteRef/>
      </w:r>
      <w:r w:rsidRPr="0012649D">
        <w:rPr>
          <w:rFonts w:ascii="Cambria" w:hAnsi="Cambria"/>
          <w:sz w:val="18"/>
          <w:szCs w:val="18"/>
        </w:rPr>
        <w:t xml:space="preserve"> NCCN Clinical Practice Guidelines in Oncology (NCCN Guidelines) Basal Cell and </w:t>
      </w:r>
      <w:proofErr w:type="spellStart"/>
      <w:r w:rsidRPr="0012649D">
        <w:rPr>
          <w:rFonts w:ascii="Cambria" w:hAnsi="Cambria"/>
          <w:sz w:val="18"/>
          <w:szCs w:val="18"/>
        </w:rPr>
        <w:t>Squamous</w:t>
      </w:r>
      <w:proofErr w:type="spellEnd"/>
      <w:r w:rsidRPr="0012649D">
        <w:rPr>
          <w:rFonts w:ascii="Cambria" w:hAnsi="Cambria"/>
          <w:sz w:val="18"/>
          <w:szCs w:val="18"/>
        </w:rPr>
        <w:t xml:space="preserve"> Cell Skin Carcinomas. Version 2.</w:t>
      </w:r>
      <w:r>
        <w:rPr>
          <w:rFonts w:ascii="Cambria" w:hAnsi="Cambria"/>
          <w:sz w:val="18"/>
          <w:szCs w:val="18"/>
        </w:rPr>
        <w:t xml:space="preserve"> </w:t>
      </w:r>
      <w:r w:rsidRPr="0012649D">
        <w:rPr>
          <w:rFonts w:ascii="Cambria" w:hAnsi="Cambria"/>
          <w:sz w:val="18"/>
          <w:szCs w:val="18"/>
        </w:rPr>
        <w:t>2012.</w:t>
      </w:r>
    </w:p>
  </w:footnote>
  <w:footnote w:id="38">
    <w:p w:rsidR="00A6501E" w:rsidRDefault="00A6501E" w:rsidP="007F2286">
      <w:pPr>
        <w:spacing w:before="0" w:after="0" w:line="240" w:lineRule="auto"/>
        <w:rPr>
          <w:sz w:val="18"/>
          <w:szCs w:val="18"/>
        </w:rPr>
      </w:pPr>
      <w:r w:rsidRPr="007F2286">
        <w:rPr>
          <w:sz w:val="18"/>
          <w:szCs w:val="18"/>
          <w:vertAlign w:val="superscript"/>
        </w:rPr>
        <w:footnoteRef/>
      </w:r>
      <w:r w:rsidRPr="007F2286">
        <w:rPr>
          <w:sz w:val="18"/>
          <w:szCs w:val="18"/>
        </w:rPr>
        <w:t xml:space="preserve"> </w:t>
      </w:r>
      <w:r>
        <w:rPr>
          <w:sz w:val="18"/>
          <w:szCs w:val="18"/>
        </w:rPr>
        <w:t>References cited in the table:</w:t>
      </w:r>
    </w:p>
    <w:p w:rsidR="00A6501E" w:rsidRPr="007F2286" w:rsidRDefault="00A6501E" w:rsidP="007F2286">
      <w:pPr>
        <w:spacing w:before="0" w:after="0" w:line="240" w:lineRule="auto"/>
        <w:rPr>
          <w:sz w:val="18"/>
          <w:szCs w:val="18"/>
        </w:rPr>
      </w:pPr>
      <w:r w:rsidRPr="007F2286">
        <w:rPr>
          <w:sz w:val="18"/>
          <w:szCs w:val="18"/>
        </w:rPr>
        <w:t xml:space="preserve">Paver K </w:t>
      </w:r>
      <w:r w:rsidRPr="007F2286">
        <w:rPr>
          <w:i/>
          <w:sz w:val="18"/>
          <w:szCs w:val="18"/>
        </w:rPr>
        <w:t>et al</w:t>
      </w:r>
      <w:r w:rsidRPr="007F2286">
        <w:rPr>
          <w:sz w:val="18"/>
          <w:szCs w:val="18"/>
        </w:rPr>
        <w:t xml:space="preserve">., The incidence of basal cell carcinoma and their </w:t>
      </w:r>
      <w:proofErr w:type="spellStart"/>
      <w:r w:rsidRPr="007F2286">
        <w:rPr>
          <w:sz w:val="18"/>
          <w:szCs w:val="18"/>
        </w:rPr>
        <w:t>metasteses</w:t>
      </w:r>
      <w:proofErr w:type="spellEnd"/>
      <w:r w:rsidRPr="007F2286">
        <w:rPr>
          <w:sz w:val="18"/>
          <w:szCs w:val="18"/>
        </w:rPr>
        <w:t xml:space="preserve"> in Australia and New Zealand (letter). </w:t>
      </w:r>
      <w:proofErr w:type="spellStart"/>
      <w:r w:rsidRPr="007F2286">
        <w:rPr>
          <w:i/>
          <w:sz w:val="18"/>
          <w:szCs w:val="18"/>
        </w:rPr>
        <w:t>Australas</w:t>
      </w:r>
      <w:proofErr w:type="spellEnd"/>
      <w:r w:rsidRPr="007F2286">
        <w:rPr>
          <w:i/>
          <w:sz w:val="18"/>
          <w:szCs w:val="18"/>
        </w:rPr>
        <w:t xml:space="preserve"> J </w:t>
      </w:r>
      <w:proofErr w:type="spellStart"/>
      <w:r w:rsidRPr="007F2286">
        <w:rPr>
          <w:i/>
          <w:sz w:val="18"/>
          <w:szCs w:val="18"/>
        </w:rPr>
        <w:t>Dermatol</w:t>
      </w:r>
      <w:proofErr w:type="spellEnd"/>
      <w:r w:rsidRPr="007F2286">
        <w:rPr>
          <w:sz w:val="18"/>
          <w:szCs w:val="18"/>
        </w:rPr>
        <w:t xml:space="preserve"> 1973; 14:53.</w:t>
      </w:r>
    </w:p>
    <w:p w:rsidR="00A6501E" w:rsidRPr="007F2286" w:rsidRDefault="00A6501E" w:rsidP="007F2286">
      <w:pPr>
        <w:spacing w:before="0" w:after="0" w:line="240" w:lineRule="auto"/>
        <w:rPr>
          <w:sz w:val="18"/>
          <w:szCs w:val="18"/>
        </w:rPr>
      </w:pPr>
      <w:r w:rsidRPr="007F2286">
        <w:rPr>
          <w:sz w:val="18"/>
          <w:szCs w:val="18"/>
        </w:rPr>
        <w:t xml:space="preserve">Guthrie TH Jr. </w:t>
      </w:r>
      <w:r w:rsidRPr="007F2286">
        <w:rPr>
          <w:i/>
          <w:sz w:val="18"/>
          <w:szCs w:val="18"/>
        </w:rPr>
        <w:t>et al</w:t>
      </w:r>
      <w:r w:rsidRPr="007F2286">
        <w:rPr>
          <w:sz w:val="18"/>
          <w:szCs w:val="18"/>
        </w:rPr>
        <w:t xml:space="preserve">. </w:t>
      </w:r>
      <w:proofErr w:type="spellStart"/>
      <w:r w:rsidRPr="007F2286">
        <w:rPr>
          <w:sz w:val="18"/>
          <w:szCs w:val="18"/>
        </w:rPr>
        <w:t>Cisplatin</w:t>
      </w:r>
      <w:proofErr w:type="spellEnd"/>
      <w:r w:rsidRPr="007F2286">
        <w:rPr>
          <w:sz w:val="18"/>
          <w:szCs w:val="18"/>
        </w:rPr>
        <w:t xml:space="preserve"> and doxorubicin. An effective chemotherapy combination in the</w:t>
      </w:r>
      <w:r>
        <w:rPr>
          <w:sz w:val="18"/>
          <w:szCs w:val="18"/>
        </w:rPr>
        <w:t xml:space="preserve"> </w:t>
      </w:r>
      <w:r w:rsidRPr="007F2286">
        <w:rPr>
          <w:sz w:val="18"/>
          <w:szCs w:val="18"/>
        </w:rPr>
        <w:t xml:space="preserve">treatment of advanced basal cell and </w:t>
      </w:r>
      <w:proofErr w:type="spellStart"/>
      <w:r w:rsidRPr="007F2286">
        <w:rPr>
          <w:sz w:val="18"/>
          <w:szCs w:val="18"/>
        </w:rPr>
        <w:t>squamous</w:t>
      </w:r>
      <w:proofErr w:type="spellEnd"/>
      <w:r w:rsidRPr="007F2286">
        <w:rPr>
          <w:sz w:val="18"/>
          <w:szCs w:val="18"/>
        </w:rPr>
        <w:t xml:space="preserve"> carcinoma of the skin. </w:t>
      </w:r>
      <w:r w:rsidRPr="007F2286">
        <w:rPr>
          <w:i/>
          <w:sz w:val="18"/>
          <w:szCs w:val="18"/>
        </w:rPr>
        <w:t>Cancer</w:t>
      </w:r>
      <w:r w:rsidRPr="007F2286">
        <w:rPr>
          <w:sz w:val="18"/>
          <w:szCs w:val="18"/>
        </w:rPr>
        <w:t xml:space="preserve"> 1985</w:t>
      </w:r>
      <w:r>
        <w:rPr>
          <w:sz w:val="18"/>
          <w:szCs w:val="18"/>
        </w:rPr>
        <w:t>;</w:t>
      </w:r>
      <w:r w:rsidRPr="007F2286">
        <w:rPr>
          <w:sz w:val="18"/>
          <w:szCs w:val="18"/>
        </w:rPr>
        <w:t>55(8):1629-32.</w:t>
      </w:r>
    </w:p>
    <w:p w:rsidR="00A6501E" w:rsidRPr="007F2286" w:rsidRDefault="00A6501E" w:rsidP="007F2286">
      <w:pPr>
        <w:spacing w:before="0" w:after="0" w:line="240" w:lineRule="auto"/>
        <w:rPr>
          <w:sz w:val="18"/>
          <w:szCs w:val="18"/>
        </w:rPr>
      </w:pPr>
      <w:r w:rsidRPr="007F2286">
        <w:rPr>
          <w:sz w:val="18"/>
          <w:szCs w:val="18"/>
        </w:rPr>
        <w:t xml:space="preserve">Guthrie TH Jr. </w:t>
      </w:r>
      <w:r w:rsidRPr="007F2286">
        <w:rPr>
          <w:i/>
          <w:sz w:val="18"/>
          <w:szCs w:val="18"/>
        </w:rPr>
        <w:t>et al</w:t>
      </w:r>
      <w:r w:rsidRPr="007F2286">
        <w:rPr>
          <w:sz w:val="18"/>
          <w:szCs w:val="18"/>
        </w:rPr>
        <w:t xml:space="preserve">. </w:t>
      </w:r>
      <w:proofErr w:type="spellStart"/>
      <w:r w:rsidRPr="007F2286">
        <w:rPr>
          <w:sz w:val="18"/>
          <w:szCs w:val="18"/>
        </w:rPr>
        <w:t>Cisplatin</w:t>
      </w:r>
      <w:proofErr w:type="spellEnd"/>
      <w:r w:rsidRPr="007F2286">
        <w:rPr>
          <w:sz w:val="18"/>
          <w:szCs w:val="18"/>
        </w:rPr>
        <w:t xml:space="preserve">-based chemotherapy in advanced basal and </w:t>
      </w:r>
      <w:proofErr w:type="spellStart"/>
      <w:r w:rsidRPr="007F2286">
        <w:rPr>
          <w:sz w:val="18"/>
          <w:szCs w:val="18"/>
        </w:rPr>
        <w:t>squamous</w:t>
      </w:r>
      <w:proofErr w:type="spellEnd"/>
      <w:r w:rsidRPr="007F2286">
        <w:rPr>
          <w:sz w:val="18"/>
          <w:szCs w:val="18"/>
        </w:rPr>
        <w:t xml:space="preserve"> cell</w:t>
      </w:r>
      <w:r>
        <w:rPr>
          <w:sz w:val="18"/>
          <w:szCs w:val="18"/>
        </w:rPr>
        <w:t xml:space="preserve"> </w:t>
      </w:r>
      <w:r w:rsidRPr="007F2286">
        <w:rPr>
          <w:sz w:val="18"/>
          <w:szCs w:val="18"/>
        </w:rPr>
        <w:t>carcinomas of the skin: results in 28 patients including 13 patients receiving multimodality</w:t>
      </w:r>
      <w:r>
        <w:rPr>
          <w:sz w:val="18"/>
          <w:szCs w:val="18"/>
        </w:rPr>
        <w:t xml:space="preserve"> </w:t>
      </w:r>
      <w:r w:rsidRPr="007F2286">
        <w:rPr>
          <w:sz w:val="18"/>
          <w:szCs w:val="18"/>
        </w:rPr>
        <w:t xml:space="preserve">therapy. </w:t>
      </w:r>
      <w:r w:rsidRPr="007F2286">
        <w:rPr>
          <w:i/>
          <w:sz w:val="18"/>
          <w:szCs w:val="18"/>
        </w:rPr>
        <w:t xml:space="preserve">J </w:t>
      </w:r>
      <w:proofErr w:type="spellStart"/>
      <w:r w:rsidRPr="007F2286">
        <w:rPr>
          <w:i/>
          <w:sz w:val="18"/>
          <w:szCs w:val="18"/>
        </w:rPr>
        <w:t>Clin</w:t>
      </w:r>
      <w:proofErr w:type="spellEnd"/>
      <w:r w:rsidRPr="007F2286">
        <w:rPr>
          <w:i/>
          <w:sz w:val="18"/>
          <w:szCs w:val="18"/>
        </w:rPr>
        <w:t xml:space="preserve"> </w:t>
      </w:r>
      <w:proofErr w:type="spellStart"/>
      <w:r w:rsidRPr="007F2286">
        <w:rPr>
          <w:i/>
          <w:sz w:val="18"/>
          <w:szCs w:val="18"/>
        </w:rPr>
        <w:t>Oncol</w:t>
      </w:r>
      <w:proofErr w:type="spellEnd"/>
      <w:r w:rsidRPr="007F2286">
        <w:rPr>
          <w:sz w:val="18"/>
          <w:szCs w:val="18"/>
        </w:rPr>
        <w:t>. 1990;8:342-6.</w:t>
      </w:r>
    </w:p>
    <w:p w:rsidR="00A6501E" w:rsidRPr="007F2286" w:rsidRDefault="00A6501E" w:rsidP="007F2286">
      <w:pPr>
        <w:spacing w:before="0" w:after="0" w:line="240" w:lineRule="auto"/>
        <w:rPr>
          <w:sz w:val="18"/>
          <w:szCs w:val="18"/>
        </w:rPr>
      </w:pPr>
      <w:r w:rsidRPr="007F2286">
        <w:rPr>
          <w:sz w:val="18"/>
          <w:szCs w:val="18"/>
        </w:rPr>
        <w:t xml:space="preserve">Pfeiffer P. </w:t>
      </w:r>
      <w:r w:rsidRPr="007F2286">
        <w:rPr>
          <w:i/>
          <w:sz w:val="18"/>
          <w:szCs w:val="18"/>
        </w:rPr>
        <w:t>et al</w:t>
      </w:r>
      <w:r w:rsidRPr="007F2286">
        <w:rPr>
          <w:sz w:val="18"/>
          <w:szCs w:val="18"/>
        </w:rPr>
        <w:t>. Systemic cytotoxic therapy of basal cell carcinoma. A review of the literature.</w:t>
      </w:r>
      <w:r>
        <w:rPr>
          <w:sz w:val="18"/>
          <w:szCs w:val="18"/>
        </w:rPr>
        <w:t xml:space="preserve"> </w:t>
      </w:r>
      <w:r w:rsidRPr="007F2286">
        <w:rPr>
          <w:i/>
          <w:sz w:val="18"/>
          <w:szCs w:val="18"/>
        </w:rPr>
        <w:t>Eur J Cancer</w:t>
      </w:r>
      <w:r w:rsidRPr="007F2286">
        <w:rPr>
          <w:sz w:val="18"/>
          <w:szCs w:val="18"/>
        </w:rPr>
        <w:t xml:space="preserve"> 1990</w:t>
      </w:r>
      <w:r>
        <w:rPr>
          <w:sz w:val="18"/>
          <w:szCs w:val="18"/>
        </w:rPr>
        <w:t>;</w:t>
      </w:r>
      <w:r w:rsidRPr="007F2286">
        <w:rPr>
          <w:sz w:val="18"/>
          <w:szCs w:val="18"/>
        </w:rPr>
        <w:t>26(1):73-7. Review.</w:t>
      </w:r>
    </w:p>
    <w:p w:rsidR="00A6501E" w:rsidRPr="007F2286" w:rsidRDefault="00A6501E" w:rsidP="007F2286">
      <w:pPr>
        <w:spacing w:before="0" w:after="0" w:line="240" w:lineRule="auto"/>
        <w:rPr>
          <w:sz w:val="18"/>
          <w:szCs w:val="18"/>
        </w:rPr>
      </w:pPr>
      <w:proofErr w:type="spellStart"/>
      <w:r w:rsidRPr="007F2286">
        <w:rPr>
          <w:sz w:val="18"/>
          <w:szCs w:val="18"/>
        </w:rPr>
        <w:t>Merimsky</w:t>
      </w:r>
      <w:proofErr w:type="spellEnd"/>
      <w:r w:rsidRPr="007F2286">
        <w:rPr>
          <w:sz w:val="18"/>
          <w:szCs w:val="18"/>
        </w:rPr>
        <w:t xml:space="preserve"> O. </w:t>
      </w:r>
      <w:r w:rsidRPr="007F2286">
        <w:rPr>
          <w:i/>
          <w:sz w:val="18"/>
          <w:szCs w:val="18"/>
        </w:rPr>
        <w:t>et al</w:t>
      </w:r>
      <w:r w:rsidRPr="007F2286">
        <w:rPr>
          <w:sz w:val="18"/>
          <w:szCs w:val="18"/>
        </w:rPr>
        <w:t xml:space="preserve">. Salvage </w:t>
      </w:r>
      <w:proofErr w:type="spellStart"/>
      <w:r w:rsidRPr="007F2286">
        <w:rPr>
          <w:sz w:val="18"/>
          <w:szCs w:val="18"/>
        </w:rPr>
        <w:t>cisplatin</w:t>
      </w:r>
      <w:proofErr w:type="spellEnd"/>
      <w:r w:rsidRPr="007F2286">
        <w:rPr>
          <w:sz w:val="18"/>
          <w:szCs w:val="18"/>
        </w:rPr>
        <w:t xml:space="preserve"> and </w:t>
      </w:r>
      <w:proofErr w:type="spellStart"/>
      <w:r w:rsidRPr="007F2286">
        <w:rPr>
          <w:sz w:val="18"/>
          <w:szCs w:val="18"/>
        </w:rPr>
        <w:t>adriamycin</w:t>
      </w:r>
      <w:proofErr w:type="spellEnd"/>
      <w:r w:rsidRPr="007F2286">
        <w:rPr>
          <w:sz w:val="18"/>
          <w:szCs w:val="18"/>
        </w:rPr>
        <w:t xml:space="preserve"> for advanced or recurrent basal or </w:t>
      </w:r>
      <w:proofErr w:type="spellStart"/>
      <w:r w:rsidRPr="007F2286">
        <w:rPr>
          <w:sz w:val="18"/>
          <w:szCs w:val="18"/>
        </w:rPr>
        <w:t>squamous</w:t>
      </w:r>
      <w:proofErr w:type="spellEnd"/>
      <w:r>
        <w:rPr>
          <w:sz w:val="18"/>
          <w:szCs w:val="18"/>
        </w:rPr>
        <w:t xml:space="preserve"> </w:t>
      </w:r>
      <w:r w:rsidRPr="007F2286">
        <w:rPr>
          <w:sz w:val="18"/>
          <w:szCs w:val="18"/>
        </w:rPr>
        <w:t xml:space="preserve">cell carcinoma of the face. </w:t>
      </w:r>
      <w:r w:rsidRPr="007F2286">
        <w:rPr>
          <w:i/>
          <w:sz w:val="18"/>
          <w:szCs w:val="18"/>
        </w:rPr>
        <w:t>Anticancer Drugs</w:t>
      </w:r>
      <w:r w:rsidRPr="007F2286">
        <w:rPr>
          <w:sz w:val="18"/>
          <w:szCs w:val="18"/>
        </w:rPr>
        <w:t>. 1992;3(5):481-</w:t>
      </w:r>
      <w:r>
        <w:rPr>
          <w:sz w:val="18"/>
          <w:szCs w:val="18"/>
        </w:rPr>
        <w:t>48</w:t>
      </w:r>
      <w:r w:rsidRPr="007F2286">
        <w:rPr>
          <w:sz w:val="18"/>
          <w:szCs w:val="18"/>
        </w:rPr>
        <w:t>4.</w:t>
      </w:r>
    </w:p>
    <w:p w:rsidR="00A6501E" w:rsidRPr="007F2286" w:rsidRDefault="00A6501E" w:rsidP="007F2286">
      <w:pPr>
        <w:spacing w:before="0" w:after="0" w:line="240" w:lineRule="auto"/>
        <w:rPr>
          <w:sz w:val="18"/>
          <w:szCs w:val="18"/>
        </w:rPr>
      </w:pPr>
      <w:proofErr w:type="spellStart"/>
      <w:r w:rsidRPr="007F2286">
        <w:rPr>
          <w:sz w:val="18"/>
          <w:szCs w:val="18"/>
        </w:rPr>
        <w:t>Moeholt</w:t>
      </w:r>
      <w:proofErr w:type="spellEnd"/>
      <w:r w:rsidRPr="007F2286">
        <w:rPr>
          <w:sz w:val="18"/>
          <w:szCs w:val="18"/>
        </w:rPr>
        <w:t xml:space="preserve"> K. </w:t>
      </w:r>
      <w:r w:rsidRPr="007F2286">
        <w:rPr>
          <w:i/>
          <w:sz w:val="18"/>
          <w:szCs w:val="18"/>
        </w:rPr>
        <w:t>et al</w:t>
      </w:r>
      <w:r w:rsidRPr="007F2286">
        <w:rPr>
          <w:sz w:val="18"/>
          <w:szCs w:val="18"/>
        </w:rPr>
        <w:t>. Platinum-based cytotoxic therapy in basal cell carcinoma--a review of the</w:t>
      </w:r>
      <w:r>
        <w:rPr>
          <w:sz w:val="18"/>
          <w:szCs w:val="18"/>
        </w:rPr>
        <w:t xml:space="preserve"> </w:t>
      </w:r>
      <w:r w:rsidRPr="007F2286">
        <w:rPr>
          <w:sz w:val="18"/>
          <w:szCs w:val="18"/>
        </w:rPr>
        <w:t xml:space="preserve">literature. </w:t>
      </w:r>
      <w:proofErr w:type="spellStart"/>
      <w:r w:rsidRPr="007F2286">
        <w:rPr>
          <w:i/>
          <w:sz w:val="18"/>
          <w:szCs w:val="18"/>
        </w:rPr>
        <w:t>Acta</w:t>
      </w:r>
      <w:proofErr w:type="spellEnd"/>
      <w:r w:rsidRPr="007F2286">
        <w:rPr>
          <w:i/>
          <w:sz w:val="18"/>
          <w:szCs w:val="18"/>
        </w:rPr>
        <w:t xml:space="preserve"> </w:t>
      </w:r>
      <w:proofErr w:type="spellStart"/>
      <w:r w:rsidRPr="007F2286">
        <w:rPr>
          <w:i/>
          <w:sz w:val="18"/>
          <w:szCs w:val="18"/>
        </w:rPr>
        <w:t>Oncol</w:t>
      </w:r>
      <w:proofErr w:type="spellEnd"/>
      <w:r w:rsidRPr="007F2286">
        <w:rPr>
          <w:sz w:val="18"/>
          <w:szCs w:val="18"/>
        </w:rPr>
        <w:t>. 1996;35(6):677-</w:t>
      </w:r>
      <w:r>
        <w:rPr>
          <w:sz w:val="18"/>
          <w:szCs w:val="18"/>
        </w:rPr>
        <w:t>6</w:t>
      </w:r>
      <w:r w:rsidRPr="007F2286">
        <w:rPr>
          <w:sz w:val="18"/>
          <w:szCs w:val="18"/>
        </w:rPr>
        <w:t>82.</w:t>
      </w:r>
    </w:p>
    <w:p w:rsidR="00A6501E" w:rsidRPr="007F2286" w:rsidRDefault="00A6501E" w:rsidP="007F2286">
      <w:pPr>
        <w:spacing w:before="0" w:after="0" w:line="240" w:lineRule="auto"/>
        <w:rPr>
          <w:sz w:val="18"/>
          <w:szCs w:val="18"/>
        </w:rPr>
      </w:pPr>
      <w:proofErr w:type="spellStart"/>
      <w:r w:rsidRPr="007F2286">
        <w:rPr>
          <w:sz w:val="18"/>
          <w:szCs w:val="18"/>
        </w:rPr>
        <w:t>Jefford</w:t>
      </w:r>
      <w:proofErr w:type="spellEnd"/>
      <w:r w:rsidRPr="007F2286">
        <w:rPr>
          <w:sz w:val="18"/>
          <w:szCs w:val="18"/>
        </w:rPr>
        <w:t xml:space="preserve"> M. </w:t>
      </w:r>
      <w:r w:rsidRPr="007F2286">
        <w:rPr>
          <w:i/>
          <w:sz w:val="18"/>
          <w:szCs w:val="18"/>
        </w:rPr>
        <w:t>et al</w:t>
      </w:r>
      <w:r w:rsidRPr="007F2286">
        <w:rPr>
          <w:sz w:val="18"/>
          <w:szCs w:val="18"/>
        </w:rPr>
        <w:t xml:space="preserve">. Metastatic basal cell carcinoma: rapid symptomatic response to </w:t>
      </w:r>
      <w:proofErr w:type="spellStart"/>
      <w:r w:rsidRPr="007F2286">
        <w:rPr>
          <w:sz w:val="18"/>
          <w:szCs w:val="18"/>
        </w:rPr>
        <w:t>cisplatin</w:t>
      </w:r>
      <w:proofErr w:type="spellEnd"/>
      <w:r w:rsidRPr="007F2286">
        <w:rPr>
          <w:sz w:val="18"/>
          <w:szCs w:val="18"/>
        </w:rPr>
        <w:t xml:space="preserve"> and</w:t>
      </w:r>
      <w:r>
        <w:rPr>
          <w:sz w:val="18"/>
          <w:szCs w:val="18"/>
        </w:rPr>
        <w:t xml:space="preserve"> </w:t>
      </w:r>
      <w:proofErr w:type="spellStart"/>
      <w:r w:rsidRPr="007F2286">
        <w:rPr>
          <w:sz w:val="18"/>
          <w:szCs w:val="18"/>
        </w:rPr>
        <w:t>paclitaxel</w:t>
      </w:r>
      <w:proofErr w:type="spellEnd"/>
      <w:r w:rsidRPr="007F2286">
        <w:rPr>
          <w:sz w:val="18"/>
          <w:szCs w:val="18"/>
        </w:rPr>
        <w:t xml:space="preserve">. </w:t>
      </w:r>
      <w:r w:rsidRPr="007F2286">
        <w:rPr>
          <w:i/>
          <w:sz w:val="18"/>
          <w:szCs w:val="18"/>
        </w:rPr>
        <w:t>ANZ J Surg</w:t>
      </w:r>
      <w:r w:rsidRPr="007F2286">
        <w:rPr>
          <w:sz w:val="18"/>
          <w:szCs w:val="18"/>
        </w:rPr>
        <w:t>. 2004;74(8):704-</w:t>
      </w:r>
      <w:r>
        <w:rPr>
          <w:sz w:val="18"/>
          <w:szCs w:val="18"/>
        </w:rPr>
        <w:t>70</w:t>
      </w:r>
      <w:r w:rsidRPr="007F2286">
        <w:rPr>
          <w:sz w:val="18"/>
          <w:szCs w:val="18"/>
        </w:rPr>
        <w:t>5.</w:t>
      </w:r>
    </w:p>
    <w:p w:rsidR="00A6501E" w:rsidRPr="007F2286" w:rsidRDefault="00A6501E" w:rsidP="007F2286">
      <w:pPr>
        <w:spacing w:before="0" w:after="0" w:line="240" w:lineRule="auto"/>
        <w:rPr>
          <w:sz w:val="18"/>
          <w:szCs w:val="18"/>
        </w:rPr>
      </w:pPr>
      <w:proofErr w:type="spellStart"/>
      <w:r w:rsidRPr="007F2286">
        <w:rPr>
          <w:sz w:val="18"/>
          <w:szCs w:val="18"/>
        </w:rPr>
        <w:t>Carneiro</w:t>
      </w:r>
      <w:proofErr w:type="spellEnd"/>
      <w:r w:rsidRPr="007F2286">
        <w:rPr>
          <w:sz w:val="18"/>
          <w:szCs w:val="18"/>
        </w:rPr>
        <w:t xml:space="preserve"> B.A. </w:t>
      </w:r>
      <w:r w:rsidRPr="007F2286">
        <w:rPr>
          <w:i/>
          <w:sz w:val="18"/>
          <w:szCs w:val="18"/>
        </w:rPr>
        <w:t>et al</w:t>
      </w:r>
      <w:r w:rsidRPr="007F2286">
        <w:rPr>
          <w:sz w:val="18"/>
          <w:szCs w:val="18"/>
        </w:rPr>
        <w:t>. Metastatic basal cell carcinoma: complete response to chemotherapy and</w:t>
      </w:r>
      <w:r>
        <w:rPr>
          <w:sz w:val="18"/>
          <w:szCs w:val="18"/>
        </w:rPr>
        <w:t xml:space="preserve"> </w:t>
      </w:r>
      <w:r w:rsidRPr="007F2286">
        <w:rPr>
          <w:sz w:val="18"/>
          <w:szCs w:val="18"/>
        </w:rPr>
        <w:t xml:space="preserve">associated pure red cell </w:t>
      </w:r>
      <w:proofErr w:type="spellStart"/>
      <w:r w:rsidRPr="007F2286">
        <w:rPr>
          <w:sz w:val="18"/>
          <w:szCs w:val="18"/>
        </w:rPr>
        <w:t>aplasia</w:t>
      </w:r>
      <w:proofErr w:type="spellEnd"/>
      <w:r w:rsidRPr="007F2286">
        <w:rPr>
          <w:sz w:val="18"/>
          <w:szCs w:val="18"/>
        </w:rPr>
        <w:t xml:space="preserve">. </w:t>
      </w:r>
      <w:r w:rsidRPr="007F2286">
        <w:rPr>
          <w:i/>
          <w:sz w:val="18"/>
          <w:szCs w:val="18"/>
        </w:rPr>
        <w:t>Cancer Invest</w:t>
      </w:r>
      <w:r w:rsidRPr="007F2286">
        <w:rPr>
          <w:sz w:val="18"/>
          <w:szCs w:val="18"/>
        </w:rPr>
        <w:t>. 2006;24(4):396-400.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01E" w:rsidRDefault="00A6501E"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01E" w:rsidRDefault="00A6501E">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A6501E" w:rsidRDefault="00A6501E" w:rsidP="00593AD1">
    <w:pPr>
      <w:pStyle w:val="HeaderNoLine"/>
    </w:pPr>
    <w:r>
      <w:rPr>
        <w:noProof/>
        <w:lang w:eastAsia="en-AU"/>
      </w:rPr>
      <w:pict>
        <v:shape id="_x0000_i1025" type="#_x0000_t75" alt="Lightblue.jpg" style="width:425.25pt;height:60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01E" w:rsidRDefault="00A6501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01E" w:rsidRDefault="00A6501E">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01E" w:rsidRDefault="00A6501E">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01E" w:rsidRDefault="00A6501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01E" w:rsidRDefault="00A6501E"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01E" w:rsidRDefault="00A6501E" w:rsidP="006E08B3">
    <w:r>
      <w:t>Therapeutic Goods Administration</w:t>
    </w:r>
  </w:p>
  <w:p w:rsidR="00A6501E" w:rsidRDefault="00A6501E"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8C96C8DC"/>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47D5562"/>
    <w:multiLevelType w:val="hybridMultilevel"/>
    <w:tmpl w:val="BB962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EA32502"/>
    <w:multiLevelType w:val="hybridMultilevel"/>
    <w:tmpl w:val="0C54758E"/>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1FD02616"/>
    <w:multiLevelType w:val="hybridMultilevel"/>
    <w:tmpl w:val="94B8CF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9">
    <w:nsid w:val="242732F6"/>
    <w:multiLevelType w:val="hybridMultilevel"/>
    <w:tmpl w:val="2FD44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A966855"/>
    <w:multiLevelType w:val="hybridMultilevel"/>
    <w:tmpl w:val="9640A8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3AD41BC9"/>
    <w:multiLevelType w:val="hybridMultilevel"/>
    <w:tmpl w:val="60B69318"/>
    <w:lvl w:ilvl="0" w:tplc="4FC24F8E">
      <w:start w:val="1"/>
      <w:numFmt w:val="upperLetter"/>
      <w:lvlText w:val="%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F7C3736"/>
    <w:multiLevelType w:val="hybridMultilevel"/>
    <w:tmpl w:val="646CE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2B44459"/>
    <w:multiLevelType w:val="hybridMultilevel"/>
    <w:tmpl w:val="9C2E28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55DC2235"/>
    <w:multiLevelType w:val="hybridMultilevel"/>
    <w:tmpl w:val="6A363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4183985"/>
    <w:multiLevelType w:val="hybridMultilevel"/>
    <w:tmpl w:val="47169D42"/>
    <w:lvl w:ilvl="0" w:tplc="56F6786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43B6F1B"/>
    <w:multiLevelType w:val="hybridMultilevel"/>
    <w:tmpl w:val="6C8CD19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4E27941"/>
    <w:multiLevelType w:val="hybridMultilevel"/>
    <w:tmpl w:val="144879D6"/>
    <w:lvl w:ilvl="0" w:tplc="2EA6E836">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F1E336E"/>
    <w:multiLevelType w:val="hybridMultilevel"/>
    <w:tmpl w:val="BB30C55E"/>
    <w:lvl w:ilvl="0" w:tplc="13260F34">
      <w:start w:val="6"/>
      <w:numFmt w:val="bullet"/>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72272031"/>
    <w:multiLevelType w:val="hybridMultilevel"/>
    <w:tmpl w:val="64D6FBF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nsid w:val="73F43B07"/>
    <w:multiLevelType w:val="hybridMultilevel"/>
    <w:tmpl w:val="6BC255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6"/>
  </w:num>
  <w:num w:numId="17">
    <w:abstractNumId w:val="6"/>
  </w:num>
  <w:num w:numId="18">
    <w:abstractNumId w:val="6"/>
  </w:num>
  <w:num w:numId="19">
    <w:abstractNumId w:val="7"/>
  </w:num>
  <w:num w:numId="20">
    <w:abstractNumId w:val="7"/>
  </w:num>
  <w:num w:numId="21">
    <w:abstractNumId w:val="7"/>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7"/>
  </w:num>
  <w:num w:numId="28">
    <w:abstractNumId w:val="14"/>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0"/>
  </w:num>
  <w:num w:numId="34">
    <w:abstractNumId w:val="15"/>
  </w:num>
  <w:num w:numId="35">
    <w:abstractNumId w:val="19"/>
  </w:num>
  <w:num w:numId="36">
    <w:abstractNumId w:val="18"/>
  </w:num>
  <w:num w:numId="37">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12"/>
  </w:num>
  <w:num w:numId="40">
    <w:abstractNumId w:val="5"/>
  </w:num>
  <w:num w:numId="41">
    <w:abstractNumId w:val="8"/>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4"/>
  </w:num>
  <w:num w:numId="46">
    <w:abstractNumId w:val="11"/>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attachedTemplate r:id="rId1"/>
  <w:stylePaneFormatFilter w:val="1008"/>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2C6766"/>
    <w:rsid w:val="00002031"/>
    <w:rsid w:val="00004734"/>
    <w:rsid w:val="00006B22"/>
    <w:rsid w:val="0001276A"/>
    <w:rsid w:val="00021EFE"/>
    <w:rsid w:val="0002457E"/>
    <w:rsid w:val="000246AE"/>
    <w:rsid w:val="0002535E"/>
    <w:rsid w:val="00025C67"/>
    <w:rsid w:val="00026E11"/>
    <w:rsid w:val="000365A6"/>
    <w:rsid w:val="00042265"/>
    <w:rsid w:val="0004639A"/>
    <w:rsid w:val="000543D3"/>
    <w:rsid w:val="0005559E"/>
    <w:rsid w:val="000622E3"/>
    <w:rsid w:val="00062E5F"/>
    <w:rsid w:val="000717BB"/>
    <w:rsid w:val="0007769C"/>
    <w:rsid w:val="00077775"/>
    <w:rsid w:val="00083FE5"/>
    <w:rsid w:val="00087950"/>
    <w:rsid w:val="00090471"/>
    <w:rsid w:val="00091B6E"/>
    <w:rsid w:val="00096AA7"/>
    <w:rsid w:val="000A151D"/>
    <w:rsid w:val="000A3AED"/>
    <w:rsid w:val="000A4711"/>
    <w:rsid w:val="000A623E"/>
    <w:rsid w:val="000B3532"/>
    <w:rsid w:val="000B3A75"/>
    <w:rsid w:val="000C4441"/>
    <w:rsid w:val="000C605D"/>
    <w:rsid w:val="000C690F"/>
    <w:rsid w:val="000D1295"/>
    <w:rsid w:val="000D391B"/>
    <w:rsid w:val="000D3D6D"/>
    <w:rsid w:val="000D4FC7"/>
    <w:rsid w:val="000F4869"/>
    <w:rsid w:val="000F5B42"/>
    <w:rsid w:val="000F5F52"/>
    <w:rsid w:val="000F6E6F"/>
    <w:rsid w:val="0010220B"/>
    <w:rsid w:val="0010601F"/>
    <w:rsid w:val="0010788A"/>
    <w:rsid w:val="00107A31"/>
    <w:rsid w:val="00110EA5"/>
    <w:rsid w:val="00112F56"/>
    <w:rsid w:val="00120D15"/>
    <w:rsid w:val="00125318"/>
    <w:rsid w:val="0012649D"/>
    <w:rsid w:val="001305A2"/>
    <w:rsid w:val="00133238"/>
    <w:rsid w:val="00137497"/>
    <w:rsid w:val="0014197B"/>
    <w:rsid w:val="001447CD"/>
    <w:rsid w:val="001516B1"/>
    <w:rsid w:val="00154EBB"/>
    <w:rsid w:val="00156316"/>
    <w:rsid w:val="00162D14"/>
    <w:rsid w:val="00165389"/>
    <w:rsid w:val="00171B1B"/>
    <w:rsid w:val="0017693F"/>
    <w:rsid w:val="0018110E"/>
    <w:rsid w:val="00181684"/>
    <w:rsid w:val="001843C6"/>
    <w:rsid w:val="001850E0"/>
    <w:rsid w:val="001863BF"/>
    <w:rsid w:val="00187C68"/>
    <w:rsid w:val="001A2158"/>
    <w:rsid w:val="001A525F"/>
    <w:rsid w:val="001B09F9"/>
    <w:rsid w:val="001B6448"/>
    <w:rsid w:val="001C3307"/>
    <w:rsid w:val="001C66AA"/>
    <w:rsid w:val="001C67D1"/>
    <w:rsid w:val="001D4FDC"/>
    <w:rsid w:val="001D687A"/>
    <w:rsid w:val="001E07CF"/>
    <w:rsid w:val="001E3569"/>
    <w:rsid w:val="001E59F1"/>
    <w:rsid w:val="001E5D9F"/>
    <w:rsid w:val="001F0E8F"/>
    <w:rsid w:val="001F49EB"/>
    <w:rsid w:val="001F6CBA"/>
    <w:rsid w:val="00201D4E"/>
    <w:rsid w:val="002076C9"/>
    <w:rsid w:val="00214CC6"/>
    <w:rsid w:val="00220B8A"/>
    <w:rsid w:val="002257F3"/>
    <w:rsid w:val="00233456"/>
    <w:rsid w:val="002339A5"/>
    <w:rsid w:val="00237441"/>
    <w:rsid w:val="00256C5D"/>
    <w:rsid w:val="00257848"/>
    <w:rsid w:val="00265899"/>
    <w:rsid w:val="00267A8D"/>
    <w:rsid w:val="0027084A"/>
    <w:rsid w:val="0028177D"/>
    <w:rsid w:val="002858DC"/>
    <w:rsid w:val="00286434"/>
    <w:rsid w:val="00286C59"/>
    <w:rsid w:val="00291957"/>
    <w:rsid w:val="002942D1"/>
    <w:rsid w:val="0029501A"/>
    <w:rsid w:val="002970CD"/>
    <w:rsid w:val="002B1638"/>
    <w:rsid w:val="002C6766"/>
    <w:rsid w:val="002D4451"/>
    <w:rsid w:val="002D49F8"/>
    <w:rsid w:val="002D75B7"/>
    <w:rsid w:val="002E4C9A"/>
    <w:rsid w:val="002F11F8"/>
    <w:rsid w:val="002F3F56"/>
    <w:rsid w:val="002F44B5"/>
    <w:rsid w:val="003009C0"/>
    <w:rsid w:val="00311AC0"/>
    <w:rsid w:val="0032583B"/>
    <w:rsid w:val="00327883"/>
    <w:rsid w:val="00327F33"/>
    <w:rsid w:val="00335504"/>
    <w:rsid w:val="0034302D"/>
    <w:rsid w:val="00345BD6"/>
    <w:rsid w:val="003521E8"/>
    <w:rsid w:val="00354AF2"/>
    <w:rsid w:val="00362551"/>
    <w:rsid w:val="00362572"/>
    <w:rsid w:val="00363CD3"/>
    <w:rsid w:val="003728F3"/>
    <w:rsid w:val="0037496E"/>
    <w:rsid w:val="003801D4"/>
    <w:rsid w:val="00380556"/>
    <w:rsid w:val="00386150"/>
    <w:rsid w:val="003874CE"/>
    <w:rsid w:val="00390381"/>
    <w:rsid w:val="00390900"/>
    <w:rsid w:val="00395AD3"/>
    <w:rsid w:val="003A02D4"/>
    <w:rsid w:val="003A52BA"/>
    <w:rsid w:val="003A7F6C"/>
    <w:rsid w:val="003B4D60"/>
    <w:rsid w:val="003B7E39"/>
    <w:rsid w:val="003C0F00"/>
    <w:rsid w:val="003C3EC3"/>
    <w:rsid w:val="003C58DC"/>
    <w:rsid w:val="003C5A8B"/>
    <w:rsid w:val="003D1E62"/>
    <w:rsid w:val="003D2867"/>
    <w:rsid w:val="003E2486"/>
    <w:rsid w:val="003E3208"/>
    <w:rsid w:val="003F0B04"/>
    <w:rsid w:val="0040134E"/>
    <w:rsid w:val="004043F1"/>
    <w:rsid w:val="00404733"/>
    <w:rsid w:val="00440A2D"/>
    <w:rsid w:val="00444238"/>
    <w:rsid w:val="004564A7"/>
    <w:rsid w:val="004617BF"/>
    <w:rsid w:val="004629D2"/>
    <w:rsid w:val="00463658"/>
    <w:rsid w:val="00463EA9"/>
    <w:rsid w:val="004722CC"/>
    <w:rsid w:val="00476166"/>
    <w:rsid w:val="0047765A"/>
    <w:rsid w:val="004804CD"/>
    <w:rsid w:val="004816FD"/>
    <w:rsid w:val="004936E4"/>
    <w:rsid w:val="00494E60"/>
    <w:rsid w:val="00497487"/>
    <w:rsid w:val="004B46C1"/>
    <w:rsid w:val="004B5DE9"/>
    <w:rsid w:val="004B76A2"/>
    <w:rsid w:val="004B7B76"/>
    <w:rsid w:val="004C239D"/>
    <w:rsid w:val="004C2DCA"/>
    <w:rsid w:val="004C53DB"/>
    <w:rsid w:val="004D0159"/>
    <w:rsid w:val="004D6D30"/>
    <w:rsid w:val="004E6628"/>
    <w:rsid w:val="004F0F38"/>
    <w:rsid w:val="004F5B1E"/>
    <w:rsid w:val="004F5D0D"/>
    <w:rsid w:val="005013D7"/>
    <w:rsid w:val="00501921"/>
    <w:rsid w:val="00502081"/>
    <w:rsid w:val="005070AC"/>
    <w:rsid w:val="00521490"/>
    <w:rsid w:val="005245A1"/>
    <w:rsid w:val="00530354"/>
    <w:rsid w:val="0053625B"/>
    <w:rsid w:val="005434C6"/>
    <w:rsid w:val="00543B39"/>
    <w:rsid w:val="0054569E"/>
    <w:rsid w:val="005459F8"/>
    <w:rsid w:val="00550096"/>
    <w:rsid w:val="005558F9"/>
    <w:rsid w:val="00557FF9"/>
    <w:rsid w:val="00561FA5"/>
    <w:rsid w:val="00562FD2"/>
    <w:rsid w:val="005667CB"/>
    <w:rsid w:val="00576378"/>
    <w:rsid w:val="00577130"/>
    <w:rsid w:val="00577945"/>
    <w:rsid w:val="00577E38"/>
    <w:rsid w:val="00584889"/>
    <w:rsid w:val="00585322"/>
    <w:rsid w:val="005857C6"/>
    <w:rsid w:val="005864A1"/>
    <w:rsid w:val="005907E9"/>
    <w:rsid w:val="00592F6E"/>
    <w:rsid w:val="00593AD1"/>
    <w:rsid w:val="00597004"/>
    <w:rsid w:val="005A68B6"/>
    <w:rsid w:val="005A74CB"/>
    <w:rsid w:val="005B2476"/>
    <w:rsid w:val="005B3EF9"/>
    <w:rsid w:val="005C5570"/>
    <w:rsid w:val="005C7158"/>
    <w:rsid w:val="005C75AC"/>
    <w:rsid w:val="005C7942"/>
    <w:rsid w:val="005C79A4"/>
    <w:rsid w:val="005D5442"/>
    <w:rsid w:val="005E6707"/>
    <w:rsid w:val="005F2A59"/>
    <w:rsid w:val="005F466E"/>
    <w:rsid w:val="00600768"/>
    <w:rsid w:val="00602A05"/>
    <w:rsid w:val="00603F32"/>
    <w:rsid w:val="006043C4"/>
    <w:rsid w:val="00606C62"/>
    <w:rsid w:val="00610A1E"/>
    <w:rsid w:val="00612DD0"/>
    <w:rsid w:val="0061421C"/>
    <w:rsid w:val="00615308"/>
    <w:rsid w:val="00625A6E"/>
    <w:rsid w:val="00631596"/>
    <w:rsid w:val="00632398"/>
    <w:rsid w:val="00634430"/>
    <w:rsid w:val="0064028F"/>
    <w:rsid w:val="00640FC3"/>
    <w:rsid w:val="00641B04"/>
    <w:rsid w:val="00642020"/>
    <w:rsid w:val="00642364"/>
    <w:rsid w:val="0065337B"/>
    <w:rsid w:val="0065419D"/>
    <w:rsid w:val="006556F3"/>
    <w:rsid w:val="006604D8"/>
    <w:rsid w:val="00664368"/>
    <w:rsid w:val="00664A5B"/>
    <w:rsid w:val="00665377"/>
    <w:rsid w:val="006763D2"/>
    <w:rsid w:val="00676731"/>
    <w:rsid w:val="00680C08"/>
    <w:rsid w:val="006931B1"/>
    <w:rsid w:val="006A15C0"/>
    <w:rsid w:val="006B4975"/>
    <w:rsid w:val="006C0539"/>
    <w:rsid w:val="006C195E"/>
    <w:rsid w:val="006C3CBB"/>
    <w:rsid w:val="006C3E2A"/>
    <w:rsid w:val="006C642F"/>
    <w:rsid w:val="006C7B71"/>
    <w:rsid w:val="006D03E5"/>
    <w:rsid w:val="006D1673"/>
    <w:rsid w:val="006D5D3E"/>
    <w:rsid w:val="006D76C6"/>
    <w:rsid w:val="006E08B3"/>
    <w:rsid w:val="006E09FD"/>
    <w:rsid w:val="006F17AC"/>
    <w:rsid w:val="006F4E10"/>
    <w:rsid w:val="006F572E"/>
    <w:rsid w:val="007046D6"/>
    <w:rsid w:val="00705DB0"/>
    <w:rsid w:val="007208E5"/>
    <w:rsid w:val="00722B57"/>
    <w:rsid w:val="00725C60"/>
    <w:rsid w:val="0074253D"/>
    <w:rsid w:val="0074429B"/>
    <w:rsid w:val="00757756"/>
    <w:rsid w:val="007615BC"/>
    <w:rsid w:val="00762F05"/>
    <w:rsid w:val="0076436F"/>
    <w:rsid w:val="007652FF"/>
    <w:rsid w:val="00767BB2"/>
    <w:rsid w:val="00770EF1"/>
    <w:rsid w:val="00773EF7"/>
    <w:rsid w:val="00774E1D"/>
    <w:rsid w:val="0077675A"/>
    <w:rsid w:val="00780355"/>
    <w:rsid w:val="00785721"/>
    <w:rsid w:val="00787ECB"/>
    <w:rsid w:val="00793A59"/>
    <w:rsid w:val="00796542"/>
    <w:rsid w:val="007B0BD8"/>
    <w:rsid w:val="007B6E9F"/>
    <w:rsid w:val="007C1216"/>
    <w:rsid w:val="007C1AF7"/>
    <w:rsid w:val="007C410C"/>
    <w:rsid w:val="007D21E4"/>
    <w:rsid w:val="007D229B"/>
    <w:rsid w:val="007D6C53"/>
    <w:rsid w:val="007D70C0"/>
    <w:rsid w:val="007E1AED"/>
    <w:rsid w:val="007F1588"/>
    <w:rsid w:val="007F2286"/>
    <w:rsid w:val="007F5C73"/>
    <w:rsid w:val="00801B01"/>
    <w:rsid w:val="00805D27"/>
    <w:rsid w:val="00821776"/>
    <w:rsid w:val="008264CC"/>
    <w:rsid w:val="008301BD"/>
    <w:rsid w:val="008321F5"/>
    <w:rsid w:val="00832369"/>
    <w:rsid w:val="00834660"/>
    <w:rsid w:val="00836BC2"/>
    <w:rsid w:val="00841841"/>
    <w:rsid w:val="008457C4"/>
    <w:rsid w:val="00845984"/>
    <w:rsid w:val="0085040C"/>
    <w:rsid w:val="0085093E"/>
    <w:rsid w:val="0085641B"/>
    <w:rsid w:val="00857136"/>
    <w:rsid w:val="00861424"/>
    <w:rsid w:val="00885B11"/>
    <w:rsid w:val="00886A44"/>
    <w:rsid w:val="00886D15"/>
    <w:rsid w:val="00887DD8"/>
    <w:rsid w:val="00896018"/>
    <w:rsid w:val="008960DD"/>
    <w:rsid w:val="0089635C"/>
    <w:rsid w:val="008A2B9D"/>
    <w:rsid w:val="008A5E0B"/>
    <w:rsid w:val="008A60D4"/>
    <w:rsid w:val="008A6D59"/>
    <w:rsid w:val="008B4B03"/>
    <w:rsid w:val="008B4B46"/>
    <w:rsid w:val="008B596F"/>
    <w:rsid w:val="008C159F"/>
    <w:rsid w:val="008C1623"/>
    <w:rsid w:val="008C1850"/>
    <w:rsid w:val="008C51A1"/>
    <w:rsid w:val="008C51A9"/>
    <w:rsid w:val="008D1388"/>
    <w:rsid w:val="008D2130"/>
    <w:rsid w:val="008D6D8D"/>
    <w:rsid w:val="008E7846"/>
    <w:rsid w:val="008F1CCC"/>
    <w:rsid w:val="008F2967"/>
    <w:rsid w:val="008F4F84"/>
    <w:rsid w:val="008F5C40"/>
    <w:rsid w:val="008F6943"/>
    <w:rsid w:val="00902A21"/>
    <w:rsid w:val="009107A8"/>
    <w:rsid w:val="00913BB7"/>
    <w:rsid w:val="00914A6B"/>
    <w:rsid w:val="00920330"/>
    <w:rsid w:val="009219D7"/>
    <w:rsid w:val="00922D53"/>
    <w:rsid w:val="00923B70"/>
    <w:rsid w:val="0092442C"/>
    <w:rsid w:val="00924482"/>
    <w:rsid w:val="00930237"/>
    <w:rsid w:val="0093047E"/>
    <w:rsid w:val="00946EA5"/>
    <w:rsid w:val="00963C08"/>
    <w:rsid w:val="00974BFD"/>
    <w:rsid w:val="00976688"/>
    <w:rsid w:val="0097679D"/>
    <w:rsid w:val="0098585A"/>
    <w:rsid w:val="00986961"/>
    <w:rsid w:val="009A4CED"/>
    <w:rsid w:val="009A690D"/>
    <w:rsid w:val="009B1D12"/>
    <w:rsid w:val="009B416B"/>
    <w:rsid w:val="009B4D0B"/>
    <w:rsid w:val="009C4BD5"/>
    <w:rsid w:val="009D48F4"/>
    <w:rsid w:val="009D7B77"/>
    <w:rsid w:val="009D7EF0"/>
    <w:rsid w:val="009E0BB0"/>
    <w:rsid w:val="009E3FBB"/>
    <w:rsid w:val="00A102E4"/>
    <w:rsid w:val="00A12C42"/>
    <w:rsid w:val="00A13F0D"/>
    <w:rsid w:val="00A14DF7"/>
    <w:rsid w:val="00A1754D"/>
    <w:rsid w:val="00A27BC8"/>
    <w:rsid w:val="00A3246D"/>
    <w:rsid w:val="00A36FA7"/>
    <w:rsid w:val="00A42836"/>
    <w:rsid w:val="00A46931"/>
    <w:rsid w:val="00A475B7"/>
    <w:rsid w:val="00A47AF7"/>
    <w:rsid w:val="00A47C3E"/>
    <w:rsid w:val="00A50226"/>
    <w:rsid w:val="00A60BAD"/>
    <w:rsid w:val="00A6501E"/>
    <w:rsid w:val="00A7420D"/>
    <w:rsid w:val="00A779E2"/>
    <w:rsid w:val="00A77D9A"/>
    <w:rsid w:val="00A84E36"/>
    <w:rsid w:val="00A964D1"/>
    <w:rsid w:val="00A97CF5"/>
    <w:rsid w:val="00AA0ED0"/>
    <w:rsid w:val="00AA14FF"/>
    <w:rsid w:val="00AB4A99"/>
    <w:rsid w:val="00AB7C2E"/>
    <w:rsid w:val="00AC2B40"/>
    <w:rsid w:val="00AC2BB2"/>
    <w:rsid w:val="00AC2C3C"/>
    <w:rsid w:val="00AC512D"/>
    <w:rsid w:val="00AD0083"/>
    <w:rsid w:val="00AD1413"/>
    <w:rsid w:val="00AD2AF6"/>
    <w:rsid w:val="00AD62F5"/>
    <w:rsid w:val="00AE02B1"/>
    <w:rsid w:val="00AE65EB"/>
    <w:rsid w:val="00AE67A7"/>
    <w:rsid w:val="00AF1D94"/>
    <w:rsid w:val="00AF60C5"/>
    <w:rsid w:val="00B009C6"/>
    <w:rsid w:val="00B01548"/>
    <w:rsid w:val="00B065D3"/>
    <w:rsid w:val="00B16095"/>
    <w:rsid w:val="00B17058"/>
    <w:rsid w:val="00B21D29"/>
    <w:rsid w:val="00B25034"/>
    <w:rsid w:val="00B25A0E"/>
    <w:rsid w:val="00B33588"/>
    <w:rsid w:val="00B33863"/>
    <w:rsid w:val="00B37D17"/>
    <w:rsid w:val="00B4175E"/>
    <w:rsid w:val="00B452CE"/>
    <w:rsid w:val="00B50900"/>
    <w:rsid w:val="00B54C25"/>
    <w:rsid w:val="00B61328"/>
    <w:rsid w:val="00B618F6"/>
    <w:rsid w:val="00B61BC4"/>
    <w:rsid w:val="00B64B11"/>
    <w:rsid w:val="00B676B7"/>
    <w:rsid w:val="00B7231F"/>
    <w:rsid w:val="00B76B91"/>
    <w:rsid w:val="00B77EB1"/>
    <w:rsid w:val="00B81172"/>
    <w:rsid w:val="00B811C6"/>
    <w:rsid w:val="00B8204A"/>
    <w:rsid w:val="00B83361"/>
    <w:rsid w:val="00B855B0"/>
    <w:rsid w:val="00B92E08"/>
    <w:rsid w:val="00B938F4"/>
    <w:rsid w:val="00B97198"/>
    <w:rsid w:val="00BA5EC2"/>
    <w:rsid w:val="00BC622A"/>
    <w:rsid w:val="00BD31FD"/>
    <w:rsid w:val="00BE0A78"/>
    <w:rsid w:val="00BE2C44"/>
    <w:rsid w:val="00BE79F0"/>
    <w:rsid w:val="00BF046D"/>
    <w:rsid w:val="00BF0FA2"/>
    <w:rsid w:val="00BF1190"/>
    <w:rsid w:val="00BF1EFC"/>
    <w:rsid w:val="00BF5D04"/>
    <w:rsid w:val="00BF6923"/>
    <w:rsid w:val="00C06B62"/>
    <w:rsid w:val="00C1164D"/>
    <w:rsid w:val="00C14651"/>
    <w:rsid w:val="00C16861"/>
    <w:rsid w:val="00C21C0E"/>
    <w:rsid w:val="00C221D3"/>
    <w:rsid w:val="00C229D3"/>
    <w:rsid w:val="00C3336B"/>
    <w:rsid w:val="00C33C85"/>
    <w:rsid w:val="00C3779E"/>
    <w:rsid w:val="00C404A6"/>
    <w:rsid w:val="00C40A36"/>
    <w:rsid w:val="00C40F0F"/>
    <w:rsid w:val="00C411C4"/>
    <w:rsid w:val="00C44419"/>
    <w:rsid w:val="00C4500F"/>
    <w:rsid w:val="00C45E7B"/>
    <w:rsid w:val="00C471B1"/>
    <w:rsid w:val="00C6316B"/>
    <w:rsid w:val="00C634A9"/>
    <w:rsid w:val="00C64586"/>
    <w:rsid w:val="00C70A6B"/>
    <w:rsid w:val="00C70D53"/>
    <w:rsid w:val="00C73D0B"/>
    <w:rsid w:val="00C74A12"/>
    <w:rsid w:val="00C772FF"/>
    <w:rsid w:val="00C80137"/>
    <w:rsid w:val="00C801AF"/>
    <w:rsid w:val="00C80256"/>
    <w:rsid w:val="00C92CE4"/>
    <w:rsid w:val="00CA5551"/>
    <w:rsid w:val="00CB384F"/>
    <w:rsid w:val="00CB6BC0"/>
    <w:rsid w:val="00CC05F8"/>
    <w:rsid w:val="00CC1B7C"/>
    <w:rsid w:val="00CC727F"/>
    <w:rsid w:val="00CD46E8"/>
    <w:rsid w:val="00CD6DBE"/>
    <w:rsid w:val="00CE03B0"/>
    <w:rsid w:val="00CF15C3"/>
    <w:rsid w:val="00CF20E0"/>
    <w:rsid w:val="00CF2B6F"/>
    <w:rsid w:val="00CF4013"/>
    <w:rsid w:val="00CF58B6"/>
    <w:rsid w:val="00CF5BC4"/>
    <w:rsid w:val="00D017ED"/>
    <w:rsid w:val="00D040D3"/>
    <w:rsid w:val="00D04C65"/>
    <w:rsid w:val="00D10A17"/>
    <w:rsid w:val="00D21EB2"/>
    <w:rsid w:val="00D224FE"/>
    <w:rsid w:val="00D22C59"/>
    <w:rsid w:val="00D22EC4"/>
    <w:rsid w:val="00D3024F"/>
    <w:rsid w:val="00D3116B"/>
    <w:rsid w:val="00D33DBC"/>
    <w:rsid w:val="00D45D7C"/>
    <w:rsid w:val="00D53747"/>
    <w:rsid w:val="00D6120F"/>
    <w:rsid w:val="00D6493E"/>
    <w:rsid w:val="00D7301E"/>
    <w:rsid w:val="00D73714"/>
    <w:rsid w:val="00D7441D"/>
    <w:rsid w:val="00D83AE1"/>
    <w:rsid w:val="00D855D4"/>
    <w:rsid w:val="00D8681D"/>
    <w:rsid w:val="00D86FB2"/>
    <w:rsid w:val="00D93466"/>
    <w:rsid w:val="00DA1124"/>
    <w:rsid w:val="00DB4B71"/>
    <w:rsid w:val="00DB75B7"/>
    <w:rsid w:val="00DC1FDF"/>
    <w:rsid w:val="00DC3F4A"/>
    <w:rsid w:val="00DC4645"/>
    <w:rsid w:val="00DC6A7D"/>
    <w:rsid w:val="00DC6E02"/>
    <w:rsid w:val="00DD49AC"/>
    <w:rsid w:val="00DD59F2"/>
    <w:rsid w:val="00DE02AE"/>
    <w:rsid w:val="00DE6714"/>
    <w:rsid w:val="00DF1D7F"/>
    <w:rsid w:val="00DF3406"/>
    <w:rsid w:val="00DF3693"/>
    <w:rsid w:val="00DF4BE4"/>
    <w:rsid w:val="00E02FB4"/>
    <w:rsid w:val="00E069D1"/>
    <w:rsid w:val="00E12E9B"/>
    <w:rsid w:val="00E178E8"/>
    <w:rsid w:val="00E20571"/>
    <w:rsid w:val="00E21AB7"/>
    <w:rsid w:val="00E235F7"/>
    <w:rsid w:val="00E23659"/>
    <w:rsid w:val="00E239D4"/>
    <w:rsid w:val="00E247D3"/>
    <w:rsid w:val="00E26130"/>
    <w:rsid w:val="00E26786"/>
    <w:rsid w:val="00E40B22"/>
    <w:rsid w:val="00E41D94"/>
    <w:rsid w:val="00E45619"/>
    <w:rsid w:val="00E4588F"/>
    <w:rsid w:val="00E46DA3"/>
    <w:rsid w:val="00E51BB1"/>
    <w:rsid w:val="00E624A5"/>
    <w:rsid w:val="00E63D54"/>
    <w:rsid w:val="00E7344E"/>
    <w:rsid w:val="00E87432"/>
    <w:rsid w:val="00E87F22"/>
    <w:rsid w:val="00E91A76"/>
    <w:rsid w:val="00E932C6"/>
    <w:rsid w:val="00EB0798"/>
    <w:rsid w:val="00EB2D5D"/>
    <w:rsid w:val="00EB40AD"/>
    <w:rsid w:val="00EB586E"/>
    <w:rsid w:val="00EB5FC8"/>
    <w:rsid w:val="00EC21D7"/>
    <w:rsid w:val="00ED0A75"/>
    <w:rsid w:val="00ED1F26"/>
    <w:rsid w:val="00ED3CAD"/>
    <w:rsid w:val="00ED5325"/>
    <w:rsid w:val="00ED5A41"/>
    <w:rsid w:val="00EE1DE8"/>
    <w:rsid w:val="00EF1A8F"/>
    <w:rsid w:val="00EF638E"/>
    <w:rsid w:val="00F033EC"/>
    <w:rsid w:val="00F04F68"/>
    <w:rsid w:val="00F1222E"/>
    <w:rsid w:val="00F12670"/>
    <w:rsid w:val="00F14B27"/>
    <w:rsid w:val="00F246E5"/>
    <w:rsid w:val="00F2603B"/>
    <w:rsid w:val="00F3148D"/>
    <w:rsid w:val="00F325C5"/>
    <w:rsid w:val="00F32FE0"/>
    <w:rsid w:val="00F35298"/>
    <w:rsid w:val="00F35BC3"/>
    <w:rsid w:val="00F365ED"/>
    <w:rsid w:val="00F4008D"/>
    <w:rsid w:val="00F4121A"/>
    <w:rsid w:val="00F47333"/>
    <w:rsid w:val="00F47E37"/>
    <w:rsid w:val="00F534E1"/>
    <w:rsid w:val="00F53C07"/>
    <w:rsid w:val="00F54B65"/>
    <w:rsid w:val="00F54C3F"/>
    <w:rsid w:val="00F63305"/>
    <w:rsid w:val="00F640B6"/>
    <w:rsid w:val="00F700DF"/>
    <w:rsid w:val="00F80E40"/>
    <w:rsid w:val="00F828C8"/>
    <w:rsid w:val="00F848D9"/>
    <w:rsid w:val="00F90526"/>
    <w:rsid w:val="00FA0E0D"/>
    <w:rsid w:val="00FA374D"/>
    <w:rsid w:val="00FA5B82"/>
    <w:rsid w:val="00FA639E"/>
    <w:rsid w:val="00FC25E4"/>
    <w:rsid w:val="00FC4EF7"/>
    <w:rsid w:val="00FE1DEE"/>
    <w:rsid w:val="00FE2887"/>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8055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point">
    <w:name w:val="Bullet point"/>
    <w:basedOn w:val="Normal"/>
    <w:rsid w:val="00DD49AC"/>
    <w:pPr>
      <w:numPr>
        <w:numId w:val="28"/>
      </w:numPr>
      <w:tabs>
        <w:tab w:val="clear" w:pos="369"/>
        <w:tab w:val="left" w:pos="397"/>
        <w:tab w:val="num" w:pos="511"/>
      </w:tabs>
      <w:spacing w:before="0" w:after="180" w:line="252" w:lineRule="auto"/>
      <w:ind w:left="397" w:firstLine="0"/>
    </w:pPr>
    <w:rPr>
      <w:rFonts w:eastAsia="Times New Roman"/>
      <w:snapToGrid w:val="0"/>
      <w:kern w:val="16"/>
      <w:sz w:val="23"/>
      <w:szCs w:val="24"/>
    </w:rPr>
  </w:style>
  <w:style w:type="paragraph" w:styleId="FootnoteText">
    <w:name w:val="footnote text"/>
    <w:basedOn w:val="Normal"/>
    <w:link w:val="FootnoteTextChar"/>
    <w:uiPriority w:val="99"/>
    <w:semiHidden/>
    <w:unhideWhenUsed/>
    <w:rsid w:val="001E5D9F"/>
    <w:pPr>
      <w:spacing w:before="0"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semiHidden/>
    <w:rsid w:val="001E5D9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E5D9F"/>
    <w:rPr>
      <w:vertAlign w:val="superscript"/>
    </w:rPr>
  </w:style>
  <w:style w:type="paragraph" w:styleId="DocumentMap">
    <w:name w:val="Document Map"/>
    <w:basedOn w:val="Normal"/>
    <w:link w:val="DocumentMapChar"/>
    <w:uiPriority w:val="99"/>
    <w:semiHidden/>
    <w:unhideWhenUsed/>
    <w:rsid w:val="0076436F"/>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6436F"/>
    <w:rPr>
      <w:rFonts w:ascii="Tahoma" w:eastAsia="Cambria" w:hAnsi="Tahoma" w:cs="Tahoma"/>
      <w:sz w:val="16"/>
      <w:szCs w:val="16"/>
    </w:rPr>
  </w:style>
  <w:style w:type="paragraph" w:styleId="NoSpacing">
    <w:name w:val="No Spacing"/>
    <w:uiPriority w:val="1"/>
    <w:qFormat/>
    <w:rsid w:val="00354AF2"/>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3A02D4"/>
    <w:rPr>
      <w:sz w:val="16"/>
      <w:szCs w:val="16"/>
    </w:rPr>
  </w:style>
  <w:style w:type="paragraph" w:styleId="CommentText">
    <w:name w:val="annotation text"/>
    <w:basedOn w:val="Normal"/>
    <w:link w:val="CommentTextChar"/>
    <w:uiPriority w:val="99"/>
    <w:semiHidden/>
    <w:unhideWhenUsed/>
    <w:rsid w:val="003A02D4"/>
    <w:pPr>
      <w:spacing w:line="240" w:lineRule="auto"/>
    </w:pPr>
    <w:rPr>
      <w:sz w:val="20"/>
      <w:szCs w:val="20"/>
    </w:rPr>
  </w:style>
  <w:style w:type="character" w:customStyle="1" w:styleId="CommentTextChar">
    <w:name w:val="Comment Text Char"/>
    <w:basedOn w:val="DefaultParagraphFont"/>
    <w:link w:val="CommentText"/>
    <w:uiPriority w:val="99"/>
    <w:semiHidden/>
    <w:rsid w:val="003A02D4"/>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3A02D4"/>
    <w:rPr>
      <w:b/>
      <w:bCs/>
    </w:rPr>
  </w:style>
  <w:style w:type="character" w:customStyle="1" w:styleId="CommentSubjectChar">
    <w:name w:val="Comment Subject Char"/>
    <w:basedOn w:val="CommentTextChar"/>
    <w:link w:val="CommentSubject"/>
    <w:uiPriority w:val="99"/>
    <w:semiHidden/>
    <w:rsid w:val="003A02D4"/>
    <w:rPr>
      <w:b/>
      <w:bCs/>
    </w:rPr>
  </w:style>
</w:styles>
</file>

<file path=word/webSettings.xml><?xml version="1.0" encoding="utf-8"?>
<w:webSettings xmlns:r="http://schemas.openxmlformats.org/officeDocument/2006/relationships" xmlns:w="http://schemas.openxmlformats.org/wordprocessingml/2006/main">
  <w:divs>
    <w:div w:id="24985489">
      <w:bodyDiv w:val="1"/>
      <w:marLeft w:val="0"/>
      <w:marRight w:val="0"/>
      <w:marTop w:val="0"/>
      <w:marBottom w:val="0"/>
      <w:divBdr>
        <w:top w:val="none" w:sz="0" w:space="0" w:color="auto"/>
        <w:left w:val="none" w:sz="0" w:space="0" w:color="auto"/>
        <w:bottom w:val="none" w:sz="0" w:space="0" w:color="auto"/>
        <w:right w:val="none" w:sz="0" w:space="0" w:color="auto"/>
      </w:divBdr>
    </w:div>
    <w:div w:id="97145042">
      <w:bodyDiv w:val="1"/>
      <w:marLeft w:val="0"/>
      <w:marRight w:val="0"/>
      <w:marTop w:val="0"/>
      <w:marBottom w:val="0"/>
      <w:divBdr>
        <w:top w:val="none" w:sz="0" w:space="0" w:color="auto"/>
        <w:left w:val="none" w:sz="0" w:space="0" w:color="auto"/>
        <w:bottom w:val="none" w:sz="0" w:space="0" w:color="auto"/>
        <w:right w:val="none" w:sz="0" w:space="0" w:color="auto"/>
      </w:divBdr>
    </w:div>
    <w:div w:id="107938715">
      <w:bodyDiv w:val="1"/>
      <w:marLeft w:val="0"/>
      <w:marRight w:val="0"/>
      <w:marTop w:val="0"/>
      <w:marBottom w:val="0"/>
      <w:divBdr>
        <w:top w:val="none" w:sz="0" w:space="0" w:color="auto"/>
        <w:left w:val="none" w:sz="0" w:space="0" w:color="auto"/>
        <w:bottom w:val="none" w:sz="0" w:space="0" w:color="auto"/>
        <w:right w:val="none" w:sz="0" w:space="0" w:color="auto"/>
      </w:divBdr>
    </w:div>
    <w:div w:id="108863449">
      <w:bodyDiv w:val="1"/>
      <w:marLeft w:val="0"/>
      <w:marRight w:val="0"/>
      <w:marTop w:val="0"/>
      <w:marBottom w:val="0"/>
      <w:divBdr>
        <w:top w:val="none" w:sz="0" w:space="0" w:color="auto"/>
        <w:left w:val="none" w:sz="0" w:space="0" w:color="auto"/>
        <w:bottom w:val="none" w:sz="0" w:space="0" w:color="auto"/>
        <w:right w:val="none" w:sz="0" w:space="0" w:color="auto"/>
      </w:divBdr>
    </w:div>
    <w:div w:id="111948739">
      <w:bodyDiv w:val="1"/>
      <w:marLeft w:val="0"/>
      <w:marRight w:val="0"/>
      <w:marTop w:val="0"/>
      <w:marBottom w:val="0"/>
      <w:divBdr>
        <w:top w:val="none" w:sz="0" w:space="0" w:color="auto"/>
        <w:left w:val="none" w:sz="0" w:space="0" w:color="auto"/>
        <w:bottom w:val="none" w:sz="0" w:space="0" w:color="auto"/>
        <w:right w:val="none" w:sz="0" w:space="0" w:color="auto"/>
      </w:divBdr>
    </w:div>
    <w:div w:id="120923676">
      <w:bodyDiv w:val="1"/>
      <w:marLeft w:val="0"/>
      <w:marRight w:val="0"/>
      <w:marTop w:val="0"/>
      <w:marBottom w:val="0"/>
      <w:divBdr>
        <w:top w:val="none" w:sz="0" w:space="0" w:color="auto"/>
        <w:left w:val="none" w:sz="0" w:space="0" w:color="auto"/>
        <w:bottom w:val="none" w:sz="0" w:space="0" w:color="auto"/>
        <w:right w:val="none" w:sz="0" w:space="0" w:color="auto"/>
      </w:divBdr>
    </w:div>
    <w:div w:id="158736185">
      <w:bodyDiv w:val="1"/>
      <w:marLeft w:val="0"/>
      <w:marRight w:val="0"/>
      <w:marTop w:val="0"/>
      <w:marBottom w:val="0"/>
      <w:divBdr>
        <w:top w:val="none" w:sz="0" w:space="0" w:color="auto"/>
        <w:left w:val="none" w:sz="0" w:space="0" w:color="auto"/>
        <w:bottom w:val="none" w:sz="0" w:space="0" w:color="auto"/>
        <w:right w:val="none" w:sz="0" w:space="0" w:color="auto"/>
      </w:divBdr>
    </w:div>
    <w:div w:id="171335249">
      <w:bodyDiv w:val="1"/>
      <w:marLeft w:val="0"/>
      <w:marRight w:val="0"/>
      <w:marTop w:val="0"/>
      <w:marBottom w:val="0"/>
      <w:divBdr>
        <w:top w:val="none" w:sz="0" w:space="0" w:color="auto"/>
        <w:left w:val="none" w:sz="0" w:space="0" w:color="auto"/>
        <w:bottom w:val="none" w:sz="0" w:space="0" w:color="auto"/>
        <w:right w:val="none" w:sz="0" w:space="0" w:color="auto"/>
      </w:divBdr>
    </w:div>
    <w:div w:id="242178766">
      <w:bodyDiv w:val="1"/>
      <w:marLeft w:val="0"/>
      <w:marRight w:val="0"/>
      <w:marTop w:val="0"/>
      <w:marBottom w:val="0"/>
      <w:divBdr>
        <w:top w:val="none" w:sz="0" w:space="0" w:color="auto"/>
        <w:left w:val="none" w:sz="0" w:space="0" w:color="auto"/>
        <w:bottom w:val="none" w:sz="0" w:space="0" w:color="auto"/>
        <w:right w:val="none" w:sz="0" w:space="0" w:color="auto"/>
      </w:divBdr>
    </w:div>
    <w:div w:id="281159623">
      <w:bodyDiv w:val="1"/>
      <w:marLeft w:val="0"/>
      <w:marRight w:val="0"/>
      <w:marTop w:val="0"/>
      <w:marBottom w:val="0"/>
      <w:divBdr>
        <w:top w:val="none" w:sz="0" w:space="0" w:color="auto"/>
        <w:left w:val="none" w:sz="0" w:space="0" w:color="auto"/>
        <w:bottom w:val="none" w:sz="0" w:space="0" w:color="auto"/>
        <w:right w:val="none" w:sz="0" w:space="0" w:color="auto"/>
      </w:divBdr>
    </w:div>
    <w:div w:id="293171216">
      <w:bodyDiv w:val="1"/>
      <w:marLeft w:val="0"/>
      <w:marRight w:val="0"/>
      <w:marTop w:val="0"/>
      <w:marBottom w:val="0"/>
      <w:divBdr>
        <w:top w:val="none" w:sz="0" w:space="0" w:color="auto"/>
        <w:left w:val="none" w:sz="0" w:space="0" w:color="auto"/>
        <w:bottom w:val="none" w:sz="0" w:space="0" w:color="auto"/>
        <w:right w:val="none" w:sz="0" w:space="0" w:color="auto"/>
      </w:divBdr>
    </w:div>
    <w:div w:id="322586273">
      <w:bodyDiv w:val="1"/>
      <w:marLeft w:val="0"/>
      <w:marRight w:val="0"/>
      <w:marTop w:val="0"/>
      <w:marBottom w:val="0"/>
      <w:divBdr>
        <w:top w:val="none" w:sz="0" w:space="0" w:color="auto"/>
        <w:left w:val="none" w:sz="0" w:space="0" w:color="auto"/>
        <w:bottom w:val="none" w:sz="0" w:space="0" w:color="auto"/>
        <w:right w:val="none" w:sz="0" w:space="0" w:color="auto"/>
      </w:divBdr>
    </w:div>
    <w:div w:id="401220034">
      <w:bodyDiv w:val="1"/>
      <w:marLeft w:val="0"/>
      <w:marRight w:val="0"/>
      <w:marTop w:val="0"/>
      <w:marBottom w:val="0"/>
      <w:divBdr>
        <w:top w:val="none" w:sz="0" w:space="0" w:color="auto"/>
        <w:left w:val="none" w:sz="0" w:space="0" w:color="auto"/>
        <w:bottom w:val="none" w:sz="0" w:space="0" w:color="auto"/>
        <w:right w:val="none" w:sz="0" w:space="0" w:color="auto"/>
      </w:divBdr>
    </w:div>
    <w:div w:id="456221824">
      <w:bodyDiv w:val="1"/>
      <w:marLeft w:val="0"/>
      <w:marRight w:val="0"/>
      <w:marTop w:val="0"/>
      <w:marBottom w:val="0"/>
      <w:divBdr>
        <w:top w:val="none" w:sz="0" w:space="0" w:color="auto"/>
        <w:left w:val="none" w:sz="0" w:space="0" w:color="auto"/>
        <w:bottom w:val="none" w:sz="0" w:space="0" w:color="auto"/>
        <w:right w:val="none" w:sz="0" w:space="0" w:color="auto"/>
      </w:divBdr>
    </w:div>
    <w:div w:id="538471716">
      <w:bodyDiv w:val="1"/>
      <w:marLeft w:val="0"/>
      <w:marRight w:val="0"/>
      <w:marTop w:val="0"/>
      <w:marBottom w:val="0"/>
      <w:divBdr>
        <w:top w:val="none" w:sz="0" w:space="0" w:color="auto"/>
        <w:left w:val="none" w:sz="0" w:space="0" w:color="auto"/>
        <w:bottom w:val="none" w:sz="0" w:space="0" w:color="auto"/>
        <w:right w:val="none" w:sz="0" w:space="0" w:color="auto"/>
      </w:divBdr>
    </w:div>
    <w:div w:id="604581255">
      <w:bodyDiv w:val="1"/>
      <w:marLeft w:val="0"/>
      <w:marRight w:val="0"/>
      <w:marTop w:val="0"/>
      <w:marBottom w:val="0"/>
      <w:divBdr>
        <w:top w:val="none" w:sz="0" w:space="0" w:color="auto"/>
        <w:left w:val="none" w:sz="0" w:space="0" w:color="auto"/>
        <w:bottom w:val="none" w:sz="0" w:space="0" w:color="auto"/>
        <w:right w:val="none" w:sz="0" w:space="0" w:color="auto"/>
      </w:divBdr>
    </w:div>
    <w:div w:id="624583158">
      <w:bodyDiv w:val="1"/>
      <w:marLeft w:val="0"/>
      <w:marRight w:val="0"/>
      <w:marTop w:val="0"/>
      <w:marBottom w:val="0"/>
      <w:divBdr>
        <w:top w:val="none" w:sz="0" w:space="0" w:color="auto"/>
        <w:left w:val="none" w:sz="0" w:space="0" w:color="auto"/>
        <w:bottom w:val="none" w:sz="0" w:space="0" w:color="auto"/>
        <w:right w:val="none" w:sz="0" w:space="0" w:color="auto"/>
      </w:divBdr>
    </w:div>
    <w:div w:id="641421202">
      <w:bodyDiv w:val="1"/>
      <w:marLeft w:val="0"/>
      <w:marRight w:val="0"/>
      <w:marTop w:val="0"/>
      <w:marBottom w:val="0"/>
      <w:divBdr>
        <w:top w:val="none" w:sz="0" w:space="0" w:color="auto"/>
        <w:left w:val="none" w:sz="0" w:space="0" w:color="auto"/>
        <w:bottom w:val="none" w:sz="0" w:space="0" w:color="auto"/>
        <w:right w:val="none" w:sz="0" w:space="0" w:color="auto"/>
      </w:divBdr>
    </w:div>
    <w:div w:id="662507119">
      <w:bodyDiv w:val="1"/>
      <w:marLeft w:val="0"/>
      <w:marRight w:val="0"/>
      <w:marTop w:val="0"/>
      <w:marBottom w:val="0"/>
      <w:divBdr>
        <w:top w:val="none" w:sz="0" w:space="0" w:color="auto"/>
        <w:left w:val="none" w:sz="0" w:space="0" w:color="auto"/>
        <w:bottom w:val="none" w:sz="0" w:space="0" w:color="auto"/>
        <w:right w:val="none" w:sz="0" w:space="0" w:color="auto"/>
      </w:divBdr>
    </w:div>
    <w:div w:id="700519313">
      <w:bodyDiv w:val="1"/>
      <w:marLeft w:val="0"/>
      <w:marRight w:val="0"/>
      <w:marTop w:val="0"/>
      <w:marBottom w:val="0"/>
      <w:divBdr>
        <w:top w:val="none" w:sz="0" w:space="0" w:color="auto"/>
        <w:left w:val="none" w:sz="0" w:space="0" w:color="auto"/>
        <w:bottom w:val="none" w:sz="0" w:space="0" w:color="auto"/>
        <w:right w:val="none" w:sz="0" w:space="0" w:color="auto"/>
      </w:divBdr>
    </w:div>
    <w:div w:id="708342672">
      <w:bodyDiv w:val="1"/>
      <w:marLeft w:val="0"/>
      <w:marRight w:val="0"/>
      <w:marTop w:val="0"/>
      <w:marBottom w:val="0"/>
      <w:divBdr>
        <w:top w:val="none" w:sz="0" w:space="0" w:color="auto"/>
        <w:left w:val="none" w:sz="0" w:space="0" w:color="auto"/>
        <w:bottom w:val="none" w:sz="0" w:space="0" w:color="auto"/>
        <w:right w:val="none" w:sz="0" w:space="0" w:color="auto"/>
      </w:divBdr>
    </w:div>
    <w:div w:id="709231369">
      <w:bodyDiv w:val="1"/>
      <w:marLeft w:val="0"/>
      <w:marRight w:val="0"/>
      <w:marTop w:val="0"/>
      <w:marBottom w:val="0"/>
      <w:divBdr>
        <w:top w:val="none" w:sz="0" w:space="0" w:color="auto"/>
        <w:left w:val="none" w:sz="0" w:space="0" w:color="auto"/>
        <w:bottom w:val="none" w:sz="0" w:space="0" w:color="auto"/>
        <w:right w:val="none" w:sz="0" w:space="0" w:color="auto"/>
      </w:divBdr>
    </w:div>
    <w:div w:id="735471729">
      <w:bodyDiv w:val="1"/>
      <w:marLeft w:val="0"/>
      <w:marRight w:val="0"/>
      <w:marTop w:val="0"/>
      <w:marBottom w:val="0"/>
      <w:divBdr>
        <w:top w:val="none" w:sz="0" w:space="0" w:color="auto"/>
        <w:left w:val="none" w:sz="0" w:space="0" w:color="auto"/>
        <w:bottom w:val="none" w:sz="0" w:space="0" w:color="auto"/>
        <w:right w:val="none" w:sz="0" w:space="0" w:color="auto"/>
      </w:divBdr>
    </w:div>
    <w:div w:id="759717362">
      <w:bodyDiv w:val="1"/>
      <w:marLeft w:val="0"/>
      <w:marRight w:val="0"/>
      <w:marTop w:val="0"/>
      <w:marBottom w:val="0"/>
      <w:divBdr>
        <w:top w:val="none" w:sz="0" w:space="0" w:color="auto"/>
        <w:left w:val="none" w:sz="0" w:space="0" w:color="auto"/>
        <w:bottom w:val="none" w:sz="0" w:space="0" w:color="auto"/>
        <w:right w:val="none" w:sz="0" w:space="0" w:color="auto"/>
      </w:divBdr>
    </w:div>
    <w:div w:id="761685698">
      <w:bodyDiv w:val="1"/>
      <w:marLeft w:val="0"/>
      <w:marRight w:val="0"/>
      <w:marTop w:val="0"/>
      <w:marBottom w:val="0"/>
      <w:divBdr>
        <w:top w:val="none" w:sz="0" w:space="0" w:color="auto"/>
        <w:left w:val="none" w:sz="0" w:space="0" w:color="auto"/>
        <w:bottom w:val="none" w:sz="0" w:space="0" w:color="auto"/>
        <w:right w:val="none" w:sz="0" w:space="0" w:color="auto"/>
      </w:divBdr>
    </w:div>
    <w:div w:id="840579841">
      <w:bodyDiv w:val="1"/>
      <w:marLeft w:val="0"/>
      <w:marRight w:val="0"/>
      <w:marTop w:val="0"/>
      <w:marBottom w:val="0"/>
      <w:divBdr>
        <w:top w:val="none" w:sz="0" w:space="0" w:color="auto"/>
        <w:left w:val="none" w:sz="0" w:space="0" w:color="auto"/>
        <w:bottom w:val="none" w:sz="0" w:space="0" w:color="auto"/>
        <w:right w:val="none" w:sz="0" w:space="0" w:color="auto"/>
      </w:divBdr>
    </w:div>
    <w:div w:id="882719717">
      <w:bodyDiv w:val="1"/>
      <w:marLeft w:val="0"/>
      <w:marRight w:val="0"/>
      <w:marTop w:val="0"/>
      <w:marBottom w:val="0"/>
      <w:divBdr>
        <w:top w:val="none" w:sz="0" w:space="0" w:color="auto"/>
        <w:left w:val="none" w:sz="0" w:space="0" w:color="auto"/>
        <w:bottom w:val="none" w:sz="0" w:space="0" w:color="auto"/>
        <w:right w:val="none" w:sz="0" w:space="0" w:color="auto"/>
      </w:divBdr>
    </w:div>
    <w:div w:id="938101463">
      <w:bodyDiv w:val="1"/>
      <w:marLeft w:val="0"/>
      <w:marRight w:val="0"/>
      <w:marTop w:val="0"/>
      <w:marBottom w:val="0"/>
      <w:divBdr>
        <w:top w:val="none" w:sz="0" w:space="0" w:color="auto"/>
        <w:left w:val="none" w:sz="0" w:space="0" w:color="auto"/>
        <w:bottom w:val="none" w:sz="0" w:space="0" w:color="auto"/>
        <w:right w:val="none" w:sz="0" w:space="0" w:color="auto"/>
      </w:divBdr>
    </w:div>
    <w:div w:id="983126500">
      <w:bodyDiv w:val="1"/>
      <w:marLeft w:val="0"/>
      <w:marRight w:val="0"/>
      <w:marTop w:val="0"/>
      <w:marBottom w:val="0"/>
      <w:divBdr>
        <w:top w:val="none" w:sz="0" w:space="0" w:color="auto"/>
        <w:left w:val="none" w:sz="0" w:space="0" w:color="auto"/>
        <w:bottom w:val="none" w:sz="0" w:space="0" w:color="auto"/>
        <w:right w:val="none" w:sz="0" w:space="0" w:color="auto"/>
      </w:divBdr>
    </w:div>
    <w:div w:id="997421062">
      <w:bodyDiv w:val="1"/>
      <w:marLeft w:val="0"/>
      <w:marRight w:val="0"/>
      <w:marTop w:val="0"/>
      <w:marBottom w:val="0"/>
      <w:divBdr>
        <w:top w:val="none" w:sz="0" w:space="0" w:color="auto"/>
        <w:left w:val="none" w:sz="0" w:space="0" w:color="auto"/>
        <w:bottom w:val="none" w:sz="0" w:space="0" w:color="auto"/>
        <w:right w:val="none" w:sz="0" w:space="0" w:color="auto"/>
      </w:divBdr>
    </w:div>
    <w:div w:id="1038748088">
      <w:bodyDiv w:val="1"/>
      <w:marLeft w:val="0"/>
      <w:marRight w:val="0"/>
      <w:marTop w:val="0"/>
      <w:marBottom w:val="0"/>
      <w:divBdr>
        <w:top w:val="none" w:sz="0" w:space="0" w:color="auto"/>
        <w:left w:val="none" w:sz="0" w:space="0" w:color="auto"/>
        <w:bottom w:val="none" w:sz="0" w:space="0" w:color="auto"/>
        <w:right w:val="none" w:sz="0" w:space="0" w:color="auto"/>
      </w:divBdr>
    </w:div>
    <w:div w:id="1082727487">
      <w:bodyDiv w:val="1"/>
      <w:marLeft w:val="0"/>
      <w:marRight w:val="0"/>
      <w:marTop w:val="0"/>
      <w:marBottom w:val="0"/>
      <w:divBdr>
        <w:top w:val="none" w:sz="0" w:space="0" w:color="auto"/>
        <w:left w:val="none" w:sz="0" w:space="0" w:color="auto"/>
        <w:bottom w:val="none" w:sz="0" w:space="0" w:color="auto"/>
        <w:right w:val="none" w:sz="0" w:space="0" w:color="auto"/>
      </w:divBdr>
    </w:div>
    <w:div w:id="1171027632">
      <w:bodyDiv w:val="1"/>
      <w:marLeft w:val="0"/>
      <w:marRight w:val="0"/>
      <w:marTop w:val="0"/>
      <w:marBottom w:val="0"/>
      <w:divBdr>
        <w:top w:val="none" w:sz="0" w:space="0" w:color="auto"/>
        <w:left w:val="none" w:sz="0" w:space="0" w:color="auto"/>
        <w:bottom w:val="none" w:sz="0" w:space="0" w:color="auto"/>
        <w:right w:val="none" w:sz="0" w:space="0" w:color="auto"/>
      </w:divBdr>
    </w:div>
    <w:div w:id="1200126212">
      <w:bodyDiv w:val="1"/>
      <w:marLeft w:val="0"/>
      <w:marRight w:val="0"/>
      <w:marTop w:val="0"/>
      <w:marBottom w:val="0"/>
      <w:divBdr>
        <w:top w:val="none" w:sz="0" w:space="0" w:color="auto"/>
        <w:left w:val="none" w:sz="0" w:space="0" w:color="auto"/>
        <w:bottom w:val="none" w:sz="0" w:space="0" w:color="auto"/>
        <w:right w:val="none" w:sz="0" w:space="0" w:color="auto"/>
      </w:divBdr>
    </w:div>
    <w:div w:id="1266381521">
      <w:bodyDiv w:val="1"/>
      <w:marLeft w:val="0"/>
      <w:marRight w:val="0"/>
      <w:marTop w:val="0"/>
      <w:marBottom w:val="0"/>
      <w:divBdr>
        <w:top w:val="none" w:sz="0" w:space="0" w:color="auto"/>
        <w:left w:val="none" w:sz="0" w:space="0" w:color="auto"/>
        <w:bottom w:val="none" w:sz="0" w:space="0" w:color="auto"/>
        <w:right w:val="none" w:sz="0" w:space="0" w:color="auto"/>
      </w:divBdr>
    </w:div>
    <w:div w:id="1326592669">
      <w:bodyDiv w:val="1"/>
      <w:marLeft w:val="0"/>
      <w:marRight w:val="0"/>
      <w:marTop w:val="0"/>
      <w:marBottom w:val="0"/>
      <w:divBdr>
        <w:top w:val="none" w:sz="0" w:space="0" w:color="auto"/>
        <w:left w:val="none" w:sz="0" w:space="0" w:color="auto"/>
        <w:bottom w:val="none" w:sz="0" w:space="0" w:color="auto"/>
        <w:right w:val="none" w:sz="0" w:space="0" w:color="auto"/>
      </w:divBdr>
    </w:div>
    <w:div w:id="1341929269">
      <w:bodyDiv w:val="1"/>
      <w:marLeft w:val="0"/>
      <w:marRight w:val="0"/>
      <w:marTop w:val="0"/>
      <w:marBottom w:val="0"/>
      <w:divBdr>
        <w:top w:val="none" w:sz="0" w:space="0" w:color="auto"/>
        <w:left w:val="none" w:sz="0" w:space="0" w:color="auto"/>
        <w:bottom w:val="none" w:sz="0" w:space="0" w:color="auto"/>
        <w:right w:val="none" w:sz="0" w:space="0" w:color="auto"/>
      </w:divBdr>
    </w:div>
    <w:div w:id="1410538738">
      <w:bodyDiv w:val="1"/>
      <w:marLeft w:val="0"/>
      <w:marRight w:val="0"/>
      <w:marTop w:val="0"/>
      <w:marBottom w:val="0"/>
      <w:divBdr>
        <w:top w:val="none" w:sz="0" w:space="0" w:color="auto"/>
        <w:left w:val="none" w:sz="0" w:space="0" w:color="auto"/>
        <w:bottom w:val="none" w:sz="0" w:space="0" w:color="auto"/>
        <w:right w:val="none" w:sz="0" w:space="0" w:color="auto"/>
      </w:divBdr>
    </w:div>
    <w:div w:id="1451125739">
      <w:bodyDiv w:val="1"/>
      <w:marLeft w:val="0"/>
      <w:marRight w:val="0"/>
      <w:marTop w:val="0"/>
      <w:marBottom w:val="0"/>
      <w:divBdr>
        <w:top w:val="none" w:sz="0" w:space="0" w:color="auto"/>
        <w:left w:val="none" w:sz="0" w:space="0" w:color="auto"/>
        <w:bottom w:val="none" w:sz="0" w:space="0" w:color="auto"/>
        <w:right w:val="none" w:sz="0" w:space="0" w:color="auto"/>
      </w:divBdr>
    </w:div>
    <w:div w:id="1467117116">
      <w:bodyDiv w:val="1"/>
      <w:marLeft w:val="0"/>
      <w:marRight w:val="0"/>
      <w:marTop w:val="0"/>
      <w:marBottom w:val="0"/>
      <w:divBdr>
        <w:top w:val="none" w:sz="0" w:space="0" w:color="auto"/>
        <w:left w:val="none" w:sz="0" w:space="0" w:color="auto"/>
        <w:bottom w:val="none" w:sz="0" w:space="0" w:color="auto"/>
        <w:right w:val="none" w:sz="0" w:space="0" w:color="auto"/>
      </w:divBdr>
    </w:div>
    <w:div w:id="1475487323">
      <w:bodyDiv w:val="1"/>
      <w:marLeft w:val="0"/>
      <w:marRight w:val="0"/>
      <w:marTop w:val="0"/>
      <w:marBottom w:val="0"/>
      <w:divBdr>
        <w:top w:val="none" w:sz="0" w:space="0" w:color="auto"/>
        <w:left w:val="none" w:sz="0" w:space="0" w:color="auto"/>
        <w:bottom w:val="none" w:sz="0" w:space="0" w:color="auto"/>
        <w:right w:val="none" w:sz="0" w:space="0" w:color="auto"/>
      </w:divBdr>
    </w:div>
    <w:div w:id="1498576463">
      <w:bodyDiv w:val="1"/>
      <w:marLeft w:val="0"/>
      <w:marRight w:val="0"/>
      <w:marTop w:val="0"/>
      <w:marBottom w:val="0"/>
      <w:divBdr>
        <w:top w:val="none" w:sz="0" w:space="0" w:color="auto"/>
        <w:left w:val="none" w:sz="0" w:space="0" w:color="auto"/>
        <w:bottom w:val="none" w:sz="0" w:space="0" w:color="auto"/>
        <w:right w:val="none" w:sz="0" w:space="0" w:color="auto"/>
      </w:divBdr>
    </w:div>
    <w:div w:id="1519274169">
      <w:bodyDiv w:val="1"/>
      <w:marLeft w:val="0"/>
      <w:marRight w:val="0"/>
      <w:marTop w:val="0"/>
      <w:marBottom w:val="0"/>
      <w:divBdr>
        <w:top w:val="none" w:sz="0" w:space="0" w:color="auto"/>
        <w:left w:val="none" w:sz="0" w:space="0" w:color="auto"/>
        <w:bottom w:val="none" w:sz="0" w:space="0" w:color="auto"/>
        <w:right w:val="none" w:sz="0" w:space="0" w:color="auto"/>
      </w:divBdr>
    </w:div>
    <w:div w:id="1539008176">
      <w:bodyDiv w:val="1"/>
      <w:marLeft w:val="0"/>
      <w:marRight w:val="0"/>
      <w:marTop w:val="0"/>
      <w:marBottom w:val="0"/>
      <w:divBdr>
        <w:top w:val="none" w:sz="0" w:space="0" w:color="auto"/>
        <w:left w:val="none" w:sz="0" w:space="0" w:color="auto"/>
        <w:bottom w:val="none" w:sz="0" w:space="0" w:color="auto"/>
        <w:right w:val="none" w:sz="0" w:space="0" w:color="auto"/>
      </w:divBdr>
    </w:div>
    <w:div w:id="1543791000">
      <w:bodyDiv w:val="1"/>
      <w:marLeft w:val="0"/>
      <w:marRight w:val="0"/>
      <w:marTop w:val="0"/>
      <w:marBottom w:val="0"/>
      <w:divBdr>
        <w:top w:val="none" w:sz="0" w:space="0" w:color="auto"/>
        <w:left w:val="none" w:sz="0" w:space="0" w:color="auto"/>
        <w:bottom w:val="none" w:sz="0" w:space="0" w:color="auto"/>
        <w:right w:val="none" w:sz="0" w:space="0" w:color="auto"/>
      </w:divBdr>
    </w:div>
    <w:div w:id="1652829458">
      <w:bodyDiv w:val="1"/>
      <w:marLeft w:val="0"/>
      <w:marRight w:val="0"/>
      <w:marTop w:val="0"/>
      <w:marBottom w:val="0"/>
      <w:divBdr>
        <w:top w:val="none" w:sz="0" w:space="0" w:color="auto"/>
        <w:left w:val="none" w:sz="0" w:space="0" w:color="auto"/>
        <w:bottom w:val="none" w:sz="0" w:space="0" w:color="auto"/>
        <w:right w:val="none" w:sz="0" w:space="0" w:color="auto"/>
      </w:divBdr>
    </w:div>
    <w:div w:id="1661687924">
      <w:bodyDiv w:val="1"/>
      <w:marLeft w:val="0"/>
      <w:marRight w:val="0"/>
      <w:marTop w:val="0"/>
      <w:marBottom w:val="0"/>
      <w:divBdr>
        <w:top w:val="none" w:sz="0" w:space="0" w:color="auto"/>
        <w:left w:val="none" w:sz="0" w:space="0" w:color="auto"/>
        <w:bottom w:val="none" w:sz="0" w:space="0" w:color="auto"/>
        <w:right w:val="none" w:sz="0" w:space="0" w:color="auto"/>
      </w:divBdr>
    </w:div>
    <w:div w:id="1709454309">
      <w:bodyDiv w:val="1"/>
      <w:marLeft w:val="0"/>
      <w:marRight w:val="0"/>
      <w:marTop w:val="0"/>
      <w:marBottom w:val="0"/>
      <w:divBdr>
        <w:top w:val="none" w:sz="0" w:space="0" w:color="auto"/>
        <w:left w:val="none" w:sz="0" w:space="0" w:color="auto"/>
        <w:bottom w:val="none" w:sz="0" w:space="0" w:color="auto"/>
        <w:right w:val="none" w:sz="0" w:space="0" w:color="auto"/>
      </w:divBdr>
    </w:div>
    <w:div w:id="1724015089">
      <w:bodyDiv w:val="1"/>
      <w:marLeft w:val="0"/>
      <w:marRight w:val="0"/>
      <w:marTop w:val="0"/>
      <w:marBottom w:val="0"/>
      <w:divBdr>
        <w:top w:val="none" w:sz="0" w:space="0" w:color="auto"/>
        <w:left w:val="none" w:sz="0" w:space="0" w:color="auto"/>
        <w:bottom w:val="none" w:sz="0" w:space="0" w:color="auto"/>
        <w:right w:val="none" w:sz="0" w:space="0" w:color="auto"/>
      </w:divBdr>
    </w:div>
    <w:div w:id="1747459014">
      <w:bodyDiv w:val="1"/>
      <w:marLeft w:val="0"/>
      <w:marRight w:val="0"/>
      <w:marTop w:val="0"/>
      <w:marBottom w:val="0"/>
      <w:divBdr>
        <w:top w:val="none" w:sz="0" w:space="0" w:color="auto"/>
        <w:left w:val="none" w:sz="0" w:space="0" w:color="auto"/>
        <w:bottom w:val="none" w:sz="0" w:space="0" w:color="auto"/>
        <w:right w:val="none" w:sz="0" w:space="0" w:color="auto"/>
      </w:divBdr>
      <w:divsChild>
        <w:div w:id="1848133303">
          <w:marLeft w:val="0"/>
          <w:marRight w:val="0"/>
          <w:marTop w:val="0"/>
          <w:marBottom w:val="0"/>
          <w:divBdr>
            <w:top w:val="none" w:sz="0" w:space="0" w:color="auto"/>
            <w:left w:val="none" w:sz="0" w:space="0" w:color="auto"/>
            <w:bottom w:val="none" w:sz="0" w:space="0" w:color="auto"/>
            <w:right w:val="none" w:sz="0" w:space="0" w:color="auto"/>
          </w:divBdr>
          <w:divsChild>
            <w:div w:id="1253856815">
              <w:marLeft w:val="0"/>
              <w:marRight w:val="0"/>
              <w:marTop w:val="0"/>
              <w:marBottom w:val="0"/>
              <w:divBdr>
                <w:top w:val="single" w:sz="2" w:space="0" w:color="CCCCCC"/>
                <w:left w:val="single" w:sz="4" w:space="9" w:color="CCCCCC"/>
                <w:bottom w:val="single" w:sz="4" w:space="0" w:color="CCCCCC"/>
                <w:right w:val="single" w:sz="4" w:space="9" w:color="CCCCCC"/>
              </w:divBdr>
              <w:divsChild>
                <w:div w:id="1691491569">
                  <w:marLeft w:val="0"/>
                  <w:marRight w:val="0"/>
                  <w:marTop w:val="0"/>
                  <w:marBottom w:val="0"/>
                  <w:divBdr>
                    <w:top w:val="none" w:sz="0" w:space="0" w:color="auto"/>
                    <w:left w:val="none" w:sz="0" w:space="0" w:color="auto"/>
                    <w:bottom w:val="none" w:sz="0" w:space="0" w:color="auto"/>
                    <w:right w:val="single" w:sz="4" w:space="0" w:color="CCCCCC"/>
                  </w:divBdr>
                </w:div>
              </w:divsChild>
            </w:div>
          </w:divsChild>
        </w:div>
      </w:divsChild>
    </w:div>
    <w:div w:id="1751731783">
      <w:bodyDiv w:val="1"/>
      <w:marLeft w:val="0"/>
      <w:marRight w:val="0"/>
      <w:marTop w:val="0"/>
      <w:marBottom w:val="0"/>
      <w:divBdr>
        <w:top w:val="none" w:sz="0" w:space="0" w:color="auto"/>
        <w:left w:val="none" w:sz="0" w:space="0" w:color="auto"/>
        <w:bottom w:val="none" w:sz="0" w:space="0" w:color="auto"/>
        <w:right w:val="none" w:sz="0" w:space="0" w:color="auto"/>
      </w:divBdr>
    </w:div>
    <w:div w:id="1752193711">
      <w:bodyDiv w:val="1"/>
      <w:marLeft w:val="0"/>
      <w:marRight w:val="0"/>
      <w:marTop w:val="0"/>
      <w:marBottom w:val="0"/>
      <w:divBdr>
        <w:top w:val="none" w:sz="0" w:space="0" w:color="auto"/>
        <w:left w:val="none" w:sz="0" w:space="0" w:color="auto"/>
        <w:bottom w:val="none" w:sz="0" w:space="0" w:color="auto"/>
        <w:right w:val="none" w:sz="0" w:space="0" w:color="auto"/>
      </w:divBdr>
    </w:div>
    <w:div w:id="1774321744">
      <w:bodyDiv w:val="1"/>
      <w:marLeft w:val="0"/>
      <w:marRight w:val="0"/>
      <w:marTop w:val="0"/>
      <w:marBottom w:val="0"/>
      <w:divBdr>
        <w:top w:val="none" w:sz="0" w:space="0" w:color="auto"/>
        <w:left w:val="none" w:sz="0" w:space="0" w:color="auto"/>
        <w:bottom w:val="none" w:sz="0" w:space="0" w:color="auto"/>
        <w:right w:val="none" w:sz="0" w:space="0" w:color="auto"/>
      </w:divBdr>
    </w:div>
    <w:div w:id="1787113151">
      <w:bodyDiv w:val="1"/>
      <w:marLeft w:val="0"/>
      <w:marRight w:val="0"/>
      <w:marTop w:val="0"/>
      <w:marBottom w:val="0"/>
      <w:divBdr>
        <w:top w:val="none" w:sz="0" w:space="0" w:color="auto"/>
        <w:left w:val="none" w:sz="0" w:space="0" w:color="auto"/>
        <w:bottom w:val="none" w:sz="0" w:space="0" w:color="auto"/>
        <w:right w:val="none" w:sz="0" w:space="0" w:color="auto"/>
      </w:divBdr>
    </w:div>
    <w:div w:id="1823111640">
      <w:bodyDiv w:val="1"/>
      <w:marLeft w:val="0"/>
      <w:marRight w:val="0"/>
      <w:marTop w:val="0"/>
      <w:marBottom w:val="0"/>
      <w:divBdr>
        <w:top w:val="none" w:sz="0" w:space="0" w:color="auto"/>
        <w:left w:val="none" w:sz="0" w:space="0" w:color="auto"/>
        <w:bottom w:val="none" w:sz="0" w:space="0" w:color="auto"/>
        <w:right w:val="none" w:sz="0" w:space="0" w:color="auto"/>
      </w:divBdr>
    </w:div>
    <w:div w:id="1834908606">
      <w:bodyDiv w:val="1"/>
      <w:marLeft w:val="0"/>
      <w:marRight w:val="0"/>
      <w:marTop w:val="0"/>
      <w:marBottom w:val="0"/>
      <w:divBdr>
        <w:top w:val="none" w:sz="0" w:space="0" w:color="auto"/>
        <w:left w:val="none" w:sz="0" w:space="0" w:color="auto"/>
        <w:bottom w:val="none" w:sz="0" w:space="0" w:color="auto"/>
        <w:right w:val="none" w:sz="0" w:space="0" w:color="auto"/>
      </w:divBdr>
    </w:div>
    <w:div w:id="1839537002">
      <w:bodyDiv w:val="1"/>
      <w:marLeft w:val="0"/>
      <w:marRight w:val="0"/>
      <w:marTop w:val="0"/>
      <w:marBottom w:val="0"/>
      <w:divBdr>
        <w:top w:val="none" w:sz="0" w:space="0" w:color="auto"/>
        <w:left w:val="none" w:sz="0" w:space="0" w:color="auto"/>
        <w:bottom w:val="none" w:sz="0" w:space="0" w:color="auto"/>
        <w:right w:val="none" w:sz="0" w:space="0" w:color="auto"/>
      </w:divBdr>
    </w:div>
    <w:div w:id="1883252243">
      <w:bodyDiv w:val="1"/>
      <w:marLeft w:val="0"/>
      <w:marRight w:val="0"/>
      <w:marTop w:val="0"/>
      <w:marBottom w:val="0"/>
      <w:divBdr>
        <w:top w:val="none" w:sz="0" w:space="0" w:color="auto"/>
        <w:left w:val="none" w:sz="0" w:space="0" w:color="auto"/>
        <w:bottom w:val="none" w:sz="0" w:space="0" w:color="auto"/>
        <w:right w:val="none" w:sz="0" w:space="0" w:color="auto"/>
      </w:divBdr>
    </w:div>
    <w:div w:id="1901555038">
      <w:bodyDiv w:val="1"/>
      <w:marLeft w:val="0"/>
      <w:marRight w:val="0"/>
      <w:marTop w:val="0"/>
      <w:marBottom w:val="0"/>
      <w:divBdr>
        <w:top w:val="none" w:sz="0" w:space="0" w:color="auto"/>
        <w:left w:val="none" w:sz="0" w:space="0" w:color="auto"/>
        <w:bottom w:val="none" w:sz="0" w:space="0" w:color="auto"/>
        <w:right w:val="none" w:sz="0" w:space="0" w:color="auto"/>
      </w:divBdr>
    </w:div>
    <w:div w:id="1993606091">
      <w:bodyDiv w:val="1"/>
      <w:marLeft w:val="0"/>
      <w:marRight w:val="0"/>
      <w:marTop w:val="0"/>
      <w:marBottom w:val="0"/>
      <w:divBdr>
        <w:top w:val="none" w:sz="0" w:space="0" w:color="auto"/>
        <w:left w:val="none" w:sz="0" w:space="0" w:color="auto"/>
        <w:bottom w:val="none" w:sz="0" w:space="0" w:color="auto"/>
        <w:right w:val="none" w:sz="0" w:space="0" w:color="auto"/>
      </w:divBdr>
    </w:div>
    <w:div w:id="1999380605">
      <w:bodyDiv w:val="1"/>
      <w:marLeft w:val="0"/>
      <w:marRight w:val="0"/>
      <w:marTop w:val="0"/>
      <w:marBottom w:val="0"/>
      <w:divBdr>
        <w:top w:val="none" w:sz="0" w:space="0" w:color="auto"/>
        <w:left w:val="none" w:sz="0" w:space="0" w:color="auto"/>
        <w:bottom w:val="none" w:sz="0" w:space="0" w:color="auto"/>
        <w:right w:val="none" w:sz="0" w:space="0" w:color="auto"/>
      </w:divBdr>
    </w:div>
    <w:div w:id="2044623829">
      <w:bodyDiv w:val="1"/>
      <w:marLeft w:val="0"/>
      <w:marRight w:val="0"/>
      <w:marTop w:val="0"/>
      <w:marBottom w:val="0"/>
      <w:divBdr>
        <w:top w:val="none" w:sz="0" w:space="0" w:color="auto"/>
        <w:left w:val="none" w:sz="0" w:space="0" w:color="auto"/>
        <w:bottom w:val="none" w:sz="0" w:space="0" w:color="auto"/>
        <w:right w:val="none" w:sz="0" w:space="0" w:color="auto"/>
      </w:divBdr>
      <w:divsChild>
        <w:div w:id="1309899367">
          <w:marLeft w:val="0"/>
          <w:marRight w:val="0"/>
          <w:marTop w:val="0"/>
          <w:marBottom w:val="0"/>
          <w:divBdr>
            <w:top w:val="none" w:sz="0" w:space="0" w:color="auto"/>
            <w:left w:val="none" w:sz="0" w:space="0" w:color="auto"/>
            <w:bottom w:val="none" w:sz="0" w:space="0" w:color="auto"/>
            <w:right w:val="none" w:sz="0" w:space="0" w:color="auto"/>
          </w:divBdr>
          <w:divsChild>
            <w:div w:id="168373760">
              <w:marLeft w:val="0"/>
              <w:marRight w:val="0"/>
              <w:marTop w:val="0"/>
              <w:marBottom w:val="0"/>
              <w:divBdr>
                <w:top w:val="single" w:sz="2" w:space="0" w:color="CCCCCC"/>
                <w:left w:val="single" w:sz="4" w:space="7" w:color="CCCCCC"/>
                <w:bottom w:val="single" w:sz="4" w:space="0" w:color="CCCCCC"/>
                <w:right w:val="single" w:sz="4" w:space="7" w:color="CCCCCC"/>
              </w:divBdr>
              <w:divsChild>
                <w:div w:id="416220661">
                  <w:marLeft w:val="0"/>
                  <w:marRight w:val="0"/>
                  <w:marTop w:val="0"/>
                  <w:marBottom w:val="0"/>
                  <w:divBdr>
                    <w:top w:val="none" w:sz="0" w:space="0" w:color="auto"/>
                    <w:left w:val="none" w:sz="0" w:space="0" w:color="auto"/>
                    <w:bottom w:val="none" w:sz="0" w:space="0" w:color="auto"/>
                    <w:right w:val="single" w:sz="4" w:space="0" w:color="CCCCCC"/>
                  </w:divBdr>
                </w:div>
              </w:divsChild>
            </w:div>
          </w:divsChild>
        </w:div>
      </w:divsChild>
    </w:div>
    <w:div w:id="2064674006">
      <w:bodyDiv w:val="1"/>
      <w:marLeft w:val="0"/>
      <w:marRight w:val="0"/>
      <w:marTop w:val="0"/>
      <w:marBottom w:val="0"/>
      <w:divBdr>
        <w:top w:val="none" w:sz="0" w:space="0" w:color="auto"/>
        <w:left w:val="none" w:sz="0" w:space="0" w:color="auto"/>
        <w:bottom w:val="none" w:sz="0" w:space="0" w:color="auto"/>
        <w:right w:val="none" w:sz="0" w:space="0" w:color="auto"/>
      </w:divBdr>
    </w:div>
    <w:div w:id="2104452078">
      <w:bodyDiv w:val="1"/>
      <w:marLeft w:val="0"/>
      <w:marRight w:val="0"/>
      <w:marTop w:val="0"/>
      <w:marBottom w:val="0"/>
      <w:divBdr>
        <w:top w:val="none" w:sz="0" w:space="0" w:color="auto"/>
        <w:left w:val="none" w:sz="0" w:space="0" w:color="auto"/>
        <w:bottom w:val="none" w:sz="0" w:space="0" w:color="auto"/>
        <w:right w:val="none" w:sz="0" w:space="0" w:color="auto"/>
      </w:divBdr>
    </w:div>
    <w:div w:id="2105227589">
      <w:bodyDiv w:val="1"/>
      <w:marLeft w:val="0"/>
      <w:marRight w:val="0"/>
      <w:marTop w:val="0"/>
      <w:marBottom w:val="0"/>
      <w:divBdr>
        <w:top w:val="none" w:sz="0" w:space="0" w:color="auto"/>
        <w:left w:val="none" w:sz="0" w:space="0" w:color="auto"/>
        <w:bottom w:val="none" w:sz="0" w:space="0" w:color="auto"/>
        <w:right w:val="none" w:sz="0" w:space="0" w:color="auto"/>
      </w:divBdr>
    </w:div>
    <w:div w:id="214508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header" Target="header4.xm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header" Target="header3.xml"/><Relationship Id="rId40" Type="http://schemas.openxmlformats.org/officeDocument/2006/relationships/header" Target="header5.xm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hyperlink" Target="http://www.tga.gov.au/hp/information-medicines-pi.htm"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header" Target="header7.xml"/><Relationship Id="rId48"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eviq.org.au/" TargetMode="External"/><Relationship Id="rId1" Type="http://schemas.openxmlformats.org/officeDocument/2006/relationships/hyperlink" Target="http://ctep.cancer.gov/"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5112\R12%20926607%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49DF9-7EDD-4B59-8100-05099D99F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template.DOTX</Template>
  <TotalTime>334</TotalTime>
  <Pages>78</Pages>
  <Words>29345</Words>
  <Characters>167267</Characters>
  <Application>Microsoft Office Word</Application>
  <DocSecurity>0</DocSecurity>
  <Lines>1393</Lines>
  <Paragraphs>392</Paragraphs>
  <ScaleCrop>false</ScaleCrop>
  <HeadingPairs>
    <vt:vector size="2" baseType="variant">
      <vt:variant>
        <vt:lpstr>Title</vt:lpstr>
      </vt:variant>
      <vt:variant>
        <vt:i4>1</vt:i4>
      </vt:variant>
    </vt:vector>
  </HeadingPairs>
  <TitlesOfParts>
    <vt:vector size="1" baseType="lpstr">
      <vt:lpstr>Australian public assessment report for vismodegib</vt:lpstr>
    </vt:vector>
  </TitlesOfParts>
  <Company>Department of Health and Ageing Therapeutic Goods Administration</Company>
  <LinksUpToDate>false</LinksUpToDate>
  <CharactersWithSpaces>196220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vismodegib</dc:title>
  <dc:subject>prescription medicine regulation</dc:subject>
  <dc:creator>Therapeutic Goods Administration</dc:creator>
  <cp:keywords>auspar, prescription, medicine, assessment, regulation, australia, vismodegib, erivedge, roche</cp:keywords>
  <cp:lastModifiedBy>Searson, Lisa</cp:lastModifiedBy>
  <cp:revision>12</cp:revision>
  <cp:lastPrinted>2010-12-20T22:59:00Z</cp:lastPrinted>
  <dcterms:created xsi:type="dcterms:W3CDTF">2013-09-11T04:38:00Z</dcterms:created>
  <dcterms:modified xsi:type="dcterms:W3CDTF">2013-10-21T03:29:00Z</dcterms:modified>
  <cp:category>External publication</cp:category>
</cp:coreProperties>
</file>