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38670AB" w14:textId="77777777" w:rsidTr="00BF1190">
        <w:trPr>
          <w:trHeight w:val="1863"/>
        </w:trPr>
        <w:tc>
          <w:tcPr>
            <w:tcW w:w="3652" w:type="dxa"/>
            <w:tcBorders>
              <w:top w:val="nil"/>
              <w:left w:val="nil"/>
              <w:bottom w:val="nil"/>
              <w:right w:val="nil"/>
            </w:tcBorders>
          </w:tcPr>
          <w:p w14:paraId="750DF53F" w14:textId="04F872D5" w:rsidR="008E7846" w:rsidRPr="00096AA7" w:rsidRDefault="006248A8" w:rsidP="00096AA7">
            <w:pPr>
              <w:rPr>
                <w:rFonts w:ascii="Arial" w:hAnsi="Arial" w:cs="Arial"/>
                <w:b/>
                <w:color w:val="002C47"/>
                <w:sz w:val="36"/>
                <w:szCs w:val="36"/>
              </w:rPr>
            </w:pPr>
            <w:r>
              <w:rPr>
                <w:rFonts w:ascii="Arial" w:hAnsi="Arial" w:cs="Arial"/>
                <w:b/>
                <w:color w:val="002C47"/>
                <w:sz w:val="36"/>
                <w:szCs w:val="36"/>
              </w:rPr>
              <w:t xml:space="preserve">9 </w:t>
            </w:r>
            <w:r w:rsidR="00271DB2">
              <w:rPr>
                <w:rFonts w:ascii="Arial" w:hAnsi="Arial" w:cs="Arial"/>
                <w:b/>
                <w:color w:val="002C47"/>
                <w:sz w:val="36"/>
                <w:szCs w:val="36"/>
              </w:rPr>
              <w:t xml:space="preserve">October </w:t>
            </w:r>
            <w:r w:rsidR="00424B9D">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F8E4002" w14:textId="77777777" w:rsidTr="0032583B">
        <w:trPr>
          <w:trHeight w:val="868"/>
        </w:trPr>
        <w:tc>
          <w:tcPr>
            <w:tcW w:w="9079" w:type="dxa"/>
          </w:tcPr>
          <w:p w14:paraId="479D107C" w14:textId="0871DFCC"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2602E7">
              <w:rPr>
                <w:color w:val="FFFFFF" w:themeColor="background1"/>
              </w:rPr>
              <w:t>V</w:t>
            </w:r>
            <w:r w:rsidR="002602E7" w:rsidRPr="002602E7">
              <w:rPr>
                <w:color w:val="FFFFFF" w:themeColor="background1"/>
              </w:rPr>
              <w:t>enetoclax</w:t>
            </w:r>
          </w:p>
        </w:tc>
      </w:tr>
      <w:tr w:rsidR="0032583B" w:rsidRPr="00B64760" w14:paraId="416EB88A" w14:textId="77777777" w:rsidTr="0032583B">
        <w:tc>
          <w:tcPr>
            <w:tcW w:w="9079" w:type="dxa"/>
          </w:tcPr>
          <w:p w14:paraId="3F3A7A32" w14:textId="3C868E84" w:rsidR="0032583B" w:rsidRPr="008E7846" w:rsidRDefault="0032583B" w:rsidP="00460036">
            <w:pPr>
              <w:pStyle w:val="Subtitle"/>
              <w:rPr>
                <w:color w:val="FFFFFF" w:themeColor="background1"/>
              </w:rPr>
            </w:pPr>
            <w:r w:rsidRPr="008E7846">
              <w:rPr>
                <w:color w:val="FFFFFF" w:themeColor="background1"/>
              </w:rPr>
              <w:t xml:space="preserve">Proprietary Product Name: </w:t>
            </w:r>
            <w:r w:rsidR="00424B9D">
              <w:rPr>
                <w:color w:val="FFFFFF" w:themeColor="background1"/>
              </w:rPr>
              <w:t>Venclexta</w:t>
            </w:r>
            <w:r w:rsidR="00D6412F">
              <w:rPr>
                <w:color w:val="FFFFFF" w:themeColor="background1"/>
              </w:rPr>
              <w:t>, Venclexta Starting Pack</w:t>
            </w:r>
          </w:p>
        </w:tc>
      </w:tr>
      <w:tr w:rsidR="0032583B" w:rsidRPr="00B64760" w14:paraId="56560372" w14:textId="77777777" w:rsidTr="0032583B">
        <w:trPr>
          <w:trHeight w:val="486"/>
        </w:trPr>
        <w:tc>
          <w:tcPr>
            <w:tcW w:w="9079" w:type="dxa"/>
          </w:tcPr>
          <w:p w14:paraId="4FAA60F2" w14:textId="11162E0E" w:rsidR="0032583B" w:rsidRPr="008E7846" w:rsidRDefault="00460036" w:rsidP="0032583B">
            <w:pPr>
              <w:pStyle w:val="Subtitle"/>
              <w:rPr>
                <w:color w:val="FFFFFF" w:themeColor="background1"/>
              </w:rPr>
            </w:pPr>
            <w:r>
              <w:rPr>
                <w:color w:val="FFFFFF" w:themeColor="background1"/>
              </w:rPr>
              <w:t>Sponsor</w:t>
            </w:r>
            <w:r w:rsidRPr="00D6412F">
              <w:rPr>
                <w:color w:val="FFFFFF" w:themeColor="background1"/>
              </w:rPr>
              <w:t xml:space="preserve">: </w:t>
            </w:r>
            <w:r w:rsidR="002602E7" w:rsidRPr="00CB5F25">
              <w:rPr>
                <w:rFonts w:eastAsiaTheme="minorHAnsi" w:cs="Cambria"/>
                <w:color w:val="FFFFFF" w:themeColor="background1"/>
              </w:rPr>
              <w:t>AbbVie Pty Ltd</w:t>
            </w:r>
          </w:p>
        </w:tc>
      </w:tr>
    </w:tbl>
    <w:p w14:paraId="3CCF1CF5" w14:textId="77777777" w:rsidR="008E7846" w:rsidRPr="0085156D" w:rsidRDefault="008E7846" w:rsidP="0085156D">
      <w:r w:rsidRPr="0085156D">
        <w:br w:type="page"/>
      </w:r>
    </w:p>
    <w:p w14:paraId="7096B619" w14:textId="77777777" w:rsidR="008E7846" w:rsidRPr="001F6CBA" w:rsidRDefault="008E7846" w:rsidP="008E7846">
      <w:pPr>
        <w:pStyle w:val="NonTOCHeading2"/>
      </w:pPr>
      <w:r w:rsidRPr="001F6CBA">
        <w:lastRenderedPageBreak/>
        <w:t>About the Therapeutic Goods Administration (TGA)</w:t>
      </w:r>
    </w:p>
    <w:p w14:paraId="60D4C7C7"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E01104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9DB7991"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3D3ABD6"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A73E366" w14:textId="72D6E4B9"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AE76B71" w14:textId="77777777" w:rsidR="008E7846" w:rsidRDefault="008E7846" w:rsidP="00875A6B">
      <w:pPr>
        <w:pStyle w:val="NonTOCHeading2"/>
      </w:pPr>
      <w:r>
        <w:t>About AusPARs</w:t>
      </w:r>
    </w:p>
    <w:p w14:paraId="3B11880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2A9CFE77" w14:textId="77777777" w:rsidR="008E7846" w:rsidRDefault="008E7846" w:rsidP="008E7846">
      <w:pPr>
        <w:pStyle w:val="ListBullet"/>
        <w:numPr>
          <w:ilvl w:val="0"/>
          <w:numId w:val="3"/>
        </w:numPr>
        <w:ind w:left="357" w:hanging="357"/>
      </w:pPr>
      <w:r>
        <w:t>AusPARs are prepared and published by the TGA.</w:t>
      </w:r>
    </w:p>
    <w:p w14:paraId="63DAE75B"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FEA7CE0"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1C59004"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332BFD8" w14:textId="77777777" w:rsidR="00924482" w:rsidRPr="00DF1D7F" w:rsidRDefault="00924482" w:rsidP="00F54B65">
      <w:pPr>
        <w:pStyle w:val="LegalSubheading"/>
        <w:spacing w:before="3120"/>
      </w:pPr>
      <w:r w:rsidRPr="00DF1D7F">
        <w:t>Copyright</w:t>
      </w:r>
    </w:p>
    <w:p w14:paraId="5CF6ABDE" w14:textId="39118A1D"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7E2C3AC9"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1D83ABE" w14:textId="77777777" w:rsidR="0089635C" w:rsidRPr="0089635C" w:rsidRDefault="0089635C" w:rsidP="0010788A">
          <w:pPr>
            <w:pStyle w:val="Contents"/>
          </w:pPr>
          <w:r w:rsidRPr="0010788A">
            <w:t>Contents</w:t>
          </w:r>
          <w:bookmarkStart w:id="2" w:name="_GoBack"/>
          <w:bookmarkEnd w:id="2"/>
        </w:p>
        <w:p w14:paraId="7042DA60" w14:textId="15F516DF" w:rsidR="008D1D5E"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4165844" w:history="1">
            <w:r w:rsidR="008D1D5E" w:rsidRPr="001B4C65">
              <w:rPr>
                <w:rStyle w:val="Hyperlink"/>
                <w:noProof/>
              </w:rPr>
              <w:t>Common abbreviations</w:t>
            </w:r>
            <w:r w:rsidR="008D1D5E">
              <w:rPr>
                <w:noProof/>
                <w:webHidden/>
              </w:rPr>
              <w:tab/>
            </w:r>
            <w:r w:rsidR="008D1D5E">
              <w:rPr>
                <w:noProof/>
                <w:webHidden/>
              </w:rPr>
              <w:fldChar w:fldCharType="begin"/>
            </w:r>
            <w:r w:rsidR="008D1D5E">
              <w:rPr>
                <w:noProof/>
                <w:webHidden/>
              </w:rPr>
              <w:instrText xml:space="preserve"> PAGEREF _Toc54165844 \h </w:instrText>
            </w:r>
            <w:r w:rsidR="008D1D5E">
              <w:rPr>
                <w:noProof/>
                <w:webHidden/>
              </w:rPr>
            </w:r>
            <w:r w:rsidR="008D1D5E">
              <w:rPr>
                <w:noProof/>
                <w:webHidden/>
              </w:rPr>
              <w:fldChar w:fldCharType="separate"/>
            </w:r>
            <w:r w:rsidR="008D1D5E">
              <w:rPr>
                <w:noProof/>
                <w:webHidden/>
              </w:rPr>
              <w:t>4</w:t>
            </w:r>
            <w:r w:rsidR="008D1D5E">
              <w:rPr>
                <w:noProof/>
                <w:webHidden/>
              </w:rPr>
              <w:fldChar w:fldCharType="end"/>
            </w:r>
          </w:hyperlink>
        </w:p>
        <w:p w14:paraId="4FC0815F" w14:textId="16683EA3" w:rsidR="008D1D5E" w:rsidRDefault="008D1D5E">
          <w:pPr>
            <w:pStyle w:val="TOC1"/>
            <w:rPr>
              <w:rFonts w:asciiTheme="minorHAnsi" w:eastAsiaTheme="minorEastAsia" w:hAnsiTheme="minorHAnsi" w:cstheme="minorBidi"/>
              <w:b w:val="0"/>
              <w:noProof/>
              <w:sz w:val="22"/>
              <w:lang w:eastAsia="en-AU"/>
            </w:rPr>
          </w:pPr>
          <w:hyperlink w:anchor="_Toc54165845" w:history="1">
            <w:r w:rsidRPr="001B4C65">
              <w:rPr>
                <w:rStyle w:val="Hyperlink"/>
                <w:noProof/>
              </w:rPr>
              <w:t>I. Introduction to product submission</w:t>
            </w:r>
            <w:r>
              <w:rPr>
                <w:noProof/>
                <w:webHidden/>
              </w:rPr>
              <w:tab/>
            </w:r>
            <w:r>
              <w:rPr>
                <w:noProof/>
                <w:webHidden/>
              </w:rPr>
              <w:fldChar w:fldCharType="begin"/>
            </w:r>
            <w:r>
              <w:rPr>
                <w:noProof/>
                <w:webHidden/>
              </w:rPr>
              <w:instrText xml:space="preserve"> PAGEREF _Toc54165845 \h </w:instrText>
            </w:r>
            <w:r>
              <w:rPr>
                <w:noProof/>
                <w:webHidden/>
              </w:rPr>
            </w:r>
            <w:r>
              <w:rPr>
                <w:noProof/>
                <w:webHidden/>
              </w:rPr>
              <w:fldChar w:fldCharType="separate"/>
            </w:r>
            <w:r>
              <w:rPr>
                <w:noProof/>
                <w:webHidden/>
              </w:rPr>
              <w:t>6</w:t>
            </w:r>
            <w:r>
              <w:rPr>
                <w:noProof/>
                <w:webHidden/>
              </w:rPr>
              <w:fldChar w:fldCharType="end"/>
            </w:r>
          </w:hyperlink>
        </w:p>
        <w:p w14:paraId="272FF3F4" w14:textId="0C5ECCB8" w:rsidR="008D1D5E" w:rsidRDefault="008D1D5E">
          <w:pPr>
            <w:pStyle w:val="TOC2"/>
            <w:rPr>
              <w:rFonts w:asciiTheme="minorHAnsi" w:eastAsiaTheme="minorEastAsia" w:hAnsiTheme="minorHAnsi" w:cstheme="minorBidi"/>
              <w:b w:val="0"/>
              <w:noProof/>
              <w:sz w:val="22"/>
              <w:lang w:eastAsia="en-AU"/>
            </w:rPr>
          </w:pPr>
          <w:hyperlink w:anchor="_Toc54165846" w:history="1">
            <w:r w:rsidRPr="001B4C65">
              <w:rPr>
                <w:rStyle w:val="Hyperlink"/>
                <w:noProof/>
                <w:lang w:eastAsia="en-AU"/>
              </w:rPr>
              <w:t>Submission details</w:t>
            </w:r>
            <w:r>
              <w:rPr>
                <w:noProof/>
                <w:webHidden/>
              </w:rPr>
              <w:tab/>
            </w:r>
            <w:r>
              <w:rPr>
                <w:noProof/>
                <w:webHidden/>
              </w:rPr>
              <w:fldChar w:fldCharType="begin"/>
            </w:r>
            <w:r>
              <w:rPr>
                <w:noProof/>
                <w:webHidden/>
              </w:rPr>
              <w:instrText xml:space="preserve"> PAGEREF _Toc54165846 \h </w:instrText>
            </w:r>
            <w:r>
              <w:rPr>
                <w:noProof/>
                <w:webHidden/>
              </w:rPr>
            </w:r>
            <w:r>
              <w:rPr>
                <w:noProof/>
                <w:webHidden/>
              </w:rPr>
              <w:fldChar w:fldCharType="separate"/>
            </w:r>
            <w:r>
              <w:rPr>
                <w:noProof/>
                <w:webHidden/>
              </w:rPr>
              <w:t>6</w:t>
            </w:r>
            <w:r>
              <w:rPr>
                <w:noProof/>
                <w:webHidden/>
              </w:rPr>
              <w:fldChar w:fldCharType="end"/>
            </w:r>
          </w:hyperlink>
        </w:p>
        <w:p w14:paraId="75AE9454" w14:textId="0AD7DE80" w:rsidR="008D1D5E" w:rsidRDefault="008D1D5E">
          <w:pPr>
            <w:pStyle w:val="TOC2"/>
            <w:rPr>
              <w:rFonts w:asciiTheme="minorHAnsi" w:eastAsiaTheme="minorEastAsia" w:hAnsiTheme="minorHAnsi" w:cstheme="minorBidi"/>
              <w:b w:val="0"/>
              <w:noProof/>
              <w:sz w:val="22"/>
              <w:lang w:eastAsia="en-AU"/>
            </w:rPr>
          </w:pPr>
          <w:hyperlink w:anchor="_Toc54165847" w:history="1">
            <w:r w:rsidRPr="001B4C65">
              <w:rPr>
                <w:rStyle w:val="Hyperlink"/>
                <w:noProof/>
              </w:rPr>
              <w:t>Product background</w:t>
            </w:r>
            <w:r>
              <w:rPr>
                <w:noProof/>
                <w:webHidden/>
              </w:rPr>
              <w:tab/>
            </w:r>
            <w:r>
              <w:rPr>
                <w:noProof/>
                <w:webHidden/>
              </w:rPr>
              <w:fldChar w:fldCharType="begin"/>
            </w:r>
            <w:r>
              <w:rPr>
                <w:noProof/>
                <w:webHidden/>
              </w:rPr>
              <w:instrText xml:space="preserve"> PAGEREF _Toc54165847 \h </w:instrText>
            </w:r>
            <w:r>
              <w:rPr>
                <w:noProof/>
                <w:webHidden/>
              </w:rPr>
            </w:r>
            <w:r>
              <w:rPr>
                <w:noProof/>
                <w:webHidden/>
              </w:rPr>
              <w:fldChar w:fldCharType="separate"/>
            </w:r>
            <w:r>
              <w:rPr>
                <w:noProof/>
                <w:webHidden/>
              </w:rPr>
              <w:t>7</w:t>
            </w:r>
            <w:r>
              <w:rPr>
                <w:noProof/>
                <w:webHidden/>
              </w:rPr>
              <w:fldChar w:fldCharType="end"/>
            </w:r>
          </w:hyperlink>
        </w:p>
        <w:p w14:paraId="457D5FAA" w14:textId="1886112C" w:rsidR="008D1D5E" w:rsidRDefault="008D1D5E">
          <w:pPr>
            <w:pStyle w:val="TOC2"/>
            <w:rPr>
              <w:rFonts w:asciiTheme="minorHAnsi" w:eastAsiaTheme="minorEastAsia" w:hAnsiTheme="minorHAnsi" w:cstheme="minorBidi"/>
              <w:b w:val="0"/>
              <w:noProof/>
              <w:sz w:val="22"/>
              <w:lang w:eastAsia="en-AU"/>
            </w:rPr>
          </w:pPr>
          <w:hyperlink w:anchor="_Toc54165848" w:history="1">
            <w:r w:rsidRPr="001B4C65">
              <w:rPr>
                <w:rStyle w:val="Hyperlink"/>
                <w:noProof/>
              </w:rPr>
              <w:t>Regulatory status</w:t>
            </w:r>
            <w:r>
              <w:rPr>
                <w:noProof/>
                <w:webHidden/>
              </w:rPr>
              <w:tab/>
            </w:r>
            <w:r>
              <w:rPr>
                <w:noProof/>
                <w:webHidden/>
              </w:rPr>
              <w:fldChar w:fldCharType="begin"/>
            </w:r>
            <w:r>
              <w:rPr>
                <w:noProof/>
                <w:webHidden/>
              </w:rPr>
              <w:instrText xml:space="preserve"> PAGEREF _Toc54165848 \h </w:instrText>
            </w:r>
            <w:r>
              <w:rPr>
                <w:noProof/>
                <w:webHidden/>
              </w:rPr>
            </w:r>
            <w:r>
              <w:rPr>
                <w:noProof/>
                <w:webHidden/>
              </w:rPr>
              <w:fldChar w:fldCharType="separate"/>
            </w:r>
            <w:r>
              <w:rPr>
                <w:noProof/>
                <w:webHidden/>
              </w:rPr>
              <w:t>8</w:t>
            </w:r>
            <w:r>
              <w:rPr>
                <w:noProof/>
                <w:webHidden/>
              </w:rPr>
              <w:fldChar w:fldCharType="end"/>
            </w:r>
          </w:hyperlink>
        </w:p>
        <w:p w14:paraId="75CBCE0D" w14:textId="35C85320" w:rsidR="008D1D5E" w:rsidRDefault="008D1D5E">
          <w:pPr>
            <w:pStyle w:val="TOC2"/>
            <w:rPr>
              <w:rFonts w:asciiTheme="minorHAnsi" w:eastAsiaTheme="minorEastAsia" w:hAnsiTheme="minorHAnsi" w:cstheme="minorBidi"/>
              <w:b w:val="0"/>
              <w:noProof/>
              <w:sz w:val="22"/>
              <w:lang w:eastAsia="en-AU"/>
            </w:rPr>
          </w:pPr>
          <w:hyperlink w:anchor="_Toc54165849" w:history="1">
            <w:r w:rsidRPr="001B4C65">
              <w:rPr>
                <w:rStyle w:val="Hyperlink"/>
                <w:noProof/>
              </w:rPr>
              <w:t>Product Information</w:t>
            </w:r>
            <w:r>
              <w:rPr>
                <w:noProof/>
                <w:webHidden/>
              </w:rPr>
              <w:tab/>
            </w:r>
            <w:r>
              <w:rPr>
                <w:noProof/>
                <w:webHidden/>
              </w:rPr>
              <w:fldChar w:fldCharType="begin"/>
            </w:r>
            <w:r>
              <w:rPr>
                <w:noProof/>
                <w:webHidden/>
              </w:rPr>
              <w:instrText xml:space="preserve"> PAGEREF _Toc54165849 \h </w:instrText>
            </w:r>
            <w:r>
              <w:rPr>
                <w:noProof/>
                <w:webHidden/>
              </w:rPr>
            </w:r>
            <w:r>
              <w:rPr>
                <w:noProof/>
                <w:webHidden/>
              </w:rPr>
              <w:fldChar w:fldCharType="separate"/>
            </w:r>
            <w:r>
              <w:rPr>
                <w:noProof/>
                <w:webHidden/>
              </w:rPr>
              <w:t>10</w:t>
            </w:r>
            <w:r>
              <w:rPr>
                <w:noProof/>
                <w:webHidden/>
              </w:rPr>
              <w:fldChar w:fldCharType="end"/>
            </w:r>
          </w:hyperlink>
        </w:p>
        <w:p w14:paraId="26ACCC00" w14:textId="5D19FB75" w:rsidR="008D1D5E" w:rsidRDefault="008D1D5E">
          <w:pPr>
            <w:pStyle w:val="TOC1"/>
            <w:rPr>
              <w:rFonts w:asciiTheme="minorHAnsi" w:eastAsiaTheme="minorEastAsia" w:hAnsiTheme="minorHAnsi" w:cstheme="minorBidi"/>
              <w:b w:val="0"/>
              <w:noProof/>
              <w:sz w:val="22"/>
              <w:lang w:eastAsia="en-AU"/>
            </w:rPr>
          </w:pPr>
          <w:hyperlink w:anchor="_Toc54165850" w:history="1">
            <w:r w:rsidRPr="001B4C65">
              <w:rPr>
                <w:rStyle w:val="Hyperlink"/>
                <w:noProof/>
              </w:rPr>
              <w:t>II. Registration timeline</w:t>
            </w:r>
            <w:r>
              <w:rPr>
                <w:noProof/>
                <w:webHidden/>
              </w:rPr>
              <w:tab/>
            </w:r>
            <w:r>
              <w:rPr>
                <w:noProof/>
                <w:webHidden/>
              </w:rPr>
              <w:fldChar w:fldCharType="begin"/>
            </w:r>
            <w:r>
              <w:rPr>
                <w:noProof/>
                <w:webHidden/>
              </w:rPr>
              <w:instrText xml:space="preserve"> PAGEREF _Toc54165850 \h </w:instrText>
            </w:r>
            <w:r>
              <w:rPr>
                <w:noProof/>
                <w:webHidden/>
              </w:rPr>
            </w:r>
            <w:r>
              <w:rPr>
                <w:noProof/>
                <w:webHidden/>
              </w:rPr>
              <w:fldChar w:fldCharType="separate"/>
            </w:r>
            <w:r>
              <w:rPr>
                <w:noProof/>
                <w:webHidden/>
              </w:rPr>
              <w:t>10</w:t>
            </w:r>
            <w:r>
              <w:rPr>
                <w:noProof/>
                <w:webHidden/>
              </w:rPr>
              <w:fldChar w:fldCharType="end"/>
            </w:r>
          </w:hyperlink>
        </w:p>
        <w:p w14:paraId="4E1AD877" w14:textId="220B4A61" w:rsidR="008D1D5E" w:rsidRDefault="008D1D5E">
          <w:pPr>
            <w:pStyle w:val="TOC1"/>
            <w:rPr>
              <w:rFonts w:asciiTheme="minorHAnsi" w:eastAsiaTheme="minorEastAsia" w:hAnsiTheme="minorHAnsi" w:cstheme="minorBidi"/>
              <w:b w:val="0"/>
              <w:noProof/>
              <w:sz w:val="22"/>
              <w:lang w:eastAsia="en-AU"/>
            </w:rPr>
          </w:pPr>
          <w:hyperlink w:anchor="_Toc54165851" w:history="1">
            <w:r w:rsidRPr="001B4C65">
              <w:rPr>
                <w:rStyle w:val="Hyperlink"/>
                <w:noProof/>
              </w:rPr>
              <w:t>III. Submission overview and risk/benefit assessment</w:t>
            </w:r>
            <w:r>
              <w:rPr>
                <w:noProof/>
                <w:webHidden/>
              </w:rPr>
              <w:tab/>
            </w:r>
            <w:r>
              <w:rPr>
                <w:noProof/>
                <w:webHidden/>
              </w:rPr>
              <w:fldChar w:fldCharType="begin"/>
            </w:r>
            <w:r>
              <w:rPr>
                <w:noProof/>
                <w:webHidden/>
              </w:rPr>
              <w:instrText xml:space="preserve"> PAGEREF _Toc54165851 \h </w:instrText>
            </w:r>
            <w:r>
              <w:rPr>
                <w:noProof/>
                <w:webHidden/>
              </w:rPr>
            </w:r>
            <w:r>
              <w:rPr>
                <w:noProof/>
                <w:webHidden/>
              </w:rPr>
              <w:fldChar w:fldCharType="separate"/>
            </w:r>
            <w:r>
              <w:rPr>
                <w:noProof/>
                <w:webHidden/>
              </w:rPr>
              <w:t>10</w:t>
            </w:r>
            <w:r>
              <w:rPr>
                <w:noProof/>
                <w:webHidden/>
              </w:rPr>
              <w:fldChar w:fldCharType="end"/>
            </w:r>
          </w:hyperlink>
        </w:p>
        <w:p w14:paraId="76EF3D78" w14:textId="714F96E6" w:rsidR="008D1D5E" w:rsidRDefault="008D1D5E">
          <w:pPr>
            <w:pStyle w:val="TOC2"/>
            <w:rPr>
              <w:rFonts w:asciiTheme="minorHAnsi" w:eastAsiaTheme="minorEastAsia" w:hAnsiTheme="minorHAnsi" w:cstheme="minorBidi"/>
              <w:b w:val="0"/>
              <w:noProof/>
              <w:sz w:val="22"/>
              <w:lang w:eastAsia="en-AU"/>
            </w:rPr>
          </w:pPr>
          <w:hyperlink w:anchor="_Toc54165852" w:history="1">
            <w:r w:rsidRPr="001B4C65">
              <w:rPr>
                <w:rStyle w:val="Hyperlink"/>
                <w:noProof/>
              </w:rPr>
              <w:t>Quality</w:t>
            </w:r>
            <w:r>
              <w:rPr>
                <w:noProof/>
                <w:webHidden/>
              </w:rPr>
              <w:tab/>
            </w:r>
            <w:r>
              <w:rPr>
                <w:noProof/>
                <w:webHidden/>
              </w:rPr>
              <w:fldChar w:fldCharType="begin"/>
            </w:r>
            <w:r>
              <w:rPr>
                <w:noProof/>
                <w:webHidden/>
              </w:rPr>
              <w:instrText xml:space="preserve"> PAGEREF _Toc54165852 \h </w:instrText>
            </w:r>
            <w:r>
              <w:rPr>
                <w:noProof/>
                <w:webHidden/>
              </w:rPr>
            </w:r>
            <w:r>
              <w:rPr>
                <w:noProof/>
                <w:webHidden/>
              </w:rPr>
              <w:fldChar w:fldCharType="separate"/>
            </w:r>
            <w:r>
              <w:rPr>
                <w:noProof/>
                <w:webHidden/>
              </w:rPr>
              <w:t>10</w:t>
            </w:r>
            <w:r>
              <w:rPr>
                <w:noProof/>
                <w:webHidden/>
              </w:rPr>
              <w:fldChar w:fldCharType="end"/>
            </w:r>
          </w:hyperlink>
        </w:p>
        <w:p w14:paraId="5316288B" w14:textId="51066838" w:rsidR="008D1D5E" w:rsidRDefault="008D1D5E">
          <w:pPr>
            <w:pStyle w:val="TOC2"/>
            <w:rPr>
              <w:rFonts w:asciiTheme="minorHAnsi" w:eastAsiaTheme="minorEastAsia" w:hAnsiTheme="minorHAnsi" w:cstheme="minorBidi"/>
              <w:b w:val="0"/>
              <w:noProof/>
              <w:sz w:val="22"/>
              <w:lang w:eastAsia="en-AU"/>
            </w:rPr>
          </w:pPr>
          <w:hyperlink w:anchor="_Toc54165853" w:history="1">
            <w:r w:rsidRPr="001B4C65">
              <w:rPr>
                <w:rStyle w:val="Hyperlink"/>
                <w:noProof/>
              </w:rPr>
              <w:t>Nonclinical</w:t>
            </w:r>
            <w:r>
              <w:rPr>
                <w:noProof/>
                <w:webHidden/>
              </w:rPr>
              <w:tab/>
            </w:r>
            <w:r>
              <w:rPr>
                <w:noProof/>
                <w:webHidden/>
              </w:rPr>
              <w:fldChar w:fldCharType="begin"/>
            </w:r>
            <w:r>
              <w:rPr>
                <w:noProof/>
                <w:webHidden/>
              </w:rPr>
              <w:instrText xml:space="preserve"> PAGEREF _Toc54165853 \h </w:instrText>
            </w:r>
            <w:r>
              <w:rPr>
                <w:noProof/>
                <w:webHidden/>
              </w:rPr>
            </w:r>
            <w:r>
              <w:rPr>
                <w:noProof/>
                <w:webHidden/>
              </w:rPr>
              <w:fldChar w:fldCharType="separate"/>
            </w:r>
            <w:r>
              <w:rPr>
                <w:noProof/>
                <w:webHidden/>
              </w:rPr>
              <w:t>11</w:t>
            </w:r>
            <w:r>
              <w:rPr>
                <w:noProof/>
                <w:webHidden/>
              </w:rPr>
              <w:fldChar w:fldCharType="end"/>
            </w:r>
          </w:hyperlink>
        </w:p>
        <w:p w14:paraId="141E3165" w14:textId="6B8DDE85" w:rsidR="008D1D5E" w:rsidRDefault="008D1D5E">
          <w:pPr>
            <w:pStyle w:val="TOC2"/>
            <w:rPr>
              <w:rFonts w:asciiTheme="minorHAnsi" w:eastAsiaTheme="minorEastAsia" w:hAnsiTheme="minorHAnsi" w:cstheme="minorBidi"/>
              <w:b w:val="0"/>
              <w:noProof/>
              <w:sz w:val="22"/>
              <w:lang w:eastAsia="en-AU"/>
            </w:rPr>
          </w:pPr>
          <w:hyperlink w:anchor="_Toc54165854" w:history="1">
            <w:r w:rsidRPr="001B4C65">
              <w:rPr>
                <w:rStyle w:val="Hyperlink"/>
                <w:noProof/>
              </w:rPr>
              <w:t>Clinical</w:t>
            </w:r>
            <w:r>
              <w:rPr>
                <w:noProof/>
                <w:webHidden/>
              </w:rPr>
              <w:tab/>
            </w:r>
            <w:r>
              <w:rPr>
                <w:noProof/>
                <w:webHidden/>
              </w:rPr>
              <w:fldChar w:fldCharType="begin"/>
            </w:r>
            <w:r>
              <w:rPr>
                <w:noProof/>
                <w:webHidden/>
              </w:rPr>
              <w:instrText xml:space="preserve"> PAGEREF _Toc54165854 \h </w:instrText>
            </w:r>
            <w:r>
              <w:rPr>
                <w:noProof/>
                <w:webHidden/>
              </w:rPr>
            </w:r>
            <w:r>
              <w:rPr>
                <w:noProof/>
                <w:webHidden/>
              </w:rPr>
              <w:fldChar w:fldCharType="separate"/>
            </w:r>
            <w:r>
              <w:rPr>
                <w:noProof/>
                <w:webHidden/>
              </w:rPr>
              <w:t>11</w:t>
            </w:r>
            <w:r>
              <w:rPr>
                <w:noProof/>
                <w:webHidden/>
              </w:rPr>
              <w:fldChar w:fldCharType="end"/>
            </w:r>
          </w:hyperlink>
        </w:p>
        <w:p w14:paraId="65599B73" w14:textId="40FD264D" w:rsidR="008D1D5E" w:rsidRDefault="008D1D5E">
          <w:pPr>
            <w:pStyle w:val="TOC2"/>
            <w:rPr>
              <w:rFonts w:asciiTheme="minorHAnsi" w:eastAsiaTheme="minorEastAsia" w:hAnsiTheme="minorHAnsi" w:cstheme="minorBidi"/>
              <w:b w:val="0"/>
              <w:noProof/>
              <w:sz w:val="22"/>
              <w:lang w:eastAsia="en-AU"/>
            </w:rPr>
          </w:pPr>
          <w:hyperlink w:anchor="_Toc54165855" w:history="1">
            <w:r w:rsidRPr="001B4C65">
              <w:rPr>
                <w:rStyle w:val="Hyperlink"/>
                <w:noProof/>
                <w:lang w:eastAsia="en-AU"/>
              </w:rPr>
              <w:t>Risk management plan</w:t>
            </w:r>
            <w:r>
              <w:rPr>
                <w:noProof/>
                <w:webHidden/>
              </w:rPr>
              <w:tab/>
            </w:r>
            <w:r>
              <w:rPr>
                <w:noProof/>
                <w:webHidden/>
              </w:rPr>
              <w:fldChar w:fldCharType="begin"/>
            </w:r>
            <w:r>
              <w:rPr>
                <w:noProof/>
                <w:webHidden/>
              </w:rPr>
              <w:instrText xml:space="preserve"> PAGEREF _Toc54165855 \h </w:instrText>
            </w:r>
            <w:r>
              <w:rPr>
                <w:noProof/>
                <w:webHidden/>
              </w:rPr>
            </w:r>
            <w:r>
              <w:rPr>
                <w:noProof/>
                <w:webHidden/>
              </w:rPr>
              <w:fldChar w:fldCharType="separate"/>
            </w:r>
            <w:r>
              <w:rPr>
                <w:noProof/>
                <w:webHidden/>
              </w:rPr>
              <w:t>19</w:t>
            </w:r>
            <w:r>
              <w:rPr>
                <w:noProof/>
                <w:webHidden/>
              </w:rPr>
              <w:fldChar w:fldCharType="end"/>
            </w:r>
          </w:hyperlink>
        </w:p>
        <w:p w14:paraId="39AD679D" w14:textId="4C08336F" w:rsidR="008D1D5E" w:rsidRDefault="008D1D5E">
          <w:pPr>
            <w:pStyle w:val="TOC2"/>
            <w:rPr>
              <w:rFonts w:asciiTheme="minorHAnsi" w:eastAsiaTheme="minorEastAsia" w:hAnsiTheme="minorHAnsi" w:cstheme="minorBidi"/>
              <w:b w:val="0"/>
              <w:noProof/>
              <w:sz w:val="22"/>
              <w:lang w:eastAsia="en-AU"/>
            </w:rPr>
          </w:pPr>
          <w:hyperlink w:anchor="_Toc54165856" w:history="1">
            <w:r w:rsidRPr="001B4C65">
              <w:rPr>
                <w:rStyle w:val="Hyperlink"/>
                <w:noProof/>
              </w:rPr>
              <w:t>Risk-benefit analysis</w:t>
            </w:r>
            <w:r>
              <w:rPr>
                <w:noProof/>
                <w:webHidden/>
              </w:rPr>
              <w:tab/>
            </w:r>
            <w:r>
              <w:rPr>
                <w:noProof/>
                <w:webHidden/>
              </w:rPr>
              <w:fldChar w:fldCharType="begin"/>
            </w:r>
            <w:r>
              <w:rPr>
                <w:noProof/>
                <w:webHidden/>
              </w:rPr>
              <w:instrText xml:space="preserve"> PAGEREF _Toc54165856 \h </w:instrText>
            </w:r>
            <w:r>
              <w:rPr>
                <w:noProof/>
                <w:webHidden/>
              </w:rPr>
            </w:r>
            <w:r>
              <w:rPr>
                <w:noProof/>
                <w:webHidden/>
              </w:rPr>
              <w:fldChar w:fldCharType="separate"/>
            </w:r>
            <w:r>
              <w:rPr>
                <w:noProof/>
                <w:webHidden/>
              </w:rPr>
              <w:t>19</w:t>
            </w:r>
            <w:r>
              <w:rPr>
                <w:noProof/>
                <w:webHidden/>
              </w:rPr>
              <w:fldChar w:fldCharType="end"/>
            </w:r>
          </w:hyperlink>
        </w:p>
        <w:p w14:paraId="4C6CCDE6" w14:textId="02F9BA7B" w:rsidR="008D1D5E" w:rsidRDefault="008D1D5E">
          <w:pPr>
            <w:pStyle w:val="TOC2"/>
            <w:rPr>
              <w:rFonts w:asciiTheme="minorHAnsi" w:eastAsiaTheme="minorEastAsia" w:hAnsiTheme="minorHAnsi" w:cstheme="minorBidi"/>
              <w:b w:val="0"/>
              <w:noProof/>
              <w:sz w:val="22"/>
              <w:lang w:eastAsia="en-AU"/>
            </w:rPr>
          </w:pPr>
          <w:hyperlink w:anchor="_Toc54165857" w:history="1">
            <w:r w:rsidRPr="001B4C65">
              <w:rPr>
                <w:rStyle w:val="Hyperlink"/>
                <w:noProof/>
              </w:rPr>
              <w:t>Outcome</w:t>
            </w:r>
            <w:r>
              <w:rPr>
                <w:noProof/>
                <w:webHidden/>
              </w:rPr>
              <w:tab/>
            </w:r>
            <w:r>
              <w:rPr>
                <w:noProof/>
                <w:webHidden/>
              </w:rPr>
              <w:fldChar w:fldCharType="begin"/>
            </w:r>
            <w:r>
              <w:rPr>
                <w:noProof/>
                <w:webHidden/>
              </w:rPr>
              <w:instrText xml:space="preserve"> PAGEREF _Toc54165857 \h </w:instrText>
            </w:r>
            <w:r>
              <w:rPr>
                <w:noProof/>
                <w:webHidden/>
              </w:rPr>
            </w:r>
            <w:r>
              <w:rPr>
                <w:noProof/>
                <w:webHidden/>
              </w:rPr>
              <w:fldChar w:fldCharType="separate"/>
            </w:r>
            <w:r>
              <w:rPr>
                <w:noProof/>
                <w:webHidden/>
              </w:rPr>
              <w:t>21</w:t>
            </w:r>
            <w:r>
              <w:rPr>
                <w:noProof/>
                <w:webHidden/>
              </w:rPr>
              <w:fldChar w:fldCharType="end"/>
            </w:r>
          </w:hyperlink>
        </w:p>
        <w:p w14:paraId="0523BE8F" w14:textId="179382DF" w:rsidR="008D1D5E" w:rsidRDefault="008D1D5E">
          <w:pPr>
            <w:pStyle w:val="TOC1"/>
            <w:rPr>
              <w:rFonts w:asciiTheme="minorHAnsi" w:eastAsiaTheme="minorEastAsia" w:hAnsiTheme="minorHAnsi" w:cstheme="minorBidi"/>
              <w:b w:val="0"/>
              <w:noProof/>
              <w:sz w:val="22"/>
              <w:lang w:eastAsia="en-AU"/>
            </w:rPr>
          </w:pPr>
          <w:hyperlink w:anchor="_Toc54165858" w:history="1">
            <w:r w:rsidRPr="001B4C65">
              <w:rPr>
                <w:rStyle w:val="Hyperlink"/>
                <w:noProof/>
              </w:rPr>
              <w:t>Attachment 1. Product Information</w:t>
            </w:r>
            <w:r>
              <w:rPr>
                <w:noProof/>
                <w:webHidden/>
              </w:rPr>
              <w:tab/>
            </w:r>
            <w:r>
              <w:rPr>
                <w:noProof/>
                <w:webHidden/>
              </w:rPr>
              <w:fldChar w:fldCharType="begin"/>
            </w:r>
            <w:r>
              <w:rPr>
                <w:noProof/>
                <w:webHidden/>
              </w:rPr>
              <w:instrText xml:space="preserve"> PAGEREF _Toc54165858 \h </w:instrText>
            </w:r>
            <w:r>
              <w:rPr>
                <w:noProof/>
                <w:webHidden/>
              </w:rPr>
            </w:r>
            <w:r>
              <w:rPr>
                <w:noProof/>
                <w:webHidden/>
              </w:rPr>
              <w:fldChar w:fldCharType="separate"/>
            </w:r>
            <w:r>
              <w:rPr>
                <w:noProof/>
                <w:webHidden/>
              </w:rPr>
              <w:t>22</w:t>
            </w:r>
            <w:r>
              <w:rPr>
                <w:noProof/>
                <w:webHidden/>
              </w:rPr>
              <w:fldChar w:fldCharType="end"/>
            </w:r>
          </w:hyperlink>
        </w:p>
        <w:p w14:paraId="750F3B4A" w14:textId="3B34B64F" w:rsidR="003A7F6C" w:rsidRPr="00B811C6" w:rsidRDefault="00C525A2" w:rsidP="00B811C6">
          <w:pPr>
            <w:pStyle w:val="TOC2"/>
          </w:pPr>
          <w:r>
            <w:fldChar w:fldCharType="end"/>
          </w:r>
        </w:p>
      </w:sdtContent>
    </w:sdt>
    <w:bookmarkStart w:id="3" w:name="_Toc314842482" w:displacedByCustomXml="prev"/>
    <w:p w14:paraId="64628E7A" w14:textId="77777777" w:rsidR="00FD119B" w:rsidRDefault="00FD119B">
      <w:pPr>
        <w:spacing w:before="0" w:after="200" w:line="0" w:lineRule="auto"/>
      </w:pPr>
      <w:r>
        <w:br w:type="page"/>
      </w:r>
    </w:p>
    <w:p w14:paraId="1B6945C6" w14:textId="7185C8BC" w:rsidR="00424B9D" w:rsidRPr="00C52E24" w:rsidRDefault="002F2938" w:rsidP="00CB5F25">
      <w:pPr>
        <w:pStyle w:val="Heading2"/>
      </w:pPr>
      <w:bookmarkStart w:id="4" w:name="_Toc54165844"/>
      <w:bookmarkEnd w:id="3"/>
      <w:bookmarkEnd w:id="1"/>
      <w:bookmarkEnd w:id="0"/>
      <w:r>
        <w:lastRenderedPageBreak/>
        <w:t>Common abbreviations</w:t>
      </w:r>
      <w:bookmarkEnd w:id="4"/>
    </w:p>
    <w:tbl>
      <w:tblPr>
        <w:tblStyle w:val="TableTGAblue"/>
        <w:tblW w:w="0" w:type="auto"/>
        <w:tblLook w:val="04A0" w:firstRow="1" w:lastRow="0" w:firstColumn="1" w:lastColumn="0" w:noHBand="0" w:noVBand="1"/>
      </w:tblPr>
      <w:tblGrid>
        <w:gridCol w:w="1798"/>
        <w:gridCol w:w="6696"/>
      </w:tblGrid>
      <w:tr w:rsidR="00424B9D" w:rsidRPr="00FD119B" w14:paraId="135C5C44" w14:textId="77777777" w:rsidTr="002602E7">
        <w:trPr>
          <w:cnfStyle w:val="100000000000" w:firstRow="1" w:lastRow="0" w:firstColumn="0" w:lastColumn="0" w:oddVBand="0" w:evenVBand="0" w:oddHBand="0" w:evenHBand="0" w:firstRowFirstColumn="0" w:firstRowLastColumn="0" w:lastRowFirstColumn="0" w:lastRowLastColumn="0"/>
        </w:trPr>
        <w:tc>
          <w:tcPr>
            <w:tcW w:w="1798" w:type="dxa"/>
            <w:tcBorders>
              <w:top w:val="single" w:sz="4" w:space="0" w:color="auto"/>
              <w:left w:val="single" w:sz="4" w:space="0" w:color="auto"/>
              <w:bottom w:val="single" w:sz="4" w:space="0" w:color="auto"/>
              <w:right w:val="single" w:sz="4" w:space="0" w:color="auto"/>
            </w:tcBorders>
          </w:tcPr>
          <w:p w14:paraId="30A68AA2" w14:textId="77777777" w:rsidR="00424B9D" w:rsidRPr="00FD119B" w:rsidRDefault="00424B9D" w:rsidP="002602E7">
            <w:pPr>
              <w:keepNext w:val="0"/>
              <w:ind w:left="0" w:right="0"/>
              <w:rPr>
                <w:szCs w:val="22"/>
                <w:lang w:eastAsia="en-US"/>
              </w:rPr>
            </w:pPr>
            <w:r w:rsidRPr="00FD119B">
              <w:rPr>
                <w:szCs w:val="22"/>
                <w:lang w:eastAsia="en-US"/>
              </w:rPr>
              <w:t>Abbreviation</w:t>
            </w:r>
          </w:p>
        </w:tc>
        <w:tc>
          <w:tcPr>
            <w:tcW w:w="6696" w:type="dxa"/>
            <w:tcBorders>
              <w:top w:val="single" w:sz="4" w:space="0" w:color="auto"/>
              <w:left w:val="single" w:sz="4" w:space="0" w:color="auto"/>
              <w:bottom w:val="single" w:sz="4" w:space="0" w:color="auto"/>
              <w:right w:val="single" w:sz="4" w:space="0" w:color="auto"/>
            </w:tcBorders>
          </w:tcPr>
          <w:p w14:paraId="00212A31" w14:textId="77777777" w:rsidR="00424B9D" w:rsidRPr="00FD119B" w:rsidRDefault="00424B9D" w:rsidP="002602E7">
            <w:pPr>
              <w:keepNext w:val="0"/>
              <w:ind w:left="0" w:right="0"/>
              <w:rPr>
                <w:szCs w:val="22"/>
                <w:lang w:eastAsia="en-US"/>
              </w:rPr>
            </w:pPr>
            <w:r w:rsidRPr="00FD119B">
              <w:rPr>
                <w:szCs w:val="22"/>
                <w:lang w:eastAsia="en-US"/>
              </w:rPr>
              <w:t>Meaning</w:t>
            </w:r>
          </w:p>
        </w:tc>
      </w:tr>
      <w:tr w:rsidR="00424B9D" w:rsidRPr="00FD119B" w14:paraId="6EA50DC2" w14:textId="77777777" w:rsidTr="002602E7">
        <w:tc>
          <w:tcPr>
            <w:tcW w:w="1798" w:type="dxa"/>
            <w:tcBorders>
              <w:top w:val="single" w:sz="4" w:space="0" w:color="auto"/>
            </w:tcBorders>
          </w:tcPr>
          <w:p w14:paraId="594C549A" w14:textId="77777777" w:rsidR="00424B9D" w:rsidRPr="00FD119B" w:rsidRDefault="00424B9D" w:rsidP="002602E7">
            <w:pPr>
              <w:ind w:left="0" w:right="0"/>
            </w:pPr>
            <w:r>
              <w:t>ACM</w:t>
            </w:r>
          </w:p>
        </w:tc>
        <w:tc>
          <w:tcPr>
            <w:tcW w:w="6696" w:type="dxa"/>
            <w:tcBorders>
              <w:top w:val="single" w:sz="4" w:space="0" w:color="auto"/>
            </w:tcBorders>
          </w:tcPr>
          <w:p w14:paraId="60566D1E" w14:textId="77777777" w:rsidR="00424B9D" w:rsidRPr="00FD119B" w:rsidRDefault="00424B9D" w:rsidP="002602E7">
            <w:pPr>
              <w:ind w:left="0" w:right="0"/>
            </w:pPr>
            <w:r w:rsidRPr="00460036">
              <w:t>Advisory Committee on Medicines</w:t>
            </w:r>
          </w:p>
        </w:tc>
      </w:tr>
      <w:tr w:rsidR="007708A7" w:rsidRPr="00FD119B" w14:paraId="34DB57C5" w14:textId="77777777" w:rsidTr="002602E7">
        <w:tc>
          <w:tcPr>
            <w:tcW w:w="1798" w:type="dxa"/>
            <w:tcBorders>
              <w:top w:val="single" w:sz="4" w:space="0" w:color="auto"/>
            </w:tcBorders>
          </w:tcPr>
          <w:p w14:paraId="43A01FDB" w14:textId="2B767B70" w:rsidR="007708A7" w:rsidRDefault="007708A7" w:rsidP="00CB5F25">
            <w:pPr>
              <w:ind w:left="0"/>
            </w:pPr>
            <w:r>
              <w:t>AE</w:t>
            </w:r>
          </w:p>
        </w:tc>
        <w:tc>
          <w:tcPr>
            <w:tcW w:w="6696" w:type="dxa"/>
            <w:tcBorders>
              <w:top w:val="single" w:sz="4" w:space="0" w:color="auto"/>
            </w:tcBorders>
          </w:tcPr>
          <w:p w14:paraId="70F2FCDB" w14:textId="55ABEEEE" w:rsidR="007708A7" w:rsidRPr="00460036" w:rsidRDefault="007708A7" w:rsidP="00CB5F25">
            <w:pPr>
              <w:ind w:left="0"/>
            </w:pPr>
            <w:r>
              <w:t>Adverse event</w:t>
            </w:r>
          </w:p>
        </w:tc>
      </w:tr>
      <w:tr w:rsidR="00424B9D" w:rsidRPr="00FD119B" w14:paraId="4885C820" w14:textId="77777777" w:rsidTr="002602E7">
        <w:tc>
          <w:tcPr>
            <w:tcW w:w="1798" w:type="dxa"/>
          </w:tcPr>
          <w:p w14:paraId="4D0DC0F7" w14:textId="77777777" w:rsidR="00424B9D" w:rsidRPr="00FD119B" w:rsidRDefault="00424B9D" w:rsidP="002602E7">
            <w:pPr>
              <w:ind w:left="0" w:right="0"/>
            </w:pPr>
            <w:r>
              <w:t>AML</w:t>
            </w:r>
          </w:p>
        </w:tc>
        <w:tc>
          <w:tcPr>
            <w:tcW w:w="6696" w:type="dxa"/>
          </w:tcPr>
          <w:p w14:paraId="23B09661" w14:textId="077D7161" w:rsidR="00424B9D" w:rsidRPr="00FD119B" w:rsidRDefault="00424B9D" w:rsidP="002602E7">
            <w:pPr>
              <w:ind w:left="0" w:right="0"/>
            </w:pPr>
            <w:r>
              <w:t xml:space="preserve">Acute myeloid </w:t>
            </w:r>
            <w:r>
              <w:rPr>
                <w:rFonts w:asciiTheme="minorHAnsi" w:hAnsiTheme="minorHAnsi"/>
              </w:rPr>
              <w:t>l</w:t>
            </w:r>
            <w:r w:rsidRPr="007F4DBA">
              <w:rPr>
                <w:rFonts w:asciiTheme="minorHAnsi" w:hAnsiTheme="minorHAnsi"/>
              </w:rPr>
              <w:t>eukaemia</w:t>
            </w:r>
          </w:p>
        </w:tc>
      </w:tr>
      <w:tr w:rsidR="00424B9D" w:rsidRPr="00FD119B" w14:paraId="01D9ED79" w14:textId="77777777" w:rsidTr="002602E7">
        <w:tc>
          <w:tcPr>
            <w:tcW w:w="1798" w:type="dxa"/>
          </w:tcPr>
          <w:p w14:paraId="4F5B5901" w14:textId="77777777" w:rsidR="00424B9D" w:rsidRPr="00FD119B" w:rsidRDefault="00424B9D" w:rsidP="002602E7">
            <w:pPr>
              <w:ind w:left="0" w:right="0"/>
              <w:rPr>
                <w:color w:val="auto"/>
                <w:szCs w:val="22"/>
                <w:lang w:eastAsia="en-US"/>
              </w:rPr>
            </w:pPr>
            <w:r>
              <w:t>ARTG</w:t>
            </w:r>
          </w:p>
        </w:tc>
        <w:tc>
          <w:tcPr>
            <w:tcW w:w="6696" w:type="dxa"/>
          </w:tcPr>
          <w:p w14:paraId="7E724BFC" w14:textId="77777777" w:rsidR="00424B9D" w:rsidRPr="00FD119B" w:rsidRDefault="00424B9D" w:rsidP="002602E7">
            <w:pPr>
              <w:ind w:left="0" w:right="0"/>
              <w:rPr>
                <w:color w:val="auto"/>
                <w:szCs w:val="22"/>
                <w:lang w:eastAsia="en-US"/>
              </w:rPr>
            </w:pPr>
            <w:r w:rsidRPr="00460036">
              <w:t>Australian Register of Therapeutic Goods</w:t>
            </w:r>
          </w:p>
        </w:tc>
      </w:tr>
      <w:tr w:rsidR="00424B9D" w:rsidRPr="00FD119B" w14:paraId="3B72D0A9" w14:textId="77777777" w:rsidTr="002602E7">
        <w:tc>
          <w:tcPr>
            <w:tcW w:w="1798" w:type="dxa"/>
          </w:tcPr>
          <w:p w14:paraId="2077F63A" w14:textId="77777777" w:rsidR="00424B9D" w:rsidRDefault="00424B9D" w:rsidP="002602E7">
            <w:pPr>
              <w:ind w:left="0"/>
              <w:rPr>
                <w:rFonts w:eastAsiaTheme="minorHAnsi" w:cs="Cambria"/>
              </w:rPr>
            </w:pPr>
            <w:r w:rsidRPr="007F4DBA">
              <w:rPr>
                <w:rFonts w:asciiTheme="minorHAnsi" w:hAnsiTheme="minorHAnsi"/>
              </w:rPr>
              <w:t>BCL-2</w:t>
            </w:r>
          </w:p>
        </w:tc>
        <w:tc>
          <w:tcPr>
            <w:tcW w:w="6696" w:type="dxa"/>
          </w:tcPr>
          <w:p w14:paraId="352DDC8D" w14:textId="727344FE" w:rsidR="00424B9D" w:rsidRDefault="00424B9D" w:rsidP="002602E7">
            <w:pPr>
              <w:ind w:left="0"/>
              <w:rPr>
                <w:rFonts w:eastAsiaTheme="minorHAnsi" w:cs="Cambria"/>
              </w:rPr>
            </w:pPr>
            <w:r w:rsidRPr="007F4DBA">
              <w:rPr>
                <w:rFonts w:asciiTheme="minorHAnsi" w:hAnsiTheme="minorHAnsi"/>
              </w:rPr>
              <w:t>B-</w:t>
            </w:r>
            <w:r w:rsidR="002602E7">
              <w:rPr>
                <w:rFonts w:asciiTheme="minorHAnsi" w:hAnsiTheme="minorHAnsi"/>
              </w:rPr>
              <w:t>c</w:t>
            </w:r>
            <w:r w:rsidRPr="007F4DBA">
              <w:rPr>
                <w:rFonts w:asciiTheme="minorHAnsi" w:hAnsiTheme="minorHAnsi"/>
              </w:rPr>
              <w:t>ell lymphoma 2</w:t>
            </w:r>
          </w:p>
        </w:tc>
      </w:tr>
      <w:tr w:rsidR="00D02117" w:rsidRPr="00FD119B" w14:paraId="65EC7DA2" w14:textId="77777777" w:rsidTr="002602E7">
        <w:tc>
          <w:tcPr>
            <w:tcW w:w="1798" w:type="dxa"/>
          </w:tcPr>
          <w:p w14:paraId="2ACB1C48" w14:textId="425174C4" w:rsidR="00D02117" w:rsidRPr="007F4DBA" w:rsidRDefault="00D02117" w:rsidP="00CB5F25">
            <w:pPr>
              <w:ind w:left="0"/>
              <w:rPr>
                <w:rFonts w:asciiTheme="minorHAnsi" w:hAnsiTheme="minorHAnsi"/>
              </w:rPr>
            </w:pPr>
            <w:r w:rsidRPr="00090B2F">
              <w:rPr>
                <w:rFonts w:asciiTheme="minorHAnsi" w:hAnsiTheme="minorHAnsi"/>
              </w:rPr>
              <w:t>CD20</w:t>
            </w:r>
          </w:p>
        </w:tc>
        <w:tc>
          <w:tcPr>
            <w:tcW w:w="6696" w:type="dxa"/>
          </w:tcPr>
          <w:p w14:paraId="4D08CEA5" w14:textId="02D5CE10" w:rsidR="00D02117" w:rsidRPr="007F4DBA" w:rsidRDefault="00D02117" w:rsidP="00CB5F25">
            <w:pPr>
              <w:ind w:left="0"/>
              <w:rPr>
                <w:rFonts w:asciiTheme="minorHAnsi" w:hAnsiTheme="minorHAnsi"/>
              </w:rPr>
            </w:pPr>
            <w:r>
              <w:rPr>
                <w:rFonts w:asciiTheme="minorHAnsi" w:hAnsiTheme="minorHAnsi"/>
              </w:rPr>
              <w:t>Cluster of differentiation 20</w:t>
            </w:r>
          </w:p>
        </w:tc>
      </w:tr>
      <w:tr w:rsidR="00424B9D" w:rsidRPr="00FD119B" w14:paraId="1BFE924A" w14:textId="77777777" w:rsidTr="002602E7">
        <w:tc>
          <w:tcPr>
            <w:tcW w:w="1798" w:type="dxa"/>
          </w:tcPr>
          <w:p w14:paraId="3EBBA927" w14:textId="77777777" w:rsidR="00424B9D" w:rsidRDefault="00424B9D" w:rsidP="002602E7">
            <w:pPr>
              <w:ind w:left="0"/>
              <w:rPr>
                <w:rFonts w:eastAsiaTheme="minorHAnsi" w:cs="Cambria"/>
              </w:rPr>
            </w:pPr>
            <w:r>
              <w:rPr>
                <w:rFonts w:asciiTheme="minorHAnsi" w:hAnsiTheme="minorHAnsi"/>
                <w:szCs w:val="22"/>
              </w:rPr>
              <w:t>CIRS</w:t>
            </w:r>
          </w:p>
        </w:tc>
        <w:tc>
          <w:tcPr>
            <w:tcW w:w="6696" w:type="dxa"/>
          </w:tcPr>
          <w:p w14:paraId="40551B21" w14:textId="77777777" w:rsidR="00424B9D" w:rsidRDefault="00424B9D" w:rsidP="002602E7">
            <w:pPr>
              <w:ind w:left="0"/>
              <w:rPr>
                <w:rFonts w:eastAsiaTheme="minorHAnsi" w:cs="Cambria"/>
              </w:rPr>
            </w:pPr>
            <w:r w:rsidRPr="00574D49">
              <w:rPr>
                <w:rFonts w:eastAsiaTheme="minorHAnsi" w:cs="Calibri"/>
              </w:rPr>
              <w:t>Cumulative Illness Rating Scale</w:t>
            </w:r>
          </w:p>
        </w:tc>
      </w:tr>
      <w:tr w:rsidR="00424B9D" w:rsidRPr="00FD119B" w14:paraId="5FDC2AA0" w14:textId="77777777" w:rsidTr="002602E7">
        <w:tc>
          <w:tcPr>
            <w:tcW w:w="1798" w:type="dxa"/>
          </w:tcPr>
          <w:p w14:paraId="103ED76F" w14:textId="3828A6B3" w:rsidR="00424B9D" w:rsidRDefault="00424B9D" w:rsidP="00763A7E">
            <w:pPr>
              <w:ind w:left="0"/>
              <w:rPr>
                <w:rFonts w:eastAsiaTheme="minorHAnsi" w:cs="Cambria"/>
              </w:rPr>
            </w:pPr>
            <w:proofErr w:type="spellStart"/>
            <w:r>
              <w:rPr>
                <w:rFonts w:asciiTheme="minorHAnsi" w:hAnsiTheme="minorHAnsi"/>
                <w:szCs w:val="22"/>
              </w:rPr>
              <w:t>Clb</w:t>
            </w:r>
            <w:proofErr w:type="spellEnd"/>
            <w:r>
              <w:rPr>
                <w:rFonts w:asciiTheme="minorHAnsi" w:hAnsiTheme="minorHAnsi"/>
                <w:szCs w:val="22"/>
              </w:rPr>
              <w:t xml:space="preserve"> </w:t>
            </w:r>
          </w:p>
        </w:tc>
        <w:tc>
          <w:tcPr>
            <w:tcW w:w="6696" w:type="dxa"/>
          </w:tcPr>
          <w:p w14:paraId="55DB79CA" w14:textId="77D81849" w:rsidR="00424B9D" w:rsidRDefault="00424B9D" w:rsidP="002602E7">
            <w:pPr>
              <w:ind w:left="0"/>
              <w:rPr>
                <w:rFonts w:eastAsiaTheme="minorHAnsi" w:cs="Cambria"/>
              </w:rPr>
            </w:pPr>
            <w:proofErr w:type="spellStart"/>
            <w:r>
              <w:rPr>
                <w:rFonts w:asciiTheme="minorHAnsi" w:hAnsiTheme="minorHAnsi"/>
                <w:szCs w:val="22"/>
              </w:rPr>
              <w:t>Chlorambucil</w:t>
            </w:r>
            <w:proofErr w:type="spellEnd"/>
          </w:p>
        </w:tc>
      </w:tr>
      <w:tr w:rsidR="00424B9D" w:rsidRPr="00FD119B" w14:paraId="5662D557" w14:textId="77777777" w:rsidTr="002602E7">
        <w:tc>
          <w:tcPr>
            <w:tcW w:w="1798" w:type="dxa"/>
          </w:tcPr>
          <w:p w14:paraId="1C5C19B7" w14:textId="77777777" w:rsidR="00424B9D" w:rsidRPr="00FD119B" w:rsidRDefault="00424B9D" w:rsidP="002602E7">
            <w:pPr>
              <w:ind w:left="0" w:right="0"/>
              <w:rPr>
                <w:color w:val="auto"/>
                <w:szCs w:val="22"/>
                <w:lang w:eastAsia="en-US"/>
              </w:rPr>
            </w:pPr>
            <w:r>
              <w:rPr>
                <w:rFonts w:eastAsiaTheme="minorHAnsi" w:cs="Cambria"/>
              </w:rPr>
              <w:t>CLL</w:t>
            </w:r>
          </w:p>
        </w:tc>
        <w:tc>
          <w:tcPr>
            <w:tcW w:w="6696" w:type="dxa"/>
          </w:tcPr>
          <w:p w14:paraId="14532FF0" w14:textId="3EFA7985" w:rsidR="00424B9D" w:rsidRPr="00FD119B" w:rsidRDefault="00424B9D" w:rsidP="002602E7">
            <w:pPr>
              <w:ind w:left="0" w:right="0"/>
              <w:rPr>
                <w:color w:val="auto"/>
                <w:szCs w:val="22"/>
                <w:lang w:eastAsia="en-US"/>
              </w:rPr>
            </w:pPr>
            <w:r>
              <w:rPr>
                <w:rFonts w:eastAsiaTheme="minorHAnsi" w:cs="Cambria"/>
              </w:rPr>
              <w:t>Chronic lymphocytic leukaemia</w:t>
            </w:r>
          </w:p>
        </w:tc>
      </w:tr>
      <w:tr w:rsidR="00424B9D" w:rsidRPr="00FD119B" w14:paraId="0798C000" w14:textId="77777777" w:rsidTr="002602E7">
        <w:tc>
          <w:tcPr>
            <w:tcW w:w="1798" w:type="dxa"/>
          </w:tcPr>
          <w:p w14:paraId="289F4B90" w14:textId="77777777" w:rsidR="00424B9D" w:rsidRDefault="00424B9D" w:rsidP="002602E7">
            <w:pPr>
              <w:ind w:left="0"/>
            </w:pPr>
            <w:r>
              <w:rPr>
                <w:rFonts w:asciiTheme="minorHAnsi" w:hAnsiTheme="minorHAnsi"/>
                <w:szCs w:val="22"/>
              </w:rPr>
              <w:t>CNS</w:t>
            </w:r>
          </w:p>
        </w:tc>
        <w:tc>
          <w:tcPr>
            <w:tcW w:w="6696" w:type="dxa"/>
          </w:tcPr>
          <w:p w14:paraId="0222AECE" w14:textId="7A2D87BE" w:rsidR="00424B9D" w:rsidRDefault="00424B9D" w:rsidP="002602E7">
            <w:pPr>
              <w:ind w:left="0"/>
              <w:rPr>
                <w:rFonts w:eastAsiaTheme="minorHAnsi" w:cs="Cambria"/>
              </w:rPr>
            </w:pPr>
            <w:r>
              <w:rPr>
                <w:rFonts w:eastAsiaTheme="minorHAnsi" w:cs="Cambria"/>
              </w:rPr>
              <w:t xml:space="preserve">Central </w:t>
            </w:r>
            <w:r w:rsidR="002602E7">
              <w:rPr>
                <w:rFonts w:eastAsiaTheme="minorHAnsi" w:cs="Cambria"/>
              </w:rPr>
              <w:t>n</w:t>
            </w:r>
            <w:r>
              <w:rPr>
                <w:rFonts w:eastAsiaTheme="minorHAnsi" w:cs="Cambria"/>
              </w:rPr>
              <w:t xml:space="preserve">ervous </w:t>
            </w:r>
            <w:r w:rsidR="002602E7">
              <w:rPr>
                <w:rFonts w:eastAsiaTheme="minorHAnsi" w:cs="Cambria"/>
              </w:rPr>
              <w:t>s</w:t>
            </w:r>
            <w:r>
              <w:rPr>
                <w:rFonts w:eastAsiaTheme="minorHAnsi" w:cs="Cambria"/>
              </w:rPr>
              <w:t>ystem</w:t>
            </w:r>
          </w:p>
        </w:tc>
      </w:tr>
      <w:tr w:rsidR="00424B9D" w:rsidRPr="00FD119B" w14:paraId="47F2FAF8" w14:textId="77777777" w:rsidTr="002602E7">
        <w:tc>
          <w:tcPr>
            <w:tcW w:w="1798" w:type="dxa"/>
          </w:tcPr>
          <w:p w14:paraId="0A0A6518" w14:textId="77777777" w:rsidR="00424B9D" w:rsidRDefault="00424B9D" w:rsidP="002602E7">
            <w:pPr>
              <w:ind w:left="0"/>
              <w:rPr>
                <w:rFonts w:asciiTheme="minorHAnsi" w:hAnsiTheme="minorHAnsi"/>
              </w:rPr>
            </w:pPr>
            <w:r>
              <w:rPr>
                <w:rFonts w:asciiTheme="minorHAnsi" w:hAnsiTheme="minorHAnsi"/>
              </w:rPr>
              <w:t>CR</w:t>
            </w:r>
          </w:p>
        </w:tc>
        <w:tc>
          <w:tcPr>
            <w:tcW w:w="6696" w:type="dxa"/>
          </w:tcPr>
          <w:p w14:paraId="4BD510D1" w14:textId="77777777" w:rsidR="00424B9D" w:rsidRDefault="00424B9D" w:rsidP="002602E7">
            <w:pPr>
              <w:ind w:left="0"/>
              <w:rPr>
                <w:rFonts w:eastAsiaTheme="minorHAnsi" w:cs="Cambria"/>
              </w:rPr>
            </w:pPr>
            <w:r>
              <w:rPr>
                <w:rFonts w:eastAsiaTheme="minorHAnsi" w:cs="Cambria"/>
              </w:rPr>
              <w:t>Complete response</w:t>
            </w:r>
          </w:p>
        </w:tc>
      </w:tr>
      <w:tr w:rsidR="00424B9D" w:rsidRPr="00FD119B" w14:paraId="1FE73F83" w14:textId="77777777" w:rsidTr="002602E7">
        <w:tc>
          <w:tcPr>
            <w:tcW w:w="1798" w:type="dxa"/>
          </w:tcPr>
          <w:p w14:paraId="4F92D542" w14:textId="77777777" w:rsidR="00424B9D" w:rsidRDefault="00424B9D" w:rsidP="002602E7">
            <w:pPr>
              <w:ind w:left="0"/>
              <w:rPr>
                <w:rFonts w:asciiTheme="minorHAnsi" w:hAnsiTheme="minorHAnsi"/>
              </w:rPr>
            </w:pPr>
            <w:proofErr w:type="spellStart"/>
            <w:r>
              <w:rPr>
                <w:rFonts w:asciiTheme="minorHAnsi" w:hAnsiTheme="minorHAnsi"/>
              </w:rPr>
              <w:t>CRi</w:t>
            </w:r>
            <w:proofErr w:type="spellEnd"/>
          </w:p>
        </w:tc>
        <w:tc>
          <w:tcPr>
            <w:tcW w:w="6696" w:type="dxa"/>
          </w:tcPr>
          <w:p w14:paraId="4F0C24A9" w14:textId="3FBD7085" w:rsidR="00424B9D" w:rsidRDefault="00424B9D" w:rsidP="002602E7">
            <w:pPr>
              <w:ind w:left="0"/>
              <w:rPr>
                <w:rFonts w:eastAsiaTheme="minorHAnsi" w:cs="Cambria"/>
              </w:rPr>
            </w:pPr>
            <w:r>
              <w:rPr>
                <w:lang w:eastAsia="ja-JP"/>
              </w:rPr>
              <w:t>C</w:t>
            </w:r>
            <w:r w:rsidRPr="00865E0F">
              <w:rPr>
                <w:lang w:eastAsia="ja-JP"/>
              </w:rPr>
              <w:t>omplete response with incomplete bone marrow recovery</w:t>
            </w:r>
          </w:p>
        </w:tc>
      </w:tr>
      <w:tr w:rsidR="00E81C2C" w:rsidRPr="00FD119B" w14:paraId="35A98DE9" w14:textId="77777777" w:rsidTr="002602E7">
        <w:tc>
          <w:tcPr>
            <w:tcW w:w="1798" w:type="dxa"/>
          </w:tcPr>
          <w:p w14:paraId="767D9FC6" w14:textId="60E1EAFE" w:rsidR="00E81C2C" w:rsidRDefault="00E81C2C" w:rsidP="00CB5F25">
            <w:pPr>
              <w:ind w:left="0"/>
              <w:rPr>
                <w:rFonts w:asciiTheme="minorHAnsi" w:hAnsiTheme="minorHAnsi"/>
              </w:rPr>
            </w:pPr>
            <w:r>
              <w:rPr>
                <w:rFonts w:asciiTheme="minorHAnsi" w:hAnsiTheme="minorHAnsi"/>
              </w:rPr>
              <w:t>EOT</w:t>
            </w:r>
          </w:p>
        </w:tc>
        <w:tc>
          <w:tcPr>
            <w:tcW w:w="6696" w:type="dxa"/>
          </w:tcPr>
          <w:p w14:paraId="4C676564" w14:textId="5FABA0E3" w:rsidR="00E81C2C" w:rsidRDefault="00E81C2C" w:rsidP="00CB5F25">
            <w:pPr>
              <w:ind w:left="0"/>
              <w:rPr>
                <w:lang w:eastAsia="ja-JP"/>
              </w:rPr>
            </w:pPr>
            <w:r>
              <w:rPr>
                <w:lang w:eastAsia="ja-JP"/>
              </w:rPr>
              <w:t>End of treatment</w:t>
            </w:r>
          </w:p>
        </w:tc>
      </w:tr>
      <w:tr w:rsidR="00AA5ACD" w:rsidRPr="00FD119B" w14:paraId="63B5E9D0" w14:textId="77777777" w:rsidTr="002602E7">
        <w:tc>
          <w:tcPr>
            <w:tcW w:w="1798" w:type="dxa"/>
          </w:tcPr>
          <w:p w14:paraId="1DE6511B" w14:textId="66328689" w:rsidR="00AA5ACD" w:rsidRDefault="00AA5ACD" w:rsidP="00CB5F25">
            <w:pPr>
              <w:ind w:left="0"/>
              <w:rPr>
                <w:rFonts w:asciiTheme="minorHAnsi" w:hAnsiTheme="minorHAnsi"/>
              </w:rPr>
            </w:pPr>
            <w:r>
              <w:rPr>
                <w:rFonts w:asciiTheme="minorHAnsi" w:hAnsiTheme="minorHAnsi"/>
              </w:rPr>
              <w:t>G</w:t>
            </w:r>
          </w:p>
        </w:tc>
        <w:tc>
          <w:tcPr>
            <w:tcW w:w="6696" w:type="dxa"/>
          </w:tcPr>
          <w:p w14:paraId="27C24AA2" w14:textId="2FFDFB82" w:rsidR="00AA5ACD" w:rsidRDefault="00AA5ACD" w:rsidP="00CB5F25">
            <w:pPr>
              <w:ind w:left="0"/>
              <w:rPr>
                <w:rFonts w:eastAsiaTheme="minorHAnsi" w:cs="Cambria"/>
              </w:rPr>
            </w:pPr>
            <w:proofErr w:type="spellStart"/>
            <w:r>
              <w:t>Obinutuzumab</w:t>
            </w:r>
            <w:proofErr w:type="spellEnd"/>
          </w:p>
        </w:tc>
      </w:tr>
      <w:tr w:rsidR="00763A7E" w:rsidRPr="00FD119B" w14:paraId="06624479" w14:textId="77777777" w:rsidTr="002602E7">
        <w:tc>
          <w:tcPr>
            <w:tcW w:w="1798" w:type="dxa"/>
          </w:tcPr>
          <w:p w14:paraId="4EF2645F" w14:textId="35FA2924" w:rsidR="00763A7E" w:rsidRDefault="00763A7E" w:rsidP="00CB5F25">
            <w:pPr>
              <w:ind w:left="0"/>
              <w:rPr>
                <w:rFonts w:asciiTheme="minorHAnsi" w:hAnsiTheme="minorHAnsi"/>
              </w:rPr>
            </w:pPr>
            <w:proofErr w:type="spellStart"/>
            <w:r>
              <w:rPr>
                <w:rFonts w:asciiTheme="minorHAnsi" w:hAnsiTheme="minorHAnsi"/>
              </w:rPr>
              <w:t>GClb</w:t>
            </w:r>
            <w:proofErr w:type="spellEnd"/>
          </w:p>
        </w:tc>
        <w:tc>
          <w:tcPr>
            <w:tcW w:w="6696" w:type="dxa"/>
          </w:tcPr>
          <w:p w14:paraId="4401713F" w14:textId="5B8538D3" w:rsidR="00763A7E" w:rsidRDefault="00763A7E" w:rsidP="00CB5F25">
            <w:pPr>
              <w:ind w:left="0"/>
            </w:pPr>
            <w:proofErr w:type="spellStart"/>
            <w:r>
              <w:t>Obinutuzumab</w:t>
            </w:r>
            <w:proofErr w:type="spellEnd"/>
            <w:r>
              <w:t xml:space="preserve"> + </w:t>
            </w:r>
            <w:proofErr w:type="spellStart"/>
            <w:r>
              <w:t>chlorambucil</w:t>
            </w:r>
            <w:proofErr w:type="spellEnd"/>
          </w:p>
        </w:tc>
      </w:tr>
      <w:tr w:rsidR="00424B9D" w:rsidRPr="00FD119B" w14:paraId="6E997009" w14:textId="77777777" w:rsidTr="002602E7">
        <w:tc>
          <w:tcPr>
            <w:tcW w:w="1798" w:type="dxa"/>
          </w:tcPr>
          <w:p w14:paraId="50A18218" w14:textId="77777777" w:rsidR="00424B9D" w:rsidRDefault="00424B9D" w:rsidP="002602E7">
            <w:pPr>
              <w:ind w:left="0"/>
              <w:rPr>
                <w:rFonts w:asciiTheme="minorHAnsi" w:hAnsiTheme="minorHAnsi"/>
              </w:rPr>
            </w:pPr>
            <w:r>
              <w:rPr>
                <w:rFonts w:asciiTheme="minorHAnsi" w:hAnsiTheme="minorHAnsi"/>
              </w:rPr>
              <w:t>IRC</w:t>
            </w:r>
          </w:p>
        </w:tc>
        <w:tc>
          <w:tcPr>
            <w:tcW w:w="6696" w:type="dxa"/>
          </w:tcPr>
          <w:p w14:paraId="5F08C5CF" w14:textId="77777777" w:rsidR="00424B9D" w:rsidRDefault="00424B9D" w:rsidP="002602E7">
            <w:pPr>
              <w:ind w:left="0"/>
              <w:rPr>
                <w:rFonts w:eastAsiaTheme="minorHAnsi" w:cs="Cambria"/>
              </w:rPr>
            </w:pPr>
            <w:r>
              <w:rPr>
                <w:rFonts w:eastAsiaTheme="minorHAnsi" w:cs="Cambria"/>
              </w:rPr>
              <w:t>Independent Review Committee</w:t>
            </w:r>
          </w:p>
        </w:tc>
      </w:tr>
      <w:tr w:rsidR="00424B9D" w:rsidRPr="00FD119B" w14:paraId="2EF7FB8A" w14:textId="77777777" w:rsidTr="002602E7">
        <w:tc>
          <w:tcPr>
            <w:tcW w:w="1798" w:type="dxa"/>
          </w:tcPr>
          <w:p w14:paraId="0F6C014F" w14:textId="77777777" w:rsidR="00424B9D" w:rsidRDefault="00424B9D" w:rsidP="002602E7">
            <w:pPr>
              <w:ind w:left="0"/>
              <w:rPr>
                <w:rFonts w:asciiTheme="minorHAnsi" w:hAnsiTheme="minorHAnsi"/>
              </w:rPr>
            </w:pPr>
            <w:r>
              <w:rPr>
                <w:rFonts w:asciiTheme="minorHAnsi" w:hAnsiTheme="minorHAnsi"/>
                <w:szCs w:val="22"/>
              </w:rPr>
              <w:t>KM</w:t>
            </w:r>
          </w:p>
        </w:tc>
        <w:tc>
          <w:tcPr>
            <w:tcW w:w="6696" w:type="dxa"/>
          </w:tcPr>
          <w:p w14:paraId="3D7AE6E0" w14:textId="619278C1" w:rsidR="00424B9D" w:rsidRDefault="00424B9D" w:rsidP="002602E7">
            <w:pPr>
              <w:ind w:left="0"/>
              <w:rPr>
                <w:rFonts w:eastAsiaTheme="minorHAnsi" w:cs="Cambria"/>
              </w:rPr>
            </w:pPr>
            <w:r>
              <w:rPr>
                <w:rFonts w:eastAsiaTheme="minorHAnsi" w:cs="Cambria"/>
              </w:rPr>
              <w:t>Kaplan</w:t>
            </w:r>
            <w:r w:rsidR="00870A49">
              <w:rPr>
                <w:rFonts w:eastAsiaTheme="minorHAnsi" w:cs="Cambria"/>
              </w:rPr>
              <w:t xml:space="preserve"> </w:t>
            </w:r>
            <w:r>
              <w:rPr>
                <w:rFonts w:eastAsiaTheme="minorHAnsi" w:cs="Cambria"/>
              </w:rPr>
              <w:t>Meier</w:t>
            </w:r>
          </w:p>
        </w:tc>
      </w:tr>
      <w:tr w:rsidR="00424B9D" w:rsidRPr="00FD119B" w14:paraId="719D537A" w14:textId="77777777" w:rsidTr="002602E7">
        <w:tc>
          <w:tcPr>
            <w:tcW w:w="1798" w:type="dxa"/>
          </w:tcPr>
          <w:p w14:paraId="75E5FA09" w14:textId="77777777" w:rsidR="00424B9D" w:rsidRDefault="00424B9D" w:rsidP="00CB5F25">
            <w:pPr>
              <w:ind w:left="0"/>
              <w:rPr>
                <w:rFonts w:asciiTheme="minorHAnsi" w:hAnsiTheme="minorHAnsi"/>
              </w:rPr>
            </w:pPr>
            <w:r>
              <w:rPr>
                <w:rFonts w:asciiTheme="minorHAnsi" w:hAnsiTheme="minorHAnsi"/>
              </w:rPr>
              <w:t>M27</w:t>
            </w:r>
          </w:p>
        </w:tc>
        <w:tc>
          <w:tcPr>
            <w:tcW w:w="6696" w:type="dxa"/>
          </w:tcPr>
          <w:p w14:paraId="12B62B06" w14:textId="2F41C5E0" w:rsidR="00424B9D" w:rsidRDefault="00424B9D" w:rsidP="00CB5F25">
            <w:pPr>
              <w:ind w:left="0"/>
              <w:rPr>
                <w:rFonts w:eastAsiaTheme="minorHAnsi" w:cs="Cambria"/>
              </w:rPr>
            </w:pPr>
            <w:r>
              <w:t>Major human metabolite</w:t>
            </w:r>
            <w:r w:rsidR="002602E7">
              <w:t xml:space="preserve"> of </w:t>
            </w:r>
            <w:proofErr w:type="spellStart"/>
            <w:r w:rsidR="002602E7">
              <w:t>venetoclax</w:t>
            </w:r>
            <w:proofErr w:type="spellEnd"/>
          </w:p>
        </w:tc>
      </w:tr>
      <w:tr w:rsidR="00E81C2C" w:rsidRPr="00FD119B" w14:paraId="1D664D4B" w14:textId="77777777" w:rsidTr="002602E7">
        <w:tc>
          <w:tcPr>
            <w:tcW w:w="1798" w:type="dxa"/>
          </w:tcPr>
          <w:p w14:paraId="2AEC2CAD" w14:textId="1FFC3A9C" w:rsidR="00E81C2C" w:rsidRDefault="00E81C2C" w:rsidP="00CB5F25">
            <w:pPr>
              <w:ind w:left="0"/>
              <w:rPr>
                <w:rFonts w:asciiTheme="minorHAnsi" w:hAnsiTheme="minorHAnsi"/>
              </w:rPr>
            </w:pPr>
            <w:r>
              <w:rPr>
                <w:lang w:eastAsia="ja-JP"/>
              </w:rPr>
              <w:t>MRD</w:t>
            </w:r>
          </w:p>
        </w:tc>
        <w:tc>
          <w:tcPr>
            <w:tcW w:w="6696" w:type="dxa"/>
          </w:tcPr>
          <w:p w14:paraId="417AC1B6" w14:textId="5E44E78B" w:rsidR="00E81C2C" w:rsidRDefault="00E81C2C" w:rsidP="00CB5F25">
            <w:pPr>
              <w:ind w:left="0"/>
            </w:pPr>
            <w:r>
              <w:rPr>
                <w:lang w:eastAsia="ja-JP"/>
              </w:rPr>
              <w:t>Minimal residual disease</w:t>
            </w:r>
          </w:p>
        </w:tc>
      </w:tr>
      <w:tr w:rsidR="00424B9D" w:rsidRPr="00FD119B" w14:paraId="11B2BF7A" w14:textId="77777777" w:rsidTr="002602E7">
        <w:tc>
          <w:tcPr>
            <w:tcW w:w="1798" w:type="dxa"/>
          </w:tcPr>
          <w:p w14:paraId="3B986868" w14:textId="77777777" w:rsidR="00424B9D" w:rsidRDefault="00424B9D" w:rsidP="002602E7">
            <w:pPr>
              <w:ind w:left="0"/>
            </w:pPr>
            <w:r>
              <w:rPr>
                <w:rFonts w:asciiTheme="minorHAnsi" w:hAnsiTheme="minorHAnsi"/>
                <w:szCs w:val="22"/>
              </w:rPr>
              <w:t>PFS</w:t>
            </w:r>
          </w:p>
        </w:tc>
        <w:tc>
          <w:tcPr>
            <w:tcW w:w="6696" w:type="dxa"/>
          </w:tcPr>
          <w:p w14:paraId="60EA25A3" w14:textId="4B2F672B" w:rsidR="00424B9D" w:rsidRDefault="00424B9D" w:rsidP="002602E7">
            <w:pPr>
              <w:ind w:left="0"/>
              <w:rPr>
                <w:rFonts w:eastAsiaTheme="minorHAnsi" w:cs="Cambria"/>
              </w:rPr>
            </w:pPr>
            <w:r>
              <w:rPr>
                <w:rFonts w:eastAsiaTheme="minorHAnsi" w:cs="Cambria"/>
              </w:rPr>
              <w:t>Progression</w:t>
            </w:r>
            <w:r w:rsidR="005568D2">
              <w:rPr>
                <w:rFonts w:eastAsiaTheme="minorHAnsi" w:cs="Cambria"/>
              </w:rPr>
              <w:t xml:space="preserve"> </w:t>
            </w:r>
            <w:r>
              <w:rPr>
                <w:rFonts w:eastAsiaTheme="minorHAnsi" w:cs="Cambria"/>
              </w:rPr>
              <w:t>free survival</w:t>
            </w:r>
          </w:p>
        </w:tc>
      </w:tr>
      <w:tr w:rsidR="00424B9D" w:rsidRPr="00FD119B" w14:paraId="7082C7F2" w14:textId="77777777" w:rsidTr="002602E7">
        <w:tc>
          <w:tcPr>
            <w:tcW w:w="1798" w:type="dxa"/>
          </w:tcPr>
          <w:p w14:paraId="116855F5" w14:textId="77777777" w:rsidR="00424B9D" w:rsidRDefault="00424B9D" w:rsidP="002602E7">
            <w:pPr>
              <w:ind w:left="0"/>
              <w:rPr>
                <w:rFonts w:asciiTheme="minorHAnsi" w:hAnsiTheme="minorHAnsi"/>
              </w:rPr>
            </w:pPr>
            <w:r>
              <w:rPr>
                <w:rFonts w:asciiTheme="minorHAnsi" w:hAnsiTheme="minorHAnsi"/>
              </w:rPr>
              <w:t>PI</w:t>
            </w:r>
          </w:p>
        </w:tc>
        <w:tc>
          <w:tcPr>
            <w:tcW w:w="6696" w:type="dxa"/>
          </w:tcPr>
          <w:p w14:paraId="6AB6590A" w14:textId="77777777" w:rsidR="00424B9D" w:rsidRPr="00CB5F25" w:rsidRDefault="00424B9D" w:rsidP="002602E7">
            <w:pPr>
              <w:ind w:left="0"/>
              <w:rPr>
                <w:rFonts w:eastAsiaTheme="minorHAnsi" w:cs="Arial"/>
                <w:szCs w:val="22"/>
              </w:rPr>
            </w:pPr>
            <w:r w:rsidRPr="00CB5F25">
              <w:rPr>
                <w:rFonts w:eastAsiaTheme="minorHAnsi" w:cs="Arial"/>
                <w:szCs w:val="22"/>
              </w:rPr>
              <w:t>Product Information</w:t>
            </w:r>
          </w:p>
        </w:tc>
      </w:tr>
      <w:tr w:rsidR="00424B9D" w:rsidRPr="00FD119B" w14:paraId="7C2470A4" w14:textId="77777777" w:rsidTr="002602E7">
        <w:tc>
          <w:tcPr>
            <w:tcW w:w="1798" w:type="dxa"/>
          </w:tcPr>
          <w:p w14:paraId="643D7DA8" w14:textId="77777777" w:rsidR="00424B9D" w:rsidRDefault="00424B9D" w:rsidP="002602E7">
            <w:pPr>
              <w:ind w:left="0"/>
            </w:pPr>
            <w:r>
              <w:rPr>
                <w:rFonts w:asciiTheme="minorHAnsi" w:hAnsiTheme="minorHAnsi"/>
                <w:szCs w:val="22"/>
              </w:rPr>
              <w:t>R/R</w:t>
            </w:r>
          </w:p>
        </w:tc>
        <w:tc>
          <w:tcPr>
            <w:tcW w:w="6696" w:type="dxa"/>
          </w:tcPr>
          <w:p w14:paraId="260A81DB" w14:textId="7495BB67" w:rsidR="00424B9D" w:rsidRPr="001050E8" w:rsidRDefault="00424B9D" w:rsidP="002602E7">
            <w:pPr>
              <w:ind w:left="0"/>
              <w:rPr>
                <w:rFonts w:eastAsiaTheme="minorHAnsi" w:cs="Cambria"/>
                <w:szCs w:val="22"/>
              </w:rPr>
            </w:pPr>
            <w:r w:rsidRPr="00CB5F25">
              <w:rPr>
                <w:rFonts w:eastAsiaTheme="minorHAnsi" w:cs="Arial"/>
                <w:szCs w:val="22"/>
              </w:rPr>
              <w:t>Relapsed or refractory</w:t>
            </w:r>
          </w:p>
        </w:tc>
      </w:tr>
      <w:tr w:rsidR="00A37C71" w:rsidRPr="00FD119B" w14:paraId="64B10788" w14:textId="77777777" w:rsidTr="002602E7">
        <w:tc>
          <w:tcPr>
            <w:tcW w:w="1798" w:type="dxa"/>
          </w:tcPr>
          <w:p w14:paraId="37114A26" w14:textId="2908C32A" w:rsidR="00A37C71" w:rsidRDefault="00A37C71" w:rsidP="00CB5F25">
            <w:pPr>
              <w:ind w:left="0"/>
              <w:rPr>
                <w:rFonts w:asciiTheme="minorHAnsi" w:hAnsiTheme="minorHAnsi"/>
              </w:rPr>
            </w:pPr>
            <w:r>
              <w:rPr>
                <w:rFonts w:asciiTheme="minorHAnsi" w:hAnsiTheme="minorHAnsi"/>
              </w:rPr>
              <w:t>RMP</w:t>
            </w:r>
          </w:p>
        </w:tc>
        <w:tc>
          <w:tcPr>
            <w:tcW w:w="6696" w:type="dxa"/>
          </w:tcPr>
          <w:p w14:paraId="2D56596A" w14:textId="6BC7A4B1" w:rsidR="00A37C71" w:rsidRPr="00A37C71" w:rsidRDefault="00A37C71" w:rsidP="00CB5F25">
            <w:pPr>
              <w:ind w:left="0"/>
              <w:rPr>
                <w:rFonts w:eastAsiaTheme="minorHAnsi" w:cs="Arial"/>
              </w:rPr>
            </w:pPr>
            <w:r>
              <w:rPr>
                <w:rFonts w:eastAsiaTheme="minorHAnsi" w:cs="Arial"/>
              </w:rPr>
              <w:t>Risk management plan</w:t>
            </w:r>
          </w:p>
        </w:tc>
      </w:tr>
      <w:tr w:rsidR="00424B9D" w:rsidRPr="00FD119B" w14:paraId="6C09252F" w14:textId="77777777" w:rsidTr="002602E7">
        <w:tc>
          <w:tcPr>
            <w:tcW w:w="1798" w:type="dxa"/>
          </w:tcPr>
          <w:p w14:paraId="1D024BBA" w14:textId="77777777" w:rsidR="00424B9D" w:rsidRPr="00FD119B" w:rsidRDefault="00424B9D" w:rsidP="002602E7">
            <w:pPr>
              <w:ind w:left="0"/>
            </w:pPr>
            <w:r>
              <w:rPr>
                <w:color w:val="auto"/>
                <w:szCs w:val="22"/>
                <w:lang w:eastAsia="en-US"/>
              </w:rPr>
              <w:t>SLL</w:t>
            </w:r>
          </w:p>
        </w:tc>
        <w:tc>
          <w:tcPr>
            <w:tcW w:w="6696" w:type="dxa"/>
          </w:tcPr>
          <w:p w14:paraId="7C1FD3B1" w14:textId="2F435601" w:rsidR="00424B9D" w:rsidRPr="00FD119B" w:rsidRDefault="00424B9D" w:rsidP="002602E7">
            <w:pPr>
              <w:ind w:left="0"/>
            </w:pPr>
            <w:r>
              <w:rPr>
                <w:rFonts w:eastAsiaTheme="minorHAnsi" w:cs="Cambria"/>
              </w:rPr>
              <w:t>Small lymphocytic lymphoma</w:t>
            </w:r>
          </w:p>
        </w:tc>
      </w:tr>
      <w:tr w:rsidR="00763A7E" w:rsidRPr="00FD119B" w14:paraId="045469FE" w14:textId="77777777" w:rsidTr="002602E7">
        <w:tc>
          <w:tcPr>
            <w:tcW w:w="1798" w:type="dxa"/>
          </w:tcPr>
          <w:p w14:paraId="02C741DB" w14:textId="1DE9B515" w:rsidR="00763A7E" w:rsidRDefault="00763A7E" w:rsidP="00CB5F25">
            <w:pPr>
              <w:ind w:left="0"/>
            </w:pPr>
            <w:r>
              <w:t>VEN</w:t>
            </w:r>
          </w:p>
        </w:tc>
        <w:tc>
          <w:tcPr>
            <w:tcW w:w="6696" w:type="dxa"/>
          </w:tcPr>
          <w:p w14:paraId="31361F1D" w14:textId="66BCFC44" w:rsidR="00763A7E" w:rsidRDefault="00763A7E" w:rsidP="00CB5F25">
            <w:pPr>
              <w:ind w:left="0"/>
              <w:rPr>
                <w:rFonts w:eastAsiaTheme="minorHAnsi" w:cs="Cambria"/>
              </w:rPr>
            </w:pPr>
            <w:r>
              <w:rPr>
                <w:rFonts w:eastAsiaTheme="minorHAnsi" w:cs="Cambria"/>
              </w:rPr>
              <w:t>Venetoclax</w:t>
            </w:r>
          </w:p>
        </w:tc>
      </w:tr>
      <w:tr w:rsidR="00424B9D" w:rsidRPr="00FD119B" w14:paraId="3D27007C" w14:textId="77777777" w:rsidTr="002602E7">
        <w:tc>
          <w:tcPr>
            <w:tcW w:w="1798" w:type="dxa"/>
          </w:tcPr>
          <w:p w14:paraId="35E46DE4" w14:textId="77777777" w:rsidR="00424B9D" w:rsidRDefault="00424B9D" w:rsidP="002602E7">
            <w:pPr>
              <w:ind w:left="0"/>
            </w:pPr>
            <w:r>
              <w:lastRenderedPageBreak/>
              <w:t>VEN + G</w:t>
            </w:r>
          </w:p>
        </w:tc>
        <w:tc>
          <w:tcPr>
            <w:tcW w:w="6696" w:type="dxa"/>
          </w:tcPr>
          <w:p w14:paraId="17589A60" w14:textId="77777777" w:rsidR="00424B9D" w:rsidRDefault="00424B9D" w:rsidP="002602E7">
            <w:pPr>
              <w:ind w:left="0"/>
            </w:pPr>
            <w:r>
              <w:t xml:space="preserve">Venetoclax and </w:t>
            </w:r>
            <w:proofErr w:type="spellStart"/>
            <w:r w:rsidRPr="00CB5F25">
              <w:rPr>
                <w:rFonts w:eastAsiaTheme="minorHAnsi" w:cs="Arial"/>
                <w:szCs w:val="22"/>
              </w:rPr>
              <w:t>obinutuzumab</w:t>
            </w:r>
            <w:proofErr w:type="spellEnd"/>
          </w:p>
        </w:tc>
      </w:tr>
      <w:tr w:rsidR="00424B9D" w:rsidRPr="00FD119B" w14:paraId="4657D011" w14:textId="77777777" w:rsidTr="002602E7">
        <w:tc>
          <w:tcPr>
            <w:tcW w:w="1798" w:type="dxa"/>
          </w:tcPr>
          <w:p w14:paraId="1C4A63F3" w14:textId="77777777" w:rsidR="00424B9D" w:rsidRPr="00FD119B" w:rsidRDefault="00424B9D" w:rsidP="002602E7">
            <w:pPr>
              <w:ind w:left="0"/>
            </w:pPr>
            <w:r>
              <w:t>WHO</w:t>
            </w:r>
          </w:p>
        </w:tc>
        <w:tc>
          <w:tcPr>
            <w:tcW w:w="6696" w:type="dxa"/>
          </w:tcPr>
          <w:p w14:paraId="6CE91F04" w14:textId="45473A4E" w:rsidR="00424B9D" w:rsidRPr="00FD119B" w:rsidRDefault="00424B9D" w:rsidP="002602E7">
            <w:pPr>
              <w:ind w:left="0"/>
            </w:pPr>
            <w:r>
              <w:t>World Health Organization</w:t>
            </w:r>
          </w:p>
        </w:tc>
      </w:tr>
    </w:tbl>
    <w:p w14:paraId="309C0057" w14:textId="77777777" w:rsidR="00424B9D" w:rsidRPr="00FD119B" w:rsidRDefault="00424B9D" w:rsidP="00424B9D">
      <w:pPr>
        <w:spacing w:before="0" w:after="200" w:line="0" w:lineRule="auto"/>
        <w:rPr>
          <w:b/>
          <w:i/>
          <w:sz w:val="24"/>
          <w:szCs w:val="24"/>
        </w:rPr>
      </w:pPr>
      <w:r w:rsidRPr="00FD119B">
        <w:rPr>
          <w:b/>
          <w:i/>
          <w:sz w:val="24"/>
          <w:szCs w:val="24"/>
        </w:rPr>
        <w:br w:type="page"/>
      </w:r>
    </w:p>
    <w:p w14:paraId="6BC5CB8A" w14:textId="77777777" w:rsidR="00424B9D" w:rsidRDefault="00424B9D" w:rsidP="00424B9D">
      <w:pPr>
        <w:pStyle w:val="Heading2"/>
      </w:pPr>
      <w:bookmarkStart w:id="5" w:name="_Toc54165845"/>
      <w:r>
        <w:lastRenderedPageBreak/>
        <w:t>I. Introduction to product submission</w:t>
      </w:r>
      <w:bookmarkEnd w:id="5"/>
    </w:p>
    <w:p w14:paraId="1E1E6758" w14:textId="77777777" w:rsidR="00424B9D" w:rsidRDefault="00424B9D" w:rsidP="00424B9D">
      <w:pPr>
        <w:pStyle w:val="Heading3"/>
        <w:rPr>
          <w:lang w:eastAsia="en-AU"/>
        </w:rPr>
      </w:pPr>
      <w:bookmarkStart w:id="6" w:name="_Toc247691502"/>
      <w:bookmarkStart w:id="7" w:name="_Toc314842483"/>
      <w:bookmarkStart w:id="8" w:name="_Toc54165846"/>
      <w:r>
        <w:rPr>
          <w:lang w:eastAsia="en-AU"/>
        </w:rPr>
        <w:t>Submission details</w:t>
      </w:r>
      <w:bookmarkEnd w:id="6"/>
      <w:bookmarkEnd w:id="7"/>
      <w:bookmarkEnd w:id="8"/>
    </w:p>
    <w:tbl>
      <w:tblPr>
        <w:tblW w:w="9214" w:type="dxa"/>
        <w:tblInd w:w="108" w:type="dxa"/>
        <w:tblLook w:val="01E0" w:firstRow="1" w:lastRow="1" w:firstColumn="1" w:lastColumn="1" w:noHBand="0" w:noVBand="0"/>
      </w:tblPr>
      <w:tblGrid>
        <w:gridCol w:w="2907"/>
        <w:gridCol w:w="6307"/>
      </w:tblGrid>
      <w:tr w:rsidR="00424B9D" w:rsidRPr="003D1E62" w14:paraId="3E7FE7F3" w14:textId="77777777" w:rsidTr="002602E7">
        <w:tc>
          <w:tcPr>
            <w:tcW w:w="2907" w:type="dxa"/>
          </w:tcPr>
          <w:p w14:paraId="0F6F5857" w14:textId="77777777" w:rsidR="00424B9D" w:rsidRPr="003D1E62" w:rsidRDefault="00424B9D" w:rsidP="002602E7">
            <w:pPr>
              <w:rPr>
                <w:i/>
              </w:rPr>
            </w:pPr>
            <w:r>
              <w:rPr>
                <w:i/>
              </w:rPr>
              <w:t>Type of s</w:t>
            </w:r>
            <w:r w:rsidRPr="003D1E62">
              <w:rPr>
                <w:i/>
              </w:rPr>
              <w:t>ubmission</w:t>
            </w:r>
            <w:r>
              <w:rPr>
                <w:i/>
              </w:rPr>
              <w:t>:</w:t>
            </w:r>
          </w:p>
        </w:tc>
        <w:tc>
          <w:tcPr>
            <w:tcW w:w="6307" w:type="dxa"/>
          </w:tcPr>
          <w:p w14:paraId="3D9CAC04" w14:textId="5894A949" w:rsidR="00424B9D" w:rsidRPr="003D1E62" w:rsidRDefault="00424B9D" w:rsidP="002602E7">
            <w:r>
              <w:t>Extension of indications</w:t>
            </w:r>
          </w:p>
        </w:tc>
      </w:tr>
      <w:tr w:rsidR="00424B9D" w:rsidRPr="003D1E62" w14:paraId="7D39CC31" w14:textId="77777777" w:rsidTr="002602E7">
        <w:tc>
          <w:tcPr>
            <w:tcW w:w="2907" w:type="dxa"/>
          </w:tcPr>
          <w:p w14:paraId="4BF22E97" w14:textId="6285C812" w:rsidR="00424B9D" w:rsidRPr="003D1E62" w:rsidRDefault="00424B9D" w:rsidP="002602E7">
            <w:pPr>
              <w:rPr>
                <w:i/>
              </w:rPr>
            </w:pPr>
            <w:r w:rsidRPr="00460036">
              <w:rPr>
                <w:i/>
              </w:rPr>
              <w:t>Product name:</w:t>
            </w:r>
          </w:p>
        </w:tc>
        <w:tc>
          <w:tcPr>
            <w:tcW w:w="6307" w:type="dxa"/>
          </w:tcPr>
          <w:p w14:paraId="24F2447A" w14:textId="01B49EAB" w:rsidR="00424B9D" w:rsidRPr="003D1E62" w:rsidRDefault="00424B9D" w:rsidP="002602E7">
            <w:r>
              <w:t>Venclexta</w:t>
            </w:r>
            <w:r w:rsidR="008765C5">
              <w:t xml:space="preserve"> and Venclexta Starting Pack</w:t>
            </w:r>
          </w:p>
        </w:tc>
      </w:tr>
      <w:tr w:rsidR="00424B9D" w:rsidRPr="003D1E62" w14:paraId="30C6A74E" w14:textId="77777777" w:rsidTr="002602E7">
        <w:tc>
          <w:tcPr>
            <w:tcW w:w="2907" w:type="dxa"/>
          </w:tcPr>
          <w:p w14:paraId="2D5B65C5" w14:textId="415943F7" w:rsidR="00424B9D" w:rsidRPr="003D1E62" w:rsidRDefault="00424B9D" w:rsidP="002602E7">
            <w:pPr>
              <w:rPr>
                <w:i/>
              </w:rPr>
            </w:pPr>
            <w:r w:rsidRPr="00460036">
              <w:rPr>
                <w:i/>
              </w:rPr>
              <w:t>Active ingredient:</w:t>
            </w:r>
          </w:p>
        </w:tc>
        <w:tc>
          <w:tcPr>
            <w:tcW w:w="6307" w:type="dxa"/>
          </w:tcPr>
          <w:p w14:paraId="265BF4AF" w14:textId="18912403" w:rsidR="00424B9D" w:rsidRPr="003D1E62" w:rsidRDefault="00424B9D" w:rsidP="002602E7">
            <w:r>
              <w:rPr>
                <w:rFonts w:eastAsiaTheme="minorHAnsi" w:cs="Cambria"/>
              </w:rPr>
              <w:t>Venetoclax</w:t>
            </w:r>
          </w:p>
        </w:tc>
      </w:tr>
      <w:tr w:rsidR="00424B9D" w:rsidRPr="003D1E62" w14:paraId="68A04513" w14:textId="77777777" w:rsidTr="002602E7">
        <w:tc>
          <w:tcPr>
            <w:tcW w:w="2907" w:type="dxa"/>
          </w:tcPr>
          <w:p w14:paraId="500D2AFC" w14:textId="77777777" w:rsidR="00424B9D" w:rsidRPr="003D1E62" w:rsidRDefault="00424B9D" w:rsidP="002602E7">
            <w:r w:rsidRPr="003D1E62">
              <w:rPr>
                <w:i/>
              </w:rPr>
              <w:t>Decision</w:t>
            </w:r>
            <w:r w:rsidRPr="003D1E62">
              <w:t>:</w:t>
            </w:r>
          </w:p>
        </w:tc>
        <w:tc>
          <w:tcPr>
            <w:tcW w:w="6307" w:type="dxa"/>
          </w:tcPr>
          <w:p w14:paraId="2436E29C" w14:textId="33CB33AC" w:rsidR="00424B9D" w:rsidRPr="003D1E62" w:rsidRDefault="00424B9D" w:rsidP="002602E7">
            <w:r w:rsidRPr="00460036">
              <w:t>Approved</w:t>
            </w:r>
          </w:p>
        </w:tc>
      </w:tr>
      <w:tr w:rsidR="00424B9D" w:rsidRPr="003D1E62" w14:paraId="47E5B064" w14:textId="77777777" w:rsidTr="002602E7">
        <w:tc>
          <w:tcPr>
            <w:tcW w:w="2907" w:type="dxa"/>
          </w:tcPr>
          <w:p w14:paraId="6786D1E7" w14:textId="77777777" w:rsidR="00424B9D" w:rsidRPr="003D1E62" w:rsidRDefault="00424B9D" w:rsidP="002602E7">
            <w:pPr>
              <w:rPr>
                <w:i/>
              </w:rPr>
            </w:pPr>
            <w:r w:rsidRPr="003D1E62">
              <w:rPr>
                <w:i/>
              </w:rPr>
              <w:t xml:space="preserve">Date of </w:t>
            </w:r>
            <w:r>
              <w:rPr>
                <w:i/>
              </w:rPr>
              <w:t>d</w:t>
            </w:r>
            <w:r w:rsidRPr="003D1E62">
              <w:rPr>
                <w:i/>
              </w:rPr>
              <w:t>ecision:</w:t>
            </w:r>
          </w:p>
        </w:tc>
        <w:tc>
          <w:tcPr>
            <w:tcW w:w="6307" w:type="dxa"/>
          </w:tcPr>
          <w:p w14:paraId="3A2F6941" w14:textId="77777777" w:rsidR="00424B9D" w:rsidRPr="003D1E62" w:rsidRDefault="00424B9D" w:rsidP="002602E7">
            <w:r>
              <w:t>29 April 2020</w:t>
            </w:r>
          </w:p>
        </w:tc>
      </w:tr>
      <w:tr w:rsidR="00424B9D" w:rsidRPr="003D1E62" w14:paraId="69821938" w14:textId="77777777" w:rsidTr="002602E7">
        <w:tc>
          <w:tcPr>
            <w:tcW w:w="2907" w:type="dxa"/>
          </w:tcPr>
          <w:p w14:paraId="51ACB4A2" w14:textId="77777777" w:rsidR="00424B9D" w:rsidRPr="00441C3F" w:rsidRDefault="00424B9D" w:rsidP="002602E7">
            <w:pPr>
              <w:rPr>
                <w:i/>
              </w:rPr>
            </w:pPr>
            <w:r w:rsidRPr="00441C3F">
              <w:rPr>
                <w:i/>
              </w:rPr>
              <w:t>Date of entry onto ARTG</w:t>
            </w:r>
            <w:r>
              <w:rPr>
                <w:i/>
              </w:rPr>
              <w:t>:</w:t>
            </w:r>
          </w:p>
        </w:tc>
        <w:tc>
          <w:tcPr>
            <w:tcW w:w="6307" w:type="dxa"/>
          </w:tcPr>
          <w:p w14:paraId="699A8F8E" w14:textId="158A15A5" w:rsidR="00424B9D" w:rsidRPr="00441C3F" w:rsidRDefault="00424B9D" w:rsidP="002602E7">
            <w:pPr>
              <w:rPr>
                <w:i/>
              </w:rPr>
            </w:pPr>
            <w:r>
              <w:t>5 May 2020</w:t>
            </w:r>
          </w:p>
        </w:tc>
      </w:tr>
      <w:tr w:rsidR="00424B9D" w:rsidRPr="003D1E62" w14:paraId="4A97D6B5" w14:textId="77777777" w:rsidTr="002602E7">
        <w:tc>
          <w:tcPr>
            <w:tcW w:w="2907" w:type="dxa"/>
          </w:tcPr>
          <w:p w14:paraId="3F0E62FE" w14:textId="0B5915D9" w:rsidR="00424B9D" w:rsidRPr="00441C3F" w:rsidRDefault="00424B9D" w:rsidP="002602E7">
            <w:pPr>
              <w:rPr>
                <w:i/>
              </w:rPr>
            </w:pPr>
            <w:r>
              <w:rPr>
                <w:i/>
              </w:rPr>
              <w:t>ARTG numbers:</w:t>
            </w:r>
          </w:p>
        </w:tc>
        <w:tc>
          <w:tcPr>
            <w:tcW w:w="6307" w:type="dxa"/>
          </w:tcPr>
          <w:p w14:paraId="25F88876" w14:textId="77777777" w:rsidR="00424B9D" w:rsidRPr="00441C3F" w:rsidRDefault="00424B9D" w:rsidP="002602E7">
            <w:r>
              <w:t>267441, 267442, 267443, 267444, 267445</w:t>
            </w:r>
          </w:p>
        </w:tc>
      </w:tr>
      <w:tr w:rsidR="00424B9D" w:rsidRPr="003D1E62" w14:paraId="6E340809" w14:textId="77777777" w:rsidTr="002602E7">
        <w:tc>
          <w:tcPr>
            <w:tcW w:w="2907" w:type="dxa"/>
          </w:tcPr>
          <w:p w14:paraId="3E14AE4D" w14:textId="77777777" w:rsidR="00424B9D" w:rsidRDefault="00424B9D" w:rsidP="002602E7">
            <w:pPr>
              <w:rPr>
                <w:i/>
              </w:rPr>
            </w:pPr>
            <w:r>
              <w:rPr>
                <w:rFonts w:ascii="Wingdings 3" w:hAnsi="Wingdings 3"/>
                <w:sz w:val="34"/>
                <w:szCs w:val="34"/>
                <w:lang w:eastAsia="en-AU"/>
              </w:rPr>
              <w:t></w:t>
            </w:r>
            <w:r w:rsidRPr="003735BC">
              <w:rPr>
                <w:i/>
              </w:rPr>
              <w:t>Black Triangle Scheme</w:t>
            </w:r>
            <w:r>
              <w:rPr>
                <w:i/>
              </w:rPr>
              <w:t>:</w:t>
            </w:r>
            <w:bookmarkStart w:id="9" w:name="_Ref49760606"/>
            <w:r>
              <w:rPr>
                <w:rStyle w:val="FootnoteReference"/>
                <w:i/>
              </w:rPr>
              <w:footnoteReference w:id="1"/>
            </w:r>
            <w:bookmarkEnd w:id="9"/>
          </w:p>
        </w:tc>
        <w:tc>
          <w:tcPr>
            <w:tcW w:w="6307" w:type="dxa"/>
          </w:tcPr>
          <w:p w14:paraId="3A6FA3ED" w14:textId="73A7E871" w:rsidR="00424B9D" w:rsidRDefault="00424B9D" w:rsidP="002602E7">
            <w:r>
              <w:t>Yes</w:t>
            </w:r>
          </w:p>
          <w:p w14:paraId="1554B86E" w14:textId="2BA2D45B" w:rsidR="00424B9D" w:rsidRPr="00487162" w:rsidRDefault="00686EFE" w:rsidP="002602E7">
            <w:r w:rsidRPr="00686EFE">
              <w:t xml:space="preserve">This product will remain in the scheme for 5 years, starting on the date </w:t>
            </w:r>
            <w:r>
              <w:t xml:space="preserve">the new indication was </w:t>
            </w:r>
            <w:r w:rsidR="00D6412F">
              <w:t>registered</w:t>
            </w:r>
            <w:r>
              <w:t>.</w:t>
            </w:r>
          </w:p>
        </w:tc>
      </w:tr>
      <w:tr w:rsidR="00424B9D" w:rsidRPr="00487162" w14:paraId="149745F1" w14:textId="77777777" w:rsidTr="002602E7">
        <w:tc>
          <w:tcPr>
            <w:tcW w:w="2907" w:type="dxa"/>
          </w:tcPr>
          <w:p w14:paraId="74EF6315" w14:textId="77777777" w:rsidR="00424B9D" w:rsidRPr="00487162" w:rsidRDefault="00424B9D" w:rsidP="002602E7">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1EB92227" w14:textId="77777777" w:rsidR="00424B9D" w:rsidRDefault="00424B9D" w:rsidP="00CB5F25">
            <w:r>
              <w:t>AbbVie Pty Ltd</w:t>
            </w:r>
          </w:p>
          <w:p w14:paraId="3F600005" w14:textId="77777777" w:rsidR="00424B9D" w:rsidRDefault="00424B9D" w:rsidP="00CB5F25">
            <w:r>
              <w:t xml:space="preserve">241 </w:t>
            </w:r>
            <w:proofErr w:type="spellStart"/>
            <w:r>
              <w:t>O’Riordan</w:t>
            </w:r>
            <w:proofErr w:type="spellEnd"/>
            <w:r>
              <w:t xml:space="preserve"> Street</w:t>
            </w:r>
          </w:p>
          <w:p w14:paraId="60ED8F17" w14:textId="77777777" w:rsidR="00424B9D" w:rsidRPr="00487162" w:rsidRDefault="00424B9D" w:rsidP="002602E7">
            <w:r>
              <w:t>Mascot NSW 2020</w:t>
            </w:r>
          </w:p>
        </w:tc>
      </w:tr>
      <w:tr w:rsidR="00424B9D" w:rsidRPr="00487162" w14:paraId="7D8AB9D2" w14:textId="77777777" w:rsidTr="002602E7">
        <w:tc>
          <w:tcPr>
            <w:tcW w:w="2907" w:type="dxa"/>
          </w:tcPr>
          <w:p w14:paraId="0A62E733" w14:textId="20B96A46" w:rsidR="00424B9D" w:rsidRPr="00487162" w:rsidRDefault="00424B9D" w:rsidP="002602E7">
            <w:pPr>
              <w:rPr>
                <w:i/>
              </w:rPr>
            </w:pPr>
            <w:r>
              <w:rPr>
                <w:i/>
              </w:rPr>
              <w:t>Dose form:</w:t>
            </w:r>
          </w:p>
        </w:tc>
        <w:tc>
          <w:tcPr>
            <w:tcW w:w="6307" w:type="dxa"/>
          </w:tcPr>
          <w:p w14:paraId="0F4C4F4B" w14:textId="080BD2DC" w:rsidR="00424B9D" w:rsidRPr="00487162" w:rsidRDefault="00424B9D" w:rsidP="002602E7">
            <w:r>
              <w:rPr>
                <w:rFonts w:eastAsiaTheme="minorHAnsi" w:cs="Cambria"/>
              </w:rPr>
              <w:t>Film</w:t>
            </w:r>
            <w:r w:rsidR="00DA4318">
              <w:rPr>
                <w:rFonts w:eastAsiaTheme="minorHAnsi" w:cs="Cambria"/>
              </w:rPr>
              <w:t xml:space="preserve"> </w:t>
            </w:r>
            <w:r>
              <w:rPr>
                <w:rFonts w:eastAsiaTheme="minorHAnsi" w:cs="Cambria"/>
              </w:rPr>
              <w:t>coated tablet</w:t>
            </w:r>
          </w:p>
        </w:tc>
      </w:tr>
      <w:tr w:rsidR="00424B9D" w:rsidRPr="00487162" w14:paraId="043941E7" w14:textId="77777777" w:rsidTr="002602E7">
        <w:tc>
          <w:tcPr>
            <w:tcW w:w="2907" w:type="dxa"/>
          </w:tcPr>
          <w:p w14:paraId="4E07BBBA" w14:textId="7D724430" w:rsidR="00424B9D" w:rsidRPr="00487162" w:rsidRDefault="00424B9D" w:rsidP="002602E7">
            <w:pPr>
              <w:rPr>
                <w:i/>
              </w:rPr>
            </w:pPr>
            <w:r w:rsidRPr="00487162">
              <w:rPr>
                <w:i/>
              </w:rPr>
              <w:t>Strengths</w:t>
            </w:r>
          </w:p>
        </w:tc>
        <w:tc>
          <w:tcPr>
            <w:tcW w:w="6307" w:type="dxa"/>
          </w:tcPr>
          <w:p w14:paraId="19B9B3F3" w14:textId="77777777" w:rsidR="00424B9D" w:rsidRPr="00487162" w:rsidRDefault="00424B9D" w:rsidP="002602E7">
            <w:r>
              <w:t>10 mg, 50 mg, 100 mg</w:t>
            </w:r>
          </w:p>
        </w:tc>
      </w:tr>
      <w:tr w:rsidR="00424B9D" w:rsidRPr="00487162" w14:paraId="6A0A9A3E" w14:textId="77777777" w:rsidTr="002602E7">
        <w:tc>
          <w:tcPr>
            <w:tcW w:w="2907" w:type="dxa"/>
          </w:tcPr>
          <w:p w14:paraId="23A1FF7B" w14:textId="0470BB93" w:rsidR="00424B9D" w:rsidRPr="00487162" w:rsidRDefault="00424B9D" w:rsidP="002602E7">
            <w:pPr>
              <w:rPr>
                <w:i/>
              </w:rPr>
            </w:pPr>
            <w:r w:rsidRPr="00487162">
              <w:rPr>
                <w:i/>
              </w:rPr>
              <w:t>Containers:</w:t>
            </w:r>
          </w:p>
        </w:tc>
        <w:tc>
          <w:tcPr>
            <w:tcW w:w="6307" w:type="dxa"/>
          </w:tcPr>
          <w:p w14:paraId="18D2CCE1" w14:textId="73D8ADFF" w:rsidR="00424B9D" w:rsidRPr="00487162" w:rsidRDefault="00D6412F" w:rsidP="002602E7">
            <w:r>
              <w:t>Wallet (with blister pack), blister pack and bottle</w:t>
            </w:r>
          </w:p>
        </w:tc>
      </w:tr>
      <w:tr w:rsidR="00D6412F" w:rsidRPr="00487162" w14:paraId="6E116B2D" w14:textId="77777777" w:rsidTr="002602E7">
        <w:tc>
          <w:tcPr>
            <w:tcW w:w="2907" w:type="dxa"/>
          </w:tcPr>
          <w:p w14:paraId="33CC39CE" w14:textId="155CCB99" w:rsidR="00D6412F" w:rsidRPr="00487162" w:rsidRDefault="00D6412F" w:rsidP="00D6412F">
            <w:pPr>
              <w:rPr>
                <w:i/>
              </w:rPr>
            </w:pPr>
            <w:r w:rsidRPr="00487162">
              <w:rPr>
                <w:i/>
              </w:rPr>
              <w:t>Pack sizes:</w:t>
            </w:r>
          </w:p>
        </w:tc>
        <w:tc>
          <w:tcPr>
            <w:tcW w:w="6307" w:type="dxa"/>
          </w:tcPr>
          <w:p w14:paraId="3C2EF876" w14:textId="77777777" w:rsidR="00D6412F" w:rsidRDefault="00D6412F" w:rsidP="00D6412F">
            <w:r>
              <w:t>10 mg wallet: 14 tablets</w:t>
            </w:r>
          </w:p>
          <w:p w14:paraId="70FE9D68" w14:textId="77777777" w:rsidR="00D6412F" w:rsidRDefault="00D6412F" w:rsidP="00D6412F">
            <w:r>
              <w:t>50 mg wallet: 7 tablets</w:t>
            </w:r>
          </w:p>
          <w:p w14:paraId="72E9971D" w14:textId="77777777" w:rsidR="00D6412F" w:rsidRDefault="00D6412F" w:rsidP="00D6412F">
            <w:r>
              <w:t>100 mg bottle: 120 tablets, 180 tablets</w:t>
            </w:r>
          </w:p>
          <w:p w14:paraId="065728F4" w14:textId="77777777" w:rsidR="00D6412F" w:rsidRDefault="00D6412F" w:rsidP="00D6412F">
            <w:r>
              <w:t>100 mg blister pack: 7 tablets, 14 tablets and 112 tablets</w:t>
            </w:r>
          </w:p>
          <w:p w14:paraId="3CD26249" w14:textId="23FB7005" w:rsidR="00D6412F" w:rsidRPr="00487162" w:rsidRDefault="00D6412F" w:rsidP="00451F7F">
            <w:r>
              <w:t>Starting pack for CLL: 42 tablets (14 x 10 mg, 7 x 50 mg, 7 x 100 mg, 14 x 100 mg)</w:t>
            </w:r>
          </w:p>
        </w:tc>
      </w:tr>
      <w:tr w:rsidR="00D6412F" w:rsidRPr="00487162" w14:paraId="46E373B8" w14:textId="77777777" w:rsidTr="002602E7">
        <w:tc>
          <w:tcPr>
            <w:tcW w:w="2907" w:type="dxa"/>
          </w:tcPr>
          <w:p w14:paraId="2D498354" w14:textId="77777777" w:rsidR="00D6412F" w:rsidRPr="00487162" w:rsidRDefault="00D6412F" w:rsidP="00D6412F">
            <w:pPr>
              <w:rPr>
                <w:i/>
              </w:rPr>
            </w:pPr>
            <w:r w:rsidRPr="00487162">
              <w:rPr>
                <w:i/>
              </w:rPr>
              <w:t xml:space="preserve">Approved </w:t>
            </w:r>
            <w:r>
              <w:rPr>
                <w:i/>
              </w:rPr>
              <w:t>t</w:t>
            </w:r>
            <w:r w:rsidRPr="00487162">
              <w:rPr>
                <w:i/>
              </w:rPr>
              <w:t>herapeutic use:</w:t>
            </w:r>
          </w:p>
        </w:tc>
        <w:tc>
          <w:tcPr>
            <w:tcW w:w="6307" w:type="dxa"/>
          </w:tcPr>
          <w:p w14:paraId="17868E8D" w14:textId="77777777" w:rsidR="00D6412F" w:rsidRPr="00CB5F25" w:rsidRDefault="00D6412F" w:rsidP="00D6412F">
            <w:pPr>
              <w:rPr>
                <w:rFonts w:eastAsia="MS Mincho"/>
                <w:i/>
                <w:lang w:eastAsia="ja-JP"/>
              </w:rPr>
            </w:pPr>
            <w:r w:rsidRPr="00CB5F25">
              <w:rPr>
                <w:rFonts w:eastAsia="MS Mincho"/>
                <w:i/>
                <w:lang w:eastAsia="ja-JP"/>
              </w:rPr>
              <w:t>Chronic Lymphocytic Leukaemia /Small Lymphocytic Lymphoma</w:t>
            </w:r>
          </w:p>
          <w:p w14:paraId="783FE93B" w14:textId="1FFA5A0A" w:rsidR="00D6412F" w:rsidRPr="00487162" w:rsidRDefault="00D6412F" w:rsidP="00D6412F">
            <w:pPr>
              <w:rPr>
                <w:rFonts w:eastAsia="MS Mincho"/>
                <w:lang w:eastAsia="ja-JP"/>
              </w:rPr>
            </w:pPr>
            <w:r w:rsidRPr="00CB5F25">
              <w:rPr>
                <w:rFonts w:eastAsia="MS Mincho"/>
                <w:i/>
                <w:lang w:eastAsia="ja-JP"/>
              </w:rPr>
              <w:t xml:space="preserve">Venclexta in combination with </w:t>
            </w:r>
            <w:proofErr w:type="spellStart"/>
            <w:r w:rsidRPr="00CB5F25">
              <w:rPr>
                <w:rFonts w:eastAsia="MS Mincho"/>
                <w:i/>
                <w:lang w:eastAsia="ja-JP"/>
              </w:rPr>
              <w:t>obinutuzumab</w:t>
            </w:r>
            <w:proofErr w:type="spellEnd"/>
            <w:r w:rsidRPr="00CB5F25">
              <w:rPr>
                <w:rFonts w:eastAsia="MS Mincho"/>
                <w:i/>
                <w:lang w:eastAsia="ja-JP"/>
              </w:rPr>
              <w:t xml:space="preserve"> is indicated for the treatment of patients with chronic lymphocytic leukaemia (CLL) or small lymphocytic lymphoma (SLL) who are considered unfit or unsuitable for chemo-immunotherapy.</w:t>
            </w:r>
          </w:p>
        </w:tc>
      </w:tr>
      <w:tr w:rsidR="00D6412F" w:rsidRPr="00487162" w14:paraId="47DDBAA8" w14:textId="77777777" w:rsidTr="002602E7">
        <w:tc>
          <w:tcPr>
            <w:tcW w:w="2907" w:type="dxa"/>
          </w:tcPr>
          <w:p w14:paraId="1EDB3A47" w14:textId="625D0061" w:rsidR="00D6412F" w:rsidRPr="00487162" w:rsidRDefault="00D6412F" w:rsidP="00D6412F">
            <w:pPr>
              <w:rPr>
                <w:i/>
              </w:rPr>
            </w:pPr>
            <w:r w:rsidRPr="00487162">
              <w:rPr>
                <w:i/>
              </w:rPr>
              <w:lastRenderedPageBreak/>
              <w:t>Route of administration:</w:t>
            </w:r>
          </w:p>
        </w:tc>
        <w:tc>
          <w:tcPr>
            <w:tcW w:w="6307" w:type="dxa"/>
          </w:tcPr>
          <w:p w14:paraId="5B5786DD" w14:textId="24E485C5" w:rsidR="00D6412F" w:rsidRPr="00487162" w:rsidRDefault="00D6412F" w:rsidP="00D6412F">
            <w:r>
              <w:t>Oral</w:t>
            </w:r>
          </w:p>
        </w:tc>
      </w:tr>
      <w:tr w:rsidR="00D6412F" w:rsidRPr="00487162" w14:paraId="1AB342EE" w14:textId="77777777" w:rsidTr="002602E7">
        <w:tc>
          <w:tcPr>
            <w:tcW w:w="2907" w:type="dxa"/>
          </w:tcPr>
          <w:p w14:paraId="204E87DD" w14:textId="77777777" w:rsidR="00D6412F" w:rsidRPr="00487162" w:rsidRDefault="00D6412F" w:rsidP="00D6412F">
            <w:pPr>
              <w:spacing w:before="0" w:after="0"/>
              <w:rPr>
                <w:i/>
              </w:rPr>
            </w:pPr>
            <w:r w:rsidRPr="00487162">
              <w:rPr>
                <w:i/>
              </w:rPr>
              <w:t>Dosage:</w:t>
            </w:r>
          </w:p>
        </w:tc>
        <w:tc>
          <w:tcPr>
            <w:tcW w:w="6307" w:type="dxa"/>
          </w:tcPr>
          <w:p w14:paraId="7FBEF209" w14:textId="77777777" w:rsidR="00D6412F" w:rsidRPr="00BD20B1" w:rsidRDefault="00D6412F" w:rsidP="00CB5F25">
            <w:pPr>
              <w:rPr>
                <w:rFonts w:cs="Arial"/>
              </w:rPr>
            </w:pPr>
            <w:r w:rsidRPr="00BD20B1">
              <w:t>For patients with CLL or SLL:</w:t>
            </w:r>
          </w:p>
          <w:p w14:paraId="5B5851C8" w14:textId="77777777" w:rsidR="00D6412F" w:rsidRPr="00BD20B1" w:rsidRDefault="00D6412F" w:rsidP="00CB5F25">
            <w:pPr>
              <w:rPr>
                <w:rFonts w:cs="Arial"/>
              </w:rPr>
            </w:pPr>
            <w:r w:rsidRPr="00BD20B1">
              <w:rPr>
                <w:rFonts w:cs="Arial"/>
              </w:rPr>
              <w:t>Start on a low dose and gradually increase as follows:</w:t>
            </w:r>
          </w:p>
          <w:p w14:paraId="66465213" w14:textId="77777777" w:rsidR="00D6412F" w:rsidRPr="00BD20B1" w:rsidRDefault="00D6412F" w:rsidP="00CB5F25">
            <w:pPr>
              <w:pStyle w:val="ListBullet"/>
              <w:numPr>
                <w:ilvl w:val="0"/>
                <w:numId w:val="3"/>
              </w:numPr>
            </w:pPr>
            <w:r w:rsidRPr="00BD20B1">
              <w:t>Week 1: Take two 10 mg tablets together once every day</w:t>
            </w:r>
          </w:p>
          <w:p w14:paraId="32C79CBD" w14:textId="77777777" w:rsidR="00D6412F" w:rsidRPr="00BD20B1" w:rsidRDefault="00D6412F" w:rsidP="00CB5F25">
            <w:pPr>
              <w:pStyle w:val="ListBullet"/>
              <w:numPr>
                <w:ilvl w:val="0"/>
                <w:numId w:val="3"/>
              </w:numPr>
            </w:pPr>
            <w:r w:rsidRPr="00BD20B1">
              <w:t>Week 2: Take one 50 mg tablet once every day</w:t>
            </w:r>
          </w:p>
          <w:p w14:paraId="2ED4BF79" w14:textId="77777777" w:rsidR="00D6412F" w:rsidRPr="00BD20B1" w:rsidRDefault="00D6412F" w:rsidP="00CB5F25">
            <w:pPr>
              <w:pStyle w:val="ListBullet"/>
              <w:numPr>
                <w:ilvl w:val="0"/>
                <w:numId w:val="3"/>
              </w:numPr>
            </w:pPr>
            <w:r w:rsidRPr="00BD20B1">
              <w:t>Week 3: Take one 100 mg tablet once every day</w:t>
            </w:r>
          </w:p>
          <w:p w14:paraId="32C2635E" w14:textId="77777777" w:rsidR="00D6412F" w:rsidRPr="00BD20B1" w:rsidRDefault="00D6412F" w:rsidP="00CB5F25">
            <w:pPr>
              <w:pStyle w:val="ListBullet"/>
              <w:numPr>
                <w:ilvl w:val="0"/>
                <w:numId w:val="3"/>
              </w:numPr>
            </w:pPr>
            <w:r w:rsidRPr="00BD20B1">
              <w:t>Week 4: Take two 100 mg tablets together once every</w:t>
            </w:r>
            <w:r>
              <w:t xml:space="preserve"> </w:t>
            </w:r>
            <w:r w:rsidRPr="00BD20B1">
              <w:t>day</w:t>
            </w:r>
          </w:p>
          <w:p w14:paraId="666AE1E4" w14:textId="77777777" w:rsidR="00D6412F" w:rsidRPr="00BD20B1" w:rsidRDefault="00D6412F" w:rsidP="00CB5F25">
            <w:pPr>
              <w:pStyle w:val="ListBullet"/>
              <w:numPr>
                <w:ilvl w:val="0"/>
                <w:numId w:val="3"/>
              </w:numPr>
            </w:pPr>
            <w:r w:rsidRPr="00BD20B1">
              <w:t>Week 5: Take four 100 mg tablets all together once every</w:t>
            </w:r>
            <w:r>
              <w:t xml:space="preserve"> </w:t>
            </w:r>
            <w:r w:rsidRPr="00BD20B1">
              <w:t>day</w:t>
            </w:r>
          </w:p>
          <w:p w14:paraId="2D68D261" w14:textId="6DECAC0F" w:rsidR="00D6412F" w:rsidRPr="00BD20B1" w:rsidRDefault="00D6412F" w:rsidP="00CB5F25">
            <w:pPr>
              <w:rPr>
                <w:rFonts w:cs="Arial"/>
              </w:rPr>
            </w:pPr>
            <w:r w:rsidRPr="00BD20B1">
              <w:rPr>
                <w:rFonts w:cs="Arial"/>
              </w:rPr>
              <w:t xml:space="preserve">After </w:t>
            </w:r>
            <w:r>
              <w:rPr>
                <w:rFonts w:cs="Arial"/>
              </w:rPr>
              <w:t>W</w:t>
            </w:r>
            <w:r w:rsidRPr="00BD20B1">
              <w:rPr>
                <w:rFonts w:cs="Arial"/>
              </w:rPr>
              <w:t>eek 5, continue to take four 100 mg tablets all</w:t>
            </w:r>
            <w:r>
              <w:rPr>
                <w:rFonts w:cs="Arial"/>
              </w:rPr>
              <w:t xml:space="preserve"> </w:t>
            </w:r>
            <w:r w:rsidRPr="00BD20B1">
              <w:rPr>
                <w:rFonts w:cs="Arial"/>
              </w:rPr>
              <w:t>together once every day.</w:t>
            </w:r>
          </w:p>
          <w:p w14:paraId="11DB0749" w14:textId="1A1EEF34" w:rsidR="00D6412F" w:rsidRPr="00CB5F25" w:rsidRDefault="00D6412F" w:rsidP="00D6412F">
            <w:pPr>
              <w:spacing w:before="0" w:after="0" w:line="240" w:lineRule="auto"/>
            </w:pPr>
            <w:r w:rsidRPr="00BD20B1">
              <w:t>For further information regarding dosage, refer to the Product Information.</w:t>
            </w:r>
          </w:p>
        </w:tc>
      </w:tr>
      <w:tr w:rsidR="00D6412F" w:rsidRPr="00487162" w14:paraId="5F8F581A" w14:textId="77777777" w:rsidTr="002602E7">
        <w:tc>
          <w:tcPr>
            <w:tcW w:w="2907" w:type="dxa"/>
          </w:tcPr>
          <w:p w14:paraId="6A1B5BE8" w14:textId="77777777" w:rsidR="00D6412F" w:rsidRPr="00487162" w:rsidRDefault="00D6412F" w:rsidP="00D6412F">
            <w:pPr>
              <w:rPr>
                <w:i/>
              </w:rPr>
            </w:pPr>
            <w:r w:rsidRPr="00460036">
              <w:rPr>
                <w:i/>
              </w:rPr>
              <w:t>Pregnancy category</w:t>
            </w:r>
            <w:r>
              <w:rPr>
                <w:i/>
              </w:rPr>
              <w:t>:</w:t>
            </w:r>
          </w:p>
        </w:tc>
        <w:tc>
          <w:tcPr>
            <w:tcW w:w="6307" w:type="dxa"/>
          </w:tcPr>
          <w:p w14:paraId="36A1BD02" w14:textId="77777777" w:rsidR="00D6412F" w:rsidRDefault="00D6412F" w:rsidP="00D6412F">
            <w:pPr>
              <w:rPr>
                <w:rFonts w:eastAsia="Times New Roman"/>
                <w:lang w:val="en"/>
              </w:rPr>
            </w:pPr>
            <w:r>
              <w:rPr>
                <w:lang w:val="en"/>
              </w:rPr>
              <w:t>Category C</w:t>
            </w:r>
          </w:p>
          <w:p w14:paraId="75DCB483" w14:textId="77777777" w:rsidR="00D6412F" w:rsidRDefault="00D6412F" w:rsidP="00D6412F">
            <w:pPr>
              <w:rPr>
                <w:rFonts w:ascii="Times New Roman" w:hAnsi="Times New Roman"/>
                <w:color w:val="000000"/>
                <w:sz w:val="24"/>
                <w:szCs w:val="24"/>
                <w:lang w:val="en"/>
              </w:rPr>
            </w:pPr>
            <w:r>
              <w:rPr>
                <w:color w:val="000000"/>
                <w:lang w:val="en"/>
              </w:rPr>
              <w:t>Drugs which, owing to their pharmacological effects, have caused or may be suspected of causing, harmful effects on the human fetus or neonate without causing malformations. These effects may be reversible. Accompanying texts should be consulted for further details.</w:t>
            </w:r>
          </w:p>
          <w:p w14:paraId="16554045" w14:textId="2FCB6812" w:rsidR="00D6412F" w:rsidRPr="00487162" w:rsidRDefault="00D6412F" w:rsidP="00D6412F">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1933D0C3" w14:textId="77777777" w:rsidR="00424B9D" w:rsidRDefault="00424B9D" w:rsidP="00424B9D">
      <w:pPr>
        <w:pStyle w:val="Heading3"/>
      </w:pPr>
      <w:bookmarkStart w:id="10" w:name="_Toc247691503"/>
      <w:bookmarkStart w:id="11" w:name="_Toc314842484"/>
      <w:bookmarkStart w:id="12" w:name="_Toc54165847"/>
      <w:r>
        <w:t>Product background</w:t>
      </w:r>
      <w:bookmarkEnd w:id="10"/>
      <w:bookmarkEnd w:id="11"/>
      <w:bookmarkEnd w:id="12"/>
    </w:p>
    <w:p w14:paraId="73DC9138" w14:textId="77777777" w:rsidR="00424B9D" w:rsidRDefault="00424B9D" w:rsidP="00424B9D">
      <w:r w:rsidRPr="00250271">
        <w:t>This AusPA</w:t>
      </w:r>
      <w:r>
        <w:t>R describes the application by AbbVie Pty Ltd (the sponsor) to register Venclexta</w:t>
      </w:r>
      <w:r w:rsidRPr="00250271">
        <w:t xml:space="preserve"> </w:t>
      </w:r>
      <w:r>
        <w:t>(</w:t>
      </w:r>
      <w:proofErr w:type="spellStart"/>
      <w:r>
        <w:t>venetoclax</w:t>
      </w:r>
      <w:proofErr w:type="spellEnd"/>
      <w:r>
        <w:t>)</w:t>
      </w:r>
      <w:r w:rsidRPr="00250271">
        <w:t xml:space="preserve"> </w:t>
      </w:r>
      <w:r>
        <w:t xml:space="preserve">10 mg, 50 mg, 100 mg </w:t>
      </w:r>
      <w:r>
        <w:rPr>
          <w:rFonts w:eastAsiaTheme="minorHAnsi" w:cs="Cambria"/>
        </w:rPr>
        <w:t>film-coated tablet</w:t>
      </w:r>
      <w:r w:rsidRPr="00250271">
        <w:t xml:space="preserve"> for the following proposed extension of indications</w:t>
      </w:r>
      <w:r>
        <w:t>:</w:t>
      </w:r>
    </w:p>
    <w:p w14:paraId="19E65D0B" w14:textId="0BF8CFAD" w:rsidR="00424B9D" w:rsidRPr="00D15274" w:rsidRDefault="00A954E4" w:rsidP="00CB5F25">
      <w:pPr>
        <w:ind w:left="720"/>
      </w:pPr>
      <w:r w:rsidRPr="0068381F">
        <w:rPr>
          <w:rFonts w:eastAsia="MS Mincho"/>
          <w:i/>
          <w:lang w:eastAsia="ja-JP"/>
        </w:rPr>
        <w:t>Venclexta is indicated for the treatment of patients with chronic lymphocytic leukaemia (CLL) or small lymphocytic lymphoma (SLL)</w:t>
      </w:r>
      <w:r>
        <w:rPr>
          <w:rFonts w:eastAsia="MS Mincho"/>
          <w:i/>
          <w:lang w:eastAsia="ja-JP"/>
        </w:rPr>
        <w:t>.</w:t>
      </w:r>
    </w:p>
    <w:p w14:paraId="5F8E6589" w14:textId="65446FCF" w:rsidR="00424B9D" w:rsidRDefault="00424B9D" w:rsidP="00CB5F25">
      <w:pPr>
        <w:rPr>
          <w:rFonts w:asciiTheme="minorHAnsi" w:hAnsiTheme="minorHAnsi"/>
        </w:rPr>
      </w:pPr>
      <w:r>
        <w:rPr>
          <w:rFonts w:asciiTheme="minorHAnsi" w:hAnsiTheme="minorHAnsi"/>
        </w:rPr>
        <w:t>C</w:t>
      </w:r>
      <w:r w:rsidR="00591867">
        <w:rPr>
          <w:rFonts w:asciiTheme="minorHAnsi" w:hAnsiTheme="minorHAnsi"/>
        </w:rPr>
        <w:t>hronic lymphocytic lymphoma (C</w:t>
      </w:r>
      <w:r w:rsidRPr="00D15274">
        <w:rPr>
          <w:rFonts w:asciiTheme="minorHAnsi" w:hAnsiTheme="minorHAnsi"/>
        </w:rPr>
        <w:t>LL</w:t>
      </w:r>
      <w:r w:rsidR="00591867">
        <w:rPr>
          <w:rFonts w:asciiTheme="minorHAnsi" w:hAnsiTheme="minorHAnsi"/>
        </w:rPr>
        <w:t>)</w:t>
      </w:r>
      <w:r w:rsidRPr="00D15274">
        <w:rPr>
          <w:rFonts w:asciiTheme="minorHAnsi" w:hAnsiTheme="minorHAnsi"/>
        </w:rPr>
        <w:t xml:space="preserve"> is the most common form of adult </w:t>
      </w:r>
      <w:r>
        <w:rPr>
          <w:rFonts w:asciiTheme="minorHAnsi" w:hAnsiTheme="minorHAnsi"/>
        </w:rPr>
        <w:t>leukaemia.</w:t>
      </w:r>
      <w:r w:rsidRPr="00D15274">
        <w:rPr>
          <w:rFonts w:asciiTheme="minorHAnsi" w:hAnsiTheme="minorHAnsi"/>
        </w:rPr>
        <w:t xml:space="preserve"> </w:t>
      </w:r>
      <w:r>
        <w:rPr>
          <w:rFonts w:asciiTheme="minorHAnsi" w:hAnsiTheme="minorHAnsi"/>
        </w:rPr>
        <w:t>I</w:t>
      </w:r>
      <w:r w:rsidRPr="00D15274">
        <w:rPr>
          <w:rFonts w:asciiTheme="minorHAnsi" w:hAnsiTheme="minorHAnsi"/>
        </w:rPr>
        <w:t>t is a relatively rare condition</w:t>
      </w:r>
      <w:r w:rsidR="00D6412F">
        <w:rPr>
          <w:rFonts w:asciiTheme="minorHAnsi" w:hAnsiTheme="minorHAnsi"/>
        </w:rPr>
        <w:t>,</w:t>
      </w:r>
      <w:r w:rsidRPr="00D15274">
        <w:rPr>
          <w:rFonts w:asciiTheme="minorHAnsi" w:hAnsiTheme="minorHAnsi"/>
        </w:rPr>
        <w:t xml:space="preserve"> with </w:t>
      </w:r>
      <w:r w:rsidRPr="00D15274">
        <w:rPr>
          <w:rFonts w:asciiTheme="minorHAnsi" w:hAnsiTheme="minorHAnsi"/>
          <w:lang w:eastAsia="ja-JP"/>
        </w:rPr>
        <w:t xml:space="preserve">approximately </w:t>
      </w:r>
      <w:r w:rsidRPr="00D15274">
        <w:rPr>
          <w:rFonts w:asciiTheme="minorHAnsi" w:hAnsiTheme="minorHAnsi"/>
        </w:rPr>
        <w:t>1400 people diagnosed each year in Australia</w:t>
      </w:r>
      <w:r w:rsidR="00734913">
        <w:rPr>
          <w:rFonts w:asciiTheme="minorHAnsi" w:hAnsiTheme="minorHAnsi"/>
        </w:rPr>
        <w:t>.</w:t>
      </w:r>
      <w:r w:rsidR="000E602D">
        <w:rPr>
          <w:rStyle w:val="FootnoteReference"/>
          <w:rFonts w:asciiTheme="minorHAnsi" w:hAnsiTheme="minorHAnsi"/>
        </w:rPr>
        <w:footnoteReference w:id="2"/>
      </w:r>
      <w:r w:rsidR="000E602D">
        <w:rPr>
          <w:rFonts w:asciiTheme="minorHAnsi" w:hAnsiTheme="minorHAnsi"/>
        </w:rPr>
        <w:t xml:space="preserve"> CL</w:t>
      </w:r>
      <w:r w:rsidRPr="00D15274">
        <w:rPr>
          <w:rFonts w:asciiTheme="minorHAnsi" w:hAnsiTheme="minorHAnsi"/>
        </w:rPr>
        <w:t>L is largely a disease of the elderly, with around 80% of new CLL cases occurring in people over the age of 60, and is more common in men.</w:t>
      </w:r>
    </w:p>
    <w:p w14:paraId="70FC8ED2" w14:textId="1FBAB3CD" w:rsidR="00424B9D" w:rsidRDefault="00424B9D" w:rsidP="00E77CAB">
      <w:r w:rsidRPr="00887105">
        <w:rPr>
          <w:rFonts w:asciiTheme="minorHAnsi" w:hAnsiTheme="minorHAnsi"/>
        </w:rPr>
        <w:t xml:space="preserve">CLL </w:t>
      </w:r>
      <w:r w:rsidR="00DA4318">
        <w:rPr>
          <w:rFonts w:asciiTheme="minorHAnsi" w:hAnsiTheme="minorHAnsi"/>
        </w:rPr>
        <w:t>and</w:t>
      </w:r>
      <w:r>
        <w:rPr>
          <w:rFonts w:asciiTheme="minorHAnsi" w:hAnsiTheme="minorHAnsi"/>
        </w:rPr>
        <w:t xml:space="preserve"> </w:t>
      </w:r>
      <w:r w:rsidR="00591867">
        <w:rPr>
          <w:rFonts w:asciiTheme="minorHAnsi" w:hAnsiTheme="minorHAnsi"/>
        </w:rPr>
        <w:t>small lymphocytic lymphoma (</w:t>
      </w:r>
      <w:r>
        <w:rPr>
          <w:rFonts w:asciiTheme="minorHAnsi" w:hAnsiTheme="minorHAnsi"/>
        </w:rPr>
        <w:t>SLL</w:t>
      </w:r>
      <w:r w:rsidR="00591867">
        <w:rPr>
          <w:rFonts w:asciiTheme="minorHAnsi" w:hAnsiTheme="minorHAnsi"/>
        </w:rPr>
        <w:t>)</w:t>
      </w:r>
      <w:r w:rsidRPr="00887105">
        <w:rPr>
          <w:rFonts w:asciiTheme="minorHAnsi" w:hAnsiTheme="minorHAnsi"/>
        </w:rPr>
        <w:t xml:space="preserve"> are generally described as different manifestations of the same disease, with the term CLL used when the disease manifests primarily in the bone marrow and blood and the term SLL used when involvement is primarily nodal. Presen</w:t>
      </w:r>
      <w:r>
        <w:rPr>
          <w:rFonts w:asciiTheme="minorHAnsi" w:hAnsiTheme="minorHAnsi"/>
        </w:rPr>
        <w:t xml:space="preserve">tation as SLL is less common at approximately </w:t>
      </w:r>
      <w:r w:rsidRPr="00887105">
        <w:rPr>
          <w:rFonts w:asciiTheme="minorHAnsi" w:hAnsiTheme="minorHAnsi"/>
        </w:rPr>
        <w:t xml:space="preserve">5% of patients. The </w:t>
      </w:r>
      <w:r w:rsidRPr="00887105">
        <w:rPr>
          <w:rFonts w:asciiTheme="minorHAnsi" w:hAnsiTheme="minorHAnsi"/>
        </w:rPr>
        <w:lastRenderedPageBreak/>
        <w:t xml:space="preserve">2016 </w:t>
      </w:r>
      <w:r w:rsidR="00870A49">
        <w:rPr>
          <w:rFonts w:asciiTheme="minorHAnsi" w:hAnsiTheme="minorHAnsi"/>
        </w:rPr>
        <w:t>World Health Organization (</w:t>
      </w:r>
      <w:r w:rsidRPr="00887105">
        <w:rPr>
          <w:rFonts w:asciiTheme="minorHAnsi" w:hAnsiTheme="minorHAnsi"/>
        </w:rPr>
        <w:t>WHO</w:t>
      </w:r>
      <w:r w:rsidR="00870A49">
        <w:rPr>
          <w:rFonts w:asciiTheme="minorHAnsi" w:hAnsiTheme="minorHAnsi"/>
        </w:rPr>
        <w:t>)</w:t>
      </w:r>
      <w:r w:rsidRPr="00887105">
        <w:rPr>
          <w:rFonts w:asciiTheme="minorHAnsi" w:hAnsiTheme="minorHAnsi"/>
        </w:rPr>
        <w:t xml:space="preserve"> classification of mature lymphoid neoplasms</w:t>
      </w:r>
      <w:r w:rsidR="00911B38">
        <w:rPr>
          <w:rFonts w:asciiTheme="minorHAnsi" w:hAnsiTheme="minorHAnsi"/>
        </w:rPr>
        <w:t xml:space="preserve"> </w:t>
      </w:r>
      <w:r>
        <w:rPr>
          <w:rFonts w:asciiTheme="minorHAnsi" w:hAnsiTheme="minorHAnsi"/>
        </w:rPr>
        <w:t xml:space="preserve">refers to </w:t>
      </w:r>
      <w:r w:rsidR="00591867">
        <w:rPr>
          <w:rFonts w:asciiTheme="minorHAnsi" w:hAnsiTheme="minorHAnsi"/>
        </w:rPr>
        <w:t xml:space="preserve">both </w:t>
      </w:r>
      <w:r w:rsidR="00267F69">
        <w:rPr>
          <w:rFonts w:asciiTheme="minorHAnsi" w:hAnsiTheme="minorHAnsi"/>
        </w:rPr>
        <w:t xml:space="preserve">manifestations as </w:t>
      </w:r>
      <w:r w:rsidR="00591867">
        <w:rPr>
          <w:rFonts w:asciiTheme="minorHAnsi" w:hAnsiTheme="minorHAnsi"/>
        </w:rPr>
        <w:t>‘</w:t>
      </w:r>
      <w:r>
        <w:rPr>
          <w:rFonts w:asciiTheme="minorHAnsi" w:hAnsiTheme="minorHAnsi"/>
        </w:rPr>
        <w:t>CLL/SLL</w:t>
      </w:r>
      <w:r w:rsidR="00267F69">
        <w:rPr>
          <w:rFonts w:asciiTheme="minorHAnsi" w:hAnsiTheme="minorHAnsi"/>
        </w:rPr>
        <w:t>’</w:t>
      </w:r>
      <w:r w:rsidR="00591867">
        <w:rPr>
          <w:rFonts w:asciiTheme="minorHAnsi" w:hAnsiTheme="minorHAnsi"/>
        </w:rPr>
        <w:t>;</w:t>
      </w:r>
      <w:r w:rsidR="005E20D9">
        <w:rPr>
          <w:rStyle w:val="FootnoteReference"/>
          <w:rFonts w:asciiTheme="minorHAnsi" w:hAnsiTheme="minorHAnsi"/>
        </w:rPr>
        <w:footnoteReference w:id="3"/>
      </w:r>
      <w:r>
        <w:rPr>
          <w:rFonts w:asciiTheme="minorHAnsi" w:hAnsiTheme="minorHAnsi"/>
        </w:rPr>
        <w:t xml:space="preserve"> that is,</w:t>
      </w:r>
      <w:r w:rsidR="00267F69">
        <w:rPr>
          <w:rFonts w:asciiTheme="minorHAnsi" w:hAnsiTheme="minorHAnsi"/>
        </w:rPr>
        <w:t xml:space="preserve"> classed</w:t>
      </w:r>
      <w:r>
        <w:rPr>
          <w:rFonts w:asciiTheme="minorHAnsi" w:hAnsiTheme="minorHAnsi"/>
        </w:rPr>
        <w:t xml:space="preserve"> </w:t>
      </w:r>
      <w:r w:rsidRPr="00887105">
        <w:rPr>
          <w:rFonts w:asciiTheme="minorHAnsi" w:hAnsiTheme="minorHAnsi"/>
        </w:rPr>
        <w:t>as a single entity.</w:t>
      </w:r>
    </w:p>
    <w:p w14:paraId="2C817FD7" w14:textId="35CCB766" w:rsidR="00424B9D" w:rsidRDefault="00424B9D" w:rsidP="00E77CAB">
      <w:pPr>
        <w:rPr>
          <w:rFonts w:asciiTheme="minorHAnsi" w:hAnsiTheme="minorHAnsi"/>
        </w:rPr>
      </w:pPr>
      <w:r w:rsidRPr="00407239">
        <w:rPr>
          <w:rFonts w:asciiTheme="minorHAnsi" w:hAnsiTheme="minorHAnsi"/>
        </w:rPr>
        <w:t xml:space="preserve">As current treatments are not curative, and the course is most commonly indolent, management </w:t>
      </w:r>
      <w:r>
        <w:rPr>
          <w:rFonts w:asciiTheme="minorHAnsi" w:hAnsiTheme="minorHAnsi"/>
        </w:rPr>
        <w:t>usually commences with</w:t>
      </w:r>
      <w:r w:rsidRPr="00407239">
        <w:rPr>
          <w:rFonts w:asciiTheme="minorHAnsi" w:hAnsiTheme="minorHAnsi"/>
        </w:rPr>
        <w:t xml:space="preserve"> watchful waiting</w:t>
      </w:r>
      <w:r>
        <w:rPr>
          <w:rFonts w:asciiTheme="minorHAnsi" w:hAnsiTheme="minorHAnsi"/>
        </w:rPr>
        <w:t>. T</w:t>
      </w:r>
      <w:r w:rsidRPr="00407239">
        <w:rPr>
          <w:rFonts w:asciiTheme="minorHAnsi" w:hAnsiTheme="minorHAnsi"/>
        </w:rPr>
        <w:t>reatment</w:t>
      </w:r>
      <w:r>
        <w:rPr>
          <w:rFonts w:asciiTheme="minorHAnsi" w:hAnsiTheme="minorHAnsi"/>
        </w:rPr>
        <w:t xml:space="preserve"> is</w:t>
      </w:r>
      <w:r w:rsidRPr="00407239">
        <w:rPr>
          <w:rFonts w:asciiTheme="minorHAnsi" w:hAnsiTheme="minorHAnsi"/>
        </w:rPr>
        <w:t xml:space="preserve"> introduced when symptoms or complications </w:t>
      </w:r>
      <w:r w:rsidRPr="00917995">
        <w:rPr>
          <w:rFonts w:asciiTheme="minorHAnsi" w:hAnsiTheme="minorHAnsi"/>
        </w:rPr>
        <w:t>develop</w:t>
      </w:r>
      <w:r>
        <w:rPr>
          <w:rFonts w:asciiTheme="minorHAnsi" w:hAnsiTheme="minorHAnsi"/>
        </w:rPr>
        <w:t xml:space="preserve">, with the </w:t>
      </w:r>
      <w:r w:rsidRPr="00407239">
        <w:rPr>
          <w:rFonts w:asciiTheme="minorHAnsi" w:hAnsiTheme="minorHAnsi"/>
        </w:rPr>
        <w:t>goals of symptom reduction</w:t>
      </w:r>
      <w:r>
        <w:rPr>
          <w:rFonts w:asciiTheme="minorHAnsi" w:hAnsiTheme="minorHAnsi"/>
        </w:rPr>
        <w:t xml:space="preserve"> and </w:t>
      </w:r>
      <w:r w:rsidRPr="00407239">
        <w:rPr>
          <w:rFonts w:asciiTheme="minorHAnsi" w:hAnsiTheme="minorHAnsi"/>
        </w:rPr>
        <w:t>improved survival whilst maintaining quality of life.</w:t>
      </w:r>
    </w:p>
    <w:p w14:paraId="746CC8C9" w14:textId="0C35E143" w:rsidR="00424B9D" w:rsidRPr="00D15274" w:rsidRDefault="00424B9D" w:rsidP="00E77CAB">
      <w:pPr>
        <w:rPr>
          <w:rFonts w:asciiTheme="minorHAnsi" w:hAnsiTheme="minorHAnsi"/>
        </w:rPr>
      </w:pPr>
      <w:r w:rsidRPr="00D15274">
        <w:rPr>
          <w:rFonts w:asciiTheme="minorHAnsi" w:hAnsiTheme="minorHAnsi"/>
        </w:rPr>
        <w:t>The backbone of treatment for CLL has been chemo-immunotherapy but patient ill health, drug toxicity and/or molecular genetics of the tumour strongly determine the choice of regimen. There is a clinical demand for lower toxicity regimens for older and less fit patients.</w:t>
      </w:r>
    </w:p>
    <w:p w14:paraId="528FDA43" w14:textId="0A0F81B6" w:rsidR="00424B9D" w:rsidRDefault="00424B9D" w:rsidP="00E77CAB">
      <w:r w:rsidRPr="007F4DBA">
        <w:rPr>
          <w:rFonts w:asciiTheme="minorHAnsi" w:hAnsiTheme="minorHAnsi"/>
        </w:rPr>
        <w:t>There has been a rapid evolution of management for CLL, with novel biological medicines becoming available to allow combinations with synergistic mechanisms of action.</w:t>
      </w:r>
    </w:p>
    <w:p w14:paraId="07CF0441" w14:textId="1BB046E4" w:rsidR="00090B2F" w:rsidRDefault="00424B9D" w:rsidP="00E77CAB">
      <w:pPr>
        <w:rPr>
          <w:rFonts w:asciiTheme="minorHAnsi" w:hAnsiTheme="minorHAnsi"/>
        </w:rPr>
      </w:pPr>
      <w:r>
        <w:rPr>
          <w:rFonts w:asciiTheme="minorHAnsi" w:hAnsiTheme="minorHAnsi"/>
        </w:rPr>
        <w:t xml:space="preserve">Venetoclax </w:t>
      </w:r>
      <w:r w:rsidRPr="007F4DBA">
        <w:rPr>
          <w:rFonts w:asciiTheme="minorHAnsi" w:hAnsiTheme="minorHAnsi"/>
        </w:rPr>
        <w:t>is a small molecule inhibitor of B-</w:t>
      </w:r>
      <w:r w:rsidR="00A954E4">
        <w:rPr>
          <w:rFonts w:asciiTheme="minorHAnsi" w:hAnsiTheme="minorHAnsi"/>
        </w:rPr>
        <w:t>c</w:t>
      </w:r>
      <w:r w:rsidRPr="007F4DBA">
        <w:rPr>
          <w:rFonts w:asciiTheme="minorHAnsi" w:hAnsiTheme="minorHAnsi"/>
        </w:rPr>
        <w:t>ell lymphoma 2 (BCL-2), a molecule which suppresses apoptosis in lymphoid cells and has been shown to have an i</w:t>
      </w:r>
      <w:r>
        <w:rPr>
          <w:rFonts w:asciiTheme="minorHAnsi" w:hAnsiTheme="minorHAnsi"/>
        </w:rPr>
        <w:t>mportant role in maintaining CLL</w:t>
      </w:r>
      <w:r w:rsidRPr="007F4DBA">
        <w:rPr>
          <w:rFonts w:asciiTheme="minorHAnsi" w:hAnsiTheme="minorHAnsi"/>
        </w:rPr>
        <w:t xml:space="preserve">. Inhibition of BCL-2 induces apoptosis in sensitive cells and has demonstrated activity against </w:t>
      </w:r>
      <w:r>
        <w:rPr>
          <w:rFonts w:asciiTheme="minorHAnsi" w:hAnsiTheme="minorHAnsi"/>
        </w:rPr>
        <w:t>a</w:t>
      </w:r>
      <w:r w:rsidRPr="007F4DBA">
        <w:rPr>
          <w:rFonts w:asciiTheme="minorHAnsi" w:hAnsiTheme="minorHAnsi"/>
        </w:rPr>
        <w:t xml:space="preserve">cute </w:t>
      </w:r>
      <w:r>
        <w:rPr>
          <w:rFonts w:asciiTheme="minorHAnsi" w:hAnsiTheme="minorHAnsi"/>
        </w:rPr>
        <w:t>m</w:t>
      </w:r>
      <w:r w:rsidRPr="007F4DBA">
        <w:rPr>
          <w:rFonts w:asciiTheme="minorHAnsi" w:hAnsiTheme="minorHAnsi"/>
        </w:rPr>
        <w:t xml:space="preserve">yeloid </w:t>
      </w:r>
      <w:r>
        <w:rPr>
          <w:rFonts w:asciiTheme="minorHAnsi" w:hAnsiTheme="minorHAnsi"/>
        </w:rPr>
        <w:t>l</w:t>
      </w:r>
      <w:r w:rsidRPr="007F4DBA">
        <w:rPr>
          <w:rFonts w:asciiTheme="minorHAnsi" w:hAnsiTheme="minorHAnsi"/>
        </w:rPr>
        <w:t>eukaemia (AML) and CLL.</w:t>
      </w:r>
    </w:p>
    <w:p w14:paraId="065A064A" w14:textId="0BD8F1FF" w:rsidR="00424B9D" w:rsidRPr="00CB5F25" w:rsidRDefault="00D02117" w:rsidP="00E77CAB">
      <w:pPr>
        <w:rPr>
          <w:rFonts w:asciiTheme="minorHAnsi" w:hAnsiTheme="minorHAnsi"/>
        </w:rPr>
      </w:pPr>
      <w:proofErr w:type="spellStart"/>
      <w:r>
        <w:rPr>
          <w:rFonts w:asciiTheme="minorHAnsi" w:hAnsiTheme="minorHAnsi"/>
        </w:rPr>
        <w:t>Obinutuzumab</w:t>
      </w:r>
      <w:proofErr w:type="spellEnd"/>
      <w:r w:rsidR="00090B2F" w:rsidRPr="00090B2F">
        <w:rPr>
          <w:rFonts w:asciiTheme="minorHAnsi" w:hAnsiTheme="minorHAnsi"/>
        </w:rPr>
        <w:t xml:space="preserve"> is a recombinant human anti-</w:t>
      </w:r>
      <w:r>
        <w:rPr>
          <w:rFonts w:asciiTheme="minorHAnsi" w:hAnsiTheme="minorHAnsi"/>
        </w:rPr>
        <w:t>cluster of differentiation 20 (</w:t>
      </w:r>
      <w:r w:rsidR="00090B2F" w:rsidRPr="00090B2F">
        <w:rPr>
          <w:rFonts w:asciiTheme="minorHAnsi" w:hAnsiTheme="minorHAnsi"/>
        </w:rPr>
        <w:t>CD20</w:t>
      </w:r>
      <w:r>
        <w:rPr>
          <w:rFonts w:asciiTheme="minorHAnsi" w:hAnsiTheme="minorHAnsi"/>
        </w:rPr>
        <w:t>)</w:t>
      </w:r>
      <w:r w:rsidR="00090B2F" w:rsidRPr="00090B2F">
        <w:rPr>
          <w:rFonts w:asciiTheme="minorHAnsi" w:hAnsiTheme="minorHAnsi"/>
        </w:rPr>
        <w:t xml:space="preserve"> antibo</w:t>
      </w:r>
      <w:r w:rsidR="00090B2F">
        <w:rPr>
          <w:rFonts w:asciiTheme="minorHAnsi" w:hAnsiTheme="minorHAnsi"/>
        </w:rPr>
        <w:t>dy. Binding of drug to CD20</w:t>
      </w:r>
      <w:r w:rsidR="00090B2F">
        <w:rPr>
          <w:rFonts w:asciiTheme="minorHAnsi" w:hAnsiTheme="minorHAnsi"/>
        </w:rPr>
        <w:noBreakHyphen/>
      </w:r>
      <w:r w:rsidR="00090B2F" w:rsidRPr="00090B2F">
        <w:rPr>
          <w:rFonts w:asciiTheme="minorHAnsi" w:hAnsiTheme="minorHAnsi"/>
        </w:rPr>
        <w:t>expressing cells results in activation of an immune response against them and cell lysis. It has a separ</w:t>
      </w:r>
      <w:r w:rsidR="00090B2F">
        <w:rPr>
          <w:rFonts w:asciiTheme="minorHAnsi" w:hAnsiTheme="minorHAnsi"/>
        </w:rPr>
        <w:t>ate but overlapping epitope to r</w:t>
      </w:r>
      <w:r w:rsidR="00090B2F" w:rsidRPr="00090B2F">
        <w:rPr>
          <w:rFonts w:asciiTheme="minorHAnsi" w:hAnsiTheme="minorHAnsi"/>
        </w:rPr>
        <w:t>ituximab.</w:t>
      </w:r>
    </w:p>
    <w:p w14:paraId="5F96606C" w14:textId="6A0F94C4" w:rsidR="00DA4318" w:rsidRDefault="00424B9D" w:rsidP="00E77CAB">
      <w:pPr>
        <w:rPr>
          <w:rFonts w:asciiTheme="minorHAnsi" w:hAnsiTheme="minorHAnsi"/>
        </w:rPr>
      </w:pPr>
      <w:r>
        <w:rPr>
          <w:rFonts w:asciiTheme="minorHAnsi" w:hAnsiTheme="minorHAnsi"/>
        </w:rPr>
        <w:t xml:space="preserve">Venclexta plus </w:t>
      </w:r>
      <w:proofErr w:type="spellStart"/>
      <w:r>
        <w:rPr>
          <w:rFonts w:eastAsia="MS Mincho"/>
          <w:lang w:eastAsia="ja-JP"/>
        </w:rPr>
        <w:t>obinutuzumab</w:t>
      </w:r>
      <w:proofErr w:type="spellEnd"/>
      <w:r>
        <w:rPr>
          <w:rFonts w:asciiTheme="minorHAnsi" w:hAnsiTheme="minorHAnsi"/>
        </w:rPr>
        <w:t xml:space="preserve"> is a novel combination without chemotherapy for first-line therapy for CLL.</w:t>
      </w:r>
      <w:r w:rsidR="00734913">
        <w:rPr>
          <w:rFonts w:asciiTheme="minorHAnsi" w:hAnsiTheme="minorHAnsi"/>
        </w:rPr>
        <w:t xml:space="preserve"> </w:t>
      </w:r>
      <w:r w:rsidR="00DA4318">
        <w:rPr>
          <w:rFonts w:asciiTheme="minorHAnsi" w:hAnsiTheme="minorHAnsi"/>
        </w:rPr>
        <w:t>At the time the submission described in the AusPAR was under consideration</w:t>
      </w:r>
      <w:r w:rsidR="00090B2F">
        <w:rPr>
          <w:rFonts w:asciiTheme="minorHAnsi" w:hAnsiTheme="minorHAnsi"/>
        </w:rPr>
        <w:t>,</w:t>
      </w:r>
      <w:r w:rsidR="00DA4318">
        <w:rPr>
          <w:rFonts w:asciiTheme="minorHAnsi" w:hAnsiTheme="minorHAnsi"/>
        </w:rPr>
        <w:t xml:space="preserve"> Venclexta was registered for the following indications in relation to CLL:</w:t>
      </w:r>
    </w:p>
    <w:p w14:paraId="37305B89" w14:textId="77777777" w:rsidR="00DA4318" w:rsidRPr="00CB5F25" w:rsidRDefault="00DA4318" w:rsidP="00CB5F25">
      <w:pPr>
        <w:ind w:left="360"/>
        <w:rPr>
          <w:rFonts w:asciiTheme="minorHAnsi" w:hAnsiTheme="minorHAnsi"/>
          <w:i/>
        </w:rPr>
      </w:pPr>
      <w:r w:rsidRPr="00CB5F25">
        <w:rPr>
          <w:rFonts w:asciiTheme="minorHAnsi" w:hAnsiTheme="minorHAnsi"/>
          <w:i/>
        </w:rPr>
        <w:t>Venclexta in combination with rituximab is indicated for the treatment of adult patients with chronic lymphocytic leukaemia (CLL) who have received at least one prior therapy. Venclexta monotherapy is indicated for the treatment of:</w:t>
      </w:r>
    </w:p>
    <w:p w14:paraId="55346F42" w14:textId="768172F6" w:rsidR="00DA4318" w:rsidRPr="00CB5F25" w:rsidRDefault="00DA4318" w:rsidP="00CB5F25">
      <w:pPr>
        <w:pStyle w:val="ListBullet"/>
        <w:ind w:left="720"/>
        <w:rPr>
          <w:i/>
        </w:rPr>
      </w:pPr>
      <w:r w:rsidRPr="00CB5F25">
        <w:rPr>
          <w:i/>
        </w:rPr>
        <w:t>patients with relapsed or refractory CLL with 17p deletion, or</w:t>
      </w:r>
    </w:p>
    <w:p w14:paraId="6C269BD0" w14:textId="579D24AC" w:rsidR="00DA4318" w:rsidRPr="00CB5F25" w:rsidRDefault="00DA4318" w:rsidP="00CB5F25">
      <w:pPr>
        <w:pStyle w:val="ListBullet"/>
        <w:ind w:left="720"/>
        <w:rPr>
          <w:i/>
        </w:rPr>
      </w:pPr>
      <w:r w:rsidRPr="00CB5F25">
        <w:rPr>
          <w:i/>
        </w:rPr>
        <w:t>patients with relapsed or refractory CLL for whom there are no other suitable treatment options.</w:t>
      </w:r>
    </w:p>
    <w:p w14:paraId="10661299" w14:textId="7C537740" w:rsidR="00424B9D" w:rsidRPr="00734913" w:rsidRDefault="00DA4318" w:rsidP="00424B9D">
      <w:pPr>
        <w:rPr>
          <w:rFonts w:asciiTheme="minorHAnsi" w:hAnsiTheme="minorHAnsi"/>
        </w:rPr>
      </w:pPr>
      <w:r>
        <w:rPr>
          <w:rFonts w:asciiTheme="minorHAnsi" w:hAnsiTheme="minorHAnsi"/>
        </w:rPr>
        <w:t>In this submission, t</w:t>
      </w:r>
      <w:r w:rsidR="00424B9D">
        <w:rPr>
          <w:rFonts w:asciiTheme="minorHAnsi" w:hAnsiTheme="minorHAnsi"/>
        </w:rPr>
        <w:t xml:space="preserve">he sponsor </w:t>
      </w:r>
      <w:r>
        <w:rPr>
          <w:rFonts w:asciiTheme="minorHAnsi" w:hAnsiTheme="minorHAnsi"/>
        </w:rPr>
        <w:t>proposed to replace the above indications in their entirety, with an indication</w:t>
      </w:r>
      <w:r w:rsidR="00424B9D">
        <w:rPr>
          <w:rFonts w:asciiTheme="minorHAnsi" w:hAnsiTheme="minorHAnsi"/>
        </w:rPr>
        <w:t xml:space="preserve"> which does not qualify either the specific combination ap</w:t>
      </w:r>
      <w:r w:rsidR="00734913">
        <w:rPr>
          <w:rFonts w:asciiTheme="minorHAnsi" w:hAnsiTheme="minorHAnsi"/>
        </w:rPr>
        <w:t>proved,</w:t>
      </w:r>
      <w:r w:rsidR="00424B9D">
        <w:rPr>
          <w:rFonts w:asciiTheme="minorHAnsi" w:hAnsiTheme="minorHAnsi"/>
        </w:rPr>
        <w:t xml:space="preserve"> or the line of therapy in which it is approved</w:t>
      </w:r>
      <w:r w:rsidR="00266B75">
        <w:rPr>
          <w:rFonts w:asciiTheme="minorHAnsi" w:hAnsiTheme="minorHAnsi"/>
        </w:rPr>
        <w:t xml:space="preserve"> (</w:t>
      </w:r>
      <w:r w:rsidR="00090B2F">
        <w:rPr>
          <w:rFonts w:asciiTheme="minorHAnsi" w:hAnsiTheme="minorHAnsi"/>
        </w:rPr>
        <w:t>as outlined at the beginning of this section</w:t>
      </w:r>
      <w:r w:rsidR="00266B75">
        <w:rPr>
          <w:rFonts w:asciiTheme="minorHAnsi" w:hAnsiTheme="minorHAnsi"/>
        </w:rPr>
        <w:t>)</w:t>
      </w:r>
      <w:r w:rsidR="00090B2F">
        <w:rPr>
          <w:rFonts w:asciiTheme="minorHAnsi" w:hAnsiTheme="minorHAnsi"/>
        </w:rPr>
        <w:t>.</w:t>
      </w:r>
    </w:p>
    <w:p w14:paraId="36E43AF2" w14:textId="77777777" w:rsidR="00424B9D" w:rsidRPr="00A37C71" w:rsidRDefault="00424B9D" w:rsidP="00424B9D">
      <w:pPr>
        <w:pStyle w:val="Heading3"/>
      </w:pPr>
      <w:bookmarkStart w:id="13" w:name="_Toc314842485"/>
      <w:bookmarkStart w:id="14" w:name="_Toc247691504"/>
      <w:bookmarkStart w:id="15" w:name="_Toc54165848"/>
      <w:r w:rsidRPr="00A37C71">
        <w:t>Regulatory status</w:t>
      </w:r>
      <w:bookmarkEnd w:id="13"/>
      <w:bookmarkEnd w:id="14"/>
      <w:bookmarkEnd w:id="15"/>
    </w:p>
    <w:p w14:paraId="6CB614B4" w14:textId="187AC4EF" w:rsidR="00424B9D" w:rsidRDefault="00424B9D" w:rsidP="00424B9D">
      <w:bookmarkStart w:id="16" w:name="_Toc247691505"/>
      <w:bookmarkStart w:id="17" w:name="_Toc314842486"/>
      <w:r w:rsidRPr="00A37C71">
        <w:t>The product received initial</w:t>
      </w:r>
      <w:r>
        <w:t xml:space="preserve"> registration on the Australian Register of Therapeutic Goods (ARTG) on 5 January 2017</w:t>
      </w:r>
      <w:r w:rsidR="00112691">
        <w:t xml:space="preserve"> for the following indication:</w:t>
      </w:r>
    </w:p>
    <w:p w14:paraId="1AD5F5E4" w14:textId="77777777" w:rsidR="0071041E" w:rsidRPr="00D04EDA" w:rsidRDefault="0071041E" w:rsidP="0071041E">
      <w:pPr>
        <w:ind w:left="360"/>
        <w:rPr>
          <w:i/>
        </w:rPr>
      </w:pPr>
      <w:r w:rsidRPr="00D04EDA">
        <w:rPr>
          <w:i/>
        </w:rPr>
        <w:t>Venclexta is indicated for the treatment of:</w:t>
      </w:r>
    </w:p>
    <w:p w14:paraId="1D46F0EA" w14:textId="77777777" w:rsidR="0071041E" w:rsidRPr="00D04EDA" w:rsidRDefault="0071041E" w:rsidP="0071041E">
      <w:pPr>
        <w:pStyle w:val="ListBullet"/>
        <w:numPr>
          <w:ilvl w:val="0"/>
          <w:numId w:val="38"/>
        </w:numPr>
        <w:ind w:left="720"/>
        <w:rPr>
          <w:i/>
        </w:rPr>
      </w:pPr>
      <w:r w:rsidRPr="00D04EDA">
        <w:rPr>
          <w:i/>
        </w:rPr>
        <w:t>patients with relapsed or refractory chronic lymphocytic leukaemia (CLL) with 17p deletion, or</w:t>
      </w:r>
    </w:p>
    <w:p w14:paraId="4595069E" w14:textId="77777777" w:rsidR="0071041E" w:rsidRPr="00D04EDA" w:rsidRDefault="0071041E" w:rsidP="0071041E">
      <w:pPr>
        <w:pStyle w:val="ListBullet"/>
        <w:numPr>
          <w:ilvl w:val="0"/>
          <w:numId w:val="38"/>
        </w:numPr>
        <w:ind w:left="720"/>
        <w:rPr>
          <w:i/>
        </w:rPr>
      </w:pPr>
      <w:r w:rsidRPr="00D04EDA">
        <w:rPr>
          <w:i/>
        </w:rPr>
        <w:t>patients with relapsed or refractory CLL for whom there are no other suitable treatment options.</w:t>
      </w:r>
    </w:p>
    <w:p w14:paraId="012BAB6D" w14:textId="77777777" w:rsidR="0071041E" w:rsidRPr="00D04EDA" w:rsidRDefault="0071041E" w:rsidP="0071041E">
      <w:pPr>
        <w:ind w:left="360"/>
        <w:rPr>
          <w:i/>
        </w:rPr>
      </w:pPr>
      <w:r w:rsidRPr="00D04EDA">
        <w:rPr>
          <w:i/>
        </w:rPr>
        <w:t>Note to indications. The indications are approved based on overall response rates. Duration of response and improvements in overall survival, progression-free survival or health-related quality of life have not been established.</w:t>
      </w:r>
    </w:p>
    <w:p w14:paraId="04E66177" w14:textId="77777777" w:rsidR="00267F69" w:rsidRPr="00267F69" w:rsidRDefault="00267F69" w:rsidP="00267F69">
      <w:pPr>
        <w:rPr>
          <w:rFonts w:eastAsia="Times New Roman"/>
        </w:rPr>
      </w:pPr>
      <w:r w:rsidRPr="00267F69">
        <w:rPr>
          <w:rFonts w:eastAsia="Times New Roman"/>
        </w:rPr>
        <w:lastRenderedPageBreak/>
        <w:t>The TGA approved an extension of indication for Venclexta on 8 October 2018, for the following indication:</w:t>
      </w:r>
    </w:p>
    <w:p w14:paraId="1535BCF1" w14:textId="77777777" w:rsidR="00267F69" w:rsidRPr="00267F69" w:rsidRDefault="00267F69" w:rsidP="00267F69">
      <w:pPr>
        <w:ind w:left="720"/>
        <w:rPr>
          <w:rFonts w:eastAsia="Times New Roman"/>
        </w:rPr>
      </w:pPr>
      <w:r w:rsidRPr="00267F69">
        <w:rPr>
          <w:rFonts w:eastAsia="Times New Roman"/>
          <w:i/>
        </w:rPr>
        <w:t>Venclexta in combination with rituximab is indicated for the treatment of adult patients with chronic lymphocytic leukaemia (CLL) who have received at least one prior therapy.</w:t>
      </w:r>
    </w:p>
    <w:p w14:paraId="2E5DDDA9" w14:textId="47BE4441" w:rsidR="00424B9D" w:rsidRDefault="00424B9D" w:rsidP="00424B9D">
      <w:r>
        <w:t>In</w:t>
      </w:r>
      <w:r w:rsidR="00223831">
        <w:t xml:space="preserve"> </w:t>
      </w:r>
      <w:r w:rsidR="00D8079A">
        <w:t xml:space="preserve">January and February of </w:t>
      </w:r>
      <w:r w:rsidR="009B2266">
        <w:t>2020</w:t>
      </w:r>
      <w:r>
        <w:t>, provisional approval</w:t>
      </w:r>
      <w:r w:rsidR="00266B75">
        <w:t>;</w:t>
      </w:r>
      <w:r w:rsidR="00266B75">
        <w:rPr>
          <w:rStyle w:val="FootnoteReference"/>
        </w:rPr>
        <w:footnoteReference w:id="4"/>
      </w:r>
      <w:r>
        <w:t xml:space="preserve"> was granted for patients newly diagnosed with AML who are ineligible for intensive chemotherapy</w:t>
      </w:r>
      <w:r w:rsidR="00D8079A">
        <w:t>;</w:t>
      </w:r>
      <w:r w:rsidR="00D8079A">
        <w:rPr>
          <w:rStyle w:val="FootnoteReference"/>
        </w:rPr>
        <w:footnoteReference w:id="5"/>
      </w:r>
      <w:r w:rsidR="00D8079A">
        <w:t xml:space="preserve"> for the following indication:</w:t>
      </w:r>
    </w:p>
    <w:p w14:paraId="0EFC2586" w14:textId="77777777" w:rsidR="00267F69" w:rsidRPr="00267F69" w:rsidRDefault="00267F69" w:rsidP="00267F69">
      <w:pPr>
        <w:ind w:left="720"/>
        <w:rPr>
          <w:rFonts w:eastAsia="Times New Roman"/>
          <w:i/>
        </w:rPr>
      </w:pPr>
      <w:r w:rsidRPr="00267F69">
        <w:rPr>
          <w:rFonts w:eastAsia="Times New Roman"/>
          <w:i/>
        </w:rPr>
        <w:t>Acute Myeloid Leukaemia</w:t>
      </w:r>
    </w:p>
    <w:p w14:paraId="7A3843DE" w14:textId="77777777" w:rsidR="00267F69" w:rsidRPr="00267F69" w:rsidRDefault="00267F69" w:rsidP="00267F69">
      <w:pPr>
        <w:ind w:left="720"/>
        <w:rPr>
          <w:rFonts w:eastAsia="Times New Roman"/>
          <w:i/>
        </w:rPr>
      </w:pPr>
      <w:r w:rsidRPr="00267F69">
        <w:rPr>
          <w:rFonts w:eastAsia="Times New Roman"/>
          <w:i/>
        </w:rPr>
        <w:t>Venclexta, as part of combination therapy, is indicated for the treatment of newly diagnosed adult patients with Acute Myeloid Leukaemia (AML) who are ineligible for intensive chemotherapy.</w:t>
      </w:r>
    </w:p>
    <w:p w14:paraId="509147A7" w14:textId="5B9092B5" w:rsidR="00267F69" w:rsidRDefault="00267F69" w:rsidP="004B246B">
      <w:pPr>
        <w:ind w:left="720"/>
      </w:pPr>
      <w:r w:rsidRPr="00267F69">
        <w:rPr>
          <w:rFonts w:eastAsia="Times New Roman"/>
          <w:i/>
        </w:rPr>
        <w:t>This medicine has provisional approval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confirmatory trials</w:t>
      </w:r>
    </w:p>
    <w:p w14:paraId="5D7F4C94" w14:textId="694D5351" w:rsidR="00090B2F" w:rsidRDefault="00424B9D" w:rsidP="00424B9D">
      <w:r>
        <w:t xml:space="preserve">At the time the TGA considered this application, similar applications have been approved </w:t>
      </w:r>
      <w:r w:rsidR="00BE0488">
        <w:t>in the</w:t>
      </w:r>
      <w:r>
        <w:t xml:space="preserve"> jurisdictions as detailed below</w:t>
      </w:r>
      <w:r w:rsidR="00266B75">
        <w:t xml:space="preserve"> in </w:t>
      </w:r>
      <w:r w:rsidR="00266B75">
        <w:fldChar w:fldCharType="begin"/>
      </w:r>
      <w:r w:rsidR="00266B75">
        <w:instrText xml:space="preserve"> REF _Ref49376916 \h </w:instrText>
      </w:r>
      <w:r w:rsidR="00266B75">
        <w:fldChar w:fldCharType="separate"/>
      </w:r>
      <w:r w:rsidR="00974DEC">
        <w:t xml:space="preserve">Table </w:t>
      </w:r>
      <w:r w:rsidR="00974DEC">
        <w:rPr>
          <w:noProof/>
        </w:rPr>
        <w:t>1</w:t>
      </w:r>
      <w:r w:rsidR="00266B75">
        <w:fldChar w:fldCharType="end"/>
      </w:r>
      <w:r>
        <w:t>.</w:t>
      </w:r>
    </w:p>
    <w:p w14:paraId="00959338" w14:textId="76439299" w:rsidR="00424B9D" w:rsidRDefault="00424B9D" w:rsidP="00CB5F25">
      <w:pPr>
        <w:pStyle w:val="TableTitle"/>
      </w:pPr>
      <w:bookmarkStart w:id="18" w:name="_Ref49376916"/>
      <w:r>
        <w:t xml:space="preserve">Table </w:t>
      </w:r>
      <w:fldSimple w:instr=" SEQ Table \* ARABIC ">
        <w:r w:rsidR="00974DEC">
          <w:rPr>
            <w:noProof/>
          </w:rPr>
          <w:t>1</w:t>
        </w:r>
      </w:fldSimple>
      <w:bookmarkEnd w:id="18"/>
      <w:r>
        <w:t>: International regulatory status of similar applications</w:t>
      </w:r>
    </w:p>
    <w:tbl>
      <w:tblPr>
        <w:tblStyle w:val="TableTGAblue"/>
        <w:tblW w:w="0" w:type="auto"/>
        <w:tblLook w:val="04A0" w:firstRow="1" w:lastRow="0" w:firstColumn="1" w:lastColumn="0" w:noHBand="0" w:noVBand="1"/>
      </w:tblPr>
      <w:tblGrid>
        <w:gridCol w:w="2069"/>
        <w:gridCol w:w="1385"/>
        <w:gridCol w:w="1503"/>
        <w:gridCol w:w="3537"/>
      </w:tblGrid>
      <w:tr w:rsidR="00424B9D" w14:paraId="5806592D" w14:textId="77777777" w:rsidTr="00CB5F25">
        <w:trPr>
          <w:cnfStyle w:val="100000000000" w:firstRow="1" w:lastRow="0" w:firstColumn="0" w:lastColumn="0" w:oddVBand="0" w:evenVBand="0" w:oddHBand="0" w:evenHBand="0" w:firstRowFirstColumn="0" w:firstRowLastColumn="0" w:lastRowFirstColumn="0" w:lastRowLastColumn="0"/>
        </w:trPr>
        <w:tc>
          <w:tcPr>
            <w:tcW w:w="2069" w:type="dxa"/>
            <w:tcBorders>
              <w:top w:val="single" w:sz="4" w:space="0" w:color="auto"/>
              <w:left w:val="single" w:sz="4" w:space="0" w:color="auto"/>
              <w:bottom w:val="single" w:sz="4" w:space="0" w:color="auto"/>
              <w:right w:val="single" w:sz="4" w:space="0" w:color="auto"/>
            </w:tcBorders>
          </w:tcPr>
          <w:p w14:paraId="053D7695" w14:textId="77777777" w:rsidR="00424B9D" w:rsidRDefault="00424B9D" w:rsidP="002602E7">
            <w:pPr>
              <w:ind w:left="0" w:right="0"/>
            </w:pPr>
            <w:r>
              <w:t>Region</w:t>
            </w:r>
          </w:p>
        </w:tc>
        <w:tc>
          <w:tcPr>
            <w:tcW w:w="1385" w:type="dxa"/>
            <w:tcBorders>
              <w:top w:val="single" w:sz="4" w:space="0" w:color="auto"/>
              <w:left w:val="single" w:sz="4" w:space="0" w:color="auto"/>
              <w:bottom w:val="single" w:sz="4" w:space="0" w:color="auto"/>
              <w:right w:val="single" w:sz="4" w:space="0" w:color="auto"/>
            </w:tcBorders>
          </w:tcPr>
          <w:p w14:paraId="21FADE31" w14:textId="77777777" w:rsidR="00424B9D" w:rsidRDefault="00424B9D" w:rsidP="002602E7">
            <w:pPr>
              <w:ind w:left="0" w:right="0"/>
            </w:pPr>
            <w:r>
              <w:t>Submission date</w:t>
            </w:r>
          </w:p>
        </w:tc>
        <w:tc>
          <w:tcPr>
            <w:tcW w:w="1503" w:type="dxa"/>
            <w:tcBorders>
              <w:top w:val="single" w:sz="4" w:space="0" w:color="auto"/>
              <w:left w:val="single" w:sz="4" w:space="0" w:color="auto"/>
              <w:bottom w:val="single" w:sz="4" w:space="0" w:color="auto"/>
              <w:right w:val="single" w:sz="4" w:space="0" w:color="auto"/>
            </w:tcBorders>
          </w:tcPr>
          <w:p w14:paraId="302AB548" w14:textId="77777777" w:rsidR="00424B9D" w:rsidRDefault="00424B9D" w:rsidP="002602E7">
            <w:pPr>
              <w:ind w:left="0" w:right="0"/>
            </w:pPr>
            <w:r>
              <w:t>Status</w:t>
            </w:r>
          </w:p>
        </w:tc>
        <w:tc>
          <w:tcPr>
            <w:tcW w:w="3537" w:type="dxa"/>
            <w:tcBorders>
              <w:top w:val="single" w:sz="4" w:space="0" w:color="auto"/>
              <w:left w:val="single" w:sz="4" w:space="0" w:color="auto"/>
              <w:bottom w:val="single" w:sz="4" w:space="0" w:color="auto"/>
              <w:right w:val="single" w:sz="4" w:space="0" w:color="auto"/>
            </w:tcBorders>
          </w:tcPr>
          <w:p w14:paraId="71795D8A" w14:textId="77777777" w:rsidR="00424B9D" w:rsidRDefault="00424B9D" w:rsidP="002602E7">
            <w:pPr>
              <w:ind w:left="0" w:right="0"/>
            </w:pPr>
            <w:r>
              <w:t>Approved indications</w:t>
            </w:r>
          </w:p>
        </w:tc>
      </w:tr>
      <w:tr w:rsidR="00424B9D" w14:paraId="4298A8D5" w14:textId="77777777" w:rsidTr="00CB5F25">
        <w:tc>
          <w:tcPr>
            <w:tcW w:w="2069" w:type="dxa"/>
            <w:tcBorders>
              <w:top w:val="single" w:sz="4" w:space="0" w:color="auto"/>
            </w:tcBorders>
          </w:tcPr>
          <w:p w14:paraId="0697F415" w14:textId="77777777" w:rsidR="00424B9D" w:rsidRDefault="00424B9D" w:rsidP="00CB5F25">
            <w:pPr>
              <w:ind w:left="0"/>
            </w:pPr>
            <w:r>
              <w:t>United States of America</w:t>
            </w:r>
          </w:p>
        </w:tc>
        <w:tc>
          <w:tcPr>
            <w:tcW w:w="1385" w:type="dxa"/>
            <w:tcBorders>
              <w:top w:val="single" w:sz="4" w:space="0" w:color="auto"/>
            </w:tcBorders>
          </w:tcPr>
          <w:p w14:paraId="0E7B9037" w14:textId="77777777" w:rsidR="00424B9D" w:rsidRDefault="00424B9D" w:rsidP="00CB5F25">
            <w:pPr>
              <w:ind w:left="0"/>
            </w:pPr>
            <w:r>
              <w:t>6 March 2019</w:t>
            </w:r>
          </w:p>
        </w:tc>
        <w:tc>
          <w:tcPr>
            <w:tcW w:w="1503" w:type="dxa"/>
            <w:tcBorders>
              <w:top w:val="single" w:sz="4" w:space="0" w:color="auto"/>
            </w:tcBorders>
          </w:tcPr>
          <w:p w14:paraId="35584581" w14:textId="07E0CB5D" w:rsidR="00424B9D" w:rsidRDefault="00424B9D" w:rsidP="00CB5F25">
            <w:pPr>
              <w:ind w:left="0"/>
            </w:pPr>
            <w:r>
              <w:t xml:space="preserve">Approved </w:t>
            </w:r>
            <w:r w:rsidR="003E788A">
              <w:t>on</w:t>
            </w:r>
            <w:r>
              <w:t xml:space="preserve"> 15 May 2019</w:t>
            </w:r>
          </w:p>
        </w:tc>
        <w:tc>
          <w:tcPr>
            <w:tcW w:w="3537" w:type="dxa"/>
            <w:tcBorders>
              <w:top w:val="single" w:sz="4" w:space="0" w:color="auto"/>
            </w:tcBorders>
          </w:tcPr>
          <w:p w14:paraId="166F3032" w14:textId="01EA1ACD" w:rsidR="00424B9D" w:rsidRDefault="006D4A2D" w:rsidP="00CB5F25">
            <w:pPr>
              <w:ind w:left="0"/>
            </w:pPr>
            <w:r w:rsidRPr="00CB5F25">
              <w:rPr>
                <w:i/>
              </w:rPr>
              <w:t xml:space="preserve">For the treatment of adult patients with chronic lymphocytic </w:t>
            </w:r>
            <w:proofErr w:type="spellStart"/>
            <w:r w:rsidRPr="00CB5F25">
              <w:rPr>
                <w:i/>
              </w:rPr>
              <w:t>leukemia</w:t>
            </w:r>
            <w:proofErr w:type="spellEnd"/>
            <w:r w:rsidRPr="00CB5F25">
              <w:rPr>
                <w:i/>
              </w:rPr>
              <w:t xml:space="preserve"> (CLL) or small lymphocytic lymphoma (SLL).</w:t>
            </w:r>
          </w:p>
        </w:tc>
      </w:tr>
      <w:tr w:rsidR="00424B9D" w14:paraId="19FEE48E" w14:textId="77777777" w:rsidTr="00CB5F25">
        <w:tc>
          <w:tcPr>
            <w:tcW w:w="2069" w:type="dxa"/>
          </w:tcPr>
          <w:p w14:paraId="739EDA2E" w14:textId="41D56E43" w:rsidR="00424B9D" w:rsidRDefault="00424B9D" w:rsidP="002602E7">
            <w:pPr>
              <w:ind w:left="0" w:right="0"/>
            </w:pPr>
            <w:r>
              <w:t>Europe</w:t>
            </w:r>
            <w:r w:rsidR="00940464">
              <w:t>an Union</w:t>
            </w:r>
          </w:p>
        </w:tc>
        <w:tc>
          <w:tcPr>
            <w:tcW w:w="1385" w:type="dxa"/>
          </w:tcPr>
          <w:p w14:paraId="30250C0D" w14:textId="01879CEE" w:rsidR="00424B9D" w:rsidRDefault="003E788A" w:rsidP="002602E7">
            <w:pPr>
              <w:ind w:left="0" w:right="0"/>
            </w:pPr>
            <w:r>
              <w:t>28 June 2019</w:t>
            </w:r>
          </w:p>
        </w:tc>
        <w:tc>
          <w:tcPr>
            <w:tcW w:w="1503" w:type="dxa"/>
          </w:tcPr>
          <w:p w14:paraId="184C1396" w14:textId="77777777" w:rsidR="00424B9D" w:rsidRDefault="00424B9D" w:rsidP="002602E7">
            <w:pPr>
              <w:ind w:left="0" w:right="0"/>
            </w:pPr>
            <w:r>
              <w:t>Approved on 30 January 2020</w:t>
            </w:r>
          </w:p>
        </w:tc>
        <w:tc>
          <w:tcPr>
            <w:tcW w:w="3537" w:type="dxa"/>
          </w:tcPr>
          <w:p w14:paraId="39981232" w14:textId="0D12DC87" w:rsidR="00424B9D" w:rsidRDefault="003E788A" w:rsidP="002602E7">
            <w:pPr>
              <w:ind w:left="0" w:right="0"/>
            </w:pPr>
            <w:proofErr w:type="spellStart"/>
            <w:r w:rsidRPr="00CB5F25">
              <w:rPr>
                <w:i/>
              </w:rPr>
              <w:t>Venclyxto</w:t>
            </w:r>
            <w:proofErr w:type="spellEnd"/>
            <w:r w:rsidRPr="00CB5F25">
              <w:rPr>
                <w:i/>
              </w:rPr>
              <w:t xml:space="preserve"> in combination with </w:t>
            </w:r>
            <w:proofErr w:type="spellStart"/>
            <w:r w:rsidRPr="00CB5F25">
              <w:rPr>
                <w:i/>
              </w:rPr>
              <w:t>obinutuzumab</w:t>
            </w:r>
            <w:proofErr w:type="spellEnd"/>
            <w:r w:rsidRPr="00CB5F25">
              <w:rPr>
                <w:i/>
              </w:rPr>
              <w:t xml:space="preserve"> is indicated for the treatment of adult patients with previously untreated chronic lymphocytic leukaemia (CLL) (see section 5.1)</w:t>
            </w:r>
            <w:r w:rsidRPr="003E788A">
              <w:t>.</w:t>
            </w:r>
          </w:p>
        </w:tc>
      </w:tr>
    </w:tbl>
    <w:p w14:paraId="1E16CD49" w14:textId="77777777" w:rsidR="00424B9D" w:rsidRDefault="00424B9D" w:rsidP="00424B9D">
      <w:pPr>
        <w:pStyle w:val="Heading3"/>
      </w:pPr>
      <w:bookmarkStart w:id="19" w:name="_Toc54165849"/>
      <w:r>
        <w:lastRenderedPageBreak/>
        <w:t>Product Information</w:t>
      </w:r>
      <w:bookmarkEnd w:id="16"/>
      <w:bookmarkEnd w:id="17"/>
      <w:bookmarkEnd w:id="19"/>
    </w:p>
    <w:p w14:paraId="6BCE27A2" w14:textId="37EFE90F" w:rsidR="00424B9D" w:rsidRDefault="00424B9D" w:rsidP="00424B9D">
      <w:bookmarkStart w:id="20" w:name="_Toc247691506"/>
      <w:bookmarkStart w:id="21"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6" w:history="1">
        <w:r w:rsidRPr="00441C3F">
          <w:rPr>
            <w:rStyle w:val="Hyperlink"/>
          </w:rPr>
          <w:t>https://www.tga.gov.au/product-information-pi</w:t>
        </w:r>
      </w:hyperlink>
      <w:r>
        <w:t>&gt;</w:t>
      </w:r>
      <w:r w:rsidRPr="00940A89">
        <w:t>.</w:t>
      </w:r>
    </w:p>
    <w:p w14:paraId="5ED361F1" w14:textId="77777777" w:rsidR="00424B9D" w:rsidRDefault="00424B9D" w:rsidP="00424B9D">
      <w:pPr>
        <w:pStyle w:val="Heading2"/>
      </w:pPr>
      <w:bookmarkStart w:id="22" w:name="_Toc504480011"/>
      <w:bookmarkStart w:id="23" w:name="_Toc54165850"/>
      <w:r>
        <w:t>II. Registration timeline</w:t>
      </w:r>
      <w:bookmarkEnd w:id="22"/>
      <w:bookmarkEnd w:id="23"/>
    </w:p>
    <w:p w14:paraId="6E61508F" w14:textId="77777777" w:rsidR="00424B9D" w:rsidRDefault="00424B9D" w:rsidP="00424B9D">
      <w:r>
        <w:t>The following table captures the key steps and dates for this application and which are detailed and discussed in this AusPAR.</w:t>
      </w:r>
    </w:p>
    <w:p w14:paraId="265C8160" w14:textId="592EF2AA" w:rsidR="00424B9D" w:rsidRPr="006A58A8" w:rsidRDefault="00424B9D" w:rsidP="00734913">
      <w:pPr>
        <w:pStyle w:val="TableTitle"/>
      </w:pPr>
      <w:r>
        <w:t xml:space="preserve">Table </w:t>
      </w:r>
      <w:fldSimple w:instr=" SEQ Table \* ARABIC ">
        <w:r w:rsidR="00974DEC">
          <w:rPr>
            <w:noProof/>
          </w:rPr>
          <w:t>2</w:t>
        </w:r>
      </w:fldSimple>
      <w:r>
        <w:t>:</w:t>
      </w:r>
      <w:r w:rsidRPr="006A58A8">
        <w:t xml:space="preserve"> Timeline for Submission </w:t>
      </w:r>
      <w:r>
        <w:t>PM-2019-01011-1-6</w:t>
      </w:r>
    </w:p>
    <w:tbl>
      <w:tblPr>
        <w:tblStyle w:val="TableTGAblue"/>
        <w:tblW w:w="0" w:type="auto"/>
        <w:tblLook w:val="04A0" w:firstRow="1" w:lastRow="0" w:firstColumn="1" w:lastColumn="0" w:noHBand="0" w:noVBand="1"/>
      </w:tblPr>
      <w:tblGrid>
        <w:gridCol w:w="6062"/>
        <w:gridCol w:w="2432"/>
      </w:tblGrid>
      <w:tr w:rsidR="00424B9D" w14:paraId="110D76DE" w14:textId="77777777" w:rsidTr="00EA73E6">
        <w:trPr>
          <w:cnfStyle w:val="100000000000" w:firstRow="1" w:lastRow="0" w:firstColumn="0" w:lastColumn="0" w:oddVBand="0" w:evenVBand="0" w:oddHBand="0" w:evenHBand="0" w:firstRowFirstColumn="0" w:firstRowLastColumn="0" w:lastRowFirstColumn="0" w:lastRowLastColumn="0"/>
          <w:cantSplit/>
        </w:trPr>
        <w:tc>
          <w:tcPr>
            <w:tcW w:w="6062" w:type="dxa"/>
            <w:tcBorders>
              <w:top w:val="single" w:sz="4" w:space="0" w:color="auto"/>
              <w:left w:val="single" w:sz="4" w:space="0" w:color="auto"/>
              <w:bottom w:val="single" w:sz="4" w:space="0" w:color="auto"/>
              <w:right w:val="single" w:sz="4" w:space="0" w:color="auto"/>
            </w:tcBorders>
          </w:tcPr>
          <w:p w14:paraId="45DC0A6E" w14:textId="77777777" w:rsidR="00424B9D" w:rsidRDefault="00424B9D" w:rsidP="00EA73E6">
            <w:r>
              <w:t>Description</w:t>
            </w:r>
          </w:p>
        </w:tc>
        <w:tc>
          <w:tcPr>
            <w:tcW w:w="2432" w:type="dxa"/>
            <w:tcBorders>
              <w:top w:val="single" w:sz="4" w:space="0" w:color="auto"/>
              <w:left w:val="single" w:sz="4" w:space="0" w:color="auto"/>
              <w:bottom w:val="single" w:sz="4" w:space="0" w:color="auto"/>
              <w:right w:val="single" w:sz="4" w:space="0" w:color="auto"/>
            </w:tcBorders>
          </w:tcPr>
          <w:p w14:paraId="2588ED89" w14:textId="77777777" w:rsidR="00424B9D" w:rsidRDefault="00424B9D" w:rsidP="00EA73E6">
            <w:r>
              <w:t>Date</w:t>
            </w:r>
          </w:p>
        </w:tc>
      </w:tr>
      <w:tr w:rsidR="00424B9D" w14:paraId="42C419B4" w14:textId="77777777" w:rsidTr="00EA73E6">
        <w:tc>
          <w:tcPr>
            <w:tcW w:w="6062" w:type="dxa"/>
            <w:tcBorders>
              <w:top w:val="single" w:sz="4" w:space="0" w:color="auto"/>
            </w:tcBorders>
          </w:tcPr>
          <w:p w14:paraId="6EC01B9B" w14:textId="77777777" w:rsidR="00424B9D" w:rsidRDefault="00424B9D" w:rsidP="00EA73E6">
            <w:r>
              <w:t>Submission dossier accepted and first round evaluation commenced</w:t>
            </w:r>
          </w:p>
        </w:tc>
        <w:tc>
          <w:tcPr>
            <w:tcW w:w="2432" w:type="dxa"/>
            <w:tcBorders>
              <w:top w:val="single" w:sz="4" w:space="0" w:color="auto"/>
            </w:tcBorders>
          </w:tcPr>
          <w:p w14:paraId="5AEFF62E" w14:textId="77777777" w:rsidR="00424B9D" w:rsidRDefault="00424B9D" w:rsidP="00EA73E6">
            <w:r>
              <w:t>30 April 2019</w:t>
            </w:r>
          </w:p>
        </w:tc>
      </w:tr>
      <w:tr w:rsidR="00424B9D" w14:paraId="01330ABA" w14:textId="77777777" w:rsidTr="00EA73E6">
        <w:tc>
          <w:tcPr>
            <w:tcW w:w="6062" w:type="dxa"/>
          </w:tcPr>
          <w:p w14:paraId="781AE3CE" w14:textId="77777777" w:rsidR="00424B9D" w:rsidRDefault="00424B9D" w:rsidP="00EA73E6">
            <w:r>
              <w:t>First round evaluation completed</w:t>
            </w:r>
          </w:p>
        </w:tc>
        <w:tc>
          <w:tcPr>
            <w:tcW w:w="2432" w:type="dxa"/>
          </w:tcPr>
          <w:p w14:paraId="3AA258BC" w14:textId="77777777" w:rsidR="00424B9D" w:rsidRDefault="00424B9D" w:rsidP="00EA73E6">
            <w:r>
              <w:t>30 September 2019</w:t>
            </w:r>
          </w:p>
        </w:tc>
      </w:tr>
      <w:tr w:rsidR="00424B9D" w14:paraId="77A537D9" w14:textId="77777777" w:rsidTr="00EA73E6">
        <w:tc>
          <w:tcPr>
            <w:tcW w:w="6062" w:type="dxa"/>
          </w:tcPr>
          <w:p w14:paraId="1E2F40AA" w14:textId="77777777" w:rsidR="00424B9D" w:rsidRDefault="00424B9D" w:rsidP="00EA73E6">
            <w:r>
              <w:t>Sponsor provides responses on questions raised in first round evaluation</w:t>
            </w:r>
          </w:p>
        </w:tc>
        <w:tc>
          <w:tcPr>
            <w:tcW w:w="2432" w:type="dxa"/>
          </w:tcPr>
          <w:p w14:paraId="15D06AFD" w14:textId="77777777" w:rsidR="00424B9D" w:rsidRDefault="00424B9D" w:rsidP="00EA73E6">
            <w:r>
              <w:t>6 November 2019</w:t>
            </w:r>
          </w:p>
        </w:tc>
      </w:tr>
      <w:tr w:rsidR="00424B9D" w14:paraId="245DCA8C" w14:textId="77777777" w:rsidTr="00EA73E6">
        <w:tc>
          <w:tcPr>
            <w:tcW w:w="6062" w:type="dxa"/>
          </w:tcPr>
          <w:p w14:paraId="185C706A" w14:textId="77777777" w:rsidR="00424B9D" w:rsidRDefault="00424B9D" w:rsidP="00EA73E6">
            <w:r>
              <w:t>Second round evaluation completed</w:t>
            </w:r>
          </w:p>
        </w:tc>
        <w:tc>
          <w:tcPr>
            <w:tcW w:w="2432" w:type="dxa"/>
          </w:tcPr>
          <w:p w14:paraId="2D515605" w14:textId="77777777" w:rsidR="00424B9D" w:rsidRDefault="00424B9D" w:rsidP="00EA73E6">
            <w:r>
              <w:t>2 December 2019</w:t>
            </w:r>
          </w:p>
        </w:tc>
      </w:tr>
      <w:tr w:rsidR="00424B9D" w14:paraId="3ACADE66" w14:textId="77777777" w:rsidTr="00EA73E6">
        <w:tc>
          <w:tcPr>
            <w:tcW w:w="6062" w:type="dxa"/>
          </w:tcPr>
          <w:p w14:paraId="3D301056" w14:textId="77777777" w:rsidR="00424B9D" w:rsidRDefault="00424B9D" w:rsidP="00EA73E6">
            <w:r>
              <w:t>Delegate’s Overall benefit-risk assessment and request for Advisory Committee advice</w:t>
            </w:r>
          </w:p>
        </w:tc>
        <w:tc>
          <w:tcPr>
            <w:tcW w:w="2432" w:type="dxa"/>
          </w:tcPr>
          <w:p w14:paraId="77EF84E9" w14:textId="16A0D642" w:rsidR="00424B9D" w:rsidRDefault="004F22AC" w:rsidP="00EA73E6">
            <w:r>
              <w:t>18 February 2020</w:t>
            </w:r>
          </w:p>
        </w:tc>
      </w:tr>
      <w:tr w:rsidR="00424B9D" w14:paraId="2D94A684" w14:textId="77777777" w:rsidTr="00EA73E6">
        <w:tc>
          <w:tcPr>
            <w:tcW w:w="6062" w:type="dxa"/>
          </w:tcPr>
          <w:p w14:paraId="13C2BD5C" w14:textId="77777777" w:rsidR="00424B9D" w:rsidRDefault="00424B9D" w:rsidP="00EA73E6">
            <w:r>
              <w:t>Sponsor’s pre-Advisory Committee response</w:t>
            </w:r>
          </w:p>
        </w:tc>
        <w:tc>
          <w:tcPr>
            <w:tcW w:w="2432" w:type="dxa"/>
          </w:tcPr>
          <w:p w14:paraId="30E71EC8" w14:textId="77777777" w:rsidR="00424B9D" w:rsidRPr="00940464" w:rsidRDefault="00424B9D" w:rsidP="00EA73E6">
            <w:r w:rsidRPr="00940464">
              <w:t>13 March 2020</w:t>
            </w:r>
          </w:p>
        </w:tc>
      </w:tr>
      <w:tr w:rsidR="00424B9D" w14:paraId="5759DD6A" w14:textId="77777777" w:rsidTr="00EA73E6">
        <w:tc>
          <w:tcPr>
            <w:tcW w:w="6062" w:type="dxa"/>
          </w:tcPr>
          <w:p w14:paraId="3AC4D0D9" w14:textId="77777777" w:rsidR="00424B9D" w:rsidRDefault="00424B9D" w:rsidP="00EA73E6">
            <w:r>
              <w:t>Advisory Committee meeting</w:t>
            </w:r>
          </w:p>
        </w:tc>
        <w:tc>
          <w:tcPr>
            <w:tcW w:w="2432" w:type="dxa"/>
          </w:tcPr>
          <w:p w14:paraId="2B8CE5D5" w14:textId="77777777" w:rsidR="00424B9D" w:rsidRDefault="00424B9D" w:rsidP="00EA73E6">
            <w:r>
              <w:t>2-3 April 2020</w:t>
            </w:r>
          </w:p>
        </w:tc>
      </w:tr>
      <w:tr w:rsidR="00424B9D" w14:paraId="1FC71795" w14:textId="77777777" w:rsidTr="00EA73E6">
        <w:tc>
          <w:tcPr>
            <w:tcW w:w="6062" w:type="dxa"/>
          </w:tcPr>
          <w:p w14:paraId="2D901ED3" w14:textId="77777777" w:rsidR="00424B9D" w:rsidRDefault="00424B9D" w:rsidP="00EA73E6">
            <w:r>
              <w:t>Registration decision (Outcome)</w:t>
            </w:r>
          </w:p>
        </w:tc>
        <w:tc>
          <w:tcPr>
            <w:tcW w:w="2432" w:type="dxa"/>
          </w:tcPr>
          <w:p w14:paraId="0CFB4D09" w14:textId="33485D3F" w:rsidR="00424B9D" w:rsidRDefault="004F22AC" w:rsidP="00EA73E6">
            <w:r>
              <w:t>29</w:t>
            </w:r>
            <w:r w:rsidR="00424B9D">
              <w:t xml:space="preserve"> April 2020</w:t>
            </w:r>
          </w:p>
        </w:tc>
      </w:tr>
      <w:tr w:rsidR="00424B9D" w14:paraId="32ED2097" w14:textId="77777777" w:rsidTr="00EA73E6">
        <w:tc>
          <w:tcPr>
            <w:tcW w:w="6062" w:type="dxa"/>
          </w:tcPr>
          <w:p w14:paraId="33E06348" w14:textId="77777777" w:rsidR="00424B9D" w:rsidRDefault="00424B9D" w:rsidP="00EA73E6">
            <w:r>
              <w:t>Completion of administrative activities and registration on the ARTG</w:t>
            </w:r>
          </w:p>
        </w:tc>
        <w:tc>
          <w:tcPr>
            <w:tcW w:w="2432" w:type="dxa"/>
          </w:tcPr>
          <w:p w14:paraId="424D84D1" w14:textId="77777777" w:rsidR="00424B9D" w:rsidRDefault="00424B9D" w:rsidP="00EA73E6">
            <w:r w:rsidRPr="00940464">
              <w:t>5 May 2020</w:t>
            </w:r>
          </w:p>
        </w:tc>
      </w:tr>
      <w:tr w:rsidR="00424B9D" w14:paraId="18736CA9" w14:textId="77777777" w:rsidTr="00EA73E6">
        <w:tc>
          <w:tcPr>
            <w:tcW w:w="6062" w:type="dxa"/>
          </w:tcPr>
          <w:p w14:paraId="4E081274" w14:textId="77777777" w:rsidR="00424B9D" w:rsidRDefault="00424B9D" w:rsidP="00EA73E6">
            <w:r>
              <w:t>Number of working days from submission dossier acceptance to registration decision*</w:t>
            </w:r>
          </w:p>
        </w:tc>
        <w:tc>
          <w:tcPr>
            <w:tcW w:w="2432" w:type="dxa"/>
          </w:tcPr>
          <w:p w14:paraId="26B8BE90" w14:textId="77777777" w:rsidR="00424B9D" w:rsidRDefault="00424B9D" w:rsidP="00EA73E6">
            <w:r>
              <w:t>222</w:t>
            </w:r>
          </w:p>
        </w:tc>
      </w:tr>
    </w:tbl>
    <w:p w14:paraId="1F1C5AC6" w14:textId="77777777" w:rsidR="00424B9D" w:rsidRDefault="00424B9D" w:rsidP="00734913">
      <w:pPr>
        <w:pStyle w:val="TableDescription"/>
        <w:keepNext/>
      </w:pPr>
      <w:r>
        <w:t>*</w:t>
      </w:r>
      <w:r w:rsidRPr="00BF3774">
        <w:t xml:space="preserve">Statutory </w:t>
      </w:r>
      <w:r>
        <w:t>timeframe for standard applications is 255 working days</w:t>
      </w:r>
    </w:p>
    <w:p w14:paraId="5B1AFE77" w14:textId="261A0043" w:rsidR="00424B9D" w:rsidRPr="00792A32" w:rsidRDefault="00424B9D" w:rsidP="00424B9D">
      <w:pPr>
        <w:pStyle w:val="Heading2"/>
      </w:pPr>
      <w:bookmarkStart w:id="24" w:name="_Toc196046504"/>
      <w:bookmarkStart w:id="25" w:name="_Toc247691527"/>
      <w:bookmarkStart w:id="26" w:name="_Toc314842510"/>
      <w:bookmarkStart w:id="27" w:name="_Toc163441390"/>
      <w:bookmarkStart w:id="28" w:name="_Toc54165851"/>
      <w:bookmarkEnd w:id="20"/>
      <w:bookmarkEnd w:id="21"/>
      <w:r>
        <w:t xml:space="preserve">III. </w:t>
      </w:r>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4"/>
      <w:bookmarkEnd w:id="25"/>
      <w:bookmarkEnd w:id="26"/>
      <w:bookmarkEnd w:id="28"/>
    </w:p>
    <w:p w14:paraId="35A1009C" w14:textId="77777777" w:rsidR="00424B9D" w:rsidRDefault="00424B9D" w:rsidP="00424B9D">
      <w:bookmarkStart w:id="29" w:name="_Toc247691528"/>
      <w:r>
        <w:t>The submission was summarised in the following Delegate’s overview and recommendations.</w:t>
      </w:r>
    </w:p>
    <w:p w14:paraId="4EECF52B" w14:textId="77777777" w:rsidR="00424B9D" w:rsidRDefault="00424B9D" w:rsidP="00424B9D">
      <w:pPr>
        <w:pStyle w:val="Heading3"/>
      </w:pPr>
      <w:bookmarkStart w:id="30" w:name="_Toc314842511"/>
      <w:bookmarkStart w:id="31" w:name="_Toc54165852"/>
      <w:r>
        <w:t>Quality</w:t>
      </w:r>
      <w:bookmarkEnd w:id="29"/>
      <w:bookmarkEnd w:id="30"/>
      <w:bookmarkEnd w:id="31"/>
    </w:p>
    <w:p w14:paraId="035B0F18" w14:textId="6BDCE6C3" w:rsidR="00424B9D" w:rsidRDefault="00424B9D" w:rsidP="00424B9D">
      <w:r>
        <w:t>There was no requirement for a quality evaluation in a submission of this type.</w:t>
      </w:r>
    </w:p>
    <w:p w14:paraId="575EB84D" w14:textId="3194BC24" w:rsidR="00424B9D" w:rsidRDefault="00424B9D" w:rsidP="00424B9D">
      <w:pPr>
        <w:pStyle w:val="Heading3"/>
      </w:pPr>
      <w:bookmarkStart w:id="32" w:name="_Toc314842512"/>
      <w:bookmarkStart w:id="33" w:name="_Toc54165853"/>
      <w:r>
        <w:lastRenderedPageBreak/>
        <w:t>Nonclinical</w:t>
      </w:r>
      <w:bookmarkEnd w:id="32"/>
      <w:bookmarkEnd w:id="33"/>
    </w:p>
    <w:p w14:paraId="320271D1" w14:textId="6C690852" w:rsidR="00090B2F" w:rsidRDefault="00090B2F" w:rsidP="00CB5F25">
      <w:r>
        <w:t xml:space="preserve">No new pharmacology studies were submitted for nonclinical evaluation. New data was submitted regarding carcinogenicity and </w:t>
      </w:r>
      <w:proofErr w:type="spellStart"/>
      <w:r>
        <w:t>embryotoxicity</w:t>
      </w:r>
      <w:proofErr w:type="spellEnd"/>
      <w:r>
        <w:t>.</w:t>
      </w:r>
    </w:p>
    <w:p w14:paraId="14713597" w14:textId="56D022B5" w:rsidR="00090B2F" w:rsidRPr="00D6412F" w:rsidRDefault="00090B2F" w:rsidP="00CB5F25">
      <w:r>
        <w:t>The following points were summarised in the nonclinical evaluation:</w:t>
      </w:r>
    </w:p>
    <w:p w14:paraId="67D13EBB" w14:textId="77777777" w:rsidR="00424B9D" w:rsidRDefault="00424B9D" w:rsidP="00CB5F25">
      <w:pPr>
        <w:pStyle w:val="ListBullet"/>
      </w:pPr>
      <w:bookmarkStart w:id="34" w:name="_Toc247691530"/>
      <w:bookmarkStart w:id="35" w:name="_Toc314842513"/>
      <w:r>
        <w:t>The acceptability of the proposed extension of indication relies on clinical data only.</w:t>
      </w:r>
    </w:p>
    <w:p w14:paraId="61608730" w14:textId="77777777" w:rsidR="00424B9D" w:rsidRDefault="00424B9D" w:rsidP="00CB5F25">
      <w:pPr>
        <w:pStyle w:val="ListBullet"/>
      </w:pPr>
      <w:r>
        <w:t xml:space="preserve">Newly submitted nonclinical studies showed no carcinogenicity for </w:t>
      </w:r>
      <w:proofErr w:type="spellStart"/>
      <w:r>
        <w:t>venetoclax</w:t>
      </w:r>
      <w:proofErr w:type="spellEnd"/>
      <w:r>
        <w:t xml:space="preserve"> and its major human metabolite, M27, and no teratogenicity for M27,</w:t>
      </w:r>
      <w:r w:rsidRPr="00957304">
        <w:t xml:space="preserve"> </w:t>
      </w:r>
      <w:r>
        <w:t>in mice.</w:t>
      </w:r>
    </w:p>
    <w:p w14:paraId="4F2F34EC" w14:textId="26A3DCE1" w:rsidR="00424B9D" w:rsidRDefault="00424B9D" w:rsidP="00CB5F25">
      <w:pPr>
        <w:pStyle w:val="ListBullet"/>
      </w:pPr>
      <w:r>
        <w:t xml:space="preserve">The draft </w:t>
      </w:r>
      <w:r w:rsidR="00090B2F">
        <w:t>PI</w:t>
      </w:r>
      <w:r>
        <w:t xml:space="preserve"> document should be amended as directed</w:t>
      </w:r>
      <w:r w:rsidR="00090B2F">
        <w:t>.</w:t>
      </w:r>
    </w:p>
    <w:p w14:paraId="7E86FD0C" w14:textId="4B1557F1" w:rsidR="00090B2F" w:rsidRDefault="00090B2F" w:rsidP="00CB5F25">
      <w:r>
        <w:rPr>
          <w:rFonts w:asciiTheme="minorHAnsi" w:hAnsiTheme="minorHAnsi"/>
        </w:rPr>
        <w:t>The nonclinical evaluator has raised no objection to approval of the application.</w:t>
      </w:r>
    </w:p>
    <w:p w14:paraId="610E1E92" w14:textId="77777777" w:rsidR="00424B9D" w:rsidRDefault="00424B9D" w:rsidP="00424B9D">
      <w:pPr>
        <w:pStyle w:val="Heading3"/>
      </w:pPr>
      <w:bookmarkStart w:id="36" w:name="_Toc54165854"/>
      <w:r>
        <w:t>Clinical</w:t>
      </w:r>
      <w:bookmarkEnd w:id="34"/>
      <w:bookmarkEnd w:id="35"/>
      <w:bookmarkEnd w:id="36"/>
    </w:p>
    <w:p w14:paraId="20F145EC" w14:textId="19EACC36" w:rsidR="00424B9D" w:rsidRDefault="00424B9D" w:rsidP="00424B9D">
      <w:pPr>
        <w:rPr>
          <w:lang w:eastAsia="ja-JP"/>
        </w:rPr>
      </w:pPr>
      <w:bookmarkStart w:id="37" w:name="_Toc314842514"/>
      <w:r>
        <w:rPr>
          <w:lang w:eastAsia="ja-JP"/>
        </w:rPr>
        <w:t>The clinical dossier provides a Phase III study (</w:t>
      </w:r>
      <w:r w:rsidR="00451F7F">
        <w:rPr>
          <w:lang w:eastAsia="ja-JP"/>
        </w:rPr>
        <w:t>a</w:t>
      </w:r>
      <w:r>
        <w:rPr>
          <w:lang w:eastAsia="ja-JP"/>
        </w:rPr>
        <w:t xml:space="preserve">ctive controlled, named </w:t>
      </w:r>
      <w:r w:rsidR="00451F7F">
        <w:rPr>
          <w:lang w:eastAsia="ja-JP"/>
        </w:rPr>
        <w:t xml:space="preserve">Study </w:t>
      </w:r>
      <w:r>
        <w:rPr>
          <w:lang w:eastAsia="ja-JP"/>
        </w:rPr>
        <w:t xml:space="preserve">B025323, also known as </w:t>
      </w:r>
      <w:r w:rsidR="00451F7F">
        <w:rPr>
          <w:lang w:eastAsia="ja-JP"/>
        </w:rPr>
        <w:t xml:space="preserve">Study </w:t>
      </w:r>
      <w:r>
        <w:rPr>
          <w:lang w:eastAsia="ja-JP"/>
        </w:rPr>
        <w:t>CLL14)</w:t>
      </w:r>
      <w:r w:rsidR="001017C6">
        <w:rPr>
          <w:lang w:eastAsia="ja-JP"/>
        </w:rPr>
        <w:t>;</w:t>
      </w:r>
      <w:r w:rsidR="001017C6">
        <w:rPr>
          <w:rStyle w:val="FootnoteReference"/>
          <w:lang w:eastAsia="ja-JP"/>
        </w:rPr>
        <w:footnoteReference w:id="6"/>
      </w:r>
      <w:r>
        <w:rPr>
          <w:lang w:eastAsia="ja-JP"/>
        </w:rPr>
        <w:t xml:space="preserve"> and </w:t>
      </w:r>
      <w:r w:rsidR="007708A7">
        <w:rPr>
          <w:lang w:eastAsia="ja-JP"/>
        </w:rPr>
        <w:t>P</w:t>
      </w:r>
      <w:r>
        <w:rPr>
          <w:lang w:eastAsia="ja-JP"/>
        </w:rPr>
        <w:t xml:space="preserve">hase </w:t>
      </w:r>
      <w:proofErr w:type="spellStart"/>
      <w:r w:rsidR="007708A7">
        <w:rPr>
          <w:lang w:eastAsia="ja-JP"/>
        </w:rPr>
        <w:t>I</w:t>
      </w:r>
      <w:r>
        <w:rPr>
          <w:lang w:eastAsia="ja-JP"/>
        </w:rPr>
        <w:t>b</w:t>
      </w:r>
      <w:proofErr w:type="spellEnd"/>
      <w:r>
        <w:rPr>
          <w:lang w:eastAsia="ja-JP"/>
        </w:rPr>
        <w:t xml:space="preserve"> study (</w:t>
      </w:r>
      <w:r w:rsidR="007708A7">
        <w:rPr>
          <w:lang w:eastAsia="ja-JP"/>
        </w:rPr>
        <w:t>u</w:t>
      </w:r>
      <w:r>
        <w:rPr>
          <w:lang w:eastAsia="ja-JP"/>
        </w:rPr>
        <w:t xml:space="preserve">ncontrolled, named </w:t>
      </w:r>
      <w:r w:rsidR="007708A7">
        <w:rPr>
          <w:lang w:eastAsia="ja-JP"/>
        </w:rPr>
        <w:t xml:space="preserve">Study </w:t>
      </w:r>
      <w:r>
        <w:rPr>
          <w:lang w:eastAsia="ja-JP"/>
        </w:rPr>
        <w:t>GP28331)</w:t>
      </w:r>
      <w:r w:rsidR="001017C6">
        <w:rPr>
          <w:lang w:eastAsia="ja-JP"/>
        </w:rPr>
        <w:t>;</w:t>
      </w:r>
      <w:r w:rsidR="001017C6">
        <w:rPr>
          <w:rStyle w:val="FootnoteReference"/>
          <w:lang w:eastAsia="ja-JP"/>
        </w:rPr>
        <w:footnoteReference w:id="7"/>
      </w:r>
      <w:r>
        <w:rPr>
          <w:lang w:eastAsia="ja-JP"/>
        </w:rPr>
        <w:t xml:space="preserve"> to support the proposed extension of indication to combination with </w:t>
      </w:r>
      <w:proofErr w:type="spellStart"/>
      <w:r>
        <w:rPr>
          <w:lang w:eastAsia="ja-JP"/>
        </w:rPr>
        <w:t>obinutuzumab</w:t>
      </w:r>
      <w:proofErr w:type="spellEnd"/>
      <w:r>
        <w:rPr>
          <w:lang w:eastAsia="ja-JP"/>
        </w:rPr>
        <w:t xml:space="preserve"> for first line use in CLL. Pharmacokinetic and pharmacodynamics data from both of these studies are used to investigate the combination of </w:t>
      </w:r>
      <w:proofErr w:type="spellStart"/>
      <w:r>
        <w:rPr>
          <w:lang w:eastAsia="ja-JP"/>
        </w:rPr>
        <w:t>venetoclax</w:t>
      </w:r>
      <w:proofErr w:type="spellEnd"/>
      <w:r>
        <w:rPr>
          <w:lang w:eastAsia="ja-JP"/>
        </w:rPr>
        <w:t xml:space="preserve"> + </w:t>
      </w:r>
      <w:proofErr w:type="spellStart"/>
      <w:r>
        <w:rPr>
          <w:lang w:eastAsia="ja-JP"/>
        </w:rPr>
        <w:t>obinutuzumab</w:t>
      </w:r>
      <w:proofErr w:type="spellEnd"/>
      <w:r>
        <w:rPr>
          <w:lang w:eastAsia="ja-JP"/>
        </w:rPr>
        <w:t>.</w:t>
      </w:r>
    </w:p>
    <w:p w14:paraId="631425A8" w14:textId="77777777" w:rsidR="00424B9D" w:rsidRDefault="00424B9D" w:rsidP="00CB5F25">
      <w:pPr>
        <w:pStyle w:val="Heading4"/>
      </w:pPr>
      <w:r w:rsidRPr="003F08CF">
        <w:t>Pharmacology</w:t>
      </w:r>
    </w:p>
    <w:p w14:paraId="62D64E3E" w14:textId="4A39C533" w:rsidR="00424B9D" w:rsidRDefault="00424B9D" w:rsidP="00CB5F25">
      <w:r>
        <w:t xml:space="preserve">The pharmacology of </w:t>
      </w:r>
      <w:proofErr w:type="spellStart"/>
      <w:r>
        <w:t>venetoclax</w:t>
      </w:r>
      <w:proofErr w:type="spellEnd"/>
      <w:r>
        <w:t xml:space="preserve"> and </w:t>
      </w:r>
      <w:proofErr w:type="spellStart"/>
      <w:r>
        <w:t>obinutuzumab</w:t>
      </w:r>
      <w:proofErr w:type="spellEnd"/>
      <w:r>
        <w:t xml:space="preserve"> have been investigated in previous TGA submissions.</w:t>
      </w:r>
    </w:p>
    <w:p w14:paraId="59334EB1" w14:textId="74ED0824" w:rsidR="00424B9D" w:rsidRDefault="00424B9D" w:rsidP="00CB5F25">
      <w:pPr>
        <w:rPr>
          <w:b/>
        </w:rPr>
      </w:pPr>
      <w:r>
        <w:t xml:space="preserve">The sponsor provided a population pharmacokinetics analysis of Study CLL14. This suggested high inter-individual variability for </w:t>
      </w:r>
      <w:proofErr w:type="spellStart"/>
      <w:r>
        <w:t>venetoclax</w:t>
      </w:r>
      <w:proofErr w:type="spellEnd"/>
      <w:r>
        <w:t xml:space="preserve"> and </w:t>
      </w:r>
      <w:proofErr w:type="spellStart"/>
      <w:r>
        <w:t>obinutuzumab</w:t>
      </w:r>
      <w:proofErr w:type="spellEnd"/>
      <w:r>
        <w:t xml:space="preserve"> levels, but no drug-drug interaction. The evaluator has noted that drug-drug interactions between </w:t>
      </w:r>
      <w:proofErr w:type="spellStart"/>
      <w:r>
        <w:t>venetoclax</w:t>
      </w:r>
      <w:proofErr w:type="spellEnd"/>
      <w:r>
        <w:t xml:space="preserve"> and </w:t>
      </w:r>
      <w:proofErr w:type="spellStart"/>
      <w:r>
        <w:t>obinutuzumab</w:t>
      </w:r>
      <w:proofErr w:type="spellEnd"/>
      <w:r>
        <w:t xml:space="preserve"> may not have any effect on adverse events </w:t>
      </w:r>
      <w:r w:rsidR="007708A7">
        <w:t xml:space="preserve">(AEs) </w:t>
      </w:r>
      <w:r>
        <w:t xml:space="preserve">even if they were present, as previous studies have indicated that </w:t>
      </w:r>
      <w:proofErr w:type="spellStart"/>
      <w:r>
        <w:t>venetoclax</w:t>
      </w:r>
      <w:proofErr w:type="spellEnd"/>
      <w:r>
        <w:t xml:space="preserve"> blood levels are not associated with the probability of </w:t>
      </w:r>
      <w:r w:rsidR="007708A7">
        <w:t>AEs</w:t>
      </w:r>
      <w:r>
        <w:t>.</w:t>
      </w:r>
    </w:p>
    <w:p w14:paraId="205EC6A0" w14:textId="68439520" w:rsidR="00424B9D" w:rsidRDefault="00424B9D" w:rsidP="00CB5F25">
      <w:pPr>
        <w:pStyle w:val="Heading4"/>
      </w:pPr>
      <w:r w:rsidRPr="00FC47B4">
        <w:t>Efficacy</w:t>
      </w:r>
    </w:p>
    <w:p w14:paraId="03BCDEAB" w14:textId="5B94673D" w:rsidR="00AA5ACD" w:rsidRPr="00AA5ACD" w:rsidRDefault="00AA5ACD" w:rsidP="00CB5F25">
      <w:pPr>
        <w:pStyle w:val="Heading5"/>
      </w:pPr>
      <w:r>
        <w:t>Study CLL14</w:t>
      </w:r>
    </w:p>
    <w:p w14:paraId="0A092317" w14:textId="2CD70995" w:rsidR="00424B9D" w:rsidRDefault="00424B9D" w:rsidP="00CB5F25">
      <w:r>
        <w:t>Study CLL14 was a prospective, open-label</w:t>
      </w:r>
      <w:r w:rsidR="001017C6">
        <w:t>,</w:t>
      </w:r>
      <w:r>
        <w:t xml:space="preserve"> randomised Phase III trial that compared the efficacy and safety of </w:t>
      </w:r>
      <w:proofErr w:type="spellStart"/>
      <w:r>
        <w:t>venetoclax</w:t>
      </w:r>
      <w:proofErr w:type="spellEnd"/>
      <w:r>
        <w:t xml:space="preserve"> + </w:t>
      </w:r>
      <w:proofErr w:type="spellStart"/>
      <w:r>
        <w:t>obinutuzumab</w:t>
      </w:r>
      <w:proofErr w:type="spellEnd"/>
      <w:r>
        <w:t xml:space="preserve"> to </w:t>
      </w:r>
      <w:proofErr w:type="spellStart"/>
      <w:r>
        <w:t>obinutuzumab</w:t>
      </w:r>
      <w:proofErr w:type="spellEnd"/>
      <w:r>
        <w:t xml:space="preserve"> + </w:t>
      </w:r>
      <w:proofErr w:type="spellStart"/>
      <w:r>
        <w:t>chlorambucil</w:t>
      </w:r>
      <w:proofErr w:type="spellEnd"/>
      <w:r>
        <w:t xml:space="preserve"> in previously untreated patients. Patients were adults with co-morbidities resulting in a total </w:t>
      </w:r>
      <w:r w:rsidR="00D02117" w:rsidRPr="00D02117">
        <w:t xml:space="preserve">Cumulative Illness Rating Scale </w:t>
      </w:r>
      <w:r w:rsidR="00D02117">
        <w:t>(</w:t>
      </w:r>
      <w:r>
        <w:t>CIRS</w:t>
      </w:r>
      <w:r w:rsidR="00D02117">
        <w:t>)</w:t>
      </w:r>
      <w:r w:rsidR="000E190D">
        <w:t xml:space="preserve"> </w:t>
      </w:r>
      <w:r>
        <w:t>score &gt; 6.</w:t>
      </w:r>
      <w:r w:rsidR="00E47835">
        <w:rPr>
          <w:rStyle w:val="FootnoteReference"/>
        </w:rPr>
        <w:footnoteReference w:id="8"/>
      </w:r>
      <w:r>
        <w:t xml:space="preserve"> Exclusion criteria included known </w:t>
      </w:r>
      <w:r w:rsidR="005568D2">
        <w:t>central nervous system (</w:t>
      </w:r>
      <w:r>
        <w:t>CNS</w:t>
      </w:r>
      <w:r w:rsidR="005568D2">
        <w:t>)</w:t>
      </w:r>
      <w:r>
        <w:t xml:space="preserve"> involvement of CLL, and renal impairment with creatinine clearance &lt; 30 m</w:t>
      </w:r>
      <w:r w:rsidR="00AA5ACD">
        <w:t>L</w:t>
      </w:r>
      <w:r>
        <w:t>/min.</w:t>
      </w:r>
    </w:p>
    <w:p w14:paraId="11AB7324" w14:textId="28B0642D" w:rsidR="00424B9D" w:rsidRDefault="00424B9D" w:rsidP="00CB5F25">
      <w:r>
        <w:t>A total of 432 patients were enrolled in Study CLL14</w:t>
      </w:r>
      <w:r w:rsidR="000B41CB">
        <w:t xml:space="preserve"> (see </w:t>
      </w:r>
      <w:r w:rsidR="000B41CB">
        <w:fldChar w:fldCharType="begin"/>
      </w:r>
      <w:r w:rsidR="000B41CB">
        <w:instrText xml:space="preserve"> REF _Ref49357889 \h </w:instrText>
      </w:r>
      <w:r w:rsidR="000B41CB">
        <w:fldChar w:fldCharType="separate"/>
      </w:r>
      <w:r w:rsidR="00974DEC">
        <w:t xml:space="preserve">Figure </w:t>
      </w:r>
      <w:r w:rsidR="00974DEC">
        <w:rPr>
          <w:noProof/>
        </w:rPr>
        <w:t>1</w:t>
      </w:r>
      <w:r w:rsidR="000B41CB">
        <w:fldChar w:fldCharType="end"/>
      </w:r>
      <w:r w:rsidR="000B41CB">
        <w:t>)</w:t>
      </w:r>
      <w:r>
        <w:t xml:space="preserve">. Twelve of these patients participated in a safety run-in in which they received </w:t>
      </w:r>
      <w:proofErr w:type="spellStart"/>
      <w:r>
        <w:t>venetoclax</w:t>
      </w:r>
      <w:proofErr w:type="spellEnd"/>
      <w:r>
        <w:t xml:space="preserve"> +</w:t>
      </w:r>
      <w:proofErr w:type="spellStart"/>
      <w:r>
        <w:t>obinutuzumab</w:t>
      </w:r>
      <w:proofErr w:type="spellEnd"/>
      <w:r>
        <w:t xml:space="preserve"> followed by </w:t>
      </w:r>
      <w:proofErr w:type="spellStart"/>
      <w:r>
        <w:t>venetoclax</w:t>
      </w:r>
      <w:proofErr w:type="spellEnd"/>
      <w:r>
        <w:t xml:space="preserve">. The remaining 420 patients were randomised 1:1 into </w:t>
      </w:r>
      <w:proofErr w:type="spellStart"/>
      <w:r>
        <w:lastRenderedPageBreak/>
        <w:t>venetoclax</w:t>
      </w:r>
      <w:proofErr w:type="spellEnd"/>
      <w:r>
        <w:t> + </w:t>
      </w:r>
      <w:proofErr w:type="spellStart"/>
      <w:r>
        <w:t>obinutuzumab</w:t>
      </w:r>
      <w:proofErr w:type="spellEnd"/>
      <w:r>
        <w:t xml:space="preserve"> (n = 210) and </w:t>
      </w:r>
      <w:proofErr w:type="spellStart"/>
      <w:r>
        <w:t>obinutuzumab</w:t>
      </w:r>
      <w:proofErr w:type="spellEnd"/>
      <w:r w:rsidR="005568D2">
        <w:t xml:space="preserve"> </w:t>
      </w:r>
      <w:r>
        <w:t>+</w:t>
      </w:r>
      <w:r w:rsidR="005568D2">
        <w:t xml:space="preserve"> </w:t>
      </w:r>
      <w:proofErr w:type="spellStart"/>
      <w:r w:rsidR="005568D2">
        <w:rPr>
          <w:rFonts w:asciiTheme="minorHAnsi" w:hAnsiTheme="minorHAnsi"/>
        </w:rPr>
        <w:t>chlorambucil</w:t>
      </w:r>
      <w:proofErr w:type="spellEnd"/>
      <w:r>
        <w:t xml:space="preserve"> (n = 210) arms for the controlled portion of the study. Combination therapy was administered for 6</w:t>
      </w:r>
      <w:r w:rsidR="005568D2">
        <w:t> </w:t>
      </w:r>
      <w:r>
        <w:t>x</w:t>
      </w:r>
      <w:r w:rsidR="00E81C2C">
        <w:t> </w:t>
      </w:r>
      <w:r>
        <w:t>28</w:t>
      </w:r>
      <w:r w:rsidR="00E81C2C">
        <w:t> </w:t>
      </w:r>
      <w:r>
        <w:t>days cycles, followed by single agent treatment (</w:t>
      </w:r>
      <w:proofErr w:type="spellStart"/>
      <w:r>
        <w:t>venetoclax</w:t>
      </w:r>
      <w:proofErr w:type="spellEnd"/>
      <w:r>
        <w:t xml:space="preserve"> or </w:t>
      </w:r>
      <w:proofErr w:type="spellStart"/>
      <w:r>
        <w:t>obinutuzumab</w:t>
      </w:r>
      <w:proofErr w:type="spellEnd"/>
      <w:r>
        <w:t>) for a further 6 months.</w:t>
      </w:r>
    </w:p>
    <w:p w14:paraId="0CD396E5" w14:textId="6BFAD2B5" w:rsidR="00AA5ACD" w:rsidRDefault="00424B9D" w:rsidP="00CB5F25">
      <w:r>
        <w:t>The primary endpoint of the trial was progression</w:t>
      </w:r>
      <w:r w:rsidR="005568D2">
        <w:t xml:space="preserve"> </w:t>
      </w:r>
      <w:r>
        <w:t>free survival (PFS).</w:t>
      </w:r>
    </w:p>
    <w:p w14:paraId="62E583F1" w14:textId="0E94556F" w:rsidR="00424B9D" w:rsidRDefault="00AA5ACD" w:rsidP="00CB5F25">
      <w:pPr>
        <w:pStyle w:val="FigureTitle"/>
      </w:pPr>
      <w:bookmarkStart w:id="38" w:name="_Ref49357889"/>
      <w:r>
        <w:t xml:space="preserve">Figure </w:t>
      </w:r>
      <w:fldSimple w:instr=" SEQ Figure \* ARABIC ">
        <w:r w:rsidR="00974DEC">
          <w:rPr>
            <w:noProof/>
          </w:rPr>
          <w:t>1</w:t>
        </w:r>
      </w:fldSimple>
      <w:bookmarkEnd w:id="38"/>
      <w:r>
        <w:t>:</w:t>
      </w:r>
      <w:r w:rsidRPr="000A5900">
        <w:t xml:space="preserve"> </w:t>
      </w:r>
      <w:r w:rsidR="006A43AA">
        <w:t xml:space="preserve">Study CLL14 </w:t>
      </w:r>
      <w:r w:rsidRPr="000A5900">
        <w:t>Patient disposition</w:t>
      </w:r>
    </w:p>
    <w:p w14:paraId="1CC617FB" w14:textId="77777777" w:rsidR="00D865DB" w:rsidRDefault="00D865DB" w:rsidP="00CB5F25">
      <w:pPr>
        <w:rPr>
          <w:rFonts w:asciiTheme="minorHAnsi" w:hAnsiTheme="minorHAnsi"/>
        </w:rPr>
      </w:pPr>
      <w:r>
        <w:rPr>
          <w:rFonts w:asciiTheme="minorHAnsi" w:hAnsiTheme="minorHAnsi"/>
          <w:noProof/>
          <w:lang w:eastAsia="en-AU"/>
        </w:rPr>
        <w:drawing>
          <wp:inline distT="0" distB="0" distL="0" distR="0" wp14:anchorId="556ED8E5" wp14:editId="37F9FF1A">
            <wp:extent cx="5391150" cy="4314825"/>
            <wp:effectExtent l="0" t="0" r="0" b="9525"/>
            <wp:docPr id="1" name="Picture 1" descr="Of the 514 patients screened, 432 were randomized to the GClb arm (216) or the VEN + G arm (216). The figure shows the number of patients that received any treatment, received both agents, received single agent, completed single agent, entered post treatment follow up, and in follow up at clinical cut-off, in this order. Between each step, the number of patients discontinuing study and the reason were also shown." title="Figure 1 - Study CLL14 Patient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4314825"/>
                    </a:xfrm>
                    <a:prstGeom prst="rect">
                      <a:avLst/>
                    </a:prstGeom>
                    <a:noFill/>
                    <a:ln>
                      <a:noFill/>
                    </a:ln>
                  </pic:spPr>
                </pic:pic>
              </a:graphicData>
            </a:graphic>
          </wp:inline>
        </w:drawing>
      </w:r>
    </w:p>
    <w:p w14:paraId="52308202" w14:textId="6B9E3779" w:rsidR="00D865DB" w:rsidRDefault="00D865DB" w:rsidP="004B246B">
      <w:pPr>
        <w:pStyle w:val="FigureDescription"/>
      </w:pPr>
      <w:proofErr w:type="spellStart"/>
      <w:r>
        <w:t>Clb</w:t>
      </w:r>
      <w:proofErr w:type="spellEnd"/>
      <w:r>
        <w:t xml:space="preserve"> = </w:t>
      </w:r>
      <w:proofErr w:type="spellStart"/>
      <w:r>
        <w:t>chlorambucil</w:t>
      </w:r>
      <w:proofErr w:type="spellEnd"/>
      <w:r>
        <w:t xml:space="preserve">, G = </w:t>
      </w:r>
      <w:proofErr w:type="spellStart"/>
      <w:r>
        <w:t>obintutzumab</w:t>
      </w:r>
      <w:proofErr w:type="spellEnd"/>
      <w:r>
        <w:t xml:space="preserve">, VEN = </w:t>
      </w:r>
      <w:proofErr w:type="spellStart"/>
      <w:r>
        <w:t>venetoclax</w:t>
      </w:r>
      <w:proofErr w:type="spellEnd"/>
      <w:r>
        <w:t>, w/d = withdrawal.</w:t>
      </w:r>
    </w:p>
    <w:p w14:paraId="29F874B9" w14:textId="48C281AD" w:rsidR="00D865DB" w:rsidRDefault="00D865DB" w:rsidP="004B246B">
      <w:pPr>
        <w:pStyle w:val="FigureDescription"/>
      </w:pPr>
      <w:r w:rsidRPr="004B246B">
        <w:rPr>
          <w:vertAlign w:val="superscript"/>
        </w:rPr>
        <w:t>a</w:t>
      </w:r>
      <w:r>
        <w:t xml:space="preserve"> </w:t>
      </w:r>
      <w:proofErr w:type="spellStart"/>
      <w:r>
        <w:t>Obinutuzumab</w:t>
      </w:r>
      <w:proofErr w:type="spellEnd"/>
      <w:r>
        <w:t xml:space="preserve"> or </w:t>
      </w:r>
      <w:proofErr w:type="spellStart"/>
      <w:r>
        <w:t>chlorambucil</w:t>
      </w:r>
      <w:proofErr w:type="spellEnd"/>
      <w:r>
        <w:t xml:space="preserve">, although </w:t>
      </w:r>
      <w:proofErr w:type="spellStart"/>
      <w:r>
        <w:t>obinutuzumab</w:t>
      </w:r>
      <w:proofErr w:type="spellEnd"/>
      <w:r>
        <w:t xml:space="preserve"> administered first per protocol.</w:t>
      </w:r>
    </w:p>
    <w:p w14:paraId="3BA2A98F" w14:textId="0F84C228" w:rsidR="00D865DB" w:rsidRDefault="00D865DB" w:rsidP="004B246B">
      <w:pPr>
        <w:pStyle w:val="FigureDescription"/>
      </w:pPr>
      <w:r w:rsidRPr="004B246B">
        <w:rPr>
          <w:vertAlign w:val="superscript"/>
        </w:rPr>
        <w:t>b</w:t>
      </w:r>
      <w:r>
        <w:t xml:space="preserve"> </w:t>
      </w:r>
      <w:proofErr w:type="spellStart"/>
      <w:r>
        <w:t>Obinutuzumab</w:t>
      </w:r>
      <w:proofErr w:type="spellEnd"/>
      <w:r>
        <w:t xml:space="preserve"> or </w:t>
      </w:r>
      <w:proofErr w:type="spellStart"/>
      <w:r>
        <w:t>venetoclax</w:t>
      </w:r>
      <w:proofErr w:type="spellEnd"/>
      <w:r>
        <w:t xml:space="preserve">, although </w:t>
      </w:r>
      <w:proofErr w:type="spellStart"/>
      <w:r>
        <w:t>venetoclax</w:t>
      </w:r>
      <w:proofErr w:type="spellEnd"/>
      <w:r>
        <w:t xml:space="preserve"> not scheduled until Day 22 of Cycle 1</w:t>
      </w:r>
      <w:r w:rsidR="007F5BA7">
        <w:t>.</w:t>
      </w:r>
    </w:p>
    <w:p w14:paraId="6A4FB04F" w14:textId="0A4C7A96" w:rsidR="00D865DB" w:rsidRDefault="00D865DB" w:rsidP="004B246B">
      <w:pPr>
        <w:pStyle w:val="FigureDescription"/>
      </w:pPr>
      <w:r w:rsidRPr="004B246B">
        <w:rPr>
          <w:vertAlign w:val="superscript"/>
        </w:rPr>
        <w:t xml:space="preserve">c </w:t>
      </w:r>
      <w:proofErr w:type="spellStart"/>
      <w:r>
        <w:t>Obinutuzumab</w:t>
      </w:r>
      <w:proofErr w:type="spellEnd"/>
      <w:r>
        <w:t xml:space="preserve"> and </w:t>
      </w:r>
      <w:proofErr w:type="spellStart"/>
      <w:r>
        <w:t>chlorambucil</w:t>
      </w:r>
      <w:proofErr w:type="spellEnd"/>
      <w:r w:rsidR="003C3191">
        <w:t>.</w:t>
      </w:r>
    </w:p>
    <w:p w14:paraId="0E2BACFB" w14:textId="391A366A" w:rsidR="00D865DB" w:rsidRDefault="00D865DB" w:rsidP="004B246B">
      <w:pPr>
        <w:pStyle w:val="FigureDescription"/>
      </w:pPr>
      <w:r w:rsidRPr="004B246B">
        <w:rPr>
          <w:vertAlign w:val="superscript"/>
        </w:rPr>
        <w:t xml:space="preserve">d </w:t>
      </w:r>
      <w:proofErr w:type="spellStart"/>
      <w:r>
        <w:t>Obinutuzumab</w:t>
      </w:r>
      <w:proofErr w:type="spellEnd"/>
      <w:r>
        <w:t xml:space="preserve"> and </w:t>
      </w:r>
      <w:proofErr w:type="spellStart"/>
      <w:r>
        <w:t>venetoclax</w:t>
      </w:r>
      <w:proofErr w:type="spellEnd"/>
      <w:r w:rsidR="003C3191">
        <w:t>.</w:t>
      </w:r>
    </w:p>
    <w:p w14:paraId="3C97CA56" w14:textId="2FC306FB" w:rsidR="00D865DB" w:rsidRDefault="003C3191" w:rsidP="004B246B">
      <w:pPr>
        <w:pStyle w:val="FigureDescription"/>
      </w:pPr>
      <w:r w:rsidRPr="004B246B">
        <w:rPr>
          <w:vertAlign w:val="superscript"/>
        </w:rPr>
        <w:t>e</w:t>
      </w:r>
      <w:r w:rsidR="00D865DB">
        <w:t xml:space="preserve"> all patients who received treatment and did not discontinue the study within 30 days of last exposure were considered as having entered post-treatment follow-up</w:t>
      </w:r>
      <w:r>
        <w:t>.</w:t>
      </w:r>
    </w:p>
    <w:p w14:paraId="263A2514" w14:textId="7123891D" w:rsidR="00D865DB" w:rsidRDefault="00D865DB" w:rsidP="004B246B">
      <w:pPr>
        <w:pStyle w:val="FigureDescription"/>
      </w:pPr>
      <w:r w:rsidRPr="004B246B">
        <w:rPr>
          <w:vertAlign w:val="superscript"/>
        </w:rPr>
        <w:t>f</w:t>
      </w:r>
      <w:r>
        <w:t xml:space="preserve"> Date of clinical cut-off: 17 August 2018</w:t>
      </w:r>
      <w:r w:rsidR="007F5BA7">
        <w:t>.</w:t>
      </w:r>
    </w:p>
    <w:p w14:paraId="1FAD2FF5" w14:textId="77777777" w:rsidR="00D865DB" w:rsidRDefault="00D865DB" w:rsidP="004B246B">
      <w:pPr>
        <w:pStyle w:val="FigureDescription"/>
      </w:pPr>
      <w:r>
        <w:t>Dashed lines indicate flow of patients who discontinued one or both components of treatment and subsequently entered post-treatment follow-up.</w:t>
      </w:r>
    </w:p>
    <w:p w14:paraId="1A03ACF7" w14:textId="1EA68FAE" w:rsidR="00424B9D" w:rsidRDefault="00D865DB" w:rsidP="004B246B">
      <w:pPr>
        <w:pStyle w:val="FigureDescription"/>
      </w:pPr>
      <w:r>
        <w:t xml:space="preserve">(Note: 12 patients in the </w:t>
      </w:r>
      <w:proofErr w:type="spellStart"/>
      <w:r>
        <w:t>GClb</w:t>
      </w:r>
      <w:proofErr w:type="spellEnd"/>
      <w:r>
        <w:t xml:space="preserve"> arm and 6 in the VEN + G arm did not have a Treatment Completion Page in the </w:t>
      </w:r>
      <w:proofErr w:type="spellStart"/>
      <w:r>
        <w:t>eCRF</w:t>
      </w:r>
      <w:proofErr w:type="spellEnd"/>
      <w:r>
        <w:t xml:space="preserve"> but from the treatment duration were considered to have completed treatment.)</w:t>
      </w:r>
    </w:p>
    <w:p w14:paraId="6273C76B" w14:textId="11E295CF" w:rsidR="00AA5ACD" w:rsidRDefault="00424B9D" w:rsidP="00CB5F25">
      <w:r>
        <w:t xml:space="preserve">Baseline characteristics were considered by the </w:t>
      </w:r>
      <w:r w:rsidR="000B41CB">
        <w:t>e</w:t>
      </w:r>
      <w:r>
        <w:t>valuator to be consistent with first line presentations for CLL</w:t>
      </w:r>
      <w:r w:rsidR="000B41CB">
        <w:t>.</w:t>
      </w:r>
    </w:p>
    <w:p w14:paraId="25B23D9C" w14:textId="76E2D58F" w:rsidR="00424B9D" w:rsidRDefault="00106D85" w:rsidP="00734913">
      <w:pPr>
        <w:pStyle w:val="FigureTitle"/>
      </w:pPr>
      <w:r>
        <w:lastRenderedPageBreak/>
        <w:t xml:space="preserve">Table </w:t>
      </w:r>
      <w:fldSimple w:instr=" SEQ Table \* ARABIC ">
        <w:r w:rsidR="00974DEC">
          <w:rPr>
            <w:noProof/>
          </w:rPr>
          <w:t>3</w:t>
        </w:r>
      </w:fldSimple>
      <w:r>
        <w:t>:</w:t>
      </w:r>
      <w:r w:rsidRPr="00CF6488">
        <w:t xml:space="preserve"> </w:t>
      </w:r>
      <w:r w:rsidR="006A43AA">
        <w:t xml:space="preserve">Study CLL14 </w:t>
      </w:r>
      <w:r w:rsidRPr="00CF6488">
        <w:t xml:space="preserve">Baseline disease characteristics of </w:t>
      </w:r>
      <w:r w:rsidR="006A43AA">
        <w:t xml:space="preserve">enrolled </w:t>
      </w:r>
      <w:r w:rsidRPr="00CF6488">
        <w:t>patients</w:t>
      </w:r>
    </w:p>
    <w:tbl>
      <w:tblPr>
        <w:tblStyle w:val="TableTGAblue"/>
        <w:tblW w:w="0" w:type="auto"/>
        <w:tblLook w:val="04A0" w:firstRow="1" w:lastRow="0" w:firstColumn="1" w:lastColumn="0" w:noHBand="0" w:noVBand="1"/>
      </w:tblPr>
      <w:tblGrid>
        <w:gridCol w:w="3794"/>
        <w:gridCol w:w="1559"/>
        <w:gridCol w:w="1701"/>
        <w:gridCol w:w="1666"/>
      </w:tblGrid>
      <w:tr w:rsidR="00106D85" w:rsidRPr="008D1D5E" w14:paraId="232122EA" w14:textId="77777777" w:rsidTr="00CB5F25">
        <w:trPr>
          <w:cnfStyle w:val="100000000000" w:firstRow="1" w:lastRow="0" w:firstColumn="0" w:lastColumn="0" w:oddVBand="0" w:evenVBand="0" w:oddHBand="0" w:evenHBand="0" w:firstRowFirstColumn="0" w:firstRowLastColumn="0" w:lastRowFirstColumn="0" w:lastRowLastColumn="0"/>
        </w:trPr>
        <w:tc>
          <w:tcPr>
            <w:tcW w:w="3794" w:type="dxa"/>
          </w:tcPr>
          <w:p w14:paraId="41F2477D" w14:textId="77777777" w:rsidR="00424B9D" w:rsidRPr="008D1D5E" w:rsidRDefault="00424B9D" w:rsidP="00EA73E6">
            <w:pPr>
              <w:rPr>
                <w:sz w:val="20"/>
                <w:szCs w:val="20"/>
                <w:lang w:eastAsia="ja-JP"/>
              </w:rPr>
            </w:pPr>
          </w:p>
        </w:tc>
        <w:tc>
          <w:tcPr>
            <w:tcW w:w="1559" w:type="dxa"/>
          </w:tcPr>
          <w:p w14:paraId="4F67487F" w14:textId="7727B67F" w:rsidR="00223831" w:rsidRPr="008D1D5E" w:rsidRDefault="00491D68" w:rsidP="00EA73E6">
            <w:pPr>
              <w:rPr>
                <w:sz w:val="20"/>
                <w:szCs w:val="20"/>
                <w:lang w:eastAsia="ja-JP"/>
              </w:rPr>
            </w:pPr>
            <w:proofErr w:type="spellStart"/>
            <w:r w:rsidRPr="008D1D5E">
              <w:rPr>
                <w:sz w:val="20"/>
                <w:szCs w:val="20"/>
                <w:lang w:eastAsia="ja-JP"/>
              </w:rPr>
              <w:t>GClb</w:t>
            </w:r>
            <w:proofErr w:type="spellEnd"/>
            <w:r w:rsidR="00223831" w:rsidRPr="008D1D5E">
              <w:rPr>
                <w:sz w:val="20"/>
                <w:szCs w:val="20"/>
                <w:lang w:eastAsia="ja-JP"/>
              </w:rPr>
              <w:t xml:space="preserve"> </w:t>
            </w:r>
          </w:p>
          <w:p w14:paraId="437AB29F" w14:textId="0CD3AE9B" w:rsidR="00424B9D" w:rsidRPr="008D1D5E" w:rsidRDefault="00424B9D" w:rsidP="00EA73E6">
            <w:pPr>
              <w:rPr>
                <w:sz w:val="20"/>
                <w:szCs w:val="20"/>
                <w:lang w:eastAsia="ja-JP"/>
              </w:rPr>
            </w:pPr>
            <w:r w:rsidRPr="008D1D5E">
              <w:rPr>
                <w:sz w:val="20"/>
                <w:szCs w:val="20"/>
                <w:lang w:eastAsia="ja-JP"/>
              </w:rPr>
              <w:t>N</w:t>
            </w:r>
            <w:r w:rsidR="00106D85" w:rsidRPr="008D1D5E">
              <w:rPr>
                <w:sz w:val="20"/>
                <w:szCs w:val="20"/>
                <w:lang w:eastAsia="ja-JP"/>
              </w:rPr>
              <w:t xml:space="preserve"> </w:t>
            </w:r>
            <w:r w:rsidRPr="008D1D5E">
              <w:rPr>
                <w:sz w:val="20"/>
                <w:szCs w:val="20"/>
                <w:lang w:eastAsia="ja-JP"/>
              </w:rPr>
              <w:t>=</w:t>
            </w:r>
            <w:r w:rsidR="00106D85" w:rsidRPr="008D1D5E">
              <w:rPr>
                <w:sz w:val="20"/>
                <w:szCs w:val="20"/>
                <w:lang w:eastAsia="ja-JP"/>
              </w:rPr>
              <w:t xml:space="preserve"> </w:t>
            </w:r>
            <w:r w:rsidRPr="008D1D5E">
              <w:rPr>
                <w:sz w:val="20"/>
                <w:szCs w:val="20"/>
                <w:lang w:eastAsia="ja-JP"/>
              </w:rPr>
              <w:t>216</w:t>
            </w:r>
          </w:p>
        </w:tc>
        <w:tc>
          <w:tcPr>
            <w:tcW w:w="1701" w:type="dxa"/>
          </w:tcPr>
          <w:p w14:paraId="55235953" w14:textId="61E07A09" w:rsidR="00424B9D" w:rsidRPr="008D1D5E" w:rsidRDefault="00424B9D" w:rsidP="00EA73E6">
            <w:pPr>
              <w:rPr>
                <w:sz w:val="20"/>
                <w:szCs w:val="20"/>
                <w:lang w:eastAsia="ja-JP"/>
              </w:rPr>
            </w:pPr>
            <w:r w:rsidRPr="008D1D5E">
              <w:rPr>
                <w:sz w:val="20"/>
                <w:szCs w:val="20"/>
                <w:lang w:eastAsia="ja-JP"/>
              </w:rPr>
              <w:t>VEN</w:t>
            </w:r>
            <w:r w:rsidR="00106D85" w:rsidRPr="008D1D5E">
              <w:rPr>
                <w:sz w:val="20"/>
                <w:szCs w:val="20"/>
                <w:lang w:eastAsia="ja-JP"/>
              </w:rPr>
              <w:t xml:space="preserve"> </w:t>
            </w:r>
            <w:r w:rsidRPr="008D1D5E">
              <w:rPr>
                <w:sz w:val="20"/>
                <w:szCs w:val="20"/>
                <w:lang w:eastAsia="ja-JP"/>
              </w:rPr>
              <w:t>+</w:t>
            </w:r>
            <w:r w:rsidR="00106D85" w:rsidRPr="008D1D5E">
              <w:rPr>
                <w:sz w:val="20"/>
                <w:szCs w:val="20"/>
                <w:lang w:eastAsia="ja-JP"/>
              </w:rPr>
              <w:t xml:space="preserve"> </w:t>
            </w:r>
            <w:r w:rsidRPr="008D1D5E">
              <w:rPr>
                <w:sz w:val="20"/>
                <w:szCs w:val="20"/>
                <w:lang w:eastAsia="ja-JP"/>
              </w:rPr>
              <w:t>G</w:t>
            </w:r>
          </w:p>
          <w:p w14:paraId="48269DA4" w14:textId="530DCBDC" w:rsidR="00424B9D" w:rsidRPr="008D1D5E" w:rsidRDefault="00424B9D" w:rsidP="00EA73E6">
            <w:pPr>
              <w:rPr>
                <w:sz w:val="20"/>
                <w:szCs w:val="20"/>
                <w:lang w:eastAsia="ja-JP"/>
              </w:rPr>
            </w:pPr>
            <w:r w:rsidRPr="008D1D5E">
              <w:rPr>
                <w:sz w:val="20"/>
                <w:szCs w:val="20"/>
                <w:lang w:eastAsia="ja-JP"/>
              </w:rPr>
              <w:t>N</w:t>
            </w:r>
            <w:r w:rsidR="00106D85" w:rsidRPr="008D1D5E">
              <w:rPr>
                <w:sz w:val="20"/>
                <w:szCs w:val="20"/>
                <w:lang w:eastAsia="ja-JP"/>
              </w:rPr>
              <w:t xml:space="preserve"> </w:t>
            </w:r>
            <w:r w:rsidRPr="008D1D5E">
              <w:rPr>
                <w:sz w:val="20"/>
                <w:szCs w:val="20"/>
                <w:lang w:eastAsia="ja-JP"/>
              </w:rPr>
              <w:t>=</w:t>
            </w:r>
            <w:r w:rsidR="00106D85" w:rsidRPr="008D1D5E">
              <w:rPr>
                <w:sz w:val="20"/>
                <w:szCs w:val="20"/>
                <w:lang w:eastAsia="ja-JP"/>
              </w:rPr>
              <w:t xml:space="preserve"> </w:t>
            </w:r>
            <w:r w:rsidRPr="008D1D5E">
              <w:rPr>
                <w:sz w:val="20"/>
                <w:szCs w:val="20"/>
                <w:lang w:eastAsia="ja-JP"/>
              </w:rPr>
              <w:t>216</w:t>
            </w:r>
          </w:p>
        </w:tc>
        <w:tc>
          <w:tcPr>
            <w:tcW w:w="1666" w:type="dxa"/>
          </w:tcPr>
          <w:p w14:paraId="0C7A8A47" w14:textId="77777777" w:rsidR="00424B9D" w:rsidRPr="008D1D5E" w:rsidRDefault="00424B9D" w:rsidP="00EA73E6">
            <w:pPr>
              <w:rPr>
                <w:sz w:val="20"/>
                <w:szCs w:val="20"/>
                <w:lang w:eastAsia="ja-JP"/>
              </w:rPr>
            </w:pPr>
            <w:r w:rsidRPr="008D1D5E">
              <w:rPr>
                <w:sz w:val="20"/>
                <w:szCs w:val="20"/>
                <w:lang w:eastAsia="ja-JP"/>
              </w:rPr>
              <w:t>All Patients</w:t>
            </w:r>
          </w:p>
          <w:p w14:paraId="54177645" w14:textId="6920DFAB" w:rsidR="00424B9D" w:rsidRPr="008D1D5E" w:rsidRDefault="00424B9D" w:rsidP="00EA73E6">
            <w:pPr>
              <w:rPr>
                <w:sz w:val="20"/>
                <w:szCs w:val="20"/>
                <w:lang w:eastAsia="ja-JP"/>
              </w:rPr>
            </w:pPr>
            <w:r w:rsidRPr="008D1D5E">
              <w:rPr>
                <w:sz w:val="20"/>
                <w:szCs w:val="20"/>
                <w:lang w:eastAsia="ja-JP"/>
              </w:rPr>
              <w:t>N</w:t>
            </w:r>
            <w:r w:rsidR="00106D85" w:rsidRPr="008D1D5E">
              <w:rPr>
                <w:sz w:val="20"/>
                <w:szCs w:val="20"/>
                <w:lang w:eastAsia="ja-JP"/>
              </w:rPr>
              <w:t xml:space="preserve"> </w:t>
            </w:r>
            <w:r w:rsidRPr="008D1D5E">
              <w:rPr>
                <w:sz w:val="20"/>
                <w:szCs w:val="20"/>
                <w:lang w:eastAsia="ja-JP"/>
              </w:rPr>
              <w:t>=</w:t>
            </w:r>
            <w:r w:rsidR="00106D85" w:rsidRPr="008D1D5E">
              <w:rPr>
                <w:sz w:val="20"/>
                <w:szCs w:val="20"/>
                <w:lang w:eastAsia="ja-JP"/>
              </w:rPr>
              <w:t xml:space="preserve"> </w:t>
            </w:r>
            <w:r w:rsidRPr="008D1D5E">
              <w:rPr>
                <w:sz w:val="20"/>
                <w:szCs w:val="20"/>
                <w:lang w:eastAsia="ja-JP"/>
              </w:rPr>
              <w:t>432</w:t>
            </w:r>
          </w:p>
        </w:tc>
      </w:tr>
      <w:tr w:rsidR="00424B9D" w:rsidRPr="008D1D5E" w14:paraId="619FAFE7" w14:textId="77777777" w:rsidTr="00CB5F25">
        <w:tc>
          <w:tcPr>
            <w:tcW w:w="3794" w:type="dxa"/>
          </w:tcPr>
          <w:p w14:paraId="4945296C" w14:textId="77777777" w:rsidR="00424B9D" w:rsidRPr="008D1D5E" w:rsidRDefault="00424B9D" w:rsidP="00EA73E6">
            <w:pPr>
              <w:rPr>
                <w:b/>
                <w:sz w:val="20"/>
                <w:szCs w:val="20"/>
                <w:lang w:eastAsia="ja-JP"/>
              </w:rPr>
            </w:pPr>
            <w:r w:rsidRPr="008D1D5E">
              <w:rPr>
                <w:b/>
                <w:sz w:val="20"/>
                <w:szCs w:val="20"/>
                <w:lang w:eastAsia="ja-JP"/>
              </w:rPr>
              <w:t>Time from first diagnosis (years)</w:t>
            </w:r>
          </w:p>
          <w:p w14:paraId="7D52F9D5" w14:textId="77777777" w:rsidR="00424B9D" w:rsidRPr="008D1D5E" w:rsidRDefault="00424B9D" w:rsidP="00EA73E6">
            <w:pPr>
              <w:rPr>
                <w:sz w:val="20"/>
                <w:szCs w:val="20"/>
                <w:lang w:eastAsia="ja-JP"/>
              </w:rPr>
            </w:pPr>
            <w:r w:rsidRPr="008D1D5E">
              <w:rPr>
                <w:sz w:val="20"/>
                <w:szCs w:val="20"/>
                <w:lang w:eastAsia="ja-JP"/>
              </w:rPr>
              <w:t>Median (range)</w:t>
            </w:r>
          </w:p>
        </w:tc>
        <w:tc>
          <w:tcPr>
            <w:tcW w:w="1559" w:type="dxa"/>
          </w:tcPr>
          <w:p w14:paraId="73476C44" w14:textId="77777777" w:rsidR="00424B9D" w:rsidRPr="008D1D5E" w:rsidRDefault="00424B9D" w:rsidP="00EA73E6">
            <w:pPr>
              <w:rPr>
                <w:sz w:val="20"/>
                <w:szCs w:val="20"/>
                <w:lang w:eastAsia="ja-JP"/>
              </w:rPr>
            </w:pPr>
            <w:r w:rsidRPr="008D1D5E">
              <w:rPr>
                <w:sz w:val="20"/>
                <w:szCs w:val="20"/>
                <w:lang w:eastAsia="ja-JP"/>
              </w:rPr>
              <w:t>2.4 (0-20.4)</w:t>
            </w:r>
          </w:p>
        </w:tc>
        <w:tc>
          <w:tcPr>
            <w:tcW w:w="1701" w:type="dxa"/>
          </w:tcPr>
          <w:p w14:paraId="161171B4" w14:textId="77777777" w:rsidR="00424B9D" w:rsidRPr="008D1D5E" w:rsidRDefault="00424B9D" w:rsidP="00EA73E6">
            <w:pPr>
              <w:rPr>
                <w:sz w:val="20"/>
                <w:szCs w:val="20"/>
                <w:lang w:eastAsia="ja-JP"/>
              </w:rPr>
            </w:pPr>
            <w:r w:rsidRPr="008D1D5E">
              <w:rPr>
                <w:sz w:val="20"/>
                <w:szCs w:val="20"/>
                <w:lang w:eastAsia="ja-JP"/>
              </w:rPr>
              <w:t>2.6 (0-18)</w:t>
            </w:r>
          </w:p>
        </w:tc>
        <w:tc>
          <w:tcPr>
            <w:tcW w:w="1666" w:type="dxa"/>
          </w:tcPr>
          <w:p w14:paraId="3643C9C1" w14:textId="77777777" w:rsidR="00424B9D" w:rsidRPr="008D1D5E" w:rsidRDefault="00424B9D" w:rsidP="00EA73E6">
            <w:pPr>
              <w:rPr>
                <w:sz w:val="20"/>
                <w:szCs w:val="20"/>
                <w:lang w:eastAsia="ja-JP"/>
              </w:rPr>
            </w:pPr>
            <w:r w:rsidRPr="008D1D5E">
              <w:rPr>
                <w:sz w:val="20"/>
                <w:szCs w:val="20"/>
                <w:lang w:eastAsia="ja-JP"/>
              </w:rPr>
              <w:t>2.5 (0-20.4)</w:t>
            </w:r>
          </w:p>
        </w:tc>
      </w:tr>
      <w:tr w:rsidR="00424B9D" w:rsidRPr="008D1D5E" w14:paraId="64F9AFAB" w14:textId="77777777" w:rsidTr="00CB5F25">
        <w:tc>
          <w:tcPr>
            <w:tcW w:w="3794" w:type="dxa"/>
          </w:tcPr>
          <w:p w14:paraId="462C1300" w14:textId="1C0C7464" w:rsidR="00424B9D" w:rsidRPr="008D1D5E" w:rsidRDefault="008D1D5E" w:rsidP="008D1D5E">
            <w:pPr>
              <w:rPr>
                <w:b/>
                <w:sz w:val="20"/>
                <w:szCs w:val="20"/>
                <w:lang w:eastAsia="ja-JP"/>
              </w:rPr>
            </w:pPr>
            <w:r>
              <w:rPr>
                <w:b/>
                <w:sz w:val="20"/>
                <w:szCs w:val="20"/>
                <w:lang w:eastAsia="ja-JP"/>
              </w:rPr>
              <w:sym w:font="Symbol" w:char="F0B3"/>
            </w:r>
            <w:r w:rsidR="00424B9D" w:rsidRPr="008D1D5E">
              <w:rPr>
                <w:b/>
                <w:sz w:val="20"/>
                <w:szCs w:val="20"/>
                <w:lang w:eastAsia="ja-JP"/>
              </w:rPr>
              <w:t xml:space="preserve"> 6 years from first diagnosis</w:t>
            </w:r>
          </w:p>
        </w:tc>
        <w:tc>
          <w:tcPr>
            <w:tcW w:w="1559" w:type="dxa"/>
          </w:tcPr>
          <w:p w14:paraId="23E1B7ED" w14:textId="77777777" w:rsidR="00424B9D" w:rsidRPr="008D1D5E" w:rsidRDefault="00424B9D" w:rsidP="00EA73E6">
            <w:pPr>
              <w:rPr>
                <w:sz w:val="20"/>
                <w:szCs w:val="20"/>
                <w:lang w:eastAsia="ja-JP"/>
              </w:rPr>
            </w:pPr>
            <w:r w:rsidRPr="008D1D5E">
              <w:rPr>
                <w:sz w:val="20"/>
                <w:szCs w:val="20"/>
                <w:lang w:eastAsia="ja-JP"/>
              </w:rPr>
              <w:t>43(20%)</w:t>
            </w:r>
          </w:p>
        </w:tc>
        <w:tc>
          <w:tcPr>
            <w:tcW w:w="1701" w:type="dxa"/>
          </w:tcPr>
          <w:p w14:paraId="2559B92B" w14:textId="77777777" w:rsidR="00424B9D" w:rsidRPr="008D1D5E" w:rsidRDefault="00424B9D" w:rsidP="00EA73E6">
            <w:pPr>
              <w:rPr>
                <w:sz w:val="20"/>
                <w:szCs w:val="20"/>
                <w:lang w:eastAsia="ja-JP"/>
              </w:rPr>
            </w:pPr>
            <w:r w:rsidRPr="008D1D5E">
              <w:rPr>
                <w:sz w:val="20"/>
                <w:szCs w:val="20"/>
                <w:lang w:eastAsia="ja-JP"/>
              </w:rPr>
              <w:t>44 (20.4%)</w:t>
            </w:r>
          </w:p>
        </w:tc>
        <w:tc>
          <w:tcPr>
            <w:tcW w:w="1666" w:type="dxa"/>
          </w:tcPr>
          <w:p w14:paraId="7E2177B1" w14:textId="77777777" w:rsidR="00424B9D" w:rsidRPr="008D1D5E" w:rsidRDefault="00424B9D" w:rsidP="00EA73E6">
            <w:pPr>
              <w:rPr>
                <w:sz w:val="20"/>
                <w:szCs w:val="20"/>
                <w:lang w:eastAsia="ja-JP"/>
              </w:rPr>
            </w:pPr>
            <w:r w:rsidRPr="008D1D5E">
              <w:rPr>
                <w:sz w:val="20"/>
                <w:szCs w:val="20"/>
                <w:lang w:eastAsia="ja-JP"/>
              </w:rPr>
              <w:t>87 (20.2%)</w:t>
            </w:r>
          </w:p>
        </w:tc>
      </w:tr>
      <w:tr w:rsidR="00424B9D" w:rsidRPr="008D1D5E" w14:paraId="6E4EF95E" w14:textId="77777777" w:rsidTr="00CB5F25">
        <w:tc>
          <w:tcPr>
            <w:tcW w:w="3794" w:type="dxa"/>
          </w:tcPr>
          <w:p w14:paraId="59D52263" w14:textId="0096EBA6" w:rsidR="00424B9D" w:rsidRPr="008D1D5E" w:rsidRDefault="00424B9D" w:rsidP="00EA73E6">
            <w:pPr>
              <w:rPr>
                <w:b/>
                <w:sz w:val="20"/>
                <w:szCs w:val="20"/>
                <w:lang w:eastAsia="ja-JP"/>
              </w:rPr>
            </w:pPr>
            <w:proofErr w:type="spellStart"/>
            <w:r w:rsidRPr="008D1D5E">
              <w:rPr>
                <w:b/>
                <w:sz w:val="20"/>
                <w:szCs w:val="20"/>
                <w:lang w:eastAsia="ja-JP"/>
              </w:rPr>
              <w:t>Binet</w:t>
            </w:r>
            <w:proofErr w:type="spellEnd"/>
            <w:r w:rsidRPr="008D1D5E">
              <w:rPr>
                <w:b/>
                <w:sz w:val="20"/>
                <w:szCs w:val="20"/>
                <w:lang w:eastAsia="ja-JP"/>
              </w:rPr>
              <w:t xml:space="preserve"> stage at screening</w:t>
            </w:r>
            <w:r w:rsidR="00E81C2C" w:rsidRPr="008D1D5E">
              <w:rPr>
                <w:b/>
                <w:sz w:val="20"/>
                <w:szCs w:val="20"/>
                <w:lang w:eastAsia="ja-JP"/>
              </w:rPr>
              <w:t>;</w:t>
            </w:r>
            <w:r w:rsidR="00D9478F" w:rsidRPr="008D1D5E">
              <w:rPr>
                <w:rStyle w:val="FootnoteReference"/>
                <w:b/>
                <w:sz w:val="20"/>
                <w:szCs w:val="20"/>
                <w:lang w:eastAsia="ja-JP"/>
              </w:rPr>
              <w:footnoteReference w:id="9"/>
            </w:r>
          </w:p>
          <w:p w14:paraId="6095260D" w14:textId="77777777" w:rsidR="00424B9D" w:rsidRPr="008D1D5E" w:rsidRDefault="00424B9D" w:rsidP="00EA73E6">
            <w:pPr>
              <w:rPr>
                <w:sz w:val="20"/>
                <w:szCs w:val="20"/>
                <w:lang w:eastAsia="ja-JP"/>
              </w:rPr>
            </w:pPr>
            <w:r w:rsidRPr="008D1D5E">
              <w:rPr>
                <w:sz w:val="20"/>
                <w:szCs w:val="20"/>
                <w:lang w:eastAsia="ja-JP"/>
              </w:rPr>
              <w:t>Stage A</w:t>
            </w:r>
          </w:p>
          <w:p w14:paraId="54E1A4C0" w14:textId="77777777" w:rsidR="00424B9D" w:rsidRPr="008D1D5E" w:rsidRDefault="00424B9D" w:rsidP="00EA73E6">
            <w:pPr>
              <w:rPr>
                <w:sz w:val="20"/>
                <w:szCs w:val="20"/>
                <w:lang w:eastAsia="ja-JP"/>
              </w:rPr>
            </w:pPr>
            <w:r w:rsidRPr="008D1D5E">
              <w:rPr>
                <w:sz w:val="20"/>
                <w:szCs w:val="20"/>
                <w:lang w:eastAsia="ja-JP"/>
              </w:rPr>
              <w:t>Stage B</w:t>
            </w:r>
          </w:p>
          <w:p w14:paraId="6F7A4665" w14:textId="77777777" w:rsidR="00424B9D" w:rsidRPr="008D1D5E" w:rsidRDefault="00424B9D" w:rsidP="00EA73E6">
            <w:pPr>
              <w:rPr>
                <w:sz w:val="20"/>
                <w:szCs w:val="20"/>
                <w:lang w:eastAsia="ja-JP"/>
              </w:rPr>
            </w:pPr>
            <w:r w:rsidRPr="008D1D5E">
              <w:rPr>
                <w:sz w:val="20"/>
                <w:szCs w:val="20"/>
                <w:lang w:eastAsia="ja-JP"/>
              </w:rPr>
              <w:t>Stage C</w:t>
            </w:r>
          </w:p>
        </w:tc>
        <w:tc>
          <w:tcPr>
            <w:tcW w:w="1559" w:type="dxa"/>
          </w:tcPr>
          <w:p w14:paraId="40EB7911" w14:textId="77777777" w:rsidR="00424B9D" w:rsidRPr="008D1D5E" w:rsidRDefault="00424B9D" w:rsidP="00EA73E6">
            <w:pPr>
              <w:rPr>
                <w:sz w:val="20"/>
                <w:szCs w:val="20"/>
                <w:lang w:eastAsia="ja-JP"/>
              </w:rPr>
            </w:pPr>
          </w:p>
          <w:p w14:paraId="24905C11" w14:textId="77777777" w:rsidR="00424B9D" w:rsidRPr="008D1D5E" w:rsidRDefault="00424B9D" w:rsidP="00EA73E6">
            <w:pPr>
              <w:rPr>
                <w:sz w:val="20"/>
                <w:szCs w:val="20"/>
                <w:lang w:eastAsia="ja-JP"/>
              </w:rPr>
            </w:pPr>
            <w:r w:rsidRPr="008D1D5E">
              <w:rPr>
                <w:sz w:val="20"/>
                <w:szCs w:val="20"/>
                <w:lang w:eastAsia="ja-JP"/>
              </w:rPr>
              <w:t>44</w:t>
            </w:r>
          </w:p>
          <w:p w14:paraId="5128B850" w14:textId="77777777" w:rsidR="00424B9D" w:rsidRPr="008D1D5E" w:rsidRDefault="00424B9D" w:rsidP="00EA73E6">
            <w:pPr>
              <w:rPr>
                <w:sz w:val="20"/>
                <w:szCs w:val="20"/>
                <w:lang w:eastAsia="ja-JP"/>
              </w:rPr>
            </w:pPr>
            <w:r w:rsidRPr="008D1D5E">
              <w:rPr>
                <w:sz w:val="20"/>
                <w:szCs w:val="20"/>
                <w:lang w:eastAsia="ja-JP"/>
              </w:rPr>
              <w:t>80</w:t>
            </w:r>
          </w:p>
          <w:p w14:paraId="2233C17C" w14:textId="77777777" w:rsidR="00424B9D" w:rsidRPr="008D1D5E" w:rsidRDefault="00424B9D" w:rsidP="00EA73E6">
            <w:pPr>
              <w:rPr>
                <w:sz w:val="20"/>
                <w:szCs w:val="20"/>
                <w:lang w:eastAsia="ja-JP"/>
              </w:rPr>
            </w:pPr>
            <w:r w:rsidRPr="008D1D5E">
              <w:rPr>
                <w:sz w:val="20"/>
                <w:szCs w:val="20"/>
                <w:lang w:eastAsia="ja-JP"/>
              </w:rPr>
              <w:t>92</w:t>
            </w:r>
          </w:p>
        </w:tc>
        <w:tc>
          <w:tcPr>
            <w:tcW w:w="1701" w:type="dxa"/>
          </w:tcPr>
          <w:p w14:paraId="36928585" w14:textId="77777777" w:rsidR="00424B9D" w:rsidRPr="008D1D5E" w:rsidRDefault="00424B9D" w:rsidP="00EA73E6">
            <w:pPr>
              <w:rPr>
                <w:sz w:val="20"/>
                <w:szCs w:val="20"/>
                <w:lang w:eastAsia="ja-JP"/>
              </w:rPr>
            </w:pPr>
          </w:p>
          <w:p w14:paraId="2E190021" w14:textId="77777777" w:rsidR="00424B9D" w:rsidRPr="008D1D5E" w:rsidRDefault="00424B9D" w:rsidP="00EA73E6">
            <w:pPr>
              <w:rPr>
                <w:sz w:val="20"/>
                <w:szCs w:val="20"/>
                <w:lang w:eastAsia="ja-JP"/>
              </w:rPr>
            </w:pPr>
            <w:r w:rsidRPr="008D1D5E">
              <w:rPr>
                <w:sz w:val="20"/>
                <w:szCs w:val="20"/>
                <w:lang w:eastAsia="ja-JP"/>
              </w:rPr>
              <w:t>46</w:t>
            </w:r>
          </w:p>
          <w:p w14:paraId="1026D067" w14:textId="77777777" w:rsidR="00424B9D" w:rsidRPr="008D1D5E" w:rsidRDefault="00424B9D" w:rsidP="00EA73E6">
            <w:pPr>
              <w:rPr>
                <w:sz w:val="20"/>
                <w:szCs w:val="20"/>
                <w:lang w:eastAsia="ja-JP"/>
              </w:rPr>
            </w:pPr>
            <w:r w:rsidRPr="008D1D5E">
              <w:rPr>
                <w:sz w:val="20"/>
                <w:szCs w:val="20"/>
                <w:lang w:eastAsia="ja-JP"/>
              </w:rPr>
              <w:t>77</w:t>
            </w:r>
          </w:p>
          <w:p w14:paraId="3C15ADCD" w14:textId="77777777" w:rsidR="00424B9D" w:rsidRPr="008D1D5E" w:rsidRDefault="00424B9D" w:rsidP="00EA73E6">
            <w:pPr>
              <w:rPr>
                <w:sz w:val="20"/>
                <w:szCs w:val="20"/>
                <w:lang w:eastAsia="ja-JP"/>
              </w:rPr>
            </w:pPr>
            <w:r w:rsidRPr="008D1D5E">
              <w:rPr>
                <w:sz w:val="20"/>
                <w:szCs w:val="20"/>
                <w:lang w:eastAsia="ja-JP"/>
              </w:rPr>
              <w:t>93</w:t>
            </w:r>
          </w:p>
        </w:tc>
        <w:tc>
          <w:tcPr>
            <w:tcW w:w="1666" w:type="dxa"/>
          </w:tcPr>
          <w:p w14:paraId="26B955A9" w14:textId="77777777" w:rsidR="00424B9D" w:rsidRPr="008D1D5E" w:rsidRDefault="00424B9D" w:rsidP="00EA73E6">
            <w:pPr>
              <w:rPr>
                <w:sz w:val="20"/>
                <w:szCs w:val="20"/>
                <w:lang w:eastAsia="ja-JP"/>
              </w:rPr>
            </w:pPr>
          </w:p>
          <w:p w14:paraId="2F17F31C" w14:textId="77777777" w:rsidR="00424B9D" w:rsidRPr="008D1D5E" w:rsidRDefault="00424B9D" w:rsidP="00EA73E6">
            <w:pPr>
              <w:rPr>
                <w:sz w:val="20"/>
                <w:szCs w:val="20"/>
                <w:lang w:eastAsia="ja-JP"/>
              </w:rPr>
            </w:pPr>
            <w:r w:rsidRPr="008D1D5E">
              <w:rPr>
                <w:sz w:val="20"/>
                <w:szCs w:val="20"/>
                <w:lang w:eastAsia="ja-JP"/>
              </w:rPr>
              <w:t>90</w:t>
            </w:r>
          </w:p>
          <w:p w14:paraId="44D65449" w14:textId="77777777" w:rsidR="00424B9D" w:rsidRPr="008D1D5E" w:rsidRDefault="00424B9D" w:rsidP="00EA73E6">
            <w:pPr>
              <w:rPr>
                <w:sz w:val="20"/>
                <w:szCs w:val="20"/>
                <w:lang w:eastAsia="ja-JP"/>
              </w:rPr>
            </w:pPr>
            <w:r w:rsidRPr="008D1D5E">
              <w:rPr>
                <w:sz w:val="20"/>
                <w:szCs w:val="20"/>
                <w:lang w:eastAsia="ja-JP"/>
              </w:rPr>
              <w:t>157</w:t>
            </w:r>
          </w:p>
          <w:p w14:paraId="6D6C4990" w14:textId="77777777" w:rsidR="00424B9D" w:rsidRPr="008D1D5E" w:rsidRDefault="00424B9D" w:rsidP="00EA73E6">
            <w:pPr>
              <w:rPr>
                <w:sz w:val="20"/>
                <w:szCs w:val="20"/>
                <w:lang w:eastAsia="ja-JP"/>
              </w:rPr>
            </w:pPr>
            <w:r w:rsidRPr="008D1D5E">
              <w:rPr>
                <w:sz w:val="20"/>
                <w:szCs w:val="20"/>
                <w:lang w:eastAsia="ja-JP"/>
              </w:rPr>
              <w:t>185</w:t>
            </w:r>
          </w:p>
        </w:tc>
      </w:tr>
      <w:tr w:rsidR="00424B9D" w:rsidRPr="008D1D5E" w14:paraId="2510E600" w14:textId="77777777" w:rsidTr="00CB5F25">
        <w:tc>
          <w:tcPr>
            <w:tcW w:w="3794" w:type="dxa"/>
          </w:tcPr>
          <w:p w14:paraId="66C18641" w14:textId="294E3653" w:rsidR="00424B9D" w:rsidRPr="008D1D5E" w:rsidRDefault="00424B9D" w:rsidP="00EA73E6">
            <w:pPr>
              <w:rPr>
                <w:b/>
                <w:sz w:val="20"/>
                <w:szCs w:val="20"/>
                <w:lang w:eastAsia="ja-JP"/>
              </w:rPr>
            </w:pPr>
            <w:r w:rsidRPr="008D1D5E">
              <w:rPr>
                <w:b/>
                <w:sz w:val="20"/>
                <w:szCs w:val="20"/>
                <w:lang w:eastAsia="ja-JP"/>
              </w:rPr>
              <w:t xml:space="preserve">ECOG </w:t>
            </w:r>
            <w:r w:rsidR="000E190D" w:rsidRPr="008D1D5E">
              <w:rPr>
                <w:b/>
                <w:sz w:val="20"/>
                <w:szCs w:val="20"/>
                <w:lang w:eastAsia="ja-JP"/>
              </w:rPr>
              <w:t>s</w:t>
            </w:r>
            <w:r w:rsidRPr="008D1D5E">
              <w:rPr>
                <w:b/>
                <w:sz w:val="20"/>
                <w:szCs w:val="20"/>
                <w:lang w:eastAsia="ja-JP"/>
              </w:rPr>
              <w:t>core</w:t>
            </w:r>
          </w:p>
          <w:p w14:paraId="2948563D" w14:textId="77777777" w:rsidR="00424B9D" w:rsidRPr="008D1D5E" w:rsidRDefault="00424B9D" w:rsidP="00EA73E6">
            <w:pPr>
              <w:rPr>
                <w:sz w:val="20"/>
                <w:szCs w:val="20"/>
                <w:lang w:eastAsia="ja-JP"/>
              </w:rPr>
            </w:pPr>
            <w:r w:rsidRPr="008D1D5E">
              <w:rPr>
                <w:sz w:val="20"/>
                <w:szCs w:val="20"/>
                <w:lang w:eastAsia="ja-JP"/>
              </w:rPr>
              <w:t>0-1</w:t>
            </w:r>
          </w:p>
          <w:p w14:paraId="572127D8" w14:textId="77777777" w:rsidR="00424B9D" w:rsidRPr="008D1D5E" w:rsidRDefault="00424B9D" w:rsidP="00EA73E6">
            <w:pPr>
              <w:rPr>
                <w:sz w:val="20"/>
                <w:szCs w:val="20"/>
                <w:lang w:eastAsia="ja-JP"/>
              </w:rPr>
            </w:pPr>
            <w:r w:rsidRPr="008D1D5E">
              <w:rPr>
                <w:sz w:val="20"/>
                <w:szCs w:val="20"/>
                <w:lang w:eastAsia="ja-JP"/>
              </w:rPr>
              <w:t>≥ 2</w:t>
            </w:r>
          </w:p>
        </w:tc>
        <w:tc>
          <w:tcPr>
            <w:tcW w:w="1559" w:type="dxa"/>
          </w:tcPr>
          <w:p w14:paraId="24E34215" w14:textId="77777777" w:rsidR="000E190D" w:rsidRPr="008D1D5E" w:rsidRDefault="000E190D" w:rsidP="00EA73E6">
            <w:pPr>
              <w:rPr>
                <w:sz w:val="20"/>
                <w:szCs w:val="20"/>
                <w:lang w:eastAsia="ja-JP"/>
              </w:rPr>
            </w:pPr>
          </w:p>
          <w:p w14:paraId="2C3B6449" w14:textId="77777777" w:rsidR="00424B9D" w:rsidRPr="008D1D5E" w:rsidRDefault="00424B9D" w:rsidP="00EA73E6">
            <w:pPr>
              <w:rPr>
                <w:sz w:val="20"/>
                <w:szCs w:val="20"/>
                <w:lang w:eastAsia="ja-JP"/>
              </w:rPr>
            </w:pPr>
            <w:r w:rsidRPr="008D1D5E">
              <w:rPr>
                <w:sz w:val="20"/>
                <w:szCs w:val="20"/>
                <w:lang w:eastAsia="ja-JP"/>
              </w:rPr>
              <w:t>190</w:t>
            </w:r>
          </w:p>
          <w:p w14:paraId="7D83210D" w14:textId="77777777" w:rsidR="00424B9D" w:rsidRPr="008D1D5E" w:rsidRDefault="00424B9D" w:rsidP="00EA73E6">
            <w:pPr>
              <w:rPr>
                <w:sz w:val="20"/>
                <w:szCs w:val="20"/>
                <w:lang w:eastAsia="ja-JP"/>
              </w:rPr>
            </w:pPr>
            <w:r w:rsidRPr="008D1D5E">
              <w:rPr>
                <w:sz w:val="20"/>
                <w:szCs w:val="20"/>
                <w:lang w:eastAsia="ja-JP"/>
              </w:rPr>
              <w:t>25</w:t>
            </w:r>
          </w:p>
        </w:tc>
        <w:tc>
          <w:tcPr>
            <w:tcW w:w="1701" w:type="dxa"/>
          </w:tcPr>
          <w:p w14:paraId="2FA14451" w14:textId="77777777" w:rsidR="000E190D" w:rsidRPr="008D1D5E" w:rsidRDefault="000E190D" w:rsidP="00EA73E6">
            <w:pPr>
              <w:rPr>
                <w:sz w:val="20"/>
                <w:szCs w:val="20"/>
                <w:lang w:eastAsia="ja-JP"/>
              </w:rPr>
            </w:pPr>
          </w:p>
          <w:p w14:paraId="23BC3353" w14:textId="77777777" w:rsidR="00424B9D" w:rsidRPr="008D1D5E" w:rsidRDefault="00424B9D" w:rsidP="00EA73E6">
            <w:pPr>
              <w:rPr>
                <w:sz w:val="20"/>
                <w:szCs w:val="20"/>
                <w:lang w:eastAsia="ja-JP"/>
              </w:rPr>
            </w:pPr>
            <w:r w:rsidRPr="008D1D5E">
              <w:rPr>
                <w:sz w:val="20"/>
                <w:szCs w:val="20"/>
                <w:lang w:eastAsia="ja-JP"/>
              </w:rPr>
              <w:t>188</w:t>
            </w:r>
          </w:p>
          <w:p w14:paraId="0609BA71" w14:textId="77777777" w:rsidR="00424B9D" w:rsidRPr="008D1D5E" w:rsidRDefault="00424B9D" w:rsidP="00EA73E6">
            <w:pPr>
              <w:rPr>
                <w:sz w:val="20"/>
                <w:szCs w:val="20"/>
                <w:lang w:eastAsia="ja-JP"/>
              </w:rPr>
            </w:pPr>
            <w:r w:rsidRPr="008D1D5E">
              <w:rPr>
                <w:sz w:val="20"/>
                <w:szCs w:val="20"/>
                <w:lang w:eastAsia="ja-JP"/>
              </w:rPr>
              <w:t>28</w:t>
            </w:r>
          </w:p>
        </w:tc>
        <w:tc>
          <w:tcPr>
            <w:tcW w:w="1666" w:type="dxa"/>
          </w:tcPr>
          <w:p w14:paraId="38FC1F38" w14:textId="77777777" w:rsidR="000E190D" w:rsidRPr="008D1D5E" w:rsidRDefault="000E190D" w:rsidP="00EA73E6">
            <w:pPr>
              <w:rPr>
                <w:sz w:val="20"/>
                <w:szCs w:val="20"/>
                <w:lang w:eastAsia="ja-JP"/>
              </w:rPr>
            </w:pPr>
          </w:p>
          <w:p w14:paraId="0D8CA938" w14:textId="77777777" w:rsidR="00424B9D" w:rsidRPr="008D1D5E" w:rsidRDefault="00424B9D" w:rsidP="00EA73E6">
            <w:pPr>
              <w:rPr>
                <w:sz w:val="20"/>
                <w:szCs w:val="20"/>
                <w:lang w:eastAsia="ja-JP"/>
              </w:rPr>
            </w:pPr>
            <w:r w:rsidRPr="008D1D5E">
              <w:rPr>
                <w:sz w:val="20"/>
                <w:szCs w:val="20"/>
                <w:lang w:eastAsia="ja-JP"/>
              </w:rPr>
              <w:t>378</w:t>
            </w:r>
          </w:p>
          <w:p w14:paraId="68447387" w14:textId="77777777" w:rsidR="00424B9D" w:rsidRPr="008D1D5E" w:rsidRDefault="00424B9D" w:rsidP="00EA73E6">
            <w:pPr>
              <w:rPr>
                <w:sz w:val="20"/>
                <w:szCs w:val="20"/>
                <w:lang w:eastAsia="ja-JP"/>
              </w:rPr>
            </w:pPr>
            <w:r w:rsidRPr="008D1D5E">
              <w:rPr>
                <w:sz w:val="20"/>
                <w:szCs w:val="20"/>
                <w:lang w:eastAsia="ja-JP"/>
              </w:rPr>
              <w:t>53</w:t>
            </w:r>
          </w:p>
        </w:tc>
      </w:tr>
      <w:tr w:rsidR="00424B9D" w:rsidRPr="008D1D5E" w14:paraId="12FAD111" w14:textId="77777777" w:rsidTr="00CB5F25">
        <w:tc>
          <w:tcPr>
            <w:tcW w:w="3794" w:type="dxa"/>
          </w:tcPr>
          <w:p w14:paraId="14544D51" w14:textId="59FB815B" w:rsidR="00424B9D" w:rsidRPr="008D1D5E" w:rsidRDefault="00424B9D" w:rsidP="00EA73E6">
            <w:pPr>
              <w:rPr>
                <w:b/>
                <w:sz w:val="20"/>
                <w:szCs w:val="20"/>
                <w:lang w:eastAsia="ja-JP"/>
              </w:rPr>
            </w:pPr>
            <w:r w:rsidRPr="008D1D5E">
              <w:rPr>
                <w:b/>
                <w:sz w:val="20"/>
                <w:szCs w:val="20"/>
                <w:lang w:eastAsia="ja-JP"/>
              </w:rPr>
              <w:t>Any B symptoms (fever, w</w:t>
            </w:r>
            <w:r w:rsidR="00D9478F" w:rsidRPr="008D1D5E">
              <w:rPr>
                <w:b/>
                <w:sz w:val="20"/>
                <w:szCs w:val="20"/>
                <w:lang w:eastAsia="ja-JP"/>
              </w:rPr>
              <w:t>eigh</w:t>
            </w:r>
            <w:r w:rsidRPr="008D1D5E">
              <w:rPr>
                <w:b/>
                <w:sz w:val="20"/>
                <w:szCs w:val="20"/>
                <w:lang w:eastAsia="ja-JP"/>
              </w:rPr>
              <w:t>t loss, night sweats)</w:t>
            </w:r>
          </w:p>
        </w:tc>
        <w:tc>
          <w:tcPr>
            <w:tcW w:w="1559" w:type="dxa"/>
          </w:tcPr>
          <w:p w14:paraId="0126E290" w14:textId="77777777" w:rsidR="00424B9D" w:rsidRPr="008D1D5E" w:rsidRDefault="00424B9D" w:rsidP="00EA73E6">
            <w:pPr>
              <w:rPr>
                <w:sz w:val="20"/>
                <w:szCs w:val="20"/>
                <w:lang w:eastAsia="ja-JP"/>
              </w:rPr>
            </w:pPr>
            <w:r w:rsidRPr="008D1D5E">
              <w:rPr>
                <w:sz w:val="20"/>
                <w:szCs w:val="20"/>
                <w:lang w:eastAsia="ja-JP"/>
              </w:rPr>
              <w:t>112 (51.9%)</w:t>
            </w:r>
          </w:p>
        </w:tc>
        <w:tc>
          <w:tcPr>
            <w:tcW w:w="1701" w:type="dxa"/>
          </w:tcPr>
          <w:p w14:paraId="4BCE6263" w14:textId="77777777" w:rsidR="00424B9D" w:rsidRPr="008D1D5E" w:rsidRDefault="00424B9D" w:rsidP="00EA73E6">
            <w:pPr>
              <w:rPr>
                <w:sz w:val="20"/>
                <w:szCs w:val="20"/>
                <w:lang w:eastAsia="ja-JP"/>
              </w:rPr>
            </w:pPr>
            <w:r w:rsidRPr="008D1D5E">
              <w:rPr>
                <w:sz w:val="20"/>
                <w:szCs w:val="20"/>
                <w:lang w:eastAsia="ja-JP"/>
              </w:rPr>
              <w:t>103 (47.7%)</w:t>
            </w:r>
          </w:p>
        </w:tc>
        <w:tc>
          <w:tcPr>
            <w:tcW w:w="1666" w:type="dxa"/>
          </w:tcPr>
          <w:p w14:paraId="47A15305" w14:textId="77777777" w:rsidR="00424B9D" w:rsidRPr="008D1D5E" w:rsidRDefault="00424B9D" w:rsidP="00EA73E6">
            <w:pPr>
              <w:rPr>
                <w:sz w:val="20"/>
                <w:szCs w:val="20"/>
                <w:lang w:eastAsia="ja-JP"/>
              </w:rPr>
            </w:pPr>
            <w:r w:rsidRPr="008D1D5E">
              <w:rPr>
                <w:sz w:val="20"/>
                <w:szCs w:val="20"/>
                <w:lang w:eastAsia="ja-JP"/>
              </w:rPr>
              <w:t>215 (49.8%)</w:t>
            </w:r>
          </w:p>
        </w:tc>
      </w:tr>
      <w:tr w:rsidR="00424B9D" w:rsidRPr="008D1D5E" w14:paraId="2F08EC17" w14:textId="77777777" w:rsidTr="00CB5F25">
        <w:tc>
          <w:tcPr>
            <w:tcW w:w="3794" w:type="dxa"/>
          </w:tcPr>
          <w:p w14:paraId="04E0BA7B" w14:textId="77777777" w:rsidR="00424B9D" w:rsidRPr="008D1D5E" w:rsidRDefault="00424B9D" w:rsidP="00EA73E6">
            <w:pPr>
              <w:rPr>
                <w:b/>
                <w:sz w:val="20"/>
                <w:szCs w:val="20"/>
                <w:lang w:eastAsia="ja-JP"/>
              </w:rPr>
            </w:pPr>
            <w:r w:rsidRPr="008D1D5E">
              <w:rPr>
                <w:b/>
                <w:sz w:val="20"/>
                <w:szCs w:val="20"/>
                <w:lang w:eastAsia="ja-JP"/>
              </w:rPr>
              <w:t>TP53 mutation</w:t>
            </w:r>
          </w:p>
        </w:tc>
        <w:tc>
          <w:tcPr>
            <w:tcW w:w="1559" w:type="dxa"/>
          </w:tcPr>
          <w:p w14:paraId="3C5EC159" w14:textId="77777777" w:rsidR="00424B9D" w:rsidRPr="008D1D5E" w:rsidRDefault="00424B9D" w:rsidP="00EA73E6">
            <w:pPr>
              <w:rPr>
                <w:sz w:val="20"/>
                <w:szCs w:val="20"/>
                <w:lang w:eastAsia="ja-JP"/>
              </w:rPr>
            </w:pPr>
            <w:r w:rsidRPr="008D1D5E">
              <w:rPr>
                <w:sz w:val="20"/>
                <w:szCs w:val="20"/>
                <w:lang w:eastAsia="ja-JP"/>
              </w:rPr>
              <w:t>19 (8.8%)</w:t>
            </w:r>
          </w:p>
        </w:tc>
        <w:tc>
          <w:tcPr>
            <w:tcW w:w="1701" w:type="dxa"/>
          </w:tcPr>
          <w:p w14:paraId="1A2C43CF" w14:textId="77777777" w:rsidR="00424B9D" w:rsidRPr="008D1D5E" w:rsidRDefault="00424B9D" w:rsidP="00EA73E6">
            <w:pPr>
              <w:rPr>
                <w:sz w:val="20"/>
                <w:szCs w:val="20"/>
                <w:lang w:eastAsia="ja-JP"/>
              </w:rPr>
            </w:pPr>
            <w:r w:rsidRPr="008D1D5E">
              <w:rPr>
                <w:sz w:val="20"/>
                <w:szCs w:val="20"/>
                <w:lang w:eastAsia="ja-JP"/>
              </w:rPr>
              <w:t>23 (10.6%)</w:t>
            </w:r>
          </w:p>
        </w:tc>
        <w:tc>
          <w:tcPr>
            <w:tcW w:w="1666" w:type="dxa"/>
          </w:tcPr>
          <w:p w14:paraId="2F3212D3" w14:textId="77777777" w:rsidR="00424B9D" w:rsidRPr="008D1D5E" w:rsidRDefault="00424B9D" w:rsidP="00EA73E6">
            <w:pPr>
              <w:rPr>
                <w:sz w:val="20"/>
                <w:szCs w:val="20"/>
                <w:lang w:eastAsia="ja-JP"/>
              </w:rPr>
            </w:pPr>
            <w:r w:rsidRPr="008D1D5E">
              <w:rPr>
                <w:sz w:val="20"/>
                <w:szCs w:val="20"/>
                <w:lang w:eastAsia="ja-JP"/>
              </w:rPr>
              <w:t>42 (9.7%)</w:t>
            </w:r>
          </w:p>
        </w:tc>
      </w:tr>
      <w:tr w:rsidR="00424B9D" w:rsidRPr="008D1D5E" w14:paraId="4DB026F6" w14:textId="77777777" w:rsidTr="00CB5F25">
        <w:tc>
          <w:tcPr>
            <w:tcW w:w="3794" w:type="dxa"/>
          </w:tcPr>
          <w:p w14:paraId="314B3D1A" w14:textId="3886E1D9" w:rsidR="00424B9D" w:rsidRPr="008D1D5E" w:rsidRDefault="00424B9D" w:rsidP="00EA73E6">
            <w:pPr>
              <w:rPr>
                <w:b/>
                <w:color w:val="auto"/>
                <w:sz w:val="20"/>
                <w:szCs w:val="20"/>
                <w:lang w:eastAsia="ja-JP"/>
              </w:rPr>
            </w:pPr>
            <w:r w:rsidRPr="008D1D5E">
              <w:rPr>
                <w:b/>
                <w:color w:val="auto"/>
                <w:sz w:val="20"/>
                <w:szCs w:val="20"/>
                <w:lang w:eastAsia="ja-JP"/>
              </w:rPr>
              <w:t>Mutated IGHV</w:t>
            </w:r>
          </w:p>
        </w:tc>
        <w:tc>
          <w:tcPr>
            <w:tcW w:w="1559" w:type="dxa"/>
          </w:tcPr>
          <w:p w14:paraId="2E73EBF5" w14:textId="77777777" w:rsidR="00424B9D" w:rsidRPr="008D1D5E" w:rsidRDefault="00424B9D" w:rsidP="00EA73E6">
            <w:pPr>
              <w:rPr>
                <w:color w:val="auto"/>
                <w:sz w:val="20"/>
                <w:szCs w:val="20"/>
                <w:lang w:eastAsia="ja-JP"/>
              </w:rPr>
            </w:pPr>
            <w:r w:rsidRPr="008D1D5E">
              <w:rPr>
                <w:sz w:val="20"/>
                <w:szCs w:val="20"/>
                <w:lang w:eastAsia="ja-JP"/>
              </w:rPr>
              <w:t>83 (38.4%)</w:t>
            </w:r>
          </w:p>
        </w:tc>
        <w:tc>
          <w:tcPr>
            <w:tcW w:w="1701" w:type="dxa"/>
          </w:tcPr>
          <w:p w14:paraId="302FE3DB" w14:textId="77777777" w:rsidR="00424B9D" w:rsidRPr="008D1D5E" w:rsidRDefault="00424B9D" w:rsidP="00EA73E6">
            <w:pPr>
              <w:rPr>
                <w:color w:val="auto"/>
                <w:sz w:val="20"/>
                <w:szCs w:val="20"/>
                <w:lang w:eastAsia="ja-JP"/>
              </w:rPr>
            </w:pPr>
            <w:r w:rsidRPr="008D1D5E">
              <w:rPr>
                <w:sz w:val="20"/>
                <w:szCs w:val="20"/>
                <w:lang w:eastAsia="ja-JP"/>
              </w:rPr>
              <w:t>76 (35.2%)</w:t>
            </w:r>
          </w:p>
        </w:tc>
        <w:tc>
          <w:tcPr>
            <w:tcW w:w="1666" w:type="dxa"/>
          </w:tcPr>
          <w:p w14:paraId="384517D5" w14:textId="77777777" w:rsidR="00424B9D" w:rsidRPr="008D1D5E" w:rsidRDefault="00424B9D" w:rsidP="00EA73E6">
            <w:pPr>
              <w:rPr>
                <w:color w:val="auto"/>
                <w:sz w:val="20"/>
                <w:szCs w:val="20"/>
                <w:lang w:eastAsia="ja-JP"/>
              </w:rPr>
            </w:pPr>
            <w:r w:rsidRPr="008D1D5E">
              <w:rPr>
                <w:sz w:val="20"/>
                <w:szCs w:val="20"/>
                <w:lang w:eastAsia="ja-JP"/>
              </w:rPr>
              <w:t>159 (36.8%)</w:t>
            </w:r>
          </w:p>
        </w:tc>
      </w:tr>
      <w:tr w:rsidR="00424B9D" w:rsidRPr="008D1D5E" w14:paraId="215CD852" w14:textId="77777777" w:rsidTr="00CB5F25">
        <w:tc>
          <w:tcPr>
            <w:tcW w:w="3794" w:type="dxa"/>
          </w:tcPr>
          <w:p w14:paraId="79D38A60" w14:textId="77777777" w:rsidR="00424B9D" w:rsidRPr="008D1D5E" w:rsidRDefault="00424B9D" w:rsidP="00EA73E6">
            <w:pPr>
              <w:rPr>
                <w:b/>
                <w:color w:val="auto"/>
                <w:sz w:val="20"/>
                <w:szCs w:val="20"/>
                <w:lang w:eastAsia="ja-JP"/>
              </w:rPr>
            </w:pPr>
            <w:r w:rsidRPr="008D1D5E">
              <w:rPr>
                <w:b/>
                <w:color w:val="auto"/>
                <w:sz w:val="20"/>
                <w:szCs w:val="20"/>
                <w:lang w:eastAsia="ja-JP"/>
              </w:rPr>
              <w:t>Non-mutated IGHV</w:t>
            </w:r>
          </w:p>
        </w:tc>
        <w:tc>
          <w:tcPr>
            <w:tcW w:w="1559" w:type="dxa"/>
          </w:tcPr>
          <w:p w14:paraId="43706B01" w14:textId="77777777" w:rsidR="00424B9D" w:rsidRPr="008D1D5E" w:rsidRDefault="00424B9D" w:rsidP="00EA73E6">
            <w:pPr>
              <w:rPr>
                <w:color w:val="auto"/>
                <w:sz w:val="20"/>
                <w:szCs w:val="20"/>
                <w:lang w:eastAsia="ja-JP"/>
              </w:rPr>
            </w:pPr>
            <w:r w:rsidRPr="008D1D5E">
              <w:rPr>
                <w:color w:val="auto"/>
                <w:sz w:val="20"/>
                <w:szCs w:val="20"/>
                <w:lang w:eastAsia="ja-JP"/>
              </w:rPr>
              <w:t>123 (56.9%)</w:t>
            </w:r>
          </w:p>
        </w:tc>
        <w:tc>
          <w:tcPr>
            <w:tcW w:w="1701" w:type="dxa"/>
          </w:tcPr>
          <w:p w14:paraId="4AC5CF04" w14:textId="77777777" w:rsidR="00424B9D" w:rsidRPr="008D1D5E" w:rsidRDefault="00424B9D" w:rsidP="00EA73E6">
            <w:pPr>
              <w:rPr>
                <w:color w:val="auto"/>
                <w:sz w:val="20"/>
                <w:szCs w:val="20"/>
                <w:lang w:eastAsia="ja-JP"/>
              </w:rPr>
            </w:pPr>
            <w:r w:rsidRPr="008D1D5E">
              <w:rPr>
                <w:color w:val="auto"/>
                <w:sz w:val="20"/>
                <w:szCs w:val="20"/>
                <w:lang w:eastAsia="ja-JP"/>
              </w:rPr>
              <w:t>121(56.0%)</w:t>
            </w:r>
          </w:p>
        </w:tc>
        <w:tc>
          <w:tcPr>
            <w:tcW w:w="1666" w:type="dxa"/>
          </w:tcPr>
          <w:p w14:paraId="21A3BB80" w14:textId="77777777" w:rsidR="00424B9D" w:rsidRPr="008D1D5E" w:rsidRDefault="00424B9D" w:rsidP="00EA73E6">
            <w:pPr>
              <w:rPr>
                <w:color w:val="auto"/>
                <w:sz w:val="20"/>
                <w:szCs w:val="20"/>
                <w:lang w:eastAsia="ja-JP"/>
              </w:rPr>
            </w:pPr>
            <w:r w:rsidRPr="008D1D5E">
              <w:rPr>
                <w:color w:val="auto"/>
                <w:sz w:val="20"/>
                <w:szCs w:val="20"/>
                <w:lang w:eastAsia="ja-JP"/>
              </w:rPr>
              <w:t>244 (56.5%)</w:t>
            </w:r>
          </w:p>
        </w:tc>
      </w:tr>
      <w:tr w:rsidR="00424B9D" w:rsidRPr="008D1D5E" w14:paraId="31F51112" w14:textId="77777777" w:rsidTr="00CB5F25">
        <w:tc>
          <w:tcPr>
            <w:tcW w:w="3794" w:type="dxa"/>
          </w:tcPr>
          <w:p w14:paraId="01E38BD3" w14:textId="2993178D" w:rsidR="00424B9D" w:rsidRPr="008D1D5E" w:rsidRDefault="00424B9D" w:rsidP="00EA73E6">
            <w:pPr>
              <w:rPr>
                <w:b/>
                <w:sz w:val="20"/>
                <w:szCs w:val="20"/>
                <w:lang w:eastAsia="ja-JP"/>
              </w:rPr>
            </w:pPr>
            <w:r w:rsidRPr="008D1D5E">
              <w:rPr>
                <w:b/>
                <w:sz w:val="20"/>
                <w:szCs w:val="20"/>
                <w:lang w:eastAsia="ja-JP"/>
              </w:rPr>
              <w:t xml:space="preserve">Absolute </w:t>
            </w:r>
            <w:r w:rsidR="000E190D" w:rsidRPr="008D1D5E">
              <w:rPr>
                <w:b/>
                <w:sz w:val="20"/>
                <w:szCs w:val="20"/>
                <w:lang w:eastAsia="ja-JP"/>
              </w:rPr>
              <w:t>l</w:t>
            </w:r>
            <w:r w:rsidRPr="008D1D5E">
              <w:rPr>
                <w:b/>
                <w:sz w:val="20"/>
                <w:szCs w:val="20"/>
                <w:lang w:eastAsia="ja-JP"/>
              </w:rPr>
              <w:t>ymphocyte count at baseline (g/L)</w:t>
            </w:r>
          </w:p>
          <w:p w14:paraId="1177BC73" w14:textId="77777777" w:rsidR="00424B9D" w:rsidRPr="008D1D5E" w:rsidRDefault="00424B9D" w:rsidP="00EA73E6">
            <w:pPr>
              <w:rPr>
                <w:sz w:val="20"/>
                <w:szCs w:val="20"/>
                <w:lang w:eastAsia="ja-JP"/>
              </w:rPr>
            </w:pPr>
            <w:r w:rsidRPr="008D1D5E">
              <w:rPr>
                <w:sz w:val="20"/>
                <w:szCs w:val="20"/>
                <w:lang w:eastAsia="ja-JP"/>
              </w:rPr>
              <w:t xml:space="preserve">Median </w:t>
            </w:r>
          </w:p>
          <w:p w14:paraId="3985545B" w14:textId="77777777" w:rsidR="00424B9D" w:rsidRPr="008D1D5E" w:rsidRDefault="00424B9D" w:rsidP="00EA73E6">
            <w:pPr>
              <w:rPr>
                <w:sz w:val="20"/>
                <w:szCs w:val="20"/>
                <w:lang w:eastAsia="ja-JP"/>
              </w:rPr>
            </w:pPr>
            <w:r w:rsidRPr="008D1D5E">
              <w:rPr>
                <w:sz w:val="20"/>
                <w:szCs w:val="20"/>
                <w:lang w:eastAsia="ja-JP"/>
              </w:rPr>
              <w:t>(range)</w:t>
            </w:r>
          </w:p>
        </w:tc>
        <w:tc>
          <w:tcPr>
            <w:tcW w:w="1559" w:type="dxa"/>
          </w:tcPr>
          <w:p w14:paraId="4B0209F7" w14:textId="77777777" w:rsidR="00424B9D" w:rsidRPr="008D1D5E" w:rsidRDefault="00424B9D" w:rsidP="00EA73E6">
            <w:pPr>
              <w:rPr>
                <w:sz w:val="20"/>
                <w:szCs w:val="20"/>
                <w:lang w:eastAsia="ja-JP"/>
              </w:rPr>
            </w:pPr>
          </w:p>
          <w:p w14:paraId="28451994" w14:textId="77777777" w:rsidR="00424B9D" w:rsidRPr="008D1D5E" w:rsidRDefault="00424B9D" w:rsidP="00EA73E6">
            <w:pPr>
              <w:rPr>
                <w:sz w:val="20"/>
                <w:szCs w:val="20"/>
                <w:lang w:eastAsia="ja-JP"/>
              </w:rPr>
            </w:pPr>
            <w:r w:rsidRPr="008D1D5E">
              <w:rPr>
                <w:sz w:val="20"/>
                <w:szCs w:val="20"/>
                <w:lang w:eastAsia="ja-JP"/>
              </w:rPr>
              <w:t xml:space="preserve">57.7 </w:t>
            </w:r>
          </w:p>
          <w:p w14:paraId="7DF31C3A" w14:textId="77777777" w:rsidR="00424B9D" w:rsidRPr="008D1D5E" w:rsidRDefault="00424B9D" w:rsidP="00EA73E6">
            <w:pPr>
              <w:rPr>
                <w:sz w:val="20"/>
                <w:szCs w:val="20"/>
                <w:lang w:eastAsia="ja-JP"/>
              </w:rPr>
            </w:pPr>
            <w:r w:rsidRPr="008D1D5E">
              <w:rPr>
                <w:sz w:val="20"/>
                <w:szCs w:val="20"/>
                <w:lang w:eastAsia="ja-JP"/>
              </w:rPr>
              <w:t>(0.8-528)</w:t>
            </w:r>
          </w:p>
        </w:tc>
        <w:tc>
          <w:tcPr>
            <w:tcW w:w="1701" w:type="dxa"/>
          </w:tcPr>
          <w:p w14:paraId="728ED8A0" w14:textId="77777777" w:rsidR="00424B9D" w:rsidRPr="008D1D5E" w:rsidRDefault="00424B9D" w:rsidP="00EA73E6">
            <w:pPr>
              <w:rPr>
                <w:sz w:val="20"/>
                <w:szCs w:val="20"/>
                <w:lang w:eastAsia="ja-JP"/>
              </w:rPr>
            </w:pPr>
          </w:p>
          <w:p w14:paraId="6D196031" w14:textId="77777777" w:rsidR="00424B9D" w:rsidRPr="008D1D5E" w:rsidRDefault="00424B9D" w:rsidP="00EA73E6">
            <w:pPr>
              <w:rPr>
                <w:sz w:val="20"/>
                <w:szCs w:val="20"/>
                <w:lang w:eastAsia="ja-JP"/>
              </w:rPr>
            </w:pPr>
            <w:r w:rsidRPr="008D1D5E">
              <w:rPr>
                <w:sz w:val="20"/>
                <w:szCs w:val="20"/>
                <w:lang w:eastAsia="ja-JP"/>
              </w:rPr>
              <w:t>55.9</w:t>
            </w:r>
          </w:p>
          <w:p w14:paraId="018C3190" w14:textId="77777777" w:rsidR="00424B9D" w:rsidRPr="008D1D5E" w:rsidRDefault="00424B9D" w:rsidP="00EA73E6">
            <w:pPr>
              <w:rPr>
                <w:sz w:val="20"/>
                <w:szCs w:val="20"/>
                <w:lang w:eastAsia="ja-JP"/>
              </w:rPr>
            </w:pPr>
            <w:r w:rsidRPr="008D1D5E">
              <w:rPr>
                <w:sz w:val="20"/>
                <w:szCs w:val="20"/>
                <w:lang w:eastAsia="ja-JP"/>
              </w:rPr>
              <w:t>(0.6-103270)</w:t>
            </w:r>
          </w:p>
        </w:tc>
        <w:tc>
          <w:tcPr>
            <w:tcW w:w="1666" w:type="dxa"/>
          </w:tcPr>
          <w:p w14:paraId="7A561B3B" w14:textId="77777777" w:rsidR="00424B9D" w:rsidRPr="008D1D5E" w:rsidRDefault="00424B9D" w:rsidP="00EA73E6">
            <w:pPr>
              <w:rPr>
                <w:sz w:val="20"/>
                <w:szCs w:val="20"/>
                <w:lang w:eastAsia="ja-JP"/>
              </w:rPr>
            </w:pPr>
          </w:p>
          <w:p w14:paraId="545F8FEF" w14:textId="77777777" w:rsidR="00424B9D" w:rsidRPr="008D1D5E" w:rsidRDefault="00424B9D" w:rsidP="00EA73E6">
            <w:pPr>
              <w:rPr>
                <w:sz w:val="20"/>
                <w:szCs w:val="20"/>
                <w:lang w:eastAsia="ja-JP"/>
              </w:rPr>
            </w:pPr>
            <w:r w:rsidRPr="008D1D5E">
              <w:rPr>
                <w:sz w:val="20"/>
                <w:szCs w:val="20"/>
                <w:lang w:eastAsia="ja-JP"/>
              </w:rPr>
              <w:t>56.7</w:t>
            </w:r>
          </w:p>
          <w:p w14:paraId="71219F9C" w14:textId="77777777" w:rsidR="00424B9D" w:rsidRPr="008D1D5E" w:rsidRDefault="00424B9D" w:rsidP="00EA73E6">
            <w:pPr>
              <w:rPr>
                <w:sz w:val="20"/>
                <w:szCs w:val="20"/>
                <w:lang w:eastAsia="ja-JP"/>
              </w:rPr>
            </w:pPr>
            <w:r w:rsidRPr="008D1D5E">
              <w:rPr>
                <w:sz w:val="20"/>
                <w:szCs w:val="20"/>
                <w:lang w:eastAsia="ja-JP"/>
              </w:rPr>
              <w:t>(0.6-103270)</w:t>
            </w:r>
          </w:p>
        </w:tc>
      </w:tr>
      <w:tr w:rsidR="00424B9D" w:rsidRPr="008D1D5E" w14:paraId="1A72DE31" w14:textId="77777777" w:rsidTr="00CB5F25">
        <w:tc>
          <w:tcPr>
            <w:tcW w:w="3794" w:type="dxa"/>
          </w:tcPr>
          <w:p w14:paraId="219C9A83" w14:textId="77777777" w:rsidR="00424B9D" w:rsidRPr="008D1D5E" w:rsidRDefault="00424B9D" w:rsidP="00EA73E6">
            <w:pPr>
              <w:rPr>
                <w:b/>
                <w:sz w:val="20"/>
                <w:szCs w:val="20"/>
                <w:lang w:eastAsia="ja-JP"/>
              </w:rPr>
            </w:pPr>
            <w:r w:rsidRPr="008D1D5E">
              <w:rPr>
                <w:b/>
                <w:sz w:val="20"/>
                <w:szCs w:val="20"/>
                <w:lang w:eastAsia="ja-JP"/>
              </w:rPr>
              <w:t>Cumulative Illness Rating Scale (CIRS) category</w:t>
            </w:r>
          </w:p>
          <w:p w14:paraId="0FE04532" w14:textId="77777777" w:rsidR="00424B9D" w:rsidRPr="008D1D5E" w:rsidRDefault="00424B9D" w:rsidP="00EA73E6">
            <w:pPr>
              <w:rPr>
                <w:sz w:val="20"/>
                <w:szCs w:val="20"/>
                <w:lang w:eastAsia="ja-JP"/>
              </w:rPr>
            </w:pPr>
            <w:r w:rsidRPr="008D1D5E">
              <w:rPr>
                <w:sz w:val="20"/>
                <w:szCs w:val="20"/>
                <w:lang w:eastAsia="ja-JP"/>
              </w:rPr>
              <w:t>Median (range)</w:t>
            </w:r>
          </w:p>
          <w:p w14:paraId="29CB4C15" w14:textId="77777777" w:rsidR="00424B9D" w:rsidRPr="008D1D5E" w:rsidRDefault="00424B9D" w:rsidP="00EA73E6">
            <w:pPr>
              <w:rPr>
                <w:sz w:val="20"/>
                <w:szCs w:val="20"/>
                <w:lang w:eastAsia="ja-JP"/>
              </w:rPr>
            </w:pPr>
            <w:r w:rsidRPr="008D1D5E">
              <w:rPr>
                <w:sz w:val="20"/>
                <w:szCs w:val="20"/>
                <w:lang w:eastAsia="ja-JP"/>
              </w:rPr>
              <w:t>≤ 6</w:t>
            </w:r>
          </w:p>
          <w:p w14:paraId="77328EF4" w14:textId="77777777" w:rsidR="00424B9D" w:rsidRPr="008D1D5E" w:rsidRDefault="00424B9D" w:rsidP="00EA73E6">
            <w:pPr>
              <w:rPr>
                <w:sz w:val="20"/>
                <w:szCs w:val="20"/>
                <w:lang w:eastAsia="ja-JP"/>
              </w:rPr>
            </w:pPr>
            <w:r w:rsidRPr="008D1D5E">
              <w:rPr>
                <w:sz w:val="20"/>
                <w:szCs w:val="20"/>
                <w:lang w:eastAsia="ja-JP"/>
              </w:rPr>
              <w:t>&gt; 6</w:t>
            </w:r>
          </w:p>
          <w:p w14:paraId="69A311DC" w14:textId="77777777" w:rsidR="00424B9D" w:rsidRPr="008D1D5E" w:rsidRDefault="00424B9D" w:rsidP="00EA73E6">
            <w:pPr>
              <w:rPr>
                <w:b/>
                <w:sz w:val="20"/>
                <w:szCs w:val="20"/>
                <w:lang w:eastAsia="ja-JP"/>
              </w:rPr>
            </w:pPr>
            <w:r w:rsidRPr="008D1D5E">
              <w:rPr>
                <w:b/>
                <w:sz w:val="20"/>
                <w:szCs w:val="20"/>
                <w:lang w:eastAsia="ja-JP"/>
              </w:rPr>
              <w:t>Number of organ systems with score ≥ 2 per patient</w:t>
            </w:r>
          </w:p>
          <w:p w14:paraId="2FF1226E" w14:textId="77777777" w:rsidR="00424B9D" w:rsidRPr="008D1D5E" w:rsidRDefault="00424B9D" w:rsidP="00EA73E6">
            <w:pPr>
              <w:rPr>
                <w:sz w:val="20"/>
                <w:szCs w:val="20"/>
                <w:lang w:eastAsia="ja-JP"/>
              </w:rPr>
            </w:pPr>
            <w:r w:rsidRPr="008D1D5E">
              <w:rPr>
                <w:sz w:val="20"/>
                <w:szCs w:val="20"/>
                <w:lang w:eastAsia="ja-JP"/>
              </w:rPr>
              <w:t>Median (range)</w:t>
            </w:r>
          </w:p>
        </w:tc>
        <w:tc>
          <w:tcPr>
            <w:tcW w:w="1559" w:type="dxa"/>
          </w:tcPr>
          <w:p w14:paraId="50C292F4" w14:textId="2EB29146" w:rsidR="00424B9D" w:rsidRPr="008D1D5E" w:rsidRDefault="00424B9D" w:rsidP="00EA73E6">
            <w:pPr>
              <w:rPr>
                <w:sz w:val="20"/>
                <w:szCs w:val="20"/>
                <w:lang w:eastAsia="ja-JP"/>
              </w:rPr>
            </w:pPr>
          </w:p>
          <w:p w14:paraId="137C0193" w14:textId="77777777" w:rsidR="000E190D" w:rsidRPr="008D1D5E" w:rsidRDefault="000E190D" w:rsidP="00EA73E6">
            <w:pPr>
              <w:rPr>
                <w:sz w:val="20"/>
                <w:szCs w:val="20"/>
                <w:lang w:eastAsia="ja-JP"/>
              </w:rPr>
            </w:pPr>
          </w:p>
          <w:p w14:paraId="538C6EEF" w14:textId="77777777" w:rsidR="00424B9D" w:rsidRPr="008D1D5E" w:rsidRDefault="00424B9D" w:rsidP="00EA73E6">
            <w:pPr>
              <w:rPr>
                <w:sz w:val="20"/>
                <w:szCs w:val="20"/>
                <w:lang w:eastAsia="ja-JP"/>
              </w:rPr>
            </w:pPr>
            <w:r w:rsidRPr="008D1D5E">
              <w:rPr>
                <w:sz w:val="20"/>
                <w:szCs w:val="20"/>
                <w:lang w:eastAsia="ja-JP"/>
              </w:rPr>
              <w:t>8 (1-28)</w:t>
            </w:r>
          </w:p>
          <w:p w14:paraId="4D88ADED" w14:textId="77777777" w:rsidR="00424B9D" w:rsidRPr="008D1D5E" w:rsidRDefault="00424B9D" w:rsidP="00EA73E6">
            <w:pPr>
              <w:rPr>
                <w:sz w:val="20"/>
                <w:szCs w:val="20"/>
                <w:lang w:eastAsia="ja-JP"/>
              </w:rPr>
            </w:pPr>
            <w:r w:rsidRPr="008D1D5E">
              <w:rPr>
                <w:sz w:val="20"/>
                <w:szCs w:val="20"/>
                <w:lang w:eastAsia="ja-JP"/>
              </w:rPr>
              <w:t>39 (18.1%)</w:t>
            </w:r>
          </w:p>
          <w:p w14:paraId="0F85348B" w14:textId="77777777" w:rsidR="00424B9D" w:rsidRPr="008D1D5E" w:rsidRDefault="00424B9D" w:rsidP="00EA73E6">
            <w:pPr>
              <w:rPr>
                <w:sz w:val="20"/>
                <w:szCs w:val="20"/>
                <w:lang w:eastAsia="ja-JP"/>
              </w:rPr>
            </w:pPr>
            <w:r w:rsidRPr="008D1D5E">
              <w:rPr>
                <w:sz w:val="20"/>
                <w:szCs w:val="20"/>
                <w:lang w:eastAsia="ja-JP"/>
              </w:rPr>
              <w:t>177 (82%)</w:t>
            </w:r>
          </w:p>
          <w:p w14:paraId="043D6B00" w14:textId="77777777" w:rsidR="00424B9D" w:rsidRPr="008D1D5E" w:rsidRDefault="00424B9D" w:rsidP="00EA73E6">
            <w:pPr>
              <w:rPr>
                <w:sz w:val="20"/>
                <w:szCs w:val="20"/>
                <w:lang w:eastAsia="ja-JP"/>
              </w:rPr>
            </w:pPr>
          </w:p>
          <w:p w14:paraId="433EA2CF" w14:textId="77777777" w:rsidR="00424B9D" w:rsidRPr="008D1D5E" w:rsidRDefault="00424B9D" w:rsidP="00EA73E6">
            <w:pPr>
              <w:rPr>
                <w:sz w:val="20"/>
                <w:szCs w:val="20"/>
                <w:lang w:eastAsia="ja-JP"/>
              </w:rPr>
            </w:pPr>
            <w:r w:rsidRPr="008D1D5E">
              <w:rPr>
                <w:sz w:val="20"/>
                <w:szCs w:val="20"/>
                <w:lang w:eastAsia="ja-JP"/>
              </w:rPr>
              <w:t>3 (</w:t>
            </w:r>
            <w:r w:rsidRPr="008D1D5E">
              <w:rPr>
                <w:color w:val="346127" w:themeColor="accent6" w:themeTint="E6"/>
                <w:sz w:val="20"/>
                <w:szCs w:val="20"/>
                <w:lang w:eastAsia="ja-JP"/>
              </w:rPr>
              <w:t>0</w:t>
            </w:r>
            <w:r w:rsidRPr="008D1D5E">
              <w:rPr>
                <w:sz w:val="20"/>
                <w:szCs w:val="20"/>
                <w:lang w:eastAsia="ja-JP"/>
              </w:rPr>
              <w:t>-7)</w:t>
            </w:r>
          </w:p>
        </w:tc>
        <w:tc>
          <w:tcPr>
            <w:tcW w:w="1701" w:type="dxa"/>
          </w:tcPr>
          <w:p w14:paraId="54F8C7CC" w14:textId="6FD34A13" w:rsidR="00424B9D" w:rsidRPr="008D1D5E" w:rsidRDefault="00424B9D" w:rsidP="00EA73E6">
            <w:pPr>
              <w:rPr>
                <w:sz w:val="20"/>
                <w:szCs w:val="20"/>
                <w:lang w:eastAsia="ja-JP"/>
              </w:rPr>
            </w:pPr>
          </w:p>
          <w:p w14:paraId="17CDAC6C" w14:textId="77777777" w:rsidR="000E190D" w:rsidRPr="008D1D5E" w:rsidRDefault="000E190D" w:rsidP="00EA73E6">
            <w:pPr>
              <w:rPr>
                <w:sz w:val="20"/>
                <w:szCs w:val="20"/>
                <w:lang w:eastAsia="ja-JP"/>
              </w:rPr>
            </w:pPr>
          </w:p>
          <w:p w14:paraId="6715CCD3" w14:textId="77777777" w:rsidR="00424B9D" w:rsidRPr="008D1D5E" w:rsidRDefault="00424B9D" w:rsidP="00EA73E6">
            <w:pPr>
              <w:rPr>
                <w:sz w:val="20"/>
                <w:szCs w:val="20"/>
                <w:lang w:eastAsia="ja-JP"/>
              </w:rPr>
            </w:pPr>
            <w:r w:rsidRPr="008D1D5E">
              <w:rPr>
                <w:sz w:val="20"/>
                <w:szCs w:val="20"/>
                <w:lang w:eastAsia="ja-JP"/>
              </w:rPr>
              <w:t>9 (0-23)</w:t>
            </w:r>
          </w:p>
          <w:p w14:paraId="4A5FB430" w14:textId="77777777" w:rsidR="00424B9D" w:rsidRPr="008D1D5E" w:rsidRDefault="00424B9D" w:rsidP="00EA73E6">
            <w:pPr>
              <w:rPr>
                <w:sz w:val="20"/>
                <w:szCs w:val="20"/>
                <w:lang w:eastAsia="ja-JP"/>
              </w:rPr>
            </w:pPr>
            <w:r w:rsidRPr="008D1D5E">
              <w:rPr>
                <w:sz w:val="20"/>
                <w:szCs w:val="20"/>
                <w:lang w:eastAsia="ja-JP"/>
              </w:rPr>
              <w:t>30 (13.9%)</w:t>
            </w:r>
          </w:p>
          <w:p w14:paraId="549060BD" w14:textId="77777777" w:rsidR="00424B9D" w:rsidRPr="008D1D5E" w:rsidRDefault="00424B9D" w:rsidP="00EA73E6">
            <w:pPr>
              <w:rPr>
                <w:sz w:val="20"/>
                <w:szCs w:val="20"/>
                <w:lang w:eastAsia="ja-JP"/>
              </w:rPr>
            </w:pPr>
            <w:r w:rsidRPr="008D1D5E">
              <w:rPr>
                <w:sz w:val="20"/>
                <w:szCs w:val="20"/>
                <w:lang w:eastAsia="ja-JP"/>
              </w:rPr>
              <w:t>186 (86%)</w:t>
            </w:r>
          </w:p>
          <w:p w14:paraId="41DC218E" w14:textId="77777777" w:rsidR="00424B9D" w:rsidRPr="008D1D5E" w:rsidRDefault="00424B9D" w:rsidP="00EA73E6">
            <w:pPr>
              <w:rPr>
                <w:sz w:val="20"/>
                <w:szCs w:val="20"/>
                <w:lang w:eastAsia="ja-JP"/>
              </w:rPr>
            </w:pPr>
          </w:p>
          <w:p w14:paraId="350017D5" w14:textId="77777777" w:rsidR="00424B9D" w:rsidRPr="008D1D5E" w:rsidRDefault="00424B9D" w:rsidP="00EA73E6">
            <w:pPr>
              <w:rPr>
                <w:sz w:val="20"/>
                <w:szCs w:val="20"/>
                <w:lang w:eastAsia="ja-JP"/>
              </w:rPr>
            </w:pPr>
            <w:r w:rsidRPr="008D1D5E">
              <w:rPr>
                <w:sz w:val="20"/>
                <w:szCs w:val="20"/>
                <w:lang w:eastAsia="ja-JP"/>
              </w:rPr>
              <w:t>3 (0-8)</w:t>
            </w:r>
          </w:p>
        </w:tc>
        <w:tc>
          <w:tcPr>
            <w:tcW w:w="1666" w:type="dxa"/>
          </w:tcPr>
          <w:p w14:paraId="5F9F18A6" w14:textId="1E192612" w:rsidR="00424B9D" w:rsidRPr="008D1D5E" w:rsidRDefault="00424B9D" w:rsidP="00EA73E6">
            <w:pPr>
              <w:rPr>
                <w:sz w:val="20"/>
                <w:szCs w:val="20"/>
                <w:lang w:eastAsia="ja-JP"/>
              </w:rPr>
            </w:pPr>
          </w:p>
          <w:p w14:paraId="45D63FA1" w14:textId="77777777" w:rsidR="000E190D" w:rsidRPr="008D1D5E" w:rsidRDefault="000E190D" w:rsidP="00EA73E6">
            <w:pPr>
              <w:rPr>
                <w:sz w:val="20"/>
                <w:szCs w:val="20"/>
                <w:lang w:eastAsia="ja-JP"/>
              </w:rPr>
            </w:pPr>
          </w:p>
          <w:p w14:paraId="75818313" w14:textId="77777777" w:rsidR="00424B9D" w:rsidRPr="008D1D5E" w:rsidRDefault="00424B9D" w:rsidP="00EA73E6">
            <w:pPr>
              <w:rPr>
                <w:sz w:val="20"/>
                <w:szCs w:val="20"/>
                <w:lang w:eastAsia="ja-JP"/>
              </w:rPr>
            </w:pPr>
            <w:r w:rsidRPr="008D1D5E">
              <w:rPr>
                <w:sz w:val="20"/>
                <w:szCs w:val="20"/>
                <w:lang w:eastAsia="ja-JP"/>
              </w:rPr>
              <w:t>8 (0-28)</w:t>
            </w:r>
          </w:p>
          <w:p w14:paraId="048E69E4" w14:textId="77777777" w:rsidR="00424B9D" w:rsidRPr="008D1D5E" w:rsidRDefault="00424B9D" w:rsidP="00EA73E6">
            <w:pPr>
              <w:rPr>
                <w:sz w:val="20"/>
                <w:szCs w:val="20"/>
                <w:lang w:eastAsia="ja-JP"/>
              </w:rPr>
            </w:pPr>
            <w:r w:rsidRPr="008D1D5E">
              <w:rPr>
                <w:sz w:val="20"/>
                <w:szCs w:val="20"/>
                <w:lang w:eastAsia="ja-JP"/>
              </w:rPr>
              <w:t>69 (16.0%)</w:t>
            </w:r>
          </w:p>
          <w:p w14:paraId="6680F836" w14:textId="77777777" w:rsidR="00424B9D" w:rsidRPr="008D1D5E" w:rsidRDefault="00424B9D" w:rsidP="00EA73E6">
            <w:pPr>
              <w:rPr>
                <w:sz w:val="20"/>
                <w:szCs w:val="20"/>
                <w:lang w:eastAsia="ja-JP"/>
              </w:rPr>
            </w:pPr>
            <w:r w:rsidRPr="008D1D5E">
              <w:rPr>
                <w:sz w:val="20"/>
                <w:szCs w:val="20"/>
                <w:lang w:eastAsia="ja-JP"/>
              </w:rPr>
              <w:t>363 (84%)</w:t>
            </w:r>
          </w:p>
          <w:p w14:paraId="7CBF2C25" w14:textId="77777777" w:rsidR="00424B9D" w:rsidRPr="008D1D5E" w:rsidRDefault="00424B9D" w:rsidP="00EA73E6">
            <w:pPr>
              <w:rPr>
                <w:sz w:val="20"/>
                <w:szCs w:val="20"/>
                <w:lang w:eastAsia="ja-JP"/>
              </w:rPr>
            </w:pPr>
          </w:p>
          <w:p w14:paraId="4D0D834C" w14:textId="77777777" w:rsidR="00424B9D" w:rsidRPr="008D1D5E" w:rsidRDefault="00424B9D" w:rsidP="00EA73E6">
            <w:pPr>
              <w:rPr>
                <w:sz w:val="20"/>
                <w:szCs w:val="20"/>
                <w:lang w:eastAsia="ja-JP"/>
              </w:rPr>
            </w:pPr>
            <w:r w:rsidRPr="008D1D5E">
              <w:rPr>
                <w:sz w:val="20"/>
                <w:szCs w:val="20"/>
                <w:lang w:eastAsia="ja-JP"/>
              </w:rPr>
              <w:t>3 (0-8)</w:t>
            </w:r>
          </w:p>
        </w:tc>
      </w:tr>
      <w:tr w:rsidR="00424B9D" w:rsidRPr="008D1D5E" w14:paraId="584E91EC" w14:textId="77777777" w:rsidTr="00CB5F25">
        <w:tc>
          <w:tcPr>
            <w:tcW w:w="3794" w:type="dxa"/>
          </w:tcPr>
          <w:p w14:paraId="43C2C0A3" w14:textId="0AFB4E46" w:rsidR="00424B9D" w:rsidRPr="008D1D5E" w:rsidRDefault="00424B9D" w:rsidP="00EA73E6">
            <w:pPr>
              <w:rPr>
                <w:b/>
                <w:sz w:val="20"/>
                <w:szCs w:val="20"/>
                <w:lang w:eastAsia="ja-JP"/>
              </w:rPr>
            </w:pPr>
            <w:r w:rsidRPr="008D1D5E">
              <w:rPr>
                <w:b/>
                <w:sz w:val="20"/>
                <w:szCs w:val="20"/>
                <w:lang w:eastAsia="ja-JP"/>
              </w:rPr>
              <w:lastRenderedPageBreak/>
              <w:t xml:space="preserve">Creatinine </w:t>
            </w:r>
            <w:r w:rsidR="00763A7E" w:rsidRPr="008D1D5E">
              <w:rPr>
                <w:b/>
                <w:sz w:val="20"/>
                <w:szCs w:val="20"/>
                <w:lang w:eastAsia="ja-JP"/>
              </w:rPr>
              <w:t>c</w:t>
            </w:r>
            <w:r w:rsidRPr="008D1D5E">
              <w:rPr>
                <w:b/>
                <w:sz w:val="20"/>
                <w:szCs w:val="20"/>
                <w:lang w:eastAsia="ja-JP"/>
              </w:rPr>
              <w:t>learance (Cockcroft Gault Formula)</w:t>
            </w:r>
          </w:p>
          <w:p w14:paraId="216507F5" w14:textId="65F682EF" w:rsidR="00424B9D" w:rsidRPr="008D1D5E" w:rsidRDefault="00424B9D" w:rsidP="00EA73E6">
            <w:pPr>
              <w:rPr>
                <w:sz w:val="20"/>
                <w:szCs w:val="20"/>
                <w:lang w:eastAsia="ja-JP"/>
              </w:rPr>
            </w:pPr>
            <w:r w:rsidRPr="008D1D5E">
              <w:rPr>
                <w:sz w:val="20"/>
                <w:szCs w:val="20"/>
                <w:lang w:eastAsia="ja-JP"/>
              </w:rPr>
              <w:t>&lt; 70m</w:t>
            </w:r>
            <w:r w:rsidR="00106D85" w:rsidRPr="008D1D5E">
              <w:rPr>
                <w:sz w:val="20"/>
                <w:szCs w:val="20"/>
                <w:lang w:eastAsia="ja-JP"/>
              </w:rPr>
              <w:t>L</w:t>
            </w:r>
            <w:r w:rsidRPr="008D1D5E">
              <w:rPr>
                <w:sz w:val="20"/>
                <w:szCs w:val="20"/>
                <w:lang w:eastAsia="ja-JP"/>
              </w:rPr>
              <w:t>/min</w:t>
            </w:r>
          </w:p>
          <w:p w14:paraId="3BEEF435" w14:textId="3D09EACF" w:rsidR="00424B9D" w:rsidRPr="008D1D5E" w:rsidRDefault="00424B9D" w:rsidP="00EA73E6">
            <w:pPr>
              <w:rPr>
                <w:sz w:val="20"/>
                <w:szCs w:val="20"/>
                <w:lang w:eastAsia="ja-JP"/>
              </w:rPr>
            </w:pPr>
            <w:r w:rsidRPr="008D1D5E">
              <w:rPr>
                <w:sz w:val="20"/>
                <w:szCs w:val="20"/>
                <w:lang w:eastAsia="ja-JP"/>
              </w:rPr>
              <w:t>≥ 70m</w:t>
            </w:r>
            <w:r w:rsidR="00106D85" w:rsidRPr="008D1D5E">
              <w:rPr>
                <w:sz w:val="20"/>
                <w:szCs w:val="20"/>
                <w:lang w:eastAsia="ja-JP"/>
              </w:rPr>
              <w:t>L</w:t>
            </w:r>
            <w:r w:rsidRPr="008D1D5E">
              <w:rPr>
                <w:sz w:val="20"/>
                <w:szCs w:val="20"/>
                <w:lang w:eastAsia="ja-JP"/>
              </w:rPr>
              <w:t>/min</w:t>
            </w:r>
          </w:p>
        </w:tc>
        <w:tc>
          <w:tcPr>
            <w:tcW w:w="1559" w:type="dxa"/>
          </w:tcPr>
          <w:p w14:paraId="591B638E" w14:textId="77777777" w:rsidR="00424B9D" w:rsidRPr="008D1D5E" w:rsidRDefault="00424B9D" w:rsidP="00EA73E6">
            <w:pPr>
              <w:rPr>
                <w:sz w:val="20"/>
                <w:szCs w:val="20"/>
                <w:lang w:eastAsia="ja-JP"/>
              </w:rPr>
            </w:pPr>
          </w:p>
          <w:p w14:paraId="0AC7114F" w14:textId="77777777" w:rsidR="00424B9D" w:rsidRPr="008D1D5E" w:rsidRDefault="00424B9D" w:rsidP="00EA73E6">
            <w:pPr>
              <w:rPr>
                <w:sz w:val="20"/>
                <w:szCs w:val="20"/>
                <w:lang w:eastAsia="ja-JP"/>
              </w:rPr>
            </w:pPr>
            <w:r w:rsidRPr="008D1D5E">
              <w:rPr>
                <w:sz w:val="20"/>
                <w:szCs w:val="20"/>
                <w:lang w:eastAsia="ja-JP"/>
              </w:rPr>
              <w:t>118 (55.4%)</w:t>
            </w:r>
          </w:p>
          <w:p w14:paraId="11EFCB8F" w14:textId="77777777" w:rsidR="00424B9D" w:rsidRPr="008D1D5E" w:rsidRDefault="00424B9D" w:rsidP="00EA73E6">
            <w:pPr>
              <w:rPr>
                <w:sz w:val="20"/>
                <w:szCs w:val="20"/>
                <w:lang w:eastAsia="ja-JP"/>
              </w:rPr>
            </w:pPr>
            <w:r w:rsidRPr="008D1D5E">
              <w:rPr>
                <w:sz w:val="20"/>
                <w:szCs w:val="20"/>
                <w:lang w:eastAsia="ja-JP"/>
              </w:rPr>
              <w:t>95 (44.6%)</w:t>
            </w:r>
          </w:p>
        </w:tc>
        <w:tc>
          <w:tcPr>
            <w:tcW w:w="1701" w:type="dxa"/>
          </w:tcPr>
          <w:p w14:paraId="3760E7D8" w14:textId="77777777" w:rsidR="00424B9D" w:rsidRPr="008D1D5E" w:rsidRDefault="00424B9D" w:rsidP="00EA73E6">
            <w:pPr>
              <w:rPr>
                <w:sz w:val="20"/>
                <w:szCs w:val="20"/>
                <w:lang w:eastAsia="ja-JP"/>
              </w:rPr>
            </w:pPr>
          </w:p>
          <w:p w14:paraId="1BAB1A78" w14:textId="77777777" w:rsidR="00424B9D" w:rsidRPr="008D1D5E" w:rsidRDefault="00424B9D" w:rsidP="00EA73E6">
            <w:pPr>
              <w:rPr>
                <w:sz w:val="20"/>
                <w:szCs w:val="20"/>
                <w:lang w:eastAsia="ja-JP"/>
              </w:rPr>
            </w:pPr>
            <w:r w:rsidRPr="008D1D5E">
              <w:rPr>
                <w:sz w:val="20"/>
                <w:szCs w:val="20"/>
                <w:lang w:eastAsia="ja-JP"/>
              </w:rPr>
              <w:t>128 (59.5%)</w:t>
            </w:r>
          </w:p>
          <w:p w14:paraId="0E232EA3" w14:textId="77777777" w:rsidR="00424B9D" w:rsidRPr="008D1D5E" w:rsidRDefault="00424B9D" w:rsidP="00EA73E6">
            <w:pPr>
              <w:rPr>
                <w:sz w:val="20"/>
                <w:szCs w:val="20"/>
                <w:lang w:eastAsia="ja-JP"/>
              </w:rPr>
            </w:pPr>
            <w:r w:rsidRPr="008D1D5E">
              <w:rPr>
                <w:sz w:val="20"/>
                <w:szCs w:val="20"/>
                <w:lang w:eastAsia="ja-JP"/>
              </w:rPr>
              <w:t>87 (40.5%)</w:t>
            </w:r>
          </w:p>
        </w:tc>
        <w:tc>
          <w:tcPr>
            <w:tcW w:w="1666" w:type="dxa"/>
          </w:tcPr>
          <w:p w14:paraId="76C0C9CD" w14:textId="77777777" w:rsidR="00424B9D" w:rsidRPr="008D1D5E" w:rsidRDefault="00424B9D" w:rsidP="00EA73E6">
            <w:pPr>
              <w:rPr>
                <w:sz w:val="20"/>
                <w:szCs w:val="20"/>
                <w:lang w:eastAsia="ja-JP"/>
              </w:rPr>
            </w:pPr>
          </w:p>
          <w:p w14:paraId="5D0AAC37" w14:textId="77777777" w:rsidR="00424B9D" w:rsidRPr="008D1D5E" w:rsidRDefault="00424B9D" w:rsidP="00EA73E6">
            <w:pPr>
              <w:rPr>
                <w:sz w:val="20"/>
                <w:szCs w:val="20"/>
                <w:lang w:eastAsia="ja-JP"/>
              </w:rPr>
            </w:pPr>
            <w:r w:rsidRPr="008D1D5E">
              <w:rPr>
                <w:sz w:val="20"/>
                <w:szCs w:val="20"/>
                <w:lang w:eastAsia="ja-JP"/>
              </w:rPr>
              <w:t>246 (57.5%)</w:t>
            </w:r>
          </w:p>
          <w:p w14:paraId="7D7DA5CD" w14:textId="77777777" w:rsidR="00424B9D" w:rsidRPr="008D1D5E" w:rsidRDefault="00424B9D" w:rsidP="00EA73E6">
            <w:pPr>
              <w:rPr>
                <w:sz w:val="20"/>
                <w:szCs w:val="20"/>
                <w:lang w:eastAsia="ja-JP"/>
              </w:rPr>
            </w:pPr>
            <w:r w:rsidRPr="008D1D5E">
              <w:rPr>
                <w:sz w:val="20"/>
                <w:szCs w:val="20"/>
                <w:lang w:eastAsia="ja-JP"/>
              </w:rPr>
              <w:t>182 (42.5%)</w:t>
            </w:r>
          </w:p>
        </w:tc>
      </w:tr>
      <w:tr w:rsidR="00424B9D" w:rsidRPr="008D1D5E" w14:paraId="5B81E7A0" w14:textId="77777777" w:rsidTr="00CB5F25">
        <w:tc>
          <w:tcPr>
            <w:tcW w:w="3794" w:type="dxa"/>
          </w:tcPr>
          <w:p w14:paraId="5940ECAA" w14:textId="77777777" w:rsidR="00424B9D" w:rsidRPr="008D1D5E" w:rsidRDefault="00424B9D" w:rsidP="00EA73E6">
            <w:pPr>
              <w:rPr>
                <w:b/>
                <w:sz w:val="20"/>
                <w:szCs w:val="20"/>
                <w:lang w:eastAsia="ja-JP"/>
              </w:rPr>
            </w:pPr>
            <w:r w:rsidRPr="008D1D5E">
              <w:rPr>
                <w:b/>
                <w:sz w:val="20"/>
                <w:szCs w:val="20"/>
                <w:lang w:eastAsia="ja-JP"/>
              </w:rPr>
              <w:t>Reason(s) for initiating treatment</w:t>
            </w:r>
          </w:p>
          <w:p w14:paraId="2AC41F1C" w14:textId="77777777" w:rsidR="00424B9D" w:rsidRPr="008D1D5E" w:rsidRDefault="00424B9D" w:rsidP="00EA73E6">
            <w:pPr>
              <w:rPr>
                <w:sz w:val="20"/>
                <w:szCs w:val="20"/>
                <w:lang w:eastAsia="ja-JP"/>
              </w:rPr>
            </w:pPr>
            <w:proofErr w:type="spellStart"/>
            <w:r w:rsidRPr="008D1D5E">
              <w:rPr>
                <w:sz w:val="20"/>
                <w:szCs w:val="20"/>
                <w:lang w:eastAsia="ja-JP"/>
              </w:rPr>
              <w:t>Binet</w:t>
            </w:r>
            <w:proofErr w:type="spellEnd"/>
            <w:r w:rsidRPr="008D1D5E">
              <w:rPr>
                <w:sz w:val="20"/>
                <w:szCs w:val="20"/>
                <w:lang w:eastAsia="ja-JP"/>
              </w:rPr>
              <w:t xml:space="preserve"> stage C</w:t>
            </w:r>
          </w:p>
          <w:p w14:paraId="40EA377C" w14:textId="77777777" w:rsidR="00424B9D" w:rsidRPr="008D1D5E" w:rsidRDefault="00424B9D" w:rsidP="00EA73E6">
            <w:pPr>
              <w:rPr>
                <w:sz w:val="20"/>
                <w:szCs w:val="20"/>
                <w:lang w:eastAsia="ja-JP"/>
              </w:rPr>
            </w:pPr>
            <w:r w:rsidRPr="008D1D5E">
              <w:rPr>
                <w:sz w:val="20"/>
                <w:szCs w:val="20"/>
                <w:lang w:eastAsia="ja-JP"/>
              </w:rPr>
              <w:t>Severe B symptoms*</w:t>
            </w:r>
          </w:p>
          <w:p w14:paraId="745F605E" w14:textId="77777777" w:rsidR="00424B9D" w:rsidRPr="008D1D5E" w:rsidRDefault="00424B9D" w:rsidP="00EA73E6">
            <w:pPr>
              <w:rPr>
                <w:sz w:val="20"/>
                <w:szCs w:val="20"/>
                <w:lang w:eastAsia="ja-JP"/>
              </w:rPr>
            </w:pPr>
            <w:r w:rsidRPr="008D1D5E">
              <w:rPr>
                <w:sz w:val="20"/>
                <w:szCs w:val="20"/>
                <w:lang w:eastAsia="ja-JP"/>
              </w:rPr>
              <w:t>Massive lymphadenopathy/splenomegaly*</w:t>
            </w:r>
          </w:p>
          <w:p w14:paraId="0A00EB91" w14:textId="4991278A" w:rsidR="00424B9D" w:rsidRPr="008D1D5E" w:rsidRDefault="00424B9D" w:rsidP="00EA73E6">
            <w:pPr>
              <w:rPr>
                <w:sz w:val="20"/>
                <w:szCs w:val="20"/>
                <w:lang w:eastAsia="ja-JP"/>
              </w:rPr>
            </w:pPr>
            <w:r w:rsidRPr="008D1D5E">
              <w:rPr>
                <w:sz w:val="20"/>
                <w:szCs w:val="20"/>
                <w:lang w:eastAsia="ja-JP"/>
              </w:rPr>
              <w:t>Short lymphocyte doubling time (&lt;</w:t>
            </w:r>
            <w:r w:rsidR="006A43AA" w:rsidRPr="008D1D5E">
              <w:rPr>
                <w:sz w:val="20"/>
                <w:szCs w:val="20"/>
                <w:lang w:eastAsia="ja-JP"/>
              </w:rPr>
              <w:t> </w:t>
            </w:r>
            <w:r w:rsidRPr="008D1D5E">
              <w:rPr>
                <w:sz w:val="20"/>
                <w:szCs w:val="20"/>
                <w:lang w:eastAsia="ja-JP"/>
              </w:rPr>
              <w:t>6 months)*</w:t>
            </w:r>
          </w:p>
          <w:p w14:paraId="6059BF10" w14:textId="77777777" w:rsidR="00424B9D" w:rsidRPr="008D1D5E" w:rsidRDefault="00424B9D" w:rsidP="00EA73E6">
            <w:pPr>
              <w:rPr>
                <w:sz w:val="20"/>
                <w:szCs w:val="20"/>
                <w:lang w:eastAsia="ja-JP"/>
              </w:rPr>
            </w:pPr>
            <w:r w:rsidRPr="008D1D5E">
              <w:rPr>
                <w:sz w:val="20"/>
                <w:szCs w:val="20"/>
                <w:lang w:eastAsia="ja-JP"/>
              </w:rPr>
              <w:t>Other*</w:t>
            </w:r>
          </w:p>
          <w:p w14:paraId="6E03BB27" w14:textId="77777777" w:rsidR="00424B9D" w:rsidRPr="008D1D5E" w:rsidRDefault="00424B9D" w:rsidP="00EA73E6">
            <w:pPr>
              <w:rPr>
                <w:sz w:val="20"/>
                <w:szCs w:val="20"/>
                <w:lang w:eastAsia="ja-JP"/>
              </w:rPr>
            </w:pPr>
            <w:r w:rsidRPr="008D1D5E">
              <w:rPr>
                <w:sz w:val="20"/>
                <w:szCs w:val="20"/>
                <w:lang w:eastAsia="ja-JP"/>
              </w:rPr>
              <w:t xml:space="preserve">* </w:t>
            </w:r>
            <w:proofErr w:type="spellStart"/>
            <w:r w:rsidRPr="008D1D5E">
              <w:rPr>
                <w:i/>
                <w:sz w:val="20"/>
                <w:szCs w:val="20"/>
                <w:lang w:eastAsia="ja-JP"/>
              </w:rPr>
              <w:t>Binet</w:t>
            </w:r>
            <w:proofErr w:type="spellEnd"/>
            <w:r w:rsidRPr="008D1D5E">
              <w:rPr>
                <w:i/>
                <w:sz w:val="20"/>
                <w:szCs w:val="20"/>
                <w:lang w:eastAsia="ja-JP"/>
              </w:rPr>
              <w:t xml:space="preserve"> stage A or B only</w:t>
            </w:r>
          </w:p>
        </w:tc>
        <w:tc>
          <w:tcPr>
            <w:tcW w:w="1559" w:type="dxa"/>
          </w:tcPr>
          <w:p w14:paraId="202FA80D" w14:textId="77777777" w:rsidR="00424B9D" w:rsidRPr="008D1D5E" w:rsidRDefault="00424B9D" w:rsidP="00EA73E6">
            <w:pPr>
              <w:rPr>
                <w:sz w:val="20"/>
                <w:szCs w:val="20"/>
                <w:lang w:eastAsia="ja-JP"/>
              </w:rPr>
            </w:pPr>
          </w:p>
          <w:p w14:paraId="5F4ECF51" w14:textId="77777777" w:rsidR="00424B9D" w:rsidRPr="008D1D5E" w:rsidRDefault="00424B9D" w:rsidP="00EA73E6">
            <w:pPr>
              <w:rPr>
                <w:sz w:val="20"/>
                <w:szCs w:val="20"/>
                <w:lang w:eastAsia="ja-JP"/>
              </w:rPr>
            </w:pPr>
            <w:r w:rsidRPr="008D1D5E">
              <w:rPr>
                <w:sz w:val="20"/>
                <w:szCs w:val="20"/>
                <w:lang w:eastAsia="ja-JP"/>
              </w:rPr>
              <w:t>92 (42.6%)</w:t>
            </w:r>
          </w:p>
          <w:p w14:paraId="6D743309" w14:textId="77777777" w:rsidR="00424B9D" w:rsidRPr="008D1D5E" w:rsidRDefault="00424B9D" w:rsidP="00EA73E6">
            <w:pPr>
              <w:rPr>
                <w:sz w:val="20"/>
                <w:szCs w:val="20"/>
                <w:lang w:eastAsia="ja-JP"/>
              </w:rPr>
            </w:pPr>
            <w:r w:rsidRPr="008D1D5E">
              <w:rPr>
                <w:sz w:val="20"/>
                <w:szCs w:val="20"/>
                <w:lang w:eastAsia="ja-JP"/>
              </w:rPr>
              <w:t>72 (58.1%)</w:t>
            </w:r>
          </w:p>
          <w:p w14:paraId="1DD6CD98" w14:textId="77777777" w:rsidR="00424B9D" w:rsidRPr="008D1D5E" w:rsidRDefault="00424B9D" w:rsidP="00EA73E6">
            <w:pPr>
              <w:rPr>
                <w:sz w:val="20"/>
                <w:szCs w:val="20"/>
                <w:lang w:eastAsia="ja-JP"/>
              </w:rPr>
            </w:pPr>
            <w:r w:rsidRPr="008D1D5E">
              <w:rPr>
                <w:sz w:val="20"/>
                <w:szCs w:val="20"/>
                <w:lang w:eastAsia="ja-JP"/>
              </w:rPr>
              <w:t>49 (39.5%)</w:t>
            </w:r>
          </w:p>
          <w:p w14:paraId="0F475FEC" w14:textId="77777777" w:rsidR="000E190D" w:rsidRPr="008D1D5E" w:rsidRDefault="000E190D" w:rsidP="00EA73E6">
            <w:pPr>
              <w:rPr>
                <w:sz w:val="20"/>
                <w:szCs w:val="20"/>
                <w:lang w:eastAsia="ja-JP"/>
              </w:rPr>
            </w:pPr>
          </w:p>
          <w:p w14:paraId="5499F44B" w14:textId="5BA97702" w:rsidR="00424B9D" w:rsidRPr="008D1D5E" w:rsidRDefault="00424B9D" w:rsidP="00EA73E6">
            <w:pPr>
              <w:rPr>
                <w:sz w:val="20"/>
                <w:szCs w:val="20"/>
                <w:lang w:eastAsia="ja-JP"/>
              </w:rPr>
            </w:pPr>
            <w:r w:rsidRPr="008D1D5E">
              <w:rPr>
                <w:sz w:val="20"/>
                <w:szCs w:val="20"/>
                <w:lang w:eastAsia="ja-JP"/>
              </w:rPr>
              <w:t>29 (23.4%)</w:t>
            </w:r>
          </w:p>
          <w:p w14:paraId="63B1ACAF" w14:textId="77777777" w:rsidR="000E190D" w:rsidRPr="008D1D5E" w:rsidRDefault="000E190D" w:rsidP="00EA73E6">
            <w:pPr>
              <w:rPr>
                <w:sz w:val="20"/>
                <w:szCs w:val="20"/>
                <w:lang w:eastAsia="ja-JP"/>
              </w:rPr>
            </w:pPr>
          </w:p>
          <w:p w14:paraId="313DC44D" w14:textId="4BC1C50F" w:rsidR="00424B9D" w:rsidRPr="008D1D5E" w:rsidRDefault="00424B9D" w:rsidP="00EA73E6">
            <w:pPr>
              <w:rPr>
                <w:sz w:val="20"/>
                <w:szCs w:val="20"/>
                <w:lang w:eastAsia="ja-JP"/>
              </w:rPr>
            </w:pPr>
            <w:r w:rsidRPr="008D1D5E">
              <w:rPr>
                <w:sz w:val="20"/>
                <w:szCs w:val="20"/>
                <w:lang w:eastAsia="ja-JP"/>
              </w:rPr>
              <w:t>20 (16.1%)</w:t>
            </w:r>
          </w:p>
        </w:tc>
        <w:tc>
          <w:tcPr>
            <w:tcW w:w="1701" w:type="dxa"/>
          </w:tcPr>
          <w:p w14:paraId="29A09CC2" w14:textId="77777777" w:rsidR="00424B9D" w:rsidRPr="008D1D5E" w:rsidRDefault="00424B9D" w:rsidP="00EA73E6">
            <w:pPr>
              <w:rPr>
                <w:color w:val="auto"/>
                <w:sz w:val="20"/>
                <w:szCs w:val="20"/>
                <w:lang w:eastAsia="ja-JP"/>
              </w:rPr>
            </w:pPr>
          </w:p>
          <w:p w14:paraId="11AA8FB4" w14:textId="77777777" w:rsidR="00424B9D" w:rsidRPr="008D1D5E" w:rsidRDefault="00424B9D" w:rsidP="00EA73E6">
            <w:pPr>
              <w:rPr>
                <w:color w:val="auto"/>
                <w:sz w:val="20"/>
                <w:szCs w:val="20"/>
                <w:lang w:eastAsia="ja-JP"/>
              </w:rPr>
            </w:pPr>
            <w:r w:rsidRPr="008D1D5E">
              <w:rPr>
                <w:sz w:val="20"/>
                <w:szCs w:val="20"/>
                <w:lang w:eastAsia="ja-JP"/>
              </w:rPr>
              <w:t>93 (43.1%)</w:t>
            </w:r>
          </w:p>
          <w:p w14:paraId="57579BF8" w14:textId="77777777" w:rsidR="00424B9D" w:rsidRPr="008D1D5E" w:rsidRDefault="00424B9D" w:rsidP="00EA73E6">
            <w:pPr>
              <w:rPr>
                <w:color w:val="auto"/>
                <w:sz w:val="20"/>
                <w:szCs w:val="20"/>
                <w:lang w:eastAsia="ja-JP"/>
              </w:rPr>
            </w:pPr>
            <w:r w:rsidRPr="008D1D5E">
              <w:rPr>
                <w:color w:val="auto"/>
                <w:sz w:val="20"/>
                <w:szCs w:val="20"/>
                <w:lang w:eastAsia="ja-JP"/>
              </w:rPr>
              <w:t>61 (49.6%)</w:t>
            </w:r>
          </w:p>
          <w:p w14:paraId="5707600B" w14:textId="77777777" w:rsidR="00424B9D" w:rsidRPr="008D1D5E" w:rsidRDefault="00424B9D" w:rsidP="00EA73E6">
            <w:pPr>
              <w:rPr>
                <w:color w:val="auto"/>
                <w:sz w:val="20"/>
                <w:szCs w:val="20"/>
                <w:lang w:eastAsia="ja-JP"/>
              </w:rPr>
            </w:pPr>
            <w:r w:rsidRPr="008D1D5E">
              <w:rPr>
                <w:sz w:val="20"/>
                <w:szCs w:val="20"/>
                <w:lang w:eastAsia="ja-JP"/>
              </w:rPr>
              <w:t>50 (40.7%)</w:t>
            </w:r>
          </w:p>
          <w:p w14:paraId="04D34AF4" w14:textId="77777777" w:rsidR="000E190D" w:rsidRPr="008D1D5E" w:rsidRDefault="000E190D" w:rsidP="00EA73E6">
            <w:pPr>
              <w:rPr>
                <w:color w:val="auto"/>
                <w:sz w:val="20"/>
                <w:szCs w:val="20"/>
                <w:lang w:eastAsia="ja-JP"/>
              </w:rPr>
            </w:pPr>
          </w:p>
          <w:p w14:paraId="50FC75DD" w14:textId="5AF85B4C" w:rsidR="00424B9D" w:rsidRPr="008D1D5E" w:rsidRDefault="00424B9D" w:rsidP="00EA73E6">
            <w:pPr>
              <w:rPr>
                <w:color w:val="auto"/>
                <w:sz w:val="20"/>
                <w:szCs w:val="20"/>
                <w:lang w:eastAsia="ja-JP"/>
              </w:rPr>
            </w:pPr>
            <w:r w:rsidRPr="008D1D5E">
              <w:rPr>
                <w:sz w:val="20"/>
                <w:szCs w:val="20"/>
                <w:lang w:eastAsia="ja-JP"/>
              </w:rPr>
              <w:t>30 (24.4%)</w:t>
            </w:r>
          </w:p>
          <w:p w14:paraId="15BFAEFF" w14:textId="77777777" w:rsidR="000E190D" w:rsidRPr="008D1D5E" w:rsidRDefault="000E190D" w:rsidP="00EA73E6">
            <w:pPr>
              <w:rPr>
                <w:color w:val="auto"/>
                <w:sz w:val="20"/>
                <w:szCs w:val="20"/>
                <w:lang w:eastAsia="ja-JP"/>
              </w:rPr>
            </w:pPr>
          </w:p>
          <w:p w14:paraId="00428065" w14:textId="7577F35A" w:rsidR="00424B9D" w:rsidRPr="008D1D5E" w:rsidRDefault="00424B9D" w:rsidP="00EA73E6">
            <w:pPr>
              <w:rPr>
                <w:color w:val="auto"/>
                <w:sz w:val="20"/>
                <w:szCs w:val="20"/>
                <w:lang w:eastAsia="ja-JP"/>
              </w:rPr>
            </w:pPr>
            <w:r w:rsidRPr="008D1D5E">
              <w:rPr>
                <w:sz w:val="20"/>
                <w:szCs w:val="20"/>
                <w:lang w:eastAsia="ja-JP"/>
              </w:rPr>
              <w:t>19 (15.4%)</w:t>
            </w:r>
          </w:p>
        </w:tc>
        <w:tc>
          <w:tcPr>
            <w:tcW w:w="1666" w:type="dxa"/>
          </w:tcPr>
          <w:p w14:paraId="124465C1" w14:textId="77777777" w:rsidR="00424B9D" w:rsidRPr="008D1D5E" w:rsidRDefault="00424B9D" w:rsidP="00EA73E6">
            <w:pPr>
              <w:rPr>
                <w:color w:val="auto"/>
                <w:sz w:val="20"/>
                <w:szCs w:val="20"/>
                <w:lang w:eastAsia="ja-JP"/>
              </w:rPr>
            </w:pPr>
          </w:p>
          <w:p w14:paraId="65006665" w14:textId="77777777" w:rsidR="00424B9D" w:rsidRPr="008D1D5E" w:rsidRDefault="00424B9D" w:rsidP="00EA73E6">
            <w:pPr>
              <w:rPr>
                <w:color w:val="auto"/>
                <w:sz w:val="20"/>
                <w:szCs w:val="20"/>
                <w:lang w:eastAsia="ja-JP"/>
              </w:rPr>
            </w:pPr>
            <w:r w:rsidRPr="008D1D5E">
              <w:rPr>
                <w:sz w:val="20"/>
                <w:szCs w:val="20"/>
                <w:lang w:eastAsia="ja-JP"/>
              </w:rPr>
              <w:t>185 (42.8%)</w:t>
            </w:r>
          </w:p>
          <w:p w14:paraId="5B650B42" w14:textId="77777777" w:rsidR="00424B9D" w:rsidRPr="008D1D5E" w:rsidRDefault="00424B9D" w:rsidP="00EA73E6">
            <w:pPr>
              <w:rPr>
                <w:color w:val="auto"/>
                <w:sz w:val="20"/>
                <w:szCs w:val="20"/>
                <w:lang w:eastAsia="ja-JP"/>
              </w:rPr>
            </w:pPr>
            <w:r w:rsidRPr="008D1D5E">
              <w:rPr>
                <w:color w:val="auto"/>
                <w:sz w:val="20"/>
                <w:szCs w:val="20"/>
                <w:lang w:eastAsia="ja-JP"/>
              </w:rPr>
              <w:t>133 (53.8%)</w:t>
            </w:r>
          </w:p>
          <w:p w14:paraId="4E6DDBD6" w14:textId="77777777" w:rsidR="00424B9D" w:rsidRPr="008D1D5E" w:rsidRDefault="00424B9D" w:rsidP="00EA73E6">
            <w:pPr>
              <w:rPr>
                <w:color w:val="auto"/>
                <w:sz w:val="20"/>
                <w:szCs w:val="20"/>
                <w:lang w:eastAsia="ja-JP"/>
              </w:rPr>
            </w:pPr>
            <w:r w:rsidRPr="008D1D5E">
              <w:rPr>
                <w:sz w:val="20"/>
                <w:szCs w:val="20"/>
                <w:lang w:eastAsia="ja-JP"/>
              </w:rPr>
              <w:t>99 (40.1%)</w:t>
            </w:r>
          </w:p>
          <w:p w14:paraId="6AD6805F" w14:textId="77777777" w:rsidR="000E190D" w:rsidRPr="008D1D5E" w:rsidRDefault="000E190D" w:rsidP="00EA73E6">
            <w:pPr>
              <w:rPr>
                <w:color w:val="auto"/>
                <w:sz w:val="20"/>
                <w:szCs w:val="20"/>
                <w:lang w:eastAsia="ja-JP"/>
              </w:rPr>
            </w:pPr>
          </w:p>
          <w:p w14:paraId="67977A0E" w14:textId="0390F368" w:rsidR="00424B9D" w:rsidRPr="008D1D5E" w:rsidRDefault="00424B9D" w:rsidP="00EA73E6">
            <w:pPr>
              <w:rPr>
                <w:color w:val="auto"/>
                <w:sz w:val="20"/>
                <w:szCs w:val="20"/>
                <w:lang w:eastAsia="ja-JP"/>
              </w:rPr>
            </w:pPr>
            <w:r w:rsidRPr="008D1D5E">
              <w:rPr>
                <w:sz w:val="20"/>
                <w:szCs w:val="20"/>
                <w:lang w:eastAsia="ja-JP"/>
              </w:rPr>
              <w:t>59 (23.9%)</w:t>
            </w:r>
          </w:p>
          <w:p w14:paraId="0D5BFACC" w14:textId="77777777" w:rsidR="000E190D" w:rsidRPr="008D1D5E" w:rsidRDefault="000E190D" w:rsidP="00EA73E6">
            <w:pPr>
              <w:rPr>
                <w:color w:val="auto"/>
                <w:sz w:val="20"/>
                <w:szCs w:val="20"/>
                <w:lang w:eastAsia="ja-JP"/>
              </w:rPr>
            </w:pPr>
          </w:p>
          <w:p w14:paraId="393258B5" w14:textId="48CD7706" w:rsidR="00424B9D" w:rsidRPr="008D1D5E" w:rsidRDefault="00424B9D" w:rsidP="00EA73E6">
            <w:pPr>
              <w:rPr>
                <w:color w:val="auto"/>
                <w:sz w:val="20"/>
                <w:szCs w:val="20"/>
                <w:lang w:eastAsia="ja-JP"/>
              </w:rPr>
            </w:pPr>
            <w:r w:rsidRPr="008D1D5E">
              <w:rPr>
                <w:sz w:val="20"/>
                <w:szCs w:val="20"/>
                <w:lang w:eastAsia="ja-JP"/>
              </w:rPr>
              <w:t>39 (15.8%)</w:t>
            </w:r>
          </w:p>
        </w:tc>
      </w:tr>
    </w:tbl>
    <w:p w14:paraId="741F5A95" w14:textId="4081D4D3" w:rsidR="00E81C2C" w:rsidRPr="00CB5F25" w:rsidRDefault="00E81C2C" w:rsidP="004B246B">
      <w:pPr>
        <w:pStyle w:val="FigureDescription"/>
      </w:pPr>
      <w:r>
        <w:t xml:space="preserve">ECOG = </w:t>
      </w:r>
      <w:r w:rsidRPr="00E81C2C">
        <w:t>Eastern Cooperativ</w:t>
      </w:r>
      <w:r>
        <w:t xml:space="preserve">e Oncology Group, </w:t>
      </w:r>
      <w:proofErr w:type="spellStart"/>
      <w:r>
        <w:t>GClb</w:t>
      </w:r>
      <w:proofErr w:type="spellEnd"/>
      <w:r>
        <w:t xml:space="preserve"> = </w:t>
      </w:r>
      <w:proofErr w:type="spellStart"/>
      <w:r>
        <w:t>obinutuzumab</w:t>
      </w:r>
      <w:proofErr w:type="spellEnd"/>
      <w:r>
        <w:t xml:space="preserve"> + </w:t>
      </w:r>
      <w:proofErr w:type="spellStart"/>
      <w:r>
        <w:t>chlorambucil</w:t>
      </w:r>
      <w:proofErr w:type="spellEnd"/>
      <w:r>
        <w:t xml:space="preserve">, IGHV = </w:t>
      </w:r>
      <w:r w:rsidRPr="00E81C2C">
        <w:t>immunoglobulin heavy chain variable region</w:t>
      </w:r>
      <w:r>
        <w:t>.</w:t>
      </w:r>
    </w:p>
    <w:p w14:paraId="1A04EFFA" w14:textId="58AE8BBE" w:rsidR="00424B9D" w:rsidRDefault="00AA5ACD" w:rsidP="00CB5F25">
      <w:pPr>
        <w:pStyle w:val="Heading6"/>
      </w:pPr>
      <w:r>
        <w:t>Results</w:t>
      </w:r>
    </w:p>
    <w:p w14:paraId="22018482" w14:textId="0D0E9EC4" w:rsidR="000E190D" w:rsidRDefault="00424B9D" w:rsidP="00CB5F25">
      <w:r>
        <w:t xml:space="preserve">The results of the primary analysis indicated an improvement in PFS for patients treated with </w:t>
      </w:r>
      <w:proofErr w:type="spellStart"/>
      <w:r>
        <w:t>venetoclax</w:t>
      </w:r>
      <w:proofErr w:type="spellEnd"/>
      <w:r w:rsidR="000E190D">
        <w:t xml:space="preserve"> </w:t>
      </w:r>
      <w:r>
        <w:t>+</w:t>
      </w:r>
      <w:r w:rsidR="000E190D">
        <w:t xml:space="preserve"> </w:t>
      </w:r>
      <w:proofErr w:type="spellStart"/>
      <w:r>
        <w:t>obinutuzumab</w:t>
      </w:r>
      <w:proofErr w:type="spellEnd"/>
      <w:r>
        <w:t xml:space="preserve"> compared to those treated with </w:t>
      </w:r>
      <w:proofErr w:type="spellStart"/>
      <w:r>
        <w:t>obinutuzumab</w:t>
      </w:r>
      <w:proofErr w:type="spellEnd"/>
      <w:r w:rsidR="000E190D">
        <w:t xml:space="preserve"> </w:t>
      </w:r>
      <w:r>
        <w:t>+</w:t>
      </w:r>
      <w:r w:rsidR="000E190D">
        <w:t xml:space="preserve"> </w:t>
      </w:r>
      <w:proofErr w:type="spellStart"/>
      <w:r w:rsidR="000E190D">
        <w:t>chlorambucil</w:t>
      </w:r>
      <w:proofErr w:type="spellEnd"/>
      <w:r>
        <w:t>.</w:t>
      </w:r>
    </w:p>
    <w:p w14:paraId="51A6A0DE" w14:textId="60A6A748" w:rsidR="00424B9D" w:rsidRDefault="000E190D" w:rsidP="00CB5F25">
      <w:pPr>
        <w:pStyle w:val="FigureTitle"/>
      </w:pPr>
      <w:r>
        <w:t xml:space="preserve">Table </w:t>
      </w:r>
      <w:fldSimple w:instr=" SEQ Table \* ARABIC ">
        <w:r w:rsidR="00974DEC">
          <w:rPr>
            <w:noProof/>
          </w:rPr>
          <w:t>4</w:t>
        </w:r>
      </w:fldSimple>
      <w:r>
        <w:t xml:space="preserve">: </w:t>
      </w:r>
      <w:r w:rsidR="006A43AA">
        <w:t xml:space="preserve">Study CLL14 </w:t>
      </w:r>
      <w:r>
        <w:t>Primary endpoint results</w:t>
      </w:r>
    </w:p>
    <w:p w14:paraId="007643BD" w14:textId="2321F512" w:rsidR="00424B9D" w:rsidRDefault="00763A7E" w:rsidP="00CB5F25">
      <w:r>
        <w:rPr>
          <w:noProof/>
          <w:lang w:eastAsia="en-AU"/>
        </w:rPr>
        <w:drawing>
          <wp:inline distT="0" distB="0" distL="0" distR="0" wp14:anchorId="0D5B25AC" wp14:editId="28E9103B">
            <wp:extent cx="5400040" cy="2697480"/>
            <wp:effectExtent l="0" t="0" r="0" b="7620"/>
            <wp:docPr id="27" name="Picture 27" descr="In both the GClb and VEN + G arms, time to progression free survival, hazard ratio, estimated of 1-year and 2-year PFS rate are shown. p &lt; 0.0001. " title="Study CLL14 primary endpoin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697480"/>
                    </a:xfrm>
                    <a:prstGeom prst="rect">
                      <a:avLst/>
                    </a:prstGeom>
                  </pic:spPr>
                </pic:pic>
              </a:graphicData>
            </a:graphic>
          </wp:inline>
        </w:drawing>
      </w:r>
    </w:p>
    <w:p w14:paraId="275C1D8D" w14:textId="3EF224DB" w:rsidR="00763A7E" w:rsidRDefault="00734913" w:rsidP="004B246B">
      <w:pPr>
        <w:pStyle w:val="FigureDescription"/>
      </w:pPr>
      <w:r w:rsidRPr="004B246B">
        <w:rPr>
          <w:vertAlign w:val="superscript"/>
        </w:rPr>
        <w:t>a</w:t>
      </w:r>
      <w:r>
        <w:t xml:space="preserve"> The overall type </w:t>
      </w:r>
      <w:r w:rsidR="00763A7E">
        <w:t>1 error rate at a pre-specified 2-sided level alpha = 0.05 was controlled for all endpoints in this table.</w:t>
      </w:r>
    </w:p>
    <w:p w14:paraId="07217D7C" w14:textId="7CB7606E" w:rsidR="00E67501" w:rsidRPr="000A5900" w:rsidRDefault="00E67501" w:rsidP="00CB5F25">
      <w:pPr>
        <w:pStyle w:val="FigureTitle"/>
      </w:pPr>
      <w:r>
        <w:lastRenderedPageBreak/>
        <w:t xml:space="preserve">Figure </w:t>
      </w:r>
      <w:fldSimple w:instr=" SEQ Figure \* ARABIC ">
        <w:r w:rsidR="00974DEC">
          <w:rPr>
            <w:noProof/>
          </w:rPr>
          <w:t>2</w:t>
        </w:r>
      </w:fldSimple>
      <w:r>
        <w:t xml:space="preserve">: </w:t>
      </w:r>
      <w:r w:rsidR="006A43AA">
        <w:t xml:space="preserve">Study CLL14 </w:t>
      </w:r>
      <w:r>
        <w:t>Kaplan Meier plot of time to progressi</w:t>
      </w:r>
      <w:r w:rsidR="00734913">
        <w:t>on free survival event</w:t>
      </w:r>
    </w:p>
    <w:p w14:paraId="3651DA5E" w14:textId="4C76E64D" w:rsidR="00424B9D" w:rsidRDefault="007E7F0C" w:rsidP="00CB5F25">
      <w:pPr>
        <w:rPr>
          <w:rFonts w:asciiTheme="minorHAnsi" w:hAnsiTheme="minorHAnsi"/>
          <w:b/>
        </w:rPr>
      </w:pPr>
      <w:r>
        <w:rPr>
          <w:noProof/>
          <w:lang w:eastAsia="en-AU"/>
        </w:rPr>
        <w:drawing>
          <wp:inline distT="0" distB="0" distL="0" distR="0" wp14:anchorId="1FD2FBA7" wp14:editId="06D3B118">
            <wp:extent cx="5400040" cy="2670272"/>
            <wp:effectExtent l="0" t="0" r="0" b="0"/>
            <wp:docPr id="28" name="Picture 28" descr="This graph shows the progression free survival rates was higher for the VEN + G arm then for the GClb arm, over a period of up to 36 months." title="Kaplan Meier plot of time to progression free survival event in Study CLL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8363" cy="2684278"/>
                    </a:xfrm>
                    <a:prstGeom prst="rect">
                      <a:avLst/>
                    </a:prstGeom>
                  </pic:spPr>
                </pic:pic>
              </a:graphicData>
            </a:graphic>
          </wp:inline>
        </w:drawing>
      </w:r>
    </w:p>
    <w:p w14:paraId="7D62B483" w14:textId="74ECC37E" w:rsidR="00424B9D" w:rsidRDefault="00424B9D" w:rsidP="00CB5F25">
      <w:r>
        <w:t xml:space="preserve">The </w:t>
      </w:r>
      <w:r w:rsidR="00E67501">
        <w:t>c</w:t>
      </w:r>
      <w:r>
        <w:t xml:space="preserve">linical </w:t>
      </w:r>
      <w:r w:rsidR="00E67501">
        <w:t>e</w:t>
      </w:r>
      <w:r>
        <w:t>valuator has noted that the PFS for the two treatments was the same for the first six-months of therapy, and only began to diverge over the 12</w:t>
      </w:r>
      <w:r w:rsidR="00E67501">
        <w:t xml:space="preserve"> to </w:t>
      </w:r>
      <w:r>
        <w:t>15 month period.</w:t>
      </w:r>
    </w:p>
    <w:p w14:paraId="35D7FD32" w14:textId="77777777" w:rsidR="00116FC5" w:rsidRDefault="00424B9D" w:rsidP="00CB5F25">
      <w:r>
        <w:t xml:space="preserve">The </w:t>
      </w:r>
      <w:r w:rsidR="00E67501">
        <w:t>s</w:t>
      </w:r>
      <w:r>
        <w:t xml:space="preserve">ponsor has noted that </w:t>
      </w:r>
      <w:r w:rsidR="00E67501">
        <w:t>‘</w:t>
      </w:r>
      <w:r w:rsidRPr="00CB5F25">
        <w:rPr>
          <w:i/>
        </w:rPr>
        <w:t xml:space="preserve">The results demonstrate that response to treatment is very effective from the start of the study and continues after stopping therapy in the </w:t>
      </w:r>
      <w:proofErr w:type="spellStart"/>
      <w:r w:rsidRPr="00CB5F25">
        <w:rPr>
          <w:i/>
        </w:rPr>
        <w:t>venetoclax</w:t>
      </w:r>
      <w:proofErr w:type="spellEnd"/>
      <w:r w:rsidR="007E7F0C" w:rsidRPr="00CB5F25">
        <w:rPr>
          <w:i/>
        </w:rPr>
        <w:t> </w:t>
      </w:r>
      <w:r w:rsidRPr="00CB5F25">
        <w:rPr>
          <w:i/>
        </w:rPr>
        <w:t>+</w:t>
      </w:r>
      <w:r w:rsidR="007E7F0C" w:rsidRPr="00CB5F25">
        <w:rPr>
          <w:i/>
        </w:rPr>
        <w:t> </w:t>
      </w:r>
      <w:proofErr w:type="spellStart"/>
      <w:r w:rsidRPr="00CB5F25">
        <w:rPr>
          <w:i/>
        </w:rPr>
        <w:t>obinutuzumab</w:t>
      </w:r>
      <w:proofErr w:type="spellEnd"/>
      <w:r w:rsidRPr="00CB5F25">
        <w:rPr>
          <w:i/>
        </w:rPr>
        <w:t xml:space="preserve"> arm, rather than representing a slow response to treatment</w:t>
      </w:r>
      <w:r w:rsidR="00E67501" w:rsidRPr="00CB5F25">
        <w:rPr>
          <w:i/>
        </w:rPr>
        <w:t>’</w:t>
      </w:r>
      <w:r>
        <w:t>.</w:t>
      </w:r>
    </w:p>
    <w:p w14:paraId="4EB3FC0D" w14:textId="21FB62E9" w:rsidR="00424B9D" w:rsidRDefault="00424B9D" w:rsidP="00CB5F25">
      <w:r>
        <w:t xml:space="preserve">It has noted that the divergence in the curves is better explained by reduced duration of response once </w:t>
      </w:r>
      <w:proofErr w:type="spellStart"/>
      <w:r w:rsidR="000E190D">
        <w:t>chlorambucil</w:t>
      </w:r>
      <w:proofErr w:type="spellEnd"/>
      <w:r>
        <w:t xml:space="preserve"> was ceased in the comparator arm.</w:t>
      </w:r>
    </w:p>
    <w:p w14:paraId="69D95F4E" w14:textId="440E3D5E" w:rsidR="00424B9D" w:rsidRDefault="007E7F0C" w:rsidP="00CB5F25">
      <w:pPr>
        <w:pStyle w:val="FigureTitle"/>
      </w:pPr>
      <w:r>
        <w:t xml:space="preserve">Figure </w:t>
      </w:r>
      <w:fldSimple w:instr=" SEQ Figure \* ARABIC ">
        <w:r w:rsidR="00974DEC">
          <w:rPr>
            <w:noProof/>
          </w:rPr>
          <w:t>3</w:t>
        </w:r>
      </w:fldSimple>
      <w:r>
        <w:t xml:space="preserve">: </w:t>
      </w:r>
      <w:r w:rsidR="00116FC5">
        <w:t xml:space="preserve">Study CLL14 </w:t>
      </w:r>
      <w:r>
        <w:t>Time to progression free survival events</w:t>
      </w:r>
    </w:p>
    <w:p w14:paraId="532A1258" w14:textId="7F8504AB" w:rsidR="00424B9D" w:rsidRDefault="00424B9D" w:rsidP="00CB5F25">
      <w:r w:rsidRPr="0099220B">
        <w:rPr>
          <w:noProof/>
          <w:lang w:eastAsia="en-AU"/>
        </w:rPr>
        <w:drawing>
          <wp:inline distT="0" distB="0" distL="0" distR="0" wp14:anchorId="15CFC33A" wp14:editId="5C3E3CE8">
            <wp:extent cx="4943475" cy="3554730"/>
            <wp:effectExtent l="19050" t="19050" r="28575" b="26670"/>
            <wp:docPr id="19" name="Picture 19" descr="This graph shows the difference in number of PFS events in 6 monthly intervals (from &lt;=6 months to &gt;24 months) between the GClb arm and VEN + G arm. GClb showed the biggest increase in nmber of PFS events especially at the 12-18 month, and 18-24month periods." title="Study CCL14 Time to progression free survival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75" cy="3554730"/>
                    </a:xfrm>
                    <a:prstGeom prst="rect">
                      <a:avLst/>
                    </a:prstGeom>
                    <a:noFill/>
                    <a:ln>
                      <a:solidFill>
                        <a:schemeClr val="accent1"/>
                      </a:solidFill>
                    </a:ln>
                  </pic:spPr>
                </pic:pic>
              </a:graphicData>
            </a:graphic>
          </wp:inline>
        </w:drawing>
      </w:r>
    </w:p>
    <w:p w14:paraId="2D11045D" w14:textId="58EDFFD2" w:rsidR="00974DEC" w:rsidRPr="00C759C3" w:rsidRDefault="00974DEC" w:rsidP="004B246B">
      <w:pPr>
        <w:pStyle w:val="FigureDescription"/>
      </w:pPr>
      <w:r>
        <w:t>IRC = Independent Review Committee.</w:t>
      </w:r>
    </w:p>
    <w:p w14:paraId="2E7037E6" w14:textId="58AD1D35" w:rsidR="00424B9D" w:rsidRDefault="00424B9D" w:rsidP="00CB5F25">
      <w:r>
        <w:lastRenderedPageBreak/>
        <w:t xml:space="preserve">The Delegate notes that there the difference in the two arms becomes significantly greater in the later part of the study, after </w:t>
      </w:r>
      <w:proofErr w:type="spellStart"/>
      <w:r w:rsidR="000B41CB">
        <w:t>chlorambucil</w:t>
      </w:r>
      <w:proofErr w:type="spellEnd"/>
      <w:r>
        <w:t xml:space="preserve"> is discontinued in the comparator arm, and remains fairly constant in the </w:t>
      </w:r>
      <w:proofErr w:type="spellStart"/>
      <w:r>
        <w:t>venetoclax</w:t>
      </w:r>
      <w:proofErr w:type="spellEnd"/>
      <w:r>
        <w:t xml:space="preserve"> treated arm.</w:t>
      </w:r>
    </w:p>
    <w:p w14:paraId="5C00A32E" w14:textId="47F8B6B1" w:rsidR="003B11A0" w:rsidRDefault="00424B9D" w:rsidP="00CB5F25">
      <w:r>
        <w:t xml:space="preserve">The </w:t>
      </w:r>
      <w:r w:rsidR="00116FC5">
        <w:t xml:space="preserve">clinical </w:t>
      </w:r>
      <w:r w:rsidR="000B41CB">
        <w:t>e</w:t>
      </w:r>
      <w:r>
        <w:t xml:space="preserve">valuator has noted significantly higher rates of haematological response to </w:t>
      </w:r>
      <w:proofErr w:type="spellStart"/>
      <w:r>
        <w:t>venetoclax</w:t>
      </w:r>
      <w:proofErr w:type="spellEnd"/>
      <w:r w:rsidR="000B41CB">
        <w:t xml:space="preserve"> </w:t>
      </w:r>
      <w:r>
        <w:t>+</w:t>
      </w:r>
      <w:r w:rsidR="000B41CB">
        <w:t xml:space="preserve"> </w:t>
      </w:r>
      <w:proofErr w:type="spellStart"/>
      <w:r>
        <w:t>obinutuzumab</w:t>
      </w:r>
      <w:proofErr w:type="spellEnd"/>
      <w:r>
        <w:t xml:space="preserve"> therapy than </w:t>
      </w:r>
      <w:proofErr w:type="spellStart"/>
      <w:r>
        <w:t>obinutuzumab</w:t>
      </w:r>
      <w:proofErr w:type="spellEnd"/>
      <w:r w:rsidR="000B41CB">
        <w:t xml:space="preserve"> </w:t>
      </w:r>
      <w:r>
        <w:t>+</w:t>
      </w:r>
      <w:r w:rsidR="000B41CB">
        <w:t xml:space="preserve"> </w:t>
      </w:r>
      <w:proofErr w:type="spellStart"/>
      <w:r w:rsidR="000B41CB">
        <w:t>chlorambucil</w:t>
      </w:r>
      <w:proofErr w:type="spellEnd"/>
      <w:r w:rsidR="00734913">
        <w:t xml:space="preserve"> therapy at the end of </w:t>
      </w:r>
      <w:r>
        <w:t>treatment.</w:t>
      </w:r>
    </w:p>
    <w:p w14:paraId="569BAC4C" w14:textId="65CF748F" w:rsidR="00424B9D" w:rsidRDefault="003B11A0" w:rsidP="00CB5F25">
      <w:pPr>
        <w:pStyle w:val="TableTitle"/>
      </w:pPr>
      <w:r>
        <w:t xml:space="preserve">Table </w:t>
      </w:r>
      <w:fldSimple w:instr=" SEQ Table \* ARABIC ">
        <w:r w:rsidR="00974DEC">
          <w:rPr>
            <w:noProof/>
          </w:rPr>
          <w:t>5</w:t>
        </w:r>
      </w:fldSimple>
      <w:r>
        <w:t xml:space="preserve">: </w:t>
      </w:r>
      <w:r w:rsidR="00116FC5">
        <w:t xml:space="preserve">Study CLL14 </w:t>
      </w:r>
      <w:r>
        <w:t xml:space="preserve">Rates of peripheral blood and bone marrow response at the end of </w:t>
      </w:r>
      <w:r w:rsidR="00116FC5">
        <w:t xml:space="preserve">study </w:t>
      </w:r>
      <w:r>
        <w:t>treatment</w:t>
      </w:r>
    </w:p>
    <w:tbl>
      <w:tblPr>
        <w:tblStyle w:val="TableTGAblue"/>
        <w:tblW w:w="0" w:type="auto"/>
        <w:tblLook w:val="04A0" w:firstRow="1" w:lastRow="0" w:firstColumn="1" w:lastColumn="0" w:noHBand="0" w:noVBand="1"/>
      </w:tblPr>
      <w:tblGrid>
        <w:gridCol w:w="4219"/>
        <w:gridCol w:w="1985"/>
        <w:gridCol w:w="1796"/>
      </w:tblGrid>
      <w:tr w:rsidR="00424B9D" w:rsidRPr="003B11A0" w14:paraId="4F49F5C6" w14:textId="77777777" w:rsidTr="00CB5F25">
        <w:trPr>
          <w:cnfStyle w:val="100000000000" w:firstRow="1" w:lastRow="0" w:firstColumn="0" w:lastColumn="0" w:oddVBand="0" w:evenVBand="0" w:oddHBand="0" w:evenHBand="0" w:firstRowFirstColumn="0" w:firstRowLastColumn="0" w:lastRowFirstColumn="0" w:lastRowLastColumn="0"/>
        </w:trPr>
        <w:tc>
          <w:tcPr>
            <w:tcW w:w="8000" w:type="dxa"/>
            <w:gridSpan w:val="3"/>
          </w:tcPr>
          <w:p w14:paraId="2D2DC0CB" w14:textId="77777777" w:rsidR="00424B9D" w:rsidRPr="00CB5F25" w:rsidRDefault="00424B9D" w:rsidP="008D1D5E">
            <w:r w:rsidRPr="00CB5F25">
              <w:t>All Patients</w:t>
            </w:r>
          </w:p>
        </w:tc>
      </w:tr>
      <w:tr w:rsidR="00424B9D" w:rsidRPr="003B11A0" w14:paraId="3B30B560" w14:textId="77777777" w:rsidTr="008D1D5E">
        <w:tc>
          <w:tcPr>
            <w:tcW w:w="4219" w:type="dxa"/>
          </w:tcPr>
          <w:p w14:paraId="63669873" w14:textId="77777777" w:rsidR="00424B9D" w:rsidRPr="00CB5F25" w:rsidRDefault="00424B9D" w:rsidP="008D1D5E"/>
        </w:tc>
        <w:tc>
          <w:tcPr>
            <w:tcW w:w="1985" w:type="dxa"/>
          </w:tcPr>
          <w:p w14:paraId="3B69D83C" w14:textId="7D495F9C" w:rsidR="003B11A0" w:rsidRDefault="00424B9D" w:rsidP="008D1D5E">
            <w:proofErr w:type="spellStart"/>
            <w:r w:rsidRPr="00CB5F25">
              <w:t>G</w:t>
            </w:r>
            <w:r w:rsidR="003B11A0">
              <w:t>Clb</w:t>
            </w:r>
            <w:proofErr w:type="spellEnd"/>
          </w:p>
          <w:p w14:paraId="71F366B7" w14:textId="6E0C24A5" w:rsidR="00424B9D" w:rsidRPr="00CB5F25" w:rsidRDefault="00424B9D" w:rsidP="008D1D5E">
            <w:r w:rsidRPr="00CB5F25">
              <w:t>(N</w:t>
            </w:r>
            <w:r w:rsidR="003B11A0">
              <w:t xml:space="preserve"> </w:t>
            </w:r>
            <w:r w:rsidRPr="00CB5F25">
              <w:t>=</w:t>
            </w:r>
            <w:r w:rsidR="003B11A0">
              <w:t xml:space="preserve"> </w:t>
            </w:r>
            <w:r w:rsidRPr="00CB5F25">
              <w:t>216)</w:t>
            </w:r>
          </w:p>
        </w:tc>
        <w:tc>
          <w:tcPr>
            <w:tcW w:w="1796" w:type="dxa"/>
          </w:tcPr>
          <w:p w14:paraId="2D2B89F6" w14:textId="77777777" w:rsidR="008D1D5E" w:rsidRDefault="00424B9D" w:rsidP="008D1D5E">
            <w:r w:rsidRPr="00CB5F25">
              <w:t>VEN + G</w:t>
            </w:r>
            <w:r w:rsidR="008D1D5E">
              <w:t xml:space="preserve"> </w:t>
            </w:r>
          </w:p>
          <w:p w14:paraId="21B86CC0" w14:textId="0AC470E4" w:rsidR="00424B9D" w:rsidRPr="00CB5F25" w:rsidRDefault="00424B9D" w:rsidP="008D1D5E">
            <w:r w:rsidRPr="00CB5F25">
              <w:t>(N</w:t>
            </w:r>
            <w:r w:rsidR="003B11A0">
              <w:t xml:space="preserve"> </w:t>
            </w:r>
            <w:r w:rsidRPr="00CB5F25">
              <w:t>=</w:t>
            </w:r>
            <w:r w:rsidR="003B11A0">
              <w:t xml:space="preserve"> </w:t>
            </w:r>
            <w:r w:rsidRPr="00CB5F25">
              <w:t>216)</w:t>
            </w:r>
          </w:p>
        </w:tc>
      </w:tr>
      <w:tr w:rsidR="00424B9D" w:rsidRPr="003B11A0" w14:paraId="4D8447F0" w14:textId="77777777" w:rsidTr="008D1D5E">
        <w:tc>
          <w:tcPr>
            <w:tcW w:w="4219" w:type="dxa"/>
          </w:tcPr>
          <w:p w14:paraId="56AB037C" w14:textId="77777777" w:rsidR="00424B9D" w:rsidRPr="00CB5F25" w:rsidRDefault="00424B9D" w:rsidP="008D1D5E">
            <w:r w:rsidRPr="00CB5F25">
              <w:t>Peripheral blood MRD negative</w:t>
            </w:r>
          </w:p>
        </w:tc>
        <w:tc>
          <w:tcPr>
            <w:tcW w:w="1985" w:type="dxa"/>
          </w:tcPr>
          <w:p w14:paraId="79B17D31" w14:textId="77777777" w:rsidR="00424B9D" w:rsidRPr="00CB5F25" w:rsidRDefault="00424B9D" w:rsidP="008D1D5E">
            <w:r w:rsidRPr="00CB5F25">
              <w:t>76 (35.2%)</w:t>
            </w:r>
          </w:p>
        </w:tc>
        <w:tc>
          <w:tcPr>
            <w:tcW w:w="1796" w:type="dxa"/>
          </w:tcPr>
          <w:p w14:paraId="291CB624" w14:textId="77777777" w:rsidR="00424B9D" w:rsidRPr="00CB5F25" w:rsidRDefault="00424B9D" w:rsidP="008D1D5E">
            <w:r w:rsidRPr="00CB5F25">
              <w:t>163 (75.5%)</w:t>
            </w:r>
          </w:p>
        </w:tc>
      </w:tr>
      <w:tr w:rsidR="00424B9D" w:rsidRPr="003B11A0" w14:paraId="05BB283D" w14:textId="77777777" w:rsidTr="008D1D5E">
        <w:tc>
          <w:tcPr>
            <w:tcW w:w="4219" w:type="dxa"/>
          </w:tcPr>
          <w:p w14:paraId="66C89941" w14:textId="77777777" w:rsidR="00424B9D" w:rsidRPr="00CB5F25" w:rsidRDefault="00424B9D" w:rsidP="008D1D5E">
            <w:r w:rsidRPr="00CB5F25">
              <w:t>Bone marrow MRD negative</w:t>
            </w:r>
          </w:p>
        </w:tc>
        <w:tc>
          <w:tcPr>
            <w:tcW w:w="1985" w:type="dxa"/>
          </w:tcPr>
          <w:p w14:paraId="38AC2F00" w14:textId="77777777" w:rsidR="00424B9D" w:rsidRPr="00CB5F25" w:rsidRDefault="00424B9D" w:rsidP="008D1D5E">
            <w:r w:rsidRPr="00CB5F25">
              <w:t>37 (17.1%)</w:t>
            </w:r>
          </w:p>
        </w:tc>
        <w:tc>
          <w:tcPr>
            <w:tcW w:w="1796" w:type="dxa"/>
          </w:tcPr>
          <w:p w14:paraId="4093EB6A" w14:textId="77777777" w:rsidR="00424B9D" w:rsidRPr="00CB5F25" w:rsidRDefault="00424B9D" w:rsidP="008D1D5E">
            <w:r w:rsidRPr="00CB5F25">
              <w:t>123 (56.9%)</w:t>
            </w:r>
          </w:p>
        </w:tc>
      </w:tr>
      <w:tr w:rsidR="00424B9D" w:rsidRPr="003B11A0" w14:paraId="34A3DFF3" w14:textId="77777777" w:rsidTr="00CB5F25">
        <w:tc>
          <w:tcPr>
            <w:tcW w:w="8000" w:type="dxa"/>
            <w:gridSpan w:val="3"/>
            <w:shd w:val="clear" w:color="auto" w:fill="006DA7"/>
          </w:tcPr>
          <w:p w14:paraId="780360C2" w14:textId="33E25CB5" w:rsidR="00424B9D" w:rsidRPr="00CB5F25" w:rsidRDefault="00424B9D" w:rsidP="008D1D5E">
            <w:r w:rsidRPr="008D1D5E">
              <w:rPr>
                <w:color w:val="FFFFFF" w:themeColor="background1"/>
              </w:rPr>
              <w:t xml:space="preserve">Patients achieving </w:t>
            </w:r>
            <w:proofErr w:type="spellStart"/>
            <w:r w:rsidR="009B2266" w:rsidRPr="008D1D5E">
              <w:rPr>
                <w:color w:val="FFFFFF" w:themeColor="background1"/>
              </w:rPr>
              <w:t>CRi</w:t>
            </w:r>
            <w:proofErr w:type="spellEnd"/>
            <w:r w:rsidRPr="008D1D5E">
              <w:rPr>
                <w:color w:val="FFFFFF" w:themeColor="background1"/>
              </w:rPr>
              <w:t xml:space="preserve"> per investigator at EOT</w:t>
            </w:r>
          </w:p>
        </w:tc>
      </w:tr>
      <w:tr w:rsidR="00424B9D" w:rsidRPr="003B11A0" w14:paraId="17CB6EC9" w14:textId="77777777" w:rsidTr="008D1D5E">
        <w:tc>
          <w:tcPr>
            <w:tcW w:w="4219" w:type="dxa"/>
          </w:tcPr>
          <w:p w14:paraId="0DD32F4B" w14:textId="77777777" w:rsidR="00424B9D" w:rsidRPr="00CB5F25" w:rsidRDefault="00424B9D" w:rsidP="008D1D5E"/>
        </w:tc>
        <w:tc>
          <w:tcPr>
            <w:tcW w:w="1985" w:type="dxa"/>
          </w:tcPr>
          <w:p w14:paraId="2C0289FD" w14:textId="77777777" w:rsidR="008D1D5E" w:rsidRDefault="00424B9D" w:rsidP="008D1D5E">
            <w:proofErr w:type="spellStart"/>
            <w:r w:rsidRPr="00CB5F25">
              <w:t>G</w:t>
            </w:r>
            <w:r w:rsidR="003B11A0">
              <w:t>Clb</w:t>
            </w:r>
            <w:proofErr w:type="spellEnd"/>
          </w:p>
          <w:p w14:paraId="79CA04B1" w14:textId="3B298AD5" w:rsidR="00424B9D" w:rsidRPr="00CB5F25" w:rsidRDefault="00424B9D" w:rsidP="008D1D5E">
            <w:r w:rsidRPr="00CB5F25">
              <w:t>(N</w:t>
            </w:r>
            <w:r w:rsidR="003B11A0">
              <w:t xml:space="preserve"> </w:t>
            </w:r>
            <w:r w:rsidRPr="00CB5F25">
              <w:t>=</w:t>
            </w:r>
            <w:r w:rsidR="003B11A0">
              <w:t xml:space="preserve"> </w:t>
            </w:r>
            <w:r w:rsidRPr="00CB5F25">
              <w:t>50)</w:t>
            </w:r>
          </w:p>
        </w:tc>
        <w:tc>
          <w:tcPr>
            <w:tcW w:w="1796" w:type="dxa"/>
          </w:tcPr>
          <w:p w14:paraId="762A0D3F" w14:textId="77777777" w:rsidR="008D1D5E" w:rsidRDefault="00424B9D" w:rsidP="008D1D5E">
            <w:r w:rsidRPr="00CB5F25">
              <w:t xml:space="preserve">VEN + G </w:t>
            </w:r>
          </w:p>
          <w:p w14:paraId="56230032" w14:textId="4014B9D6" w:rsidR="00424B9D" w:rsidRPr="00CB5F25" w:rsidRDefault="00424B9D" w:rsidP="008D1D5E">
            <w:r w:rsidRPr="00CB5F25">
              <w:t>(N</w:t>
            </w:r>
            <w:r w:rsidR="003B11A0">
              <w:t xml:space="preserve"> </w:t>
            </w:r>
            <w:r w:rsidRPr="00CB5F25">
              <w:t>=</w:t>
            </w:r>
            <w:r w:rsidR="003B11A0">
              <w:t xml:space="preserve"> </w:t>
            </w:r>
            <w:r w:rsidRPr="00CB5F25">
              <w:t>107)</w:t>
            </w:r>
          </w:p>
        </w:tc>
      </w:tr>
      <w:tr w:rsidR="00424B9D" w:rsidRPr="003B11A0" w14:paraId="55622E8F" w14:textId="77777777" w:rsidTr="008D1D5E">
        <w:tc>
          <w:tcPr>
            <w:tcW w:w="4219" w:type="dxa"/>
          </w:tcPr>
          <w:p w14:paraId="7265C8B8" w14:textId="77777777" w:rsidR="00424B9D" w:rsidRPr="00CB5F25" w:rsidRDefault="00424B9D" w:rsidP="008D1D5E">
            <w:r w:rsidRPr="00CB5F25">
              <w:t>Peripheral blood MRD negative in CR/</w:t>
            </w:r>
            <w:proofErr w:type="spellStart"/>
            <w:r w:rsidRPr="00CB5F25">
              <w:t>CRi</w:t>
            </w:r>
            <w:proofErr w:type="spellEnd"/>
            <w:r w:rsidRPr="00CB5F25">
              <w:t xml:space="preserve"> patients</w:t>
            </w:r>
          </w:p>
        </w:tc>
        <w:tc>
          <w:tcPr>
            <w:tcW w:w="1985" w:type="dxa"/>
          </w:tcPr>
          <w:p w14:paraId="45D2216C" w14:textId="77777777" w:rsidR="00424B9D" w:rsidRPr="00CB5F25" w:rsidRDefault="00424B9D" w:rsidP="008D1D5E">
            <w:r w:rsidRPr="00CB5F25">
              <w:t>31 (62%)</w:t>
            </w:r>
          </w:p>
        </w:tc>
        <w:tc>
          <w:tcPr>
            <w:tcW w:w="1796" w:type="dxa"/>
          </w:tcPr>
          <w:p w14:paraId="2958F956" w14:textId="77777777" w:rsidR="00424B9D" w:rsidRPr="00CB5F25" w:rsidRDefault="00424B9D" w:rsidP="008D1D5E">
            <w:r w:rsidRPr="00CB5F25">
              <w:t>91 (85%)</w:t>
            </w:r>
          </w:p>
        </w:tc>
      </w:tr>
      <w:tr w:rsidR="00424B9D" w:rsidRPr="003B11A0" w14:paraId="653E1A7F" w14:textId="77777777" w:rsidTr="008D1D5E">
        <w:tc>
          <w:tcPr>
            <w:tcW w:w="4219" w:type="dxa"/>
          </w:tcPr>
          <w:p w14:paraId="32A10761" w14:textId="77777777" w:rsidR="00424B9D" w:rsidRPr="00CB5F25" w:rsidRDefault="00424B9D" w:rsidP="008D1D5E">
            <w:r w:rsidRPr="00CB5F25">
              <w:t>Bone marrow MRD negative in CR/</w:t>
            </w:r>
            <w:proofErr w:type="spellStart"/>
            <w:r w:rsidRPr="00CB5F25">
              <w:t>CRi</w:t>
            </w:r>
            <w:proofErr w:type="spellEnd"/>
            <w:r w:rsidRPr="00CB5F25">
              <w:t xml:space="preserve"> patients</w:t>
            </w:r>
          </w:p>
        </w:tc>
        <w:tc>
          <w:tcPr>
            <w:tcW w:w="1985" w:type="dxa"/>
          </w:tcPr>
          <w:p w14:paraId="66A4EF80" w14:textId="77777777" w:rsidR="00424B9D" w:rsidRPr="00CB5F25" w:rsidRDefault="00424B9D" w:rsidP="008D1D5E">
            <w:r w:rsidRPr="00CB5F25">
              <w:t>23 (46%)</w:t>
            </w:r>
          </w:p>
        </w:tc>
        <w:tc>
          <w:tcPr>
            <w:tcW w:w="1796" w:type="dxa"/>
          </w:tcPr>
          <w:p w14:paraId="6084E47B" w14:textId="77777777" w:rsidR="00424B9D" w:rsidRPr="00CB5F25" w:rsidRDefault="00424B9D" w:rsidP="008D1D5E">
            <w:r w:rsidRPr="00CB5F25">
              <w:t>73 (68.2%)</w:t>
            </w:r>
          </w:p>
        </w:tc>
      </w:tr>
    </w:tbl>
    <w:p w14:paraId="1A8B75D9" w14:textId="0E0B630C" w:rsidR="00424B9D" w:rsidRDefault="003B11A0" w:rsidP="004B246B">
      <w:pPr>
        <w:pStyle w:val="FigureDescription"/>
      </w:pPr>
      <w:r>
        <w:t xml:space="preserve">CR = complete response, </w:t>
      </w:r>
      <w:proofErr w:type="spellStart"/>
      <w:r w:rsidR="009B2266">
        <w:t>CRi</w:t>
      </w:r>
      <w:proofErr w:type="spellEnd"/>
      <w:r>
        <w:t xml:space="preserve"> = </w:t>
      </w:r>
      <w:r>
        <w:rPr>
          <w:lang w:eastAsia="ja-JP"/>
        </w:rPr>
        <w:t>c</w:t>
      </w:r>
      <w:r w:rsidRPr="00865E0F">
        <w:rPr>
          <w:lang w:eastAsia="ja-JP"/>
        </w:rPr>
        <w:t>omplete response with incomplete bone marrow recovery</w:t>
      </w:r>
      <w:r>
        <w:rPr>
          <w:lang w:eastAsia="ja-JP"/>
        </w:rPr>
        <w:t>, EOT = end of treatment, MRD = minimal residual disease.</w:t>
      </w:r>
    </w:p>
    <w:p w14:paraId="7B1C9674" w14:textId="65E38E49" w:rsidR="00424B9D" w:rsidRDefault="00424B9D" w:rsidP="00CB5F25">
      <w:pPr>
        <w:rPr>
          <w:rFonts w:asciiTheme="minorHAnsi" w:hAnsiTheme="minorHAnsi"/>
        </w:rPr>
      </w:pPr>
      <w:r>
        <w:rPr>
          <w:rFonts w:asciiTheme="minorHAnsi" w:hAnsiTheme="minorHAnsi"/>
        </w:rPr>
        <w:t xml:space="preserve">Supplemental efficacy was provided by </w:t>
      </w:r>
      <w:r w:rsidR="00116FC5">
        <w:rPr>
          <w:rFonts w:asciiTheme="minorHAnsi" w:hAnsiTheme="minorHAnsi"/>
        </w:rPr>
        <w:t>S</w:t>
      </w:r>
      <w:r>
        <w:rPr>
          <w:rFonts w:asciiTheme="minorHAnsi" w:hAnsiTheme="minorHAnsi"/>
        </w:rPr>
        <w:t xml:space="preserve">tudy GP28331, which was a </w:t>
      </w:r>
      <w:r w:rsidR="003B11A0">
        <w:rPr>
          <w:rFonts w:asciiTheme="minorHAnsi" w:hAnsiTheme="minorHAnsi"/>
        </w:rPr>
        <w:t>P</w:t>
      </w:r>
      <w:r>
        <w:rPr>
          <w:rFonts w:asciiTheme="minorHAnsi" w:hAnsiTheme="minorHAnsi"/>
        </w:rPr>
        <w:t xml:space="preserve">hase </w:t>
      </w:r>
      <w:proofErr w:type="spellStart"/>
      <w:r w:rsidR="003B11A0">
        <w:rPr>
          <w:rFonts w:asciiTheme="minorHAnsi" w:hAnsiTheme="minorHAnsi"/>
        </w:rPr>
        <w:t>I</w:t>
      </w:r>
      <w:r>
        <w:rPr>
          <w:rFonts w:asciiTheme="minorHAnsi" w:hAnsiTheme="minorHAnsi"/>
        </w:rPr>
        <w:t>b</w:t>
      </w:r>
      <w:proofErr w:type="spellEnd"/>
      <w:r>
        <w:rPr>
          <w:rFonts w:asciiTheme="minorHAnsi" w:hAnsiTheme="minorHAnsi"/>
        </w:rPr>
        <w:t xml:space="preserve"> open label uncontrolled study in which escalating doses of </w:t>
      </w:r>
      <w:proofErr w:type="spellStart"/>
      <w:r>
        <w:rPr>
          <w:rFonts w:asciiTheme="minorHAnsi" w:hAnsiTheme="minorHAnsi"/>
        </w:rPr>
        <w:t>venetoclax+obinutuzumab</w:t>
      </w:r>
      <w:proofErr w:type="spellEnd"/>
      <w:r>
        <w:rPr>
          <w:rFonts w:asciiTheme="minorHAnsi" w:hAnsiTheme="minorHAnsi"/>
        </w:rPr>
        <w:t xml:space="preserve"> were administered to patients with either </w:t>
      </w:r>
      <w:r w:rsidR="00734913">
        <w:rPr>
          <w:rFonts w:eastAsiaTheme="minorHAnsi" w:cs="Arial"/>
        </w:rPr>
        <w:t>r</w:t>
      </w:r>
      <w:r w:rsidR="00734913" w:rsidRPr="00CB5F25">
        <w:rPr>
          <w:rFonts w:eastAsiaTheme="minorHAnsi" w:cs="Arial"/>
        </w:rPr>
        <w:t>elapsed or refractory</w:t>
      </w:r>
      <w:r w:rsidR="00734913">
        <w:rPr>
          <w:rFonts w:asciiTheme="minorHAnsi" w:hAnsiTheme="minorHAnsi"/>
        </w:rPr>
        <w:t xml:space="preserve"> (</w:t>
      </w:r>
      <w:r>
        <w:rPr>
          <w:rFonts w:asciiTheme="minorHAnsi" w:hAnsiTheme="minorHAnsi"/>
        </w:rPr>
        <w:t>R/R</w:t>
      </w:r>
      <w:r w:rsidR="00734913">
        <w:rPr>
          <w:rFonts w:asciiTheme="minorHAnsi" w:hAnsiTheme="minorHAnsi"/>
        </w:rPr>
        <w:t>)</w:t>
      </w:r>
      <w:r>
        <w:rPr>
          <w:rFonts w:asciiTheme="minorHAnsi" w:hAnsiTheme="minorHAnsi"/>
        </w:rPr>
        <w:t xml:space="preserve"> CLL (n</w:t>
      </w:r>
      <w:r w:rsidR="003B11A0">
        <w:rPr>
          <w:rFonts w:asciiTheme="minorHAnsi" w:hAnsiTheme="minorHAnsi"/>
        </w:rPr>
        <w:t xml:space="preserve"> </w:t>
      </w:r>
      <w:r>
        <w:rPr>
          <w:rFonts w:asciiTheme="minorHAnsi" w:hAnsiTheme="minorHAnsi"/>
        </w:rPr>
        <w:t>=</w:t>
      </w:r>
      <w:r w:rsidR="003B11A0">
        <w:rPr>
          <w:rFonts w:asciiTheme="minorHAnsi" w:hAnsiTheme="minorHAnsi"/>
        </w:rPr>
        <w:t xml:space="preserve"> </w:t>
      </w:r>
      <w:r>
        <w:rPr>
          <w:rFonts w:asciiTheme="minorHAnsi" w:hAnsiTheme="minorHAnsi"/>
        </w:rPr>
        <w:t>43) or untreated CLL (n</w:t>
      </w:r>
      <w:r w:rsidR="003B11A0">
        <w:rPr>
          <w:rFonts w:asciiTheme="minorHAnsi" w:hAnsiTheme="minorHAnsi"/>
        </w:rPr>
        <w:t xml:space="preserve"> </w:t>
      </w:r>
      <w:r>
        <w:rPr>
          <w:rFonts w:asciiTheme="minorHAnsi" w:hAnsiTheme="minorHAnsi"/>
        </w:rPr>
        <w:t>=</w:t>
      </w:r>
      <w:r w:rsidR="003B11A0">
        <w:rPr>
          <w:rFonts w:asciiTheme="minorHAnsi" w:hAnsiTheme="minorHAnsi"/>
        </w:rPr>
        <w:t xml:space="preserve"> </w:t>
      </w:r>
      <w:r>
        <w:rPr>
          <w:rFonts w:asciiTheme="minorHAnsi" w:hAnsiTheme="minorHAnsi"/>
        </w:rPr>
        <w:t>32).</w:t>
      </w:r>
    </w:p>
    <w:p w14:paraId="247AF1C1" w14:textId="06661B99" w:rsidR="00424B9D" w:rsidRDefault="00424B9D" w:rsidP="00CB5F25">
      <w:pPr>
        <w:rPr>
          <w:rFonts w:asciiTheme="minorHAnsi" w:hAnsiTheme="minorHAnsi"/>
        </w:rPr>
      </w:pPr>
      <w:r>
        <w:rPr>
          <w:rFonts w:asciiTheme="minorHAnsi" w:hAnsiTheme="minorHAnsi"/>
        </w:rPr>
        <w:t xml:space="preserve">The evaluator has noted that this was the only efficacy data provided in ‘fit’ patients who might otherwise be suitable for </w:t>
      </w:r>
      <w:proofErr w:type="spellStart"/>
      <w:r>
        <w:rPr>
          <w:rFonts w:asciiTheme="minorHAnsi" w:hAnsiTheme="minorHAnsi"/>
        </w:rPr>
        <w:t>chemoimmunotherapy</w:t>
      </w:r>
      <w:proofErr w:type="spellEnd"/>
      <w:r>
        <w:rPr>
          <w:rFonts w:asciiTheme="minorHAnsi" w:hAnsiTheme="minorHAnsi"/>
        </w:rPr>
        <w:t>. This was provided in a post-hoc analysis of 22 such fit patients. Of these, 16 were assessed by investigators as having a complete response (72.7%) and 6 were assessed as having a partial response (27.3%). All 22 had progression free survival at 12 months.</w:t>
      </w:r>
    </w:p>
    <w:p w14:paraId="6121EE11" w14:textId="5F4DB34B" w:rsidR="00424B9D" w:rsidRDefault="00424B9D" w:rsidP="00CB5F25">
      <w:r>
        <w:t xml:space="preserve">Of these patients, 7 ceased </w:t>
      </w:r>
      <w:proofErr w:type="spellStart"/>
      <w:r>
        <w:t>venetoclax</w:t>
      </w:r>
      <w:proofErr w:type="spellEnd"/>
      <w:r>
        <w:t xml:space="preserve"> prior to 12 months, 7 at about 52 weeks and 8 for longer than 12 months. The median duration of </w:t>
      </w:r>
      <w:proofErr w:type="spellStart"/>
      <w:r>
        <w:t>ve</w:t>
      </w:r>
      <w:r w:rsidR="00974DEC">
        <w:t>netoclax</w:t>
      </w:r>
      <w:proofErr w:type="spellEnd"/>
      <w:r w:rsidR="00974DEC">
        <w:t xml:space="preserve"> treatment was about 14 </w:t>
      </w:r>
      <w:r>
        <w:t>months.</w:t>
      </w:r>
    </w:p>
    <w:p w14:paraId="1B48B572" w14:textId="553EE5D6" w:rsidR="00424B9D" w:rsidRPr="003F08CF" w:rsidRDefault="00424B9D" w:rsidP="00CB5F25">
      <w:pPr>
        <w:rPr>
          <w:b/>
        </w:rPr>
      </w:pPr>
      <w:r>
        <w:t xml:space="preserve">The </w:t>
      </w:r>
      <w:r w:rsidR="00E81C2C">
        <w:t>o</w:t>
      </w:r>
      <w:r>
        <w:t xml:space="preserve">verall </w:t>
      </w:r>
      <w:r w:rsidR="00E81C2C">
        <w:t>s</w:t>
      </w:r>
      <w:r>
        <w:t>urvival for the two arms is virtually identical with 12.5% of the population dying over the 48 months of observation.</w:t>
      </w:r>
    </w:p>
    <w:p w14:paraId="4F65A0AB" w14:textId="747EBB00" w:rsidR="00424B9D" w:rsidRDefault="00424B9D" w:rsidP="00CB5F25">
      <w:pPr>
        <w:pStyle w:val="Heading4"/>
      </w:pPr>
      <w:r>
        <w:lastRenderedPageBreak/>
        <w:t>Safety</w:t>
      </w:r>
    </w:p>
    <w:p w14:paraId="3CD8F19A" w14:textId="6939BBAA" w:rsidR="00E81C2C" w:rsidRPr="00E81C2C" w:rsidRDefault="00E81C2C" w:rsidP="00CB5F25">
      <w:pPr>
        <w:pStyle w:val="TableTitle"/>
      </w:pPr>
      <w:r>
        <w:t xml:space="preserve">Table </w:t>
      </w:r>
      <w:fldSimple w:instr=" SEQ Table \* ARABIC ">
        <w:r w:rsidR="00974DEC">
          <w:rPr>
            <w:noProof/>
          </w:rPr>
          <w:t>6</w:t>
        </w:r>
      </w:fldSimple>
      <w:r>
        <w:t xml:space="preserve">: </w:t>
      </w:r>
      <w:r w:rsidRPr="00E81C2C">
        <w:t xml:space="preserve">Exposure to </w:t>
      </w:r>
      <w:proofErr w:type="spellStart"/>
      <w:r w:rsidRPr="00E81C2C">
        <w:t>venetoclax</w:t>
      </w:r>
      <w:proofErr w:type="spellEnd"/>
      <w:r w:rsidRPr="00E81C2C">
        <w:t xml:space="preserve"> in submitted studies</w:t>
      </w:r>
    </w:p>
    <w:tbl>
      <w:tblPr>
        <w:tblStyle w:val="TableTGAblue"/>
        <w:tblW w:w="0" w:type="auto"/>
        <w:tblLook w:val="04A0" w:firstRow="1" w:lastRow="0" w:firstColumn="1" w:lastColumn="0" w:noHBand="0" w:noVBand="1"/>
      </w:tblPr>
      <w:tblGrid>
        <w:gridCol w:w="3794"/>
        <w:gridCol w:w="1730"/>
      </w:tblGrid>
      <w:tr w:rsidR="00676889" w14:paraId="26955D43" w14:textId="77777777" w:rsidTr="008D1D5E">
        <w:trPr>
          <w:cnfStyle w:val="100000000000" w:firstRow="1" w:lastRow="0" w:firstColumn="0" w:lastColumn="0" w:oddVBand="0" w:evenVBand="0" w:oddHBand="0" w:evenHBand="0" w:firstRowFirstColumn="0" w:firstRowLastColumn="0" w:lastRowFirstColumn="0" w:lastRowLastColumn="0"/>
        </w:trPr>
        <w:tc>
          <w:tcPr>
            <w:tcW w:w="3794" w:type="dxa"/>
            <w:tcBorders>
              <w:top w:val="single" w:sz="4" w:space="0" w:color="auto"/>
              <w:left w:val="single" w:sz="4" w:space="0" w:color="auto"/>
              <w:bottom w:val="single" w:sz="4" w:space="0" w:color="auto"/>
              <w:right w:val="single" w:sz="4" w:space="0" w:color="auto"/>
            </w:tcBorders>
          </w:tcPr>
          <w:p w14:paraId="57DA9CE0" w14:textId="65D678EF" w:rsidR="00676889" w:rsidRDefault="00676889" w:rsidP="00970B24">
            <w:pPr>
              <w:ind w:left="0" w:right="0"/>
            </w:pPr>
            <w:r>
              <w:t xml:space="preserve">Treatment </w:t>
            </w:r>
            <w:r w:rsidR="007F5BA7">
              <w:t>m</w:t>
            </w:r>
            <w:r>
              <w:t>ilestone</w:t>
            </w:r>
          </w:p>
        </w:tc>
        <w:tc>
          <w:tcPr>
            <w:tcW w:w="1730" w:type="dxa"/>
            <w:tcBorders>
              <w:top w:val="single" w:sz="4" w:space="0" w:color="auto"/>
              <w:left w:val="single" w:sz="4" w:space="0" w:color="auto"/>
              <w:bottom w:val="single" w:sz="4" w:space="0" w:color="auto"/>
              <w:right w:val="single" w:sz="4" w:space="0" w:color="auto"/>
            </w:tcBorders>
          </w:tcPr>
          <w:p w14:paraId="78C13183" w14:textId="6FEA50AC" w:rsidR="00676889" w:rsidRDefault="00676889" w:rsidP="00970B24">
            <w:pPr>
              <w:ind w:left="0" w:right="0"/>
            </w:pPr>
            <w:r>
              <w:t xml:space="preserve">Number of </w:t>
            </w:r>
            <w:r w:rsidR="007F5BA7">
              <w:t>p</w:t>
            </w:r>
            <w:r>
              <w:t>atients</w:t>
            </w:r>
          </w:p>
        </w:tc>
      </w:tr>
      <w:tr w:rsidR="00676889" w14:paraId="157D1803" w14:textId="77777777" w:rsidTr="008D1D5E">
        <w:tc>
          <w:tcPr>
            <w:tcW w:w="3794" w:type="dxa"/>
            <w:tcBorders>
              <w:top w:val="single" w:sz="4" w:space="0" w:color="auto"/>
            </w:tcBorders>
          </w:tcPr>
          <w:p w14:paraId="4B2791C1" w14:textId="77777777" w:rsidR="00676889" w:rsidRDefault="00676889" w:rsidP="00970B24">
            <w:pPr>
              <w:ind w:left="0" w:right="0"/>
            </w:pPr>
            <w:r>
              <w:t>Assigned to VEN + G treatment</w:t>
            </w:r>
          </w:p>
        </w:tc>
        <w:tc>
          <w:tcPr>
            <w:tcW w:w="1730" w:type="dxa"/>
            <w:tcBorders>
              <w:top w:val="single" w:sz="4" w:space="0" w:color="auto"/>
            </w:tcBorders>
          </w:tcPr>
          <w:p w14:paraId="480F7EB7" w14:textId="77777777" w:rsidR="00676889" w:rsidRDefault="00676889" w:rsidP="00970B24">
            <w:pPr>
              <w:ind w:left="0" w:right="0"/>
            </w:pPr>
            <w:r>
              <w:t>216</w:t>
            </w:r>
          </w:p>
        </w:tc>
      </w:tr>
      <w:tr w:rsidR="00676889" w14:paraId="755568E8" w14:textId="77777777" w:rsidTr="008D1D5E">
        <w:tc>
          <w:tcPr>
            <w:tcW w:w="3794" w:type="dxa"/>
          </w:tcPr>
          <w:p w14:paraId="7B0EE348" w14:textId="77777777" w:rsidR="00676889" w:rsidRDefault="00676889" w:rsidP="00970B24">
            <w:pPr>
              <w:ind w:left="0" w:right="0"/>
            </w:pPr>
            <w:r>
              <w:t>Received G</w:t>
            </w:r>
          </w:p>
        </w:tc>
        <w:tc>
          <w:tcPr>
            <w:tcW w:w="1730" w:type="dxa"/>
          </w:tcPr>
          <w:p w14:paraId="05324A34" w14:textId="77777777" w:rsidR="00676889" w:rsidRDefault="00676889" w:rsidP="00970B24">
            <w:pPr>
              <w:ind w:left="0" w:right="0"/>
            </w:pPr>
            <w:r>
              <w:t>212</w:t>
            </w:r>
          </w:p>
        </w:tc>
      </w:tr>
      <w:tr w:rsidR="00676889" w14:paraId="2197448E" w14:textId="77777777" w:rsidTr="008D1D5E">
        <w:tc>
          <w:tcPr>
            <w:tcW w:w="3794" w:type="dxa"/>
          </w:tcPr>
          <w:p w14:paraId="68A67913" w14:textId="77777777" w:rsidR="00676889" w:rsidRDefault="00676889" w:rsidP="00970B24">
            <w:pPr>
              <w:ind w:left="0"/>
            </w:pPr>
            <w:r>
              <w:t>Received VEN + G</w:t>
            </w:r>
          </w:p>
        </w:tc>
        <w:tc>
          <w:tcPr>
            <w:tcW w:w="1730" w:type="dxa"/>
          </w:tcPr>
          <w:p w14:paraId="557FC437" w14:textId="77777777" w:rsidR="00676889" w:rsidRDefault="00676889" w:rsidP="00970B24">
            <w:pPr>
              <w:ind w:left="0"/>
            </w:pPr>
            <w:r>
              <w:t>203</w:t>
            </w:r>
          </w:p>
        </w:tc>
      </w:tr>
      <w:tr w:rsidR="00676889" w14:paraId="47896309" w14:textId="77777777" w:rsidTr="008D1D5E">
        <w:tc>
          <w:tcPr>
            <w:tcW w:w="3794" w:type="dxa"/>
          </w:tcPr>
          <w:p w14:paraId="432DB581" w14:textId="77777777" w:rsidR="00676889" w:rsidRDefault="00676889" w:rsidP="00970B24">
            <w:pPr>
              <w:ind w:left="0"/>
            </w:pPr>
            <w:r>
              <w:t xml:space="preserve">Completed VEN + G </w:t>
            </w:r>
            <w:proofErr w:type="spellStart"/>
            <w:r>
              <w:t>combination</w:t>
            </w:r>
            <w:r w:rsidRPr="00F12255">
              <w:rPr>
                <w:vertAlign w:val="superscript"/>
              </w:rPr>
              <w:t>a</w:t>
            </w:r>
            <w:proofErr w:type="spellEnd"/>
          </w:p>
        </w:tc>
        <w:tc>
          <w:tcPr>
            <w:tcW w:w="1730" w:type="dxa"/>
          </w:tcPr>
          <w:p w14:paraId="4B98FF5D" w14:textId="77777777" w:rsidR="00676889" w:rsidRDefault="00676889" w:rsidP="00970B24">
            <w:pPr>
              <w:ind w:left="0"/>
            </w:pPr>
            <w:r>
              <w:t>159</w:t>
            </w:r>
          </w:p>
        </w:tc>
      </w:tr>
      <w:tr w:rsidR="00676889" w14:paraId="7A7140D8" w14:textId="77777777" w:rsidTr="008D1D5E">
        <w:tc>
          <w:tcPr>
            <w:tcW w:w="3794" w:type="dxa"/>
          </w:tcPr>
          <w:p w14:paraId="7CA91859" w14:textId="77777777" w:rsidR="00676889" w:rsidRDefault="00676889" w:rsidP="00970B24">
            <w:pPr>
              <w:ind w:left="0"/>
            </w:pPr>
            <w:r>
              <w:t xml:space="preserve">Started VEN single </w:t>
            </w:r>
            <w:proofErr w:type="spellStart"/>
            <w:r>
              <w:t>agent</w:t>
            </w:r>
            <w:r w:rsidRPr="00F12255">
              <w:rPr>
                <w:vertAlign w:val="superscript"/>
              </w:rPr>
              <w:t>b</w:t>
            </w:r>
            <w:proofErr w:type="spellEnd"/>
          </w:p>
        </w:tc>
        <w:tc>
          <w:tcPr>
            <w:tcW w:w="1730" w:type="dxa"/>
          </w:tcPr>
          <w:p w14:paraId="7E18047E" w14:textId="77777777" w:rsidR="00676889" w:rsidRDefault="00676889" w:rsidP="00970B24">
            <w:pPr>
              <w:ind w:left="0"/>
            </w:pPr>
            <w:r>
              <w:t>198</w:t>
            </w:r>
          </w:p>
        </w:tc>
      </w:tr>
      <w:tr w:rsidR="00676889" w14:paraId="26D62A11" w14:textId="77777777" w:rsidTr="008D1D5E">
        <w:tc>
          <w:tcPr>
            <w:tcW w:w="3794" w:type="dxa"/>
          </w:tcPr>
          <w:p w14:paraId="65D18E09" w14:textId="77777777" w:rsidR="00676889" w:rsidRDefault="00676889" w:rsidP="00970B24">
            <w:pPr>
              <w:ind w:left="0"/>
            </w:pPr>
            <w:r>
              <w:t xml:space="preserve">Completed VEN single </w:t>
            </w:r>
            <w:proofErr w:type="spellStart"/>
            <w:r>
              <w:t>agent</w:t>
            </w:r>
            <w:r w:rsidRPr="00F12255">
              <w:rPr>
                <w:vertAlign w:val="superscript"/>
              </w:rPr>
              <w:t>c</w:t>
            </w:r>
            <w:proofErr w:type="spellEnd"/>
          </w:p>
        </w:tc>
        <w:tc>
          <w:tcPr>
            <w:tcW w:w="1730" w:type="dxa"/>
          </w:tcPr>
          <w:p w14:paraId="3342DAF1" w14:textId="77777777" w:rsidR="00676889" w:rsidRDefault="00676889" w:rsidP="00970B24">
            <w:pPr>
              <w:ind w:left="0"/>
            </w:pPr>
            <w:r>
              <w:t>166</w:t>
            </w:r>
          </w:p>
        </w:tc>
      </w:tr>
    </w:tbl>
    <w:p w14:paraId="269F9968" w14:textId="1798223F" w:rsidR="00676889" w:rsidRDefault="00F11488" w:rsidP="004B246B">
      <w:pPr>
        <w:pStyle w:val="TableDescription"/>
      </w:pPr>
      <w:r w:rsidRPr="004B246B">
        <w:rPr>
          <w:vertAlign w:val="superscript"/>
        </w:rPr>
        <w:t>a</w:t>
      </w:r>
      <w:r w:rsidR="00676889" w:rsidRPr="004B246B">
        <w:rPr>
          <w:vertAlign w:val="superscript"/>
        </w:rPr>
        <w:t xml:space="preserve"> </w:t>
      </w:r>
      <w:r w:rsidR="00676889">
        <w:t xml:space="preserve">Combination treatment completion derived from the Treatment Completion Page of the </w:t>
      </w:r>
      <w:proofErr w:type="spellStart"/>
      <w:r w:rsidR="00676889">
        <w:t>eCRF</w:t>
      </w:r>
      <w:proofErr w:type="spellEnd"/>
    </w:p>
    <w:p w14:paraId="53CCFC61" w14:textId="4D68C11D" w:rsidR="00676889" w:rsidRDefault="00F11488" w:rsidP="004B246B">
      <w:pPr>
        <w:pStyle w:val="TableDescription"/>
      </w:pPr>
      <w:r w:rsidRPr="004B246B">
        <w:rPr>
          <w:vertAlign w:val="superscript"/>
        </w:rPr>
        <w:t>b</w:t>
      </w:r>
      <w:r>
        <w:t xml:space="preserve"> </w:t>
      </w:r>
      <w:r w:rsidR="00676889">
        <w:t>Patients could start VEN single-agent treatment without completing VEN + G combination if they discontinued G only.</w:t>
      </w:r>
    </w:p>
    <w:p w14:paraId="79FAF328" w14:textId="02A8BDB1" w:rsidR="00676889" w:rsidRDefault="00F11488" w:rsidP="004B246B">
      <w:pPr>
        <w:pStyle w:val="TableDescription"/>
      </w:pPr>
      <w:r w:rsidRPr="004B246B">
        <w:rPr>
          <w:vertAlign w:val="superscript"/>
        </w:rPr>
        <w:t>c</w:t>
      </w:r>
      <w:r w:rsidR="00676889">
        <w:t xml:space="preserve"> Treatment completion derived from Treatment Completion Page of the </w:t>
      </w:r>
      <w:proofErr w:type="spellStart"/>
      <w:r w:rsidR="00676889">
        <w:t>eCRF</w:t>
      </w:r>
      <w:proofErr w:type="spellEnd"/>
      <w:r w:rsidR="00676889">
        <w:t>. Note, however, that 6 patients did not have a Treatment Completion Page at end of single-agent treatment but from the treatment duration were considered to have completed treatment.</w:t>
      </w:r>
    </w:p>
    <w:p w14:paraId="786E4AB1" w14:textId="694DE79E" w:rsidR="00424B9D" w:rsidRDefault="00E81C2C" w:rsidP="00CB5F25">
      <w:pPr>
        <w:pStyle w:val="FigureTitle"/>
      </w:pPr>
      <w:r>
        <w:lastRenderedPageBreak/>
        <w:t xml:space="preserve">Figure </w:t>
      </w:r>
      <w:fldSimple w:instr=" SEQ Figure \* ARABIC ">
        <w:r w:rsidR="00974DEC">
          <w:rPr>
            <w:noProof/>
          </w:rPr>
          <w:t>4</w:t>
        </w:r>
      </w:fldSimple>
      <w:r>
        <w:t xml:space="preserve">: </w:t>
      </w:r>
      <w:r w:rsidR="00C64CFE">
        <w:t xml:space="preserve">Study CLL </w:t>
      </w:r>
      <w:r>
        <w:t>Overall incidence of adverse events</w:t>
      </w:r>
      <w:r w:rsidR="00C64CFE">
        <w:t xml:space="preserve"> and adverse events with an incidence rate of ≥</w:t>
      </w:r>
      <w:r w:rsidR="007F5BA7">
        <w:t xml:space="preserve"> </w:t>
      </w:r>
      <w:r w:rsidR="00C64CFE">
        <w:t>10% in any treatment group</w:t>
      </w:r>
      <w:r w:rsidR="00C64CFE">
        <w:rPr>
          <w:rStyle w:val="FootnoteReference"/>
        </w:rPr>
        <w:footnoteReference w:id="10"/>
      </w:r>
    </w:p>
    <w:p w14:paraId="3A345E04" w14:textId="77777777" w:rsidR="00424B9D" w:rsidRDefault="00424B9D" w:rsidP="00CB5F25">
      <w:pPr>
        <w:rPr>
          <w:rFonts w:asciiTheme="minorHAnsi" w:hAnsiTheme="minorHAnsi"/>
          <w:b/>
        </w:rPr>
      </w:pPr>
      <w:r>
        <w:rPr>
          <w:noProof/>
          <w:lang w:eastAsia="en-AU"/>
        </w:rPr>
        <w:drawing>
          <wp:inline distT="0" distB="0" distL="0" distR="0" wp14:anchorId="3647E35D" wp14:editId="3A7C12EE">
            <wp:extent cx="5755371" cy="4981651"/>
            <wp:effectExtent l="0" t="0" r="0" b="0"/>
            <wp:docPr id="5" name="Picture 5" descr="This figure shows the adverse events experienced by patients in both the Venetoclax-obinutuzumab and the chlorambucil-obinutuzumab arms. 94.3-99.5% of patients had at least 1 adverse event. The top 3 events were neutropenia, thrombocytopenia, and anaemia." title="Overall incidence of adverse events in pivotal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8756"/>
                    <a:stretch/>
                  </pic:blipFill>
                  <pic:spPr bwMode="auto">
                    <a:xfrm>
                      <a:off x="0" y="0"/>
                      <a:ext cx="5771758" cy="4995835"/>
                    </a:xfrm>
                    <a:prstGeom prst="rect">
                      <a:avLst/>
                    </a:prstGeom>
                    <a:ln>
                      <a:noFill/>
                    </a:ln>
                    <a:extLst>
                      <a:ext uri="{53640926-AAD7-44D8-BBD7-CCE9431645EC}">
                        <a14:shadowObscured xmlns:a14="http://schemas.microsoft.com/office/drawing/2010/main"/>
                      </a:ext>
                    </a:extLst>
                  </pic:spPr>
                </pic:pic>
              </a:graphicData>
            </a:graphic>
          </wp:inline>
        </w:drawing>
      </w:r>
    </w:p>
    <w:p w14:paraId="7401B0E5" w14:textId="3C9DBEAC" w:rsidR="00424B9D" w:rsidRDefault="00424B9D" w:rsidP="00CB5F25">
      <w:r>
        <w:t xml:space="preserve">The </w:t>
      </w:r>
      <w:r w:rsidR="00E81C2C">
        <w:t>c</w:t>
      </w:r>
      <w:r>
        <w:t xml:space="preserve">linical </w:t>
      </w:r>
      <w:r w:rsidR="00E81C2C">
        <w:t>e</w:t>
      </w:r>
      <w:r>
        <w:t xml:space="preserve">valuator has noted that the rate of serious infections was higher in the </w:t>
      </w:r>
      <w:proofErr w:type="spellStart"/>
      <w:r>
        <w:t>venetoclax</w:t>
      </w:r>
      <w:proofErr w:type="spellEnd"/>
      <w:r w:rsidR="00E81C2C">
        <w:t xml:space="preserve"> </w:t>
      </w:r>
      <w:r>
        <w:t>+</w:t>
      </w:r>
      <w:r w:rsidR="00E81C2C">
        <w:t xml:space="preserve"> </w:t>
      </w:r>
      <w:proofErr w:type="spellStart"/>
      <w:r>
        <w:t>obinutuzumab</w:t>
      </w:r>
      <w:proofErr w:type="spellEnd"/>
      <w:r>
        <w:t xml:space="preserve"> arm than the </w:t>
      </w:r>
      <w:proofErr w:type="spellStart"/>
      <w:r>
        <w:t>obinutuzumab</w:t>
      </w:r>
      <w:proofErr w:type="spellEnd"/>
      <w:r w:rsidR="00E81C2C">
        <w:t xml:space="preserve"> </w:t>
      </w:r>
      <w:r>
        <w:t>+</w:t>
      </w:r>
      <w:r w:rsidR="00E81C2C">
        <w:t xml:space="preserve"> </w:t>
      </w:r>
      <w:proofErr w:type="spellStart"/>
      <w:r w:rsidR="000E190D">
        <w:t>chlorambucil</w:t>
      </w:r>
      <w:proofErr w:type="spellEnd"/>
      <w:r>
        <w:t xml:space="preserve"> arm, being 19.3% v</w:t>
      </w:r>
      <w:r w:rsidR="00E81C2C">
        <w:t>ersus</w:t>
      </w:r>
      <w:r>
        <w:t xml:space="preserve"> 16.4% respectively. In the </w:t>
      </w:r>
      <w:r w:rsidR="00E81C2C">
        <w:t>s</w:t>
      </w:r>
      <w:r>
        <w:t xml:space="preserve">econd </w:t>
      </w:r>
      <w:r w:rsidR="00E81C2C">
        <w:t>r</w:t>
      </w:r>
      <w:r>
        <w:t xml:space="preserve">ound </w:t>
      </w:r>
      <w:r w:rsidR="00E81C2C">
        <w:t xml:space="preserve">of </w:t>
      </w:r>
      <w:r>
        <w:t xml:space="preserve">evaluation, the </w:t>
      </w:r>
      <w:r w:rsidR="00E81C2C">
        <w:t>e</w:t>
      </w:r>
      <w:r>
        <w:t xml:space="preserve">valuator remained concerned that an increase in susceptibility to serious infection could not be excluded on </w:t>
      </w:r>
      <w:proofErr w:type="spellStart"/>
      <w:r>
        <w:t>venetoclax</w:t>
      </w:r>
      <w:proofErr w:type="spellEnd"/>
      <w:r w:rsidR="00A37C71">
        <w:t xml:space="preserve"> </w:t>
      </w:r>
      <w:r>
        <w:t>+</w:t>
      </w:r>
      <w:r w:rsidR="00A37C71">
        <w:t xml:space="preserve"> </w:t>
      </w:r>
      <w:proofErr w:type="spellStart"/>
      <w:r>
        <w:t>obinutuzumab</w:t>
      </w:r>
      <w:proofErr w:type="spellEnd"/>
      <w:r>
        <w:t xml:space="preserve"> therapy. They have noted that the </w:t>
      </w:r>
      <w:r w:rsidR="00E81C2C">
        <w:t>s</w:t>
      </w:r>
      <w:r>
        <w:t>ponsor has proposed inserting the following warning into the PI:</w:t>
      </w:r>
    </w:p>
    <w:p w14:paraId="7FEC3A1F" w14:textId="4DC1BC9E" w:rsidR="00424B9D" w:rsidRPr="00CB5F25" w:rsidRDefault="00E81C2C" w:rsidP="00CB5F25">
      <w:pPr>
        <w:ind w:left="720"/>
      </w:pPr>
      <w:r>
        <w:t>‘</w:t>
      </w:r>
      <w:r w:rsidR="00424B9D" w:rsidRPr="00CB5F25">
        <w:t xml:space="preserve">Venclexta in combination with </w:t>
      </w:r>
      <w:proofErr w:type="spellStart"/>
      <w:r w:rsidR="00424B9D" w:rsidRPr="00CB5F25">
        <w:t>obinutuzumab</w:t>
      </w:r>
      <w:proofErr w:type="spellEnd"/>
      <w:r w:rsidR="00424B9D" w:rsidRPr="00CB5F25">
        <w:t>:</w:t>
      </w:r>
    </w:p>
    <w:p w14:paraId="2D4E1699" w14:textId="4952C9EE" w:rsidR="00424B9D" w:rsidRDefault="00424B9D" w:rsidP="00CB5F25">
      <w:pPr>
        <w:ind w:left="720"/>
      </w:pPr>
      <w:r w:rsidRPr="00CB5F25">
        <w:t xml:space="preserve">There were 56 events of serious infection, including 8 with fatal outcome, in 40/212 patients in patients treated with </w:t>
      </w:r>
      <w:proofErr w:type="spellStart"/>
      <w:r w:rsidRPr="00CB5F25">
        <w:t>venetoclax</w:t>
      </w:r>
      <w:proofErr w:type="spellEnd"/>
      <w:r w:rsidRPr="00CB5F25">
        <w:t xml:space="preserve"> + </w:t>
      </w:r>
      <w:proofErr w:type="spellStart"/>
      <w:r w:rsidRPr="00CB5F25">
        <w:t>obinutuzumab</w:t>
      </w:r>
      <w:proofErr w:type="spellEnd"/>
      <w:r w:rsidRPr="00CB5F25">
        <w:t xml:space="preserve"> compared to 44 serious infection events, including 3 with fatal outcome, in 30/214 patients treated with </w:t>
      </w:r>
      <w:proofErr w:type="spellStart"/>
      <w:r w:rsidRPr="00CB5F25">
        <w:t>chlorambucil</w:t>
      </w:r>
      <w:proofErr w:type="spellEnd"/>
      <w:r w:rsidRPr="00CB5F25">
        <w:t xml:space="preserve"> + </w:t>
      </w:r>
      <w:proofErr w:type="spellStart"/>
      <w:r w:rsidRPr="00CB5F25">
        <w:t>obinutuzumab</w:t>
      </w:r>
      <w:proofErr w:type="spellEnd"/>
      <w:r w:rsidRPr="00CB5F25">
        <w:t xml:space="preserve">. Of the 52/56 serious events in the patients treated with </w:t>
      </w:r>
      <w:proofErr w:type="spellStart"/>
      <w:r w:rsidRPr="00CB5F25">
        <w:t>venetoclax</w:t>
      </w:r>
      <w:proofErr w:type="spellEnd"/>
      <w:r w:rsidRPr="00CB5F25">
        <w:t xml:space="preserve"> + </w:t>
      </w:r>
      <w:proofErr w:type="spellStart"/>
      <w:r w:rsidRPr="00CB5F25">
        <w:t>obinutuzumab</w:t>
      </w:r>
      <w:proofErr w:type="spellEnd"/>
      <w:r w:rsidRPr="00CB5F25">
        <w:t xml:space="preserve"> for which neutrophil counts at the time of onset of the serious infection were available, 8/52 events occurred in the setting of neutropenia. Some serious infections occurred </w:t>
      </w:r>
      <w:proofErr w:type="spellStart"/>
      <w:r w:rsidR="008D1D5E" w:rsidRPr="00CB5F25">
        <w:t>some</w:t>
      </w:r>
      <w:r w:rsidR="008D1D5E">
        <w:t xml:space="preserve"> </w:t>
      </w:r>
      <w:r w:rsidR="008D1D5E" w:rsidRPr="00CB5F25">
        <w:t>time</w:t>
      </w:r>
      <w:proofErr w:type="spellEnd"/>
      <w:r w:rsidRPr="00CB5F25">
        <w:t xml:space="preserve"> after completion of </w:t>
      </w:r>
      <w:proofErr w:type="spellStart"/>
      <w:r w:rsidRPr="00CB5F25">
        <w:t>veneto</w:t>
      </w:r>
      <w:r w:rsidR="00E81C2C" w:rsidRPr="00CB5F25">
        <w:t>c</w:t>
      </w:r>
      <w:r w:rsidRPr="00CB5F25">
        <w:t>lax</w:t>
      </w:r>
      <w:proofErr w:type="spellEnd"/>
      <w:r w:rsidRPr="00CB5F25">
        <w:t xml:space="preserve"> treatment.</w:t>
      </w:r>
      <w:r w:rsidR="00E81C2C">
        <w:t>’</w:t>
      </w:r>
    </w:p>
    <w:p w14:paraId="6D9EF35D" w14:textId="6B52B99F" w:rsidR="00424B9D" w:rsidRDefault="00424B9D" w:rsidP="00CB5F25">
      <w:r>
        <w:lastRenderedPageBreak/>
        <w:t>Overall</w:t>
      </w:r>
      <w:r w:rsidR="0072436C">
        <w:t>,</w:t>
      </w:r>
      <w:r>
        <w:t xml:space="preserve"> the adverse event profile observed in the pivotal trial was consistent with the known toxicities of both </w:t>
      </w:r>
      <w:proofErr w:type="spellStart"/>
      <w:r>
        <w:t>venetoclax</w:t>
      </w:r>
      <w:proofErr w:type="spellEnd"/>
      <w:r>
        <w:t xml:space="preserve"> and </w:t>
      </w:r>
      <w:proofErr w:type="spellStart"/>
      <w:r>
        <w:t>obinutuzumab</w:t>
      </w:r>
      <w:proofErr w:type="spellEnd"/>
      <w:r>
        <w:t>.</w:t>
      </w:r>
    </w:p>
    <w:p w14:paraId="05EB248F" w14:textId="77777777" w:rsidR="00424B9D" w:rsidRDefault="00424B9D" w:rsidP="00424B9D">
      <w:pPr>
        <w:pStyle w:val="Heading3"/>
        <w:rPr>
          <w:lang w:eastAsia="en-AU"/>
        </w:rPr>
      </w:pPr>
      <w:bookmarkStart w:id="39" w:name="_Toc54165855"/>
      <w:r>
        <w:rPr>
          <w:lang w:eastAsia="en-AU"/>
        </w:rPr>
        <w:t>Risk management plan</w:t>
      </w:r>
      <w:bookmarkEnd w:id="37"/>
      <w:bookmarkEnd w:id="39"/>
    </w:p>
    <w:p w14:paraId="28E63979" w14:textId="14C6F02C" w:rsidR="00424B9D" w:rsidRDefault="00424B9D" w:rsidP="00424B9D">
      <w:r>
        <w:t xml:space="preserve">There was no requirement for a risk management plan evaluation for a submission of this type, because it is considered that the proposed target population does not differ materially from the previously approved target population from the </w:t>
      </w:r>
      <w:r w:rsidR="00A37C71">
        <w:t>risk management plan (</w:t>
      </w:r>
      <w:r>
        <w:t>RMP</w:t>
      </w:r>
      <w:r w:rsidR="00A37C71">
        <w:t>)</w:t>
      </w:r>
      <w:r>
        <w:t xml:space="preserve"> perspective.</w:t>
      </w:r>
    </w:p>
    <w:p w14:paraId="2337A14A" w14:textId="77777777" w:rsidR="00424B9D" w:rsidRDefault="00424B9D" w:rsidP="00424B9D">
      <w:pPr>
        <w:pStyle w:val="Heading3"/>
      </w:pPr>
      <w:bookmarkStart w:id="40" w:name="_Toc247691531"/>
      <w:bookmarkStart w:id="41" w:name="_Toc314842515"/>
      <w:bookmarkStart w:id="42" w:name="_Toc196046505"/>
      <w:bookmarkStart w:id="43" w:name="_Toc196046949"/>
      <w:bookmarkStart w:id="44" w:name="_Toc54165856"/>
      <w:r>
        <w:t>Risk-benefit analysis</w:t>
      </w:r>
      <w:bookmarkEnd w:id="40"/>
      <w:bookmarkEnd w:id="41"/>
      <w:bookmarkEnd w:id="44"/>
    </w:p>
    <w:p w14:paraId="28334E8E" w14:textId="77777777" w:rsidR="00424B9D" w:rsidRDefault="00424B9D" w:rsidP="00424B9D">
      <w:pPr>
        <w:pStyle w:val="Heading4"/>
      </w:pPr>
      <w:r>
        <w:t>Delegate’s considerations</w:t>
      </w:r>
    </w:p>
    <w:p w14:paraId="535959AD" w14:textId="77777777" w:rsidR="00424B9D" w:rsidRPr="00CD7CD3" w:rsidRDefault="00424B9D" w:rsidP="00CB5F25">
      <w:pPr>
        <w:pStyle w:val="Heading5"/>
      </w:pPr>
      <w:r w:rsidRPr="00CD7CD3">
        <w:t>Efficacy</w:t>
      </w:r>
    </w:p>
    <w:p w14:paraId="25D2359D" w14:textId="3AC97E6E" w:rsidR="00424B9D" w:rsidRDefault="00424B9D" w:rsidP="00CB5F25">
      <w:r>
        <w:t xml:space="preserve">The Delegate agrees with the </w:t>
      </w:r>
      <w:r w:rsidR="00C27FE4">
        <w:t>s</w:t>
      </w:r>
      <w:r>
        <w:t xml:space="preserve">ponsor that the PFS data does not suggest a delayed onset of effect. The risk of an event, such as disease progression, occurring in a </w:t>
      </w:r>
      <w:r w:rsidR="00974DEC">
        <w:t>Kaplan Meier (</w:t>
      </w:r>
      <w:r>
        <w:t>KM</w:t>
      </w:r>
      <w:r w:rsidR="00974DEC">
        <w:t>)</w:t>
      </w:r>
      <w:r>
        <w:t xml:space="preserve"> curve is defined by gradient of its KM plot. The difference between two therapies is defined by the difference in their gradients, not the separation between the two respective KM curves. The gradient for the </w:t>
      </w:r>
      <w:proofErr w:type="spellStart"/>
      <w:r>
        <w:t>venetoclax</w:t>
      </w:r>
      <w:proofErr w:type="spellEnd"/>
      <w:r w:rsidR="000B41CB">
        <w:t xml:space="preserve"> </w:t>
      </w:r>
      <w:r>
        <w:t>+</w:t>
      </w:r>
      <w:r w:rsidR="000B41CB">
        <w:t xml:space="preserve"> </w:t>
      </w:r>
      <w:proofErr w:type="spellStart"/>
      <w:r>
        <w:t>obinutuzumab</w:t>
      </w:r>
      <w:proofErr w:type="spellEnd"/>
      <w:r>
        <w:t xml:space="preserve"> arm of the pivotal trial remains fairly constant over the period of observation.</w:t>
      </w:r>
    </w:p>
    <w:p w14:paraId="0C5F93DE" w14:textId="5ACD88C8" w:rsidR="00424B9D" w:rsidRDefault="00424B9D" w:rsidP="00CB5F25">
      <w:r>
        <w:t xml:space="preserve">The separation in the KM plots between the </w:t>
      </w:r>
      <w:proofErr w:type="spellStart"/>
      <w:r>
        <w:t>venetoclax</w:t>
      </w:r>
      <w:proofErr w:type="spellEnd"/>
      <w:r w:rsidR="00C27FE4">
        <w:t xml:space="preserve"> </w:t>
      </w:r>
      <w:r>
        <w:t>+</w:t>
      </w:r>
      <w:r w:rsidR="00C27FE4">
        <w:t xml:space="preserve"> </w:t>
      </w:r>
      <w:proofErr w:type="spellStart"/>
      <w:r>
        <w:t>obinutuzumab</w:t>
      </w:r>
      <w:proofErr w:type="spellEnd"/>
      <w:r>
        <w:t xml:space="preserve"> and </w:t>
      </w:r>
      <w:proofErr w:type="spellStart"/>
      <w:r>
        <w:t>obinutuzumab</w:t>
      </w:r>
      <w:proofErr w:type="spellEnd"/>
      <w:r w:rsidR="00C27FE4">
        <w:t> </w:t>
      </w:r>
      <w:r>
        <w:t>+</w:t>
      </w:r>
      <w:r w:rsidR="00C27FE4">
        <w:t> </w:t>
      </w:r>
      <w:proofErr w:type="spellStart"/>
      <w:r w:rsidR="000B41CB">
        <w:rPr>
          <w:rFonts w:asciiTheme="minorHAnsi" w:hAnsiTheme="minorHAnsi"/>
        </w:rPr>
        <w:t>chlorambucil</w:t>
      </w:r>
      <w:proofErr w:type="spellEnd"/>
      <w:r>
        <w:t xml:space="preserve"> arms appears entirely due to worsening prognosis in </w:t>
      </w:r>
      <w:proofErr w:type="spellStart"/>
      <w:r>
        <w:t>obinutuzumab</w:t>
      </w:r>
      <w:proofErr w:type="spellEnd"/>
      <w:r w:rsidR="00C27FE4">
        <w:t xml:space="preserve"> </w:t>
      </w:r>
      <w:r>
        <w:t>+</w:t>
      </w:r>
      <w:r w:rsidR="00C27FE4">
        <w:t xml:space="preserve"> </w:t>
      </w:r>
      <w:proofErr w:type="spellStart"/>
      <w:r w:rsidR="000E190D">
        <w:t>chlorambucil</w:t>
      </w:r>
      <w:proofErr w:type="spellEnd"/>
      <w:r>
        <w:t xml:space="preserve"> patients once </w:t>
      </w:r>
      <w:proofErr w:type="spellStart"/>
      <w:r w:rsidR="000E190D">
        <w:t>chlorambucil</w:t>
      </w:r>
      <w:proofErr w:type="spellEnd"/>
      <w:r>
        <w:t xml:space="preserve"> is ceased. While this does not specifically inform the efficacy of </w:t>
      </w:r>
      <w:proofErr w:type="spellStart"/>
      <w:r>
        <w:t>venetoclax</w:t>
      </w:r>
      <w:proofErr w:type="spellEnd"/>
      <w:r w:rsidR="00C27FE4">
        <w:t> </w:t>
      </w:r>
      <w:r>
        <w:t>+</w:t>
      </w:r>
      <w:r w:rsidR="00C27FE4">
        <w:t> </w:t>
      </w:r>
      <w:proofErr w:type="spellStart"/>
      <w:r>
        <w:t>obinutuzumab</w:t>
      </w:r>
      <w:proofErr w:type="spellEnd"/>
      <w:r>
        <w:t xml:space="preserve">, it does indicate that </w:t>
      </w:r>
      <w:proofErr w:type="spellStart"/>
      <w:r>
        <w:t>obinutuzumab</w:t>
      </w:r>
      <w:proofErr w:type="spellEnd"/>
      <w:r w:rsidR="00C27FE4">
        <w:t xml:space="preserve"> </w:t>
      </w:r>
      <w:r>
        <w:t>+</w:t>
      </w:r>
      <w:r w:rsidR="00C27FE4">
        <w:t xml:space="preserve"> </w:t>
      </w:r>
      <w:proofErr w:type="spellStart"/>
      <w:r w:rsidR="000E190D">
        <w:t>chlorambucil</w:t>
      </w:r>
      <w:proofErr w:type="spellEnd"/>
      <w:r>
        <w:t xml:space="preserve"> appears almost equally effective to </w:t>
      </w:r>
      <w:proofErr w:type="spellStart"/>
      <w:r>
        <w:t>venetoclax</w:t>
      </w:r>
      <w:proofErr w:type="spellEnd"/>
      <w:r w:rsidR="00A37C71">
        <w:t> </w:t>
      </w:r>
      <w:r>
        <w:t>+</w:t>
      </w:r>
      <w:r w:rsidR="00A37C71">
        <w:t> </w:t>
      </w:r>
      <w:proofErr w:type="spellStart"/>
      <w:r>
        <w:t>obinutuzumab</w:t>
      </w:r>
      <w:proofErr w:type="spellEnd"/>
      <w:r>
        <w:t xml:space="preserve">. The effect of </w:t>
      </w:r>
      <w:proofErr w:type="spellStart"/>
      <w:r>
        <w:t>obinutuzumab</w:t>
      </w:r>
      <w:proofErr w:type="spellEnd"/>
      <w:r w:rsidR="00A37C71">
        <w:t xml:space="preserve"> </w:t>
      </w:r>
      <w:r>
        <w:t>+</w:t>
      </w:r>
      <w:r w:rsidR="00A37C71">
        <w:t xml:space="preserve"> </w:t>
      </w:r>
      <w:proofErr w:type="spellStart"/>
      <w:r w:rsidR="000E190D">
        <w:t>chlorambucil</w:t>
      </w:r>
      <w:proofErr w:type="spellEnd"/>
      <w:r>
        <w:t xml:space="preserve"> cannot be inferred from its efficacy at the end of the observation period since it is fairly obvious that the risk of progression in the </w:t>
      </w:r>
      <w:proofErr w:type="spellStart"/>
      <w:r>
        <w:t>obinutuzumab</w:t>
      </w:r>
      <w:proofErr w:type="spellEnd"/>
      <w:r>
        <w:t xml:space="preserve"> arm differs significantly over that time</w:t>
      </w:r>
      <w:r w:rsidR="00A37C71">
        <w:t>,</w:t>
      </w:r>
      <w:r>
        <w:t xml:space="preserve"> </w:t>
      </w:r>
      <w:r w:rsidR="00A37C71">
        <w:t>that is,</w:t>
      </w:r>
      <w:r>
        <w:t xml:space="preserve"> the hazards are not proportional over that time.</w:t>
      </w:r>
    </w:p>
    <w:p w14:paraId="49B8583B" w14:textId="1A054A62" w:rsidR="00424B9D" w:rsidRDefault="00424B9D" w:rsidP="00CB5F25">
      <w:r>
        <w:t xml:space="preserve">The Delegate notes that this similarity does potentially inform the </w:t>
      </w:r>
      <w:r w:rsidR="00C27FE4">
        <w:t>s</w:t>
      </w:r>
      <w:r>
        <w:t xml:space="preserve">ponsor’s proposal to have an ‘unqualified’ first line therapy indication for </w:t>
      </w:r>
      <w:proofErr w:type="spellStart"/>
      <w:r>
        <w:t>venetoclax</w:t>
      </w:r>
      <w:proofErr w:type="spellEnd"/>
      <w:r>
        <w:t>.</w:t>
      </w:r>
    </w:p>
    <w:p w14:paraId="701174CD" w14:textId="6DB4839B" w:rsidR="008765C5" w:rsidRPr="00CB5F25" w:rsidRDefault="008765C5" w:rsidP="008765C5">
      <w:pPr>
        <w:pStyle w:val="Heading5"/>
        <w:rPr>
          <w:rFonts w:eastAsia="Cambria"/>
        </w:rPr>
      </w:pPr>
      <w:r>
        <w:t>Serious infection</w:t>
      </w:r>
    </w:p>
    <w:p w14:paraId="4D63CF0F" w14:textId="6CBB8651" w:rsidR="00424B9D" w:rsidRDefault="00424B9D" w:rsidP="00CB5F25">
      <w:r>
        <w:t xml:space="preserve">The Delegate notes that amendments have been made to the Australia </w:t>
      </w:r>
      <w:r w:rsidR="00C64CFE">
        <w:t>Venclexta </w:t>
      </w:r>
      <w:r>
        <w:t>PI since evaluation of this application was completed. It contains the statement, under Special Warnings:</w:t>
      </w:r>
    </w:p>
    <w:p w14:paraId="090B4493" w14:textId="1B3F78D2" w:rsidR="00424B9D" w:rsidRPr="008765C5" w:rsidRDefault="000B41CB" w:rsidP="00CB5F25">
      <w:pPr>
        <w:pStyle w:val="Comment"/>
        <w:ind w:hanging="272"/>
        <w:rPr>
          <w:lang w:val="en-US"/>
        </w:rPr>
      </w:pPr>
      <w:r>
        <w:rPr>
          <w:lang w:val="en-US"/>
        </w:rPr>
        <w:t>‘</w:t>
      </w:r>
      <w:r w:rsidR="00424B9D" w:rsidRPr="008765C5">
        <w:rPr>
          <w:lang w:val="en-US"/>
        </w:rPr>
        <w:t>Serious infection</w:t>
      </w:r>
    </w:p>
    <w:p w14:paraId="105271E1" w14:textId="45095A4B" w:rsidR="00424B9D" w:rsidRPr="00DA4318" w:rsidRDefault="00424B9D" w:rsidP="00424B9D">
      <w:pPr>
        <w:spacing w:line="240" w:lineRule="auto"/>
        <w:ind w:left="720"/>
        <w:rPr>
          <w:rFonts w:cs="Arial"/>
          <w:color w:val="000000"/>
        </w:rPr>
      </w:pPr>
      <w:r w:rsidRPr="00DA4318">
        <w:rPr>
          <w:rFonts w:cs="Arial"/>
          <w:color w:val="000000"/>
          <w:lang w:val="en-US"/>
        </w:rPr>
        <w:t xml:space="preserve">Serious infections, including events of sepsis and events with fatal outcome, have been reported in patients treated with </w:t>
      </w:r>
      <w:r w:rsidR="002F2938" w:rsidRPr="00CB5F25">
        <w:rPr>
          <w:rFonts w:cs="Arial"/>
          <w:color w:val="000000"/>
          <w:lang w:val="en-US"/>
        </w:rPr>
        <w:t>Venclexta</w:t>
      </w:r>
      <w:r w:rsidRPr="008765C5">
        <w:rPr>
          <w:rFonts w:cs="Arial"/>
          <w:color w:val="000000"/>
          <w:lang w:val="en-US"/>
        </w:rPr>
        <w:t xml:space="preserve"> (see </w:t>
      </w:r>
      <w:r w:rsidRPr="00CB5F25">
        <w:rPr>
          <w:rFonts w:cs="Arial"/>
          <w:color w:val="000000"/>
          <w:lang w:val="en-US"/>
        </w:rPr>
        <w:t>Section 4.8</w:t>
      </w:r>
      <w:r w:rsidRPr="000B41CB">
        <w:rPr>
          <w:rFonts w:cs="Arial"/>
          <w:color w:val="000000"/>
          <w:lang w:val="en-US"/>
        </w:rPr>
        <w:t xml:space="preserve"> </w:t>
      </w:r>
      <w:r w:rsidR="00974DEC" w:rsidRPr="00CB5F25">
        <w:rPr>
          <w:rFonts w:cs="Arial"/>
          <w:color w:val="000000"/>
          <w:lang w:val="en-US"/>
        </w:rPr>
        <w:t>Adverse Effects</w:t>
      </w:r>
      <w:r w:rsidRPr="00DA4318">
        <w:rPr>
          <w:rFonts w:cs="Arial"/>
          <w:color w:val="000000"/>
          <w:lang w:val="en-US"/>
        </w:rPr>
        <w:t>). Monitor patients for fever and any symptoms of infection and treat promptly. Interrupt dosing as appropriate.</w:t>
      </w:r>
      <w:r w:rsidR="000B41CB">
        <w:rPr>
          <w:rFonts w:cs="Arial"/>
          <w:color w:val="000000"/>
          <w:lang w:val="en-US"/>
        </w:rPr>
        <w:t>’</w:t>
      </w:r>
    </w:p>
    <w:p w14:paraId="45E77A3D" w14:textId="7B070F8A" w:rsidR="00424B9D" w:rsidRDefault="00424B9D" w:rsidP="00CB5F25">
      <w:r>
        <w:t xml:space="preserve">The Delegate considers serious infection to be a potential adverse outcome with </w:t>
      </w:r>
      <w:proofErr w:type="spellStart"/>
      <w:r>
        <w:t>venetoclax</w:t>
      </w:r>
      <w:proofErr w:type="spellEnd"/>
      <w:r>
        <w:t xml:space="preserve"> therapy regardless of its combination with </w:t>
      </w:r>
      <w:proofErr w:type="spellStart"/>
      <w:r w:rsidRPr="00C25BB1">
        <w:t>obinutuzumab</w:t>
      </w:r>
      <w:proofErr w:type="spellEnd"/>
      <w:r w:rsidRPr="00C25BB1">
        <w:t xml:space="preserve"> </w:t>
      </w:r>
      <w:r>
        <w:t xml:space="preserve">and, as such, the main issue is whether this is exacerbated in combination therapy with </w:t>
      </w:r>
      <w:proofErr w:type="spellStart"/>
      <w:r>
        <w:t>obinutuzumab</w:t>
      </w:r>
      <w:proofErr w:type="spellEnd"/>
      <w:r>
        <w:t>.</w:t>
      </w:r>
    </w:p>
    <w:p w14:paraId="3F8C3614" w14:textId="7551D75D" w:rsidR="00C27FE4" w:rsidRDefault="00424B9D" w:rsidP="00CB5F25">
      <w:r>
        <w:t xml:space="preserve">The </w:t>
      </w:r>
      <w:r w:rsidR="00C27FE4">
        <w:t>s</w:t>
      </w:r>
      <w:r>
        <w:t xml:space="preserve">ponsor has proposed to include a warning regarding infection rate in </w:t>
      </w:r>
      <w:proofErr w:type="spellStart"/>
      <w:r>
        <w:t>venetoclax</w:t>
      </w:r>
      <w:proofErr w:type="spellEnd"/>
      <w:r>
        <w:t xml:space="preserve"> and </w:t>
      </w:r>
      <w:proofErr w:type="spellStart"/>
      <w:r>
        <w:t>obinutuzumab</w:t>
      </w:r>
      <w:proofErr w:type="spellEnd"/>
      <w:r>
        <w:t xml:space="preserve"> combination therapy, and the Delegate considers this appropriate.</w:t>
      </w:r>
    </w:p>
    <w:p w14:paraId="40DBD479" w14:textId="77777777" w:rsidR="00C27FE4" w:rsidRPr="00C27FE4" w:rsidRDefault="00C27FE4" w:rsidP="008D1D5E">
      <w:pPr>
        <w:pStyle w:val="Heading5"/>
        <w:pageBreakBefore/>
      </w:pPr>
      <w:r w:rsidRPr="00C27FE4">
        <w:lastRenderedPageBreak/>
        <w:t>Indication</w:t>
      </w:r>
    </w:p>
    <w:p w14:paraId="4C72F827" w14:textId="5283E52B" w:rsidR="00C27FE4" w:rsidRPr="00C27FE4" w:rsidRDefault="00C27FE4" w:rsidP="00CB5F25">
      <w:r>
        <w:t>The s</w:t>
      </w:r>
      <w:r w:rsidRPr="00C27FE4">
        <w:t xml:space="preserve">ponsor has proposed to change the CLL indication for </w:t>
      </w:r>
      <w:r>
        <w:t>Venclexta</w:t>
      </w:r>
      <w:r w:rsidRPr="00C27FE4">
        <w:t xml:space="preserve"> to:</w:t>
      </w:r>
    </w:p>
    <w:p w14:paraId="71A6D3F8" w14:textId="22D8A2E9" w:rsidR="00C27FE4" w:rsidRPr="00CB5F25" w:rsidRDefault="008765C5" w:rsidP="00CB5F25">
      <w:pPr>
        <w:ind w:left="720"/>
        <w:rPr>
          <w:i/>
        </w:rPr>
      </w:pPr>
      <w:r w:rsidRPr="00CB5F25">
        <w:rPr>
          <w:i/>
        </w:rPr>
        <w:t>Venclexta is indicated for the treatment of patients with chronic lymphocytic leukaemia (CLL) or small lymphocytic lymphoma (SLL).</w:t>
      </w:r>
    </w:p>
    <w:p w14:paraId="281ECF33" w14:textId="4A3CBDD5" w:rsidR="00C27FE4" w:rsidRPr="00C27FE4" w:rsidRDefault="00C27FE4" w:rsidP="00CB5F25">
      <w:r>
        <w:t>The clinical e</w:t>
      </w:r>
      <w:r w:rsidRPr="00C27FE4">
        <w:t>valuator has recommended against this and proposed that the indication should be:</w:t>
      </w:r>
    </w:p>
    <w:p w14:paraId="40FFA5FA" w14:textId="6DDBCF05" w:rsidR="00C27FE4" w:rsidRPr="00CB5F25" w:rsidRDefault="008765C5" w:rsidP="00CB5F25">
      <w:pPr>
        <w:ind w:left="720"/>
        <w:rPr>
          <w:i/>
        </w:rPr>
      </w:pPr>
      <w:r>
        <w:rPr>
          <w:i/>
        </w:rPr>
        <w:t>Venclexta</w:t>
      </w:r>
      <w:r w:rsidRPr="00CB5F25">
        <w:rPr>
          <w:i/>
        </w:rPr>
        <w:t xml:space="preserve"> in combination with </w:t>
      </w:r>
      <w:proofErr w:type="spellStart"/>
      <w:r w:rsidRPr="00CB5F25">
        <w:rPr>
          <w:i/>
        </w:rPr>
        <w:t>obinutuzumab</w:t>
      </w:r>
      <w:proofErr w:type="spellEnd"/>
      <w:r w:rsidRPr="00CB5F25">
        <w:rPr>
          <w:i/>
        </w:rPr>
        <w:t xml:space="preserve"> is indicated for the treatment of adult patients with previously untreated chronic lymphocytic leukaemia (CLL) who have co-morbidities (</w:t>
      </w:r>
      <w:r w:rsidR="0072436C" w:rsidRPr="00CB5F25">
        <w:rPr>
          <w:i/>
        </w:rPr>
        <w:t xml:space="preserve">Clinical </w:t>
      </w:r>
      <w:r w:rsidR="0072436C">
        <w:rPr>
          <w:i/>
        </w:rPr>
        <w:t>T</w:t>
      </w:r>
      <w:r w:rsidR="0072436C" w:rsidRPr="00CB5F25">
        <w:rPr>
          <w:i/>
        </w:rPr>
        <w:t>rials</w:t>
      </w:r>
      <w:r w:rsidRPr="00CB5F25">
        <w:rPr>
          <w:i/>
        </w:rPr>
        <w:t>).</w:t>
      </w:r>
    </w:p>
    <w:p w14:paraId="2A8F487B" w14:textId="15FB387B" w:rsidR="00C27FE4" w:rsidRPr="00C27FE4" w:rsidRDefault="00C27FE4" w:rsidP="00CB5F25">
      <w:r>
        <w:t>The clinical e</w:t>
      </w:r>
      <w:r w:rsidRPr="00C27FE4">
        <w:t>valuator has noted that there is uncertainty about the duration of response, survival benefit and role in patients with different risk profiles.</w:t>
      </w:r>
    </w:p>
    <w:p w14:paraId="55DC564C" w14:textId="323DC98A" w:rsidR="00C27FE4" w:rsidRPr="00C27FE4" w:rsidRDefault="00C27FE4" w:rsidP="00CB5F25">
      <w:r w:rsidRPr="00C27FE4">
        <w:t>The Delegate notes that</w:t>
      </w:r>
      <w:r w:rsidR="000B41CB">
        <w:t xml:space="preserve"> the amendment proposed by the clinical e</w:t>
      </w:r>
      <w:r w:rsidRPr="00C27FE4">
        <w:t xml:space="preserve">valuator is consistent with the population in the pivotal efficacy trial for </w:t>
      </w:r>
      <w:proofErr w:type="spellStart"/>
      <w:r w:rsidR="00DF67A2">
        <w:t>venetoclax</w:t>
      </w:r>
      <w:proofErr w:type="spellEnd"/>
      <w:r w:rsidR="00DF67A2">
        <w:t xml:space="preserve"> + </w:t>
      </w:r>
      <w:proofErr w:type="spellStart"/>
      <w:r w:rsidR="00DF67A2">
        <w:t>obinutuzumab</w:t>
      </w:r>
      <w:proofErr w:type="spellEnd"/>
      <w:r w:rsidRPr="00C27FE4">
        <w:t xml:space="preserve">. The Delegate has concluded there is far too little data in ‘fit’ patients to recommend </w:t>
      </w:r>
      <w:proofErr w:type="spellStart"/>
      <w:r w:rsidR="00A37C71">
        <w:t>venetoclax</w:t>
      </w:r>
      <w:proofErr w:type="spellEnd"/>
      <w:r w:rsidR="00A37C71">
        <w:t> + </w:t>
      </w:r>
      <w:proofErr w:type="spellStart"/>
      <w:r w:rsidR="00DF67A2">
        <w:t>obinutuzumab</w:t>
      </w:r>
      <w:proofErr w:type="spellEnd"/>
      <w:r w:rsidR="00DF67A2" w:rsidRPr="00C27FE4">
        <w:t xml:space="preserve"> </w:t>
      </w:r>
      <w:r w:rsidRPr="00C27FE4">
        <w:t>in patients who may be suitable for chemo</w:t>
      </w:r>
      <w:r w:rsidR="000B41CB">
        <w:t>-</w:t>
      </w:r>
      <w:r w:rsidRPr="00C27FE4">
        <w:t>immunotherapy because, in additi</w:t>
      </w:r>
      <w:r>
        <w:t>on to the issues raised by the clinical e</w:t>
      </w:r>
      <w:r w:rsidR="008765C5">
        <w:t>valuator:</w:t>
      </w:r>
    </w:p>
    <w:p w14:paraId="00E7839F" w14:textId="631212A4" w:rsidR="00C27FE4" w:rsidRPr="00C27FE4" w:rsidRDefault="008765C5" w:rsidP="00CB5F25">
      <w:pPr>
        <w:pStyle w:val="ListBullet"/>
      </w:pPr>
      <w:r>
        <w:t>T</w:t>
      </w:r>
      <w:r w:rsidR="00C27FE4" w:rsidRPr="00C27FE4">
        <w:t>here is no data provided in this population other than a post-hoc analy</w:t>
      </w:r>
      <w:r w:rsidR="000B41CB">
        <w:t>sis in a small supportive trial.</w:t>
      </w:r>
    </w:p>
    <w:p w14:paraId="4CB10E5A" w14:textId="2598AC21" w:rsidR="00C27FE4" w:rsidRPr="00C27FE4" w:rsidRDefault="008765C5" w:rsidP="00CB5F25">
      <w:pPr>
        <w:pStyle w:val="ListBullet"/>
      </w:pPr>
      <w:r>
        <w:t>T</w:t>
      </w:r>
      <w:r w:rsidR="00C27FE4" w:rsidRPr="00C27FE4">
        <w:t xml:space="preserve">here is no comparison of efficacy in </w:t>
      </w:r>
      <w:proofErr w:type="spellStart"/>
      <w:r w:rsidR="00DF67A2">
        <w:t>venetoclax</w:t>
      </w:r>
      <w:proofErr w:type="spellEnd"/>
      <w:r w:rsidR="00DF67A2">
        <w:t xml:space="preserve"> + </w:t>
      </w:r>
      <w:proofErr w:type="spellStart"/>
      <w:r w:rsidR="00DF67A2">
        <w:t>obinutuzumab</w:t>
      </w:r>
      <w:proofErr w:type="spellEnd"/>
      <w:r w:rsidR="00DF67A2" w:rsidRPr="00C27FE4">
        <w:t xml:space="preserve"> </w:t>
      </w:r>
      <w:r w:rsidR="00C27FE4" w:rsidRPr="00C27FE4">
        <w:t xml:space="preserve">with optimal management of patients who are suitable for </w:t>
      </w:r>
      <w:proofErr w:type="spellStart"/>
      <w:r w:rsidR="00C27FE4" w:rsidRPr="00C27FE4">
        <w:t>chemoimmunotherapy</w:t>
      </w:r>
      <w:proofErr w:type="spellEnd"/>
      <w:r w:rsidR="00C27FE4" w:rsidRPr="00C27FE4">
        <w:t>.</w:t>
      </w:r>
    </w:p>
    <w:p w14:paraId="3F807740" w14:textId="7D3DA7B2" w:rsidR="00C27FE4" w:rsidRPr="00C27FE4" w:rsidRDefault="00C27FE4" w:rsidP="00CB5F25">
      <w:r w:rsidRPr="00C27FE4">
        <w:t xml:space="preserve">The Delegate has concluded that the indication for first line therapy should specify the </w:t>
      </w:r>
      <w:proofErr w:type="spellStart"/>
      <w:r w:rsidR="00DF67A2">
        <w:t>venetoclax</w:t>
      </w:r>
      <w:proofErr w:type="spellEnd"/>
      <w:r w:rsidR="00DF67A2">
        <w:t xml:space="preserve"> + </w:t>
      </w:r>
      <w:proofErr w:type="spellStart"/>
      <w:r w:rsidR="00DF67A2">
        <w:t>obinutuzumab</w:t>
      </w:r>
      <w:proofErr w:type="spellEnd"/>
      <w:r w:rsidR="00DF67A2" w:rsidRPr="00C27FE4">
        <w:t xml:space="preserve"> </w:t>
      </w:r>
      <w:r w:rsidRPr="00C27FE4">
        <w:t>combination because:</w:t>
      </w:r>
    </w:p>
    <w:p w14:paraId="440EDC05" w14:textId="1F4E7231" w:rsidR="00C27FE4" w:rsidRPr="00C27FE4" w:rsidRDefault="00C27FE4" w:rsidP="00CB5F25">
      <w:pPr>
        <w:pStyle w:val="ListBullet"/>
      </w:pPr>
      <w:r w:rsidRPr="00C27FE4">
        <w:t>This is the regimen examined in the pivotal efficacy trial.</w:t>
      </w:r>
    </w:p>
    <w:p w14:paraId="7DEC4655" w14:textId="7C27ED52" w:rsidR="00C27FE4" w:rsidRPr="00C27FE4" w:rsidRDefault="00DF67A2" w:rsidP="00CB5F25">
      <w:pPr>
        <w:pStyle w:val="ListBullet"/>
      </w:pPr>
      <w:r>
        <w:t>The indication proposed by the sponsor would include, or</w:t>
      </w:r>
      <w:r w:rsidR="00C27FE4" w:rsidRPr="00C27FE4">
        <w:t xml:space="preserve"> may incorrectly imply, </w:t>
      </w:r>
      <w:proofErr w:type="spellStart"/>
      <w:r>
        <w:t>venetoclax</w:t>
      </w:r>
      <w:proofErr w:type="spellEnd"/>
      <w:r w:rsidR="00C27FE4" w:rsidRPr="00C27FE4">
        <w:t xml:space="preserve"> monother</w:t>
      </w:r>
      <w:r w:rsidR="008765C5">
        <w:t>apy for first-line CLL therapy.</w:t>
      </w:r>
    </w:p>
    <w:p w14:paraId="3443C947" w14:textId="2C0D5382" w:rsidR="00D02117" w:rsidRDefault="00C27FE4" w:rsidP="00CB5F25">
      <w:pPr>
        <w:pStyle w:val="ListBullet"/>
      </w:pPr>
      <w:r w:rsidRPr="00C27FE4">
        <w:t xml:space="preserve">The findings of the </w:t>
      </w:r>
      <w:proofErr w:type="spellStart"/>
      <w:r w:rsidR="00DF67A2">
        <w:t>venetoclax</w:t>
      </w:r>
      <w:proofErr w:type="spellEnd"/>
      <w:r w:rsidR="00DF67A2">
        <w:t xml:space="preserve"> + </w:t>
      </w:r>
      <w:proofErr w:type="spellStart"/>
      <w:r w:rsidR="00DF67A2">
        <w:t>obinutuzumab</w:t>
      </w:r>
      <w:proofErr w:type="spellEnd"/>
      <w:r w:rsidR="00DF67A2" w:rsidRPr="00C27FE4">
        <w:t xml:space="preserve"> </w:t>
      </w:r>
      <w:r w:rsidRPr="00C27FE4">
        <w:t xml:space="preserve">arm of the pivotal trial are immature with respect to long-term efficacy and not sufficient to recommend a general </w:t>
      </w:r>
      <w:proofErr w:type="spellStart"/>
      <w:r w:rsidR="00DF67A2">
        <w:t>venetoclax</w:t>
      </w:r>
      <w:proofErr w:type="spellEnd"/>
      <w:r w:rsidR="00DF67A2">
        <w:t xml:space="preserve"> </w:t>
      </w:r>
      <w:r w:rsidRPr="00C27FE4">
        <w:t>+</w:t>
      </w:r>
      <w:r w:rsidR="00DF67A2">
        <w:t xml:space="preserve"> </w:t>
      </w:r>
      <w:r w:rsidR="00C64CFE">
        <w:t xml:space="preserve">an </w:t>
      </w:r>
      <w:r w:rsidRPr="004B246B">
        <w:rPr>
          <w:i/>
        </w:rPr>
        <w:t>x</w:t>
      </w:r>
      <w:r w:rsidRPr="00C27FE4">
        <w:t xml:space="preserve"> </w:t>
      </w:r>
      <w:r w:rsidR="00C64CFE">
        <w:t xml:space="preserve">drug </w:t>
      </w:r>
      <w:r w:rsidRPr="00C27FE4">
        <w:t>combination for first line CLL management.</w:t>
      </w:r>
    </w:p>
    <w:p w14:paraId="01C8B61C" w14:textId="77777777" w:rsidR="00424B9D" w:rsidRDefault="00424B9D" w:rsidP="00CB5F25">
      <w:pPr>
        <w:pStyle w:val="Heading5"/>
      </w:pPr>
      <w:r w:rsidRPr="00D23139">
        <w:t>Proposed action</w:t>
      </w:r>
    </w:p>
    <w:p w14:paraId="02F9D4E0" w14:textId="05F37CE0" w:rsidR="00D02117" w:rsidRDefault="00D02117" w:rsidP="00D02117">
      <w:pPr>
        <w:rPr>
          <w:lang w:eastAsia="ja-JP"/>
        </w:rPr>
      </w:pPr>
      <w:r>
        <w:rPr>
          <w:lang w:eastAsia="ja-JP"/>
        </w:rPr>
        <w:t xml:space="preserve">The Delegate is currently minded to register an additional indication for </w:t>
      </w:r>
      <w:r w:rsidR="00DF67A2">
        <w:rPr>
          <w:lang w:eastAsia="ja-JP"/>
        </w:rPr>
        <w:t>Venclexta</w:t>
      </w:r>
      <w:r>
        <w:rPr>
          <w:lang w:eastAsia="ja-JP"/>
        </w:rPr>
        <w:t xml:space="preserve"> worded as:</w:t>
      </w:r>
    </w:p>
    <w:p w14:paraId="45684E3F" w14:textId="0BE952B0" w:rsidR="00D02117" w:rsidRDefault="000B41CB" w:rsidP="00CB5F25">
      <w:pPr>
        <w:ind w:left="720"/>
        <w:rPr>
          <w:lang w:eastAsia="ja-JP"/>
        </w:rPr>
      </w:pPr>
      <w:r>
        <w:rPr>
          <w:i/>
          <w:iCs/>
        </w:rPr>
        <w:t>Venclexta</w:t>
      </w:r>
      <w:r w:rsidRPr="0029028C">
        <w:rPr>
          <w:i/>
          <w:iCs/>
        </w:rPr>
        <w:t xml:space="preserve"> in combination with </w:t>
      </w:r>
      <w:proofErr w:type="spellStart"/>
      <w:r w:rsidRPr="0029028C">
        <w:rPr>
          <w:i/>
          <w:iCs/>
        </w:rPr>
        <w:t>obinutuzumab</w:t>
      </w:r>
      <w:proofErr w:type="spellEnd"/>
      <w:r w:rsidRPr="0029028C">
        <w:rPr>
          <w:i/>
          <w:iCs/>
        </w:rPr>
        <w:t xml:space="preserve"> is indicated for the treatment</w:t>
      </w:r>
      <w:r>
        <w:rPr>
          <w:i/>
          <w:iCs/>
        </w:rPr>
        <w:t xml:space="preserve"> of adult patie</w:t>
      </w:r>
      <w:r w:rsidR="009B2266">
        <w:rPr>
          <w:i/>
          <w:iCs/>
        </w:rPr>
        <w:t>n</w:t>
      </w:r>
      <w:r>
        <w:rPr>
          <w:i/>
          <w:iCs/>
        </w:rPr>
        <w:t xml:space="preserve">ts with previously untreated </w:t>
      </w:r>
      <w:r w:rsidRPr="0068381F">
        <w:rPr>
          <w:i/>
        </w:rPr>
        <w:t>chronic lymphocytic leukaemia (CLL)</w:t>
      </w:r>
      <w:r>
        <w:rPr>
          <w:i/>
        </w:rPr>
        <w:t xml:space="preserve"> who have co-morbidities (</w:t>
      </w:r>
      <w:r w:rsidR="0072436C">
        <w:rPr>
          <w:i/>
        </w:rPr>
        <w:t>Clinical Trials</w:t>
      </w:r>
      <w:r>
        <w:rPr>
          <w:i/>
        </w:rPr>
        <w:t>).</w:t>
      </w:r>
    </w:p>
    <w:p w14:paraId="3901D831" w14:textId="04147FFC" w:rsidR="00D02117" w:rsidRPr="00CB5F25" w:rsidRDefault="00DF67A2" w:rsidP="00CB5F25">
      <w:pPr>
        <w:rPr>
          <w:lang w:eastAsia="ja-JP"/>
        </w:rPr>
      </w:pPr>
      <w:r>
        <w:rPr>
          <w:lang w:eastAsia="ja-JP"/>
        </w:rPr>
        <w:t xml:space="preserve">This proposed action is </w:t>
      </w:r>
      <w:r w:rsidR="000B41CB">
        <w:rPr>
          <w:lang w:eastAsia="ja-JP"/>
        </w:rPr>
        <w:t>dependent on</w:t>
      </w:r>
      <w:r w:rsidR="00D02117">
        <w:rPr>
          <w:lang w:eastAsia="ja-JP"/>
        </w:rPr>
        <w:t xml:space="preserve"> provision of </w:t>
      </w:r>
      <w:r>
        <w:rPr>
          <w:lang w:eastAsia="ja-JP"/>
        </w:rPr>
        <w:t xml:space="preserve">an </w:t>
      </w:r>
      <w:r w:rsidR="00D02117">
        <w:rPr>
          <w:lang w:eastAsia="ja-JP"/>
        </w:rPr>
        <w:t xml:space="preserve">acceptable Australian </w:t>
      </w:r>
      <w:r>
        <w:rPr>
          <w:lang w:eastAsia="ja-JP"/>
        </w:rPr>
        <w:t xml:space="preserve">PI </w:t>
      </w:r>
      <w:r w:rsidR="00D02117">
        <w:rPr>
          <w:lang w:eastAsia="ja-JP"/>
        </w:rPr>
        <w:t>with inclusion</w:t>
      </w:r>
      <w:r>
        <w:rPr>
          <w:lang w:eastAsia="ja-JP"/>
        </w:rPr>
        <w:t xml:space="preserve"> of amendments proposed by the clinical and non</w:t>
      </w:r>
      <w:r w:rsidR="00D02117">
        <w:rPr>
          <w:lang w:eastAsia="ja-JP"/>
        </w:rPr>
        <w:t>clinical evaluators.</w:t>
      </w:r>
    </w:p>
    <w:p w14:paraId="3B21CDA7" w14:textId="45997075" w:rsidR="00424B9D" w:rsidRDefault="00424B9D" w:rsidP="00424B9D">
      <w:pPr>
        <w:pStyle w:val="Heading4"/>
      </w:pPr>
      <w:r>
        <w:t xml:space="preserve">Request for Advisory Committee on Medicines </w:t>
      </w:r>
      <w:r w:rsidR="00D02117">
        <w:t>advice</w:t>
      </w:r>
    </w:p>
    <w:p w14:paraId="1ADB54B7" w14:textId="77777777" w:rsidR="00424B9D" w:rsidRDefault="00424B9D" w:rsidP="00424B9D">
      <w:pPr>
        <w:rPr>
          <w:rFonts w:asciiTheme="minorHAnsi" w:hAnsiTheme="minorHAnsi"/>
        </w:rPr>
      </w:pPr>
      <w:r>
        <w:rPr>
          <w:rFonts w:asciiTheme="minorHAnsi" w:hAnsiTheme="minorHAnsi"/>
        </w:rPr>
        <w:t>The proposed indication is:</w:t>
      </w:r>
    </w:p>
    <w:p w14:paraId="6B4DAA2C" w14:textId="2EF81332" w:rsidR="00424B9D" w:rsidRPr="00CB5F25" w:rsidRDefault="00424B9D" w:rsidP="00CB5F25">
      <w:pPr>
        <w:ind w:left="720"/>
        <w:rPr>
          <w:i/>
        </w:rPr>
      </w:pPr>
      <w:r w:rsidRPr="00CB5F25">
        <w:rPr>
          <w:i/>
        </w:rPr>
        <w:t>Venclexta is indicated for the treatment of patients with chronic lymphocytic leukaemia (CLL) or small lymphocytic lymphoma (SLL).</w:t>
      </w:r>
    </w:p>
    <w:p w14:paraId="45757E3D" w14:textId="45C59ACB" w:rsidR="00424B9D" w:rsidRDefault="00424B9D" w:rsidP="00CB5F25">
      <w:r>
        <w:rPr>
          <w:rFonts w:asciiTheme="minorHAnsi" w:hAnsiTheme="minorHAnsi"/>
        </w:rPr>
        <w:t>The advice of the ACM is requested on whether an alternate wording of the indication would be considered more appropriate.</w:t>
      </w:r>
    </w:p>
    <w:p w14:paraId="4778B816" w14:textId="77777777" w:rsidR="00424B9D" w:rsidRDefault="00424B9D" w:rsidP="00424B9D">
      <w:pPr>
        <w:pStyle w:val="Heading4"/>
      </w:pPr>
      <w:r>
        <w:lastRenderedPageBreak/>
        <w:t>Advisory Committee considerations</w:t>
      </w:r>
      <w:r>
        <w:rPr>
          <w:rStyle w:val="FootnoteReference"/>
        </w:rPr>
        <w:footnoteReference w:id="11"/>
      </w:r>
    </w:p>
    <w:p w14:paraId="7D3AFA3B" w14:textId="58092E3B" w:rsidR="00424B9D" w:rsidRDefault="00424B9D" w:rsidP="00424B9D">
      <w:pPr>
        <w:rPr>
          <w:bCs/>
        </w:rPr>
      </w:pPr>
      <w:r w:rsidRPr="00456765">
        <w:rPr>
          <w:bCs/>
        </w:rPr>
        <w:t>The Advisory Committee on Medicines (ACM), having considered the evaluations and the Delegate’s overview, as well as the sponsor’s response to these documents, advised the following</w:t>
      </w:r>
      <w:r w:rsidR="00D02117">
        <w:rPr>
          <w:bCs/>
        </w:rPr>
        <w:t>.</w:t>
      </w:r>
    </w:p>
    <w:p w14:paraId="5A9EAC42" w14:textId="15BCBD9C" w:rsidR="00424B9D" w:rsidRPr="002D002A" w:rsidRDefault="00424B9D" w:rsidP="00CB5F25">
      <w:r w:rsidRPr="002D002A">
        <w:t xml:space="preserve">The ACM did not support the indication proposed by the </w:t>
      </w:r>
      <w:r>
        <w:t>s</w:t>
      </w:r>
      <w:r w:rsidRPr="002D002A">
        <w:t>ponsor due to a lack of evidence to support the proposed indication, and instead recommended the following alternative wording:</w:t>
      </w:r>
    </w:p>
    <w:p w14:paraId="14433F83" w14:textId="711CBD2C" w:rsidR="00424B9D" w:rsidRPr="00CB5F25" w:rsidRDefault="00424B9D" w:rsidP="00CB5F25">
      <w:pPr>
        <w:ind w:left="720"/>
        <w:rPr>
          <w:bCs/>
          <w:i/>
        </w:rPr>
      </w:pPr>
      <w:r>
        <w:rPr>
          <w:i/>
          <w:iCs/>
        </w:rPr>
        <w:t>Venclexta</w:t>
      </w:r>
      <w:r w:rsidRPr="0029028C">
        <w:rPr>
          <w:i/>
          <w:iCs/>
        </w:rPr>
        <w:t xml:space="preserve"> in combination with </w:t>
      </w:r>
      <w:proofErr w:type="spellStart"/>
      <w:r w:rsidRPr="0029028C">
        <w:rPr>
          <w:i/>
          <w:iCs/>
        </w:rPr>
        <w:t>obinutuzumab</w:t>
      </w:r>
      <w:proofErr w:type="spellEnd"/>
      <w:r w:rsidRPr="0029028C">
        <w:rPr>
          <w:i/>
          <w:iCs/>
        </w:rPr>
        <w:t xml:space="preserve"> is indicated for the treatment of patients with CLL or SLL who are considered unfit or unsuitable for chemo</w:t>
      </w:r>
      <w:r w:rsidR="009641BD">
        <w:rPr>
          <w:i/>
          <w:iCs/>
        </w:rPr>
        <w:noBreakHyphen/>
      </w:r>
      <w:r w:rsidRPr="0029028C">
        <w:rPr>
          <w:i/>
          <w:iCs/>
        </w:rPr>
        <w:t>immunotherapy.</w:t>
      </w:r>
    </w:p>
    <w:p w14:paraId="72E84EC4" w14:textId="77777777" w:rsidR="00424B9D" w:rsidRPr="002E238E" w:rsidRDefault="00424B9D" w:rsidP="00424B9D">
      <w:pPr>
        <w:pStyle w:val="Heading3"/>
      </w:pPr>
      <w:bookmarkStart w:id="45" w:name="_Toc247691532"/>
      <w:bookmarkStart w:id="46" w:name="_Toc314842516"/>
      <w:bookmarkStart w:id="47" w:name="_Toc54165857"/>
      <w:bookmarkEnd w:id="27"/>
      <w:bookmarkEnd w:id="42"/>
      <w:bookmarkEnd w:id="43"/>
      <w:r>
        <w:t>Outcome</w:t>
      </w:r>
      <w:bookmarkEnd w:id="45"/>
      <w:bookmarkEnd w:id="46"/>
      <w:bookmarkEnd w:id="47"/>
    </w:p>
    <w:p w14:paraId="17EF4CFD" w14:textId="10382C52" w:rsidR="0072436C" w:rsidRDefault="00424B9D" w:rsidP="0072436C">
      <w:bookmarkStart w:id="48" w:name="_Toc247691533"/>
      <w:bookmarkStart w:id="49" w:name="_Toc314842517"/>
      <w:r>
        <w:t xml:space="preserve">Based on a review of quality, safety and efficacy, </w:t>
      </w:r>
      <w:r w:rsidR="009641BD">
        <w:t xml:space="preserve">the </w:t>
      </w:r>
      <w:r>
        <w:t>TGA approved the registration of</w:t>
      </w:r>
      <w:r w:rsidR="004F22AC">
        <w:t xml:space="preserve"> </w:t>
      </w:r>
      <w:r w:rsidR="00A600F2">
        <w:t>the presentations below</w:t>
      </w:r>
      <w:r w:rsidR="0072436C">
        <w:t>:</w:t>
      </w:r>
    </w:p>
    <w:p w14:paraId="3601D855" w14:textId="254FB1F3" w:rsidR="00A600F2" w:rsidRDefault="00A600F2" w:rsidP="0072436C">
      <w:pPr>
        <w:pStyle w:val="ListBullet"/>
      </w:pPr>
      <w:r>
        <w:t>Venclexta (</w:t>
      </w:r>
      <w:proofErr w:type="spellStart"/>
      <w:r>
        <w:t>venetoclax</w:t>
      </w:r>
      <w:proofErr w:type="spellEnd"/>
      <w:r>
        <w:t>) 10 mg film coated tablet blister pack</w:t>
      </w:r>
    </w:p>
    <w:p w14:paraId="7FD51695" w14:textId="7871E774" w:rsidR="00A600F2" w:rsidRDefault="00A600F2" w:rsidP="0072436C">
      <w:pPr>
        <w:pStyle w:val="ListBullet"/>
      </w:pPr>
      <w:r>
        <w:t>Venclexta (</w:t>
      </w:r>
      <w:proofErr w:type="spellStart"/>
      <w:r>
        <w:t>venetoclax</w:t>
      </w:r>
      <w:proofErr w:type="spellEnd"/>
      <w:r>
        <w:t>) 50 mg film coated tablet blister pack</w:t>
      </w:r>
    </w:p>
    <w:p w14:paraId="2CD04CF0" w14:textId="6BF3538A" w:rsidR="00A600F2" w:rsidRDefault="00A600F2" w:rsidP="0072436C">
      <w:pPr>
        <w:pStyle w:val="ListBullet"/>
      </w:pPr>
      <w:r>
        <w:t>Venclexta (</w:t>
      </w:r>
      <w:proofErr w:type="spellStart"/>
      <w:r>
        <w:t>venetoclax</w:t>
      </w:r>
      <w:proofErr w:type="spellEnd"/>
      <w:r>
        <w:t>) 100 mg film coated tablet blister pack</w:t>
      </w:r>
    </w:p>
    <w:p w14:paraId="4E2461F0" w14:textId="4C84427E" w:rsidR="00A600F2" w:rsidRDefault="00A600F2" w:rsidP="0072436C">
      <w:pPr>
        <w:pStyle w:val="ListBullet"/>
      </w:pPr>
      <w:r>
        <w:t>Venclexta (</w:t>
      </w:r>
      <w:proofErr w:type="spellStart"/>
      <w:r>
        <w:t>venetoclax</w:t>
      </w:r>
      <w:proofErr w:type="spellEnd"/>
      <w:r>
        <w:t>) 100 mg film coated tablet bottle</w:t>
      </w:r>
    </w:p>
    <w:p w14:paraId="43B9FBF1" w14:textId="77777777" w:rsidR="0072436C" w:rsidRDefault="00A600F2" w:rsidP="0072436C">
      <w:pPr>
        <w:pStyle w:val="ListBullet"/>
      </w:pPr>
      <w:r>
        <w:t>Venclexta Starting Pack (</w:t>
      </w:r>
      <w:proofErr w:type="spellStart"/>
      <w:r>
        <w:t>venetoclax</w:t>
      </w:r>
      <w:proofErr w:type="spellEnd"/>
      <w:r>
        <w:t>) 10 mg, 50 mg, 100 mg film coated tablets blister pack</w:t>
      </w:r>
    </w:p>
    <w:p w14:paraId="257D7DF3" w14:textId="1D4089A5" w:rsidR="00424B9D" w:rsidRDefault="00424B9D" w:rsidP="0072436C">
      <w:r>
        <w:t>for the following extension of indications:</w:t>
      </w:r>
    </w:p>
    <w:p w14:paraId="23A5AC29" w14:textId="2396368A" w:rsidR="00424B9D" w:rsidRPr="00CB5F25" w:rsidRDefault="00424B9D" w:rsidP="00CB5F25">
      <w:pPr>
        <w:ind w:left="720"/>
        <w:rPr>
          <w:i/>
        </w:rPr>
      </w:pPr>
      <w:r w:rsidRPr="00CB5F25">
        <w:rPr>
          <w:i/>
        </w:rPr>
        <w:t>Chronic Lymphocytic Leukaemia /Small Lymphocytic Lymphoma</w:t>
      </w:r>
    </w:p>
    <w:p w14:paraId="5EDCC921" w14:textId="356F7635" w:rsidR="00424B9D" w:rsidRPr="00CB5F25" w:rsidRDefault="004F22AC" w:rsidP="00CB5F25">
      <w:pPr>
        <w:ind w:left="720"/>
        <w:rPr>
          <w:i/>
        </w:rPr>
      </w:pPr>
      <w:r w:rsidRPr="00CB5F25">
        <w:rPr>
          <w:i/>
        </w:rPr>
        <w:t xml:space="preserve">Venclexta </w:t>
      </w:r>
      <w:r w:rsidR="00424B9D" w:rsidRPr="00CB5F25">
        <w:rPr>
          <w:i/>
        </w:rPr>
        <w:t xml:space="preserve">in combination with </w:t>
      </w:r>
      <w:proofErr w:type="spellStart"/>
      <w:r w:rsidR="00424B9D" w:rsidRPr="00CB5F25">
        <w:rPr>
          <w:i/>
        </w:rPr>
        <w:t>obinutuzumab</w:t>
      </w:r>
      <w:proofErr w:type="spellEnd"/>
      <w:r w:rsidR="00424B9D" w:rsidRPr="00CB5F25">
        <w:rPr>
          <w:i/>
        </w:rPr>
        <w:t xml:space="preserve"> is indicated for the treatment of patients with chronic lymphocytic leukaemia (CLL) or small lymphocytic lymphoma (SLL) who are considered unfit or unsuitable for chemo-immunotherapy.</w:t>
      </w:r>
    </w:p>
    <w:p w14:paraId="571CE2CF" w14:textId="77777777" w:rsidR="00424B9D" w:rsidRDefault="00424B9D" w:rsidP="00424B9D">
      <w:r>
        <w:t>As such, the full indications at this time were:</w:t>
      </w:r>
    </w:p>
    <w:p w14:paraId="55D04D16" w14:textId="15E82F50" w:rsidR="00424B9D" w:rsidRPr="00CB5F25" w:rsidRDefault="00424B9D" w:rsidP="00CB5F25">
      <w:pPr>
        <w:ind w:left="720"/>
        <w:rPr>
          <w:i/>
        </w:rPr>
      </w:pPr>
      <w:r w:rsidRPr="00CB5F25">
        <w:rPr>
          <w:i/>
        </w:rPr>
        <w:t>Acute Myeloid Leukaemia</w:t>
      </w:r>
    </w:p>
    <w:p w14:paraId="722A0055" w14:textId="4D12E5D3" w:rsidR="00424B9D" w:rsidRPr="00CB5F25" w:rsidRDefault="002F2938" w:rsidP="00CB5F25">
      <w:pPr>
        <w:ind w:left="720"/>
        <w:rPr>
          <w:i/>
        </w:rPr>
      </w:pPr>
      <w:r w:rsidRPr="00CB5F25">
        <w:rPr>
          <w:i/>
        </w:rPr>
        <w:t>Venclexta</w:t>
      </w:r>
      <w:r w:rsidR="00424B9D" w:rsidRPr="00CB5F25">
        <w:rPr>
          <w:i/>
        </w:rPr>
        <w:t>, as part of combination therapy, is indicated for the treatment of newly diagnosed adult patients with Acute Myeloid Leukaemia (AML) who are ineligible for</w:t>
      </w:r>
      <w:r w:rsidRPr="00CB5F25">
        <w:rPr>
          <w:i/>
        </w:rPr>
        <w:t xml:space="preserve"> </w:t>
      </w:r>
      <w:r w:rsidR="00424B9D" w:rsidRPr="00CB5F25">
        <w:rPr>
          <w:i/>
        </w:rPr>
        <w:t>intensive chemotherapy.</w:t>
      </w:r>
    </w:p>
    <w:p w14:paraId="68E7D22B" w14:textId="69079DBA" w:rsidR="00424B9D" w:rsidRPr="00CB5F25" w:rsidRDefault="00424B9D" w:rsidP="00CB5F25">
      <w:pPr>
        <w:ind w:left="720"/>
        <w:rPr>
          <w:i/>
        </w:rPr>
      </w:pPr>
      <w:r w:rsidRPr="00CB5F25">
        <w:rPr>
          <w:i/>
        </w:rPr>
        <w:t>This medicine has provisional approval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confirmatory trials.</w:t>
      </w:r>
    </w:p>
    <w:p w14:paraId="00B53D04" w14:textId="643ACCBF" w:rsidR="00424B9D" w:rsidRPr="00CB5F25" w:rsidRDefault="00424B9D" w:rsidP="00CB5F25">
      <w:pPr>
        <w:ind w:left="720"/>
        <w:rPr>
          <w:i/>
        </w:rPr>
      </w:pPr>
      <w:r w:rsidRPr="00CB5F25">
        <w:rPr>
          <w:i/>
        </w:rPr>
        <w:t>Chronic Lymphocytic Leukaemia/Small Lymphocytic Lymphoma</w:t>
      </w:r>
    </w:p>
    <w:p w14:paraId="48F34E01" w14:textId="74CACB39" w:rsidR="00424B9D" w:rsidRPr="00CB5F25" w:rsidRDefault="002F2938" w:rsidP="00CB5F25">
      <w:pPr>
        <w:ind w:left="720"/>
        <w:rPr>
          <w:i/>
        </w:rPr>
      </w:pPr>
      <w:r w:rsidRPr="00CB5F25">
        <w:rPr>
          <w:i/>
        </w:rPr>
        <w:lastRenderedPageBreak/>
        <w:t xml:space="preserve">Venclexta </w:t>
      </w:r>
      <w:r w:rsidR="00424B9D" w:rsidRPr="00CB5F25">
        <w:rPr>
          <w:i/>
        </w:rPr>
        <w:t xml:space="preserve">in combination with </w:t>
      </w:r>
      <w:proofErr w:type="spellStart"/>
      <w:r w:rsidR="00424B9D" w:rsidRPr="00CB5F25">
        <w:rPr>
          <w:i/>
        </w:rPr>
        <w:t>obinutuzumab</w:t>
      </w:r>
      <w:proofErr w:type="spellEnd"/>
      <w:r w:rsidR="00424B9D" w:rsidRPr="00CB5F25">
        <w:rPr>
          <w:i/>
        </w:rPr>
        <w:t xml:space="preserve"> is indicated for the treatment of patients with chronic lymphocytic leukaemia (CLL) or small lymphocytic lymphoma (SLL) who are considered unfit or unsuitable for chemo-immunotherapy.</w:t>
      </w:r>
    </w:p>
    <w:p w14:paraId="39044B6A" w14:textId="04D95E7F" w:rsidR="00424B9D" w:rsidRPr="00CB5F25" w:rsidRDefault="002F2938" w:rsidP="00CB5F25">
      <w:pPr>
        <w:ind w:left="720"/>
        <w:rPr>
          <w:i/>
        </w:rPr>
      </w:pPr>
      <w:r w:rsidRPr="00CB5F25">
        <w:rPr>
          <w:i/>
        </w:rPr>
        <w:t xml:space="preserve">Venclexta </w:t>
      </w:r>
      <w:r w:rsidR="00424B9D" w:rsidRPr="00CB5F25">
        <w:rPr>
          <w:i/>
        </w:rPr>
        <w:t xml:space="preserve">in combination with rituximab is indicated for the treatment of adult patients with chronic lymphocytic leukaemia (CLL) who have received at least one prior therapy. </w:t>
      </w:r>
      <w:r w:rsidRPr="00CB5F25">
        <w:rPr>
          <w:i/>
        </w:rPr>
        <w:t xml:space="preserve">Venclexta </w:t>
      </w:r>
      <w:r w:rsidR="00424B9D" w:rsidRPr="00CB5F25">
        <w:rPr>
          <w:i/>
        </w:rPr>
        <w:t>monotherapy is indicated for the treatment of:</w:t>
      </w:r>
    </w:p>
    <w:p w14:paraId="74CDED2F" w14:textId="77777777" w:rsidR="00424B9D" w:rsidRPr="00CB5F25" w:rsidRDefault="00424B9D" w:rsidP="00CB5F25">
      <w:pPr>
        <w:pStyle w:val="ListBullet"/>
        <w:ind w:left="1080"/>
        <w:rPr>
          <w:i/>
        </w:rPr>
      </w:pPr>
      <w:r w:rsidRPr="00CB5F25">
        <w:rPr>
          <w:i/>
        </w:rPr>
        <w:t>patients with relapsed or refractory CLL with 17p deletion, or</w:t>
      </w:r>
    </w:p>
    <w:p w14:paraId="788A6D7D" w14:textId="220ADD0B" w:rsidR="00424B9D" w:rsidRPr="00CB5F25" w:rsidRDefault="00424B9D" w:rsidP="00CB5F25">
      <w:pPr>
        <w:pStyle w:val="ListBullet"/>
        <w:ind w:left="1080"/>
        <w:rPr>
          <w:i/>
        </w:rPr>
      </w:pPr>
      <w:r w:rsidRPr="00CB5F25">
        <w:rPr>
          <w:i/>
        </w:rPr>
        <w:t>patients with relapsed or refractory CLL for whom there are no other suitable treatment options.</w:t>
      </w:r>
    </w:p>
    <w:p w14:paraId="4FFD4BF5" w14:textId="77777777" w:rsidR="004F22AC" w:rsidRPr="00D23139" w:rsidRDefault="004F22AC" w:rsidP="004F22AC">
      <w:pPr>
        <w:pStyle w:val="Heading4"/>
      </w:pPr>
      <w:r w:rsidRPr="00D23139">
        <w:t>Specific conditions of registration applying to these goods</w:t>
      </w:r>
    </w:p>
    <w:p w14:paraId="55C6BA82" w14:textId="18CE9C92" w:rsidR="00424B9D" w:rsidRDefault="002F2938" w:rsidP="00CB5F25">
      <w:pPr>
        <w:pStyle w:val="ListBullet"/>
      </w:pPr>
      <w:r>
        <w:t>Venclexta (</w:t>
      </w:r>
      <w:proofErr w:type="spellStart"/>
      <w:r>
        <w:t>venetoclax</w:t>
      </w:r>
      <w:proofErr w:type="spellEnd"/>
      <w:r>
        <w:t>) is to be included in the Black Triangle Scheme. The PI and CMI for Venclexta must include the black triangle symbol and mandatory accompanying text for five years, which starts from the date the new indication is registered.</w:t>
      </w:r>
    </w:p>
    <w:p w14:paraId="43EDED5C" w14:textId="7A3B60CA" w:rsidR="00424B9D" w:rsidRDefault="002F2938" w:rsidP="00CB5F25">
      <w:pPr>
        <w:pStyle w:val="ListBullet"/>
        <w:rPr>
          <w:rFonts w:eastAsiaTheme="minorHAnsi" w:cs="Cambria"/>
        </w:rPr>
      </w:pPr>
      <w:r w:rsidRPr="002F2938">
        <w:rPr>
          <w:rFonts w:eastAsiaTheme="minorHAnsi" w:cs="Cambria"/>
        </w:rPr>
        <w:t>This approval does not impose any requirement for th</w:t>
      </w:r>
      <w:r>
        <w:rPr>
          <w:rFonts w:eastAsiaTheme="minorHAnsi" w:cs="Cambria"/>
        </w:rPr>
        <w:t xml:space="preserve">e submission of Periodic Safety </w:t>
      </w:r>
      <w:r w:rsidR="00A600F2">
        <w:rPr>
          <w:rFonts w:eastAsiaTheme="minorHAnsi" w:cs="Cambria"/>
        </w:rPr>
        <w:t>Update Reports (PSURs). The sponsor</w:t>
      </w:r>
      <w:r w:rsidRPr="002F2938">
        <w:rPr>
          <w:rFonts w:eastAsiaTheme="minorHAnsi" w:cs="Cambria"/>
        </w:rPr>
        <w:t xml:space="preserve"> should note that it is a requirement t</w:t>
      </w:r>
      <w:r>
        <w:rPr>
          <w:rFonts w:eastAsiaTheme="minorHAnsi" w:cs="Cambria"/>
        </w:rPr>
        <w:t xml:space="preserve">hat all existing requirements </w:t>
      </w:r>
      <w:r w:rsidRPr="002F2938">
        <w:rPr>
          <w:rFonts w:eastAsiaTheme="minorHAnsi" w:cs="Cambria"/>
        </w:rPr>
        <w:t>for the submission of PSURs as a consequence of the ini</w:t>
      </w:r>
      <w:r>
        <w:rPr>
          <w:rFonts w:eastAsiaTheme="minorHAnsi" w:cs="Cambria"/>
        </w:rPr>
        <w:t xml:space="preserve">tial registration or subsequent </w:t>
      </w:r>
      <w:r w:rsidRPr="002F2938">
        <w:rPr>
          <w:rFonts w:eastAsiaTheme="minorHAnsi" w:cs="Cambria"/>
        </w:rPr>
        <w:t>changes must be completed.</w:t>
      </w:r>
    </w:p>
    <w:p w14:paraId="19B7BDFD" w14:textId="77777777" w:rsidR="00424B9D" w:rsidRDefault="00424B9D" w:rsidP="00424B9D">
      <w:pPr>
        <w:pStyle w:val="Heading2"/>
      </w:pPr>
      <w:bookmarkStart w:id="50" w:name="_Toc54165858"/>
      <w:r>
        <w:t>Attachment 1. Product Information</w:t>
      </w:r>
      <w:bookmarkEnd w:id="48"/>
      <w:bookmarkEnd w:id="49"/>
      <w:bookmarkEnd w:id="50"/>
    </w:p>
    <w:p w14:paraId="3900450A" w14:textId="0B27B72D" w:rsidR="00424B9D" w:rsidRDefault="00424B9D" w:rsidP="00424B9D">
      <w:r w:rsidRPr="002B3624">
        <w:t xml:space="preserve">The </w:t>
      </w:r>
      <w:r>
        <w:t>PI</w:t>
      </w:r>
      <w:r w:rsidRPr="002B3624">
        <w:t xml:space="preserve"> for </w:t>
      </w:r>
      <w:r>
        <w:t>Venclexta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TGA website at &lt;</w:t>
      </w:r>
      <w:hyperlink r:id="rId22" w:history="1">
        <w:r w:rsidRPr="007C6B9B">
          <w:rPr>
            <w:rStyle w:val="Hyperlink"/>
          </w:rPr>
          <w:t>https://www.tga.gov.au/product-information-pi</w:t>
        </w:r>
      </w:hyperlink>
      <w:r w:rsidRPr="007C6B9B">
        <w:t>&gt;.</w:t>
      </w:r>
    </w:p>
    <w:p w14:paraId="1E979659" w14:textId="77777777" w:rsidR="00424B9D" w:rsidRDefault="00424B9D" w:rsidP="00CB5F25">
      <w:pPr>
        <w:pStyle w:val="FootnoteText"/>
        <w:spacing w:before="120" w:after="120"/>
        <w:rPr>
          <w:lang w:eastAsia="ja-JP"/>
        </w:rPr>
      </w:pPr>
    </w:p>
    <w:p w14:paraId="386F8FFA" w14:textId="77777777"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4F16177C" w14:textId="77777777" w:rsidTr="00A05FA4">
        <w:trPr>
          <w:trHeight w:hRule="exact" w:val="704"/>
        </w:trPr>
        <w:tc>
          <w:tcPr>
            <w:tcW w:w="9175" w:type="dxa"/>
          </w:tcPr>
          <w:p w14:paraId="2AF333C7" w14:textId="77777777" w:rsidR="001C32CD" w:rsidRPr="00487162" w:rsidRDefault="001C32CD" w:rsidP="00A05FA4">
            <w:pPr>
              <w:pStyle w:val="TGASignoff"/>
            </w:pPr>
            <w:r w:rsidRPr="00487162">
              <w:lastRenderedPageBreak/>
              <w:t>Therapeutic Goods Administration</w:t>
            </w:r>
          </w:p>
        </w:tc>
      </w:tr>
      <w:tr w:rsidR="001C32CD" w:rsidRPr="004C239D" w14:paraId="37704C4C" w14:textId="77777777" w:rsidTr="00A05FA4">
        <w:trPr>
          <w:trHeight w:val="1221"/>
        </w:trPr>
        <w:tc>
          <w:tcPr>
            <w:tcW w:w="9175" w:type="dxa"/>
            <w:tcMar>
              <w:top w:w="28" w:type="dxa"/>
            </w:tcMar>
          </w:tcPr>
          <w:p w14:paraId="1D8FC0BF" w14:textId="77777777" w:rsidR="001C32CD" w:rsidRPr="00487162" w:rsidRDefault="001C32CD" w:rsidP="00A05FA4">
            <w:pPr>
              <w:pStyle w:val="Address"/>
            </w:pPr>
            <w:r w:rsidRPr="00487162">
              <w:t>PO Box 100 Woden ACT 2606 Australia</w:t>
            </w:r>
          </w:p>
          <w:p w14:paraId="2EE22AEA" w14:textId="0DAAF080" w:rsidR="001C32CD" w:rsidRPr="00487162" w:rsidRDefault="001C32CD" w:rsidP="00A05FA4">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14:paraId="35953072" w14:textId="71D905FC" w:rsidR="001C32CD" w:rsidRPr="004C239D" w:rsidRDefault="00EA73E6"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14:paraId="6A2BD301" w14:textId="77777777"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DB17" w16cex:dateUtc="2020-09-02T13:49:00Z"/>
  <w16cex:commentExtensible w16cex:durableId="22FA02E2" w16cex:dateUtc="2020-09-02T16:39:00Z"/>
  <w16cex:commentExtensible w16cex:durableId="22FA0316" w16cex:dateUtc="2020-09-02T16:40:00Z"/>
  <w16cex:commentExtensible w16cex:durableId="22FCC926" w16cex:dateUtc="2020-09-04T19:09:00Z"/>
  <w16cex:commentExtensible w16cex:durableId="22F9F64E" w16cex:dateUtc="2020-09-02T15:45:00Z"/>
  <w16cex:commentExtensible w16cex:durableId="22F9F5C2" w16cex:dateUtc="2020-09-02T15:43:00Z"/>
  <w16cex:commentExtensible w16cex:durableId="22F9F6BE" w16cex:dateUtc="2020-09-02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44DD1C" w16cid:durableId="22F9DB17"/>
  <w16cid:commentId w16cid:paraId="7C040937" w16cid:durableId="22FA02E2"/>
  <w16cid:commentId w16cid:paraId="65EDF053" w16cid:durableId="22FA0316"/>
  <w16cid:commentId w16cid:paraId="47090817" w16cid:durableId="22FCC926"/>
  <w16cid:commentId w16cid:paraId="41CFAC46" w16cid:durableId="22F9F64E"/>
  <w16cid:commentId w16cid:paraId="3AF146EC" w16cid:durableId="22F9F5C2"/>
  <w16cid:commentId w16cid:paraId="1115D613" w16cid:durableId="22F9F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DA2F" w14:textId="77777777" w:rsidR="00EA73E6" w:rsidRDefault="00EA73E6" w:rsidP="00C40A36">
      <w:pPr>
        <w:spacing w:after="0"/>
      </w:pPr>
      <w:r>
        <w:separator/>
      </w:r>
    </w:p>
  </w:endnote>
  <w:endnote w:type="continuationSeparator" w:id="0">
    <w:p w14:paraId="3B502E82" w14:textId="77777777" w:rsidR="00EA73E6" w:rsidRDefault="00EA73E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6C2D" w14:textId="77777777" w:rsidR="00EA73E6" w:rsidRDefault="00EA7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A73E6" w:rsidRPr="00487162" w14:paraId="07912AE6" w14:textId="77777777" w:rsidTr="00DB750B">
      <w:trPr>
        <w:trHeight w:val="269"/>
      </w:trPr>
      <w:tc>
        <w:tcPr>
          <w:tcW w:w="7371" w:type="dxa"/>
          <w:tcMar>
            <w:top w:w="142" w:type="dxa"/>
            <w:bottom w:w="0" w:type="dxa"/>
          </w:tcMar>
        </w:tcPr>
        <w:p w14:paraId="13625BF4" w14:textId="1DA6DB5E" w:rsidR="00EA73E6" w:rsidRPr="00487162" w:rsidRDefault="00EA73E6" w:rsidP="004B246B">
          <w:pPr>
            <w:pStyle w:val="Footer"/>
          </w:pPr>
          <w:r w:rsidRPr="00487162">
            <w:t>AusPA</w:t>
          </w:r>
          <w:r>
            <w:t xml:space="preserve">R – Venclexta </w:t>
          </w:r>
          <w:r w:rsidRPr="00460036">
            <w:t xml:space="preserve">– </w:t>
          </w:r>
          <w:proofErr w:type="spellStart"/>
          <w:r>
            <w:t>venetoclax</w:t>
          </w:r>
          <w:proofErr w:type="spellEnd"/>
          <w:r w:rsidRPr="00460036">
            <w:t xml:space="preserve"> </w:t>
          </w:r>
          <w:r>
            <w:t>– AbbVie Pty Ltd - PM-2019-01011-1-6</w:t>
          </w:r>
          <w:r>
            <w:br/>
            <w:t>FINAL - 9 October 2020</w:t>
          </w:r>
        </w:p>
      </w:tc>
      <w:tc>
        <w:tcPr>
          <w:tcW w:w="1490" w:type="dxa"/>
          <w:tcMar>
            <w:top w:w="142" w:type="dxa"/>
            <w:bottom w:w="0" w:type="dxa"/>
          </w:tcMar>
        </w:tcPr>
        <w:p w14:paraId="3F6E5A76" w14:textId="25722258" w:rsidR="00EA73E6" w:rsidRPr="00487162" w:rsidRDefault="00EA73E6" w:rsidP="00DB750B">
          <w:pPr>
            <w:pStyle w:val="Footer"/>
            <w:jc w:val="right"/>
          </w:pPr>
          <w:r w:rsidRPr="00487162">
            <w:t xml:space="preserve">Page </w:t>
          </w:r>
          <w:r>
            <w:fldChar w:fldCharType="begin"/>
          </w:r>
          <w:r>
            <w:instrText xml:space="preserve"> PAGE  \* Arabic </w:instrText>
          </w:r>
          <w:r>
            <w:fldChar w:fldCharType="separate"/>
          </w:r>
          <w:r w:rsidR="00FC46C6">
            <w:rPr>
              <w:noProof/>
            </w:rPr>
            <w:t>21</w:t>
          </w:r>
          <w:r>
            <w:fldChar w:fldCharType="end"/>
          </w:r>
          <w:r w:rsidRPr="00487162">
            <w:t xml:space="preserve"> of </w:t>
          </w:r>
          <w:fldSimple w:instr=" NUMPAGES  \* Arabic ">
            <w:r w:rsidR="00FC46C6">
              <w:rPr>
                <w:noProof/>
              </w:rPr>
              <w:t>23</w:t>
            </w:r>
          </w:fldSimple>
        </w:p>
      </w:tc>
    </w:tr>
  </w:tbl>
  <w:p w14:paraId="67277EB6" w14:textId="77777777" w:rsidR="00EA73E6" w:rsidRDefault="00EA73E6"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273E" w14:textId="77777777" w:rsidR="00EA73E6" w:rsidRDefault="00EA73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A73E6" w:rsidRPr="00487162" w14:paraId="1BE0DE91" w14:textId="77777777" w:rsidTr="00E45619">
      <w:trPr>
        <w:trHeight w:val="269"/>
      </w:trPr>
      <w:tc>
        <w:tcPr>
          <w:tcW w:w="4519" w:type="dxa"/>
          <w:tcBorders>
            <w:top w:val="single" w:sz="4" w:space="0" w:color="auto"/>
          </w:tcBorders>
          <w:tcMar>
            <w:top w:w="142" w:type="dxa"/>
            <w:bottom w:w="0" w:type="dxa"/>
          </w:tcMar>
        </w:tcPr>
        <w:p w14:paraId="4A7D29CC" w14:textId="77777777" w:rsidR="00EA73E6" w:rsidRPr="00487162" w:rsidRDefault="00EA73E6" w:rsidP="00FE1DEE">
          <w:pPr>
            <w:pStyle w:val="Footer"/>
          </w:pPr>
          <w:r w:rsidRPr="00487162">
            <w:t>Document title, Part #, Section # - Section title</w:t>
          </w:r>
        </w:p>
        <w:p w14:paraId="3EB95A9D" w14:textId="77777777" w:rsidR="00EA73E6" w:rsidRPr="00487162" w:rsidRDefault="00EA73E6" w:rsidP="00FE1DEE">
          <w:pPr>
            <w:pStyle w:val="Footer"/>
          </w:pPr>
          <w:r w:rsidRPr="00487162">
            <w:t>V1.0 October 2010</w:t>
          </w:r>
        </w:p>
      </w:tc>
      <w:tc>
        <w:tcPr>
          <w:tcW w:w="4342" w:type="dxa"/>
          <w:tcBorders>
            <w:top w:val="single" w:sz="4" w:space="0" w:color="auto"/>
          </w:tcBorders>
          <w:tcMar>
            <w:top w:w="142" w:type="dxa"/>
            <w:bottom w:w="0" w:type="dxa"/>
          </w:tcMar>
        </w:tcPr>
        <w:p w14:paraId="67D61B44" w14:textId="77777777" w:rsidR="00EA73E6" w:rsidRPr="00487162" w:rsidRDefault="00EA73E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1CC71281" w14:textId="77777777" w:rsidR="00EA73E6" w:rsidRDefault="00EA73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2CA8" w14:textId="77777777" w:rsidR="00EA73E6" w:rsidRPr="001C32CD" w:rsidRDefault="00EA73E6"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A73E6" w14:paraId="2667FAFA" w14:textId="77777777" w:rsidTr="0010601F">
      <w:trPr>
        <w:trHeight w:val="108"/>
      </w:trPr>
      <w:tc>
        <w:tcPr>
          <w:tcW w:w="8875" w:type="dxa"/>
          <w:gridSpan w:val="2"/>
          <w:tcBorders>
            <w:bottom w:val="single" w:sz="4" w:space="0" w:color="auto"/>
          </w:tcBorders>
          <w:tcMar>
            <w:right w:w="284" w:type="dxa"/>
          </w:tcMar>
        </w:tcPr>
        <w:p w14:paraId="0F90B503" w14:textId="77777777" w:rsidR="00EA73E6" w:rsidRDefault="00EA73E6" w:rsidP="006E08B3">
          <w:pPr>
            <w:pStyle w:val="Heading3"/>
          </w:pPr>
          <w:r>
            <w:t>Copyright</w:t>
          </w:r>
        </w:p>
        <w:p w14:paraId="3D7CE46B" w14:textId="77777777" w:rsidR="00EA73E6" w:rsidRDefault="00EA73E6" w:rsidP="006E08B3">
          <w:r>
            <w:rPr>
              <w:rFonts w:cs="Arial"/>
            </w:rPr>
            <w:t>©</w:t>
          </w:r>
          <w:r>
            <w:t xml:space="preserve"> Commonwealth of Australia [add year]</w:t>
          </w:r>
        </w:p>
        <w:p w14:paraId="7B53BCC7" w14:textId="77777777" w:rsidR="00EA73E6" w:rsidRDefault="00EA73E6" w:rsidP="006E08B3"/>
        <w:p w14:paraId="567E0B50" w14:textId="77777777" w:rsidR="00EA73E6" w:rsidRDefault="00EA73E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C84E0FE" w14:textId="77777777" w:rsidR="00EA73E6" w:rsidRDefault="00EA73E6" w:rsidP="006E08B3"/>
        <w:p w14:paraId="50B83D73" w14:textId="77777777" w:rsidR="00EA73E6" w:rsidRDefault="00EA73E6" w:rsidP="006E08B3">
          <w:pPr>
            <w:pStyle w:val="Heading3"/>
          </w:pPr>
          <w:r>
            <w:t>Confidentiality</w:t>
          </w:r>
        </w:p>
        <w:p w14:paraId="471A4210" w14:textId="77777777" w:rsidR="00EA73E6" w:rsidRDefault="00EA73E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5653F1F" w14:textId="77777777" w:rsidR="00EA73E6" w:rsidRDefault="00EA73E6" w:rsidP="006E08B3"/>
        <w:p w14:paraId="283363E7" w14:textId="77777777" w:rsidR="00EA73E6" w:rsidRDefault="00EA73E6" w:rsidP="006E08B3">
          <w:r>
            <w:t>For submission made by individuals, all personal details, other than your name, will be removed from your submission before it is published on the TGA’s Internet site.</w:t>
          </w:r>
        </w:p>
        <w:p w14:paraId="568C4E03" w14:textId="77777777" w:rsidR="00EA73E6" w:rsidRDefault="00EA73E6" w:rsidP="006E08B3"/>
        <w:p w14:paraId="5F99B2AA" w14:textId="77777777" w:rsidR="00EA73E6" w:rsidRDefault="00EA73E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EA73E6" w14:paraId="41EB356F" w14:textId="77777777" w:rsidTr="0010601F">
      <w:trPr>
        <w:trHeight w:val="417"/>
      </w:trPr>
      <w:tc>
        <w:tcPr>
          <w:tcW w:w="4519" w:type="dxa"/>
          <w:tcBorders>
            <w:top w:val="single" w:sz="4" w:space="0" w:color="auto"/>
          </w:tcBorders>
          <w:tcMar>
            <w:top w:w="142" w:type="dxa"/>
            <w:bottom w:w="0" w:type="dxa"/>
          </w:tcMar>
        </w:tcPr>
        <w:p w14:paraId="7E140CC7" w14:textId="77777777" w:rsidR="00EA73E6" w:rsidRDefault="00EA73E6" w:rsidP="006E08B3">
          <w:r>
            <w:t>Document title, Part #, Section # - Section title</w:t>
          </w:r>
        </w:p>
        <w:p w14:paraId="623B24D4" w14:textId="77777777" w:rsidR="00EA73E6" w:rsidRDefault="00EA73E6" w:rsidP="006E08B3">
          <w:r>
            <w:t>V1.0 October 2010</w:t>
          </w:r>
        </w:p>
      </w:tc>
      <w:tc>
        <w:tcPr>
          <w:tcW w:w="4356" w:type="dxa"/>
          <w:tcBorders>
            <w:top w:val="single" w:sz="4" w:space="0" w:color="auto"/>
          </w:tcBorders>
          <w:tcMar>
            <w:top w:w="142" w:type="dxa"/>
            <w:bottom w:w="0" w:type="dxa"/>
          </w:tcMar>
        </w:tcPr>
        <w:p w14:paraId="1200C0A5" w14:textId="77777777" w:rsidR="00EA73E6" w:rsidRDefault="00EA73E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776DC5B4" w14:textId="77777777" w:rsidR="00EA73E6" w:rsidRDefault="00EA73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E256" w14:textId="77777777" w:rsidR="00EA73E6" w:rsidRDefault="00EA73E6" w:rsidP="00C40A36">
      <w:pPr>
        <w:spacing w:after="0"/>
      </w:pPr>
      <w:r>
        <w:separator/>
      </w:r>
    </w:p>
  </w:footnote>
  <w:footnote w:type="continuationSeparator" w:id="0">
    <w:p w14:paraId="0993B91A" w14:textId="77777777" w:rsidR="00EA73E6" w:rsidRDefault="00EA73E6" w:rsidP="00C40A36">
      <w:pPr>
        <w:spacing w:after="0"/>
      </w:pPr>
      <w:r>
        <w:continuationSeparator/>
      </w:r>
    </w:p>
  </w:footnote>
  <w:footnote w:id="1">
    <w:p w14:paraId="3F4BA929" w14:textId="77777777" w:rsidR="00EA73E6" w:rsidRDefault="00EA73E6" w:rsidP="00424B9D">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BF7D091" w14:textId="645CD3BF" w:rsidR="00EA73E6" w:rsidRDefault="00EA73E6">
      <w:pPr>
        <w:pStyle w:val="FootnoteText"/>
      </w:pPr>
      <w:r>
        <w:rPr>
          <w:rStyle w:val="FootnoteReference"/>
        </w:rPr>
        <w:footnoteRef/>
      </w:r>
      <w:r>
        <w:t xml:space="preserve"> Cancer Australia CLL Statistics. Accessed May 2019 at </w:t>
      </w:r>
      <w:hyperlink r:id="rId1" w:history="1">
        <w:r w:rsidRPr="00203CCD">
          <w:rPr>
            <w:rStyle w:val="Hyperlink"/>
          </w:rPr>
          <w:t>https://canceraustralia.gov.au/affected-cancer/cancer-types/leukaemia/chronic-lymphocytic-leukaemia-statistics</w:t>
        </w:r>
      </w:hyperlink>
    </w:p>
  </w:footnote>
  <w:footnote w:id="3">
    <w:p w14:paraId="49C67D83" w14:textId="19920EC7" w:rsidR="00EA73E6" w:rsidRPr="00D80838" w:rsidRDefault="00EA73E6" w:rsidP="00CB5F25">
      <w:pPr>
        <w:spacing w:before="0" w:after="0" w:line="240" w:lineRule="auto"/>
        <w:rPr>
          <w:rStyle w:val="FootnoteTextChar"/>
        </w:rPr>
      </w:pPr>
      <w:r>
        <w:rPr>
          <w:rStyle w:val="FootnoteReference"/>
        </w:rPr>
        <w:footnoteRef/>
      </w:r>
      <w:r>
        <w:t xml:space="preserve"> </w:t>
      </w:r>
      <w:proofErr w:type="spellStart"/>
      <w:r w:rsidRPr="004B246B">
        <w:rPr>
          <w:rStyle w:val="FootnoteTextChar"/>
        </w:rPr>
        <w:t>Swerdlow</w:t>
      </w:r>
      <w:proofErr w:type="spellEnd"/>
      <w:r w:rsidRPr="004B246B">
        <w:rPr>
          <w:rStyle w:val="FootnoteTextChar"/>
        </w:rPr>
        <w:t xml:space="preserve">, S.H. et al. </w:t>
      </w:r>
      <w:r w:rsidRPr="00D80838">
        <w:rPr>
          <w:rStyle w:val="FootnoteTextChar"/>
        </w:rPr>
        <w:t>The 2016 revision of the World Health Organization classification of lymphoid neoplasms, Blood, 2016; 127 (20): 2375-2390.</w:t>
      </w:r>
    </w:p>
  </w:footnote>
  <w:footnote w:id="4">
    <w:p w14:paraId="77D48E97" w14:textId="77777777" w:rsidR="00EA73E6" w:rsidRDefault="00EA73E6" w:rsidP="00266B75">
      <w:pPr>
        <w:pStyle w:val="FootnoteText"/>
      </w:pPr>
      <w:r>
        <w:rPr>
          <w:rStyle w:val="FootnoteReference"/>
        </w:rPr>
        <w:footnoteRef/>
      </w:r>
      <w:r>
        <w:t xml:space="preserve"> </w:t>
      </w:r>
      <w:r w:rsidRPr="004F1766">
        <w:t xml:space="preserve">As part of the </w:t>
      </w:r>
      <w:r w:rsidRPr="004F1766">
        <w:rPr>
          <w:b/>
        </w:rPr>
        <w:t>provisional approval pathway</w:t>
      </w:r>
      <w:r w:rsidRPr="004F1766">
        <w:t xml:space="preserve">, the provisional registration process will allow certain medicines to be provisionally registered in the Australian Register of Therapeutic Goods (ARTG) for a limited duration. These medicines are registered on the basis of preliminary clinical data, </w:t>
      </w:r>
      <w:r w:rsidRPr="00EB50A5">
        <w:t>where there is the potential for a substantial</w:t>
      </w:r>
      <w:r>
        <w:t xml:space="preserve"> benefit to Australian patients</w:t>
      </w:r>
      <w:r w:rsidRPr="004F1766">
        <w:t>.</w:t>
      </w:r>
      <w:r>
        <w:t xml:space="preserve"> The TGA</w:t>
      </w:r>
      <w:r w:rsidRPr="00EB50A5">
        <w:t xml:space="preserve">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44C98555" w14:textId="306F22C1" w:rsidR="00EA73E6" w:rsidRDefault="00EA73E6" w:rsidP="00266B75">
      <w:pPr>
        <w:pStyle w:val="FootnoteText"/>
      </w:pPr>
      <w:r>
        <w:t xml:space="preserve">The sponsor may apply to </w:t>
      </w:r>
      <w:r w:rsidRPr="00CF146B">
        <w:t xml:space="preserve">transition to full registration at any time up until the provisional registration lapse date, </w:t>
      </w:r>
      <w:r>
        <w:t>once they have</w:t>
      </w:r>
      <w:r w:rsidRPr="00CF146B">
        <w:t xml:space="preserve"> completed the obligations outlined for the provisional registration period and complete confirmatory data on safety and efficacy are available.</w:t>
      </w:r>
    </w:p>
  </w:footnote>
  <w:footnote w:id="5">
    <w:p w14:paraId="48A9A61F" w14:textId="5BBFD359" w:rsidR="00EA73E6" w:rsidRPr="004B246B" w:rsidRDefault="00EA73E6" w:rsidP="00D8079A">
      <w:pPr>
        <w:pStyle w:val="FootnoteText"/>
        <w:rPr>
          <w:lang w:val="en-US"/>
        </w:rPr>
      </w:pPr>
      <w:r>
        <w:rPr>
          <w:rStyle w:val="FootnoteReference"/>
        </w:rPr>
        <w:footnoteRef/>
      </w:r>
      <w:r>
        <w:t xml:space="preserve"> </w:t>
      </w:r>
      <w:r>
        <w:rPr>
          <w:lang w:val="en-US"/>
        </w:rPr>
        <w:t xml:space="preserve">Note: Submissions PM-2018-05208-1-6 and PM-2019-04393-1-6 related to the extension of AML indication application listed above were received for this indication on 31 January 2019 (approved on 28 January 2020 and 5 February respectively); evaluation of these separate submissions were ongoing concurrently when the dossier for Submission PM-2019-01001-1-6 (as discussed in this AusPAR) was accepted and the first round evaluation commenced (30 April 2019). Further details of the submissions can be found in the relevant AusPAR for these submissions at </w:t>
      </w:r>
      <w:r w:rsidRPr="00BE0488">
        <w:rPr>
          <w:lang w:val="en-US"/>
        </w:rPr>
        <w:t>https://www.tga.gov.au/auspar/auspar-venetoclax-0</w:t>
      </w:r>
    </w:p>
  </w:footnote>
  <w:footnote w:id="6">
    <w:p w14:paraId="76687450" w14:textId="13FD2597" w:rsidR="00EA73E6" w:rsidRPr="004B246B" w:rsidRDefault="00EA73E6" w:rsidP="001017C6">
      <w:pPr>
        <w:pStyle w:val="FootnoteText"/>
        <w:rPr>
          <w:lang w:val="en-US"/>
        </w:rPr>
      </w:pPr>
      <w:r>
        <w:rPr>
          <w:rStyle w:val="FootnoteReference"/>
        </w:rPr>
        <w:footnoteRef/>
      </w:r>
      <w:r>
        <w:t xml:space="preserve"> </w:t>
      </w:r>
      <w:r>
        <w:rPr>
          <w:lang w:val="en-US"/>
        </w:rPr>
        <w:t xml:space="preserve">Study CLL14; title: </w:t>
      </w:r>
      <w:r w:rsidRPr="001017C6">
        <w:rPr>
          <w:lang w:val="en-US"/>
        </w:rPr>
        <w:t xml:space="preserve">A Study to Compare the Efficacy and Safety of </w:t>
      </w:r>
      <w:proofErr w:type="spellStart"/>
      <w:r w:rsidRPr="001017C6">
        <w:rPr>
          <w:lang w:val="en-US"/>
        </w:rPr>
        <w:t>Obinutuzumab</w:t>
      </w:r>
      <w:proofErr w:type="spellEnd"/>
      <w:r w:rsidRPr="001017C6">
        <w:rPr>
          <w:lang w:val="en-US"/>
        </w:rPr>
        <w:t xml:space="preserve"> + Venetoclax (GDC-0199) Versus </w:t>
      </w:r>
      <w:proofErr w:type="spellStart"/>
      <w:r w:rsidRPr="001017C6">
        <w:rPr>
          <w:lang w:val="en-US"/>
        </w:rPr>
        <w:t>Obinutuzumab</w:t>
      </w:r>
      <w:proofErr w:type="spellEnd"/>
      <w:r w:rsidRPr="001017C6">
        <w:rPr>
          <w:lang w:val="en-US"/>
        </w:rPr>
        <w:t xml:space="preserve"> + </w:t>
      </w:r>
      <w:proofErr w:type="spellStart"/>
      <w:r w:rsidRPr="001017C6">
        <w:rPr>
          <w:lang w:val="en-US"/>
        </w:rPr>
        <w:t>Chlorambucil</w:t>
      </w:r>
      <w:proofErr w:type="spellEnd"/>
      <w:r w:rsidRPr="001017C6">
        <w:rPr>
          <w:lang w:val="en-US"/>
        </w:rPr>
        <w:t xml:space="preserve"> in Participants With Chronic Lymphocytic Leukemia</w:t>
      </w:r>
      <w:r>
        <w:rPr>
          <w:lang w:val="en-US"/>
        </w:rPr>
        <w:t>. NCT identifier: </w:t>
      </w:r>
      <w:r w:rsidRPr="001017C6">
        <w:rPr>
          <w:lang w:val="en-US"/>
        </w:rPr>
        <w:t>NCT02242942</w:t>
      </w:r>
      <w:r>
        <w:rPr>
          <w:lang w:val="en-US"/>
        </w:rPr>
        <w:t xml:space="preserve">; </w:t>
      </w:r>
      <w:proofErr w:type="spellStart"/>
      <w:r>
        <w:rPr>
          <w:lang w:val="en-US"/>
        </w:rPr>
        <w:t>EudraCT</w:t>
      </w:r>
      <w:proofErr w:type="spellEnd"/>
      <w:r>
        <w:rPr>
          <w:lang w:val="en-US"/>
        </w:rPr>
        <w:t xml:space="preserve"> Number: </w:t>
      </w:r>
      <w:r w:rsidRPr="001017C6">
        <w:rPr>
          <w:lang w:val="en-US"/>
        </w:rPr>
        <w:t>2</w:t>
      </w:r>
      <w:r>
        <w:rPr>
          <w:lang w:val="en-US"/>
        </w:rPr>
        <w:t>014-001810-24; also known as Study BO25323.</w:t>
      </w:r>
    </w:p>
  </w:footnote>
  <w:footnote w:id="7">
    <w:p w14:paraId="5FA8FA93" w14:textId="3D0224A4" w:rsidR="00EA73E6" w:rsidRPr="004B246B" w:rsidRDefault="00EA73E6">
      <w:pPr>
        <w:pStyle w:val="FootnoteText"/>
        <w:rPr>
          <w:lang w:val="en-US"/>
        </w:rPr>
      </w:pPr>
      <w:r>
        <w:rPr>
          <w:rStyle w:val="FootnoteReference"/>
        </w:rPr>
        <w:footnoteRef/>
      </w:r>
      <w:r>
        <w:t xml:space="preserve"> </w:t>
      </w:r>
      <w:r>
        <w:rPr>
          <w:lang w:val="en-US"/>
        </w:rPr>
        <w:t xml:space="preserve">Study GP28331; title: </w:t>
      </w:r>
      <w:r w:rsidRPr="001017C6">
        <w:rPr>
          <w:lang w:val="en-US"/>
        </w:rPr>
        <w:t xml:space="preserve">A Study of Venetoclax in Combination With </w:t>
      </w:r>
      <w:proofErr w:type="spellStart"/>
      <w:r w:rsidRPr="001017C6">
        <w:rPr>
          <w:lang w:val="en-US"/>
        </w:rPr>
        <w:t>Obinutuzumab</w:t>
      </w:r>
      <w:proofErr w:type="spellEnd"/>
      <w:r w:rsidRPr="001017C6">
        <w:rPr>
          <w:lang w:val="en-US"/>
        </w:rPr>
        <w:t xml:space="preserve"> in Participants With Chronic Lymphocytic Leukemia</w:t>
      </w:r>
      <w:r>
        <w:rPr>
          <w:lang w:val="en-US"/>
        </w:rPr>
        <w:t xml:space="preserve">. NCT Identifier: </w:t>
      </w:r>
      <w:r w:rsidRPr="001017C6">
        <w:rPr>
          <w:lang w:val="en-US"/>
        </w:rPr>
        <w:t>NCT01685892</w:t>
      </w:r>
      <w:r>
        <w:rPr>
          <w:lang w:val="en-US"/>
        </w:rPr>
        <w:t xml:space="preserve">; </w:t>
      </w:r>
      <w:proofErr w:type="spellStart"/>
      <w:r>
        <w:rPr>
          <w:lang w:val="en-US"/>
        </w:rPr>
        <w:t>EudraCT</w:t>
      </w:r>
      <w:proofErr w:type="spellEnd"/>
      <w:r>
        <w:rPr>
          <w:lang w:val="en-US"/>
        </w:rPr>
        <w:t xml:space="preserve"> Number: </w:t>
      </w:r>
      <w:r w:rsidRPr="001017C6">
        <w:rPr>
          <w:lang w:val="en-US"/>
        </w:rPr>
        <w:t>2012-002038-34</w:t>
      </w:r>
      <w:r>
        <w:rPr>
          <w:lang w:val="en-US"/>
        </w:rPr>
        <w:t>.</w:t>
      </w:r>
    </w:p>
  </w:footnote>
  <w:footnote w:id="8">
    <w:p w14:paraId="0DD651BB" w14:textId="5C627588" w:rsidR="00EA73E6" w:rsidRDefault="00EA73E6">
      <w:pPr>
        <w:pStyle w:val="FootnoteText"/>
      </w:pPr>
      <w:r>
        <w:rPr>
          <w:rStyle w:val="FootnoteReference"/>
        </w:rPr>
        <w:footnoteRef/>
      </w:r>
      <w:r>
        <w:t xml:space="preserve"> The </w:t>
      </w:r>
      <w:r w:rsidRPr="00CB5F25">
        <w:rPr>
          <w:b/>
        </w:rPr>
        <w:t>Cumulative Illness Rating Scale (CIRS)</w:t>
      </w:r>
      <w:r>
        <w:t xml:space="preserve"> is a comorbidity scale that is used to assess physical and psychiatric impairment. Various body systems (for example cardiac, vascular and renal) are rated from 0 (no problem affecting that system) to 4 (extremely severe problem affecting that system) and the scores are tallied.</w:t>
      </w:r>
    </w:p>
  </w:footnote>
  <w:footnote w:id="9">
    <w:p w14:paraId="4BAC6D17" w14:textId="77777777" w:rsidR="00EA73E6" w:rsidRDefault="00EA73E6">
      <w:pPr>
        <w:pStyle w:val="FootnoteText"/>
      </w:pPr>
      <w:r>
        <w:rPr>
          <w:rStyle w:val="FootnoteReference"/>
        </w:rPr>
        <w:footnoteRef/>
      </w:r>
      <w:r>
        <w:t xml:space="preserve"> The </w:t>
      </w:r>
      <w:proofErr w:type="spellStart"/>
      <w:r w:rsidRPr="00CB5F25">
        <w:rPr>
          <w:b/>
        </w:rPr>
        <w:t>Binet</w:t>
      </w:r>
      <w:proofErr w:type="spellEnd"/>
      <w:r w:rsidRPr="00CB5F25">
        <w:rPr>
          <w:b/>
        </w:rPr>
        <w:t xml:space="preserve"> stage</w:t>
      </w:r>
      <w:r>
        <w:t xml:space="preserve"> system is used to classify CLL based on</w:t>
      </w:r>
      <w:r w:rsidRPr="00D9478F">
        <w:t xml:space="preserve"> the number of affected lym</w:t>
      </w:r>
      <w:r>
        <w:t xml:space="preserve">phoid tissues, presence of </w:t>
      </w:r>
      <w:r w:rsidRPr="00D9478F">
        <w:t>anaemia</w:t>
      </w:r>
      <w:r>
        <w:t xml:space="preserve"> and presence of</w:t>
      </w:r>
      <w:r w:rsidRPr="00D9478F">
        <w:t xml:space="preserve"> thrombocytopenia</w:t>
      </w:r>
      <w:r>
        <w:t>. There are 3 stages:</w:t>
      </w:r>
    </w:p>
    <w:p w14:paraId="30E1ECFD" w14:textId="77777777" w:rsidR="00EA73E6" w:rsidRDefault="00EA73E6">
      <w:pPr>
        <w:pStyle w:val="FootnoteText"/>
      </w:pPr>
      <w:r w:rsidRPr="00CB5F25">
        <w:rPr>
          <w:b/>
        </w:rPr>
        <w:t>Stage A</w:t>
      </w:r>
      <w:r>
        <w:t>: Less</w:t>
      </w:r>
      <w:r w:rsidRPr="00D9478F">
        <w:t xml:space="preserve"> than 3 areas of lymp</w:t>
      </w:r>
      <w:r>
        <w:t>hoid tissue are enlarged. N</w:t>
      </w:r>
      <w:r w:rsidRPr="00D9478F">
        <w:t>o anaemia or thrombocytopenia</w:t>
      </w:r>
      <w:r>
        <w:t xml:space="preserve"> is present</w:t>
      </w:r>
      <w:r w:rsidRPr="00D9478F">
        <w:t>.</w:t>
      </w:r>
    </w:p>
    <w:p w14:paraId="664D7362" w14:textId="77777777" w:rsidR="00EA73E6" w:rsidRDefault="00EA73E6">
      <w:pPr>
        <w:pStyle w:val="FootnoteText"/>
      </w:pPr>
      <w:r w:rsidRPr="00CB5F25">
        <w:rPr>
          <w:b/>
        </w:rPr>
        <w:t>Stage B</w:t>
      </w:r>
      <w:r>
        <w:t xml:space="preserve">: </w:t>
      </w:r>
      <w:r w:rsidRPr="00D9478F">
        <w:t>3 or more areas of lymp</w:t>
      </w:r>
      <w:r>
        <w:t>hoid tissue are enlarged. N</w:t>
      </w:r>
      <w:r w:rsidRPr="00D9478F">
        <w:t>o anaemia or thrombocytopenia</w:t>
      </w:r>
      <w:r>
        <w:t xml:space="preserve"> is present</w:t>
      </w:r>
      <w:r w:rsidRPr="00D9478F">
        <w:t>.</w:t>
      </w:r>
    </w:p>
    <w:p w14:paraId="44506FC3" w14:textId="3B168221" w:rsidR="00EA73E6" w:rsidRDefault="00EA73E6">
      <w:pPr>
        <w:pStyle w:val="FootnoteText"/>
      </w:pPr>
      <w:r w:rsidRPr="00CB5F25">
        <w:rPr>
          <w:b/>
        </w:rPr>
        <w:t>Stage C</w:t>
      </w:r>
      <w:r>
        <w:t xml:space="preserve">: </w:t>
      </w:r>
      <w:r w:rsidRPr="00D9478F">
        <w:t>Anaemia and/or thrombocytopenia are present. Any number of lymphoid tissue areas may be enlarged.</w:t>
      </w:r>
    </w:p>
  </w:footnote>
  <w:footnote w:id="10">
    <w:p w14:paraId="48F2B067" w14:textId="42CE5899" w:rsidR="00EA73E6" w:rsidRPr="004B246B" w:rsidRDefault="00EA73E6">
      <w:pPr>
        <w:pStyle w:val="FootnoteText"/>
        <w:rPr>
          <w:lang w:val="en-US"/>
        </w:rPr>
      </w:pPr>
      <w:r>
        <w:rPr>
          <w:rStyle w:val="FootnoteReference"/>
        </w:rPr>
        <w:footnoteRef/>
      </w:r>
      <w:r>
        <w:t xml:space="preserve"> Online s</w:t>
      </w:r>
      <w:r w:rsidRPr="00C64CFE">
        <w:t>upplement to: Fischer K, Al‐</w:t>
      </w:r>
      <w:proofErr w:type="spellStart"/>
      <w:r w:rsidRPr="00C64CFE">
        <w:t>Sawaf</w:t>
      </w:r>
      <w:proofErr w:type="spellEnd"/>
      <w:r w:rsidRPr="00C64CFE">
        <w:t xml:space="preserve"> O, </w:t>
      </w:r>
      <w:proofErr w:type="spellStart"/>
      <w:r w:rsidRPr="00C64CFE">
        <w:t>Bahlo</w:t>
      </w:r>
      <w:proofErr w:type="spellEnd"/>
      <w:r w:rsidRPr="00C64CFE">
        <w:t xml:space="preserve"> J, et al. Venetoclax and </w:t>
      </w:r>
      <w:proofErr w:type="spellStart"/>
      <w:r w:rsidRPr="00C64CFE">
        <w:t>obinutuzumab</w:t>
      </w:r>
      <w:proofErr w:type="spellEnd"/>
      <w:r w:rsidRPr="00C64CFE">
        <w:t xml:space="preserve"> in patients with CLL and coexisting conditions.</w:t>
      </w:r>
      <w:r>
        <w:t xml:space="preserve"> </w:t>
      </w:r>
      <w:r w:rsidRPr="004B246B">
        <w:rPr>
          <w:i/>
        </w:rPr>
        <w:t xml:space="preserve">N </w:t>
      </w:r>
      <w:proofErr w:type="spellStart"/>
      <w:r w:rsidRPr="004B246B">
        <w:rPr>
          <w:i/>
        </w:rPr>
        <w:t>Engl</w:t>
      </w:r>
      <w:proofErr w:type="spellEnd"/>
      <w:r w:rsidRPr="004B246B">
        <w:rPr>
          <w:i/>
        </w:rPr>
        <w:t xml:space="preserve"> J Med</w:t>
      </w:r>
      <w:r>
        <w:rPr>
          <w:i/>
        </w:rPr>
        <w:t>,</w:t>
      </w:r>
      <w:r>
        <w:t xml:space="preserve"> 2019; 380: 2225‐2236.</w:t>
      </w:r>
    </w:p>
  </w:footnote>
  <w:footnote w:id="11">
    <w:p w14:paraId="54A560A9" w14:textId="77777777" w:rsidR="00EA73E6" w:rsidRDefault="00EA73E6" w:rsidP="00424B9D">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77A1A45" w14:textId="77777777" w:rsidR="00EA73E6" w:rsidRPr="00456765" w:rsidRDefault="00EA73E6" w:rsidP="00424B9D">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A086" w14:textId="77777777" w:rsidR="00EA73E6" w:rsidRDefault="00EA7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31D5" w14:textId="77777777" w:rsidR="00EA73E6" w:rsidRDefault="00EA73E6"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AE5B" w14:textId="77777777" w:rsidR="00EA73E6" w:rsidRDefault="00EA73E6">
    <w:pPr>
      <w:rPr>
        <w:noProof/>
        <w:lang w:eastAsia="en-AU"/>
      </w:rPr>
    </w:pPr>
    <w:r w:rsidRPr="00347824">
      <w:rPr>
        <w:noProof/>
        <w:lang w:eastAsia="en-AU"/>
      </w:rPr>
      <w:drawing>
        <wp:anchor distT="0" distB="0" distL="114300" distR="114300" simplePos="0" relativeHeight="251658240" behindDoc="1" locked="0" layoutInCell="1" allowOverlap="1" wp14:anchorId="40B47489" wp14:editId="65E78C0D">
          <wp:simplePos x="0" y="0"/>
          <wp:positionH relativeFrom="column">
            <wp:posOffset>-1089660</wp:posOffset>
          </wp:positionH>
          <wp:positionV relativeFrom="paragraph">
            <wp:posOffset>-585470</wp:posOffset>
          </wp:positionV>
          <wp:extent cx="7572375" cy="10706100"/>
          <wp:effectExtent l="19050" t="0" r="0" b="0"/>
          <wp:wrapNone/>
          <wp:docPr id="2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F128CAF" w14:textId="77777777" w:rsidR="00EA73E6" w:rsidRDefault="00EA73E6" w:rsidP="00593AD1">
    <w:pPr>
      <w:pStyle w:val="HeaderNoLine"/>
    </w:pPr>
    <w:r>
      <w:rPr>
        <w:noProof/>
        <w:lang w:eastAsia="en-AU"/>
      </w:rPr>
      <w:drawing>
        <wp:inline distT="0" distB="0" distL="0" distR="0" wp14:anchorId="7EF4B838" wp14:editId="0D4C32F5">
          <wp:extent cx="5400675" cy="7639050"/>
          <wp:effectExtent l="0" t="0" r="9525" b="0"/>
          <wp:docPr id="24" name="Picture 2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808F" w14:textId="77777777" w:rsidR="00EA73E6" w:rsidRDefault="00EA73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AFFB5" w14:textId="77777777" w:rsidR="00EA73E6" w:rsidRDefault="00EA73E6">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4AAB8" w14:textId="77777777" w:rsidR="00EA73E6" w:rsidRDefault="00EA73E6">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10E7" w14:textId="77777777" w:rsidR="00EA73E6" w:rsidRDefault="00EA73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F16B" w14:textId="77777777" w:rsidR="00EA73E6" w:rsidRDefault="00EA73E6"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9967" w14:textId="77777777" w:rsidR="00EA73E6" w:rsidRDefault="00EA73E6" w:rsidP="006E08B3">
    <w:r>
      <w:t>Therapeutic Goods Administration</w:t>
    </w:r>
  </w:p>
  <w:p w14:paraId="0453C144" w14:textId="77777777" w:rsidR="00EA73E6" w:rsidRDefault="00EA73E6"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52C541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8C6721"/>
    <w:multiLevelType w:val="hybridMultilevel"/>
    <w:tmpl w:val="3758AB94"/>
    <w:lvl w:ilvl="0" w:tplc="0C322F78">
      <w:start w:val="6"/>
      <w:numFmt w:val="bullet"/>
      <w:lvlText w:val="•"/>
      <w:lvlJc w:val="left"/>
      <w:pPr>
        <w:ind w:left="2160" w:hanging="360"/>
      </w:pPr>
      <w:rPr>
        <w:rFonts w:ascii="Cambria" w:eastAsiaTheme="minorHAnsi" w:hAnsi="Cambria" w:cs="Cambria"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CB68138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8975392"/>
    <w:multiLevelType w:val="hybridMultilevel"/>
    <w:tmpl w:val="72DCC40E"/>
    <w:lvl w:ilvl="0" w:tplc="0C322F78">
      <w:start w:val="6"/>
      <w:numFmt w:val="bullet"/>
      <w:lvlText w:val="•"/>
      <w:lvlJc w:val="left"/>
      <w:pPr>
        <w:ind w:left="720" w:hanging="360"/>
      </w:pPr>
      <w:rPr>
        <w:rFonts w:ascii="Cambria" w:eastAsiaTheme="minorHAnsi"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37484"/>
    <w:multiLevelType w:val="hybridMultilevel"/>
    <w:tmpl w:val="98D842E4"/>
    <w:lvl w:ilvl="0" w:tplc="0C322F78">
      <w:start w:val="6"/>
      <w:numFmt w:val="bullet"/>
      <w:lvlText w:val="•"/>
      <w:lvlJc w:val="left"/>
      <w:pPr>
        <w:ind w:left="720" w:hanging="360"/>
      </w:pPr>
      <w:rPr>
        <w:rFonts w:ascii="Cambria" w:eastAsiaTheme="minorHAnsi"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D96703"/>
    <w:multiLevelType w:val="hybridMultilevel"/>
    <w:tmpl w:val="6A467164"/>
    <w:lvl w:ilvl="0" w:tplc="0C322F78">
      <w:start w:val="6"/>
      <w:numFmt w:val="bullet"/>
      <w:lvlText w:val="•"/>
      <w:lvlJc w:val="left"/>
      <w:pPr>
        <w:ind w:left="2160" w:hanging="360"/>
      </w:pPr>
      <w:rPr>
        <w:rFonts w:ascii="Cambria" w:eastAsiaTheme="minorHAnsi" w:hAnsi="Cambria" w:cs="Cambria"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5"/>
  </w:num>
  <w:num w:numId="29">
    <w:abstractNumId w:val="7"/>
  </w:num>
  <w:num w:numId="30">
    <w:abstractNumId w:val="11"/>
  </w:num>
  <w:num w:numId="31">
    <w:abstractNumId w:val="4"/>
  </w:num>
  <w:num w:numId="32">
    <w:abstractNumId w:val="14"/>
  </w:num>
  <w:num w:numId="33">
    <w:abstractNumId w:val="12"/>
  </w:num>
  <w:num w:numId="34">
    <w:abstractNumId w:val="9"/>
  </w:num>
  <w:num w:numId="35">
    <w:abstractNumId w:val="16"/>
  </w:num>
  <w:num w:numId="36">
    <w:abstractNumId w:val="10"/>
  </w:num>
  <w:num w:numId="37">
    <w:abstractNumId w:val="5"/>
  </w:num>
  <w:num w:numId="38">
    <w:abstractNumId w:val="8"/>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9D"/>
    <w:rsid w:val="00002031"/>
    <w:rsid w:val="00004734"/>
    <w:rsid w:val="00006B22"/>
    <w:rsid w:val="00006FAB"/>
    <w:rsid w:val="0001276A"/>
    <w:rsid w:val="000246AE"/>
    <w:rsid w:val="00025C67"/>
    <w:rsid w:val="0002641A"/>
    <w:rsid w:val="00044772"/>
    <w:rsid w:val="0004541C"/>
    <w:rsid w:val="0005559E"/>
    <w:rsid w:val="000604D6"/>
    <w:rsid w:val="000734D8"/>
    <w:rsid w:val="00077775"/>
    <w:rsid w:val="00090471"/>
    <w:rsid w:val="00090B2F"/>
    <w:rsid w:val="00094C3E"/>
    <w:rsid w:val="00096AA7"/>
    <w:rsid w:val="000A3AED"/>
    <w:rsid w:val="000B3532"/>
    <w:rsid w:val="000B3A75"/>
    <w:rsid w:val="000B41CB"/>
    <w:rsid w:val="000C00C2"/>
    <w:rsid w:val="000C690F"/>
    <w:rsid w:val="000C70A9"/>
    <w:rsid w:val="000D1295"/>
    <w:rsid w:val="000D391B"/>
    <w:rsid w:val="000D3D6D"/>
    <w:rsid w:val="000D4FC7"/>
    <w:rsid w:val="000E190D"/>
    <w:rsid w:val="000E602D"/>
    <w:rsid w:val="000E6196"/>
    <w:rsid w:val="000F4869"/>
    <w:rsid w:val="000F5B42"/>
    <w:rsid w:val="000F6E6F"/>
    <w:rsid w:val="001017C6"/>
    <w:rsid w:val="001023CA"/>
    <w:rsid w:val="0010601F"/>
    <w:rsid w:val="00106D85"/>
    <w:rsid w:val="0010788A"/>
    <w:rsid w:val="00107A31"/>
    <w:rsid w:val="00110EA5"/>
    <w:rsid w:val="00112691"/>
    <w:rsid w:val="00112F56"/>
    <w:rsid w:val="00116FC5"/>
    <w:rsid w:val="00124ACD"/>
    <w:rsid w:val="00125318"/>
    <w:rsid w:val="001305A2"/>
    <w:rsid w:val="00133238"/>
    <w:rsid w:val="00133A1B"/>
    <w:rsid w:val="0014197B"/>
    <w:rsid w:val="001447CD"/>
    <w:rsid w:val="001516B1"/>
    <w:rsid w:val="0015301D"/>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1CF8"/>
    <w:rsid w:val="001D2984"/>
    <w:rsid w:val="001D5590"/>
    <w:rsid w:val="001D7C25"/>
    <w:rsid w:val="001E07CF"/>
    <w:rsid w:val="001E59F1"/>
    <w:rsid w:val="001E5DE5"/>
    <w:rsid w:val="001F2CEE"/>
    <w:rsid w:val="001F49EB"/>
    <w:rsid w:val="001F6CBA"/>
    <w:rsid w:val="00201D4E"/>
    <w:rsid w:val="002076C9"/>
    <w:rsid w:val="00211BC6"/>
    <w:rsid w:val="0021669B"/>
    <w:rsid w:val="00220B8A"/>
    <w:rsid w:val="00223831"/>
    <w:rsid w:val="002257F3"/>
    <w:rsid w:val="00233158"/>
    <w:rsid w:val="00233456"/>
    <w:rsid w:val="002339A5"/>
    <w:rsid w:val="00234AA9"/>
    <w:rsid w:val="00250271"/>
    <w:rsid w:val="00257848"/>
    <w:rsid w:val="002578E8"/>
    <w:rsid w:val="002602E7"/>
    <w:rsid w:val="00266B75"/>
    <w:rsid w:val="00267F69"/>
    <w:rsid w:val="0027084A"/>
    <w:rsid w:val="00271DB2"/>
    <w:rsid w:val="00280265"/>
    <w:rsid w:val="00286434"/>
    <w:rsid w:val="00286C59"/>
    <w:rsid w:val="00291957"/>
    <w:rsid w:val="002942D1"/>
    <w:rsid w:val="0029501A"/>
    <w:rsid w:val="002A3721"/>
    <w:rsid w:val="002B1638"/>
    <w:rsid w:val="002B3624"/>
    <w:rsid w:val="002D0952"/>
    <w:rsid w:val="002E40B3"/>
    <w:rsid w:val="002E4C9A"/>
    <w:rsid w:val="002F11F8"/>
    <w:rsid w:val="002F2938"/>
    <w:rsid w:val="002F3F56"/>
    <w:rsid w:val="002F44B5"/>
    <w:rsid w:val="002F5122"/>
    <w:rsid w:val="00305B54"/>
    <w:rsid w:val="00311AC0"/>
    <w:rsid w:val="0031318B"/>
    <w:rsid w:val="003176FC"/>
    <w:rsid w:val="0032583B"/>
    <w:rsid w:val="00327883"/>
    <w:rsid w:val="00335504"/>
    <w:rsid w:val="003406D7"/>
    <w:rsid w:val="00340C18"/>
    <w:rsid w:val="003442FD"/>
    <w:rsid w:val="00347824"/>
    <w:rsid w:val="00350567"/>
    <w:rsid w:val="003521E8"/>
    <w:rsid w:val="003569B2"/>
    <w:rsid w:val="00370CE3"/>
    <w:rsid w:val="003728F3"/>
    <w:rsid w:val="003735BC"/>
    <w:rsid w:val="0037496E"/>
    <w:rsid w:val="00383221"/>
    <w:rsid w:val="00386150"/>
    <w:rsid w:val="003874CE"/>
    <w:rsid w:val="00390900"/>
    <w:rsid w:val="003933FF"/>
    <w:rsid w:val="003A7F6C"/>
    <w:rsid w:val="003B11A0"/>
    <w:rsid w:val="003B4D60"/>
    <w:rsid w:val="003B7E39"/>
    <w:rsid w:val="003C3191"/>
    <w:rsid w:val="003C58DC"/>
    <w:rsid w:val="003D1E62"/>
    <w:rsid w:val="003E0B99"/>
    <w:rsid w:val="003E2486"/>
    <w:rsid w:val="003E3208"/>
    <w:rsid w:val="003E788A"/>
    <w:rsid w:val="003F0B04"/>
    <w:rsid w:val="00400A7D"/>
    <w:rsid w:val="0040134E"/>
    <w:rsid w:val="00424B9D"/>
    <w:rsid w:val="004334C7"/>
    <w:rsid w:val="00440A2D"/>
    <w:rsid w:val="00441C3F"/>
    <w:rsid w:val="00444D1A"/>
    <w:rsid w:val="0045186A"/>
    <w:rsid w:val="00451F7F"/>
    <w:rsid w:val="004545E8"/>
    <w:rsid w:val="00454E6D"/>
    <w:rsid w:val="004564A7"/>
    <w:rsid w:val="00456765"/>
    <w:rsid w:val="00460036"/>
    <w:rsid w:val="004617BF"/>
    <w:rsid w:val="00463658"/>
    <w:rsid w:val="004637A0"/>
    <w:rsid w:val="00471D03"/>
    <w:rsid w:val="004722CC"/>
    <w:rsid w:val="00490483"/>
    <w:rsid w:val="00491D68"/>
    <w:rsid w:val="004936E4"/>
    <w:rsid w:val="00494E60"/>
    <w:rsid w:val="00497487"/>
    <w:rsid w:val="004A2771"/>
    <w:rsid w:val="004A6189"/>
    <w:rsid w:val="004A7390"/>
    <w:rsid w:val="004B0213"/>
    <w:rsid w:val="004B246B"/>
    <w:rsid w:val="004B7B76"/>
    <w:rsid w:val="004C239D"/>
    <w:rsid w:val="004C2DCA"/>
    <w:rsid w:val="004C4FBE"/>
    <w:rsid w:val="004C61D2"/>
    <w:rsid w:val="004D7344"/>
    <w:rsid w:val="004F0C4A"/>
    <w:rsid w:val="004F0F38"/>
    <w:rsid w:val="004F22AC"/>
    <w:rsid w:val="004F47D6"/>
    <w:rsid w:val="00500337"/>
    <w:rsid w:val="00501921"/>
    <w:rsid w:val="00522AF7"/>
    <w:rsid w:val="00530354"/>
    <w:rsid w:val="0053625B"/>
    <w:rsid w:val="005434C6"/>
    <w:rsid w:val="00543B39"/>
    <w:rsid w:val="00546154"/>
    <w:rsid w:val="00550096"/>
    <w:rsid w:val="00555280"/>
    <w:rsid w:val="005568D2"/>
    <w:rsid w:val="00557FF9"/>
    <w:rsid w:val="00562327"/>
    <w:rsid w:val="005711D5"/>
    <w:rsid w:val="00576378"/>
    <w:rsid w:val="00577130"/>
    <w:rsid w:val="00577945"/>
    <w:rsid w:val="00577E38"/>
    <w:rsid w:val="00585322"/>
    <w:rsid w:val="005857C6"/>
    <w:rsid w:val="00591867"/>
    <w:rsid w:val="00592F6E"/>
    <w:rsid w:val="00593AD1"/>
    <w:rsid w:val="005A68B6"/>
    <w:rsid w:val="005C5570"/>
    <w:rsid w:val="005C5B66"/>
    <w:rsid w:val="005C79A4"/>
    <w:rsid w:val="005D5442"/>
    <w:rsid w:val="005E20D9"/>
    <w:rsid w:val="0060099E"/>
    <w:rsid w:val="00600B71"/>
    <w:rsid w:val="00603B94"/>
    <w:rsid w:val="00603F32"/>
    <w:rsid w:val="00605AD4"/>
    <w:rsid w:val="006136D7"/>
    <w:rsid w:val="006248A8"/>
    <w:rsid w:val="00625A6E"/>
    <w:rsid w:val="006300E3"/>
    <w:rsid w:val="00632398"/>
    <w:rsid w:val="00640FC3"/>
    <w:rsid w:val="00642020"/>
    <w:rsid w:val="006430EE"/>
    <w:rsid w:val="0065337B"/>
    <w:rsid w:val="0065419D"/>
    <w:rsid w:val="00660312"/>
    <w:rsid w:val="006603BC"/>
    <w:rsid w:val="006604D8"/>
    <w:rsid w:val="00664A5B"/>
    <w:rsid w:val="0066735C"/>
    <w:rsid w:val="006763D2"/>
    <w:rsid w:val="00676889"/>
    <w:rsid w:val="00680C08"/>
    <w:rsid w:val="00686EFE"/>
    <w:rsid w:val="006916A0"/>
    <w:rsid w:val="006931B1"/>
    <w:rsid w:val="006A15C0"/>
    <w:rsid w:val="006A43AA"/>
    <w:rsid w:val="006A58A8"/>
    <w:rsid w:val="006C3E2A"/>
    <w:rsid w:val="006C642F"/>
    <w:rsid w:val="006D03E5"/>
    <w:rsid w:val="006D4A2D"/>
    <w:rsid w:val="006D5D3E"/>
    <w:rsid w:val="006E08B3"/>
    <w:rsid w:val="006F17AC"/>
    <w:rsid w:val="006F25B8"/>
    <w:rsid w:val="006F572E"/>
    <w:rsid w:val="007016B9"/>
    <w:rsid w:val="007046D6"/>
    <w:rsid w:val="00705DB0"/>
    <w:rsid w:val="0071041E"/>
    <w:rsid w:val="00722B57"/>
    <w:rsid w:val="0072436C"/>
    <w:rsid w:val="00730F8A"/>
    <w:rsid w:val="00734913"/>
    <w:rsid w:val="00735A8C"/>
    <w:rsid w:val="0074253D"/>
    <w:rsid w:val="0074429B"/>
    <w:rsid w:val="007475B9"/>
    <w:rsid w:val="007615BC"/>
    <w:rsid w:val="00762F05"/>
    <w:rsid w:val="00763A7E"/>
    <w:rsid w:val="007652FF"/>
    <w:rsid w:val="007708A7"/>
    <w:rsid w:val="00770CAC"/>
    <w:rsid w:val="00770EF1"/>
    <w:rsid w:val="00773EF7"/>
    <w:rsid w:val="00774E1D"/>
    <w:rsid w:val="007765D8"/>
    <w:rsid w:val="0077675A"/>
    <w:rsid w:val="00780355"/>
    <w:rsid w:val="007807C6"/>
    <w:rsid w:val="007819FD"/>
    <w:rsid w:val="00785717"/>
    <w:rsid w:val="00785721"/>
    <w:rsid w:val="00793A59"/>
    <w:rsid w:val="0079410B"/>
    <w:rsid w:val="007A302D"/>
    <w:rsid w:val="007A46F5"/>
    <w:rsid w:val="007A6505"/>
    <w:rsid w:val="007B6132"/>
    <w:rsid w:val="007B6E9F"/>
    <w:rsid w:val="007C1216"/>
    <w:rsid w:val="007C1AF7"/>
    <w:rsid w:val="007C6B9B"/>
    <w:rsid w:val="007D53B6"/>
    <w:rsid w:val="007E7F0C"/>
    <w:rsid w:val="007F5BA7"/>
    <w:rsid w:val="00805D27"/>
    <w:rsid w:val="00806DCB"/>
    <w:rsid w:val="00821776"/>
    <w:rsid w:val="008321F5"/>
    <w:rsid w:val="00832369"/>
    <w:rsid w:val="00834660"/>
    <w:rsid w:val="00836BC2"/>
    <w:rsid w:val="0085156D"/>
    <w:rsid w:val="00852B28"/>
    <w:rsid w:val="0085641B"/>
    <w:rsid w:val="00857136"/>
    <w:rsid w:val="00870A49"/>
    <w:rsid w:val="00875A6B"/>
    <w:rsid w:val="008765C5"/>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1D5E"/>
    <w:rsid w:val="008E0B72"/>
    <w:rsid w:val="008E6F57"/>
    <w:rsid w:val="008E7846"/>
    <w:rsid w:val="008F02E5"/>
    <w:rsid w:val="008F1CCC"/>
    <w:rsid w:val="008F2967"/>
    <w:rsid w:val="008F6943"/>
    <w:rsid w:val="00902A21"/>
    <w:rsid w:val="00911B38"/>
    <w:rsid w:val="0091523F"/>
    <w:rsid w:val="00920330"/>
    <w:rsid w:val="009219D7"/>
    <w:rsid w:val="00922D53"/>
    <w:rsid w:val="00923B70"/>
    <w:rsid w:val="00924482"/>
    <w:rsid w:val="00930237"/>
    <w:rsid w:val="00937C17"/>
    <w:rsid w:val="00940464"/>
    <w:rsid w:val="00940A89"/>
    <w:rsid w:val="00941F77"/>
    <w:rsid w:val="00946EA5"/>
    <w:rsid w:val="00960520"/>
    <w:rsid w:val="00963C08"/>
    <w:rsid w:val="009641BD"/>
    <w:rsid w:val="00970B24"/>
    <w:rsid w:val="00972002"/>
    <w:rsid w:val="00974DEC"/>
    <w:rsid w:val="009752A5"/>
    <w:rsid w:val="00981097"/>
    <w:rsid w:val="0098585A"/>
    <w:rsid w:val="009A2D2D"/>
    <w:rsid w:val="009A4CED"/>
    <w:rsid w:val="009A690D"/>
    <w:rsid w:val="009B1D12"/>
    <w:rsid w:val="009B2266"/>
    <w:rsid w:val="009B416B"/>
    <w:rsid w:val="009C4BD5"/>
    <w:rsid w:val="009D35A6"/>
    <w:rsid w:val="009D7B77"/>
    <w:rsid w:val="009E0BB0"/>
    <w:rsid w:val="009E3FBB"/>
    <w:rsid w:val="009F7353"/>
    <w:rsid w:val="00A04F85"/>
    <w:rsid w:val="00A05FA4"/>
    <w:rsid w:val="00A102E4"/>
    <w:rsid w:val="00A1219C"/>
    <w:rsid w:val="00A12C42"/>
    <w:rsid w:val="00A14DF7"/>
    <w:rsid w:val="00A22D57"/>
    <w:rsid w:val="00A3246D"/>
    <w:rsid w:val="00A36FA7"/>
    <w:rsid w:val="00A37C71"/>
    <w:rsid w:val="00A44DDB"/>
    <w:rsid w:val="00A475B7"/>
    <w:rsid w:val="00A47AF7"/>
    <w:rsid w:val="00A47C3E"/>
    <w:rsid w:val="00A50226"/>
    <w:rsid w:val="00A600F2"/>
    <w:rsid w:val="00A60BAD"/>
    <w:rsid w:val="00A66D93"/>
    <w:rsid w:val="00A77F87"/>
    <w:rsid w:val="00A80B5B"/>
    <w:rsid w:val="00A84E36"/>
    <w:rsid w:val="00A954E4"/>
    <w:rsid w:val="00A964D1"/>
    <w:rsid w:val="00AA0ED0"/>
    <w:rsid w:val="00AA25F0"/>
    <w:rsid w:val="00AA5ACD"/>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A3973"/>
    <w:rsid w:val="00BA614F"/>
    <w:rsid w:val="00BC622A"/>
    <w:rsid w:val="00BE0488"/>
    <w:rsid w:val="00BE0A78"/>
    <w:rsid w:val="00BE46B7"/>
    <w:rsid w:val="00BE79F0"/>
    <w:rsid w:val="00BF046D"/>
    <w:rsid w:val="00BF1190"/>
    <w:rsid w:val="00BF3774"/>
    <w:rsid w:val="00BF5D04"/>
    <w:rsid w:val="00C009AA"/>
    <w:rsid w:val="00C1164D"/>
    <w:rsid w:val="00C16861"/>
    <w:rsid w:val="00C27FE4"/>
    <w:rsid w:val="00C30EF7"/>
    <w:rsid w:val="00C346AB"/>
    <w:rsid w:val="00C404A6"/>
    <w:rsid w:val="00C40A36"/>
    <w:rsid w:val="00C44419"/>
    <w:rsid w:val="00C45E7B"/>
    <w:rsid w:val="00C471B1"/>
    <w:rsid w:val="00C525A2"/>
    <w:rsid w:val="00C52E24"/>
    <w:rsid w:val="00C6316B"/>
    <w:rsid w:val="00C634A9"/>
    <w:rsid w:val="00C64586"/>
    <w:rsid w:val="00C64CFE"/>
    <w:rsid w:val="00C70A36"/>
    <w:rsid w:val="00C70D53"/>
    <w:rsid w:val="00C73D0B"/>
    <w:rsid w:val="00C74F5C"/>
    <w:rsid w:val="00C772FF"/>
    <w:rsid w:val="00C80137"/>
    <w:rsid w:val="00C801AF"/>
    <w:rsid w:val="00C80256"/>
    <w:rsid w:val="00C94CD4"/>
    <w:rsid w:val="00C9747E"/>
    <w:rsid w:val="00CB5F25"/>
    <w:rsid w:val="00CB6BC0"/>
    <w:rsid w:val="00CC1B7C"/>
    <w:rsid w:val="00CC727F"/>
    <w:rsid w:val="00CF15C3"/>
    <w:rsid w:val="00CF2B6F"/>
    <w:rsid w:val="00CF2F3E"/>
    <w:rsid w:val="00CF58B6"/>
    <w:rsid w:val="00CF5DAD"/>
    <w:rsid w:val="00D0062D"/>
    <w:rsid w:val="00D017ED"/>
    <w:rsid w:val="00D02117"/>
    <w:rsid w:val="00D040D3"/>
    <w:rsid w:val="00D04C65"/>
    <w:rsid w:val="00D153D8"/>
    <w:rsid w:val="00D201D2"/>
    <w:rsid w:val="00D224FE"/>
    <w:rsid w:val="00D23139"/>
    <w:rsid w:val="00D425BB"/>
    <w:rsid w:val="00D453FA"/>
    <w:rsid w:val="00D6412F"/>
    <w:rsid w:val="00D6493E"/>
    <w:rsid w:val="00D7195D"/>
    <w:rsid w:val="00D7301E"/>
    <w:rsid w:val="00D8079A"/>
    <w:rsid w:val="00D80838"/>
    <w:rsid w:val="00D83AE1"/>
    <w:rsid w:val="00D855D4"/>
    <w:rsid w:val="00D865DB"/>
    <w:rsid w:val="00D902C9"/>
    <w:rsid w:val="00D93466"/>
    <w:rsid w:val="00D9478F"/>
    <w:rsid w:val="00DA1124"/>
    <w:rsid w:val="00DA374E"/>
    <w:rsid w:val="00DA4318"/>
    <w:rsid w:val="00DA64CB"/>
    <w:rsid w:val="00DB06B8"/>
    <w:rsid w:val="00DB6124"/>
    <w:rsid w:val="00DB750B"/>
    <w:rsid w:val="00DB75B7"/>
    <w:rsid w:val="00DC0A2F"/>
    <w:rsid w:val="00DC1948"/>
    <w:rsid w:val="00DC6E02"/>
    <w:rsid w:val="00DD28CD"/>
    <w:rsid w:val="00DE02AE"/>
    <w:rsid w:val="00DE31FA"/>
    <w:rsid w:val="00DE39D1"/>
    <w:rsid w:val="00DF1D7F"/>
    <w:rsid w:val="00DF4BE4"/>
    <w:rsid w:val="00DF67A2"/>
    <w:rsid w:val="00E001D0"/>
    <w:rsid w:val="00E02382"/>
    <w:rsid w:val="00E02FB4"/>
    <w:rsid w:val="00E13FC7"/>
    <w:rsid w:val="00E16934"/>
    <w:rsid w:val="00E20571"/>
    <w:rsid w:val="00E235F7"/>
    <w:rsid w:val="00E23659"/>
    <w:rsid w:val="00E239D4"/>
    <w:rsid w:val="00E26130"/>
    <w:rsid w:val="00E40B22"/>
    <w:rsid w:val="00E44ED1"/>
    <w:rsid w:val="00E45619"/>
    <w:rsid w:val="00E4588F"/>
    <w:rsid w:val="00E4678D"/>
    <w:rsid w:val="00E46DA3"/>
    <w:rsid w:val="00E47835"/>
    <w:rsid w:val="00E51BB1"/>
    <w:rsid w:val="00E55CB0"/>
    <w:rsid w:val="00E624A5"/>
    <w:rsid w:val="00E64BA4"/>
    <w:rsid w:val="00E67501"/>
    <w:rsid w:val="00E7344E"/>
    <w:rsid w:val="00E77CAB"/>
    <w:rsid w:val="00E81C2C"/>
    <w:rsid w:val="00E82665"/>
    <w:rsid w:val="00EA73E6"/>
    <w:rsid w:val="00EB0798"/>
    <w:rsid w:val="00EB40AD"/>
    <w:rsid w:val="00EB586E"/>
    <w:rsid w:val="00EB5FC8"/>
    <w:rsid w:val="00EC463D"/>
    <w:rsid w:val="00EC7A85"/>
    <w:rsid w:val="00ED2922"/>
    <w:rsid w:val="00ED3CAD"/>
    <w:rsid w:val="00ED5A41"/>
    <w:rsid w:val="00EE1DE8"/>
    <w:rsid w:val="00EE2342"/>
    <w:rsid w:val="00EE27C2"/>
    <w:rsid w:val="00EF4BAD"/>
    <w:rsid w:val="00EF59DC"/>
    <w:rsid w:val="00F033EC"/>
    <w:rsid w:val="00F04F68"/>
    <w:rsid w:val="00F11488"/>
    <w:rsid w:val="00F12670"/>
    <w:rsid w:val="00F14B27"/>
    <w:rsid w:val="00F25952"/>
    <w:rsid w:val="00F3148D"/>
    <w:rsid w:val="00F325C5"/>
    <w:rsid w:val="00F32FE0"/>
    <w:rsid w:val="00F35298"/>
    <w:rsid w:val="00F47333"/>
    <w:rsid w:val="00F47E37"/>
    <w:rsid w:val="00F53C07"/>
    <w:rsid w:val="00F5491F"/>
    <w:rsid w:val="00F54B65"/>
    <w:rsid w:val="00F640B6"/>
    <w:rsid w:val="00F66DF2"/>
    <w:rsid w:val="00F80E40"/>
    <w:rsid w:val="00F848D9"/>
    <w:rsid w:val="00FA5069"/>
    <w:rsid w:val="00FA5B82"/>
    <w:rsid w:val="00FA639E"/>
    <w:rsid w:val="00FC1FCA"/>
    <w:rsid w:val="00FC25E4"/>
    <w:rsid w:val="00FC46C6"/>
    <w:rsid w:val="00FC4EF7"/>
    <w:rsid w:val="00FC78E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A96A41"/>
  <w15:docId w15:val="{412C62C1-67F6-4A97-BFBD-9E8BFFDF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A73E6"/>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424B9D"/>
    <w:pPr>
      <w:ind w:left="720"/>
      <w:contextualSpacing/>
    </w:pPr>
  </w:style>
  <w:style w:type="paragraph" w:customStyle="1" w:styleId="Bulletpoint">
    <w:name w:val="Bullet point"/>
    <w:basedOn w:val="Normal"/>
    <w:rsid w:val="00424B9D"/>
    <w:pPr>
      <w:numPr>
        <w:numId w:val="33"/>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Default">
    <w:name w:val="Default"/>
    <w:rsid w:val="00424B9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6.xml"/><Relationship Id="rId33" Type="http://schemas.openxmlformats.org/officeDocument/2006/relationships/footer" Target="footer6.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www.tga.gov.au"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anceraustralia.gov.au/affected-cancer/cancer-types/leukaemia/chronic-lymphocytic-leukaemia-statistic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1133-487B-4C72-9F50-883D5A7B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Australian public assessment report for Venetoclax</vt:lpstr>
    </vt:vector>
  </TitlesOfParts>
  <Company>Department of Health Therapeutic Goods Administration</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Venetoclax</dc:title>
  <dc:subject>prescription medicines</dc:subject>
  <dc:creator>Therapeutic Goods Administration</dc:creator>
  <cp:keywords/>
  <cp:lastPrinted>2019-08-14T04:30:00Z</cp:lastPrinted>
  <dcterms:created xsi:type="dcterms:W3CDTF">2020-10-20T22:30:00Z</dcterms:created>
  <dcterms:modified xsi:type="dcterms:W3CDTF">2020-10-20T22:54:00Z</dcterms:modified>
  <cp:category/>
</cp:coreProperties>
</file>