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1A32AF1C" w14:textId="77777777" w:rsidTr="00BF1190">
        <w:trPr>
          <w:trHeight w:val="1863"/>
        </w:trPr>
        <w:tc>
          <w:tcPr>
            <w:tcW w:w="3652" w:type="dxa"/>
            <w:tcBorders>
              <w:top w:val="nil"/>
              <w:left w:val="nil"/>
              <w:bottom w:val="nil"/>
              <w:right w:val="nil"/>
            </w:tcBorders>
          </w:tcPr>
          <w:p w14:paraId="30612770" w14:textId="73F24E7A" w:rsidR="008E7846" w:rsidRPr="00096AA7" w:rsidRDefault="00C961DE" w:rsidP="00C961DE">
            <w:pPr>
              <w:rPr>
                <w:rFonts w:ascii="Arial" w:hAnsi="Arial" w:cs="Arial"/>
                <w:b/>
                <w:color w:val="002C47"/>
                <w:sz w:val="36"/>
                <w:szCs w:val="36"/>
              </w:rPr>
            </w:pPr>
            <w:r>
              <w:rPr>
                <w:rFonts w:ascii="Arial" w:hAnsi="Arial" w:cs="Arial"/>
                <w:b/>
                <w:color w:val="002C47"/>
                <w:sz w:val="36"/>
                <w:szCs w:val="36"/>
              </w:rPr>
              <w:t>September</w:t>
            </w:r>
            <w:r w:rsidR="003E0F42">
              <w:rPr>
                <w:rFonts w:ascii="Arial" w:hAnsi="Arial" w:cs="Arial"/>
                <w:b/>
                <w:color w:val="002C47"/>
                <w:sz w:val="36"/>
                <w:szCs w:val="36"/>
              </w:rPr>
              <w:t xml:space="preserve"> </w:t>
            </w:r>
            <w:r w:rsidR="00325641">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0081A744" w14:textId="77777777" w:rsidTr="0032583B">
        <w:trPr>
          <w:trHeight w:val="868"/>
        </w:trPr>
        <w:tc>
          <w:tcPr>
            <w:tcW w:w="9079" w:type="dxa"/>
          </w:tcPr>
          <w:p w14:paraId="25747A39" w14:textId="77777777" w:rsidR="0032583B" w:rsidRPr="00A964D1" w:rsidRDefault="0032583B" w:rsidP="00325641">
            <w:pPr>
              <w:pStyle w:val="Title"/>
              <w:rPr>
                <w:color w:val="FFFFFF" w:themeColor="background1"/>
              </w:rPr>
            </w:pPr>
            <w:r w:rsidRPr="00A964D1">
              <w:rPr>
                <w:color w:val="FFFFFF" w:themeColor="background1"/>
              </w:rPr>
              <w:t xml:space="preserve">Australian Public Assessment Report for </w:t>
            </w:r>
            <w:r w:rsidR="00325641">
              <w:rPr>
                <w:color w:val="FFFFFF" w:themeColor="background1"/>
              </w:rPr>
              <w:t>Venetoclax</w:t>
            </w:r>
          </w:p>
        </w:tc>
      </w:tr>
      <w:tr w:rsidR="0032583B" w:rsidRPr="00B64760" w14:paraId="0DC9DB1B" w14:textId="77777777" w:rsidTr="0032583B">
        <w:tc>
          <w:tcPr>
            <w:tcW w:w="9079" w:type="dxa"/>
          </w:tcPr>
          <w:p w14:paraId="08FA84EB" w14:textId="77777777" w:rsidR="0032583B" w:rsidRPr="008E7846" w:rsidRDefault="0032583B" w:rsidP="00325641">
            <w:pPr>
              <w:pStyle w:val="Subtitle"/>
              <w:rPr>
                <w:color w:val="FFFFFF" w:themeColor="background1"/>
              </w:rPr>
            </w:pPr>
            <w:r w:rsidRPr="008E7846">
              <w:rPr>
                <w:color w:val="FFFFFF" w:themeColor="background1"/>
              </w:rPr>
              <w:t xml:space="preserve">Proprietary Product Name: </w:t>
            </w:r>
            <w:r w:rsidR="00325641">
              <w:rPr>
                <w:color w:val="FFFFFF" w:themeColor="background1"/>
              </w:rPr>
              <w:t>Venclexta</w:t>
            </w:r>
          </w:p>
        </w:tc>
      </w:tr>
      <w:tr w:rsidR="0032583B" w:rsidRPr="00B64760" w14:paraId="2BBA47DF" w14:textId="77777777" w:rsidTr="0032583B">
        <w:trPr>
          <w:trHeight w:val="486"/>
        </w:trPr>
        <w:tc>
          <w:tcPr>
            <w:tcW w:w="9079" w:type="dxa"/>
          </w:tcPr>
          <w:p w14:paraId="13E74E7A" w14:textId="77777777" w:rsidR="0032583B" w:rsidRPr="008E7846" w:rsidRDefault="0032583B" w:rsidP="00325641">
            <w:pPr>
              <w:pStyle w:val="Subtitle"/>
              <w:rPr>
                <w:color w:val="FFFFFF" w:themeColor="background1"/>
              </w:rPr>
            </w:pPr>
            <w:r w:rsidRPr="008E7846">
              <w:rPr>
                <w:color w:val="FFFFFF" w:themeColor="background1"/>
              </w:rPr>
              <w:t xml:space="preserve">Sponsor: </w:t>
            </w:r>
            <w:r w:rsidR="00325641" w:rsidRPr="00325641">
              <w:rPr>
                <w:color w:val="FFFFFF" w:themeColor="background1"/>
              </w:rPr>
              <w:t>AbbVie Pty Ltd</w:t>
            </w:r>
          </w:p>
        </w:tc>
      </w:tr>
    </w:tbl>
    <w:p w14:paraId="2463F1EB" w14:textId="77777777" w:rsidR="008E7846" w:rsidRPr="0085156D" w:rsidRDefault="008E7846" w:rsidP="0085156D">
      <w:r w:rsidRPr="0085156D">
        <w:br w:type="page"/>
      </w:r>
    </w:p>
    <w:p w14:paraId="29449389" w14:textId="77777777" w:rsidR="008E7846" w:rsidRPr="001F6CBA" w:rsidRDefault="008E7846" w:rsidP="008E7846">
      <w:pPr>
        <w:pStyle w:val="NonTOCHeading2"/>
      </w:pPr>
      <w:r w:rsidRPr="001F6CBA">
        <w:lastRenderedPageBreak/>
        <w:t>About the Therapeutic Goods Administration (TGA)</w:t>
      </w:r>
    </w:p>
    <w:p w14:paraId="46DCB1B8" w14:textId="77777777" w:rsidR="008E7846" w:rsidRDefault="008E7846" w:rsidP="00D20E63">
      <w:pPr>
        <w:pStyle w:val="ListBullet"/>
      </w:pPr>
      <w:r>
        <w:t xml:space="preserve">The Therapeutic Goods Administration (TGA) is </w:t>
      </w:r>
      <w:r w:rsidR="00E624A5">
        <w:t xml:space="preserve">part </w:t>
      </w:r>
      <w:r>
        <w:t>of the Australian Government Department of Health and is responsible for regulating medicines and medical devices.</w:t>
      </w:r>
    </w:p>
    <w:p w14:paraId="1B9AB1DB" w14:textId="77777777" w:rsidR="008E7846" w:rsidRDefault="00C80137" w:rsidP="00D20E63">
      <w:pPr>
        <w:pStyle w:val="ListBullet"/>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18A5DDCD" w14:textId="77777777" w:rsidR="008E7846" w:rsidRPr="00D20E63" w:rsidRDefault="008E7846" w:rsidP="00D20E63">
      <w:pPr>
        <w:pStyle w:val="ListBullet"/>
      </w:pPr>
      <w:r w:rsidRPr="00D20E63">
        <w:t>The work of the TGA is based on applying scientific and clinical expertise to decision-making, to ensure that the benefits to consumers outweigh any risks associated with the use of medicines and medical devices.</w:t>
      </w:r>
    </w:p>
    <w:p w14:paraId="2E3AC0A3" w14:textId="77777777" w:rsidR="008E7846" w:rsidRPr="00D20E63" w:rsidRDefault="008E7846" w:rsidP="00D20E63">
      <w:pPr>
        <w:pStyle w:val="ListBullet"/>
      </w:pPr>
      <w:r w:rsidRPr="00D20E63">
        <w:t>The TGA relies on the public, healthcare professionals and industry to report problems with medicines or medical devices. TGA investigates reports received by it to determine any necessary regulatory action.</w:t>
      </w:r>
    </w:p>
    <w:p w14:paraId="1EFD0BC7" w14:textId="7DB366D1" w:rsidR="00441C3F" w:rsidRPr="00D20E63" w:rsidRDefault="008E7846" w:rsidP="00D20E63">
      <w:pPr>
        <w:pStyle w:val="ListBullet"/>
      </w:pPr>
      <w:r w:rsidRPr="00D20E63">
        <w:t xml:space="preserve">To report a problem with a medicine or medical device, please see the information on </w:t>
      </w:r>
      <w:r w:rsidR="00441C3F" w:rsidRPr="00D20E63">
        <w:t>the TGA website &lt;</w:t>
      </w:r>
      <w:hyperlink r:id="rId8" w:history="1">
        <w:r w:rsidR="00441C3F" w:rsidRPr="00D20E63">
          <w:rPr>
            <w:rStyle w:val="Hyperlink"/>
            <w:color w:val="auto"/>
            <w:u w:val="none"/>
          </w:rPr>
          <w:t>https://www.tga.gov.au</w:t>
        </w:r>
      </w:hyperlink>
      <w:r w:rsidR="00441C3F" w:rsidRPr="00D20E63">
        <w:t>&gt;.</w:t>
      </w:r>
    </w:p>
    <w:p w14:paraId="6CB98D9C" w14:textId="77777777" w:rsidR="008E7846" w:rsidRDefault="008E7846" w:rsidP="00875A6B">
      <w:pPr>
        <w:pStyle w:val="NonTOCHeading2"/>
      </w:pPr>
      <w:r>
        <w:t>About AusPARs</w:t>
      </w:r>
    </w:p>
    <w:p w14:paraId="257A7BFB" w14:textId="77777777" w:rsidR="008E7846" w:rsidRPr="008E7235" w:rsidRDefault="008E7846" w:rsidP="008E7235">
      <w:pPr>
        <w:pStyle w:val="ListBullet"/>
      </w:pPr>
      <w:r w:rsidRPr="008E7235">
        <w:t>An Australian Public Assessment Re</w:t>
      </w:r>
      <w:r w:rsidR="00133A1B" w:rsidRPr="008E7235">
        <w:t>port</w:t>
      </w:r>
      <w:r w:rsidRPr="008E7235">
        <w:t xml:space="preserve"> (AusPAR) provides information about the evaluation of a prescription medicine and the considerations that led the TGA to approve or not approve a pr</w:t>
      </w:r>
      <w:r w:rsidR="00441C3F" w:rsidRPr="008E7235">
        <w:t>escription medicine submission.</w:t>
      </w:r>
    </w:p>
    <w:p w14:paraId="66F30BA5" w14:textId="77777777" w:rsidR="008E7846" w:rsidRPr="008E7235" w:rsidRDefault="008E7846" w:rsidP="008E7235">
      <w:pPr>
        <w:pStyle w:val="ListBullet"/>
      </w:pPr>
      <w:r w:rsidRPr="008E7235">
        <w:t>AusPARs are prepared and published by the TGA.</w:t>
      </w:r>
    </w:p>
    <w:p w14:paraId="1512B361" w14:textId="77777777" w:rsidR="008E7846" w:rsidRPr="008E7235" w:rsidRDefault="008E7846" w:rsidP="008E7235">
      <w:pPr>
        <w:pStyle w:val="ListBullet"/>
      </w:pPr>
      <w:r w:rsidRPr="008E7235">
        <w:t>An AusPAR is prepared for submissions that relate to new chemical entities, generic medicines, major variations and extensions of indications.</w:t>
      </w:r>
    </w:p>
    <w:p w14:paraId="09783C13" w14:textId="77777777" w:rsidR="008E7846" w:rsidRPr="008E7235" w:rsidRDefault="008E7846" w:rsidP="008E7235">
      <w:pPr>
        <w:pStyle w:val="ListBullet"/>
      </w:pPr>
      <w:r w:rsidRPr="008E7235">
        <w:t>An AusPAR is a static document</w:t>
      </w:r>
      <w:r w:rsidR="00133A1B" w:rsidRPr="008E7235">
        <w:t>;</w:t>
      </w:r>
      <w:r w:rsidRPr="008E7235">
        <w:t xml:space="preserve"> it provide</w:t>
      </w:r>
      <w:r w:rsidR="00133A1B" w:rsidRPr="008E7235">
        <w:t>s</w:t>
      </w:r>
      <w:r w:rsidRPr="008E7235">
        <w:t xml:space="preserve"> information that relates to a submission at a particular point in time.</w:t>
      </w:r>
    </w:p>
    <w:p w14:paraId="64A56257" w14:textId="77777777" w:rsidR="00B452CE" w:rsidRPr="008E7235" w:rsidRDefault="008E7846" w:rsidP="008E7235">
      <w:pPr>
        <w:pStyle w:val="ListBullet"/>
      </w:pPr>
      <w:r w:rsidRPr="008E7235">
        <w:t>A new AusPAR will be developed to reflect changes to indications and/or major variations to a prescription medicine subject to evaluation by the TGA.</w:t>
      </w:r>
    </w:p>
    <w:p w14:paraId="37BAA1B6" w14:textId="77777777" w:rsidR="00924482" w:rsidRPr="00DF1D7F" w:rsidRDefault="00924482" w:rsidP="00F54B65">
      <w:pPr>
        <w:pStyle w:val="LegalSubheading"/>
        <w:spacing w:before="3120"/>
      </w:pPr>
      <w:r w:rsidRPr="00DF1D7F">
        <w:t>Copyright</w:t>
      </w:r>
    </w:p>
    <w:p w14:paraId="0DDA917F" w14:textId="667C62AC" w:rsidR="00924482" w:rsidRDefault="00924482" w:rsidP="00924482">
      <w:pPr>
        <w:pStyle w:val="LegalCopy"/>
      </w:pPr>
      <w:r w:rsidRPr="00191B3B">
        <w:rPr>
          <w:rFonts w:cs="Arial"/>
          <w:lang w:val="en-GB"/>
        </w:rPr>
        <w:t>© Comm</w:t>
      </w:r>
      <w:r w:rsidR="00325641">
        <w:rPr>
          <w:rFonts w:cs="Arial"/>
          <w:lang w:val="en-GB"/>
        </w:rPr>
        <w:t>onwealth of Australia 2020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14:paraId="150C6877"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181060F8" w14:textId="77777777" w:rsidR="0089635C" w:rsidRPr="0089635C" w:rsidRDefault="0089635C" w:rsidP="0010788A">
          <w:pPr>
            <w:pStyle w:val="Contents"/>
          </w:pPr>
          <w:r w:rsidRPr="0010788A">
            <w:t>Contents</w:t>
          </w:r>
        </w:p>
        <w:p w14:paraId="7A7295ED" w14:textId="4C18AE00" w:rsidR="00247395"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51859728" w:history="1">
            <w:r w:rsidR="00247395" w:rsidRPr="005067D4">
              <w:rPr>
                <w:rStyle w:val="Hyperlink"/>
                <w:noProof/>
              </w:rPr>
              <w:t>Common abbreviations</w:t>
            </w:r>
            <w:r w:rsidR="00247395">
              <w:rPr>
                <w:noProof/>
                <w:webHidden/>
              </w:rPr>
              <w:tab/>
            </w:r>
            <w:r w:rsidR="00247395">
              <w:rPr>
                <w:noProof/>
                <w:webHidden/>
              </w:rPr>
              <w:fldChar w:fldCharType="begin"/>
            </w:r>
            <w:r w:rsidR="00247395">
              <w:rPr>
                <w:noProof/>
                <w:webHidden/>
              </w:rPr>
              <w:instrText xml:space="preserve"> PAGEREF _Toc51859728 \h </w:instrText>
            </w:r>
            <w:r w:rsidR="00247395">
              <w:rPr>
                <w:noProof/>
                <w:webHidden/>
              </w:rPr>
            </w:r>
            <w:r w:rsidR="00247395">
              <w:rPr>
                <w:noProof/>
                <w:webHidden/>
              </w:rPr>
              <w:fldChar w:fldCharType="separate"/>
            </w:r>
            <w:r w:rsidR="00247395">
              <w:rPr>
                <w:noProof/>
                <w:webHidden/>
              </w:rPr>
              <w:t>4</w:t>
            </w:r>
            <w:r w:rsidR="00247395">
              <w:rPr>
                <w:noProof/>
                <w:webHidden/>
              </w:rPr>
              <w:fldChar w:fldCharType="end"/>
            </w:r>
          </w:hyperlink>
        </w:p>
        <w:p w14:paraId="18EE9D83" w14:textId="60E7AB05" w:rsidR="00247395" w:rsidRDefault="00D20E63">
          <w:pPr>
            <w:pStyle w:val="TOC2"/>
            <w:rPr>
              <w:rFonts w:asciiTheme="minorHAnsi" w:eastAsiaTheme="minorEastAsia" w:hAnsiTheme="minorHAnsi" w:cstheme="minorBidi"/>
              <w:b w:val="0"/>
              <w:noProof/>
              <w:sz w:val="22"/>
              <w:lang w:eastAsia="en-AU"/>
            </w:rPr>
          </w:pPr>
          <w:hyperlink w:anchor="_Toc51859729" w:history="1">
            <w:r w:rsidR="00247395" w:rsidRPr="005067D4">
              <w:rPr>
                <w:rStyle w:val="Hyperlink"/>
                <w:noProof/>
              </w:rPr>
              <w:t>I. Introduction to product submission</w:t>
            </w:r>
            <w:r w:rsidR="00247395">
              <w:rPr>
                <w:noProof/>
                <w:webHidden/>
              </w:rPr>
              <w:tab/>
            </w:r>
            <w:r w:rsidR="00247395">
              <w:rPr>
                <w:noProof/>
                <w:webHidden/>
              </w:rPr>
              <w:fldChar w:fldCharType="begin"/>
            </w:r>
            <w:r w:rsidR="00247395">
              <w:rPr>
                <w:noProof/>
                <w:webHidden/>
              </w:rPr>
              <w:instrText xml:space="preserve"> PAGEREF _Toc51859729 \h </w:instrText>
            </w:r>
            <w:r w:rsidR="00247395">
              <w:rPr>
                <w:noProof/>
                <w:webHidden/>
              </w:rPr>
            </w:r>
            <w:r w:rsidR="00247395">
              <w:rPr>
                <w:noProof/>
                <w:webHidden/>
              </w:rPr>
              <w:fldChar w:fldCharType="separate"/>
            </w:r>
            <w:r w:rsidR="00247395">
              <w:rPr>
                <w:noProof/>
                <w:webHidden/>
              </w:rPr>
              <w:t>6</w:t>
            </w:r>
            <w:r w:rsidR="00247395">
              <w:rPr>
                <w:noProof/>
                <w:webHidden/>
              </w:rPr>
              <w:fldChar w:fldCharType="end"/>
            </w:r>
          </w:hyperlink>
        </w:p>
        <w:p w14:paraId="151D5A2C" w14:textId="62FA670A" w:rsidR="00247395" w:rsidRDefault="00D20E63">
          <w:pPr>
            <w:pStyle w:val="TOC3"/>
            <w:rPr>
              <w:rFonts w:asciiTheme="minorHAnsi" w:eastAsiaTheme="minorEastAsia" w:hAnsiTheme="minorHAnsi" w:cstheme="minorBidi"/>
              <w:noProof/>
              <w:lang w:eastAsia="en-AU"/>
            </w:rPr>
          </w:pPr>
          <w:hyperlink w:anchor="_Toc51859730" w:history="1">
            <w:r w:rsidR="00247395" w:rsidRPr="005067D4">
              <w:rPr>
                <w:rStyle w:val="Hyperlink"/>
                <w:noProof/>
                <w:lang w:eastAsia="en-AU"/>
              </w:rPr>
              <w:t>Submission details</w:t>
            </w:r>
            <w:r w:rsidR="00247395">
              <w:rPr>
                <w:noProof/>
                <w:webHidden/>
              </w:rPr>
              <w:tab/>
            </w:r>
            <w:r w:rsidR="00247395">
              <w:rPr>
                <w:noProof/>
                <w:webHidden/>
              </w:rPr>
              <w:fldChar w:fldCharType="begin"/>
            </w:r>
            <w:r w:rsidR="00247395">
              <w:rPr>
                <w:noProof/>
                <w:webHidden/>
              </w:rPr>
              <w:instrText xml:space="preserve"> PAGEREF _Toc51859730 \h </w:instrText>
            </w:r>
            <w:r w:rsidR="00247395">
              <w:rPr>
                <w:noProof/>
                <w:webHidden/>
              </w:rPr>
            </w:r>
            <w:r w:rsidR="00247395">
              <w:rPr>
                <w:noProof/>
                <w:webHidden/>
              </w:rPr>
              <w:fldChar w:fldCharType="separate"/>
            </w:r>
            <w:r w:rsidR="00247395">
              <w:rPr>
                <w:noProof/>
                <w:webHidden/>
              </w:rPr>
              <w:t>6</w:t>
            </w:r>
            <w:r w:rsidR="00247395">
              <w:rPr>
                <w:noProof/>
                <w:webHidden/>
              </w:rPr>
              <w:fldChar w:fldCharType="end"/>
            </w:r>
          </w:hyperlink>
        </w:p>
        <w:p w14:paraId="22190A93" w14:textId="2E31DE6F" w:rsidR="00247395" w:rsidRDefault="00D20E63">
          <w:pPr>
            <w:pStyle w:val="TOC3"/>
            <w:rPr>
              <w:rFonts w:asciiTheme="minorHAnsi" w:eastAsiaTheme="minorEastAsia" w:hAnsiTheme="minorHAnsi" w:cstheme="minorBidi"/>
              <w:noProof/>
              <w:lang w:eastAsia="en-AU"/>
            </w:rPr>
          </w:pPr>
          <w:hyperlink w:anchor="_Toc51859731" w:history="1">
            <w:r w:rsidR="00247395" w:rsidRPr="005067D4">
              <w:rPr>
                <w:rStyle w:val="Hyperlink"/>
                <w:noProof/>
              </w:rPr>
              <w:t>Product background</w:t>
            </w:r>
            <w:r w:rsidR="00247395">
              <w:rPr>
                <w:noProof/>
                <w:webHidden/>
              </w:rPr>
              <w:tab/>
            </w:r>
            <w:r w:rsidR="00247395">
              <w:rPr>
                <w:noProof/>
                <w:webHidden/>
              </w:rPr>
              <w:fldChar w:fldCharType="begin"/>
            </w:r>
            <w:r w:rsidR="00247395">
              <w:rPr>
                <w:noProof/>
                <w:webHidden/>
              </w:rPr>
              <w:instrText xml:space="preserve"> PAGEREF _Toc51859731 \h </w:instrText>
            </w:r>
            <w:r w:rsidR="00247395">
              <w:rPr>
                <w:noProof/>
                <w:webHidden/>
              </w:rPr>
            </w:r>
            <w:r w:rsidR="00247395">
              <w:rPr>
                <w:noProof/>
                <w:webHidden/>
              </w:rPr>
              <w:fldChar w:fldCharType="separate"/>
            </w:r>
            <w:r w:rsidR="00247395">
              <w:rPr>
                <w:noProof/>
                <w:webHidden/>
              </w:rPr>
              <w:t>8</w:t>
            </w:r>
            <w:r w:rsidR="00247395">
              <w:rPr>
                <w:noProof/>
                <w:webHidden/>
              </w:rPr>
              <w:fldChar w:fldCharType="end"/>
            </w:r>
          </w:hyperlink>
        </w:p>
        <w:p w14:paraId="35B772E8" w14:textId="68F9489B" w:rsidR="00247395" w:rsidRDefault="00D20E63">
          <w:pPr>
            <w:pStyle w:val="TOC3"/>
            <w:rPr>
              <w:rFonts w:asciiTheme="minorHAnsi" w:eastAsiaTheme="minorEastAsia" w:hAnsiTheme="minorHAnsi" w:cstheme="minorBidi"/>
              <w:noProof/>
              <w:lang w:eastAsia="en-AU"/>
            </w:rPr>
          </w:pPr>
          <w:hyperlink w:anchor="_Toc51859732" w:history="1">
            <w:r w:rsidR="00247395" w:rsidRPr="005067D4">
              <w:rPr>
                <w:rStyle w:val="Hyperlink"/>
                <w:noProof/>
              </w:rPr>
              <w:t>Regulatory status</w:t>
            </w:r>
            <w:r w:rsidR="00247395">
              <w:rPr>
                <w:noProof/>
                <w:webHidden/>
              </w:rPr>
              <w:tab/>
            </w:r>
            <w:r w:rsidR="00247395">
              <w:rPr>
                <w:noProof/>
                <w:webHidden/>
              </w:rPr>
              <w:fldChar w:fldCharType="begin"/>
            </w:r>
            <w:r w:rsidR="00247395">
              <w:rPr>
                <w:noProof/>
                <w:webHidden/>
              </w:rPr>
              <w:instrText xml:space="preserve"> PAGEREF _Toc51859732 \h </w:instrText>
            </w:r>
            <w:r w:rsidR="00247395">
              <w:rPr>
                <w:noProof/>
                <w:webHidden/>
              </w:rPr>
            </w:r>
            <w:r w:rsidR="00247395">
              <w:rPr>
                <w:noProof/>
                <w:webHidden/>
              </w:rPr>
              <w:fldChar w:fldCharType="separate"/>
            </w:r>
            <w:r w:rsidR="00247395">
              <w:rPr>
                <w:noProof/>
                <w:webHidden/>
              </w:rPr>
              <w:t>10</w:t>
            </w:r>
            <w:r w:rsidR="00247395">
              <w:rPr>
                <w:noProof/>
                <w:webHidden/>
              </w:rPr>
              <w:fldChar w:fldCharType="end"/>
            </w:r>
          </w:hyperlink>
        </w:p>
        <w:p w14:paraId="59C00F63" w14:textId="11DF84D8" w:rsidR="00247395" w:rsidRDefault="00D20E63">
          <w:pPr>
            <w:pStyle w:val="TOC3"/>
            <w:rPr>
              <w:rFonts w:asciiTheme="minorHAnsi" w:eastAsiaTheme="minorEastAsia" w:hAnsiTheme="minorHAnsi" w:cstheme="minorBidi"/>
              <w:noProof/>
              <w:lang w:eastAsia="en-AU"/>
            </w:rPr>
          </w:pPr>
          <w:hyperlink w:anchor="_Toc51859733" w:history="1">
            <w:r w:rsidR="00247395" w:rsidRPr="005067D4">
              <w:rPr>
                <w:rStyle w:val="Hyperlink"/>
                <w:noProof/>
              </w:rPr>
              <w:t>Product Information</w:t>
            </w:r>
            <w:r w:rsidR="00247395">
              <w:rPr>
                <w:noProof/>
                <w:webHidden/>
              </w:rPr>
              <w:tab/>
            </w:r>
            <w:r w:rsidR="00247395">
              <w:rPr>
                <w:noProof/>
                <w:webHidden/>
              </w:rPr>
              <w:fldChar w:fldCharType="begin"/>
            </w:r>
            <w:r w:rsidR="00247395">
              <w:rPr>
                <w:noProof/>
                <w:webHidden/>
              </w:rPr>
              <w:instrText xml:space="preserve"> PAGEREF _Toc51859733 \h </w:instrText>
            </w:r>
            <w:r w:rsidR="00247395">
              <w:rPr>
                <w:noProof/>
                <w:webHidden/>
              </w:rPr>
            </w:r>
            <w:r w:rsidR="00247395">
              <w:rPr>
                <w:noProof/>
                <w:webHidden/>
              </w:rPr>
              <w:fldChar w:fldCharType="separate"/>
            </w:r>
            <w:r w:rsidR="00247395">
              <w:rPr>
                <w:noProof/>
                <w:webHidden/>
              </w:rPr>
              <w:t>11</w:t>
            </w:r>
            <w:r w:rsidR="00247395">
              <w:rPr>
                <w:noProof/>
                <w:webHidden/>
              </w:rPr>
              <w:fldChar w:fldCharType="end"/>
            </w:r>
          </w:hyperlink>
        </w:p>
        <w:p w14:paraId="381B3264" w14:textId="748AA780" w:rsidR="00247395" w:rsidRDefault="00D20E63">
          <w:pPr>
            <w:pStyle w:val="TOC2"/>
            <w:rPr>
              <w:rFonts w:asciiTheme="minorHAnsi" w:eastAsiaTheme="minorEastAsia" w:hAnsiTheme="minorHAnsi" w:cstheme="minorBidi"/>
              <w:b w:val="0"/>
              <w:noProof/>
              <w:sz w:val="22"/>
              <w:lang w:eastAsia="en-AU"/>
            </w:rPr>
          </w:pPr>
          <w:hyperlink w:anchor="_Toc51859734" w:history="1">
            <w:r w:rsidR="00247395" w:rsidRPr="005067D4">
              <w:rPr>
                <w:rStyle w:val="Hyperlink"/>
                <w:noProof/>
              </w:rPr>
              <w:t>II. Registration timeline</w:t>
            </w:r>
            <w:r w:rsidR="00247395">
              <w:rPr>
                <w:noProof/>
                <w:webHidden/>
              </w:rPr>
              <w:tab/>
            </w:r>
            <w:r w:rsidR="00247395">
              <w:rPr>
                <w:noProof/>
                <w:webHidden/>
              </w:rPr>
              <w:fldChar w:fldCharType="begin"/>
            </w:r>
            <w:r w:rsidR="00247395">
              <w:rPr>
                <w:noProof/>
                <w:webHidden/>
              </w:rPr>
              <w:instrText xml:space="preserve"> PAGEREF _Toc51859734 \h </w:instrText>
            </w:r>
            <w:r w:rsidR="00247395">
              <w:rPr>
                <w:noProof/>
                <w:webHidden/>
              </w:rPr>
            </w:r>
            <w:r w:rsidR="00247395">
              <w:rPr>
                <w:noProof/>
                <w:webHidden/>
              </w:rPr>
              <w:fldChar w:fldCharType="separate"/>
            </w:r>
            <w:r w:rsidR="00247395">
              <w:rPr>
                <w:noProof/>
                <w:webHidden/>
              </w:rPr>
              <w:t>11</w:t>
            </w:r>
            <w:r w:rsidR="00247395">
              <w:rPr>
                <w:noProof/>
                <w:webHidden/>
              </w:rPr>
              <w:fldChar w:fldCharType="end"/>
            </w:r>
          </w:hyperlink>
        </w:p>
        <w:p w14:paraId="0668EF9D" w14:textId="093BB8D8" w:rsidR="00247395" w:rsidRDefault="00D20E63">
          <w:pPr>
            <w:pStyle w:val="TOC2"/>
            <w:rPr>
              <w:rFonts w:asciiTheme="minorHAnsi" w:eastAsiaTheme="minorEastAsia" w:hAnsiTheme="minorHAnsi" w:cstheme="minorBidi"/>
              <w:b w:val="0"/>
              <w:noProof/>
              <w:sz w:val="22"/>
              <w:lang w:eastAsia="en-AU"/>
            </w:rPr>
          </w:pPr>
          <w:hyperlink w:anchor="_Toc51859735" w:history="1">
            <w:r w:rsidR="00247395" w:rsidRPr="005067D4">
              <w:rPr>
                <w:rStyle w:val="Hyperlink"/>
                <w:noProof/>
              </w:rPr>
              <w:t>III. Submission overview and risk/benefit assessment</w:t>
            </w:r>
            <w:r w:rsidR="00247395">
              <w:rPr>
                <w:noProof/>
                <w:webHidden/>
              </w:rPr>
              <w:tab/>
            </w:r>
            <w:r w:rsidR="00247395">
              <w:rPr>
                <w:noProof/>
                <w:webHidden/>
              </w:rPr>
              <w:fldChar w:fldCharType="begin"/>
            </w:r>
            <w:r w:rsidR="00247395">
              <w:rPr>
                <w:noProof/>
                <w:webHidden/>
              </w:rPr>
              <w:instrText xml:space="preserve"> PAGEREF _Toc51859735 \h </w:instrText>
            </w:r>
            <w:r w:rsidR="00247395">
              <w:rPr>
                <w:noProof/>
                <w:webHidden/>
              </w:rPr>
            </w:r>
            <w:r w:rsidR="00247395">
              <w:rPr>
                <w:noProof/>
                <w:webHidden/>
              </w:rPr>
              <w:fldChar w:fldCharType="separate"/>
            </w:r>
            <w:r w:rsidR="00247395">
              <w:rPr>
                <w:noProof/>
                <w:webHidden/>
              </w:rPr>
              <w:t>12</w:t>
            </w:r>
            <w:r w:rsidR="00247395">
              <w:rPr>
                <w:noProof/>
                <w:webHidden/>
              </w:rPr>
              <w:fldChar w:fldCharType="end"/>
            </w:r>
          </w:hyperlink>
        </w:p>
        <w:p w14:paraId="02BCFFE1" w14:textId="5EB42568" w:rsidR="00247395" w:rsidRDefault="00D20E63">
          <w:pPr>
            <w:pStyle w:val="TOC3"/>
            <w:rPr>
              <w:rFonts w:asciiTheme="minorHAnsi" w:eastAsiaTheme="minorEastAsia" w:hAnsiTheme="minorHAnsi" w:cstheme="minorBidi"/>
              <w:noProof/>
              <w:lang w:eastAsia="en-AU"/>
            </w:rPr>
          </w:pPr>
          <w:hyperlink w:anchor="_Toc51859736" w:history="1">
            <w:r w:rsidR="00247395" w:rsidRPr="005067D4">
              <w:rPr>
                <w:rStyle w:val="Hyperlink"/>
                <w:noProof/>
              </w:rPr>
              <w:t>Quality</w:t>
            </w:r>
            <w:r w:rsidR="00247395">
              <w:rPr>
                <w:noProof/>
                <w:webHidden/>
              </w:rPr>
              <w:tab/>
            </w:r>
            <w:r w:rsidR="00247395">
              <w:rPr>
                <w:noProof/>
                <w:webHidden/>
              </w:rPr>
              <w:fldChar w:fldCharType="begin"/>
            </w:r>
            <w:r w:rsidR="00247395">
              <w:rPr>
                <w:noProof/>
                <w:webHidden/>
              </w:rPr>
              <w:instrText xml:space="preserve"> PAGEREF _Toc51859736 \h </w:instrText>
            </w:r>
            <w:r w:rsidR="00247395">
              <w:rPr>
                <w:noProof/>
                <w:webHidden/>
              </w:rPr>
            </w:r>
            <w:r w:rsidR="00247395">
              <w:rPr>
                <w:noProof/>
                <w:webHidden/>
              </w:rPr>
              <w:fldChar w:fldCharType="separate"/>
            </w:r>
            <w:r w:rsidR="00247395">
              <w:rPr>
                <w:noProof/>
                <w:webHidden/>
              </w:rPr>
              <w:t>12</w:t>
            </w:r>
            <w:r w:rsidR="00247395">
              <w:rPr>
                <w:noProof/>
                <w:webHidden/>
              </w:rPr>
              <w:fldChar w:fldCharType="end"/>
            </w:r>
          </w:hyperlink>
        </w:p>
        <w:p w14:paraId="27B103CD" w14:textId="73582C70" w:rsidR="00247395" w:rsidRDefault="00D20E63">
          <w:pPr>
            <w:pStyle w:val="TOC3"/>
            <w:rPr>
              <w:rFonts w:asciiTheme="minorHAnsi" w:eastAsiaTheme="minorEastAsia" w:hAnsiTheme="minorHAnsi" w:cstheme="minorBidi"/>
              <w:noProof/>
              <w:lang w:eastAsia="en-AU"/>
            </w:rPr>
          </w:pPr>
          <w:hyperlink w:anchor="_Toc51859737" w:history="1">
            <w:r w:rsidR="00247395" w:rsidRPr="005067D4">
              <w:rPr>
                <w:rStyle w:val="Hyperlink"/>
                <w:noProof/>
              </w:rPr>
              <w:t>Nonclinical</w:t>
            </w:r>
            <w:r w:rsidR="00247395">
              <w:rPr>
                <w:noProof/>
                <w:webHidden/>
              </w:rPr>
              <w:tab/>
            </w:r>
            <w:r w:rsidR="00247395">
              <w:rPr>
                <w:noProof/>
                <w:webHidden/>
              </w:rPr>
              <w:fldChar w:fldCharType="begin"/>
            </w:r>
            <w:r w:rsidR="00247395">
              <w:rPr>
                <w:noProof/>
                <w:webHidden/>
              </w:rPr>
              <w:instrText xml:space="preserve"> PAGEREF _Toc51859737 \h </w:instrText>
            </w:r>
            <w:r w:rsidR="00247395">
              <w:rPr>
                <w:noProof/>
                <w:webHidden/>
              </w:rPr>
            </w:r>
            <w:r w:rsidR="00247395">
              <w:rPr>
                <w:noProof/>
                <w:webHidden/>
              </w:rPr>
              <w:fldChar w:fldCharType="separate"/>
            </w:r>
            <w:r w:rsidR="00247395">
              <w:rPr>
                <w:noProof/>
                <w:webHidden/>
              </w:rPr>
              <w:t>12</w:t>
            </w:r>
            <w:r w:rsidR="00247395">
              <w:rPr>
                <w:noProof/>
                <w:webHidden/>
              </w:rPr>
              <w:fldChar w:fldCharType="end"/>
            </w:r>
          </w:hyperlink>
        </w:p>
        <w:p w14:paraId="4CEB97A1" w14:textId="6386D602" w:rsidR="00247395" w:rsidRDefault="00D20E63">
          <w:pPr>
            <w:pStyle w:val="TOC3"/>
            <w:rPr>
              <w:rFonts w:asciiTheme="minorHAnsi" w:eastAsiaTheme="minorEastAsia" w:hAnsiTheme="minorHAnsi" w:cstheme="minorBidi"/>
              <w:noProof/>
              <w:lang w:eastAsia="en-AU"/>
            </w:rPr>
          </w:pPr>
          <w:hyperlink w:anchor="_Toc51859738" w:history="1">
            <w:r w:rsidR="00247395" w:rsidRPr="005067D4">
              <w:rPr>
                <w:rStyle w:val="Hyperlink"/>
                <w:noProof/>
              </w:rPr>
              <w:t>Clinical</w:t>
            </w:r>
            <w:r w:rsidR="00247395">
              <w:rPr>
                <w:noProof/>
                <w:webHidden/>
              </w:rPr>
              <w:tab/>
            </w:r>
            <w:r w:rsidR="00247395">
              <w:rPr>
                <w:noProof/>
                <w:webHidden/>
              </w:rPr>
              <w:fldChar w:fldCharType="begin"/>
            </w:r>
            <w:r w:rsidR="00247395">
              <w:rPr>
                <w:noProof/>
                <w:webHidden/>
              </w:rPr>
              <w:instrText xml:space="preserve"> PAGEREF _Toc51859738 \h </w:instrText>
            </w:r>
            <w:r w:rsidR="00247395">
              <w:rPr>
                <w:noProof/>
                <w:webHidden/>
              </w:rPr>
            </w:r>
            <w:r w:rsidR="00247395">
              <w:rPr>
                <w:noProof/>
                <w:webHidden/>
              </w:rPr>
              <w:fldChar w:fldCharType="separate"/>
            </w:r>
            <w:r w:rsidR="00247395">
              <w:rPr>
                <w:noProof/>
                <w:webHidden/>
              </w:rPr>
              <w:t>13</w:t>
            </w:r>
            <w:r w:rsidR="00247395">
              <w:rPr>
                <w:noProof/>
                <w:webHidden/>
              </w:rPr>
              <w:fldChar w:fldCharType="end"/>
            </w:r>
          </w:hyperlink>
        </w:p>
        <w:p w14:paraId="0524E943" w14:textId="36B36E6D" w:rsidR="00247395" w:rsidRDefault="00D20E63">
          <w:pPr>
            <w:pStyle w:val="TOC3"/>
            <w:rPr>
              <w:rFonts w:asciiTheme="minorHAnsi" w:eastAsiaTheme="minorEastAsia" w:hAnsiTheme="minorHAnsi" w:cstheme="minorBidi"/>
              <w:noProof/>
              <w:lang w:eastAsia="en-AU"/>
            </w:rPr>
          </w:pPr>
          <w:hyperlink w:anchor="_Toc51859739" w:history="1">
            <w:r w:rsidR="00247395" w:rsidRPr="005067D4">
              <w:rPr>
                <w:rStyle w:val="Hyperlink"/>
                <w:noProof/>
                <w:lang w:eastAsia="en-AU"/>
              </w:rPr>
              <w:t xml:space="preserve">Risk </w:t>
            </w:r>
            <w:r w:rsidR="00247395" w:rsidRPr="005067D4">
              <w:rPr>
                <w:rStyle w:val="Hyperlink"/>
                <w:noProof/>
              </w:rPr>
              <w:t>management</w:t>
            </w:r>
            <w:r w:rsidR="00247395" w:rsidRPr="005067D4">
              <w:rPr>
                <w:rStyle w:val="Hyperlink"/>
                <w:noProof/>
                <w:lang w:eastAsia="en-AU"/>
              </w:rPr>
              <w:t xml:space="preserve"> plan</w:t>
            </w:r>
            <w:r w:rsidR="00247395">
              <w:rPr>
                <w:noProof/>
                <w:webHidden/>
              </w:rPr>
              <w:tab/>
            </w:r>
            <w:r w:rsidR="00247395">
              <w:rPr>
                <w:noProof/>
                <w:webHidden/>
              </w:rPr>
              <w:fldChar w:fldCharType="begin"/>
            </w:r>
            <w:r w:rsidR="00247395">
              <w:rPr>
                <w:noProof/>
                <w:webHidden/>
              </w:rPr>
              <w:instrText xml:space="preserve"> PAGEREF _Toc51859739 \h </w:instrText>
            </w:r>
            <w:r w:rsidR="00247395">
              <w:rPr>
                <w:noProof/>
                <w:webHidden/>
              </w:rPr>
            </w:r>
            <w:r w:rsidR="00247395">
              <w:rPr>
                <w:noProof/>
                <w:webHidden/>
              </w:rPr>
              <w:fldChar w:fldCharType="separate"/>
            </w:r>
            <w:r w:rsidR="00247395">
              <w:rPr>
                <w:noProof/>
                <w:webHidden/>
              </w:rPr>
              <w:t>19</w:t>
            </w:r>
            <w:r w:rsidR="00247395">
              <w:rPr>
                <w:noProof/>
                <w:webHidden/>
              </w:rPr>
              <w:fldChar w:fldCharType="end"/>
            </w:r>
          </w:hyperlink>
        </w:p>
        <w:p w14:paraId="741566C9" w14:textId="68524B9F" w:rsidR="00247395" w:rsidRDefault="00D20E63">
          <w:pPr>
            <w:pStyle w:val="TOC3"/>
            <w:rPr>
              <w:rFonts w:asciiTheme="minorHAnsi" w:eastAsiaTheme="minorEastAsia" w:hAnsiTheme="minorHAnsi" w:cstheme="minorBidi"/>
              <w:noProof/>
              <w:lang w:eastAsia="en-AU"/>
            </w:rPr>
          </w:pPr>
          <w:hyperlink w:anchor="_Toc51859740" w:history="1">
            <w:r w:rsidR="00247395" w:rsidRPr="005067D4">
              <w:rPr>
                <w:rStyle w:val="Hyperlink"/>
                <w:noProof/>
              </w:rPr>
              <w:t>Risk-benefit analysis</w:t>
            </w:r>
            <w:r w:rsidR="00247395">
              <w:rPr>
                <w:noProof/>
                <w:webHidden/>
              </w:rPr>
              <w:tab/>
            </w:r>
            <w:r w:rsidR="00247395">
              <w:rPr>
                <w:noProof/>
                <w:webHidden/>
              </w:rPr>
              <w:fldChar w:fldCharType="begin"/>
            </w:r>
            <w:r w:rsidR="00247395">
              <w:rPr>
                <w:noProof/>
                <w:webHidden/>
              </w:rPr>
              <w:instrText xml:space="preserve"> PAGEREF _Toc51859740 \h </w:instrText>
            </w:r>
            <w:r w:rsidR="00247395">
              <w:rPr>
                <w:noProof/>
                <w:webHidden/>
              </w:rPr>
            </w:r>
            <w:r w:rsidR="00247395">
              <w:rPr>
                <w:noProof/>
                <w:webHidden/>
              </w:rPr>
              <w:fldChar w:fldCharType="separate"/>
            </w:r>
            <w:r w:rsidR="00247395">
              <w:rPr>
                <w:noProof/>
                <w:webHidden/>
              </w:rPr>
              <w:t>21</w:t>
            </w:r>
            <w:r w:rsidR="00247395">
              <w:rPr>
                <w:noProof/>
                <w:webHidden/>
              </w:rPr>
              <w:fldChar w:fldCharType="end"/>
            </w:r>
          </w:hyperlink>
        </w:p>
        <w:p w14:paraId="741516BE" w14:textId="280DDDD5" w:rsidR="00247395" w:rsidRDefault="00D20E63">
          <w:pPr>
            <w:pStyle w:val="TOC3"/>
            <w:rPr>
              <w:rFonts w:asciiTheme="minorHAnsi" w:eastAsiaTheme="minorEastAsia" w:hAnsiTheme="minorHAnsi" w:cstheme="minorBidi"/>
              <w:noProof/>
              <w:lang w:eastAsia="en-AU"/>
            </w:rPr>
          </w:pPr>
          <w:hyperlink w:anchor="_Toc51859741" w:history="1">
            <w:r w:rsidR="00247395" w:rsidRPr="005067D4">
              <w:rPr>
                <w:rStyle w:val="Hyperlink"/>
                <w:noProof/>
              </w:rPr>
              <w:t>Outcome</w:t>
            </w:r>
            <w:r w:rsidR="00247395">
              <w:rPr>
                <w:noProof/>
                <w:webHidden/>
              </w:rPr>
              <w:tab/>
            </w:r>
            <w:r w:rsidR="00247395">
              <w:rPr>
                <w:noProof/>
                <w:webHidden/>
              </w:rPr>
              <w:fldChar w:fldCharType="begin"/>
            </w:r>
            <w:r w:rsidR="00247395">
              <w:rPr>
                <w:noProof/>
                <w:webHidden/>
              </w:rPr>
              <w:instrText xml:space="preserve"> PAGEREF _Toc51859741 \h </w:instrText>
            </w:r>
            <w:r w:rsidR="00247395">
              <w:rPr>
                <w:noProof/>
                <w:webHidden/>
              </w:rPr>
            </w:r>
            <w:r w:rsidR="00247395">
              <w:rPr>
                <w:noProof/>
                <w:webHidden/>
              </w:rPr>
              <w:fldChar w:fldCharType="separate"/>
            </w:r>
            <w:r w:rsidR="00247395">
              <w:rPr>
                <w:noProof/>
                <w:webHidden/>
              </w:rPr>
              <w:t>22</w:t>
            </w:r>
            <w:r w:rsidR="00247395">
              <w:rPr>
                <w:noProof/>
                <w:webHidden/>
              </w:rPr>
              <w:fldChar w:fldCharType="end"/>
            </w:r>
          </w:hyperlink>
        </w:p>
        <w:p w14:paraId="68165C40" w14:textId="1B135940" w:rsidR="00247395" w:rsidRDefault="00D20E63">
          <w:pPr>
            <w:pStyle w:val="TOC2"/>
            <w:rPr>
              <w:rFonts w:asciiTheme="minorHAnsi" w:eastAsiaTheme="minorEastAsia" w:hAnsiTheme="minorHAnsi" w:cstheme="minorBidi"/>
              <w:b w:val="0"/>
              <w:noProof/>
              <w:sz w:val="22"/>
              <w:lang w:eastAsia="en-AU"/>
            </w:rPr>
          </w:pPr>
          <w:hyperlink w:anchor="_Toc51859742" w:history="1">
            <w:r w:rsidR="00247395" w:rsidRPr="005067D4">
              <w:rPr>
                <w:rStyle w:val="Hyperlink"/>
                <w:noProof/>
              </w:rPr>
              <w:t>Attachment 1. Product Information</w:t>
            </w:r>
            <w:r w:rsidR="00247395">
              <w:rPr>
                <w:noProof/>
                <w:webHidden/>
              </w:rPr>
              <w:tab/>
            </w:r>
            <w:r w:rsidR="00247395">
              <w:rPr>
                <w:noProof/>
                <w:webHidden/>
              </w:rPr>
              <w:fldChar w:fldCharType="begin"/>
            </w:r>
            <w:r w:rsidR="00247395">
              <w:rPr>
                <w:noProof/>
                <w:webHidden/>
              </w:rPr>
              <w:instrText xml:space="preserve"> PAGEREF _Toc51859742 \h </w:instrText>
            </w:r>
            <w:r w:rsidR="00247395">
              <w:rPr>
                <w:noProof/>
                <w:webHidden/>
              </w:rPr>
            </w:r>
            <w:r w:rsidR="00247395">
              <w:rPr>
                <w:noProof/>
                <w:webHidden/>
              </w:rPr>
              <w:fldChar w:fldCharType="separate"/>
            </w:r>
            <w:r w:rsidR="00247395">
              <w:rPr>
                <w:noProof/>
                <w:webHidden/>
              </w:rPr>
              <w:t>23</w:t>
            </w:r>
            <w:r w:rsidR="00247395">
              <w:rPr>
                <w:noProof/>
                <w:webHidden/>
              </w:rPr>
              <w:fldChar w:fldCharType="end"/>
            </w:r>
          </w:hyperlink>
        </w:p>
        <w:p w14:paraId="231FA26F" w14:textId="719BA0BE" w:rsidR="003A7F6C" w:rsidRPr="00B811C6" w:rsidRDefault="00960520" w:rsidP="00B811C6">
          <w:pPr>
            <w:pStyle w:val="TOC2"/>
          </w:pPr>
          <w:r>
            <w:fldChar w:fldCharType="end"/>
          </w:r>
        </w:p>
      </w:sdtContent>
    </w:sdt>
    <w:bookmarkStart w:id="2" w:name="_Toc314842482" w:displacedByCustomXml="prev"/>
    <w:p w14:paraId="0FA7545E" w14:textId="77777777" w:rsidR="00FD119B" w:rsidRDefault="00FD119B">
      <w:pPr>
        <w:spacing w:before="0" w:after="200" w:line="0" w:lineRule="auto"/>
      </w:pPr>
      <w:r>
        <w:br w:type="page"/>
      </w:r>
    </w:p>
    <w:p w14:paraId="215C5E09" w14:textId="77777777" w:rsidR="00FD119B" w:rsidRDefault="00441C3F" w:rsidP="004F0C4A">
      <w:pPr>
        <w:pStyle w:val="Heading2"/>
      </w:pPr>
      <w:bookmarkStart w:id="3" w:name="_Toc351716269"/>
      <w:bookmarkStart w:id="4" w:name="_Toc351718881"/>
      <w:bookmarkStart w:id="5" w:name="_Toc355338616"/>
      <w:bookmarkStart w:id="6" w:name="_Toc356306144"/>
      <w:bookmarkStart w:id="7" w:name="_Toc51859728"/>
      <w:r>
        <w:lastRenderedPageBreak/>
        <w:t>Common</w:t>
      </w:r>
      <w:r w:rsidR="00FD119B" w:rsidRPr="00FD119B">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890"/>
        <w:gridCol w:w="6830"/>
      </w:tblGrid>
      <w:tr w:rsidR="00846E44" w:rsidRPr="007A6AA5" w14:paraId="595E78EF" w14:textId="77777777" w:rsidTr="008955D8">
        <w:trPr>
          <w:cnfStyle w:val="100000000000" w:firstRow="1" w:lastRow="0" w:firstColumn="0" w:lastColumn="0" w:oddVBand="0" w:evenVBand="0" w:oddHBand="0" w:evenHBand="0" w:firstRowFirstColumn="0" w:firstRowLastColumn="0" w:lastRowFirstColumn="0" w:lastRowLastColumn="0"/>
        </w:trPr>
        <w:tc>
          <w:tcPr>
            <w:tcW w:w="1890" w:type="dxa"/>
          </w:tcPr>
          <w:p w14:paraId="775347AB" w14:textId="77777777" w:rsidR="00846E44" w:rsidRPr="007A6AA5" w:rsidRDefault="00846E44" w:rsidP="007A6AA5">
            <w:pPr>
              <w:keepNext w:val="0"/>
              <w:rPr>
                <w:szCs w:val="22"/>
                <w:lang w:eastAsia="en-US"/>
              </w:rPr>
            </w:pPr>
            <w:r w:rsidRPr="007A6AA5">
              <w:rPr>
                <w:szCs w:val="22"/>
                <w:lang w:eastAsia="en-US"/>
              </w:rPr>
              <w:t>Abbreviation</w:t>
            </w:r>
          </w:p>
        </w:tc>
        <w:tc>
          <w:tcPr>
            <w:tcW w:w="6830" w:type="dxa"/>
          </w:tcPr>
          <w:p w14:paraId="50F16FE5" w14:textId="77777777" w:rsidR="00846E44" w:rsidRPr="007A6AA5" w:rsidRDefault="00846E44" w:rsidP="007A6AA5">
            <w:pPr>
              <w:keepNext w:val="0"/>
              <w:rPr>
                <w:szCs w:val="22"/>
                <w:lang w:eastAsia="en-US"/>
              </w:rPr>
            </w:pPr>
            <w:r w:rsidRPr="007A6AA5">
              <w:rPr>
                <w:szCs w:val="22"/>
                <w:lang w:eastAsia="en-US"/>
              </w:rPr>
              <w:t>Meaning</w:t>
            </w:r>
          </w:p>
        </w:tc>
      </w:tr>
      <w:tr w:rsidR="00846E44" w:rsidRPr="007A6AA5" w14:paraId="47CEA3F8" w14:textId="77777777" w:rsidTr="008955D8">
        <w:tc>
          <w:tcPr>
            <w:tcW w:w="1890" w:type="dxa"/>
          </w:tcPr>
          <w:p w14:paraId="18525360" w14:textId="77777777" w:rsidR="00846E44" w:rsidRDefault="00846E44" w:rsidP="00846E44">
            <w:pPr>
              <w:spacing w:afterLines="40" w:after="96"/>
              <w:rPr>
                <w:rFonts w:eastAsia="TimesNewRoman" w:cs="TimesNewRoman"/>
              </w:rPr>
            </w:pPr>
            <w:r>
              <w:t>ACM</w:t>
            </w:r>
          </w:p>
        </w:tc>
        <w:tc>
          <w:tcPr>
            <w:tcW w:w="6830" w:type="dxa"/>
          </w:tcPr>
          <w:p w14:paraId="29554897" w14:textId="77777777" w:rsidR="00846E44" w:rsidRDefault="00846E44" w:rsidP="00846E44">
            <w:pPr>
              <w:spacing w:afterLines="40" w:after="96"/>
              <w:rPr>
                <w:rFonts w:eastAsia="TimesNewRoman" w:cs="TimesNewRoman"/>
              </w:rPr>
            </w:pPr>
            <w:r>
              <w:t>Advisory Committee on Medicines</w:t>
            </w:r>
          </w:p>
        </w:tc>
      </w:tr>
      <w:tr w:rsidR="00846E44" w:rsidRPr="007A6AA5" w14:paraId="5518CC86" w14:textId="77777777" w:rsidTr="008955D8">
        <w:tc>
          <w:tcPr>
            <w:tcW w:w="1890" w:type="dxa"/>
          </w:tcPr>
          <w:p w14:paraId="5D753623" w14:textId="77777777" w:rsidR="00846E44" w:rsidRPr="007A6AA5" w:rsidRDefault="00846E44" w:rsidP="007A6AA5">
            <w:pPr>
              <w:spacing w:afterLines="40" w:after="96"/>
              <w:rPr>
                <w:szCs w:val="22"/>
              </w:rPr>
            </w:pPr>
            <w:r>
              <w:rPr>
                <w:rFonts w:eastAsia="TimesNewRoman" w:cs="TimesNewRoman"/>
                <w:szCs w:val="22"/>
              </w:rPr>
              <w:t>AE</w:t>
            </w:r>
          </w:p>
        </w:tc>
        <w:tc>
          <w:tcPr>
            <w:tcW w:w="6830" w:type="dxa"/>
          </w:tcPr>
          <w:p w14:paraId="74AABCC5" w14:textId="77777777" w:rsidR="00846E44" w:rsidRPr="007A6AA5" w:rsidRDefault="00846E44" w:rsidP="007A6AA5">
            <w:pPr>
              <w:spacing w:afterLines="40" w:after="96"/>
              <w:rPr>
                <w:szCs w:val="22"/>
              </w:rPr>
            </w:pPr>
            <w:r>
              <w:rPr>
                <w:rFonts w:eastAsia="TimesNewRoman" w:cs="TimesNewRoman"/>
                <w:szCs w:val="22"/>
              </w:rPr>
              <w:t>A</w:t>
            </w:r>
            <w:r w:rsidRPr="007A6AA5">
              <w:rPr>
                <w:rFonts w:eastAsia="TimesNewRoman" w:cs="TimesNewRoman"/>
                <w:szCs w:val="22"/>
              </w:rPr>
              <w:t>dverse event</w:t>
            </w:r>
          </w:p>
        </w:tc>
      </w:tr>
      <w:tr w:rsidR="00846E44" w:rsidRPr="007A6AA5" w14:paraId="0C52B826" w14:textId="77777777" w:rsidTr="008955D8">
        <w:tc>
          <w:tcPr>
            <w:tcW w:w="1890" w:type="dxa"/>
          </w:tcPr>
          <w:p w14:paraId="336B0D5E" w14:textId="77777777" w:rsidR="00846E44" w:rsidRPr="007A6AA5" w:rsidRDefault="00846E44" w:rsidP="007A6AA5">
            <w:pPr>
              <w:spacing w:afterLines="40" w:after="96"/>
              <w:rPr>
                <w:szCs w:val="22"/>
              </w:rPr>
            </w:pPr>
            <w:r>
              <w:rPr>
                <w:rFonts w:eastAsia="TimesNewRoman" w:cs="TimesNewRoman"/>
                <w:szCs w:val="22"/>
              </w:rPr>
              <w:t>AML</w:t>
            </w:r>
          </w:p>
        </w:tc>
        <w:tc>
          <w:tcPr>
            <w:tcW w:w="6830" w:type="dxa"/>
          </w:tcPr>
          <w:p w14:paraId="2CEC9D13" w14:textId="68396427" w:rsidR="00846E44" w:rsidRPr="007A6AA5" w:rsidRDefault="00846E44" w:rsidP="007A6AA5">
            <w:pPr>
              <w:spacing w:afterLines="40" w:after="96"/>
              <w:rPr>
                <w:szCs w:val="22"/>
              </w:rPr>
            </w:pPr>
            <w:r>
              <w:rPr>
                <w:rFonts w:eastAsia="TimesNewRoman" w:cs="TimesNewRoman"/>
                <w:szCs w:val="22"/>
              </w:rPr>
              <w:t>A</w:t>
            </w:r>
            <w:r w:rsidRPr="007A6AA5">
              <w:rPr>
                <w:rFonts w:eastAsia="TimesNewRoman" w:cs="TimesNewRoman"/>
                <w:szCs w:val="22"/>
              </w:rPr>
              <w:t>cute myeloid leuk</w:t>
            </w:r>
            <w:r w:rsidR="00F07D54">
              <w:rPr>
                <w:rFonts w:eastAsia="TimesNewRoman" w:cs="TimesNewRoman"/>
                <w:szCs w:val="22"/>
              </w:rPr>
              <w:t>a</w:t>
            </w:r>
            <w:r w:rsidRPr="007A6AA5">
              <w:rPr>
                <w:rFonts w:eastAsia="TimesNewRoman" w:cs="TimesNewRoman"/>
                <w:szCs w:val="22"/>
              </w:rPr>
              <w:t>emia</w:t>
            </w:r>
          </w:p>
        </w:tc>
      </w:tr>
      <w:tr w:rsidR="00846E44" w:rsidRPr="007A6AA5" w14:paraId="3DC24C94" w14:textId="77777777" w:rsidTr="008955D8">
        <w:tc>
          <w:tcPr>
            <w:tcW w:w="1890" w:type="dxa"/>
          </w:tcPr>
          <w:p w14:paraId="5C6F3FE7" w14:textId="77777777" w:rsidR="00846E44" w:rsidRDefault="00846E44" w:rsidP="00846E44">
            <w:pPr>
              <w:spacing w:afterLines="40" w:after="96"/>
              <w:rPr>
                <w:rFonts w:eastAsia="TimesNewRoman" w:cs="TimesNewRoman"/>
              </w:rPr>
            </w:pPr>
            <w:r>
              <w:t>ARTG</w:t>
            </w:r>
          </w:p>
        </w:tc>
        <w:tc>
          <w:tcPr>
            <w:tcW w:w="6830" w:type="dxa"/>
          </w:tcPr>
          <w:p w14:paraId="32F3604E" w14:textId="77777777" w:rsidR="00846E44" w:rsidRDefault="00846E44" w:rsidP="00846E44">
            <w:pPr>
              <w:spacing w:afterLines="40" w:after="96"/>
              <w:rPr>
                <w:rFonts w:eastAsia="TimesNewRoman" w:cs="TimesNewRoman"/>
              </w:rPr>
            </w:pPr>
            <w:r>
              <w:t>Australian Register of Therapeutic Goods</w:t>
            </w:r>
          </w:p>
        </w:tc>
      </w:tr>
      <w:tr w:rsidR="00846E44" w:rsidRPr="007A6AA5" w14:paraId="7643B662" w14:textId="77777777" w:rsidTr="008955D8">
        <w:tc>
          <w:tcPr>
            <w:tcW w:w="1890" w:type="dxa"/>
          </w:tcPr>
          <w:p w14:paraId="6200A51A" w14:textId="77777777" w:rsidR="00846E44" w:rsidRDefault="00846E44" w:rsidP="007A6AA5">
            <w:pPr>
              <w:spacing w:afterLines="40" w:after="96"/>
              <w:rPr>
                <w:rFonts w:eastAsia="TimesNewRoman" w:cs="TimesNewRoman"/>
              </w:rPr>
            </w:pPr>
            <w:r>
              <w:rPr>
                <w:rFonts w:eastAsia="TimesNewRoman" w:cs="TimesNewRoman"/>
              </w:rPr>
              <w:t>ASA</w:t>
            </w:r>
          </w:p>
        </w:tc>
        <w:tc>
          <w:tcPr>
            <w:tcW w:w="6830" w:type="dxa"/>
          </w:tcPr>
          <w:p w14:paraId="4DCAC065" w14:textId="77777777" w:rsidR="00846E44" w:rsidRDefault="00846E44" w:rsidP="007A6AA5">
            <w:pPr>
              <w:spacing w:afterLines="40" w:after="96"/>
              <w:rPr>
                <w:iCs/>
              </w:rPr>
            </w:pPr>
            <w:r w:rsidRPr="00DD1FEC">
              <w:t>A</w:t>
            </w:r>
            <w:r>
              <w:t>ustralian specific Annex</w:t>
            </w:r>
          </w:p>
        </w:tc>
      </w:tr>
      <w:tr w:rsidR="00846E44" w:rsidRPr="007A6AA5" w14:paraId="467079A1" w14:textId="77777777" w:rsidTr="008955D8">
        <w:tc>
          <w:tcPr>
            <w:tcW w:w="1890" w:type="dxa"/>
          </w:tcPr>
          <w:p w14:paraId="1EB8C9AF" w14:textId="77777777" w:rsidR="00846E44" w:rsidRPr="007A6AA5" w:rsidRDefault="00846E44" w:rsidP="007A6AA5">
            <w:pPr>
              <w:spacing w:afterLines="40" w:after="96"/>
              <w:rPr>
                <w:rFonts w:eastAsia="TimesNewRoman" w:cs="TimesNewRoman"/>
                <w:szCs w:val="22"/>
              </w:rPr>
            </w:pPr>
            <w:r w:rsidRPr="007A6AA5">
              <w:rPr>
                <w:rFonts w:eastAsia="TimesNewRoman" w:cs="TimesNewRoman"/>
                <w:szCs w:val="22"/>
              </w:rPr>
              <w:t>BCL</w:t>
            </w:r>
            <w:r>
              <w:rPr>
                <w:rFonts w:eastAsia="TimesNewRoman" w:cs="TimesNewRoman"/>
                <w:szCs w:val="22"/>
              </w:rPr>
              <w:t>-2</w:t>
            </w:r>
          </w:p>
        </w:tc>
        <w:tc>
          <w:tcPr>
            <w:tcW w:w="6830" w:type="dxa"/>
          </w:tcPr>
          <w:p w14:paraId="321E109F" w14:textId="77777777" w:rsidR="00846E44" w:rsidRPr="007A6AA5" w:rsidRDefault="00846E44" w:rsidP="007A6AA5">
            <w:pPr>
              <w:spacing w:afterLines="40" w:after="96"/>
              <w:rPr>
                <w:rFonts w:eastAsia="TimesNewRoman" w:cs="TimesNewRoman"/>
                <w:szCs w:val="22"/>
              </w:rPr>
            </w:pPr>
            <w:r>
              <w:rPr>
                <w:rFonts w:eastAsia="TimesNewRoman" w:cs="TimesNewRoman"/>
                <w:szCs w:val="22"/>
              </w:rPr>
              <w:t>B-cell lymphoma 2</w:t>
            </w:r>
          </w:p>
        </w:tc>
      </w:tr>
      <w:tr w:rsidR="00846E44" w:rsidRPr="007A6AA5" w14:paraId="27A164DD" w14:textId="77777777" w:rsidTr="008955D8">
        <w:tc>
          <w:tcPr>
            <w:tcW w:w="1890" w:type="dxa"/>
          </w:tcPr>
          <w:p w14:paraId="63F6F578" w14:textId="77777777" w:rsidR="00846E44" w:rsidRDefault="00846E44" w:rsidP="007A6AA5">
            <w:pPr>
              <w:spacing w:afterLines="40" w:after="96"/>
              <w:rPr>
                <w:rFonts w:eastAsia="TimesNewRoman" w:cs="TimesNewRoman"/>
              </w:rPr>
            </w:pPr>
            <w:r>
              <w:rPr>
                <w:rFonts w:eastAsia="TimesNewRoman" w:cs="TimesNewRoman"/>
              </w:rPr>
              <w:t>BIM</w:t>
            </w:r>
          </w:p>
        </w:tc>
        <w:tc>
          <w:tcPr>
            <w:tcW w:w="6830" w:type="dxa"/>
          </w:tcPr>
          <w:p w14:paraId="1433F096" w14:textId="061B8465" w:rsidR="00846E44" w:rsidRPr="0033657D" w:rsidRDefault="00846E44" w:rsidP="0033657D">
            <w:pPr>
              <w:rPr>
                <w:rFonts w:eastAsia="TimesNewRoman" w:cs="TimesNewRoman"/>
              </w:rPr>
            </w:pPr>
            <w:r w:rsidRPr="0033657D">
              <w:rPr>
                <w:lang w:val="en"/>
              </w:rPr>
              <w:t>B</w:t>
            </w:r>
            <w:r w:rsidR="00C961DE">
              <w:rPr>
                <w:lang w:val="en"/>
              </w:rPr>
              <w:t xml:space="preserve">-cell lymphoma </w:t>
            </w:r>
            <w:r w:rsidRPr="0033657D">
              <w:rPr>
                <w:lang w:val="en"/>
              </w:rPr>
              <w:t>2 interacting mediator of cell death</w:t>
            </w:r>
          </w:p>
        </w:tc>
      </w:tr>
      <w:tr w:rsidR="00846E44" w:rsidRPr="007A6AA5" w14:paraId="7092A42C" w14:textId="77777777" w:rsidTr="008955D8">
        <w:tc>
          <w:tcPr>
            <w:tcW w:w="1890" w:type="dxa"/>
          </w:tcPr>
          <w:p w14:paraId="75A738DD" w14:textId="77777777" w:rsidR="00846E44" w:rsidRDefault="00846E44" w:rsidP="007A6AA5">
            <w:pPr>
              <w:spacing w:afterLines="40" w:after="96"/>
              <w:rPr>
                <w:rFonts w:eastAsia="TimesNewRoman" w:cs="TimesNewRoman"/>
              </w:rPr>
            </w:pPr>
            <w:r>
              <w:rPr>
                <w:rFonts w:eastAsia="TimesNewRoman" w:cs="TimesNewRoman"/>
              </w:rPr>
              <w:t>BSC</w:t>
            </w:r>
          </w:p>
        </w:tc>
        <w:tc>
          <w:tcPr>
            <w:tcW w:w="6830" w:type="dxa"/>
          </w:tcPr>
          <w:p w14:paraId="2B3D7A89" w14:textId="77777777" w:rsidR="00846E44" w:rsidRDefault="00846E44" w:rsidP="007A6AA5">
            <w:pPr>
              <w:spacing w:afterLines="40" w:after="96"/>
              <w:rPr>
                <w:rFonts w:eastAsia="TimesNewRoman" w:cs="TimesNewRoman"/>
              </w:rPr>
            </w:pPr>
            <w:r>
              <w:rPr>
                <w:rFonts w:eastAsia="TimesNewRoman" w:cs="TimesNewRoman"/>
              </w:rPr>
              <w:t>Best supportive care</w:t>
            </w:r>
          </w:p>
        </w:tc>
      </w:tr>
      <w:tr w:rsidR="00846E44" w:rsidRPr="007A6AA5" w14:paraId="578813E0" w14:textId="77777777" w:rsidTr="008955D8">
        <w:tc>
          <w:tcPr>
            <w:tcW w:w="1890" w:type="dxa"/>
          </w:tcPr>
          <w:p w14:paraId="44B113FC" w14:textId="77777777" w:rsidR="00846E44" w:rsidRDefault="00846E44" w:rsidP="007A6AA5">
            <w:pPr>
              <w:spacing w:afterLines="40" w:after="96"/>
              <w:rPr>
                <w:rFonts w:eastAsia="TimesNewRoman" w:cs="TimesNewRoman"/>
              </w:rPr>
            </w:pPr>
            <w:r>
              <w:rPr>
                <w:rFonts w:eastAsia="TimesNewRoman" w:cs="TimesNewRoman"/>
              </w:rPr>
              <w:t>CI</w:t>
            </w:r>
          </w:p>
        </w:tc>
        <w:tc>
          <w:tcPr>
            <w:tcW w:w="6830" w:type="dxa"/>
          </w:tcPr>
          <w:p w14:paraId="585888E1" w14:textId="77777777" w:rsidR="00846E44" w:rsidRDefault="00846E44" w:rsidP="007A6AA5">
            <w:pPr>
              <w:spacing w:afterLines="40" w:after="96"/>
              <w:rPr>
                <w:rFonts w:eastAsia="TimesNewRoman" w:cs="TimesNewRoman"/>
              </w:rPr>
            </w:pPr>
            <w:r>
              <w:rPr>
                <w:rFonts w:eastAsia="TimesNewRoman" w:cs="TimesNewRoman"/>
              </w:rPr>
              <w:t>Confidence interval</w:t>
            </w:r>
          </w:p>
        </w:tc>
      </w:tr>
      <w:tr w:rsidR="00846E44" w:rsidRPr="007A6AA5" w14:paraId="0E3FDDA8" w14:textId="77777777" w:rsidTr="008955D8">
        <w:tc>
          <w:tcPr>
            <w:tcW w:w="1890" w:type="dxa"/>
          </w:tcPr>
          <w:p w14:paraId="3EC8E70B" w14:textId="77777777" w:rsidR="00846E44" w:rsidRPr="007A6AA5" w:rsidRDefault="00846E44" w:rsidP="007A6AA5">
            <w:pPr>
              <w:autoSpaceDE w:val="0"/>
              <w:autoSpaceDN w:val="0"/>
              <w:adjustRightInd w:val="0"/>
              <w:spacing w:afterLines="40" w:after="96"/>
              <w:rPr>
                <w:rFonts w:eastAsia="TimesNewRoman" w:cs="TimesNewRoman"/>
                <w:szCs w:val="22"/>
              </w:rPr>
            </w:pPr>
            <w:r>
              <w:rPr>
                <w:rFonts w:eastAsia="TimesNewRoman" w:cs="TimesNewRoman"/>
                <w:szCs w:val="22"/>
              </w:rPr>
              <w:t>CLL</w:t>
            </w:r>
          </w:p>
        </w:tc>
        <w:tc>
          <w:tcPr>
            <w:tcW w:w="6830" w:type="dxa"/>
          </w:tcPr>
          <w:p w14:paraId="3C546F55" w14:textId="7D571810" w:rsidR="00846E44" w:rsidRPr="007A6AA5" w:rsidRDefault="00846E44" w:rsidP="007A6AA5">
            <w:pPr>
              <w:spacing w:afterLines="40" w:after="96"/>
              <w:rPr>
                <w:szCs w:val="22"/>
              </w:rPr>
            </w:pPr>
            <w:r>
              <w:rPr>
                <w:rFonts w:eastAsia="TimesNewRoman" w:cs="TimesNewRoman"/>
                <w:szCs w:val="22"/>
              </w:rPr>
              <w:t>C</w:t>
            </w:r>
            <w:r w:rsidRPr="007A6AA5">
              <w:rPr>
                <w:rFonts w:eastAsia="TimesNewRoman" w:cs="TimesNewRoman"/>
                <w:szCs w:val="22"/>
              </w:rPr>
              <w:t>hronic lymphocytic leuk</w:t>
            </w:r>
            <w:r w:rsidR="00F07D54">
              <w:rPr>
                <w:rFonts w:eastAsia="TimesNewRoman" w:cs="TimesNewRoman"/>
                <w:szCs w:val="22"/>
              </w:rPr>
              <w:t>a</w:t>
            </w:r>
            <w:r w:rsidRPr="007A6AA5">
              <w:rPr>
                <w:rFonts w:eastAsia="TimesNewRoman" w:cs="TimesNewRoman"/>
                <w:szCs w:val="22"/>
              </w:rPr>
              <w:t>emia</w:t>
            </w:r>
          </w:p>
        </w:tc>
      </w:tr>
      <w:tr w:rsidR="00846E44" w:rsidRPr="007A6AA5" w14:paraId="3BAE1B8D" w14:textId="77777777" w:rsidTr="008955D8">
        <w:tc>
          <w:tcPr>
            <w:tcW w:w="1890" w:type="dxa"/>
          </w:tcPr>
          <w:p w14:paraId="43273E56" w14:textId="77777777" w:rsidR="00846E44" w:rsidRDefault="00846E44" w:rsidP="007A6AA5">
            <w:pPr>
              <w:spacing w:afterLines="40" w:after="96"/>
              <w:rPr>
                <w:rFonts w:eastAsia="TimesNewRoman" w:cs="TimesNewRoman"/>
              </w:rPr>
            </w:pPr>
            <w:r>
              <w:rPr>
                <w:rFonts w:eastAsia="TimesNewRoman" w:cs="TimesNewRoman"/>
              </w:rPr>
              <w:t>CMI</w:t>
            </w:r>
          </w:p>
        </w:tc>
        <w:tc>
          <w:tcPr>
            <w:tcW w:w="6830" w:type="dxa"/>
          </w:tcPr>
          <w:p w14:paraId="538F4DF2" w14:textId="77777777" w:rsidR="00846E44" w:rsidRDefault="00846E44" w:rsidP="007A6AA5">
            <w:pPr>
              <w:spacing w:afterLines="40" w:after="96"/>
              <w:rPr>
                <w:rFonts w:eastAsia="TimesNewRoman" w:cs="TimesNewRoman"/>
              </w:rPr>
            </w:pPr>
            <w:r>
              <w:rPr>
                <w:rFonts w:eastAsia="TimesNewRoman" w:cs="TimesNewRoman"/>
              </w:rPr>
              <w:t>Consumer Medicines Information</w:t>
            </w:r>
          </w:p>
        </w:tc>
      </w:tr>
      <w:tr w:rsidR="00846E44" w:rsidRPr="007A6AA5" w14:paraId="22818259" w14:textId="77777777" w:rsidTr="008955D8">
        <w:tc>
          <w:tcPr>
            <w:tcW w:w="1890" w:type="dxa"/>
          </w:tcPr>
          <w:p w14:paraId="2163B383" w14:textId="77777777" w:rsidR="00846E44" w:rsidRPr="007A6AA5" w:rsidRDefault="00846E44" w:rsidP="007A6AA5">
            <w:pPr>
              <w:spacing w:afterLines="40" w:after="96"/>
              <w:rPr>
                <w:szCs w:val="22"/>
              </w:rPr>
            </w:pPr>
            <w:r>
              <w:rPr>
                <w:rFonts w:eastAsia="TimesNewRoman" w:cs="TimesNewRoman"/>
                <w:szCs w:val="22"/>
              </w:rPr>
              <w:t>CR</w:t>
            </w:r>
          </w:p>
        </w:tc>
        <w:tc>
          <w:tcPr>
            <w:tcW w:w="6830" w:type="dxa"/>
          </w:tcPr>
          <w:p w14:paraId="08EA606A" w14:textId="77777777" w:rsidR="00846E44" w:rsidRPr="007A6AA5" w:rsidRDefault="00846E44" w:rsidP="007A6AA5">
            <w:pPr>
              <w:spacing w:afterLines="40" w:after="96"/>
              <w:rPr>
                <w:szCs w:val="22"/>
              </w:rPr>
            </w:pPr>
            <w:r>
              <w:rPr>
                <w:rFonts w:eastAsia="TimesNewRoman" w:cs="TimesNewRoman"/>
                <w:szCs w:val="22"/>
              </w:rPr>
              <w:t>C</w:t>
            </w:r>
            <w:r w:rsidRPr="007A6AA5">
              <w:rPr>
                <w:rFonts w:eastAsia="TimesNewRoman" w:cs="TimesNewRoman"/>
                <w:szCs w:val="22"/>
              </w:rPr>
              <w:t>omplete remission</w:t>
            </w:r>
          </w:p>
        </w:tc>
      </w:tr>
      <w:tr w:rsidR="00846E44" w:rsidRPr="007A6AA5" w14:paraId="55C51AFA" w14:textId="77777777" w:rsidTr="008955D8">
        <w:tc>
          <w:tcPr>
            <w:tcW w:w="1890" w:type="dxa"/>
          </w:tcPr>
          <w:p w14:paraId="5D7260E1" w14:textId="77777777" w:rsidR="00846E44" w:rsidRPr="007A6AA5" w:rsidRDefault="00846E44" w:rsidP="007A6AA5">
            <w:pPr>
              <w:spacing w:afterLines="40" w:after="96"/>
              <w:rPr>
                <w:szCs w:val="22"/>
              </w:rPr>
            </w:pPr>
            <w:r w:rsidRPr="007A6AA5">
              <w:rPr>
                <w:rFonts w:eastAsia="TimesNewRoman" w:cs="TimesNewRoman"/>
                <w:szCs w:val="22"/>
              </w:rPr>
              <w:t>CRh</w:t>
            </w:r>
          </w:p>
        </w:tc>
        <w:tc>
          <w:tcPr>
            <w:tcW w:w="6830" w:type="dxa"/>
          </w:tcPr>
          <w:p w14:paraId="07FB7BB2" w14:textId="77777777" w:rsidR="00846E44" w:rsidRPr="007A6AA5" w:rsidRDefault="00846E44" w:rsidP="007A6AA5">
            <w:pPr>
              <w:spacing w:afterLines="40" w:after="96"/>
              <w:rPr>
                <w:szCs w:val="22"/>
              </w:rPr>
            </w:pPr>
            <w:r>
              <w:rPr>
                <w:rFonts w:eastAsia="TimesNewRoman" w:cs="TimesNewRoman"/>
                <w:szCs w:val="22"/>
              </w:rPr>
              <w:t>C</w:t>
            </w:r>
            <w:r w:rsidRPr="007A6AA5">
              <w:rPr>
                <w:rFonts w:eastAsia="TimesNewRoman" w:cs="TimesNewRoman"/>
                <w:szCs w:val="22"/>
              </w:rPr>
              <w:t>omplete remission with partial hematologic recovery</w:t>
            </w:r>
          </w:p>
        </w:tc>
      </w:tr>
      <w:tr w:rsidR="00846E44" w:rsidRPr="007A6AA5" w14:paraId="2AA02758" w14:textId="77777777" w:rsidTr="008955D8">
        <w:tc>
          <w:tcPr>
            <w:tcW w:w="1890" w:type="dxa"/>
          </w:tcPr>
          <w:p w14:paraId="05A8D552" w14:textId="1023FC07" w:rsidR="00846E44" w:rsidRPr="007A6AA5" w:rsidRDefault="00846E44" w:rsidP="007A6AA5">
            <w:pPr>
              <w:autoSpaceDE w:val="0"/>
              <w:autoSpaceDN w:val="0"/>
              <w:adjustRightInd w:val="0"/>
              <w:spacing w:afterLines="40" w:after="96"/>
              <w:rPr>
                <w:rFonts w:eastAsia="TimesNewRoman" w:cs="TimesNewRoman"/>
                <w:szCs w:val="22"/>
              </w:rPr>
            </w:pPr>
            <w:r>
              <w:rPr>
                <w:rFonts w:eastAsia="TimesNewRoman" w:cs="TimesNewRoman"/>
                <w:szCs w:val="22"/>
              </w:rPr>
              <w:t>C</w:t>
            </w:r>
            <w:r w:rsidR="00C961DE">
              <w:rPr>
                <w:rFonts w:eastAsia="TimesNewRoman" w:cs="TimesNewRoman"/>
                <w:szCs w:val="22"/>
              </w:rPr>
              <w:t>R</w:t>
            </w:r>
            <w:r>
              <w:rPr>
                <w:rFonts w:eastAsia="TimesNewRoman" w:cs="TimesNewRoman"/>
                <w:szCs w:val="22"/>
              </w:rPr>
              <w:t>i</w:t>
            </w:r>
          </w:p>
        </w:tc>
        <w:tc>
          <w:tcPr>
            <w:tcW w:w="6830" w:type="dxa"/>
          </w:tcPr>
          <w:p w14:paraId="390C5EDD" w14:textId="77777777" w:rsidR="00846E44" w:rsidRPr="007A6AA5" w:rsidRDefault="00846E44" w:rsidP="007A6AA5">
            <w:pPr>
              <w:spacing w:afterLines="40" w:after="96"/>
              <w:rPr>
                <w:rFonts w:eastAsia="TimesNewRoman" w:cs="TimesNewRoman"/>
                <w:szCs w:val="22"/>
              </w:rPr>
            </w:pPr>
            <w:r>
              <w:rPr>
                <w:rFonts w:eastAsia="TimesNewRoman" w:cs="TimesNewRoman"/>
                <w:szCs w:val="22"/>
              </w:rPr>
              <w:t>C</w:t>
            </w:r>
            <w:r w:rsidRPr="007A6AA5">
              <w:rPr>
                <w:rFonts w:eastAsia="TimesNewRoman" w:cs="TimesNewRoman"/>
                <w:szCs w:val="22"/>
              </w:rPr>
              <w:t>omplete remission with incomplete blood count recovery</w:t>
            </w:r>
          </w:p>
        </w:tc>
      </w:tr>
      <w:tr w:rsidR="00846E44" w:rsidRPr="007A6AA5" w14:paraId="2CE15B2B" w14:textId="77777777" w:rsidTr="008955D8">
        <w:tc>
          <w:tcPr>
            <w:tcW w:w="1890" w:type="dxa"/>
          </w:tcPr>
          <w:p w14:paraId="5D121363" w14:textId="77777777" w:rsidR="00846E44" w:rsidRPr="007A6AA5" w:rsidRDefault="00846E44" w:rsidP="007A6AA5">
            <w:pPr>
              <w:spacing w:afterLines="40" w:after="96"/>
              <w:rPr>
                <w:rFonts w:eastAsia="TimesNewRoman" w:cs="TimesNewRoman"/>
                <w:szCs w:val="22"/>
              </w:rPr>
            </w:pPr>
            <w:r>
              <w:rPr>
                <w:rFonts w:eastAsia="TimesNewRoman" w:cs="TimesNewRoman"/>
                <w:szCs w:val="22"/>
              </w:rPr>
              <w:t>CSR</w:t>
            </w:r>
          </w:p>
        </w:tc>
        <w:tc>
          <w:tcPr>
            <w:tcW w:w="6830" w:type="dxa"/>
          </w:tcPr>
          <w:p w14:paraId="197EB48E" w14:textId="77777777" w:rsidR="00846E44" w:rsidRPr="007A6AA5" w:rsidRDefault="00846E44" w:rsidP="007A6AA5">
            <w:pPr>
              <w:spacing w:afterLines="40" w:after="96"/>
              <w:rPr>
                <w:rFonts w:eastAsia="TimesNewRoman" w:cs="TimesNewRoman"/>
                <w:szCs w:val="22"/>
              </w:rPr>
            </w:pPr>
            <w:r>
              <w:rPr>
                <w:rFonts w:eastAsia="TimesNewRoman" w:cs="TimesNewRoman"/>
                <w:szCs w:val="22"/>
              </w:rPr>
              <w:t>C</w:t>
            </w:r>
            <w:r w:rsidRPr="007A6AA5">
              <w:rPr>
                <w:rFonts w:eastAsia="TimesNewRoman" w:cs="TimesNewRoman"/>
                <w:szCs w:val="22"/>
              </w:rPr>
              <w:t>linical study report</w:t>
            </w:r>
          </w:p>
        </w:tc>
      </w:tr>
      <w:tr w:rsidR="00846E44" w:rsidRPr="007A6AA5" w14:paraId="37884C5F" w14:textId="77777777" w:rsidTr="008955D8">
        <w:tc>
          <w:tcPr>
            <w:tcW w:w="1890" w:type="dxa"/>
          </w:tcPr>
          <w:p w14:paraId="5C734135" w14:textId="77777777" w:rsidR="00846E44" w:rsidRPr="007A6AA5" w:rsidRDefault="00846E44" w:rsidP="007A6AA5">
            <w:pPr>
              <w:spacing w:afterLines="40" w:after="96"/>
              <w:rPr>
                <w:rFonts w:eastAsia="TimesNewRoman" w:cs="TimesNewRoman"/>
                <w:szCs w:val="22"/>
              </w:rPr>
            </w:pPr>
            <w:r>
              <w:rPr>
                <w:rFonts w:eastAsia="TimesNewRoman" w:cs="TimesNewRoman"/>
                <w:szCs w:val="22"/>
              </w:rPr>
              <w:t>CTCAE</w:t>
            </w:r>
          </w:p>
        </w:tc>
        <w:tc>
          <w:tcPr>
            <w:tcW w:w="6830" w:type="dxa"/>
          </w:tcPr>
          <w:p w14:paraId="4C997E1F" w14:textId="77777777" w:rsidR="00846E44" w:rsidRPr="007A6AA5" w:rsidRDefault="00846E44" w:rsidP="007A6AA5">
            <w:pPr>
              <w:spacing w:afterLines="40" w:after="96"/>
              <w:rPr>
                <w:rFonts w:eastAsia="TimesNewRoman" w:cs="TimesNewRoman"/>
                <w:szCs w:val="22"/>
              </w:rPr>
            </w:pPr>
            <w:r w:rsidRPr="007A6AA5">
              <w:rPr>
                <w:rFonts w:eastAsia="TimesNewRoman" w:cs="TimesNewRoman"/>
                <w:szCs w:val="22"/>
              </w:rPr>
              <w:t>Common Terminology Criteria for Adverse Event</w:t>
            </w:r>
          </w:p>
        </w:tc>
      </w:tr>
      <w:tr w:rsidR="00846E44" w:rsidRPr="007A6AA5" w14:paraId="4E2B48C7" w14:textId="77777777" w:rsidTr="008955D8">
        <w:tc>
          <w:tcPr>
            <w:tcW w:w="1890" w:type="dxa"/>
          </w:tcPr>
          <w:p w14:paraId="02E69B94" w14:textId="77777777" w:rsidR="00846E44" w:rsidRDefault="00846E44" w:rsidP="007A6AA5">
            <w:pPr>
              <w:spacing w:afterLines="40" w:after="96"/>
              <w:rPr>
                <w:rFonts w:eastAsia="TimesNewRoman" w:cs="TimesNewRoman"/>
              </w:rPr>
            </w:pPr>
            <w:r>
              <w:rPr>
                <w:rFonts w:eastAsia="TimesNewRoman" w:cs="TimesNewRoman"/>
              </w:rPr>
              <w:t>DLP</w:t>
            </w:r>
          </w:p>
        </w:tc>
        <w:tc>
          <w:tcPr>
            <w:tcW w:w="6830" w:type="dxa"/>
          </w:tcPr>
          <w:p w14:paraId="63EB1FAE" w14:textId="77777777" w:rsidR="00846E44" w:rsidRPr="00DD1FEC" w:rsidRDefault="00846E44" w:rsidP="007A6AA5">
            <w:pPr>
              <w:spacing w:afterLines="40" w:after="96"/>
            </w:pPr>
            <w:r>
              <w:t>Data lock point</w:t>
            </w:r>
          </w:p>
        </w:tc>
      </w:tr>
      <w:tr w:rsidR="00D971A7" w:rsidRPr="007A6AA5" w14:paraId="03A41A52" w14:textId="77777777" w:rsidTr="008955D8">
        <w:tc>
          <w:tcPr>
            <w:tcW w:w="1890" w:type="dxa"/>
          </w:tcPr>
          <w:p w14:paraId="53137BBF" w14:textId="59C5FBD1" w:rsidR="00D971A7" w:rsidRDefault="00D971A7" w:rsidP="007A6AA5">
            <w:pPr>
              <w:spacing w:afterLines="40" w:after="96"/>
              <w:rPr>
                <w:rFonts w:eastAsia="TimesNewRoman" w:cs="TimesNewRoman"/>
              </w:rPr>
            </w:pPr>
            <w:r>
              <w:rPr>
                <w:rFonts w:eastAsia="TimesNewRoman" w:cs="TimesNewRoman"/>
              </w:rPr>
              <w:t>ECOG</w:t>
            </w:r>
          </w:p>
        </w:tc>
        <w:tc>
          <w:tcPr>
            <w:tcW w:w="6830" w:type="dxa"/>
          </w:tcPr>
          <w:p w14:paraId="2D7F31BE" w14:textId="52FC8FA6" w:rsidR="00D971A7" w:rsidRDefault="00D971A7" w:rsidP="007A6AA5">
            <w:pPr>
              <w:spacing w:afterLines="40" w:after="96"/>
            </w:pPr>
            <w:r w:rsidRPr="00B51BD1">
              <w:t>Eastern Cooperative Oncology Group</w:t>
            </w:r>
          </w:p>
        </w:tc>
      </w:tr>
      <w:tr w:rsidR="00846E44" w:rsidRPr="007A6AA5" w14:paraId="5016B35A" w14:textId="77777777" w:rsidTr="008955D8">
        <w:tc>
          <w:tcPr>
            <w:tcW w:w="1890" w:type="dxa"/>
          </w:tcPr>
          <w:p w14:paraId="6D93E0B8" w14:textId="77777777" w:rsidR="00846E44" w:rsidRPr="007A6AA5" w:rsidRDefault="00846E44" w:rsidP="007A6AA5">
            <w:pPr>
              <w:autoSpaceDE w:val="0"/>
              <w:autoSpaceDN w:val="0"/>
              <w:adjustRightInd w:val="0"/>
              <w:spacing w:afterLines="40" w:after="96"/>
              <w:rPr>
                <w:rFonts w:eastAsia="TimesNewRoman" w:cs="TimesNewRoman"/>
                <w:szCs w:val="22"/>
              </w:rPr>
            </w:pPr>
            <w:r>
              <w:rPr>
                <w:rFonts w:eastAsia="TimesNewRoman" w:cs="TimesNewRoman"/>
                <w:szCs w:val="22"/>
              </w:rPr>
              <w:t>ELN</w:t>
            </w:r>
          </w:p>
        </w:tc>
        <w:tc>
          <w:tcPr>
            <w:tcW w:w="6830" w:type="dxa"/>
          </w:tcPr>
          <w:p w14:paraId="5D20D84C" w14:textId="59BC42A3" w:rsidR="00846E44" w:rsidRPr="007A6AA5" w:rsidRDefault="00846E44" w:rsidP="007A6AA5">
            <w:pPr>
              <w:spacing w:afterLines="40" w:after="96"/>
              <w:rPr>
                <w:rFonts w:eastAsia="TimesNewRoman" w:cs="TimesNewRoman"/>
                <w:szCs w:val="22"/>
              </w:rPr>
            </w:pPr>
            <w:r w:rsidRPr="007A6AA5">
              <w:rPr>
                <w:rFonts w:eastAsia="TimesNewRoman" w:cs="TimesNewRoman"/>
                <w:szCs w:val="22"/>
              </w:rPr>
              <w:t>European LeukemiaNet</w:t>
            </w:r>
          </w:p>
        </w:tc>
      </w:tr>
      <w:tr w:rsidR="00846E44" w:rsidRPr="007A6AA5" w14:paraId="39D0D92B" w14:textId="77777777" w:rsidTr="008955D8">
        <w:tc>
          <w:tcPr>
            <w:tcW w:w="1890" w:type="dxa"/>
          </w:tcPr>
          <w:p w14:paraId="11EB5213" w14:textId="77777777" w:rsidR="00846E44" w:rsidRPr="007A6AA5" w:rsidRDefault="00846E44" w:rsidP="007A6AA5">
            <w:pPr>
              <w:spacing w:afterLines="40" w:after="96"/>
              <w:rPr>
                <w:rFonts w:eastAsia="TimesNewRoman" w:cs="TimesNewRoman"/>
                <w:szCs w:val="22"/>
              </w:rPr>
            </w:pPr>
            <w:r w:rsidRPr="007A6AA5">
              <w:rPr>
                <w:rFonts w:eastAsia="TimesNewRoman" w:cs="TimesNewRoman"/>
                <w:szCs w:val="22"/>
              </w:rPr>
              <w:t>ESMO</w:t>
            </w:r>
          </w:p>
        </w:tc>
        <w:tc>
          <w:tcPr>
            <w:tcW w:w="6830" w:type="dxa"/>
          </w:tcPr>
          <w:p w14:paraId="0BB8563B" w14:textId="77777777" w:rsidR="00846E44" w:rsidRPr="007A6AA5" w:rsidRDefault="00846E44" w:rsidP="007A6AA5">
            <w:pPr>
              <w:spacing w:afterLines="40" w:after="96"/>
              <w:rPr>
                <w:rFonts w:eastAsia="TimesNewRoman" w:cs="TimesNewRoman"/>
                <w:szCs w:val="22"/>
              </w:rPr>
            </w:pPr>
            <w:r w:rsidRPr="007A6AA5">
              <w:rPr>
                <w:rFonts w:eastAsia="TimesNewRoman" w:cs="TimesNewRoman"/>
                <w:szCs w:val="22"/>
              </w:rPr>
              <w:t>European Society for Medical Oncology</w:t>
            </w:r>
          </w:p>
        </w:tc>
      </w:tr>
      <w:tr w:rsidR="00846E44" w:rsidRPr="007A6AA5" w14:paraId="63F22C26" w14:textId="77777777" w:rsidTr="008955D8">
        <w:tc>
          <w:tcPr>
            <w:tcW w:w="1890" w:type="dxa"/>
          </w:tcPr>
          <w:p w14:paraId="1C282841" w14:textId="77777777" w:rsidR="00846E44" w:rsidRPr="007A6AA5" w:rsidRDefault="00846E44" w:rsidP="007A6AA5">
            <w:pPr>
              <w:spacing w:afterLines="40" w:after="96"/>
              <w:rPr>
                <w:rFonts w:eastAsia="TimesNewRoman" w:cs="TimesNewRoman"/>
                <w:szCs w:val="22"/>
              </w:rPr>
            </w:pPr>
            <w:r>
              <w:rPr>
                <w:rFonts w:eastAsia="TimesNewRoman" w:cs="TimesNewRoman"/>
                <w:szCs w:val="22"/>
              </w:rPr>
              <w:t>FDA</w:t>
            </w:r>
          </w:p>
        </w:tc>
        <w:tc>
          <w:tcPr>
            <w:tcW w:w="6830" w:type="dxa"/>
          </w:tcPr>
          <w:p w14:paraId="4B9D1317" w14:textId="77777777" w:rsidR="00846E44" w:rsidRPr="007A6AA5" w:rsidRDefault="00846E44" w:rsidP="007A6AA5">
            <w:pPr>
              <w:spacing w:afterLines="40" w:after="96"/>
              <w:rPr>
                <w:rFonts w:eastAsia="TimesNewRoman" w:cs="TimesNewRoman"/>
                <w:szCs w:val="22"/>
              </w:rPr>
            </w:pPr>
            <w:r w:rsidRPr="007A6AA5">
              <w:rPr>
                <w:rFonts w:eastAsia="TimesNewRoman" w:cs="TimesNewRoman"/>
                <w:szCs w:val="22"/>
              </w:rPr>
              <w:t>Food and Drug Administration</w:t>
            </w:r>
            <w:r>
              <w:rPr>
                <w:rFonts w:eastAsia="TimesNewRoman" w:cs="TimesNewRoman"/>
                <w:szCs w:val="22"/>
              </w:rPr>
              <w:t xml:space="preserve"> (United States)</w:t>
            </w:r>
          </w:p>
        </w:tc>
      </w:tr>
      <w:tr w:rsidR="00846E44" w:rsidRPr="007A6AA5" w14:paraId="5617D884" w14:textId="77777777" w:rsidTr="008955D8">
        <w:tc>
          <w:tcPr>
            <w:tcW w:w="1890" w:type="dxa"/>
          </w:tcPr>
          <w:p w14:paraId="5C94A2FE" w14:textId="77777777" w:rsidR="00846E44" w:rsidRPr="007A6AA5" w:rsidRDefault="00846E44" w:rsidP="007A6AA5">
            <w:pPr>
              <w:spacing w:afterLines="40" w:after="96"/>
              <w:rPr>
                <w:rFonts w:eastAsia="TimesNewRoman" w:cs="TimesNewRoman"/>
                <w:szCs w:val="22"/>
              </w:rPr>
            </w:pPr>
            <w:r>
              <w:rPr>
                <w:rFonts w:eastAsia="TimesNewRoman" w:cs="TimesNewRoman"/>
                <w:szCs w:val="22"/>
              </w:rPr>
              <w:t>HMA</w:t>
            </w:r>
          </w:p>
        </w:tc>
        <w:tc>
          <w:tcPr>
            <w:tcW w:w="6830" w:type="dxa"/>
          </w:tcPr>
          <w:p w14:paraId="4D3DC769" w14:textId="77777777" w:rsidR="00846E44" w:rsidRPr="007A6AA5" w:rsidRDefault="00846E44" w:rsidP="007A6AA5">
            <w:pPr>
              <w:spacing w:afterLines="40" w:after="96"/>
              <w:rPr>
                <w:rFonts w:eastAsia="TimesNewRoman" w:cs="TimesNewRoman"/>
                <w:szCs w:val="22"/>
              </w:rPr>
            </w:pPr>
            <w:r>
              <w:rPr>
                <w:rFonts w:eastAsia="TimesNewRoman" w:cs="TimesNewRoman"/>
                <w:szCs w:val="22"/>
              </w:rPr>
              <w:t>H</w:t>
            </w:r>
            <w:r w:rsidRPr="007A6AA5">
              <w:rPr>
                <w:rFonts w:eastAsia="TimesNewRoman" w:cs="TimesNewRoman"/>
                <w:szCs w:val="22"/>
              </w:rPr>
              <w:t>ypomethylating agent</w:t>
            </w:r>
          </w:p>
        </w:tc>
      </w:tr>
      <w:tr w:rsidR="00846E44" w:rsidRPr="007A6AA5" w14:paraId="59BDAF24" w14:textId="77777777" w:rsidTr="008955D8">
        <w:tc>
          <w:tcPr>
            <w:tcW w:w="1890" w:type="dxa"/>
          </w:tcPr>
          <w:p w14:paraId="55D94FBC" w14:textId="77777777" w:rsidR="00846E44" w:rsidRPr="007A6AA5" w:rsidRDefault="00846E44" w:rsidP="007A6AA5">
            <w:pPr>
              <w:spacing w:afterLines="40" w:after="96"/>
              <w:rPr>
                <w:rFonts w:eastAsia="TimesNewRoman" w:cs="TimesNewRoman"/>
                <w:szCs w:val="22"/>
              </w:rPr>
            </w:pPr>
            <w:r>
              <w:rPr>
                <w:rFonts w:eastAsia="TimesNewRoman" w:cs="TimesNewRoman"/>
                <w:szCs w:val="22"/>
              </w:rPr>
              <w:t>IWG</w:t>
            </w:r>
          </w:p>
        </w:tc>
        <w:tc>
          <w:tcPr>
            <w:tcW w:w="6830" w:type="dxa"/>
          </w:tcPr>
          <w:p w14:paraId="0CD4C607" w14:textId="77777777" w:rsidR="00846E44" w:rsidRPr="007A6AA5" w:rsidRDefault="00846E44" w:rsidP="007A6AA5">
            <w:pPr>
              <w:spacing w:afterLines="40" w:after="96"/>
              <w:rPr>
                <w:rFonts w:eastAsia="TimesNewRoman" w:cs="TimesNewRoman"/>
                <w:szCs w:val="22"/>
              </w:rPr>
            </w:pPr>
            <w:r w:rsidRPr="007A6AA5">
              <w:rPr>
                <w:rFonts w:eastAsia="TimesNewRoman" w:cs="TimesNewRoman"/>
                <w:szCs w:val="22"/>
              </w:rPr>
              <w:t>International Working Group</w:t>
            </w:r>
          </w:p>
        </w:tc>
      </w:tr>
      <w:tr w:rsidR="00846E44" w:rsidRPr="007A6AA5" w14:paraId="226D3CBE" w14:textId="77777777" w:rsidTr="008955D8">
        <w:tc>
          <w:tcPr>
            <w:tcW w:w="1890" w:type="dxa"/>
          </w:tcPr>
          <w:p w14:paraId="5CF4E58C" w14:textId="77777777" w:rsidR="00846E44" w:rsidRPr="007A6AA5" w:rsidRDefault="00846E44" w:rsidP="007A6AA5">
            <w:pPr>
              <w:spacing w:afterLines="40" w:after="96"/>
              <w:rPr>
                <w:rFonts w:eastAsia="TimesNewRoman" w:cs="TimesNewRoman"/>
                <w:szCs w:val="22"/>
              </w:rPr>
            </w:pPr>
            <w:r>
              <w:rPr>
                <w:rFonts w:eastAsia="TimesNewRoman" w:cs="TimesNewRoman"/>
                <w:szCs w:val="22"/>
              </w:rPr>
              <w:t>LDAC</w:t>
            </w:r>
          </w:p>
        </w:tc>
        <w:tc>
          <w:tcPr>
            <w:tcW w:w="6830" w:type="dxa"/>
          </w:tcPr>
          <w:p w14:paraId="3A171429" w14:textId="77777777" w:rsidR="00846E44" w:rsidRPr="007A6AA5" w:rsidRDefault="00846E44" w:rsidP="007A6AA5">
            <w:pPr>
              <w:spacing w:afterLines="40" w:after="96"/>
              <w:rPr>
                <w:rFonts w:eastAsia="TimesNewRoman" w:cs="TimesNewRoman"/>
                <w:szCs w:val="22"/>
              </w:rPr>
            </w:pPr>
            <w:r>
              <w:rPr>
                <w:rFonts w:eastAsia="TimesNewRoman" w:cs="TimesNewRoman"/>
                <w:szCs w:val="22"/>
              </w:rPr>
              <w:t>L</w:t>
            </w:r>
            <w:r w:rsidRPr="007A6AA5">
              <w:rPr>
                <w:rFonts w:eastAsia="TimesNewRoman" w:cs="TimesNewRoman"/>
                <w:szCs w:val="22"/>
              </w:rPr>
              <w:t>ow-dose cytarabine</w:t>
            </w:r>
          </w:p>
        </w:tc>
      </w:tr>
      <w:tr w:rsidR="00846E44" w:rsidRPr="007A6AA5" w14:paraId="278D590D" w14:textId="77777777" w:rsidTr="008955D8">
        <w:tc>
          <w:tcPr>
            <w:tcW w:w="1890" w:type="dxa"/>
          </w:tcPr>
          <w:p w14:paraId="53C00250" w14:textId="77777777" w:rsidR="00846E44" w:rsidRPr="007A6AA5" w:rsidRDefault="00846E44" w:rsidP="007A6AA5">
            <w:pPr>
              <w:spacing w:afterLines="40" w:after="96"/>
              <w:rPr>
                <w:rFonts w:eastAsia="TimesNewRoman" w:cs="TimesNewRoman"/>
                <w:szCs w:val="22"/>
              </w:rPr>
            </w:pPr>
            <w:r w:rsidRPr="007A6AA5">
              <w:rPr>
                <w:rFonts w:eastAsia="TimesNewRoman" w:cs="TimesNewRoman"/>
                <w:szCs w:val="22"/>
              </w:rPr>
              <w:t>MLFS</w:t>
            </w:r>
          </w:p>
        </w:tc>
        <w:tc>
          <w:tcPr>
            <w:tcW w:w="6830" w:type="dxa"/>
          </w:tcPr>
          <w:p w14:paraId="0825A73C" w14:textId="4C829997" w:rsidR="00846E44" w:rsidRPr="007A6AA5" w:rsidRDefault="00846E44" w:rsidP="007A6AA5">
            <w:pPr>
              <w:spacing w:afterLines="40" w:after="96"/>
              <w:rPr>
                <w:rFonts w:eastAsia="TimesNewRoman" w:cs="TimesNewRoman"/>
                <w:szCs w:val="22"/>
              </w:rPr>
            </w:pPr>
            <w:r>
              <w:rPr>
                <w:rFonts w:eastAsia="TimesNewRoman" w:cs="TimesNewRoman"/>
                <w:szCs w:val="22"/>
              </w:rPr>
              <w:t>M</w:t>
            </w:r>
            <w:r w:rsidRPr="007A6AA5">
              <w:rPr>
                <w:rFonts w:eastAsia="TimesNewRoman" w:cs="TimesNewRoman"/>
                <w:szCs w:val="22"/>
              </w:rPr>
              <w:t>orphologically leuk</w:t>
            </w:r>
            <w:r w:rsidR="00F07D54">
              <w:rPr>
                <w:rFonts w:eastAsia="TimesNewRoman" w:cs="TimesNewRoman"/>
                <w:szCs w:val="22"/>
              </w:rPr>
              <w:t>a</w:t>
            </w:r>
            <w:r w:rsidRPr="007A6AA5">
              <w:rPr>
                <w:rFonts w:eastAsia="TimesNewRoman" w:cs="TimesNewRoman"/>
                <w:szCs w:val="22"/>
              </w:rPr>
              <w:t>emia-free status</w:t>
            </w:r>
          </w:p>
        </w:tc>
      </w:tr>
      <w:tr w:rsidR="00846E44" w:rsidRPr="007A6AA5" w14:paraId="53E74066" w14:textId="77777777" w:rsidTr="008955D8">
        <w:tc>
          <w:tcPr>
            <w:tcW w:w="1890" w:type="dxa"/>
          </w:tcPr>
          <w:p w14:paraId="749E20A9" w14:textId="77777777" w:rsidR="00846E44" w:rsidRPr="007A6AA5" w:rsidRDefault="00846E44" w:rsidP="007A6AA5">
            <w:pPr>
              <w:autoSpaceDE w:val="0"/>
              <w:autoSpaceDN w:val="0"/>
              <w:adjustRightInd w:val="0"/>
              <w:spacing w:afterLines="40" w:after="96"/>
              <w:rPr>
                <w:rFonts w:eastAsia="TimesNewRoman" w:cs="TimesNewRoman"/>
                <w:szCs w:val="22"/>
              </w:rPr>
            </w:pPr>
            <w:r>
              <w:rPr>
                <w:rFonts w:eastAsia="TimesNewRoman" w:cs="TimesNewRoman"/>
                <w:szCs w:val="22"/>
              </w:rPr>
              <w:t>NCCN</w:t>
            </w:r>
          </w:p>
        </w:tc>
        <w:tc>
          <w:tcPr>
            <w:tcW w:w="6830" w:type="dxa"/>
          </w:tcPr>
          <w:p w14:paraId="7157E489" w14:textId="2469D938" w:rsidR="00846E44" w:rsidRPr="007A6AA5" w:rsidRDefault="00846E44" w:rsidP="007A6AA5">
            <w:pPr>
              <w:spacing w:afterLines="40" w:after="96"/>
              <w:rPr>
                <w:rFonts w:eastAsia="TimesNewRoman" w:cs="TimesNewRoman"/>
                <w:szCs w:val="22"/>
              </w:rPr>
            </w:pPr>
            <w:r w:rsidRPr="007A6AA5">
              <w:rPr>
                <w:rFonts w:eastAsia="TimesNewRoman" w:cs="TimesNewRoman"/>
                <w:szCs w:val="22"/>
              </w:rPr>
              <w:t>National Comprehensive Cancer Network</w:t>
            </w:r>
            <w:r w:rsidR="00C961DE">
              <w:rPr>
                <w:rFonts w:eastAsia="TimesNewRoman" w:cs="TimesNewRoman"/>
                <w:szCs w:val="22"/>
              </w:rPr>
              <w:t xml:space="preserve"> (United States)</w:t>
            </w:r>
          </w:p>
        </w:tc>
      </w:tr>
      <w:tr w:rsidR="00846E44" w:rsidRPr="007A6AA5" w14:paraId="645AAEBC" w14:textId="77777777" w:rsidTr="008955D8">
        <w:tc>
          <w:tcPr>
            <w:tcW w:w="1890" w:type="dxa"/>
          </w:tcPr>
          <w:p w14:paraId="699E60CB" w14:textId="77777777" w:rsidR="00846E44" w:rsidRPr="007A6AA5" w:rsidRDefault="00846E44" w:rsidP="007A6AA5">
            <w:pPr>
              <w:spacing w:afterLines="40" w:after="96"/>
              <w:rPr>
                <w:rFonts w:eastAsia="TimesNewRoman" w:cs="TimesNewRoman"/>
                <w:szCs w:val="22"/>
              </w:rPr>
            </w:pPr>
            <w:r w:rsidRPr="007A6AA5">
              <w:rPr>
                <w:rFonts w:eastAsia="TimesNewRoman" w:cs="TimesNewRoman"/>
                <w:szCs w:val="22"/>
              </w:rPr>
              <w:lastRenderedPageBreak/>
              <w:t>NCI</w:t>
            </w:r>
          </w:p>
        </w:tc>
        <w:tc>
          <w:tcPr>
            <w:tcW w:w="6830" w:type="dxa"/>
          </w:tcPr>
          <w:p w14:paraId="7BF4407B" w14:textId="6FB2B9D3" w:rsidR="00846E44" w:rsidRPr="007A6AA5" w:rsidRDefault="00846E44" w:rsidP="007A6AA5">
            <w:pPr>
              <w:spacing w:afterLines="40" w:after="96"/>
              <w:rPr>
                <w:rFonts w:eastAsia="TimesNewRoman" w:cs="TimesNewRoman"/>
                <w:szCs w:val="22"/>
              </w:rPr>
            </w:pPr>
            <w:r w:rsidRPr="007A6AA5">
              <w:rPr>
                <w:rFonts w:eastAsia="TimesNewRoman" w:cs="TimesNewRoman"/>
                <w:szCs w:val="22"/>
              </w:rPr>
              <w:t>National Cancer Institute</w:t>
            </w:r>
            <w:r w:rsidR="00C961DE">
              <w:rPr>
                <w:rFonts w:eastAsia="TimesNewRoman" w:cs="TimesNewRoman"/>
                <w:szCs w:val="22"/>
              </w:rPr>
              <w:t xml:space="preserve"> (United States)</w:t>
            </w:r>
          </w:p>
        </w:tc>
      </w:tr>
      <w:tr w:rsidR="00846E44" w:rsidRPr="007A6AA5" w14:paraId="555AC785" w14:textId="77777777" w:rsidTr="008955D8">
        <w:tc>
          <w:tcPr>
            <w:tcW w:w="1890" w:type="dxa"/>
          </w:tcPr>
          <w:p w14:paraId="05EE4C79" w14:textId="77777777" w:rsidR="00846E44" w:rsidRPr="007A6AA5" w:rsidRDefault="00846E44" w:rsidP="007A6AA5">
            <w:pPr>
              <w:spacing w:afterLines="40" w:after="96"/>
              <w:rPr>
                <w:rFonts w:eastAsia="TimesNewRoman" w:cs="TimesNewRoman"/>
                <w:szCs w:val="22"/>
              </w:rPr>
            </w:pPr>
            <w:r w:rsidRPr="007A6AA5">
              <w:rPr>
                <w:rFonts w:eastAsia="TimesNewRoman" w:cs="TimesNewRoman"/>
                <w:szCs w:val="22"/>
              </w:rPr>
              <w:t>ORR</w:t>
            </w:r>
          </w:p>
        </w:tc>
        <w:tc>
          <w:tcPr>
            <w:tcW w:w="6830" w:type="dxa"/>
          </w:tcPr>
          <w:p w14:paraId="21F88032" w14:textId="77777777" w:rsidR="00846E44" w:rsidRPr="007A6AA5" w:rsidRDefault="00846E44" w:rsidP="007A6AA5">
            <w:pPr>
              <w:spacing w:afterLines="40" w:after="96"/>
              <w:rPr>
                <w:rFonts w:eastAsia="TimesNewRoman" w:cs="TimesNewRoman"/>
                <w:szCs w:val="22"/>
              </w:rPr>
            </w:pPr>
            <w:r>
              <w:rPr>
                <w:rFonts w:eastAsia="TimesNewRoman" w:cs="TimesNewRoman"/>
                <w:szCs w:val="22"/>
              </w:rPr>
              <w:t>O</w:t>
            </w:r>
            <w:r w:rsidRPr="007A6AA5">
              <w:rPr>
                <w:rFonts w:eastAsia="TimesNewRoman" w:cs="TimesNewRoman"/>
                <w:szCs w:val="22"/>
              </w:rPr>
              <w:t>verall response rate</w:t>
            </w:r>
          </w:p>
        </w:tc>
      </w:tr>
      <w:tr w:rsidR="00846E44" w:rsidRPr="007A6AA5" w14:paraId="38F24F03" w14:textId="77777777" w:rsidTr="008955D8">
        <w:tc>
          <w:tcPr>
            <w:tcW w:w="1890" w:type="dxa"/>
          </w:tcPr>
          <w:p w14:paraId="16A50C7D" w14:textId="77777777" w:rsidR="00846E44" w:rsidRPr="007A6AA5" w:rsidRDefault="00846E44" w:rsidP="007A6AA5">
            <w:pPr>
              <w:spacing w:afterLines="40" w:after="96"/>
              <w:rPr>
                <w:rFonts w:eastAsia="TimesNewRoman" w:cs="TimesNewRoman"/>
                <w:szCs w:val="22"/>
              </w:rPr>
            </w:pPr>
            <w:r w:rsidRPr="007A6AA5">
              <w:rPr>
                <w:rFonts w:eastAsia="TimesNewRoman" w:cs="TimesNewRoman"/>
                <w:szCs w:val="22"/>
              </w:rPr>
              <w:t>OS</w:t>
            </w:r>
          </w:p>
        </w:tc>
        <w:tc>
          <w:tcPr>
            <w:tcW w:w="6830" w:type="dxa"/>
          </w:tcPr>
          <w:p w14:paraId="54DCE2B6" w14:textId="77777777" w:rsidR="00846E44" w:rsidRPr="007A6AA5" w:rsidRDefault="00846E44" w:rsidP="007A6AA5">
            <w:pPr>
              <w:autoSpaceDE w:val="0"/>
              <w:autoSpaceDN w:val="0"/>
              <w:adjustRightInd w:val="0"/>
              <w:spacing w:afterLines="40" w:after="96"/>
              <w:rPr>
                <w:rFonts w:eastAsia="TimesNewRoman" w:cs="TimesNewRoman"/>
                <w:szCs w:val="22"/>
              </w:rPr>
            </w:pPr>
            <w:r>
              <w:rPr>
                <w:rFonts w:eastAsia="TimesNewRoman" w:cs="TimesNewRoman"/>
                <w:szCs w:val="22"/>
              </w:rPr>
              <w:t>O</w:t>
            </w:r>
            <w:r w:rsidRPr="007A6AA5">
              <w:rPr>
                <w:rFonts w:eastAsia="TimesNewRoman" w:cs="TimesNewRoman"/>
                <w:szCs w:val="22"/>
              </w:rPr>
              <w:t>verall survival</w:t>
            </w:r>
          </w:p>
        </w:tc>
      </w:tr>
      <w:tr w:rsidR="00846E44" w:rsidRPr="007A6AA5" w14:paraId="0FE2CE5E" w14:textId="77777777" w:rsidTr="008955D8">
        <w:tc>
          <w:tcPr>
            <w:tcW w:w="1890" w:type="dxa"/>
          </w:tcPr>
          <w:p w14:paraId="42CDF956" w14:textId="77777777" w:rsidR="00846E44" w:rsidRPr="007A6AA5" w:rsidRDefault="00846E44" w:rsidP="007A6AA5">
            <w:pPr>
              <w:spacing w:afterLines="40" w:after="96"/>
              <w:rPr>
                <w:rFonts w:eastAsia="TimesNewRoman" w:cs="TimesNewRoman"/>
                <w:szCs w:val="22"/>
              </w:rPr>
            </w:pPr>
            <w:r w:rsidRPr="007A6AA5">
              <w:rPr>
                <w:rFonts w:eastAsia="TimesNewRoman" w:cs="TimesNewRoman"/>
                <w:szCs w:val="22"/>
              </w:rPr>
              <w:t>PD</w:t>
            </w:r>
          </w:p>
        </w:tc>
        <w:tc>
          <w:tcPr>
            <w:tcW w:w="6830" w:type="dxa"/>
          </w:tcPr>
          <w:p w14:paraId="72E32A83" w14:textId="77777777" w:rsidR="00846E44" w:rsidRPr="007A6AA5" w:rsidRDefault="00846E44" w:rsidP="007A6AA5">
            <w:pPr>
              <w:autoSpaceDE w:val="0"/>
              <w:autoSpaceDN w:val="0"/>
              <w:adjustRightInd w:val="0"/>
              <w:spacing w:afterLines="40" w:after="96"/>
              <w:rPr>
                <w:rFonts w:eastAsia="TimesNewRoman" w:cs="TimesNewRoman"/>
                <w:szCs w:val="22"/>
              </w:rPr>
            </w:pPr>
            <w:r>
              <w:rPr>
                <w:rFonts w:eastAsia="TimesNewRoman" w:cs="TimesNewRoman"/>
                <w:szCs w:val="22"/>
              </w:rPr>
              <w:t>Disease progression</w:t>
            </w:r>
          </w:p>
        </w:tc>
      </w:tr>
      <w:tr w:rsidR="00846E44" w:rsidRPr="007A6AA5" w14:paraId="6AE81676" w14:textId="77777777" w:rsidTr="008955D8">
        <w:tc>
          <w:tcPr>
            <w:tcW w:w="1890" w:type="dxa"/>
          </w:tcPr>
          <w:p w14:paraId="0B13997C" w14:textId="77777777" w:rsidR="00846E44" w:rsidRDefault="00846E44" w:rsidP="007A6AA5">
            <w:pPr>
              <w:spacing w:afterLines="40" w:after="96"/>
              <w:rPr>
                <w:rFonts w:eastAsia="TimesNewRoman" w:cs="TimesNewRoman"/>
              </w:rPr>
            </w:pPr>
            <w:r>
              <w:rPr>
                <w:rFonts w:eastAsia="TimesNewRoman" w:cs="TimesNewRoman"/>
              </w:rPr>
              <w:t>PI</w:t>
            </w:r>
          </w:p>
        </w:tc>
        <w:tc>
          <w:tcPr>
            <w:tcW w:w="6830" w:type="dxa"/>
          </w:tcPr>
          <w:p w14:paraId="09F3D968" w14:textId="77777777" w:rsidR="00846E44" w:rsidRDefault="00846E44" w:rsidP="007A6AA5">
            <w:pPr>
              <w:spacing w:afterLines="40" w:after="96"/>
              <w:rPr>
                <w:rFonts w:eastAsia="TimesNewRoman" w:cs="TimesNewRoman"/>
              </w:rPr>
            </w:pPr>
            <w:r>
              <w:rPr>
                <w:rFonts w:eastAsia="TimesNewRoman" w:cs="TimesNewRoman"/>
              </w:rPr>
              <w:t>Product Information</w:t>
            </w:r>
          </w:p>
        </w:tc>
      </w:tr>
      <w:tr w:rsidR="005F7D04" w:rsidRPr="007A6AA5" w14:paraId="3CDB12A2" w14:textId="77777777" w:rsidTr="008955D8">
        <w:tc>
          <w:tcPr>
            <w:tcW w:w="1890" w:type="dxa"/>
          </w:tcPr>
          <w:p w14:paraId="736DCEF4" w14:textId="51469B4C" w:rsidR="005F7D04" w:rsidRDefault="005F7D04" w:rsidP="007A6AA5">
            <w:pPr>
              <w:spacing w:afterLines="40" w:after="96"/>
              <w:rPr>
                <w:rFonts w:eastAsia="TimesNewRoman" w:cs="TimesNewRoman"/>
              </w:rPr>
            </w:pPr>
            <w:r>
              <w:rPr>
                <w:rFonts w:eastAsia="TimesNewRoman" w:cs="TimesNewRoman"/>
              </w:rPr>
              <w:t>PK</w:t>
            </w:r>
          </w:p>
        </w:tc>
        <w:tc>
          <w:tcPr>
            <w:tcW w:w="6830" w:type="dxa"/>
          </w:tcPr>
          <w:p w14:paraId="56A96D83" w14:textId="04A1F7AB" w:rsidR="005F7D04" w:rsidRDefault="005F7D04" w:rsidP="007A6AA5">
            <w:pPr>
              <w:spacing w:afterLines="40" w:after="96"/>
              <w:rPr>
                <w:rFonts w:eastAsia="TimesNewRoman" w:cs="TimesNewRoman"/>
              </w:rPr>
            </w:pPr>
            <w:r>
              <w:rPr>
                <w:rFonts w:eastAsia="TimesNewRoman" w:cs="TimesNewRoman"/>
              </w:rPr>
              <w:t>Pharmacokinetic(s)</w:t>
            </w:r>
          </w:p>
        </w:tc>
      </w:tr>
      <w:tr w:rsidR="00846E44" w:rsidRPr="007A6AA5" w14:paraId="75C48D8A" w14:textId="77777777" w:rsidTr="008955D8">
        <w:tc>
          <w:tcPr>
            <w:tcW w:w="1890" w:type="dxa"/>
          </w:tcPr>
          <w:p w14:paraId="64B2A919" w14:textId="77777777" w:rsidR="00846E44" w:rsidRPr="007A6AA5" w:rsidRDefault="00846E44" w:rsidP="007A6AA5">
            <w:pPr>
              <w:autoSpaceDE w:val="0"/>
              <w:autoSpaceDN w:val="0"/>
              <w:adjustRightInd w:val="0"/>
              <w:spacing w:afterLines="40" w:after="96"/>
              <w:rPr>
                <w:rFonts w:eastAsia="TimesNewRoman" w:cs="TimesNewRoman"/>
                <w:szCs w:val="22"/>
              </w:rPr>
            </w:pPr>
            <w:r>
              <w:rPr>
                <w:rFonts w:eastAsia="TimesNewRoman" w:cs="TimesNewRoman"/>
                <w:szCs w:val="22"/>
              </w:rPr>
              <w:t>PR</w:t>
            </w:r>
          </w:p>
        </w:tc>
        <w:tc>
          <w:tcPr>
            <w:tcW w:w="6830" w:type="dxa"/>
          </w:tcPr>
          <w:p w14:paraId="350E0437" w14:textId="067A7D22" w:rsidR="00846E44" w:rsidRPr="007A6AA5" w:rsidRDefault="001222A0" w:rsidP="007A6AA5">
            <w:pPr>
              <w:spacing w:afterLines="40" w:after="96"/>
              <w:rPr>
                <w:rFonts w:eastAsia="TimesNewRoman" w:cs="TimesNewRoman"/>
                <w:szCs w:val="22"/>
              </w:rPr>
            </w:pPr>
            <w:r>
              <w:rPr>
                <w:rFonts w:eastAsia="TimesNewRoman" w:cs="TimesNewRoman"/>
                <w:szCs w:val="22"/>
              </w:rPr>
              <w:t>P</w:t>
            </w:r>
            <w:r w:rsidR="00846E44" w:rsidRPr="007A6AA5">
              <w:rPr>
                <w:rFonts w:eastAsia="TimesNewRoman" w:cs="TimesNewRoman"/>
                <w:szCs w:val="22"/>
              </w:rPr>
              <w:t>artial remission</w:t>
            </w:r>
          </w:p>
        </w:tc>
      </w:tr>
      <w:tr w:rsidR="00846E44" w:rsidRPr="007A6AA5" w14:paraId="12341B3D" w14:textId="77777777" w:rsidTr="008955D8">
        <w:tc>
          <w:tcPr>
            <w:tcW w:w="1890" w:type="dxa"/>
          </w:tcPr>
          <w:p w14:paraId="1076E5FD" w14:textId="77777777" w:rsidR="00846E44" w:rsidRDefault="00846E44" w:rsidP="007A6AA5">
            <w:pPr>
              <w:spacing w:afterLines="40" w:after="96"/>
              <w:rPr>
                <w:rFonts w:eastAsia="TimesNewRoman" w:cs="TimesNewRoman"/>
              </w:rPr>
            </w:pPr>
            <w:r>
              <w:rPr>
                <w:rFonts w:eastAsia="TimesNewRoman" w:cs="TimesNewRoman"/>
              </w:rPr>
              <w:t>PSUR</w:t>
            </w:r>
          </w:p>
        </w:tc>
        <w:tc>
          <w:tcPr>
            <w:tcW w:w="6830" w:type="dxa"/>
          </w:tcPr>
          <w:p w14:paraId="3C61E251" w14:textId="2688435B" w:rsidR="00846E44" w:rsidRDefault="00846E44" w:rsidP="007A6AA5">
            <w:pPr>
              <w:spacing w:afterLines="40" w:after="96"/>
              <w:rPr>
                <w:rFonts w:eastAsia="TimesNewRoman" w:cs="TimesNewRoman"/>
              </w:rPr>
            </w:pPr>
            <w:r>
              <w:rPr>
                <w:iCs/>
              </w:rPr>
              <w:t>P</w:t>
            </w:r>
            <w:r w:rsidRPr="00563A3D">
              <w:rPr>
                <w:iCs/>
              </w:rPr>
              <w:t>eriodic safety update report</w:t>
            </w:r>
          </w:p>
        </w:tc>
      </w:tr>
      <w:tr w:rsidR="00846E44" w:rsidRPr="007A6AA5" w14:paraId="6F376AD2" w14:textId="77777777" w:rsidTr="008955D8">
        <w:tc>
          <w:tcPr>
            <w:tcW w:w="1890" w:type="dxa"/>
          </w:tcPr>
          <w:p w14:paraId="7405B685" w14:textId="77777777" w:rsidR="00846E44" w:rsidRPr="007A6AA5" w:rsidRDefault="00846E44" w:rsidP="007A6AA5">
            <w:pPr>
              <w:spacing w:afterLines="40" w:after="96"/>
              <w:rPr>
                <w:rFonts w:eastAsia="TimesNewRoman" w:cs="TimesNewRoman"/>
                <w:szCs w:val="22"/>
              </w:rPr>
            </w:pPr>
            <w:r w:rsidRPr="007A6AA5">
              <w:rPr>
                <w:rFonts w:eastAsia="TimesNewRoman" w:cs="TimesNewRoman"/>
                <w:szCs w:val="22"/>
              </w:rPr>
              <w:t>QD</w:t>
            </w:r>
          </w:p>
        </w:tc>
        <w:tc>
          <w:tcPr>
            <w:tcW w:w="6830" w:type="dxa"/>
          </w:tcPr>
          <w:p w14:paraId="1A37F179" w14:textId="6E5CDF9F" w:rsidR="00846E44" w:rsidRPr="00D46C2C" w:rsidRDefault="001222A0" w:rsidP="007A6AA5">
            <w:pPr>
              <w:autoSpaceDE w:val="0"/>
              <w:autoSpaceDN w:val="0"/>
              <w:adjustRightInd w:val="0"/>
              <w:spacing w:afterLines="40" w:after="96"/>
              <w:rPr>
                <w:rFonts w:eastAsia="TimesNewRoman" w:cs="TimesNewRoman"/>
                <w:i/>
                <w:szCs w:val="22"/>
              </w:rPr>
            </w:pPr>
            <w:r>
              <w:rPr>
                <w:rFonts w:eastAsia="TimesNewRoman" w:cs="TimesNewRoman"/>
                <w:szCs w:val="22"/>
              </w:rPr>
              <w:t>O</w:t>
            </w:r>
            <w:r w:rsidR="00846E44" w:rsidRPr="007A6AA5">
              <w:rPr>
                <w:rFonts w:eastAsia="TimesNewRoman" w:cs="TimesNewRoman"/>
                <w:szCs w:val="22"/>
              </w:rPr>
              <w:t>nce daily</w:t>
            </w:r>
            <w:r w:rsidR="00C961DE">
              <w:rPr>
                <w:rFonts w:eastAsia="TimesNewRoman" w:cs="TimesNewRoman"/>
                <w:szCs w:val="22"/>
              </w:rPr>
              <w:t xml:space="preserve"> (</w:t>
            </w:r>
            <w:r w:rsidR="00C961DE">
              <w:rPr>
                <w:rFonts w:eastAsia="TimesNewRoman" w:cs="TimesNewRoman"/>
                <w:i/>
                <w:szCs w:val="22"/>
              </w:rPr>
              <w:t>Latin: quaque die)</w:t>
            </w:r>
          </w:p>
        </w:tc>
      </w:tr>
      <w:tr w:rsidR="00846E44" w:rsidRPr="007A6AA5" w14:paraId="0E0EB639" w14:textId="77777777" w:rsidTr="008955D8">
        <w:tc>
          <w:tcPr>
            <w:tcW w:w="1890" w:type="dxa"/>
          </w:tcPr>
          <w:p w14:paraId="3C09FF83" w14:textId="77777777" w:rsidR="00846E44" w:rsidRPr="007A6AA5" w:rsidRDefault="00846E44" w:rsidP="007A6AA5">
            <w:pPr>
              <w:spacing w:afterLines="40" w:after="96"/>
              <w:rPr>
                <w:rFonts w:eastAsia="TimesNewRoman" w:cs="TimesNewRoman"/>
                <w:szCs w:val="22"/>
              </w:rPr>
            </w:pPr>
            <w:r w:rsidRPr="007A6AA5">
              <w:rPr>
                <w:rFonts w:eastAsia="TimesNewRoman" w:cs="TimesNewRoman"/>
                <w:szCs w:val="22"/>
              </w:rPr>
              <w:t>RBC</w:t>
            </w:r>
          </w:p>
        </w:tc>
        <w:tc>
          <w:tcPr>
            <w:tcW w:w="6830" w:type="dxa"/>
          </w:tcPr>
          <w:p w14:paraId="669C1CEE" w14:textId="77777777" w:rsidR="00846E44" w:rsidRPr="007A6AA5" w:rsidRDefault="00846E44" w:rsidP="007A6AA5">
            <w:pPr>
              <w:spacing w:afterLines="40" w:after="96"/>
              <w:rPr>
                <w:rFonts w:eastAsia="TimesNewRoman" w:cs="TimesNewRoman"/>
                <w:szCs w:val="22"/>
              </w:rPr>
            </w:pPr>
            <w:r>
              <w:rPr>
                <w:rFonts w:eastAsia="TimesNewRoman" w:cs="TimesNewRoman"/>
                <w:szCs w:val="22"/>
              </w:rPr>
              <w:t>R</w:t>
            </w:r>
            <w:r w:rsidRPr="007A6AA5">
              <w:rPr>
                <w:rFonts w:eastAsia="TimesNewRoman" w:cs="TimesNewRoman"/>
                <w:szCs w:val="22"/>
              </w:rPr>
              <w:t>ed blood cell</w:t>
            </w:r>
          </w:p>
        </w:tc>
      </w:tr>
      <w:tr w:rsidR="00846E44" w:rsidRPr="007A6AA5" w14:paraId="06369520" w14:textId="77777777" w:rsidTr="008955D8">
        <w:tc>
          <w:tcPr>
            <w:tcW w:w="1890" w:type="dxa"/>
          </w:tcPr>
          <w:p w14:paraId="6571616D" w14:textId="77777777" w:rsidR="00846E44" w:rsidRPr="007A6AA5" w:rsidRDefault="00846E44" w:rsidP="007A6AA5">
            <w:pPr>
              <w:spacing w:afterLines="40" w:after="96"/>
              <w:rPr>
                <w:rFonts w:eastAsia="TimesNewRoman" w:cs="TimesNewRoman"/>
                <w:szCs w:val="22"/>
              </w:rPr>
            </w:pPr>
            <w:r w:rsidRPr="007A6AA5">
              <w:rPr>
                <w:rFonts w:eastAsia="TimesNewRoman" w:cs="TimesNewRoman"/>
                <w:szCs w:val="22"/>
              </w:rPr>
              <w:t>RD</w:t>
            </w:r>
          </w:p>
        </w:tc>
        <w:tc>
          <w:tcPr>
            <w:tcW w:w="6830" w:type="dxa"/>
          </w:tcPr>
          <w:p w14:paraId="49B37FB1" w14:textId="77777777" w:rsidR="00846E44" w:rsidRPr="007A6AA5" w:rsidRDefault="00846E44" w:rsidP="007A6AA5">
            <w:pPr>
              <w:autoSpaceDE w:val="0"/>
              <w:autoSpaceDN w:val="0"/>
              <w:adjustRightInd w:val="0"/>
              <w:spacing w:afterLines="40" w:after="96"/>
              <w:rPr>
                <w:rFonts w:eastAsia="TimesNewRoman" w:cs="TimesNewRoman"/>
                <w:szCs w:val="22"/>
              </w:rPr>
            </w:pPr>
            <w:r>
              <w:rPr>
                <w:rFonts w:eastAsia="TimesNewRoman" w:cs="TimesNewRoman"/>
                <w:szCs w:val="22"/>
              </w:rPr>
              <w:t>R</w:t>
            </w:r>
            <w:r w:rsidRPr="007A6AA5">
              <w:rPr>
                <w:rFonts w:eastAsia="TimesNewRoman" w:cs="TimesNewRoman"/>
                <w:szCs w:val="22"/>
              </w:rPr>
              <w:t>esistant disease</w:t>
            </w:r>
          </w:p>
        </w:tc>
      </w:tr>
      <w:tr w:rsidR="00846E44" w:rsidRPr="007A6AA5" w14:paraId="69E91C0A" w14:textId="77777777" w:rsidTr="008955D8">
        <w:tc>
          <w:tcPr>
            <w:tcW w:w="1890" w:type="dxa"/>
          </w:tcPr>
          <w:p w14:paraId="7703AEB5" w14:textId="77777777" w:rsidR="00846E44" w:rsidRDefault="00846E44" w:rsidP="007A6AA5">
            <w:pPr>
              <w:spacing w:afterLines="40" w:after="96"/>
              <w:rPr>
                <w:rFonts w:eastAsia="TimesNewRoman" w:cs="TimesNewRoman"/>
              </w:rPr>
            </w:pPr>
            <w:r>
              <w:rPr>
                <w:rFonts w:eastAsia="TimesNewRoman" w:cs="TimesNewRoman"/>
              </w:rPr>
              <w:t>RMP</w:t>
            </w:r>
          </w:p>
        </w:tc>
        <w:tc>
          <w:tcPr>
            <w:tcW w:w="6830" w:type="dxa"/>
          </w:tcPr>
          <w:p w14:paraId="63525DE6" w14:textId="77777777" w:rsidR="00846E44" w:rsidRDefault="00846E44" w:rsidP="007A6AA5">
            <w:pPr>
              <w:spacing w:afterLines="40" w:after="96"/>
              <w:rPr>
                <w:rFonts w:eastAsia="TimesNewRoman" w:cs="TimesNewRoman"/>
              </w:rPr>
            </w:pPr>
            <w:r>
              <w:t>Risk management plan</w:t>
            </w:r>
          </w:p>
        </w:tc>
      </w:tr>
      <w:tr w:rsidR="00846E44" w:rsidRPr="007A6AA5" w14:paraId="4A278C09" w14:textId="77777777" w:rsidTr="008955D8">
        <w:tc>
          <w:tcPr>
            <w:tcW w:w="1890" w:type="dxa"/>
          </w:tcPr>
          <w:p w14:paraId="2EE5A385" w14:textId="77777777" w:rsidR="00846E44" w:rsidRPr="007A6AA5" w:rsidRDefault="00846E44" w:rsidP="007A6AA5">
            <w:pPr>
              <w:autoSpaceDE w:val="0"/>
              <w:autoSpaceDN w:val="0"/>
              <w:adjustRightInd w:val="0"/>
              <w:spacing w:afterLines="40" w:after="96"/>
              <w:rPr>
                <w:rFonts w:eastAsia="TimesNewRoman" w:cs="TimesNewRoman"/>
                <w:szCs w:val="22"/>
              </w:rPr>
            </w:pPr>
            <w:r>
              <w:rPr>
                <w:rFonts w:eastAsia="TimesNewRoman" w:cs="TimesNewRoman"/>
                <w:szCs w:val="22"/>
              </w:rPr>
              <w:t>SAE</w:t>
            </w:r>
          </w:p>
        </w:tc>
        <w:tc>
          <w:tcPr>
            <w:tcW w:w="6830" w:type="dxa"/>
          </w:tcPr>
          <w:p w14:paraId="3ABEF0C5" w14:textId="77777777" w:rsidR="00846E44" w:rsidRPr="007A6AA5" w:rsidRDefault="00846E44" w:rsidP="007A6AA5">
            <w:pPr>
              <w:spacing w:afterLines="40" w:after="96"/>
              <w:rPr>
                <w:rFonts w:eastAsia="TimesNewRoman" w:cs="TimesNewRoman"/>
                <w:szCs w:val="22"/>
              </w:rPr>
            </w:pPr>
            <w:r>
              <w:rPr>
                <w:rFonts w:eastAsia="TimesNewRoman" w:cs="TimesNewRoman"/>
                <w:szCs w:val="22"/>
              </w:rPr>
              <w:t>S</w:t>
            </w:r>
            <w:r w:rsidRPr="007A6AA5">
              <w:rPr>
                <w:rFonts w:eastAsia="TimesNewRoman" w:cs="TimesNewRoman"/>
                <w:szCs w:val="22"/>
              </w:rPr>
              <w:t>erious adverse event</w:t>
            </w:r>
          </w:p>
        </w:tc>
      </w:tr>
      <w:tr w:rsidR="00561D73" w:rsidRPr="007A6AA5" w14:paraId="0495B643" w14:textId="77777777" w:rsidTr="008955D8">
        <w:tc>
          <w:tcPr>
            <w:tcW w:w="1890" w:type="dxa"/>
          </w:tcPr>
          <w:p w14:paraId="03744908" w14:textId="181605ED" w:rsidR="00561D73" w:rsidRDefault="00561D73" w:rsidP="007A6AA5">
            <w:pPr>
              <w:autoSpaceDE w:val="0"/>
              <w:autoSpaceDN w:val="0"/>
              <w:adjustRightInd w:val="0"/>
              <w:spacing w:afterLines="40" w:after="96"/>
              <w:rPr>
                <w:rFonts w:eastAsia="TimesNewRoman" w:cs="TimesNewRoman"/>
              </w:rPr>
            </w:pPr>
            <w:r>
              <w:rPr>
                <w:rFonts w:eastAsia="TimesNewRoman" w:cs="TimesNewRoman"/>
              </w:rPr>
              <w:t>TEAE</w:t>
            </w:r>
          </w:p>
        </w:tc>
        <w:tc>
          <w:tcPr>
            <w:tcW w:w="6830" w:type="dxa"/>
          </w:tcPr>
          <w:p w14:paraId="1F225EA6" w14:textId="649FA061" w:rsidR="00561D73" w:rsidRDefault="00561D73" w:rsidP="007A6AA5">
            <w:pPr>
              <w:spacing w:afterLines="40" w:after="96"/>
              <w:rPr>
                <w:rFonts w:eastAsia="TimesNewRoman" w:cs="TimesNewRoman"/>
              </w:rPr>
            </w:pPr>
            <w:r>
              <w:rPr>
                <w:rFonts w:eastAsia="TimesNewRoman" w:cs="TimesNewRoman"/>
              </w:rPr>
              <w:t>Treatment emergent adverse event</w:t>
            </w:r>
          </w:p>
        </w:tc>
      </w:tr>
      <w:tr w:rsidR="00846E44" w:rsidRPr="007A6AA5" w14:paraId="2F4A2F82" w14:textId="77777777" w:rsidTr="008955D8">
        <w:tc>
          <w:tcPr>
            <w:tcW w:w="1890" w:type="dxa"/>
          </w:tcPr>
          <w:p w14:paraId="6A340045" w14:textId="77777777" w:rsidR="00846E44" w:rsidRDefault="00846E44" w:rsidP="007A6AA5">
            <w:pPr>
              <w:spacing w:afterLines="40" w:after="96"/>
              <w:rPr>
                <w:rFonts w:eastAsia="TimesNewRoman" w:cs="TimesNewRoman"/>
              </w:rPr>
            </w:pPr>
            <w:r>
              <w:rPr>
                <w:rFonts w:eastAsia="TimesNewRoman" w:cs="TimesNewRoman"/>
              </w:rPr>
              <w:t>TLS</w:t>
            </w:r>
          </w:p>
        </w:tc>
        <w:tc>
          <w:tcPr>
            <w:tcW w:w="6830" w:type="dxa"/>
          </w:tcPr>
          <w:p w14:paraId="67FB5073" w14:textId="77777777" w:rsidR="00846E44" w:rsidRDefault="00846E44" w:rsidP="007A6AA5">
            <w:pPr>
              <w:spacing w:afterLines="40" w:after="96"/>
              <w:rPr>
                <w:rFonts w:eastAsia="TimesNewRoman" w:cs="TimesNewRoman"/>
              </w:rPr>
            </w:pPr>
            <w:r>
              <w:t>Tumour lysis syndrome</w:t>
            </w:r>
          </w:p>
        </w:tc>
      </w:tr>
      <w:tr w:rsidR="00846E44" w:rsidRPr="007A6AA5" w14:paraId="4C96C273" w14:textId="77777777" w:rsidTr="008955D8">
        <w:tc>
          <w:tcPr>
            <w:tcW w:w="1890" w:type="dxa"/>
          </w:tcPr>
          <w:p w14:paraId="4C0D5F00" w14:textId="77777777" w:rsidR="00846E44" w:rsidRPr="007A6AA5" w:rsidRDefault="00846E44" w:rsidP="007A6AA5">
            <w:pPr>
              <w:spacing w:afterLines="40" w:after="96"/>
              <w:rPr>
                <w:rFonts w:eastAsia="TimesNewRoman" w:cs="TimesNewRoman"/>
                <w:szCs w:val="22"/>
              </w:rPr>
            </w:pPr>
            <w:r w:rsidRPr="007A6AA5">
              <w:rPr>
                <w:rFonts w:eastAsia="TimesNewRoman" w:cs="TimesNewRoman"/>
                <w:szCs w:val="22"/>
              </w:rPr>
              <w:t>US</w:t>
            </w:r>
          </w:p>
        </w:tc>
        <w:tc>
          <w:tcPr>
            <w:tcW w:w="6830" w:type="dxa"/>
          </w:tcPr>
          <w:p w14:paraId="3802557F" w14:textId="4438330E" w:rsidR="00846E44" w:rsidRPr="007A6AA5" w:rsidRDefault="00846E44" w:rsidP="007A6AA5">
            <w:pPr>
              <w:spacing w:afterLines="40" w:after="96"/>
              <w:rPr>
                <w:rFonts w:eastAsia="TimesNewRoman" w:cs="TimesNewRoman"/>
                <w:szCs w:val="22"/>
              </w:rPr>
            </w:pPr>
            <w:r w:rsidRPr="007A6AA5">
              <w:rPr>
                <w:rFonts w:eastAsia="TimesNewRoman" w:cs="TimesNewRoman"/>
                <w:szCs w:val="22"/>
              </w:rPr>
              <w:t>United States</w:t>
            </w:r>
            <w:r w:rsidR="00C961DE">
              <w:rPr>
                <w:rFonts w:eastAsia="TimesNewRoman" w:cs="TimesNewRoman"/>
                <w:szCs w:val="22"/>
              </w:rPr>
              <w:t xml:space="preserve"> (of America)</w:t>
            </w:r>
          </w:p>
        </w:tc>
      </w:tr>
      <w:tr w:rsidR="00846E44" w:rsidRPr="007A6AA5" w14:paraId="726A2910" w14:textId="77777777" w:rsidTr="008955D8">
        <w:tc>
          <w:tcPr>
            <w:tcW w:w="1890" w:type="dxa"/>
          </w:tcPr>
          <w:p w14:paraId="4EAEA366" w14:textId="77777777" w:rsidR="00846E44" w:rsidRDefault="00846E44" w:rsidP="007A6AA5">
            <w:pPr>
              <w:spacing w:afterLines="40" w:after="96"/>
              <w:rPr>
                <w:rFonts w:eastAsia="TimesNewRoman" w:cs="TimesNewRoman"/>
              </w:rPr>
            </w:pPr>
            <w:r>
              <w:rPr>
                <w:rFonts w:eastAsia="TimesNewRoman" w:cs="TimesNewRoman"/>
              </w:rPr>
              <w:t>WHO</w:t>
            </w:r>
          </w:p>
        </w:tc>
        <w:tc>
          <w:tcPr>
            <w:tcW w:w="6830" w:type="dxa"/>
          </w:tcPr>
          <w:p w14:paraId="1CBF4FEE" w14:textId="6AFAF374" w:rsidR="00846E44" w:rsidRDefault="00846E44" w:rsidP="007A6AA5">
            <w:pPr>
              <w:spacing w:afterLines="40" w:after="96"/>
              <w:rPr>
                <w:rFonts w:eastAsia="TimesNewRoman" w:cs="TimesNewRoman"/>
              </w:rPr>
            </w:pPr>
            <w:r>
              <w:rPr>
                <w:rFonts w:eastAsia="TimesNewRoman" w:cs="TimesNewRoman"/>
              </w:rPr>
              <w:t>World Health Organi</w:t>
            </w:r>
            <w:r w:rsidR="001222A0">
              <w:rPr>
                <w:rFonts w:eastAsia="TimesNewRoman" w:cs="TimesNewRoman"/>
              </w:rPr>
              <w:t>z</w:t>
            </w:r>
            <w:r>
              <w:rPr>
                <w:rFonts w:eastAsia="TimesNewRoman" w:cs="TimesNewRoman"/>
              </w:rPr>
              <w:t>ation</w:t>
            </w:r>
          </w:p>
        </w:tc>
      </w:tr>
    </w:tbl>
    <w:p w14:paraId="09040D06" w14:textId="77777777" w:rsidR="00FD119B" w:rsidRDefault="00FD119B" w:rsidP="00FD119B"/>
    <w:p w14:paraId="7B744743" w14:textId="77777777" w:rsidR="00FD119B" w:rsidRPr="00FD119B" w:rsidRDefault="00FD119B" w:rsidP="00FD119B">
      <w:pPr>
        <w:spacing w:before="0" w:after="200" w:line="0" w:lineRule="auto"/>
        <w:rPr>
          <w:b/>
          <w:i/>
          <w:sz w:val="24"/>
          <w:szCs w:val="24"/>
        </w:rPr>
      </w:pPr>
      <w:r w:rsidRPr="00FD119B">
        <w:rPr>
          <w:b/>
          <w:i/>
          <w:sz w:val="24"/>
          <w:szCs w:val="24"/>
        </w:rPr>
        <w:br w:type="page"/>
      </w:r>
    </w:p>
    <w:p w14:paraId="1EB89B8D" w14:textId="77777777" w:rsidR="008E7846" w:rsidRDefault="00F53C07" w:rsidP="008E7846">
      <w:pPr>
        <w:pStyle w:val="Heading2"/>
      </w:pPr>
      <w:bookmarkStart w:id="8" w:name="_Toc51859729"/>
      <w:r>
        <w:lastRenderedPageBreak/>
        <w:t>I.</w:t>
      </w:r>
      <w:r w:rsidR="008E7846">
        <w:t xml:space="preserve"> Introduction to product submission</w:t>
      </w:r>
      <w:bookmarkEnd w:id="8"/>
      <w:bookmarkEnd w:id="0"/>
      <w:bookmarkEnd w:id="2"/>
    </w:p>
    <w:p w14:paraId="2B3439CE" w14:textId="77777777" w:rsidR="008E7846" w:rsidRDefault="008E7846" w:rsidP="008E7846">
      <w:pPr>
        <w:pStyle w:val="Heading3"/>
        <w:rPr>
          <w:lang w:eastAsia="en-AU"/>
        </w:rPr>
      </w:pPr>
      <w:bookmarkStart w:id="9" w:name="_Toc247691502"/>
      <w:bookmarkStart w:id="10" w:name="_Toc314842483"/>
      <w:bookmarkStart w:id="11" w:name="_Toc51859730"/>
      <w:r>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3D1E62" w14:paraId="078F31EB" w14:textId="77777777" w:rsidTr="003735BC">
        <w:tc>
          <w:tcPr>
            <w:tcW w:w="2907" w:type="dxa"/>
          </w:tcPr>
          <w:p w14:paraId="0D9A558D"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74D0C129" w14:textId="77777777" w:rsidR="008E7846" w:rsidRPr="003D1E62" w:rsidRDefault="00C33575" w:rsidP="001B5C90">
            <w:r>
              <w:t>Extension of indications</w:t>
            </w:r>
          </w:p>
        </w:tc>
      </w:tr>
      <w:tr w:rsidR="001222A0" w:rsidRPr="003D1E62" w14:paraId="61C77C0B" w14:textId="77777777" w:rsidTr="003735BC">
        <w:tc>
          <w:tcPr>
            <w:tcW w:w="2907" w:type="dxa"/>
          </w:tcPr>
          <w:p w14:paraId="739E6A79" w14:textId="6F9F0F28" w:rsidR="001222A0" w:rsidRDefault="001222A0" w:rsidP="001222A0">
            <w:pPr>
              <w:rPr>
                <w:i/>
              </w:rPr>
            </w:pPr>
            <w:r w:rsidRPr="00487162">
              <w:rPr>
                <w:i/>
              </w:rPr>
              <w:t>Product</w:t>
            </w:r>
            <w:r>
              <w:rPr>
                <w:i/>
              </w:rPr>
              <w:t xml:space="preserve"> name:</w:t>
            </w:r>
          </w:p>
        </w:tc>
        <w:tc>
          <w:tcPr>
            <w:tcW w:w="6307" w:type="dxa"/>
          </w:tcPr>
          <w:p w14:paraId="1F67878A" w14:textId="441551D0" w:rsidR="001222A0" w:rsidRDefault="001222A0" w:rsidP="001222A0">
            <w:r>
              <w:rPr>
                <w:rFonts w:eastAsiaTheme="minorHAnsi" w:cs="Cambria"/>
              </w:rPr>
              <w:t>Venclexta</w:t>
            </w:r>
          </w:p>
        </w:tc>
      </w:tr>
      <w:tr w:rsidR="001222A0" w:rsidRPr="003D1E62" w14:paraId="5AE8C936" w14:textId="77777777" w:rsidTr="003735BC">
        <w:tc>
          <w:tcPr>
            <w:tcW w:w="2907" w:type="dxa"/>
          </w:tcPr>
          <w:p w14:paraId="6E4F28E3" w14:textId="51A049C0" w:rsidR="001222A0" w:rsidRDefault="001222A0" w:rsidP="001222A0">
            <w:pPr>
              <w:rPr>
                <w:i/>
              </w:rPr>
            </w:pPr>
            <w:r>
              <w:rPr>
                <w:i/>
              </w:rPr>
              <w:t>Active ingredient:</w:t>
            </w:r>
          </w:p>
        </w:tc>
        <w:tc>
          <w:tcPr>
            <w:tcW w:w="6307" w:type="dxa"/>
          </w:tcPr>
          <w:p w14:paraId="6DE08F5D" w14:textId="0D3A19CE" w:rsidR="001222A0" w:rsidRDefault="001222A0" w:rsidP="001222A0">
            <w:r>
              <w:rPr>
                <w:rFonts w:eastAsiaTheme="minorHAnsi" w:cs="Cambria"/>
              </w:rPr>
              <w:t>Venetoclax</w:t>
            </w:r>
          </w:p>
        </w:tc>
      </w:tr>
      <w:tr w:rsidR="008E7846" w:rsidRPr="003D1E62" w14:paraId="341ACC2F" w14:textId="77777777" w:rsidTr="003735BC">
        <w:tc>
          <w:tcPr>
            <w:tcW w:w="2907" w:type="dxa"/>
          </w:tcPr>
          <w:p w14:paraId="1B7AA6C4" w14:textId="77777777" w:rsidR="008E7846" w:rsidRPr="003D1E62" w:rsidRDefault="008E7846" w:rsidP="003D1E62">
            <w:r w:rsidRPr="003D1E62">
              <w:rPr>
                <w:i/>
              </w:rPr>
              <w:t>Decision</w:t>
            </w:r>
            <w:r w:rsidRPr="003D1E62">
              <w:t>:</w:t>
            </w:r>
          </w:p>
        </w:tc>
        <w:tc>
          <w:tcPr>
            <w:tcW w:w="6307" w:type="dxa"/>
          </w:tcPr>
          <w:p w14:paraId="4B5C6EFD" w14:textId="50C1462F" w:rsidR="008E7846" w:rsidRPr="003D1E62" w:rsidRDefault="00C33575" w:rsidP="001B5C90">
            <w:r>
              <w:t>Approved</w:t>
            </w:r>
            <w:r w:rsidR="00335648">
              <w:t xml:space="preserve"> for provisional registration</w:t>
            </w:r>
            <w:r w:rsidR="00A941C6">
              <w:t>;</w:t>
            </w:r>
            <w:bookmarkStart w:id="12" w:name="_Ref45484513"/>
            <w:r w:rsidR="00A941C6">
              <w:rPr>
                <w:rStyle w:val="FootnoteReference"/>
              </w:rPr>
              <w:footnoteReference w:id="1"/>
            </w:r>
            <w:bookmarkEnd w:id="12"/>
          </w:p>
        </w:tc>
      </w:tr>
      <w:tr w:rsidR="008E7846" w:rsidRPr="003D1E62" w14:paraId="0065EE3D" w14:textId="77777777" w:rsidTr="003735BC">
        <w:tc>
          <w:tcPr>
            <w:tcW w:w="2907" w:type="dxa"/>
          </w:tcPr>
          <w:p w14:paraId="0317EC9D"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737C5547" w14:textId="0767F585" w:rsidR="00554869" w:rsidRDefault="00554869" w:rsidP="001B5C90">
            <w:r>
              <w:t>28 January 2020 (</w:t>
            </w:r>
            <w:r w:rsidR="00C961DE">
              <w:t xml:space="preserve">submission </w:t>
            </w:r>
            <w:r>
              <w:t>PM-2018-05208-1-6)</w:t>
            </w:r>
          </w:p>
          <w:p w14:paraId="47DCE5BA" w14:textId="46337638" w:rsidR="008E7846" w:rsidRPr="003D1E62" w:rsidRDefault="00246515" w:rsidP="001B5C90">
            <w:r>
              <w:t>5 February 2020</w:t>
            </w:r>
            <w:r w:rsidR="00554869">
              <w:t xml:space="preserve"> (</w:t>
            </w:r>
            <w:r w:rsidR="00C961DE">
              <w:t xml:space="preserve">submission </w:t>
            </w:r>
            <w:r w:rsidR="00554869">
              <w:t>PM-2019-04393-1-6)</w:t>
            </w:r>
          </w:p>
        </w:tc>
      </w:tr>
      <w:tr w:rsidR="00ED2922" w:rsidRPr="003D1E62" w14:paraId="7E7CDCCF" w14:textId="77777777" w:rsidTr="003735BC">
        <w:tc>
          <w:tcPr>
            <w:tcW w:w="2907" w:type="dxa"/>
          </w:tcPr>
          <w:p w14:paraId="61714039" w14:textId="77777777" w:rsidR="00ED2922" w:rsidRPr="00441C3F" w:rsidRDefault="00ED2922" w:rsidP="001B5C90">
            <w:pPr>
              <w:rPr>
                <w:i/>
              </w:rPr>
            </w:pPr>
            <w:r w:rsidRPr="00441C3F">
              <w:rPr>
                <w:i/>
              </w:rPr>
              <w:t>Date of entry onto ARTG</w:t>
            </w:r>
            <w:r w:rsidR="00500337">
              <w:rPr>
                <w:i/>
              </w:rPr>
              <w:t>:</w:t>
            </w:r>
          </w:p>
        </w:tc>
        <w:tc>
          <w:tcPr>
            <w:tcW w:w="6307" w:type="dxa"/>
          </w:tcPr>
          <w:p w14:paraId="694D689C" w14:textId="33E1E0DA" w:rsidR="00554869" w:rsidRDefault="00554869" w:rsidP="00D153D8">
            <w:r>
              <w:t>11 February 2020 (</w:t>
            </w:r>
            <w:r w:rsidR="00C961DE">
              <w:t xml:space="preserve">submission </w:t>
            </w:r>
            <w:r>
              <w:t>PM-2018-05208-1-6)</w:t>
            </w:r>
          </w:p>
          <w:p w14:paraId="50B9AF09" w14:textId="367F1DFD" w:rsidR="00554869" w:rsidRPr="00513E0D" w:rsidRDefault="00184402" w:rsidP="00D153D8">
            <w:r>
              <w:t>14 February 2020</w:t>
            </w:r>
            <w:r w:rsidR="00554869">
              <w:t xml:space="preserve"> (</w:t>
            </w:r>
            <w:r w:rsidR="00C961DE">
              <w:t xml:space="preserve">submission </w:t>
            </w:r>
            <w:r w:rsidR="00554869">
              <w:t>PM-2019-04393-1-6)</w:t>
            </w:r>
          </w:p>
        </w:tc>
      </w:tr>
      <w:tr w:rsidR="00500337" w:rsidRPr="003D1E62" w14:paraId="49CCC775" w14:textId="77777777" w:rsidTr="003735BC">
        <w:tc>
          <w:tcPr>
            <w:tcW w:w="2907" w:type="dxa"/>
          </w:tcPr>
          <w:p w14:paraId="172FEAA9" w14:textId="19DA4B4C" w:rsidR="00500337" w:rsidRPr="00441C3F" w:rsidRDefault="00B4405D" w:rsidP="001B5C90">
            <w:pPr>
              <w:rPr>
                <w:i/>
              </w:rPr>
            </w:pPr>
            <w:r>
              <w:rPr>
                <w:i/>
              </w:rPr>
              <w:t>ARTG numbers</w:t>
            </w:r>
            <w:r w:rsidR="00500337">
              <w:rPr>
                <w:i/>
              </w:rPr>
              <w:t>:</w:t>
            </w:r>
          </w:p>
        </w:tc>
        <w:tc>
          <w:tcPr>
            <w:tcW w:w="6307" w:type="dxa"/>
          </w:tcPr>
          <w:p w14:paraId="244A19CE" w14:textId="77777777" w:rsidR="00500337" w:rsidRPr="00441C3F" w:rsidRDefault="007279FF" w:rsidP="00EC463D">
            <w:r w:rsidRPr="007279FF">
              <w:t>267441, 267442, 267443, 267444, 267445</w:t>
            </w:r>
          </w:p>
        </w:tc>
      </w:tr>
      <w:tr w:rsidR="003735BC" w:rsidRPr="003D1E62" w14:paraId="17166153" w14:textId="77777777" w:rsidTr="003735BC">
        <w:tc>
          <w:tcPr>
            <w:tcW w:w="2907" w:type="dxa"/>
          </w:tcPr>
          <w:p w14:paraId="500CA241" w14:textId="393F314C" w:rsidR="003735BC" w:rsidRDefault="00FA5069" w:rsidP="001B5C90">
            <w:pPr>
              <w:rPr>
                <w:i/>
              </w:rPr>
            </w:pPr>
            <w:r>
              <w:rPr>
                <w:rFonts w:ascii="Wingdings 3" w:hAnsi="Wingdings 3"/>
                <w:sz w:val="34"/>
                <w:szCs w:val="34"/>
                <w:lang w:eastAsia="en-AU"/>
              </w:rPr>
              <w:t></w:t>
            </w:r>
            <w:r w:rsidR="003735BC" w:rsidRPr="003735BC">
              <w:rPr>
                <w:i/>
              </w:rPr>
              <w:t>Black Triangle Scheme</w:t>
            </w:r>
            <w:r w:rsidR="00A941C6">
              <w:rPr>
                <w:i/>
              </w:rPr>
              <w:t>:</w:t>
            </w:r>
            <w:r w:rsidR="00A941C6">
              <w:rPr>
                <w:rStyle w:val="FootnoteReference"/>
                <w:i/>
              </w:rPr>
              <w:footnoteReference w:id="2"/>
            </w:r>
          </w:p>
        </w:tc>
        <w:tc>
          <w:tcPr>
            <w:tcW w:w="6307" w:type="dxa"/>
          </w:tcPr>
          <w:p w14:paraId="0FB96DC9" w14:textId="77777777" w:rsidR="00246515" w:rsidRDefault="00246515" w:rsidP="003735BC">
            <w:r>
              <w:t>Yes</w:t>
            </w:r>
          </w:p>
          <w:p w14:paraId="566FB8EE" w14:textId="16171CCF" w:rsidR="003735BC" w:rsidRPr="00487162" w:rsidRDefault="003735BC" w:rsidP="003735BC">
            <w:r>
              <w:t xml:space="preserve">This product will remain in the scheme for 5 years, starting on the date the product is first supplied in </w:t>
            </w:r>
            <w:r w:rsidRPr="00D453FA">
              <w:t>Australia</w:t>
            </w:r>
          </w:p>
        </w:tc>
      </w:tr>
      <w:tr w:rsidR="008E7846" w:rsidRPr="00487162" w14:paraId="299488D5" w14:textId="77777777" w:rsidTr="00BF1190">
        <w:tc>
          <w:tcPr>
            <w:tcW w:w="2907" w:type="dxa"/>
          </w:tcPr>
          <w:p w14:paraId="45DBC492"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1B10ED4F" w14:textId="77777777" w:rsidR="00C34423" w:rsidRDefault="00C34423" w:rsidP="00B4405D">
            <w:r>
              <w:t>AbbVie Pty Ltd</w:t>
            </w:r>
          </w:p>
          <w:p w14:paraId="736CA220" w14:textId="77777777" w:rsidR="008E7846" w:rsidRPr="00C34423" w:rsidRDefault="00C34423" w:rsidP="00B4405D">
            <w:r>
              <w:t>Level 7, 241 O’Riordan Street, Mascot, NSW 2020</w:t>
            </w:r>
          </w:p>
        </w:tc>
      </w:tr>
      <w:tr w:rsidR="008E7846" w:rsidRPr="00487162" w14:paraId="6900DA45" w14:textId="77777777" w:rsidTr="00BF1190">
        <w:tc>
          <w:tcPr>
            <w:tcW w:w="2907" w:type="dxa"/>
          </w:tcPr>
          <w:p w14:paraId="425219BD" w14:textId="33DD8703" w:rsidR="008E7846" w:rsidRPr="00487162" w:rsidRDefault="00B4405D" w:rsidP="00E45619">
            <w:pPr>
              <w:rPr>
                <w:i/>
              </w:rPr>
            </w:pPr>
            <w:r>
              <w:rPr>
                <w:i/>
              </w:rPr>
              <w:t>Dose form</w:t>
            </w:r>
            <w:r w:rsidR="001B5C90">
              <w:rPr>
                <w:i/>
              </w:rPr>
              <w:t>:</w:t>
            </w:r>
          </w:p>
        </w:tc>
        <w:tc>
          <w:tcPr>
            <w:tcW w:w="6307" w:type="dxa"/>
          </w:tcPr>
          <w:p w14:paraId="62B230A3" w14:textId="77777777" w:rsidR="008E7846" w:rsidRPr="00487162" w:rsidRDefault="00C34423" w:rsidP="00E45619">
            <w:r>
              <w:t>Film coated tablet</w:t>
            </w:r>
          </w:p>
        </w:tc>
      </w:tr>
      <w:tr w:rsidR="008E7846" w:rsidRPr="00487162" w14:paraId="08D8FE2D" w14:textId="77777777" w:rsidTr="00BF1190">
        <w:tc>
          <w:tcPr>
            <w:tcW w:w="2907" w:type="dxa"/>
          </w:tcPr>
          <w:p w14:paraId="60C268F9" w14:textId="311706B0" w:rsidR="008E7846" w:rsidRPr="00487162" w:rsidRDefault="00B4405D" w:rsidP="00B4405D">
            <w:pPr>
              <w:rPr>
                <w:i/>
              </w:rPr>
            </w:pPr>
            <w:r>
              <w:rPr>
                <w:i/>
              </w:rPr>
              <w:t>Strength</w:t>
            </w:r>
            <w:r w:rsidR="008E7846" w:rsidRPr="00487162">
              <w:rPr>
                <w:i/>
              </w:rPr>
              <w:t xml:space="preserve">s: </w:t>
            </w:r>
          </w:p>
        </w:tc>
        <w:tc>
          <w:tcPr>
            <w:tcW w:w="6307" w:type="dxa"/>
          </w:tcPr>
          <w:p w14:paraId="1D42057B" w14:textId="77777777" w:rsidR="008E7846" w:rsidRPr="00487162" w:rsidRDefault="00CE7C14" w:rsidP="00E45619">
            <w:r>
              <w:t>10 mg, 50 mg and 100 mg</w:t>
            </w:r>
          </w:p>
        </w:tc>
      </w:tr>
      <w:tr w:rsidR="008E7846" w:rsidRPr="00487162" w14:paraId="3BFF1135" w14:textId="77777777" w:rsidTr="00BF1190">
        <w:tc>
          <w:tcPr>
            <w:tcW w:w="2907" w:type="dxa"/>
          </w:tcPr>
          <w:p w14:paraId="079BCA8F" w14:textId="3E06AD36" w:rsidR="008E7846" w:rsidRPr="00487162" w:rsidRDefault="008E7846" w:rsidP="00B4405D">
            <w:pPr>
              <w:rPr>
                <w:i/>
              </w:rPr>
            </w:pPr>
            <w:r w:rsidRPr="00487162">
              <w:rPr>
                <w:i/>
              </w:rPr>
              <w:t>Containers:</w:t>
            </w:r>
          </w:p>
        </w:tc>
        <w:tc>
          <w:tcPr>
            <w:tcW w:w="6307" w:type="dxa"/>
          </w:tcPr>
          <w:p w14:paraId="7EB68AFD" w14:textId="36859BBE" w:rsidR="008E7846" w:rsidRPr="00487162" w:rsidRDefault="004430C8" w:rsidP="00E45619">
            <w:r>
              <w:t>Wallet</w:t>
            </w:r>
            <w:r w:rsidR="002F0139">
              <w:t xml:space="preserve"> (with blister pack)</w:t>
            </w:r>
            <w:r>
              <w:t>, b</w:t>
            </w:r>
            <w:r w:rsidR="00CE7C14">
              <w:t>lister pack</w:t>
            </w:r>
            <w:r w:rsidR="005008E1">
              <w:t xml:space="preserve"> and </w:t>
            </w:r>
            <w:r w:rsidR="00CE7C14">
              <w:t>bottle</w:t>
            </w:r>
          </w:p>
        </w:tc>
      </w:tr>
      <w:tr w:rsidR="008E7846" w:rsidRPr="00487162" w14:paraId="1957CDB7" w14:textId="77777777" w:rsidTr="00BF1190">
        <w:tc>
          <w:tcPr>
            <w:tcW w:w="2907" w:type="dxa"/>
          </w:tcPr>
          <w:p w14:paraId="4343FD7D" w14:textId="5371F3C7" w:rsidR="008E7846" w:rsidRPr="00487162" w:rsidRDefault="00B4405D" w:rsidP="00B4405D">
            <w:pPr>
              <w:rPr>
                <w:i/>
              </w:rPr>
            </w:pPr>
            <w:r>
              <w:rPr>
                <w:i/>
              </w:rPr>
              <w:t>Pack size</w:t>
            </w:r>
            <w:r w:rsidR="008E7846" w:rsidRPr="00487162">
              <w:rPr>
                <w:i/>
              </w:rPr>
              <w:t>s:</w:t>
            </w:r>
          </w:p>
        </w:tc>
        <w:tc>
          <w:tcPr>
            <w:tcW w:w="6307" w:type="dxa"/>
          </w:tcPr>
          <w:p w14:paraId="22607915" w14:textId="32BC994B" w:rsidR="00D355B3" w:rsidRDefault="00D355B3" w:rsidP="00D355B3">
            <w:r>
              <w:t>10 mg wallet: 14 tablets</w:t>
            </w:r>
          </w:p>
          <w:p w14:paraId="6A11D7D8" w14:textId="77777777" w:rsidR="008E7846" w:rsidRDefault="005008E1" w:rsidP="00E45619">
            <w:r>
              <w:t xml:space="preserve">50 mg </w:t>
            </w:r>
            <w:r w:rsidR="00D355B3">
              <w:t>wallet</w:t>
            </w:r>
            <w:r>
              <w:t>: 7 tablets</w:t>
            </w:r>
          </w:p>
          <w:p w14:paraId="499262AB" w14:textId="77777777" w:rsidR="005008E1" w:rsidRDefault="005008E1" w:rsidP="00E45619">
            <w:r>
              <w:t>100 mg bottle: 120 tablets, 180 tablets</w:t>
            </w:r>
          </w:p>
          <w:p w14:paraId="0FE014DD" w14:textId="55313C89" w:rsidR="005008E1" w:rsidRDefault="005008E1" w:rsidP="00E45619">
            <w:r>
              <w:lastRenderedPageBreak/>
              <w:t xml:space="preserve">100 mg blister pack: 7 </w:t>
            </w:r>
            <w:r w:rsidR="00D355B3">
              <w:t xml:space="preserve">tablets, </w:t>
            </w:r>
            <w:r>
              <w:t>14 tablets</w:t>
            </w:r>
            <w:r w:rsidR="00A45D5C">
              <w:t xml:space="preserve"> and 112 tablets</w:t>
            </w:r>
          </w:p>
          <w:p w14:paraId="228D147D" w14:textId="7901DA4D" w:rsidR="005008E1" w:rsidRPr="00487162" w:rsidRDefault="00D355B3" w:rsidP="00E45619">
            <w:r>
              <w:t>S</w:t>
            </w:r>
            <w:r w:rsidR="00A45D5C">
              <w:t>tarting</w:t>
            </w:r>
            <w:r>
              <w:t xml:space="preserve"> pack</w:t>
            </w:r>
            <w:r w:rsidR="00DE2083">
              <w:t xml:space="preserve"> for CLL</w:t>
            </w:r>
            <w:r>
              <w:t>: 42 tablets (14 x 10 mg, 7 x 50 mg, 7 x 100 mg, 14 x 100 mg)</w:t>
            </w:r>
          </w:p>
        </w:tc>
      </w:tr>
      <w:tr w:rsidR="008E7846" w:rsidRPr="00487162" w14:paraId="3336D5AA" w14:textId="77777777" w:rsidTr="00BF1190">
        <w:tc>
          <w:tcPr>
            <w:tcW w:w="2907" w:type="dxa"/>
          </w:tcPr>
          <w:p w14:paraId="587B91D6" w14:textId="77777777" w:rsidR="008E7846" w:rsidRPr="00487162" w:rsidRDefault="008E7846" w:rsidP="001B5C90">
            <w:pPr>
              <w:rPr>
                <w:i/>
              </w:rPr>
            </w:pPr>
            <w:r w:rsidRPr="00487162">
              <w:rPr>
                <w:i/>
              </w:rPr>
              <w:lastRenderedPageBreak/>
              <w:t xml:space="preserve">Approved </w:t>
            </w:r>
            <w:r w:rsidR="001B5C90">
              <w:rPr>
                <w:i/>
              </w:rPr>
              <w:t>t</w:t>
            </w:r>
            <w:r w:rsidRPr="00487162">
              <w:rPr>
                <w:i/>
              </w:rPr>
              <w:t>herapeutic use:</w:t>
            </w:r>
          </w:p>
        </w:tc>
        <w:tc>
          <w:tcPr>
            <w:tcW w:w="6307" w:type="dxa"/>
          </w:tcPr>
          <w:p w14:paraId="1796ACF7" w14:textId="77777777" w:rsidR="00D355B3" w:rsidRPr="00D355B3" w:rsidRDefault="00D355B3" w:rsidP="00D355B3">
            <w:pPr>
              <w:rPr>
                <w:i/>
              </w:rPr>
            </w:pPr>
            <w:r w:rsidRPr="00D355B3">
              <w:rPr>
                <w:i/>
              </w:rPr>
              <w:t>Acute Myeloid Leukaemia</w:t>
            </w:r>
          </w:p>
          <w:p w14:paraId="0A763AA1" w14:textId="67A3C72D" w:rsidR="00D355B3" w:rsidRPr="00D355B3" w:rsidRDefault="00406649" w:rsidP="00D355B3">
            <w:pPr>
              <w:rPr>
                <w:i/>
              </w:rPr>
            </w:pPr>
            <w:r>
              <w:rPr>
                <w:i/>
              </w:rPr>
              <w:t>Venclexta</w:t>
            </w:r>
            <w:r w:rsidR="00D355B3" w:rsidRPr="00D355B3">
              <w:rPr>
                <w:i/>
              </w:rPr>
              <w:t>, as part of combination therapy, is indicated for the treatment of newly diagnosed adult patients with Acute Myeloid Leukaemia (AML) who are ineligible for intensive chemotherapy.</w:t>
            </w:r>
          </w:p>
          <w:p w14:paraId="74B3DD1F" w14:textId="77777777" w:rsidR="008E7846" w:rsidRPr="00D355B3" w:rsidRDefault="00D355B3" w:rsidP="00D355B3">
            <w:pPr>
              <w:rPr>
                <w:i/>
              </w:rPr>
            </w:pPr>
            <w:r w:rsidRPr="00D355B3">
              <w:rPr>
                <w:i/>
              </w:rPr>
              <w:t>This medicine has provisional approval in Australia for t</w:t>
            </w:r>
            <w:r>
              <w:rPr>
                <w:i/>
              </w:rPr>
              <w:t xml:space="preserve">he treatment of newly diagnosed </w:t>
            </w:r>
            <w:r w:rsidRPr="00D355B3">
              <w:rPr>
                <w:i/>
              </w:rPr>
              <w:t>patients with AML who are ineligible for intensive chemot</w:t>
            </w:r>
            <w:r>
              <w:rPr>
                <w:i/>
              </w:rPr>
              <w:t xml:space="preserve">herapy. The decision to approve </w:t>
            </w:r>
            <w:r w:rsidRPr="00D355B3">
              <w:rPr>
                <w:i/>
              </w:rPr>
              <w:t>this indication has been made on the basis of interim data (ove</w:t>
            </w:r>
            <w:r>
              <w:rPr>
                <w:i/>
              </w:rPr>
              <w:t xml:space="preserve">rall response rate and duration </w:t>
            </w:r>
            <w:r w:rsidRPr="00D355B3">
              <w:rPr>
                <w:i/>
              </w:rPr>
              <w:t xml:space="preserve">of response). Continued approval of this indication depends on </w:t>
            </w:r>
            <w:r>
              <w:rPr>
                <w:i/>
              </w:rPr>
              <w:t>verification and description of benefit in confirmatory trials.</w:t>
            </w:r>
          </w:p>
        </w:tc>
      </w:tr>
      <w:tr w:rsidR="008E7846" w:rsidRPr="00487162" w14:paraId="1CF628D0" w14:textId="77777777" w:rsidTr="00BF1190">
        <w:tc>
          <w:tcPr>
            <w:tcW w:w="2907" w:type="dxa"/>
          </w:tcPr>
          <w:p w14:paraId="59AFA7B5" w14:textId="6CED1AD5" w:rsidR="008E7846" w:rsidRPr="00487162" w:rsidRDefault="00406649" w:rsidP="00406649">
            <w:pPr>
              <w:rPr>
                <w:i/>
              </w:rPr>
            </w:pPr>
            <w:r>
              <w:rPr>
                <w:i/>
              </w:rPr>
              <w:t>Route</w:t>
            </w:r>
            <w:r w:rsidR="008E7846" w:rsidRPr="00487162">
              <w:rPr>
                <w:i/>
              </w:rPr>
              <w:t xml:space="preserve"> of administration:</w:t>
            </w:r>
          </w:p>
        </w:tc>
        <w:tc>
          <w:tcPr>
            <w:tcW w:w="6307" w:type="dxa"/>
          </w:tcPr>
          <w:p w14:paraId="42C1B980" w14:textId="77777777" w:rsidR="008E7846" w:rsidRPr="00487162" w:rsidRDefault="00D355B3" w:rsidP="00E45619">
            <w:r>
              <w:t>Oral</w:t>
            </w:r>
          </w:p>
        </w:tc>
      </w:tr>
      <w:tr w:rsidR="008E7846" w:rsidRPr="00487162" w14:paraId="4D0D062F" w14:textId="77777777" w:rsidTr="00BF1190">
        <w:tc>
          <w:tcPr>
            <w:tcW w:w="2907" w:type="dxa"/>
          </w:tcPr>
          <w:p w14:paraId="2A8867B7" w14:textId="77777777" w:rsidR="008E7846" w:rsidRPr="00487162" w:rsidRDefault="008E7846" w:rsidP="00E45619">
            <w:pPr>
              <w:rPr>
                <w:i/>
              </w:rPr>
            </w:pPr>
            <w:r w:rsidRPr="00487162">
              <w:rPr>
                <w:i/>
              </w:rPr>
              <w:t>Dosage:</w:t>
            </w:r>
          </w:p>
        </w:tc>
        <w:tc>
          <w:tcPr>
            <w:tcW w:w="6307" w:type="dxa"/>
          </w:tcPr>
          <w:p w14:paraId="4C565755" w14:textId="1C805A47" w:rsidR="00B4405D" w:rsidRPr="00B4405D" w:rsidRDefault="008955D8" w:rsidP="00D355B3">
            <w:pPr>
              <w:rPr>
                <w:b/>
                <w:i/>
              </w:rPr>
            </w:pPr>
            <w:r>
              <w:rPr>
                <w:b/>
                <w:i/>
              </w:rPr>
              <w:t>Acute myeloid l</w:t>
            </w:r>
            <w:r w:rsidR="00A941C6">
              <w:rPr>
                <w:b/>
                <w:i/>
              </w:rPr>
              <w:t>eukaemia</w:t>
            </w:r>
          </w:p>
          <w:p w14:paraId="61EF8EBD" w14:textId="26B5B979" w:rsidR="00D355B3" w:rsidRDefault="00D355B3" w:rsidP="00D355B3">
            <w:r>
              <w:t xml:space="preserve">The dose of Venclexta depends upon the combination agent. </w:t>
            </w:r>
            <w:r w:rsidR="006A7AEA">
              <w:t xml:space="preserve">Initiate azacitidine or low </w:t>
            </w:r>
            <w:r w:rsidR="006A10F6">
              <w:t xml:space="preserve">dose cytarabine on Day 1. </w:t>
            </w:r>
            <w:r>
              <w:t>The Venclexta dosing schedule (includ</w:t>
            </w:r>
            <w:r w:rsidR="00335648">
              <w:t>ing ramp-up) is shown</w:t>
            </w:r>
            <w:r w:rsidR="00F5337B">
              <w:t xml:space="preserve"> below</w:t>
            </w:r>
            <w:r w:rsidR="006A10F6">
              <w:t>.</w:t>
            </w:r>
          </w:p>
          <w:p w14:paraId="78B3AADB" w14:textId="5D53FF3E" w:rsidR="001222A0" w:rsidRDefault="001222A0" w:rsidP="003450B1">
            <w:pPr>
              <w:pStyle w:val="ListBullet"/>
            </w:pPr>
            <w:r>
              <w:t>Day 1: 100 mg</w:t>
            </w:r>
          </w:p>
          <w:p w14:paraId="7A73E721" w14:textId="370BE2C2" w:rsidR="001222A0" w:rsidRDefault="001222A0" w:rsidP="003450B1">
            <w:pPr>
              <w:pStyle w:val="ListBullet"/>
            </w:pPr>
            <w:r>
              <w:t>Day 2: 200 mg</w:t>
            </w:r>
          </w:p>
          <w:p w14:paraId="5E070CFC" w14:textId="3012504E" w:rsidR="001222A0" w:rsidRDefault="001222A0" w:rsidP="003450B1">
            <w:pPr>
              <w:pStyle w:val="ListBullet"/>
            </w:pPr>
            <w:r>
              <w:t>Day 3: 400 mg</w:t>
            </w:r>
          </w:p>
          <w:p w14:paraId="695FAF2D" w14:textId="77777777" w:rsidR="004430C8" w:rsidRDefault="004430C8" w:rsidP="003450B1">
            <w:pPr>
              <w:pStyle w:val="ListBullet"/>
            </w:pPr>
            <w:r>
              <w:t>Day 4 and beyond:</w:t>
            </w:r>
          </w:p>
          <w:p w14:paraId="499F8352" w14:textId="1E27F27D" w:rsidR="001222A0" w:rsidRDefault="004430C8" w:rsidP="003450B1">
            <w:pPr>
              <w:pStyle w:val="ListBullet2"/>
            </w:pPr>
            <w:r>
              <w:t>400 mg when dosing in combination with azacitidine</w:t>
            </w:r>
          </w:p>
          <w:p w14:paraId="7D8E7AC0" w14:textId="49FD644B" w:rsidR="004430C8" w:rsidRDefault="004430C8" w:rsidP="003450B1">
            <w:pPr>
              <w:pStyle w:val="ListBullet2"/>
            </w:pPr>
            <w:r>
              <w:t>600 mg when dosing in combination with low dose cytarabine</w:t>
            </w:r>
          </w:p>
          <w:p w14:paraId="7CB6091F" w14:textId="59C56DA2" w:rsidR="00D355B3" w:rsidRDefault="00335648" w:rsidP="00335648">
            <w:r>
              <w:t>Venclexta, in combination with azacitidin</w:t>
            </w:r>
            <w:r w:rsidR="006A7AEA">
              <w:t xml:space="preserve">e or low </w:t>
            </w:r>
            <w:r>
              <w:t>dose cytarabine, should be continued until disease progression or unacceptable toxicity is observed.</w:t>
            </w:r>
          </w:p>
          <w:p w14:paraId="3E43E09F" w14:textId="1EC4449F" w:rsidR="00F2590F" w:rsidRPr="00335648" w:rsidRDefault="00F2590F" w:rsidP="00335648">
            <w:r>
              <w:t>For further information regarding dosage, refer to the Product Information.</w:t>
            </w:r>
          </w:p>
        </w:tc>
      </w:tr>
      <w:tr w:rsidR="001222A0" w:rsidRPr="00487162" w14:paraId="13FDC1A5" w14:textId="77777777" w:rsidTr="00BF1190">
        <w:tc>
          <w:tcPr>
            <w:tcW w:w="2907" w:type="dxa"/>
          </w:tcPr>
          <w:p w14:paraId="18DAE687" w14:textId="46D9D857" w:rsidR="001222A0" w:rsidRPr="00487162" w:rsidRDefault="001222A0" w:rsidP="001222A0">
            <w:pPr>
              <w:rPr>
                <w:i/>
              </w:rPr>
            </w:pPr>
            <w:r w:rsidRPr="00460036">
              <w:rPr>
                <w:i/>
              </w:rPr>
              <w:t>Pregnancy category</w:t>
            </w:r>
            <w:r>
              <w:rPr>
                <w:i/>
              </w:rPr>
              <w:t>:</w:t>
            </w:r>
          </w:p>
        </w:tc>
        <w:tc>
          <w:tcPr>
            <w:tcW w:w="6307" w:type="dxa"/>
          </w:tcPr>
          <w:p w14:paraId="2E4D5141" w14:textId="3C3A8541" w:rsidR="001222A0" w:rsidRDefault="004430C8" w:rsidP="003450B1">
            <w:r>
              <w:t>C</w:t>
            </w:r>
          </w:p>
          <w:p w14:paraId="2C16E6BB" w14:textId="1F0616B9" w:rsidR="004430C8" w:rsidRDefault="004430C8" w:rsidP="003450B1">
            <w:r w:rsidRPr="004430C8">
              <w:t>Drugs which, owing to their pharmacological effects, have caused or may be suspected of causing, harmful effects on the human fetus or neonate without causing malformations. These effects may be reversible. Accompanying texts should be consulted for further details.</w:t>
            </w:r>
          </w:p>
          <w:p w14:paraId="20CA8284" w14:textId="3F4CC077" w:rsidR="001222A0" w:rsidRDefault="001222A0" w:rsidP="001222A0">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w:t>
            </w:r>
            <w:r w:rsidR="004430C8">
              <w:t>ces in your State or Territory.</w:t>
            </w:r>
          </w:p>
        </w:tc>
      </w:tr>
    </w:tbl>
    <w:p w14:paraId="07B30B6D" w14:textId="77777777" w:rsidR="008E7846" w:rsidRDefault="008E7846" w:rsidP="008E7846">
      <w:pPr>
        <w:pStyle w:val="Heading3"/>
      </w:pPr>
      <w:bookmarkStart w:id="13" w:name="_Toc247691503"/>
      <w:bookmarkStart w:id="14" w:name="_Toc314842484"/>
      <w:bookmarkStart w:id="15" w:name="_Toc51859731"/>
      <w:r>
        <w:lastRenderedPageBreak/>
        <w:t>Product background</w:t>
      </w:r>
      <w:bookmarkEnd w:id="13"/>
      <w:bookmarkEnd w:id="14"/>
      <w:bookmarkEnd w:id="15"/>
    </w:p>
    <w:p w14:paraId="7AC9F99C" w14:textId="14D94339" w:rsidR="008E7846" w:rsidRDefault="00940A89" w:rsidP="00B51BD1">
      <w:r w:rsidRPr="00940A89">
        <w:t xml:space="preserve">This AusPAR describes the application by </w:t>
      </w:r>
      <w:r w:rsidR="00F2590F">
        <w:t>AbbVie Pty Ltd (</w:t>
      </w:r>
      <w:r w:rsidRPr="00940A89">
        <w:t>the sponsor</w:t>
      </w:r>
      <w:r w:rsidR="00F2590F">
        <w:t xml:space="preserve">) to </w:t>
      </w:r>
      <w:r w:rsidR="00DC76D1">
        <w:t xml:space="preserve">provisionally </w:t>
      </w:r>
      <w:r w:rsidR="00F2590F">
        <w:t>register Venclexta</w:t>
      </w:r>
      <w:r w:rsidRPr="00940A89">
        <w:t xml:space="preserve"> </w:t>
      </w:r>
      <w:r w:rsidR="00F2590F">
        <w:t xml:space="preserve">(venetoclax) 10 mg, 50 mg and 100 mg film coated tablet </w:t>
      </w:r>
      <w:r w:rsidRPr="00940A89">
        <w:t>f</w:t>
      </w:r>
      <w:r w:rsidR="00F2590F">
        <w:t>or the following indication proposed extension of indications:</w:t>
      </w:r>
    </w:p>
    <w:p w14:paraId="71B7BDD2" w14:textId="741757B8" w:rsidR="009A5D9B" w:rsidRDefault="00EC6B9D" w:rsidP="0033657D">
      <w:pPr>
        <w:ind w:left="720"/>
      </w:pPr>
      <w:r w:rsidRPr="00EC6B9D">
        <w:rPr>
          <w:i/>
        </w:rPr>
        <w:t>Venclexta is indicated for the treatment of newly diagnosed patients with Acute Myeloid Leukaemia (AML) who are ineligible for intensive chemotherapy.</w:t>
      </w:r>
    </w:p>
    <w:p w14:paraId="46D14F6A" w14:textId="144C387A" w:rsidR="00406649" w:rsidRDefault="00406649" w:rsidP="00B51BD1">
      <w:r>
        <w:t xml:space="preserve">Acute </w:t>
      </w:r>
      <w:r w:rsidR="00F07D54">
        <w:t>m</w:t>
      </w:r>
      <w:r>
        <w:t xml:space="preserve">yeloid </w:t>
      </w:r>
      <w:r w:rsidR="00F07D54">
        <w:t>l</w:t>
      </w:r>
      <w:r>
        <w:t>eukaemia (AML)</w:t>
      </w:r>
      <w:r w:rsidR="007A6AA5" w:rsidRPr="009C7751">
        <w:t xml:space="preserve"> is an aggressive malignancy characterised by the clonal expansion of myeloid blasts in the bone marrow, peripheral blood, and occasionally extramedullary tissues, which disrupts normal haematopoiesis.</w:t>
      </w:r>
      <w:r w:rsidR="00A45D5C">
        <w:rPr>
          <w:rStyle w:val="FootnoteReference"/>
        </w:rPr>
        <w:footnoteReference w:id="3"/>
      </w:r>
      <w:r w:rsidR="00A45D5C" w:rsidRPr="008630F2">
        <w:rPr>
          <w:vertAlign w:val="superscript"/>
        </w:rPr>
        <w:t>,</w:t>
      </w:r>
      <w:r w:rsidR="00A45D5C">
        <w:rPr>
          <w:rStyle w:val="FootnoteReference"/>
        </w:rPr>
        <w:footnoteReference w:id="4"/>
      </w:r>
      <w:r w:rsidR="007A6AA5" w:rsidRPr="009C7751">
        <w:t xml:space="preserve"> AML is a heterogeneous disease, encompassing a large number of distinctly different subtypes that may have different clinical presentations and differing responses to treatment.</w:t>
      </w:r>
      <w:r w:rsidR="007D1DC5">
        <w:rPr>
          <w:rStyle w:val="FootnoteReference"/>
        </w:rPr>
        <w:footnoteReference w:id="5"/>
      </w:r>
      <w:r w:rsidR="008630F2" w:rsidRPr="008630F2">
        <w:rPr>
          <w:vertAlign w:val="superscript"/>
        </w:rPr>
        <w:t>,</w:t>
      </w:r>
      <w:bookmarkStart w:id="16" w:name="_Ref45635230"/>
      <w:r w:rsidR="008630F2">
        <w:rPr>
          <w:rStyle w:val="FootnoteReference"/>
        </w:rPr>
        <w:footnoteReference w:id="6"/>
      </w:r>
      <w:bookmarkEnd w:id="16"/>
    </w:p>
    <w:p w14:paraId="331D3554" w14:textId="6CD05B73" w:rsidR="007A6AA5" w:rsidRPr="009C7751" w:rsidRDefault="007A6AA5" w:rsidP="00B51BD1">
      <w:r w:rsidRPr="009C7751">
        <w:t xml:space="preserve">In Australia, the median age </w:t>
      </w:r>
      <w:r>
        <w:t xml:space="preserve">at </w:t>
      </w:r>
      <w:r w:rsidRPr="009C7751">
        <w:t>diagnosis</w:t>
      </w:r>
      <w:r w:rsidR="00FD7D47">
        <w:t xml:space="preserve"> </w:t>
      </w:r>
      <w:r w:rsidR="0090741A">
        <w:t>of AML</w:t>
      </w:r>
      <w:r w:rsidRPr="009C7751">
        <w:t xml:space="preserve"> is 69 years, accord</w:t>
      </w:r>
      <w:r w:rsidR="00FC2D86">
        <w:t>ing to 2013 incidence data</w:t>
      </w:r>
      <w:r w:rsidRPr="009C7751">
        <w:t>.</w:t>
      </w:r>
      <w:r w:rsidR="0090741A">
        <w:rPr>
          <w:rStyle w:val="FootnoteReference"/>
        </w:rPr>
        <w:footnoteReference w:id="7"/>
      </w:r>
      <w:r w:rsidRPr="009C7751">
        <w:t xml:space="preserve"> AML in the elderly patient population is a biologically and clinically distinct disease with a diminished response to chemotherapy, low remission rates, short disease-free </w:t>
      </w:r>
      <w:r>
        <w:t xml:space="preserve">survival </w:t>
      </w:r>
      <w:r w:rsidRPr="009C7751">
        <w:t xml:space="preserve">and </w:t>
      </w:r>
      <w:r>
        <w:t xml:space="preserve">short </w:t>
      </w:r>
      <w:r w:rsidRPr="009C7751">
        <w:t>overall survival</w:t>
      </w:r>
      <w:r w:rsidR="009B7E11">
        <w:t xml:space="preserve"> (OS)</w:t>
      </w:r>
      <w:r w:rsidRPr="009C7751">
        <w:t>. Due to improvements in supportive care and the introduction of less i</w:t>
      </w:r>
      <w:r>
        <w:t xml:space="preserve">ntensive chemotherapy regimens </w:t>
      </w:r>
      <w:r w:rsidRPr="009C7751">
        <w:t>the 1</w:t>
      </w:r>
      <w:r w:rsidR="00FC2D86">
        <w:t xml:space="preserve"> </w:t>
      </w:r>
      <w:r w:rsidRPr="009C7751">
        <w:t>year survival rate has improved slightly over the last 30 years for patients</w:t>
      </w:r>
      <w:r>
        <w:t xml:space="preserve"> between the ages of 65 and 74, but </w:t>
      </w:r>
      <w:r w:rsidRPr="009C7751">
        <w:t>it has not changed for pat</w:t>
      </w:r>
      <w:r>
        <w:t>ients 75 years of age and older</w:t>
      </w:r>
      <w:r w:rsidRPr="009C7751">
        <w:t>.</w:t>
      </w:r>
      <w:r w:rsidR="0090741A">
        <w:rPr>
          <w:rStyle w:val="FootnoteReference"/>
        </w:rPr>
        <w:footnoteReference w:id="8"/>
      </w:r>
      <w:r w:rsidR="002F20E0" w:rsidRPr="0033657D">
        <w:rPr>
          <w:vertAlign w:val="superscript"/>
        </w:rPr>
        <w:t>,</w:t>
      </w:r>
      <w:r w:rsidR="002F20E0">
        <w:rPr>
          <w:rStyle w:val="FootnoteReference"/>
        </w:rPr>
        <w:footnoteReference w:id="9"/>
      </w:r>
    </w:p>
    <w:p w14:paraId="775B1DFA" w14:textId="61BE8E06" w:rsidR="007A6AA5" w:rsidRPr="009C7751" w:rsidRDefault="007A6AA5" w:rsidP="00B51BD1">
      <w:r w:rsidRPr="009C7751">
        <w:t>No single standard of care exists for older patients with AML. Both the National Comprehensive Cancer Network (NCCN)</w:t>
      </w:r>
      <w:r w:rsidR="00E33436">
        <w:t>;</w:t>
      </w:r>
      <w:r w:rsidR="00E33436">
        <w:rPr>
          <w:rStyle w:val="FootnoteReference"/>
        </w:rPr>
        <w:footnoteReference w:id="10"/>
      </w:r>
      <w:r w:rsidRPr="009C7751">
        <w:t xml:space="preserve"> and the European LeukaemiaNet (ELN)</w:t>
      </w:r>
      <w:r w:rsidR="00EE0984">
        <w:t>;</w:t>
      </w:r>
      <w:r w:rsidR="00EE0984">
        <w:rPr>
          <w:rStyle w:val="FootnoteReference"/>
        </w:rPr>
        <w:footnoteReference w:id="11"/>
      </w:r>
      <w:r w:rsidRPr="009C7751">
        <w:t xml:space="preserve"> recommendations for induction treatment for patients aged </w:t>
      </w:r>
      <w:r w:rsidR="008E7235">
        <w:sym w:font="Symbol" w:char="F0B3"/>
      </w:r>
      <w:r w:rsidRPr="009C7751">
        <w:t xml:space="preserve"> 60 years take into account not only the patient's chronologic age, but a</w:t>
      </w:r>
      <w:r>
        <w:t xml:space="preserve">dditional factors that impact on a </w:t>
      </w:r>
      <w:r w:rsidRPr="009C7751">
        <w:t>patient's ability to tolerate intensive chemotherapy, including performance status, high-risk factors, and any co</w:t>
      </w:r>
      <w:r>
        <w:t>-</w:t>
      </w:r>
      <w:r w:rsidRPr="009C7751">
        <w:t>morbidities.</w:t>
      </w:r>
      <w:bookmarkStart w:id="17" w:name="_Ref45638361"/>
      <w:r w:rsidR="00B44419">
        <w:rPr>
          <w:rStyle w:val="FootnoteReference"/>
          <w:rFonts w:asciiTheme="minorHAnsi" w:hAnsiTheme="minorHAnsi"/>
        </w:rPr>
        <w:footnoteReference w:id="12"/>
      </w:r>
      <w:bookmarkEnd w:id="17"/>
    </w:p>
    <w:p w14:paraId="7D99FB27" w14:textId="36930CAB" w:rsidR="007A6AA5" w:rsidRPr="009C7751" w:rsidRDefault="007A6AA5" w:rsidP="00B51BD1">
      <w:r w:rsidRPr="009C7751">
        <w:t>Treatment options for induction therapy vary in intensity and include the standard 3 + 7 regimen consisting of 3 days of an anthracycline (</w:t>
      </w:r>
      <w:r w:rsidR="00B44419">
        <w:t xml:space="preserve">for example, </w:t>
      </w:r>
      <w:r w:rsidRPr="009C7751">
        <w:t xml:space="preserve">daunorubicin, idarubicin, or mitoxantrone) combined with 7 days of cytarabine, </w:t>
      </w:r>
      <w:r w:rsidR="007F5AD0">
        <w:rPr>
          <w:rFonts w:eastAsia="TimesNewRoman" w:cs="TimesNewRoman"/>
        </w:rPr>
        <w:t>low dose</w:t>
      </w:r>
      <w:r w:rsidR="006A7AEA" w:rsidRPr="007A6AA5">
        <w:rPr>
          <w:rFonts w:eastAsia="TimesNewRoman" w:cs="TimesNewRoman"/>
        </w:rPr>
        <w:t xml:space="preserve"> cytarabine</w:t>
      </w:r>
      <w:r w:rsidR="006A7AEA" w:rsidRPr="009C7751">
        <w:t xml:space="preserve"> </w:t>
      </w:r>
      <w:r w:rsidR="006A7AEA">
        <w:t>(</w:t>
      </w:r>
      <w:r w:rsidRPr="009C7751">
        <w:t>LDAC</w:t>
      </w:r>
      <w:r w:rsidR="006A7AEA">
        <w:t>)</w:t>
      </w:r>
      <w:r w:rsidRPr="009C7751">
        <w:t xml:space="preserve">, </w:t>
      </w:r>
      <w:r w:rsidRPr="009C7751">
        <w:lastRenderedPageBreak/>
        <w:t xml:space="preserve">clofarabine, </w:t>
      </w:r>
      <w:r>
        <w:t xml:space="preserve">or </w:t>
      </w:r>
      <w:r w:rsidRPr="009C7751">
        <w:t>hypomethylating agents</w:t>
      </w:r>
      <w:r w:rsidR="00590867">
        <w:t xml:space="preserve"> (HMA</w:t>
      </w:r>
      <w:r>
        <w:t xml:space="preserve">) </w:t>
      </w:r>
      <w:r w:rsidRPr="009C7751">
        <w:t>(</w:t>
      </w:r>
      <w:r w:rsidR="00B44419">
        <w:t>for example</w:t>
      </w:r>
      <w:r w:rsidRPr="009C7751">
        <w:t>, azacitidine, and decitabine); alternatively, patients may be encouraged to participate in a clinical trial.</w:t>
      </w:r>
      <w:r w:rsidR="00B44419" w:rsidRPr="0033657D">
        <w:rPr>
          <w:vertAlign w:val="superscript"/>
        </w:rPr>
        <w:fldChar w:fldCharType="begin"/>
      </w:r>
      <w:r w:rsidR="00B44419" w:rsidRPr="0033657D">
        <w:rPr>
          <w:vertAlign w:val="superscript"/>
        </w:rPr>
        <w:instrText xml:space="preserve"> NOTEREF _Ref45635230 \h </w:instrText>
      </w:r>
      <w:r w:rsidR="00B44419">
        <w:rPr>
          <w:vertAlign w:val="superscript"/>
        </w:rPr>
        <w:instrText xml:space="preserve"> \* MERGEFORMAT </w:instrText>
      </w:r>
      <w:r w:rsidR="00B44419" w:rsidRPr="0033657D">
        <w:rPr>
          <w:vertAlign w:val="superscript"/>
        </w:rPr>
      </w:r>
      <w:r w:rsidR="00B44419" w:rsidRPr="0033657D">
        <w:rPr>
          <w:vertAlign w:val="superscript"/>
        </w:rPr>
        <w:fldChar w:fldCharType="separate"/>
      </w:r>
      <w:r w:rsidR="00247395">
        <w:rPr>
          <w:vertAlign w:val="superscript"/>
        </w:rPr>
        <w:t>6</w:t>
      </w:r>
      <w:r w:rsidR="00B44419" w:rsidRPr="0033657D">
        <w:rPr>
          <w:vertAlign w:val="superscript"/>
        </w:rPr>
        <w:fldChar w:fldCharType="end"/>
      </w:r>
      <w:r w:rsidR="00B44419" w:rsidRPr="0033657D">
        <w:rPr>
          <w:vertAlign w:val="superscript"/>
        </w:rPr>
        <w:t>,</w:t>
      </w:r>
      <w:bookmarkStart w:id="18" w:name="_Ref45636424"/>
      <w:r w:rsidR="00B44419" w:rsidRPr="00B44419">
        <w:rPr>
          <w:rStyle w:val="FootnoteReference"/>
          <w:rFonts w:asciiTheme="minorHAnsi" w:hAnsiTheme="minorHAnsi"/>
        </w:rPr>
        <w:footnoteReference w:id="13"/>
      </w:r>
      <w:bookmarkEnd w:id="18"/>
    </w:p>
    <w:p w14:paraId="1744F757" w14:textId="6B4B59D6" w:rsidR="007A6AA5" w:rsidRPr="00B51BD1" w:rsidRDefault="007A6AA5" w:rsidP="00B51BD1">
      <w:pPr>
        <w:rPr>
          <w:rFonts w:ascii="Times New Roman" w:hAnsi="Times New Roman"/>
        </w:rPr>
      </w:pPr>
      <w:r w:rsidRPr="009C7751">
        <w:t xml:space="preserve">Although standard induction therapy has a 45% to 55% response </w:t>
      </w:r>
      <w:r>
        <w:t xml:space="preserve">rate in patients aged </w:t>
      </w:r>
      <w:r w:rsidR="008E7235">
        <w:sym w:font="Symbol" w:char="F0B3"/>
      </w:r>
      <w:r w:rsidR="006A10F6">
        <w:t> </w:t>
      </w:r>
      <w:r>
        <w:t xml:space="preserve">60 years, older </w:t>
      </w:r>
      <w:r w:rsidRPr="009C7751">
        <w:t>patients experience poor long-term survival due to a high risk of relapse and treatment-related mortality.</w:t>
      </w:r>
      <w:r w:rsidR="00B4080D" w:rsidRPr="0033657D">
        <w:rPr>
          <w:vertAlign w:val="superscript"/>
        </w:rPr>
        <w:fldChar w:fldCharType="begin"/>
      </w:r>
      <w:r w:rsidR="00B4080D" w:rsidRPr="0033657D">
        <w:rPr>
          <w:vertAlign w:val="superscript"/>
        </w:rPr>
        <w:instrText xml:space="preserve"> NOTEREF _Ref45636424 \h </w:instrText>
      </w:r>
      <w:r w:rsidR="00B4080D">
        <w:rPr>
          <w:vertAlign w:val="superscript"/>
        </w:rPr>
        <w:instrText xml:space="preserve"> \* MERGEFORMAT </w:instrText>
      </w:r>
      <w:r w:rsidR="00B4080D" w:rsidRPr="0033657D">
        <w:rPr>
          <w:vertAlign w:val="superscript"/>
        </w:rPr>
      </w:r>
      <w:r w:rsidR="00B4080D" w:rsidRPr="0033657D">
        <w:rPr>
          <w:vertAlign w:val="superscript"/>
        </w:rPr>
        <w:fldChar w:fldCharType="separate"/>
      </w:r>
      <w:r w:rsidR="00247395">
        <w:rPr>
          <w:vertAlign w:val="superscript"/>
        </w:rPr>
        <w:t>13</w:t>
      </w:r>
      <w:r w:rsidR="00B4080D" w:rsidRPr="0033657D">
        <w:rPr>
          <w:vertAlign w:val="superscript"/>
        </w:rPr>
        <w:fldChar w:fldCharType="end"/>
      </w:r>
      <w:r w:rsidR="00FC2D86">
        <w:t xml:space="preserve"> Induction </w:t>
      </w:r>
      <w:r w:rsidRPr="009C7751">
        <w:t>therapy related mortality for patients 55 years of age or older has been estimated at 15% to 20%.</w:t>
      </w:r>
      <w:bookmarkStart w:id="19" w:name="_Ref45637291"/>
      <w:r w:rsidR="008345BD">
        <w:rPr>
          <w:rStyle w:val="FootnoteReference"/>
          <w:rFonts w:asciiTheme="minorHAnsi" w:hAnsiTheme="minorHAnsi"/>
        </w:rPr>
        <w:footnoteReference w:id="14"/>
      </w:r>
      <w:bookmarkEnd w:id="19"/>
      <w:r w:rsidRPr="009C7751">
        <w:t xml:space="preserve"> As a result, low-intensity treatment options </w:t>
      </w:r>
      <w:r>
        <w:t xml:space="preserve">are </w:t>
      </w:r>
      <w:r w:rsidRPr="009C7751">
        <w:t xml:space="preserve">currently recommended by NCCN guidelines for the treatment of AML in patients aged </w:t>
      </w:r>
      <w:r w:rsidR="008E7235">
        <w:sym w:font="Symbol" w:char="F0B3"/>
      </w:r>
      <w:r w:rsidRPr="009C7751">
        <w:t xml:space="preserve"> 60 years </w:t>
      </w:r>
      <w:r>
        <w:t xml:space="preserve">and </w:t>
      </w:r>
      <w:r w:rsidRPr="009C7751">
        <w:t xml:space="preserve">include </w:t>
      </w:r>
      <w:r>
        <w:t xml:space="preserve">HMA agents </w:t>
      </w:r>
      <w:r w:rsidRPr="009C7751">
        <w:t xml:space="preserve">(such as azacitidine or decitabine) and LDAC. In contrast, the ELN guidelines recommend standard induction therapy for patients aged 60 to 74 years with </w:t>
      </w:r>
      <w:r w:rsidR="006A7AEA">
        <w:t>the</w:t>
      </w:r>
      <w:r w:rsidRPr="00B51BD1">
        <w:t xml:space="preserve"> </w:t>
      </w:r>
      <w:r w:rsidR="00B51BD1" w:rsidRPr="00B51BD1">
        <w:t>Eastern Cooperative Oncology Group (ECOG)</w:t>
      </w:r>
      <w:r w:rsidR="00B51BD1" w:rsidRPr="009C7751">
        <w:t xml:space="preserve"> </w:t>
      </w:r>
      <w:r w:rsidRPr="009C7751">
        <w:t>performance status &lt; 2</w:t>
      </w:r>
      <w:r w:rsidR="009A7515">
        <w:t>;</w:t>
      </w:r>
      <w:r w:rsidR="009A7515">
        <w:rPr>
          <w:rStyle w:val="FootnoteReference"/>
          <w:rFonts w:asciiTheme="minorHAnsi" w:hAnsiTheme="minorHAnsi"/>
        </w:rPr>
        <w:footnoteReference w:id="15"/>
      </w:r>
      <w:r w:rsidRPr="009C7751">
        <w:t xml:space="preserve"> and no co</w:t>
      </w:r>
      <w:r>
        <w:t>-</w:t>
      </w:r>
      <w:r w:rsidRPr="009C7751">
        <w:t xml:space="preserve">morbidities, and LDAC for patients aged </w:t>
      </w:r>
      <w:r w:rsidR="008E7235">
        <w:sym w:font="Symbol" w:char="F0B3"/>
      </w:r>
      <w:r w:rsidR="00590867">
        <w:t> </w:t>
      </w:r>
      <w:r w:rsidRPr="009C7751">
        <w:t>75</w:t>
      </w:r>
      <w:r w:rsidR="00590867">
        <w:t> </w:t>
      </w:r>
      <w:r w:rsidRPr="009C7751">
        <w:t xml:space="preserve">years or </w:t>
      </w:r>
      <w:r w:rsidR="008E7235">
        <w:sym w:font="Symbol" w:char="F0B3"/>
      </w:r>
      <w:r w:rsidR="00590867">
        <w:t> </w:t>
      </w:r>
      <w:r w:rsidRPr="009C7751">
        <w:t xml:space="preserve">65 years with a performance status of </w:t>
      </w:r>
      <w:r w:rsidR="008E7235">
        <w:sym w:font="Symbol" w:char="F0B3"/>
      </w:r>
      <w:r w:rsidRPr="009C7751">
        <w:t xml:space="preserve"> 2, co</w:t>
      </w:r>
      <w:r>
        <w:t>-</w:t>
      </w:r>
      <w:r w:rsidRPr="009C7751">
        <w:t>mor</w:t>
      </w:r>
      <w:r>
        <w:t>bidities, or organ dysfunction</w:t>
      </w:r>
      <w:r w:rsidRPr="009C7751">
        <w:t>.</w:t>
      </w:r>
      <w:r w:rsidR="008345BD" w:rsidRPr="0033657D">
        <w:rPr>
          <w:vertAlign w:val="superscript"/>
        </w:rPr>
        <w:fldChar w:fldCharType="begin"/>
      </w:r>
      <w:r w:rsidR="008345BD" w:rsidRPr="0033657D">
        <w:rPr>
          <w:vertAlign w:val="superscript"/>
        </w:rPr>
        <w:instrText xml:space="preserve"> NOTEREF _Ref45637291 \h </w:instrText>
      </w:r>
      <w:r w:rsidR="008345BD">
        <w:rPr>
          <w:vertAlign w:val="superscript"/>
        </w:rPr>
        <w:instrText xml:space="preserve"> \* MERGEFORMAT </w:instrText>
      </w:r>
      <w:r w:rsidR="008345BD" w:rsidRPr="0033657D">
        <w:rPr>
          <w:vertAlign w:val="superscript"/>
        </w:rPr>
      </w:r>
      <w:r w:rsidR="008345BD" w:rsidRPr="0033657D">
        <w:rPr>
          <w:vertAlign w:val="superscript"/>
        </w:rPr>
        <w:fldChar w:fldCharType="separate"/>
      </w:r>
      <w:r w:rsidR="00247395">
        <w:rPr>
          <w:vertAlign w:val="superscript"/>
        </w:rPr>
        <w:t>14</w:t>
      </w:r>
      <w:r w:rsidR="008345BD" w:rsidRPr="0033657D">
        <w:rPr>
          <w:vertAlign w:val="superscript"/>
        </w:rPr>
        <w:fldChar w:fldCharType="end"/>
      </w:r>
      <w:r w:rsidRPr="009C7751">
        <w:t xml:space="preserve"> </w:t>
      </w:r>
      <w:r w:rsidR="00EE0984">
        <w:t xml:space="preserve">The </w:t>
      </w:r>
      <w:r>
        <w:t>European Society for Medical Oncology (ESMO)</w:t>
      </w:r>
      <w:r w:rsidR="00EE0984">
        <w:t>;</w:t>
      </w:r>
      <w:r w:rsidR="00C968F2">
        <w:rPr>
          <w:rStyle w:val="FootnoteReference"/>
        </w:rPr>
        <w:footnoteReference w:id="16"/>
      </w:r>
      <w:r>
        <w:t xml:space="preserve"> guidelines recommend </w:t>
      </w:r>
      <w:r w:rsidRPr="009C7751">
        <w:t>that elderly patients and thos</w:t>
      </w:r>
      <w:r>
        <w:t xml:space="preserve">e with significant co-morbidities </w:t>
      </w:r>
      <w:r w:rsidRPr="009C7751">
        <w:t xml:space="preserve">receive </w:t>
      </w:r>
      <w:r>
        <w:t xml:space="preserve">best supportive care (BSC) or </w:t>
      </w:r>
      <w:r w:rsidRPr="009C7751">
        <w:t>palliative systemic treatment such as LDAC or a HMA.</w:t>
      </w:r>
      <w:r w:rsidR="008345BD" w:rsidRPr="0033657D">
        <w:rPr>
          <w:vertAlign w:val="superscript"/>
        </w:rPr>
        <w:fldChar w:fldCharType="begin"/>
      </w:r>
      <w:r w:rsidR="008345BD" w:rsidRPr="0033657D">
        <w:rPr>
          <w:vertAlign w:val="superscript"/>
        </w:rPr>
        <w:instrText xml:space="preserve"> NOTEREF _Ref45636424 \h </w:instrText>
      </w:r>
      <w:r w:rsidR="008345BD">
        <w:rPr>
          <w:vertAlign w:val="superscript"/>
        </w:rPr>
        <w:instrText xml:space="preserve"> \* MERGEFORMAT </w:instrText>
      </w:r>
      <w:r w:rsidR="008345BD" w:rsidRPr="0033657D">
        <w:rPr>
          <w:vertAlign w:val="superscript"/>
        </w:rPr>
      </w:r>
      <w:r w:rsidR="008345BD" w:rsidRPr="0033657D">
        <w:rPr>
          <w:vertAlign w:val="superscript"/>
        </w:rPr>
        <w:fldChar w:fldCharType="separate"/>
      </w:r>
      <w:r w:rsidR="00247395">
        <w:rPr>
          <w:vertAlign w:val="superscript"/>
        </w:rPr>
        <w:t>13</w:t>
      </w:r>
      <w:r w:rsidR="008345BD" w:rsidRPr="0033657D">
        <w:rPr>
          <w:vertAlign w:val="superscript"/>
        </w:rPr>
        <w:fldChar w:fldCharType="end"/>
      </w:r>
      <w:r w:rsidRPr="009C7751">
        <w:t xml:space="preserve"> Notably, ESMO and NCCN guidelines are endorsed by the National Cancer Expert Reference Group, Cancer Australia and Cancer Council Australi</w:t>
      </w:r>
      <w:r w:rsidR="0090723A">
        <w:t>a</w:t>
      </w:r>
      <w:r w:rsidRPr="009C7751">
        <w:t>.</w:t>
      </w:r>
      <w:r w:rsidR="008345BD">
        <w:rPr>
          <w:rStyle w:val="FootnoteReference"/>
          <w:rFonts w:asciiTheme="minorHAnsi" w:hAnsiTheme="minorHAnsi"/>
        </w:rPr>
        <w:footnoteReference w:id="17"/>
      </w:r>
      <w:r w:rsidR="008345BD" w:rsidRPr="0033657D">
        <w:rPr>
          <w:vertAlign w:val="superscript"/>
        </w:rPr>
        <w:t>,</w:t>
      </w:r>
      <w:r w:rsidR="008345BD">
        <w:rPr>
          <w:rStyle w:val="FootnoteReference"/>
          <w:rFonts w:asciiTheme="minorHAnsi" w:hAnsiTheme="minorHAnsi"/>
        </w:rPr>
        <w:footnoteReference w:id="18"/>
      </w:r>
      <w:r w:rsidR="0090723A">
        <w:rPr>
          <w:vertAlign w:val="superscript"/>
        </w:rPr>
        <w:t>,</w:t>
      </w:r>
      <w:r w:rsidR="0090723A">
        <w:rPr>
          <w:rStyle w:val="FootnoteReference"/>
          <w:rFonts w:asciiTheme="minorHAnsi" w:hAnsiTheme="minorHAnsi"/>
        </w:rPr>
        <w:footnoteReference w:id="19"/>
      </w:r>
    </w:p>
    <w:p w14:paraId="3D7FD4BC" w14:textId="2EDCB292" w:rsidR="007A6AA5" w:rsidRPr="00A941C6" w:rsidRDefault="007A6AA5" w:rsidP="00B51BD1">
      <w:pPr>
        <w:rPr>
          <w:rFonts w:eastAsiaTheme="minorHAnsi"/>
        </w:rPr>
      </w:pPr>
      <w:r w:rsidRPr="009C7751">
        <w:t xml:space="preserve">In Australia, </w:t>
      </w:r>
      <w:r>
        <w:t>in addition to BSC</w:t>
      </w:r>
      <w:r w:rsidR="00C37195">
        <w:t>,</w:t>
      </w:r>
      <w:r>
        <w:t xml:space="preserve"> </w:t>
      </w:r>
      <w:r w:rsidRPr="009C7751">
        <w:t>two treatment pathways are available for</w:t>
      </w:r>
      <w:r>
        <w:t xml:space="preserve"> </w:t>
      </w:r>
      <w:r w:rsidRPr="009C7751">
        <w:t>patients</w:t>
      </w:r>
      <w:r>
        <w:t xml:space="preserve"> </w:t>
      </w:r>
      <w:r w:rsidRPr="009C7751">
        <w:t>ineligible for intensive chemotherapy, namely azacitidine and LDAC. Azacitidine is registered for the</w:t>
      </w:r>
      <w:r w:rsidRPr="009C7751">
        <w:rPr>
          <w:rFonts w:eastAsiaTheme="minorHAnsi"/>
        </w:rPr>
        <w:t xml:space="preserve"> treatment of patients with AML with 20</w:t>
      </w:r>
      <w:r w:rsidR="0090723A">
        <w:rPr>
          <w:rFonts w:eastAsiaTheme="minorHAnsi"/>
        </w:rPr>
        <w:t xml:space="preserve"> to </w:t>
      </w:r>
      <w:r w:rsidRPr="009C7751">
        <w:rPr>
          <w:rFonts w:eastAsiaTheme="minorHAnsi"/>
        </w:rPr>
        <w:t xml:space="preserve">30% blasts and multi-lineage dysplasia (according to World Health Organization </w:t>
      </w:r>
      <w:r w:rsidR="0090723A">
        <w:rPr>
          <w:rFonts w:eastAsiaTheme="minorHAnsi"/>
        </w:rPr>
        <w:t>(</w:t>
      </w:r>
      <w:r w:rsidRPr="009C7751">
        <w:rPr>
          <w:rFonts w:eastAsiaTheme="minorHAnsi"/>
        </w:rPr>
        <w:t>WHO</w:t>
      </w:r>
      <w:r w:rsidR="0090723A">
        <w:rPr>
          <w:rFonts w:eastAsiaTheme="minorHAnsi"/>
        </w:rPr>
        <w:t>)</w:t>
      </w:r>
      <w:r w:rsidRPr="009C7751">
        <w:rPr>
          <w:rFonts w:eastAsiaTheme="minorHAnsi"/>
        </w:rPr>
        <w:t xml:space="preserve"> Classification), in whom allogeneic stem cell transplantation is not indicated.</w:t>
      </w:r>
      <w:r w:rsidR="00C23B8B">
        <w:rPr>
          <w:rStyle w:val="FootnoteReference"/>
          <w:rFonts w:asciiTheme="minorHAnsi" w:eastAsiaTheme="minorHAnsi" w:hAnsiTheme="minorHAnsi"/>
        </w:rPr>
        <w:footnoteReference w:id="20"/>
      </w:r>
      <w:r w:rsidRPr="009C7751">
        <w:rPr>
          <w:rFonts w:eastAsiaTheme="minorHAnsi"/>
        </w:rPr>
        <w:t xml:space="preserve"> Cytarabine is also registered for the treatment of AML, either as monotherapy or in combination with other antineoplastic agents, and is administered in low doses.</w:t>
      </w:r>
      <w:r w:rsidR="00C23B8B">
        <w:rPr>
          <w:rStyle w:val="FootnoteReference"/>
          <w:rFonts w:asciiTheme="minorHAnsi" w:eastAsiaTheme="minorHAnsi" w:hAnsiTheme="minorHAnsi"/>
        </w:rPr>
        <w:footnoteReference w:id="21"/>
      </w:r>
    </w:p>
    <w:p w14:paraId="250AB0B5" w14:textId="74C6FBDB" w:rsidR="007C1D96" w:rsidRDefault="007C1D96" w:rsidP="00B51BD1">
      <w:r>
        <w:t>Venetoclax is a small molecule inhibitor of B-</w:t>
      </w:r>
      <w:r w:rsidR="00143E7E">
        <w:t>c</w:t>
      </w:r>
      <w:r>
        <w:t xml:space="preserve">ell lymphoma 2 (BCL-2), a molecule which suppresses apoptosis in </w:t>
      </w:r>
      <w:r w:rsidR="00184A3D">
        <w:t>haematologic</w:t>
      </w:r>
      <w:r>
        <w:t xml:space="preserve"> cells. </w:t>
      </w:r>
      <w:r w:rsidR="000414A8">
        <w:t xml:space="preserve">Venetoclax helps restore the process of apoptosis by binding directly to the BCL-2 protein, displacing pro-apoptotic proteins like </w:t>
      </w:r>
      <w:r w:rsidR="00590867" w:rsidRPr="00590867">
        <w:t>B</w:t>
      </w:r>
      <w:r w:rsidR="00C968F2">
        <w:t xml:space="preserve">-cell lymphoma </w:t>
      </w:r>
      <w:r w:rsidR="00590867" w:rsidRPr="00590867">
        <w:t>interacting mediator of cell death</w:t>
      </w:r>
      <w:r w:rsidR="00590867">
        <w:t xml:space="preserve"> (</w:t>
      </w:r>
      <w:r w:rsidR="000414A8">
        <w:t>BIM</w:t>
      </w:r>
      <w:r w:rsidR="00590867">
        <w:t>)</w:t>
      </w:r>
      <w:r w:rsidR="000414A8">
        <w:t>, triggering mitochondrial outer membrane permeabilisation, the release of cytochrome</w:t>
      </w:r>
      <w:r w:rsidR="00C968F2">
        <w:t> </w:t>
      </w:r>
      <w:r w:rsidR="000414A8">
        <w:rPr>
          <w:i/>
        </w:rPr>
        <w:t xml:space="preserve">c </w:t>
      </w:r>
      <w:r w:rsidR="000414A8">
        <w:t>from mitochondria and the activation of caspases.</w:t>
      </w:r>
    </w:p>
    <w:p w14:paraId="36333817" w14:textId="0AAB1712" w:rsidR="00325641" w:rsidRDefault="00325641" w:rsidP="00940A89">
      <w:r w:rsidRPr="00325641">
        <w:lastRenderedPageBreak/>
        <w:t>The current submissions seek to extend the indications to i</w:t>
      </w:r>
      <w:r w:rsidR="00143E7E">
        <w:t>nclude AML</w:t>
      </w:r>
      <w:r w:rsidRPr="00325641">
        <w:t xml:space="preserve"> in combination therapy with low dose cytarabine (</w:t>
      </w:r>
      <w:r w:rsidR="00C968F2">
        <w:t xml:space="preserve">submission </w:t>
      </w:r>
      <w:r w:rsidRPr="00325641">
        <w:t>PM-2018-05208-1-6) and in combination therapy with azacitidine (</w:t>
      </w:r>
      <w:r w:rsidR="00C968F2">
        <w:t xml:space="preserve">submission </w:t>
      </w:r>
      <w:r w:rsidRPr="00325641">
        <w:t>PM-2019-04393-1-6) through the provisional approval pathway.</w:t>
      </w:r>
    </w:p>
    <w:p w14:paraId="65FBA790" w14:textId="77777777" w:rsidR="008E7846" w:rsidRPr="003F31A2" w:rsidRDefault="00386150" w:rsidP="008E7846">
      <w:pPr>
        <w:pStyle w:val="Heading3"/>
      </w:pPr>
      <w:bookmarkStart w:id="20" w:name="_Toc314842485"/>
      <w:bookmarkStart w:id="21" w:name="_Toc247691504"/>
      <w:bookmarkStart w:id="22" w:name="_Toc51859732"/>
      <w:r>
        <w:t>Regulatory s</w:t>
      </w:r>
      <w:r w:rsidR="008E7846">
        <w:t>tatus</w:t>
      </w:r>
      <w:bookmarkEnd w:id="20"/>
      <w:bookmarkEnd w:id="21"/>
      <w:bookmarkEnd w:id="22"/>
    </w:p>
    <w:p w14:paraId="02583E05" w14:textId="5B3EA268" w:rsidR="00940A89" w:rsidRDefault="009E0C9C" w:rsidP="00940A89">
      <w:bookmarkStart w:id="23" w:name="_Toc247691505"/>
      <w:bookmarkStart w:id="24" w:name="_Toc314842486"/>
      <w:r>
        <w:t>Venclexta</w:t>
      </w:r>
      <w:r w:rsidR="00940A89" w:rsidRPr="00940A89">
        <w:t xml:space="preserve"> received initial registration on the Australian Register</w:t>
      </w:r>
      <w:r w:rsidR="007279FF">
        <w:t xml:space="preserve"> of Therapeutic</w:t>
      </w:r>
      <w:r>
        <w:t xml:space="preserve"> Goods (ARTG) on 5 January 2017 for the following indication:</w:t>
      </w:r>
    </w:p>
    <w:p w14:paraId="0FE63F9A" w14:textId="77777777" w:rsidR="00A90864" w:rsidRPr="00D04EDA" w:rsidRDefault="009E0C9C" w:rsidP="00D04EDA">
      <w:pPr>
        <w:ind w:left="360"/>
        <w:rPr>
          <w:i/>
        </w:rPr>
      </w:pPr>
      <w:r w:rsidRPr="00D04EDA">
        <w:rPr>
          <w:i/>
        </w:rPr>
        <w:t>Venclexta is in</w:t>
      </w:r>
      <w:r w:rsidR="00A90864" w:rsidRPr="00D04EDA">
        <w:rPr>
          <w:i/>
        </w:rPr>
        <w:t>dicated for the treatment of:</w:t>
      </w:r>
    </w:p>
    <w:p w14:paraId="71CED906" w14:textId="33600A20" w:rsidR="00A90864" w:rsidRPr="00D04EDA" w:rsidRDefault="009E0C9C" w:rsidP="00D04EDA">
      <w:pPr>
        <w:pStyle w:val="ListBullet"/>
        <w:ind w:left="720"/>
        <w:rPr>
          <w:i/>
        </w:rPr>
      </w:pPr>
      <w:r w:rsidRPr="00D04EDA">
        <w:rPr>
          <w:i/>
        </w:rPr>
        <w:t>patients with relapsed or refractory chronic lymphocytic leukaem</w:t>
      </w:r>
      <w:r w:rsidR="00A90864" w:rsidRPr="00D04EDA">
        <w:rPr>
          <w:i/>
        </w:rPr>
        <w:t>ia (CLL) with 17p deletion, or</w:t>
      </w:r>
    </w:p>
    <w:p w14:paraId="1C6EC398" w14:textId="6C96D74F" w:rsidR="00A90864" w:rsidRPr="00D04EDA" w:rsidRDefault="009E0C9C" w:rsidP="00D04EDA">
      <w:pPr>
        <w:pStyle w:val="ListBullet"/>
        <w:ind w:left="720"/>
        <w:rPr>
          <w:i/>
        </w:rPr>
      </w:pPr>
      <w:r w:rsidRPr="00D04EDA">
        <w:rPr>
          <w:i/>
        </w:rPr>
        <w:t>patients with relapsed or refractory CLL for whom there are no ot</w:t>
      </w:r>
      <w:r w:rsidR="00A90864" w:rsidRPr="00D04EDA">
        <w:rPr>
          <w:i/>
        </w:rPr>
        <w:t>her suitable treatment options.</w:t>
      </w:r>
    </w:p>
    <w:p w14:paraId="0CE9443B" w14:textId="2DA1B2F5" w:rsidR="009E0C9C" w:rsidRPr="00D04EDA" w:rsidRDefault="009E0C9C" w:rsidP="00D04EDA">
      <w:pPr>
        <w:ind w:left="360"/>
        <w:rPr>
          <w:i/>
        </w:rPr>
      </w:pPr>
      <w:r w:rsidRPr="00D04EDA">
        <w:rPr>
          <w:i/>
        </w:rPr>
        <w:t xml:space="preserve">Note to indications. The indications are approved based on overall response rates. </w:t>
      </w:r>
      <w:r w:rsidR="00A90864" w:rsidRPr="00D04EDA">
        <w:rPr>
          <w:i/>
        </w:rPr>
        <w:t>Duration of response and improvements in overall survival, progression-free survival or health-related quality of life have not been established.</w:t>
      </w:r>
    </w:p>
    <w:p w14:paraId="41A0014E" w14:textId="77777777" w:rsidR="00874A34" w:rsidRDefault="009E0C9C" w:rsidP="00874A34">
      <w:r>
        <w:t xml:space="preserve">The TGA approved an extension of indication for Venclexta on </w:t>
      </w:r>
      <w:r w:rsidR="00A90864">
        <w:t>8 October 2018</w:t>
      </w:r>
      <w:r>
        <w:t>, for the following indication:</w:t>
      </w:r>
    </w:p>
    <w:p w14:paraId="07FAF646" w14:textId="24C8ACF5" w:rsidR="00A90864" w:rsidRPr="00874A34" w:rsidRDefault="00A90864" w:rsidP="00874A34">
      <w:pPr>
        <w:ind w:left="720"/>
      </w:pPr>
      <w:r w:rsidRPr="00D04EDA">
        <w:rPr>
          <w:i/>
        </w:rPr>
        <w:t>Venclexta in combination with rituximab is indicated for the treatment of adult patients with chronic lymphocytic leukaemia (CLL) who have received at least one prior therapy.</w:t>
      </w:r>
    </w:p>
    <w:p w14:paraId="20ABFEF7" w14:textId="1FE42431" w:rsidR="003B5258" w:rsidRDefault="00940A89" w:rsidP="00A90864">
      <w:r w:rsidRPr="00940A89">
        <w:t xml:space="preserve">At the time the TGA considered this application, a similar application had been </w:t>
      </w:r>
      <w:r w:rsidR="00C37195">
        <w:t>granted accelerated approval</w:t>
      </w:r>
      <w:r w:rsidR="008E1E45">
        <w:t>;</w:t>
      </w:r>
      <w:r w:rsidR="00C37195">
        <w:rPr>
          <w:rStyle w:val="FootnoteReference"/>
        </w:rPr>
        <w:footnoteReference w:id="22"/>
      </w:r>
      <w:r w:rsidRPr="00940A89">
        <w:t xml:space="preserve"> </w:t>
      </w:r>
      <w:r w:rsidR="0012225C">
        <w:t xml:space="preserve">for the treatment of </w:t>
      </w:r>
      <w:r w:rsidR="0033657D">
        <w:t>AML</w:t>
      </w:r>
      <w:r w:rsidR="003B5258">
        <w:t xml:space="preserve"> </w:t>
      </w:r>
      <w:r w:rsidR="0033657D">
        <w:t>by</w:t>
      </w:r>
      <w:r w:rsidR="003B5258">
        <w:t xml:space="preserve"> the United States </w:t>
      </w:r>
      <w:r w:rsidR="0033657D">
        <w:t>(US) Food and Drug Administration (FDA) (approved on</w:t>
      </w:r>
      <w:r w:rsidR="003B5258">
        <w:t xml:space="preserve"> 21 November 2018). The </w:t>
      </w:r>
      <w:r w:rsidR="0033657D">
        <w:t>current indications</w:t>
      </w:r>
      <w:r w:rsidR="00A931E4">
        <w:t xml:space="preserve"> in </w:t>
      </w:r>
      <w:r w:rsidR="00C37195">
        <w:t xml:space="preserve">the </w:t>
      </w:r>
      <w:r w:rsidR="00A931E4">
        <w:t>US</w:t>
      </w:r>
      <w:r w:rsidR="0033657D">
        <w:t xml:space="preserve"> are</w:t>
      </w:r>
      <w:r w:rsidR="003B5258">
        <w:t>:</w:t>
      </w:r>
    </w:p>
    <w:p w14:paraId="1A54B9E9" w14:textId="420B435A" w:rsidR="003B5258" w:rsidRPr="0033657D" w:rsidRDefault="003B5258" w:rsidP="0033657D">
      <w:pPr>
        <w:ind w:left="360"/>
        <w:rPr>
          <w:i/>
        </w:rPr>
      </w:pPr>
      <w:r w:rsidRPr="0033657D">
        <w:rPr>
          <w:i/>
        </w:rPr>
        <w:t>Venclexta is a BCL-2 inhibitor indicated:</w:t>
      </w:r>
    </w:p>
    <w:p w14:paraId="3F6CE434" w14:textId="77777777" w:rsidR="003B5258" w:rsidRPr="0033657D" w:rsidRDefault="003B5258" w:rsidP="0033657D">
      <w:pPr>
        <w:pStyle w:val="ListBullet"/>
        <w:ind w:left="720"/>
        <w:rPr>
          <w:i/>
        </w:rPr>
      </w:pPr>
      <w:r w:rsidRPr="0033657D">
        <w:rPr>
          <w:i/>
        </w:rPr>
        <w:t>For the treatment of adult patients with chronic lymphocytic leukemia (CLL) or small lymphocytic lymphoma (SLL).</w:t>
      </w:r>
    </w:p>
    <w:p w14:paraId="4F7B8072" w14:textId="77777777" w:rsidR="003B5258" w:rsidRPr="0033657D" w:rsidRDefault="003B5258" w:rsidP="0033657D">
      <w:pPr>
        <w:pStyle w:val="ListBullet"/>
        <w:ind w:left="720"/>
        <w:rPr>
          <w:i/>
        </w:rPr>
      </w:pPr>
      <w:r w:rsidRPr="0033657D">
        <w:rPr>
          <w:i/>
        </w:rPr>
        <w:t>In combination with azacitidine or decitabine or low-dose cytarabine for the treatment of newly-diagnosed acute myeloid leukemia (AML) in adults who are age 75 years or older, or who have comorbidities that preclude use of intensive induction chemotherapy. This indication is approved under accelerated approval based on response rates. Continued approval for this indication may be contingent upon verification and description of clinical benefit in confirmatory trials.</w:t>
      </w:r>
    </w:p>
    <w:p w14:paraId="1D4FEA62" w14:textId="657347D3" w:rsidR="008E7846" w:rsidRDefault="008E7846" w:rsidP="00940A89">
      <w:pPr>
        <w:pStyle w:val="Heading3"/>
      </w:pPr>
      <w:bookmarkStart w:id="25" w:name="_Toc51859733"/>
      <w:r>
        <w:t>Product Information</w:t>
      </w:r>
      <w:bookmarkEnd w:id="23"/>
      <w:bookmarkEnd w:id="24"/>
      <w:bookmarkEnd w:id="25"/>
    </w:p>
    <w:p w14:paraId="1DDF7484" w14:textId="2E1EB669" w:rsidR="00940A89" w:rsidRDefault="006136D7" w:rsidP="00940A89">
      <w:bookmarkStart w:id="26" w:name="_Toc247691506"/>
      <w:bookmarkStart w:id="27"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2085A74C" w14:textId="2DDDECEE" w:rsidR="00500337" w:rsidRDefault="0012225C" w:rsidP="00500337">
      <w:pPr>
        <w:pStyle w:val="Heading2"/>
      </w:pPr>
      <w:bookmarkStart w:id="28" w:name="_Toc504480011"/>
      <w:bookmarkStart w:id="29" w:name="_Toc51859734"/>
      <w:r>
        <w:lastRenderedPageBreak/>
        <w:t>II. Registration time</w:t>
      </w:r>
      <w:r w:rsidR="00500337">
        <w:t>line</w:t>
      </w:r>
      <w:bookmarkEnd w:id="28"/>
      <w:bookmarkEnd w:id="29"/>
    </w:p>
    <w:p w14:paraId="426FE30E" w14:textId="21EC8149" w:rsidR="00500337" w:rsidRDefault="00500337" w:rsidP="00500337">
      <w:r>
        <w:t>The following table</w:t>
      </w:r>
      <w:r w:rsidR="00493C06">
        <w:t>s</w:t>
      </w:r>
      <w:r>
        <w:t xml:space="preserve"> captures the key steps and dates for this application and which are detailed and discussed </w:t>
      </w:r>
      <w:r w:rsidR="0012225C">
        <w:t>in this AusPAR.</w:t>
      </w:r>
    </w:p>
    <w:p w14:paraId="5443BBBD" w14:textId="3613AE03" w:rsidR="002376B8" w:rsidRPr="006A58A8" w:rsidRDefault="002376B8" w:rsidP="002376B8">
      <w:pPr>
        <w:pStyle w:val="TableTitle"/>
      </w:pPr>
      <w:r>
        <w:t xml:space="preserve">Table </w:t>
      </w:r>
      <w:fldSimple w:instr=" SEQ Table \* ARABIC ">
        <w:r w:rsidR="00247395">
          <w:rPr>
            <w:noProof/>
          </w:rPr>
          <w:t>1</w:t>
        </w:r>
      </w:fldSimple>
      <w:r>
        <w:t xml:space="preserve">: </w:t>
      </w:r>
      <w:r w:rsidRPr="006A58A8">
        <w:t xml:space="preserve">Timeline </w:t>
      </w:r>
      <w:r>
        <w:t>for Submission PM-2018-05208</w:t>
      </w:r>
      <w:r w:rsidRPr="003E3702">
        <w:t>-1-6</w:t>
      </w:r>
    </w:p>
    <w:tbl>
      <w:tblPr>
        <w:tblStyle w:val="TableTGAblue"/>
        <w:tblW w:w="0" w:type="auto"/>
        <w:tblLook w:val="04A0" w:firstRow="1" w:lastRow="0" w:firstColumn="1" w:lastColumn="0" w:noHBand="0" w:noVBand="1"/>
      </w:tblPr>
      <w:tblGrid>
        <w:gridCol w:w="5920"/>
        <w:gridCol w:w="2800"/>
      </w:tblGrid>
      <w:tr w:rsidR="002376B8" w14:paraId="7A4AFA6A" w14:textId="77777777" w:rsidTr="008E7235">
        <w:trPr>
          <w:cnfStyle w:val="100000000000" w:firstRow="1" w:lastRow="0" w:firstColumn="0" w:lastColumn="0" w:oddVBand="0" w:evenVBand="0" w:oddHBand="0" w:evenHBand="0" w:firstRowFirstColumn="0" w:firstRowLastColumn="0" w:lastRowFirstColumn="0" w:lastRowLastColumn="0"/>
          <w:cantSplit/>
        </w:trPr>
        <w:tc>
          <w:tcPr>
            <w:tcW w:w="5920" w:type="dxa"/>
          </w:tcPr>
          <w:p w14:paraId="45863008" w14:textId="77777777" w:rsidR="002376B8" w:rsidRDefault="002376B8" w:rsidP="003450B1">
            <w:pPr>
              <w:ind w:left="0" w:right="0"/>
            </w:pPr>
            <w:r>
              <w:t>Description</w:t>
            </w:r>
          </w:p>
        </w:tc>
        <w:tc>
          <w:tcPr>
            <w:tcW w:w="2800" w:type="dxa"/>
          </w:tcPr>
          <w:p w14:paraId="47ED6BBD" w14:textId="77777777" w:rsidR="002376B8" w:rsidRDefault="002376B8" w:rsidP="003450B1">
            <w:pPr>
              <w:ind w:left="0" w:right="0"/>
            </w:pPr>
            <w:r>
              <w:t>Date</w:t>
            </w:r>
          </w:p>
        </w:tc>
      </w:tr>
      <w:tr w:rsidR="002376B8" w14:paraId="652EC69C" w14:textId="77777777" w:rsidTr="008E7235">
        <w:tc>
          <w:tcPr>
            <w:tcW w:w="5920" w:type="dxa"/>
          </w:tcPr>
          <w:p w14:paraId="29759CA9" w14:textId="0BB19802" w:rsidR="002376B8" w:rsidRDefault="002376B8" w:rsidP="00D46C2C">
            <w:pPr>
              <w:ind w:left="0" w:right="0"/>
            </w:pPr>
            <w:r>
              <w:t>Designation (Orphan</w:t>
            </w:r>
            <w:r w:rsidR="00D46C2C">
              <w:t>;</w:t>
            </w:r>
            <w:r w:rsidR="00D46C2C">
              <w:rPr>
                <w:rStyle w:val="FootnoteReference"/>
              </w:rPr>
              <w:footnoteReference w:id="23"/>
            </w:r>
            <w:r>
              <w:t xml:space="preserve"> and Provisional)</w:t>
            </w:r>
          </w:p>
        </w:tc>
        <w:tc>
          <w:tcPr>
            <w:tcW w:w="2800" w:type="dxa"/>
          </w:tcPr>
          <w:p w14:paraId="2007C574" w14:textId="77777777" w:rsidR="002376B8" w:rsidRDefault="002376B8" w:rsidP="003450B1">
            <w:pPr>
              <w:ind w:left="0" w:right="0"/>
            </w:pPr>
            <w:r>
              <w:t>29 October 2018</w:t>
            </w:r>
          </w:p>
        </w:tc>
      </w:tr>
      <w:tr w:rsidR="002376B8" w14:paraId="7EC5B344" w14:textId="77777777" w:rsidTr="008E7235">
        <w:tc>
          <w:tcPr>
            <w:tcW w:w="5920" w:type="dxa"/>
          </w:tcPr>
          <w:p w14:paraId="4E8635D9" w14:textId="77777777" w:rsidR="002376B8" w:rsidRDefault="002376B8" w:rsidP="003450B1">
            <w:pPr>
              <w:ind w:left="0" w:right="0"/>
            </w:pPr>
            <w:r>
              <w:t>Submission dossier accepted and first round evaluation commenced</w:t>
            </w:r>
          </w:p>
        </w:tc>
        <w:tc>
          <w:tcPr>
            <w:tcW w:w="2800" w:type="dxa"/>
          </w:tcPr>
          <w:p w14:paraId="0DCCA43F" w14:textId="05A7982F" w:rsidR="002376B8" w:rsidRDefault="002376B8" w:rsidP="002376B8">
            <w:pPr>
              <w:ind w:left="0" w:right="0"/>
            </w:pPr>
            <w:r>
              <w:t>31 January 2019</w:t>
            </w:r>
          </w:p>
        </w:tc>
      </w:tr>
      <w:tr w:rsidR="002376B8" w14:paraId="3879EF5F" w14:textId="77777777" w:rsidTr="008E7235">
        <w:tc>
          <w:tcPr>
            <w:tcW w:w="5920" w:type="dxa"/>
          </w:tcPr>
          <w:p w14:paraId="017B2241" w14:textId="77777777" w:rsidR="002376B8" w:rsidRDefault="002376B8" w:rsidP="003450B1">
            <w:pPr>
              <w:ind w:left="0" w:right="0"/>
            </w:pPr>
            <w:r>
              <w:t>First round evaluation completed</w:t>
            </w:r>
          </w:p>
        </w:tc>
        <w:tc>
          <w:tcPr>
            <w:tcW w:w="2800" w:type="dxa"/>
          </w:tcPr>
          <w:p w14:paraId="6BDDD67A" w14:textId="77777777" w:rsidR="002376B8" w:rsidRDefault="002376B8" w:rsidP="003450B1">
            <w:pPr>
              <w:ind w:left="0" w:right="0"/>
            </w:pPr>
            <w:r>
              <w:t>1 July 2019</w:t>
            </w:r>
          </w:p>
        </w:tc>
      </w:tr>
      <w:tr w:rsidR="002376B8" w14:paraId="4958F0B9" w14:textId="77777777" w:rsidTr="008E7235">
        <w:tc>
          <w:tcPr>
            <w:tcW w:w="5920" w:type="dxa"/>
          </w:tcPr>
          <w:p w14:paraId="38E0E7DA" w14:textId="77777777" w:rsidR="002376B8" w:rsidRDefault="002376B8" w:rsidP="008E7235">
            <w:pPr>
              <w:ind w:left="0"/>
            </w:pPr>
            <w:r>
              <w:t>Sponsor provides responses on questions raised in first round evaluation</w:t>
            </w:r>
          </w:p>
        </w:tc>
        <w:tc>
          <w:tcPr>
            <w:tcW w:w="2800" w:type="dxa"/>
          </w:tcPr>
          <w:p w14:paraId="272B75F5" w14:textId="77777777" w:rsidR="002376B8" w:rsidRDefault="002376B8" w:rsidP="00D46C2C">
            <w:pPr>
              <w:keepNext/>
              <w:ind w:left="0" w:right="0"/>
            </w:pPr>
            <w:r>
              <w:t>30 July 2019</w:t>
            </w:r>
          </w:p>
        </w:tc>
      </w:tr>
      <w:tr w:rsidR="002376B8" w14:paraId="7E20DB45" w14:textId="77777777" w:rsidTr="008E7235">
        <w:tc>
          <w:tcPr>
            <w:tcW w:w="5920" w:type="dxa"/>
          </w:tcPr>
          <w:p w14:paraId="7417D64D" w14:textId="77777777" w:rsidR="002376B8" w:rsidRDefault="002376B8" w:rsidP="003450B1">
            <w:pPr>
              <w:ind w:left="0" w:right="0"/>
            </w:pPr>
            <w:r>
              <w:t>Second round evaluation completed</w:t>
            </w:r>
          </w:p>
        </w:tc>
        <w:tc>
          <w:tcPr>
            <w:tcW w:w="2800" w:type="dxa"/>
          </w:tcPr>
          <w:p w14:paraId="518533CB" w14:textId="77777777" w:rsidR="002376B8" w:rsidRDefault="002376B8" w:rsidP="003450B1">
            <w:pPr>
              <w:ind w:left="0" w:right="0"/>
            </w:pPr>
            <w:r>
              <w:t>11 September 2019</w:t>
            </w:r>
          </w:p>
        </w:tc>
      </w:tr>
      <w:tr w:rsidR="002376B8" w14:paraId="1ABB9204" w14:textId="77777777" w:rsidTr="008E7235">
        <w:tc>
          <w:tcPr>
            <w:tcW w:w="5920" w:type="dxa"/>
          </w:tcPr>
          <w:p w14:paraId="4D88CED1" w14:textId="3199534A" w:rsidR="002376B8" w:rsidRDefault="002376B8" w:rsidP="00F533D7">
            <w:pPr>
              <w:ind w:left="0" w:right="0"/>
            </w:pPr>
            <w:r>
              <w:t xml:space="preserve">Delegate’s </w:t>
            </w:r>
            <w:r w:rsidR="00F533D7">
              <w:t>Overall benefit-risk assessment</w:t>
            </w:r>
          </w:p>
        </w:tc>
        <w:tc>
          <w:tcPr>
            <w:tcW w:w="2800" w:type="dxa"/>
          </w:tcPr>
          <w:p w14:paraId="1472FF5F" w14:textId="77777777" w:rsidR="002376B8" w:rsidRDefault="002376B8" w:rsidP="003450B1">
            <w:pPr>
              <w:ind w:left="0" w:right="0"/>
            </w:pPr>
            <w:r>
              <w:t>6 January 2020</w:t>
            </w:r>
          </w:p>
        </w:tc>
      </w:tr>
      <w:tr w:rsidR="002376B8" w14:paraId="3E53AFE8" w14:textId="77777777" w:rsidTr="008E7235">
        <w:tc>
          <w:tcPr>
            <w:tcW w:w="5920" w:type="dxa"/>
          </w:tcPr>
          <w:p w14:paraId="28DD6744" w14:textId="77777777" w:rsidR="002376B8" w:rsidRDefault="002376B8" w:rsidP="003450B1">
            <w:pPr>
              <w:ind w:left="0" w:right="0"/>
            </w:pPr>
            <w:r>
              <w:t>Sponsor’s pre-Advisory Committee response</w:t>
            </w:r>
          </w:p>
        </w:tc>
        <w:tc>
          <w:tcPr>
            <w:tcW w:w="2800" w:type="dxa"/>
          </w:tcPr>
          <w:p w14:paraId="50CF5DF0" w14:textId="77777777" w:rsidR="002376B8" w:rsidRDefault="002376B8" w:rsidP="003450B1">
            <w:pPr>
              <w:ind w:left="0" w:right="0"/>
            </w:pPr>
            <w:r>
              <w:t>Not applicable</w:t>
            </w:r>
          </w:p>
        </w:tc>
      </w:tr>
      <w:tr w:rsidR="002376B8" w14:paraId="68F530F1" w14:textId="77777777" w:rsidTr="008E7235">
        <w:tc>
          <w:tcPr>
            <w:tcW w:w="5920" w:type="dxa"/>
          </w:tcPr>
          <w:p w14:paraId="2B902A74" w14:textId="77777777" w:rsidR="002376B8" w:rsidRDefault="002376B8" w:rsidP="003450B1">
            <w:pPr>
              <w:ind w:left="0" w:right="0"/>
            </w:pPr>
            <w:r>
              <w:t>Advisory Committee meeting</w:t>
            </w:r>
          </w:p>
        </w:tc>
        <w:tc>
          <w:tcPr>
            <w:tcW w:w="2800" w:type="dxa"/>
          </w:tcPr>
          <w:p w14:paraId="54B96F71" w14:textId="77777777" w:rsidR="002376B8" w:rsidRDefault="002376B8" w:rsidP="003450B1">
            <w:pPr>
              <w:ind w:left="0" w:right="0"/>
            </w:pPr>
            <w:r>
              <w:t>Not applicable</w:t>
            </w:r>
          </w:p>
        </w:tc>
      </w:tr>
      <w:tr w:rsidR="002376B8" w14:paraId="2C70F008" w14:textId="77777777" w:rsidTr="008E7235">
        <w:tc>
          <w:tcPr>
            <w:tcW w:w="5920" w:type="dxa"/>
          </w:tcPr>
          <w:p w14:paraId="21638729" w14:textId="77777777" w:rsidR="002376B8" w:rsidRDefault="002376B8" w:rsidP="003450B1">
            <w:pPr>
              <w:ind w:left="0" w:right="0"/>
            </w:pPr>
            <w:r>
              <w:t>Registration decision (Outcome)</w:t>
            </w:r>
          </w:p>
        </w:tc>
        <w:tc>
          <w:tcPr>
            <w:tcW w:w="2800" w:type="dxa"/>
          </w:tcPr>
          <w:p w14:paraId="0245022B" w14:textId="77777777" w:rsidR="002376B8" w:rsidRDefault="002376B8" w:rsidP="003450B1">
            <w:pPr>
              <w:ind w:left="0" w:right="0"/>
            </w:pPr>
            <w:r>
              <w:t>28 January 2020</w:t>
            </w:r>
          </w:p>
        </w:tc>
      </w:tr>
      <w:tr w:rsidR="002376B8" w14:paraId="5D196536" w14:textId="77777777" w:rsidTr="008E7235">
        <w:tc>
          <w:tcPr>
            <w:tcW w:w="5920" w:type="dxa"/>
          </w:tcPr>
          <w:p w14:paraId="03B53688" w14:textId="77777777" w:rsidR="002376B8" w:rsidRDefault="002376B8" w:rsidP="003450B1">
            <w:pPr>
              <w:ind w:left="0" w:right="0"/>
            </w:pPr>
            <w:r>
              <w:t>Completion of administrative activities and registration on the ARTG</w:t>
            </w:r>
          </w:p>
        </w:tc>
        <w:tc>
          <w:tcPr>
            <w:tcW w:w="2800" w:type="dxa"/>
          </w:tcPr>
          <w:p w14:paraId="59F9BECB" w14:textId="77777777" w:rsidR="002376B8" w:rsidRDefault="002376B8" w:rsidP="003450B1">
            <w:pPr>
              <w:ind w:left="0" w:right="0"/>
            </w:pPr>
            <w:r>
              <w:t>11 February 2020</w:t>
            </w:r>
          </w:p>
        </w:tc>
      </w:tr>
      <w:tr w:rsidR="002376B8" w14:paraId="274E0AE1" w14:textId="77777777" w:rsidTr="008E7235">
        <w:tc>
          <w:tcPr>
            <w:tcW w:w="5920" w:type="dxa"/>
          </w:tcPr>
          <w:p w14:paraId="324C9EF0" w14:textId="77777777" w:rsidR="002376B8" w:rsidRDefault="002376B8" w:rsidP="003450B1">
            <w:pPr>
              <w:ind w:left="0" w:right="0"/>
            </w:pPr>
            <w:r>
              <w:t>Number of working days from submission dossier acceptance to registration decision*</w:t>
            </w:r>
          </w:p>
        </w:tc>
        <w:tc>
          <w:tcPr>
            <w:tcW w:w="2800" w:type="dxa"/>
          </w:tcPr>
          <w:p w14:paraId="407A1A41" w14:textId="77777777" w:rsidR="002376B8" w:rsidRDefault="002376B8" w:rsidP="003450B1">
            <w:pPr>
              <w:ind w:left="0" w:right="0"/>
            </w:pPr>
            <w:r>
              <w:t>227</w:t>
            </w:r>
          </w:p>
        </w:tc>
      </w:tr>
    </w:tbl>
    <w:p w14:paraId="7804165A" w14:textId="77777777" w:rsidR="002376B8" w:rsidRDefault="002376B8" w:rsidP="002376B8">
      <w:pPr>
        <w:pStyle w:val="TableDescription"/>
      </w:pPr>
      <w:r>
        <w:t>*</w:t>
      </w:r>
      <w:r w:rsidRPr="006603BC">
        <w:t>Statutory timeframe for standard applications is 255 working days</w:t>
      </w:r>
    </w:p>
    <w:p w14:paraId="474E2E0A" w14:textId="11D429FE" w:rsidR="006A58A8" w:rsidRPr="006A58A8" w:rsidRDefault="00381AD4" w:rsidP="00381AD4">
      <w:pPr>
        <w:pStyle w:val="TableTitle"/>
      </w:pPr>
      <w:r>
        <w:t xml:space="preserve">Table </w:t>
      </w:r>
      <w:fldSimple w:instr=" SEQ Table \* ARABIC ">
        <w:r w:rsidR="00247395">
          <w:rPr>
            <w:noProof/>
          </w:rPr>
          <w:t>2</w:t>
        </w:r>
      </w:fldSimple>
      <w:r>
        <w:t xml:space="preserve">: </w:t>
      </w:r>
      <w:r w:rsidR="006A58A8" w:rsidRPr="006A58A8">
        <w:t xml:space="preserve">Timeline </w:t>
      </w:r>
      <w:r w:rsidR="003E3702">
        <w:t xml:space="preserve">for Submission </w:t>
      </w:r>
      <w:r w:rsidR="003E3702" w:rsidRPr="003E3702">
        <w:t>PM-2019-04393-1-6</w:t>
      </w:r>
    </w:p>
    <w:tbl>
      <w:tblPr>
        <w:tblStyle w:val="TableTGAblue"/>
        <w:tblW w:w="0" w:type="auto"/>
        <w:tblLook w:val="04A0" w:firstRow="1" w:lastRow="0" w:firstColumn="1" w:lastColumn="0" w:noHBand="0" w:noVBand="1"/>
      </w:tblPr>
      <w:tblGrid>
        <w:gridCol w:w="4360"/>
        <w:gridCol w:w="4360"/>
      </w:tblGrid>
      <w:tr w:rsidR="00500337" w14:paraId="4107A6EF"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17DD002E" w14:textId="77777777" w:rsidR="00500337" w:rsidRDefault="00500337" w:rsidP="00500337">
            <w:pPr>
              <w:ind w:left="0" w:right="0"/>
            </w:pPr>
            <w:r>
              <w:t>Description</w:t>
            </w:r>
          </w:p>
        </w:tc>
        <w:tc>
          <w:tcPr>
            <w:tcW w:w="4360" w:type="dxa"/>
          </w:tcPr>
          <w:p w14:paraId="145CA3E1" w14:textId="77777777" w:rsidR="00500337" w:rsidRDefault="00500337" w:rsidP="00500337">
            <w:pPr>
              <w:ind w:left="0" w:right="0"/>
            </w:pPr>
            <w:r>
              <w:t>Date</w:t>
            </w:r>
          </w:p>
        </w:tc>
      </w:tr>
      <w:tr w:rsidR="00500337" w14:paraId="292B1B73" w14:textId="77777777" w:rsidTr="00500337">
        <w:tc>
          <w:tcPr>
            <w:tcW w:w="4360" w:type="dxa"/>
          </w:tcPr>
          <w:p w14:paraId="36BF0CC8" w14:textId="77777777" w:rsidR="002376B8" w:rsidRDefault="00284D0D" w:rsidP="00500337">
            <w:pPr>
              <w:ind w:left="0" w:right="0"/>
            </w:pPr>
            <w:r>
              <w:t>Designation</w:t>
            </w:r>
            <w:r w:rsidR="002376B8">
              <w:t>:</w:t>
            </w:r>
          </w:p>
          <w:p w14:paraId="5DE1D922" w14:textId="77777777" w:rsidR="002376B8" w:rsidRDefault="002376B8" w:rsidP="00500337">
            <w:pPr>
              <w:ind w:left="0" w:right="0"/>
            </w:pPr>
            <w:r>
              <w:t>Provisional</w:t>
            </w:r>
          </w:p>
          <w:p w14:paraId="5D9C0181" w14:textId="69BAC3C0" w:rsidR="00500337" w:rsidRDefault="002376B8" w:rsidP="00500337">
            <w:pPr>
              <w:ind w:left="0" w:right="0"/>
            </w:pPr>
            <w:r>
              <w:t>Orphan</w:t>
            </w:r>
          </w:p>
        </w:tc>
        <w:tc>
          <w:tcPr>
            <w:tcW w:w="4360" w:type="dxa"/>
          </w:tcPr>
          <w:p w14:paraId="709426F9" w14:textId="1E9426D8" w:rsidR="00500337" w:rsidRDefault="00500337" w:rsidP="00500337">
            <w:pPr>
              <w:ind w:left="0" w:right="0"/>
            </w:pPr>
          </w:p>
          <w:p w14:paraId="280DA056" w14:textId="77777777" w:rsidR="00B30667" w:rsidRDefault="00B30667" w:rsidP="00500337">
            <w:pPr>
              <w:ind w:left="0" w:right="0"/>
            </w:pPr>
            <w:r>
              <w:t>17 September 2019</w:t>
            </w:r>
          </w:p>
          <w:p w14:paraId="44F2942B" w14:textId="7AAED45F" w:rsidR="002376B8" w:rsidRDefault="002376B8" w:rsidP="00500337">
            <w:pPr>
              <w:ind w:left="0" w:right="0"/>
            </w:pPr>
            <w:r>
              <w:t>25 September 2019</w:t>
            </w:r>
          </w:p>
        </w:tc>
      </w:tr>
      <w:tr w:rsidR="00500337" w14:paraId="1E0CD96D" w14:textId="77777777" w:rsidTr="00500337">
        <w:tc>
          <w:tcPr>
            <w:tcW w:w="4360" w:type="dxa"/>
          </w:tcPr>
          <w:p w14:paraId="75C8DED8" w14:textId="77777777" w:rsidR="00500337" w:rsidRDefault="00500337" w:rsidP="00500337">
            <w:pPr>
              <w:ind w:left="0" w:right="0"/>
            </w:pPr>
            <w:r>
              <w:t>Submission dossier accepted and first round evaluation commenced</w:t>
            </w:r>
          </w:p>
        </w:tc>
        <w:tc>
          <w:tcPr>
            <w:tcW w:w="4360" w:type="dxa"/>
          </w:tcPr>
          <w:p w14:paraId="3619FD08" w14:textId="41105173" w:rsidR="00500337" w:rsidRDefault="00F827B5" w:rsidP="00500337">
            <w:pPr>
              <w:ind w:left="0" w:right="0"/>
            </w:pPr>
            <w:r>
              <w:t>31 October 2019</w:t>
            </w:r>
          </w:p>
        </w:tc>
      </w:tr>
      <w:tr w:rsidR="00500337" w14:paraId="2E29D3C3" w14:textId="77777777" w:rsidTr="00500337">
        <w:tc>
          <w:tcPr>
            <w:tcW w:w="4360" w:type="dxa"/>
          </w:tcPr>
          <w:p w14:paraId="6DFDE2F1" w14:textId="77777777" w:rsidR="00500337" w:rsidRDefault="00500337" w:rsidP="00500337">
            <w:pPr>
              <w:ind w:left="0" w:right="0"/>
            </w:pPr>
            <w:r>
              <w:lastRenderedPageBreak/>
              <w:t>First round evaluation completed</w:t>
            </w:r>
          </w:p>
        </w:tc>
        <w:tc>
          <w:tcPr>
            <w:tcW w:w="4360" w:type="dxa"/>
          </w:tcPr>
          <w:p w14:paraId="3FF8282B" w14:textId="552D4E85" w:rsidR="00500337" w:rsidRDefault="0078521B" w:rsidP="00500337">
            <w:pPr>
              <w:ind w:left="0" w:right="0"/>
            </w:pPr>
            <w:r>
              <w:t>7 November 2019</w:t>
            </w:r>
          </w:p>
        </w:tc>
      </w:tr>
      <w:tr w:rsidR="00500337" w14:paraId="49A5CDB7" w14:textId="77777777" w:rsidTr="00500337">
        <w:tc>
          <w:tcPr>
            <w:tcW w:w="4360" w:type="dxa"/>
          </w:tcPr>
          <w:p w14:paraId="15ADA706" w14:textId="77777777" w:rsidR="00500337" w:rsidRDefault="00500337" w:rsidP="00500337">
            <w:pPr>
              <w:ind w:left="0" w:right="0"/>
            </w:pPr>
            <w:r>
              <w:t>Sponsor provides responses on questions raised in first round evaluation</w:t>
            </w:r>
          </w:p>
        </w:tc>
        <w:tc>
          <w:tcPr>
            <w:tcW w:w="4360" w:type="dxa"/>
          </w:tcPr>
          <w:p w14:paraId="41ED5A16" w14:textId="5D630901" w:rsidR="00500337" w:rsidRDefault="0078521B" w:rsidP="00500337">
            <w:pPr>
              <w:ind w:left="0" w:right="0"/>
            </w:pPr>
            <w:r>
              <w:t>26 November 2019</w:t>
            </w:r>
          </w:p>
        </w:tc>
      </w:tr>
      <w:tr w:rsidR="00500337" w14:paraId="7A598F89" w14:textId="77777777" w:rsidTr="00500337">
        <w:tc>
          <w:tcPr>
            <w:tcW w:w="4360" w:type="dxa"/>
          </w:tcPr>
          <w:p w14:paraId="78D1C982" w14:textId="77777777" w:rsidR="00500337" w:rsidRDefault="00500337" w:rsidP="00500337">
            <w:pPr>
              <w:ind w:left="0" w:right="0"/>
            </w:pPr>
            <w:r>
              <w:t>Second round evaluation completed</w:t>
            </w:r>
          </w:p>
        </w:tc>
        <w:tc>
          <w:tcPr>
            <w:tcW w:w="4360" w:type="dxa"/>
          </w:tcPr>
          <w:p w14:paraId="232C6CE0" w14:textId="0A20D543" w:rsidR="00500337" w:rsidRDefault="0030194E" w:rsidP="00500337">
            <w:pPr>
              <w:ind w:left="0" w:right="0"/>
            </w:pPr>
            <w:r>
              <w:t>4 December 2019</w:t>
            </w:r>
          </w:p>
        </w:tc>
      </w:tr>
      <w:tr w:rsidR="00500337" w14:paraId="18B83758" w14:textId="77777777" w:rsidTr="00500337">
        <w:tc>
          <w:tcPr>
            <w:tcW w:w="4360" w:type="dxa"/>
          </w:tcPr>
          <w:p w14:paraId="58E46385" w14:textId="5A1819E6" w:rsidR="00500337" w:rsidRDefault="00500337" w:rsidP="00F533D7">
            <w:pPr>
              <w:ind w:left="0" w:right="0"/>
            </w:pPr>
            <w:r>
              <w:t xml:space="preserve">Delegate’s </w:t>
            </w:r>
            <w:r w:rsidR="00F533D7">
              <w:t>Overall benefit-risk assessment</w:t>
            </w:r>
          </w:p>
        </w:tc>
        <w:tc>
          <w:tcPr>
            <w:tcW w:w="4360" w:type="dxa"/>
          </w:tcPr>
          <w:p w14:paraId="4CCABCC2" w14:textId="1C2568AC" w:rsidR="00500337" w:rsidRDefault="00301643" w:rsidP="00500337">
            <w:pPr>
              <w:ind w:left="0" w:right="0"/>
            </w:pPr>
            <w:r>
              <w:t>6 January 2020</w:t>
            </w:r>
          </w:p>
        </w:tc>
      </w:tr>
      <w:tr w:rsidR="00500337" w14:paraId="49A88A8C" w14:textId="77777777" w:rsidTr="00500337">
        <w:tc>
          <w:tcPr>
            <w:tcW w:w="4360" w:type="dxa"/>
          </w:tcPr>
          <w:p w14:paraId="6E2FEEC7" w14:textId="77777777" w:rsidR="00500337" w:rsidRDefault="00500337" w:rsidP="00500337">
            <w:pPr>
              <w:ind w:left="0" w:right="0"/>
            </w:pPr>
            <w:r>
              <w:t>Sponsor’s pre-Advisory Committee response</w:t>
            </w:r>
          </w:p>
        </w:tc>
        <w:tc>
          <w:tcPr>
            <w:tcW w:w="4360" w:type="dxa"/>
          </w:tcPr>
          <w:p w14:paraId="3FE830E5" w14:textId="128FB73D" w:rsidR="00500337" w:rsidRDefault="0030194E" w:rsidP="00500337">
            <w:pPr>
              <w:ind w:left="0" w:right="0"/>
            </w:pPr>
            <w:r>
              <w:t>Not applicable</w:t>
            </w:r>
          </w:p>
        </w:tc>
      </w:tr>
      <w:tr w:rsidR="00500337" w14:paraId="51999626" w14:textId="77777777" w:rsidTr="00500337">
        <w:tc>
          <w:tcPr>
            <w:tcW w:w="4360" w:type="dxa"/>
          </w:tcPr>
          <w:p w14:paraId="61D7F007" w14:textId="77777777" w:rsidR="00500337" w:rsidRDefault="00500337" w:rsidP="00500337">
            <w:pPr>
              <w:ind w:left="0" w:right="0"/>
            </w:pPr>
            <w:r>
              <w:t>Advisory Committee meeting</w:t>
            </w:r>
          </w:p>
        </w:tc>
        <w:tc>
          <w:tcPr>
            <w:tcW w:w="4360" w:type="dxa"/>
          </w:tcPr>
          <w:p w14:paraId="34202E36" w14:textId="75F96757" w:rsidR="00500337" w:rsidRDefault="0030194E" w:rsidP="00500337">
            <w:pPr>
              <w:ind w:left="0" w:right="0"/>
            </w:pPr>
            <w:r>
              <w:t>Not applicable</w:t>
            </w:r>
          </w:p>
        </w:tc>
      </w:tr>
      <w:tr w:rsidR="00500337" w14:paraId="00938A0D" w14:textId="77777777" w:rsidTr="00500337">
        <w:tc>
          <w:tcPr>
            <w:tcW w:w="4360" w:type="dxa"/>
          </w:tcPr>
          <w:p w14:paraId="0C22030E" w14:textId="77777777" w:rsidR="00500337" w:rsidRDefault="00500337" w:rsidP="00500337">
            <w:pPr>
              <w:ind w:left="0" w:right="0"/>
            </w:pPr>
            <w:r>
              <w:t>Registration decision (Outcome)</w:t>
            </w:r>
          </w:p>
        </w:tc>
        <w:tc>
          <w:tcPr>
            <w:tcW w:w="4360" w:type="dxa"/>
          </w:tcPr>
          <w:p w14:paraId="0FDBDBFF" w14:textId="641FB862" w:rsidR="00500337" w:rsidRDefault="0064649B" w:rsidP="00500337">
            <w:pPr>
              <w:ind w:left="0" w:right="0"/>
            </w:pPr>
            <w:r>
              <w:t>5 February 2020</w:t>
            </w:r>
          </w:p>
        </w:tc>
      </w:tr>
      <w:tr w:rsidR="00500337" w14:paraId="27F31A75" w14:textId="77777777" w:rsidTr="00500337">
        <w:tc>
          <w:tcPr>
            <w:tcW w:w="4360" w:type="dxa"/>
          </w:tcPr>
          <w:p w14:paraId="3723C1FB" w14:textId="694DE0E5" w:rsidR="00500337" w:rsidRDefault="00500337" w:rsidP="00500337">
            <w:pPr>
              <w:ind w:left="0" w:right="0"/>
            </w:pPr>
            <w:r>
              <w:t xml:space="preserve">Completion of administrative activities and registration on </w:t>
            </w:r>
            <w:r w:rsidR="00EC338F">
              <w:t xml:space="preserve">the </w:t>
            </w:r>
            <w:r>
              <w:t>ARTG</w:t>
            </w:r>
          </w:p>
        </w:tc>
        <w:tc>
          <w:tcPr>
            <w:tcW w:w="4360" w:type="dxa"/>
          </w:tcPr>
          <w:p w14:paraId="71D588EF" w14:textId="21282CB7" w:rsidR="00500337" w:rsidRDefault="0030194E" w:rsidP="00500337">
            <w:pPr>
              <w:ind w:left="0" w:right="0"/>
            </w:pPr>
            <w:r>
              <w:t>14 February 2020</w:t>
            </w:r>
          </w:p>
        </w:tc>
      </w:tr>
      <w:tr w:rsidR="00500337" w14:paraId="23E667E7" w14:textId="77777777" w:rsidTr="00500337">
        <w:tc>
          <w:tcPr>
            <w:tcW w:w="4360" w:type="dxa"/>
          </w:tcPr>
          <w:p w14:paraId="344AC80E" w14:textId="77777777" w:rsidR="00500337" w:rsidRDefault="00500337" w:rsidP="00500337">
            <w:pPr>
              <w:ind w:left="0" w:right="0"/>
            </w:pPr>
            <w:r>
              <w:t>Number of working days from submission dossier acceptance to registration decision*</w:t>
            </w:r>
          </w:p>
        </w:tc>
        <w:tc>
          <w:tcPr>
            <w:tcW w:w="4360" w:type="dxa"/>
          </w:tcPr>
          <w:p w14:paraId="33E99ADA" w14:textId="047103F0" w:rsidR="00500337" w:rsidRDefault="0030194E" w:rsidP="00500337">
            <w:pPr>
              <w:ind w:left="0" w:right="0"/>
            </w:pPr>
            <w:r>
              <w:t>67</w:t>
            </w:r>
          </w:p>
        </w:tc>
      </w:tr>
    </w:tbl>
    <w:p w14:paraId="592CC010" w14:textId="2272B99C" w:rsidR="00500337" w:rsidRDefault="00500337" w:rsidP="00500337">
      <w:pPr>
        <w:pStyle w:val="TableDescription"/>
      </w:pPr>
      <w:r>
        <w:t>*</w:t>
      </w:r>
      <w:r w:rsidR="006603BC" w:rsidRPr="006603BC">
        <w:t>Statutory timeframe for standard applications is 255 working days</w:t>
      </w:r>
    </w:p>
    <w:p w14:paraId="0FD1CFFC" w14:textId="555E7747" w:rsidR="008E7846" w:rsidRPr="00792A32" w:rsidRDefault="00456765" w:rsidP="008E7846">
      <w:pPr>
        <w:pStyle w:val="Heading2"/>
      </w:pPr>
      <w:bookmarkStart w:id="30" w:name="_Toc196046504"/>
      <w:bookmarkStart w:id="31" w:name="_Toc247691527"/>
      <w:bookmarkStart w:id="32" w:name="_Toc314842510"/>
      <w:bookmarkStart w:id="33" w:name="_Toc51859735"/>
      <w:bookmarkStart w:id="34" w:name="_Toc163441390"/>
      <w:bookmarkEnd w:id="26"/>
      <w:bookmarkEnd w:id="27"/>
      <w:bookmarkEnd w:id="1"/>
      <w:r>
        <w:t>I</w:t>
      </w:r>
      <w:r w:rsidR="00DA64CB">
        <w:t>I</w:t>
      </w:r>
      <w:r w:rsidR="008E7846">
        <w:t xml:space="preserve">I. </w:t>
      </w:r>
      <w:r w:rsidR="00846E44">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30"/>
      <w:bookmarkEnd w:id="31"/>
      <w:bookmarkEnd w:id="32"/>
      <w:bookmarkEnd w:id="33"/>
    </w:p>
    <w:p w14:paraId="7F24B4BC" w14:textId="2283B061" w:rsidR="008E7846" w:rsidRDefault="008E7846" w:rsidP="008E7846">
      <w:bookmarkStart w:id="35" w:name="_Toc247691528"/>
      <w:r>
        <w:t xml:space="preserve">The submission was summarised in the following </w:t>
      </w:r>
      <w:r w:rsidRPr="00EF5C48">
        <w:t xml:space="preserve">Delegate’s </w:t>
      </w:r>
      <w:r>
        <w:t>overview</w:t>
      </w:r>
      <w:r w:rsidRPr="00EF5C48">
        <w:t xml:space="preserve"> and recommendation</w:t>
      </w:r>
      <w:r>
        <w:t>s</w:t>
      </w:r>
      <w:r w:rsidR="0064649B">
        <w:t>.</w:t>
      </w:r>
    </w:p>
    <w:p w14:paraId="394EEA96" w14:textId="416C0DD0" w:rsidR="008E7846" w:rsidRPr="00FC1FCA" w:rsidRDefault="008E7846" w:rsidP="002F3009">
      <w:pPr>
        <w:pStyle w:val="Heading3"/>
      </w:pPr>
      <w:bookmarkStart w:id="36" w:name="_Toc314842511"/>
      <w:bookmarkStart w:id="37" w:name="_Toc51859736"/>
      <w:r>
        <w:t>Quality</w:t>
      </w:r>
      <w:bookmarkEnd w:id="35"/>
      <w:bookmarkEnd w:id="36"/>
      <w:bookmarkEnd w:id="37"/>
    </w:p>
    <w:p w14:paraId="238A3F41" w14:textId="77777777" w:rsidR="00E45619" w:rsidRDefault="008E7846" w:rsidP="003A7F6C">
      <w:r>
        <w:t>There was no requirement for a quality evaluation in a submission of this type.</w:t>
      </w:r>
    </w:p>
    <w:p w14:paraId="09A97463" w14:textId="12BD4B43" w:rsidR="008E7846" w:rsidRDefault="008E7846" w:rsidP="008E7846">
      <w:pPr>
        <w:pStyle w:val="Heading3"/>
      </w:pPr>
      <w:bookmarkStart w:id="38" w:name="_Toc314842512"/>
      <w:bookmarkStart w:id="39" w:name="_Toc51859737"/>
      <w:r>
        <w:t>Nonclinical</w:t>
      </w:r>
      <w:bookmarkEnd w:id="38"/>
      <w:bookmarkEnd w:id="39"/>
    </w:p>
    <w:p w14:paraId="261B8CED" w14:textId="77777777" w:rsidR="00284D0D" w:rsidRDefault="00284D0D" w:rsidP="00284D0D">
      <w:r>
        <w:t>The following points were summarised in the nonclinical evaluation:</w:t>
      </w:r>
    </w:p>
    <w:p w14:paraId="44E2B04A" w14:textId="77777777" w:rsidR="00325641" w:rsidRDefault="00325641" w:rsidP="00325641">
      <w:pPr>
        <w:pStyle w:val="ListBullet"/>
      </w:pPr>
      <w:r>
        <w:t xml:space="preserve">Published data showing killing of human AML cells by venetoclax </w:t>
      </w:r>
      <w:r w:rsidRPr="00F1798D">
        <w:rPr>
          <w:i/>
        </w:rPr>
        <w:t>in vitro</w:t>
      </w:r>
      <w:r>
        <w:t xml:space="preserve"> and </w:t>
      </w:r>
      <w:r w:rsidRPr="00F1798D">
        <w:rPr>
          <w:i/>
        </w:rPr>
        <w:t>in vivo</w:t>
      </w:r>
      <w:r>
        <w:t xml:space="preserve"> in mice, and recognition of the involvement of </w:t>
      </w:r>
      <w:r w:rsidRPr="008163CA">
        <w:t>BCL-2</w:t>
      </w:r>
      <w:r>
        <w:t xml:space="preserve"> in AML cell survival, offer support for utility for venetoclax in the proposed new indication.</w:t>
      </w:r>
    </w:p>
    <w:p w14:paraId="4791D4CF" w14:textId="77777777" w:rsidR="00325641" w:rsidRDefault="00325641" w:rsidP="00325641">
      <w:pPr>
        <w:pStyle w:val="ListBullet"/>
      </w:pPr>
      <w:r>
        <w:t>Increased exposure and increased toxicity follow the increase in maximum recommended human dose (from 400 mg/day to 600 mg/day) associated with the newly proposed indication. The dosing instructions for AML direct treatment to be continued until disease progression or unacceptable toxicity is observed.</w:t>
      </w:r>
    </w:p>
    <w:p w14:paraId="409DDF71" w14:textId="77777777" w:rsidR="00325641" w:rsidRDefault="00325641" w:rsidP="00325641">
      <w:pPr>
        <w:pStyle w:val="ListBullet"/>
      </w:pPr>
      <w:r>
        <w:t>The major human metabolite, M27, is not seen to contribute (or at least significantly so) to toxicity in venetoclax-treated patients, based on the findings of a newly evaluated study in mice.</w:t>
      </w:r>
    </w:p>
    <w:p w14:paraId="0391CE84" w14:textId="785676BD" w:rsidR="00325641" w:rsidRDefault="00325641" w:rsidP="00325641">
      <w:pPr>
        <w:pStyle w:val="ListBullet"/>
      </w:pPr>
      <w:r>
        <w:t>There are no nonclinical objections to the propos</w:t>
      </w:r>
      <w:r w:rsidR="00000FD8">
        <w:t>ed extension of indications for Venclexta</w:t>
      </w:r>
      <w:r>
        <w:t>.</w:t>
      </w:r>
    </w:p>
    <w:p w14:paraId="0BAC56FA" w14:textId="5FD8F084" w:rsidR="00325641" w:rsidRPr="006772D5" w:rsidRDefault="00595E85" w:rsidP="00325641">
      <w:pPr>
        <w:pStyle w:val="ListBullet"/>
      </w:pPr>
      <w:r>
        <w:lastRenderedPageBreak/>
        <w:t>The proposed PI</w:t>
      </w:r>
      <w:r w:rsidR="00325641">
        <w:t xml:space="preserve"> document s</w:t>
      </w:r>
      <w:r w:rsidR="00000FD8">
        <w:t>hould be revised as directed</w:t>
      </w:r>
      <w:r w:rsidR="00325641" w:rsidRPr="000F259F">
        <w:t>.</w:t>
      </w:r>
    </w:p>
    <w:p w14:paraId="6D91710F" w14:textId="439133C3" w:rsidR="008E7846" w:rsidRDefault="00325641" w:rsidP="00325641">
      <w:r w:rsidRPr="00325641">
        <w:t>The submission did not include new toxicology data although the pre-clinical evaluator has noted the increased drug exposure involved in the increase from 400</w:t>
      </w:r>
      <w:r w:rsidR="00000FD8">
        <w:t xml:space="preserve"> </w:t>
      </w:r>
      <w:r w:rsidRPr="00325641">
        <w:t>mg to 600</w:t>
      </w:r>
      <w:r w:rsidR="00000FD8">
        <w:t xml:space="preserve"> </w:t>
      </w:r>
      <w:r w:rsidRPr="00325641">
        <w:t>mg daily dosing. However</w:t>
      </w:r>
      <w:r w:rsidR="00F533D7">
        <w:t>,</w:t>
      </w:r>
      <w:r w:rsidRPr="00325641">
        <w:t xml:space="preserve"> the </w:t>
      </w:r>
      <w:r w:rsidR="00F533D7">
        <w:t>nonclinical</w:t>
      </w:r>
      <w:r w:rsidRPr="00325641">
        <w:t xml:space="preserve"> evaluator has noted that the originally submitted </w:t>
      </w:r>
      <w:r w:rsidR="00F533D7">
        <w:t>non</w:t>
      </w:r>
      <w:r w:rsidRPr="00325641">
        <w:t>clinical program remains sufficient to cover the increased dose. In general</w:t>
      </w:r>
      <w:r w:rsidR="00F533D7">
        <w:t>,</w:t>
      </w:r>
      <w:r w:rsidRPr="00325641">
        <w:t xml:space="preserve"> the </w:t>
      </w:r>
      <w:r w:rsidR="00F533D7">
        <w:t>nonclinical</w:t>
      </w:r>
      <w:r w:rsidRPr="00325641">
        <w:t xml:space="preserve"> evaluator has raised no objections to registration of</w:t>
      </w:r>
      <w:r w:rsidR="00F533D7">
        <w:t xml:space="preserve"> the new indication and dosage.</w:t>
      </w:r>
    </w:p>
    <w:p w14:paraId="7FAB4E26" w14:textId="77777777" w:rsidR="008E7846" w:rsidRDefault="008E7846" w:rsidP="008E7846">
      <w:pPr>
        <w:pStyle w:val="Heading3"/>
      </w:pPr>
      <w:bookmarkStart w:id="40" w:name="_Toc247691530"/>
      <w:bookmarkStart w:id="41" w:name="_Toc314842513"/>
      <w:bookmarkStart w:id="42" w:name="_Toc51859738"/>
      <w:r>
        <w:t>Clinical</w:t>
      </w:r>
      <w:bookmarkEnd w:id="40"/>
      <w:bookmarkEnd w:id="41"/>
      <w:bookmarkEnd w:id="42"/>
    </w:p>
    <w:p w14:paraId="69E1F1D3" w14:textId="1E81D044" w:rsidR="00325641" w:rsidRDefault="00325641" w:rsidP="00000FD8">
      <w:bookmarkStart w:id="43" w:name="_Toc314842514"/>
      <w:r>
        <w:t>The s</w:t>
      </w:r>
      <w:r w:rsidR="00000FD8">
        <w:t>ubmitted dossier include three</w:t>
      </w:r>
      <w:r w:rsidR="00F533D7">
        <w:t xml:space="preserve"> studies;</w:t>
      </w:r>
      <w:r w:rsidR="00000FD8">
        <w:t xml:space="preserve"> S</w:t>
      </w:r>
      <w:r w:rsidR="007C0FB4">
        <w:t>tudies</w:t>
      </w:r>
      <w:r>
        <w:t xml:space="preserve"> M14-387, M14-212 and M14-358</w:t>
      </w:r>
      <w:r w:rsidR="00F533D7">
        <w:t>,</w:t>
      </w:r>
      <w:r>
        <w:t xml:space="preserve"> of which </w:t>
      </w:r>
      <w:r w:rsidR="00F533D7">
        <w:t xml:space="preserve">Study </w:t>
      </w:r>
      <w:r>
        <w:t>M14</w:t>
      </w:r>
      <w:r>
        <w:noBreakHyphen/>
        <w:t>387</w:t>
      </w:r>
      <w:r w:rsidR="007C0FB4">
        <w:t xml:space="preserve"> </w:t>
      </w:r>
      <w:r w:rsidR="0078521B">
        <w:t>and Study M14-358 were</w:t>
      </w:r>
      <w:r w:rsidR="007C0FB4">
        <w:t xml:space="preserve"> considered pivotal by the clinical e</w:t>
      </w:r>
      <w:r>
        <w:t>valuator. A composite pharmacokinetic report was produced (R&amp;D/18/0339) based on data f</w:t>
      </w:r>
      <w:r w:rsidR="00000FD8">
        <w:t>rom the three clinical studies.</w:t>
      </w:r>
    </w:p>
    <w:p w14:paraId="5A4CC0AD" w14:textId="3E9603F2" w:rsidR="00325641" w:rsidRPr="00275B0B" w:rsidRDefault="00325641" w:rsidP="00000FD8">
      <w:r>
        <w:t>There was no paed</w:t>
      </w:r>
      <w:r w:rsidR="00000FD8">
        <w:t>iatric data in this submission.</w:t>
      </w:r>
    </w:p>
    <w:p w14:paraId="0DA8F150" w14:textId="77777777" w:rsidR="00325641" w:rsidRDefault="00325641" w:rsidP="00000FD8">
      <w:pPr>
        <w:pStyle w:val="Heading4"/>
      </w:pPr>
      <w:r w:rsidRPr="003F08CF">
        <w:t>Pharmacology</w:t>
      </w:r>
    </w:p>
    <w:p w14:paraId="253E51EC" w14:textId="516C9120" w:rsidR="00325641" w:rsidRPr="00B31FFC" w:rsidRDefault="00325641" w:rsidP="00000FD8">
      <w:r>
        <w:t>Pharmacokinetic</w:t>
      </w:r>
      <w:r w:rsidR="00F533D7">
        <w:t xml:space="preserve"> (PK)</w:t>
      </w:r>
      <w:r>
        <w:t xml:space="preserve"> </w:t>
      </w:r>
      <w:r w:rsidR="005F7D04">
        <w:t xml:space="preserve">analysis </w:t>
      </w:r>
      <w:r>
        <w:t>ind</w:t>
      </w:r>
      <w:r w:rsidR="007C0FB4">
        <w:t>irectly examined the effect of venetoclax administration with cytarabine, azacitidine and d</w:t>
      </w:r>
      <w:r>
        <w:t>ecitabine using a population kinetics model and data from 400</w:t>
      </w:r>
      <w:r w:rsidR="007C0FB4">
        <w:t xml:space="preserve"> </w:t>
      </w:r>
      <w:r>
        <w:t>mg, 600</w:t>
      </w:r>
      <w:r w:rsidR="007C0FB4">
        <w:t xml:space="preserve"> </w:t>
      </w:r>
      <w:r>
        <w:t>mg, 800</w:t>
      </w:r>
      <w:r w:rsidR="007C0FB4">
        <w:t xml:space="preserve"> </w:t>
      </w:r>
      <w:r>
        <w:t>mg and 1200</w:t>
      </w:r>
      <w:r w:rsidR="007C0FB4">
        <w:t xml:space="preserve"> </w:t>
      </w:r>
      <w:r>
        <w:t>m</w:t>
      </w:r>
      <w:r w:rsidR="007C0FB4">
        <w:t>g doses administered in trials.</w:t>
      </w:r>
    </w:p>
    <w:p w14:paraId="4DE8427C" w14:textId="77777777" w:rsidR="00325641" w:rsidRDefault="00325641" w:rsidP="00000FD8">
      <w:pPr>
        <w:pStyle w:val="Heading4"/>
      </w:pPr>
      <w:r w:rsidRPr="003F08CF">
        <w:t>Efficacy</w:t>
      </w:r>
    </w:p>
    <w:p w14:paraId="040BE6BC" w14:textId="77777777" w:rsidR="00325641" w:rsidRPr="00D14416" w:rsidRDefault="00325641" w:rsidP="00000FD8">
      <w:pPr>
        <w:pStyle w:val="Heading5"/>
      </w:pPr>
      <w:r w:rsidRPr="00D14416">
        <w:t>Venetoclax with cytarabine</w:t>
      </w:r>
    </w:p>
    <w:p w14:paraId="579F5C50" w14:textId="2A4BB9B0" w:rsidR="00325641" w:rsidRDefault="00325641" w:rsidP="00000FD8">
      <w:r>
        <w:t>The pivotal efficacy analysis of th</w:t>
      </w:r>
      <w:r w:rsidR="007C0FB4">
        <w:t>is combination was provided by S</w:t>
      </w:r>
      <w:r>
        <w:t xml:space="preserve">tudy </w:t>
      </w:r>
      <w:r w:rsidR="007C0FB4">
        <w:t>M14-387.</w:t>
      </w:r>
      <w:bookmarkStart w:id="44" w:name="_Ref50607177"/>
      <w:r w:rsidR="002A1D81">
        <w:rPr>
          <w:rStyle w:val="FootnoteReference"/>
        </w:rPr>
        <w:footnoteReference w:id="24"/>
      </w:r>
      <w:bookmarkEnd w:id="44"/>
      <w:r w:rsidR="007C0FB4">
        <w:t xml:space="preserve"> This trial was a Phase</w:t>
      </w:r>
      <w:r w:rsidR="008D0B68">
        <w:t xml:space="preserve"> </w:t>
      </w:r>
      <w:r w:rsidR="007C0FB4">
        <w:t>I/II</w:t>
      </w:r>
      <w:r>
        <w:t xml:space="preserve"> study of treatment naïve patients with AML who were </w:t>
      </w:r>
      <w:r w:rsidR="00FF66BA">
        <w:t xml:space="preserve">60 years old or older and </w:t>
      </w:r>
      <w:r>
        <w:t xml:space="preserve">ineligible for standard cytarabine and anthracycline based induction therapy. </w:t>
      </w:r>
      <w:r w:rsidR="00FF66BA">
        <w:t>All p</w:t>
      </w:r>
      <w:r>
        <w:t>atients (n</w:t>
      </w:r>
      <w:r w:rsidR="007C0FB4">
        <w:t xml:space="preserve"> </w:t>
      </w:r>
      <w:r>
        <w:t>=</w:t>
      </w:r>
      <w:r w:rsidR="007C0FB4">
        <w:t xml:space="preserve"> </w:t>
      </w:r>
      <w:r>
        <w:t>82) received venetoclax</w:t>
      </w:r>
      <w:r w:rsidR="007C0FB4">
        <w:t xml:space="preserve"> </w:t>
      </w:r>
      <w:r>
        <w:t>+</w:t>
      </w:r>
      <w:r w:rsidR="007C0FB4">
        <w:t xml:space="preserve"> </w:t>
      </w:r>
      <w:r w:rsidR="006A7AEA">
        <w:t>LDAC</w:t>
      </w:r>
      <w:r>
        <w:t>. Treatment was continued until disease progression, withdrawal or toxicity necessitated an interruption. The primary endpoint of the trial was</w:t>
      </w:r>
      <w:r w:rsidR="00D917BC">
        <w:t xml:space="preserve"> overall response rate </w:t>
      </w:r>
      <w:r>
        <w:t>(ORR).</w:t>
      </w:r>
    </w:p>
    <w:p w14:paraId="677DDD0E" w14:textId="4516B797" w:rsidR="004628FC" w:rsidRDefault="004628FC" w:rsidP="004628FC">
      <w:r>
        <w:t xml:space="preserve">The combination of venetoclax + LDAC achieved a response rate of 54.9% (95% </w:t>
      </w:r>
      <w:r w:rsidR="00A57F80">
        <w:t>confidence interval (</w:t>
      </w:r>
      <w:r>
        <w:t>CI</w:t>
      </w:r>
      <w:r w:rsidR="00A57F80">
        <w:t>)</w:t>
      </w:r>
      <w:r>
        <w:t xml:space="preserve">, 43.5 to 65.9%) (see </w:t>
      </w:r>
      <w:r>
        <w:fldChar w:fldCharType="begin"/>
      </w:r>
      <w:r>
        <w:instrText xml:space="preserve"> REF _Ref45884940 \h </w:instrText>
      </w:r>
      <w:r>
        <w:fldChar w:fldCharType="separate"/>
      </w:r>
      <w:r w:rsidR="00247395">
        <w:t xml:space="preserve">Table </w:t>
      </w:r>
      <w:r w:rsidR="00247395">
        <w:rPr>
          <w:noProof/>
        </w:rPr>
        <w:t>3</w:t>
      </w:r>
      <w:r>
        <w:fldChar w:fldCharType="end"/>
      </w:r>
      <w:r>
        <w:t>).</w:t>
      </w:r>
    </w:p>
    <w:p w14:paraId="39358A6B" w14:textId="1462993C" w:rsidR="007C0FB4" w:rsidRDefault="007C0FB4" w:rsidP="007C0FB4">
      <w:pPr>
        <w:pStyle w:val="TableTitle"/>
      </w:pPr>
      <w:bookmarkStart w:id="45" w:name="_Ref45884940"/>
      <w:r>
        <w:t xml:space="preserve">Table </w:t>
      </w:r>
      <w:fldSimple w:instr=" SEQ Table \* ARABIC ">
        <w:r w:rsidR="00247395">
          <w:rPr>
            <w:noProof/>
          </w:rPr>
          <w:t>3</w:t>
        </w:r>
      </w:fldSimple>
      <w:bookmarkEnd w:id="45"/>
      <w:r>
        <w:t>:</w:t>
      </w:r>
      <w:r w:rsidRPr="00012348">
        <w:t xml:space="preserve"> </w:t>
      </w:r>
      <w:r w:rsidR="007D4061">
        <w:t>Study M14-387 Overall response rate</w:t>
      </w:r>
      <w:r w:rsidRPr="00012348">
        <w:t xml:space="preserve"> for ve</w:t>
      </w:r>
      <w:r>
        <w:t>netoclax</w:t>
      </w:r>
      <w:r w:rsidR="00A57F80">
        <w:t xml:space="preserve"> 600 mg once daily</w:t>
      </w:r>
      <w:r w:rsidR="007D4061">
        <w:t xml:space="preserve"> + low dose cytarabine </w:t>
      </w:r>
      <w:r>
        <w:t>therapy</w:t>
      </w:r>
    </w:p>
    <w:tbl>
      <w:tblPr>
        <w:tblStyle w:val="TableTGAblue"/>
        <w:tblW w:w="0" w:type="auto"/>
        <w:tblLook w:val="04A0" w:firstRow="1" w:lastRow="0" w:firstColumn="1" w:lastColumn="0" w:noHBand="0" w:noVBand="1"/>
      </w:tblPr>
      <w:tblGrid>
        <w:gridCol w:w="5507"/>
        <w:gridCol w:w="3213"/>
      </w:tblGrid>
      <w:tr w:rsidR="003175D5" w:rsidRPr="00F0097C" w14:paraId="4E9FA7FA" w14:textId="77777777" w:rsidTr="006A7AEA">
        <w:trPr>
          <w:cnfStyle w:val="100000000000" w:firstRow="1" w:lastRow="0" w:firstColumn="0" w:lastColumn="0" w:oddVBand="0" w:evenVBand="0" w:oddHBand="0" w:evenHBand="0" w:firstRowFirstColumn="0" w:firstRowLastColumn="0" w:lastRowFirstColumn="0" w:lastRowLastColumn="0"/>
        </w:trPr>
        <w:tc>
          <w:tcPr>
            <w:tcW w:w="0" w:type="auto"/>
            <w:tcBorders>
              <w:right w:val="single" w:sz="8" w:space="0" w:color="000000"/>
            </w:tcBorders>
          </w:tcPr>
          <w:p w14:paraId="6EBCFDA6" w14:textId="44FFDEF3" w:rsidR="00D917BC" w:rsidRPr="00F533D7" w:rsidRDefault="00D917BC" w:rsidP="007E0F1C">
            <w:pPr>
              <w:rPr>
                <w:sz w:val="20"/>
                <w:szCs w:val="20"/>
              </w:rPr>
            </w:pPr>
            <w:r w:rsidRPr="00F533D7">
              <w:rPr>
                <w:sz w:val="20"/>
                <w:szCs w:val="20"/>
              </w:rPr>
              <w:t>Outcome measure – best IWG response</w:t>
            </w:r>
          </w:p>
        </w:tc>
        <w:tc>
          <w:tcPr>
            <w:tcW w:w="0" w:type="auto"/>
            <w:tcBorders>
              <w:left w:val="single" w:sz="8" w:space="0" w:color="000000"/>
            </w:tcBorders>
          </w:tcPr>
          <w:p w14:paraId="635BAA43" w14:textId="3C3D99A8" w:rsidR="00D917BC" w:rsidRPr="00F0097C" w:rsidRDefault="00D917BC" w:rsidP="007E0F1C">
            <w:pPr>
              <w:rPr>
                <w:sz w:val="20"/>
                <w:szCs w:val="20"/>
              </w:rPr>
            </w:pPr>
            <w:r w:rsidRPr="00F0097C">
              <w:rPr>
                <w:sz w:val="20"/>
                <w:szCs w:val="20"/>
              </w:rPr>
              <w:t xml:space="preserve">Venetoclax 600 mg QD </w:t>
            </w:r>
            <w:r w:rsidR="003175D5" w:rsidRPr="00F0097C">
              <w:rPr>
                <w:sz w:val="20"/>
                <w:szCs w:val="20"/>
              </w:rPr>
              <w:t>+ LDAC</w:t>
            </w:r>
            <w:r w:rsidRPr="00F0097C">
              <w:rPr>
                <w:sz w:val="20"/>
                <w:szCs w:val="20"/>
              </w:rPr>
              <w:t xml:space="preserve"> (n</w:t>
            </w:r>
            <w:r w:rsidR="00A57F80" w:rsidRPr="00F0097C">
              <w:rPr>
                <w:sz w:val="20"/>
                <w:szCs w:val="20"/>
              </w:rPr>
              <w:t xml:space="preserve"> </w:t>
            </w:r>
            <w:r w:rsidRPr="00F0097C">
              <w:rPr>
                <w:sz w:val="20"/>
                <w:szCs w:val="20"/>
              </w:rPr>
              <w:t>=</w:t>
            </w:r>
            <w:r w:rsidR="00A57F80" w:rsidRPr="00F0097C">
              <w:rPr>
                <w:sz w:val="20"/>
                <w:szCs w:val="20"/>
              </w:rPr>
              <w:t xml:space="preserve"> 82)</w:t>
            </w:r>
          </w:p>
        </w:tc>
      </w:tr>
      <w:tr w:rsidR="00D917BC" w:rsidRPr="00F533D7" w14:paraId="0830EF5E" w14:textId="77777777" w:rsidTr="00D917BC">
        <w:tc>
          <w:tcPr>
            <w:tcW w:w="0" w:type="auto"/>
          </w:tcPr>
          <w:p w14:paraId="5DFC0147" w14:textId="77777777" w:rsidR="00D917BC" w:rsidRPr="00F533D7" w:rsidRDefault="00D917BC" w:rsidP="007E0F1C">
            <w:pPr>
              <w:rPr>
                <w:sz w:val="20"/>
                <w:szCs w:val="20"/>
              </w:rPr>
            </w:pPr>
            <w:r w:rsidRPr="00F533D7">
              <w:rPr>
                <w:sz w:val="20"/>
                <w:szCs w:val="20"/>
              </w:rPr>
              <w:t>Objective response rate (CR + CRi + PR), n (%) [95% CI]</w:t>
            </w:r>
          </w:p>
        </w:tc>
        <w:tc>
          <w:tcPr>
            <w:tcW w:w="0" w:type="auto"/>
          </w:tcPr>
          <w:p w14:paraId="27C9EA5E" w14:textId="77777777" w:rsidR="00D917BC" w:rsidRPr="00F533D7" w:rsidRDefault="00D917BC" w:rsidP="007E0F1C">
            <w:pPr>
              <w:rPr>
                <w:sz w:val="20"/>
                <w:szCs w:val="20"/>
              </w:rPr>
            </w:pPr>
            <w:r w:rsidRPr="00F533D7">
              <w:rPr>
                <w:sz w:val="20"/>
                <w:szCs w:val="20"/>
              </w:rPr>
              <w:t>45 (54.9%) [43.5, 65.9]</w:t>
            </w:r>
          </w:p>
        </w:tc>
      </w:tr>
      <w:tr w:rsidR="00D917BC" w:rsidRPr="00F533D7" w14:paraId="1847A673" w14:textId="77777777" w:rsidTr="00D917BC">
        <w:tc>
          <w:tcPr>
            <w:tcW w:w="0" w:type="auto"/>
          </w:tcPr>
          <w:p w14:paraId="585BAD1B" w14:textId="280845FD" w:rsidR="00D917BC" w:rsidRPr="00F533D7" w:rsidRDefault="00D917BC" w:rsidP="007E0F1C">
            <w:pPr>
              <w:rPr>
                <w:sz w:val="20"/>
                <w:szCs w:val="20"/>
              </w:rPr>
            </w:pPr>
            <w:r w:rsidRPr="00F533D7">
              <w:rPr>
                <w:sz w:val="20"/>
                <w:szCs w:val="20"/>
              </w:rPr>
              <w:t>Leukemia response rate (CR + CRi + PR + MLFS), n (%) [95%</w:t>
            </w:r>
            <w:r w:rsidR="007E0F1C" w:rsidRPr="00F533D7">
              <w:rPr>
                <w:sz w:val="20"/>
                <w:szCs w:val="20"/>
              </w:rPr>
              <w:t> </w:t>
            </w:r>
            <w:r w:rsidRPr="00F533D7">
              <w:rPr>
                <w:sz w:val="20"/>
                <w:szCs w:val="20"/>
              </w:rPr>
              <w:t>CI]</w:t>
            </w:r>
          </w:p>
        </w:tc>
        <w:tc>
          <w:tcPr>
            <w:tcW w:w="0" w:type="auto"/>
          </w:tcPr>
          <w:p w14:paraId="500CDB58" w14:textId="77777777" w:rsidR="00D917BC" w:rsidRPr="00F533D7" w:rsidRDefault="00D917BC" w:rsidP="007E0F1C">
            <w:pPr>
              <w:rPr>
                <w:sz w:val="20"/>
                <w:szCs w:val="20"/>
              </w:rPr>
            </w:pPr>
            <w:r w:rsidRPr="00F533D7">
              <w:rPr>
                <w:sz w:val="20"/>
                <w:szCs w:val="20"/>
              </w:rPr>
              <w:t>51 (62.2%) [50.8%, 72.7%]</w:t>
            </w:r>
          </w:p>
        </w:tc>
      </w:tr>
      <w:tr w:rsidR="00D917BC" w:rsidRPr="00F533D7" w14:paraId="3DD2F48C" w14:textId="77777777" w:rsidTr="00D917BC">
        <w:tc>
          <w:tcPr>
            <w:tcW w:w="0" w:type="auto"/>
          </w:tcPr>
          <w:p w14:paraId="0FC93756" w14:textId="1EBB9EDD" w:rsidR="00D917BC" w:rsidRPr="00F533D7" w:rsidRDefault="00D917BC" w:rsidP="007E0F1C">
            <w:pPr>
              <w:rPr>
                <w:sz w:val="20"/>
                <w:szCs w:val="20"/>
              </w:rPr>
            </w:pPr>
            <w:r w:rsidRPr="00F533D7">
              <w:rPr>
                <w:sz w:val="20"/>
                <w:szCs w:val="20"/>
              </w:rPr>
              <w:t>Complete remission (CR), n (%) [95% CI]</w:t>
            </w:r>
          </w:p>
        </w:tc>
        <w:tc>
          <w:tcPr>
            <w:tcW w:w="0" w:type="auto"/>
          </w:tcPr>
          <w:p w14:paraId="355CA281" w14:textId="77777777" w:rsidR="00D917BC" w:rsidRPr="00F533D7" w:rsidRDefault="00D917BC" w:rsidP="007E0F1C">
            <w:pPr>
              <w:rPr>
                <w:sz w:val="20"/>
                <w:szCs w:val="20"/>
              </w:rPr>
            </w:pPr>
            <w:r w:rsidRPr="00F533D7">
              <w:rPr>
                <w:sz w:val="20"/>
                <w:szCs w:val="20"/>
              </w:rPr>
              <w:t>21 (25.6%) [16.6, 36,4]</w:t>
            </w:r>
          </w:p>
        </w:tc>
      </w:tr>
      <w:tr w:rsidR="00D917BC" w:rsidRPr="00F533D7" w14:paraId="0F44C093" w14:textId="77777777" w:rsidTr="00D917BC">
        <w:tc>
          <w:tcPr>
            <w:tcW w:w="0" w:type="auto"/>
          </w:tcPr>
          <w:p w14:paraId="60FC75D9" w14:textId="77777777" w:rsidR="00D917BC" w:rsidRPr="00F533D7" w:rsidRDefault="00D917BC" w:rsidP="007E0F1C">
            <w:pPr>
              <w:rPr>
                <w:sz w:val="20"/>
                <w:szCs w:val="20"/>
              </w:rPr>
            </w:pPr>
            <w:r w:rsidRPr="00F533D7">
              <w:rPr>
                <w:sz w:val="20"/>
                <w:szCs w:val="20"/>
              </w:rPr>
              <w:t>Complete remission with incomplete blood count recovery (CRi), n (%) [95% CI]</w:t>
            </w:r>
          </w:p>
        </w:tc>
        <w:tc>
          <w:tcPr>
            <w:tcW w:w="0" w:type="auto"/>
          </w:tcPr>
          <w:p w14:paraId="5042019D" w14:textId="77777777" w:rsidR="00D917BC" w:rsidRPr="00F533D7" w:rsidRDefault="00D917BC" w:rsidP="007E0F1C">
            <w:pPr>
              <w:rPr>
                <w:sz w:val="20"/>
                <w:szCs w:val="20"/>
              </w:rPr>
            </w:pPr>
            <w:r w:rsidRPr="00F533D7">
              <w:rPr>
                <w:sz w:val="20"/>
                <w:szCs w:val="20"/>
              </w:rPr>
              <w:t xml:space="preserve">23 (28.0%) </w:t>
            </w:r>
            <w:r w:rsidRPr="00F533D7">
              <w:rPr>
                <w:rFonts w:eastAsiaTheme="minorHAnsi" w:cs="Courier"/>
                <w:bCs/>
                <w:sz w:val="20"/>
                <w:szCs w:val="20"/>
              </w:rPr>
              <w:t>[18.7, 39.1]</w:t>
            </w:r>
          </w:p>
        </w:tc>
      </w:tr>
      <w:tr w:rsidR="00D917BC" w:rsidRPr="00F533D7" w14:paraId="4D373846" w14:textId="77777777" w:rsidTr="00D917BC">
        <w:tc>
          <w:tcPr>
            <w:tcW w:w="0" w:type="auto"/>
          </w:tcPr>
          <w:p w14:paraId="5B9C8764" w14:textId="686E1F1A" w:rsidR="00D917BC" w:rsidRPr="00F533D7" w:rsidRDefault="00D917BC" w:rsidP="007E0F1C">
            <w:pPr>
              <w:rPr>
                <w:sz w:val="20"/>
                <w:szCs w:val="20"/>
              </w:rPr>
            </w:pPr>
            <w:r w:rsidRPr="00F533D7">
              <w:rPr>
                <w:sz w:val="20"/>
                <w:szCs w:val="20"/>
              </w:rPr>
              <w:lastRenderedPageBreak/>
              <w:t>Partial remission (PR) n (%)</w:t>
            </w:r>
          </w:p>
        </w:tc>
        <w:tc>
          <w:tcPr>
            <w:tcW w:w="0" w:type="auto"/>
          </w:tcPr>
          <w:p w14:paraId="1F02E5D1" w14:textId="77777777" w:rsidR="00D917BC" w:rsidRPr="00F533D7" w:rsidRDefault="00D917BC" w:rsidP="007E0F1C">
            <w:pPr>
              <w:rPr>
                <w:sz w:val="20"/>
                <w:szCs w:val="20"/>
              </w:rPr>
            </w:pPr>
            <w:r w:rsidRPr="00F533D7">
              <w:rPr>
                <w:sz w:val="20"/>
                <w:szCs w:val="20"/>
              </w:rPr>
              <w:t>1 (1.2%)</w:t>
            </w:r>
          </w:p>
        </w:tc>
      </w:tr>
      <w:tr w:rsidR="00D917BC" w:rsidRPr="00F533D7" w14:paraId="781A98AE" w14:textId="77777777" w:rsidTr="00D917BC">
        <w:tc>
          <w:tcPr>
            <w:tcW w:w="0" w:type="auto"/>
          </w:tcPr>
          <w:p w14:paraId="5A76BBDB" w14:textId="2429231C" w:rsidR="00D917BC" w:rsidRPr="00F533D7" w:rsidRDefault="00D917BC" w:rsidP="007E0F1C">
            <w:pPr>
              <w:rPr>
                <w:sz w:val="20"/>
                <w:szCs w:val="20"/>
              </w:rPr>
            </w:pPr>
            <w:r w:rsidRPr="00F533D7">
              <w:rPr>
                <w:sz w:val="20"/>
                <w:szCs w:val="20"/>
              </w:rPr>
              <w:t>Morphologically leuk</w:t>
            </w:r>
            <w:r w:rsidR="002A1D81">
              <w:rPr>
                <w:sz w:val="20"/>
                <w:szCs w:val="20"/>
              </w:rPr>
              <w:t>a</w:t>
            </w:r>
            <w:r w:rsidRPr="00F533D7">
              <w:rPr>
                <w:sz w:val="20"/>
                <w:szCs w:val="20"/>
              </w:rPr>
              <w:t>emia free state (MLFS) n (%)</w:t>
            </w:r>
          </w:p>
        </w:tc>
        <w:tc>
          <w:tcPr>
            <w:tcW w:w="0" w:type="auto"/>
          </w:tcPr>
          <w:p w14:paraId="1811A604" w14:textId="77777777" w:rsidR="00D917BC" w:rsidRPr="00F533D7" w:rsidRDefault="00D917BC" w:rsidP="007E0F1C">
            <w:pPr>
              <w:rPr>
                <w:sz w:val="20"/>
                <w:szCs w:val="20"/>
              </w:rPr>
            </w:pPr>
            <w:r w:rsidRPr="00F533D7">
              <w:rPr>
                <w:sz w:val="20"/>
                <w:szCs w:val="20"/>
              </w:rPr>
              <w:t>6 (7.3%)</w:t>
            </w:r>
          </w:p>
        </w:tc>
      </w:tr>
      <w:tr w:rsidR="00D917BC" w:rsidRPr="00F533D7" w14:paraId="6EF4CC2A" w14:textId="77777777" w:rsidTr="00D917BC">
        <w:tc>
          <w:tcPr>
            <w:tcW w:w="0" w:type="auto"/>
          </w:tcPr>
          <w:p w14:paraId="2F603204" w14:textId="639D1436" w:rsidR="00D917BC" w:rsidRPr="00F533D7" w:rsidRDefault="00D917BC" w:rsidP="007E0F1C">
            <w:pPr>
              <w:rPr>
                <w:sz w:val="20"/>
                <w:szCs w:val="20"/>
              </w:rPr>
            </w:pPr>
            <w:r w:rsidRPr="00F533D7">
              <w:rPr>
                <w:sz w:val="20"/>
                <w:szCs w:val="20"/>
              </w:rPr>
              <w:t>Resistant disease (RD) n (%)</w:t>
            </w:r>
          </w:p>
        </w:tc>
        <w:tc>
          <w:tcPr>
            <w:tcW w:w="0" w:type="auto"/>
          </w:tcPr>
          <w:p w14:paraId="186B7F06" w14:textId="77777777" w:rsidR="00D917BC" w:rsidRPr="00F533D7" w:rsidRDefault="00D917BC" w:rsidP="007E0F1C">
            <w:pPr>
              <w:rPr>
                <w:sz w:val="20"/>
                <w:szCs w:val="20"/>
              </w:rPr>
            </w:pPr>
            <w:r w:rsidRPr="00F533D7">
              <w:rPr>
                <w:sz w:val="20"/>
                <w:szCs w:val="20"/>
              </w:rPr>
              <w:t>19 (23.2%)</w:t>
            </w:r>
          </w:p>
        </w:tc>
      </w:tr>
      <w:tr w:rsidR="00D917BC" w:rsidRPr="00F533D7" w14:paraId="3D87E4BA" w14:textId="77777777" w:rsidTr="00D917BC">
        <w:tc>
          <w:tcPr>
            <w:tcW w:w="0" w:type="auto"/>
          </w:tcPr>
          <w:p w14:paraId="40494FEF" w14:textId="77777777" w:rsidR="00D917BC" w:rsidRPr="00F533D7" w:rsidRDefault="00D917BC" w:rsidP="007E0F1C">
            <w:pPr>
              <w:rPr>
                <w:sz w:val="20"/>
                <w:szCs w:val="20"/>
              </w:rPr>
            </w:pPr>
            <w:r w:rsidRPr="00F533D7">
              <w:rPr>
                <w:sz w:val="20"/>
                <w:szCs w:val="20"/>
              </w:rPr>
              <w:t>Disease progression (PD) n (%)</w:t>
            </w:r>
          </w:p>
        </w:tc>
        <w:tc>
          <w:tcPr>
            <w:tcW w:w="0" w:type="auto"/>
          </w:tcPr>
          <w:p w14:paraId="578C5439" w14:textId="77777777" w:rsidR="00D917BC" w:rsidRPr="00F533D7" w:rsidRDefault="00D917BC" w:rsidP="007E0F1C">
            <w:pPr>
              <w:rPr>
                <w:sz w:val="20"/>
                <w:szCs w:val="20"/>
              </w:rPr>
            </w:pPr>
            <w:r w:rsidRPr="00F533D7">
              <w:rPr>
                <w:sz w:val="20"/>
                <w:szCs w:val="20"/>
              </w:rPr>
              <w:t>4 (4.9%)</w:t>
            </w:r>
          </w:p>
        </w:tc>
      </w:tr>
      <w:tr w:rsidR="00D917BC" w:rsidRPr="00F533D7" w14:paraId="4AB22BFE" w14:textId="77777777" w:rsidTr="00D917BC">
        <w:tc>
          <w:tcPr>
            <w:tcW w:w="0" w:type="auto"/>
          </w:tcPr>
          <w:p w14:paraId="215E7B21" w14:textId="3D35F527" w:rsidR="00D917BC" w:rsidRPr="00F533D7" w:rsidRDefault="00D917BC" w:rsidP="007E0F1C">
            <w:pPr>
              <w:rPr>
                <w:sz w:val="20"/>
                <w:szCs w:val="20"/>
              </w:rPr>
            </w:pPr>
            <w:r w:rsidRPr="00F533D7">
              <w:rPr>
                <w:sz w:val="20"/>
                <w:szCs w:val="20"/>
              </w:rPr>
              <w:t>Discontinued with no response data (DS) n (%)</w:t>
            </w:r>
          </w:p>
        </w:tc>
        <w:tc>
          <w:tcPr>
            <w:tcW w:w="0" w:type="auto"/>
          </w:tcPr>
          <w:p w14:paraId="40A6665F" w14:textId="77777777" w:rsidR="00D917BC" w:rsidRPr="00F533D7" w:rsidRDefault="00D917BC" w:rsidP="007E0F1C">
            <w:pPr>
              <w:rPr>
                <w:sz w:val="20"/>
                <w:szCs w:val="20"/>
              </w:rPr>
            </w:pPr>
            <w:r w:rsidRPr="00F533D7">
              <w:rPr>
                <w:sz w:val="20"/>
                <w:szCs w:val="20"/>
              </w:rPr>
              <w:t>8 (9.8%)</w:t>
            </w:r>
          </w:p>
        </w:tc>
      </w:tr>
      <w:tr w:rsidR="00D917BC" w:rsidRPr="00F533D7" w14:paraId="76A4360A" w14:textId="77777777" w:rsidTr="00D917BC">
        <w:tc>
          <w:tcPr>
            <w:tcW w:w="0" w:type="auto"/>
          </w:tcPr>
          <w:p w14:paraId="304E952D" w14:textId="664E5A90" w:rsidR="00D917BC" w:rsidRPr="00F533D7" w:rsidRDefault="00D917BC" w:rsidP="007E0F1C">
            <w:pPr>
              <w:rPr>
                <w:sz w:val="20"/>
                <w:szCs w:val="20"/>
              </w:rPr>
            </w:pPr>
            <w:r w:rsidRPr="00F533D7">
              <w:rPr>
                <w:sz w:val="20"/>
                <w:szCs w:val="20"/>
              </w:rPr>
              <w:t>Non-response but still active (NR) n (%)</w:t>
            </w:r>
          </w:p>
        </w:tc>
        <w:tc>
          <w:tcPr>
            <w:tcW w:w="0" w:type="auto"/>
          </w:tcPr>
          <w:p w14:paraId="51BDBA63" w14:textId="77777777" w:rsidR="00D917BC" w:rsidRPr="00F533D7" w:rsidRDefault="00D917BC" w:rsidP="007E0F1C">
            <w:pPr>
              <w:rPr>
                <w:sz w:val="20"/>
                <w:szCs w:val="20"/>
              </w:rPr>
            </w:pPr>
            <w:r w:rsidRPr="00F533D7">
              <w:rPr>
                <w:sz w:val="20"/>
                <w:szCs w:val="20"/>
              </w:rPr>
              <w:t>0</w:t>
            </w:r>
          </w:p>
        </w:tc>
      </w:tr>
      <w:tr w:rsidR="00D917BC" w:rsidRPr="00F533D7" w14:paraId="59CB24A9" w14:textId="77777777" w:rsidTr="00D917BC">
        <w:tc>
          <w:tcPr>
            <w:tcW w:w="0" w:type="auto"/>
          </w:tcPr>
          <w:p w14:paraId="14BA01D1" w14:textId="77777777" w:rsidR="00D917BC" w:rsidRPr="00F533D7" w:rsidRDefault="00D917BC" w:rsidP="007E0F1C">
            <w:pPr>
              <w:rPr>
                <w:sz w:val="20"/>
                <w:szCs w:val="20"/>
              </w:rPr>
            </w:pPr>
            <w:r w:rsidRPr="00F533D7">
              <w:rPr>
                <w:sz w:val="20"/>
                <w:szCs w:val="20"/>
              </w:rPr>
              <w:t>Study duration (months), median [range] n (%)</w:t>
            </w:r>
          </w:p>
        </w:tc>
        <w:tc>
          <w:tcPr>
            <w:tcW w:w="0" w:type="auto"/>
          </w:tcPr>
          <w:p w14:paraId="3EE45CDB" w14:textId="48E3D992" w:rsidR="00D917BC" w:rsidRPr="00F533D7" w:rsidRDefault="00D917BC" w:rsidP="007E0F1C">
            <w:pPr>
              <w:rPr>
                <w:sz w:val="20"/>
                <w:szCs w:val="20"/>
              </w:rPr>
            </w:pPr>
            <w:r w:rsidRPr="00F533D7">
              <w:rPr>
                <w:sz w:val="20"/>
                <w:szCs w:val="20"/>
              </w:rPr>
              <w:t>20.0 [6.0 to 34.3]</w:t>
            </w:r>
          </w:p>
        </w:tc>
      </w:tr>
      <w:tr w:rsidR="00D917BC" w:rsidRPr="00F533D7" w14:paraId="1A41D47C" w14:textId="77777777" w:rsidTr="00D917BC">
        <w:tc>
          <w:tcPr>
            <w:tcW w:w="0" w:type="auto"/>
          </w:tcPr>
          <w:p w14:paraId="614A3ED6" w14:textId="77777777" w:rsidR="00D917BC" w:rsidRPr="00F533D7" w:rsidRDefault="00D917BC" w:rsidP="007E0F1C">
            <w:pPr>
              <w:rPr>
                <w:sz w:val="20"/>
                <w:szCs w:val="20"/>
              </w:rPr>
            </w:pPr>
            <w:r w:rsidRPr="00F533D7">
              <w:rPr>
                <w:sz w:val="20"/>
                <w:szCs w:val="20"/>
              </w:rPr>
              <w:t>Study survival follow-up (months), median [range] n (%)</w:t>
            </w:r>
          </w:p>
        </w:tc>
        <w:tc>
          <w:tcPr>
            <w:tcW w:w="0" w:type="auto"/>
          </w:tcPr>
          <w:p w14:paraId="7859709B" w14:textId="3205CDBE" w:rsidR="00D917BC" w:rsidRPr="00F533D7" w:rsidRDefault="00D917BC" w:rsidP="007E0F1C">
            <w:pPr>
              <w:rPr>
                <w:sz w:val="20"/>
                <w:szCs w:val="20"/>
              </w:rPr>
            </w:pPr>
            <w:r w:rsidRPr="00F533D7">
              <w:rPr>
                <w:sz w:val="20"/>
                <w:szCs w:val="20"/>
              </w:rPr>
              <w:t>7.1 [0.3 to 34.3]</w:t>
            </w:r>
          </w:p>
        </w:tc>
      </w:tr>
    </w:tbl>
    <w:p w14:paraId="7CB5733E" w14:textId="7CD50709" w:rsidR="00A57F80" w:rsidRPr="007A6AA5" w:rsidRDefault="00A57F80" w:rsidP="00A57F80">
      <w:pPr>
        <w:pStyle w:val="TableDescription"/>
      </w:pPr>
      <w:bookmarkStart w:id="46" w:name="_Ref45884976"/>
      <w:r>
        <w:t xml:space="preserve">IWG = </w:t>
      </w:r>
      <w:r w:rsidRPr="007A6AA5">
        <w:t>International Working Group</w:t>
      </w:r>
      <w:r>
        <w:t xml:space="preserve">; QD = once daily; </w:t>
      </w:r>
      <w:r w:rsidR="00205334">
        <w:t>LDAC</w:t>
      </w:r>
      <w:r>
        <w:t xml:space="preserve"> = low dose cytarabine; CR = </w:t>
      </w:r>
      <w:r w:rsidRPr="007A6AA5">
        <w:t>complete remission</w:t>
      </w:r>
      <w:r>
        <w:t xml:space="preserve">; CRi = </w:t>
      </w:r>
      <w:r w:rsidRPr="007A6AA5">
        <w:t>complete remission with incomplete blood count recovery</w:t>
      </w:r>
      <w:r w:rsidR="009B7E11">
        <w:t>; PR = p</w:t>
      </w:r>
      <w:r>
        <w:t xml:space="preserve">artial remission; CI = confidence interval; MLFS = </w:t>
      </w:r>
      <w:r w:rsidRPr="007A6AA5">
        <w:t>morphologically leukemia-free status</w:t>
      </w:r>
      <w:r w:rsidR="009B7E11">
        <w:t>; RD = re</w:t>
      </w:r>
      <w:r>
        <w:t>sistant disease; PD</w:t>
      </w:r>
      <w:r w:rsidR="006A7AEA">
        <w:t> </w:t>
      </w:r>
      <w:r>
        <w:t>=</w:t>
      </w:r>
      <w:r w:rsidR="006A7AEA">
        <w:t> </w:t>
      </w:r>
      <w:r>
        <w:t>disease progression; DS = discontinued with no response; NR = non-response but still active.</w:t>
      </w:r>
    </w:p>
    <w:p w14:paraId="1D61507A" w14:textId="53362F0D" w:rsidR="004628FC" w:rsidRDefault="004628FC" w:rsidP="004628FC">
      <w:r>
        <w:t>The median</w:t>
      </w:r>
      <w:r w:rsidR="00BE6815">
        <w:t xml:space="preserve"> OS</w:t>
      </w:r>
      <w:r>
        <w:t xml:space="preserve"> was 10.1 months (95% CI, 5.7 to 14.2 months) (see </w:t>
      </w:r>
      <w:r w:rsidR="00493C06">
        <w:fldChar w:fldCharType="begin"/>
      </w:r>
      <w:r w:rsidR="00493C06">
        <w:instrText xml:space="preserve"> REF _Ref46386056 \h </w:instrText>
      </w:r>
      <w:r w:rsidR="00493C06">
        <w:fldChar w:fldCharType="separate"/>
      </w:r>
      <w:r w:rsidR="00247395">
        <w:t xml:space="preserve">Table </w:t>
      </w:r>
      <w:r w:rsidR="00247395">
        <w:rPr>
          <w:noProof/>
        </w:rPr>
        <w:t>4</w:t>
      </w:r>
      <w:r w:rsidR="00493C06">
        <w:fldChar w:fldCharType="end"/>
      </w:r>
      <w:r>
        <w:t xml:space="preserve">). The results of therapy were more favourable in patients </w:t>
      </w:r>
      <w:r w:rsidR="008E7235">
        <w:sym w:font="Symbol" w:char="F0B3"/>
      </w:r>
      <w:r>
        <w:t xml:space="preserve"> 75 years of age than in those &lt; </w:t>
      </w:r>
      <w:r w:rsidR="00A57F80">
        <w:t>75 years of age. The s</w:t>
      </w:r>
      <w:r>
        <w:t>ponsor noted that this may be due to co-morbidities which would render a younger person ineligible for intensive therapy, although the difference could be due to random variation.</w:t>
      </w:r>
    </w:p>
    <w:p w14:paraId="1E3FB678" w14:textId="3B925C22" w:rsidR="00D73CF0" w:rsidRDefault="00D73CF0" w:rsidP="00D73CF0">
      <w:pPr>
        <w:pStyle w:val="TableTitle"/>
      </w:pPr>
      <w:bookmarkStart w:id="47" w:name="_Ref46386056"/>
      <w:r>
        <w:t xml:space="preserve">Table </w:t>
      </w:r>
      <w:fldSimple w:instr=" SEQ Table \* ARABIC ">
        <w:r w:rsidR="00247395">
          <w:rPr>
            <w:noProof/>
          </w:rPr>
          <w:t>4</w:t>
        </w:r>
      </w:fldSimple>
      <w:bookmarkEnd w:id="46"/>
      <w:bookmarkEnd w:id="47"/>
      <w:r>
        <w:t>:</w:t>
      </w:r>
      <w:r w:rsidR="004628FC">
        <w:t xml:space="preserve"> Study M14-387</w:t>
      </w:r>
      <w:r w:rsidRPr="00581A24">
        <w:t xml:space="preserve"> Comparison of outcomes by age of patient</w:t>
      </w:r>
    </w:p>
    <w:tbl>
      <w:tblPr>
        <w:tblStyle w:val="TableTGAblue"/>
        <w:tblW w:w="0" w:type="auto"/>
        <w:tblLook w:val="04A0" w:firstRow="1" w:lastRow="0" w:firstColumn="1" w:lastColumn="0" w:noHBand="0" w:noVBand="1"/>
      </w:tblPr>
      <w:tblGrid>
        <w:gridCol w:w="2696"/>
        <w:gridCol w:w="2082"/>
        <w:gridCol w:w="1971"/>
        <w:gridCol w:w="1971"/>
      </w:tblGrid>
      <w:tr w:rsidR="00D917BC" w:rsidRPr="004A6C4C" w14:paraId="0910E762" w14:textId="77777777" w:rsidTr="00D917BC">
        <w:trPr>
          <w:cnfStyle w:val="100000000000" w:firstRow="1" w:lastRow="0" w:firstColumn="0" w:lastColumn="0" w:oddVBand="0" w:evenVBand="0" w:oddHBand="0" w:evenHBand="0" w:firstRowFirstColumn="0" w:firstRowLastColumn="0" w:lastRowFirstColumn="0" w:lastRowLastColumn="0"/>
        </w:trPr>
        <w:tc>
          <w:tcPr>
            <w:tcW w:w="0" w:type="auto"/>
          </w:tcPr>
          <w:p w14:paraId="4A35C784" w14:textId="368FC73F" w:rsidR="00D917BC" w:rsidRPr="004A6C4C" w:rsidRDefault="00D917BC" w:rsidP="00D917BC">
            <w:pPr>
              <w:rPr>
                <w:rFonts w:asciiTheme="minorHAnsi" w:hAnsiTheme="minorHAnsi"/>
                <w:sz w:val="20"/>
                <w:szCs w:val="20"/>
                <w:lang w:eastAsia="ja-JP"/>
              </w:rPr>
            </w:pPr>
            <w:r w:rsidRPr="004A6C4C">
              <w:rPr>
                <w:rFonts w:asciiTheme="minorHAnsi" w:hAnsiTheme="minorHAnsi"/>
                <w:sz w:val="20"/>
                <w:szCs w:val="20"/>
                <w:lang w:eastAsia="ja-JP"/>
              </w:rPr>
              <w:t>Outcome variables</w:t>
            </w:r>
          </w:p>
        </w:tc>
        <w:tc>
          <w:tcPr>
            <w:tcW w:w="0" w:type="auto"/>
          </w:tcPr>
          <w:p w14:paraId="0C33E261" w14:textId="3C5E900E" w:rsidR="00D917BC" w:rsidRPr="004A6C4C" w:rsidRDefault="00D917BC" w:rsidP="00D917BC">
            <w:pPr>
              <w:rPr>
                <w:rFonts w:asciiTheme="minorHAnsi" w:hAnsiTheme="minorHAnsi"/>
                <w:sz w:val="20"/>
                <w:szCs w:val="20"/>
                <w:lang w:eastAsia="ja-JP"/>
              </w:rPr>
            </w:pPr>
            <w:r w:rsidRPr="004A6C4C">
              <w:rPr>
                <w:rFonts w:asciiTheme="minorHAnsi" w:hAnsiTheme="minorHAnsi"/>
                <w:sz w:val="20"/>
                <w:szCs w:val="20"/>
                <w:lang w:eastAsia="ja-JP"/>
              </w:rPr>
              <w:t>Overall (n = 82)</w:t>
            </w:r>
          </w:p>
        </w:tc>
        <w:tc>
          <w:tcPr>
            <w:tcW w:w="0" w:type="auto"/>
          </w:tcPr>
          <w:p w14:paraId="3D806B65" w14:textId="401CF2C3" w:rsidR="00D917BC" w:rsidRPr="004A6C4C" w:rsidRDefault="008E7235" w:rsidP="00D917BC">
            <w:pPr>
              <w:rPr>
                <w:rFonts w:asciiTheme="minorHAnsi" w:hAnsiTheme="minorHAnsi"/>
                <w:sz w:val="20"/>
                <w:szCs w:val="20"/>
                <w:lang w:eastAsia="ja-JP"/>
              </w:rPr>
            </w:pPr>
            <w:r>
              <w:sym w:font="Symbol" w:char="F0B3"/>
            </w:r>
            <w:r w:rsidR="00D917BC" w:rsidRPr="004A6C4C">
              <w:rPr>
                <w:rFonts w:asciiTheme="minorHAnsi" w:hAnsiTheme="minorHAnsi"/>
                <w:sz w:val="20"/>
                <w:szCs w:val="20"/>
                <w:lang w:eastAsia="ja-JP"/>
              </w:rPr>
              <w:t xml:space="preserve"> 75 years (n = 40)</w:t>
            </w:r>
          </w:p>
        </w:tc>
        <w:tc>
          <w:tcPr>
            <w:tcW w:w="0" w:type="auto"/>
          </w:tcPr>
          <w:p w14:paraId="02A4D876" w14:textId="32DCFBC0" w:rsidR="00D917BC" w:rsidRPr="004A6C4C" w:rsidRDefault="00D917BC" w:rsidP="00D917BC">
            <w:pPr>
              <w:rPr>
                <w:rFonts w:asciiTheme="minorHAnsi" w:hAnsiTheme="minorHAnsi"/>
                <w:sz w:val="20"/>
                <w:szCs w:val="20"/>
                <w:lang w:eastAsia="ja-JP"/>
              </w:rPr>
            </w:pPr>
            <w:r w:rsidRPr="004A6C4C">
              <w:rPr>
                <w:rFonts w:asciiTheme="minorHAnsi" w:hAnsiTheme="minorHAnsi"/>
                <w:sz w:val="20"/>
                <w:szCs w:val="20"/>
                <w:lang w:eastAsia="ja-JP"/>
              </w:rPr>
              <w:t>&lt; 75 years (n = 42)</w:t>
            </w:r>
          </w:p>
        </w:tc>
      </w:tr>
      <w:tr w:rsidR="00D917BC" w:rsidRPr="004A6C4C" w14:paraId="12634E95" w14:textId="77777777" w:rsidTr="005A6D22">
        <w:tc>
          <w:tcPr>
            <w:tcW w:w="0" w:type="auto"/>
            <w:gridSpan w:val="4"/>
          </w:tcPr>
          <w:p w14:paraId="37E97611" w14:textId="576A057B" w:rsidR="00D917BC" w:rsidRPr="004A6C4C" w:rsidRDefault="00D917BC" w:rsidP="00D917BC">
            <w:pPr>
              <w:rPr>
                <w:rFonts w:asciiTheme="minorHAnsi" w:eastAsia="TimesNewRoman" w:hAnsiTheme="minorHAnsi" w:cs="TimesNewRoman"/>
                <w:b/>
                <w:sz w:val="20"/>
                <w:szCs w:val="20"/>
              </w:rPr>
            </w:pPr>
            <w:r w:rsidRPr="004A6C4C">
              <w:rPr>
                <w:rFonts w:asciiTheme="minorHAnsi" w:hAnsiTheme="minorHAnsi"/>
                <w:b/>
                <w:sz w:val="20"/>
                <w:szCs w:val="20"/>
                <w:lang w:eastAsia="ja-JP"/>
              </w:rPr>
              <w:t>Rate, n (%) [95% CI]</w:t>
            </w:r>
          </w:p>
        </w:tc>
      </w:tr>
      <w:tr w:rsidR="00D917BC" w:rsidRPr="004A6C4C" w14:paraId="683FB684" w14:textId="77777777" w:rsidTr="00D917BC">
        <w:tc>
          <w:tcPr>
            <w:tcW w:w="0" w:type="auto"/>
          </w:tcPr>
          <w:p w14:paraId="06CA6CE5" w14:textId="0A57FFFB" w:rsidR="00D917BC" w:rsidRPr="004A6C4C" w:rsidRDefault="00D917BC" w:rsidP="00D917BC">
            <w:pPr>
              <w:rPr>
                <w:rFonts w:asciiTheme="minorHAnsi" w:hAnsiTheme="minorHAnsi"/>
                <w:sz w:val="20"/>
                <w:szCs w:val="20"/>
                <w:lang w:eastAsia="ja-JP"/>
              </w:rPr>
            </w:pPr>
            <w:r w:rsidRPr="004A6C4C">
              <w:rPr>
                <w:rFonts w:asciiTheme="minorHAnsi" w:hAnsiTheme="minorHAnsi"/>
                <w:sz w:val="20"/>
                <w:szCs w:val="20"/>
                <w:lang w:eastAsia="ja-JP"/>
              </w:rPr>
              <w:t>CR</w:t>
            </w:r>
          </w:p>
        </w:tc>
        <w:tc>
          <w:tcPr>
            <w:tcW w:w="0" w:type="auto"/>
          </w:tcPr>
          <w:p w14:paraId="1EC03A9A" w14:textId="41D1776F" w:rsidR="00D917BC" w:rsidRPr="004A6C4C" w:rsidRDefault="00D917B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21 (25.6%) [16.6, 36.4]</w:t>
            </w:r>
          </w:p>
        </w:tc>
        <w:tc>
          <w:tcPr>
            <w:tcW w:w="0" w:type="auto"/>
          </w:tcPr>
          <w:p w14:paraId="4F94DC45" w14:textId="77777777" w:rsidR="00D917BC" w:rsidRPr="004A6C4C" w:rsidRDefault="00D917BC" w:rsidP="00D917BC">
            <w:pPr>
              <w:rPr>
                <w:rFonts w:asciiTheme="minorHAnsi" w:hAnsiTheme="minorHAnsi"/>
                <w:sz w:val="20"/>
                <w:szCs w:val="20"/>
                <w:lang w:eastAsia="ja-JP"/>
              </w:rPr>
            </w:pPr>
            <w:r w:rsidRPr="004A6C4C">
              <w:rPr>
                <w:rFonts w:asciiTheme="minorHAnsi" w:eastAsia="TimesNewRoman" w:hAnsiTheme="minorHAnsi" w:cs="TimesNewRoman"/>
                <w:sz w:val="20"/>
                <w:szCs w:val="20"/>
              </w:rPr>
              <w:t>11 (27.5%) [14.6, 23.9]</w:t>
            </w:r>
          </w:p>
        </w:tc>
        <w:tc>
          <w:tcPr>
            <w:tcW w:w="0" w:type="auto"/>
          </w:tcPr>
          <w:p w14:paraId="1CD310FF" w14:textId="77777777" w:rsidR="00D917BC" w:rsidRPr="004A6C4C" w:rsidRDefault="00D917BC" w:rsidP="00D917BC">
            <w:pPr>
              <w:rPr>
                <w:rFonts w:asciiTheme="minorHAnsi" w:hAnsiTheme="minorHAnsi"/>
                <w:sz w:val="20"/>
                <w:szCs w:val="20"/>
                <w:lang w:eastAsia="ja-JP"/>
              </w:rPr>
            </w:pPr>
            <w:r w:rsidRPr="004A6C4C">
              <w:rPr>
                <w:rFonts w:asciiTheme="minorHAnsi" w:hAnsiTheme="minorHAnsi"/>
                <w:sz w:val="20"/>
                <w:szCs w:val="20"/>
                <w:lang w:eastAsia="ja-JP"/>
              </w:rPr>
              <w:t>10 (23.8%) [12.1, 39.5]</w:t>
            </w:r>
          </w:p>
        </w:tc>
      </w:tr>
      <w:tr w:rsidR="00D917BC" w:rsidRPr="004A6C4C" w14:paraId="64DB4C1A" w14:textId="77777777" w:rsidTr="00D917BC">
        <w:tc>
          <w:tcPr>
            <w:tcW w:w="0" w:type="auto"/>
          </w:tcPr>
          <w:p w14:paraId="6F49C269" w14:textId="2FC7A596" w:rsidR="00D917BC" w:rsidRPr="004A6C4C" w:rsidRDefault="00D917BC" w:rsidP="00D917BC">
            <w:pPr>
              <w:rPr>
                <w:rFonts w:asciiTheme="minorHAnsi" w:hAnsiTheme="minorHAnsi"/>
                <w:sz w:val="20"/>
                <w:szCs w:val="20"/>
                <w:lang w:eastAsia="ja-JP"/>
              </w:rPr>
            </w:pPr>
            <w:r w:rsidRPr="004A6C4C">
              <w:rPr>
                <w:rFonts w:asciiTheme="minorHAnsi" w:eastAsia="TimesNewRoman" w:hAnsiTheme="minorHAnsi" w:cs="TimesNewRoman"/>
                <w:sz w:val="20"/>
                <w:szCs w:val="20"/>
              </w:rPr>
              <w:t>CR + CRh</w:t>
            </w:r>
          </w:p>
        </w:tc>
        <w:tc>
          <w:tcPr>
            <w:tcW w:w="0" w:type="auto"/>
          </w:tcPr>
          <w:p w14:paraId="7BB43BE3" w14:textId="6D8E2CD5" w:rsidR="00D917BC" w:rsidRPr="004A6C4C" w:rsidRDefault="00D917B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38 (46.3%) [35.3, 57.7]</w:t>
            </w:r>
          </w:p>
        </w:tc>
        <w:tc>
          <w:tcPr>
            <w:tcW w:w="0" w:type="auto"/>
          </w:tcPr>
          <w:p w14:paraId="4C6A7C82" w14:textId="77777777" w:rsidR="00D917BC" w:rsidRPr="004A6C4C" w:rsidRDefault="00D917BC" w:rsidP="00D917BC">
            <w:pPr>
              <w:rPr>
                <w:rFonts w:asciiTheme="minorHAnsi" w:hAnsiTheme="minorHAnsi"/>
                <w:sz w:val="20"/>
                <w:szCs w:val="20"/>
                <w:lang w:eastAsia="ja-JP"/>
              </w:rPr>
            </w:pPr>
            <w:r w:rsidRPr="004A6C4C">
              <w:rPr>
                <w:rFonts w:asciiTheme="minorHAnsi" w:eastAsia="TimesNewRoman" w:hAnsiTheme="minorHAnsi" w:cs="TimesNewRoman"/>
                <w:sz w:val="20"/>
                <w:szCs w:val="20"/>
              </w:rPr>
              <w:t>22 (55.0%) [38.5, 70.7]</w:t>
            </w:r>
          </w:p>
        </w:tc>
        <w:tc>
          <w:tcPr>
            <w:tcW w:w="0" w:type="auto"/>
          </w:tcPr>
          <w:p w14:paraId="2C37699C" w14:textId="77777777" w:rsidR="00D917BC" w:rsidRPr="004A6C4C" w:rsidRDefault="00D917BC" w:rsidP="00D917BC">
            <w:pPr>
              <w:rPr>
                <w:rFonts w:asciiTheme="minorHAnsi" w:hAnsiTheme="minorHAnsi"/>
                <w:sz w:val="20"/>
                <w:szCs w:val="20"/>
                <w:lang w:eastAsia="ja-JP"/>
              </w:rPr>
            </w:pPr>
            <w:r w:rsidRPr="004A6C4C">
              <w:rPr>
                <w:rFonts w:asciiTheme="minorHAnsi" w:hAnsiTheme="minorHAnsi"/>
                <w:sz w:val="20"/>
                <w:szCs w:val="20"/>
                <w:lang w:eastAsia="ja-JP"/>
              </w:rPr>
              <w:t>16 (38.1%) [23.6, 54.4]</w:t>
            </w:r>
          </w:p>
        </w:tc>
      </w:tr>
      <w:tr w:rsidR="00D917BC" w:rsidRPr="004A6C4C" w14:paraId="452BE484" w14:textId="77777777" w:rsidTr="00D917BC">
        <w:tc>
          <w:tcPr>
            <w:tcW w:w="0" w:type="auto"/>
          </w:tcPr>
          <w:p w14:paraId="4C0377C2" w14:textId="3C694785" w:rsidR="00D917BC" w:rsidRPr="004A6C4C" w:rsidRDefault="00D917BC" w:rsidP="00D917BC">
            <w:pPr>
              <w:rPr>
                <w:rFonts w:asciiTheme="minorHAnsi" w:hAnsiTheme="minorHAnsi"/>
                <w:sz w:val="20"/>
                <w:szCs w:val="20"/>
                <w:lang w:eastAsia="ja-JP"/>
              </w:rPr>
            </w:pPr>
            <w:r w:rsidRPr="004A6C4C">
              <w:rPr>
                <w:rFonts w:asciiTheme="minorHAnsi" w:eastAsia="TimesNewRoman" w:hAnsiTheme="minorHAnsi" w:cs="TimesNewRoman"/>
                <w:sz w:val="20"/>
                <w:szCs w:val="20"/>
              </w:rPr>
              <w:t>CR + C</w:t>
            </w:r>
            <w:r w:rsidR="002A1D81">
              <w:rPr>
                <w:rFonts w:asciiTheme="minorHAnsi" w:eastAsia="TimesNewRoman" w:hAnsiTheme="minorHAnsi" w:cs="TimesNewRoman"/>
                <w:sz w:val="20"/>
                <w:szCs w:val="20"/>
              </w:rPr>
              <w:t>R</w:t>
            </w:r>
            <w:r w:rsidRPr="004A6C4C">
              <w:rPr>
                <w:rFonts w:asciiTheme="minorHAnsi" w:eastAsia="TimesNewRoman" w:hAnsiTheme="minorHAnsi" w:cs="TimesNewRoman"/>
                <w:sz w:val="20"/>
                <w:szCs w:val="20"/>
              </w:rPr>
              <w:t>i</w:t>
            </w:r>
          </w:p>
        </w:tc>
        <w:tc>
          <w:tcPr>
            <w:tcW w:w="0" w:type="auto"/>
          </w:tcPr>
          <w:p w14:paraId="3C16200C" w14:textId="541FF475" w:rsidR="00D917BC" w:rsidRPr="004A6C4C" w:rsidRDefault="00D917B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44 (53.7%) [42.3, 64.7</w:t>
            </w:r>
            <w:r w:rsidR="00205334">
              <w:rPr>
                <w:rFonts w:asciiTheme="minorHAnsi" w:eastAsia="TimesNewRoman" w:hAnsiTheme="minorHAnsi" w:cs="TimesNewRoman"/>
                <w:sz w:val="20"/>
                <w:szCs w:val="20"/>
              </w:rPr>
              <w:t>]</w:t>
            </w:r>
          </w:p>
        </w:tc>
        <w:tc>
          <w:tcPr>
            <w:tcW w:w="0" w:type="auto"/>
          </w:tcPr>
          <w:p w14:paraId="37D84CA5" w14:textId="77777777" w:rsidR="00D917BC" w:rsidRPr="004A6C4C" w:rsidRDefault="00D917BC" w:rsidP="00D917BC">
            <w:pPr>
              <w:rPr>
                <w:rFonts w:asciiTheme="minorHAnsi" w:hAnsiTheme="minorHAnsi"/>
                <w:sz w:val="20"/>
                <w:szCs w:val="20"/>
                <w:lang w:eastAsia="ja-JP"/>
              </w:rPr>
            </w:pPr>
            <w:r w:rsidRPr="004A6C4C">
              <w:rPr>
                <w:rFonts w:asciiTheme="minorHAnsi" w:eastAsia="TimesNewRoman" w:hAnsiTheme="minorHAnsi" w:cs="TimesNewRoman"/>
                <w:sz w:val="20"/>
                <w:szCs w:val="20"/>
              </w:rPr>
              <w:t>24 (60.0%) [43.3, 75.1]</w:t>
            </w:r>
          </w:p>
        </w:tc>
        <w:tc>
          <w:tcPr>
            <w:tcW w:w="0" w:type="auto"/>
          </w:tcPr>
          <w:p w14:paraId="00011915" w14:textId="35C0F718" w:rsidR="00D917BC" w:rsidRPr="004A6C4C" w:rsidRDefault="004628FC" w:rsidP="00D917BC">
            <w:pPr>
              <w:rPr>
                <w:rFonts w:asciiTheme="minorHAnsi" w:hAnsiTheme="minorHAnsi"/>
                <w:sz w:val="20"/>
                <w:szCs w:val="20"/>
                <w:lang w:eastAsia="ja-JP"/>
              </w:rPr>
            </w:pPr>
            <w:r w:rsidRPr="004A6C4C">
              <w:rPr>
                <w:rFonts w:asciiTheme="minorHAnsi" w:hAnsiTheme="minorHAnsi"/>
                <w:sz w:val="20"/>
                <w:szCs w:val="20"/>
                <w:lang w:eastAsia="ja-JP"/>
              </w:rPr>
              <w:t>20 (47.6%) [32.0, 63.6]</w:t>
            </w:r>
          </w:p>
        </w:tc>
      </w:tr>
      <w:tr w:rsidR="00D917BC" w:rsidRPr="004A6C4C" w14:paraId="0A41B97E" w14:textId="77777777" w:rsidTr="00D917BC">
        <w:tc>
          <w:tcPr>
            <w:tcW w:w="0" w:type="auto"/>
          </w:tcPr>
          <w:p w14:paraId="3FEA6409" w14:textId="1D1D18C9" w:rsidR="00D917BC" w:rsidRPr="004A6C4C" w:rsidRDefault="00D917BC" w:rsidP="00D917BC">
            <w:pPr>
              <w:rPr>
                <w:rFonts w:asciiTheme="minorHAnsi" w:hAnsiTheme="minorHAnsi"/>
                <w:sz w:val="20"/>
                <w:szCs w:val="20"/>
                <w:lang w:eastAsia="ja-JP"/>
              </w:rPr>
            </w:pPr>
            <w:r w:rsidRPr="004A6C4C">
              <w:rPr>
                <w:rFonts w:asciiTheme="minorHAnsi" w:eastAsia="TimesNewRoman" w:hAnsiTheme="minorHAnsi" w:cs="TimesNewRoman"/>
                <w:sz w:val="20"/>
                <w:szCs w:val="20"/>
              </w:rPr>
              <w:t>RBC transfusion independence</w:t>
            </w:r>
          </w:p>
        </w:tc>
        <w:tc>
          <w:tcPr>
            <w:tcW w:w="0" w:type="auto"/>
          </w:tcPr>
          <w:p w14:paraId="1E0C8AEF" w14:textId="5CA25C44" w:rsidR="00D917BC" w:rsidRPr="004A6C4C" w:rsidRDefault="00D917BC" w:rsidP="004628F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39 (47.6%) [36.4,</w:t>
            </w:r>
            <w:r w:rsidR="004628FC" w:rsidRPr="004A6C4C">
              <w:rPr>
                <w:rFonts w:asciiTheme="minorHAnsi" w:eastAsia="TimesNewRoman" w:hAnsiTheme="minorHAnsi" w:cs="TimesNewRoman"/>
                <w:sz w:val="20"/>
                <w:szCs w:val="20"/>
              </w:rPr>
              <w:t> </w:t>
            </w:r>
            <w:r w:rsidRPr="004A6C4C">
              <w:rPr>
                <w:rFonts w:asciiTheme="minorHAnsi" w:eastAsia="TimesNewRoman" w:hAnsiTheme="minorHAnsi" w:cs="TimesNewRoman"/>
                <w:sz w:val="20"/>
                <w:szCs w:val="20"/>
              </w:rPr>
              <w:t>58.9]</w:t>
            </w:r>
          </w:p>
        </w:tc>
        <w:tc>
          <w:tcPr>
            <w:tcW w:w="0" w:type="auto"/>
          </w:tcPr>
          <w:p w14:paraId="623AA83F" w14:textId="77777777" w:rsidR="00D917BC" w:rsidRPr="004A6C4C" w:rsidRDefault="00D917BC" w:rsidP="00D917BC">
            <w:pPr>
              <w:rPr>
                <w:rFonts w:asciiTheme="minorHAnsi" w:hAnsiTheme="minorHAnsi"/>
                <w:sz w:val="20"/>
                <w:szCs w:val="20"/>
                <w:lang w:eastAsia="ja-JP"/>
              </w:rPr>
            </w:pPr>
            <w:r w:rsidRPr="004A6C4C">
              <w:rPr>
                <w:rFonts w:asciiTheme="minorHAnsi" w:eastAsia="TimesNewRoman" w:hAnsiTheme="minorHAnsi" w:cs="TimesNewRoman"/>
                <w:sz w:val="20"/>
                <w:szCs w:val="20"/>
              </w:rPr>
              <w:t>23 (57.5%) [40.9, 73.0]</w:t>
            </w:r>
          </w:p>
        </w:tc>
        <w:tc>
          <w:tcPr>
            <w:tcW w:w="0" w:type="auto"/>
          </w:tcPr>
          <w:p w14:paraId="7F556647" w14:textId="77777777" w:rsidR="00D917BC" w:rsidRPr="004A6C4C" w:rsidRDefault="00D917BC" w:rsidP="00D917BC">
            <w:pPr>
              <w:rPr>
                <w:rFonts w:asciiTheme="minorHAnsi" w:hAnsiTheme="minorHAnsi"/>
                <w:sz w:val="20"/>
                <w:szCs w:val="20"/>
                <w:lang w:eastAsia="ja-JP"/>
              </w:rPr>
            </w:pPr>
            <w:r w:rsidRPr="004A6C4C">
              <w:rPr>
                <w:rFonts w:asciiTheme="minorHAnsi" w:hAnsiTheme="minorHAnsi"/>
                <w:sz w:val="20"/>
                <w:szCs w:val="20"/>
                <w:lang w:eastAsia="ja-JP"/>
              </w:rPr>
              <w:t>16 (38.1%) [23.6, 54.4]</w:t>
            </w:r>
          </w:p>
        </w:tc>
      </w:tr>
      <w:tr w:rsidR="00D917BC" w:rsidRPr="004A6C4C" w14:paraId="23C9FC18" w14:textId="77777777" w:rsidTr="00D917BC">
        <w:tc>
          <w:tcPr>
            <w:tcW w:w="0" w:type="auto"/>
          </w:tcPr>
          <w:p w14:paraId="1675C874" w14:textId="659DD9CA" w:rsidR="00D917BC" w:rsidRPr="004A6C4C" w:rsidRDefault="00D917B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Platelet transfusion independence</w:t>
            </w:r>
          </w:p>
        </w:tc>
        <w:tc>
          <w:tcPr>
            <w:tcW w:w="0" w:type="auto"/>
          </w:tcPr>
          <w:p w14:paraId="3F97CE07" w14:textId="243081B8" w:rsidR="00D917BC" w:rsidRPr="004A6C4C" w:rsidRDefault="00D917BC" w:rsidP="004628F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49 (59.8%) [48.3,</w:t>
            </w:r>
            <w:r w:rsidR="004628FC" w:rsidRPr="004A6C4C">
              <w:rPr>
                <w:rFonts w:asciiTheme="minorHAnsi" w:eastAsia="TimesNewRoman" w:hAnsiTheme="minorHAnsi" w:cs="TimesNewRoman"/>
                <w:sz w:val="20"/>
                <w:szCs w:val="20"/>
              </w:rPr>
              <w:t> </w:t>
            </w:r>
            <w:r w:rsidRPr="004A6C4C">
              <w:rPr>
                <w:rFonts w:asciiTheme="minorHAnsi" w:eastAsia="TimesNewRoman" w:hAnsiTheme="minorHAnsi" w:cs="TimesNewRoman"/>
                <w:sz w:val="20"/>
                <w:szCs w:val="20"/>
              </w:rPr>
              <w:t>70.4]</w:t>
            </w:r>
          </w:p>
        </w:tc>
        <w:tc>
          <w:tcPr>
            <w:tcW w:w="0" w:type="auto"/>
          </w:tcPr>
          <w:p w14:paraId="3DC7ABC0" w14:textId="77777777" w:rsidR="00D917BC" w:rsidRPr="004A6C4C" w:rsidRDefault="00D917B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26 (65.0%) [48.3, 79.4]</w:t>
            </w:r>
          </w:p>
        </w:tc>
        <w:tc>
          <w:tcPr>
            <w:tcW w:w="0" w:type="auto"/>
          </w:tcPr>
          <w:p w14:paraId="3014A9FC" w14:textId="77777777" w:rsidR="00D917BC" w:rsidRPr="004A6C4C" w:rsidRDefault="00D917B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23 (54.8%) [38.7, 70.2]</w:t>
            </w:r>
          </w:p>
        </w:tc>
      </w:tr>
      <w:tr w:rsidR="004628FC" w:rsidRPr="004A6C4C" w14:paraId="59DCEA84" w14:textId="77777777" w:rsidTr="005A6D22">
        <w:tc>
          <w:tcPr>
            <w:tcW w:w="0" w:type="auto"/>
            <w:gridSpan w:val="4"/>
          </w:tcPr>
          <w:p w14:paraId="384F6B87" w14:textId="4B3F3009" w:rsidR="004628FC" w:rsidRPr="004A6C4C" w:rsidRDefault="004628FC" w:rsidP="00D917BC">
            <w:pPr>
              <w:rPr>
                <w:rFonts w:asciiTheme="minorHAnsi" w:eastAsia="TimesNewRoman" w:hAnsiTheme="minorHAnsi" w:cs="TimesNewRoman"/>
                <w:b/>
                <w:sz w:val="20"/>
                <w:szCs w:val="20"/>
              </w:rPr>
            </w:pPr>
            <w:r w:rsidRPr="004A6C4C">
              <w:rPr>
                <w:rFonts w:asciiTheme="minorHAnsi" w:eastAsia="TimesNewRoman" w:hAnsiTheme="minorHAnsi" w:cs="TimesNewRoman"/>
                <w:b/>
                <w:sz w:val="20"/>
                <w:szCs w:val="20"/>
              </w:rPr>
              <w:t>Median duration, months [95% CI]</w:t>
            </w:r>
          </w:p>
        </w:tc>
      </w:tr>
      <w:tr w:rsidR="00D917BC" w:rsidRPr="004A6C4C" w14:paraId="1DB109EE" w14:textId="77777777" w:rsidTr="00D917BC">
        <w:tc>
          <w:tcPr>
            <w:tcW w:w="0" w:type="auto"/>
          </w:tcPr>
          <w:p w14:paraId="0B1DA6F1" w14:textId="20F9F8A2" w:rsidR="00D917BC" w:rsidRPr="004A6C4C" w:rsidRDefault="00D917B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Median duration of CR</w:t>
            </w:r>
          </w:p>
        </w:tc>
        <w:tc>
          <w:tcPr>
            <w:tcW w:w="0" w:type="auto"/>
          </w:tcPr>
          <w:p w14:paraId="0B9A2EFD" w14:textId="77777777" w:rsidR="00D917BC" w:rsidRPr="004A6C4C" w:rsidRDefault="00D917B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14.8 [5.6, -]</w:t>
            </w:r>
          </w:p>
        </w:tc>
        <w:tc>
          <w:tcPr>
            <w:tcW w:w="0" w:type="auto"/>
          </w:tcPr>
          <w:p w14:paraId="350965AB" w14:textId="77777777" w:rsidR="00D917BC" w:rsidRPr="004A6C4C" w:rsidRDefault="00D917B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14.8 [2.7, -]</w:t>
            </w:r>
          </w:p>
        </w:tc>
        <w:tc>
          <w:tcPr>
            <w:tcW w:w="0" w:type="auto"/>
          </w:tcPr>
          <w:p w14:paraId="448E2F15" w14:textId="70115495" w:rsidR="00D917BC" w:rsidRPr="004A6C4C" w:rsidRDefault="004628F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11.6 [1.8, -]</w:t>
            </w:r>
          </w:p>
        </w:tc>
      </w:tr>
      <w:tr w:rsidR="00D917BC" w:rsidRPr="004A6C4C" w14:paraId="2BE062C4" w14:textId="77777777" w:rsidTr="00D917BC">
        <w:tc>
          <w:tcPr>
            <w:tcW w:w="0" w:type="auto"/>
          </w:tcPr>
          <w:p w14:paraId="2BD6A603" w14:textId="4E6F8915" w:rsidR="00D917BC" w:rsidRPr="004A6C4C" w:rsidRDefault="00D917B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lastRenderedPageBreak/>
              <w:t>Median duration of CR + CRh</w:t>
            </w:r>
          </w:p>
        </w:tc>
        <w:tc>
          <w:tcPr>
            <w:tcW w:w="0" w:type="auto"/>
          </w:tcPr>
          <w:p w14:paraId="64AB7D8E" w14:textId="77777777" w:rsidR="00D917BC" w:rsidRPr="004A6C4C" w:rsidRDefault="00D917B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11.0 [6.1, -]</w:t>
            </w:r>
          </w:p>
        </w:tc>
        <w:tc>
          <w:tcPr>
            <w:tcW w:w="0" w:type="auto"/>
          </w:tcPr>
          <w:p w14:paraId="21FCA0D5" w14:textId="77777777" w:rsidR="00D917BC" w:rsidRPr="004A6C4C" w:rsidRDefault="00D917B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14.3 [5.6, -]</w:t>
            </w:r>
          </w:p>
        </w:tc>
        <w:tc>
          <w:tcPr>
            <w:tcW w:w="0" w:type="auto"/>
          </w:tcPr>
          <w:p w14:paraId="73B2C299" w14:textId="77777777" w:rsidR="00D917BC" w:rsidRPr="004A6C4C" w:rsidRDefault="00D917B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8.3 [4.1, -]</w:t>
            </w:r>
          </w:p>
        </w:tc>
      </w:tr>
      <w:tr w:rsidR="00D917BC" w:rsidRPr="004A6C4C" w14:paraId="69310339" w14:textId="77777777" w:rsidTr="00D917BC">
        <w:tc>
          <w:tcPr>
            <w:tcW w:w="0" w:type="auto"/>
          </w:tcPr>
          <w:p w14:paraId="5A39C45B" w14:textId="753A1E57" w:rsidR="00D917BC" w:rsidRPr="004A6C4C" w:rsidRDefault="00D917B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Median duration of CR + CRi</w:t>
            </w:r>
          </w:p>
        </w:tc>
        <w:tc>
          <w:tcPr>
            <w:tcW w:w="0" w:type="auto"/>
          </w:tcPr>
          <w:p w14:paraId="752EB803" w14:textId="77777777" w:rsidR="00D917BC" w:rsidRPr="004A6C4C" w:rsidRDefault="00D917B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8.1 [5.3, 14.9]</w:t>
            </w:r>
          </w:p>
        </w:tc>
        <w:tc>
          <w:tcPr>
            <w:tcW w:w="0" w:type="auto"/>
          </w:tcPr>
          <w:p w14:paraId="1C564CF1" w14:textId="60CF60A1" w:rsidR="00D917BC" w:rsidRPr="004A6C4C" w:rsidRDefault="004628F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14.1 [5.3, -]</w:t>
            </w:r>
          </w:p>
        </w:tc>
        <w:tc>
          <w:tcPr>
            <w:tcW w:w="0" w:type="auto"/>
          </w:tcPr>
          <w:p w14:paraId="35D28B26" w14:textId="07ED37DD" w:rsidR="00D917BC" w:rsidRPr="004A6C4C" w:rsidRDefault="004628F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6.1 [2.6, -]</w:t>
            </w:r>
          </w:p>
        </w:tc>
      </w:tr>
      <w:tr w:rsidR="00D917BC" w:rsidRPr="004A6C4C" w14:paraId="652E1C05" w14:textId="77777777" w:rsidTr="00D917BC">
        <w:tc>
          <w:tcPr>
            <w:tcW w:w="0" w:type="auto"/>
          </w:tcPr>
          <w:p w14:paraId="18559A6B" w14:textId="3E355F29" w:rsidR="00D917BC" w:rsidRPr="004A6C4C" w:rsidRDefault="004628F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Median overall survival</w:t>
            </w:r>
          </w:p>
        </w:tc>
        <w:tc>
          <w:tcPr>
            <w:tcW w:w="0" w:type="auto"/>
          </w:tcPr>
          <w:p w14:paraId="2711C640" w14:textId="77777777" w:rsidR="00D917BC" w:rsidRPr="004A6C4C" w:rsidRDefault="00D917B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10.1 [5.7, 14.2]</w:t>
            </w:r>
          </w:p>
        </w:tc>
        <w:tc>
          <w:tcPr>
            <w:tcW w:w="0" w:type="auto"/>
          </w:tcPr>
          <w:p w14:paraId="6FEF54BF" w14:textId="77777777" w:rsidR="00D917BC" w:rsidRPr="004A6C4C" w:rsidRDefault="00D917B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14.9 [6.1, -]</w:t>
            </w:r>
          </w:p>
        </w:tc>
        <w:tc>
          <w:tcPr>
            <w:tcW w:w="0" w:type="auto"/>
          </w:tcPr>
          <w:p w14:paraId="4B9318E0" w14:textId="77777777" w:rsidR="00D917BC" w:rsidRPr="004A6C4C" w:rsidRDefault="00D917BC" w:rsidP="00D917BC">
            <w:pPr>
              <w:rPr>
                <w:rFonts w:asciiTheme="minorHAnsi" w:eastAsia="TimesNewRoman" w:hAnsiTheme="minorHAnsi" w:cs="TimesNewRoman"/>
                <w:sz w:val="20"/>
                <w:szCs w:val="20"/>
              </w:rPr>
            </w:pPr>
            <w:r w:rsidRPr="004A6C4C">
              <w:rPr>
                <w:rFonts w:asciiTheme="minorHAnsi" w:eastAsia="TimesNewRoman" w:hAnsiTheme="minorHAnsi" w:cs="TimesNewRoman"/>
                <w:sz w:val="20"/>
                <w:szCs w:val="20"/>
              </w:rPr>
              <w:t>6.5 [3.7, 11.7]</w:t>
            </w:r>
          </w:p>
        </w:tc>
      </w:tr>
    </w:tbl>
    <w:p w14:paraId="4FB03AE2" w14:textId="359709A7" w:rsidR="00C77195" w:rsidRDefault="00C77195" w:rsidP="00C77195">
      <w:pPr>
        <w:pStyle w:val="TableDescription"/>
        <w:rPr>
          <w:rFonts w:eastAsia="TimesNewRoman" w:cs="TimesNewRoman"/>
          <w:szCs w:val="22"/>
        </w:rPr>
      </w:pPr>
      <w:r w:rsidRPr="00C77195">
        <w:t xml:space="preserve">QD = once daily; </w:t>
      </w:r>
      <w:r w:rsidR="00D56438">
        <w:t>LDAC</w:t>
      </w:r>
      <w:r w:rsidRPr="00C77195">
        <w:t xml:space="preserve"> = low dose cytarabine; CR = complete remission; CRi = complete remission with incomplete blood count recovery; CI = confidence interval; CRh = </w:t>
      </w:r>
      <w:r w:rsidRPr="00C77195">
        <w:rPr>
          <w:rFonts w:eastAsia="TimesNewRoman" w:cs="TimesNewRoman"/>
          <w:szCs w:val="22"/>
        </w:rPr>
        <w:t>complete remission with partial hematologic recovery; RBC = red blood cell</w:t>
      </w:r>
      <w:r w:rsidR="004A6C4C">
        <w:rPr>
          <w:rFonts w:eastAsia="TimesNewRoman" w:cs="TimesNewRoman"/>
          <w:szCs w:val="22"/>
        </w:rPr>
        <w:t>.</w:t>
      </w:r>
    </w:p>
    <w:p w14:paraId="566BC31F" w14:textId="77777777" w:rsidR="00FA254C" w:rsidRDefault="00FA254C" w:rsidP="00FA254C">
      <w:pPr>
        <w:pStyle w:val="Heading5"/>
      </w:pPr>
      <w:r>
        <w:t>Venetoclax with azacitidine</w:t>
      </w:r>
    </w:p>
    <w:p w14:paraId="7F295C17" w14:textId="410682BC" w:rsidR="00FA254C" w:rsidRDefault="00FA254C" w:rsidP="00FA254C">
      <w:r>
        <w:t>The pivotal analysis supporting the combination of venetoclax and azacitidine was provided by Study M14-358.</w:t>
      </w:r>
      <w:bookmarkStart w:id="48" w:name="_Ref50608637"/>
      <w:r w:rsidR="00765D4C">
        <w:rPr>
          <w:rStyle w:val="FootnoteReference"/>
        </w:rPr>
        <w:footnoteReference w:id="25"/>
      </w:r>
      <w:bookmarkEnd w:id="48"/>
      <w:r>
        <w:t xml:space="preserve"> This was a Phase Ib study in 212 patients with treatment naïve patients with AML who were ineligible for intensive therapy due to age and/or comorbidities. Patients received venetoclax daily, and azacitidine (75 mg/m</w:t>
      </w:r>
      <w:r w:rsidRPr="008C4923">
        <w:rPr>
          <w:vertAlign w:val="superscript"/>
        </w:rPr>
        <w:t>2</w:t>
      </w:r>
      <w:r>
        <w:t>) or decitabine (20 mg/m</w:t>
      </w:r>
      <w:r w:rsidRPr="008C4923">
        <w:rPr>
          <w:vertAlign w:val="superscript"/>
        </w:rPr>
        <w:t>2</w:t>
      </w:r>
      <w:r>
        <w:t>) on days 1 to 7 or days 1 to 5 of each 28 day cycle respectively. The primary endpoint of the study was the complete remission (CR) rate.</w:t>
      </w:r>
    </w:p>
    <w:p w14:paraId="70BEEAC5" w14:textId="52B50C0E" w:rsidR="00FA254C" w:rsidRPr="00AB28DC" w:rsidRDefault="00FA254C" w:rsidP="00FA254C">
      <w:pPr>
        <w:rPr>
          <w:lang w:val="en-US"/>
        </w:rPr>
      </w:pPr>
      <w:r w:rsidRPr="00C63E35">
        <w:t xml:space="preserve">For the 127 subjects receiving any dose of venetoclax in combination with azacitidine, the CR rate was 38.6% (49 subjects), and the </w:t>
      </w:r>
      <w:r w:rsidRPr="00C77195">
        <w:t>complete remission with incomplete blood count recovery</w:t>
      </w:r>
      <w:r w:rsidRPr="00C63E35">
        <w:t xml:space="preserve"> </w:t>
      </w:r>
      <w:r>
        <w:t>(</w:t>
      </w:r>
      <w:r w:rsidRPr="00C63E35">
        <w:t>C</w:t>
      </w:r>
      <w:r>
        <w:t>R</w:t>
      </w:r>
      <w:r w:rsidRPr="00C63E35">
        <w:t>i</w:t>
      </w:r>
      <w:r>
        <w:t>)</w:t>
      </w:r>
      <w:r w:rsidRPr="00C63E35">
        <w:t xml:space="preserve"> rate was 26.0% (33 subjects)</w:t>
      </w:r>
      <w:r>
        <w:t xml:space="preserve"> (see </w:t>
      </w:r>
      <w:r>
        <w:fldChar w:fldCharType="begin"/>
      </w:r>
      <w:r>
        <w:instrText xml:space="preserve"> REF _Ref46083575 \h </w:instrText>
      </w:r>
      <w:r>
        <w:fldChar w:fldCharType="separate"/>
      </w:r>
      <w:r w:rsidR="00247395">
        <w:t xml:space="preserve">Table </w:t>
      </w:r>
      <w:r w:rsidR="00247395">
        <w:rPr>
          <w:noProof/>
        </w:rPr>
        <w:t>5</w:t>
      </w:r>
      <w:r>
        <w:fldChar w:fldCharType="end"/>
      </w:r>
      <w:r>
        <w:t>)</w:t>
      </w:r>
      <w:r w:rsidRPr="00C63E35">
        <w:t>. The combined CR+CRi rate was 64.6% (n</w:t>
      </w:r>
      <w:r>
        <w:t> </w:t>
      </w:r>
      <w:r w:rsidRPr="00C63E35">
        <w:t>=</w:t>
      </w:r>
      <w:r>
        <w:t xml:space="preserve"> 82, 95% CI 55.6 to </w:t>
      </w:r>
      <w:r w:rsidRPr="00C63E35">
        <w:t>72.8%). The</w:t>
      </w:r>
      <w:r>
        <w:t xml:space="preserve"> partial remission</w:t>
      </w:r>
      <w:r w:rsidRPr="00C63E35">
        <w:t xml:space="preserve"> </w:t>
      </w:r>
      <w:r>
        <w:t>(</w:t>
      </w:r>
      <w:r w:rsidRPr="00C63E35">
        <w:t>PR</w:t>
      </w:r>
      <w:r>
        <w:t>)</w:t>
      </w:r>
      <w:r w:rsidRPr="00C63E35">
        <w:t xml:space="preserve"> rate was 0.8% (one subject), maki</w:t>
      </w:r>
      <w:r>
        <w:t>ng the ORR 65.4% (83 subjects).</w:t>
      </w:r>
    </w:p>
    <w:p w14:paraId="6A16659D" w14:textId="3C3CF78F" w:rsidR="00D46C2C" w:rsidRDefault="00A25D9E" w:rsidP="000202EE">
      <w:pPr>
        <w:rPr>
          <w:lang w:val="en-US"/>
        </w:rPr>
      </w:pPr>
      <w:r w:rsidRPr="000202EE">
        <w:rPr>
          <w:lang w:val="en-US"/>
        </w:rPr>
        <w:t xml:space="preserve">Median OS for 400 mg </w:t>
      </w:r>
      <w:r w:rsidR="003E0F42">
        <w:rPr>
          <w:lang w:val="en-US"/>
        </w:rPr>
        <w:t xml:space="preserve">venetoclax </w:t>
      </w:r>
      <w:r w:rsidRPr="00D46C2C">
        <w:rPr>
          <w:lang w:val="en-US"/>
        </w:rPr>
        <w:t>plus</w:t>
      </w:r>
      <w:r>
        <w:rPr>
          <w:lang w:val="en-US"/>
        </w:rPr>
        <w:t xml:space="preserve"> azacitidine (n</w:t>
      </w:r>
      <w:r w:rsidR="003E0F42">
        <w:rPr>
          <w:lang w:val="en-US"/>
        </w:rPr>
        <w:t xml:space="preserve"> </w:t>
      </w:r>
      <w:r>
        <w:rPr>
          <w:lang w:val="en-US"/>
        </w:rPr>
        <w:t>=</w:t>
      </w:r>
      <w:r w:rsidR="003E0F42">
        <w:rPr>
          <w:lang w:val="en-US"/>
        </w:rPr>
        <w:t xml:space="preserve"> </w:t>
      </w:r>
      <w:r>
        <w:rPr>
          <w:lang w:val="en-US"/>
        </w:rPr>
        <w:t>84) is 14.9</w:t>
      </w:r>
      <w:r w:rsidR="003E0F42">
        <w:rPr>
          <w:lang w:val="en-US"/>
        </w:rPr>
        <w:t xml:space="preserve"> months</w:t>
      </w:r>
      <w:r>
        <w:rPr>
          <w:lang w:val="en-US"/>
        </w:rPr>
        <w:t xml:space="preserve"> (10.2,-).</w:t>
      </w:r>
      <w:bookmarkStart w:id="49" w:name="_Ref46083575"/>
    </w:p>
    <w:p w14:paraId="7CCBBF78" w14:textId="0B5A8A87" w:rsidR="00FA254C" w:rsidRDefault="00FA254C" w:rsidP="00FA254C">
      <w:pPr>
        <w:pStyle w:val="TableTitle"/>
      </w:pPr>
      <w:r>
        <w:t xml:space="preserve">Table </w:t>
      </w:r>
      <w:fldSimple w:instr=" SEQ Table \* ARABIC ">
        <w:r w:rsidR="00247395">
          <w:rPr>
            <w:noProof/>
          </w:rPr>
          <w:t>5</w:t>
        </w:r>
      </w:fldSimple>
      <w:bookmarkEnd w:id="49"/>
      <w:r>
        <w:t xml:space="preserve">: Study M14-358 </w:t>
      </w:r>
      <w:r w:rsidRPr="008C4923">
        <w:t>Results for venetoclax comb</w:t>
      </w:r>
      <w:r>
        <w:t>ination therapy</w:t>
      </w:r>
    </w:p>
    <w:p w14:paraId="1640BFE5" w14:textId="01EBBD45" w:rsidR="00FA254C" w:rsidRPr="007A6AA5" w:rsidRDefault="00FA254C" w:rsidP="008E7235">
      <w:r>
        <w:rPr>
          <w:noProof/>
          <w:lang w:eastAsia="en-AU"/>
        </w:rPr>
        <w:drawing>
          <wp:inline distT="0" distB="0" distL="0" distR="0" wp14:anchorId="7537E60C" wp14:editId="7C814AC0">
            <wp:extent cx="5400040" cy="2823210"/>
            <wp:effectExtent l="0" t="0" r="0" b="0"/>
            <wp:docPr id="1" name="Picture 1" descr="Study M14-358 Results for venetoclax combination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2823210"/>
                    </a:xfrm>
                    <a:prstGeom prst="rect">
                      <a:avLst/>
                    </a:prstGeom>
                  </pic:spPr>
                </pic:pic>
              </a:graphicData>
            </a:graphic>
          </wp:inline>
        </w:drawing>
      </w:r>
    </w:p>
    <w:p w14:paraId="57355FDD" w14:textId="205CC717" w:rsidR="00325641" w:rsidRDefault="00325641" w:rsidP="00D73CF0">
      <w:pPr>
        <w:pStyle w:val="Heading4"/>
      </w:pPr>
      <w:r w:rsidRPr="003F08CF">
        <w:lastRenderedPageBreak/>
        <w:t>Safety</w:t>
      </w:r>
    </w:p>
    <w:p w14:paraId="224E7328" w14:textId="4F94BD8C" w:rsidR="00FA254C" w:rsidRPr="00FA254C" w:rsidRDefault="00FA254C" w:rsidP="00FA254C">
      <w:pPr>
        <w:pStyle w:val="Heading5"/>
      </w:pPr>
      <w:r w:rsidRPr="00D14416">
        <w:t>Venetoclax with cytarabine</w:t>
      </w:r>
    </w:p>
    <w:p w14:paraId="35AB89A9" w14:textId="26EFE19F" w:rsidR="00325641" w:rsidRDefault="00325641" w:rsidP="00000FD8">
      <w:r>
        <w:t>In Study M14-387</w:t>
      </w:r>
      <w:r w:rsidR="003875B2">
        <w:t>;</w:t>
      </w:r>
      <w:r w:rsidR="003875B2" w:rsidRPr="00D46C2C">
        <w:rPr>
          <w:vertAlign w:val="superscript"/>
        </w:rPr>
        <w:fldChar w:fldCharType="begin"/>
      </w:r>
      <w:r w:rsidR="003875B2" w:rsidRPr="00D46C2C">
        <w:rPr>
          <w:vertAlign w:val="superscript"/>
        </w:rPr>
        <w:instrText xml:space="preserve"> NOTEREF _Ref50607177 \h </w:instrText>
      </w:r>
      <w:r w:rsidR="003875B2">
        <w:rPr>
          <w:vertAlign w:val="superscript"/>
        </w:rPr>
        <w:instrText xml:space="preserve"> \* MERGEFORMAT </w:instrText>
      </w:r>
      <w:r w:rsidR="003875B2" w:rsidRPr="00D46C2C">
        <w:rPr>
          <w:vertAlign w:val="superscript"/>
        </w:rPr>
      </w:r>
      <w:r w:rsidR="003875B2" w:rsidRPr="00D46C2C">
        <w:rPr>
          <w:vertAlign w:val="superscript"/>
        </w:rPr>
        <w:fldChar w:fldCharType="separate"/>
      </w:r>
      <w:r w:rsidR="00247395">
        <w:rPr>
          <w:vertAlign w:val="superscript"/>
        </w:rPr>
        <w:t>24</w:t>
      </w:r>
      <w:r w:rsidR="003875B2" w:rsidRPr="00D46C2C">
        <w:rPr>
          <w:vertAlign w:val="superscript"/>
        </w:rPr>
        <w:fldChar w:fldCharType="end"/>
      </w:r>
      <w:r>
        <w:t xml:space="preserve"> the median duration of exposure was 4.2 months. Of the 82 enrolled patients, 36 were exposed to venetoclax for &gt;</w:t>
      </w:r>
      <w:r w:rsidR="004628FC">
        <w:t xml:space="preserve"> </w:t>
      </w:r>
      <w:r>
        <w:t>24 weeks, 19 were exposed for &gt;</w:t>
      </w:r>
      <w:r w:rsidR="004628FC">
        <w:t xml:space="preserve"> </w:t>
      </w:r>
      <w:r>
        <w:t>52 weeks.</w:t>
      </w:r>
    </w:p>
    <w:p w14:paraId="4A8DCB31" w14:textId="67A8D246" w:rsidR="007E0F1C" w:rsidRDefault="007E0F1C" w:rsidP="00000FD8">
      <w:r>
        <w:t>All patients suffered at least one treatment emergen</w:t>
      </w:r>
      <w:r w:rsidR="00D56438">
        <w:t>t</w:t>
      </w:r>
      <w:r>
        <w:t xml:space="preserve"> adverse event</w:t>
      </w:r>
      <w:r w:rsidR="008955D8">
        <w:t xml:space="preserve"> (TEAE)</w:t>
      </w:r>
      <w:r>
        <w:t xml:space="preserve">, and the majority of these were graded as 3 to 4 in intensity (see </w:t>
      </w:r>
      <w:r>
        <w:fldChar w:fldCharType="begin"/>
      </w:r>
      <w:r>
        <w:instrText xml:space="preserve"> REF _Ref45886683 \h </w:instrText>
      </w:r>
      <w:r>
        <w:fldChar w:fldCharType="separate"/>
      </w:r>
      <w:r w:rsidR="00247395">
        <w:t xml:space="preserve">Table </w:t>
      </w:r>
      <w:r w:rsidR="00247395">
        <w:rPr>
          <w:noProof/>
        </w:rPr>
        <w:t>6</w:t>
      </w:r>
      <w:r>
        <w:fldChar w:fldCharType="end"/>
      </w:r>
      <w:r>
        <w:t xml:space="preserve"> and </w:t>
      </w:r>
      <w:r>
        <w:fldChar w:fldCharType="begin"/>
      </w:r>
      <w:r>
        <w:instrText xml:space="preserve"> REF _Ref45886736 \h </w:instrText>
      </w:r>
      <w:r>
        <w:fldChar w:fldCharType="separate"/>
      </w:r>
      <w:r w:rsidR="00247395">
        <w:t xml:space="preserve">Table </w:t>
      </w:r>
      <w:r w:rsidR="00247395">
        <w:rPr>
          <w:noProof/>
        </w:rPr>
        <w:t>7</w:t>
      </w:r>
      <w:r>
        <w:fldChar w:fldCharType="end"/>
      </w:r>
      <w:r>
        <w:t>).</w:t>
      </w:r>
    </w:p>
    <w:p w14:paraId="02DA64AE" w14:textId="0B3AB39A" w:rsidR="003175D5" w:rsidRDefault="003175D5" w:rsidP="003175D5">
      <w:r>
        <w:t>At the time of reporting, 68.3% of the patients enrolled in Study M14-387 had died.</w:t>
      </w:r>
      <w:r w:rsidR="008955D8">
        <w:t xml:space="preserve"> TEAE </w:t>
      </w:r>
      <w:r>
        <w:t xml:space="preserve">leading to death were reported in 22% of subjects (n = 18) (see </w:t>
      </w:r>
      <w:r>
        <w:fldChar w:fldCharType="begin"/>
      </w:r>
      <w:r>
        <w:instrText xml:space="preserve"> REF _Ref45886683 \h </w:instrText>
      </w:r>
      <w:r>
        <w:fldChar w:fldCharType="separate"/>
      </w:r>
      <w:r w:rsidR="00247395">
        <w:t xml:space="preserve">Table </w:t>
      </w:r>
      <w:r w:rsidR="00247395">
        <w:rPr>
          <w:noProof/>
        </w:rPr>
        <w:t>6</w:t>
      </w:r>
      <w:r>
        <w:fldChar w:fldCharType="end"/>
      </w:r>
      <w:r>
        <w:t xml:space="preserve">). These included malignant neoplasm progression (6.1%), lung infection (2.4%), sepsis (2.4%) and intracranial haemorrhage (2.4%). </w:t>
      </w:r>
      <w:r w:rsidR="00FF66BA">
        <w:t>D</w:t>
      </w:r>
      <w:r>
        <w:t xml:space="preserve">eath from </w:t>
      </w:r>
      <w:r w:rsidR="00FF66BA">
        <w:t>unknown</w:t>
      </w:r>
      <w:r>
        <w:t xml:space="preserve"> cause, sudden death, hepatic failure, pneumonia, pulmonary sepsis, respiratory failure and embolism </w:t>
      </w:r>
      <w:r w:rsidR="004D32AB">
        <w:t xml:space="preserve">were reported </w:t>
      </w:r>
      <w:r w:rsidR="00FF66BA">
        <w:t>in one subject each</w:t>
      </w:r>
      <w:r>
        <w:t>.</w:t>
      </w:r>
    </w:p>
    <w:p w14:paraId="66D07D64" w14:textId="7C324B0C" w:rsidR="003175D5" w:rsidRDefault="003175D5" w:rsidP="00000FD8">
      <w:r>
        <w:t xml:space="preserve">TEAE leading to discontinuation of therapy were reported in 32.9% of patients, and TEAEs leading to dose interruption were reported in 54.9% of patients (see </w:t>
      </w:r>
      <w:r>
        <w:fldChar w:fldCharType="begin"/>
      </w:r>
      <w:r>
        <w:instrText xml:space="preserve"> REF _Ref45886683 \h </w:instrText>
      </w:r>
      <w:r>
        <w:fldChar w:fldCharType="separate"/>
      </w:r>
      <w:r w:rsidR="00247395">
        <w:t xml:space="preserve">Table </w:t>
      </w:r>
      <w:r w:rsidR="00247395">
        <w:rPr>
          <w:noProof/>
        </w:rPr>
        <w:t>6</w:t>
      </w:r>
      <w:r>
        <w:fldChar w:fldCharType="end"/>
      </w:r>
      <w:r>
        <w:t>).</w:t>
      </w:r>
    </w:p>
    <w:p w14:paraId="4ED2D788" w14:textId="29E5A7DB" w:rsidR="00D73CF0" w:rsidRPr="00581A24" w:rsidRDefault="00D73CF0" w:rsidP="00D73CF0">
      <w:pPr>
        <w:pStyle w:val="TableTitle"/>
      </w:pPr>
      <w:bookmarkStart w:id="50" w:name="_Ref45886683"/>
      <w:r>
        <w:t xml:space="preserve">Table </w:t>
      </w:r>
      <w:fldSimple w:instr=" SEQ Table \* ARABIC ">
        <w:r w:rsidR="00247395">
          <w:rPr>
            <w:noProof/>
          </w:rPr>
          <w:t>6</w:t>
        </w:r>
      </w:fldSimple>
      <w:bookmarkEnd w:id="50"/>
      <w:r>
        <w:t>:</w:t>
      </w:r>
      <w:r w:rsidR="004628FC">
        <w:t xml:space="preserve"> Study M14-387</w:t>
      </w:r>
      <w:r>
        <w:t xml:space="preserve"> Incidence of</w:t>
      </w:r>
      <w:r w:rsidR="004628FC">
        <w:t xml:space="preserve"> adverse events</w:t>
      </w:r>
    </w:p>
    <w:tbl>
      <w:tblPr>
        <w:tblStyle w:val="TableTGAblue"/>
        <w:tblW w:w="5000" w:type="pct"/>
        <w:tblLook w:val="04A0" w:firstRow="1" w:lastRow="0" w:firstColumn="1" w:lastColumn="0" w:noHBand="0" w:noVBand="1"/>
      </w:tblPr>
      <w:tblGrid>
        <w:gridCol w:w="4913"/>
        <w:gridCol w:w="3807"/>
      </w:tblGrid>
      <w:tr w:rsidR="004628FC" w:rsidRPr="00963E57" w14:paraId="60BFF6FF" w14:textId="77777777" w:rsidTr="000202EE">
        <w:trPr>
          <w:cnfStyle w:val="100000000000" w:firstRow="1" w:lastRow="0" w:firstColumn="0" w:lastColumn="0" w:oddVBand="0" w:evenVBand="0" w:oddHBand="0" w:evenHBand="0" w:firstRowFirstColumn="0" w:firstRowLastColumn="0" w:lastRowFirstColumn="0" w:lastRowLastColumn="0"/>
        </w:trPr>
        <w:tc>
          <w:tcPr>
            <w:tcW w:w="2817" w:type="pct"/>
          </w:tcPr>
          <w:p w14:paraId="0B30C05A" w14:textId="63A28D80" w:rsidR="004628FC" w:rsidRPr="000202EE" w:rsidRDefault="004628FC" w:rsidP="004628FC">
            <w:pPr>
              <w:rPr>
                <w:szCs w:val="19"/>
                <w:lang w:eastAsia="ja-JP"/>
              </w:rPr>
            </w:pPr>
            <w:r w:rsidRPr="000202EE">
              <w:rPr>
                <w:szCs w:val="19"/>
                <w:lang w:eastAsia="ja-JP"/>
              </w:rPr>
              <w:t>Safety profile</w:t>
            </w:r>
            <w:r w:rsidR="003875B2" w:rsidRPr="000202EE">
              <w:rPr>
                <w:szCs w:val="19"/>
                <w:lang w:eastAsia="ja-JP"/>
              </w:rPr>
              <w:t>; H</w:t>
            </w:r>
            <w:r w:rsidRPr="000202EE">
              <w:rPr>
                <w:szCs w:val="19"/>
                <w:lang w:eastAsia="ja-JP"/>
              </w:rPr>
              <w:t xml:space="preserve">igh </w:t>
            </w:r>
            <w:r w:rsidR="003875B2" w:rsidRPr="000202EE">
              <w:rPr>
                <w:szCs w:val="19"/>
                <w:lang w:eastAsia="ja-JP"/>
              </w:rPr>
              <w:t>L</w:t>
            </w:r>
            <w:r w:rsidRPr="000202EE">
              <w:rPr>
                <w:szCs w:val="19"/>
                <w:lang w:eastAsia="ja-JP"/>
              </w:rPr>
              <w:t>evel AE category</w:t>
            </w:r>
          </w:p>
        </w:tc>
        <w:tc>
          <w:tcPr>
            <w:tcW w:w="2183" w:type="pct"/>
          </w:tcPr>
          <w:p w14:paraId="68500440" w14:textId="63CE198F" w:rsidR="004628FC" w:rsidRPr="000202EE" w:rsidRDefault="004628FC" w:rsidP="004628FC">
            <w:pPr>
              <w:rPr>
                <w:szCs w:val="19"/>
                <w:lang w:eastAsia="ja-JP"/>
              </w:rPr>
            </w:pPr>
            <w:r w:rsidRPr="000202EE">
              <w:rPr>
                <w:szCs w:val="19"/>
              </w:rPr>
              <w:t>Venetoclax</w:t>
            </w:r>
            <w:r w:rsidRPr="000202EE">
              <w:rPr>
                <w:szCs w:val="19"/>
                <w:lang w:eastAsia="ja-JP"/>
              </w:rPr>
              <w:t xml:space="preserve"> 600 mg QD + LDAC (n = 82); n (%)</w:t>
            </w:r>
          </w:p>
        </w:tc>
      </w:tr>
      <w:tr w:rsidR="004628FC" w:rsidRPr="004628FC" w14:paraId="1F1A8D83" w14:textId="77777777" w:rsidTr="000202EE">
        <w:tc>
          <w:tcPr>
            <w:tcW w:w="2817" w:type="pct"/>
          </w:tcPr>
          <w:p w14:paraId="3F73761E" w14:textId="2BA38B71" w:rsidR="004628FC" w:rsidRPr="000202EE" w:rsidRDefault="00A57F80" w:rsidP="004628FC">
            <w:pPr>
              <w:rPr>
                <w:sz w:val="20"/>
                <w:szCs w:val="19"/>
                <w:lang w:eastAsia="ja-JP"/>
              </w:rPr>
            </w:pPr>
            <w:r w:rsidRPr="000202EE">
              <w:rPr>
                <w:rFonts w:eastAsia="TimesNewRoman" w:cs="TimesNewRoman"/>
                <w:sz w:val="20"/>
                <w:szCs w:val="19"/>
              </w:rPr>
              <w:t>Any TEAE</w:t>
            </w:r>
          </w:p>
        </w:tc>
        <w:tc>
          <w:tcPr>
            <w:tcW w:w="2183" w:type="pct"/>
          </w:tcPr>
          <w:p w14:paraId="4B8742CD" w14:textId="77777777" w:rsidR="004628FC" w:rsidRPr="000202EE" w:rsidRDefault="004628FC" w:rsidP="004628FC">
            <w:pPr>
              <w:rPr>
                <w:sz w:val="20"/>
                <w:szCs w:val="19"/>
                <w:lang w:eastAsia="ja-JP"/>
              </w:rPr>
            </w:pPr>
            <w:r w:rsidRPr="000202EE">
              <w:rPr>
                <w:rFonts w:eastAsia="TimesNewRoman" w:cs="TimesNewRoman"/>
                <w:sz w:val="20"/>
                <w:szCs w:val="19"/>
              </w:rPr>
              <w:t>82 (100)</w:t>
            </w:r>
          </w:p>
        </w:tc>
      </w:tr>
      <w:tr w:rsidR="004628FC" w:rsidRPr="004628FC" w14:paraId="4A057C68" w14:textId="77777777" w:rsidTr="000202EE">
        <w:tc>
          <w:tcPr>
            <w:tcW w:w="2817" w:type="pct"/>
          </w:tcPr>
          <w:p w14:paraId="58B3A8AA" w14:textId="7A04D220" w:rsidR="004628FC" w:rsidRPr="000202EE" w:rsidRDefault="004A6C4C" w:rsidP="004628FC">
            <w:pPr>
              <w:rPr>
                <w:sz w:val="20"/>
                <w:szCs w:val="19"/>
                <w:lang w:eastAsia="ja-JP"/>
              </w:rPr>
            </w:pPr>
            <w:r w:rsidRPr="000202EE">
              <w:rPr>
                <w:rFonts w:eastAsia="TimesNewRoman" w:cs="TimesNewRoman"/>
                <w:sz w:val="20"/>
                <w:szCs w:val="19"/>
              </w:rPr>
              <w:t>Any AE with NCI-CTCAE G</w:t>
            </w:r>
            <w:r w:rsidR="004628FC" w:rsidRPr="000202EE">
              <w:rPr>
                <w:rFonts w:eastAsia="TimesNewRoman" w:cs="TimesNewRoman"/>
                <w:sz w:val="20"/>
                <w:szCs w:val="19"/>
              </w:rPr>
              <w:t>rade 3 or 4</w:t>
            </w:r>
          </w:p>
        </w:tc>
        <w:tc>
          <w:tcPr>
            <w:tcW w:w="2183" w:type="pct"/>
          </w:tcPr>
          <w:p w14:paraId="7F5A65EF" w14:textId="77777777" w:rsidR="004628FC" w:rsidRPr="000202EE" w:rsidRDefault="004628FC" w:rsidP="004628FC">
            <w:pPr>
              <w:rPr>
                <w:sz w:val="20"/>
                <w:szCs w:val="19"/>
                <w:lang w:eastAsia="ja-JP"/>
              </w:rPr>
            </w:pPr>
            <w:r w:rsidRPr="000202EE">
              <w:rPr>
                <w:rFonts w:eastAsia="TimesNewRoman" w:cs="TimesNewRoman"/>
                <w:sz w:val="20"/>
                <w:szCs w:val="19"/>
              </w:rPr>
              <w:t>79 (96.3)</w:t>
            </w:r>
          </w:p>
        </w:tc>
      </w:tr>
      <w:tr w:rsidR="004628FC" w:rsidRPr="004628FC" w14:paraId="1E47BE88" w14:textId="77777777" w:rsidTr="000202EE">
        <w:tc>
          <w:tcPr>
            <w:tcW w:w="2817" w:type="pct"/>
          </w:tcPr>
          <w:p w14:paraId="4F8281EA" w14:textId="721F2720" w:rsidR="004628FC" w:rsidRPr="000202EE" w:rsidRDefault="004A6C4C" w:rsidP="004628FC">
            <w:pPr>
              <w:rPr>
                <w:sz w:val="20"/>
                <w:szCs w:val="19"/>
                <w:lang w:eastAsia="ja-JP"/>
              </w:rPr>
            </w:pPr>
            <w:r w:rsidRPr="000202EE">
              <w:rPr>
                <w:rFonts w:eastAsia="TimesNewRoman" w:cs="TimesNewRoman"/>
                <w:sz w:val="20"/>
                <w:szCs w:val="19"/>
              </w:rPr>
              <w:t>Any AE with NCI-CTCAE G</w:t>
            </w:r>
            <w:r w:rsidR="00A57F80" w:rsidRPr="000202EE">
              <w:rPr>
                <w:rFonts w:eastAsia="TimesNewRoman" w:cs="TimesNewRoman"/>
                <w:sz w:val="20"/>
                <w:szCs w:val="19"/>
              </w:rPr>
              <w:t xml:space="preserve">rade </w:t>
            </w:r>
            <w:r w:rsidR="008E7235">
              <w:sym w:font="Symbol" w:char="F0B3"/>
            </w:r>
            <w:r w:rsidR="00A57F80" w:rsidRPr="000202EE">
              <w:rPr>
                <w:rFonts w:eastAsia="TimesNewRoman" w:cs="TimesNewRoman"/>
                <w:sz w:val="20"/>
                <w:szCs w:val="19"/>
              </w:rPr>
              <w:t xml:space="preserve"> 3</w:t>
            </w:r>
          </w:p>
        </w:tc>
        <w:tc>
          <w:tcPr>
            <w:tcW w:w="2183" w:type="pct"/>
          </w:tcPr>
          <w:p w14:paraId="5CBEC992" w14:textId="77777777" w:rsidR="004628FC" w:rsidRPr="000202EE" w:rsidRDefault="004628FC" w:rsidP="004628FC">
            <w:pPr>
              <w:rPr>
                <w:sz w:val="20"/>
                <w:szCs w:val="19"/>
                <w:lang w:eastAsia="ja-JP"/>
              </w:rPr>
            </w:pPr>
            <w:r w:rsidRPr="000202EE">
              <w:rPr>
                <w:rFonts w:eastAsia="TimesNewRoman" w:cs="TimesNewRoman"/>
                <w:sz w:val="20"/>
                <w:szCs w:val="19"/>
              </w:rPr>
              <w:t>79 (96.3)</w:t>
            </w:r>
          </w:p>
        </w:tc>
      </w:tr>
      <w:tr w:rsidR="004628FC" w:rsidRPr="004628FC" w14:paraId="72911F58" w14:textId="77777777" w:rsidTr="000202EE">
        <w:tc>
          <w:tcPr>
            <w:tcW w:w="2817" w:type="pct"/>
          </w:tcPr>
          <w:p w14:paraId="41652EBD" w14:textId="77777777" w:rsidR="004628FC" w:rsidRPr="000202EE" w:rsidRDefault="004628FC" w:rsidP="004628FC">
            <w:pPr>
              <w:rPr>
                <w:sz w:val="20"/>
                <w:szCs w:val="19"/>
                <w:lang w:eastAsia="ja-JP"/>
              </w:rPr>
            </w:pPr>
            <w:r w:rsidRPr="000202EE">
              <w:rPr>
                <w:rFonts w:eastAsia="TimesNewRoman" w:cs="TimesNewRoman"/>
                <w:sz w:val="20"/>
                <w:szCs w:val="19"/>
              </w:rPr>
              <w:t>Any AE with a reasonable possibility of being related to venetoclax</w:t>
            </w:r>
          </w:p>
        </w:tc>
        <w:tc>
          <w:tcPr>
            <w:tcW w:w="2183" w:type="pct"/>
          </w:tcPr>
          <w:p w14:paraId="61BEDF80" w14:textId="77777777" w:rsidR="004628FC" w:rsidRPr="000202EE" w:rsidRDefault="004628FC" w:rsidP="004628FC">
            <w:pPr>
              <w:rPr>
                <w:sz w:val="20"/>
                <w:szCs w:val="19"/>
                <w:lang w:eastAsia="ja-JP"/>
              </w:rPr>
            </w:pPr>
            <w:r w:rsidRPr="000202EE">
              <w:rPr>
                <w:rFonts w:eastAsia="TimesNewRoman" w:cs="TimesNewRoman"/>
                <w:sz w:val="20"/>
                <w:szCs w:val="19"/>
              </w:rPr>
              <w:t>73 (89.0)</w:t>
            </w:r>
          </w:p>
        </w:tc>
      </w:tr>
      <w:tr w:rsidR="004628FC" w:rsidRPr="004628FC" w14:paraId="412DF24F" w14:textId="77777777" w:rsidTr="000202EE">
        <w:tc>
          <w:tcPr>
            <w:tcW w:w="2817" w:type="pct"/>
          </w:tcPr>
          <w:p w14:paraId="446C57BF" w14:textId="77777777" w:rsidR="004628FC" w:rsidRPr="000202EE" w:rsidRDefault="004628FC" w:rsidP="004628FC">
            <w:pPr>
              <w:rPr>
                <w:sz w:val="20"/>
                <w:szCs w:val="19"/>
                <w:lang w:eastAsia="ja-JP"/>
              </w:rPr>
            </w:pPr>
            <w:r w:rsidRPr="000202EE">
              <w:rPr>
                <w:rFonts w:eastAsia="TimesNewRoman" w:cs="TimesNewRoman"/>
                <w:sz w:val="20"/>
                <w:szCs w:val="19"/>
              </w:rPr>
              <w:t>Any AE with a reasonable possibility of being related to possibility LDAC</w:t>
            </w:r>
          </w:p>
        </w:tc>
        <w:tc>
          <w:tcPr>
            <w:tcW w:w="2183" w:type="pct"/>
          </w:tcPr>
          <w:p w14:paraId="0B6F2011" w14:textId="77777777" w:rsidR="004628FC" w:rsidRPr="000202EE" w:rsidRDefault="004628FC" w:rsidP="004628FC">
            <w:pPr>
              <w:rPr>
                <w:sz w:val="20"/>
                <w:szCs w:val="19"/>
                <w:lang w:eastAsia="ja-JP"/>
              </w:rPr>
            </w:pPr>
            <w:r w:rsidRPr="000202EE">
              <w:rPr>
                <w:rFonts w:eastAsia="TimesNewRoman" w:cs="TimesNewRoman"/>
                <w:sz w:val="20"/>
                <w:szCs w:val="19"/>
              </w:rPr>
              <w:t>79 (96.3)</w:t>
            </w:r>
          </w:p>
        </w:tc>
      </w:tr>
      <w:tr w:rsidR="004628FC" w:rsidRPr="004628FC" w14:paraId="52AC145A" w14:textId="77777777" w:rsidTr="000202EE">
        <w:tc>
          <w:tcPr>
            <w:tcW w:w="2817" w:type="pct"/>
          </w:tcPr>
          <w:p w14:paraId="1AB59B24" w14:textId="417140AD" w:rsidR="004628FC" w:rsidRPr="000202EE" w:rsidRDefault="00A57F80" w:rsidP="004628FC">
            <w:pPr>
              <w:rPr>
                <w:rFonts w:eastAsia="TimesNewRoman" w:cs="TimesNewRoman"/>
                <w:sz w:val="20"/>
                <w:szCs w:val="19"/>
              </w:rPr>
            </w:pPr>
            <w:r w:rsidRPr="000202EE">
              <w:rPr>
                <w:sz w:val="20"/>
                <w:szCs w:val="19"/>
                <w:lang w:eastAsia="ja-JP"/>
              </w:rPr>
              <w:t>Serious AE</w:t>
            </w:r>
          </w:p>
        </w:tc>
        <w:tc>
          <w:tcPr>
            <w:tcW w:w="2183" w:type="pct"/>
          </w:tcPr>
          <w:p w14:paraId="440D70C5" w14:textId="77777777" w:rsidR="004628FC" w:rsidRPr="000202EE" w:rsidRDefault="004628FC" w:rsidP="004628FC">
            <w:pPr>
              <w:rPr>
                <w:rFonts w:eastAsia="TimesNewRoman" w:cs="TimesNewRoman"/>
                <w:sz w:val="20"/>
                <w:szCs w:val="19"/>
              </w:rPr>
            </w:pPr>
            <w:r w:rsidRPr="000202EE">
              <w:rPr>
                <w:rFonts w:eastAsiaTheme="minorHAnsi" w:cs="Courier"/>
                <w:bCs/>
                <w:sz w:val="20"/>
                <w:szCs w:val="19"/>
              </w:rPr>
              <w:t>75 (91.5)</w:t>
            </w:r>
          </w:p>
        </w:tc>
      </w:tr>
      <w:tr w:rsidR="004628FC" w:rsidRPr="004628FC" w14:paraId="4BF77603" w14:textId="77777777" w:rsidTr="000202EE">
        <w:tc>
          <w:tcPr>
            <w:tcW w:w="2817" w:type="pct"/>
          </w:tcPr>
          <w:p w14:paraId="2E9591EB" w14:textId="3D1F8A30" w:rsidR="004628FC" w:rsidRPr="000202EE" w:rsidRDefault="004628FC" w:rsidP="004628FC">
            <w:pPr>
              <w:rPr>
                <w:sz w:val="20"/>
                <w:szCs w:val="19"/>
                <w:lang w:eastAsia="ja-JP"/>
              </w:rPr>
            </w:pPr>
            <w:r w:rsidRPr="000202EE">
              <w:rPr>
                <w:rFonts w:eastAsia="TimesNewRoman" w:cs="TimesNewRoman"/>
                <w:sz w:val="20"/>
                <w:szCs w:val="19"/>
              </w:rPr>
              <w:t>An</w:t>
            </w:r>
            <w:r w:rsidR="00A57F80" w:rsidRPr="000202EE">
              <w:rPr>
                <w:rFonts w:eastAsia="TimesNewRoman" w:cs="TimesNewRoman"/>
                <w:sz w:val="20"/>
                <w:szCs w:val="19"/>
              </w:rPr>
              <w:t>y AE leading to hospitalisation</w:t>
            </w:r>
          </w:p>
        </w:tc>
        <w:tc>
          <w:tcPr>
            <w:tcW w:w="2183" w:type="pct"/>
          </w:tcPr>
          <w:p w14:paraId="3B0BBA51" w14:textId="77777777" w:rsidR="004628FC" w:rsidRPr="000202EE" w:rsidRDefault="004628FC" w:rsidP="004628FC">
            <w:pPr>
              <w:rPr>
                <w:rFonts w:eastAsiaTheme="minorHAnsi" w:cs="Courier"/>
                <w:bCs/>
                <w:sz w:val="20"/>
                <w:szCs w:val="19"/>
              </w:rPr>
            </w:pPr>
            <w:r w:rsidRPr="000202EE">
              <w:rPr>
                <w:rFonts w:eastAsia="TimesNewRoman" w:cs="TimesNewRoman"/>
                <w:sz w:val="20"/>
                <w:szCs w:val="19"/>
              </w:rPr>
              <w:t>71 (86.6)</w:t>
            </w:r>
          </w:p>
        </w:tc>
      </w:tr>
      <w:tr w:rsidR="004628FC" w:rsidRPr="004628FC" w14:paraId="27869399" w14:textId="77777777" w:rsidTr="000202EE">
        <w:tc>
          <w:tcPr>
            <w:tcW w:w="2817" w:type="pct"/>
          </w:tcPr>
          <w:p w14:paraId="6F7740F5" w14:textId="3C4FA18B" w:rsidR="004628FC" w:rsidRPr="000202EE" w:rsidRDefault="004628FC" w:rsidP="004628FC">
            <w:pPr>
              <w:rPr>
                <w:sz w:val="20"/>
                <w:szCs w:val="19"/>
                <w:lang w:eastAsia="ja-JP"/>
              </w:rPr>
            </w:pPr>
            <w:r w:rsidRPr="000202EE">
              <w:rPr>
                <w:rFonts w:eastAsia="TimesNewRoman" w:cs="TimesNewRoman"/>
                <w:sz w:val="20"/>
                <w:szCs w:val="19"/>
              </w:rPr>
              <w:t>Any AE leadin</w:t>
            </w:r>
            <w:r w:rsidR="00A57F80" w:rsidRPr="000202EE">
              <w:rPr>
                <w:rFonts w:eastAsia="TimesNewRoman" w:cs="TimesNewRoman"/>
                <w:sz w:val="20"/>
                <w:szCs w:val="19"/>
              </w:rPr>
              <w:t>g to venetoclax discontinuation</w:t>
            </w:r>
          </w:p>
        </w:tc>
        <w:tc>
          <w:tcPr>
            <w:tcW w:w="2183" w:type="pct"/>
          </w:tcPr>
          <w:p w14:paraId="4D03D81C" w14:textId="77777777" w:rsidR="004628FC" w:rsidRPr="000202EE" w:rsidRDefault="004628FC" w:rsidP="004628FC">
            <w:pPr>
              <w:rPr>
                <w:sz w:val="20"/>
                <w:szCs w:val="19"/>
                <w:lang w:eastAsia="ja-JP"/>
              </w:rPr>
            </w:pPr>
            <w:r w:rsidRPr="000202EE">
              <w:rPr>
                <w:rFonts w:eastAsia="TimesNewRoman" w:cs="TimesNewRoman"/>
                <w:sz w:val="20"/>
                <w:szCs w:val="19"/>
              </w:rPr>
              <w:t>27 (32.9)</w:t>
            </w:r>
          </w:p>
        </w:tc>
      </w:tr>
      <w:tr w:rsidR="004628FC" w:rsidRPr="004628FC" w14:paraId="536A51E9" w14:textId="77777777" w:rsidTr="000202EE">
        <w:tc>
          <w:tcPr>
            <w:tcW w:w="2817" w:type="pct"/>
          </w:tcPr>
          <w:p w14:paraId="70D91DDC" w14:textId="27976C88" w:rsidR="004628FC" w:rsidRPr="000202EE" w:rsidRDefault="004628FC" w:rsidP="004628FC">
            <w:pPr>
              <w:rPr>
                <w:rFonts w:eastAsia="TimesNewRoman" w:cs="TimesNewRoman"/>
                <w:sz w:val="20"/>
                <w:szCs w:val="19"/>
              </w:rPr>
            </w:pPr>
            <w:r w:rsidRPr="000202EE">
              <w:rPr>
                <w:rFonts w:eastAsia="TimesNewRoman" w:cs="TimesNewRoman"/>
                <w:sz w:val="20"/>
                <w:szCs w:val="19"/>
              </w:rPr>
              <w:t xml:space="preserve">Any AE </w:t>
            </w:r>
            <w:r w:rsidR="00A57F80" w:rsidRPr="000202EE">
              <w:rPr>
                <w:rFonts w:eastAsia="TimesNewRoman" w:cs="TimesNewRoman"/>
                <w:sz w:val="20"/>
                <w:szCs w:val="19"/>
              </w:rPr>
              <w:t>leading to LDAC discontinuation</w:t>
            </w:r>
          </w:p>
        </w:tc>
        <w:tc>
          <w:tcPr>
            <w:tcW w:w="2183" w:type="pct"/>
          </w:tcPr>
          <w:p w14:paraId="545B737C" w14:textId="77777777" w:rsidR="004628FC" w:rsidRPr="000202EE" w:rsidRDefault="004628FC" w:rsidP="004628FC">
            <w:pPr>
              <w:rPr>
                <w:rFonts w:eastAsia="TimesNewRoman" w:cs="TimesNewRoman"/>
                <w:sz w:val="20"/>
                <w:szCs w:val="19"/>
              </w:rPr>
            </w:pPr>
            <w:r w:rsidRPr="000202EE">
              <w:rPr>
                <w:rFonts w:eastAsia="TimesNewRoman" w:cs="TimesNewRoman"/>
                <w:sz w:val="20"/>
                <w:szCs w:val="19"/>
              </w:rPr>
              <w:t>30 (36.6)</w:t>
            </w:r>
          </w:p>
        </w:tc>
      </w:tr>
      <w:tr w:rsidR="004628FC" w:rsidRPr="004628FC" w14:paraId="50EFCCDE" w14:textId="77777777" w:rsidTr="000202EE">
        <w:tc>
          <w:tcPr>
            <w:tcW w:w="2817" w:type="pct"/>
          </w:tcPr>
          <w:p w14:paraId="30D526C5" w14:textId="17099162" w:rsidR="004628FC" w:rsidRPr="000202EE" w:rsidRDefault="004628FC" w:rsidP="004628FC">
            <w:pPr>
              <w:rPr>
                <w:rFonts w:eastAsia="TimesNewRoman" w:cs="TimesNewRoman"/>
                <w:sz w:val="20"/>
                <w:szCs w:val="19"/>
              </w:rPr>
            </w:pPr>
            <w:r w:rsidRPr="000202EE">
              <w:rPr>
                <w:rFonts w:eastAsia="TimesNewRoman" w:cs="TimesNewRoman"/>
                <w:sz w:val="20"/>
                <w:szCs w:val="19"/>
              </w:rPr>
              <w:t>Any AE lea</w:t>
            </w:r>
            <w:r w:rsidR="00A57F80" w:rsidRPr="000202EE">
              <w:rPr>
                <w:rFonts w:eastAsia="TimesNewRoman" w:cs="TimesNewRoman"/>
                <w:sz w:val="20"/>
                <w:szCs w:val="19"/>
              </w:rPr>
              <w:t>ding to venetoclax interruption</w:t>
            </w:r>
          </w:p>
        </w:tc>
        <w:tc>
          <w:tcPr>
            <w:tcW w:w="2183" w:type="pct"/>
          </w:tcPr>
          <w:p w14:paraId="7C3D2635" w14:textId="77777777" w:rsidR="004628FC" w:rsidRPr="000202EE" w:rsidRDefault="004628FC" w:rsidP="004628FC">
            <w:pPr>
              <w:rPr>
                <w:rFonts w:eastAsia="TimesNewRoman" w:cs="TimesNewRoman"/>
                <w:sz w:val="20"/>
                <w:szCs w:val="19"/>
              </w:rPr>
            </w:pPr>
            <w:r w:rsidRPr="000202EE">
              <w:rPr>
                <w:rFonts w:eastAsia="TimesNewRoman" w:cs="TimesNewRoman"/>
                <w:sz w:val="20"/>
                <w:szCs w:val="19"/>
              </w:rPr>
              <w:t>45 (54.9)</w:t>
            </w:r>
          </w:p>
        </w:tc>
      </w:tr>
      <w:tr w:rsidR="004628FC" w:rsidRPr="004628FC" w14:paraId="2CC748F7" w14:textId="77777777" w:rsidTr="000202EE">
        <w:tc>
          <w:tcPr>
            <w:tcW w:w="2817" w:type="pct"/>
          </w:tcPr>
          <w:p w14:paraId="1A93462E" w14:textId="70C81A53" w:rsidR="004628FC" w:rsidRPr="000202EE" w:rsidRDefault="004628FC" w:rsidP="004628FC">
            <w:pPr>
              <w:rPr>
                <w:rFonts w:eastAsia="TimesNewRoman" w:cs="TimesNewRoman"/>
                <w:sz w:val="20"/>
                <w:szCs w:val="19"/>
              </w:rPr>
            </w:pPr>
            <w:r w:rsidRPr="000202EE">
              <w:rPr>
                <w:rFonts w:eastAsia="TimesNewRoman" w:cs="TimesNewRoman"/>
                <w:sz w:val="20"/>
                <w:szCs w:val="19"/>
              </w:rPr>
              <w:t xml:space="preserve">Any </w:t>
            </w:r>
            <w:r w:rsidR="00A57F80" w:rsidRPr="000202EE">
              <w:rPr>
                <w:rFonts w:eastAsia="TimesNewRoman" w:cs="TimesNewRoman"/>
                <w:sz w:val="20"/>
                <w:szCs w:val="19"/>
              </w:rPr>
              <w:t>AE leading to LDAC interruption</w:t>
            </w:r>
          </w:p>
        </w:tc>
        <w:tc>
          <w:tcPr>
            <w:tcW w:w="2183" w:type="pct"/>
          </w:tcPr>
          <w:p w14:paraId="1EF80AE9" w14:textId="77777777" w:rsidR="004628FC" w:rsidRPr="000202EE" w:rsidRDefault="004628FC" w:rsidP="004628FC">
            <w:pPr>
              <w:rPr>
                <w:rFonts w:eastAsia="TimesNewRoman" w:cs="TimesNewRoman"/>
                <w:sz w:val="20"/>
                <w:szCs w:val="19"/>
              </w:rPr>
            </w:pPr>
            <w:r w:rsidRPr="000202EE">
              <w:rPr>
                <w:rFonts w:eastAsia="TimesNewRoman" w:cs="TimesNewRoman"/>
                <w:sz w:val="20"/>
                <w:szCs w:val="19"/>
              </w:rPr>
              <w:t>38 (46.3)</w:t>
            </w:r>
          </w:p>
        </w:tc>
      </w:tr>
      <w:tr w:rsidR="004628FC" w:rsidRPr="004628FC" w14:paraId="32E3AC35" w14:textId="77777777" w:rsidTr="000202EE">
        <w:tc>
          <w:tcPr>
            <w:tcW w:w="2817" w:type="pct"/>
          </w:tcPr>
          <w:p w14:paraId="7446E7AC" w14:textId="2A2A439D" w:rsidR="004628FC" w:rsidRPr="000202EE" w:rsidRDefault="004628FC" w:rsidP="004628FC">
            <w:pPr>
              <w:rPr>
                <w:rFonts w:eastAsia="TimesNewRoman" w:cs="TimesNewRoman"/>
                <w:sz w:val="20"/>
                <w:szCs w:val="19"/>
              </w:rPr>
            </w:pPr>
            <w:r w:rsidRPr="000202EE">
              <w:rPr>
                <w:rFonts w:eastAsia="TimesNewRoman" w:cs="TimesNewRoman"/>
                <w:sz w:val="20"/>
                <w:szCs w:val="19"/>
              </w:rPr>
              <w:t xml:space="preserve">Any AE </w:t>
            </w:r>
            <w:r w:rsidR="00A57F80" w:rsidRPr="000202EE">
              <w:rPr>
                <w:rFonts w:eastAsia="TimesNewRoman" w:cs="TimesNewRoman"/>
                <w:sz w:val="20"/>
                <w:szCs w:val="19"/>
              </w:rPr>
              <w:t>leading to venetoclax reduction</w:t>
            </w:r>
          </w:p>
        </w:tc>
        <w:tc>
          <w:tcPr>
            <w:tcW w:w="2183" w:type="pct"/>
          </w:tcPr>
          <w:p w14:paraId="5F32974F" w14:textId="77777777" w:rsidR="004628FC" w:rsidRPr="000202EE" w:rsidRDefault="004628FC" w:rsidP="004628FC">
            <w:pPr>
              <w:rPr>
                <w:rFonts w:eastAsia="TimesNewRoman" w:cs="TimesNewRoman"/>
                <w:sz w:val="20"/>
                <w:szCs w:val="19"/>
              </w:rPr>
            </w:pPr>
            <w:r w:rsidRPr="000202EE">
              <w:rPr>
                <w:rFonts w:eastAsia="TimesNewRoman" w:cs="TimesNewRoman"/>
                <w:sz w:val="20"/>
                <w:szCs w:val="19"/>
              </w:rPr>
              <w:t>6 (7.3)</w:t>
            </w:r>
          </w:p>
        </w:tc>
      </w:tr>
      <w:tr w:rsidR="004628FC" w:rsidRPr="004628FC" w14:paraId="32595DB4" w14:textId="77777777" w:rsidTr="000202EE">
        <w:tc>
          <w:tcPr>
            <w:tcW w:w="2817" w:type="pct"/>
          </w:tcPr>
          <w:p w14:paraId="6352466B" w14:textId="175D9C50" w:rsidR="004628FC" w:rsidRPr="000202EE" w:rsidRDefault="004628FC" w:rsidP="004628FC">
            <w:pPr>
              <w:rPr>
                <w:rFonts w:eastAsia="TimesNewRoman" w:cs="TimesNewRoman"/>
                <w:sz w:val="20"/>
                <w:szCs w:val="19"/>
              </w:rPr>
            </w:pPr>
            <w:r w:rsidRPr="000202EE">
              <w:rPr>
                <w:rFonts w:eastAsia="TimesNewRoman" w:cs="TimesNewRoman"/>
                <w:sz w:val="20"/>
                <w:szCs w:val="19"/>
              </w:rPr>
              <w:t>A</w:t>
            </w:r>
            <w:r w:rsidR="00A57F80" w:rsidRPr="000202EE">
              <w:rPr>
                <w:rFonts w:eastAsia="TimesNewRoman" w:cs="TimesNewRoman"/>
                <w:sz w:val="20"/>
                <w:szCs w:val="19"/>
              </w:rPr>
              <w:t>ny AE leading to LDAC reduction</w:t>
            </w:r>
          </w:p>
        </w:tc>
        <w:tc>
          <w:tcPr>
            <w:tcW w:w="2183" w:type="pct"/>
          </w:tcPr>
          <w:p w14:paraId="6664568D" w14:textId="77777777" w:rsidR="004628FC" w:rsidRPr="000202EE" w:rsidRDefault="004628FC" w:rsidP="004628FC">
            <w:pPr>
              <w:rPr>
                <w:rFonts w:eastAsia="TimesNewRoman" w:cs="TimesNewRoman"/>
                <w:sz w:val="20"/>
                <w:szCs w:val="19"/>
              </w:rPr>
            </w:pPr>
            <w:r w:rsidRPr="000202EE">
              <w:rPr>
                <w:rFonts w:eastAsia="TimesNewRoman" w:cs="TimesNewRoman"/>
                <w:sz w:val="20"/>
                <w:szCs w:val="19"/>
              </w:rPr>
              <w:t>1 (1.2)</w:t>
            </w:r>
          </w:p>
        </w:tc>
      </w:tr>
      <w:tr w:rsidR="004628FC" w:rsidRPr="004628FC" w14:paraId="1B750C11" w14:textId="77777777" w:rsidTr="000202EE">
        <w:tc>
          <w:tcPr>
            <w:tcW w:w="2817" w:type="pct"/>
          </w:tcPr>
          <w:p w14:paraId="296C8D3F" w14:textId="22DB3DEB" w:rsidR="004628FC" w:rsidRPr="000202EE" w:rsidRDefault="00A57F80" w:rsidP="004628FC">
            <w:pPr>
              <w:rPr>
                <w:rFonts w:eastAsia="TimesNewRoman" w:cs="TimesNewRoman"/>
                <w:sz w:val="20"/>
                <w:szCs w:val="19"/>
              </w:rPr>
            </w:pPr>
            <w:r w:rsidRPr="000202EE">
              <w:rPr>
                <w:rFonts w:eastAsia="TimesNewRoman" w:cs="TimesNewRoman"/>
                <w:sz w:val="20"/>
                <w:szCs w:val="19"/>
              </w:rPr>
              <w:t>Fatal AE (AE leading to death)</w:t>
            </w:r>
          </w:p>
        </w:tc>
        <w:tc>
          <w:tcPr>
            <w:tcW w:w="2183" w:type="pct"/>
          </w:tcPr>
          <w:p w14:paraId="44736EF8" w14:textId="77777777" w:rsidR="004628FC" w:rsidRPr="000202EE" w:rsidRDefault="004628FC" w:rsidP="004628FC">
            <w:pPr>
              <w:rPr>
                <w:rFonts w:eastAsia="TimesNewRoman" w:cs="TimesNewRoman"/>
                <w:sz w:val="20"/>
                <w:szCs w:val="19"/>
              </w:rPr>
            </w:pPr>
            <w:r w:rsidRPr="000202EE">
              <w:rPr>
                <w:rFonts w:eastAsia="TimesNewRoman" w:cs="TimesNewRoman"/>
                <w:sz w:val="20"/>
                <w:szCs w:val="19"/>
              </w:rPr>
              <w:t>18 (22.0)</w:t>
            </w:r>
          </w:p>
        </w:tc>
      </w:tr>
      <w:tr w:rsidR="004628FC" w:rsidRPr="004628FC" w14:paraId="14D9A66A" w14:textId="77777777" w:rsidTr="000202EE">
        <w:tc>
          <w:tcPr>
            <w:tcW w:w="2817" w:type="pct"/>
          </w:tcPr>
          <w:p w14:paraId="745CB832" w14:textId="28A384F8" w:rsidR="004628FC" w:rsidRPr="000202EE" w:rsidRDefault="004628FC" w:rsidP="004628FC">
            <w:pPr>
              <w:rPr>
                <w:rFonts w:eastAsia="TimesNewRoman" w:cs="TimesNewRoman"/>
                <w:sz w:val="20"/>
                <w:szCs w:val="19"/>
              </w:rPr>
            </w:pPr>
            <w:r w:rsidRPr="000202EE">
              <w:rPr>
                <w:rFonts w:eastAsia="TimesNewRoman" w:cs="TimesNewRoman"/>
                <w:sz w:val="20"/>
                <w:szCs w:val="19"/>
              </w:rPr>
              <w:t>All deaths (treatm</w:t>
            </w:r>
            <w:r w:rsidR="00A57F80" w:rsidRPr="000202EE">
              <w:rPr>
                <w:rFonts w:eastAsia="TimesNewRoman" w:cs="TimesNewRoman"/>
                <w:sz w:val="20"/>
                <w:szCs w:val="19"/>
              </w:rPr>
              <w:t>ent and non-treatment emergent)</w:t>
            </w:r>
          </w:p>
        </w:tc>
        <w:tc>
          <w:tcPr>
            <w:tcW w:w="2183" w:type="pct"/>
          </w:tcPr>
          <w:p w14:paraId="24135612" w14:textId="77777777" w:rsidR="004628FC" w:rsidRPr="000202EE" w:rsidRDefault="004628FC" w:rsidP="004628FC">
            <w:pPr>
              <w:rPr>
                <w:rFonts w:eastAsia="TimesNewRoman" w:cs="TimesNewRoman"/>
                <w:sz w:val="20"/>
                <w:szCs w:val="19"/>
              </w:rPr>
            </w:pPr>
            <w:r w:rsidRPr="000202EE">
              <w:rPr>
                <w:rFonts w:eastAsia="TimesNewRoman" w:cs="TimesNewRoman"/>
                <w:sz w:val="20"/>
                <w:szCs w:val="19"/>
              </w:rPr>
              <w:t>56 (68.3)</w:t>
            </w:r>
          </w:p>
        </w:tc>
      </w:tr>
    </w:tbl>
    <w:p w14:paraId="2E68EA2D" w14:textId="4FA5FBCF" w:rsidR="00C77195" w:rsidRPr="007E0F1C" w:rsidRDefault="00C77195" w:rsidP="007E0F1C">
      <w:pPr>
        <w:pStyle w:val="TableDescription"/>
      </w:pPr>
      <w:r w:rsidRPr="007E0F1C">
        <w:lastRenderedPageBreak/>
        <w:t xml:space="preserve">QD = once daily; </w:t>
      </w:r>
      <w:r w:rsidR="003C231B">
        <w:t>LDAC</w:t>
      </w:r>
      <w:r w:rsidRPr="007E0F1C">
        <w:t xml:space="preserve"> = low dose cytarabine; AE = adverse event; TEAE = treatment emergent adverse event; NCI-CTCAE = National Cancer Institute </w:t>
      </w:r>
      <w:r w:rsidR="007E0F1C" w:rsidRPr="007E0F1C">
        <w:t>Common Terminology Criteria for Adverse Events</w:t>
      </w:r>
      <w:r w:rsidR="004A6C4C">
        <w:t>.</w:t>
      </w:r>
    </w:p>
    <w:p w14:paraId="37D5BC4A" w14:textId="75C1FC1C" w:rsidR="00D73CF0" w:rsidRPr="00D73CF0" w:rsidRDefault="00D73CF0" w:rsidP="00D73CF0">
      <w:pPr>
        <w:pStyle w:val="TableTitle"/>
      </w:pPr>
      <w:bookmarkStart w:id="51" w:name="_Ref45886736"/>
      <w:r>
        <w:t xml:space="preserve">Table </w:t>
      </w:r>
      <w:fldSimple w:instr=" SEQ Table \* ARABIC ">
        <w:r w:rsidR="00247395">
          <w:rPr>
            <w:noProof/>
          </w:rPr>
          <w:t>7</w:t>
        </w:r>
      </w:fldSimple>
      <w:bookmarkEnd w:id="51"/>
      <w:r>
        <w:t xml:space="preserve">: </w:t>
      </w:r>
      <w:r w:rsidR="007E0F1C">
        <w:t xml:space="preserve">Study M14-387 </w:t>
      </w:r>
      <w:r w:rsidRPr="00507DF4">
        <w:t>Treatment e</w:t>
      </w:r>
      <w:r w:rsidR="004A6C4C">
        <w:t>mergen</w:t>
      </w:r>
      <w:r w:rsidR="003C231B">
        <w:t>t</w:t>
      </w:r>
      <w:r w:rsidR="004A6C4C">
        <w:t xml:space="preserve"> adverse events G</w:t>
      </w:r>
      <w:r w:rsidR="007E0F1C">
        <w:t xml:space="preserve">rade 3 to </w:t>
      </w:r>
      <w:r w:rsidRPr="00507DF4">
        <w:t xml:space="preserve">4 reported in </w:t>
      </w:r>
      <w:r w:rsidR="008E7235">
        <w:sym w:font="Symbol" w:char="F0B3"/>
      </w:r>
      <w:r w:rsidR="007E0F1C">
        <w:t xml:space="preserve"> </w:t>
      </w:r>
      <w:r w:rsidRPr="00507DF4">
        <w:t>5</w:t>
      </w:r>
      <w:r w:rsidR="007E0F1C">
        <w:t>% of subjects</w:t>
      </w:r>
    </w:p>
    <w:tbl>
      <w:tblPr>
        <w:tblStyle w:val="TableTGAblue"/>
        <w:tblW w:w="8748" w:type="dxa"/>
        <w:tblLook w:val="04A0" w:firstRow="1" w:lastRow="0" w:firstColumn="1" w:lastColumn="0" w:noHBand="0" w:noVBand="1"/>
      </w:tblPr>
      <w:tblGrid>
        <w:gridCol w:w="3756"/>
        <w:gridCol w:w="4992"/>
      </w:tblGrid>
      <w:tr w:rsidR="007E0F1C" w:rsidRPr="00963E57" w14:paraId="6153F94D" w14:textId="77777777" w:rsidTr="000202EE">
        <w:trPr>
          <w:cnfStyle w:val="100000000000" w:firstRow="1" w:lastRow="0" w:firstColumn="0" w:lastColumn="0" w:oddVBand="0" w:evenVBand="0" w:oddHBand="0" w:evenHBand="0" w:firstRowFirstColumn="0" w:firstRowLastColumn="0" w:lastRowFirstColumn="0" w:lastRowLastColumn="0"/>
        </w:trPr>
        <w:tc>
          <w:tcPr>
            <w:tcW w:w="0" w:type="auto"/>
          </w:tcPr>
          <w:p w14:paraId="6CB0DD63" w14:textId="3B938049" w:rsidR="007E0F1C" w:rsidRPr="000202EE" w:rsidRDefault="007E0F1C" w:rsidP="007E0F1C">
            <w:pPr>
              <w:rPr>
                <w:szCs w:val="19"/>
                <w:lang w:eastAsia="ja-JP"/>
              </w:rPr>
            </w:pPr>
            <w:r w:rsidRPr="000202EE">
              <w:rPr>
                <w:szCs w:val="19"/>
                <w:lang w:eastAsia="ja-JP"/>
              </w:rPr>
              <w:t xml:space="preserve">TEAEs </w:t>
            </w:r>
            <w:r w:rsidR="0005356F">
              <w:rPr>
                <w:szCs w:val="19"/>
                <w:lang w:eastAsia="ja-JP"/>
              </w:rPr>
              <w:t>G</w:t>
            </w:r>
            <w:r w:rsidRPr="000202EE">
              <w:rPr>
                <w:szCs w:val="19"/>
                <w:lang w:eastAsia="ja-JP"/>
              </w:rPr>
              <w:t>rade 3 to 4 (Preferred</w:t>
            </w:r>
            <w:r w:rsidR="0005356F">
              <w:rPr>
                <w:szCs w:val="19"/>
                <w:lang w:eastAsia="ja-JP"/>
              </w:rPr>
              <w:t> </w:t>
            </w:r>
            <w:r w:rsidRPr="000202EE">
              <w:rPr>
                <w:szCs w:val="19"/>
                <w:lang w:eastAsia="ja-JP"/>
              </w:rPr>
              <w:t xml:space="preserve">Term) </w:t>
            </w:r>
          </w:p>
        </w:tc>
        <w:tc>
          <w:tcPr>
            <w:tcW w:w="4992" w:type="dxa"/>
          </w:tcPr>
          <w:p w14:paraId="582A1427" w14:textId="2C8A59A1" w:rsidR="007E0F1C" w:rsidRPr="000202EE" w:rsidRDefault="007E0F1C" w:rsidP="007E0F1C">
            <w:pPr>
              <w:rPr>
                <w:szCs w:val="19"/>
                <w:lang w:eastAsia="ja-JP"/>
              </w:rPr>
            </w:pPr>
            <w:r w:rsidRPr="000202EE">
              <w:rPr>
                <w:szCs w:val="19"/>
                <w:lang w:eastAsia="ja-JP"/>
              </w:rPr>
              <w:t>Venetoclax 600 mg QD + LDAC</w:t>
            </w:r>
            <w:r w:rsidR="000202EE">
              <w:rPr>
                <w:szCs w:val="19"/>
                <w:lang w:eastAsia="ja-JP"/>
              </w:rPr>
              <w:t xml:space="preserve"> </w:t>
            </w:r>
            <w:r w:rsidRPr="000202EE">
              <w:rPr>
                <w:szCs w:val="19"/>
                <w:lang w:eastAsia="ja-JP"/>
              </w:rPr>
              <w:t>(n = 82), n (%)</w:t>
            </w:r>
          </w:p>
        </w:tc>
      </w:tr>
      <w:tr w:rsidR="007E0F1C" w:rsidRPr="007E0F1C" w14:paraId="41C662A3" w14:textId="77777777" w:rsidTr="000202EE">
        <w:tc>
          <w:tcPr>
            <w:tcW w:w="0" w:type="auto"/>
          </w:tcPr>
          <w:p w14:paraId="6D8FF6B5" w14:textId="26698F57" w:rsidR="007E0F1C" w:rsidRPr="000202EE" w:rsidRDefault="007E0F1C" w:rsidP="007E0F1C">
            <w:pPr>
              <w:rPr>
                <w:rFonts w:eastAsia="TimesNewRoman" w:cs="TimesNewRoman"/>
                <w:sz w:val="20"/>
                <w:szCs w:val="19"/>
              </w:rPr>
            </w:pPr>
            <w:r w:rsidRPr="000202EE">
              <w:rPr>
                <w:rFonts w:eastAsia="TimesNewRoman" w:cs="TimesNewRoman"/>
                <w:sz w:val="20"/>
                <w:szCs w:val="19"/>
              </w:rPr>
              <w:t>Any</w:t>
            </w:r>
          </w:p>
        </w:tc>
        <w:tc>
          <w:tcPr>
            <w:tcW w:w="4992" w:type="dxa"/>
          </w:tcPr>
          <w:p w14:paraId="46F861A2" w14:textId="77777777" w:rsidR="007E0F1C" w:rsidRPr="000202EE" w:rsidRDefault="007E0F1C" w:rsidP="007E0F1C">
            <w:pPr>
              <w:rPr>
                <w:rFonts w:eastAsia="TimesNewRoman" w:cs="TimesNewRoman"/>
                <w:sz w:val="20"/>
                <w:szCs w:val="19"/>
              </w:rPr>
            </w:pPr>
            <w:r w:rsidRPr="000202EE">
              <w:rPr>
                <w:rFonts w:eastAsiaTheme="minorHAnsi" w:cs="Courier"/>
                <w:bCs/>
                <w:sz w:val="20"/>
                <w:szCs w:val="19"/>
              </w:rPr>
              <w:t>79 (96.3)</w:t>
            </w:r>
          </w:p>
        </w:tc>
      </w:tr>
      <w:tr w:rsidR="007E0F1C" w:rsidRPr="007E0F1C" w14:paraId="76CF0583" w14:textId="77777777" w:rsidTr="000202EE">
        <w:tc>
          <w:tcPr>
            <w:tcW w:w="0" w:type="auto"/>
          </w:tcPr>
          <w:p w14:paraId="72C2D86F" w14:textId="31E0FEFE" w:rsidR="007E0F1C" w:rsidRPr="000202EE" w:rsidRDefault="007E0F1C" w:rsidP="007E0F1C">
            <w:pPr>
              <w:rPr>
                <w:rFonts w:eastAsiaTheme="minorHAnsi" w:cs="Courier"/>
                <w:bCs/>
                <w:sz w:val="20"/>
                <w:szCs w:val="19"/>
              </w:rPr>
            </w:pPr>
            <w:r w:rsidRPr="000202EE">
              <w:rPr>
                <w:rFonts w:eastAsiaTheme="minorHAnsi" w:cs="Courier"/>
                <w:bCs/>
                <w:sz w:val="20"/>
                <w:szCs w:val="19"/>
              </w:rPr>
              <w:t>Febrile neutrop</w:t>
            </w:r>
            <w:r w:rsidR="008770E8">
              <w:rPr>
                <w:rFonts w:eastAsiaTheme="minorHAnsi" w:cs="Courier"/>
                <w:bCs/>
                <w:sz w:val="20"/>
                <w:szCs w:val="19"/>
              </w:rPr>
              <w:t>a</w:t>
            </w:r>
            <w:r w:rsidRPr="000202EE">
              <w:rPr>
                <w:rFonts w:eastAsiaTheme="minorHAnsi" w:cs="Courier"/>
                <w:bCs/>
                <w:sz w:val="20"/>
                <w:szCs w:val="19"/>
              </w:rPr>
              <w:t>enia</w:t>
            </w:r>
          </w:p>
        </w:tc>
        <w:tc>
          <w:tcPr>
            <w:tcW w:w="4992" w:type="dxa"/>
          </w:tcPr>
          <w:p w14:paraId="37F616A2" w14:textId="77777777" w:rsidR="007E0F1C" w:rsidRPr="000202EE" w:rsidRDefault="007E0F1C" w:rsidP="007E0F1C">
            <w:pPr>
              <w:rPr>
                <w:rFonts w:eastAsiaTheme="minorHAnsi" w:cs="Courier"/>
                <w:bCs/>
                <w:sz w:val="20"/>
                <w:szCs w:val="19"/>
              </w:rPr>
            </w:pPr>
            <w:r w:rsidRPr="000202EE">
              <w:rPr>
                <w:rFonts w:eastAsiaTheme="minorHAnsi" w:cs="Courier"/>
                <w:bCs/>
                <w:sz w:val="20"/>
                <w:szCs w:val="19"/>
              </w:rPr>
              <w:t>34 (41.5)</w:t>
            </w:r>
          </w:p>
        </w:tc>
      </w:tr>
      <w:tr w:rsidR="007E0F1C" w:rsidRPr="007E0F1C" w14:paraId="3BF298BF" w14:textId="77777777" w:rsidTr="000202EE">
        <w:tc>
          <w:tcPr>
            <w:tcW w:w="0" w:type="auto"/>
          </w:tcPr>
          <w:p w14:paraId="7F13696C" w14:textId="2D0A36FC" w:rsidR="007E0F1C" w:rsidRPr="000202EE" w:rsidRDefault="007E0F1C" w:rsidP="007E0F1C">
            <w:pPr>
              <w:rPr>
                <w:rFonts w:eastAsiaTheme="minorHAnsi" w:cs="Courier"/>
                <w:bCs/>
                <w:sz w:val="20"/>
                <w:szCs w:val="19"/>
              </w:rPr>
            </w:pPr>
            <w:r w:rsidRPr="000202EE">
              <w:rPr>
                <w:rFonts w:eastAsiaTheme="minorHAnsi" w:cs="Courier"/>
                <w:bCs/>
                <w:sz w:val="20"/>
                <w:szCs w:val="19"/>
              </w:rPr>
              <w:t>Thrombocytop</w:t>
            </w:r>
            <w:r w:rsidR="008770E8">
              <w:rPr>
                <w:rFonts w:eastAsiaTheme="minorHAnsi" w:cs="Courier"/>
                <w:bCs/>
                <w:sz w:val="20"/>
                <w:szCs w:val="19"/>
              </w:rPr>
              <w:t>a</w:t>
            </w:r>
            <w:r w:rsidRPr="000202EE">
              <w:rPr>
                <w:rFonts w:eastAsiaTheme="minorHAnsi" w:cs="Courier"/>
                <w:bCs/>
                <w:sz w:val="20"/>
                <w:szCs w:val="19"/>
              </w:rPr>
              <w:t>enia</w:t>
            </w:r>
          </w:p>
        </w:tc>
        <w:tc>
          <w:tcPr>
            <w:tcW w:w="4992" w:type="dxa"/>
          </w:tcPr>
          <w:p w14:paraId="26C057BC" w14:textId="77777777" w:rsidR="007E0F1C" w:rsidRPr="000202EE" w:rsidRDefault="007E0F1C" w:rsidP="007E0F1C">
            <w:pPr>
              <w:rPr>
                <w:rFonts w:eastAsiaTheme="minorHAnsi" w:cs="Courier"/>
                <w:bCs/>
                <w:sz w:val="20"/>
                <w:szCs w:val="19"/>
              </w:rPr>
            </w:pPr>
            <w:r w:rsidRPr="000202EE">
              <w:rPr>
                <w:rFonts w:eastAsiaTheme="minorHAnsi" w:cs="Courier"/>
                <w:bCs/>
                <w:sz w:val="20"/>
                <w:szCs w:val="19"/>
              </w:rPr>
              <w:t>31 (37.8)</w:t>
            </w:r>
          </w:p>
        </w:tc>
      </w:tr>
      <w:tr w:rsidR="007E0F1C" w:rsidRPr="007E0F1C" w14:paraId="1243A294" w14:textId="77777777" w:rsidTr="000202EE">
        <w:tc>
          <w:tcPr>
            <w:tcW w:w="0" w:type="auto"/>
          </w:tcPr>
          <w:p w14:paraId="64DA9BDF" w14:textId="4EBED7C7" w:rsidR="007E0F1C" w:rsidRPr="000202EE" w:rsidRDefault="007E0F1C" w:rsidP="007E0F1C">
            <w:pPr>
              <w:rPr>
                <w:rFonts w:eastAsiaTheme="minorHAnsi" w:cs="Courier"/>
                <w:bCs/>
                <w:sz w:val="20"/>
                <w:szCs w:val="19"/>
              </w:rPr>
            </w:pPr>
            <w:r w:rsidRPr="000202EE">
              <w:rPr>
                <w:rFonts w:eastAsiaTheme="minorHAnsi" w:cs="Courier"/>
                <w:bCs/>
                <w:sz w:val="20"/>
                <w:szCs w:val="19"/>
              </w:rPr>
              <w:t>White blood cell count decreased</w:t>
            </w:r>
          </w:p>
        </w:tc>
        <w:tc>
          <w:tcPr>
            <w:tcW w:w="4992" w:type="dxa"/>
          </w:tcPr>
          <w:p w14:paraId="319A949A" w14:textId="77777777" w:rsidR="007E0F1C" w:rsidRPr="000202EE" w:rsidRDefault="007E0F1C" w:rsidP="007E0F1C">
            <w:pPr>
              <w:rPr>
                <w:rFonts w:eastAsiaTheme="minorHAnsi" w:cs="Courier"/>
                <w:bCs/>
                <w:sz w:val="20"/>
                <w:szCs w:val="19"/>
              </w:rPr>
            </w:pPr>
            <w:r w:rsidRPr="000202EE">
              <w:rPr>
                <w:rFonts w:eastAsiaTheme="minorHAnsi" w:cs="Courier"/>
                <w:bCs/>
                <w:sz w:val="20"/>
                <w:szCs w:val="19"/>
              </w:rPr>
              <w:t>28 (34.1)</w:t>
            </w:r>
          </w:p>
        </w:tc>
      </w:tr>
      <w:tr w:rsidR="007E0F1C" w:rsidRPr="007E0F1C" w14:paraId="6B8C235D" w14:textId="77777777" w:rsidTr="000202EE">
        <w:tc>
          <w:tcPr>
            <w:tcW w:w="0" w:type="auto"/>
          </w:tcPr>
          <w:p w14:paraId="47C0B7F2" w14:textId="7ADAB36B" w:rsidR="007E0F1C" w:rsidRPr="000202EE" w:rsidRDefault="007E0F1C" w:rsidP="007E0F1C">
            <w:pPr>
              <w:rPr>
                <w:rFonts w:eastAsia="TimesNewRoman" w:cs="TimesNewRoman"/>
                <w:sz w:val="20"/>
                <w:szCs w:val="19"/>
              </w:rPr>
            </w:pPr>
            <w:r w:rsidRPr="000202EE">
              <w:rPr>
                <w:rFonts w:eastAsiaTheme="minorHAnsi" w:cs="Courier"/>
                <w:bCs/>
                <w:sz w:val="20"/>
                <w:szCs w:val="19"/>
              </w:rPr>
              <w:t>Anaemia</w:t>
            </w:r>
          </w:p>
        </w:tc>
        <w:tc>
          <w:tcPr>
            <w:tcW w:w="4992" w:type="dxa"/>
          </w:tcPr>
          <w:p w14:paraId="475D90E3" w14:textId="77777777" w:rsidR="007E0F1C" w:rsidRPr="000202EE" w:rsidRDefault="007E0F1C" w:rsidP="007E0F1C">
            <w:pPr>
              <w:rPr>
                <w:rFonts w:eastAsia="TimesNewRoman" w:cs="TimesNewRoman"/>
                <w:sz w:val="20"/>
                <w:szCs w:val="19"/>
              </w:rPr>
            </w:pPr>
            <w:r w:rsidRPr="000202EE">
              <w:rPr>
                <w:rFonts w:eastAsiaTheme="minorHAnsi" w:cs="Courier"/>
                <w:bCs/>
                <w:sz w:val="20"/>
                <w:szCs w:val="19"/>
              </w:rPr>
              <w:t>22 (26.8)</w:t>
            </w:r>
          </w:p>
        </w:tc>
      </w:tr>
      <w:tr w:rsidR="007E0F1C" w:rsidRPr="007E0F1C" w14:paraId="64DB5598" w14:textId="77777777" w:rsidTr="000202EE">
        <w:tc>
          <w:tcPr>
            <w:tcW w:w="0" w:type="auto"/>
          </w:tcPr>
          <w:p w14:paraId="7A358AE3" w14:textId="487DF24B" w:rsidR="007E0F1C" w:rsidRPr="000202EE" w:rsidRDefault="007E0F1C" w:rsidP="007E0F1C">
            <w:pPr>
              <w:rPr>
                <w:rFonts w:eastAsia="TimesNewRoman" w:cs="TimesNewRoman"/>
                <w:sz w:val="20"/>
                <w:szCs w:val="19"/>
              </w:rPr>
            </w:pPr>
            <w:r w:rsidRPr="000202EE">
              <w:rPr>
                <w:rFonts w:eastAsiaTheme="minorHAnsi" w:cs="Courier"/>
                <w:bCs/>
                <w:sz w:val="20"/>
                <w:szCs w:val="19"/>
              </w:rPr>
              <w:t>Neutrop</w:t>
            </w:r>
            <w:r w:rsidR="008770E8">
              <w:rPr>
                <w:rFonts w:eastAsiaTheme="minorHAnsi" w:cs="Courier"/>
                <w:bCs/>
                <w:sz w:val="20"/>
                <w:szCs w:val="19"/>
              </w:rPr>
              <w:t>a</w:t>
            </w:r>
            <w:r w:rsidRPr="000202EE">
              <w:rPr>
                <w:rFonts w:eastAsiaTheme="minorHAnsi" w:cs="Courier"/>
                <w:bCs/>
                <w:sz w:val="20"/>
                <w:szCs w:val="19"/>
              </w:rPr>
              <w:t>enia</w:t>
            </w:r>
          </w:p>
        </w:tc>
        <w:tc>
          <w:tcPr>
            <w:tcW w:w="4992" w:type="dxa"/>
          </w:tcPr>
          <w:p w14:paraId="731E1A14" w14:textId="77777777" w:rsidR="007E0F1C" w:rsidRPr="000202EE" w:rsidRDefault="007E0F1C" w:rsidP="007E0F1C">
            <w:pPr>
              <w:rPr>
                <w:rFonts w:eastAsia="TimesNewRoman" w:cs="TimesNewRoman"/>
                <w:sz w:val="20"/>
                <w:szCs w:val="19"/>
              </w:rPr>
            </w:pPr>
            <w:r w:rsidRPr="000202EE">
              <w:rPr>
                <w:rFonts w:eastAsiaTheme="minorHAnsi" w:cs="Courier"/>
                <w:bCs/>
                <w:sz w:val="20"/>
                <w:szCs w:val="19"/>
              </w:rPr>
              <w:t>22 (26.8)</w:t>
            </w:r>
          </w:p>
        </w:tc>
      </w:tr>
      <w:tr w:rsidR="007E0F1C" w:rsidRPr="007E0F1C" w14:paraId="08661169" w14:textId="77777777" w:rsidTr="000202EE">
        <w:tc>
          <w:tcPr>
            <w:tcW w:w="0" w:type="auto"/>
          </w:tcPr>
          <w:p w14:paraId="4D6F8A73" w14:textId="3A405BE1" w:rsidR="007E0F1C" w:rsidRPr="000202EE" w:rsidRDefault="007E0F1C" w:rsidP="007E0F1C">
            <w:pPr>
              <w:rPr>
                <w:rFonts w:eastAsiaTheme="minorHAnsi" w:cs="Courier"/>
                <w:bCs/>
                <w:sz w:val="20"/>
                <w:szCs w:val="19"/>
              </w:rPr>
            </w:pPr>
            <w:r w:rsidRPr="000202EE">
              <w:rPr>
                <w:rFonts w:eastAsiaTheme="minorHAnsi" w:cs="Courier"/>
                <w:bCs/>
                <w:sz w:val="20"/>
                <w:szCs w:val="19"/>
              </w:rPr>
              <w:t>Platelet count decreased</w:t>
            </w:r>
          </w:p>
        </w:tc>
        <w:tc>
          <w:tcPr>
            <w:tcW w:w="4992" w:type="dxa"/>
          </w:tcPr>
          <w:p w14:paraId="4B1F3CA3" w14:textId="77777777" w:rsidR="007E0F1C" w:rsidRPr="000202EE" w:rsidRDefault="007E0F1C" w:rsidP="007E0F1C">
            <w:pPr>
              <w:rPr>
                <w:rFonts w:eastAsiaTheme="minorHAnsi" w:cs="Courier"/>
                <w:bCs/>
                <w:sz w:val="20"/>
                <w:szCs w:val="19"/>
              </w:rPr>
            </w:pPr>
            <w:r w:rsidRPr="000202EE">
              <w:rPr>
                <w:rFonts w:eastAsiaTheme="minorHAnsi" w:cs="Courier"/>
                <w:bCs/>
                <w:sz w:val="20"/>
                <w:szCs w:val="19"/>
              </w:rPr>
              <w:t>20 (24.4)</w:t>
            </w:r>
          </w:p>
        </w:tc>
      </w:tr>
      <w:tr w:rsidR="007E0F1C" w:rsidRPr="007E0F1C" w14:paraId="5309A669" w14:textId="77777777" w:rsidTr="000202EE">
        <w:tc>
          <w:tcPr>
            <w:tcW w:w="0" w:type="auto"/>
          </w:tcPr>
          <w:p w14:paraId="4EB6949A" w14:textId="556ECDF6" w:rsidR="007E0F1C" w:rsidRPr="000202EE" w:rsidRDefault="007E0F1C" w:rsidP="007E0F1C">
            <w:pPr>
              <w:rPr>
                <w:rFonts w:eastAsiaTheme="minorHAnsi" w:cs="Courier"/>
                <w:bCs/>
                <w:sz w:val="20"/>
                <w:szCs w:val="19"/>
              </w:rPr>
            </w:pPr>
            <w:r w:rsidRPr="000202EE">
              <w:rPr>
                <w:rFonts w:eastAsiaTheme="minorHAnsi" w:cs="Courier"/>
                <w:bCs/>
                <w:sz w:val="20"/>
                <w:szCs w:val="19"/>
              </w:rPr>
              <w:t>Lymphocyte count decreased</w:t>
            </w:r>
          </w:p>
        </w:tc>
        <w:tc>
          <w:tcPr>
            <w:tcW w:w="4992" w:type="dxa"/>
          </w:tcPr>
          <w:p w14:paraId="4D6FBF45" w14:textId="77777777" w:rsidR="007E0F1C" w:rsidRPr="000202EE" w:rsidRDefault="007E0F1C" w:rsidP="007E0F1C">
            <w:pPr>
              <w:rPr>
                <w:rFonts w:eastAsiaTheme="minorHAnsi" w:cs="Courier"/>
                <w:bCs/>
                <w:sz w:val="20"/>
                <w:szCs w:val="19"/>
              </w:rPr>
            </w:pPr>
            <w:r w:rsidRPr="000202EE">
              <w:rPr>
                <w:rFonts w:eastAsiaTheme="minorHAnsi" w:cs="Courier"/>
                <w:bCs/>
                <w:sz w:val="20"/>
                <w:szCs w:val="19"/>
              </w:rPr>
              <w:t>15 (18.3)</w:t>
            </w:r>
          </w:p>
        </w:tc>
      </w:tr>
      <w:tr w:rsidR="007E0F1C" w:rsidRPr="007E0F1C" w14:paraId="67C3C136" w14:textId="77777777" w:rsidTr="000202EE">
        <w:tc>
          <w:tcPr>
            <w:tcW w:w="0" w:type="auto"/>
          </w:tcPr>
          <w:p w14:paraId="3441FD03" w14:textId="649F51EA" w:rsidR="007E0F1C" w:rsidRPr="000202EE" w:rsidRDefault="007E0F1C" w:rsidP="007E0F1C">
            <w:pPr>
              <w:rPr>
                <w:rFonts w:eastAsiaTheme="minorHAnsi" w:cs="Courier"/>
                <w:bCs/>
                <w:sz w:val="20"/>
                <w:szCs w:val="19"/>
              </w:rPr>
            </w:pPr>
            <w:r w:rsidRPr="000202EE">
              <w:rPr>
                <w:rFonts w:eastAsiaTheme="minorHAnsi" w:cs="Courier"/>
                <w:bCs/>
                <w:sz w:val="20"/>
                <w:szCs w:val="19"/>
              </w:rPr>
              <w:t>Neutrophil count decreased</w:t>
            </w:r>
          </w:p>
        </w:tc>
        <w:tc>
          <w:tcPr>
            <w:tcW w:w="4992" w:type="dxa"/>
          </w:tcPr>
          <w:p w14:paraId="62942106" w14:textId="77777777" w:rsidR="007E0F1C" w:rsidRPr="000202EE" w:rsidRDefault="007E0F1C" w:rsidP="007E0F1C">
            <w:pPr>
              <w:rPr>
                <w:rFonts w:eastAsiaTheme="minorHAnsi" w:cs="Courier"/>
                <w:bCs/>
                <w:sz w:val="20"/>
                <w:szCs w:val="19"/>
              </w:rPr>
            </w:pPr>
            <w:r w:rsidRPr="000202EE">
              <w:rPr>
                <w:rFonts w:eastAsiaTheme="minorHAnsi" w:cs="Courier"/>
                <w:bCs/>
                <w:sz w:val="20"/>
                <w:szCs w:val="19"/>
              </w:rPr>
              <w:t>14 (17.1)</w:t>
            </w:r>
          </w:p>
        </w:tc>
      </w:tr>
      <w:tr w:rsidR="007E0F1C" w:rsidRPr="007E0F1C" w14:paraId="087C600E" w14:textId="77777777" w:rsidTr="000202EE">
        <w:tc>
          <w:tcPr>
            <w:tcW w:w="0" w:type="auto"/>
          </w:tcPr>
          <w:p w14:paraId="5BD8333F" w14:textId="43741B2F" w:rsidR="007E0F1C" w:rsidRPr="000202EE" w:rsidRDefault="007E0F1C" w:rsidP="007E0F1C">
            <w:pPr>
              <w:rPr>
                <w:rFonts w:eastAsiaTheme="minorHAnsi" w:cs="Courier"/>
                <w:bCs/>
                <w:sz w:val="20"/>
                <w:szCs w:val="19"/>
              </w:rPr>
            </w:pPr>
            <w:r w:rsidRPr="000202EE">
              <w:rPr>
                <w:rFonts w:eastAsiaTheme="minorHAnsi" w:cs="Courier"/>
                <w:bCs/>
                <w:sz w:val="20"/>
                <w:szCs w:val="19"/>
              </w:rPr>
              <w:t>Hypophosphataemia</w:t>
            </w:r>
          </w:p>
        </w:tc>
        <w:tc>
          <w:tcPr>
            <w:tcW w:w="4992" w:type="dxa"/>
          </w:tcPr>
          <w:p w14:paraId="1032D0AE" w14:textId="77777777" w:rsidR="007E0F1C" w:rsidRPr="000202EE" w:rsidRDefault="007E0F1C" w:rsidP="007E0F1C">
            <w:pPr>
              <w:rPr>
                <w:rFonts w:eastAsiaTheme="minorHAnsi" w:cs="Courier"/>
                <w:bCs/>
                <w:sz w:val="20"/>
                <w:szCs w:val="19"/>
              </w:rPr>
            </w:pPr>
            <w:r w:rsidRPr="000202EE">
              <w:rPr>
                <w:rFonts w:eastAsiaTheme="minorHAnsi" w:cs="Courier"/>
                <w:bCs/>
                <w:sz w:val="20"/>
                <w:szCs w:val="19"/>
              </w:rPr>
              <w:t>13 (15.9)</w:t>
            </w:r>
          </w:p>
        </w:tc>
      </w:tr>
      <w:tr w:rsidR="007E0F1C" w:rsidRPr="007E0F1C" w14:paraId="73A79661" w14:textId="77777777" w:rsidTr="000202EE">
        <w:tc>
          <w:tcPr>
            <w:tcW w:w="0" w:type="auto"/>
          </w:tcPr>
          <w:p w14:paraId="267DBF72" w14:textId="359DF202" w:rsidR="007E0F1C" w:rsidRPr="000202EE" w:rsidRDefault="007E0F1C" w:rsidP="007E0F1C">
            <w:pPr>
              <w:rPr>
                <w:rFonts w:eastAsiaTheme="minorHAnsi" w:cs="Courier"/>
                <w:bCs/>
                <w:sz w:val="20"/>
                <w:szCs w:val="19"/>
              </w:rPr>
            </w:pPr>
            <w:r w:rsidRPr="000202EE">
              <w:rPr>
                <w:rFonts w:eastAsiaTheme="minorHAnsi" w:cs="Courier"/>
                <w:bCs/>
                <w:sz w:val="20"/>
                <w:szCs w:val="19"/>
              </w:rPr>
              <w:t>Hypokalaemia</w:t>
            </w:r>
          </w:p>
        </w:tc>
        <w:tc>
          <w:tcPr>
            <w:tcW w:w="4992" w:type="dxa"/>
          </w:tcPr>
          <w:p w14:paraId="41264165" w14:textId="77777777" w:rsidR="007E0F1C" w:rsidRPr="000202EE" w:rsidRDefault="007E0F1C" w:rsidP="007E0F1C">
            <w:pPr>
              <w:rPr>
                <w:rFonts w:eastAsiaTheme="minorHAnsi" w:cs="Courier"/>
                <w:bCs/>
                <w:sz w:val="20"/>
                <w:szCs w:val="19"/>
              </w:rPr>
            </w:pPr>
            <w:r w:rsidRPr="000202EE">
              <w:rPr>
                <w:rFonts w:eastAsiaTheme="minorHAnsi" w:cs="Courier"/>
                <w:bCs/>
                <w:sz w:val="20"/>
                <w:szCs w:val="19"/>
              </w:rPr>
              <w:t>12 (14.6)</w:t>
            </w:r>
          </w:p>
        </w:tc>
      </w:tr>
      <w:tr w:rsidR="007E0F1C" w:rsidRPr="007E0F1C" w14:paraId="68F852D0" w14:textId="77777777" w:rsidTr="000202EE">
        <w:tc>
          <w:tcPr>
            <w:tcW w:w="0" w:type="auto"/>
          </w:tcPr>
          <w:p w14:paraId="7F410D82" w14:textId="791DCAC2" w:rsidR="007E0F1C" w:rsidRPr="000202EE" w:rsidRDefault="007E0F1C" w:rsidP="007E0F1C">
            <w:pPr>
              <w:rPr>
                <w:rFonts w:eastAsiaTheme="minorHAnsi" w:cs="Courier"/>
                <w:bCs/>
                <w:sz w:val="20"/>
                <w:szCs w:val="19"/>
              </w:rPr>
            </w:pPr>
            <w:r w:rsidRPr="000202EE">
              <w:rPr>
                <w:rFonts w:eastAsiaTheme="minorHAnsi" w:cs="Courier"/>
                <w:bCs/>
                <w:sz w:val="20"/>
                <w:szCs w:val="19"/>
              </w:rPr>
              <w:t>Sepsis</w:t>
            </w:r>
          </w:p>
        </w:tc>
        <w:tc>
          <w:tcPr>
            <w:tcW w:w="4992" w:type="dxa"/>
          </w:tcPr>
          <w:p w14:paraId="7DB0213E" w14:textId="77777777" w:rsidR="007E0F1C" w:rsidRPr="000202EE" w:rsidRDefault="007E0F1C" w:rsidP="007E0F1C">
            <w:pPr>
              <w:rPr>
                <w:rFonts w:eastAsiaTheme="minorHAnsi" w:cs="Courier"/>
                <w:bCs/>
                <w:sz w:val="20"/>
                <w:szCs w:val="19"/>
              </w:rPr>
            </w:pPr>
            <w:r w:rsidRPr="000202EE">
              <w:rPr>
                <w:rFonts w:eastAsiaTheme="minorHAnsi" w:cs="Courier"/>
                <w:bCs/>
                <w:sz w:val="20"/>
                <w:szCs w:val="19"/>
              </w:rPr>
              <w:t>9 (11.0)</w:t>
            </w:r>
          </w:p>
        </w:tc>
      </w:tr>
      <w:tr w:rsidR="007E0F1C" w:rsidRPr="007E0F1C" w14:paraId="07C2BA23" w14:textId="77777777" w:rsidTr="000202EE">
        <w:tc>
          <w:tcPr>
            <w:tcW w:w="0" w:type="auto"/>
          </w:tcPr>
          <w:p w14:paraId="198DE92E" w14:textId="02E4AE0F" w:rsidR="007E0F1C" w:rsidRPr="000202EE" w:rsidRDefault="007E0F1C" w:rsidP="007E0F1C">
            <w:pPr>
              <w:rPr>
                <w:rFonts w:eastAsiaTheme="minorHAnsi" w:cs="Courier"/>
                <w:bCs/>
                <w:sz w:val="20"/>
                <w:szCs w:val="19"/>
              </w:rPr>
            </w:pPr>
            <w:r w:rsidRPr="000202EE">
              <w:rPr>
                <w:rFonts w:eastAsiaTheme="minorHAnsi" w:cs="Courier"/>
                <w:bCs/>
                <w:sz w:val="20"/>
                <w:szCs w:val="19"/>
              </w:rPr>
              <w:t>Pneumonia</w:t>
            </w:r>
          </w:p>
        </w:tc>
        <w:tc>
          <w:tcPr>
            <w:tcW w:w="4992" w:type="dxa"/>
          </w:tcPr>
          <w:p w14:paraId="74374799" w14:textId="77777777" w:rsidR="007E0F1C" w:rsidRPr="000202EE" w:rsidRDefault="007E0F1C" w:rsidP="007E0F1C">
            <w:pPr>
              <w:rPr>
                <w:rFonts w:eastAsiaTheme="minorHAnsi" w:cs="Courier"/>
                <w:bCs/>
                <w:sz w:val="20"/>
                <w:szCs w:val="19"/>
              </w:rPr>
            </w:pPr>
            <w:r w:rsidRPr="000202EE">
              <w:rPr>
                <w:rFonts w:eastAsiaTheme="minorHAnsi" w:cs="Courier"/>
                <w:bCs/>
                <w:sz w:val="20"/>
                <w:szCs w:val="19"/>
              </w:rPr>
              <w:t>9 (11.0)</w:t>
            </w:r>
          </w:p>
        </w:tc>
      </w:tr>
      <w:tr w:rsidR="007E0F1C" w:rsidRPr="007E0F1C" w14:paraId="00A6ED12" w14:textId="77777777" w:rsidTr="000202EE">
        <w:tc>
          <w:tcPr>
            <w:tcW w:w="0" w:type="auto"/>
          </w:tcPr>
          <w:p w14:paraId="546B8670" w14:textId="311E6ECC" w:rsidR="007E0F1C" w:rsidRPr="000202EE" w:rsidRDefault="007E0F1C" w:rsidP="007E0F1C">
            <w:pPr>
              <w:rPr>
                <w:rFonts w:eastAsiaTheme="minorHAnsi" w:cs="Courier"/>
                <w:bCs/>
                <w:sz w:val="20"/>
                <w:szCs w:val="19"/>
              </w:rPr>
            </w:pPr>
            <w:r w:rsidRPr="000202EE">
              <w:rPr>
                <w:rFonts w:eastAsiaTheme="minorHAnsi" w:cs="Courier"/>
                <w:bCs/>
                <w:sz w:val="20"/>
                <w:szCs w:val="19"/>
              </w:rPr>
              <w:t>Hypertension</w:t>
            </w:r>
          </w:p>
        </w:tc>
        <w:tc>
          <w:tcPr>
            <w:tcW w:w="4992" w:type="dxa"/>
          </w:tcPr>
          <w:p w14:paraId="3C115998" w14:textId="77777777" w:rsidR="007E0F1C" w:rsidRPr="000202EE" w:rsidRDefault="007E0F1C" w:rsidP="007E0F1C">
            <w:pPr>
              <w:rPr>
                <w:rFonts w:eastAsiaTheme="minorHAnsi" w:cs="Courier"/>
                <w:bCs/>
                <w:sz w:val="20"/>
                <w:szCs w:val="19"/>
              </w:rPr>
            </w:pPr>
            <w:r w:rsidRPr="000202EE">
              <w:rPr>
                <w:rFonts w:eastAsiaTheme="minorHAnsi" w:cs="Courier"/>
                <w:bCs/>
                <w:sz w:val="20"/>
                <w:szCs w:val="19"/>
              </w:rPr>
              <w:t>9 (11.0)</w:t>
            </w:r>
          </w:p>
        </w:tc>
      </w:tr>
      <w:tr w:rsidR="007E0F1C" w:rsidRPr="007E0F1C" w14:paraId="40433510" w14:textId="77777777" w:rsidTr="000202EE">
        <w:tc>
          <w:tcPr>
            <w:tcW w:w="0" w:type="auto"/>
          </w:tcPr>
          <w:p w14:paraId="1EE17EA4" w14:textId="0640ED21" w:rsidR="007E0F1C" w:rsidRPr="000202EE" w:rsidRDefault="007E0F1C" w:rsidP="007E0F1C">
            <w:pPr>
              <w:rPr>
                <w:rFonts w:eastAsia="TimesNewRoman" w:cs="TimesNewRoman"/>
                <w:sz w:val="20"/>
                <w:szCs w:val="19"/>
              </w:rPr>
            </w:pPr>
            <w:r w:rsidRPr="000202EE">
              <w:rPr>
                <w:rFonts w:eastAsiaTheme="minorHAnsi" w:cs="Courier"/>
                <w:bCs/>
                <w:sz w:val="20"/>
                <w:szCs w:val="19"/>
              </w:rPr>
              <w:t>Device related infection</w:t>
            </w:r>
          </w:p>
        </w:tc>
        <w:tc>
          <w:tcPr>
            <w:tcW w:w="4992" w:type="dxa"/>
          </w:tcPr>
          <w:p w14:paraId="4BC42EC6" w14:textId="77777777" w:rsidR="007E0F1C" w:rsidRPr="000202EE" w:rsidRDefault="007E0F1C" w:rsidP="007E0F1C">
            <w:pPr>
              <w:rPr>
                <w:rFonts w:eastAsia="TimesNewRoman" w:cs="TimesNewRoman"/>
                <w:sz w:val="20"/>
                <w:szCs w:val="19"/>
              </w:rPr>
            </w:pPr>
            <w:r w:rsidRPr="000202EE">
              <w:rPr>
                <w:rFonts w:eastAsiaTheme="minorHAnsi" w:cs="Courier"/>
                <w:bCs/>
                <w:sz w:val="20"/>
                <w:szCs w:val="19"/>
              </w:rPr>
              <w:t>7 (8.5)</w:t>
            </w:r>
          </w:p>
        </w:tc>
      </w:tr>
      <w:tr w:rsidR="007E0F1C" w:rsidRPr="007E0F1C" w14:paraId="7F3D0F6D" w14:textId="77777777" w:rsidTr="000202EE">
        <w:tc>
          <w:tcPr>
            <w:tcW w:w="0" w:type="auto"/>
          </w:tcPr>
          <w:p w14:paraId="6D5781C6" w14:textId="5DF49F3B" w:rsidR="007E0F1C" w:rsidRPr="000202EE" w:rsidRDefault="007E0F1C" w:rsidP="007E0F1C">
            <w:pPr>
              <w:rPr>
                <w:rFonts w:eastAsiaTheme="minorHAnsi" w:cs="Courier"/>
                <w:bCs/>
                <w:sz w:val="20"/>
                <w:szCs w:val="19"/>
              </w:rPr>
            </w:pPr>
            <w:r w:rsidRPr="000202EE">
              <w:rPr>
                <w:rFonts w:eastAsiaTheme="minorHAnsi" w:cs="Courier"/>
                <w:bCs/>
                <w:sz w:val="20"/>
                <w:szCs w:val="19"/>
              </w:rPr>
              <w:t>Hyponatraemia</w:t>
            </w:r>
          </w:p>
        </w:tc>
        <w:tc>
          <w:tcPr>
            <w:tcW w:w="4992" w:type="dxa"/>
          </w:tcPr>
          <w:p w14:paraId="511A7666" w14:textId="77777777" w:rsidR="007E0F1C" w:rsidRPr="000202EE" w:rsidRDefault="007E0F1C" w:rsidP="007E0F1C">
            <w:pPr>
              <w:rPr>
                <w:rFonts w:eastAsiaTheme="minorHAnsi" w:cs="Courier"/>
                <w:bCs/>
                <w:sz w:val="20"/>
                <w:szCs w:val="19"/>
              </w:rPr>
            </w:pPr>
            <w:r w:rsidRPr="000202EE">
              <w:rPr>
                <w:rFonts w:eastAsiaTheme="minorHAnsi" w:cs="Courier"/>
                <w:bCs/>
                <w:sz w:val="20"/>
                <w:szCs w:val="19"/>
              </w:rPr>
              <w:t>6 (7.3)</w:t>
            </w:r>
          </w:p>
        </w:tc>
      </w:tr>
      <w:tr w:rsidR="007E0F1C" w:rsidRPr="007E0F1C" w14:paraId="73A4EF68" w14:textId="77777777" w:rsidTr="000202EE">
        <w:tc>
          <w:tcPr>
            <w:tcW w:w="0" w:type="auto"/>
          </w:tcPr>
          <w:p w14:paraId="6485C9C6" w14:textId="10793C85" w:rsidR="007E0F1C" w:rsidRPr="000202EE" w:rsidRDefault="007E0F1C" w:rsidP="007E0F1C">
            <w:pPr>
              <w:rPr>
                <w:rFonts w:eastAsiaTheme="minorHAnsi" w:cs="Courier"/>
                <w:bCs/>
                <w:sz w:val="20"/>
                <w:szCs w:val="19"/>
              </w:rPr>
            </w:pPr>
            <w:r w:rsidRPr="000202EE">
              <w:rPr>
                <w:rFonts w:eastAsiaTheme="minorHAnsi" w:cs="Courier"/>
                <w:bCs/>
                <w:sz w:val="20"/>
                <w:szCs w:val="19"/>
              </w:rPr>
              <w:t>Fatigue</w:t>
            </w:r>
          </w:p>
        </w:tc>
        <w:tc>
          <w:tcPr>
            <w:tcW w:w="4992" w:type="dxa"/>
          </w:tcPr>
          <w:p w14:paraId="7B9A9076" w14:textId="77777777" w:rsidR="007E0F1C" w:rsidRPr="000202EE" w:rsidRDefault="007E0F1C" w:rsidP="007E0F1C">
            <w:pPr>
              <w:rPr>
                <w:rFonts w:eastAsiaTheme="minorHAnsi" w:cs="Courier"/>
                <w:bCs/>
                <w:sz w:val="20"/>
                <w:szCs w:val="19"/>
              </w:rPr>
            </w:pPr>
            <w:r w:rsidRPr="000202EE">
              <w:rPr>
                <w:rFonts w:eastAsiaTheme="minorHAnsi" w:cs="Courier"/>
                <w:bCs/>
                <w:sz w:val="20"/>
                <w:szCs w:val="19"/>
              </w:rPr>
              <w:t>6 (7.3)</w:t>
            </w:r>
          </w:p>
        </w:tc>
      </w:tr>
      <w:tr w:rsidR="007E0F1C" w:rsidRPr="007E0F1C" w14:paraId="3EC4803A" w14:textId="77777777" w:rsidTr="000202EE">
        <w:tc>
          <w:tcPr>
            <w:tcW w:w="0" w:type="auto"/>
          </w:tcPr>
          <w:p w14:paraId="19816264" w14:textId="4DFE411A" w:rsidR="007E0F1C" w:rsidRPr="000202EE" w:rsidRDefault="007E0F1C" w:rsidP="007E0F1C">
            <w:pPr>
              <w:rPr>
                <w:rFonts w:eastAsia="TimesNewRoman" w:cs="TimesNewRoman"/>
                <w:sz w:val="20"/>
                <w:szCs w:val="19"/>
              </w:rPr>
            </w:pPr>
            <w:r w:rsidRPr="000202EE">
              <w:rPr>
                <w:rFonts w:eastAsiaTheme="minorHAnsi" w:cs="Courier"/>
                <w:bCs/>
                <w:sz w:val="20"/>
                <w:szCs w:val="19"/>
              </w:rPr>
              <w:t>Hypotension</w:t>
            </w:r>
          </w:p>
        </w:tc>
        <w:tc>
          <w:tcPr>
            <w:tcW w:w="4992" w:type="dxa"/>
          </w:tcPr>
          <w:p w14:paraId="13A868AD" w14:textId="77777777" w:rsidR="007E0F1C" w:rsidRPr="000202EE" w:rsidRDefault="007E0F1C" w:rsidP="007E0F1C">
            <w:pPr>
              <w:rPr>
                <w:rFonts w:eastAsia="TimesNewRoman" w:cs="TimesNewRoman"/>
                <w:sz w:val="20"/>
                <w:szCs w:val="19"/>
              </w:rPr>
            </w:pPr>
            <w:r w:rsidRPr="000202EE">
              <w:rPr>
                <w:rFonts w:eastAsiaTheme="minorHAnsi" w:cs="Courier"/>
                <w:bCs/>
                <w:sz w:val="20"/>
                <w:szCs w:val="19"/>
              </w:rPr>
              <w:t>6 (7.3)</w:t>
            </w:r>
          </w:p>
        </w:tc>
      </w:tr>
      <w:tr w:rsidR="007E0F1C" w:rsidRPr="007E0F1C" w14:paraId="7E050DE6" w14:textId="77777777" w:rsidTr="000202EE">
        <w:trPr>
          <w:trHeight w:val="57"/>
        </w:trPr>
        <w:tc>
          <w:tcPr>
            <w:tcW w:w="0" w:type="auto"/>
          </w:tcPr>
          <w:p w14:paraId="13780093" w14:textId="043099E2" w:rsidR="007E0F1C" w:rsidRPr="000202EE" w:rsidRDefault="007E0F1C" w:rsidP="007E0F1C">
            <w:pPr>
              <w:rPr>
                <w:rFonts w:eastAsia="TimesNewRoman" w:cs="TimesNewRoman"/>
                <w:sz w:val="20"/>
                <w:szCs w:val="19"/>
              </w:rPr>
            </w:pPr>
            <w:r w:rsidRPr="000202EE">
              <w:rPr>
                <w:rFonts w:eastAsiaTheme="minorHAnsi" w:cs="Courier"/>
                <w:bCs/>
                <w:sz w:val="20"/>
                <w:szCs w:val="19"/>
              </w:rPr>
              <w:t>Decreased appetite</w:t>
            </w:r>
          </w:p>
        </w:tc>
        <w:tc>
          <w:tcPr>
            <w:tcW w:w="4992" w:type="dxa"/>
          </w:tcPr>
          <w:p w14:paraId="7DBAB029" w14:textId="77777777" w:rsidR="007E0F1C" w:rsidRPr="000202EE" w:rsidRDefault="007E0F1C" w:rsidP="007E0F1C">
            <w:pPr>
              <w:rPr>
                <w:rFonts w:eastAsia="TimesNewRoman" w:cs="TimesNewRoman"/>
                <w:sz w:val="20"/>
                <w:szCs w:val="19"/>
              </w:rPr>
            </w:pPr>
            <w:r w:rsidRPr="000202EE">
              <w:rPr>
                <w:rFonts w:eastAsiaTheme="minorHAnsi" w:cs="Courier"/>
                <w:bCs/>
                <w:sz w:val="20"/>
                <w:szCs w:val="19"/>
              </w:rPr>
              <w:t>5 (6.1)</w:t>
            </w:r>
          </w:p>
        </w:tc>
      </w:tr>
    </w:tbl>
    <w:p w14:paraId="67109D11" w14:textId="5824E82C" w:rsidR="00071892" w:rsidRDefault="00071892" w:rsidP="00071892">
      <w:pPr>
        <w:pStyle w:val="TableDescription"/>
      </w:pPr>
      <w:r w:rsidRPr="007E0F1C">
        <w:t xml:space="preserve">QD = once daily; </w:t>
      </w:r>
      <w:r w:rsidR="0048168D">
        <w:t>LDAC</w:t>
      </w:r>
      <w:r w:rsidRPr="007E0F1C">
        <w:t xml:space="preserve"> = low dose cytarabine</w:t>
      </w:r>
      <w:r>
        <w:t>.</w:t>
      </w:r>
    </w:p>
    <w:p w14:paraId="7B8333E9" w14:textId="1D18C863" w:rsidR="00325641" w:rsidRDefault="00E44791" w:rsidP="00000FD8">
      <w:r>
        <w:t>Tumour lysis s</w:t>
      </w:r>
      <w:r w:rsidR="00325641">
        <w:t>yndrome</w:t>
      </w:r>
      <w:r w:rsidR="003175D5">
        <w:t xml:space="preserve"> (TLS)</w:t>
      </w:r>
      <w:r w:rsidR="00325641">
        <w:t xml:space="preserve"> was reported in 2.4% (n</w:t>
      </w:r>
      <w:r w:rsidR="003175D5">
        <w:t xml:space="preserve"> </w:t>
      </w:r>
      <w:r w:rsidR="00325641">
        <w:t>=</w:t>
      </w:r>
      <w:r w:rsidR="003175D5">
        <w:t xml:space="preserve"> </w:t>
      </w:r>
      <w:r w:rsidR="00325641">
        <w:t>2) of patients. These were laboratory</w:t>
      </w:r>
      <w:r w:rsidR="003175D5">
        <w:noBreakHyphen/>
      </w:r>
      <w:r w:rsidR="00325641">
        <w:t>only events which occurred during the introduction of therapy. Neither of the patients with TLS developed clinica</w:t>
      </w:r>
      <w:r w:rsidR="00D73CF0">
        <w:t>l TLS and both recovered fully.</w:t>
      </w:r>
    </w:p>
    <w:p w14:paraId="66EC5E5B" w14:textId="54AB79B7" w:rsidR="00071892" w:rsidRDefault="00071892" w:rsidP="00000FD8">
      <w:r>
        <w:t>Thrombocytop</w:t>
      </w:r>
      <w:r w:rsidR="00A42EFC">
        <w:t>a</w:t>
      </w:r>
      <w:r>
        <w:t>enia, diarrhoea and sepsis were reported more frequently in patients &lt;</w:t>
      </w:r>
      <w:r w:rsidR="00E44791">
        <w:t> </w:t>
      </w:r>
      <w:r w:rsidR="00FA254C">
        <w:t>75 </w:t>
      </w:r>
      <w:r>
        <w:t xml:space="preserve">years of age than in those </w:t>
      </w:r>
      <w:r w:rsidR="008E7235">
        <w:sym w:font="Symbol" w:char="F0B3"/>
      </w:r>
      <w:r w:rsidR="006A7AEA">
        <w:t xml:space="preserve"> </w:t>
      </w:r>
      <w:r>
        <w:t xml:space="preserve">75 years of age (see </w:t>
      </w:r>
      <w:r>
        <w:fldChar w:fldCharType="begin"/>
      </w:r>
      <w:r>
        <w:instrText xml:space="preserve"> REF _Ref45888953 \h </w:instrText>
      </w:r>
      <w:r>
        <w:fldChar w:fldCharType="separate"/>
      </w:r>
      <w:r w:rsidR="00247395">
        <w:t xml:space="preserve">Table </w:t>
      </w:r>
      <w:r w:rsidR="00247395">
        <w:rPr>
          <w:noProof/>
        </w:rPr>
        <w:t>8</w:t>
      </w:r>
      <w:r>
        <w:fldChar w:fldCharType="end"/>
      </w:r>
      <w:r>
        <w:t>). Overall</w:t>
      </w:r>
      <w:r w:rsidR="007F5AD0">
        <w:t>,</w:t>
      </w:r>
      <w:r>
        <w:t xml:space="preserve"> the rates of TEAE were similar between the age groups. The rate of TEAE was also similar between male and female patients (data not shown).</w:t>
      </w:r>
    </w:p>
    <w:p w14:paraId="42F944FF" w14:textId="6742A982" w:rsidR="00D73CF0" w:rsidRPr="007C498A" w:rsidRDefault="00D73CF0" w:rsidP="00D73CF0">
      <w:pPr>
        <w:pStyle w:val="TableTitle"/>
      </w:pPr>
      <w:bookmarkStart w:id="52" w:name="_Ref45888953"/>
      <w:r>
        <w:lastRenderedPageBreak/>
        <w:t xml:space="preserve">Table </w:t>
      </w:r>
      <w:fldSimple w:instr=" SEQ Table \* ARABIC ">
        <w:r w:rsidR="00247395">
          <w:rPr>
            <w:noProof/>
          </w:rPr>
          <w:t>8</w:t>
        </w:r>
      </w:fldSimple>
      <w:bookmarkEnd w:id="52"/>
      <w:r>
        <w:t xml:space="preserve">: </w:t>
      </w:r>
      <w:r w:rsidR="003175D5">
        <w:t>Study M14-387 Key treatment emergent adverse events</w:t>
      </w:r>
      <w:r w:rsidRPr="007C498A">
        <w:t xml:space="preserve"> in subjects </w:t>
      </w:r>
      <w:r w:rsidR="008E7235">
        <w:sym w:font="Symbol" w:char="F0B3"/>
      </w:r>
      <w:r w:rsidR="003175D5">
        <w:t> </w:t>
      </w:r>
      <w:r w:rsidRPr="007C498A">
        <w:t>75</w:t>
      </w:r>
      <w:r w:rsidR="003175D5">
        <w:t> </w:t>
      </w:r>
      <w:r w:rsidRPr="007C498A">
        <w:t>years of age and &lt;</w:t>
      </w:r>
      <w:r w:rsidR="003175D5">
        <w:t xml:space="preserve"> 75 years of age</w:t>
      </w:r>
    </w:p>
    <w:tbl>
      <w:tblPr>
        <w:tblStyle w:val="TableTGAblack"/>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088"/>
        <w:gridCol w:w="1170"/>
        <w:gridCol w:w="1059"/>
        <w:gridCol w:w="1100"/>
        <w:gridCol w:w="1205"/>
        <w:gridCol w:w="867"/>
        <w:gridCol w:w="1231"/>
      </w:tblGrid>
      <w:tr w:rsidR="00071892" w:rsidRPr="00FA254C" w14:paraId="6E5CBAC1" w14:textId="77777777" w:rsidTr="000202EE">
        <w:trPr>
          <w:cnfStyle w:val="100000000000" w:firstRow="1" w:lastRow="0" w:firstColumn="0" w:lastColumn="0" w:oddVBand="0" w:evenVBand="0" w:oddHBand="0" w:evenHBand="0" w:firstRowFirstColumn="0" w:firstRowLastColumn="0" w:lastRowFirstColumn="0" w:lastRowLastColumn="0"/>
          <w:tblHeader/>
        </w:trPr>
        <w:tc>
          <w:tcPr>
            <w:cnfStyle w:val="000000000100" w:firstRow="0" w:lastRow="0" w:firstColumn="0" w:lastColumn="0" w:oddVBand="0" w:evenVBand="0" w:oddHBand="0" w:evenHBand="0" w:firstRowFirstColumn="1" w:firstRowLastColumn="0" w:lastRowFirstColumn="0" w:lastRowLastColumn="0"/>
            <w:tcW w:w="1197" w:type="pct"/>
            <w:vMerge w:val="restart"/>
            <w:shd w:val="clear" w:color="auto" w:fill="006DA7"/>
          </w:tcPr>
          <w:p w14:paraId="5C350AA5" w14:textId="77777777" w:rsidR="009F1143" w:rsidRPr="00FA254C" w:rsidRDefault="009F1143" w:rsidP="00071892">
            <w:pPr>
              <w:ind w:left="0" w:right="0"/>
              <w:rPr>
                <w:sz w:val="20"/>
                <w:szCs w:val="20"/>
              </w:rPr>
            </w:pPr>
            <w:r w:rsidRPr="00FA254C">
              <w:rPr>
                <w:sz w:val="20"/>
                <w:szCs w:val="20"/>
              </w:rPr>
              <w:t>Key TEAEs</w:t>
            </w:r>
          </w:p>
        </w:tc>
        <w:tc>
          <w:tcPr>
            <w:tcW w:w="1278" w:type="pct"/>
            <w:gridSpan w:val="2"/>
            <w:shd w:val="clear" w:color="auto" w:fill="006DA7"/>
          </w:tcPr>
          <w:p w14:paraId="79E63C85" w14:textId="77777777" w:rsidR="009F1143" w:rsidRPr="00FA254C" w:rsidRDefault="009F1143" w:rsidP="00071892">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FA254C">
              <w:rPr>
                <w:sz w:val="20"/>
                <w:szCs w:val="20"/>
              </w:rPr>
              <w:t>TEAE (any)</w:t>
            </w:r>
          </w:p>
        </w:tc>
        <w:tc>
          <w:tcPr>
            <w:tcW w:w="1322" w:type="pct"/>
            <w:gridSpan w:val="2"/>
            <w:shd w:val="clear" w:color="auto" w:fill="006DA7"/>
          </w:tcPr>
          <w:p w14:paraId="10ACBFB1" w14:textId="11E4BC3F" w:rsidR="009F1143" w:rsidRPr="00FA254C" w:rsidRDefault="00FA254C" w:rsidP="00071892">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FA254C">
              <w:rPr>
                <w:sz w:val="20"/>
                <w:szCs w:val="20"/>
              </w:rPr>
              <w:t xml:space="preserve">TEAE </w:t>
            </w:r>
            <w:r w:rsidR="008E7235">
              <w:sym w:font="Symbol" w:char="F0B3"/>
            </w:r>
            <w:r w:rsidRPr="00FA254C">
              <w:rPr>
                <w:sz w:val="20"/>
                <w:szCs w:val="20"/>
              </w:rPr>
              <w:t xml:space="preserve"> G</w:t>
            </w:r>
            <w:r w:rsidR="009F1143" w:rsidRPr="00FA254C">
              <w:rPr>
                <w:sz w:val="20"/>
                <w:szCs w:val="20"/>
              </w:rPr>
              <w:t>rade 3</w:t>
            </w:r>
          </w:p>
        </w:tc>
        <w:tc>
          <w:tcPr>
            <w:tcW w:w="1203" w:type="pct"/>
            <w:gridSpan w:val="2"/>
            <w:shd w:val="clear" w:color="auto" w:fill="006DA7"/>
          </w:tcPr>
          <w:p w14:paraId="4E42A910" w14:textId="4E1E6048" w:rsidR="009F1143" w:rsidRPr="00FA254C" w:rsidRDefault="00071892" w:rsidP="00071892">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FA254C">
              <w:rPr>
                <w:sz w:val="20"/>
                <w:szCs w:val="20"/>
              </w:rPr>
              <w:t>SAE</w:t>
            </w:r>
          </w:p>
        </w:tc>
      </w:tr>
      <w:tr w:rsidR="006233A7" w:rsidRPr="00FA254C" w14:paraId="4ED20ADF" w14:textId="77777777" w:rsidTr="006233A7">
        <w:trPr>
          <w:cnfStyle w:val="100000000000" w:firstRow="1" w:lastRow="0" w:firstColumn="0" w:lastColumn="0" w:oddVBand="0" w:evenVBand="0" w:oddHBand="0" w:evenHBand="0" w:firstRowFirstColumn="0" w:firstRowLastColumn="0" w:lastRowFirstColumn="0" w:lastRowLastColumn="0"/>
          <w:trHeight w:val="1238"/>
          <w:tblHeader/>
        </w:trPr>
        <w:tc>
          <w:tcPr>
            <w:cnfStyle w:val="000000000100" w:firstRow="0" w:lastRow="0" w:firstColumn="0" w:lastColumn="0" w:oddVBand="0" w:evenVBand="0" w:oddHBand="0" w:evenHBand="0" w:firstRowFirstColumn="1" w:firstRowLastColumn="0" w:lastRowFirstColumn="0" w:lastRowLastColumn="0"/>
            <w:tcW w:w="1197" w:type="pct"/>
            <w:vMerge/>
            <w:shd w:val="clear" w:color="auto" w:fill="006DA7"/>
          </w:tcPr>
          <w:p w14:paraId="76756630" w14:textId="77777777" w:rsidR="009F1143" w:rsidRPr="00FA254C" w:rsidRDefault="009F1143" w:rsidP="00071892">
            <w:pPr>
              <w:ind w:left="0" w:right="0"/>
              <w:rPr>
                <w:sz w:val="20"/>
                <w:szCs w:val="20"/>
              </w:rPr>
            </w:pPr>
          </w:p>
        </w:tc>
        <w:tc>
          <w:tcPr>
            <w:tcW w:w="671" w:type="pct"/>
            <w:shd w:val="clear" w:color="auto" w:fill="006DA7"/>
          </w:tcPr>
          <w:p w14:paraId="4E7CB1C0" w14:textId="77777777" w:rsidR="009F1143" w:rsidRPr="00FA254C" w:rsidRDefault="009F1143" w:rsidP="00071892">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FA254C">
              <w:rPr>
                <w:sz w:val="20"/>
                <w:szCs w:val="20"/>
              </w:rPr>
              <w:t>&lt; 75 years</w:t>
            </w:r>
          </w:p>
          <w:p w14:paraId="7E2D6835" w14:textId="77777777" w:rsidR="006233A7" w:rsidRDefault="009F1143" w:rsidP="00071892">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FA254C">
              <w:rPr>
                <w:sz w:val="20"/>
                <w:szCs w:val="20"/>
              </w:rPr>
              <w:t>n = 42;</w:t>
            </w:r>
          </w:p>
          <w:p w14:paraId="10DE24D2" w14:textId="31AB8313" w:rsidR="009F1143" w:rsidRPr="00FA254C" w:rsidRDefault="009F1143" w:rsidP="00071892">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FA254C">
              <w:rPr>
                <w:sz w:val="20"/>
                <w:szCs w:val="20"/>
              </w:rPr>
              <w:t>n</w:t>
            </w:r>
            <w:r w:rsidR="00071892" w:rsidRPr="00FA254C">
              <w:rPr>
                <w:sz w:val="20"/>
                <w:szCs w:val="20"/>
              </w:rPr>
              <w:t> </w:t>
            </w:r>
            <w:r w:rsidRPr="00FA254C">
              <w:rPr>
                <w:sz w:val="20"/>
                <w:szCs w:val="20"/>
              </w:rPr>
              <w:t>(%)</w:t>
            </w:r>
          </w:p>
        </w:tc>
        <w:tc>
          <w:tcPr>
            <w:tcW w:w="607" w:type="pct"/>
            <w:shd w:val="clear" w:color="auto" w:fill="006DA7"/>
          </w:tcPr>
          <w:p w14:paraId="3F2B1227" w14:textId="005A1895" w:rsidR="009F1143" w:rsidRPr="00FA254C" w:rsidRDefault="008E7235" w:rsidP="00071892">
            <w:pPr>
              <w:ind w:left="0" w:right="0"/>
              <w:cnfStyle w:val="100000000000" w:firstRow="1" w:lastRow="0" w:firstColumn="0" w:lastColumn="0" w:oddVBand="0" w:evenVBand="0" w:oddHBand="0" w:evenHBand="0" w:firstRowFirstColumn="0" w:firstRowLastColumn="0" w:lastRowFirstColumn="0" w:lastRowLastColumn="0"/>
              <w:rPr>
                <w:sz w:val="20"/>
                <w:szCs w:val="20"/>
              </w:rPr>
            </w:pPr>
            <w:r>
              <w:sym w:font="Symbol" w:char="F0B3"/>
            </w:r>
            <w:r w:rsidR="009F1143" w:rsidRPr="00FA254C">
              <w:rPr>
                <w:sz w:val="20"/>
                <w:szCs w:val="20"/>
              </w:rPr>
              <w:t xml:space="preserve"> 75 years</w:t>
            </w:r>
          </w:p>
          <w:p w14:paraId="0739C654" w14:textId="5D8B846D" w:rsidR="006233A7" w:rsidRDefault="009F1143" w:rsidP="00071892">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FA254C">
              <w:rPr>
                <w:sz w:val="20"/>
                <w:szCs w:val="20"/>
              </w:rPr>
              <w:t>n = 40</w:t>
            </w:r>
            <w:r w:rsidR="00DF3A07">
              <w:rPr>
                <w:sz w:val="20"/>
                <w:szCs w:val="20"/>
              </w:rPr>
              <w:t>;</w:t>
            </w:r>
          </w:p>
          <w:p w14:paraId="353736A0" w14:textId="71488C42" w:rsidR="009F1143" w:rsidRPr="00FA254C" w:rsidRDefault="009F1143" w:rsidP="00071892">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FA254C">
              <w:rPr>
                <w:sz w:val="20"/>
                <w:szCs w:val="20"/>
              </w:rPr>
              <w:t>n</w:t>
            </w:r>
            <w:r w:rsidR="00071892" w:rsidRPr="00FA254C">
              <w:rPr>
                <w:sz w:val="20"/>
                <w:szCs w:val="20"/>
              </w:rPr>
              <w:t> </w:t>
            </w:r>
            <w:r w:rsidRPr="00FA254C">
              <w:rPr>
                <w:sz w:val="20"/>
                <w:szCs w:val="20"/>
              </w:rPr>
              <w:t>(%)</w:t>
            </w:r>
          </w:p>
        </w:tc>
        <w:tc>
          <w:tcPr>
            <w:tcW w:w="631" w:type="pct"/>
            <w:shd w:val="clear" w:color="auto" w:fill="006DA7"/>
          </w:tcPr>
          <w:p w14:paraId="140D9ACB" w14:textId="77777777" w:rsidR="009F1143" w:rsidRPr="00FA254C" w:rsidRDefault="009F1143" w:rsidP="00071892">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FA254C">
              <w:rPr>
                <w:sz w:val="20"/>
                <w:szCs w:val="20"/>
              </w:rPr>
              <w:t>&lt; 75 years</w:t>
            </w:r>
          </w:p>
          <w:p w14:paraId="223763A8" w14:textId="3F0AD8D6" w:rsidR="009F1143" w:rsidRPr="00FA254C" w:rsidRDefault="009F1143" w:rsidP="00071892">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FA254C">
              <w:rPr>
                <w:sz w:val="20"/>
                <w:szCs w:val="20"/>
              </w:rPr>
              <w:t>n = 42; n</w:t>
            </w:r>
            <w:r w:rsidR="00071892" w:rsidRPr="00FA254C">
              <w:rPr>
                <w:sz w:val="20"/>
                <w:szCs w:val="20"/>
              </w:rPr>
              <w:t> </w:t>
            </w:r>
            <w:r w:rsidRPr="00FA254C">
              <w:rPr>
                <w:sz w:val="20"/>
                <w:szCs w:val="20"/>
              </w:rPr>
              <w:t>(%)</w:t>
            </w:r>
          </w:p>
        </w:tc>
        <w:tc>
          <w:tcPr>
            <w:tcW w:w="691" w:type="pct"/>
            <w:shd w:val="clear" w:color="auto" w:fill="006DA7"/>
          </w:tcPr>
          <w:p w14:paraId="5E0EEA21" w14:textId="42ED7D32" w:rsidR="009F1143" w:rsidRPr="00FA254C" w:rsidRDefault="008E7235" w:rsidP="00071892">
            <w:pPr>
              <w:ind w:left="0" w:right="0"/>
              <w:cnfStyle w:val="100000000000" w:firstRow="1" w:lastRow="0" w:firstColumn="0" w:lastColumn="0" w:oddVBand="0" w:evenVBand="0" w:oddHBand="0" w:evenHBand="0" w:firstRowFirstColumn="0" w:firstRowLastColumn="0" w:lastRowFirstColumn="0" w:lastRowLastColumn="0"/>
              <w:rPr>
                <w:sz w:val="20"/>
                <w:szCs w:val="20"/>
              </w:rPr>
            </w:pPr>
            <w:r>
              <w:sym w:font="Symbol" w:char="F0B3"/>
            </w:r>
            <w:r w:rsidR="009F1143" w:rsidRPr="00FA254C">
              <w:rPr>
                <w:sz w:val="20"/>
                <w:szCs w:val="20"/>
              </w:rPr>
              <w:t xml:space="preserve"> 75 years</w:t>
            </w:r>
          </w:p>
          <w:p w14:paraId="0EA32B18" w14:textId="1A87E987" w:rsidR="006233A7" w:rsidRDefault="009F1143" w:rsidP="00071892">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FA254C">
              <w:rPr>
                <w:sz w:val="20"/>
                <w:szCs w:val="20"/>
              </w:rPr>
              <w:t>n = 40</w:t>
            </w:r>
            <w:r w:rsidR="00DF3A07">
              <w:rPr>
                <w:sz w:val="20"/>
                <w:szCs w:val="20"/>
              </w:rPr>
              <w:t>;</w:t>
            </w:r>
          </w:p>
          <w:p w14:paraId="41F6DB1B" w14:textId="2F69F32F" w:rsidR="009F1143" w:rsidRPr="00FA254C" w:rsidRDefault="009F1143" w:rsidP="00071892">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FA254C">
              <w:rPr>
                <w:sz w:val="20"/>
                <w:szCs w:val="20"/>
              </w:rPr>
              <w:t>n</w:t>
            </w:r>
            <w:r w:rsidR="00071892" w:rsidRPr="00FA254C">
              <w:rPr>
                <w:sz w:val="20"/>
                <w:szCs w:val="20"/>
              </w:rPr>
              <w:t> </w:t>
            </w:r>
            <w:r w:rsidRPr="00FA254C">
              <w:rPr>
                <w:sz w:val="20"/>
                <w:szCs w:val="20"/>
              </w:rPr>
              <w:t>(%)</w:t>
            </w:r>
          </w:p>
        </w:tc>
        <w:tc>
          <w:tcPr>
            <w:tcW w:w="497" w:type="pct"/>
            <w:shd w:val="clear" w:color="auto" w:fill="006DA7"/>
          </w:tcPr>
          <w:p w14:paraId="2C19F160" w14:textId="77777777" w:rsidR="009F1143" w:rsidRPr="00FA254C" w:rsidRDefault="009F1143" w:rsidP="00071892">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FA254C">
              <w:rPr>
                <w:sz w:val="20"/>
                <w:szCs w:val="20"/>
              </w:rPr>
              <w:t>&lt; 75 years</w:t>
            </w:r>
          </w:p>
          <w:p w14:paraId="364061B1" w14:textId="5A0D5F3D" w:rsidR="009F1143" w:rsidRPr="00FA254C" w:rsidRDefault="009F1143" w:rsidP="00071892">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FA254C">
              <w:rPr>
                <w:sz w:val="20"/>
                <w:szCs w:val="20"/>
              </w:rPr>
              <w:t>n = 42; n</w:t>
            </w:r>
            <w:r w:rsidR="00071892" w:rsidRPr="00FA254C">
              <w:rPr>
                <w:sz w:val="20"/>
                <w:szCs w:val="20"/>
              </w:rPr>
              <w:t> </w:t>
            </w:r>
            <w:r w:rsidRPr="00FA254C">
              <w:rPr>
                <w:sz w:val="20"/>
                <w:szCs w:val="20"/>
              </w:rPr>
              <w:t>(%)</w:t>
            </w:r>
          </w:p>
        </w:tc>
        <w:tc>
          <w:tcPr>
            <w:tcW w:w="706" w:type="pct"/>
            <w:shd w:val="clear" w:color="auto" w:fill="006DA7"/>
          </w:tcPr>
          <w:p w14:paraId="4D71DAF7" w14:textId="105AFDCD" w:rsidR="009F1143" w:rsidRPr="00FA254C" w:rsidRDefault="008E7235" w:rsidP="00071892">
            <w:pPr>
              <w:ind w:left="0" w:right="0"/>
              <w:cnfStyle w:val="100000000000" w:firstRow="1" w:lastRow="0" w:firstColumn="0" w:lastColumn="0" w:oddVBand="0" w:evenVBand="0" w:oddHBand="0" w:evenHBand="0" w:firstRowFirstColumn="0" w:firstRowLastColumn="0" w:lastRowFirstColumn="0" w:lastRowLastColumn="0"/>
              <w:rPr>
                <w:sz w:val="20"/>
                <w:szCs w:val="20"/>
              </w:rPr>
            </w:pPr>
            <w:r>
              <w:sym w:font="Symbol" w:char="F0B3"/>
            </w:r>
            <w:r w:rsidR="009F1143" w:rsidRPr="00FA254C">
              <w:rPr>
                <w:sz w:val="20"/>
                <w:szCs w:val="20"/>
              </w:rPr>
              <w:t xml:space="preserve"> 75 years</w:t>
            </w:r>
          </w:p>
          <w:p w14:paraId="5EF096B2" w14:textId="248F05A8" w:rsidR="009F1143" w:rsidRPr="00FA254C" w:rsidRDefault="009F1143" w:rsidP="00DF3A07">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FA254C">
              <w:rPr>
                <w:sz w:val="20"/>
                <w:szCs w:val="20"/>
              </w:rPr>
              <w:t>n = 40</w:t>
            </w:r>
            <w:r w:rsidR="00DF3A07">
              <w:rPr>
                <w:sz w:val="20"/>
                <w:szCs w:val="20"/>
              </w:rPr>
              <w:t xml:space="preserve">; </w:t>
            </w:r>
            <w:r w:rsidRPr="00FA254C">
              <w:rPr>
                <w:sz w:val="20"/>
                <w:szCs w:val="20"/>
              </w:rPr>
              <w:t>n</w:t>
            </w:r>
            <w:r w:rsidR="00071892" w:rsidRPr="00FA254C">
              <w:rPr>
                <w:sz w:val="20"/>
                <w:szCs w:val="20"/>
              </w:rPr>
              <w:t> </w:t>
            </w:r>
            <w:r w:rsidRPr="00FA254C">
              <w:rPr>
                <w:sz w:val="20"/>
                <w:szCs w:val="20"/>
              </w:rPr>
              <w:t>(%)</w:t>
            </w:r>
          </w:p>
        </w:tc>
      </w:tr>
      <w:tr w:rsidR="006233A7" w:rsidRPr="00FA254C" w14:paraId="49A3D9AC" w14:textId="77777777" w:rsidTr="006233A7">
        <w:tc>
          <w:tcPr>
            <w:tcW w:w="1197" w:type="pct"/>
          </w:tcPr>
          <w:p w14:paraId="06C68463" w14:textId="77777777" w:rsidR="003175D5" w:rsidRPr="00FA254C" w:rsidRDefault="003175D5" w:rsidP="00071892">
            <w:pPr>
              <w:ind w:left="0" w:right="0"/>
              <w:rPr>
                <w:sz w:val="20"/>
                <w:szCs w:val="20"/>
              </w:rPr>
            </w:pPr>
            <w:r w:rsidRPr="00FA254C">
              <w:rPr>
                <w:sz w:val="20"/>
                <w:szCs w:val="20"/>
              </w:rPr>
              <w:t>Any TEAE</w:t>
            </w:r>
          </w:p>
        </w:tc>
        <w:tc>
          <w:tcPr>
            <w:tcW w:w="671" w:type="pct"/>
          </w:tcPr>
          <w:p w14:paraId="08D17E1E" w14:textId="77777777" w:rsidR="003175D5" w:rsidRPr="00FA254C" w:rsidRDefault="003175D5" w:rsidP="00071892">
            <w:pPr>
              <w:ind w:left="0" w:right="0"/>
              <w:rPr>
                <w:sz w:val="20"/>
                <w:szCs w:val="20"/>
              </w:rPr>
            </w:pPr>
            <w:r w:rsidRPr="00FA254C">
              <w:rPr>
                <w:sz w:val="20"/>
                <w:szCs w:val="20"/>
              </w:rPr>
              <w:t>42 (100)</w:t>
            </w:r>
          </w:p>
        </w:tc>
        <w:tc>
          <w:tcPr>
            <w:tcW w:w="607" w:type="pct"/>
          </w:tcPr>
          <w:p w14:paraId="67E0088E" w14:textId="77777777" w:rsidR="003175D5" w:rsidRPr="00FA254C" w:rsidRDefault="003175D5" w:rsidP="00071892">
            <w:pPr>
              <w:ind w:left="0" w:right="0"/>
              <w:rPr>
                <w:sz w:val="20"/>
                <w:szCs w:val="20"/>
              </w:rPr>
            </w:pPr>
            <w:r w:rsidRPr="00FA254C">
              <w:rPr>
                <w:sz w:val="20"/>
                <w:szCs w:val="20"/>
              </w:rPr>
              <w:t>40 (100)</w:t>
            </w:r>
          </w:p>
        </w:tc>
        <w:tc>
          <w:tcPr>
            <w:tcW w:w="631" w:type="pct"/>
          </w:tcPr>
          <w:p w14:paraId="18B5309D" w14:textId="77777777" w:rsidR="003175D5" w:rsidRPr="00FA254C" w:rsidRDefault="003175D5" w:rsidP="00071892">
            <w:pPr>
              <w:ind w:left="0" w:right="0"/>
              <w:rPr>
                <w:sz w:val="20"/>
                <w:szCs w:val="20"/>
              </w:rPr>
            </w:pPr>
            <w:r w:rsidRPr="00FA254C">
              <w:rPr>
                <w:sz w:val="20"/>
                <w:szCs w:val="20"/>
              </w:rPr>
              <w:t>41 (97.6)</w:t>
            </w:r>
          </w:p>
        </w:tc>
        <w:tc>
          <w:tcPr>
            <w:tcW w:w="691" w:type="pct"/>
          </w:tcPr>
          <w:p w14:paraId="7A16C8A1" w14:textId="77777777" w:rsidR="003175D5" w:rsidRPr="00FA254C" w:rsidRDefault="003175D5" w:rsidP="00071892">
            <w:pPr>
              <w:ind w:left="0" w:right="0"/>
              <w:rPr>
                <w:sz w:val="20"/>
                <w:szCs w:val="20"/>
              </w:rPr>
            </w:pPr>
            <w:r w:rsidRPr="00FA254C">
              <w:rPr>
                <w:sz w:val="20"/>
                <w:szCs w:val="20"/>
              </w:rPr>
              <w:t>38 (90.5)</w:t>
            </w:r>
          </w:p>
        </w:tc>
        <w:tc>
          <w:tcPr>
            <w:tcW w:w="497" w:type="pct"/>
          </w:tcPr>
          <w:p w14:paraId="571BC146" w14:textId="77777777" w:rsidR="003175D5" w:rsidRPr="00FA254C" w:rsidRDefault="003175D5" w:rsidP="00071892">
            <w:pPr>
              <w:ind w:left="0" w:right="0"/>
              <w:rPr>
                <w:sz w:val="20"/>
                <w:szCs w:val="20"/>
              </w:rPr>
            </w:pPr>
            <w:r w:rsidRPr="00FA254C">
              <w:rPr>
                <w:sz w:val="20"/>
                <w:szCs w:val="20"/>
              </w:rPr>
              <w:t>38 (90.5)</w:t>
            </w:r>
          </w:p>
        </w:tc>
        <w:tc>
          <w:tcPr>
            <w:tcW w:w="706" w:type="pct"/>
          </w:tcPr>
          <w:p w14:paraId="5ED26CC6" w14:textId="77777777" w:rsidR="003175D5" w:rsidRPr="00FA254C" w:rsidRDefault="003175D5" w:rsidP="00071892">
            <w:pPr>
              <w:ind w:left="0" w:right="0"/>
              <w:rPr>
                <w:sz w:val="20"/>
                <w:szCs w:val="20"/>
              </w:rPr>
            </w:pPr>
            <w:r w:rsidRPr="00FA254C">
              <w:rPr>
                <w:sz w:val="20"/>
                <w:szCs w:val="20"/>
              </w:rPr>
              <w:t>37 (92.5)</w:t>
            </w:r>
          </w:p>
        </w:tc>
      </w:tr>
      <w:tr w:rsidR="006233A7" w:rsidRPr="00FA254C" w14:paraId="6C0B9CB7" w14:textId="77777777" w:rsidTr="006233A7">
        <w:tc>
          <w:tcPr>
            <w:tcW w:w="1197" w:type="pct"/>
          </w:tcPr>
          <w:p w14:paraId="2DE26AFC" w14:textId="77777777" w:rsidR="003175D5" w:rsidRPr="00FA254C" w:rsidRDefault="003175D5" w:rsidP="00071892">
            <w:pPr>
              <w:ind w:left="0" w:right="0"/>
              <w:rPr>
                <w:sz w:val="20"/>
                <w:szCs w:val="20"/>
              </w:rPr>
            </w:pPr>
            <w:r w:rsidRPr="00FA254C">
              <w:rPr>
                <w:sz w:val="20"/>
                <w:szCs w:val="20"/>
              </w:rPr>
              <w:t>Anaemia</w:t>
            </w:r>
          </w:p>
        </w:tc>
        <w:tc>
          <w:tcPr>
            <w:tcW w:w="671" w:type="pct"/>
          </w:tcPr>
          <w:p w14:paraId="622F14AB" w14:textId="77777777" w:rsidR="003175D5" w:rsidRPr="00FA254C" w:rsidRDefault="003175D5" w:rsidP="00071892">
            <w:pPr>
              <w:ind w:left="0" w:right="0"/>
              <w:rPr>
                <w:sz w:val="20"/>
                <w:szCs w:val="20"/>
              </w:rPr>
            </w:pPr>
            <w:r w:rsidRPr="00FA254C">
              <w:rPr>
                <w:sz w:val="20"/>
                <w:szCs w:val="20"/>
              </w:rPr>
              <w:t>10 (23.8)</w:t>
            </w:r>
          </w:p>
        </w:tc>
        <w:tc>
          <w:tcPr>
            <w:tcW w:w="607" w:type="pct"/>
          </w:tcPr>
          <w:p w14:paraId="4338DD21" w14:textId="77777777" w:rsidR="003175D5" w:rsidRPr="00FA254C" w:rsidRDefault="003175D5" w:rsidP="00071892">
            <w:pPr>
              <w:ind w:left="0" w:right="0"/>
              <w:rPr>
                <w:sz w:val="20"/>
                <w:szCs w:val="20"/>
              </w:rPr>
            </w:pPr>
            <w:r w:rsidRPr="00FA254C">
              <w:rPr>
                <w:sz w:val="20"/>
                <w:szCs w:val="20"/>
              </w:rPr>
              <w:t>12 (30.0)</w:t>
            </w:r>
          </w:p>
        </w:tc>
        <w:tc>
          <w:tcPr>
            <w:tcW w:w="631" w:type="pct"/>
          </w:tcPr>
          <w:p w14:paraId="7788223D" w14:textId="77777777" w:rsidR="003175D5" w:rsidRPr="00FA254C" w:rsidRDefault="003175D5" w:rsidP="00071892">
            <w:pPr>
              <w:ind w:left="0" w:right="0"/>
              <w:rPr>
                <w:sz w:val="20"/>
                <w:szCs w:val="20"/>
              </w:rPr>
            </w:pPr>
            <w:r w:rsidRPr="00FA254C">
              <w:rPr>
                <w:sz w:val="20"/>
                <w:szCs w:val="20"/>
              </w:rPr>
              <w:t>10 (23.8)</w:t>
            </w:r>
          </w:p>
        </w:tc>
        <w:tc>
          <w:tcPr>
            <w:tcW w:w="691" w:type="pct"/>
          </w:tcPr>
          <w:p w14:paraId="3C96638A" w14:textId="77777777" w:rsidR="003175D5" w:rsidRPr="00FA254C" w:rsidRDefault="003175D5" w:rsidP="00071892">
            <w:pPr>
              <w:ind w:left="0" w:right="0"/>
              <w:rPr>
                <w:sz w:val="20"/>
                <w:szCs w:val="20"/>
              </w:rPr>
            </w:pPr>
            <w:r w:rsidRPr="00FA254C">
              <w:rPr>
                <w:sz w:val="20"/>
                <w:szCs w:val="20"/>
              </w:rPr>
              <w:t>12 (30.0)</w:t>
            </w:r>
          </w:p>
        </w:tc>
        <w:tc>
          <w:tcPr>
            <w:tcW w:w="497" w:type="pct"/>
          </w:tcPr>
          <w:p w14:paraId="707575D4" w14:textId="77777777" w:rsidR="003175D5" w:rsidRPr="00FA254C" w:rsidRDefault="003175D5" w:rsidP="00071892">
            <w:pPr>
              <w:ind w:left="0" w:right="0"/>
              <w:rPr>
                <w:sz w:val="20"/>
                <w:szCs w:val="20"/>
              </w:rPr>
            </w:pPr>
            <w:r w:rsidRPr="00FA254C">
              <w:rPr>
                <w:sz w:val="20"/>
                <w:szCs w:val="20"/>
              </w:rPr>
              <w:t>0</w:t>
            </w:r>
          </w:p>
        </w:tc>
        <w:tc>
          <w:tcPr>
            <w:tcW w:w="706" w:type="pct"/>
          </w:tcPr>
          <w:p w14:paraId="653637E8" w14:textId="77777777" w:rsidR="003175D5" w:rsidRPr="00FA254C" w:rsidRDefault="003175D5" w:rsidP="00071892">
            <w:pPr>
              <w:ind w:left="0" w:right="0"/>
              <w:rPr>
                <w:sz w:val="20"/>
                <w:szCs w:val="20"/>
              </w:rPr>
            </w:pPr>
            <w:r w:rsidRPr="00FA254C">
              <w:rPr>
                <w:sz w:val="20"/>
                <w:szCs w:val="20"/>
              </w:rPr>
              <w:t>1 (2.5)</w:t>
            </w:r>
          </w:p>
        </w:tc>
      </w:tr>
      <w:tr w:rsidR="006233A7" w:rsidRPr="00FA254C" w14:paraId="2EE6AF66" w14:textId="77777777" w:rsidTr="006233A7">
        <w:tc>
          <w:tcPr>
            <w:tcW w:w="1197" w:type="pct"/>
          </w:tcPr>
          <w:p w14:paraId="148805BB" w14:textId="49BBEA9D" w:rsidR="003175D5" w:rsidRPr="00FA254C" w:rsidRDefault="003175D5" w:rsidP="00071892">
            <w:pPr>
              <w:ind w:left="0" w:right="0"/>
              <w:rPr>
                <w:sz w:val="20"/>
                <w:szCs w:val="20"/>
              </w:rPr>
            </w:pPr>
            <w:r w:rsidRPr="00FA254C">
              <w:rPr>
                <w:sz w:val="20"/>
                <w:szCs w:val="20"/>
              </w:rPr>
              <w:t>Neutrop</w:t>
            </w:r>
            <w:r w:rsidR="006233A7">
              <w:rPr>
                <w:sz w:val="20"/>
                <w:szCs w:val="20"/>
              </w:rPr>
              <w:t>a</w:t>
            </w:r>
            <w:r w:rsidRPr="00FA254C">
              <w:rPr>
                <w:sz w:val="20"/>
                <w:szCs w:val="20"/>
              </w:rPr>
              <w:t>enia</w:t>
            </w:r>
          </w:p>
        </w:tc>
        <w:tc>
          <w:tcPr>
            <w:tcW w:w="671" w:type="pct"/>
          </w:tcPr>
          <w:p w14:paraId="4150841E" w14:textId="77777777" w:rsidR="003175D5" w:rsidRPr="00FA254C" w:rsidRDefault="003175D5" w:rsidP="00071892">
            <w:pPr>
              <w:ind w:left="0" w:right="0"/>
              <w:rPr>
                <w:sz w:val="20"/>
                <w:szCs w:val="20"/>
              </w:rPr>
            </w:pPr>
            <w:r w:rsidRPr="00FA254C">
              <w:rPr>
                <w:sz w:val="20"/>
                <w:szCs w:val="20"/>
              </w:rPr>
              <w:t>9 (21.4)</w:t>
            </w:r>
          </w:p>
        </w:tc>
        <w:tc>
          <w:tcPr>
            <w:tcW w:w="607" w:type="pct"/>
          </w:tcPr>
          <w:p w14:paraId="48E93AAE" w14:textId="77777777" w:rsidR="003175D5" w:rsidRPr="00FA254C" w:rsidRDefault="003175D5" w:rsidP="00071892">
            <w:pPr>
              <w:ind w:left="0" w:right="0"/>
              <w:rPr>
                <w:sz w:val="20"/>
                <w:szCs w:val="20"/>
              </w:rPr>
            </w:pPr>
            <w:r w:rsidRPr="00FA254C">
              <w:rPr>
                <w:sz w:val="20"/>
                <w:szCs w:val="20"/>
              </w:rPr>
              <w:t>13 (32.5)</w:t>
            </w:r>
          </w:p>
        </w:tc>
        <w:tc>
          <w:tcPr>
            <w:tcW w:w="631" w:type="pct"/>
          </w:tcPr>
          <w:p w14:paraId="367CFF80" w14:textId="77777777" w:rsidR="003175D5" w:rsidRPr="00FA254C" w:rsidRDefault="003175D5" w:rsidP="00071892">
            <w:pPr>
              <w:ind w:left="0" w:right="0"/>
              <w:rPr>
                <w:sz w:val="20"/>
                <w:szCs w:val="20"/>
              </w:rPr>
            </w:pPr>
            <w:r w:rsidRPr="00FA254C">
              <w:rPr>
                <w:sz w:val="20"/>
                <w:szCs w:val="20"/>
              </w:rPr>
              <w:t>9 (21.4)</w:t>
            </w:r>
          </w:p>
        </w:tc>
        <w:tc>
          <w:tcPr>
            <w:tcW w:w="691" w:type="pct"/>
          </w:tcPr>
          <w:p w14:paraId="7462A69E" w14:textId="77777777" w:rsidR="003175D5" w:rsidRPr="00FA254C" w:rsidRDefault="003175D5" w:rsidP="00071892">
            <w:pPr>
              <w:ind w:left="0" w:right="0"/>
              <w:rPr>
                <w:sz w:val="20"/>
                <w:szCs w:val="20"/>
              </w:rPr>
            </w:pPr>
            <w:r w:rsidRPr="00FA254C">
              <w:rPr>
                <w:sz w:val="20"/>
                <w:szCs w:val="20"/>
              </w:rPr>
              <w:t>13 (32.5)</w:t>
            </w:r>
          </w:p>
        </w:tc>
        <w:tc>
          <w:tcPr>
            <w:tcW w:w="497" w:type="pct"/>
          </w:tcPr>
          <w:p w14:paraId="079EE26E" w14:textId="77777777" w:rsidR="003175D5" w:rsidRPr="00FA254C" w:rsidRDefault="003175D5" w:rsidP="00071892">
            <w:pPr>
              <w:ind w:left="0" w:right="0"/>
              <w:rPr>
                <w:sz w:val="20"/>
                <w:szCs w:val="20"/>
              </w:rPr>
            </w:pPr>
            <w:r w:rsidRPr="00FA254C">
              <w:rPr>
                <w:sz w:val="20"/>
                <w:szCs w:val="20"/>
              </w:rPr>
              <w:t>0</w:t>
            </w:r>
          </w:p>
        </w:tc>
        <w:tc>
          <w:tcPr>
            <w:tcW w:w="706" w:type="pct"/>
          </w:tcPr>
          <w:p w14:paraId="75614025" w14:textId="77777777" w:rsidR="003175D5" w:rsidRPr="00FA254C" w:rsidRDefault="003175D5" w:rsidP="00071892">
            <w:pPr>
              <w:ind w:left="0" w:right="0"/>
              <w:rPr>
                <w:sz w:val="20"/>
                <w:szCs w:val="20"/>
              </w:rPr>
            </w:pPr>
            <w:r w:rsidRPr="00FA254C">
              <w:rPr>
                <w:sz w:val="20"/>
                <w:szCs w:val="20"/>
              </w:rPr>
              <w:t>1 (2.5)</w:t>
            </w:r>
          </w:p>
        </w:tc>
      </w:tr>
      <w:tr w:rsidR="006233A7" w:rsidRPr="00FA254C" w14:paraId="25B1FF43" w14:textId="77777777" w:rsidTr="006233A7">
        <w:tc>
          <w:tcPr>
            <w:tcW w:w="1197" w:type="pct"/>
          </w:tcPr>
          <w:p w14:paraId="62E39B84" w14:textId="33F96C8A" w:rsidR="003175D5" w:rsidRPr="00FA254C" w:rsidRDefault="003175D5" w:rsidP="00071892">
            <w:pPr>
              <w:ind w:left="0" w:right="0"/>
              <w:rPr>
                <w:sz w:val="20"/>
                <w:szCs w:val="20"/>
              </w:rPr>
            </w:pPr>
            <w:r w:rsidRPr="00FA254C">
              <w:rPr>
                <w:sz w:val="20"/>
                <w:szCs w:val="20"/>
              </w:rPr>
              <w:t>Febrile neutrop</w:t>
            </w:r>
            <w:r w:rsidR="006233A7">
              <w:rPr>
                <w:sz w:val="20"/>
                <w:szCs w:val="20"/>
              </w:rPr>
              <w:t>a</w:t>
            </w:r>
            <w:r w:rsidRPr="00FA254C">
              <w:rPr>
                <w:sz w:val="20"/>
                <w:szCs w:val="20"/>
              </w:rPr>
              <w:t>enia</w:t>
            </w:r>
          </w:p>
        </w:tc>
        <w:tc>
          <w:tcPr>
            <w:tcW w:w="671" w:type="pct"/>
          </w:tcPr>
          <w:p w14:paraId="50D21163" w14:textId="77777777" w:rsidR="003175D5" w:rsidRPr="00FA254C" w:rsidRDefault="003175D5" w:rsidP="00071892">
            <w:pPr>
              <w:ind w:left="0" w:right="0"/>
              <w:rPr>
                <w:sz w:val="20"/>
                <w:szCs w:val="20"/>
              </w:rPr>
            </w:pPr>
            <w:r w:rsidRPr="00FA254C">
              <w:rPr>
                <w:sz w:val="20"/>
                <w:szCs w:val="20"/>
              </w:rPr>
              <w:t>19 (45.2)</w:t>
            </w:r>
          </w:p>
        </w:tc>
        <w:tc>
          <w:tcPr>
            <w:tcW w:w="607" w:type="pct"/>
          </w:tcPr>
          <w:p w14:paraId="25F1D52A" w14:textId="77777777" w:rsidR="003175D5" w:rsidRPr="00FA254C" w:rsidRDefault="003175D5" w:rsidP="00071892">
            <w:pPr>
              <w:ind w:left="0" w:right="0"/>
              <w:rPr>
                <w:sz w:val="20"/>
                <w:szCs w:val="20"/>
              </w:rPr>
            </w:pPr>
            <w:r w:rsidRPr="00FA254C">
              <w:rPr>
                <w:sz w:val="20"/>
                <w:szCs w:val="20"/>
              </w:rPr>
              <w:t>16 (40.0)</w:t>
            </w:r>
          </w:p>
        </w:tc>
        <w:tc>
          <w:tcPr>
            <w:tcW w:w="631" w:type="pct"/>
          </w:tcPr>
          <w:p w14:paraId="498B69B3" w14:textId="77777777" w:rsidR="003175D5" w:rsidRPr="00FA254C" w:rsidRDefault="003175D5" w:rsidP="00071892">
            <w:pPr>
              <w:ind w:left="0" w:right="0"/>
              <w:rPr>
                <w:sz w:val="20"/>
                <w:szCs w:val="20"/>
              </w:rPr>
            </w:pPr>
            <w:r w:rsidRPr="00FA254C">
              <w:rPr>
                <w:sz w:val="20"/>
                <w:szCs w:val="20"/>
              </w:rPr>
              <w:t>19 (45.2)</w:t>
            </w:r>
          </w:p>
        </w:tc>
        <w:tc>
          <w:tcPr>
            <w:tcW w:w="691" w:type="pct"/>
          </w:tcPr>
          <w:p w14:paraId="0462CFC6" w14:textId="77777777" w:rsidR="003175D5" w:rsidRPr="00FA254C" w:rsidRDefault="003175D5" w:rsidP="00071892">
            <w:pPr>
              <w:ind w:left="0" w:right="0"/>
              <w:rPr>
                <w:sz w:val="20"/>
                <w:szCs w:val="20"/>
              </w:rPr>
            </w:pPr>
            <w:r w:rsidRPr="00FA254C">
              <w:rPr>
                <w:sz w:val="20"/>
                <w:szCs w:val="20"/>
              </w:rPr>
              <w:t>15 (37.5)</w:t>
            </w:r>
          </w:p>
        </w:tc>
        <w:tc>
          <w:tcPr>
            <w:tcW w:w="497" w:type="pct"/>
          </w:tcPr>
          <w:p w14:paraId="5DC986F1" w14:textId="77777777" w:rsidR="003175D5" w:rsidRPr="00FA254C" w:rsidRDefault="003175D5" w:rsidP="00071892">
            <w:pPr>
              <w:ind w:left="0" w:right="0"/>
              <w:rPr>
                <w:sz w:val="20"/>
                <w:szCs w:val="20"/>
              </w:rPr>
            </w:pPr>
            <w:r w:rsidRPr="00FA254C">
              <w:rPr>
                <w:sz w:val="20"/>
                <w:szCs w:val="20"/>
              </w:rPr>
              <w:t>11 (26.2)</w:t>
            </w:r>
          </w:p>
        </w:tc>
        <w:tc>
          <w:tcPr>
            <w:tcW w:w="706" w:type="pct"/>
          </w:tcPr>
          <w:p w14:paraId="174AA53E" w14:textId="77777777" w:rsidR="003175D5" w:rsidRPr="00FA254C" w:rsidRDefault="003175D5" w:rsidP="00071892">
            <w:pPr>
              <w:ind w:left="0" w:right="0"/>
              <w:rPr>
                <w:sz w:val="20"/>
                <w:szCs w:val="20"/>
              </w:rPr>
            </w:pPr>
            <w:r w:rsidRPr="00FA254C">
              <w:rPr>
                <w:sz w:val="20"/>
                <w:szCs w:val="20"/>
              </w:rPr>
              <w:t>11 (28.2)</w:t>
            </w:r>
          </w:p>
        </w:tc>
      </w:tr>
      <w:tr w:rsidR="006233A7" w:rsidRPr="00FA254C" w14:paraId="709F4797" w14:textId="77777777" w:rsidTr="006233A7">
        <w:tc>
          <w:tcPr>
            <w:tcW w:w="1197" w:type="pct"/>
          </w:tcPr>
          <w:p w14:paraId="389A689C" w14:textId="3211464E" w:rsidR="003175D5" w:rsidRPr="00FA254C" w:rsidRDefault="003175D5" w:rsidP="00071892">
            <w:pPr>
              <w:ind w:left="0" w:right="0"/>
              <w:rPr>
                <w:sz w:val="20"/>
                <w:szCs w:val="20"/>
              </w:rPr>
            </w:pPr>
            <w:r w:rsidRPr="00FA254C">
              <w:rPr>
                <w:sz w:val="20"/>
                <w:szCs w:val="20"/>
              </w:rPr>
              <w:t>Thrombocytop</w:t>
            </w:r>
            <w:r w:rsidR="006233A7">
              <w:rPr>
                <w:sz w:val="20"/>
                <w:szCs w:val="20"/>
              </w:rPr>
              <w:t>a</w:t>
            </w:r>
            <w:r w:rsidRPr="00FA254C">
              <w:rPr>
                <w:sz w:val="20"/>
                <w:szCs w:val="20"/>
              </w:rPr>
              <w:t>enia</w:t>
            </w:r>
          </w:p>
        </w:tc>
        <w:tc>
          <w:tcPr>
            <w:tcW w:w="671" w:type="pct"/>
          </w:tcPr>
          <w:p w14:paraId="16ABF627" w14:textId="77777777" w:rsidR="003175D5" w:rsidRPr="00FA254C" w:rsidRDefault="003175D5" w:rsidP="00071892">
            <w:pPr>
              <w:ind w:left="0" w:right="0"/>
              <w:rPr>
                <w:sz w:val="20"/>
                <w:szCs w:val="20"/>
              </w:rPr>
            </w:pPr>
            <w:r w:rsidRPr="00FA254C">
              <w:rPr>
                <w:sz w:val="20"/>
                <w:szCs w:val="20"/>
              </w:rPr>
              <w:t>18 (42.9)</w:t>
            </w:r>
          </w:p>
        </w:tc>
        <w:tc>
          <w:tcPr>
            <w:tcW w:w="607" w:type="pct"/>
          </w:tcPr>
          <w:p w14:paraId="5E0EE299" w14:textId="77777777" w:rsidR="003175D5" w:rsidRPr="00FA254C" w:rsidRDefault="003175D5" w:rsidP="00071892">
            <w:pPr>
              <w:ind w:left="0" w:right="0"/>
              <w:rPr>
                <w:sz w:val="20"/>
                <w:szCs w:val="20"/>
              </w:rPr>
            </w:pPr>
            <w:r w:rsidRPr="00FA254C">
              <w:rPr>
                <w:sz w:val="20"/>
                <w:szCs w:val="20"/>
              </w:rPr>
              <w:t>13 (32.5)</w:t>
            </w:r>
          </w:p>
        </w:tc>
        <w:tc>
          <w:tcPr>
            <w:tcW w:w="631" w:type="pct"/>
          </w:tcPr>
          <w:p w14:paraId="7C17FCC4" w14:textId="77777777" w:rsidR="003175D5" w:rsidRPr="00FA254C" w:rsidRDefault="003175D5" w:rsidP="00071892">
            <w:pPr>
              <w:ind w:left="0" w:right="0"/>
              <w:rPr>
                <w:sz w:val="20"/>
                <w:szCs w:val="20"/>
              </w:rPr>
            </w:pPr>
            <w:r w:rsidRPr="00FA254C">
              <w:rPr>
                <w:sz w:val="20"/>
                <w:szCs w:val="20"/>
              </w:rPr>
              <w:t>18 (42.9)</w:t>
            </w:r>
          </w:p>
        </w:tc>
        <w:tc>
          <w:tcPr>
            <w:tcW w:w="691" w:type="pct"/>
          </w:tcPr>
          <w:p w14:paraId="3F48EEB4" w14:textId="77777777" w:rsidR="003175D5" w:rsidRPr="00FA254C" w:rsidRDefault="003175D5" w:rsidP="00071892">
            <w:pPr>
              <w:ind w:left="0" w:right="0"/>
              <w:rPr>
                <w:sz w:val="20"/>
                <w:szCs w:val="20"/>
              </w:rPr>
            </w:pPr>
            <w:r w:rsidRPr="00FA254C">
              <w:rPr>
                <w:sz w:val="20"/>
                <w:szCs w:val="20"/>
              </w:rPr>
              <w:t>13 (32.5)</w:t>
            </w:r>
          </w:p>
        </w:tc>
        <w:tc>
          <w:tcPr>
            <w:tcW w:w="497" w:type="pct"/>
          </w:tcPr>
          <w:p w14:paraId="6BFA40D6" w14:textId="77777777" w:rsidR="003175D5" w:rsidRPr="00FA254C" w:rsidRDefault="003175D5" w:rsidP="00071892">
            <w:pPr>
              <w:ind w:left="0" w:right="0"/>
              <w:rPr>
                <w:sz w:val="20"/>
                <w:szCs w:val="20"/>
              </w:rPr>
            </w:pPr>
            <w:r w:rsidRPr="00FA254C">
              <w:rPr>
                <w:sz w:val="20"/>
                <w:szCs w:val="20"/>
              </w:rPr>
              <w:t>1 (2.4)</w:t>
            </w:r>
          </w:p>
        </w:tc>
        <w:tc>
          <w:tcPr>
            <w:tcW w:w="706" w:type="pct"/>
          </w:tcPr>
          <w:p w14:paraId="7A963C96" w14:textId="77777777" w:rsidR="003175D5" w:rsidRPr="00FA254C" w:rsidRDefault="003175D5" w:rsidP="00071892">
            <w:pPr>
              <w:ind w:left="0" w:right="0"/>
              <w:rPr>
                <w:sz w:val="20"/>
                <w:szCs w:val="20"/>
              </w:rPr>
            </w:pPr>
            <w:r w:rsidRPr="00FA254C">
              <w:rPr>
                <w:sz w:val="20"/>
                <w:szCs w:val="20"/>
              </w:rPr>
              <w:t>0</w:t>
            </w:r>
          </w:p>
        </w:tc>
      </w:tr>
      <w:tr w:rsidR="006233A7" w:rsidRPr="00FA254C" w14:paraId="323D9D06" w14:textId="77777777" w:rsidTr="006233A7">
        <w:tc>
          <w:tcPr>
            <w:tcW w:w="1197" w:type="pct"/>
          </w:tcPr>
          <w:p w14:paraId="298A6ADC" w14:textId="77777777" w:rsidR="003175D5" w:rsidRPr="00FA254C" w:rsidRDefault="003175D5" w:rsidP="00071892">
            <w:pPr>
              <w:ind w:left="0" w:right="0"/>
              <w:rPr>
                <w:sz w:val="20"/>
                <w:szCs w:val="20"/>
              </w:rPr>
            </w:pPr>
            <w:r w:rsidRPr="00FA254C">
              <w:rPr>
                <w:sz w:val="20"/>
                <w:szCs w:val="20"/>
              </w:rPr>
              <w:t>Nausea</w:t>
            </w:r>
          </w:p>
        </w:tc>
        <w:tc>
          <w:tcPr>
            <w:tcW w:w="671" w:type="pct"/>
          </w:tcPr>
          <w:p w14:paraId="3E324F44" w14:textId="77777777" w:rsidR="003175D5" w:rsidRPr="00FA254C" w:rsidRDefault="003175D5" w:rsidP="00071892">
            <w:pPr>
              <w:ind w:left="0" w:right="0"/>
              <w:rPr>
                <w:sz w:val="20"/>
                <w:szCs w:val="20"/>
              </w:rPr>
            </w:pPr>
            <w:r w:rsidRPr="00FA254C">
              <w:rPr>
                <w:sz w:val="20"/>
                <w:szCs w:val="20"/>
              </w:rPr>
              <w:t>30 (71.4)</w:t>
            </w:r>
          </w:p>
        </w:tc>
        <w:tc>
          <w:tcPr>
            <w:tcW w:w="607" w:type="pct"/>
          </w:tcPr>
          <w:p w14:paraId="2B17B946" w14:textId="77777777" w:rsidR="003175D5" w:rsidRPr="00FA254C" w:rsidRDefault="003175D5" w:rsidP="00071892">
            <w:pPr>
              <w:ind w:left="0" w:right="0"/>
              <w:rPr>
                <w:sz w:val="20"/>
                <w:szCs w:val="20"/>
              </w:rPr>
            </w:pPr>
            <w:r w:rsidRPr="00FA254C">
              <w:rPr>
                <w:sz w:val="20"/>
                <w:szCs w:val="20"/>
              </w:rPr>
              <w:t>27 (67.5)</w:t>
            </w:r>
          </w:p>
        </w:tc>
        <w:tc>
          <w:tcPr>
            <w:tcW w:w="631" w:type="pct"/>
          </w:tcPr>
          <w:p w14:paraId="482B768A" w14:textId="77777777" w:rsidR="003175D5" w:rsidRPr="00FA254C" w:rsidRDefault="003175D5" w:rsidP="00071892">
            <w:pPr>
              <w:ind w:left="0" w:right="0"/>
              <w:rPr>
                <w:sz w:val="20"/>
                <w:szCs w:val="20"/>
              </w:rPr>
            </w:pPr>
            <w:r w:rsidRPr="00FA254C">
              <w:rPr>
                <w:sz w:val="20"/>
                <w:szCs w:val="20"/>
              </w:rPr>
              <w:t>1 (2.4)</w:t>
            </w:r>
          </w:p>
        </w:tc>
        <w:tc>
          <w:tcPr>
            <w:tcW w:w="691" w:type="pct"/>
          </w:tcPr>
          <w:p w14:paraId="466F6A3E" w14:textId="77777777" w:rsidR="003175D5" w:rsidRPr="00FA254C" w:rsidRDefault="003175D5" w:rsidP="00071892">
            <w:pPr>
              <w:ind w:left="0" w:right="0"/>
              <w:rPr>
                <w:sz w:val="20"/>
                <w:szCs w:val="20"/>
              </w:rPr>
            </w:pPr>
            <w:r w:rsidRPr="00FA254C">
              <w:rPr>
                <w:sz w:val="20"/>
                <w:szCs w:val="20"/>
              </w:rPr>
              <w:t>1 (2.5)</w:t>
            </w:r>
          </w:p>
        </w:tc>
        <w:tc>
          <w:tcPr>
            <w:tcW w:w="497" w:type="pct"/>
          </w:tcPr>
          <w:p w14:paraId="3B4BABC2" w14:textId="77777777" w:rsidR="003175D5" w:rsidRPr="00FA254C" w:rsidRDefault="003175D5" w:rsidP="00071892">
            <w:pPr>
              <w:ind w:left="0" w:right="0"/>
              <w:rPr>
                <w:sz w:val="20"/>
                <w:szCs w:val="20"/>
              </w:rPr>
            </w:pPr>
            <w:r w:rsidRPr="00FA254C">
              <w:rPr>
                <w:sz w:val="20"/>
                <w:szCs w:val="20"/>
              </w:rPr>
              <w:t>1 (2.4)</w:t>
            </w:r>
          </w:p>
        </w:tc>
        <w:tc>
          <w:tcPr>
            <w:tcW w:w="706" w:type="pct"/>
          </w:tcPr>
          <w:p w14:paraId="61090625" w14:textId="77777777" w:rsidR="003175D5" w:rsidRPr="00FA254C" w:rsidRDefault="003175D5" w:rsidP="00071892">
            <w:pPr>
              <w:ind w:left="0" w:right="0"/>
              <w:rPr>
                <w:sz w:val="20"/>
                <w:szCs w:val="20"/>
              </w:rPr>
            </w:pPr>
            <w:r w:rsidRPr="00FA254C">
              <w:rPr>
                <w:sz w:val="20"/>
                <w:szCs w:val="20"/>
              </w:rPr>
              <w:t>0</w:t>
            </w:r>
          </w:p>
        </w:tc>
      </w:tr>
      <w:tr w:rsidR="006233A7" w:rsidRPr="00FA254C" w14:paraId="015521AB" w14:textId="77777777" w:rsidTr="006233A7">
        <w:tc>
          <w:tcPr>
            <w:tcW w:w="1197" w:type="pct"/>
          </w:tcPr>
          <w:p w14:paraId="00BDB205" w14:textId="77777777" w:rsidR="003175D5" w:rsidRPr="00FA254C" w:rsidRDefault="003175D5" w:rsidP="00071892">
            <w:pPr>
              <w:ind w:left="0" w:right="0"/>
              <w:rPr>
                <w:sz w:val="20"/>
                <w:szCs w:val="20"/>
              </w:rPr>
            </w:pPr>
            <w:r w:rsidRPr="00FA254C">
              <w:rPr>
                <w:sz w:val="20"/>
                <w:szCs w:val="20"/>
              </w:rPr>
              <w:t>Vomiting</w:t>
            </w:r>
          </w:p>
        </w:tc>
        <w:tc>
          <w:tcPr>
            <w:tcW w:w="671" w:type="pct"/>
          </w:tcPr>
          <w:p w14:paraId="08631E32" w14:textId="77777777" w:rsidR="003175D5" w:rsidRPr="00FA254C" w:rsidRDefault="003175D5" w:rsidP="00071892">
            <w:pPr>
              <w:ind w:left="0" w:right="0"/>
              <w:rPr>
                <w:sz w:val="20"/>
                <w:szCs w:val="20"/>
              </w:rPr>
            </w:pPr>
            <w:r w:rsidRPr="00FA254C">
              <w:rPr>
                <w:sz w:val="20"/>
                <w:szCs w:val="20"/>
              </w:rPr>
              <w:t>14 (33.3)</w:t>
            </w:r>
          </w:p>
        </w:tc>
        <w:tc>
          <w:tcPr>
            <w:tcW w:w="607" w:type="pct"/>
          </w:tcPr>
          <w:p w14:paraId="5D8A165E" w14:textId="77777777" w:rsidR="003175D5" w:rsidRPr="00FA254C" w:rsidRDefault="003175D5" w:rsidP="00071892">
            <w:pPr>
              <w:ind w:left="0" w:right="0"/>
              <w:rPr>
                <w:sz w:val="20"/>
                <w:szCs w:val="20"/>
              </w:rPr>
            </w:pPr>
            <w:r w:rsidRPr="00FA254C">
              <w:rPr>
                <w:sz w:val="20"/>
                <w:szCs w:val="20"/>
              </w:rPr>
              <w:t>11 (27.5)</w:t>
            </w:r>
          </w:p>
        </w:tc>
        <w:tc>
          <w:tcPr>
            <w:tcW w:w="631" w:type="pct"/>
          </w:tcPr>
          <w:p w14:paraId="1588EDF4" w14:textId="77777777" w:rsidR="003175D5" w:rsidRPr="00FA254C" w:rsidRDefault="003175D5" w:rsidP="00071892">
            <w:pPr>
              <w:ind w:left="0" w:right="0"/>
              <w:rPr>
                <w:sz w:val="20"/>
                <w:szCs w:val="20"/>
              </w:rPr>
            </w:pPr>
            <w:r w:rsidRPr="00FA254C">
              <w:rPr>
                <w:sz w:val="20"/>
                <w:szCs w:val="20"/>
              </w:rPr>
              <w:t>2 (4.8)</w:t>
            </w:r>
          </w:p>
        </w:tc>
        <w:tc>
          <w:tcPr>
            <w:tcW w:w="691" w:type="pct"/>
          </w:tcPr>
          <w:p w14:paraId="411D64AF" w14:textId="77777777" w:rsidR="003175D5" w:rsidRPr="00FA254C" w:rsidRDefault="003175D5" w:rsidP="00071892">
            <w:pPr>
              <w:ind w:left="0" w:right="0"/>
              <w:rPr>
                <w:sz w:val="20"/>
                <w:szCs w:val="20"/>
              </w:rPr>
            </w:pPr>
            <w:r w:rsidRPr="00FA254C">
              <w:rPr>
                <w:sz w:val="20"/>
                <w:szCs w:val="20"/>
              </w:rPr>
              <w:t>1 (2.5)</w:t>
            </w:r>
          </w:p>
        </w:tc>
        <w:tc>
          <w:tcPr>
            <w:tcW w:w="497" w:type="pct"/>
          </w:tcPr>
          <w:p w14:paraId="1FAC6C83" w14:textId="77777777" w:rsidR="003175D5" w:rsidRPr="00FA254C" w:rsidRDefault="003175D5" w:rsidP="00071892">
            <w:pPr>
              <w:ind w:left="0" w:right="0"/>
              <w:rPr>
                <w:sz w:val="20"/>
                <w:szCs w:val="20"/>
              </w:rPr>
            </w:pPr>
            <w:r w:rsidRPr="00FA254C">
              <w:rPr>
                <w:sz w:val="20"/>
                <w:szCs w:val="20"/>
              </w:rPr>
              <w:t>0</w:t>
            </w:r>
          </w:p>
        </w:tc>
        <w:tc>
          <w:tcPr>
            <w:tcW w:w="706" w:type="pct"/>
          </w:tcPr>
          <w:p w14:paraId="34CB9663" w14:textId="77777777" w:rsidR="003175D5" w:rsidRPr="00FA254C" w:rsidRDefault="003175D5" w:rsidP="00071892">
            <w:pPr>
              <w:ind w:left="0" w:right="0"/>
              <w:rPr>
                <w:sz w:val="20"/>
                <w:szCs w:val="20"/>
              </w:rPr>
            </w:pPr>
            <w:r w:rsidRPr="00FA254C">
              <w:rPr>
                <w:sz w:val="20"/>
                <w:szCs w:val="20"/>
              </w:rPr>
              <w:t>1 (2.5)</w:t>
            </w:r>
          </w:p>
        </w:tc>
      </w:tr>
      <w:tr w:rsidR="006233A7" w:rsidRPr="00FA254C" w14:paraId="5C34F46A" w14:textId="77777777" w:rsidTr="006233A7">
        <w:tc>
          <w:tcPr>
            <w:tcW w:w="1197" w:type="pct"/>
          </w:tcPr>
          <w:p w14:paraId="39F95E76" w14:textId="77777777" w:rsidR="003175D5" w:rsidRPr="00FA254C" w:rsidRDefault="003175D5" w:rsidP="00071892">
            <w:pPr>
              <w:ind w:left="0" w:right="0"/>
              <w:rPr>
                <w:sz w:val="20"/>
                <w:szCs w:val="20"/>
              </w:rPr>
            </w:pPr>
            <w:r w:rsidRPr="00FA254C">
              <w:rPr>
                <w:sz w:val="20"/>
                <w:szCs w:val="20"/>
              </w:rPr>
              <w:t>Diarrhoea</w:t>
            </w:r>
          </w:p>
        </w:tc>
        <w:tc>
          <w:tcPr>
            <w:tcW w:w="671" w:type="pct"/>
          </w:tcPr>
          <w:p w14:paraId="2EA99755" w14:textId="77777777" w:rsidR="003175D5" w:rsidRPr="00FA254C" w:rsidRDefault="003175D5" w:rsidP="00071892">
            <w:pPr>
              <w:ind w:left="0" w:right="0"/>
              <w:rPr>
                <w:sz w:val="20"/>
                <w:szCs w:val="20"/>
              </w:rPr>
            </w:pPr>
            <w:r w:rsidRPr="00FA254C">
              <w:rPr>
                <w:sz w:val="20"/>
                <w:szCs w:val="20"/>
              </w:rPr>
              <w:t>24 (57.1)</w:t>
            </w:r>
          </w:p>
        </w:tc>
        <w:tc>
          <w:tcPr>
            <w:tcW w:w="607" w:type="pct"/>
          </w:tcPr>
          <w:p w14:paraId="3B1F5B3D" w14:textId="77777777" w:rsidR="003175D5" w:rsidRPr="00FA254C" w:rsidRDefault="003175D5" w:rsidP="00071892">
            <w:pPr>
              <w:ind w:left="0" w:right="0"/>
              <w:rPr>
                <w:sz w:val="20"/>
                <w:szCs w:val="20"/>
              </w:rPr>
            </w:pPr>
            <w:r w:rsidRPr="00FA254C">
              <w:rPr>
                <w:sz w:val="20"/>
                <w:szCs w:val="20"/>
              </w:rPr>
              <w:t>16 (40.0)</w:t>
            </w:r>
          </w:p>
        </w:tc>
        <w:tc>
          <w:tcPr>
            <w:tcW w:w="631" w:type="pct"/>
          </w:tcPr>
          <w:p w14:paraId="3CFC1850" w14:textId="77777777" w:rsidR="003175D5" w:rsidRPr="00FA254C" w:rsidRDefault="003175D5" w:rsidP="00071892">
            <w:pPr>
              <w:ind w:left="0" w:right="0"/>
              <w:rPr>
                <w:sz w:val="20"/>
                <w:szCs w:val="20"/>
              </w:rPr>
            </w:pPr>
            <w:r w:rsidRPr="00FA254C">
              <w:rPr>
                <w:sz w:val="20"/>
                <w:szCs w:val="20"/>
              </w:rPr>
              <w:t>0</w:t>
            </w:r>
          </w:p>
        </w:tc>
        <w:tc>
          <w:tcPr>
            <w:tcW w:w="691" w:type="pct"/>
          </w:tcPr>
          <w:p w14:paraId="2E3D9725" w14:textId="77777777" w:rsidR="003175D5" w:rsidRPr="00FA254C" w:rsidRDefault="003175D5" w:rsidP="00071892">
            <w:pPr>
              <w:ind w:left="0" w:right="0"/>
              <w:rPr>
                <w:sz w:val="20"/>
                <w:szCs w:val="20"/>
              </w:rPr>
            </w:pPr>
            <w:r w:rsidRPr="00FA254C">
              <w:rPr>
                <w:sz w:val="20"/>
                <w:szCs w:val="20"/>
              </w:rPr>
              <w:t>2 (5.0)</w:t>
            </w:r>
          </w:p>
        </w:tc>
        <w:tc>
          <w:tcPr>
            <w:tcW w:w="497" w:type="pct"/>
          </w:tcPr>
          <w:p w14:paraId="0BDC375E" w14:textId="77777777" w:rsidR="003175D5" w:rsidRPr="00FA254C" w:rsidRDefault="003175D5" w:rsidP="00071892">
            <w:pPr>
              <w:ind w:left="0" w:right="0"/>
              <w:rPr>
                <w:sz w:val="20"/>
                <w:szCs w:val="20"/>
              </w:rPr>
            </w:pPr>
            <w:r w:rsidRPr="00FA254C">
              <w:rPr>
                <w:sz w:val="20"/>
                <w:szCs w:val="20"/>
              </w:rPr>
              <w:t>0</w:t>
            </w:r>
          </w:p>
        </w:tc>
        <w:tc>
          <w:tcPr>
            <w:tcW w:w="706" w:type="pct"/>
          </w:tcPr>
          <w:p w14:paraId="1A44CB38" w14:textId="77777777" w:rsidR="003175D5" w:rsidRPr="00FA254C" w:rsidRDefault="003175D5" w:rsidP="00071892">
            <w:pPr>
              <w:ind w:left="0" w:right="0"/>
              <w:rPr>
                <w:sz w:val="20"/>
                <w:szCs w:val="20"/>
              </w:rPr>
            </w:pPr>
            <w:r w:rsidRPr="00FA254C">
              <w:rPr>
                <w:sz w:val="20"/>
                <w:szCs w:val="20"/>
              </w:rPr>
              <w:t>1 (2.5)</w:t>
            </w:r>
          </w:p>
        </w:tc>
      </w:tr>
      <w:tr w:rsidR="006233A7" w:rsidRPr="00FA254C" w14:paraId="34DFA0B6" w14:textId="77777777" w:rsidTr="006233A7">
        <w:tc>
          <w:tcPr>
            <w:tcW w:w="1197" w:type="pct"/>
          </w:tcPr>
          <w:p w14:paraId="769174E0" w14:textId="3899A3C4" w:rsidR="003175D5" w:rsidRPr="00FA254C" w:rsidRDefault="00071892" w:rsidP="00071892">
            <w:pPr>
              <w:ind w:left="0" w:right="0"/>
              <w:rPr>
                <w:sz w:val="20"/>
                <w:szCs w:val="20"/>
              </w:rPr>
            </w:pPr>
            <w:r w:rsidRPr="00FA254C">
              <w:rPr>
                <w:sz w:val="20"/>
                <w:szCs w:val="20"/>
              </w:rPr>
              <w:t>Constipation</w:t>
            </w:r>
          </w:p>
        </w:tc>
        <w:tc>
          <w:tcPr>
            <w:tcW w:w="671" w:type="pct"/>
          </w:tcPr>
          <w:p w14:paraId="453DA492" w14:textId="483862B3" w:rsidR="003175D5" w:rsidRPr="00FA254C" w:rsidRDefault="003175D5" w:rsidP="00071892">
            <w:pPr>
              <w:ind w:left="0" w:right="0"/>
              <w:rPr>
                <w:sz w:val="20"/>
                <w:szCs w:val="20"/>
              </w:rPr>
            </w:pPr>
            <w:r w:rsidRPr="00FA254C">
              <w:rPr>
                <w:sz w:val="20"/>
                <w:szCs w:val="20"/>
              </w:rPr>
              <w:t>14 (33.3</w:t>
            </w:r>
            <w:r w:rsidR="0048168D">
              <w:rPr>
                <w:sz w:val="20"/>
                <w:szCs w:val="20"/>
              </w:rPr>
              <w:t>)</w:t>
            </w:r>
          </w:p>
        </w:tc>
        <w:tc>
          <w:tcPr>
            <w:tcW w:w="607" w:type="pct"/>
          </w:tcPr>
          <w:p w14:paraId="68DF3DCB" w14:textId="77777777" w:rsidR="003175D5" w:rsidRPr="00FA254C" w:rsidRDefault="003175D5" w:rsidP="00071892">
            <w:pPr>
              <w:ind w:left="0" w:right="0"/>
              <w:rPr>
                <w:sz w:val="20"/>
                <w:szCs w:val="20"/>
              </w:rPr>
            </w:pPr>
            <w:r w:rsidRPr="00FA254C">
              <w:rPr>
                <w:sz w:val="20"/>
                <w:szCs w:val="20"/>
              </w:rPr>
              <w:t>15 (37.5)</w:t>
            </w:r>
          </w:p>
        </w:tc>
        <w:tc>
          <w:tcPr>
            <w:tcW w:w="631" w:type="pct"/>
          </w:tcPr>
          <w:p w14:paraId="57527CE5" w14:textId="77777777" w:rsidR="003175D5" w:rsidRPr="00FA254C" w:rsidRDefault="003175D5" w:rsidP="00071892">
            <w:pPr>
              <w:ind w:left="0" w:right="0"/>
              <w:rPr>
                <w:sz w:val="20"/>
                <w:szCs w:val="20"/>
              </w:rPr>
            </w:pPr>
            <w:r w:rsidRPr="00FA254C">
              <w:rPr>
                <w:sz w:val="20"/>
                <w:szCs w:val="20"/>
              </w:rPr>
              <w:t>0</w:t>
            </w:r>
          </w:p>
        </w:tc>
        <w:tc>
          <w:tcPr>
            <w:tcW w:w="691" w:type="pct"/>
          </w:tcPr>
          <w:p w14:paraId="128E4977" w14:textId="77777777" w:rsidR="003175D5" w:rsidRPr="00FA254C" w:rsidRDefault="003175D5" w:rsidP="00071892">
            <w:pPr>
              <w:ind w:left="0" w:right="0"/>
              <w:rPr>
                <w:sz w:val="20"/>
                <w:szCs w:val="20"/>
              </w:rPr>
            </w:pPr>
            <w:r w:rsidRPr="00FA254C">
              <w:rPr>
                <w:sz w:val="20"/>
                <w:szCs w:val="20"/>
              </w:rPr>
              <w:t>0</w:t>
            </w:r>
          </w:p>
        </w:tc>
        <w:tc>
          <w:tcPr>
            <w:tcW w:w="497" w:type="pct"/>
          </w:tcPr>
          <w:p w14:paraId="77A51FC3" w14:textId="77777777" w:rsidR="003175D5" w:rsidRPr="00FA254C" w:rsidRDefault="003175D5" w:rsidP="00071892">
            <w:pPr>
              <w:ind w:left="0" w:right="0"/>
              <w:rPr>
                <w:sz w:val="20"/>
                <w:szCs w:val="20"/>
              </w:rPr>
            </w:pPr>
            <w:r w:rsidRPr="00FA254C">
              <w:rPr>
                <w:sz w:val="20"/>
                <w:szCs w:val="20"/>
              </w:rPr>
              <w:t>1 (2.4)</w:t>
            </w:r>
          </w:p>
        </w:tc>
        <w:tc>
          <w:tcPr>
            <w:tcW w:w="706" w:type="pct"/>
          </w:tcPr>
          <w:p w14:paraId="14C06B43" w14:textId="77777777" w:rsidR="003175D5" w:rsidRPr="00FA254C" w:rsidRDefault="003175D5" w:rsidP="00071892">
            <w:pPr>
              <w:ind w:left="0" w:right="0"/>
              <w:rPr>
                <w:sz w:val="20"/>
                <w:szCs w:val="20"/>
              </w:rPr>
            </w:pPr>
            <w:r w:rsidRPr="00FA254C">
              <w:rPr>
                <w:sz w:val="20"/>
                <w:szCs w:val="20"/>
              </w:rPr>
              <w:t>0</w:t>
            </w:r>
          </w:p>
        </w:tc>
      </w:tr>
      <w:tr w:rsidR="006233A7" w:rsidRPr="00FA254C" w14:paraId="1B078702" w14:textId="77777777" w:rsidTr="006233A7">
        <w:tc>
          <w:tcPr>
            <w:tcW w:w="1197" w:type="pct"/>
          </w:tcPr>
          <w:p w14:paraId="022548E0" w14:textId="77777777" w:rsidR="003175D5" w:rsidRPr="00FA254C" w:rsidRDefault="003175D5" w:rsidP="00071892">
            <w:pPr>
              <w:ind w:left="0" w:right="0"/>
              <w:rPr>
                <w:sz w:val="20"/>
                <w:szCs w:val="20"/>
              </w:rPr>
            </w:pPr>
            <w:r w:rsidRPr="00FA254C">
              <w:rPr>
                <w:sz w:val="20"/>
                <w:szCs w:val="20"/>
              </w:rPr>
              <w:t>Pneumonia</w:t>
            </w:r>
          </w:p>
        </w:tc>
        <w:tc>
          <w:tcPr>
            <w:tcW w:w="671" w:type="pct"/>
          </w:tcPr>
          <w:p w14:paraId="6B697C49" w14:textId="77777777" w:rsidR="003175D5" w:rsidRPr="00FA254C" w:rsidRDefault="003175D5" w:rsidP="00071892">
            <w:pPr>
              <w:ind w:left="0" w:right="0"/>
              <w:rPr>
                <w:sz w:val="20"/>
                <w:szCs w:val="20"/>
              </w:rPr>
            </w:pPr>
            <w:r w:rsidRPr="00FA254C">
              <w:rPr>
                <w:sz w:val="20"/>
                <w:szCs w:val="20"/>
              </w:rPr>
              <w:t>4 (9.5)</w:t>
            </w:r>
          </w:p>
        </w:tc>
        <w:tc>
          <w:tcPr>
            <w:tcW w:w="607" w:type="pct"/>
          </w:tcPr>
          <w:p w14:paraId="48D1DE3A" w14:textId="77777777" w:rsidR="003175D5" w:rsidRPr="00FA254C" w:rsidRDefault="003175D5" w:rsidP="00071892">
            <w:pPr>
              <w:ind w:left="0" w:right="0"/>
              <w:rPr>
                <w:sz w:val="20"/>
                <w:szCs w:val="20"/>
              </w:rPr>
            </w:pPr>
            <w:r w:rsidRPr="00FA254C">
              <w:rPr>
                <w:sz w:val="20"/>
                <w:szCs w:val="20"/>
              </w:rPr>
              <w:t>6 (15.0)</w:t>
            </w:r>
          </w:p>
        </w:tc>
        <w:tc>
          <w:tcPr>
            <w:tcW w:w="631" w:type="pct"/>
          </w:tcPr>
          <w:p w14:paraId="36474298" w14:textId="77777777" w:rsidR="003175D5" w:rsidRPr="00FA254C" w:rsidRDefault="003175D5" w:rsidP="00071892">
            <w:pPr>
              <w:ind w:left="0" w:right="0"/>
              <w:rPr>
                <w:sz w:val="20"/>
                <w:szCs w:val="20"/>
              </w:rPr>
            </w:pPr>
            <w:r w:rsidRPr="00FA254C">
              <w:rPr>
                <w:sz w:val="20"/>
                <w:szCs w:val="20"/>
              </w:rPr>
              <w:t>4 (9.5)</w:t>
            </w:r>
          </w:p>
        </w:tc>
        <w:tc>
          <w:tcPr>
            <w:tcW w:w="691" w:type="pct"/>
          </w:tcPr>
          <w:p w14:paraId="66D28DCB" w14:textId="77777777" w:rsidR="003175D5" w:rsidRPr="00FA254C" w:rsidRDefault="003175D5" w:rsidP="00071892">
            <w:pPr>
              <w:ind w:left="0" w:right="0"/>
              <w:rPr>
                <w:sz w:val="20"/>
                <w:szCs w:val="20"/>
              </w:rPr>
            </w:pPr>
            <w:r w:rsidRPr="00FA254C">
              <w:rPr>
                <w:sz w:val="20"/>
                <w:szCs w:val="20"/>
              </w:rPr>
              <w:t>5 (12.5)</w:t>
            </w:r>
          </w:p>
        </w:tc>
        <w:tc>
          <w:tcPr>
            <w:tcW w:w="497" w:type="pct"/>
          </w:tcPr>
          <w:p w14:paraId="36969703" w14:textId="77777777" w:rsidR="003175D5" w:rsidRPr="00FA254C" w:rsidRDefault="003175D5" w:rsidP="00071892">
            <w:pPr>
              <w:ind w:left="0" w:right="0"/>
              <w:rPr>
                <w:sz w:val="20"/>
                <w:szCs w:val="20"/>
              </w:rPr>
            </w:pPr>
            <w:r w:rsidRPr="00FA254C">
              <w:rPr>
                <w:sz w:val="20"/>
                <w:szCs w:val="20"/>
              </w:rPr>
              <w:t>3 (7.1)</w:t>
            </w:r>
          </w:p>
        </w:tc>
        <w:tc>
          <w:tcPr>
            <w:tcW w:w="706" w:type="pct"/>
          </w:tcPr>
          <w:p w14:paraId="4A2C2801" w14:textId="77777777" w:rsidR="003175D5" w:rsidRPr="00FA254C" w:rsidRDefault="003175D5" w:rsidP="00071892">
            <w:pPr>
              <w:ind w:left="0" w:right="0"/>
              <w:rPr>
                <w:sz w:val="20"/>
                <w:szCs w:val="20"/>
              </w:rPr>
            </w:pPr>
            <w:r w:rsidRPr="00FA254C">
              <w:rPr>
                <w:sz w:val="20"/>
                <w:szCs w:val="20"/>
              </w:rPr>
              <w:t>5 (12.5)</w:t>
            </w:r>
          </w:p>
        </w:tc>
      </w:tr>
      <w:tr w:rsidR="006233A7" w:rsidRPr="00FA254C" w14:paraId="68F8F05C" w14:textId="77777777" w:rsidTr="006233A7">
        <w:tc>
          <w:tcPr>
            <w:tcW w:w="1197" w:type="pct"/>
          </w:tcPr>
          <w:p w14:paraId="0AD306A3" w14:textId="77777777" w:rsidR="003175D5" w:rsidRPr="00FA254C" w:rsidRDefault="003175D5" w:rsidP="00071892">
            <w:pPr>
              <w:ind w:left="0" w:right="0"/>
              <w:rPr>
                <w:sz w:val="20"/>
                <w:szCs w:val="20"/>
              </w:rPr>
            </w:pPr>
            <w:r w:rsidRPr="00FA254C">
              <w:rPr>
                <w:sz w:val="20"/>
                <w:szCs w:val="20"/>
              </w:rPr>
              <w:t>Sepsis</w:t>
            </w:r>
          </w:p>
        </w:tc>
        <w:tc>
          <w:tcPr>
            <w:tcW w:w="671" w:type="pct"/>
          </w:tcPr>
          <w:p w14:paraId="5CB24373" w14:textId="77777777" w:rsidR="003175D5" w:rsidRPr="00FA254C" w:rsidRDefault="003175D5" w:rsidP="00071892">
            <w:pPr>
              <w:ind w:left="0" w:right="0"/>
              <w:rPr>
                <w:sz w:val="20"/>
                <w:szCs w:val="20"/>
              </w:rPr>
            </w:pPr>
            <w:r w:rsidRPr="00FA254C">
              <w:rPr>
                <w:sz w:val="20"/>
                <w:szCs w:val="20"/>
              </w:rPr>
              <w:t>8 (19.0)</w:t>
            </w:r>
          </w:p>
        </w:tc>
        <w:tc>
          <w:tcPr>
            <w:tcW w:w="607" w:type="pct"/>
          </w:tcPr>
          <w:p w14:paraId="3DD2815F" w14:textId="77777777" w:rsidR="003175D5" w:rsidRPr="00FA254C" w:rsidRDefault="003175D5" w:rsidP="00071892">
            <w:pPr>
              <w:ind w:left="0" w:right="0"/>
              <w:rPr>
                <w:sz w:val="20"/>
                <w:szCs w:val="20"/>
              </w:rPr>
            </w:pPr>
            <w:r w:rsidRPr="00FA254C">
              <w:rPr>
                <w:sz w:val="20"/>
                <w:szCs w:val="20"/>
              </w:rPr>
              <w:t>2 (5.0)</w:t>
            </w:r>
          </w:p>
        </w:tc>
        <w:tc>
          <w:tcPr>
            <w:tcW w:w="631" w:type="pct"/>
          </w:tcPr>
          <w:p w14:paraId="4FB9F73F" w14:textId="77777777" w:rsidR="003175D5" w:rsidRPr="00FA254C" w:rsidRDefault="003175D5" w:rsidP="00071892">
            <w:pPr>
              <w:ind w:left="0" w:right="0"/>
              <w:rPr>
                <w:sz w:val="20"/>
                <w:szCs w:val="20"/>
              </w:rPr>
            </w:pPr>
            <w:r w:rsidRPr="00FA254C">
              <w:rPr>
                <w:sz w:val="20"/>
                <w:szCs w:val="20"/>
              </w:rPr>
              <w:t>7 (16.7)</w:t>
            </w:r>
          </w:p>
        </w:tc>
        <w:tc>
          <w:tcPr>
            <w:tcW w:w="691" w:type="pct"/>
          </w:tcPr>
          <w:p w14:paraId="2C4F0EA5" w14:textId="77777777" w:rsidR="003175D5" w:rsidRPr="00FA254C" w:rsidRDefault="003175D5" w:rsidP="00071892">
            <w:pPr>
              <w:ind w:left="0" w:right="0"/>
              <w:rPr>
                <w:sz w:val="20"/>
                <w:szCs w:val="20"/>
              </w:rPr>
            </w:pPr>
            <w:r w:rsidRPr="00FA254C">
              <w:rPr>
                <w:sz w:val="20"/>
                <w:szCs w:val="20"/>
              </w:rPr>
              <w:t>2 (5.0)</w:t>
            </w:r>
          </w:p>
        </w:tc>
        <w:tc>
          <w:tcPr>
            <w:tcW w:w="497" w:type="pct"/>
          </w:tcPr>
          <w:p w14:paraId="6FF192DA" w14:textId="77777777" w:rsidR="003175D5" w:rsidRPr="00FA254C" w:rsidRDefault="003175D5" w:rsidP="00071892">
            <w:pPr>
              <w:ind w:left="0" w:right="0"/>
              <w:rPr>
                <w:sz w:val="20"/>
                <w:szCs w:val="20"/>
              </w:rPr>
            </w:pPr>
            <w:r w:rsidRPr="00FA254C">
              <w:rPr>
                <w:sz w:val="20"/>
                <w:szCs w:val="20"/>
              </w:rPr>
              <w:t>5 (11.9)</w:t>
            </w:r>
          </w:p>
        </w:tc>
        <w:tc>
          <w:tcPr>
            <w:tcW w:w="706" w:type="pct"/>
          </w:tcPr>
          <w:p w14:paraId="219B96E7" w14:textId="77777777" w:rsidR="003175D5" w:rsidRPr="00FA254C" w:rsidRDefault="003175D5" w:rsidP="00071892">
            <w:pPr>
              <w:ind w:left="0" w:right="0"/>
              <w:rPr>
                <w:sz w:val="20"/>
                <w:szCs w:val="20"/>
              </w:rPr>
            </w:pPr>
            <w:r w:rsidRPr="00FA254C">
              <w:rPr>
                <w:sz w:val="20"/>
                <w:szCs w:val="20"/>
              </w:rPr>
              <w:t>1 (2.5)</w:t>
            </w:r>
          </w:p>
        </w:tc>
      </w:tr>
    </w:tbl>
    <w:p w14:paraId="6203B660" w14:textId="5DB47F96" w:rsidR="00071892" w:rsidRDefault="00071892" w:rsidP="00071892">
      <w:pPr>
        <w:pStyle w:val="TableDescription"/>
      </w:pPr>
      <w:r w:rsidRPr="007E0F1C">
        <w:t xml:space="preserve">TEAE = treatment emergent adverse event; </w:t>
      </w:r>
      <w:r>
        <w:t>SAE = severe adverse event</w:t>
      </w:r>
      <w:r w:rsidR="00FA254C">
        <w:t>.</w:t>
      </w:r>
    </w:p>
    <w:p w14:paraId="3BFA1CFF" w14:textId="67953449" w:rsidR="00325641" w:rsidRDefault="00325641" w:rsidP="00D73CF0">
      <w:pPr>
        <w:pStyle w:val="Heading5"/>
      </w:pPr>
      <w:r>
        <w:t>Venetoclax with azacitidine</w:t>
      </w:r>
    </w:p>
    <w:p w14:paraId="56A85189" w14:textId="5CF6C483" w:rsidR="00595E85" w:rsidRPr="00C63E35" w:rsidRDefault="00595E85" w:rsidP="00595E85">
      <w:r w:rsidRPr="00C63E35">
        <w:t>The s</w:t>
      </w:r>
      <w:r>
        <w:t>afety profile of venetoclax in S</w:t>
      </w:r>
      <w:r w:rsidRPr="00C63E35">
        <w:t>tudy M14-358</w:t>
      </w:r>
      <w:r w:rsidR="006233A7">
        <w:t>;</w:t>
      </w:r>
      <w:r w:rsidR="006233A7" w:rsidRPr="000202EE">
        <w:rPr>
          <w:vertAlign w:val="superscript"/>
        </w:rPr>
        <w:fldChar w:fldCharType="begin"/>
      </w:r>
      <w:r w:rsidR="006233A7" w:rsidRPr="000202EE">
        <w:rPr>
          <w:vertAlign w:val="superscript"/>
        </w:rPr>
        <w:instrText xml:space="preserve"> NOTEREF _Ref50608637 \h </w:instrText>
      </w:r>
      <w:r w:rsidR="006233A7">
        <w:rPr>
          <w:vertAlign w:val="superscript"/>
        </w:rPr>
        <w:instrText xml:space="preserve"> \* MERGEFORMAT </w:instrText>
      </w:r>
      <w:r w:rsidR="006233A7" w:rsidRPr="000202EE">
        <w:rPr>
          <w:vertAlign w:val="superscript"/>
        </w:rPr>
      </w:r>
      <w:r w:rsidR="006233A7" w:rsidRPr="000202EE">
        <w:rPr>
          <w:vertAlign w:val="superscript"/>
        </w:rPr>
        <w:fldChar w:fldCharType="separate"/>
      </w:r>
      <w:r w:rsidR="00247395">
        <w:rPr>
          <w:vertAlign w:val="superscript"/>
        </w:rPr>
        <w:t>25</w:t>
      </w:r>
      <w:r w:rsidR="006233A7" w:rsidRPr="000202EE">
        <w:rPr>
          <w:vertAlign w:val="superscript"/>
        </w:rPr>
        <w:fldChar w:fldCharType="end"/>
      </w:r>
      <w:r w:rsidRPr="00C63E35">
        <w:t xml:space="preserve"> was comparable with that in</w:t>
      </w:r>
      <w:r>
        <w:t xml:space="preserve"> Study</w:t>
      </w:r>
      <w:r w:rsidR="006233A7">
        <w:t> </w:t>
      </w:r>
      <w:r w:rsidRPr="00C63E35">
        <w:t>M14-387</w:t>
      </w:r>
      <w:r w:rsidR="006233A7">
        <w:t>;</w:t>
      </w:r>
      <w:r w:rsidR="006233A7" w:rsidRPr="000202EE">
        <w:rPr>
          <w:vertAlign w:val="superscript"/>
        </w:rPr>
        <w:fldChar w:fldCharType="begin"/>
      </w:r>
      <w:r w:rsidR="006233A7" w:rsidRPr="000202EE">
        <w:rPr>
          <w:vertAlign w:val="superscript"/>
        </w:rPr>
        <w:instrText xml:space="preserve"> NOTEREF _Ref50607177 \h </w:instrText>
      </w:r>
      <w:r w:rsidR="006233A7">
        <w:rPr>
          <w:vertAlign w:val="superscript"/>
        </w:rPr>
        <w:instrText xml:space="preserve"> \* MERGEFORMAT </w:instrText>
      </w:r>
      <w:r w:rsidR="006233A7" w:rsidRPr="000202EE">
        <w:rPr>
          <w:vertAlign w:val="superscript"/>
        </w:rPr>
      </w:r>
      <w:r w:rsidR="006233A7" w:rsidRPr="000202EE">
        <w:rPr>
          <w:vertAlign w:val="superscript"/>
        </w:rPr>
        <w:fldChar w:fldCharType="separate"/>
      </w:r>
      <w:r w:rsidR="00247395">
        <w:rPr>
          <w:vertAlign w:val="superscript"/>
        </w:rPr>
        <w:t>24</w:t>
      </w:r>
      <w:r w:rsidR="006233A7" w:rsidRPr="000202EE">
        <w:rPr>
          <w:vertAlign w:val="superscript"/>
        </w:rPr>
        <w:fldChar w:fldCharType="end"/>
      </w:r>
      <w:r w:rsidRPr="00C63E35">
        <w:t xml:space="preserve"> and between azacitidine and decitabine combination arms.</w:t>
      </w:r>
    </w:p>
    <w:p w14:paraId="345AA423" w14:textId="0679BBDE" w:rsidR="00595E85" w:rsidRDefault="00595E85" w:rsidP="00595E85">
      <w:r w:rsidRPr="00595E85">
        <w:t xml:space="preserve">Post-marketing data was submitted with </w:t>
      </w:r>
      <w:r w:rsidR="006233A7">
        <w:t>submission</w:t>
      </w:r>
      <w:r w:rsidR="006233A7" w:rsidRPr="00595E85">
        <w:t xml:space="preserve"> </w:t>
      </w:r>
      <w:r w:rsidR="007F5AD0">
        <w:t>PM-</w:t>
      </w:r>
      <w:r w:rsidRPr="00595E85">
        <w:t>2019-04393-1-6.</w:t>
      </w:r>
      <w:r>
        <w:rPr>
          <w:sz w:val="20"/>
        </w:rPr>
        <w:t xml:space="preserve"> </w:t>
      </w:r>
      <w:r>
        <w:t xml:space="preserve">In the latest </w:t>
      </w:r>
      <w:r w:rsidR="00FA254C">
        <w:rPr>
          <w:iCs/>
        </w:rPr>
        <w:t>p</w:t>
      </w:r>
      <w:r w:rsidR="007F5AD0" w:rsidRPr="00563A3D">
        <w:rPr>
          <w:iCs/>
        </w:rPr>
        <w:t>eriodic safety update report</w:t>
      </w:r>
      <w:r w:rsidR="007F5AD0">
        <w:t xml:space="preserve"> (</w:t>
      </w:r>
      <w:r>
        <w:t>PSUR</w:t>
      </w:r>
      <w:r w:rsidR="007F5AD0">
        <w:t>)</w:t>
      </w:r>
      <w:r>
        <w:t>, the cumulative exposure in clinical trials is estimated at 3996 patients, and the post market exposure is estimated to be 4299 patient treatment years in the reporting interval, and 10</w:t>
      </w:r>
      <w:r w:rsidR="006233A7">
        <w:t>,</w:t>
      </w:r>
      <w:r>
        <w:t>820 patient treatment years since first approval. During the PSUR reporting period, the warnings and precautions section was updated to include serious infections, and sepsis was added to the adverse events</w:t>
      </w:r>
      <w:r w:rsidR="008955D8">
        <w:t xml:space="preserve"> (AE)</w:t>
      </w:r>
      <w:r>
        <w:t xml:space="preserve"> table. These are well known risks of both AML, and venetoclax + azacitidine.</w:t>
      </w:r>
    </w:p>
    <w:p w14:paraId="28F20F44" w14:textId="79DF92DA" w:rsidR="00325641" w:rsidRDefault="00595E85" w:rsidP="00000FD8">
      <w:r>
        <w:t>The clinical e</w:t>
      </w:r>
      <w:r w:rsidR="00E701D6">
        <w:t xml:space="preserve">valuator has noted that the </w:t>
      </w:r>
      <w:r w:rsidR="007F5AD0">
        <w:t>US FDA</w:t>
      </w:r>
      <w:r w:rsidR="00325641">
        <w:t xml:space="preserve"> has included a specific warning regarding increased mortality when venetoclax is used (off label) with bortezomib and dexamethasone in the</w:t>
      </w:r>
      <w:r w:rsidR="00D73CF0">
        <w:t xml:space="preserve"> treatment of multiple myeloma.</w:t>
      </w:r>
    </w:p>
    <w:p w14:paraId="69406929" w14:textId="4039EAFD" w:rsidR="00325641" w:rsidRPr="00C07A89" w:rsidRDefault="00595E85" w:rsidP="00595E85">
      <w:pPr>
        <w:ind w:left="720"/>
      </w:pPr>
      <w:r>
        <w:t>‘</w:t>
      </w:r>
      <w:r w:rsidR="00325641" w:rsidRPr="00C07A89">
        <w:t>Increased Mortality in Patients with Multiple Myeloma when V</w:t>
      </w:r>
      <w:r w:rsidRPr="00C07A89">
        <w:t>enclexta</w:t>
      </w:r>
      <w:r>
        <w:t xml:space="preserve"> is a</w:t>
      </w:r>
      <w:r w:rsidR="00325641" w:rsidRPr="00C07A89">
        <w:t>dded to Bortezomib and Dexamethasone</w:t>
      </w:r>
      <w:r w:rsidR="00C31A6F">
        <w:t>.</w:t>
      </w:r>
      <w:r w:rsidR="00325641" w:rsidRPr="00C07A89">
        <w:t xml:space="preserve"> In a randomised trial (BELLINI; </w:t>
      </w:r>
      <w:r w:rsidR="00325641" w:rsidRPr="00C07A89">
        <w:lastRenderedPageBreak/>
        <w:t>NCT02755597)</w:t>
      </w:r>
      <w:r w:rsidR="00E97C7A">
        <w:t>;</w:t>
      </w:r>
      <w:r w:rsidR="00E97C7A">
        <w:rPr>
          <w:rStyle w:val="FootnoteReference"/>
        </w:rPr>
        <w:footnoteReference w:id="26"/>
      </w:r>
      <w:r w:rsidR="00325641" w:rsidRPr="00C07A89">
        <w:t xml:space="preserve"> in patients with relapsed or refractory multiple myeloma, the addition of </w:t>
      </w:r>
      <w:r w:rsidRPr="00C07A89">
        <w:t>Venclexta</w:t>
      </w:r>
      <w:r w:rsidR="00325641" w:rsidRPr="00C07A89">
        <w:t xml:space="preserve"> to bortezomib plus dexamethasone, a use for which </w:t>
      </w:r>
      <w:r w:rsidRPr="00C07A89">
        <w:t>Venclexta</w:t>
      </w:r>
      <w:r w:rsidR="00325641" w:rsidRPr="00C07A89">
        <w:t xml:space="preserve"> is not indicated, resulted in increased mortality. Treatment of patients with multiple myeloma with </w:t>
      </w:r>
      <w:r w:rsidRPr="00C07A89">
        <w:t>Venclexta</w:t>
      </w:r>
      <w:r w:rsidR="00325641" w:rsidRPr="00C07A89">
        <w:t xml:space="preserve"> in combination with bortezomib plus dexamethasone is not recommended outside of controlled clinical trials</w:t>
      </w:r>
      <w:r w:rsidR="007F5AD0">
        <w:t>.</w:t>
      </w:r>
      <w:r>
        <w:t>’</w:t>
      </w:r>
    </w:p>
    <w:p w14:paraId="670F3258" w14:textId="6634AB66" w:rsidR="00325641" w:rsidRPr="00C63E35" w:rsidRDefault="00325641" w:rsidP="00000FD8">
      <w:r w:rsidRPr="00C63E35">
        <w:t xml:space="preserve">The </w:t>
      </w:r>
      <w:r w:rsidR="00595E85" w:rsidRPr="00C63E35">
        <w:t>clinical evaluator</w:t>
      </w:r>
      <w:r w:rsidRPr="00C63E35">
        <w:t xml:space="preserve"> has recommended that this warning be included in the Australian PI.</w:t>
      </w:r>
    </w:p>
    <w:p w14:paraId="4300102A" w14:textId="77777777" w:rsidR="008E7846" w:rsidRDefault="00386150" w:rsidP="00595E85">
      <w:pPr>
        <w:pStyle w:val="Heading3"/>
        <w:rPr>
          <w:lang w:eastAsia="en-AU"/>
        </w:rPr>
      </w:pPr>
      <w:bookmarkStart w:id="53" w:name="_Toc51859739"/>
      <w:r>
        <w:rPr>
          <w:lang w:eastAsia="en-AU"/>
        </w:rPr>
        <w:t xml:space="preserve">Risk </w:t>
      </w:r>
      <w:r w:rsidRPr="00595E85">
        <w:t>m</w:t>
      </w:r>
      <w:r w:rsidR="008E7846" w:rsidRPr="00595E85">
        <w:t>anagement</w:t>
      </w:r>
      <w:r w:rsidR="008E7846">
        <w:rPr>
          <w:lang w:eastAsia="en-AU"/>
        </w:rPr>
        <w:t xml:space="preserve"> </w:t>
      </w:r>
      <w:r>
        <w:rPr>
          <w:lang w:eastAsia="en-AU"/>
        </w:rPr>
        <w:t>p</w:t>
      </w:r>
      <w:r w:rsidR="008E7846">
        <w:rPr>
          <w:lang w:eastAsia="en-AU"/>
        </w:rPr>
        <w:t>lan</w:t>
      </w:r>
      <w:bookmarkEnd w:id="43"/>
      <w:bookmarkEnd w:id="53"/>
    </w:p>
    <w:p w14:paraId="7478E5CF" w14:textId="692C7276" w:rsidR="00325641" w:rsidRPr="00DD1FEC" w:rsidRDefault="00325641" w:rsidP="00595E85">
      <w:pPr>
        <w:pStyle w:val="ListBullet"/>
        <w:rPr>
          <w:rStyle w:val="BulletlistChar"/>
          <w:rFonts w:eastAsia="Cambria"/>
          <w:kern w:val="16"/>
        </w:rPr>
      </w:pPr>
      <w:r w:rsidRPr="00607454">
        <w:t xml:space="preserve">This evaluation considers the information related to the extension of indications to include AML in the </w:t>
      </w:r>
      <w:r w:rsidR="00595E85">
        <w:t>risk management plan (</w:t>
      </w:r>
      <w:r w:rsidRPr="00607454">
        <w:t>RMP</w:t>
      </w:r>
      <w:r w:rsidR="00595E85">
        <w:t>)</w:t>
      </w:r>
      <w:r w:rsidRPr="00607454">
        <w:t xml:space="preserve"> documents (core RMP version 4.0 dated August</w:t>
      </w:r>
      <w:r w:rsidRPr="00DD1FEC">
        <w:t xml:space="preserve"> 2018, with A</w:t>
      </w:r>
      <w:r w:rsidR="00595E85">
        <w:t>ustralian specific Annex (A</w:t>
      </w:r>
      <w:r w:rsidRPr="00DD1FEC">
        <w:t>SA</w:t>
      </w:r>
      <w:r w:rsidR="00595E85">
        <w:t>)</w:t>
      </w:r>
      <w:r w:rsidRPr="00DD1FEC">
        <w:t xml:space="preserve"> version 3.0 dated November 2018) submitted through the current submission PM-2018-05208-1-6, and the ‘summary of safety concerns’ with pharmacovigilance and risk minimisation activities in the most recent RMP documents (core RMP version 5.0 dated March 2019; </w:t>
      </w:r>
      <w:r w:rsidR="00595E85">
        <w:t>data lock point (</w:t>
      </w:r>
      <w:r w:rsidRPr="00DD1FEC">
        <w:t>DLP</w:t>
      </w:r>
      <w:r w:rsidR="00595E85">
        <w:t>)</w:t>
      </w:r>
      <w:r w:rsidRPr="00DD1FEC">
        <w:t xml:space="preserve"> 17 August 2018, with ASA version 3.1 date</w:t>
      </w:r>
      <w:r>
        <w:t>d March 2019)</w:t>
      </w:r>
      <w:r w:rsidRPr="00DD1FEC">
        <w:t xml:space="preserve">. </w:t>
      </w:r>
      <w:r>
        <w:t xml:space="preserve">The sponsor has submitted the updated RMP documents (core RMP version 4.1 dated </w:t>
      </w:r>
      <w:r w:rsidR="0048168D">
        <w:t>June</w:t>
      </w:r>
      <w:r>
        <w:t xml:space="preserve"> 2019, and core RMP version 5.1 dated June 2019 with ASA version 3.2 dated Jul</w:t>
      </w:r>
      <w:r w:rsidR="00595E85">
        <w:t>y 2019</w:t>
      </w:r>
      <w:r w:rsidR="00A67326">
        <w:t>) with the response to TGA’s request for information</w:t>
      </w:r>
      <w:r w:rsidR="00595E85">
        <w:t>.</w:t>
      </w:r>
    </w:p>
    <w:p w14:paraId="5D152C23" w14:textId="61378981" w:rsidR="00325641" w:rsidRDefault="00325641" w:rsidP="00595E85">
      <w:pPr>
        <w:pStyle w:val="ListBullet"/>
      </w:pPr>
      <w:r w:rsidRPr="00B5574D">
        <w:t>The proposed summary of safety concerns and their associated risk monitoring and mitigation strategies are summarised</w:t>
      </w:r>
      <w:r w:rsidR="00A67326">
        <w:t xml:space="preserve"> in the table below.</w:t>
      </w:r>
      <w:r w:rsidR="00A931E4">
        <w:rPr>
          <w:rStyle w:val="FootnoteReference"/>
        </w:rPr>
        <w:footnoteReference w:id="27"/>
      </w:r>
    </w:p>
    <w:p w14:paraId="292B66E5" w14:textId="5DB4B724" w:rsidR="00A67326" w:rsidRPr="00B5574D" w:rsidRDefault="00A67326" w:rsidP="008E7235">
      <w:pPr>
        <w:pStyle w:val="TableTitle"/>
        <w:pageBreakBefore/>
      </w:pPr>
      <w:r>
        <w:lastRenderedPageBreak/>
        <w:t xml:space="preserve">Table </w:t>
      </w:r>
      <w:fldSimple w:instr=" SEQ Table \* ARABIC ">
        <w:r w:rsidR="00247395">
          <w:rPr>
            <w:noProof/>
          </w:rPr>
          <w:t>9</w:t>
        </w:r>
      </w:fldSimple>
      <w:r>
        <w:t>: Proposed summary of safety concerns</w:t>
      </w:r>
    </w:p>
    <w:tbl>
      <w:tblPr>
        <w:tblStyle w:val="TableTGAblack"/>
        <w:tblW w:w="487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547"/>
        <w:gridCol w:w="2390"/>
        <w:gridCol w:w="993"/>
        <w:gridCol w:w="1277"/>
        <w:gridCol w:w="993"/>
        <w:gridCol w:w="1305"/>
      </w:tblGrid>
      <w:tr w:rsidR="00F36EA1" w:rsidRPr="004F1C07" w14:paraId="4A6E88A4" w14:textId="77777777" w:rsidTr="005F7D04">
        <w:trPr>
          <w:cnfStyle w:val="100000000000" w:firstRow="1" w:lastRow="0" w:firstColumn="0" w:lastColumn="0" w:oddVBand="0" w:evenVBand="0" w:oddHBand="0" w:evenHBand="0" w:firstRowFirstColumn="0" w:firstRowLastColumn="0" w:lastRowFirstColumn="0" w:lastRowLastColumn="0"/>
          <w:trHeight w:val="131"/>
        </w:trPr>
        <w:tc>
          <w:tcPr>
            <w:cnfStyle w:val="000000000100" w:firstRow="0" w:lastRow="0" w:firstColumn="0" w:lastColumn="0" w:oddVBand="0" w:evenVBand="0" w:oddHBand="0" w:evenHBand="0" w:firstRowFirstColumn="1" w:firstRowLastColumn="0" w:lastRowFirstColumn="0" w:lastRowLastColumn="0"/>
            <w:tcW w:w="2314" w:type="pct"/>
            <w:gridSpan w:val="2"/>
            <w:vMerge w:val="restart"/>
            <w:tcBorders>
              <w:right w:val="nil"/>
            </w:tcBorders>
            <w:shd w:val="clear" w:color="auto" w:fill="006DA7"/>
          </w:tcPr>
          <w:p w14:paraId="104B10F6" w14:textId="77777777" w:rsidR="00325641" w:rsidRPr="00A67326" w:rsidRDefault="00325641" w:rsidP="00FA254C">
            <w:pPr>
              <w:ind w:left="0" w:right="0"/>
              <w:rPr>
                <w:sz w:val="19"/>
                <w:szCs w:val="19"/>
              </w:rPr>
            </w:pPr>
            <w:r w:rsidRPr="00A67326">
              <w:rPr>
                <w:sz w:val="19"/>
                <w:szCs w:val="19"/>
                <w:shd w:val="clear" w:color="auto" w:fill="006DA7"/>
              </w:rPr>
              <w:t>Summary of safety</w:t>
            </w:r>
            <w:r w:rsidRPr="00A67326">
              <w:rPr>
                <w:sz w:val="19"/>
                <w:szCs w:val="19"/>
              </w:rPr>
              <w:t xml:space="preserve"> concerns</w:t>
            </w:r>
          </w:p>
        </w:tc>
        <w:tc>
          <w:tcPr>
            <w:tcW w:w="1335" w:type="pct"/>
            <w:gridSpan w:val="2"/>
            <w:tcBorders>
              <w:top w:val="single" w:sz="8" w:space="0" w:color="000000"/>
              <w:left w:val="nil"/>
              <w:bottom w:val="single" w:sz="8" w:space="0" w:color="000000"/>
              <w:right w:val="nil"/>
            </w:tcBorders>
            <w:shd w:val="clear" w:color="auto" w:fill="006DA7"/>
          </w:tcPr>
          <w:p w14:paraId="2AD66378" w14:textId="77777777" w:rsidR="00325641" w:rsidRPr="00A67326" w:rsidRDefault="00325641" w:rsidP="00FA254C">
            <w:pPr>
              <w:ind w:left="0" w:right="0"/>
              <w:cnfStyle w:val="100000000000" w:firstRow="1" w:lastRow="0" w:firstColumn="0" w:lastColumn="0" w:oddVBand="0" w:evenVBand="0" w:oddHBand="0" w:evenHBand="0" w:firstRowFirstColumn="0" w:firstRowLastColumn="0" w:lastRowFirstColumn="0" w:lastRowLastColumn="0"/>
              <w:rPr>
                <w:sz w:val="19"/>
                <w:szCs w:val="19"/>
              </w:rPr>
            </w:pPr>
            <w:r w:rsidRPr="00A67326">
              <w:rPr>
                <w:sz w:val="19"/>
                <w:szCs w:val="19"/>
              </w:rPr>
              <w:t>Pharmacovigilance</w:t>
            </w:r>
          </w:p>
        </w:tc>
        <w:tc>
          <w:tcPr>
            <w:tcW w:w="1352" w:type="pct"/>
            <w:gridSpan w:val="2"/>
            <w:tcBorders>
              <w:top w:val="single" w:sz="8" w:space="0" w:color="000000"/>
              <w:left w:val="nil"/>
              <w:bottom w:val="single" w:sz="8" w:space="0" w:color="000000"/>
              <w:right w:val="single" w:sz="8" w:space="0" w:color="000000"/>
            </w:tcBorders>
            <w:shd w:val="clear" w:color="auto" w:fill="006DA7"/>
          </w:tcPr>
          <w:p w14:paraId="7DB2AB9C" w14:textId="344F4F3C" w:rsidR="00325641" w:rsidRPr="00A67326" w:rsidRDefault="007C5D49" w:rsidP="00FA254C">
            <w:pPr>
              <w:ind w:left="0" w:right="0"/>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Risk m</w:t>
            </w:r>
            <w:r w:rsidR="00325641" w:rsidRPr="00A67326">
              <w:rPr>
                <w:sz w:val="19"/>
                <w:szCs w:val="19"/>
              </w:rPr>
              <w:t>inimisation</w:t>
            </w:r>
          </w:p>
        </w:tc>
      </w:tr>
      <w:tr w:rsidR="005F7D04" w:rsidRPr="004F1C07" w14:paraId="685F5731" w14:textId="77777777" w:rsidTr="005F7D04">
        <w:trPr>
          <w:trHeight w:val="150"/>
        </w:trPr>
        <w:tc>
          <w:tcPr>
            <w:tcW w:w="2314" w:type="pct"/>
            <w:gridSpan w:val="2"/>
            <w:vMerge/>
          </w:tcPr>
          <w:p w14:paraId="0D7CD6EB" w14:textId="77777777" w:rsidR="00325641" w:rsidRPr="00A67326" w:rsidRDefault="00325641" w:rsidP="00FA254C">
            <w:pPr>
              <w:ind w:left="0" w:right="0"/>
              <w:rPr>
                <w:sz w:val="19"/>
                <w:szCs w:val="19"/>
              </w:rPr>
            </w:pPr>
          </w:p>
        </w:tc>
        <w:tc>
          <w:tcPr>
            <w:tcW w:w="584" w:type="pct"/>
            <w:tcBorders>
              <w:top w:val="single" w:sz="8" w:space="0" w:color="000000"/>
            </w:tcBorders>
          </w:tcPr>
          <w:p w14:paraId="094DB8F6" w14:textId="77777777" w:rsidR="00325641" w:rsidRPr="00A67326" w:rsidRDefault="00325641" w:rsidP="00FA254C">
            <w:pPr>
              <w:ind w:left="0" w:right="0"/>
              <w:rPr>
                <w:sz w:val="19"/>
                <w:szCs w:val="19"/>
              </w:rPr>
            </w:pPr>
            <w:r w:rsidRPr="00A67326">
              <w:rPr>
                <w:sz w:val="19"/>
                <w:szCs w:val="19"/>
              </w:rPr>
              <w:t>Routine</w:t>
            </w:r>
          </w:p>
        </w:tc>
        <w:tc>
          <w:tcPr>
            <w:tcW w:w="751" w:type="pct"/>
            <w:tcBorders>
              <w:top w:val="single" w:sz="8" w:space="0" w:color="000000"/>
            </w:tcBorders>
          </w:tcPr>
          <w:p w14:paraId="05BD62B4" w14:textId="77777777" w:rsidR="00325641" w:rsidRPr="00A67326" w:rsidRDefault="00325641" w:rsidP="00FA254C">
            <w:pPr>
              <w:ind w:left="0" w:right="0"/>
              <w:rPr>
                <w:sz w:val="19"/>
                <w:szCs w:val="19"/>
              </w:rPr>
            </w:pPr>
            <w:r w:rsidRPr="00A67326">
              <w:rPr>
                <w:sz w:val="19"/>
                <w:szCs w:val="19"/>
              </w:rPr>
              <w:t>Additional</w:t>
            </w:r>
          </w:p>
        </w:tc>
        <w:tc>
          <w:tcPr>
            <w:tcW w:w="584" w:type="pct"/>
            <w:tcBorders>
              <w:top w:val="single" w:sz="8" w:space="0" w:color="000000"/>
            </w:tcBorders>
          </w:tcPr>
          <w:p w14:paraId="4D8042BF" w14:textId="77777777" w:rsidR="00325641" w:rsidRPr="00A67326" w:rsidRDefault="00325641" w:rsidP="00FA254C">
            <w:pPr>
              <w:ind w:left="0" w:right="0"/>
              <w:rPr>
                <w:sz w:val="19"/>
                <w:szCs w:val="19"/>
              </w:rPr>
            </w:pPr>
            <w:r w:rsidRPr="00A67326">
              <w:rPr>
                <w:sz w:val="19"/>
                <w:szCs w:val="19"/>
              </w:rPr>
              <w:t>Routine</w:t>
            </w:r>
          </w:p>
        </w:tc>
        <w:tc>
          <w:tcPr>
            <w:tcW w:w="768" w:type="pct"/>
            <w:tcBorders>
              <w:top w:val="single" w:sz="8" w:space="0" w:color="000000"/>
            </w:tcBorders>
          </w:tcPr>
          <w:p w14:paraId="4C8D6B6F" w14:textId="77777777" w:rsidR="00325641" w:rsidRPr="00A67326" w:rsidRDefault="00325641" w:rsidP="00FA254C">
            <w:pPr>
              <w:ind w:left="0" w:right="0"/>
              <w:rPr>
                <w:sz w:val="19"/>
                <w:szCs w:val="19"/>
              </w:rPr>
            </w:pPr>
            <w:r w:rsidRPr="00A67326">
              <w:rPr>
                <w:sz w:val="19"/>
                <w:szCs w:val="19"/>
              </w:rPr>
              <w:t>Additional</w:t>
            </w:r>
          </w:p>
        </w:tc>
      </w:tr>
      <w:tr w:rsidR="005F7D04" w:rsidRPr="004F1C07" w14:paraId="1BA5D0EE" w14:textId="77777777" w:rsidTr="005F7D04">
        <w:trPr>
          <w:trHeight w:val="137"/>
        </w:trPr>
        <w:tc>
          <w:tcPr>
            <w:tcW w:w="909" w:type="pct"/>
            <w:vMerge w:val="restart"/>
          </w:tcPr>
          <w:p w14:paraId="2CA0D2C9" w14:textId="77777777" w:rsidR="00325641" w:rsidRPr="00A67326" w:rsidRDefault="00325641" w:rsidP="00FA254C">
            <w:pPr>
              <w:ind w:left="0" w:right="0"/>
              <w:rPr>
                <w:sz w:val="19"/>
                <w:szCs w:val="19"/>
              </w:rPr>
            </w:pPr>
            <w:r w:rsidRPr="00A67326">
              <w:rPr>
                <w:sz w:val="19"/>
                <w:szCs w:val="19"/>
              </w:rPr>
              <w:t>Important identified risks</w:t>
            </w:r>
          </w:p>
        </w:tc>
        <w:tc>
          <w:tcPr>
            <w:tcW w:w="1405" w:type="pct"/>
          </w:tcPr>
          <w:p w14:paraId="30C336A6" w14:textId="77777777" w:rsidR="00325641" w:rsidRPr="00A67326" w:rsidRDefault="00325641" w:rsidP="00FA254C">
            <w:pPr>
              <w:ind w:left="0" w:right="0"/>
              <w:rPr>
                <w:sz w:val="19"/>
                <w:szCs w:val="19"/>
              </w:rPr>
            </w:pPr>
            <w:r w:rsidRPr="00A67326">
              <w:rPr>
                <w:sz w:val="19"/>
                <w:szCs w:val="19"/>
              </w:rPr>
              <w:t>Tumour lysis syndrome</w:t>
            </w:r>
          </w:p>
        </w:tc>
        <w:tc>
          <w:tcPr>
            <w:tcW w:w="584" w:type="pct"/>
          </w:tcPr>
          <w:p w14:paraId="4C1438AC" w14:textId="77777777" w:rsidR="00325641" w:rsidRPr="00A67326" w:rsidRDefault="00325641" w:rsidP="00FA254C">
            <w:pPr>
              <w:ind w:left="0" w:right="0"/>
              <w:rPr>
                <w:sz w:val="19"/>
                <w:szCs w:val="19"/>
              </w:rPr>
            </w:pPr>
            <w:r w:rsidRPr="00A67326">
              <w:rPr>
                <w:sz w:val="19"/>
                <w:szCs w:val="19"/>
              </w:rPr>
              <w:sym w:font="Wingdings" w:char="F0FC"/>
            </w:r>
            <w:r w:rsidRPr="00A67326">
              <w:rPr>
                <w:sz w:val="19"/>
                <w:szCs w:val="19"/>
                <w:vertAlign w:val="superscript"/>
              </w:rPr>
              <w:t>1</w:t>
            </w:r>
          </w:p>
        </w:tc>
        <w:tc>
          <w:tcPr>
            <w:tcW w:w="751" w:type="pct"/>
          </w:tcPr>
          <w:p w14:paraId="3ECF0B6E" w14:textId="77777777" w:rsidR="00325641" w:rsidRPr="00A67326" w:rsidRDefault="00325641" w:rsidP="00FA254C">
            <w:pPr>
              <w:ind w:left="0" w:right="0"/>
              <w:rPr>
                <w:color w:val="FFFFFF"/>
                <w:sz w:val="19"/>
                <w:szCs w:val="19"/>
              </w:rPr>
            </w:pPr>
            <w:r w:rsidRPr="00A67326">
              <w:rPr>
                <w:sz w:val="19"/>
                <w:szCs w:val="19"/>
              </w:rPr>
              <w:sym w:font="Wingdings" w:char="F0FC"/>
            </w:r>
            <w:r w:rsidRPr="00A67326">
              <w:rPr>
                <w:sz w:val="19"/>
                <w:szCs w:val="19"/>
                <w:vertAlign w:val="superscript"/>
              </w:rPr>
              <w:t>2</w:t>
            </w:r>
          </w:p>
        </w:tc>
        <w:tc>
          <w:tcPr>
            <w:tcW w:w="584" w:type="pct"/>
          </w:tcPr>
          <w:p w14:paraId="27F658D9" w14:textId="77777777" w:rsidR="00325641" w:rsidRPr="00A67326" w:rsidRDefault="00325641" w:rsidP="00FA254C">
            <w:pPr>
              <w:ind w:left="0" w:right="0"/>
              <w:rPr>
                <w:color w:val="FFFFFF"/>
                <w:sz w:val="19"/>
                <w:szCs w:val="19"/>
              </w:rPr>
            </w:pPr>
            <w:r w:rsidRPr="00A67326">
              <w:rPr>
                <w:sz w:val="19"/>
                <w:szCs w:val="19"/>
              </w:rPr>
              <w:sym w:font="Wingdings" w:char="F0FC"/>
            </w:r>
            <w:r w:rsidRPr="00A67326">
              <w:rPr>
                <w:sz w:val="19"/>
                <w:szCs w:val="19"/>
                <w:vertAlign w:val="superscript"/>
              </w:rPr>
              <w:t>4</w:t>
            </w:r>
          </w:p>
        </w:tc>
        <w:tc>
          <w:tcPr>
            <w:tcW w:w="768" w:type="pct"/>
          </w:tcPr>
          <w:p w14:paraId="30BB472A" w14:textId="77777777" w:rsidR="00325641" w:rsidRPr="00A67326" w:rsidRDefault="00325641" w:rsidP="00FA254C">
            <w:pPr>
              <w:ind w:left="0" w:right="0"/>
              <w:rPr>
                <w:sz w:val="19"/>
                <w:szCs w:val="19"/>
              </w:rPr>
            </w:pPr>
            <w:r w:rsidRPr="00A67326">
              <w:rPr>
                <w:sz w:val="19"/>
                <w:szCs w:val="19"/>
              </w:rPr>
              <w:t>–</w:t>
            </w:r>
          </w:p>
        </w:tc>
      </w:tr>
      <w:tr w:rsidR="005F7D04" w:rsidRPr="004F1C07" w14:paraId="67AB9672" w14:textId="77777777" w:rsidTr="005F7D04">
        <w:trPr>
          <w:trHeight w:val="94"/>
        </w:trPr>
        <w:tc>
          <w:tcPr>
            <w:tcW w:w="909" w:type="pct"/>
            <w:vMerge/>
          </w:tcPr>
          <w:p w14:paraId="434CF68E" w14:textId="77777777" w:rsidR="00325641" w:rsidRPr="00A67326" w:rsidRDefault="00325641" w:rsidP="00FA254C">
            <w:pPr>
              <w:ind w:left="0" w:right="0"/>
              <w:rPr>
                <w:sz w:val="19"/>
                <w:szCs w:val="19"/>
              </w:rPr>
            </w:pPr>
          </w:p>
        </w:tc>
        <w:tc>
          <w:tcPr>
            <w:tcW w:w="1405" w:type="pct"/>
          </w:tcPr>
          <w:p w14:paraId="7A9B72FC" w14:textId="77777777" w:rsidR="00325641" w:rsidRPr="00A67326" w:rsidRDefault="00325641" w:rsidP="00FA254C">
            <w:pPr>
              <w:ind w:left="0" w:right="0"/>
              <w:rPr>
                <w:sz w:val="19"/>
                <w:szCs w:val="19"/>
              </w:rPr>
            </w:pPr>
            <w:r w:rsidRPr="00A67326">
              <w:rPr>
                <w:sz w:val="19"/>
                <w:szCs w:val="19"/>
              </w:rPr>
              <w:t>Neutropenia</w:t>
            </w:r>
          </w:p>
        </w:tc>
        <w:tc>
          <w:tcPr>
            <w:tcW w:w="584" w:type="pct"/>
          </w:tcPr>
          <w:p w14:paraId="38971FBD" w14:textId="77777777" w:rsidR="00325641" w:rsidRPr="00A67326" w:rsidRDefault="00325641" w:rsidP="00FA254C">
            <w:pPr>
              <w:ind w:left="0" w:right="0"/>
              <w:rPr>
                <w:sz w:val="19"/>
                <w:szCs w:val="19"/>
              </w:rPr>
            </w:pPr>
            <w:r w:rsidRPr="00A67326">
              <w:rPr>
                <w:sz w:val="19"/>
                <w:szCs w:val="19"/>
              </w:rPr>
              <w:sym w:font="Wingdings" w:char="F0FC"/>
            </w:r>
          </w:p>
        </w:tc>
        <w:tc>
          <w:tcPr>
            <w:tcW w:w="751" w:type="pct"/>
          </w:tcPr>
          <w:p w14:paraId="18A9689C" w14:textId="77777777" w:rsidR="00325641" w:rsidRPr="00A67326" w:rsidRDefault="00325641" w:rsidP="00FA254C">
            <w:pPr>
              <w:ind w:left="0" w:right="0"/>
              <w:rPr>
                <w:color w:val="FFFFFF"/>
                <w:sz w:val="19"/>
                <w:szCs w:val="19"/>
              </w:rPr>
            </w:pPr>
            <w:r w:rsidRPr="00A67326">
              <w:rPr>
                <w:sz w:val="19"/>
                <w:szCs w:val="19"/>
              </w:rPr>
              <w:sym w:font="Wingdings" w:char="F0FC"/>
            </w:r>
            <w:r w:rsidRPr="00A67326">
              <w:rPr>
                <w:sz w:val="19"/>
                <w:szCs w:val="19"/>
                <w:vertAlign w:val="superscript"/>
              </w:rPr>
              <w:t>2</w:t>
            </w:r>
          </w:p>
        </w:tc>
        <w:tc>
          <w:tcPr>
            <w:tcW w:w="584" w:type="pct"/>
          </w:tcPr>
          <w:p w14:paraId="361EDF12" w14:textId="77777777" w:rsidR="00325641" w:rsidRPr="00A67326" w:rsidRDefault="00325641" w:rsidP="00FA254C">
            <w:pPr>
              <w:ind w:left="0" w:right="0"/>
              <w:rPr>
                <w:color w:val="FFFFFF"/>
                <w:sz w:val="19"/>
                <w:szCs w:val="19"/>
              </w:rPr>
            </w:pPr>
            <w:r w:rsidRPr="00A67326">
              <w:rPr>
                <w:sz w:val="19"/>
                <w:szCs w:val="19"/>
              </w:rPr>
              <w:sym w:font="Wingdings" w:char="F0FC"/>
            </w:r>
          </w:p>
        </w:tc>
        <w:tc>
          <w:tcPr>
            <w:tcW w:w="768" w:type="pct"/>
          </w:tcPr>
          <w:p w14:paraId="59608A6E" w14:textId="77777777" w:rsidR="00325641" w:rsidRPr="00A67326" w:rsidRDefault="00325641" w:rsidP="00FA254C">
            <w:pPr>
              <w:ind w:left="0" w:right="0"/>
              <w:rPr>
                <w:sz w:val="19"/>
                <w:szCs w:val="19"/>
              </w:rPr>
            </w:pPr>
            <w:r w:rsidRPr="00A67326">
              <w:rPr>
                <w:sz w:val="19"/>
                <w:szCs w:val="19"/>
              </w:rPr>
              <w:t>–</w:t>
            </w:r>
          </w:p>
        </w:tc>
      </w:tr>
      <w:tr w:rsidR="005F7D04" w:rsidRPr="004F1C07" w14:paraId="6C8769A4" w14:textId="77777777" w:rsidTr="005F7D04">
        <w:trPr>
          <w:trHeight w:val="187"/>
        </w:trPr>
        <w:tc>
          <w:tcPr>
            <w:tcW w:w="909" w:type="pct"/>
            <w:vMerge/>
          </w:tcPr>
          <w:p w14:paraId="3CB77040" w14:textId="77777777" w:rsidR="00325641" w:rsidRPr="00A67326" w:rsidRDefault="00325641" w:rsidP="00FA254C">
            <w:pPr>
              <w:ind w:left="0" w:right="0"/>
              <w:rPr>
                <w:sz w:val="19"/>
                <w:szCs w:val="19"/>
              </w:rPr>
            </w:pPr>
          </w:p>
        </w:tc>
        <w:tc>
          <w:tcPr>
            <w:tcW w:w="1405" w:type="pct"/>
          </w:tcPr>
          <w:p w14:paraId="645A231C" w14:textId="77777777" w:rsidR="00325641" w:rsidRPr="00A67326" w:rsidRDefault="00325641" w:rsidP="00FA254C">
            <w:pPr>
              <w:ind w:left="0" w:right="0"/>
              <w:rPr>
                <w:sz w:val="19"/>
                <w:szCs w:val="19"/>
              </w:rPr>
            </w:pPr>
            <w:r w:rsidRPr="00A67326">
              <w:rPr>
                <w:sz w:val="19"/>
                <w:szCs w:val="19"/>
              </w:rPr>
              <w:t>Serious infection</w:t>
            </w:r>
          </w:p>
        </w:tc>
        <w:tc>
          <w:tcPr>
            <w:tcW w:w="584" w:type="pct"/>
          </w:tcPr>
          <w:p w14:paraId="7101DD88" w14:textId="77777777" w:rsidR="00325641" w:rsidRPr="00A67326" w:rsidRDefault="00325641" w:rsidP="00FA254C">
            <w:pPr>
              <w:ind w:left="0" w:right="0"/>
              <w:rPr>
                <w:sz w:val="19"/>
                <w:szCs w:val="19"/>
              </w:rPr>
            </w:pPr>
            <w:r w:rsidRPr="00A67326">
              <w:rPr>
                <w:sz w:val="19"/>
                <w:szCs w:val="19"/>
              </w:rPr>
              <w:sym w:font="Wingdings" w:char="F0FC"/>
            </w:r>
            <w:r w:rsidRPr="007C5D49">
              <w:rPr>
                <w:sz w:val="19"/>
                <w:szCs w:val="19"/>
                <w:vertAlign w:val="superscript"/>
              </w:rPr>
              <w:t>1</w:t>
            </w:r>
          </w:p>
        </w:tc>
        <w:tc>
          <w:tcPr>
            <w:tcW w:w="751" w:type="pct"/>
          </w:tcPr>
          <w:p w14:paraId="6F9CADFA" w14:textId="77777777" w:rsidR="00325641" w:rsidRPr="00A67326" w:rsidRDefault="00325641" w:rsidP="00FA254C">
            <w:pPr>
              <w:ind w:left="0" w:right="0"/>
              <w:rPr>
                <w:color w:val="FFFFFF"/>
                <w:sz w:val="19"/>
                <w:szCs w:val="19"/>
              </w:rPr>
            </w:pPr>
            <w:r w:rsidRPr="00A67326">
              <w:rPr>
                <w:sz w:val="19"/>
                <w:szCs w:val="19"/>
              </w:rPr>
              <w:sym w:font="Wingdings" w:char="F0FC"/>
            </w:r>
            <w:r w:rsidRPr="00A67326">
              <w:rPr>
                <w:sz w:val="19"/>
                <w:szCs w:val="19"/>
                <w:vertAlign w:val="superscript"/>
              </w:rPr>
              <w:t>2</w:t>
            </w:r>
          </w:p>
        </w:tc>
        <w:tc>
          <w:tcPr>
            <w:tcW w:w="584" w:type="pct"/>
          </w:tcPr>
          <w:p w14:paraId="68CB4E86" w14:textId="77777777" w:rsidR="00325641" w:rsidRPr="00A67326" w:rsidRDefault="00325641" w:rsidP="00FA254C">
            <w:pPr>
              <w:ind w:left="0" w:right="0"/>
              <w:rPr>
                <w:color w:val="FFFFFF"/>
                <w:sz w:val="19"/>
                <w:szCs w:val="19"/>
              </w:rPr>
            </w:pPr>
            <w:r w:rsidRPr="00A67326">
              <w:rPr>
                <w:sz w:val="19"/>
                <w:szCs w:val="19"/>
              </w:rPr>
              <w:sym w:font="Wingdings" w:char="F0FC"/>
            </w:r>
          </w:p>
        </w:tc>
        <w:tc>
          <w:tcPr>
            <w:tcW w:w="768" w:type="pct"/>
          </w:tcPr>
          <w:p w14:paraId="5A904A83" w14:textId="77777777" w:rsidR="00325641" w:rsidRPr="00A67326" w:rsidRDefault="00325641" w:rsidP="00FA254C">
            <w:pPr>
              <w:ind w:left="0" w:right="0"/>
              <w:rPr>
                <w:sz w:val="19"/>
                <w:szCs w:val="19"/>
              </w:rPr>
            </w:pPr>
            <w:r w:rsidRPr="00A67326">
              <w:rPr>
                <w:sz w:val="19"/>
                <w:szCs w:val="19"/>
              </w:rPr>
              <w:t>–</w:t>
            </w:r>
          </w:p>
        </w:tc>
      </w:tr>
      <w:tr w:rsidR="005F7D04" w:rsidRPr="004F1C07" w14:paraId="5D8790B1" w14:textId="77777777" w:rsidTr="005F7D04">
        <w:trPr>
          <w:trHeight w:val="159"/>
        </w:trPr>
        <w:tc>
          <w:tcPr>
            <w:tcW w:w="909" w:type="pct"/>
            <w:vMerge w:val="restart"/>
          </w:tcPr>
          <w:p w14:paraId="21ECA18E" w14:textId="77777777" w:rsidR="00325641" w:rsidRPr="00A67326" w:rsidRDefault="00325641" w:rsidP="00FA254C">
            <w:pPr>
              <w:ind w:left="0" w:right="0"/>
              <w:rPr>
                <w:sz w:val="19"/>
                <w:szCs w:val="19"/>
              </w:rPr>
            </w:pPr>
            <w:r w:rsidRPr="00A67326">
              <w:rPr>
                <w:sz w:val="19"/>
                <w:szCs w:val="19"/>
              </w:rPr>
              <w:t>Important potential risks</w:t>
            </w:r>
          </w:p>
        </w:tc>
        <w:tc>
          <w:tcPr>
            <w:tcW w:w="1405" w:type="pct"/>
          </w:tcPr>
          <w:p w14:paraId="0DFE8A7F" w14:textId="77777777" w:rsidR="00325641" w:rsidRPr="00A67326" w:rsidRDefault="00325641" w:rsidP="00FA254C">
            <w:pPr>
              <w:ind w:left="0" w:right="0"/>
              <w:rPr>
                <w:sz w:val="19"/>
                <w:szCs w:val="19"/>
              </w:rPr>
            </w:pPr>
            <w:r w:rsidRPr="00A67326">
              <w:rPr>
                <w:sz w:val="19"/>
                <w:szCs w:val="19"/>
              </w:rPr>
              <w:t>Embryo-foetal toxicity</w:t>
            </w:r>
          </w:p>
        </w:tc>
        <w:tc>
          <w:tcPr>
            <w:tcW w:w="584" w:type="pct"/>
          </w:tcPr>
          <w:p w14:paraId="7913EFAB" w14:textId="77777777" w:rsidR="00325641" w:rsidRPr="00A67326" w:rsidRDefault="00325641" w:rsidP="00FA254C">
            <w:pPr>
              <w:ind w:left="0" w:right="0"/>
              <w:rPr>
                <w:sz w:val="19"/>
                <w:szCs w:val="19"/>
              </w:rPr>
            </w:pPr>
            <w:r w:rsidRPr="00A67326">
              <w:rPr>
                <w:sz w:val="19"/>
                <w:szCs w:val="19"/>
              </w:rPr>
              <w:sym w:font="Wingdings" w:char="F0FC"/>
            </w:r>
            <w:r w:rsidRPr="00A67326">
              <w:rPr>
                <w:sz w:val="19"/>
                <w:szCs w:val="19"/>
                <w:vertAlign w:val="superscript"/>
              </w:rPr>
              <w:t>1</w:t>
            </w:r>
          </w:p>
        </w:tc>
        <w:tc>
          <w:tcPr>
            <w:tcW w:w="751" w:type="pct"/>
          </w:tcPr>
          <w:p w14:paraId="0CDE628B" w14:textId="77777777" w:rsidR="00325641" w:rsidRPr="00A67326" w:rsidRDefault="00325641" w:rsidP="00FA254C">
            <w:pPr>
              <w:ind w:left="0" w:right="0"/>
              <w:rPr>
                <w:color w:val="FFFFFF"/>
                <w:sz w:val="19"/>
                <w:szCs w:val="19"/>
              </w:rPr>
            </w:pPr>
            <w:r w:rsidRPr="00A67326">
              <w:rPr>
                <w:sz w:val="19"/>
                <w:szCs w:val="19"/>
              </w:rPr>
              <w:t>–</w:t>
            </w:r>
          </w:p>
        </w:tc>
        <w:tc>
          <w:tcPr>
            <w:tcW w:w="584" w:type="pct"/>
          </w:tcPr>
          <w:p w14:paraId="4A7725DE" w14:textId="77777777" w:rsidR="00325641" w:rsidRPr="00A67326" w:rsidRDefault="00325641" w:rsidP="00FA254C">
            <w:pPr>
              <w:ind w:left="0" w:right="0"/>
              <w:rPr>
                <w:color w:val="FFFFFF"/>
                <w:sz w:val="19"/>
                <w:szCs w:val="19"/>
              </w:rPr>
            </w:pPr>
            <w:r w:rsidRPr="00A67326">
              <w:rPr>
                <w:sz w:val="19"/>
                <w:szCs w:val="19"/>
              </w:rPr>
              <w:sym w:font="Wingdings" w:char="F0FC"/>
            </w:r>
          </w:p>
        </w:tc>
        <w:tc>
          <w:tcPr>
            <w:tcW w:w="768" w:type="pct"/>
          </w:tcPr>
          <w:p w14:paraId="57F49867" w14:textId="77777777" w:rsidR="00325641" w:rsidRPr="00A67326" w:rsidRDefault="00325641" w:rsidP="00FA254C">
            <w:pPr>
              <w:ind w:left="0" w:right="0"/>
              <w:rPr>
                <w:sz w:val="19"/>
                <w:szCs w:val="19"/>
              </w:rPr>
            </w:pPr>
            <w:r w:rsidRPr="00A67326">
              <w:rPr>
                <w:sz w:val="19"/>
                <w:szCs w:val="19"/>
              </w:rPr>
              <w:t>–</w:t>
            </w:r>
          </w:p>
        </w:tc>
      </w:tr>
      <w:tr w:rsidR="005F7D04" w:rsidRPr="004F1C07" w14:paraId="708E4BFA" w14:textId="77777777" w:rsidTr="005F7D04">
        <w:trPr>
          <w:trHeight w:val="122"/>
        </w:trPr>
        <w:tc>
          <w:tcPr>
            <w:tcW w:w="909" w:type="pct"/>
            <w:vMerge/>
          </w:tcPr>
          <w:p w14:paraId="34C6B802" w14:textId="77777777" w:rsidR="00325641" w:rsidRPr="00A67326" w:rsidRDefault="00325641" w:rsidP="00FA254C">
            <w:pPr>
              <w:ind w:left="0" w:right="0"/>
              <w:rPr>
                <w:sz w:val="19"/>
                <w:szCs w:val="19"/>
              </w:rPr>
            </w:pPr>
          </w:p>
        </w:tc>
        <w:tc>
          <w:tcPr>
            <w:tcW w:w="1405" w:type="pct"/>
          </w:tcPr>
          <w:p w14:paraId="468DF92C" w14:textId="77777777" w:rsidR="00325641" w:rsidRPr="00A67326" w:rsidRDefault="00325641" w:rsidP="00FA254C">
            <w:pPr>
              <w:ind w:left="0" w:right="0"/>
              <w:rPr>
                <w:sz w:val="19"/>
                <w:szCs w:val="19"/>
              </w:rPr>
            </w:pPr>
            <w:r w:rsidRPr="00A67326">
              <w:rPr>
                <w:sz w:val="19"/>
                <w:szCs w:val="19"/>
              </w:rPr>
              <w:t>Medication error</w:t>
            </w:r>
          </w:p>
        </w:tc>
        <w:tc>
          <w:tcPr>
            <w:tcW w:w="584" w:type="pct"/>
          </w:tcPr>
          <w:p w14:paraId="4F9CDBA9" w14:textId="77777777" w:rsidR="00325641" w:rsidRPr="00A67326" w:rsidRDefault="00325641" w:rsidP="00FA254C">
            <w:pPr>
              <w:ind w:left="0" w:right="0"/>
              <w:rPr>
                <w:sz w:val="19"/>
                <w:szCs w:val="19"/>
              </w:rPr>
            </w:pPr>
            <w:r w:rsidRPr="00A67326">
              <w:rPr>
                <w:sz w:val="19"/>
                <w:szCs w:val="19"/>
              </w:rPr>
              <w:sym w:font="Wingdings" w:char="F0FC"/>
            </w:r>
          </w:p>
        </w:tc>
        <w:tc>
          <w:tcPr>
            <w:tcW w:w="751" w:type="pct"/>
          </w:tcPr>
          <w:p w14:paraId="4FA3B198" w14:textId="77777777" w:rsidR="00325641" w:rsidRPr="00A67326" w:rsidRDefault="00325641" w:rsidP="00FA254C">
            <w:pPr>
              <w:ind w:left="0" w:right="0"/>
              <w:rPr>
                <w:color w:val="FFFFFF"/>
                <w:sz w:val="19"/>
                <w:szCs w:val="19"/>
              </w:rPr>
            </w:pPr>
            <w:r w:rsidRPr="00A67326">
              <w:rPr>
                <w:sz w:val="19"/>
                <w:szCs w:val="19"/>
              </w:rPr>
              <w:t>–</w:t>
            </w:r>
          </w:p>
        </w:tc>
        <w:tc>
          <w:tcPr>
            <w:tcW w:w="584" w:type="pct"/>
          </w:tcPr>
          <w:p w14:paraId="55E0EDD5" w14:textId="77777777" w:rsidR="00325641" w:rsidRPr="00A67326" w:rsidRDefault="00325641" w:rsidP="00FA254C">
            <w:pPr>
              <w:ind w:left="0" w:right="0"/>
              <w:rPr>
                <w:color w:val="FFFFFF"/>
                <w:sz w:val="19"/>
                <w:szCs w:val="19"/>
              </w:rPr>
            </w:pPr>
            <w:r w:rsidRPr="00A67326">
              <w:rPr>
                <w:sz w:val="19"/>
                <w:szCs w:val="19"/>
              </w:rPr>
              <w:sym w:font="Wingdings" w:char="F0FC"/>
            </w:r>
            <w:r w:rsidRPr="00A67326">
              <w:rPr>
                <w:sz w:val="19"/>
                <w:szCs w:val="19"/>
                <w:vertAlign w:val="superscript"/>
              </w:rPr>
              <w:t>4, 5</w:t>
            </w:r>
          </w:p>
        </w:tc>
        <w:tc>
          <w:tcPr>
            <w:tcW w:w="768" w:type="pct"/>
          </w:tcPr>
          <w:p w14:paraId="3110E783" w14:textId="77777777" w:rsidR="00325641" w:rsidRPr="00A67326" w:rsidRDefault="00325641" w:rsidP="00FA254C">
            <w:pPr>
              <w:ind w:left="0" w:right="0"/>
              <w:rPr>
                <w:sz w:val="19"/>
                <w:szCs w:val="19"/>
              </w:rPr>
            </w:pPr>
            <w:r w:rsidRPr="00A67326">
              <w:rPr>
                <w:sz w:val="19"/>
                <w:szCs w:val="19"/>
              </w:rPr>
              <w:t>–</w:t>
            </w:r>
          </w:p>
        </w:tc>
      </w:tr>
      <w:tr w:rsidR="005F7D04" w:rsidRPr="004F1C07" w14:paraId="24091739" w14:textId="77777777" w:rsidTr="005F7D04">
        <w:trPr>
          <w:trHeight w:val="122"/>
        </w:trPr>
        <w:tc>
          <w:tcPr>
            <w:tcW w:w="909" w:type="pct"/>
            <w:vMerge/>
          </w:tcPr>
          <w:p w14:paraId="1E05A94A" w14:textId="77777777" w:rsidR="00325641" w:rsidRPr="00A67326" w:rsidRDefault="00325641" w:rsidP="00FA254C">
            <w:pPr>
              <w:ind w:left="0" w:right="0"/>
              <w:rPr>
                <w:sz w:val="19"/>
                <w:szCs w:val="19"/>
              </w:rPr>
            </w:pPr>
          </w:p>
        </w:tc>
        <w:tc>
          <w:tcPr>
            <w:tcW w:w="1405" w:type="pct"/>
          </w:tcPr>
          <w:p w14:paraId="5A3C2BE9" w14:textId="77777777" w:rsidR="00325641" w:rsidRPr="00A67326" w:rsidRDefault="00325641" w:rsidP="00FA254C">
            <w:pPr>
              <w:ind w:left="0" w:right="0"/>
              <w:rPr>
                <w:sz w:val="19"/>
                <w:szCs w:val="19"/>
              </w:rPr>
            </w:pPr>
            <w:r w:rsidRPr="00A67326">
              <w:rPr>
                <w:sz w:val="19"/>
                <w:szCs w:val="19"/>
              </w:rPr>
              <w:t>Richter's transformation</w:t>
            </w:r>
          </w:p>
        </w:tc>
        <w:tc>
          <w:tcPr>
            <w:tcW w:w="584" w:type="pct"/>
          </w:tcPr>
          <w:p w14:paraId="516D740B" w14:textId="77777777" w:rsidR="00325641" w:rsidRPr="00A67326" w:rsidRDefault="00325641" w:rsidP="00FA254C">
            <w:pPr>
              <w:ind w:left="0" w:right="0"/>
              <w:rPr>
                <w:sz w:val="19"/>
                <w:szCs w:val="19"/>
              </w:rPr>
            </w:pPr>
            <w:r w:rsidRPr="00A67326">
              <w:rPr>
                <w:sz w:val="19"/>
                <w:szCs w:val="19"/>
              </w:rPr>
              <w:sym w:font="Wingdings" w:char="F0FC"/>
            </w:r>
          </w:p>
        </w:tc>
        <w:tc>
          <w:tcPr>
            <w:tcW w:w="751" w:type="pct"/>
          </w:tcPr>
          <w:p w14:paraId="6F09A123" w14:textId="77777777" w:rsidR="00325641" w:rsidRPr="00A67326" w:rsidRDefault="00325641" w:rsidP="00FA254C">
            <w:pPr>
              <w:ind w:left="0" w:right="0"/>
              <w:rPr>
                <w:color w:val="FFFFFF"/>
                <w:sz w:val="19"/>
                <w:szCs w:val="19"/>
              </w:rPr>
            </w:pPr>
            <w:r w:rsidRPr="00A67326">
              <w:rPr>
                <w:sz w:val="19"/>
                <w:szCs w:val="19"/>
              </w:rPr>
              <w:sym w:font="Wingdings" w:char="F0FC"/>
            </w:r>
            <w:r w:rsidRPr="00A67326">
              <w:rPr>
                <w:sz w:val="19"/>
                <w:szCs w:val="19"/>
                <w:vertAlign w:val="superscript"/>
              </w:rPr>
              <w:t>2, 3</w:t>
            </w:r>
          </w:p>
        </w:tc>
        <w:tc>
          <w:tcPr>
            <w:tcW w:w="584" w:type="pct"/>
          </w:tcPr>
          <w:p w14:paraId="5F779F11" w14:textId="77777777" w:rsidR="00325641" w:rsidRPr="00A67326" w:rsidRDefault="00325641" w:rsidP="00FA254C">
            <w:pPr>
              <w:ind w:left="0" w:right="0"/>
              <w:rPr>
                <w:color w:val="FFFFFF"/>
                <w:sz w:val="19"/>
                <w:szCs w:val="19"/>
              </w:rPr>
            </w:pPr>
            <w:r w:rsidRPr="00A67326">
              <w:rPr>
                <w:sz w:val="19"/>
                <w:szCs w:val="19"/>
              </w:rPr>
              <w:t>–</w:t>
            </w:r>
          </w:p>
        </w:tc>
        <w:tc>
          <w:tcPr>
            <w:tcW w:w="768" w:type="pct"/>
          </w:tcPr>
          <w:p w14:paraId="0B1E49FD" w14:textId="77777777" w:rsidR="00325641" w:rsidRPr="00A67326" w:rsidRDefault="00325641" w:rsidP="00FA254C">
            <w:pPr>
              <w:ind w:left="0" w:right="0"/>
              <w:rPr>
                <w:sz w:val="19"/>
                <w:szCs w:val="19"/>
              </w:rPr>
            </w:pPr>
            <w:r w:rsidRPr="00A67326">
              <w:rPr>
                <w:sz w:val="19"/>
                <w:szCs w:val="19"/>
              </w:rPr>
              <w:t>–</w:t>
            </w:r>
          </w:p>
        </w:tc>
      </w:tr>
      <w:tr w:rsidR="005F7D04" w:rsidRPr="004F1C07" w14:paraId="7CACE6FB" w14:textId="77777777" w:rsidTr="005F7D04">
        <w:trPr>
          <w:trHeight w:val="112"/>
        </w:trPr>
        <w:tc>
          <w:tcPr>
            <w:tcW w:w="909" w:type="pct"/>
            <w:vMerge/>
          </w:tcPr>
          <w:p w14:paraId="0BCCB4E9" w14:textId="77777777" w:rsidR="00325641" w:rsidRPr="00A67326" w:rsidRDefault="00325641" w:rsidP="00FA254C">
            <w:pPr>
              <w:ind w:left="0" w:right="0"/>
              <w:rPr>
                <w:sz w:val="19"/>
                <w:szCs w:val="19"/>
              </w:rPr>
            </w:pPr>
          </w:p>
        </w:tc>
        <w:tc>
          <w:tcPr>
            <w:tcW w:w="1405" w:type="pct"/>
          </w:tcPr>
          <w:p w14:paraId="474501E5" w14:textId="77777777" w:rsidR="00325641" w:rsidRPr="00A67326" w:rsidRDefault="00325641" w:rsidP="00FA254C">
            <w:pPr>
              <w:ind w:left="0" w:right="0"/>
              <w:rPr>
                <w:sz w:val="19"/>
                <w:szCs w:val="19"/>
              </w:rPr>
            </w:pPr>
            <w:r w:rsidRPr="00A67326">
              <w:rPr>
                <w:sz w:val="19"/>
                <w:szCs w:val="19"/>
              </w:rPr>
              <w:t>Second primary malignancy</w:t>
            </w:r>
          </w:p>
        </w:tc>
        <w:tc>
          <w:tcPr>
            <w:tcW w:w="584" w:type="pct"/>
          </w:tcPr>
          <w:p w14:paraId="3D669152" w14:textId="77777777" w:rsidR="00325641" w:rsidRPr="00A67326" w:rsidRDefault="00325641" w:rsidP="00FA254C">
            <w:pPr>
              <w:ind w:left="0" w:right="0"/>
              <w:rPr>
                <w:sz w:val="19"/>
                <w:szCs w:val="19"/>
              </w:rPr>
            </w:pPr>
            <w:r w:rsidRPr="00A67326">
              <w:rPr>
                <w:sz w:val="19"/>
                <w:szCs w:val="19"/>
              </w:rPr>
              <w:sym w:font="Wingdings" w:char="F0FC"/>
            </w:r>
          </w:p>
        </w:tc>
        <w:tc>
          <w:tcPr>
            <w:tcW w:w="751" w:type="pct"/>
          </w:tcPr>
          <w:p w14:paraId="22E1DC8B" w14:textId="77777777" w:rsidR="00325641" w:rsidRPr="00A67326" w:rsidRDefault="00325641" w:rsidP="00FA254C">
            <w:pPr>
              <w:ind w:left="0" w:right="0"/>
              <w:rPr>
                <w:color w:val="FFFFFF"/>
                <w:sz w:val="19"/>
                <w:szCs w:val="19"/>
              </w:rPr>
            </w:pPr>
            <w:r w:rsidRPr="00A67326">
              <w:rPr>
                <w:sz w:val="19"/>
                <w:szCs w:val="19"/>
              </w:rPr>
              <w:sym w:font="Wingdings" w:char="F0FC"/>
            </w:r>
            <w:r w:rsidRPr="00A67326">
              <w:rPr>
                <w:sz w:val="19"/>
                <w:szCs w:val="19"/>
                <w:vertAlign w:val="superscript"/>
              </w:rPr>
              <w:t>2, 3</w:t>
            </w:r>
          </w:p>
        </w:tc>
        <w:tc>
          <w:tcPr>
            <w:tcW w:w="584" w:type="pct"/>
          </w:tcPr>
          <w:p w14:paraId="4DD68D99" w14:textId="77777777" w:rsidR="00325641" w:rsidRPr="00A67326" w:rsidRDefault="00325641" w:rsidP="00FA254C">
            <w:pPr>
              <w:ind w:left="0" w:right="0"/>
              <w:rPr>
                <w:color w:val="FFFFFF"/>
                <w:sz w:val="19"/>
                <w:szCs w:val="19"/>
              </w:rPr>
            </w:pPr>
            <w:r w:rsidRPr="00A67326">
              <w:rPr>
                <w:sz w:val="19"/>
                <w:szCs w:val="19"/>
              </w:rPr>
              <w:t>–</w:t>
            </w:r>
          </w:p>
        </w:tc>
        <w:tc>
          <w:tcPr>
            <w:tcW w:w="768" w:type="pct"/>
          </w:tcPr>
          <w:p w14:paraId="3B02FCE6" w14:textId="77777777" w:rsidR="00325641" w:rsidRPr="00A67326" w:rsidRDefault="00325641" w:rsidP="00FA254C">
            <w:pPr>
              <w:ind w:left="0" w:right="0"/>
              <w:rPr>
                <w:sz w:val="19"/>
                <w:szCs w:val="19"/>
              </w:rPr>
            </w:pPr>
            <w:r w:rsidRPr="00A67326">
              <w:rPr>
                <w:sz w:val="19"/>
                <w:szCs w:val="19"/>
              </w:rPr>
              <w:t>–</w:t>
            </w:r>
          </w:p>
        </w:tc>
      </w:tr>
      <w:tr w:rsidR="005F7D04" w:rsidRPr="004F1C07" w14:paraId="64937DA9" w14:textId="77777777" w:rsidTr="005F7D04">
        <w:trPr>
          <w:trHeight w:val="112"/>
        </w:trPr>
        <w:tc>
          <w:tcPr>
            <w:tcW w:w="909" w:type="pct"/>
            <w:vMerge/>
          </w:tcPr>
          <w:p w14:paraId="10262CD0" w14:textId="77777777" w:rsidR="00325641" w:rsidRPr="00A67326" w:rsidRDefault="00325641" w:rsidP="00FA254C">
            <w:pPr>
              <w:ind w:left="0" w:right="0"/>
              <w:rPr>
                <w:sz w:val="19"/>
                <w:szCs w:val="19"/>
              </w:rPr>
            </w:pPr>
          </w:p>
        </w:tc>
        <w:tc>
          <w:tcPr>
            <w:tcW w:w="1405" w:type="pct"/>
          </w:tcPr>
          <w:p w14:paraId="2391E455" w14:textId="77777777" w:rsidR="00325641" w:rsidRPr="00A67326" w:rsidRDefault="00325641" w:rsidP="00FA254C">
            <w:pPr>
              <w:ind w:left="0" w:right="0"/>
              <w:rPr>
                <w:sz w:val="19"/>
                <w:szCs w:val="19"/>
              </w:rPr>
            </w:pPr>
            <w:r w:rsidRPr="00A67326">
              <w:rPr>
                <w:sz w:val="19"/>
                <w:szCs w:val="19"/>
              </w:rPr>
              <w:t>Toxicity in patients with severe hepatic impairment</w:t>
            </w:r>
          </w:p>
        </w:tc>
        <w:tc>
          <w:tcPr>
            <w:tcW w:w="584" w:type="pct"/>
          </w:tcPr>
          <w:p w14:paraId="2EF15045" w14:textId="77777777" w:rsidR="00325641" w:rsidRPr="00A67326" w:rsidRDefault="00325641" w:rsidP="00FA254C">
            <w:pPr>
              <w:ind w:left="0" w:right="0"/>
              <w:rPr>
                <w:sz w:val="19"/>
                <w:szCs w:val="19"/>
              </w:rPr>
            </w:pPr>
            <w:r w:rsidRPr="00A67326">
              <w:rPr>
                <w:sz w:val="19"/>
                <w:szCs w:val="19"/>
              </w:rPr>
              <w:sym w:font="Wingdings" w:char="F0FC"/>
            </w:r>
          </w:p>
        </w:tc>
        <w:tc>
          <w:tcPr>
            <w:tcW w:w="751" w:type="pct"/>
          </w:tcPr>
          <w:p w14:paraId="7AA1342A" w14:textId="77777777" w:rsidR="00325641" w:rsidRPr="00A67326" w:rsidRDefault="00325641" w:rsidP="00FA254C">
            <w:pPr>
              <w:ind w:left="0" w:right="0"/>
              <w:rPr>
                <w:color w:val="FFFFFF"/>
                <w:sz w:val="19"/>
                <w:szCs w:val="19"/>
              </w:rPr>
            </w:pPr>
            <w:r w:rsidRPr="00A67326">
              <w:rPr>
                <w:sz w:val="19"/>
                <w:szCs w:val="19"/>
              </w:rPr>
              <w:sym w:font="Wingdings" w:char="F0FC"/>
            </w:r>
            <w:r w:rsidRPr="00A67326">
              <w:rPr>
                <w:sz w:val="19"/>
                <w:szCs w:val="19"/>
                <w:vertAlign w:val="superscript"/>
              </w:rPr>
              <w:t>3</w:t>
            </w:r>
          </w:p>
        </w:tc>
        <w:tc>
          <w:tcPr>
            <w:tcW w:w="584" w:type="pct"/>
          </w:tcPr>
          <w:p w14:paraId="155B2BF1" w14:textId="77777777" w:rsidR="00325641" w:rsidRPr="00A67326" w:rsidRDefault="00325641" w:rsidP="00FA254C">
            <w:pPr>
              <w:ind w:left="0" w:right="0"/>
              <w:rPr>
                <w:color w:val="FFFFFF"/>
                <w:sz w:val="19"/>
                <w:szCs w:val="19"/>
              </w:rPr>
            </w:pPr>
            <w:r w:rsidRPr="00A67326">
              <w:rPr>
                <w:sz w:val="19"/>
                <w:szCs w:val="19"/>
              </w:rPr>
              <w:sym w:font="Wingdings" w:char="F0FC"/>
            </w:r>
          </w:p>
        </w:tc>
        <w:tc>
          <w:tcPr>
            <w:tcW w:w="768" w:type="pct"/>
          </w:tcPr>
          <w:p w14:paraId="65B1799E" w14:textId="77777777" w:rsidR="00325641" w:rsidRPr="00A67326" w:rsidRDefault="00325641" w:rsidP="00FA254C">
            <w:pPr>
              <w:ind w:left="0" w:right="0"/>
              <w:rPr>
                <w:sz w:val="19"/>
                <w:szCs w:val="19"/>
              </w:rPr>
            </w:pPr>
            <w:r w:rsidRPr="00A67326">
              <w:rPr>
                <w:sz w:val="19"/>
                <w:szCs w:val="19"/>
              </w:rPr>
              <w:t>–</w:t>
            </w:r>
          </w:p>
        </w:tc>
      </w:tr>
      <w:tr w:rsidR="005F7D04" w:rsidRPr="004F1C07" w14:paraId="130CE6D3" w14:textId="77777777" w:rsidTr="005F7D04">
        <w:trPr>
          <w:trHeight w:val="178"/>
        </w:trPr>
        <w:tc>
          <w:tcPr>
            <w:tcW w:w="909" w:type="pct"/>
            <w:vMerge w:val="restart"/>
          </w:tcPr>
          <w:p w14:paraId="09489F61" w14:textId="77777777" w:rsidR="00325641" w:rsidRPr="00A67326" w:rsidRDefault="00325641" w:rsidP="00FA254C">
            <w:pPr>
              <w:ind w:left="0" w:right="0"/>
              <w:rPr>
                <w:sz w:val="19"/>
                <w:szCs w:val="19"/>
              </w:rPr>
            </w:pPr>
            <w:r w:rsidRPr="00A67326">
              <w:rPr>
                <w:sz w:val="19"/>
                <w:szCs w:val="19"/>
              </w:rPr>
              <w:t>Missing information</w:t>
            </w:r>
          </w:p>
        </w:tc>
        <w:tc>
          <w:tcPr>
            <w:tcW w:w="1405" w:type="pct"/>
          </w:tcPr>
          <w:p w14:paraId="4216FDB1" w14:textId="77777777" w:rsidR="00325641" w:rsidRPr="00A67326" w:rsidRDefault="00325641" w:rsidP="00FA254C">
            <w:pPr>
              <w:ind w:left="0" w:right="0"/>
              <w:rPr>
                <w:sz w:val="19"/>
                <w:szCs w:val="19"/>
              </w:rPr>
            </w:pPr>
            <w:r w:rsidRPr="00A67326">
              <w:rPr>
                <w:sz w:val="19"/>
                <w:szCs w:val="19"/>
              </w:rPr>
              <w:t>Safety in severe renal impairment</w:t>
            </w:r>
          </w:p>
        </w:tc>
        <w:tc>
          <w:tcPr>
            <w:tcW w:w="584" w:type="pct"/>
          </w:tcPr>
          <w:p w14:paraId="070F44A6" w14:textId="77777777" w:rsidR="00325641" w:rsidRPr="00A67326" w:rsidRDefault="00325641" w:rsidP="00FA254C">
            <w:pPr>
              <w:ind w:left="0" w:right="0"/>
              <w:rPr>
                <w:sz w:val="19"/>
                <w:szCs w:val="19"/>
              </w:rPr>
            </w:pPr>
            <w:r w:rsidRPr="00A67326">
              <w:rPr>
                <w:sz w:val="19"/>
                <w:szCs w:val="19"/>
              </w:rPr>
              <w:sym w:font="Wingdings" w:char="F0FC"/>
            </w:r>
          </w:p>
        </w:tc>
        <w:tc>
          <w:tcPr>
            <w:tcW w:w="751" w:type="pct"/>
          </w:tcPr>
          <w:p w14:paraId="6FC94382" w14:textId="77777777" w:rsidR="00325641" w:rsidRPr="00A67326" w:rsidRDefault="00325641" w:rsidP="00FA254C">
            <w:pPr>
              <w:ind w:left="0" w:right="0"/>
              <w:rPr>
                <w:color w:val="FFFFFF"/>
                <w:sz w:val="19"/>
                <w:szCs w:val="19"/>
              </w:rPr>
            </w:pPr>
            <w:r w:rsidRPr="00A67326">
              <w:rPr>
                <w:sz w:val="19"/>
                <w:szCs w:val="19"/>
              </w:rPr>
              <w:t>–</w:t>
            </w:r>
          </w:p>
        </w:tc>
        <w:tc>
          <w:tcPr>
            <w:tcW w:w="584" w:type="pct"/>
          </w:tcPr>
          <w:p w14:paraId="172FBCB4" w14:textId="77777777" w:rsidR="00325641" w:rsidRPr="00A67326" w:rsidRDefault="00325641" w:rsidP="00FA254C">
            <w:pPr>
              <w:ind w:left="0" w:right="0"/>
              <w:rPr>
                <w:color w:val="FFFFFF"/>
                <w:sz w:val="19"/>
                <w:szCs w:val="19"/>
              </w:rPr>
            </w:pPr>
            <w:r w:rsidRPr="00A67326">
              <w:rPr>
                <w:sz w:val="19"/>
                <w:szCs w:val="19"/>
              </w:rPr>
              <w:sym w:font="Wingdings" w:char="F0FC"/>
            </w:r>
          </w:p>
        </w:tc>
        <w:tc>
          <w:tcPr>
            <w:tcW w:w="768" w:type="pct"/>
          </w:tcPr>
          <w:p w14:paraId="1D66FD37" w14:textId="77777777" w:rsidR="00325641" w:rsidRPr="00A67326" w:rsidRDefault="00325641" w:rsidP="00FA254C">
            <w:pPr>
              <w:ind w:left="0" w:right="0"/>
              <w:rPr>
                <w:sz w:val="19"/>
                <w:szCs w:val="19"/>
              </w:rPr>
            </w:pPr>
            <w:r w:rsidRPr="00A67326">
              <w:rPr>
                <w:sz w:val="19"/>
                <w:szCs w:val="19"/>
              </w:rPr>
              <w:t>–</w:t>
            </w:r>
          </w:p>
        </w:tc>
      </w:tr>
      <w:tr w:rsidR="005F7D04" w:rsidRPr="004F1C07" w14:paraId="4744570E" w14:textId="77777777" w:rsidTr="005F7D04">
        <w:trPr>
          <w:trHeight w:val="140"/>
        </w:trPr>
        <w:tc>
          <w:tcPr>
            <w:tcW w:w="909" w:type="pct"/>
            <w:vMerge/>
          </w:tcPr>
          <w:p w14:paraId="70FFD6D6" w14:textId="77777777" w:rsidR="00325641" w:rsidRPr="00A67326" w:rsidRDefault="00325641" w:rsidP="00FA254C">
            <w:pPr>
              <w:ind w:left="0" w:right="0"/>
              <w:rPr>
                <w:sz w:val="19"/>
                <w:szCs w:val="19"/>
              </w:rPr>
            </w:pPr>
          </w:p>
        </w:tc>
        <w:tc>
          <w:tcPr>
            <w:tcW w:w="1405" w:type="pct"/>
          </w:tcPr>
          <w:p w14:paraId="21E1B3B3" w14:textId="77777777" w:rsidR="00325641" w:rsidRPr="00A67326" w:rsidRDefault="00325641" w:rsidP="00FA254C">
            <w:pPr>
              <w:ind w:left="0" w:right="0"/>
              <w:rPr>
                <w:sz w:val="19"/>
                <w:szCs w:val="19"/>
              </w:rPr>
            </w:pPr>
            <w:r w:rsidRPr="00A67326">
              <w:rPr>
                <w:sz w:val="19"/>
                <w:szCs w:val="19"/>
              </w:rPr>
              <w:t>Safety in long-term exposure (&gt; 12 months)</w:t>
            </w:r>
          </w:p>
        </w:tc>
        <w:tc>
          <w:tcPr>
            <w:tcW w:w="584" w:type="pct"/>
          </w:tcPr>
          <w:p w14:paraId="6AB7997D" w14:textId="77777777" w:rsidR="00325641" w:rsidRPr="00A67326" w:rsidRDefault="00325641" w:rsidP="00FA254C">
            <w:pPr>
              <w:ind w:left="0" w:right="0"/>
              <w:rPr>
                <w:sz w:val="19"/>
                <w:szCs w:val="19"/>
              </w:rPr>
            </w:pPr>
            <w:r w:rsidRPr="00A67326">
              <w:rPr>
                <w:sz w:val="19"/>
                <w:szCs w:val="19"/>
              </w:rPr>
              <w:sym w:font="Wingdings" w:char="F0FC"/>
            </w:r>
          </w:p>
        </w:tc>
        <w:tc>
          <w:tcPr>
            <w:tcW w:w="751" w:type="pct"/>
          </w:tcPr>
          <w:p w14:paraId="20884AD8" w14:textId="77777777" w:rsidR="00325641" w:rsidRPr="00A67326" w:rsidRDefault="00325641" w:rsidP="00FA254C">
            <w:pPr>
              <w:ind w:left="0" w:right="0"/>
              <w:rPr>
                <w:color w:val="FFFFFF"/>
                <w:sz w:val="19"/>
                <w:szCs w:val="19"/>
              </w:rPr>
            </w:pPr>
            <w:r w:rsidRPr="00A67326">
              <w:rPr>
                <w:sz w:val="19"/>
                <w:szCs w:val="19"/>
              </w:rPr>
              <w:sym w:font="Wingdings" w:char="F0FC"/>
            </w:r>
            <w:r w:rsidRPr="00A67326">
              <w:rPr>
                <w:sz w:val="19"/>
                <w:szCs w:val="19"/>
                <w:vertAlign w:val="superscript"/>
              </w:rPr>
              <w:t>3</w:t>
            </w:r>
          </w:p>
        </w:tc>
        <w:tc>
          <w:tcPr>
            <w:tcW w:w="584" w:type="pct"/>
          </w:tcPr>
          <w:p w14:paraId="27AC12AB" w14:textId="77777777" w:rsidR="00325641" w:rsidRPr="00A67326" w:rsidRDefault="00325641" w:rsidP="00FA254C">
            <w:pPr>
              <w:ind w:left="0" w:right="0"/>
              <w:rPr>
                <w:color w:val="FFFFFF"/>
                <w:sz w:val="19"/>
                <w:szCs w:val="19"/>
              </w:rPr>
            </w:pPr>
            <w:r w:rsidRPr="00A67326">
              <w:rPr>
                <w:sz w:val="19"/>
                <w:szCs w:val="19"/>
              </w:rPr>
              <w:t>–</w:t>
            </w:r>
          </w:p>
        </w:tc>
        <w:tc>
          <w:tcPr>
            <w:tcW w:w="768" w:type="pct"/>
          </w:tcPr>
          <w:p w14:paraId="0F54E791" w14:textId="77777777" w:rsidR="00325641" w:rsidRPr="00A67326" w:rsidRDefault="00325641" w:rsidP="00FA254C">
            <w:pPr>
              <w:ind w:left="0" w:right="0"/>
              <w:rPr>
                <w:sz w:val="19"/>
                <w:szCs w:val="19"/>
              </w:rPr>
            </w:pPr>
            <w:r w:rsidRPr="00A67326">
              <w:rPr>
                <w:sz w:val="19"/>
                <w:szCs w:val="19"/>
              </w:rPr>
              <w:t>–</w:t>
            </w:r>
          </w:p>
        </w:tc>
      </w:tr>
    </w:tbl>
    <w:p w14:paraId="1D6DD0BB" w14:textId="17EF5EC7" w:rsidR="00325641" w:rsidRPr="00FA254C" w:rsidRDefault="00325641" w:rsidP="00F36EA1">
      <w:pPr>
        <w:pStyle w:val="TableDescription"/>
      </w:pPr>
      <w:r w:rsidRPr="00FA254C">
        <w:t>1</w:t>
      </w:r>
      <w:r w:rsidR="00FA254C">
        <w:t>:</w:t>
      </w:r>
      <w:r w:rsidR="00B22CDE" w:rsidRPr="00FA254C">
        <w:t xml:space="preserve"> </w:t>
      </w:r>
      <w:r w:rsidRPr="00FA254C">
        <w:t>Specific adverse reaction follow-up questionnaire</w:t>
      </w:r>
      <w:r w:rsidR="00FA254C" w:rsidRPr="00FA254C">
        <w:t xml:space="preserve">. </w:t>
      </w:r>
      <w:r w:rsidRPr="00FA254C">
        <w:t>2</w:t>
      </w:r>
      <w:r w:rsidR="00FA254C">
        <w:t>:</w:t>
      </w:r>
      <w:r w:rsidR="00B22CDE" w:rsidRPr="00FA254C">
        <w:t xml:space="preserve"> </w:t>
      </w:r>
      <w:r w:rsidR="00FA254C" w:rsidRPr="00FA254C">
        <w:t xml:space="preserve">Observational cohort study. </w:t>
      </w:r>
      <w:r w:rsidRPr="00FA254C">
        <w:t>3</w:t>
      </w:r>
      <w:r w:rsidR="00FA254C">
        <w:t>:</w:t>
      </w:r>
      <w:r w:rsidR="00B22CDE" w:rsidRPr="00FA254C">
        <w:t xml:space="preserve"> </w:t>
      </w:r>
      <w:r w:rsidR="00FA254C" w:rsidRPr="00FA254C">
        <w:t xml:space="preserve">Clinical trial. </w:t>
      </w:r>
      <w:r w:rsidRPr="00FA254C">
        <w:t>4</w:t>
      </w:r>
      <w:r w:rsidR="00FA254C">
        <w:t>:</w:t>
      </w:r>
      <w:r w:rsidR="00B22CDE" w:rsidRPr="00FA254C">
        <w:t xml:space="preserve"> </w:t>
      </w:r>
      <w:r w:rsidR="00F36EA1" w:rsidRPr="00FA254C">
        <w:t>P</w:t>
      </w:r>
      <w:r w:rsidR="00FA254C" w:rsidRPr="00FA254C">
        <w:t xml:space="preserve">atient alert card in package. </w:t>
      </w:r>
      <w:r w:rsidRPr="00FA254C">
        <w:t>5</w:t>
      </w:r>
      <w:r w:rsidR="00FA254C">
        <w:t xml:space="preserve">: </w:t>
      </w:r>
      <w:r w:rsidRPr="00FA254C">
        <w:t>Monthly starter pack includes a quick start guide with a dosin</w:t>
      </w:r>
      <w:r w:rsidR="00F36EA1" w:rsidRPr="00FA254C">
        <w:t>g calendar, and weekly wallets</w:t>
      </w:r>
      <w:r w:rsidR="00FA254C">
        <w:t>.</w:t>
      </w:r>
    </w:p>
    <w:p w14:paraId="18ED68E2" w14:textId="7F4FC6AF" w:rsidR="008E7846" w:rsidRDefault="00325641" w:rsidP="00F36EA1">
      <w:r>
        <w:t xml:space="preserve">The RMP </w:t>
      </w:r>
      <w:r w:rsidR="00F36EA1">
        <w:t>evaluator</w:t>
      </w:r>
      <w:r>
        <w:t xml:space="preserve"> has noted routine post-market activities which are acceptable.</w:t>
      </w:r>
    </w:p>
    <w:p w14:paraId="66DD5C7F" w14:textId="77777777" w:rsidR="008E7846" w:rsidRDefault="00AA0ED0" w:rsidP="008E7846">
      <w:pPr>
        <w:pStyle w:val="Heading3"/>
      </w:pPr>
      <w:bookmarkStart w:id="54" w:name="_Toc247691531"/>
      <w:bookmarkStart w:id="55" w:name="_Toc314842515"/>
      <w:bookmarkStart w:id="56" w:name="_Toc51859740"/>
      <w:bookmarkStart w:id="57" w:name="_Toc196046505"/>
      <w:bookmarkStart w:id="58" w:name="_Toc196046949"/>
      <w:r>
        <w:t>Risk-benefit a</w:t>
      </w:r>
      <w:r w:rsidR="008E7846">
        <w:t>nalysis</w:t>
      </w:r>
      <w:bookmarkEnd w:id="54"/>
      <w:bookmarkEnd w:id="55"/>
      <w:bookmarkEnd w:id="56"/>
    </w:p>
    <w:p w14:paraId="55326F65" w14:textId="6A353C7B" w:rsidR="00D23139" w:rsidRDefault="00D23139" w:rsidP="00D23139">
      <w:pPr>
        <w:pStyle w:val="Heading4"/>
      </w:pPr>
      <w:r w:rsidRPr="00D23139">
        <w:t>Delegate’s considerations</w:t>
      </w:r>
    </w:p>
    <w:p w14:paraId="0AE847D1" w14:textId="214D571C" w:rsidR="00325641" w:rsidRDefault="00325641" w:rsidP="00325641">
      <w:r>
        <w:t>These applications provide early evidence for the efficacy of venetoclax in the treatment of AML in patients for whom intensive therapy is not suitable. Given that the age of diagnosis for AML is frequently &gt;</w:t>
      </w:r>
      <w:r w:rsidR="00F36EA1">
        <w:t xml:space="preserve"> 65 years</w:t>
      </w:r>
      <w:r w:rsidR="00246B9D">
        <w:t>,</w:t>
      </w:r>
      <w:r>
        <w:t xml:space="preserve"> that this population has a high rate of comorbid conditions, and the acute prognosis of the malignancy</w:t>
      </w:r>
      <w:r w:rsidR="00246B9D">
        <w:t>,</w:t>
      </w:r>
      <w:r>
        <w:t xml:space="preserve"> there is a need for better treatm</w:t>
      </w:r>
      <w:r w:rsidR="007C5D49">
        <w:t>ent options in this population.</w:t>
      </w:r>
    </w:p>
    <w:p w14:paraId="0C17D367" w14:textId="084FEFD6" w:rsidR="00325641" w:rsidRDefault="00325641" w:rsidP="00325641">
      <w:r>
        <w:t>The combination of venetoclax</w:t>
      </w:r>
      <w:r w:rsidR="00F36EA1">
        <w:t xml:space="preserve"> </w:t>
      </w:r>
      <w:r>
        <w:t>+</w:t>
      </w:r>
      <w:r w:rsidR="00F36EA1">
        <w:t xml:space="preserve"> </w:t>
      </w:r>
      <w:r>
        <w:t>LDAC and venetoclax</w:t>
      </w:r>
      <w:r w:rsidR="00B22CDE">
        <w:t xml:space="preserve"> </w:t>
      </w:r>
      <w:r>
        <w:t>+</w:t>
      </w:r>
      <w:r w:rsidR="00B22CDE">
        <w:t xml:space="preserve"> </w:t>
      </w:r>
      <w:r>
        <w:t xml:space="preserve">azacitidine produce clinically meaningful rates of complete response. However the Delegate notes that the addition of venetoclax confers an overall survival benefit of months compared to low dose chemotherapy, and that this would need to be balanced clinically against the significant toxicity which arises in combination therapy. The lack of a comparator arms in </w:t>
      </w:r>
      <w:r w:rsidR="005F7D04">
        <w:t>Studies </w:t>
      </w:r>
      <w:r>
        <w:t>M14-387 and M14-358 makes an assessment of the incremental increase in toxicity from adding venetoclax difficult, but the Delegate notes that most patients suffered at le</w:t>
      </w:r>
      <w:r w:rsidR="00F36EA1">
        <w:t>ast one moderately severe TEAE.</w:t>
      </w:r>
    </w:p>
    <w:p w14:paraId="0915CBEC" w14:textId="6DA9EA6D" w:rsidR="00456765" w:rsidRPr="00456765" w:rsidRDefault="00F36EA1" w:rsidP="00325641">
      <w:r>
        <w:lastRenderedPageBreak/>
        <w:t>The Delegate notes that the s</w:t>
      </w:r>
      <w:r w:rsidR="00325641">
        <w:t>ponsor has applied for provisional registration and that this requires confirmatory evidence of efficacy and safety to be provided aft</w:t>
      </w:r>
      <w:r>
        <w:t>er r</w:t>
      </w:r>
      <w:r w:rsidR="00325641">
        <w:t>egistration.</w:t>
      </w:r>
      <w:r w:rsidR="005F7D04">
        <w:fldChar w:fldCharType="begin"/>
      </w:r>
      <w:r w:rsidR="005F7D04">
        <w:instrText xml:space="preserve"> NOTEREF _Ref45484513 \f \h </w:instrText>
      </w:r>
      <w:r w:rsidR="005F7D04">
        <w:fldChar w:fldCharType="separate"/>
      </w:r>
      <w:r w:rsidR="00247395" w:rsidRPr="00247395">
        <w:rPr>
          <w:rStyle w:val="FootnoteReference"/>
        </w:rPr>
        <w:t>1</w:t>
      </w:r>
      <w:r w:rsidR="005F7D04">
        <w:fldChar w:fldCharType="end"/>
      </w:r>
      <w:r w:rsidR="00325641">
        <w:t xml:space="preserve"> These include updated study reports from </w:t>
      </w:r>
      <w:r>
        <w:t xml:space="preserve">Studies </w:t>
      </w:r>
      <w:r w:rsidR="00325641">
        <w:t>M14-387 and M14-358,</w:t>
      </w:r>
      <w:r>
        <w:t xml:space="preserve"> as well as the </w:t>
      </w:r>
      <w:r w:rsidR="00A931E4">
        <w:t>P</w:t>
      </w:r>
      <w:r w:rsidR="000C6FD1">
        <w:t>hase III Studies</w:t>
      </w:r>
      <w:r w:rsidR="00325641">
        <w:t xml:space="preserve"> M16-043</w:t>
      </w:r>
      <w:r w:rsidR="005E293C">
        <w:t>;</w:t>
      </w:r>
      <w:bookmarkStart w:id="59" w:name="_Ref50614649"/>
      <w:r w:rsidR="005E293C">
        <w:rPr>
          <w:rStyle w:val="FootnoteReference"/>
        </w:rPr>
        <w:footnoteReference w:id="28"/>
      </w:r>
      <w:bookmarkEnd w:id="59"/>
      <w:r w:rsidR="00325641">
        <w:t xml:space="preserve"> and M15-656.</w:t>
      </w:r>
      <w:bookmarkStart w:id="60" w:name="_Ref50614661"/>
      <w:r w:rsidR="005E293C">
        <w:rPr>
          <w:rStyle w:val="FootnoteReference"/>
        </w:rPr>
        <w:footnoteReference w:id="29"/>
      </w:r>
      <w:bookmarkEnd w:id="60"/>
      <w:r w:rsidR="00523FCD">
        <w:t xml:space="preserve"> These studies are expected to be available in the second quarter of 2020.</w:t>
      </w:r>
      <w:r w:rsidR="00325641">
        <w:t xml:space="preserve"> They should allow for a more precise assessment of the risk</w:t>
      </w:r>
      <w:r w:rsidR="007C5D49">
        <w:noBreakHyphen/>
      </w:r>
      <w:r w:rsidR="00325641">
        <w:t>benefit of venetoclax component of combination therapy.</w:t>
      </w:r>
    </w:p>
    <w:p w14:paraId="243CC460" w14:textId="77777777" w:rsidR="00D23139" w:rsidRDefault="00D23139" w:rsidP="00D23139">
      <w:pPr>
        <w:pStyle w:val="Heading4"/>
      </w:pPr>
      <w:r w:rsidRPr="00D23139">
        <w:t>Proposed action</w:t>
      </w:r>
    </w:p>
    <w:p w14:paraId="4A464DB9" w14:textId="77777777" w:rsidR="00325641" w:rsidRDefault="00325641" w:rsidP="00F36EA1">
      <w:pPr>
        <w:spacing w:before="0" w:after="0" w:line="240" w:lineRule="auto"/>
        <w:rPr>
          <w:rFonts w:asciiTheme="minorHAnsi" w:hAnsiTheme="minorHAnsi"/>
        </w:rPr>
      </w:pPr>
      <w:r>
        <w:rPr>
          <w:rFonts w:asciiTheme="minorHAnsi" w:hAnsiTheme="minorHAnsi"/>
        </w:rPr>
        <w:t>The Delegate intends to approve an additional indication for venetoclax and amend the wording of the existing indication to:</w:t>
      </w:r>
    </w:p>
    <w:p w14:paraId="296FFC9F" w14:textId="77777777" w:rsidR="00325641" w:rsidRPr="00F36EA1" w:rsidRDefault="00325641" w:rsidP="00F36EA1">
      <w:pPr>
        <w:ind w:left="720"/>
        <w:rPr>
          <w:rFonts w:asciiTheme="minorHAnsi" w:hAnsiTheme="minorHAnsi"/>
          <w:i/>
        </w:rPr>
      </w:pPr>
      <w:r w:rsidRPr="00F36EA1">
        <w:rPr>
          <w:i/>
        </w:rPr>
        <w:t>Acute Myeloid Leukaemia</w:t>
      </w:r>
    </w:p>
    <w:p w14:paraId="483B187B" w14:textId="47ED10D1" w:rsidR="00325641" w:rsidRPr="00F36EA1" w:rsidRDefault="00325641" w:rsidP="00F36EA1">
      <w:pPr>
        <w:ind w:left="720"/>
        <w:rPr>
          <w:rFonts w:cs="Arial"/>
          <w:i/>
        </w:rPr>
      </w:pPr>
      <w:r w:rsidRPr="00F36EA1">
        <w:rPr>
          <w:rFonts w:cs="Arial"/>
          <w:i/>
        </w:rPr>
        <w:t>V</w:t>
      </w:r>
      <w:r w:rsidR="00F36EA1" w:rsidRPr="00F36EA1">
        <w:rPr>
          <w:rFonts w:cs="Arial"/>
          <w:i/>
        </w:rPr>
        <w:t>enclexta</w:t>
      </w:r>
      <w:r w:rsidRPr="00F36EA1">
        <w:rPr>
          <w:rFonts w:cs="Arial"/>
          <w:i/>
        </w:rPr>
        <w:t>, as part of combination therapy, is indicated for the treatment of newly diagnosed adult patients with Acute Myeloid Leukaemia (AML) who are ineligible for intensive chemotherapy.</w:t>
      </w:r>
    </w:p>
    <w:p w14:paraId="1E2713C8" w14:textId="77777777" w:rsidR="00325641" w:rsidRPr="00F36EA1" w:rsidRDefault="00325641" w:rsidP="00F36EA1">
      <w:pPr>
        <w:ind w:left="720"/>
        <w:rPr>
          <w:i/>
        </w:rPr>
      </w:pPr>
      <w:r w:rsidRPr="00F36EA1">
        <w:rPr>
          <w:i/>
        </w:rPr>
        <w:t>This medicine has provisional approval in Australia for the treatment of newly diagnosed patients with AML who are ineligible for intensive chemotherapy. The decision to approve this indication has been made on the basis of interim data (overall response rate and duration of response). Continued approval of this indication depends on verification and description of benefit in confirmatory trials.</w:t>
      </w:r>
    </w:p>
    <w:p w14:paraId="5C2EA51D" w14:textId="77777777" w:rsidR="00325641" w:rsidRPr="00F36EA1" w:rsidRDefault="00325641" w:rsidP="00F36EA1">
      <w:pPr>
        <w:ind w:left="720"/>
        <w:rPr>
          <w:i/>
        </w:rPr>
      </w:pPr>
      <w:r w:rsidRPr="00F36EA1">
        <w:rPr>
          <w:i/>
        </w:rPr>
        <w:t>Chronic Lymphocytic Leukaemia</w:t>
      </w:r>
    </w:p>
    <w:p w14:paraId="048131FD" w14:textId="397DC587" w:rsidR="00325641" w:rsidRPr="00F36EA1" w:rsidRDefault="00325641" w:rsidP="00F36EA1">
      <w:pPr>
        <w:ind w:left="720"/>
        <w:rPr>
          <w:rFonts w:cs="Arial"/>
          <w:i/>
        </w:rPr>
      </w:pPr>
      <w:r w:rsidRPr="00F36EA1">
        <w:rPr>
          <w:rFonts w:cs="Arial"/>
          <w:i/>
        </w:rPr>
        <w:t>V</w:t>
      </w:r>
      <w:r w:rsidR="00F36EA1" w:rsidRPr="00F36EA1">
        <w:rPr>
          <w:rFonts w:cs="Arial"/>
          <w:i/>
        </w:rPr>
        <w:t>enclexta</w:t>
      </w:r>
      <w:r w:rsidRPr="00F36EA1">
        <w:rPr>
          <w:rFonts w:cs="Arial"/>
          <w:i/>
        </w:rPr>
        <w:t xml:space="preserve"> in combination with rituximab is indicated for the treatment of adult patients with chronic lymphocytic leukaemia (CLL) who have received at least one prior therapy.</w:t>
      </w:r>
    </w:p>
    <w:p w14:paraId="6B677253" w14:textId="70762E9D" w:rsidR="00325641" w:rsidRPr="00F36EA1" w:rsidRDefault="00325641" w:rsidP="00F36EA1">
      <w:pPr>
        <w:ind w:left="720"/>
        <w:rPr>
          <w:rFonts w:cs="Arial"/>
          <w:i/>
        </w:rPr>
      </w:pPr>
      <w:r w:rsidRPr="00F36EA1">
        <w:rPr>
          <w:rFonts w:cs="Arial"/>
          <w:i/>
        </w:rPr>
        <w:t>V</w:t>
      </w:r>
      <w:r w:rsidR="00F36EA1" w:rsidRPr="00F36EA1">
        <w:rPr>
          <w:rFonts w:cs="Arial"/>
          <w:i/>
        </w:rPr>
        <w:t>enclexta</w:t>
      </w:r>
      <w:r w:rsidRPr="00F36EA1">
        <w:rPr>
          <w:rFonts w:cs="Arial"/>
          <w:i/>
        </w:rPr>
        <w:t xml:space="preserve"> monotherapy is indicated for the treatment of:</w:t>
      </w:r>
    </w:p>
    <w:p w14:paraId="7A99DBED" w14:textId="77777777" w:rsidR="00325641" w:rsidRPr="00F36EA1" w:rsidRDefault="00325641" w:rsidP="00F36EA1">
      <w:pPr>
        <w:pStyle w:val="ListBullet"/>
        <w:ind w:left="1080"/>
        <w:rPr>
          <w:i/>
        </w:rPr>
      </w:pPr>
      <w:r w:rsidRPr="00F36EA1">
        <w:rPr>
          <w:i/>
        </w:rPr>
        <w:t>patients with relapsed or refractory CLL with 17p deletion, or</w:t>
      </w:r>
    </w:p>
    <w:p w14:paraId="7B970403" w14:textId="77777777" w:rsidR="00325641" w:rsidRPr="00F36EA1" w:rsidRDefault="00325641" w:rsidP="00F36EA1">
      <w:pPr>
        <w:pStyle w:val="ListBullet"/>
        <w:ind w:left="1080"/>
      </w:pPr>
      <w:r w:rsidRPr="00F36EA1">
        <w:rPr>
          <w:i/>
        </w:rPr>
        <w:t>patients with relapsed or refractory CLL for whom there are no other suitable treatment options</w:t>
      </w:r>
      <w:r w:rsidRPr="00F36EA1">
        <w:t>.</w:t>
      </w:r>
    </w:p>
    <w:p w14:paraId="19252494" w14:textId="38EF1DAE" w:rsidR="00325641" w:rsidRDefault="00325641" w:rsidP="00F36EA1">
      <w:r>
        <w:t xml:space="preserve">The Delegate intends to include as conditions of the provisional registration of venetoclax that study reports for </w:t>
      </w:r>
      <w:r w:rsidR="000C6FD1">
        <w:t xml:space="preserve">Studies </w:t>
      </w:r>
      <w:r>
        <w:t>M14-387</w:t>
      </w:r>
      <w:r w:rsidR="005A71EA">
        <w:t>;</w:t>
      </w:r>
      <w:r w:rsidR="005A71EA" w:rsidRPr="000202EE">
        <w:rPr>
          <w:vertAlign w:val="superscript"/>
        </w:rPr>
        <w:fldChar w:fldCharType="begin"/>
      </w:r>
      <w:r w:rsidR="005A71EA" w:rsidRPr="000202EE">
        <w:rPr>
          <w:vertAlign w:val="superscript"/>
        </w:rPr>
        <w:instrText xml:space="preserve"> NOTEREF _Ref50607177 \h </w:instrText>
      </w:r>
      <w:r w:rsidR="005A71EA">
        <w:rPr>
          <w:vertAlign w:val="superscript"/>
        </w:rPr>
        <w:instrText xml:space="preserve"> \* MERGEFORMAT </w:instrText>
      </w:r>
      <w:r w:rsidR="005A71EA" w:rsidRPr="000202EE">
        <w:rPr>
          <w:vertAlign w:val="superscript"/>
        </w:rPr>
      </w:r>
      <w:r w:rsidR="005A71EA" w:rsidRPr="000202EE">
        <w:rPr>
          <w:vertAlign w:val="superscript"/>
        </w:rPr>
        <w:fldChar w:fldCharType="separate"/>
      </w:r>
      <w:r w:rsidR="00247395">
        <w:rPr>
          <w:vertAlign w:val="superscript"/>
        </w:rPr>
        <w:t>24</w:t>
      </w:r>
      <w:r w:rsidR="005A71EA" w:rsidRPr="000202EE">
        <w:rPr>
          <w:vertAlign w:val="superscript"/>
        </w:rPr>
        <w:fldChar w:fldCharType="end"/>
      </w:r>
      <w:r>
        <w:t xml:space="preserve"> M14-358</w:t>
      </w:r>
      <w:r w:rsidR="005A71EA">
        <w:t>;</w:t>
      </w:r>
      <w:r w:rsidR="005A71EA" w:rsidRPr="000202EE">
        <w:rPr>
          <w:vertAlign w:val="superscript"/>
        </w:rPr>
        <w:fldChar w:fldCharType="begin"/>
      </w:r>
      <w:r w:rsidR="005A71EA" w:rsidRPr="000202EE">
        <w:rPr>
          <w:vertAlign w:val="superscript"/>
        </w:rPr>
        <w:instrText xml:space="preserve"> NOTEREF _Ref50608637 \h </w:instrText>
      </w:r>
      <w:r w:rsidR="005A71EA">
        <w:rPr>
          <w:vertAlign w:val="superscript"/>
        </w:rPr>
        <w:instrText xml:space="preserve"> \* MERGEFORMAT </w:instrText>
      </w:r>
      <w:r w:rsidR="005A71EA" w:rsidRPr="000202EE">
        <w:rPr>
          <w:vertAlign w:val="superscript"/>
        </w:rPr>
      </w:r>
      <w:r w:rsidR="005A71EA" w:rsidRPr="000202EE">
        <w:rPr>
          <w:vertAlign w:val="superscript"/>
        </w:rPr>
        <w:fldChar w:fldCharType="separate"/>
      </w:r>
      <w:r w:rsidR="00247395">
        <w:rPr>
          <w:vertAlign w:val="superscript"/>
        </w:rPr>
        <w:t>25</w:t>
      </w:r>
      <w:r w:rsidR="005A71EA" w:rsidRPr="000202EE">
        <w:rPr>
          <w:vertAlign w:val="superscript"/>
        </w:rPr>
        <w:fldChar w:fldCharType="end"/>
      </w:r>
      <w:r>
        <w:t xml:space="preserve"> M16-043</w:t>
      </w:r>
      <w:r w:rsidR="005A71EA">
        <w:t>;</w:t>
      </w:r>
      <w:r w:rsidR="005A71EA" w:rsidRPr="000202EE">
        <w:rPr>
          <w:vertAlign w:val="superscript"/>
        </w:rPr>
        <w:fldChar w:fldCharType="begin"/>
      </w:r>
      <w:r w:rsidR="005A71EA" w:rsidRPr="000202EE">
        <w:rPr>
          <w:vertAlign w:val="superscript"/>
        </w:rPr>
        <w:instrText xml:space="preserve"> NOTEREF _Ref50614649 \h </w:instrText>
      </w:r>
      <w:r w:rsidR="005A71EA">
        <w:rPr>
          <w:vertAlign w:val="superscript"/>
        </w:rPr>
        <w:instrText xml:space="preserve"> \* MERGEFORMAT </w:instrText>
      </w:r>
      <w:r w:rsidR="005A71EA" w:rsidRPr="000202EE">
        <w:rPr>
          <w:vertAlign w:val="superscript"/>
        </w:rPr>
      </w:r>
      <w:r w:rsidR="005A71EA" w:rsidRPr="000202EE">
        <w:rPr>
          <w:vertAlign w:val="superscript"/>
        </w:rPr>
        <w:fldChar w:fldCharType="separate"/>
      </w:r>
      <w:r w:rsidR="00247395">
        <w:rPr>
          <w:vertAlign w:val="superscript"/>
        </w:rPr>
        <w:t>28</w:t>
      </w:r>
      <w:r w:rsidR="005A71EA" w:rsidRPr="000202EE">
        <w:rPr>
          <w:vertAlign w:val="superscript"/>
        </w:rPr>
        <w:fldChar w:fldCharType="end"/>
      </w:r>
      <w:r>
        <w:t xml:space="preserve"> and M15-656</w:t>
      </w:r>
      <w:r w:rsidR="005A71EA">
        <w:t>;</w:t>
      </w:r>
      <w:r w:rsidR="005A71EA" w:rsidRPr="000202EE">
        <w:rPr>
          <w:vertAlign w:val="superscript"/>
        </w:rPr>
        <w:fldChar w:fldCharType="begin"/>
      </w:r>
      <w:r w:rsidR="005A71EA" w:rsidRPr="000202EE">
        <w:rPr>
          <w:vertAlign w:val="superscript"/>
        </w:rPr>
        <w:instrText xml:space="preserve"> NOTEREF _Ref50614661 \h </w:instrText>
      </w:r>
      <w:r w:rsidR="005A71EA">
        <w:rPr>
          <w:vertAlign w:val="superscript"/>
        </w:rPr>
        <w:instrText xml:space="preserve"> \* MERGEFORMAT </w:instrText>
      </w:r>
      <w:r w:rsidR="005A71EA" w:rsidRPr="000202EE">
        <w:rPr>
          <w:vertAlign w:val="superscript"/>
        </w:rPr>
      </w:r>
      <w:r w:rsidR="005A71EA" w:rsidRPr="000202EE">
        <w:rPr>
          <w:vertAlign w:val="superscript"/>
        </w:rPr>
        <w:fldChar w:fldCharType="separate"/>
      </w:r>
      <w:r w:rsidR="00247395">
        <w:rPr>
          <w:vertAlign w:val="superscript"/>
        </w:rPr>
        <w:t>29</w:t>
      </w:r>
      <w:r w:rsidR="005A71EA" w:rsidRPr="000202EE">
        <w:rPr>
          <w:vertAlign w:val="superscript"/>
        </w:rPr>
        <w:fldChar w:fldCharType="end"/>
      </w:r>
      <w:r>
        <w:t xml:space="preserve"> be submitted to </w:t>
      </w:r>
      <w:r w:rsidR="007C5D49">
        <w:t xml:space="preserve">the </w:t>
      </w:r>
      <w:r>
        <w:t>TGA for</w:t>
      </w:r>
      <w:r w:rsidR="00F36EA1">
        <w:t xml:space="preserve"> evaluation</w:t>
      </w:r>
      <w:r w:rsidR="00523FCD">
        <w:t xml:space="preserve"> by 31 October 2021.</w:t>
      </w:r>
    </w:p>
    <w:p w14:paraId="2C747FB6" w14:textId="5CE72CA7" w:rsidR="008E7846" w:rsidRDefault="000C6FD1" w:rsidP="008E7846">
      <w:pPr>
        <w:pStyle w:val="Heading4"/>
      </w:pPr>
      <w:r>
        <w:t>Advisory Committee c</w:t>
      </w:r>
      <w:r w:rsidR="008E7846">
        <w:t>onsiderations</w:t>
      </w:r>
      <w:r w:rsidR="00456765">
        <w:rPr>
          <w:rStyle w:val="FootnoteReference"/>
        </w:rPr>
        <w:footnoteReference w:id="30"/>
      </w:r>
    </w:p>
    <w:p w14:paraId="0C542FA1" w14:textId="77777777" w:rsidR="00456765" w:rsidRPr="00A322B3" w:rsidRDefault="00456765" w:rsidP="008E7846">
      <w:r>
        <w:rPr>
          <w:bCs/>
        </w:rPr>
        <w:t>The Delegate did not refer this application to the Ad</w:t>
      </w:r>
      <w:r w:rsidR="00325641">
        <w:rPr>
          <w:bCs/>
        </w:rPr>
        <w:t>visory Committee on</w:t>
      </w:r>
      <w:r>
        <w:rPr>
          <w:bCs/>
        </w:rPr>
        <w:t xml:space="preserve"> Medicines (ACM) for advice.</w:t>
      </w:r>
    </w:p>
    <w:p w14:paraId="14B3E40B" w14:textId="77777777" w:rsidR="008E7846" w:rsidRPr="002E238E" w:rsidRDefault="008E7846" w:rsidP="008E7846">
      <w:pPr>
        <w:pStyle w:val="Heading3"/>
      </w:pPr>
      <w:bookmarkStart w:id="61" w:name="_Toc247691532"/>
      <w:bookmarkStart w:id="62" w:name="_Toc314842516"/>
      <w:bookmarkStart w:id="63" w:name="_Toc51859741"/>
      <w:bookmarkEnd w:id="34"/>
      <w:bookmarkEnd w:id="57"/>
      <w:bookmarkEnd w:id="58"/>
      <w:r>
        <w:lastRenderedPageBreak/>
        <w:t>Outcome</w:t>
      </w:r>
      <w:bookmarkEnd w:id="61"/>
      <w:bookmarkEnd w:id="62"/>
      <w:bookmarkEnd w:id="63"/>
    </w:p>
    <w:p w14:paraId="54404872" w14:textId="246ED615" w:rsidR="00D23139" w:rsidRPr="00D23139" w:rsidRDefault="00D23139" w:rsidP="00D23139">
      <w:bookmarkStart w:id="64" w:name="_Toc247691533"/>
      <w:bookmarkStart w:id="65" w:name="_Toc314842517"/>
      <w:r w:rsidRPr="00D23139">
        <w:t>Based on a review of quality, safety and efficacy,</w:t>
      </w:r>
      <w:r w:rsidR="007C5D49">
        <w:t xml:space="preserve"> the</w:t>
      </w:r>
      <w:r w:rsidRPr="00D23139">
        <w:t xml:space="preserve"> TGA approved the </w:t>
      </w:r>
      <w:r w:rsidR="005F7D04">
        <w:t xml:space="preserve">provisional </w:t>
      </w:r>
      <w:r w:rsidRPr="00D23139">
        <w:t xml:space="preserve">registration of </w:t>
      </w:r>
      <w:r w:rsidR="008955D8">
        <w:t>Venclexta</w:t>
      </w:r>
      <w:r w:rsidR="008955D8" w:rsidRPr="00940A89">
        <w:t xml:space="preserve"> </w:t>
      </w:r>
      <w:r w:rsidR="008955D8">
        <w:t>(venetoclax) 10 mg, 50 mg and 100 mg film coated tablet</w:t>
      </w:r>
      <w:r w:rsidR="005F7D04">
        <w:t>s</w:t>
      </w:r>
      <w:r w:rsidRPr="00D23139">
        <w:t>, for</w:t>
      </w:r>
      <w:r w:rsidR="00846E44">
        <w:t xml:space="preserve"> the following extension of indications</w:t>
      </w:r>
      <w:r w:rsidRPr="00D23139">
        <w:t>:</w:t>
      </w:r>
    </w:p>
    <w:p w14:paraId="41281E12" w14:textId="5D559F2B" w:rsidR="007C1D96" w:rsidRPr="000C6FD1" w:rsidRDefault="007C1D96" w:rsidP="000C6FD1">
      <w:pPr>
        <w:ind w:left="720"/>
        <w:rPr>
          <w:i/>
        </w:rPr>
      </w:pPr>
      <w:r w:rsidRPr="000C6FD1">
        <w:rPr>
          <w:i/>
        </w:rPr>
        <w:t>Acute Myeloid Leukaemia</w:t>
      </w:r>
    </w:p>
    <w:p w14:paraId="3B167E84" w14:textId="763F0DDF" w:rsidR="007C1D96" w:rsidRPr="000C6FD1" w:rsidRDefault="007C1D96" w:rsidP="000C6FD1">
      <w:pPr>
        <w:ind w:left="720"/>
        <w:rPr>
          <w:i/>
        </w:rPr>
      </w:pPr>
      <w:r w:rsidRPr="000C6FD1">
        <w:rPr>
          <w:i/>
        </w:rPr>
        <w:t>V</w:t>
      </w:r>
      <w:r w:rsidR="000C6FD1" w:rsidRPr="000C6FD1">
        <w:rPr>
          <w:i/>
        </w:rPr>
        <w:t>enclexta</w:t>
      </w:r>
      <w:r w:rsidRPr="000C6FD1">
        <w:rPr>
          <w:i/>
        </w:rPr>
        <w:t>, as part of combination therapy, is indicated for the treatment of newly diagnosed adult patients with Acute Myeloid Leukaemia (AML) who are ineligible for intensive chemotherapy.</w:t>
      </w:r>
    </w:p>
    <w:p w14:paraId="69006FF5" w14:textId="6BF5D684" w:rsidR="007C1D96" w:rsidRPr="000C6FD1" w:rsidRDefault="007C1D96" w:rsidP="000C6FD1">
      <w:pPr>
        <w:ind w:left="720"/>
        <w:rPr>
          <w:i/>
        </w:rPr>
      </w:pPr>
      <w:r w:rsidRPr="000C6FD1">
        <w:rPr>
          <w:i/>
        </w:rPr>
        <w:t>This medicine has provisional approval in Australia for the treatment of newly diagnosed patients with AML who are ineligible for intensive chemotherapy. The decision to approve this indication has been made on the basis of interim data (overall response rate and duration of response). Continued approval of this indication depends on verification and description of benefit in confi</w:t>
      </w:r>
      <w:r w:rsidR="000C6FD1" w:rsidRPr="000C6FD1">
        <w:rPr>
          <w:i/>
        </w:rPr>
        <w:t>rmatory trials.</w:t>
      </w:r>
    </w:p>
    <w:p w14:paraId="50D3FA52" w14:textId="77777777" w:rsidR="007C1D96" w:rsidRDefault="007C1D96" w:rsidP="007C1D96">
      <w:r>
        <w:t>The provisional registration period for the above medicine(s) is two years starting on the day specified in the ARTG certificate of registration.</w:t>
      </w:r>
    </w:p>
    <w:p w14:paraId="6F370057" w14:textId="5C5B8ED1" w:rsidR="007C1D96" w:rsidRDefault="007C5D49" w:rsidP="007C1D96">
      <w:r>
        <w:t>As such, the full indications at</w:t>
      </w:r>
      <w:r w:rsidR="007C1D96">
        <w:t xml:space="preserve"> this time were:</w:t>
      </w:r>
    </w:p>
    <w:p w14:paraId="2C1500AB" w14:textId="77777777" w:rsidR="007C1D96" w:rsidRPr="000C6FD1" w:rsidRDefault="007C1D96" w:rsidP="000C6FD1">
      <w:pPr>
        <w:ind w:left="720"/>
        <w:rPr>
          <w:i/>
        </w:rPr>
      </w:pPr>
      <w:r w:rsidRPr="000C6FD1">
        <w:rPr>
          <w:i/>
        </w:rPr>
        <w:t>Acute Myeloid Leukaemia</w:t>
      </w:r>
    </w:p>
    <w:p w14:paraId="3CC76BB9" w14:textId="4FFBC2A9" w:rsidR="007C1D96" w:rsidRPr="000C6FD1" w:rsidRDefault="007C1D96" w:rsidP="000C6FD1">
      <w:pPr>
        <w:ind w:left="720"/>
        <w:rPr>
          <w:i/>
        </w:rPr>
      </w:pPr>
      <w:r w:rsidRPr="000C6FD1">
        <w:rPr>
          <w:i/>
        </w:rPr>
        <w:t>V</w:t>
      </w:r>
      <w:r w:rsidR="000C6FD1" w:rsidRPr="000C6FD1">
        <w:rPr>
          <w:i/>
        </w:rPr>
        <w:t>enclexta</w:t>
      </w:r>
      <w:r w:rsidRPr="000C6FD1">
        <w:rPr>
          <w:i/>
        </w:rPr>
        <w:t>, as part of combination therapy, is indicated for the treatment of newly diagnosed adult patients with Acute Myeloid Leukaemia (AML) who are ineligible for intensive chemotherapy.</w:t>
      </w:r>
    </w:p>
    <w:p w14:paraId="497C7C9C" w14:textId="77777777" w:rsidR="007C1D96" w:rsidRPr="000C6FD1" w:rsidRDefault="007C1D96" w:rsidP="000C6FD1">
      <w:pPr>
        <w:ind w:left="720"/>
        <w:rPr>
          <w:i/>
        </w:rPr>
      </w:pPr>
      <w:r w:rsidRPr="000C6FD1">
        <w:rPr>
          <w:i/>
        </w:rPr>
        <w:t>This medicine has provisional approval in Australia for the treatment of newly diagnosed patients with AML who are ineligible for intensive chemotherapy. The decision to approve this indication has been made on the basis of interim data (overall response rate and duration of response). Continued approval of this indication depends on verification and description of benefit in confirmatory trials.</w:t>
      </w:r>
    </w:p>
    <w:p w14:paraId="47C555CC" w14:textId="77777777" w:rsidR="007C1D96" w:rsidRPr="000C6FD1" w:rsidRDefault="007C1D96" w:rsidP="000C6FD1">
      <w:pPr>
        <w:ind w:left="720"/>
        <w:rPr>
          <w:i/>
        </w:rPr>
      </w:pPr>
      <w:r w:rsidRPr="000C6FD1">
        <w:rPr>
          <w:i/>
        </w:rPr>
        <w:t>Chronic Lymphocytic Leukaemia</w:t>
      </w:r>
    </w:p>
    <w:p w14:paraId="787946E0" w14:textId="3C2F2E54" w:rsidR="007C1D96" w:rsidRPr="000C6FD1" w:rsidRDefault="007C1D96" w:rsidP="000C6FD1">
      <w:pPr>
        <w:ind w:left="720"/>
        <w:rPr>
          <w:i/>
        </w:rPr>
      </w:pPr>
      <w:r w:rsidRPr="000C6FD1">
        <w:rPr>
          <w:i/>
        </w:rPr>
        <w:t>V</w:t>
      </w:r>
      <w:r w:rsidR="000C6FD1" w:rsidRPr="000C6FD1">
        <w:rPr>
          <w:i/>
        </w:rPr>
        <w:t>enclexta</w:t>
      </w:r>
      <w:r w:rsidRPr="000C6FD1">
        <w:rPr>
          <w:i/>
        </w:rPr>
        <w:t xml:space="preserve"> in combination with rituximab is indicated for the treatment of adult patients with chronic lymphocytic leukaemia (CLL) who have received at least one prior therapy. V</w:t>
      </w:r>
      <w:r w:rsidR="000C6FD1" w:rsidRPr="000C6FD1">
        <w:rPr>
          <w:i/>
        </w:rPr>
        <w:t>enclexta</w:t>
      </w:r>
      <w:r w:rsidRPr="000C6FD1">
        <w:rPr>
          <w:i/>
        </w:rPr>
        <w:t xml:space="preserve"> monotherapy is indicated for the treatment of:</w:t>
      </w:r>
    </w:p>
    <w:p w14:paraId="5FA1026C" w14:textId="4A22EF23" w:rsidR="007C1D96" w:rsidRPr="000C6FD1" w:rsidRDefault="007C1D96" w:rsidP="000C6FD1">
      <w:pPr>
        <w:pStyle w:val="ListBullet"/>
        <w:ind w:left="1080"/>
        <w:rPr>
          <w:i/>
        </w:rPr>
      </w:pPr>
      <w:r w:rsidRPr="000C6FD1">
        <w:rPr>
          <w:i/>
        </w:rPr>
        <w:t>patients with relapsed or refractory CLL with 17p deletion, or</w:t>
      </w:r>
    </w:p>
    <w:p w14:paraId="3EE6DD99" w14:textId="52908B21" w:rsidR="00D23139" w:rsidRPr="000C6FD1" w:rsidRDefault="007C1D96" w:rsidP="000C6FD1">
      <w:pPr>
        <w:pStyle w:val="ListBullet"/>
        <w:ind w:left="1080"/>
        <w:rPr>
          <w:i/>
        </w:rPr>
      </w:pPr>
      <w:r w:rsidRPr="000C6FD1">
        <w:rPr>
          <w:i/>
        </w:rPr>
        <w:t>patients with relapsed or refractory CLL for whom there are no other suitable treatment options.</w:t>
      </w:r>
    </w:p>
    <w:p w14:paraId="645A5FAE" w14:textId="15693002" w:rsidR="000C6FD1" w:rsidRPr="000C6FD1" w:rsidRDefault="00D23139" w:rsidP="000C6FD1">
      <w:pPr>
        <w:pStyle w:val="Heading4"/>
      </w:pPr>
      <w:r w:rsidRPr="00D23139">
        <w:t>Specific conditions of registration applying to these goods</w:t>
      </w:r>
    </w:p>
    <w:p w14:paraId="1798C638" w14:textId="66CD7914" w:rsidR="007C1D96" w:rsidRDefault="007C1D96" w:rsidP="000C6FD1">
      <w:pPr>
        <w:pStyle w:val="ListBullet"/>
      </w:pPr>
      <w:r>
        <w:t>V</w:t>
      </w:r>
      <w:r w:rsidR="000C6FD1">
        <w:t>enclexta</w:t>
      </w:r>
      <w:r>
        <w:t xml:space="preserve"> (venetoclax) is to be included in the Bl</w:t>
      </w:r>
      <w:r w:rsidR="000C6FD1">
        <w:t xml:space="preserve">ack Triangle Scheme. The PI and </w:t>
      </w:r>
      <w:r w:rsidR="007C5D49">
        <w:t>Consumer Medicines Information (</w:t>
      </w:r>
      <w:r>
        <w:t>CMI</w:t>
      </w:r>
      <w:r w:rsidR="007C5D49">
        <w:t>)</w:t>
      </w:r>
      <w:r>
        <w:t xml:space="preserve"> for V</w:t>
      </w:r>
      <w:r w:rsidR="000C6FD1">
        <w:t>enclexta</w:t>
      </w:r>
      <w:r>
        <w:t xml:space="preserve"> must include the blac</w:t>
      </w:r>
      <w:r w:rsidR="000C6FD1">
        <w:t xml:space="preserve">k triangle symbol and mandatory </w:t>
      </w:r>
      <w:r>
        <w:t xml:space="preserve">accompanying text for five years, which starts from the date that the </w:t>
      </w:r>
      <w:r w:rsidR="000C6FD1">
        <w:t xml:space="preserve">sponsor notifies </w:t>
      </w:r>
      <w:r>
        <w:t>the TGA of supply of the product.</w:t>
      </w:r>
    </w:p>
    <w:p w14:paraId="0E15EE8C" w14:textId="1AD669E1" w:rsidR="007C1D96" w:rsidRDefault="007C1D96" w:rsidP="007C1D96">
      <w:pPr>
        <w:pStyle w:val="ListBullet"/>
      </w:pPr>
      <w:r>
        <w:t>Confirmatory trial data (as identified in the sponsor’s plan to submit comprehensive</w:t>
      </w:r>
      <w:r w:rsidR="000C6FD1">
        <w:t xml:space="preserve"> </w:t>
      </w:r>
      <w:r>
        <w:t>clinical data on the safety and efficacy of the medicine before the end of the 6 years that</w:t>
      </w:r>
      <w:r w:rsidR="000C6FD1">
        <w:t xml:space="preserve"> </w:t>
      </w:r>
      <w:r>
        <w:t>would start on the day that registration would commence) must be provided.</w:t>
      </w:r>
    </w:p>
    <w:p w14:paraId="4185ADB4" w14:textId="115288E3" w:rsidR="007C1D96" w:rsidRDefault="007C1D96" w:rsidP="008E7235">
      <w:pPr>
        <w:pStyle w:val="ListBullet"/>
        <w:pageBreakBefore/>
        <w:numPr>
          <w:ilvl w:val="0"/>
          <w:numId w:val="0"/>
        </w:numPr>
        <w:ind w:left="357"/>
      </w:pPr>
      <w:bookmarkStart w:id="66" w:name="_GoBack"/>
      <w:bookmarkEnd w:id="66"/>
      <w:r>
        <w:lastRenderedPageBreak/>
        <w:t>Specifically the sponsor must conduct studies as describe</w:t>
      </w:r>
      <w:r w:rsidR="000C6FD1">
        <w:t xml:space="preserve">d in the clinical study plan in </w:t>
      </w:r>
      <w:r>
        <w:t>version 3.2, dated July 2</w:t>
      </w:r>
      <w:r w:rsidR="007C5D49">
        <w:t>019 of the ASA</w:t>
      </w:r>
      <w:r w:rsidR="000C6FD1">
        <w:t xml:space="preserve">. Interim and final clinical </w:t>
      </w:r>
      <w:r>
        <w:t xml:space="preserve">study reports (CSR) for the following studies should be submitted to TGA </w:t>
      </w:r>
      <w:r w:rsidR="00523FCD">
        <w:t>by 31 October 2021.</w:t>
      </w:r>
    </w:p>
    <w:p w14:paraId="4065AF87" w14:textId="4D6B1A89" w:rsidR="009752A5" w:rsidRDefault="000C6FD1" w:rsidP="000C6FD1">
      <w:pPr>
        <w:pStyle w:val="ListBullet2"/>
      </w:pPr>
      <w:r>
        <w:t xml:space="preserve">Study </w:t>
      </w:r>
      <w:r w:rsidR="007C1D96">
        <w:t>M14-387</w:t>
      </w:r>
    </w:p>
    <w:p w14:paraId="180BAAE2" w14:textId="416FD14F" w:rsidR="007C1D96" w:rsidRDefault="000C6FD1" w:rsidP="000C6FD1">
      <w:pPr>
        <w:pStyle w:val="ListBullet2"/>
      </w:pPr>
      <w:r>
        <w:t xml:space="preserve">Study </w:t>
      </w:r>
      <w:r w:rsidR="007C1D96">
        <w:t>M14-358</w:t>
      </w:r>
    </w:p>
    <w:p w14:paraId="12A7559A" w14:textId="3DF2732A" w:rsidR="007C1D96" w:rsidRDefault="000C6FD1" w:rsidP="000C6FD1">
      <w:pPr>
        <w:pStyle w:val="ListBullet2"/>
      </w:pPr>
      <w:r>
        <w:t xml:space="preserve">Study </w:t>
      </w:r>
      <w:r w:rsidR="007C1D96">
        <w:t>M16-043</w:t>
      </w:r>
    </w:p>
    <w:p w14:paraId="388BC2F2" w14:textId="16FBDFE2" w:rsidR="007C1D96" w:rsidRDefault="000C6FD1" w:rsidP="000C6FD1">
      <w:pPr>
        <w:pStyle w:val="ListBullet2"/>
      </w:pPr>
      <w:r>
        <w:t xml:space="preserve">Study </w:t>
      </w:r>
      <w:r w:rsidR="007C1D96">
        <w:t>M15-656</w:t>
      </w:r>
    </w:p>
    <w:p w14:paraId="64C29B1F" w14:textId="77777777" w:rsidR="007C1D96" w:rsidRDefault="007C1D96" w:rsidP="000C6FD1">
      <w:pPr>
        <w:pStyle w:val="ListBullet"/>
        <w:numPr>
          <w:ilvl w:val="0"/>
          <w:numId w:val="0"/>
        </w:numPr>
        <w:ind w:left="360"/>
      </w:pPr>
      <w:r>
        <w:t>Further guidance for sponsors is available on the TGA website.</w:t>
      </w:r>
    </w:p>
    <w:p w14:paraId="0906137F" w14:textId="2183BE7D" w:rsidR="007C1D96" w:rsidRDefault="007C1D96" w:rsidP="007C1D96">
      <w:pPr>
        <w:pStyle w:val="ListBullet"/>
      </w:pPr>
      <w:r>
        <w:t>The Vencl</w:t>
      </w:r>
      <w:r w:rsidR="007C5D49">
        <w:t>exta core-</w:t>
      </w:r>
      <w:r>
        <w:t>RMP (version 4.1 dated June 2019; data</w:t>
      </w:r>
      <w:r w:rsidR="000C6FD1">
        <w:t xml:space="preserve"> </w:t>
      </w:r>
      <w:r>
        <w:t>lock point 29 May 2019)</w:t>
      </w:r>
      <w:r w:rsidR="007C5D49">
        <w:t>, with ASA</w:t>
      </w:r>
      <w:r>
        <w:t xml:space="preserve"> (version 3.2, dated July 2019),</w:t>
      </w:r>
      <w:r w:rsidR="000C6FD1">
        <w:t xml:space="preserve"> </w:t>
      </w:r>
      <w:r>
        <w:t>and any subsequent revisions, as agreed with the TGA will be implemented in Australia.</w:t>
      </w:r>
    </w:p>
    <w:p w14:paraId="5251DAEF" w14:textId="5C0C605A" w:rsidR="007C1D96" w:rsidRDefault="007C1D96" w:rsidP="000C6FD1">
      <w:pPr>
        <w:pStyle w:val="ListBullet"/>
        <w:numPr>
          <w:ilvl w:val="0"/>
          <w:numId w:val="0"/>
        </w:numPr>
        <w:ind w:left="360"/>
      </w:pPr>
      <w:r>
        <w:t>An obligatory component of risk management plan</w:t>
      </w:r>
      <w:r w:rsidR="000C6FD1">
        <w:t xml:space="preserve">s is routine pharmacovigilance. </w:t>
      </w:r>
      <w:r>
        <w:t>Routine pharmacovigilance includes the submission of</w:t>
      </w:r>
      <w:r w:rsidR="007C5D49">
        <w:t xml:space="preserve"> PSURs</w:t>
      </w:r>
      <w:r>
        <w:t>:</w:t>
      </w:r>
    </w:p>
    <w:p w14:paraId="3E97A41B" w14:textId="56B80704" w:rsidR="007C1D96" w:rsidRDefault="007C1D96" w:rsidP="000C6FD1">
      <w:pPr>
        <w:pStyle w:val="ListBullet"/>
        <w:numPr>
          <w:ilvl w:val="0"/>
          <w:numId w:val="0"/>
        </w:numPr>
        <w:ind w:left="360"/>
      </w:pPr>
      <w:r>
        <w:t>Reports are to be provided in line with the current publi</w:t>
      </w:r>
      <w:r w:rsidR="000C6FD1">
        <w:t xml:space="preserve">shed list of EU reference dates </w:t>
      </w:r>
      <w:r>
        <w:t>and frequency of submission of PSURs and should cover the entire period of pro</w:t>
      </w:r>
      <w:r w:rsidR="000C6FD1">
        <w:t xml:space="preserve">visional </w:t>
      </w:r>
      <w:r>
        <w:t>registration.</w:t>
      </w:r>
    </w:p>
    <w:p w14:paraId="257F3C1C" w14:textId="0E6DA6EA" w:rsidR="007C1D96" w:rsidRDefault="007C1D96" w:rsidP="000C6FD1">
      <w:pPr>
        <w:pStyle w:val="ListBullet"/>
        <w:numPr>
          <w:ilvl w:val="0"/>
          <w:numId w:val="0"/>
        </w:numPr>
        <w:ind w:left="360"/>
      </w:pPr>
      <w:r>
        <w:t>The reports are to at least meet the requirement</w:t>
      </w:r>
      <w:r w:rsidR="000C6FD1">
        <w:t xml:space="preserve">s for PSURs as described in the </w:t>
      </w:r>
      <w:r>
        <w:t xml:space="preserve">European Medicines Agency’s Guideline on </w:t>
      </w:r>
      <w:r w:rsidR="00B22CDE">
        <w:t>G</w:t>
      </w:r>
      <w:r>
        <w:t xml:space="preserve">ood </w:t>
      </w:r>
      <w:r w:rsidR="00B22CDE">
        <w:t>P</w:t>
      </w:r>
      <w:r>
        <w:t>h</w:t>
      </w:r>
      <w:r w:rsidR="000C6FD1">
        <w:t xml:space="preserve">armacovigilance </w:t>
      </w:r>
      <w:r w:rsidR="00B22CDE">
        <w:t>P</w:t>
      </w:r>
      <w:r w:rsidR="000C6FD1">
        <w:t xml:space="preserve">ractices (GVP) </w:t>
      </w:r>
      <w:r>
        <w:t>Module VII-periodic safety update report (Rev 1), Part VII.B Structures a</w:t>
      </w:r>
      <w:r w:rsidR="000C6FD1">
        <w:t xml:space="preserve">nd processes. </w:t>
      </w:r>
      <w:r>
        <w:t>Note that submission of a PSUR does not consti</w:t>
      </w:r>
      <w:r w:rsidR="000C6FD1">
        <w:t xml:space="preserve">tute an application to vary the </w:t>
      </w:r>
      <w:r>
        <w:t>registration.</w:t>
      </w:r>
    </w:p>
    <w:p w14:paraId="19C33916" w14:textId="77777777" w:rsidR="008E7846" w:rsidRDefault="00A80B5B" w:rsidP="00D23139">
      <w:pPr>
        <w:pStyle w:val="Heading2"/>
      </w:pPr>
      <w:bookmarkStart w:id="67" w:name="_Toc51859742"/>
      <w:r>
        <w:t xml:space="preserve">Attachment 1. </w:t>
      </w:r>
      <w:r w:rsidR="008E7846">
        <w:t xml:space="preserve">Product </w:t>
      </w:r>
      <w:r w:rsidR="00AA0ED0">
        <w:t>I</w:t>
      </w:r>
      <w:r w:rsidR="008E7846">
        <w:t>nformation</w:t>
      </w:r>
      <w:bookmarkEnd w:id="64"/>
      <w:bookmarkEnd w:id="65"/>
      <w:bookmarkEnd w:id="67"/>
    </w:p>
    <w:p w14:paraId="123614C8" w14:textId="451BBF7A" w:rsidR="00770CAC" w:rsidRPr="00A941C6" w:rsidRDefault="006136D7" w:rsidP="00A941C6">
      <w:pPr>
        <w:rPr>
          <w:color w:val="000000"/>
          <w:lang w:eastAsia="en-AU"/>
        </w:rPr>
      </w:pPr>
      <w:r w:rsidRPr="002B3624">
        <w:t xml:space="preserve">The </w:t>
      </w:r>
      <w:r>
        <w:t>PI</w:t>
      </w:r>
      <w:r w:rsidRPr="002B3624">
        <w:t xml:space="preserve"> for </w:t>
      </w:r>
      <w:r w:rsidR="007C1D96">
        <w:t>Venclexta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TGA website at</w:t>
      </w:r>
      <w:r w:rsidR="00B22CDE" w:rsidRPr="007C6B9B">
        <w:t>&lt;</w:t>
      </w:r>
      <w:hyperlink r:id="rId18" w:history="1">
        <w:r w:rsidR="00B22CDE" w:rsidRPr="007C6B9B">
          <w:rPr>
            <w:rStyle w:val="Hyperlink"/>
          </w:rPr>
          <w:t>https://www.tga.gov.au/product-information-pi</w:t>
        </w:r>
      </w:hyperlink>
      <w:r w:rsidR="00A941C6">
        <w:t>&gt;.</w:t>
      </w:r>
    </w:p>
    <w:p w14:paraId="3FC801AA" w14:textId="77777777" w:rsidR="00291957" w:rsidRDefault="00291957" w:rsidP="00291957">
      <w:pPr>
        <w:rPr>
          <w:lang w:eastAsia="ja-JP"/>
        </w:rPr>
      </w:pPr>
    </w:p>
    <w:p w14:paraId="76F4BBC2" w14:textId="77777777" w:rsidR="00C80137" w:rsidRPr="001D043B" w:rsidRDefault="00C80137" w:rsidP="003A7F6C">
      <w:pPr>
        <w:pStyle w:val="TableTitle"/>
        <w:sectPr w:rsidR="00C80137" w:rsidRPr="001D043B" w:rsidSect="00B452CE">
          <w:headerReference w:type="even" r:id="rId19"/>
          <w:headerReference w:type="default" r:id="rId20"/>
          <w:headerReference w:type="first" r:id="rId21"/>
          <w:footerReference w:type="first" r:id="rId22"/>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5076CBC9" w14:textId="77777777" w:rsidTr="00A05FA4">
        <w:trPr>
          <w:trHeight w:hRule="exact" w:val="704"/>
        </w:trPr>
        <w:tc>
          <w:tcPr>
            <w:tcW w:w="9175" w:type="dxa"/>
          </w:tcPr>
          <w:p w14:paraId="25D3FBFC" w14:textId="77777777" w:rsidR="001C32CD" w:rsidRPr="00487162" w:rsidRDefault="001C32CD" w:rsidP="00A05FA4">
            <w:pPr>
              <w:pStyle w:val="TGASignoff"/>
            </w:pPr>
            <w:r w:rsidRPr="00487162">
              <w:lastRenderedPageBreak/>
              <w:t>Therapeutic Goods Administration</w:t>
            </w:r>
          </w:p>
        </w:tc>
      </w:tr>
      <w:tr w:rsidR="001C32CD" w:rsidRPr="004C239D" w14:paraId="6E692570" w14:textId="77777777" w:rsidTr="00A05FA4">
        <w:trPr>
          <w:trHeight w:val="1221"/>
        </w:trPr>
        <w:tc>
          <w:tcPr>
            <w:tcW w:w="9175" w:type="dxa"/>
            <w:tcMar>
              <w:top w:w="28" w:type="dxa"/>
            </w:tcMar>
          </w:tcPr>
          <w:p w14:paraId="7874C4AB" w14:textId="77777777" w:rsidR="001C32CD" w:rsidRPr="00487162" w:rsidRDefault="001C32CD" w:rsidP="00A05FA4">
            <w:pPr>
              <w:pStyle w:val="Address"/>
            </w:pPr>
            <w:r w:rsidRPr="00487162">
              <w:t>PO Box 100 Woden ACT 2606 Australia</w:t>
            </w:r>
          </w:p>
          <w:p w14:paraId="32A9CE7B" w14:textId="548D829C" w:rsidR="001C32CD" w:rsidRPr="00487162" w:rsidRDefault="001C32CD" w:rsidP="00A05FA4">
            <w:pPr>
              <w:pStyle w:val="Address"/>
            </w:pPr>
            <w:r w:rsidRPr="00487162">
              <w:t xml:space="preserve">Email: </w:t>
            </w:r>
            <w:hyperlink r:id="rId23" w:history="1">
              <w:r w:rsidRPr="004C239D">
                <w:rPr>
                  <w:rStyle w:val="Hyperlink"/>
                </w:rPr>
                <w:t>info@tga.gov.au</w:t>
              </w:r>
            </w:hyperlink>
            <w:r w:rsidRPr="00487162">
              <w:t xml:space="preserve">  Phone: 1800 020 653  Fax: 02 6232 8605</w:t>
            </w:r>
          </w:p>
          <w:p w14:paraId="37630FFD" w14:textId="53D88BF6" w:rsidR="001C32CD" w:rsidRPr="004C239D" w:rsidRDefault="00D20E63" w:rsidP="00A05FA4">
            <w:pPr>
              <w:pStyle w:val="Address"/>
              <w:spacing w:line="260" w:lineRule="atLeast"/>
              <w:rPr>
                <w:b/>
                <w:color w:val="0000FF"/>
                <w:u w:val="single"/>
              </w:rPr>
            </w:pPr>
            <w:hyperlink r:id="rId24" w:history="1">
              <w:r w:rsidR="007C6B9B" w:rsidRPr="007C6B9B">
                <w:rPr>
                  <w:rStyle w:val="Hyperlink"/>
                  <w:b/>
                </w:rPr>
                <w:t>https://www.tga.gov.au</w:t>
              </w:r>
            </w:hyperlink>
          </w:p>
        </w:tc>
      </w:tr>
    </w:tbl>
    <w:p w14:paraId="52CE334C" w14:textId="77777777" w:rsidR="00774E1D" w:rsidRPr="008A5E0B" w:rsidRDefault="00774E1D" w:rsidP="004C239D"/>
    <w:sectPr w:rsidR="00774E1D" w:rsidRPr="008A5E0B" w:rsidSect="001C32CD">
      <w:headerReference w:type="even" r:id="rId25"/>
      <w:headerReference w:type="default" r:id="rId26"/>
      <w:footerReference w:type="default" r:id="rId27"/>
      <w:headerReference w:type="first" r:id="rId28"/>
      <w:footerReference w:type="first" r:id="rId29"/>
      <w:pgSz w:w="11906" w:h="16838" w:code="9"/>
      <w:pgMar w:top="13467" w:right="1701" w:bottom="426" w:left="1701" w:header="90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AC63F" w16cex:dateUtc="2020-07-28T20:43:00Z"/>
  <w16cex:commentExtensible w16cex:durableId="22CAC6B3" w16cex:dateUtc="2020-07-28T20:45:00Z"/>
  <w16cex:commentExtensible w16cex:durableId="22D2B5BD" w16cex:dateUtc="2020-08-03T21:11:00Z"/>
  <w16cex:commentExtensible w16cex:durableId="22CACC89" w16cex:dateUtc="2020-07-28T21:10:00Z"/>
  <w16cex:commentExtensible w16cex:durableId="22D29E60" w16cex:dateUtc="2020-08-03T19:32:00Z"/>
  <w16cex:commentExtensible w16cex:durableId="22D29E80" w16cex:dateUtc="2020-08-03T19:32:00Z"/>
  <w16cex:commentExtensible w16cex:durableId="22D29E8A" w16cex:dateUtc="2020-08-03T19:32:00Z"/>
  <w16cex:commentExtensible w16cex:durableId="22CACF1A" w16cex:dateUtc="2020-07-28T21:21:00Z"/>
  <w16cex:commentExtensible w16cex:durableId="22CACFC8" w16cex:dateUtc="2020-07-28T21:24:00Z"/>
  <w16cex:commentExtensible w16cex:durableId="22CAD0FC" w16cex:dateUtc="2020-07-28T21:29:00Z"/>
  <w16cex:commentExtensible w16cex:durableId="22CAB90C" w16cex:dateUtc="2020-07-28T19:47:00Z"/>
  <w16cex:commentExtensible w16cex:durableId="22D29ED5" w16cex:dateUtc="2020-08-03T19:33:00Z"/>
  <w16cex:commentExtensible w16cex:durableId="22D29EF5" w16cex:dateUtc="2020-08-03T19:34:00Z"/>
  <w16cex:commentExtensible w16cex:durableId="22CAD22A" w16cex:dateUtc="2020-07-28T21:34:00Z"/>
  <w16cex:commentExtensible w16cex:durableId="22CAD27E" w16cex:dateUtc="2020-07-28T21:36:00Z"/>
  <w16cex:commentExtensible w16cex:durableId="22CAD2E5" w16cex:dateUtc="2020-07-28T21:37:00Z"/>
  <w16cex:commentExtensible w16cex:durableId="22CAD402" w16cex:dateUtc="2020-07-28T21:42:00Z"/>
  <w16cex:commentExtensible w16cex:durableId="22D2CA3B" w16cex:dateUtc="2020-08-03T22:39:00Z"/>
  <w16cex:commentExtensible w16cex:durableId="22CAD437" w16cex:dateUtc="2020-07-28T21:43:00Z"/>
  <w16cex:commentExtensible w16cex:durableId="22D29F4B" w16cex:dateUtc="2020-08-03T19:35:00Z"/>
  <w16cex:commentExtensible w16cex:durableId="22CAD6F6" w16cex:dateUtc="2020-07-28T21:55:00Z"/>
  <w16cex:commentExtensible w16cex:durableId="22CAD704" w16cex:dateUtc="2020-07-28T21:55:00Z"/>
  <w16cex:commentExtensible w16cex:durableId="22D29F8C" w16cex:dateUtc="2020-08-03T19:37:00Z"/>
  <w16cex:commentExtensible w16cex:durableId="22CADBCA" w16cex:dateUtc="2020-07-28T22:15:00Z"/>
  <w16cex:commentExtensible w16cex:durableId="22CADBE7" w16cex:dateUtc="2020-07-28T22:16:00Z"/>
  <w16cex:commentExtensible w16cex:durableId="22CADC1E" w16cex:dateUtc="2020-07-28T22:17:00Z"/>
  <w16cex:commentExtensible w16cex:durableId="22D29FAB" w16cex:dateUtc="2020-08-03T19:37:00Z"/>
  <w16cex:commentExtensible w16cex:durableId="22D29FD0" w16cex:dateUtc="2020-08-03T19:38:00Z"/>
  <w16cex:commentExtensible w16cex:durableId="22D29FE7" w16cex:dateUtc="2020-08-03T19:38:00Z"/>
  <w16cex:commentExtensible w16cex:durableId="22CADC37" w16cex:dateUtc="2020-07-28T22:17:00Z"/>
  <w16cex:commentExtensible w16cex:durableId="22CADC72" w16cex:dateUtc="2020-07-28T22:18:00Z"/>
  <w16cex:commentExtensible w16cex:durableId="22D2A046" w16cex:dateUtc="2020-08-03T19:40:00Z"/>
  <w16cex:commentExtensible w16cex:durableId="22CADCE3" w16cex:dateUtc="2020-07-28T22:20:00Z"/>
  <w16cex:commentExtensible w16cex:durableId="22CAE0DF" w16cex:dateUtc="2020-07-28T22:37:00Z"/>
  <w16cex:commentExtensible w16cex:durableId="22CADF68" w16cex:dateUtc="2020-07-28T22:31:00Z"/>
  <w16cex:commentExtensible w16cex:durableId="22CAE087" w16cex:dateUtc="2020-07-28T2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859D54" w16cid:durableId="22CAC63F"/>
  <w16cid:commentId w16cid:paraId="17621B81" w16cid:durableId="22CAC6B3"/>
  <w16cid:commentId w16cid:paraId="5720BC53" w16cid:durableId="22D2B5BD"/>
  <w16cid:commentId w16cid:paraId="31D79F27" w16cid:durableId="22CACC89"/>
  <w16cid:commentId w16cid:paraId="08081547" w16cid:durableId="22D29E60"/>
  <w16cid:commentId w16cid:paraId="6CAD0732" w16cid:durableId="22D29E80"/>
  <w16cid:commentId w16cid:paraId="7C15C858" w16cid:durableId="22D29E8A"/>
  <w16cid:commentId w16cid:paraId="2F7A1E96" w16cid:durableId="22CACF1A"/>
  <w16cid:commentId w16cid:paraId="5B89B5F3" w16cid:durableId="22CACFC8"/>
  <w16cid:commentId w16cid:paraId="34E07DD5" w16cid:durableId="22CAD0FC"/>
  <w16cid:commentId w16cid:paraId="41678157" w16cid:durableId="22CAB90C"/>
  <w16cid:commentId w16cid:paraId="4E514B9E" w16cid:durableId="22D29ED5"/>
  <w16cid:commentId w16cid:paraId="4B363FB3" w16cid:durableId="22D29EF5"/>
  <w16cid:commentId w16cid:paraId="37C2820E" w16cid:durableId="22CAD22A"/>
  <w16cid:commentId w16cid:paraId="36D33CF1" w16cid:durableId="22CAD27E"/>
  <w16cid:commentId w16cid:paraId="787B31AF" w16cid:durableId="22CAD2E5"/>
  <w16cid:commentId w16cid:paraId="3E682F9F" w16cid:durableId="22CAD402"/>
  <w16cid:commentId w16cid:paraId="5FF73206" w16cid:durableId="22D2CA3B"/>
  <w16cid:commentId w16cid:paraId="54F773CE" w16cid:durableId="22CAD437"/>
  <w16cid:commentId w16cid:paraId="42DB3992" w16cid:durableId="22D29F4B"/>
  <w16cid:commentId w16cid:paraId="324CD4CA" w16cid:durableId="22CAD6F6"/>
  <w16cid:commentId w16cid:paraId="14B0E5F2" w16cid:durableId="22CAD704"/>
  <w16cid:commentId w16cid:paraId="591C3835" w16cid:durableId="22D29F8C"/>
  <w16cid:commentId w16cid:paraId="534160D8" w16cid:durableId="22CADBCA"/>
  <w16cid:commentId w16cid:paraId="6898EAD8" w16cid:durableId="22CADBE7"/>
  <w16cid:commentId w16cid:paraId="56A11D99" w16cid:durableId="22CADC1E"/>
  <w16cid:commentId w16cid:paraId="3A4A6185" w16cid:durableId="22D29FAB"/>
  <w16cid:commentId w16cid:paraId="2AB2C0D2" w16cid:durableId="22D29FD0"/>
  <w16cid:commentId w16cid:paraId="5424EBFC" w16cid:durableId="22D29FE7"/>
  <w16cid:commentId w16cid:paraId="362F5AB9" w16cid:durableId="22CADC37"/>
  <w16cid:commentId w16cid:paraId="39EADABC" w16cid:durableId="22CADC72"/>
  <w16cid:commentId w16cid:paraId="30E8EB58" w16cid:durableId="22D2A046"/>
  <w16cid:commentId w16cid:paraId="04105634" w16cid:durableId="22CADCE3"/>
  <w16cid:commentId w16cid:paraId="427F1DD0" w16cid:durableId="22CAE0DF"/>
  <w16cid:commentId w16cid:paraId="79C6D02B" w16cid:durableId="22CADF68"/>
  <w16cid:commentId w16cid:paraId="39525A0B" w16cid:durableId="22CAE0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F7A10" w14:textId="77777777" w:rsidR="00D20E63" w:rsidRDefault="00D20E63" w:rsidP="00C40A36">
      <w:pPr>
        <w:spacing w:after="0"/>
      </w:pPr>
      <w:r>
        <w:separator/>
      </w:r>
    </w:p>
  </w:endnote>
  <w:endnote w:type="continuationSeparator" w:id="0">
    <w:p w14:paraId="3B9CFD69" w14:textId="77777777" w:rsidR="00D20E63" w:rsidRDefault="00D20E63"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3DA75" w14:textId="77777777" w:rsidR="00D20E63" w:rsidRDefault="00D20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D20E63" w:rsidRPr="00487162" w14:paraId="6F23D95D" w14:textId="77777777" w:rsidTr="00DB750B">
      <w:trPr>
        <w:trHeight w:val="269"/>
      </w:trPr>
      <w:tc>
        <w:tcPr>
          <w:tcW w:w="7371" w:type="dxa"/>
          <w:tcMar>
            <w:top w:w="142" w:type="dxa"/>
            <w:bottom w:w="0" w:type="dxa"/>
          </w:tcMar>
        </w:tcPr>
        <w:p w14:paraId="5FD9A79E" w14:textId="5849D664" w:rsidR="00D20E63" w:rsidRPr="00487162" w:rsidRDefault="00D20E63" w:rsidP="00247395">
          <w:pPr>
            <w:pStyle w:val="Footer"/>
          </w:pPr>
          <w:r w:rsidRPr="00487162">
            <w:t>AusPA</w:t>
          </w:r>
          <w:r>
            <w:t xml:space="preserve">R - </w:t>
          </w:r>
          <w:r w:rsidRPr="00325641">
            <w:t>VENCLEXTA - venetoclax - AbbVie Pty Ltd - PM-2018-05208-1-6 and PM-2019-04393-1-6</w:t>
          </w:r>
          <w:r>
            <w:br/>
            <w:t>FINAL 24 September 2020</w:t>
          </w:r>
        </w:p>
      </w:tc>
      <w:tc>
        <w:tcPr>
          <w:tcW w:w="1490" w:type="dxa"/>
          <w:tcMar>
            <w:top w:w="142" w:type="dxa"/>
            <w:bottom w:w="0" w:type="dxa"/>
          </w:tcMar>
        </w:tcPr>
        <w:p w14:paraId="3C0035FC" w14:textId="19A19948" w:rsidR="00D20E63" w:rsidRPr="00487162" w:rsidRDefault="00D20E63" w:rsidP="00DB750B">
          <w:pPr>
            <w:pStyle w:val="Footer"/>
            <w:jc w:val="right"/>
          </w:pPr>
          <w:r w:rsidRPr="00487162">
            <w:t xml:space="preserve">Page </w:t>
          </w:r>
          <w:r>
            <w:fldChar w:fldCharType="begin"/>
          </w:r>
          <w:r>
            <w:instrText xml:space="preserve"> PAGE  \* Arabic </w:instrText>
          </w:r>
          <w:r>
            <w:fldChar w:fldCharType="separate"/>
          </w:r>
          <w:r w:rsidR="008E7235">
            <w:rPr>
              <w:noProof/>
            </w:rPr>
            <w:t>23</w:t>
          </w:r>
          <w:r>
            <w:fldChar w:fldCharType="end"/>
          </w:r>
          <w:r w:rsidRPr="00487162">
            <w:t xml:space="preserve"> of </w:t>
          </w:r>
          <w:fldSimple w:instr=" NUMPAGES  \* Arabic ">
            <w:r w:rsidR="008E7235">
              <w:rPr>
                <w:noProof/>
              </w:rPr>
              <w:t>24</w:t>
            </w:r>
          </w:fldSimple>
        </w:p>
      </w:tc>
    </w:tr>
  </w:tbl>
  <w:p w14:paraId="4D56B64D" w14:textId="77777777" w:rsidR="00D20E63" w:rsidRDefault="00D20E63"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D3AA9" w14:textId="77777777" w:rsidR="00D20E63" w:rsidRDefault="00D20E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20E63" w:rsidRPr="00487162" w14:paraId="34D75787" w14:textId="77777777" w:rsidTr="00E45619">
      <w:trPr>
        <w:trHeight w:val="269"/>
      </w:trPr>
      <w:tc>
        <w:tcPr>
          <w:tcW w:w="4519" w:type="dxa"/>
          <w:tcBorders>
            <w:top w:val="single" w:sz="4" w:space="0" w:color="auto"/>
          </w:tcBorders>
          <w:tcMar>
            <w:top w:w="142" w:type="dxa"/>
            <w:bottom w:w="0" w:type="dxa"/>
          </w:tcMar>
        </w:tcPr>
        <w:p w14:paraId="3B7DE668" w14:textId="77777777" w:rsidR="00D20E63" w:rsidRPr="00487162" w:rsidRDefault="00D20E63" w:rsidP="00FE1DEE">
          <w:pPr>
            <w:pStyle w:val="Footer"/>
          </w:pPr>
          <w:r w:rsidRPr="00487162">
            <w:t>Document title, Part #, Section # - Section title</w:t>
          </w:r>
        </w:p>
        <w:p w14:paraId="67FCFF1E" w14:textId="77777777" w:rsidR="00D20E63" w:rsidRPr="00487162" w:rsidRDefault="00D20E63" w:rsidP="00FE1DEE">
          <w:pPr>
            <w:pStyle w:val="Footer"/>
          </w:pPr>
          <w:r w:rsidRPr="00487162">
            <w:t>V1.0 October 2010</w:t>
          </w:r>
        </w:p>
      </w:tc>
      <w:tc>
        <w:tcPr>
          <w:tcW w:w="4342" w:type="dxa"/>
          <w:tcBorders>
            <w:top w:val="single" w:sz="4" w:space="0" w:color="auto"/>
          </w:tcBorders>
          <w:tcMar>
            <w:top w:w="142" w:type="dxa"/>
            <w:bottom w:w="0" w:type="dxa"/>
          </w:tcMar>
        </w:tcPr>
        <w:p w14:paraId="6FD40BD8" w14:textId="77777777" w:rsidR="00D20E63" w:rsidRPr="00487162" w:rsidRDefault="00D20E63"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14:paraId="4445ABD6" w14:textId="77777777" w:rsidR="00D20E63" w:rsidRDefault="00D20E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52CD8" w14:textId="77777777" w:rsidR="00D20E63" w:rsidRPr="001C32CD" w:rsidRDefault="00D20E63"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20E63" w14:paraId="6B76C845" w14:textId="77777777" w:rsidTr="0010601F">
      <w:trPr>
        <w:trHeight w:val="108"/>
      </w:trPr>
      <w:tc>
        <w:tcPr>
          <w:tcW w:w="8875" w:type="dxa"/>
          <w:gridSpan w:val="2"/>
          <w:tcBorders>
            <w:bottom w:val="single" w:sz="4" w:space="0" w:color="auto"/>
          </w:tcBorders>
          <w:tcMar>
            <w:right w:w="284" w:type="dxa"/>
          </w:tcMar>
        </w:tcPr>
        <w:p w14:paraId="6D654E3D" w14:textId="77777777" w:rsidR="00D20E63" w:rsidRDefault="00D20E63" w:rsidP="006E08B3">
          <w:pPr>
            <w:pStyle w:val="Heading3"/>
          </w:pPr>
          <w:r>
            <w:t>Copyright</w:t>
          </w:r>
        </w:p>
        <w:p w14:paraId="62775FB0" w14:textId="77777777" w:rsidR="00D20E63" w:rsidRDefault="00D20E63" w:rsidP="006E08B3">
          <w:r>
            <w:rPr>
              <w:rFonts w:cs="Arial"/>
            </w:rPr>
            <w:t>©</w:t>
          </w:r>
          <w:r>
            <w:t xml:space="preserve"> Commonwealth of Australia [add year]</w:t>
          </w:r>
        </w:p>
        <w:p w14:paraId="189EC193" w14:textId="77777777" w:rsidR="00D20E63" w:rsidRDefault="00D20E63" w:rsidP="006E08B3"/>
        <w:p w14:paraId="1D74E7B1" w14:textId="77777777" w:rsidR="00D20E63" w:rsidRDefault="00D20E63"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28E92920" w14:textId="77777777" w:rsidR="00D20E63" w:rsidRDefault="00D20E63" w:rsidP="006E08B3"/>
        <w:p w14:paraId="13DB7078" w14:textId="77777777" w:rsidR="00D20E63" w:rsidRDefault="00D20E63" w:rsidP="006E08B3">
          <w:pPr>
            <w:pStyle w:val="Heading3"/>
          </w:pPr>
          <w:r>
            <w:t>Confidentiality</w:t>
          </w:r>
        </w:p>
        <w:p w14:paraId="647655C7" w14:textId="77777777" w:rsidR="00D20E63" w:rsidRDefault="00D20E63"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2AC59740" w14:textId="77777777" w:rsidR="00D20E63" w:rsidRDefault="00D20E63" w:rsidP="006E08B3"/>
        <w:p w14:paraId="79483190" w14:textId="77777777" w:rsidR="00D20E63" w:rsidRDefault="00D20E63" w:rsidP="006E08B3">
          <w:r>
            <w:t>For submission made by individuals, all personal details, other than your name, will be removed from your submission before it is published on the TGA’s Internet site.</w:t>
          </w:r>
        </w:p>
        <w:p w14:paraId="61A24DCF" w14:textId="77777777" w:rsidR="00D20E63" w:rsidRDefault="00D20E63" w:rsidP="006E08B3"/>
        <w:p w14:paraId="2A8FD8A4" w14:textId="77777777" w:rsidR="00D20E63" w:rsidRDefault="00D20E63" w:rsidP="006E08B3">
          <w:r>
            <w:t>In addition, a list of parties making submissions will be published. If you do not wish to be identified with your submission you must specifically request this in the space provided ib the submission coversheet.</w:t>
          </w:r>
        </w:p>
      </w:tc>
    </w:tr>
    <w:tr w:rsidR="00D20E63" w14:paraId="7972CF67" w14:textId="77777777" w:rsidTr="0010601F">
      <w:trPr>
        <w:trHeight w:val="417"/>
      </w:trPr>
      <w:tc>
        <w:tcPr>
          <w:tcW w:w="4519" w:type="dxa"/>
          <w:tcBorders>
            <w:top w:val="single" w:sz="4" w:space="0" w:color="auto"/>
          </w:tcBorders>
          <w:tcMar>
            <w:top w:w="142" w:type="dxa"/>
            <w:bottom w:w="0" w:type="dxa"/>
          </w:tcMar>
        </w:tcPr>
        <w:p w14:paraId="46EDDDDA" w14:textId="77777777" w:rsidR="00D20E63" w:rsidRDefault="00D20E63" w:rsidP="006E08B3">
          <w:r>
            <w:t>Document title, Part #, Section # - Section title</w:t>
          </w:r>
        </w:p>
        <w:p w14:paraId="2E64C57E" w14:textId="77777777" w:rsidR="00D20E63" w:rsidRDefault="00D20E63" w:rsidP="006E08B3">
          <w:r>
            <w:t>V1.0 October 2010</w:t>
          </w:r>
        </w:p>
      </w:tc>
      <w:tc>
        <w:tcPr>
          <w:tcW w:w="4356" w:type="dxa"/>
          <w:tcBorders>
            <w:top w:val="single" w:sz="4" w:space="0" w:color="auto"/>
          </w:tcBorders>
          <w:tcMar>
            <w:top w:w="142" w:type="dxa"/>
            <w:bottom w:w="0" w:type="dxa"/>
          </w:tcMar>
        </w:tcPr>
        <w:p w14:paraId="6AF94FAF" w14:textId="4B79D2A3" w:rsidR="00D20E63" w:rsidRDefault="00D20E63" w:rsidP="006E08B3">
          <w:pPr>
            <w:jc w:val="right"/>
          </w:pPr>
          <w:r>
            <w:t xml:space="preserve">Page </w:t>
          </w:r>
          <w:r>
            <w:fldChar w:fldCharType="begin"/>
          </w:r>
          <w:r>
            <w:instrText xml:space="preserve"> PAGE   \* MERGEFORMAT </w:instrText>
          </w:r>
          <w:r>
            <w:fldChar w:fldCharType="separate"/>
          </w:r>
          <w:r>
            <w:rPr>
              <w:noProof/>
            </w:rPr>
            <w:t>i</w:t>
          </w:r>
          <w:r>
            <w:rPr>
              <w:noProof/>
            </w:rPr>
            <w:fldChar w:fldCharType="end"/>
          </w:r>
          <w:r>
            <w:t xml:space="preserve"> of </w:t>
          </w:r>
          <w:fldSimple w:instr=" NUMPAGES  \* Arabic ">
            <w:r>
              <w:rPr>
                <w:noProof/>
              </w:rPr>
              <w:t>33</w:t>
            </w:r>
          </w:fldSimple>
          <w:r>
            <w:t xml:space="preserve">  </w:t>
          </w:r>
        </w:p>
      </w:tc>
    </w:tr>
  </w:tbl>
  <w:p w14:paraId="448B92BC" w14:textId="77777777" w:rsidR="00D20E63" w:rsidRDefault="00D20E6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78325" w14:textId="77777777" w:rsidR="00D20E63" w:rsidRDefault="00D20E63" w:rsidP="00C40A36">
      <w:pPr>
        <w:spacing w:after="0"/>
      </w:pPr>
      <w:r>
        <w:separator/>
      </w:r>
    </w:p>
  </w:footnote>
  <w:footnote w:type="continuationSeparator" w:id="0">
    <w:p w14:paraId="53D5B2BF" w14:textId="77777777" w:rsidR="00D20E63" w:rsidRDefault="00D20E63" w:rsidP="00C40A36">
      <w:pPr>
        <w:spacing w:after="0"/>
      </w:pPr>
      <w:r>
        <w:continuationSeparator/>
      </w:r>
    </w:p>
  </w:footnote>
  <w:footnote w:id="1">
    <w:p w14:paraId="2CEC2AC5" w14:textId="77777777" w:rsidR="00D20E63" w:rsidRDefault="00D20E63" w:rsidP="00A941C6">
      <w:pPr>
        <w:pStyle w:val="FootnoteText"/>
      </w:pPr>
      <w:r>
        <w:rPr>
          <w:rStyle w:val="FootnoteReference"/>
        </w:rPr>
        <w:footnoteRef/>
      </w:r>
      <w:r>
        <w:t xml:space="preserve"> </w:t>
      </w:r>
      <w:r w:rsidRPr="004F1766">
        <w:t xml:space="preserve">As part of the </w:t>
      </w:r>
      <w:r w:rsidRPr="004F1766">
        <w:rPr>
          <w:b/>
        </w:rPr>
        <w:t>provisional approval pathway</w:t>
      </w:r>
      <w:r w:rsidRPr="004F1766">
        <w:t xml:space="preserve">, the provisional registration process will allow certain medicines to be provisionally registered in the Australian Register of Therapeutic Goods (ARTG) for a limited duration. These medicines are registered on the basis of preliminary clinical data, </w:t>
      </w:r>
      <w:r w:rsidRPr="00EB50A5">
        <w:t>where there is the potential for a substantial</w:t>
      </w:r>
      <w:r>
        <w:t xml:space="preserve"> benefit to Australian patients</w:t>
      </w:r>
      <w:r w:rsidRPr="004F1766">
        <w:t>.</w:t>
      </w:r>
      <w:r>
        <w:t xml:space="preserve"> The TGA</w:t>
      </w:r>
      <w:r w:rsidRPr="00EB50A5">
        <w:t xml:space="preserve"> will re-assess risks related to the absence of evidence through data provided at a later stage, as part of the confirmatory data. Confirmatory data should confirm the relationship between outcomes predicted by the surrogate endpoint, or other preliminary data, and the clinical benefit as demonstrated by direct clinical outcomes.</w:t>
      </w:r>
    </w:p>
    <w:p w14:paraId="7B3184A1" w14:textId="77777777" w:rsidR="00D20E63" w:rsidRDefault="00D20E63" w:rsidP="00A941C6">
      <w:pPr>
        <w:pStyle w:val="FootnoteText"/>
      </w:pPr>
      <w:r w:rsidRPr="008C4CF4">
        <w:t>The provisional registrati</w:t>
      </w:r>
      <w:r>
        <w:t xml:space="preserve">on period is </w:t>
      </w:r>
      <w:r w:rsidRPr="008C4CF4">
        <w:t>2 years starting on the day registration commences</w:t>
      </w:r>
      <w:r>
        <w:t xml:space="preserve">. </w:t>
      </w:r>
      <w:r w:rsidRPr="008C4CF4">
        <w:t xml:space="preserve">Up to two extensions of up to 2 years </w:t>
      </w:r>
      <w:r>
        <w:t>can be applied for</w:t>
      </w:r>
      <w:r w:rsidRPr="008C4CF4">
        <w:t xml:space="preserve">, resulting in a possible maximum provisional registration period of 6 years. </w:t>
      </w:r>
      <w:r>
        <w:t xml:space="preserve">The sponsor may apply to </w:t>
      </w:r>
      <w:r w:rsidRPr="00CF146B">
        <w:t xml:space="preserve">transition to full registration at any time up until the provisional registration lapse date, </w:t>
      </w:r>
      <w:r>
        <w:t>once they have</w:t>
      </w:r>
      <w:r w:rsidRPr="00CF146B">
        <w:t xml:space="preserve"> completed the obligations outlined for the provisional registration period and complete confirmatory data on safety and efficacy are available.</w:t>
      </w:r>
    </w:p>
  </w:footnote>
  <w:footnote w:id="2">
    <w:p w14:paraId="1523B146" w14:textId="77777777" w:rsidR="00D20E63" w:rsidRDefault="00D20E63" w:rsidP="00A941C6">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3">
    <w:p w14:paraId="50E9F670" w14:textId="335EF79D" w:rsidR="00D20E63" w:rsidRDefault="00D20E63" w:rsidP="007D1DC5">
      <w:pPr>
        <w:pStyle w:val="FootnoteText"/>
      </w:pPr>
      <w:r>
        <w:rPr>
          <w:rStyle w:val="FootnoteReference"/>
        </w:rPr>
        <w:footnoteRef/>
      </w:r>
      <w:r>
        <w:t xml:space="preserve"> </w:t>
      </w:r>
      <w:r w:rsidRPr="0033657D">
        <w:t>Showel MM and Levis M. (2014).</w:t>
      </w:r>
      <w:r>
        <w:t xml:space="preserve"> </w:t>
      </w:r>
      <w:r w:rsidRPr="00A45D5C">
        <w:t>Advances in treating acute myeloid leukemia</w:t>
      </w:r>
      <w:r>
        <w:t xml:space="preserve">. </w:t>
      </w:r>
      <w:r>
        <w:rPr>
          <w:i/>
          <w:iCs/>
        </w:rPr>
        <w:t>F1000Prime Rep</w:t>
      </w:r>
      <w:r>
        <w:t>, 6:96. doi:10.12703/P6-96</w:t>
      </w:r>
    </w:p>
  </w:footnote>
  <w:footnote w:id="4">
    <w:p w14:paraId="627717FF" w14:textId="2C24B8E6" w:rsidR="00D20E63" w:rsidRDefault="00D20E63">
      <w:pPr>
        <w:pStyle w:val="FootnoteText"/>
      </w:pPr>
      <w:r>
        <w:rPr>
          <w:rStyle w:val="FootnoteReference"/>
        </w:rPr>
        <w:footnoteRef/>
      </w:r>
      <w:r>
        <w:t xml:space="preserve"> </w:t>
      </w:r>
      <w:r w:rsidRPr="00A45D5C">
        <w:rPr>
          <w:lang w:val="en-GB" w:eastAsia="en-AU"/>
        </w:rPr>
        <w:t>Deschler B., Lübbert M. (2008)</w:t>
      </w:r>
      <w:r>
        <w:rPr>
          <w:lang w:val="en-GB" w:eastAsia="en-AU"/>
        </w:rPr>
        <w:t>.</w:t>
      </w:r>
      <w:r w:rsidRPr="00A45D5C">
        <w:rPr>
          <w:lang w:val="en-GB" w:eastAsia="en-AU"/>
        </w:rPr>
        <w:t xml:space="preserve"> Acute Myeloid Leukemia: Epidemiology and Etiology. In: </w:t>
      </w:r>
      <w:r w:rsidRPr="007D1DC5">
        <w:t>Acute Leukemias. Hematologic Malignancies. Springer, Berlin, Heidelberg. https://doi.org/10.1007/978-3-540-72304-2_3</w:t>
      </w:r>
    </w:p>
  </w:footnote>
  <w:footnote w:id="5">
    <w:p w14:paraId="6AA92058" w14:textId="6456FDE3" w:rsidR="00D20E63" w:rsidRDefault="00D20E63">
      <w:pPr>
        <w:pStyle w:val="FootnoteText"/>
      </w:pPr>
      <w:r>
        <w:rPr>
          <w:rStyle w:val="FootnoteReference"/>
        </w:rPr>
        <w:footnoteRef/>
      </w:r>
      <w:r>
        <w:t xml:space="preserve"> </w:t>
      </w:r>
      <w:r w:rsidRPr="007D1DC5">
        <w:t>Vardiman JW et al. (2009). The 2008 revision of the World Health Organization (WHO) classification of myeloid neoplasms and acute leukemia: rationale and important changes. Blood, 114 (5): 937–951. doi: 10.1182/blood-2009-03-209262</w:t>
      </w:r>
    </w:p>
  </w:footnote>
  <w:footnote w:id="6">
    <w:p w14:paraId="2569E9A9" w14:textId="25639D4A" w:rsidR="00D20E63" w:rsidRDefault="00D20E63">
      <w:pPr>
        <w:pStyle w:val="FootnoteText"/>
      </w:pPr>
      <w:r>
        <w:rPr>
          <w:rStyle w:val="FootnoteReference"/>
        </w:rPr>
        <w:footnoteRef/>
      </w:r>
      <w:r>
        <w:t xml:space="preserve"> </w:t>
      </w:r>
      <w:r w:rsidRPr="008630F2">
        <w:t xml:space="preserve">Bryan JC, Jabbour EJ. </w:t>
      </w:r>
      <w:r>
        <w:t xml:space="preserve">(2015). </w:t>
      </w:r>
      <w:r w:rsidRPr="008630F2">
        <w:t>Management of Relapsed/Refractory Acute Myeloid Leukemia in the Elderly: Current Strategies and Developments. </w:t>
      </w:r>
      <w:r w:rsidRPr="008630F2">
        <w:rPr>
          <w:i/>
        </w:rPr>
        <w:t>Drugs Aging</w:t>
      </w:r>
      <w:r>
        <w:rPr>
          <w:i/>
        </w:rPr>
        <w:t>.</w:t>
      </w:r>
      <w:r>
        <w:t xml:space="preserve"> </w:t>
      </w:r>
      <w:r w:rsidRPr="008630F2">
        <w:t>32(8):623-637. doi:10.1007/s40266-015-0285-6</w:t>
      </w:r>
    </w:p>
  </w:footnote>
  <w:footnote w:id="7">
    <w:p w14:paraId="3E154377" w14:textId="316DED7C" w:rsidR="00D20E63" w:rsidRDefault="00D20E63">
      <w:pPr>
        <w:pStyle w:val="FootnoteText"/>
      </w:pPr>
      <w:r>
        <w:rPr>
          <w:rStyle w:val="FootnoteReference"/>
        </w:rPr>
        <w:footnoteRef/>
      </w:r>
      <w:r>
        <w:t xml:space="preserve"> Australian Institute of Health and Welfare 2017. Cancer in Australia 2017. Cancer series no.101. Cat. no. CAN 100. Canberra: AIHW.</w:t>
      </w:r>
    </w:p>
  </w:footnote>
  <w:footnote w:id="8">
    <w:p w14:paraId="5087302A" w14:textId="4A600D0D" w:rsidR="00D20E63" w:rsidRPr="002F20E0" w:rsidRDefault="00D20E63">
      <w:pPr>
        <w:pStyle w:val="FootnoteText"/>
      </w:pPr>
      <w:r>
        <w:rPr>
          <w:rStyle w:val="FootnoteReference"/>
        </w:rPr>
        <w:footnoteRef/>
      </w:r>
      <w:r>
        <w:t xml:space="preserve"> Thein MS et al. (2013).</w:t>
      </w:r>
      <w:r w:rsidRPr="0033657D">
        <w:t xml:space="preserve"> Outcome of older patients with acute myeloid leukemia: an analysis of SEER data over 3 decades.</w:t>
      </w:r>
      <w:r w:rsidRPr="0033657D">
        <w:rPr>
          <w:i/>
        </w:rPr>
        <w:t> Cancer</w:t>
      </w:r>
      <w:r>
        <w:t xml:space="preserve">, </w:t>
      </w:r>
      <w:r w:rsidRPr="0033657D">
        <w:t>119(15):2720-2727. doi:10.1002/cncr.28129</w:t>
      </w:r>
    </w:p>
  </w:footnote>
  <w:footnote w:id="9">
    <w:p w14:paraId="01CFBD36" w14:textId="7B984683" w:rsidR="00D20E63" w:rsidRDefault="00D20E63">
      <w:pPr>
        <w:pStyle w:val="FootnoteText"/>
      </w:pPr>
      <w:r>
        <w:rPr>
          <w:rStyle w:val="FootnoteReference"/>
        </w:rPr>
        <w:footnoteRef/>
      </w:r>
      <w:r>
        <w:t xml:space="preserve"> </w:t>
      </w:r>
      <w:r>
        <w:rPr>
          <w:shd w:val="clear" w:color="auto" w:fill="FFFFFF"/>
        </w:rPr>
        <w:t xml:space="preserve">Nazha A, Ravandi F. (2014). Acute myeloid leukemia in the elderly: do we know who </w:t>
      </w:r>
      <w:r w:rsidRPr="0033657D">
        <w:t>should</w:t>
      </w:r>
      <w:r>
        <w:rPr>
          <w:shd w:val="clear" w:color="auto" w:fill="FFFFFF"/>
        </w:rPr>
        <w:t xml:space="preserve"> be treated and how? </w:t>
      </w:r>
      <w:r>
        <w:rPr>
          <w:i/>
          <w:iCs/>
          <w:shd w:val="clear" w:color="auto" w:fill="FFFFFF"/>
        </w:rPr>
        <w:t>Leuk Lymphoma</w:t>
      </w:r>
      <w:r>
        <w:rPr>
          <w:shd w:val="clear" w:color="auto" w:fill="FFFFFF"/>
        </w:rPr>
        <w:t>, 55(5):979-987. doi:10.3109/10428194.2013.828348</w:t>
      </w:r>
    </w:p>
  </w:footnote>
  <w:footnote w:id="10">
    <w:p w14:paraId="7EFC56AA" w14:textId="3EA0AF9C" w:rsidR="00D20E63" w:rsidRPr="000202EE" w:rsidRDefault="00D20E63">
      <w:pPr>
        <w:pStyle w:val="FootnoteText"/>
        <w:rPr>
          <w:lang w:val="en-US"/>
        </w:rPr>
      </w:pPr>
      <w:r>
        <w:rPr>
          <w:rStyle w:val="FootnoteReference"/>
        </w:rPr>
        <w:footnoteRef/>
      </w:r>
      <w:r>
        <w:t xml:space="preserve"> The </w:t>
      </w:r>
      <w:r w:rsidRPr="000202EE">
        <w:rPr>
          <w:b/>
        </w:rPr>
        <w:t>National Comprehensive Cancer Network (NCCN)</w:t>
      </w:r>
      <w:r>
        <w:t xml:space="preserve"> is an alliance of 30 cancer centre</w:t>
      </w:r>
      <w:r w:rsidRPr="00E33436">
        <w:t>s in the United States, most of which are designated by the National</w:t>
      </w:r>
      <w:r>
        <w:t xml:space="preserve"> Cancer Institute (one of the US</w:t>
      </w:r>
      <w:r w:rsidRPr="00E33436">
        <w:t xml:space="preserve"> National Institutes of Healt</w:t>
      </w:r>
      <w:r>
        <w:t>h) as comprehensive cancer cent</w:t>
      </w:r>
      <w:r w:rsidRPr="00E33436">
        <w:t>r</w:t>
      </w:r>
      <w:r>
        <w:t>es. It is a non-profit organis</w:t>
      </w:r>
      <w:r w:rsidRPr="00E33436">
        <w:t>ation with offices in Plymouth Meeting, Pennsylvania</w:t>
      </w:r>
      <w:r>
        <w:t>, USA</w:t>
      </w:r>
      <w:r w:rsidRPr="00E33436">
        <w:t>.</w:t>
      </w:r>
    </w:p>
  </w:footnote>
  <w:footnote w:id="11">
    <w:p w14:paraId="151B12EB" w14:textId="75F58450" w:rsidR="00D20E63" w:rsidRPr="000202EE" w:rsidRDefault="00D20E63">
      <w:pPr>
        <w:pStyle w:val="FootnoteText"/>
        <w:rPr>
          <w:lang w:val="en-US"/>
        </w:rPr>
      </w:pPr>
      <w:r>
        <w:rPr>
          <w:rStyle w:val="FootnoteReference"/>
        </w:rPr>
        <w:footnoteRef/>
      </w:r>
      <w:r>
        <w:t xml:space="preserve"> </w:t>
      </w:r>
      <w:r w:rsidRPr="00EE0984">
        <w:t xml:space="preserve">The objective of the </w:t>
      </w:r>
      <w:r w:rsidRPr="000202EE">
        <w:rPr>
          <w:b/>
        </w:rPr>
        <w:t>European LeukemiaNet (ELN)</w:t>
      </w:r>
      <w:r w:rsidRPr="00EE0984">
        <w:t xml:space="preserve"> is to integrate the leading leukaemia trial groups (chronic myeloid leukaemia (CML), acute myeloid leukaemia (AML), acute lymphoid anaemia (ALL), chronic lymphoid leukaemia (CLL), myelodysplastic syndrome (MDS), and chronic myeloproliferative disorders (CMPD)), their interdisciplinary partners (diagnostics, treatment research, registry, guidelines), industry and subject matter experts across Europe to form a cooperative network for advancements in leukaemia-related research and health care and cure.</w:t>
      </w:r>
    </w:p>
  </w:footnote>
  <w:footnote w:id="12">
    <w:p w14:paraId="424FB197" w14:textId="540DDC90" w:rsidR="00D20E63" w:rsidRDefault="00D20E63">
      <w:pPr>
        <w:pStyle w:val="FootnoteText"/>
      </w:pPr>
      <w:r>
        <w:rPr>
          <w:rStyle w:val="FootnoteReference"/>
        </w:rPr>
        <w:footnoteRef/>
      </w:r>
      <w:r>
        <w:t xml:space="preserve"> </w:t>
      </w:r>
      <w:r w:rsidRPr="00921343">
        <w:t>Al-</w:t>
      </w:r>
      <w:r>
        <w:t>Ali HK</w:t>
      </w:r>
      <w:r w:rsidRPr="00921343">
        <w:t>.</w:t>
      </w:r>
      <w:r>
        <w:t xml:space="preserve"> (2014).</w:t>
      </w:r>
      <w:r w:rsidRPr="00921343">
        <w:t xml:space="preserve"> The role of hypomethylating agents in the treatment of elderly patients with AML. </w:t>
      </w:r>
      <w:r w:rsidRPr="0033657D">
        <w:rPr>
          <w:i/>
        </w:rPr>
        <w:t>J Geriatr Oncol</w:t>
      </w:r>
      <w:r>
        <w:rPr>
          <w:i/>
        </w:rPr>
        <w:t xml:space="preserve">, </w:t>
      </w:r>
      <w:r w:rsidRPr="00921343">
        <w:t>5(1):89-105</w:t>
      </w:r>
    </w:p>
  </w:footnote>
  <w:footnote w:id="13">
    <w:p w14:paraId="2FB143BF" w14:textId="2831B8D6" w:rsidR="00D20E63" w:rsidRPr="00B44419" w:rsidRDefault="00D20E63">
      <w:pPr>
        <w:pStyle w:val="FootnoteText"/>
      </w:pPr>
      <w:r>
        <w:rPr>
          <w:rStyle w:val="FootnoteReference"/>
        </w:rPr>
        <w:footnoteRef/>
      </w:r>
      <w:r>
        <w:t xml:space="preserve"> </w:t>
      </w:r>
      <w:r w:rsidRPr="0037188E">
        <w:t xml:space="preserve">Erba HP. </w:t>
      </w:r>
      <w:r>
        <w:t xml:space="preserve">(2015). </w:t>
      </w:r>
      <w:r w:rsidRPr="0037188E">
        <w:t>Finding the optimal combination therapy for the treatment of newly diagnosed AML in older patients unfit for i</w:t>
      </w:r>
      <w:r>
        <w:t xml:space="preserve">ntensive therapy. </w:t>
      </w:r>
      <w:r w:rsidRPr="0033657D">
        <w:rPr>
          <w:i/>
        </w:rPr>
        <w:t>Leuk Res</w:t>
      </w:r>
      <w:r>
        <w:t xml:space="preserve">, </w:t>
      </w:r>
      <w:r w:rsidRPr="0037188E">
        <w:t>39(2):183-91</w:t>
      </w:r>
    </w:p>
  </w:footnote>
  <w:footnote w:id="14">
    <w:p w14:paraId="6D3B937F" w14:textId="62EDE95D" w:rsidR="00D20E63" w:rsidRDefault="00D20E63">
      <w:pPr>
        <w:pStyle w:val="FootnoteText"/>
      </w:pPr>
      <w:r>
        <w:rPr>
          <w:rStyle w:val="FootnoteReference"/>
        </w:rPr>
        <w:footnoteRef/>
      </w:r>
      <w:r>
        <w:t xml:space="preserve"> </w:t>
      </w:r>
      <w:r w:rsidRPr="0033657D">
        <w:t>Cruijsen M et al. (2015). Clinical results of hypomethylating agents in AML treatment. J Clin Med;4:1-17.</w:t>
      </w:r>
    </w:p>
  </w:footnote>
  <w:footnote w:id="15">
    <w:p w14:paraId="4A740CD9" w14:textId="6E3D604B" w:rsidR="00D20E63" w:rsidRPr="00862B33" w:rsidRDefault="00D20E63" w:rsidP="00862B33">
      <w:pPr>
        <w:pStyle w:val="FootnoteText"/>
      </w:pPr>
      <w:r>
        <w:rPr>
          <w:rStyle w:val="FootnoteReference"/>
        </w:rPr>
        <w:footnoteRef/>
      </w:r>
      <w:r>
        <w:t xml:space="preserve"> </w:t>
      </w:r>
      <w:r w:rsidRPr="00124ACD">
        <w:rPr>
          <w:b/>
          <w:lang w:eastAsia="ja-JP"/>
        </w:rPr>
        <w:t>ECOG Performance Status</w:t>
      </w:r>
      <w:r>
        <w:rPr>
          <w:b/>
          <w:lang w:eastAsia="ja-JP"/>
        </w:rPr>
        <w:t>:</w:t>
      </w:r>
      <w:r>
        <w:rPr>
          <w:lang w:eastAsia="ja-JP"/>
        </w:rPr>
        <w:t xml:space="preserve"> The Eastern Cooperative Oncology Group (ECOG</w:t>
      </w:r>
      <w:r w:rsidRPr="00862B33">
        <w:t>) has developed criteria used by doctors and researchers to assess how a patient's disease is progressing, assess how the disease affects the daily living abilities of the patient, and determine appropriate treatment and pro</w:t>
      </w:r>
      <w:r>
        <w:t>gnosis. The following are used:</w:t>
      </w:r>
    </w:p>
    <w:p w14:paraId="611DC8C2" w14:textId="77777777" w:rsidR="00D20E63" w:rsidRPr="00862B33" w:rsidRDefault="00D20E63" w:rsidP="00862B33">
      <w:pPr>
        <w:pStyle w:val="FootnoteText"/>
      </w:pPr>
      <w:r w:rsidRPr="00862B33">
        <w:t>0 - Fully active, able to carry on all pre-disease performance without restriction</w:t>
      </w:r>
    </w:p>
    <w:p w14:paraId="4EAB91D8" w14:textId="77777777" w:rsidR="00D20E63" w:rsidRPr="00862B33" w:rsidRDefault="00D20E63" w:rsidP="00862B33">
      <w:pPr>
        <w:pStyle w:val="FootnoteText"/>
      </w:pPr>
      <w:r w:rsidRPr="00862B33">
        <w:t>1- Restricted in physically strenuous activity but ambulatory and able to carry out work of a light or sedentary nature, e.g., light house work, office work</w:t>
      </w:r>
    </w:p>
    <w:p w14:paraId="2706DD5E" w14:textId="77777777" w:rsidR="00D20E63" w:rsidRPr="00862B33" w:rsidRDefault="00D20E63" w:rsidP="00862B33">
      <w:pPr>
        <w:pStyle w:val="FootnoteText"/>
      </w:pPr>
      <w:r w:rsidRPr="00862B33">
        <w:t>2 - Ambulatory and capable of all selfcare but unable to carry out any work activities. Up and about more than 50% of waking hours</w:t>
      </w:r>
    </w:p>
    <w:p w14:paraId="4D672714" w14:textId="77777777" w:rsidR="00D20E63" w:rsidRPr="00862B33" w:rsidRDefault="00D20E63" w:rsidP="00862B33">
      <w:pPr>
        <w:pStyle w:val="FootnoteText"/>
      </w:pPr>
      <w:r w:rsidRPr="00862B33">
        <w:t>3 - Capable of only limited selfcare, confined to bed or chair more than 50% of waking hours</w:t>
      </w:r>
    </w:p>
    <w:p w14:paraId="0953127F" w14:textId="77777777" w:rsidR="00D20E63" w:rsidRPr="00862B33" w:rsidRDefault="00D20E63" w:rsidP="00862B33">
      <w:pPr>
        <w:pStyle w:val="FootnoteText"/>
      </w:pPr>
      <w:r w:rsidRPr="00862B33">
        <w:t>4 - Completely disabled. Cannot carry on any selfcare. Totally confined to bed or chair</w:t>
      </w:r>
    </w:p>
    <w:p w14:paraId="242E960F" w14:textId="3EE4F545" w:rsidR="00D20E63" w:rsidRPr="00862B33" w:rsidRDefault="00D20E63" w:rsidP="00B51BD1">
      <w:pPr>
        <w:pStyle w:val="FootnoteText"/>
      </w:pPr>
      <w:r>
        <w:t>5 – Dead</w:t>
      </w:r>
    </w:p>
  </w:footnote>
  <w:footnote w:id="16">
    <w:p w14:paraId="6085C7A0" w14:textId="5F0D6A6B" w:rsidR="00D20E63" w:rsidRPr="000202EE" w:rsidRDefault="00D20E63">
      <w:pPr>
        <w:pStyle w:val="FootnoteText"/>
        <w:rPr>
          <w:lang w:val="en-US"/>
        </w:rPr>
      </w:pPr>
      <w:r>
        <w:rPr>
          <w:rStyle w:val="FootnoteReference"/>
        </w:rPr>
        <w:footnoteRef/>
      </w:r>
      <w:r>
        <w:t xml:space="preserve"> </w:t>
      </w:r>
      <w:r w:rsidRPr="00C968F2">
        <w:t xml:space="preserve">The </w:t>
      </w:r>
      <w:r w:rsidRPr="000202EE">
        <w:rPr>
          <w:b/>
        </w:rPr>
        <w:t>European Society for Medical Oncology (ESMO)</w:t>
      </w:r>
      <w:r w:rsidRPr="00C968F2">
        <w:t xml:space="preserve"> is Europe’s leading professional organisation for medical oncology. With more than 25,000 members representing oncology professionals from over 160 countries worldwide, ESMO creates a society of reference for oncology education and information.</w:t>
      </w:r>
    </w:p>
  </w:footnote>
  <w:footnote w:id="17">
    <w:p w14:paraId="2DFB5746" w14:textId="058E831B" w:rsidR="00D20E63" w:rsidRPr="008345BD" w:rsidRDefault="00D20E63">
      <w:pPr>
        <w:pStyle w:val="FootnoteText"/>
      </w:pPr>
      <w:r>
        <w:rPr>
          <w:rStyle w:val="FootnoteReference"/>
        </w:rPr>
        <w:footnoteRef/>
      </w:r>
      <w:r>
        <w:t xml:space="preserve"> Fey MF, Buske C. (2013). </w:t>
      </w:r>
      <w:r w:rsidRPr="0037188E">
        <w:t>ESMO Guidelines Working Group. Acute myeloblastic leukaemias in adult patients: ESMO Clinical Practice Guidelines for diagnosis, treatment</w:t>
      </w:r>
      <w:r>
        <w:t xml:space="preserve"> and follow up. </w:t>
      </w:r>
      <w:r w:rsidRPr="0033657D">
        <w:rPr>
          <w:i/>
        </w:rPr>
        <w:t>Ann Oncol,</w:t>
      </w:r>
      <w:r>
        <w:t xml:space="preserve"> 24 (Suppl 6):vi138-43.</w:t>
      </w:r>
    </w:p>
  </w:footnote>
  <w:footnote w:id="18">
    <w:p w14:paraId="06B0103A" w14:textId="680B63D4" w:rsidR="00D20E63" w:rsidRDefault="00D20E63">
      <w:pPr>
        <w:pStyle w:val="FootnoteText"/>
      </w:pPr>
      <w:r>
        <w:rPr>
          <w:rStyle w:val="FootnoteReference"/>
        </w:rPr>
        <w:footnoteRef/>
      </w:r>
      <w:r>
        <w:t xml:space="preserve"> </w:t>
      </w:r>
      <w:r w:rsidRPr="00921343">
        <w:t>O'Donnell M</w:t>
      </w:r>
      <w:r>
        <w:t>R</w:t>
      </w:r>
      <w:r w:rsidRPr="00921343">
        <w:t>, et al.</w:t>
      </w:r>
      <w:r>
        <w:t xml:space="preserve"> (2017).</w:t>
      </w:r>
      <w:r w:rsidRPr="00921343">
        <w:t xml:space="preserve"> Acute myeloid </w:t>
      </w:r>
      <w:r w:rsidRPr="0033657D">
        <w:t>leukemia</w:t>
      </w:r>
      <w:r w:rsidRPr="00921343">
        <w:t>, version 3.2017, NCCN Clinical Practice Guidelines in Oncolo</w:t>
      </w:r>
      <w:r>
        <w:t>gy</w:t>
      </w:r>
      <w:r w:rsidRPr="00246B9D">
        <w:rPr>
          <w:i/>
        </w:rPr>
        <w:t>. J Natl Compr CancNetw</w:t>
      </w:r>
      <w:r w:rsidRPr="0033657D">
        <w:t>,</w:t>
      </w:r>
      <w:r>
        <w:t xml:space="preserve"> </w:t>
      </w:r>
      <w:r w:rsidRPr="00921343">
        <w:t>15:926–57.</w:t>
      </w:r>
    </w:p>
  </w:footnote>
  <w:footnote w:id="19">
    <w:p w14:paraId="0FA644A5" w14:textId="2953DA51" w:rsidR="00D20E63" w:rsidRPr="0090723A" w:rsidRDefault="00D20E63">
      <w:pPr>
        <w:pStyle w:val="FootnoteText"/>
      </w:pPr>
      <w:r>
        <w:rPr>
          <w:rStyle w:val="FootnoteReference"/>
        </w:rPr>
        <w:footnoteRef/>
      </w:r>
      <w:r>
        <w:t xml:space="preserve"> </w:t>
      </w:r>
      <w:r w:rsidRPr="00921343">
        <w:t xml:space="preserve">Cancer Australia. Clinical practice guidelines for Leukaemia for Health Professionals. Available from: </w:t>
      </w:r>
      <w:r w:rsidRPr="00247395">
        <w:t>https://leukaemia.canceraustralia.gov.au/health-professionals</w:t>
      </w:r>
      <w:r>
        <w:t xml:space="preserve">. </w:t>
      </w:r>
      <w:r w:rsidRPr="00921343">
        <w:t>Last accessed</w:t>
      </w:r>
      <w:r>
        <w:t xml:space="preserve"> 6 January 2020.</w:t>
      </w:r>
    </w:p>
  </w:footnote>
  <w:footnote w:id="20">
    <w:p w14:paraId="1B2C349F" w14:textId="7ED81919" w:rsidR="00D20E63" w:rsidRPr="00246B9D" w:rsidRDefault="00D20E63">
      <w:pPr>
        <w:pStyle w:val="FootnoteText"/>
      </w:pPr>
      <w:r>
        <w:rPr>
          <w:rStyle w:val="FootnoteReference"/>
        </w:rPr>
        <w:footnoteRef/>
      </w:r>
      <w:r>
        <w:t xml:space="preserve"> </w:t>
      </w:r>
      <w:r w:rsidRPr="0033657D">
        <w:t>V</w:t>
      </w:r>
      <w:r>
        <w:t xml:space="preserve">idaza </w:t>
      </w:r>
      <w:r w:rsidRPr="0033657D">
        <w:t>Product Information. Version 1.12, dated 17 January 2018. Sponsored by Celgene Pty Limited.</w:t>
      </w:r>
    </w:p>
  </w:footnote>
  <w:footnote w:id="21">
    <w:p w14:paraId="3D87ED8F" w14:textId="52843901" w:rsidR="00D20E63" w:rsidRPr="00C23B8B" w:rsidRDefault="00D20E63">
      <w:pPr>
        <w:pStyle w:val="FootnoteText"/>
      </w:pPr>
      <w:r w:rsidRPr="0086440F">
        <w:rPr>
          <w:rStyle w:val="FootnoteReference"/>
        </w:rPr>
        <w:footnoteRef/>
      </w:r>
      <w:r w:rsidRPr="0033657D">
        <w:rPr>
          <w:vertAlign w:val="superscript"/>
        </w:rPr>
        <w:t xml:space="preserve"> </w:t>
      </w:r>
      <w:r w:rsidRPr="0033657D">
        <w:t>C</w:t>
      </w:r>
      <w:r>
        <w:t xml:space="preserve">ytarabine Product Information, dated </w:t>
      </w:r>
      <w:r w:rsidRPr="0033657D">
        <w:t>1 November 2017. Sponsored by Pfizer Australia Pty Limited.</w:t>
      </w:r>
    </w:p>
  </w:footnote>
  <w:footnote w:id="22">
    <w:p w14:paraId="3FD9074B" w14:textId="22895821" w:rsidR="00D20E63" w:rsidRDefault="00D20E63">
      <w:pPr>
        <w:pStyle w:val="FootnoteText"/>
      </w:pPr>
      <w:r>
        <w:rPr>
          <w:rStyle w:val="FootnoteReference"/>
        </w:rPr>
        <w:footnoteRef/>
      </w:r>
      <w:r>
        <w:t xml:space="preserve"> The FDA’s </w:t>
      </w:r>
      <w:r w:rsidRPr="008E1E45">
        <w:rPr>
          <w:b/>
        </w:rPr>
        <w:t>accelerated approval</w:t>
      </w:r>
      <w:r>
        <w:t xml:space="preserve"> approach allows</w:t>
      </w:r>
      <w:r w:rsidRPr="00C37195">
        <w:t xml:space="preserve"> drugs fo</w:t>
      </w:r>
      <w:r>
        <w:t>r serious conditions that fill</w:t>
      </w:r>
      <w:r w:rsidRPr="00C37195">
        <w:t xml:space="preserve"> an unmet medical need to be approve</w:t>
      </w:r>
      <w:r>
        <w:t>d based on a surrogate endpoint or an intermediate clinical endpoint</w:t>
      </w:r>
      <w:r w:rsidRPr="00C37195">
        <w:t>.</w:t>
      </w:r>
      <w:r>
        <w:t xml:space="preserve"> In the accelerated approval process, a</w:t>
      </w:r>
      <w:r w:rsidRPr="008E1E45">
        <w:t xml:space="preserve"> surrogate endpoint </w:t>
      </w:r>
      <w:r>
        <w:t xml:space="preserve">is a marker, for example </w:t>
      </w:r>
      <w:r w:rsidRPr="008E1E45">
        <w:t xml:space="preserve">a laboratory measurement, that is thought to predict clinical benefit, but is not itself a measure of clinical benefit. </w:t>
      </w:r>
      <w:r>
        <w:t>A</w:t>
      </w:r>
      <w:r w:rsidRPr="008E1E45">
        <w:t xml:space="preserve">n intermediate clinical endpoint is a measure of a therapeutic effect that is considered reasonably likely to predict the </w:t>
      </w:r>
      <w:r>
        <w:t>clinical benefit of a drug</w:t>
      </w:r>
      <w:r w:rsidRPr="008E1E45">
        <w:t>.</w:t>
      </w:r>
      <w:r>
        <w:t xml:space="preserve"> Additional data from </w:t>
      </w:r>
      <w:r w:rsidRPr="008E1E45">
        <w:t>confirmatory trials</w:t>
      </w:r>
      <w:r>
        <w:t xml:space="preserve"> is then required to verify the clinical benefit.</w:t>
      </w:r>
    </w:p>
  </w:footnote>
  <w:footnote w:id="23">
    <w:p w14:paraId="2FBA6F77" w14:textId="77777777" w:rsidR="00D20E63" w:rsidRPr="00D46C2C" w:rsidRDefault="00D20E63" w:rsidP="00D46C2C">
      <w:pPr>
        <w:pStyle w:val="FootnoteText"/>
        <w:rPr>
          <w:lang w:val="en-US"/>
        </w:rPr>
      </w:pPr>
      <w:r>
        <w:rPr>
          <w:rStyle w:val="FootnoteReference"/>
        </w:rPr>
        <w:footnoteRef/>
      </w:r>
      <w:r>
        <w:t xml:space="preserve"> </w:t>
      </w:r>
      <w:r w:rsidRPr="005C0841">
        <w:t xml:space="preserve">'Orphan drugs' are often developed to treat small and very specific patient populations who suffer from rare diseases and conditions. In order to facilitate orphan drug access to the Australian marketplace and help offset orphan drug development costs the TGA waives application and evaluation fees for prescription medicine registration applications if a related </w:t>
      </w:r>
      <w:r w:rsidRPr="005C0841">
        <w:rPr>
          <w:b/>
        </w:rPr>
        <w:t>orphan designation</w:t>
      </w:r>
      <w:r w:rsidRPr="005C0841">
        <w:t xml:space="preserve"> is in force. A medicine may be eligible for orphan drug designation if all orphan criteria set by the TGA are met. The orphan designation application precedes the registration application and the designation is specific to the sponsor, orphan indication for which designation was granted and dosage form of the medicine.</w:t>
      </w:r>
    </w:p>
  </w:footnote>
  <w:footnote w:id="24">
    <w:p w14:paraId="1D12C207" w14:textId="12055522" w:rsidR="00D20E63" w:rsidRPr="002A1D81" w:rsidRDefault="00D20E63" w:rsidP="002A1D81">
      <w:pPr>
        <w:pStyle w:val="FootnoteText"/>
      </w:pPr>
      <w:r>
        <w:rPr>
          <w:rStyle w:val="FootnoteReference"/>
        </w:rPr>
        <w:footnoteRef/>
      </w:r>
      <w:r>
        <w:t xml:space="preserve"> Study M14-387; title: ‘</w:t>
      </w:r>
      <w:r w:rsidRPr="002A1D81">
        <w:t>A Study Evaluating Venetoclax in Combination With Low-Dose Cytarabine in Treatment-Naïve Participants With Acute Myelogenous Leukemia</w:t>
      </w:r>
      <w:r>
        <w:t>.’ ClinicalTrials.gov Identifier: NCT02287233; EudraCT Number: 2014-002610-23.</w:t>
      </w:r>
    </w:p>
  </w:footnote>
  <w:footnote w:id="25">
    <w:p w14:paraId="31D23C17" w14:textId="1C5D4F8C" w:rsidR="00D20E63" w:rsidRPr="000202EE" w:rsidRDefault="00D20E63">
      <w:pPr>
        <w:pStyle w:val="FootnoteText"/>
        <w:rPr>
          <w:lang w:val="en-US"/>
        </w:rPr>
      </w:pPr>
      <w:r>
        <w:rPr>
          <w:rStyle w:val="FootnoteReference"/>
        </w:rPr>
        <w:footnoteRef/>
      </w:r>
      <w:r>
        <w:t xml:space="preserve"> </w:t>
      </w:r>
      <w:r w:rsidRPr="00765D4C">
        <w:t>Study M14-358</w:t>
      </w:r>
      <w:r>
        <w:t>; title: ‘</w:t>
      </w:r>
      <w:r w:rsidRPr="00765D4C">
        <w:t>Study of ABT-199 (GDC-0199) in Combination With Azacitidine or Decitabine (Chemo Combo) in Subjects With Acute Myelogenous Leukemia (AML)</w:t>
      </w:r>
      <w:r>
        <w:t xml:space="preserve">’. </w:t>
      </w:r>
      <w:r w:rsidRPr="00765D4C">
        <w:t>ClinicalTrials.gov Identifier: NCT02203773</w:t>
      </w:r>
      <w:r>
        <w:t xml:space="preserve">; </w:t>
      </w:r>
      <w:r w:rsidRPr="00765D4C">
        <w:t>EudraCT Number</w:t>
      </w:r>
      <w:r>
        <w:rPr>
          <w:lang w:val="en-US"/>
        </w:rPr>
        <w:t xml:space="preserve">: </w:t>
      </w:r>
      <w:r>
        <w:t>2014-000687-18.</w:t>
      </w:r>
    </w:p>
  </w:footnote>
  <w:footnote w:id="26">
    <w:p w14:paraId="08F8C29B" w14:textId="5FFF371F" w:rsidR="00D20E63" w:rsidRPr="000202EE" w:rsidRDefault="00D20E63" w:rsidP="00E97C7A">
      <w:pPr>
        <w:pStyle w:val="FootnoteText"/>
        <w:rPr>
          <w:lang w:val="en-US"/>
        </w:rPr>
      </w:pPr>
      <w:r>
        <w:rPr>
          <w:rStyle w:val="FootnoteReference"/>
        </w:rPr>
        <w:footnoteRef/>
      </w:r>
      <w:r>
        <w:t xml:space="preserve"> Study </w:t>
      </w:r>
      <w:r w:rsidRPr="00E97C7A">
        <w:rPr>
          <w:lang w:val="en-US"/>
        </w:rPr>
        <w:t>M14-031</w:t>
      </w:r>
      <w:r>
        <w:rPr>
          <w:lang w:val="en-US"/>
        </w:rPr>
        <w:t xml:space="preserve">; title: </w:t>
      </w:r>
      <w:r w:rsidRPr="00E97C7A">
        <w:rPr>
          <w:lang w:val="en-US"/>
        </w:rPr>
        <w:t>A Study Evaluating Venetoclax (ABT-199) in Multiple Myeloma Subjects Who Are Receiving Bortezomib and Dexamethasone as Standard Therapy</w:t>
      </w:r>
      <w:r>
        <w:rPr>
          <w:lang w:val="en-US"/>
        </w:rPr>
        <w:t xml:space="preserve">.  </w:t>
      </w:r>
      <w:r w:rsidRPr="00E97C7A">
        <w:rPr>
          <w:lang w:val="en-US"/>
        </w:rPr>
        <w:t>ClinicalTrials.gov Identifier: NCT02755597</w:t>
      </w:r>
      <w:r>
        <w:rPr>
          <w:lang w:val="en-US"/>
        </w:rPr>
        <w:t xml:space="preserve">; EudraCT number: </w:t>
      </w:r>
      <w:r w:rsidRPr="00E97C7A">
        <w:rPr>
          <w:lang w:val="en-US"/>
        </w:rPr>
        <w:t>2015-004411-20</w:t>
      </w:r>
      <w:r>
        <w:rPr>
          <w:lang w:val="en-US"/>
        </w:rPr>
        <w:t>; also known as the BELLINI trial.</w:t>
      </w:r>
    </w:p>
  </w:footnote>
  <w:footnote w:id="27">
    <w:p w14:paraId="7F364423" w14:textId="77777777" w:rsidR="00D20E63" w:rsidRDefault="00D20E63" w:rsidP="00A931E4">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5FE0FAC8" w14:textId="77777777" w:rsidR="00D20E63" w:rsidRDefault="00D20E63" w:rsidP="00A931E4">
      <w:pPr>
        <w:pStyle w:val="FootnoteText"/>
      </w:pPr>
      <w:r w:rsidRPr="00F12492">
        <w:rPr>
          <w:i/>
        </w:rPr>
        <w:t>Routine pharmacovigilance</w:t>
      </w:r>
      <w:r>
        <w:t xml:space="preserve"> practices involve the following activities:</w:t>
      </w:r>
    </w:p>
    <w:p w14:paraId="5501C576" w14:textId="77777777" w:rsidR="00D20E63" w:rsidRDefault="00D20E63" w:rsidP="00A931E4">
      <w:pPr>
        <w:pStyle w:val="FootnoteText"/>
        <w:numPr>
          <w:ilvl w:val="0"/>
          <w:numId w:val="28"/>
        </w:numPr>
      </w:pPr>
      <w:r>
        <w:t>All suspected adverse reactions that are reported to the personnel of the company are collected and collated in an accessible manner;</w:t>
      </w:r>
    </w:p>
    <w:p w14:paraId="400134E8" w14:textId="77777777" w:rsidR="00D20E63" w:rsidRDefault="00D20E63" w:rsidP="00A931E4">
      <w:pPr>
        <w:pStyle w:val="FootnoteText"/>
        <w:numPr>
          <w:ilvl w:val="0"/>
          <w:numId w:val="28"/>
        </w:numPr>
      </w:pPr>
      <w:r>
        <w:t>Reporting to regulatory authorities;</w:t>
      </w:r>
    </w:p>
    <w:p w14:paraId="0957777C" w14:textId="77777777" w:rsidR="00D20E63" w:rsidRDefault="00D20E63" w:rsidP="00A931E4">
      <w:pPr>
        <w:pStyle w:val="FootnoteText"/>
        <w:numPr>
          <w:ilvl w:val="0"/>
          <w:numId w:val="28"/>
        </w:numPr>
      </w:pPr>
      <w:r>
        <w:t>Continuous monitoring of the safety profiles of approved products including signal detection and updating of labelling;</w:t>
      </w:r>
    </w:p>
    <w:p w14:paraId="7B8F834B" w14:textId="77777777" w:rsidR="00D20E63" w:rsidRDefault="00D20E63" w:rsidP="00A931E4">
      <w:pPr>
        <w:pStyle w:val="FootnoteText"/>
        <w:numPr>
          <w:ilvl w:val="0"/>
          <w:numId w:val="28"/>
        </w:numPr>
      </w:pPr>
      <w:r>
        <w:t>Submission of PSURs;</w:t>
      </w:r>
    </w:p>
    <w:p w14:paraId="2AA316C5" w14:textId="6D380DA0" w:rsidR="00D20E63" w:rsidRPr="00A931E4" w:rsidRDefault="00D20E63" w:rsidP="00A931E4">
      <w:pPr>
        <w:pStyle w:val="FootnoteText"/>
        <w:numPr>
          <w:ilvl w:val="0"/>
          <w:numId w:val="28"/>
        </w:numPr>
        <w:rPr>
          <w:lang w:val="en-US"/>
        </w:rPr>
      </w:pPr>
      <w:r>
        <w:t>Meeting other local regulatory agency requirements.</w:t>
      </w:r>
    </w:p>
  </w:footnote>
  <w:footnote w:id="28">
    <w:p w14:paraId="2CD2AEF6" w14:textId="382E4AC2" w:rsidR="00D20E63" w:rsidRPr="000202EE" w:rsidRDefault="00D20E63">
      <w:pPr>
        <w:pStyle w:val="FootnoteText"/>
        <w:rPr>
          <w:lang w:val="en-US"/>
        </w:rPr>
      </w:pPr>
      <w:r>
        <w:rPr>
          <w:rStyle w:val="FootnoteReference"/>
        </w:rPr>
        <w:footnoteRef/>
      </w:r>
      <w:r>
        <w:t xml:space="preserve"> </w:t>
      </w:r>
      <w:r>
        <w:rPr>
          <w:lang w:val="en-US"/>
        </w:rPr>
        <w:t>Study M16-043; title: ‘</w:t>
      </w:r>
      <w:r w:rsidRPr="005E293C">
        <w:rPr>
          <w:lang w:val="en-US"/>
        </w:rPr>
        <w:t>A Study of Venetoclax in Combination With Low Dose Cytarabine Versus Low Dose Cytarabine Alone in Treatment Naive Patients With Acute Myeloid Leukemia Who Are Ineligible for Intensive Chemotherapy</w:t>
      </w:r>
      <w:r>
        <w:rPr>
          <w:lang w:val="en-US"/>
        </w:rPr>
        <w:t xml:space="preserve">’. </w:t>
      </w:r>
      <w:r w:rsidRPr="005E293C">
        <w:rPr>
          <w:lang w:val="en-US"/>
        </w:rPr>
        <w:t>ClinicalTrials.gov Identifier: NCT03069352</w:t>
      </w:r>
      <w:r>
        <w:rPr>
          <w:lang w:val="en-US"/>
        </w:rPr>
        <w:t xml:space="preserve">; EudraCT number: </w:t>
      </w:r>
      <w:r w:rsidRPr="005E293C">
        <w:rPr>
          <w:lang w:val="en-US"/>
        </w:rPr>
        <w:t>2016-003900-30</w:t>
      </w:r>
      <w:r>
        <w:rPr>
          <w:lang w:val="en-US"/>
        </w:rPr>
        <w:t>.</w:t>
      </w:r>
    </w:p>
  </w:footnote>
  <w:footnote w:id="29">
    <w:p w14:paraId="5F6128D6" w14:textId="7C9596FE" w:rsidR="00D20E63" w:rsidRPr="000202EE" w:rsidRDefault="00D20E63">
      <w:pPr>
        <w:pStyle w:val="FootnoteText"/>
        <w:rPr>
          <w:lang w:val="en-US"/>
        </w:rPr>
      </w:pPr>
      <w:r>
        <w:rPr>
          <w:rStyle w:val="FootnoteReference"/>
        </w:rPr>
        <w:footnoteRef/>
      </w:r>
      <w:r>
        <w:t xml:space="preserve"> </w:t>
      </w:r>
      <w:r>
        <w:rPr>
          <w:lang w:val="en-US"/>
        </w:rPr>
        <w:t xml:space="preserve">Study </w:t>
      </w:r>
      <w:r w:rsidRPr="005E293C">
        <w:rPr>
          <w:lang w:val="en-US"/>
        </w:rPr>
        <w:t>M15-656</w:t>
      </w:r>
      <w:r>
        <w:rPr>
          <w:lang w:val="en-US"/>
        </w:rPr>
        <w:t>; title : ‘</w:t>
      </w:r>
      <w:r w:rsidRPr="005E293C">
        <w:rPr>
          <w:lang w:val="en-US"/>
        </w:rPr>
        <w:t>A Study of Venetoclax in Combination With Azacitidine Versus Azacitidine in Treatment Naïve Subjects With Acute Myeloid Leukemia Who Are Ineligible for Standard Induction Therapy</w:t>
      </w:r>
      <w:r>
        <w:rPr>
          <w:lang w:val="en-US"/>
        </w:rPr>
        <w:t xml:space="preserve">.’ </w:t>
      </w:r>
      <w:r w:rsidRPr="005E293C">
        <w:rPr>
          <w:lang w:val="en-US"/>
        </w:rPr>
        <w:t>ClinicalTrials.gov Identifier: NCT02993523</w:t>
      </w:r>
      <w:r>
        <w:rPr>
          <w:lang w:val="en-US"/>
        </w:rPr>
        <w:t xml:space="preserve">; EudraCT number: </w:t>
      </w:r>
      <w:r w:rsidRPr="005E293C">
        <w:rPr>
          <w:lang w:val="en-US"/>
        </w:rPr>
        <w:t>2016-001466-28</w:t>
      </w:r>
      <w:r>
        <w:rPr>
          <w:lang w:val="en-US"/>
        </w:rPr>
        <w:t>.</w:t>
      </w:r>
    </w:p>
  </w:footnote>
  <w:footnote w:id="30">
    <w:p w14:paraId="292D21E8" w14:textId="77777777" w:rsidR="00D20E63" w:rsidRDefault="00D20E63"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437A9234" w14:textId="77777777" w:rsidR="00D20E63" w:rsidRPr="00456765" w:rsidRDefault="00D20E63"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91EA6" w14:textId="77777777" w:rsidR="00D20E63" w:rsidRDefault="00D20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137C" w14:textId="77777777" w:rsidR="00D20E63" w:rsidRDefault="00D20E63"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0CDD2" w14:textId="77777777" w:rsidR="00D20E63" w:rsidRDefault="00D20E63">
    <w:pPr>
      <w:rPr>
        <w:noProof/>
        <w:lang w:eastAsia="en-AU"/>
      </w:rPr>
    </w:pPr>
    <w:r w:rsidRPr="00347824">
      <w:rPr>
        <w:noProof/>
        <w:lang w:eastAsia="en-AU"/>
      </w:rPr>
      <w:drawing>
        <wp:anchor distT="0" distB="0" distL="114300" distR="114300" simplePos="0" relativeHeight="251659264" behindDoc="1" locked="0" layoutInCell="1" allowOverlap="1" wp14:anchorId="74149F9B" wp14:editId="563C017B">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4324BEB1" w14:textId="77777777" w:rsidR="00D20E63" w:rsidRDefault="00D20E63" w:rsidP="00593AD1">
    <w:pPr>
      <w:pStyle w:val="HeaderNoLine"/>
    </w:pPr>
    <w:r>
      <w:rPr>
        <w:noProof/>
        <w:lang w:eastAsia="en-AU"/>
      </w:rPr>
      <w:drawing>
        <wp:inline distT="0" distB="0" distL="0" distR="0" wp14:anchorId="5711B568" wp14:editId="5D693BEF">
          <wp:extent cx="5400675" cy="7639050"/>
          <wp:effectExtent l="0" t="0" r="9525" b="0"/>
          <wp:docPr id="5" name="Picture 5"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5BCEF" w14:textId="77777777" w:rsidR="00D20E63" w:rsidRDefault="00D20E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FA441" w14:textId="77777777" w:rsidR="00D20E63" w:rsidRDefault="00D20E63">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2651C" w14:textId="77777777" w:rsidR="00D20E63" w:rsidRDefault="00D20E63">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92939" w14:textId="77777777" w:rsidR="00D20E63" w:rsidRDefault="00D20E6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6648" w14:textId="77777777" w:rsidR="00D20E63" w:rsidRDefault="00D20E63"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AE8C1" w14:textId="77777777" w:rsidR="00D20E63" w:rsidRDefault="00D20E63" w:rsidP="006E08B3">
    <w:r>
      <w:t>Therapeutic Goods Administration</w:t>
    </w:r>
  </w:p>
  <w:p w14:paraId="250FFB99" w14:textId="77777777" w:rsidR="00D20E63" w:rsidRDefault="00D20E63"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8F13E9"/>
    <w:multiLevelType w:val="multilevel"/>
    <w:tmpl w:val="6A20D8D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3E6C0490"/>
    <w:multiLevelType w:val="hybridMultilevel"/>
    <w:tmpl w:val="94794E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9B15D7"/>
    <w:multiLevelType w:val="hybridMultilevel"/>
    <w:tmpl w:val="204EB4BC"/>
    <w:lvl w:ilvl="0" w:tplc="04CEB5FC">
      <w:start w:val="1"/>
      <w:numFmt w:val="bullet"/>
      <w:pStyle w:val="Bulletpoint"/>
      <w:lvlText w:val=""/>
      <w:lvlJc w:val="left"/>
      <w:pPr>
        <w:tabs>
          <w:tab w:val="num" w:pos="624"/>
        </w:tabs>
        <w:ind w:left="624" w:hanging="227"/>
      </w:pPr>
      <w:rPr>
        <w:rFonts w:ascii="Symbol" w:hAnsi="Symbol" w:hint="default"/>
        <w:position w:val="0"/>
        <w:sz w:val="22"/>
        <w:szCs w:val="22"/>
      </w:rPr>
    </w:lvl>
    <w:lvl w:ilvl="1" w:tplc="0C090003" w:tentative="1">
      <w:start w:val="1"/>
      <w:numFmt w:val="bullet"/>
      <w:lvlText w:val="o"/>
      <w:lvlJc w:val="left"/>
      <w:pPr>
        <w:tabs>
          <w:tab w:val="num" w:pos="1695"/>
        </w:tabs>
        <w:ind w:left="1695" w:hanging="360"/>
      </w:pPr>
      <w:rPr>
        <w:rFonts w:ascii="Courier New" w:hAnsi="Courier New" w:cs="Symbol" w:hint="default"/>
      </w:rPr>
    </w:lvl>
    <w:lvl w:ilvl="2" w:tplc="0C090005" w:tentative="1">
      <w:start w:val="1"/>
      <w:numFmt w:val="bullet"/>
      <w:lvlText w:val=""/>
      <w:lvlJc w:val="left"/>
      <w:pPr>
        <w:tabs>
          <w:tab w:val="num" w:pos="2415"/>
        </w:tabs>
        <w:ind w:left="2415" w:hanging="360"/>
      </w:pPr>
      <w:rPr>
        <w:rFonts w:ascii="Wingdings" w:hAnsi="Wingdings" w:hint="default"/>
      </w:rPr>
    </w:lvl>
    <w:lvl w:ilvl="3" w:tplc="0C090001" w:tentative="1">
      <w:start w:val="1"/>
      <w:numFmt w:val="bullet"/>
      <w:lvlText w:val=""/>
      <w:lvlJc w:val="left"/>
      <w:pPr>
        <w:tabs>
          <w:tab w:val="num" w:pos="3135"/>
        </w:tabs>
        <w:ind w:left="3135" w:hanging="360"/>
      </w:pPr>
      <w:rPr>
        <w:rFonts w:ascii="Symbol" w:hAnsi="Symbol" w:hint="default"/>
      </w:rPr>
    </w:lvl>
    <w:lvl w:ilvl="4" w:tplc="0C090003" w:tentative="1">
      <w:start w:val="1"/>
      <w:numFmt w:val="bullet"/>
      <w:lvlText w:val="o"/>
      <w:lvlJc w:val="left"/>
      <w:pPr>
        <w:tabs>
          <w:tab w:val="num" w:pos="3855"/>
        </w:tabs>
        <w:ind w:left="3855" w:hanging="360"/>
      </w:pPr>
      <w:rPr>
        <w:rFonts w:ascii="Courier New" w:hAnsi="Courier New" w:cs="Symbol" w:hint="default"/>
      </w:rPr>
    </w:lvl>
    <w:lvl w:ilvl="5" w:tplc="0C090005" w:tentative="1">
      <w:start w:val="1"/>
      <w:numFmt w:val="bullet"/>
      <w:lvlText w:val=""/>
      <w:lvlJc w:val="left"/>
      <w:pPr>
        <w:tabs>
          <w:tab w:val="num" w:pos="4575"/>
        </w:tabs>
        <w:ind w:left="4575" w:hanging="360"/>
      </w:pPr>
      <w:rPr>
        <w:rFonts w:ascii="Wingdings" w:hAnsi="Wingdings" w:hint="default"/>
      </w:rPr>
    </w:lvl>
    <w:lvl w:ilvl="6" w:tplc="0C090001" w:tentative="1">
      <w:start w:val="1"/>
      <w:numFmt w:val="bullet"/>
      <w:lvlText w:val=""/>
      <w:lvlJc w:val="left"/>
      <w:pPr>
        <w:tabs>
          <w:tab w:val="num" w:pos="5295"/>
        </w:tabs>
        <w:ind w:left="5295" w:hanging="360"/>
      </w:pPr>
      <w:rPr>
        <w:rFonts w:ascii="Symbol" w:hAnsi="Symbol" w:hint="default"/>
      </w:rPr>
    </w:lvl>
    <w:lvl w:ilvl="7" w:tplc="0C090003" w:tentative="1">
      <w:start w:val="1"/>
      <w:numFmt w:val="bullet"/>
      <w:lvlText w:val="o"/>
      <w:lvlJc w:val="left"/>
      <w:pPr>
        <w:tabs>
          <w:tab w:val="num" w:pos="6015"/>
        </w:tabs>
        <w:ind w:left="6015" w:hanging="360"/>
      </w:pPr>
      <w:rPr>
        <w:rFonts w:ascii="Courier New" w:hAnsi="Courier New" w:cs="Symbol" w:hint="default"/>
      </w:rPr>
    </w:lvl>
    <w:lvl w:ilvl="8" w:tplc="0C090005" w:tentative="1">
      <w:start w:val="1"/>
      <w:numFmt w:val="bullet"/>
      <w:lvlText w:val=""/>
      <w:lvlJc w:val="left"/>
      <w:pPr>
        <w:tabs>
          <w:tab w:val="num" w:pos="6735"/>
        </w:tabs>
        <w:ind w:left="6735" w:hanging="360"/>
      </w:pPr>
      <w:rPr>
        <w:rFonts w:ascii="Wingdings" w:hAnsi="Wingdings" w:hint="default"/>
      </w:rPr>
    </w:lvl>
  </w:abstractNum>
  <w:abstractNum w:abstractNumId="9"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650525"/>
    <w:multiLevelType w:val="hybridMultilevel"/>
    <w:tmpl w:val="F2DC708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710B0123"/>
    <w:multiLevelType w:val="hybridMultilevel"/>
    <w:tmpl w:val="8B560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lvlOverride w:ilvl="0">
      <w:lvl w:ilvl="0">
        <w:start w:val="1"/>
        <w:numFmt w:val="bullet"/>
        <w:pStyle w:val="ListBullet"/>
        <w:lvlText w:val="•"/>
        <w:lvlJc w:val="left"/>
        <w:pPr>
          <w:ind w:left="360" w:hanging="360"/>
        </w:pPr>
        <w:rPr>
          <w:rFonts w:ascii="Arial" w:hAnsi="Arial" w:hint="default"/>
        </w:rPr>
      </w:lvl>
    </w:lvlOverride>
    <w:lvlOverride w:ilvl="1">
      <w:lvl w:ilvl="1">
        <w:start w:val="1"/>
        <w:numFmt w:val="bullet"/>
        <w:pStyle w:val="ListBullet2"/>
        <w:lvlText w:val="o"/>
        <w:lvlJc w:val="left"/>
        <w:pPr>
          <w:ind w:left="1080" w:hanging="360"/>
        </w:pPr>
        <w:rPr>
          <w:rFonts w:ascii="Courier New" w:hAnsi="Courier New" w:cs="Courier New" w:hint="default"/>
        </w:rPr>
      </w:lvl>
    </w:lvlOverride>
    <w:lvlOverride w:ilvl="2">
      <w:lvl w:ilvl="2" w:tentative="1">
        <w:start w:val="1"/>
        <w:numFmt w:val="bullet"/>
        <w:pStyle w:val="ListBullet3"/>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9"/>
  </w:num>
  <w:num w:numId="28">
    <w:abstractNumId w:val="12"/>
  </w:num>
  <w:num w:numId="29">
    <w:abstractNumId w:val="8"/>
  </w:num>
  <w:num w:numId="30">
    <w:abstractNumId w:val="4"/>
  </w:num>
  <w:num w:numId="31">
    <w:abstractNumId w:val="10"/>
  </w:num>
  <w:num w:numId="32">
    <w:abstractNumId w:val="1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641"/>
    <w:rsid w:val="00000FD8"/>
    <w:rsid w:val="00002031"/>
    <w:rsid w:val="00004734"/>
    <w:rsid w:val="0000672F"/>
    <w:rsid w:val="00006B22"/>
    <w:rsid w:val="0001276A"/>
    <w:rsid w:val="000202EE"/>
    <w:rsid w:val="000246AE"/>
    <w:rsid w:val="00025C67"/>
    <w:rsid w:val="000414A8"/>
    <w:rsid w:val="00044772"/>
    <w:rsid w:val="0004541C"/>
    <w:rsid w:val="00046C82"/>
    <w:rsid w:val="0005356F"/>
    <w:rsid w:val="0005559E"/>
    <w:rsid w:val="000604D6"/>
    <w:rsid w:val="00071892"/>
    <w:rsid w:val="000734D8"/>
    <w:rsid w:val="00077775"/>
    <w:rsid w:val="00090471"/>
    <w:rsid w:val="00096AA7"/>
    <w:rsid w:val="000A3AED"/>
    <w:rsid w:val="000B29DA"/>
    <w:rsid w:val="000B3532"/>
    <w:rsid w:val="000B3A75"/>
    <w:rsid w:val="000B4FCD"/>
    <w:rsid w:val="000B6D22"/>
    <w:rsid w:val="000C00C2"/>
    <w:rsid w:val="000C690F"/>
    <w:rsid w:val="000C6FD1"/>
    <w:rsid w:val="000D1295"/>
    <w:rsid w:val="000D391B"/>
    <w:rsid w:val="000D3D6D"/>
    <w:rsid w:val="000D3E83"/>
    <w:rsid w:val="000D4FC7"/>
    <w:rsid w:val="000E6196"/>
    <w:rsid w:val="000F4869"/>
    <w:rsid w:val="000F5B42"/>
    <w:rsid w:val="000F6E6F"/>
    <w:rsid w:val="00104C9A"/>
    <w:rsid w:val="0010601F"/>
    <w:rsid w:val="0010788A"/>
    <w:rsid w:val="00107A31"/>
    <w:rsid w:val="00110EA5"/>
    <w:rsid w:val="00112F56"/>
    <w:rsid w:val="00122089"/>
    <w:rsid w:val="0012225C"/>
    <w:rsid w:val="001222A0"/>
    <w:rsid w:val="0012396A"/>
    <w:rsid w:val="00124ACD"/>
    <w:rsid w:val="00125318"/>
    <w:rsid w:val="001305A2"/>
    <w:rsid w:val="00133238"/>
    <w:rsid w:val="00133A1B"/>
    <w:rsid w:val="0014197B"/>
    <w:rsid w:val="00143E7E"/>
    <w:rsid w:val="001447CD"/>
    <w:rsid w:val="00150C5E"/>
    <w:rsid w:val="001516B1"/>
    <w:rsid w:val="00154EBB"/>
    <w:rsid w:val="00156316"/>
    <w:rsid w:val="00161181"/>
    <w:rsid w:val="00162D14"/>
    <w:rsid w:val="00163780"/>
    <w:rsid w:val="00165389"/>
    <w:rsid w:val="0017693F"/>
    <w:rsid w:val="00177C8B"/>
    <w:rsid w:val="00180C7B"/>
    <w:rsid w:val="0018110E"/>
    <w:rsid w:val="00181684"/>
    <w:rsid w:val="001843C6"/>
    <w:rsid w:val="00184402"/>
    <w:rsid w:val="00184A3D"/>
    <w:rsid w:val="001850E0"/>
    <w:rsid w:val="001A03AF"/>
    <w:rsid w:val="001A0D04"/>
    <w:rsid w:val="001A2158"/>
    <w:rsid w:val="001A525F"/>
    <w:rsid w:val="001B09F9"/>
    <w:rsid w:val="001B5C90"/>
    <w:rsid w:val="001B6448"/>
    <w:rsid w:val="001C32CD"/>
    <w:rsid w:val="001D2984"/>
    <w:rsid w:val="001E07CF"/>
    <w:rsid w:val="001E59F1"/>
    <w:rsid w:val="001F2CEE"/>
    <w:rsid w:val="001F49EB"/>
    <w:rsid w:val="001F6CBA"/>
    <w:rsid w:val="00201D4E"/>
    <w:rsid w:val="0020347A"/>
    <w:rsid w:val="00205334"/>
    <w:rsid w:val="002076C9"/>
    <w:rsid w:val="002153E7"/>
    <w:rsid w:val="00220B8A"/>
    <w:rsid w:val="002257F3"/>
    <w:rsid w:val="00233456"/>
    <w:rsid w:val="002339A5"/>
    <w:rsid w:val="002376B8"/>
    <w:rsid w:val="00246515"/>
    <w:rsid w:val="00246B9D"/>
    <w:rsid w:val="00247395"/>
    <w:rsid w:val="00257848"/>
    <w:rsid w:val="002578E8"/>
    <w:rsid w:val="00261621"/>
    <w:rsid w:val="0027084A"/>
    <w:rsid w:val="002769B8"/>
    <w:rsid w:val="00280265"/>
    <w:rsid w:val="00282C63"/>
    <w:rsid w:val="00284D0D"/>
    <w:rsid w:val="00286434"/>
    <w:rsid w:val="00286C59"/>
    <w:rsid w:val="00291957"/>
    <w:rsid w:val="002942D1"/>
    <w:rsid w:val="0029501A"/>
    <w:rsid w:val="002957AE"/>
    <w:rsid w:val="002A1D81"/>
    <w:rsid w:val="002A3721"/>
    <w:rsid w:val="002B08F2"/>
    <w:rsid w:val="002B1638"/>
    <w:rsid w:val="002B3624"/>
    <w:rsid w:val="002D0952"/>
    <w:rsid w:val="002D0E0B"/>
    <w:rsid w:val="002E40B3"/>
    <w:rsid w:val="002E4223"/>
    <w:rsid w:val="002E4C9A"/>
    <w:rsid w:val="002F0139"/>
    <w:rsid w:val="002F11F8"/>
    <w:rsid w:val="002F20E0"/>
    <w:rsid w:val="002F3009"/>
    <w:rsid w:val="002F3F56"/>
    <w:rsid w:val="002F44B5"/>
    <w:rsid w:val="002F5122"/>
    <w:rsid w:val="00301643"/>
    <w:rsid w:val="0030194E"/>
    <w:rsid w:val="00311AC0"/>
    <w:rsid w:val="003175D5"/>
    <w:rsid w:val="003176FC"/>
    <w:rsid w:val="00325641"/>
    <w:rsid w:val="0032583B"/>
    <w:rsid w:val="00327883"/>
    <w:rsid w:val="00335504"/>
    <w:rsid w:val="00335648"/>
    <w:rsid w:val="0033657D"/>
    <w:rsid w:val="00340C18"/>
    <w:rsid w:val="003442FD"/>
    <w:rsid w:val="003450B1"/>
    <w:rsid w:val="00347824"/>
    <w:rsid w:val="00350567"/>
    <w:rsid w:val="003521E8"/>
    <w:rsid w:val="00356C1F"/>
    <w:rsid w:val="00370C1C"/>
    <w:rsid w:val="00370CE3"/>
    <w:rsid w:val="003728F3"/>
    <w:rsid w:val="003735BC"/>
    <w:rsid w:val="0037496E"/>
    <w:rsid w:val="00381AD4"/>
    <w:rsid w:val="00383221"/>
    <w:rsid w:val="00386150"/>
    <w:rsid w:val="003874CE"/>
    <w:rsid w:val="003875B2"/>
    <w:rsid w:val="00390900"/>
    <w:rsid w:val="003A7F6C"/>
    <w:rsid w:val="003B4D60"/>
    <w:rsid w:val="003B5258"/>
    <w:rsid w:val="003B7E39"/>
    <w:rsid w:val="003C162B"/>
    <w:rsid w:val="003C231B"/>
    <w:rsid w:val="003C58DC"/>
    <w:rsid w:val="003D1E62"/>
    <w:rsid w:val="003D5EE8"/>
    <w:rsid w:val="003D603F"/>
    <w:rsid w:val="003E0B99"/>
    <w:rsid w:val="003E0F42"/>
    <w:rsid w:val="003E2486"/>
    <w:rsid w:val="003E3208"/>
    <w:rsid w:val="003E3702"/>
    <w:rsid w:val="003F0B04"/>
    <w:rsid w:val="0040134E"/>
    <w:rsid w:val="00406649"/>
    <w:rsid w:val="004334C7"/>
    <w:rsid w:val="00440A2D"/>
    <w:rsid w:val="00441C3F"/>
    <w:rsid w:val="004430C8"/>
    <w:rsid w:val="00444D1A"/>
    <w:rsid w:val="0045186A"/>
    <w:rsid w:val="004564A7"/>
    <w:rsid w:val="00456765"/>
    <w:rsid w:val="004617BF"/>
    <w:rsid w:val="004628FC"/>
    <w:rsid w:val="00463658"/>
    <w:rsid w:val="004637A0"/>
    <w:rsid w:val="004722CC"/>
    <w:rsid w:val="0048168D"/>
    <w:rsid w:val="00490483"/>
    <w:rsid w:val="004936E4"/>
    <w:rsid w:val="00493C06"/>
    <w:rsid w:val="00494E60"/>
    <w:rsid w:val="00497487"/>
    <w:rsid w:val="004A2771"/>
    <w:rsid w:val="004A6189"/>
    <w:rsid w:val="004A6C4C"/>
    <w:rsid w:val="004A7390"/>
    <w:rsid w:val="004B62CE"/>
    <w:rsid w:val="004B7B76"/>
    <w:rsid w:val="004C0833"/>
    <w:rsid w:val="004C239D"/>
    <w:rsid w:val="004C2DCA"/>
    <w:rsid w:val="004C61D2"/>
    <w:rsid w:val="004D32AB"/>
    <w:rsid w:val="004F0C4A"/>
    <w:rsid w:val="004F0F38"/>
    <w:rsid w:val="004F47D6"/>
    <w:rsid w:val="00500337"/>
    <w:rsid w:val="005008E1"/>
    <w:rsid w:val="00501921"/>
    <w:rsid w:val="00512B48"/>
    <w:rsid w:val="00513E0D"/>
    <w:rsid w:val="00523FCD"/>
    <w:rsid w:val="00530354"/>
    <w:rsid w:val="0053625B"/>
    <w:rsid w:val="005434C6"/>
    <w:rsid w:val="00543B39"/>
    <w:rsid w:val="00546154"/>
    <w:rsid w:val="00550096"/>
    <w:rsid w:val="00554869"/>
    <w:rsid w:val="00555280"/>
    <w:rsid w:val="00557FF9"/>
    <w:rsid w:val="0056121C"/>
    <w:rsid w:val="00561D73"/>
    <w:rsid w:val="00562327"/>
    <w:rsid w:val="005711D5"/>
    <w:rsid w:val="00576378"/>
    <w:rsid w:val="00577130"/>
    <w:rsid w:val="00577945"/>
    <w:rsid w:val="00577E38"/>
    <w:rsid w:val="005838FD"/>
    <w:rsid w:val="00585322"/>
    <w:rsid w:val="005857C6"/>
    <w:rsid w:val="00590867"/>
    <w:rsid w:val="00592F6E"/>
    <w:rsid w:val="00593AD1"/>
    <w:rsid w:val="00595E85"/>
    <w:rsid w:val="005A68B6"/>
    <w:rsid w:val="005A6D22"/>
    <w:rsid w:val="005A71EA"/>
    <w:rsid w:val="005C1DBD"/>
    <w:rsid w:val="005C5570"/>
    <w:rsid w:val="005C79A4"/>
    <w:rsid w:val="005D5442"/>
    <w:rsid w:val="005E293C"/>
    <w:rsid w:val="005F7D04"/>
    <w:rsid w:val="00603F32"/>
    <w:rsid w:val="00605AD4"/>
    <w:rsid w:val="006136D7"/>
    <w:rsid w:val="006233A7"/>
    <w:rsid w:val="00625A6E"/>
    <w:rsid w:val="00632398"/>
    <w:rsid w:val="00640FC3"/>
    <w:rsid w:val="00642020"/>
    <w:rsid w:val="006425E1"/>
    <w:rsid w:val="006430EE"/>
    <w:rsid w:val="0064649B"/>
    <w:rsid w:val="0065337B"/>
    <w:rsid w:val="0065419D"/>
    <w:rsid w:val="006603BC"/>
    <w:rsid w:val="006604D8"/>
    <w:rsid w:val="0066449C"/>
    <w:rsid w:val="00664A5B"/>
    <w:rsid w:val="0066735C"/>
    <w:rsid w:val="006763D2"/>
    <w:rsid w:val="00680C08"/>
    <w:rsid w:val="00681135"/>
    <w:rsid w:val="0069105C"/>
    <w:rsid w:val="006916A0"/>
    <w:rsid w:val="0069255F"/>
    <w:rsid w:val="0069274A"/>
    <w:rsid w:val="006931B1"/>
    <w:rsid w:val="006A10F6"/>
    <w:rsid w:val="006A15C0"/>
    <w:rsid w:val="006A58A8"/>
    <w:rsid w:val="006A6F62"/>
    <w:rsid w:val="006A7AEA"/>
    <w:rsid w:val="006B12D7"/>
    <w:rsid w:val="006C3E2A"/>
    <w:rsid w:val="006C642F"/>
    <w:rsid w:val="006D03E5"/>
    <w:rsid w:val="006D5D3E"/>
    <w:rsid w:val="006E08B3"/>
    <w:rsid w:val="006F17AC"/>
    <w:rsid w:val="006F25B8"/>
    <w:rsid w:val="006F572E"/>
    <w:rsid w:val="007003F2"/>
    <w:rsid w:val="007046D6"/>
    <w:rsid w:val="00705DB0"/>
    <w:rsid w:val="007119A4"/>
    <w:rsid w:val="007120B9"/>
    <w:rsid w:val="00717825"/>
    <w:rsid w:val="00721E9E"/>
    <w:rsid w:val="00722B57"/>
    <w:rsid w:val="007279FF"/>
    <w:rsid w:val="00730F8A"/>
    <w:rsid w:val="007336A1"/>
    <w:rsid w:val="00735A8C"/>
    <w:rsid w:val="0074253D"/>
    <w:rsid w:val="0074429B"/>
    <w:rsid w:val="00752B82"/>
    <w:rsid w:val="00755927"/>
    <w:rsid w:val="007615BC"/>
    <w:rsid w:val="00762593"/>
    <w:rsid w:val="00762F05"/>
    <w:rsid w:val="007647C3"/>
    <w:rsid w:val="007652FF"/>
    <w:rsid w:val="00765D4C"/>
    <w:rsid w:val="00770CAC"/>
    <w:rsid w:val="00770EF1"/>
    <w:rsid w:val="00773EF7"/>
    <w:rsid w:val="00774E1D"/>
    <w:rsid w:val="007765D8"/>
    <w:rsid w:val="0077675A"/>
    <w:rsid w:val="00780355"/>
    <w:rsid w:val="007819FD"/>
    <w:rsid w:val="007832B0"/>
    <w:rsid w:val="0078521B"/>
    <w:rsid w:val="00785717"/>
    <w:rsid w:val="00785721"/>
    <w:rsid w:val="0078732F"/>
    <w:rsid w:val="00793A59"/>
    <w:rsid w:val="007A46F5"/>
    <w:rsid w:val="007A6505"/>
    <w:rsid w:val="007A6AA5"/>
    <w:rsid w:val="007B4F87"/>
    <w:rsid w:val="007B6132"/>
    <w:rsid w:val="007B6E9F"/>
    <w:rsid w:val="007C0FB4"/>
    <w:rsid w:val="007C1216"/>
    <w:rsid w:val="007C1AF7"/>
    <w:rsid w:val="007C1D96"/>
    <w:rsid w:val="007C1DA1"/>
    <w:rsid w:val="007C5D49"/>
    <w:rsid w:val="007C6B9B"/>
    <w:rsid w:val="007D1DC5"/>
    <w:rsid w:val="007D4061"/>
    <w:rsid w:val="007E0F1C"/>
    <w:rsid w:val="007F5AD0"/>
    <w:rsid w:val="008049C5"/>
    <w:rsid w:val="00805D27"/>
    <w:rsid w:val="00806DCB"/>
    <w:rsid w:val="00821776"/>
    <w:rsid w:val="00822A6B"/>
    <w:rsid w:val="008321F5"/>
    <w:rsid w:val="00832369"/>
    <w:rsid w:val="00832DCB"/>
    <w:rsid w:val="008345BD"/>
    <w:rsid w:val="00834660"/>
    <w:rsid w:val="00836BC2"/>
    <w:rsid w:val="00846E44"/>
    <w:rsid w:val="0085156D"/>
    <w:rsid w:val="00852B28"/>
    <w:rsid w:val="00854B17"/>
    <w:rsid w:val="0085641B"/>
    <w:rsid w:val="00857136"/>
    <w:rsid w:val="00862B33"/>
    <w:rsid w:val="008630F2"/>
    <w:rsid w:val="0086440F"/>
    <w:rsid w:val="00874A34"/>
    <w:rsid w:val="00875A6B"/>
    <w:rsid w:val="008770E8"/>
    <w:rsid w:val="00885B11"/>
    <w:rsid w:val="00886D15"/>
    <w:rsid w:val="0088715A"/>
    <w:rsid w:val="00887DD8"/>
    <w:rsid w:val="00891BA9"/>
    <w:rsid w:val="008955D8"/>
    <w:rsid w:val="00896018"/>
    <w:rsid w:val="008960DD"/>
    <w:rsid w:val="0089635C"/>
    <w:rsid w:val="008A2B9D"/>
    <w:rsid w:val="008A3D9F"/>
    <w:rsid w:val="008A4635"/>
    <w:rsid w:val="008A5E0B"/>
    <w:rsid w:val="008A6A0A"/>
    <w:rsid w:val="008A6D59"/>
    <w:rsid w:val="008B2465"/>
    <w:rsid w:val="008B4B03"/>
    <w:rsid w:val="008B596F"/>
    <w:rsid w:val="008C159F"/>
    <w:rsid w:val="008C1623"/>
    <w:rsid w:val="008C1850"/>
    <w:rsid w:val="008C3189"/>
    <w:rsid w:val="008C51A9"/>
    <w:rsid w:val="008D0B68"/>
    <w:rsid w:val="008D708B"/>
    <w:rsid w:val="008E1E45"/>
    <w:rsid w:val="008E7235"/>
    <w:rsid w:val="008E7846"/>
    <w:rsid w:val="008F02E5"/>
    <w:rsid w:val="008F1CCC"/>
    <w:rsid w:val="008F2967"/>
    <w:rsid w:val="008F6943"/>
    <w:rsid w:val="00902A21"/>
    <w:rsid w:val="0090723A"/>
    <w:rsid w:val="0090741A"/>
    <w:rsid w:val="00914B89"/>
    <w:rsid w:val="0091523F"/>
    <w:rsid w:val="00920330"/>
    <w:rsid w:val="009219D7"/>
    <w:rsid w:val="00922D53"/>
    <w:rsid w:val="00923B70"/>
    <w:rsid w:val="00924482"/>
    <w:rsid w:val="00930237"/>
    <w:rsid w:val="00937C17"/>
    <w:rsid w:val="00940A89"/>
    <w:rsid w:val="00941F77"/>
    <w:rsid w:val="009456AF"/>
    <w:rsid w:val="00946EA5"/>
    <w:rsid w:val="00960520"/>
    <w:rsid w:val="00963C08"/>
    <w:rsid w:val="00963E57"/>
    <w:rsid w:val="00963EAB"/>
    <w:rsid w:val="0097014E"/>
    <w:rsid w:val="0097046D"/>
    <w:rsid w:val="009752A5"/>
    <w:rsid w:val="009826A2"/>
    <w:rsid w:val="0098585A"/>
    <w:rsid w:val="009A4CED"/>
    <w:rsid w:val="009A5D9B"/>
    <w:rsid w:val="009A690D"/>
    <w:rsid w:val="009A7515"/>
    <w:rsid w:val="009B1D12"/>
    <w:rsid w:val="009B416B"/>
    <w:rsid w:val="009B7E11"/>
    <w:rsid w:val="009C25FD"/>
    <w:rsid w:val="009C4BD5"/>
    <w:rsid w:val="009C66A6"/>
    <w:rsid w:val="009D7B77"/>
    <w:rsid w:val="009E0BB0"/>
    <w:rsid w:val="009E0C9C"/>
    <w:rsid w:val="009E3FBB"/>
    <w:rsid w:val="009F1143"/>
    <w:rsid w:val="009F7353"/>
    <w:rsid w:val="00A04F85"/>
    <w:rsid w:val="00A05FA4"/>
    <w:rsid w:val="00A102E4"/>
    <w:rsid w:val="00A1219C"/>
    <w:rsid w:val="00A12C42"/>
    <w:rsid w:val="00A14DF7"/>
    <w:rsid w:val="00A15F76"/>
    <w:rsid w:val="00A22D57"/>
    <w:rsid w:val="00A25D9E"/>
    <w:rsid w:val="00A3246D"/>
    <w:rsid w:val="00A35D6B"/>
    <w:rsid w:val="00A36FA7"/>
    <w:rsid w:val="00A42EFC"/>
    <w:rsid w:val="00A433ED"/>
    <w:rsid w:val="00A44DDB"/>
    <w:rsid w:val="00A45D5C"/>
    <w:rsid w:val="00A475B7"/>
    <w:rsid w:val="00A47AF7"/>
    <w:rsid w:val="00A47C3E"/>
    <w:rsid w:val="00A50226"/>
    <w:rsid w:val="00A57F80"/>
    <w:rsid w:val="00A60BAD"/>
    <w:rsid w:val="00A67326"/>
    <w:rsid w:val="00A756AB"/>
    <w:rsid w:val="00A77F87"/>
    <w:rsid w:val="00A80B5B"/>
    <w:rsid w:val="00A84E36"/>
    <w:rsid w:val="00A90864"/>
    <w:rsid w:val="00A931E4"/>
    <w:rsid w:val="00A941C6"/>
    <w:rsid w:val="00A964D1"/>
    <w:rsid w:val="00AA0ED0"/>
    <w:rsid w:val="00AB28DC"/>
    <w:rsid w:val="00AC2B40"/>
    <w:rsid w:val="00AC2BB2"/>
    <w:rsid w:val="00AC2C3C"/>
    <w:rsid w:val="00AC512D"/>
    <w:rsid w:val="00AD0083"/>
    <w:rsid w:val="00AD3935"/>
    <w:rsid w:val="00AE65EB"/>
    <w:rsid w:val="00AE67A7"/>
    <w:rsid w:val="00AF1D94"/>
    <w:rsid w:val="00AF5E86"/>
    <w:rsid w:val="00AF60C5"/>
    <w:rsid w:val="00B009C6"/>
    <w:rsid w:val="00B01548"/>
    <w:rsid w:val="00B130C5"/>
    <w:rsid w:val="00B13EBD"/>
    <w:rsid w:val="00B21D29"/>
    <w:rsid w:val="00B22CDE"/>
    <w:rsid w:val="00B25034"/>
    <w:rsid w:val="00B30667"/>
    <w:rsid w:val="00B33588"/>
    <w:rsid w:val="00B33863"/>
    <w:rsid w:val="00B37BA6"/>
    <w:rsid w:val="00B37D17"/>
    <w:rsid w:val="00B4080D"/>
    <w:rsid w:val="00B4175E"/>
    <w:rsid w:val="00B41C85"/>
    <w:rsid w:val="00B43798"/>
    <w:rsid w:val="00B4405D"/>
    <w:rsid w:val="00B44419"/>
    <w:rsid w:val="00B452CE"/>
    <w:rsid w:val="00B51BD1"/>
    <w:rsid w:val="00B54C25"/>
    <w:rsid w:val="00B60F19"/>
    <w:rsid w:val="00B76B91"/>
    <w:rsid w:val="00B77EB1"/>
    <w:rsid w:val="00B811C6"/>
    <w:rsid w:val="00B83586"/>
    <w:rsid w:val="00B855B0"/>
    <w:rsid w:val="00B86C20"/>
    <w:rsid w:val="00B92E08"/>
    <w:rsid w:val="00B93B44"/>
    <w:rsid w:val="00BB030A"/>
    <w:rsid w:val="00BC622A"/>
    <w:rsid w:val="00BE0A78"/>
    <w:rsid w:val="00BE6815"/>
    <w:rsid w:val="00BE79F0"/>
    <w:rsid w:val="00BF046D"/>
    <w:rsid w:val="00BF1190"/>
    <w:rsid w:val="00BF3774"/>
    <w:rsid w:val="00BF5D04"/>
    <w:rsid w:val="00C009AA"/>
    <w:rsid w:val="00C11331"/>
    <w:rsid w:val="00C1164D"/>
    <w:rsid w:val="00C16861"/>
    <w:rsid w:val="00C1794B"/>
    <w:rsid w:val="00C23B8B"/>
    <w:rsid w:val="00C31A6F"/>
    <w:rsid w:val="00C33575"/>
    <w:rsid w:val="00C33755"/>
    <w:rsid w:val="00C34423"/>
    <w:rsid w:val="00C346AB"/>
    <w:rsid w:val="00C37195"/>
    <w:rsid w:val="00C404A6"/>
    <w:rsid w:val="00C40A36"/>
    <w:rsid w:val="00C44419"/>
    <w:rsid w:val="00C45E7B"/>
    <w:rsid w:val="00C471B1"/>
    <w:rsid w:val="00C52E24"/>
    <w:rsid w:val="00C6316B"/>
    <w:rsid w:val="00C634A9"/>
    <w:rsid w:val="00C64586"/>
    <w:rsid w:val="00C70D53"/>
    <w:rsid w:val="00C73D0B"/>
    <w:rsid w:val="00C74F5C"/>
    <w:rsid w:val="00C77195"/>
    <w:rsid w:val="00C772FF"/>
    <w:rsid w:val="00C7771B"/>
    <w:rsid w:val="00C80137"/>
    <w:rsid w:val="00C801AF"/>
    <w:rsid w:val="00C80256"/>
    <w:rsid w:val="00C9177B"/>
    <w:rsid w:val="00C94CD4"/>
    <w:rsid w:val="00C961DE"/>
    <w:rsid w:val="00C968F2"/>
    <w:rsid w:val="00C9747E"/>
    <w:rsid w:val="00CA7CEE"/>
    <w:rsid w:val="00CB3095"/>
    <w:rsid w:val="00CB6BC0"/>
    <w:rsid w:val="00CC1A37"/>
    <w:rsid w:val="00CC1B7C"/>
    <w:rsid w:val="00CC2A8F"/>
    <w:rsid w:val="00CC727F"/>
    <w:rsid w:val="00CE6789"/>
    <w:rsid w:val="00CE7C14"/>
    <w:rsid w:val="00CF15C3"/>
    <w:rsid w:val="00CF2B6F"/>
    <w:rsid w:val="00CF2F3E"/>
    <w:rsid w:val="00CF58B6"/>
    <w:rsid w:val="00D0062D"/>
    <w:rsid w:val="00D017ED"/>
    <w:rsid w:val="00D040D3"/>
    <w:rsid w:val="00D04C65"/>
    <w:rsid w:val="00D04EDA"/>
    <w:rsid w:val="00D05209"/>
    <w:rsid w:val="00D153D8"/>
    <w:rsid w:val="00D201D2"/>
    <w:rsid w:val="00D20E63"/>
    <w:rsid w:val="00D224FE"/>
    <w:rsid w:val="00D23139"/>
    <w:rsid w:val="00D2347B"/>
    <w:rsid w:val="00D252BB"/>
    <w:rsid w:val="00D355B3"/>
    <w:rsid w:val="00D425BB"/>
    <w:rsid w:val="00D453FA"/>
    <w:rsid w:val="00D46C2C"/>
    <w:rsid w:val="00D533EB"/>
    <w:rsid w:val="00D56438"/>
    <w:rsid w:val="00D60459"/>
    <w:rsid w:val="00D6493E"/>
    <w:rsid w:val="00D7170C"/>
    <w:rsid w:val="00D7195D"/>
    <w:rsid w:val="00D71AE2"/>
    <w:rsid w:val="00D7301E"/>
    <w:rsid w:val="00D73CF0"/>
    <w:rsid w:val="00D83AE1"/>
    <w:rsid w:val="00D855D4"/>
    <w:rsid w:val="00D902C9"/>
    <w:rsid w:val="00D917BC"/>
    <w:rsid w:val="00D93466"/>
    <w:rsid w:val="00D971A7"/>
    <w:rsid w:val="00DA1124"/>
    <w:rsid w:val="00DA64CB"/>
    <w:rsid w:val="00DB06B8"/>
    <w:rsid w:val="00DB6124"/>
    <w:rsid w:val="00DB750B"/>
    <w:rsid w:val="00DB75B7"/>
    <w:rsid w:val="00DC0A2F"/>
    <w:rsid w:val="00DC1948"/>
    <w:rsid w:val="00DC6E02"/>
    <w:rsid w:val="00DC76D1"/>
    <w:rsid w:val="00DD28CD"/>
    <w:rsid w:val="00DE02AE"/>
    <w:rsid w:val="00DE2083"/>
    <w:rsid w:val="00DE39D1"/>
    <w:rsid w:val="00DF1D7F"/>
    <w:rsid w:val="00DF3A07"/>
    <w:rsid w:val="00DF4BE4"/>
    <w:rsid w:val="00E02382"/>
    <w:rsid w:val="00E02FB4"/>
    <w:rsid w:val="00E13FC7"/>
    <w:rsid w:val="00E20571"/>
    <w:rsid w:val="00E235F7"/>
    <w:rsid w:val="00E23659"/>
    <w:rsid w:val="00E239D4"/>
    <w:rsid w:val="00E23AE7"/>
    <w:rsid w:val="00E26130"/>
    <w:rsid w:val="00E33436"/>
    <w:rsid w:val="00E33A4B"/>
    <w:rsid w:val="00E37E7C"/>
    <w:rsid w:val="00E40B22"/>
    <w:rsid w:val="00E44791"/>
    <w:rsid w:val="00E44ED1"/>
    <w:rsid w:val="00E45619"/>
    <w:rsid w:val="00E4588F"/>
    <w:rsid w:val="00E46DA3"/>
    <w:rsid w:val="00E51BB1"/>
    <w:rsid w:val="00E55CB0"/>
    <w:rsid w:val="00E624A5"/>
    <w:rsid w:val="00E64BA4"/>
    <w:rsid w:val="00E701D6"/>
    <w:rsid w:val="00E70A60"/>
    <w:rsid w:val="00E7344E"/>
    <w:rsid w:val="00E75BBC"/>
    <w:rsid w:val="00E82665"/>
    <w:rsid w:val="00E97C7A"/>
    <w:rsid w:val="00EB0798"/>
    <w:rsid w:val="00EB40AD"/>
    <w:rsid w:val="00EB586E"/>
    <w:rsid w:val="00EB5FC8"/>
    <w:rsid w:val="00EC338F"/>
    <w:rsid w:val="00EC463D"/>
    <w:rsid w:val="00EC6B9D"/>
    <w:rsid w:val="00EC7A85"/>
    <w:rsid w:val="00ED1B93"/>
    <w:rsid w:val="00ED2922"/>
    <w:rsid w:val="00ED3CAD"/>
    <w:rsid w:val="00ED5A41"/>
    <w:rsid w:val="00EE0984"/>
    <w:rsid w:val="00EE1DE8"/>
    <w:rsid w:val="00EE27C2"/>
    <w:rsid w:val="00EF4BAD"/>
    <w:rsid w:val="00EF59DC"/>
    <w:rsid w:val="00F0097C"/>
    <w:rsid w:val="00F033EC"/>
    <w:rsid w:val="00F04F68"/>
    <w:rsid w:val="00F07D54"/>
    <w:rsid w:val="00F12670"/>
    <w:rsid w:val="00F14B27"/>
    <w:rsid w:val="00F2590F"/>
    <w:rsid w:val="00F3148D"/>
    <w:rsid w:val="00F325C5"/>
    <w:rsid w:val="00F32FE0"/>
    <w:rsid w:val="00F35298"/>
    <w:rsid w:val="00F36EA1"/>
    <w:rsid w:val="00F450D7"/>
    <w:rsid w:val="00F47333"/>
    <w:rsid w:val="00F47E37"/>
    <w:rsid w:val="00F5337B"/>
    <w:rsid w:val="00F533D7"/>
    <w:rsid w:val="00F53C07"/>
    <w:rsid w:val="00F54B65"/>
    <w:rsid w:val="00F640B6"/>
    <w:rsid w:val="00F66DF2"/>
    <w:rsid w:val="00F80E40"/>
    <w:rsid w:val="00F827B5"/>
    <w:rsid w:val="00F82DB1"/>
    <w:rsid w:val="00F848D9"/>
    <w:rsid w:val="00F857E3"/>
    <w:rsid w:val="00FA254C"/>
    <w:rsid w:val="00FA5069"/>
    <w:rsid w:val="00FA5B82"/>
    <w:rsid w:val="00FA639E"/>
    <w:rsid w:val="00FC1FCA"/>
    <w:rsid w:val="00FC25E4"/>
    <w:rsid w:val="00FC2D86"/>
    <w:rsid w:val="00FC4EF7"/>
    <w:rsid w:val="00FD0824"/>
    <w:rsid w:val="00FD119B"/>
    <w:rsid w:val="00FD1EDC"/>
    <w:rsid w:val="00FD453C"/>
    <w:rsid w:val="00FD7D47"/>
    <w:rsid w:val="00FE1DEE"/>
    <w:rsid w:val="00FF2126"/>
    <w:rsid w:val="00FF5755"/>
    <w:rsid w:val="00FF66BA"/>
    <w:rsid w:val="00FF69BE"/>
    <w:rsid w:val="00FF6E4C"/>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CA0A90E"/>
  <w15:docId w15:val="{F1D29C64-32A0-4D8D-A8AC-A85A687C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Bulletpoint">
    <w:name w:val="Bullet point"/>
    <w:basedOn w:val="Normal"/>
    <w:rsid w:val="00325641"/>
    <w:pPr>
      <w:numPr>
        <w:numId w:val="29"/>
      </w:numPr>
      <w:tabs>
        <w:tab w:val="left" w:pos="397"/>
      </w:tabs>
      <w:spacing w:before="0" w:after="180" w:line="252" w:lineRule="auto"/>
      <w:ind w:left="397"/>
    </w:pPr>
    <w:rPr>
      <w:rFonts w:eastAsia="Times New Roman"/>
      <w:kern w:val="16"/>
      <w:szCs w:val="24"/>
    </w:rPr>
  </w:style>
  <w:style w:type="paragraph" w:customStyle="1" w:styleId="Standard">
    <w:name w:val="Standard"/>
    <w:basedOn w:val="Normal"/>
    <w:link w:val="StandardChar"/>
    <w:qFormat/>
    <w:rsid w:val="00325641"/>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325641"/>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325641"/>
    <w:pPr>
      <w:numPr>
        <w:numId w:val="30"/>
      </w:numPr>
      <w:spacing w:after="180"/>
      <w:ind w:left="426" w:hanging="284"/>
    </w:pPr>
    <w:rPr>
      <w:kern w:val="2"/>
    </w:rPr>
  </w:style>
  <w:style w:type="character" w:customStyle="1" w:styleId="TabletextChar">
    <w:name w:val="Table text Char"/>
    <w:basedOn w:val="StandardChar"/>
    <w:link w:val="Tabletext"/>
    <w:rsid w:val="00325641"/>
    <w:rPr>
      <w:rFonts w:ascii="Cambria" w:eastAsia="Cambria" w:hAnsi="Cambria" w:cs="Times New Roman"/>
      <w:snapToGrid/>
      <w:kern w:val="16"/>
      <w:sz w:val="19"/>
      <w:szCs w:val="24"/>
    </w:rPr>
  </w:style>
  <w:style w:type="character" w:customStyle="1" w:styleId="BulletlistChar">
    <w:name w:val="Bullet list Char"/>
    <w:basedOn w:val="StandardChar"/>
    <w:link w:val="Bulletlist"/>
    <w:rsid w:val="00325641"/>
    <w:rPr>
      <w:rFonts w:ascii="Cambria" w:eastAsia="Times New Roman" w:hAnsi="Cambria" w:cs="Times New Roman"/>
      <w:snapToGrid w:val="0"/>
      <w:kern w:val="2"/>
      <w:sz w:val="23"/>
      <w:szCs w:val="24"/>
    </w:rPr>
  </w:style>
  <w:style w:type="paragraph" w:styleId="ListParagraph">
    <w:name w:val="List Paragraph"/>
    <w:basedOn w:val="Normal"/>
    <w:uiPriority w:val="34"/>
    <w:rsid w:val="00A90864"/>
    <w:pPr>
      <w:ind w:left="720"/>
      <w:contextualSpacing/>
    </w:pPr>
  </w:style>
  <w:style w:type="character" w:customStyle="1" w:styleId="bibliographic-informationvalue1">
    <w:name w:val="bibliographic-information__value1"/>
    <w:basedOn w:val="DefaultParagraphFont"/>
    <w:rsid w:val="007D1DC5"/>
    <w:rPr>
      <w:vanish w:val="0"/>
      <w:webHidden w:val="0"/>
      <w:specVanish w:val="0"/>
    </w:rPr>
  </w:style>
  <w:style w:type="character" w:styleId="Emphasis">
    <w:name w:val="Emphasis"/>
    <w:basedOn w:val="DefaultParagraphFont"/>
    <w:uiPriority w:val="20"/>
    <w:qFormat/>
    <w:rsid w:val="007D1DC5"/>
    <w:rPr>
      <w:i/>
      <w:iCs/>
    </w:rPr>
  </w:style>
  <w:style w:type="paragraph" w:customStyle="1" w:styleId="Default">
    <w:name w:val="Default"/>
    <w:rsid w:val="008345B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8D708B"/>
    <w:pPr>
      <w:spacing w:line="186" w:lineRule="atLeast"/>
    </w:pPr>
    <w:rPr>
      <w:color w:val="auto"/>
    </w:rPr>
  </w:style>
  <w:style w:type="table" w:customStyle="1" w:styleId="TableGrid1">
    <w:name w:val="Table Grid1"/>
    <w:basedOn w:val="TableNormal"/>
    <w:next w:val="TableGrid"/>
    <w:rsid w:val="003175D5"/>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D3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491939">
      <w:bodyDiv w:val="1"/>
      <w:marLeft w:val="0"/>
      <w:marRight w:val="0"/>
      <w:marTop w:val="0"/>
      <w:marBottom w:val="0"/>
      <w:divBdr>
        <w:top w:val="none" w:sz="0" w:space="0" w:color="auto"/>
        <w:left w:val="none" w:sz="0" w:space="0" w:color="auto"/>
        <w:bottom w:val="none" w:sz="0" w:space="0" w:color="auto"/>
        <w:right w:val="none" w:sz="0" w:space="0" w:color="auto"/>
      </w:divBdr>
      <w:divsChild>
        <w:div w:id="662047528">
          <w:marLeft w:val="0"/>
          <w:marRight w:val="0"/>
          <w:marTop w:val="0"/>
          <w:marBottom w:val="0"/>
          <w:divBdr>
            <w:top w:val="none" w:sz="0" w:space="0" w:color="auto"/>
            <w:left w:val="none" w:sz="0" w:space="0" w:color="auto"/>
            <w:bottom w:val="none" w:sz="0" w:space="0" w:color="auto"/>
            <w:right w:val="none" w:sz="0" w:space="0" w:color="auto"/>
          </w:divBdr>
          <w:divsChild>
            <w:div w:id="1642418079">
              <w:marLeft w:val="0"/>
              <w:marRight w:val="0"/>
              <w:marTop w:val="0"/>
              <w:marBottom w:val="0"/>
              <w:divBdr>
                <w:top w:val="none" w:sz="0" w:space="0" w:color="auto"/>
                <w:left w:val="none" w:sz="0" w:space="0" w:color="auto"/>
                <w:bottom w:val="none" w:sz="0" w:space="0" w:color="auto"/>
                <w:right w:val="none" w:sz="0" w:space="0" w:color="auto"/>
              </w:divBdr>
              <w:divsChild>
                <w:div w:id="12343164">
                  <w:marLeft w:val="0"/>
                  <w:marRight w:val="0"/>
                  <w:marTop w:val="0"/>
                  <w:marBottom w:val="0"/>
                  <w:divBdr>
                    <w:top w:val="none" w:sz="0" w:space="0" w:color="auto"/>
                    <w:left w:val="none" w:sz="0" w:space="0" w:color="auto"/>
                    <w:bottom w:val="none" w:sz="0" w:space="0" w:color="auto"/>
                    <w:right w:val="none" w:sz="0" w:space="0" w:color="auto"/>
                  </w:divBdr>
                  <w:divsChild>
                    <w:div w:id="326985735">
                      <w:marLeft w:val="0"/>
                      <w:marRight w:val="0"/>
                      <w:marTop w:val="0"/>
                      <w:marBottom w:val="0"/>
                      <w:divBdr>
                        <w:top w:val="none" w:sz="0" w:space="0" w:color="auto"/>
                        <w:left w:val="none" w:sz="0" w:space="0" w:color="auto"/>
                        <w:bottom w:val="none" w:sz="0" w:space="0" w:color="auto"/>
                        <w:right w:val="none" w:sz="0" w:space="0" w:color="auto"/>
                      </w:divBdr>
                      <w:divsChild>
                        <w:div w:id="18075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49099">
      <w:bodyDiv w:val="1"/>
      <w:marLeft w:val="0"/>
      <w:marRight w:val="0"/>
      <w:marTop w:val="0"/>
      <w:marBottom w:val="0"/>
      <w:divBdr>
        <w:top w:val="none" w:sz="0" w:space="0" w:color="auto"/>
        <w:left w:val="none" w:sz="0" w:space="0" w:color="auto"/>
        <w:bottom w:val="none" w:sz="0" w:space="0" w:color="auto"/>
        <w:right w:val="none" w:sz="0" w:space="0" w:color="auto"/>
      </w:divBdr>
    </w:div>
    <w:div w:id="716664351">
      <w:bodyDiv w:val="1"/>
      <w:marLeft w:val="0"/>
      <w:marRight w:val="0"/>
      <w:marTop w:val="0"/>
      <w:marBottom w:val="0"/>
      <w:divBdr>
        <w:top w:val="none" w:sz="0" w:space="0" w:color="auto"/>
        <w:left w:val="none" w:sz="0" w:space="0" w:color="auto"/>
        <w:bottom w:val="none" w:sz="0" w:space="0" w:color="auto"/>
        <w:right w:val="none" w:sz="0" w:space="0" w:color="auto"/>
      </w:divBdr>
    </w:div>
    <w:div w:id="1194684190">
      <w:bodyDiv w:val="1"/>
      <w:marLeft w:val="0"/>
      <w:marRight w:val="0"/>
      <w:marTop w:val="0"/>
      <w:marBottom w:val="0"/>
      <w:divBdr>
        <w:top w:val="none" w:sz="0" w:space="0" w:color="auto"/>
        <w:left w:val="none" w:sz="0" w:space="0" w:color="auto"/>
        <w:bottom w:val="none" w:sz="0" w:space="0" w:color="auto"/>
        <w:right w:val="none" w:sz="0" w:space="0" w:color="auto"/>
      </w:divBdr>
    </w:div>
    <w:div w:id="1571690216">
      <w:bodyDiv w:val="1"/>
      <w:marLeft w:val="0"/>
      <w:marRight w:val="0"/>
      <w:marTop w:val="0"/>
      <w:marBottom w:val="0"/>
      <w:divBdr>
        <w:top w:val="none" w:sz="0" w:space="0" w:color="auto"/>
        <w:left w:val="none" w:sz="0" w:space="0" w:color="auto"/>
        <w:bottom w:val="none" w:sz="0" w:space="0" w:color="auto"/>
        <w:right w:val="none" w:sz="0" w:space="0" w:color="auto"/>
      </w:divBdr>
      <w:divsChild>
        <w:div w:id="371031732">
          <w:marLeft w:val="0"/>
          <w:marRight w:val="0"/>
          <w:marTop w:val="0"/>
          <w:marBottom w:val="0"/>
          <w:divBdr>
            <w:top w:val="none" w:sz="0" w:space="0" w:color="auto"/>
            <w:left w:val="none" w:sz="0" w:space="0" w:color="auto"/>
            <w:bottom w:val="none" w:sz="0" w:space="0" w:color="auto"/>
            <w:right w:val="none" w:sz="0" w:space="0" w:color="auto"/>
          </w:divBdr>
          <w:divsChild>
            <w:div w:id="1267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3636">
      <w:bodyDiv w:val="1"/>
      <w:marLeft w:val="0"/>
      <w:marRight w:val="0"/>
      <w:marTop w:val="0"/>
      <w:marBottom w:val="0"/>
      <w:divBdr>
        <w:top w:val="none" w:sz="0" w:space="0" w:color="auto"/>
        <w:left w:val="none" w:sz="0" w:space="0" w:color="auto"/>
        <w:bottom w:val="none" w:sz="0" w:space="0" w:color="auto"/>
        <w:right w:val="none" w:sz="0" w:space="0" w:color="auto"/>
      </w:divBdr>
      <w:divsChild>
        <w:div w:id="1576015296">
          <w:marLeft w:val="0"/>
          <w:marRight w:val="0"/>
          <w:marTop w:val="0"/>
          <w:marBottom w:val="0"/>
          <w:divBdr>
            <w:top w:val="none" w:sz="0" w:space="0" w:color="auto"/>
            <w:left w:val="none" w:sz="0" w:space="0" w:color="auto"/>
            <w:bottom w:val="none" w:sz="0" w:space="0" w:color="auto"/>
            <w:right w:val="none" w:sz="0" w:space="0" w:color="auto"/>
          </w:divBdr>
          <w:divsChild>
            <w:div w:id="352271997">
              <w:marLeft w:val="0"/>
              <w:marRight w:val="0"/>
              <w:marTop w:val="0"/>
              <w:marBottom w:val="0"/>
              <w:divBdr>
                <w:top w:val="none" w:sz="0" w:space="0" w:color="auto"/>
                <w:left w:val="none" w:sz="0" w:space="0" w:color="auto"/>
                <w:bottom w:val="none" w:sz="0" w:space="0" w:color="auto"/>
                <w:right w:val="none" w:sz="0" w:space="0" w:color="auto"/>
              </w:divBdr>
              <w:divsChild>
                <w:div w:id="115679475">
                  <w:marLeft w:val="0"/>
                  <w:marRight w:val="0"/>
                  <w:marTop w:val="0"/>
                  <w:marBottom w:val="0"/>
                  <w:divBdr>
                    <w:top w:val="none" w:sz="0" w:space="0" w:color="auto"/>
                    <w:left w:val="none" w:sz="0" w:space="0" w:color="auto"/>
                    <w:bottom w:val="none" w:sz="0" w:space="0" w:color="auto"/>
                    <w:right w:val="none" w:sz="0" w:space="0" w:color="auto"/>
                  </w:divBdr>
                  <w:divsChild>
                    <w:div w:id="1223634834">
                      <w:marLeft w:val="0"/>
                      <w:marRight w:val="0"/>
                      <w:marTop w:val="0"/>
                      <w:marBottom w:val="0"/>
                      <w:divBdr>
                        <w:top w:val="none" w:sz="0" w:space="0" w:color="auto"/>
                        <w:left w:val="none" w:sz="0" w:space="0" w:color="auto"/>
                        <w:bottom w:val="none" w:sz="0" w:space="0" w:color="auto"/>
                        <w:right w:val="none" w:sz="0" w:space="0" w:color="auto"/>
                      </w:divBdr>
                      <w:divsChild>
                        <w:div w:id="20673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653776">
      <w:bodyDiv w:val="1"/>
      <w:marLeft w:val="0"/>
      <w:marRight w:val="0"/>
      <w:marTop w:val="0"/>
      <w:marBottom w:val="0"/>
      <w:divBdr>
        <w:top w:val="none" w:sz="0" w:space="0" w:color="auto"/>
        <w:left w:val="none" w:sz="0" w:space="0" w:color="auto"/>
        <w:bottom w:val="none" w:sz="0" w:space="0" w:color="auto"/>
        <w:right w:val="none" w:sz="0" w:space="0" w:color="auto"/>
      </w:divBdr>
    </w:div>
    <w:div w:id="186320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hyperlink" Target="https://www.tga.gov.au/product-information-pi"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info@tga.gov.au" TargetMode="External"/><Relationship Id="rId28" Type="http://schemas.openxmlformats.org/officeDocument/2006/relationships/header" Target="header9.xml"/><Relationship Id="rId36"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ntTable" Target="fontTable.xml"/><Relationship Id="rId35" Type="http://schemas.microsoft.com/office/2016/09/relationships/commentsIds" Target="commentsIds.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1752\t0QEQ84W.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B2A0E-64A4-4D2D-9945-52AF96E10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t0QEQ84W.DOTX</Template>
  <TotalTime>0</TotalTime>
  <Pages>24</Pages>
  <Words>5988</Words>
  <Characters>34791</Characters>
  <Application>Microsoft Office Word</Application>
  <DocSecurity>0</DocSecurity>
  <Lines>790</Lines>
  <Paragraphs>463</Paragraphs>
  <ScaleCrop>false</ScaleCrop>
  <HeadingPairs>
    <vt:vector size="2" baseType="variant">
      <vt:variant>
        <vt:lpstr>Title</vt:lpstr>
      </vt:variant>
      <vt:variant>
        <vt:i4>1</vt:i4>
      </vt:variant>
    </vt:vector>
  </HeadingPairs>
  <TitlesOfParts>
    <vt:vector size="1" baseType="lpstr">
      <vt:lpstr>Australian public assessment report for Venetoclax</vt:lpstr>
    </vt:vector>
  </TitlesOfParts>
  <Company>Department of Health Therapeutic Goods Administration</Company>
  <LinksUpToDate>false</LinksUpToDate>
  <CharactersWithSpaces>40316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Venetoclax</dc:title>
  <dc:subject>prescription medicines</dc:subject>
  <dc:creator>Therapeutic Goods Administration</dc:creator>
  <cp:keywords/>
  <cp:lastPrinted>2020-07-28T23:25:00Z</cp:lastPrinted>
  <dcterms:created xsi:type="dcterms:W3CDTF">2020-09-28T04:22:00Z</dcterms:created>
  <dcterms:modified xsi:type="dcterms:W3CDTF">2020-09-28T04:22:00Z</dcterms:modified>
  <cp:category/>
</cp:coreProperties>
</file>